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1F" w:rsidRDefault="00C46F1F" w:rsidP="00C46F1F">
      <w:pPr>
        <w:ind w:firstLine="720"/>
        <w:jc w:val="center"/>
        <w:rPr>
          <w:b/>
          <w:color w:val="000000"/>
        </w:rPr>
      </w:pPr>
      <w:bookmarkStart w:id="0" w:name="_GoBack"/>
      <w:bookmarkEnd w:id="0"/>
      <w:r w:rsidRPr="00CE6340">
        <w:rPr>
          <w:b/>
          <w:color w:val="000000"/>
        </w:rPr>
        <w:t>D</w:t>
      </w:r>
      <w:r>
        <w:rPr>
          <w:b/>
          <w:color w:val="000000"/>
        </w:rPr>
        <w:t xml:space="preserve">ISSENTING STATEMENT OF </w:t>
      </w:r>
    </w:p>
    <w:p w:rsidR="00C46F1F" w:rsidRPr="00CE6340" w:rsidRDefault="00C46F1F" w:rsidP="00C46F1F">
      <w:pPr>
        <w:ind w:firstLine="720"/>
        <w:jc w:val="center"/>
        <w:rPr>
          <w:b/>
          <w:color w:val="000000"/>
        </w:rPr>
      </w:pPr>
      <w:r>
        <w:rPr>
          <w:b/>
          <w:color w:val="000000"/>
        </w:rPr>
        <w:t>COMMISSIONER MICHAEL O’RI</w:t>
      </w:r>
      <w:r w:rsidR="0017021B">
        <w:rPr>
          <w:b/>
          <w:color w:val="000000"/>
        </w:rPr>
        <w:t>E</w:t>
      </w:r>
      <w:r>
        <w:rPr>
          <w:b/>
          <w:color w:val="000000"/>
        </w:rPr>
        <w:t>LLY</w:t>
      </w:r>
    </w:p>
    <w:p w:rsidR="00C46F1F" w:rsidRDefault="00C46F1F" w:rsidP="00C46F1F">
      <w:pPr>
        <w:ind w:firstLine="720"/>
        <w:jc w:val="center"/>
        <w:rPr>
          <w:color w:val="000000"/>
        </w:rPr>
      </w:pPr>
    </w:p>
    <w:p w:rsidR="00C46F1F" w:rsidRPr="00C048C8" w:rsidRDefault="00C46F1F" w:rsidP="00031862">
      <w:pPr>
        <w:spacing w:after="120"/>
        <w:ind w:left="720" w:hanging="720"/>
        <w:rPr>
          <w:i/>
          <w:color w:val="000000"/>
        </w:rPr>
      </w:pPr>
      <w:r w:rsidRPr="00C048C8">
        <w:rPr>
          <w:color w:val="000000"/>
        </w:rPr>
        <w:t>Re:</w:t>
      </w:r>
      <w:r w:rsidRPr="00F16DB0">
        <w:rPr>
          <w:i/>
          <w:color w:val="000000"/>
        </w:rPr>
        <w:tab/>
      </w:r>
      <w:r w:rsidRPr="00C048C8">
        <w:rPr>
          <w:color w:val="000000"/>
        </w:rPr>
        <w:t>TerraCom, Inc. and YourTel America, Inc.</w:t>
      </w:r>
      <w:r>
        <w:rPr>
          <w:color w:val="000000"/>
        </w:rPr>
        <w:t>,</w:t>
      </w:r>
      <w:r w:rsidRPr="00C048C8">
        <w:rPr>
          <w:color w:val="000000"/>
        </w:rPr>
        <w:t xml:space="preserve"> Apparent Liability for Forfeiture, File No.:  EB-TCD-13-00009175</w:t>
      </w:r>
    </w:p>
    <w:p w:rsidR="00C46F1F" w:rsidRPr="00E17442" w:rsidRDefault="00C46F1F" w:rsidP="00031862">
      <w:pPr>
        <w:spacing w:after="120"/>
        <w:ind w:firstLine="720"/>
        <w:rPr>
          <w:color w:val="000000"/>
        </w:rPr>
      </w:pPr>
      <w:r w:rsidRPr="00E17442">
        <w:rPr>
          <w:color w:val="000000"/>
        </w:rPr>
        <w:t xml:space="preserve">Companies that collect personal information about their customers </w:t>
      </w:r>
      <w:r>
        <w:rPr>
          <w:color w:val="000000"/>
        </w:rPr>
        <w:t>have a responsibility to</w:t>
      </w:r>
      <w:r w:rsidRPr="00E17442">
        <w:rPr>
          <w:color w:val="000000"/>
        </w:rPr>
        <w:t xml:space="preserve"> take reasonable measure</w:t>
      </w:r>
      <w:r>
        <w:rPr>
          <w:color w:val="000000"/>
        </w:rPr>
        <w:t>s</w:t>
      </w:r>
      <w:r w:rsidRPr="00E17442">
        <w:rPr>
          <w:color w:val="000000"/>
        </w:rPr>
        <w:t xml:space="preserve"> to protect that information.  Most companies take that obligation</w:t>
      </w:r>
      <w:r>
        <w:rPr>
          <w:color w:val="000000"/>
        </w:rPr>
        <w:t xml:space="preserve"> extremely</w:t>
      </w:r>
      <w:r w:rsidRPr="00E17442">
        <w:rPr>
          <w:color w:val="000000"/>
        </w:rPr>
        <w:t xml:space="preserve"> seriously</w:t>
      </w:r>
      <w:r>
        <w:rPr>
          <w:color w:val="000000"/>
        </w:rPr>
        <w:t xml:space="preserve"> because it’s in their best interests</w:t>
      </w:r>
      <w:r w:rsidRPr="00E17442">
        <w:rPr>
          <w:color w:val="000000"/>
        </w:rPr>
        <w:t xml:space="preserve">.  So I was disturbed to learn that YourTel and TerraCom had allowed sensitive information about their </w:t>
      </w:r>
      <w:r>
        <w:rPr>
          <w:color w:val="000000"/>
        </w:rPr>
        <w:t xml:space="preserve">universal service </w:t>
      </w:r>
      <w:r w:rsidRPr="00E17442">
        <w:rPr>
          <w:color w:val="000000"/>
        </w:rPr>
        <w:t xml:space="preserve">Lifeline subscribers to be stored in such a way that it could be accessed over the Internet through simple queries.  </w:t>
      </w:r>
      <w:r>
        <w:rPr>
          <w:color w:val="000000"/>
        </w:rPr>
        <w:t>I am also troubled that the companies did not appear to do anything to monitor the activities of their vendor to ensure that it was taking all necessary steps to protect this information.  This is unacceptable for many reasons.</w:t>
      </w:r>
    </w:p>
    <w:p w:rsidR="00C46F1F" w:rsidRPr="00E17442" w:rsidRDefault="00C46F1F" w:rsidP="00031862">
      <w:pPr>
        <w:spacing w:after="120"/>
        <w:ind w:firstLine="720"/>
        <w:rPr>
          <w:color w:val="000000"/>
        </w:rPr>
      </w:pPr>
      <w:r w:rsidRPr="00E17442">
        <w:rPr>
          <w:color w:val="000000"/>
        </w:rPr>
        <w:t xml:space="preserve">As unfortunate as this case may be, </w:t>
      </w:r>
      <w:r>
        <w:rPr>
          <w:color w:val="000000"/>
        </w:rPr>
        <w:t xml:space="preserve">however, I find major flaws with the item proposed.  First, </w:t>
      </w:r>
      <w:r w:rsidRPr="00E17442">
        <w:rPr>
          <w:color w:val="000000"/>
        </w:rPr>
        <w:t xml:space="preserve">I’m not convinced that the FCC has authority to act.  In my previous </w:t>
      </w:r>
      <w:r>
        <w:rPr>
          <w:color w:val="000000"/>
        </w:rPr>
        <w:t>employment</w:t>
      </w:r>
      <w:r w:rsidRPr="00E17442">
        <w:rPr>
          <w:color w:val="000000"/>
        </w:rPr>
        <w:t xml:space="preserve">, I worked extensively on privacy matters, and I am familiar with privacy laws across federal agencies.  I also </w:t>
      </w:r>
      <w:r>
        <w:rPr>
          <w:color w:val="000000"/>
        </w:rPr>
        <w:t>was there for the creation of</w:t>
      </w:r>
      <w:r w:rsidRPr="00E17442">
        <w:rPr>
          <w:color w:val="000000"/>
        </w:rPr>
        <w:t xml:space="preserve"> section 222 of the Act, and </w:t>
      </w:r>
      <w:r>
        <w:rPr>
          <w:color w:val="000000"/>
        </w:rPr>
        <w:t xml:space="preserve">it is my firm belief </w:t>
      </w:r>
      <w:r w:rsidRPr="00E17442">
        <w:rPr>
          <w:color w:val="000000"/>
        </w:rPr>
        <w:t xml:space="preserve">that it was never intended to address the security of data on the Internet.  </w:t>
      </w:r>
      <w:r>
        <w:rPr>
          <w:color w:val="000000"/>
        </w:rPr>
        <w:t>I also do not believe that section 201(b) covers this conduct.  Second</w:t>
      </w:r>
      <w:r w:rsidRPr="00E17442">
        <w:rPr>
          <w:color w:val="000000"/>
        </w:rPr>
        <w:t xml:space="preserve">, even if the FCC did have authority to act, I am not persuaded that it is appropriate for the agency to </w:t>
      </w:r>
      <w:r>
        <w:rPr>
          <w:color w:val="000000"/>
        </w:rPr>
        <w:t>proceed</w:t>
      </w:r>
      <w:r w:rsidRPr="00E17442">
        <w:rPr>
          <w:color w:val="000000"/>
        </w:rPr>
        <w:t>, in this first instance, through an enforcement action</w:t>
      </w:r>
      <w:r>
        <w:rPr>
          <w:color w:val="000000"/>
        </w:rPr>
        <w:t xml:space="preserve"> because the agency has not provided fair notice that there could be liability for such conduct</w:t>
      </w:r>
      <w:r w:rsidRPr="00E17442">
        <w:rPr>
          <w:color w:val="000000"/>
        </w:rPr>
        <w:t xml:space="preserve">.  </w:t>
      </w:r>
      <w:r>
        <w:rPr>
          <w:color w:val="000000"/>
        </w:rPr>
        <w:t xml:space="preserve">The Commission should have sought comment on these issues to determine the authority for and scope of any data security rules for common carriers.  </w:t>
      </w:r>
      <w:r w:rsidRPr="00E17442">
        <w:rPr>
          <w:color w:val="000000"/>
        </w:rPr>
        <w:t>Therefore, I must respectfully dissent from this Notice of Apparent Liability for Forfeiture.</w:t>
      </w:r>
    </w:p>
    <w:p w:rsidR="00C46F1F" w:rsidRDefault="00C46F1F" w:rsidP="00031862">
      <w:pPr>
        <w:spacing w:after="120"/>
        <w:ind w:firstLine="720"/>
        <w:rPr>
          <w:color w:val="000000"/>
        </w:rPr>
      </w:pPr>
      <w:r>
        <w:rPr>
          <w:color w:val="000000"/>
        </w:rPr>
        <w:t xml:space="preserve">I am noticing a disturbing trend at the Commission where, in the absence of clear statutory authority, the Commission suddenly imbues an innocuous provision of the Act with tremendous significance in order to meet its policy outcome.  Section 706 was one such example.  Today it’s section 222(a).  </w:t>
      </w:r>
    </w:p>
    <w:p w:rsidR="00C46F1F" w:rsidRDefault="00C46F1F" w:rsidP="00031862">
      <w:pPr>
        <w:spacing w:after="120"/>
        <w:ind w:firstLine="720"/>
        <w:rPr>
          <w:color w:val="000000"/>
        </w:rPr>
      </w:pPr>
      <w:r>
        <w:rPr>
          <w:color w:val="000000"/>
        </w:rPr>
        <w:t>Section 222(a), however, cannot be interpreted in a vacuum.  There is a history here, and it is worth retelling because it is relevant not only to the Commission’s authority to act, but also to whether parties would have fair notice of what conduct is barred by the provision.</w:t>
      </w:r>
    </w:p>
    <w:p w:rsidR="00C46F1F" w:rsidRDefault="00C46F1F" w:rsidP="00031862">
      <w:pPr>
        <w:spacing w:after="120"/>
        <w:ind w:firstLine="720"/>
        <w:rPr>
          <w:color w:val="000000"/>
        </w:rPr>
      </w:pPr>
      <w:r>
        <w:rPr>
          <w:color w:val="000000"/>
        </w:rPr>
        <w:t>Those that have been following common carrier law long enough will recall that CPNI rules pre-date the Telecommunications Act of 19</w:t>
      </w:r>
      <w:r w:rsidRPr="00505DFA">
        <w:rPr>
          <w:color w:val="000000"/>
        </w:rPr>
        <w:t xml:space="preserve">96.  </w:t>
      </w:r>
      <w:r w:rsidRPr="004120E1">
        <w:rPr>
          <w:color w:val="000000"/>
        </w:rPr>
        <w:t xml:space="preserve">In the </w:t>
      </w:r>
      <w:r w:rsidRPr="004120E1">
        <w:rPr>
          <w:i/>
          <w:color w:val="000000"/>
        </w:rPr>
        <w:t>Computer II</w:t>
      </w:r>
      <w:bookmarkStart w:id="1" w:name="FN[FN11]"/>
      <w:bookmarkEnd w:id="1"/>
      <w:r>
        <w:t xml:space="preserve">, </w:t>
      </w:r>
      <w:r w:rsidRPr="004120E1">
        <w:rPr>
          <w:i/>
          <w:color w:val="000000"/>
        </w:rPr>
        <w:t>Computer III</w:t>
      </w:r>
      <w:r w:rsidRPr="00CD2937">
        <w:rPr>
          <w:color w:val="000000"/>
        </w:rPr>
        <w:t>,</w:t>
      </w:r>
      <w:r>
        <w:rPr>
          <w:i/>
          <w:color w:val="000000"/>
        </w:rPr>
        <w:t xml:space="preserve"> GTE ONA</w:t>
      </w:r>
      <w:r w:rsidRPr="00CD2937">
        <w:rPr>
          <w:color w:val="000000"/>
        </w:rPr>
        <w:t>, and</w:t>
      </w:r>
      <w:r>
        <w:rPr>
          <w:i/>
          <w:color w:val="000000"/>
        </w:rPr>
        <w:t xml:space="preserve"> BOC CPE Relief</w:t>
      </w:r>
      <w:r w:rsidRPr="004120E1">
        <w:t xml:space="preserve"> </w:t>
      </w:r>
      <w:r w:rsidRPr="004120E1">
        <w:rPr>
          <w:color w:val="000000"/>
        </w:rPr>
        <w:t xml:space="preserve">proceedings, the Commission established rules </w:t>
      </w:r>
      <w:r>
        <w:rPr>
          <w:color w:val="000000"/>
        </w:rPr>
        <w:t>concerning</w:t>
      </w:r>
      <w:r w:rsidRPr="004120E1">
        <w:rPr>
          <w:color w:val="000000"/>
        </w:rPr>
        <w:t xml:space="preserve"> the use of CPNI </w:t>
      </w:r>
      <w:r>
        <w:rPr>
          <w:color w:val="000000"/>
        </w:rPr>
        <w:t xml:space="preserve">in the </w:t>
      </w:r>
      <w:r w:rsidRPr="00CD2937">
        <w:rPr>
          <w:color w:val="000000"/>
        </w:rPr>
        <w:t>enhanced services</w:t>
      </w:r>
      <w:bookmarkStart w:id="2" w:name="FN[FN30]"/>
      <w:bookmarkEnd w:id="2"/>
      <w:r w:rsidRPr="00CD2937">
        <w:rPr>
          <w:color w:val="000000"/>
        </w:rPr>
        <w:t xml:space="preserve"> operations of AT&amp;T, the BOCs, and GTE, and the CPE operations of AT&amp;T and the BOCs</w:t>
      </w:r>
      <w:r>
        <w:rPr>
          <w:color w:val="000000"/>
        </w:rPr>
        <w:t>.  The Commission adopted these rules</w:t>
      </w:r>
      <w:r w:rsidRPr="004120E1">
        <w:rPr>
          <w:color w:val="000000"/>
        </w:rPr>
        <w:t xml:space="preserve"> </w:t>
      </w:r>
      <w:r>
        <w:rPr>
          <w:color w:val="000000"/>
        </w:rPr>
        <w:t xml:space="preserve">(along with other nonstructural safeguards) </w:t>
      </w:r>
      <w:r w:rsidRPr="004120E1">
        <w:rPr>
          <w:color w:val="000000"/>
        </w:rPr>
        <w:t>because the Commission was concerned that the carriers could use CPNI obtained from their provision of regulated services to gain an anticompetitive advantage in the unregulated CPE and enhanced services markets.</w:t>
      </w:r>
      <w:r>
        <w:rPr>
          <w:rStyle w:val="FootnoteReference"/>
          <w:color w:val="000000"/>
        </w:rPr>
        <w:footnoteReference w:id="2"/>
      </w:r>
      <w:r w:rsidRPr="004120E1">
        <w:rPr>
          <w:color w:val="000000"/>
        </w:rPr>
        <w:t xml:space="preserve"> </w:t>
      </w:r>
      <w:r>
        <w:rPr>
          <w:color w:val="000000"/>
        </w:rPr>
        <w:t>It</w:t>
      </w:r>
      <w:r w:rsidRPr="004120E1">
        <w:rPr>
          <w:color w:val="000000"/>
        </w:rPr>
        <w:t xml:space="preserve"> also determined that </w:t>
      </w:r>
      <w:r>
        <w:rPr>
          <w:color w:val="000000"/>
        </w:rPr>
        <w:t>the</w:t>
      </w:r>
      <w:r w:rsidRPr="004120E1">
        <w:rPr>
          <w:color w:val="000000"/>
        </w:rPr>
        <w:t xml:space="preserve"> CPNI requirements were </w:t>
      </w:r>
      <w:r>
        <w:rPr>
          <w:color w:val="000000"/>
        </w:rPr>
        <w:t>necessary</w:t>
      </w:r>
      <w:r w:rsidRPr="004120E1">
        <w:rPr>
          <w:color w:val="000000"/>
        </w:rPr>
        <w:t xml:space="preserve"> to protect legitimate customer expectations of confidentiality regarding individually identifiable information.</w:t>
      </w:r>
      <w:r>
        <w:rPr>
          <w:rStyle w:val="FootnoteReference"/>
          <w:color w:val="000000"/>
        </w:rPr>
        <w:footnoteReference w:id="3"/>
      </w:r>
      <w:r>
        <w:rPr>
          <w:color w:val="000000"/>
        </w:rPr>
        <w:t xml:space="preserve">  </w:t>
      </w:r>
    </w:p>
    <w:p w:rsidR="00C46F1F" w:rsidRDefault="00C46F1F" w:rsidP="00031862">
      <w:pPr>
        <w:spacing w:after="120"/>
        <w:ind w:firstLine="720"/>
        <w:rPr>
          <w:color w:val="000000"/>
        </w:rPr>
      </w:pPr>
      <w:r>
        <w:rPr>
          <w:color w:val="000000"/>
        </w:rPr>
        <w:t xml:space="preserve">With this history in mind, and with the further understanding that one of the goals of the 1996 Act was to open local markets to competition from new telecommunications carriers, the structure and purpose of section 222 becomes evident.  </w:t>
      </w:r>
    </w:p>
    <w:p w:rsidR="00C46F1F" w:rsidRDefault="00C46F1F" w:rsidP="00031862">
      <w:pPr>
        <w:spacing w:after="120"/>
        <w:ind w:firstLine="720"/>
        <w:rPr>
          <w:color w:val="000000"/>
        </w:rPr>
      </w:pPr>
      <w:r>
        <w:rPr>
          <w:color w:val="000000"/>
        </w:rPr>
        <w:t xml:space="preserve">Section 222(a) begins with a duty on </w:t>
      </w:r>
      <w:r w:rsidRPr="008753A3">
        <w:rPr>
          <w:color w:val="000000"/>
        </w:rPr>
        <w:t>every</w:t>
      </w:r>
      <w:r>
        <w:rPr>
          <w:color w:val="000000"/>
        </w:rPr>
        <w:t xml:space="preserve"> telecommunications carrier to protect the confidentiality of proprietary information.  That is, the purpose of section 222(a) was to extend CPNI </w:t>
      </w:r>
      <w:r>
        <w:rPr>
          <w:color w:val="000000"/>
        </w:rPr>
        <w:lastRenderedPageBreak/>
        <w:t xml:space="preserve">rules to </w:t>
      </w:r>
      <w:r w:rsidRPr="00E872A9">
        <w:rPr>
          <w:i/>
          <w:color w:val="000000"/>
        </w:rPr>
        <w:t>all</w:t>
      </w:r>
      <w:r>
        <w:rPr>
          <w:color w:val="000000"/>
        </w:rPr>
        <w:t xml:space="preserve"> telecommunications carriers, not just AT</w:t>
      </w:r>
      <w:r w:rsidRPr="004120E1">
        <w:rPr>
          <w:color w:val="000000"/>
        </w:rPr>
        <w:t>&amp;T, the BOCs, and GTE</w:t>
      </w:r>
      <w:r>
        <w:rPr>
          <w:color w:val="000000"/>
        </w:rPr>
        <w:t>.  This was understood by the Commission at the time it was implementing the 1996 Act.</w:t>
      </w:r>
      <w:r>
        <w:rPr>
          <w:rStyle w:val="FootnoteReference"/>
          <w:color w:val="000000"/>
        </w:rPr>
        <w:footnoteReference w:id="4"/>
      </w:r>
      <w:r>
        <w:rPr>
          <w:color w:val="000000"/>
        </w:rPr>
        <w:t xml:space="preserve">  Then, sections 222(b) and (c) go on to codify certain restrictions to address the two concerns that led the Commission to adopt CPNI rules in the first place:  to protect other carriers from anticompetitive practices; and to protect the privacy expectations of consumers.  </w:t>
      </w:r>
    </w:p>
    <w:p w:rsidR="00C46F1F" w:rsidRPr="008753A3" w:rsidRDefault="00C46F1F" w:rsidP="00031862">
      <w:pPr>
        <w:spacing w:after="120"/>
        <w:ind w:firstLine="720"/>
        <w:rPr>
          <w:color w:val="000000"/>
        </w:rPr>
      </w:pPr>
      <w:r>
        <w:rPr>
          <w:color w:val="000000"/>
        </w:rPr>
        <w:t>Critically, the general duty in section 222(a) was intended to be read in conjunction with, not separate from, the specific limitations in sections 222(b) and (c).  And that is how the Commission viewed the provisions.</w:t>
      </w:r>
      <w:r>
        <w:rPr>
          <w:rStyle w:val="FootnoteReference"/>
          <w:color w:val="000000"/>
        </w:rPr>
        <w:footnoteReference w:id="5"/>
      </w:r>
      <w:r>
        <w:rPr>
          <w:color w:val="000000"/>
        </w:rPr>
        <w:t xml:space="preserve">  Namely, section 222(a) sets forth who has the basic duty to protect the proprietary information of other telecommunications carriers, equipment manufacturers, and customers, while sections 222(b) and (c) detail when and how that duty is to be exercised.  Section 222(b) requires that carriers may only use proprietary information of other carriers for the purpose of providing telecommunications and may not use it for their own marketing efforts.  Section 222(c) specifies under what circumstances the proprietary information of customers (also known as CPNI) may be disclosed.</w:t>
      </w:r>
    </w:p>
    <w:p w:rsidR="00C46F1F" w:rsidRPr="00B71527" w:rsidRDefault="00C46F1F" w:rsidP="004015D3">
      <w:pPr>
        <w:widowControl/>
        <w:spacing w:after="120"/>
        <w:ind w:firstLine="720"/>
        <w:rPr>
          <w:color w:val="000000"/>
        </w:rPr>
      </w:pPr>
      <w:r>
        <w:rPr>
          <w:color w:val="000000"/>
        </w:rPr>
        <w:t>I do not see persuasive evidence that section 222(a) was intended to confer authority that was independent of the carrier information and CPNI provisions.  Indeed, on multiple occasions, the Commission has made statements like “[e]very telecommunications carrier has a general duty pursuant to section 222(a) to protect the confidentiality of CPNI.”</w:t>
      </w:r>
      <w:r>
        <w:rPr>
          <w:rStyle w:val="FootnoteReference"/>
          <w:color w:val="000000"/>
        </w:rPr>
        <w:footnoteReference w:id="6"/>
      </w:r>
      <w:r>
        <w:rPr>
          <w:color w:val="000000"/>
        </w:rPr>
        <w:t xml:space="preserve">  That is because the Commission viewed them as co-extensive</w:t>
      </w:r>
      <w:r w:rsidRPr="00B71527">
        <w:rPr>
          <w:color w:val="000000"/>
        </w:rPr>
        <w:t>.</w:t>
      </w:r>
      <w:r>
        <w:rPr>
          <w:rStyle w:val="FootnoteReference"/>
          <w:color w:val="000000"/>
        </w:rPr>
        <w:footnoteReference w:id="7"/>
      </w:r>
      <w:r w:rsidRPr="00B71527">
        <w:rPr>
          <w:color w:val="000000"/>
        </w:rPr>
        <w:t xml:space="preserve">  In fact, it is very telling that t</w:t>
      </w:r>
      <w:r w:rsidRPr="00D3234B">
        <w:rPr>
          <w:color w:val="000000"/>
        </w:rPr>
        <w:t>he Commission has never before attempted to interpret 222(a) independent of CPNI</w:t>
      </w:r>
      <w:r w:rsidRPr="00B71527">
        <w:rPr>
          <w:color w:val="000000"/>
        </w:rPr>
        <w:t xml:space="preserve">.  What is more, the </w:t>
      </w:r>
      <w:r>
        <w:rPr>
          <w:color w:val="000000"/>
        </w:rPr>
        <w:t>House C</w:t>
      </w:r>
      <w:r w:rsidRPr="00B71527">
        <w:rPr>
          <w:color w:val="000000"/>
        </w:rPr>
        <w:t xml:space="preserve">onference </w:t>
      </w:r>
      <w:r>
        <w:rPr>
          <w:color w:val="000000"/>
        </w:rPr>
        <w:t>R</w:t>
      </w:r>
      <w:r w:rsidRPr="00B71527">
        <w:rPr>
          <w:color w:val="000000"/>
        </w:rPr>
        <w:t xml:space="preserve">eport on the 1996 Act notes, “[i]n </w:t>
      </w:r>
      <w:r w:rsidRPr="00B71527">
        <w:rPr>
          <w:color w:val="000000"/>
        </w:rPr>
        <w:lastRenderedPageBreak/>
        <w:t xml:space="preserve">general, the new section 222 strives to balance both competitive and consumer privacy interests </w:t>
      </w:r>
      <w:r w:rsidRPr="00B71527">
        <w:rPr>
          <w:i/>
          <w:color w:val="000000"/>
        </w:rPr>
        <w:t>with respect to CPNI</w:t>
      </w:r>
      <w:r w:rsidRPr="00B71527">
        <w:rPr>
          <w:color w:val="000000"/>
        </w:rPr>
        <w:t>.”</w:t>
      </w:r>
      <w:r>
        <w:rPr>
          <w:rStyle w:val="FootnoteReference"/>
          <w:color w:val="000000"/>
        </w:rPr>
        <w:footnoteReference w:id="8"/>
      </w:r>
    </w:p>
    <w:p w:rsidR="00C46F1F" w:rsidRDefault="00C46F1F" w:rsidP="00031862">
      <w:pPr>
        <w:spacing w:after="120"/>
        <w:ind w:firstLine="720"/>
        <w:rPr>
          <w:color w:val="000000"/>
        </w:rPr>
      </w:pPr>
      <w:r>
        <w:rPr>
          <w:color w:val="000000"/>
        </w:rPr>
        <w:t xml:space="preserve">Moreover, the fact that section 222(a) uses a broader term “proprietary information” is not dispositive in this instance.  Separate from my working experiences with this provision, given the three-part structure of section 222, the statute includes a term in 222(a) that encompasses both the carrier information at issue in 222(b) and the customer information at issue in 222(c).  </w:t>
      </w:r>
    </w:p>
    <w:p w:rsidR="00C46F1F" w:rsidRPr="008753A3" w:rsidRDefault="00C46F1F" w:rsidP="00031862">
      <w:pPr>
        <w:spacing w:after="120"/>
        <w:ind w:firstLine="720"/>
        <w:rPr>
          <w:color w:val="000000"/>
        </w:rPr>
      </w:pPr>
      <w:r>
        <w:rPr>
          <w:color w:val="000000"/>
        </w:rPr>
        <w:t xml:space="preserve">Furthermore, I find the reliance on the section heading in this case as a source of authority just plain laughable.  If the Commission can invent new authority based on the “Privacy of Customer Information” heading of section 222, I can only imagine what it could do with the heading of section 215:  “Transactions Relating to Services, Equipment, </w:t>
      </w:r>
      <w:r w:rsidRPr="00C719BC">
        <w:rPr>
          <w:i/>
          <w:color w:val="000000"/>
        </w:rPr>
        <w:t>And So Forth</w:t>
      </w:r>
      <w:r>
        <w:rPr>
          <w:color w:val="000000"/>
        </w:rPr>
        <w:t>”.</w:t>
      </w:r>
      <w:r>
        <w:rPr>
          <w:rStyle w:val="FootnoteReference"/>
          <w:color w:val="000000"/>
        </w:rPr>
        <w:footnoteReference w:id="9"/>
      </w:r>
      <w:r>
        <w:rPr>
          <w:color w:val="000000"/>
        </w:rPr>
        <w:t xml:space="preserve">  I suspect that those in the Commission that are asked to defend the Commission’s work would also agree that section headings are of little to no value.</w:t>
      </w:r>
    </w:p>
    <w:p w:rsidR="00C46F1F" w:rsidRDefault="00C46F1F" w:rsidP="00031862">
      <w:pPr>
        <w:spacing w:after="120"/>
        <w:ind w:firstLine="720"/>
        <w:rPr>
          <w:color w:val="000000"/>
        </w:rPr>
      </w:pPr>
      <w:r>
        <w:rPr>
          <w:color w:val="000000"/>
        </w:rPr>
        <w:t xml:space="preserve">I do not agree that section 201(b), which dates even further back to 1934, can be read to cover data protection, and I strongly disagree with the assertion in footnote 79 that the Commission has authority to enforce unlawful practices related to cybersecurity.  Moreover, if data protection falls within the ambit of 201(b), then I can only imagine what else might be a practice “in connection with” a communications service.  What is the limiting principle?  Perhaps recognizing that it is on shaky legal ground, the NAL at least declines to propose a forfeiture for the failure to employ just or reasonable data security practices or to notify all consumers affected by the breach.  </w:t>
      </w:r>
    </w:p>
    <w:p w:rsidR="00C46F1F" w:rsidRDefault="00C46F1F" w:rsidP="00031862">
      <w:pPr>
        <w:spacing w:after="120"/>
        <w:ind w:firstLine="720"/>
        <w:rPr>
          <w:color w:val="000000"/>
        </w:rPr>
      </w:pPr>
      <w:r>
        <w:rPr>
          <w:color w:val="000000"/>
        </w:rPr>
        <w:t>Yet e</w:t>
      </w:r>
      <w:r w:rsidRPr="009F779E">
        <w:rPr>
          <w:color w:val="000000"/>
        </w:rPr>
        <w:t xml:space="preserve">ven if the Commission did have authority under section 222(a) and/or section 201(b), </w:t>
      </w:r>
      <w:r>
        <w:rPr>
          <w:color w:val="000000"/>
        </w:rPr>
        <w:t xml:space="preserve">and I do not believe that it does, </w:t>
      </w:r>
      <w:r w:rsidRPr="009F779E">
        <w:rPr>
          <w:color w:val="000000"/>
        </w:rPr>
        <w:t xml:space="preserve">I </w:t>
      </w:r>
      <w:r>
        <w:rPr>
          <w:color w:val="000000"/>
        </w:rPr>
        <w:t xml:space="preserve">would still </w:t>
      </w:r>
      <w:r w:rsidRPr="009F779E">
        <w:rPr>
          <w:color w:val="000000"/>
        </w:rPr>
        <w:t xml:space="preserve">have serious concerns that the Commission did not provide fair notice that the companies could be liable under those sections for this conduct.  </w:t>
      </w:r>
      <w:r>
        <w:rPr>
          <w:color w:val="000000"/>
        </w:rPr>
        <w:t>In other words, it appears the Commission is short circuiting the procedural requirements of law.</w:t>
      </w:r>
    </w:p>
    <w:p w:rsidR="00C46F1F" w:rsidRDefault="00C46F1F" w:rsidP="00031862">
      <w:pPr>
        <w:spacing w:after="120"/>
        <w:ind w:firstLine="720"/>
      </w:pPr>
      <w:r w:rsidRPr="009F779E">
        <w:rPr>
          <w:color w:val="000000"/>
        </w:rPr>
        <w:t xml:space="preserve">I </w:t>
      </w:r>
      <w:r>
        <w:rPr>
          <w:color w:val="000000"/>
        </w:rPr>
        <w:t>acknowledge</w:t>
      </w:r>
      <w:r w:rsidRPr="009F779E">
        <w:rPr>
          <w:color w:val="000000"/>
        </w:rPr>
        <w:t xml:space="preserve"> that the Commission has </w:t>
      </w:r>
      <w:r>
        <w:rPr>
          <w:color w:val="000000"/>
        </w:rPr>
        <w:t xml:space="preserve">asserted in the past that it </w:t>
      </w:r>
      <w:r w:rsidRPr="009F779E">
        <w:rPr>
          <w:color w:val="000000"/>
        </w:rPr>
        <w:t xml:space="preserve">may announce new interpretations or policies in </w:t>
      </w:r>
      <w:r>
        <w:rPr>
          <w:color w:val="000000"/>
        </w:rPr>
        <w:t xml:space="preserve">the context of </w:t>
      </w:r>
      <w:r w:rsidRPr="009F779E">
        <w:rPr>
          <w:color w:val="000000"/>
        </w:rPr>
        <w:t>an adjudication.  However, “[a] fundamental principle in our legal system is that laws which regulate persons or entities must give fair notice of conduct that is forbidden or required.”</w:t>
      </w:r>
      <w:r w:rsidRPr="009F779E">
        <w:rPr>
          <w:rStyle w:val="FootnoteReference"/>
          <w:color w:val="000000"/>
        </w:rPr>
        <w:footnoteReference w:id="10"/>
      </w:r>
      <w:r w:rsidRPr="009F779E">
        <w:rPr>
          <w:color w:val="000000"/>
        </w:rPr>
        <w:t xml:space="preserve">  Accordingly, “[a] conviction or punishment fails to comply with due process if the statute or regulation under which it is obtained ‘fails to provide a person of ordinary intelligence </w:t>
      </w:r>
      <w:r w:rsidRPr="00E97689">
        <w:rPr>
          <w:color w:val="000000"/>
        </w:rPr>
        <w:t>fair notice of what is prohibited, or is so standardless that it authorizes or encourages seriously discriminatory enforcement.’”</w:t>
      </w:r>
      <w:r w:rsidRPr="00E97689">
        <w:rPr>
          <w:rStyle w:val="FootnoteReference"/>
          <w:color w:val="000000"/>
        </w:rPr>
        <w:footnoteReference w:id="11"/>
      </w:r>
      <w:r w:rsidRPr="00E97689">
        <w:rPr>
          <w:color w:val="000000"/>
        </w:rPr>
        <w:t xml:space="preserve">  Moreover, “[i]n the absence of notice—for example, where the regulation is not sufficiently clear to warn a party about what is expected of it—an agency may not deprive a party of property by imposing civil or criminal liability.”</w:t>
      </w:r>
      <w:r w:rsidRPr="00E97689">
        <w:rPr>
          <w:rStyle w:val="FootnoteReference"/>
          <w:color w:val="000000"/>
        </w:rPr>
        <w:footnoteReference w:id="12"/>
      </w:r>
      <w:r w:rsidRPr="00E97689">
        <w:rPr>
          <w:rStyle w:val="apple-converted-space"/>
          <w:color w:val="000000"/>
        </w:rPr>
        <w:t> </w:t>
      </w:r>
      <w:r w:rsidRPr="00E97689">
        <w:t xml:space="preserve"> </w:t>
      </w:r>
    </w:p>
    <w:p w:rsidR="00C46F1F" w:rsidRPr="00E97689" w:rsidRDefault="00C46F1F" w:rsidP="00031862">
      <w:pPr>
        <w:spacing w:after="120"/>
        <w:ind w:firstLine="720"/>
        <w:rPr>
          <w:color w:val="000000"/>
        </w:rPr>
      </w:pPr>
      <w:r w:rsidRPr="00E97689">
        <w:rPr>
          <w:color w:val="000000"/>
        </w:rPr>
        <w:t>As the FCC itself has explained, “</w:t>
      </w:r>
      <w:r w:rsidRPr="00E97689">
        <w:rPr>
          <w:color w:val="000000"/>
          <w:shd w:val="clear" w:color="auto" w:fill="FFFFFF"/>
        </w:rPr>
        <w:t>fair notice of the obligation being imposed on a regulate</w:t>
      </w:r>
      <w:r>
        <w:rPr>
          <w:color w:val="000000"/>
          <w:shd w:val="clear" w:color="auto" w:fill="FFFFFF"/>
        </w:rPr>
        <w:t>e</w:t>
      </w:r>
      <w:r w:rsidRPr="00E97689">
        <w:rPr>
          <w:color w:val="000000"/>
          <w:shd w:val="clear" w:color="auto" w:fill="FFFFFF"/>
        </w:rPr>
        <w:t xml:space="preserve">” </w:t>
      </w:r>
      <w:r w:rsidRPr="00E97689">
        <w:rPr>
          <w:color w:val="000000"/>
        </w:rPr>
        <w:t xml:space="preserve">means that </w:t>
      </w:r>
      <w:r w:rsidRPr="00E97689">
        <w:rPr>
          <w:color w:val="000000"/>
          <w:shd w:val="clear" w:color="auto" w:fill="FFFFFF"/>
        </w:rPr>
        <w:t>“</w:t>
      </w:r>
      <w:r>
        <w:rPr>
          <w:color w:val="000000"/>
          <w:shd w:val="clear" w:color="auto" w:fill="FFFFFF"/>
        </w:rPr>
        <w:t>‘</w:t>
      </w:r>
      <w:r w:rsidRPr="00E97689">
        <w:rPr>
          <w:color w:val="000000"/>
          <w:shd w:val="clear" w:color="auto" w:fill="FFFFFF"/>
        </w:rPr>
        <w:t>by reviewing the regulations and other public statements issued by the agency a regulated party acting in good faith would be able to identify, with ascertainable certainty, the standards with which the agency expects parties to conform before imposing civil liability.</w:t>
      </w:r>
      <w:r>
        <w:rPr>
          <w:color w:val="000000"/>
          <w:shd w:val="clear" w:color="auto" w:fill="FFFFFF"/>
        </w:rPr>
        <w:t>’</w:t>
      </w:r>
      <w:r w:rsidRPr="00E97689">
        <w:rPr>
          <w:color w:val="000000"/>
          <w:shd w:val="clear" w:color="auto" w:fill="FFFFFF"/>
        </w:rPr>
        <w:t>”</w:t>
      </w:r>
      <w:bookmarkStart w:id="12" w:name="FN[FN25]"/>
      <w:bookmarkEnd w:id="12"/>
      <w:r w:rsidRPr="00E97689">
        <w:rPr>
          <w:rStyle w:val="FootnoteReference"/>
          <w:color w:val="000000"/>
          <w:shd w:val="clear" w:color="auto" w:fill="FFFFFF"/>
        </w:rPr>
        <w:footnoteReference w:id="13"/>
      </w:r>
      <w:r>
        <w:rPr>
          <w:color w:val="000000"/>
          <w:shd w:val="clear" w:color="auto" w:fill="FFFFFF"/>
        </w:rPr>
        <w:t xml:space="preserve">  However, there are no regulations </w:t>
      </w:r>
      <w:r w:rsidRPr="00D82404">
        <w:rPr>
          <w:i/>
          <w:color w:val="000000"/>
          <w:shd w:val="clear" w:color="auto" w:fill="FFFFFF"/>
        </w:rPr>
        <w:t>at all</w:t>
      </w:r>
      <w:r>
        <w:rPr>
          <w:color w:val="000000"/>
          <w:shd w:val="clear" w:color="auto" w:fill="FFFFFF"/>
        </w:rPr>
        <w:t xml:space="preserve"> on section 222(a), and I am not aware of any statements that say or even hint that 222(a) and/or 201(b) covers this conduct.  If there were, I would have expected them to be cited in this NAL.  At most, and this is being more than generous, a very creative practitioner might have been able to imagine a scenario under which misrepresenting data security practices could fall within section 201(b).  But that’s it.  For these reasons, and f</w:t>
      </w:r>
      <w:r w:rsidRPr="00E97689">
        <w:rPr>
          <w:color w:val="000000"/>
        </w:rPr>
        <w:t>or the reasons discussed above, I do not think that the companies had fair notice and, therefore, the Commission should not propose a forfeiture.</w:t>
      </w:r>
      <w:r>
        <w:rPr>
          <w:color w:val="000000"/>
        </w:rPr>
        <w:t xml:space="preserve">  I would not be surprised to see this issue litigated at some point.</w:t>
      </w:r>
    </w:p>
    <w:p w:rsidR="00C46F1F" w:rsidRDefault="00C46F1F" w:rsidP="00031862">
      <w:pPr>
        <w:spacing w:after="120"/>
        <w:ind w:firstLine="720"/>
        <w:rPr>
          <w:color w:val="000000"/>
        </w:rPr>
      </w:pPr>
      <w:r w:rsidRPr="00E97689">
        <w:rPr>
          <w:color w:val="000000"/>
        </w:rPr>
        <w:t xml:space="preserve">In fact, </w:t>
      </w:r>
      <w:r>
        <w:rPr>
          <w:color w:val="000000"/>
        </w:rPr>
        <w:t>a series of</w:t>
      </w:r>
      <w:r w:rsidRPr="00E97689">
        <w:rPr>
          <w:color w:val="000000"/>
        </w:rPr>
        <w:t xml:space="preserve"> agency actions </w:t>
      </w:r>
      <w:r>
        <w:rPr>
          <w:color w:val="000000"/>
        </w:rPr>
        <w:t xml:space="preserve">(and inaction) </w:t>
      </w:r>
      <w:r w:rsidRPr="00E97689">
        <w:rPr>
          <w:color w:val="000000"/>
        </w:rPr>
        <w:t xml:space="preserve">made it </w:t>
      </w:r>
      <w:r w:rsidRPr="00E97689">
        <w:rPr>
          <w:i/>
          <w:color w:val="000000"/>
        </w:rPr>
        <w:t>less likely</w:t>
      </w:r>
      <w:r w:rsidRPr="00E97689">
        <w:rPr>
          <w:color w:val="000000"/>
        </w:rPr>
        <w:t xml:space="preserve"> that the companies would have had fair notice.  </w:t>
      </w:r>
      <w:r>
        <w:rPr>
          <w:color w:val="000000"/>
        </w:rPr>
        <w:t>In 2007, the Commission sought comment on, among other things, requiring carriers to physically safeguard the security and confidentiality of CPNI.</w:t>
      </w:r>
      <w:r>
        <w:rPr>
          <w:rStyle w:val="FootnoteReference"/>
          <w:color w:val="000000"/>
        </w:rPr>
        <w:footnoteReference w:id="14"/>
      </w:r>
      <w:r>
        <w:rPr>
          <w:color w:val="000000"/>
        </w:rPr>
        <w:t xml:space="preserve">  This included questions on whether to adopt rules governing the physical transfer of CPNI among companies or to any other third party authorized to access or maintain CPNI, including a carrier’s joint venture partners and independent contractors.  Since the Commission included reference to this proceeding in the NAL, it certainly knows that it never acted on that part of the further notice.</w:t>
      </w:r>
      <w:r>
        <w:rPr>
          <w:rStyle w:val="FootnoteReference"/>
          <w:color w:val="000000"/>
        </w:rPr>
        <w:footnoteReference w:id="15"/>
      </w:r>
      <w:r>
        <w:rPr>
          <w:color w:val="000000"/>
        </w:rPr>
        <w:t xml:space="preserve">  In fact, commenters generally opposed further requirements and noted that the chief concern was access to CPNI by pretexters over the phone, not hackers seeking to gain unlawful access to carriers’ CPNI databases.</w:t>
      </w:r>
      <w:r>
        <w:rPr>
          <w:rStyle w:val="FootnoteReference"/>
          <w:color w:val="000000"/>
        </w:rPr>
        <w:footnoteReference w:id="16"/>
      </w:r>
      <w:r>
        <w:rPr>
          <w:color w:val="000000"/>
        </w:rPr>
        <w:t xml:space="preserve">  So the issue appeared to have died.  Moreover, when the Commission did act on another part of the 2007 further notice regarding data on mobile devices, it did so only after the relevant Bureaus sought further comment to refresh the record, including on whether the Commission should act by declaratory ruling, which it ultimately did.  Therefore, it would have been reasonable for a regulated entity acting in good faith to believe that, at most, the Commission might act on physical safeguards, but only with respect to CPNI, and only after seeking further comment.  </w:t>
      </w:r>
    </w:p>
    <w:p w:rsidR="00412FC5" w:rsidRPr="00A52DDD" w:rsidRDefault="00C46F1F" w:rsidP="009F0EEF">
      <w:pPr>
        <w:spacing w:after="120"/>
        <w:ind w:firstLine="720"/>
      </w:pPr>
      <w:r>
        <w:rPr>
          <w:color w:val="000000"/>
        </w:rPr>
        <w:t xml:space="preserve">In sum, while I am troubled that sensitive information about Lifeline subscribers was exposed to the public, I cannot support an NAL that exceeds our authority and comes without fair notice to the companies involved.  I respectfully dissent.  </w:t>
      </w:r>
    </w:p>
    <w:sectPr w:rsidR="00412FC5" w:rsidRPr="00A52DDD" w:rsidSect="004015D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14" w:rsidRDefault="00D45714">
      <w:pPr>
        <w:spacing w:line="20" w:lineRule="exact"/>
      </w:pPr>
    </w:p>
  </w:endnote>
  <w:endnote w:type="continuationSeparator" w:id="0">
    <w:p w:rsidR="00D45714" w:rsidRDefault="00D45714">
      <w:r>
        <w:t xml:space="preserve"> </w:t>
      </w:r>
    </w:p>
  </w:endnote>
  <w:endnote w:type="continuationNotice" w:id="1">
    <w:p w:rsidR="00D45714" w:rsidRDefault="00D457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Default="00F4363E" w:rsidP="0055614C">
    <w:pPr>
      <w:pStyle w:val="Footer"/>
      <w:framePr w:wrap="around" w:vAnchor="text" w:hAnchor="margin" w:xAlign="center" w:y="1"/>
    </w:pPr>
    <w:r>
      <w:fldChar w:fldCharType="begin"/>
    </w:r>
    <w:r>
      <w:instrText xml:space="preserve">PAGE  </w:instrText>
    </w:r>
    <w:r>
      <w:fldChar w:fldCharType="end"/>
    </w:r>
  </w:p>
  <w:p w:rsidR="00F4363E" w:rsidRDefault="00F4363E">
    <w:pPr>
      <w:pStyle w:val="Footer"/>
    </w:pPr>
  </w:p>
  <w:p w:rsidR="00F4363E" w:rsidRDefault="00F4363E"/>
  <w:p w:rsidR="00F4363E" w:rsidRDefault="00F43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39" w:rsidRDefault="005E55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Default="00F4363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14" w:rsidRDefault="00D45714">
      <w:r>
        <w:separator/>
      </w:r>
    </w:p>
  </w:footnote>
  <w:footnote w:type="continuationSeparator" w:id="0">
    <w:p w:rsidR="00D45714" w:rsidRDefault="00D45714" w:rsidP="00CF64CD">
      <w:pPr>
        <w:spacing w:before="120"/>
      </w:pPr>
      <w:r>
        <w:t xml:space="preserve">(Continued from previous page)  </w:t>
      </w:r>
      <w:r>
        <w:separator/>
      </w:r>
    </w:p>
  </w:footnote>
  <w:footnote w:type="continuationNotice" w:id="1">
    <w:p w:rsidR="00D45714" w:rsidRDefault="00D45714" w:rsidP="00CF64CD">
      <w:pPr>
        <w:jc w:val="right"/>
      </w:pPr>
      <w:r>
        <w:t>(continued….)</w:t>
      </w:r>
    </w:p>
  </w:footnote>
  <w:footnote w:id="2">
    <w:p w:rsidR="00C46F1F" w:rsidRPr="00CC6C15" w:rsidRDefault="00C46F1F" w:rsidP="00C46F1F">
      <w:pPr>
        <w:pStyle w:val="FootnoteText"/>
      </w:pPr>
      <w:r w:rsidRPr="000D2262">
        <w:rPr>
          <w:rStyle w:val="FootnoteReference"/>
        </w:rPr>
        <w:footnoteRef/>
      </w:r>
      <w:r w:rsidRPr="000D2262">
        <w:t xml:space="preserve"> </w:t>
      </w:r>
      <w:r w:rsidRPr="005F5CCA">
        <w:rPr>
          <w:i/>
          <w:iCs/>
          <w:color w:val="000000"/>
          <w:shd w:val="clear" w:color="auto" w:fill="FFFFFF"/>
        </w:rPr>
        <w:t>Implementation of the Telecommunications Act of 1996: Telecommunications Carriers' Use of Customer Proprietary Network Information and Other Customer Information,</w:t>
      </w:r>
      <w:r w:rsidRPr="005F5CCA">
        <w:rPr>
          <w:rStyle w:val="apple-converted-space"/>
          <w:color w:val="000000"/>
          <w:shd w:val="clear" w:color="auto" w:fill="FFFFFF"/>
        </w:rPr>
        <w:t> </w:t>
      </w:r>
      <w:r w:rsidRPr="005F5CCA">
        <w:rPr>
          <w:color w:val="000000"/>
          <w:shd w:val="clear" w:color="auto" w:fill="FFFFFF"/>
        </w:rPr>
        <w:t>CC</w:t>
      </w:r>
      <w:r>
        <w:rPr>
          <w:color w:val="000000"/>
          <w:shd w:val="clear" w:color="auto" w:fill="FFFFFF"/>
        </w:rPr>
        <w:t xml:space="preserve"> </w:t>
      </w:r>
      <w:r w:rsidRPr="005F5CCA">
        <w:t>Docket No. 96-115,</w:t>
      </w:r>
      <w:r w:rsidRPr="005F5CCA">
        <w:rPr>
          <w:rStyle w:val="apple-converted-space"/>
          <w:color w:val="000000"/>
          <w:shd w:val="clear" w:color="auto" w:fill="FFFFFF"/>
        </w:rPr>
        <w:t> </w:t>
      </w:r>
      <w:r w:rsidRPr="005F5CCA">
        <w:rPr>
          <w:color w:val="000000"/>
          <w:shd w:val="clear" w:color="auto" w:fill="FFFFFF"/>
        </w:rPr>
        <w:t>Notice of Proposed Rulemaking</w:t>
      </w:r>
      <w:bookmarkStart w:id="3" w:name="SR;2708"/>
      <w:bookmarkStart w:id="4" w:name="SearchTerm"/>
      <w:bookmarkEnd w:id="3"/>
      <w:bookmarkEnd w:id="4"/>
      <w:r w:rsidRPr="005F5CCA">
        <w:rPr>
          <w:color w:val="000000"/>
          <w:shd w:val="clear" w:color="auto" w:fill="FFFFFF"/>
        </w:rPr>
        <w:t>, 11 FCC Rcd 12513, 12515, para. 4 (1996)</w:t>
      </w:r>
      <w:r>
        <w:rPr>
          <w:color w:val="000000"/>
          <w:shd w:val="clear" w:color="auto" w:fill="FFFFFF"/>
        </w:rPr>
        <w:t xml:space="preserve"> (</w:t>
      </w:r>
      <w:r w:rsidRPr="005F5CCA">
        <w:rPr>
          <w:i/>
          <w:color w:val="000000"/>
          <w:shd w:val="clear" w:color="auto" w:fill="FFFFFF"/>
        </w:rPr>
        <w:t>CPNI NPRM</w:t>
      </w:r>
      <w:r>
        <w:rPr>
          <w:color w:val="000000"/>
          <w:shd w:val="clear" w:color="auto" w:fill="FFFFFF"/>
        </w:rPr>
        <w:t>).</w:t>
      </w:r>
    </w:p>
  </w:footnote>
  <w:footnote w:id="3">
    <w:p w:rsidR="00C46F1F" w:rsidRPr="00CC6C15" w:rsidRDefault="00C46F1F" w:rsidP="00C46F1F">
      <w:pPr>
        <w:pStyle w:val="FootnoteText"/>
      </w:pPr>
      <w:r w:rsidRPr="00CC6C15">
        <w:rPr>
          <w:rStyle w:val="FootnoteReference"/>
        </w:rPr>
        <w:footnoteRef/>
      </w:r>
      <w:r w:rsidRPr="00CC6C15">
        <w:t xml:space="preserve"> </w:t>
      </w:r>
      <w:r w:rsidRPr="00CC6C15">
        <w:rPr>
          <w:i/>
        </w:rPr>
        <w:t>Id</w:t>
      </w:r>
      <w:r w:rsidRPr="00CC6C15">
        <w:t>.</w:t>
      </w:r>
    </w:p>
  </w:footnote>
  <w:footnote w:id="4">
    <w:p w:rsidR="00C46F1F" w:rsidRPr="00CC6C15" w:rsidRDefault="00C46F1F" w:rsidP="00C46F1F">
      <w:pPr>
        <w:pStyle w:val="FootnoteText"/>
      </w:pPr>
      <w:r w:rsidRPr="00CC6C15">
        <w:rPr>
          <w:rStyle w:val="FootnoteReference"/>
        </w:rPr>
        <w:footnoteRef/>
      </w:r>
      <w:r w:rsidRPr="00CC6C15">
        <w:t xml:space="preserve"> </w:t>
      </w:r>
      <w:r w:rsidRPr="002841FB">
        <w:rPr>
          <w:i/>
          <w:color w:val="000000"/>
          <w:shd w:val="clear" w:color="auto" w:fill="FFFFFF"/>
        </w:rPr>
        <w:t>Implementation of the Telecommunications Act of 1996: Telecommunications Carriers' Use of Customer Proprietary Network Information</w:t>
      </w:r>
      <w:r>
        <w:rPr>
          <w:i/>
          <w:color w:val="000000"/>
          <w:shd w:val="clear" w:color="auto" w:fill="FFFFFF"/>
        </w:rPr>
        <w:t xml:space="preserve"> and Other Customer Information; </w:t>
      </w:r>
      <w:r w:rsidRPr="002841FB">
        <w:rPr>
          <w:i/>
          <w:color w:val="000000"/>
          <w:shd w:val="clear" w:color="auto" w:fill="FFFFFF"/>
        </w:rPr>
        <w:t>Implementation of the Non-Accounting Safeguards of Sections 271 and 272 of the Communications Act of 1934, as amended</w:t>
      </w:r>
      <w:r w:rsidRPr="002841FB">
        <w:rPr>
          <w:color w:val="000000"/>
          <w:shd w:val="clear" w:color="auto" w:fill="FFFFFF"/>
        </w:rPr>
        <w:t>, CC Docket Nos. 96-115 and 96-149</w:t>
      </w:r>
      <w:bookmarkStart w:id="5" w:name="SR;2915"/>
      <w:bookmarkEnd w:id="5"/>
      <w:r w:rsidRPr="002841FB">
        <w:rPr>
          <w:color w:val="000000"/>
          <w:shd w:val="clear" w:color="auto" w:fill="FFFFFF"/>
        </w:rPr>
        <w:t xml:space="preserve">, Second Report and </w:t>
      </w:r>
      <w:r w:rsidRPr="00790E8B">
        <w:rPr>
          <w:iCs/>
          <w:shd w:val="clear" w:color="auto" w:fill="FFFFFF"/>
        </w:rPr>
        <w:t>Order and Further Notice of Proposed Rulemaking</w:t>
      </w:r>
      <w:r w:rsidRPr="00790E8B">
        <w:rPr>
          <w:shd w:val="clear" w:color="auto" w:fill="FFFFFF"/>
        </w:rPr>
        <w:t>, 13 FCC Rcd 8061, para. 194 (1998)</w:t>
      </w:r>
      <w:r w:rsidRPr="002841FB" w:rsidDel="002841FB">
        <w:t xml:space="preserve"> </w:t>
      </w:r>
      <w:r>
        <w:t>(</w:t>
      </w:r>
      <w:r w:rsidRPr="00406E9C">
        <w:rPr>
          <w:i/>
        </w:rPr>
        <w:t xml:space="preserve">CPNI </w:t>
      </w:r>
      <w:r>
        <w:rPr>
          <w:i/>
        </w:rPr>
        <w:t xml:space="preserve">Second </w:t>
      </w:r>
      <w:r w:rsidRPr="00406E9C">
        <w:rPr>
          <w:i/>
        </w:rPr>
        <w:t>Order</w:t>
      </w:r>
      <w:r>
        <w:rPr>
          <w:i/>
        </w:rPr>
        <w:t xml:space="preserve"> and FNPRM</w:t>
      </w:r>
      <w:r>
        <w:t xml:space="preserve">) </w:t>
      </w:r>
      <w:r w:rsidRPr="00CC6C15">
        <w:t>(“</w:t>
      </w:r>
      <w:r w:rsidRPr="00CC6C15">
        <w:rPr>
          <w:color w:val="000000"/>
        </w:rPr>
        <w:t>We recognize, however, that our new CPNI scheme will impose some additional burdens on carriers, particularly carriers not previously subject to our</w:t>
      </w:r>
      <w:r w:rsidRPr="00CC6C15">
        <w:rPr>
          <w:rStyle w:val="apple-converted-space"/>
          <w:color w:val="000000"/>
        </w:rPr>
        <w:t xml:space="preserve"> </w:t>
      </w:r>
      <w:r w:rsidRPr="00CC6C15">
        <w:rPr>
          <w:i/>
          <w:iCs/>
        </w:rPr>
        <w:t>Computer III</w:t>
      </w:r>
      <w:r w:rsidRPr="00CC6C15">
        <w:rPr>
          <w:rStyle w:val="apple-converted-space"/>
          <w:color w:val="000000"/>
        </w:rPr>
        <w:t xml:space="preserve"> </w:t>
      </w:r>
      <w:r w:rsidRPr="00CC6C15">
        <w:rPr>
          <w:color w:val="000000"/>
        </w:rPr>
        <w:t xml:space="preserve">CPNI requirements. We believe, however, that these requirements are not unduly burdensome. All carriers must expend some resources to protect certain information of their customers. Indeed, section </w:t>
      </w:r>
      <w:r w:rsidRPr="00CC6C15">
        <w:rPr>
          <w:rStyle w:val="searchterm"/>
          <w:color w:val="000000"/>
        </w:rPr>
        <w:t>222(a</w:t>
      </w:r>
      <w:r w:rsidRPr="00CC6C15">
        <w:rPr>
          <w:color w:val="000000"/>
        </w:rPr>
        <w:t>) specifically imposes a protection duty; ‘[e]very telecommunications carrier has a duty to protect the confidentiality of proprietary information of, and relating to, other telecommunications carries, equipment manufacturers, and customers.’”</w:t>
      </w:r>
      <w:r w:rsidRPr="00FD079C">
        <w:rPr>
          <w:color w:val="000000"/>
        </w:rPr>
        <w:t xml:space="preserve"> </w:t>
      </w:r>
      <w:r>
        <w:rPr>
          <w:color w:val="000000"/>
        </w:rPr>
        <w:t>(quoting 47 U.S.C. §222(a)</w:t>
      </w:r>
      <w:r w:rsidRPr="00CC6C15">
        <w:rPr>
          <w:color w:val="000000"/>
        </w:rPr>
        <w:t>)</w:t>
      </w:r>
      <w:r>
        <w:rPr>
          <w:color w:val="000000"/>
        </w:rPr>
        <w:t xml:space="preserve">. </w:t>
      </w:r>
    </w:p>
  </w:footnote>
  <w:footnote w:id="5">
    <w:p w:rsidR="00C46F1F" w:rsidRPr="00CC6C15" w:rsidRDefault="00C46F1F" w:rsidP="00C46F1F">
      <w:pPr>
        <w:pStyle w:val="FootnoteText"/>
      </w:pPr>
      <w:r w:rsidRPr="00CC6C15">
        <w:rPr>
          <w:rStyle w:val="FootnoteReference"/>
        </w:rPr>
        <w:footnoteRef/>
      </w:r>
      <w:r w:rsidRPr="00CC6C15">
        <w:t xml:space="preserve"> </w:t>
      </w:r>
      <w:r w:rsidRPr="00CC6C15">
        <w:rPr>
          <w:i/>
        </w:rPr>
        <w:t>Id</w:t>
      </w:r>
      <w:r w:rsidRPr="00CC6C15">
        <w:t>. paras. 204-207</w:t>
      </w:r>
      <w:r>
        <w:t xml:space="preserve"> </w:t>
      </w:r>
      <w:r w:rsidRPr="00CC6C15">
        <w:t>(reading section 222(a) in conjunction with 222(b) and 222(c))</w:t>
      </w:r>
      <w:r>
        <w:t>.</w:t>
      </w:r>
    </w:p>
  </w:footnote>
  <w:footnote w:id="6">
    <w:p w:rsidR="00C46F1F" w:rsidRPr="00406E9C" w:rsidRDefault="00C46F1F" w:rsidP="00C46F1F">
      <w:pPr>
        <w:pStyle w:val="FootnoteText"/>
      </w:pPr>
      <w:r w:rsidRPr="00CC6C15">
        <w:rPr>
          <w:rStyle w:val="FootnoteReference"/>
        </w:rPr>
        <w:footnoteRef/>
      </w:r>
      <w:r w:rsidRPr="00CC6C15">
        <w:t xml:space="preserve"> </w:t>
      </w:r>
      <w:r w:rsidRPr="00CC6C15">
        <w:rPr>
          <w:i/>
        </w:rPr>
        <w:t>See, e.g</w:t>
      </w:r>
      <w:r w:rsidRPr="00CC6C15">
        <w:t xml:space="preserve">., </w:t>
      </w:r>
      <w:r w:rsidRPr="00D82404">
        <w:rPr>
          <w:i/>
        </w:rPr>
        <w:t>Implementation of the Telecommunications Act of 1996</w:t>
      </w:r>
      <w:r>
        <w:rPr>
          <w:i/>
        </w:rPr>
        <w:t>:</w:t>
      </w:r>
      <w:r w:rsidRPr="00D82404">
        <w:rPr>
          <w:i/>
        </w:rPr>
        <w:t xml:space="preserve"> Telecommunications Carriers’ Use of Customer Proprietary Network Information and Other Customer Information</w:t>
      </w:r>
      <w:r>
        <w:t>, CC Docket No. 96-115, Report and Order and Further Notice of Proposed Rulemaking, 22 FCC Rcd 6927, 6931, para. 3 (2007);</w:t>
      </w:r>
      <w:r w:rsidRPr="00406E9C">
        <w:t xml:space="preserve"> </w:t>
      </w:r>
      <w:r w:rsidRPr="002841FB">
        <w:rPr>
          <w:i/>
          <w:color w:val="000000"/>
          <w:shd w:val="clear" w:color="auto" w:fill="FFFFFF"/>
        </w:rPr>
        <w:t>Implementation of the Telecommunications Act of 1996: Telecommunications Carriers' Use of Customer Proprietary Network Information</w:t>
      </w:r>
      <w:r>
        <w:rPr>
          <w:i/>
          <w:color w:val="000000"/>
          <w:shd w:val="clear" w:color="auto" w:fill="FFFFFF"/>
        </w:rPr>
        <w:t xml:space="preserve"> and Other Customer Information</w:t>
      </w:r>
      <w:r w:rsidRPr="00406E9C">
        <w:rPr>
          <w:color w:val="000000"/>
          <w:shd w:val="clear" w:color="auto" w:fill="FFFFFF"/>
        </w:rPr>
        <w:t xml:space="preserve">, </w:t>
      </w:r>
      <w:r w:rsidRPr="00406E9C">
        <w:t xml:space="preserve">CC Docket No. 96-115, Notice of Proposed Rulemaking, </w:t>
      </w:r>
      <w:r w:rsidRPr="00406E9C">
        <w:rPr>
          <w:color w:val="000000"/>
          <w:shd w:val="clear" w:color="auto" w:fill="FFFFFF"/>
        </w:rPr>
        <w:t xml:space="preserve">21 </w:t>
      </w:r>
      <w:r>
        <w:rPr>
          <w:color w:val="000000"/>
          <w:shd w:val="clear" w:color="auto" w:fill="FFFFFF"/>
        </w:rPr>
        <w:t>FCC Rcd</w:t>
      </w:r>
      <w:r w:rsidRPr="00406E9C">
        <w:rPr>
          <w:color w:val="000000"/>
          <w:shd w:val="clear" w:color="auto" w:fill="FFFFFF"/>
        </w:rPr>
        <w:t xml:space="preserve"> 1782, 1784, para. 4 (2006)</w:t>
      </w:r>
      <w:r>
        <w:rPr>
          <w:color w:val="000000"/>
          <w:shd w:val="clear" w:color="auto" w:fill="FFFFFF"/>
        </w:rPr>
        <w:t xml:space="preserve"> (same); </w:t>
      </w:r>
      <w:r w:rsidRPr="00790E8B">
        <w:rPr>
          <w:i/>
          <w:color w:val="000000"/>
          <w:shd w:val="clear" w:color="auto" w:fill="FFFFFF"/>
        </w:rPr>
        <w:t xml:space="preserve">CPNI </w:t>
      </w:r>
      <w:r>
        <w:rPr>
          <w:i/>
          <w:color w:val="000000"/>
          <w:shd w:val="clear" w:color="auto" w:fill="FFFFFF"/>
        </w:rPr>
        <w:t xml:space="preserve">Second </w:t>
      </w:r>
      <w:r w:rsidRPr="00790E8B">
        <w:rPr>
          <w:i/>
          <w:color w:val="000000"/>
          <w:shd w:val="clear" w:color="auto" w:fill="FFFFFF"/>
        </w:rPr>
        <w:t>Order</w:t>
      </w:r>
      <w:r>
        <w:rPr>
          <w:i/>
          <w:color w:val="000000"/>
          <w:shd w:val="clear" w:color="auto" w:fill="FFFFFF"/>
        </w:rPr>
        <w:t xml:space="preserve"> and FNPRM</w:t>
      </w:r>
      <w:r>
        <w:rPr>
          <w:color w:val="000000"/>
          <w:shd w:val="clear" w:color="auto" w:fill="FFFFFF"/>
        </w:rPr>
        <w:t xml:space="preserve">, 13 FCC Rcd, 8061, para. 208 </w:t>
      </w:r>
      <w:r w:rsidRPr="00406E9C">
        <w:rPr>
          <w:color w:val="000000"/>
          <w:shd w:val="clear" w:color="auto" w:fill="FFFFFF"/>
        </w:rPr>
        <w:t xml:space="preserve">(“In </w:t>
      </w:r>
      <w:r>
        <w:rPr>
          <w:color w:val="000000"/>
          <w:shd w:val="clear" w:color="auto" w:fill="FFFFFF"/>
        </w:rPr>
        <w:t>particular</w:t>
      </w:r>
      <w:r w:rsidRPr="00406E9C">
        <w:rPr>
          <w:color w:val="000000"/>
          <w:shd w:val="clear" w:color="auto" w:fill="FFFFFF"/>
        </w:rPr>
        <w:t>, we seek comment on whether the duty in</w:t>
      </w:r>
      <w:bookmarkStart w:id="6" w:name="SR;47441"/>
      <w:bookmarkEnd w:id="6"/>
      <w:r>
        <w:rPr>
          <w:rStyle w:val="apple-converted-space"/>
          <w:color w:val="000000"/>
          <w:shd w:val="clear" w:color="auto" w:fill="FFFFFF"/>
        </w:rPr>
        <w:t xml:space="preserve"> </w:t>
      </w:r>
      <w:r w:rsidRPr="00790E8B">
        <w:rPr>
          <w:shd w:val="clear" w:color="auto" w:fill="FFFFFF"/>
        </w:rPr>
        <w:t>section 222(a)</w:t>
      </w:r>
      <w:r>
        <w:t xml:space="preserve"> </w:t>
      </w:r>
      <w:r w:rsidRPr="00406E9C">
        <w:rPr>
          <w:color w:val="000000"/>
          <w:shd w:val="clear" w:color="auto" w:fill="FFFFFF"/>
        </w:rPr>
        <w:t>upon all telecommunications carriers to protect the confidentiality of customers</w:t>
      </w:r>
      <w:r>
        <w:rPr>
          <w:color w:val="000000"/>
          <w:shd w:val="clear" w:color="auto" w:fill="FFFFFF"/>
        </w:rPr>
        <w:t>’ CPNI</w:t>
      </w:r>
      <w:bookmarkStart w:id="7" w:name="SR;47453"/>
      <w:bookmarkEnd w:id="7"/>
      <w:r w:rsidRPr="00406E9C">
        <w:rPr>
          <w:color w:val="000000"/>
          <w:shd w:val="clear" w:color="auto" w:fill="FFFFFF"/>
        </w:rPr>
        <w:t xml:space="preserve">, or any other provision, permits </w:t>
      </w:r>
      <w:r>
        <w:rPr>
          <w:color w:val="000000"/>
          <w:shd w:val="clear" w:color="auto" w:fill="FFFFFF"/>
        </w:rPr>
        <w:t>and/</w:t>
      </w:r>
      <w:r w:rsidRPr="00406E9C">
        <w:rPr>
          <w:color w:val="000000"/>
          <w:shd w:val="clear" w:color="auto" w:fill="FFFFFF"/>
        </w:rPr>
        <w:t xml:space="preserve">or requires </w:t>
      </w:r>
      <w:r>
        <w:rPr>
          <w:color w:val="000000"/>
          <w:shd w:val="clear" w:color="auto" w:fill="FFFFFF"/>
        </w:rPr>
        <w:t>[</w:t>
      </w:r>
      <w:r w:rsidRPr="00406E9C">
        <w:rPr>
          <w:color w:val="000000"/>
          <w:shd w:val="clear" w:color="auto" w:fill="FFFFFF"/>
        </w:rPr>
        <w:t>the Commission</w:t>
      </w:r>
      <w:r>
        <w:rPr>
          <w:color w:val="000000"/>
          <w:shd w:val="clear" w:color="auto" w:fill="FFFFFF"/>
        </w:rPr>
        <w:t>]</w:t>
      </w:r>
      <w:r w:rsidRPr="00406E9C">
        <w:rPr>
          <w:color w:val="000000"/>
          <w:shd w:val="clear" w:color="auto" w:fill="FFFFFF"/>
        </w:rPr>
        <w:t xml:space="preserve"> to prohibit the foreign storage or access to domestic</w:t>
      </w:r>
      <w:r>
        <w:rPr>
          <w:color w:val="000000"/>
          <w:shd w:val="clear" w:color="auto" w:fill="FFFFFF"/>
        </w:rPr>
        <w:t xml:space="preserve"> CPNI</w:t>
      </w:r>
      <w:bookmarkStart w:id="8" w:name="SR;47473"/>
      <w:bookmarkEnd w:id="8"/>
      <w:r w:rsidRPr="00406E9C">
        <w:rPr>
          <w:color w:val="000000"/>
          <w:shd w:val="clear" w:color="auto" w:fill="FFFFFF"/>
        </w:rPr>
        <w:t>.”)</w:t>
      </w:r>
      <w:r w:rsidRPr="00406E9C">
        <w:t xml:space="preserve">.  </w:t>
      </w:r>
    </w:p>
  </w:footnote>
  <w:footnote w:id="7">
    <w:p w:rsidR="00C46F1F" w:rsidRPr="001F7DFE" w:rsidRDefault="00C46F1F" w:rsidP="00C46F1F">
      <w:pPr>
        <w:pStyle w:val="FootnoteText"/>
      </w:pPr>
      <w:r w:rsidRPr="001F7DFE">
        <w:rPr>
          <w:rStyle w:val="FootnoteReference"/>
        </w:rPr>
        <w:footnoteRef/>
      </w:r>
      <w:r w:rsidRPr="001F7DFE">
        <w:t xml:space="preserve"> </w:t>
      </w:r>
      <w:r w:rsidRPr="001F7DFE">
        <w:rPr>
          <w:i/>
        </w:rPr>
        <w:t>See, e.g</w:t>
      </w:r>
      <w:r>
        <w:t xml:space="preserve">., </w:t>
      </w:r>
      <w:r w:rsidRPr="005F5CCA">
        <w:rPr>
          <w:i/>
          <w:iCs/>
          <w:color w:val="000000"/>
          <w:shd w:val="clear" w:color="auto" w:fill="FFFFFF"/>
        </w:rPr>
        <w:t>Implementation of the Telecommunications Act of 1996: Telecommunications Carriers' Use of Customer Proprietary Network Information and Other Customer Information,</w:t>
      </w:r>
      <w:r w:rsidRPr="005F5CCA">
        <w:rPr>
          <w:rStyle w:val="apple-converted-space"/>
          <w:color w:val="000000"/>
          <w:shd w:val="clear" w:color="auto" w:fill="FFFFFF"/>
        </w:rPr>
        <w:t> </w:t>
      </w:r>
      <w:r w:rsidRPr="005F5CCA">
        <w:rPr>
          <w:color w:val="000000"/>
          <w:shd w:val="clear" w:color="auto" w:fill="FFFFFF"/>
        </w:rPr>
        <w:t>CC</w:t>
      </w:r>
      <w:r>
        <w:rPr>
          <w:color w:val="000000"/>
          <w:shd w:val="clear" w:color="auto" w:fill="FFFFFF"/>
        </w:rPr>
        <w:t xml:space="preserve"> </w:t>
      </w:r>
      <w:r w:rsidRPr="005F5CCA">
        <w:t>Docket No. 96-115,</w:t>
      </w:r>
      <w:r w:rsidRPr="001F7DFE">
        <w:rPr>
          <w:color w:val="000000"/>
          <w:shd w:val="clear" w:color="auto" w:fill="FFFFFF"/>
        </w:rPr>
        <w:t xml:space="preserve"> </w:t>
      </w:r>
      <w:r>
        <w:rPr>
          <w:color w:val="000000"/>
          <w:shd w:val="clear" w:color="auto" w:fill="FFFFFF"/>
        </w:rPr>
        <w:t>Declaratory Ruling, 28 FCC Rcd 9609, 9617, para. 24 (2013) (</w:t>
      </w:r>
      <w:r w:rsidRPr="001F7DFE">
        <w:rPr>
          <w:color w:val="000000"/>
          <w:shd w:val="clear" w:color="auto" w:fill="FFFFFF"/>
        </w:rPr>
        <w:t>“Although it is certainly true that</w:t>
      </w:r>
      <w:r>
        <w:rPr>
          <w:rStyle w:val="apple-converted-space"/>
          <w:color w:val="000000"/>
          <w:shd w:val="clear" w:color="auto" w:fill="FFFFFF"/>
        </w:rPr>
        <w:t xml:space="preserve"> </w:t>
      </w:r>
      <w:r w:rsidRPr="001F7DFE">
        <w:rPr>
          <w:i/>
          <w:iCs/>
          <w:color w:val="000000"/>
          <w:shd w:val="clear" w:color="auto" w:fill="FFFFFF"/>
        </w:rPr>
        <w:t>some</w:t>
      </w:r>
      <w:r>
        <w:rPr>
          <w:rStyle w:val="apple-converted-space"/>
          <w:color w:val="000000"/>
          <w:shd w:val="clear" w:color="auto" w:fill="FFFFFF"/>
        </w:rPr>
        <w:t xml:space="preserve"> </w:t>
      </w:r>
      <w:r w:rsidRPr="001F7DFE">
        <w:rPr>
          <w:color w:val="000000"/>
          <w:shd w:val="clear" w:color="auto" w:fill="FFFFFF"/>
        </w:rPr>
        <w:t>of the information that carriers have collected and stored on mobile devices is not CPNI</w:t>
      </w:r>
      <w:bookmarkStart w:id="9" w:name="FN[FN53]"/>
      <w:bookmarkEnd w:id="9"/>
      <w:r>
        <w:rPr>
          <w:color w:val="000000"/>
          <w:shd w:val="clear" w:color="auto" w:fill="FFFFFF"/>
        </w:rPr>
        <w:t xml:space="preserve">, </w:t>
      </w:r>
      <w:r>
        <w:rPr>
          <w:rStyle w:val="apple-converted-space"/>
          <w:color w:val="000000"/>
          <w:shd w:val="clear" w:color="auto" w:fill="FFFFFF"/>
        </w:rPr>
        <w:t>i</w:t>
      </w:r>
      <w:r w:rsidRPr="001F7DFE">
        <w:rPr>
          <w:color w:val="000000"/>
          <w:shd w:val="clear" w:color="auto" w:fill="FFFFFF"/>
        </w:rPr>
        <w:t>t is equally clear that some of it is.</w:t>
      </w:r>
      <w:bookmarkStart w:id="10" w:name="FN[FN54]"/>
      <w:bookmarkEnd w:id="10"/>
      <w:r>
        <w:rPr>
          <w:color w:val="000000"/>
          <w:shd w:val="clear" w:color="auto" w:fill="FFFFFF"/>
        </w:rPr>
        <w:t xml:space="preserve"> </w:t>
      </w:r>
      <w:r w:rsidRPr="001F7DFE">
        <w:rPr>
          <w:color w:val="000000"/>
          <w:shd w:val="clear" w:color="auto" w:fill="FFFFFF"/>
        </w:rPr>
        <w:t>In any event, if the information a carrier collects in the future does not meet the statutory definition, then</w:t>
      </w:r>
      <w:r>
        <w:rPr>
          <w:color w:val="000000"/>
          <w:shd w:val="clear" w:color="auto" w:fill="FFFFFF"/>
        </w:rPr>
        <w:t xml:space="preserve"> </w:t>
      </w:r>
      <w:r w:rsidRPr="00DA38C1">
        <w:rPr>
          <w:shd w:val="clear" w:color="auto" w:fill="FFFFFF"/>
        </w:rPr>
        <w:t>section 222</w:t>
      </w:r>
      <w:r>
        <w:rPr>
          <w:rStyle w:val="apple-converted-space"/>
          <w:color w:val="000000"/>
          <w:shd w:val="clear" w:color="auto" w:fill="FFFFFF"/>
        </w:rPr>
        <w:t xml:space="preserve"> </w:t>
      </w:r>
      <w:r w:rsidRPr="001F7DFE">
        <w:rPr>
          <w:color w:val="000000"/>
          <w:shd w:val="clear" w:color="auto" w:fill="FFFFFF"/>
        </w:rPr>
        <w:t>will not apply. To reiterate, the Commission is clarifying only that information that meets the definition of CPNI is subject to</w:t>
      </w:r>
      <w:r>
        <w:rPr>
          <w:rStyle w:val="apple-converted-space"/>
          <w:color w:val="000000"/>
          <w:shd w:val="clear" w:color="auto" w:fill="FFFFFF"/>
        </w:rPr>
        <w:t xml:space="preserve"> </w:t>
      </w:r>
      <w:r w:rsidRPr="00DA38C1">
        <w:rPr>
          <w:shd w:val="clear" w:color="auto" w:fill="FFFFFF"/>
        </w:rPr>
        <w:t>section 222</w:t>
      </w:r>
      <w:r w:rsidRPr="001F7DFE">
        <w:rPr>
          <w:color w:val="000000"/>
          <w:shd w:val="clear" w:color="auto" w:fill="FFFFFF"/>
        </w:rPr>
        <w:t xml:space="preserve">, just as the same information would be subject </w:t>
      </w:r>
      <w:r w:rsidRPr="00181569">
        <w:rPr>
          <w:color w:val="000000"/>
          <w:shd w:val="clear" w:color="auto" w:fill="FFFFFF"/>
        </w:rPr>
        <w:t>to</w:t>
      </w:r>
      <w:r w:rsidRPr="003671C0">
        <w:rPr>
          <w:color w:val="000000"/>
          <w:shd w:val="clear" w:color="auto" w:fill="FFFFFF"/>
        </w:rPr>
        <w:t xml:space="preserve"> </w:t>
      </w:r>
      <w:hyperlink r:id="rId1" w:tgtFrame="_top" w:history="1">
        <w:r w:rsidRPr="00E96DF0">
          <w:rPr>
            <w:color w:val="000000"/>
          </w:rPr>
          <w:t>section 222</w:t>
        </w:r>
      </w:hyperlink>
      <w:r w:rsidRPr="00E96DF0">
        <w:rPr>
          <w:color w:val="000000"/>
          <w:shd w:val="clear" w:color="auto" w:fill="FFFFFF"/>
        </w:rPr>
        <w:t xml:space="preserve"> if</w:t>
      </w:r>
      <w:r w:rsidRPr="001F7DFE">
        <w:rPr>
          <w:color w:val="000000"/>
          <w:shd w:val="clear" w:color="auto" w:fill="FFFFFF"/>
        </w:rPr>
        <w:t xml:space="preserve"> it were stored elsewhere on a carrier's network.”</w:t>
      </w:r>
      <w:r>
        <w:rPr>
          <w:color w:val="000000"/>
          <w:shd w:val="clear" w:color="auto" w:fill="FFFFFF"/>
        </w:rPr>
        <w:t>) (internal citations omitted)</w:t>
      </w:r>
      <w:bookmarkStart w:id="11" w:name="FN[FN64]"/>
      <w:bookmarkEnd w:id="11"/>
      <w:r>
        <w:rPr>
          <w:color w:val="000000"/>
          <w:shd w:val="clear" w:color="auto" w:fill="FFFFFF"/>
        </w:rPr>
        <w:t xml:space="preserve">; </w:t>
      </w:r>
      <w:r w:rsidRPr="003E61F0">
        <w:rPr>
          <w:i/>
          <w:color w:val="000000"/>
          <w:shd w:val="clear" w:color="auto" w:fill="FFFFFF"/>
        </w:rPr>
        <w:t>see id</w:t>
      </w:r>
      <w:r>
        <w:rPr>
          <w:color w:val="000000"/>
          <w:shd w:val="clear" w:color="auto" w:fill="FFFFFF"/>
        </w:rPr>
        <w:t xml:space="preserve">. at 9618, para. 27 (section 222(a) helps define where but not what is covered). </w:t>
      </w:r>
    </w:p>
  </w:footnote>
  <w:footnote w:id="8">
    <w:p w:rsidR="00C46F1F" w:rsidRPr="00D3234B" w:rsidRDefault="00C46F1F" w:rsidP="00C46F1F">
      <w:pPr>
        <w:pStyle w:val="FootnoteText"/>
      </w:pPr>
      <w:r w:rsidRPr="00D3234B">
        <w:rPr>
          <w:rStyle w:val="FootnoteReference"/>
        </w:rPr>
        <w:footnoteRef/>
      </w:r>
      <w:r w:rsidRPr="00D3234B">
        <w:t xml:space="preserve"> </w:t>
      </w:r>
      <w:r w:rsidRPr="00D3234B">
        <w:rPr>
          <w:smallCaps/>
        </w:rPr>
        <w:t xml:space="preserve">H.R. Rep. No. 104-458, </w:t>
      </w:r>
      <w:r w:rsidRPr="00D3234B">
        <w:t>at</w:t>
      </w:r>
      <w:r w:rsidRPr="00D3234B">
        <w:rPr>
          <w:smallCaps/>
        </w:rPr>
        <w:t xml:space="preserve"> 205 (1996) (Conf. Rep.)</w:t>
      </w:r>
      <w:r>
        <w:rPr>
          <w:smallCaps/>
        </w:rPr>
        <w:t xml:space="preserve"> (</w:t>
      </w:r>
      <w:r w:rsidRPr="00FD079C">
        <w:t>emphasis added</w:t>
      </w:r>
      <w:r>
        <w:rPr>
          <w:smallCaps/>
        </w:rPr>
        <w:t>)</w:t>
      </w:r>
      <w:r w:rsidRPr="00D3234B">
        <w:rPr>
          <w:smallCaps/>
        </w:rPr>
        <w:t>.</w:t>
      </w:r>
    </w:p>
  </w:footnote>
  <w:footnote w:id="9">
    <w:p w:rsidR="00C46F1F" w:rsidRPr="00CC6C15" w:rsidRDefault="00C46F1F" w:rsidP="00C46F1F">
      <w:pPr>
        <w:pStyle w:val="FootnoteText"/>
      </w:pPr>
      <w:r w:rsidRPr="00CC6C15">
        <w:rPr>
          <w:rStyle w:val="FootnoteReference"/>
        </w:rPr>
        <w:footnoteRef/>
      </w:r>
      <w:r w:rsidRPr="00CC6C15">
        <w:t xml:space="preserve"> 47 U.S.C. § 215 (emphasis added).</w:t>
      </w:r>
    </w:p>
  </w:footnote>
  <w:footnote w:id="10">
    <w:p w:rsidR="00C46F1F" w:rsidRPr="00CC6C15" w:rsidRDefault="00C46F1F" w:rsidP="00C46F1F">
      <w:pPr>
        <w:pStyle w:val="FootnoteText"/>
      </w:pPr>
      <w:r w:rsidRPr="00CC6C15">
        <w:rPr>
          <w:rStyle w:val="FootnoteReference"/>
        </w:rPr>
        <w:footnoteRef/>
      </w:r>
      <w:r w:rsidRPr="00CC6C15">
        <w:t xml:space="preserve"> </w:t>
      </w:r>
      <w:r w:rsidRPr="00D82404">
        <w:rPr>
          <w:i/>
          <w:color w:val="000000"/>
        </w:rPr>
        <w:t>F.C.C. v. Fox Television Stations, Inc</w:t>
      </w:r>
      <w:r w:rsidRPr="00CC6C15">
        <w:rPr>
          <w:color w:val="000000"/>
        </w:rPr>
        <w:t>.</w:t>
      </w:r>
      <w:r>
        <w:rPr>
          <w:color w:val="000000"/>
        </w:rPr>
        <w:t>,</w:t>
      </w:r>
      <w:r w:rsidRPr="00CC6C15">
        <w:rPr>
          <w:color w:val="000000"/>
        </w:rPr>
        <w:t xml:space="preserve"> 132 S.Ct. 2307, 2317 (2012) (citing </w:t>
      </w:r>
      <w:r w:rsidRPr="00CC6C15">
        <w:rPr>
          <w:i/>
          <w:iCs/>
        </w:rPr>
        <w:t>Connally v. General Constr. Co.,</w:t>
      </w:r>
      <w:r w:rsidRPr="00CC6C15">
        <w:rPr>
          <w:rStyle w:val="apple-converted-space"/>
        </w:rPr>
        <w:t> </w:t>
      </w:r>
      <w:r w:rsidRPr="00CC6C15">
        <w:t>269 U.S. 385, 391 (1926)).</w:t>
      </w:r>
    </w:p>
  </w:footnote>
  <w:footnote w:id="11">
    <w:p w:rsidR="00C46F1F" w:rsidRPr="00CC6C15" w:rsidRDefault="00C46F1F" w:rsidP="00C46F1F">
      <w:pPr>
        <w:pStyle w:val="FootnoteText"/>
      </w:pPr>
      <w:r w:rsidRPr="00CC6C15">
        <w:rPr>
          <w:rStyle w:val="FootnoteReference"/>
        </w:rPr>
        <w:footnoteRef/>
      </w:r>
      <w:r w:rsidRPr="00CC6C15">
        <w:t xml:space="preserve"> </w:t>
      </w:r>
      <w:r w:rsidRPr="00CC6C15">
        <w:rPr>
          <w:i/>
        </w:rPr>
        <w:t>Id</w:t>
      </w:r>
      <w:r w:rsidRPr="00CC6C15">
        <w:t xml:space="preserve">. (quoting </w:t>
      </w:r>
      <w:r w:rsidRPr="00CC6C15">
        <w:rPr>
          <w:i/>
          <w:iCs/>
        </w:rPr>
        <w:t>United States v. Williams</w:t>
      </w:r>
      <w:r w:rsidRPr="00FD079C">
        <w:rPr>
          <w:iCs/>
        </w:rPr>
        <w:t>,</w:t>
      </w:r>
      <w:r w:rsidRPr="00FD079C">
        <w:rPr>
          <w:rStyle w:val="apple-converted-space"/>
        </w:rPr>
        <w:t> </w:t>
      </w:r>
      <w:r w:rsidRPr="00CC6C15">
        <w:t xml:space="preserve">553 U.S. 285, 304 (2008)). </w:t>
      </w:r>
    </w:p>
  </w:footnote>
  <w:footnote w:id="12">
    <w:p w:rsidR="00C46F1F" w:rsidRPr="00015C48" w:rsidRDefault="00C46F1F" w:rsidP="00C46F1F">
      <w:pPr>
        <w:pStyle w:val="FootnoteText"/>
      </w:pPr>
      <w:r w:rsidRPr="00CC6C15">
        <w:rPr>
          <w:rStyle w:val="FootnoteReference"/>
        </w:rPr>
        <w:footnoteRef/>
      </w:r>
      <w:r w:rsidRPr="00CC6C15">
        <w:t xml:space="preserve"> </w:t>
      </w:r>
      <w:r w:rsidRPr="00CC6C15">
        <w:rPr>
          <w:i/>
          <w:iCs/>
          <w:shd w:val="clear" w:color="auto" w:fill="FFFFFF"/>
        </w:rPr>
        <w:t xml:space="preserve">Trinity </w:t>
      </w:r>
      <w:r w:rsidRPr="00015C48">
        <w:rPr>
          <w:i/>
          <w:iCs/>
          <w:shd w:val="clear" w:color="auto" w:fill="FFFFFF"/>
        </w:rPr>
        <w:t>Broadcasting of Florida, Inc., v. FCC</w:t>
      </w:r>
      <w:r w:rsidRPr="00015C48">
        <w:rPr>
          <w:shd w:val="clear" w:color="auto" w:fill="FFFFFF"/>
        </w:rPr>
        <w:t>, 211 F</w:t>
      </w:r>
      <w:r>
        <w:rPr>
          <w:shd w:val="clear" w:color="auto" w:fill="FFFFFF"/>
        </w:rPr>
        <w:t>.</w:t>
      </w:r>
      <w:r w:rsidRPr="00015C48">
        <w:rPr>
          <w:shd w:val="clear" w:color="auto" w:fill="FFFFFF"/>
        </w:rPr>
        <w:t>3d 618, 628 (D.C. Cir. 2000)</w:t>
      </w:r>
      <w:r w:rsidRPr="00015C48">
        <w:t xml:space="preserve"> (quoting </w:t>
      </w:r>
      <w:r w:rsidRPr="003725B9">
        <w:rPr>
          <w:i/>
          <w:iCs/>
          <w:shd w:val="clear" w:color="auto" w:fill="FFFFFF"/>
        </w:rPr>
        <w:t>General Elec. Co. v. EPA,</w:t>
      </w:r>
      <w:r w:rsidRPr="00015C48">
        <w:rPr>
          <w:rStyle w:val="apple-converted-space"/>
          <w:shd w:val="clear" w:color="auto" w:fill="FFFFFF"/>
        </w:rPr>
        <w:t> </w:t>
      </w:r>
      <w:r w:rsidRPr="003725B9">
        <w:rPr>
          <w:shd w:val="clear" w:color="auto" w:fill="FFFFFF"/>
        </w:rPr>
        <w:t>53 F.3d 1324, 1328-29 (D.C. Cir. 1995)</w:t>
      </w:r>
      <w:r w:rsidRPr="00015C48">
        <w:t>)</w:t>
      </w:r>
      <w:r w:rsidRPr="00015C48">
        <w:rPr>
          <w:color w:val="000000"/>
          <w:shd w:val="clear" w:color="auto" w:fill="FFFFFF"/>
        </w:rPr>
        <w:t>.</w:t>
      </w:r>
    </w:p>
  </w:footnote>
  <w:footnote w:id="13">
    <w:p w:rsidR="00C46F1F" w:rsidRPr="00015C48" w:rsidRDefault="00C46F1F" w:rsidP="00C46F1F">
      <w:pPr>
        <w:pStyle w:val="FootnoteText"/>
        <w:rPr>
          <w:i/>
          <w:color w:val="000000"/>
        </w:rPr>
      </w:pPr>
      <w:r w:rsidRPr="00CC6C15">
        <w:rPr>
          <w:rStyle w:val="FootnoteReference"/>
        </w:rPr>
        <w:footnoteRef/>
      </w:r>
      <w:r w:rsidRPr="00CC6C15">
        <w:t xml:space="preserve"> </w:t>
      </w:r>
      <w:r w:rsidRPr="00015C48">
        <w:rPr>
          <w:i/>
          <w:color w:val="000000"/>
        </w:rPr>
        <w:t>Infinity Broadcasting Corporation of Florida</w:t>
      </w:r>
      <w:r w:rsidRPr="00015C48">
        <w:rPr>
          <w:color w:val="000000"/>
        </w:rPr>
        <w:t>, File No. EB-04-TP-478, Order on Review, 24 FCC Rcd 4270, 4275, para. 17</w:t>
      </w:r>
      <w:r w:rsidRPr="00015C48">
        <w:t xml:space="preserve"> (2009) </w:t>
      </w:r>
      <w:r w:rsidRPr="00015C48">
        <w:rPr>
          <w:color w:val="000000"/>
        </w:rPr>
        <w:t>(</w:t>
      </w:r>
      <w:r>
        <w:rPr>
          <w:i/>
          <w:color w:val="000000"/>
        </w:rPr>
        <w:t>quoting</w:t>
      </w:r>
      <w:r w:rsidRPr="00015C48">
        <w:rPr>
          <w:i/>
          <w:color w:val="000000"/>
        </w:rPr>
        <w:t xml:space="preserve"> Trinity</w:t>
      </w:r>
      <w:r w:rsidRPr="00015C48">
        <w:rPr>
          <w:color w:val="000000"/>
        </w:rPr>
        <w:t>, 211 F.3d at 628).</w:t>
      </w:r>
    </w:p>
  </w:footnote>
  <w:footnote w:id="14">
    <w:p w:rsidR="00C46F1F" w:rsidRPr="00CC6C15" w:rsidRDefault="00C46F1F" w:rsidP="00C46F1F">
      <w:pPr>
        <w:pStyle w:val="FootnoteText"/>
      </w:pPr>
      <w:r w:rsidRPr="00CC6C15">
        <w:rPr>
          <w:rStyle w:val="FootnoteReference"/>
        </w:rPr>
        <w:footnoteRef/>
      </w:r>
      <w:r w:rsidRPr="00CC6C15">
        <w:t xml:space="preserve"> </w:t>
      </w:r>
      <w:r w:rsidRPr="00D82404">
        <w:rPr>
          <w:i/>
        </w:rPr>
        <w:t>Implementation of the Telecommunications Act of 1996</w:t>
      </w:r>
      <w:r>
        <w:rPr>
          <w:i/>
        </w:rPr>
        <w:t>:</w:t>
      </w:r>
      <w:r w:rsidRPr="00D82404">
        <w:rPr>
          <w:i/>
        </w:rPr>
        <w:t xml:space="preserve"> Telecommunications Carriers’ Use of Customer Proprietary Network Information and Other Customer Information</w:t>
      </w:r>
      <w:r>
        <w:t>, CC Docket No. 96-115, Report and Order and Further Notice of Proposed Rulemaking, 22 FCC Rcd 6927, 6961, para. 70 (2007)</w:t>
      </w:r>
      <w:r w:rsidRPr="00CC6C15">
        <w:t xml:space="preserve">.  </w:t>
      </w:r>
    </w:p>
  </w:footnote>
  <w:footnote w:id="15">
    <w:p w:rsidR="00C46F1F" w:rsidRPr="00CC6C15" w:rsidRDefault="00C46F1F" w:rsidP="00C46F1F">
      <w:pPr>
        <w:pStyle w:val="FootnoteText"/>
      </w:pPr>
      <w:r w:rsidRPr="00CC6C15">
        <w:rPr>
          <w:rStyle w:val="FootnoteReference"/>
        </w:rPr>
        <w:footnoteRef/>
      </w:r>
      <w:r w:rsidRPr="00CC6C15">
        <w:t xml:space="preserve"> While the Commission has previously pursued enforcement actions despite having open rulemaking proceedings, I am concerned that open proceedings may provide companies with a false sense of security.  This makes it all the more important that the Commission close open rulemaking proceedings by a date certain or as soon as it determines that it will not act on the open issues.  </w:t>
      </w:r>
    </w:p>
  </w:footnote>
  <w:footnote w:id="16">
    <w:p w:rsidR="00C46F1F" w:rsidRPr="00CC6C15" w:rsidRDefault="00C46F1F" w:rsidP="00C46F1F">
      <w:pPr>
        <w:pStyle w:val="FootnoteText"/>
      </w:pPr>
      <w:r w:rsidRPr="00CC6C15">
        <w:rPr>
          <w:rStyle w:val="FootnoteReference"/>
        </w:rPr>
        <w:footnoteRef/>
      </w:r>
      <w:r w:rsidRPr="00CC6C15">
        <w:t xml:space="preserve"> </w:t>
      </w:r>
      <w:r w:rsidRPr="003725B9">
        <w:rPr>
          <w:i/>
        </w:rPr>
        <w:t>See, e.g</w:t>
      </w:r>
      <w:r>
        <w:t xml:space="preserve">., Comments of Verizon, CC Docket No. 96-115, WC Docket No. 04-36, at 15-17 (filed July 9, 2007); Comments of the Rural Cellular Association, CC Docket No. 96-115, WC Docket No. 04-36, at 4-5 (filed July 9, 2007); Comments of the National Cable &amp; Telecommunications Association, CC Docket No. 96-115, WC Docket No. 04-36, at 2 (filed July 9, 2007); Comments of COMPTEL, CC Docket No. 96-115, WC Docket No. 04-36, at 2-3 (filed July 9, 2007); </w:t>
      </w:r>
      <w:r w:rsidRPr="003725B9">
        <w:rPr>
          <w:i/>
        </w:rPr>
        <w:t>but see</w:t>
      </w:r>
      <w:r>
        <w:t xml:space="preserve"> Consumer Coalition Comments, CC Docket No. 96-115, WC Docket No. 04-36, at 9-12 (filed July 9, 2007) (requesting that the FCC require carriers to encrypt stored CPNI and limit employee access to CPNI).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39" w:rsidRDefault="005E5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Pr="00DD3DC5" w:rsidRDefault="00DD3DC5" w:rsidP="00DD3DC5">
    <w:pPr>
      <w:pStyle w:val="Header"/>
      <w:rPr>
        <w:b w:val="0"/>
      </w:rPr>
    </w:pPr>
    <w:r>
      <w:tab/>
    </w:r>
    <w:r>
      <w:rPr>
        <w:noProof/>
      </w:rPr>
      <mc:AlternateContent>
        <mc:Choice Requires="wps">
          <w:drawing>
            <wp:anchor distT="0" distB="0" distL="114300" distR="114300" simplePos="0" relativeHeight="251661312" behindDoc="1" locked="0" layoutInCell="0" allowOverlap="1" wp14:anchorId="1AA24383" wp14:editId="5E04B0EF">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Federal Communications Commission</w:t>
    </w:r>
    <w:r>
      <w:tab/>
    </w:r>
    <w:r w:rsidR="00164EFF">
      <w:rPr>
        <w:spacing w:val="-2"/>
      </w:rPr>
      <w:t>FCC 14-</w:t>
    </w:r>
    <w:r w:rsidR="00ED2E53">
      <w:rPr>
        <w:spacing w:val="-2"/>
      </w:rPr>
      <w:t>173</w:t>
    </w:r>
  </w:p>
  <w:p w:rsidR="00F4363E" w:rsidRDefault="00F43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63E" w:rsidRDefault="00F4363E" w:rsidP="00635C1E">
    <w:pPr>
      <w:pStyle w:val="Header"/>
      <w:rPr>
        <w:b w:val="0"/>
      </w:rPr>
    </w:pPr>
    <w:r>
      <w:tab/>
    </w:r>
    <w:r>
      <w:rPr>
        <w:noProof/>
      </w:rPr>
      <mc:AlternateContent>
        <mc:Choice Requires="wps">
          <w:drawing>
            <wp:anchor distT="0" distB="0" distL="114300" distR="114300" simplePos="0" relativeHeight="251659264" behindDoc="1" locked="0" layoutInCell="0" allowOverlap="1" wp14:anchorId="7504B170" wp14:editId="5018161D">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Federal Communications Commission</w:t>
    </w:r>
    <w:r>
      <w:tab/>
    </w:r>
    <w:r w:rsidR="00164EFF">
      <w:rPr>
        <w:spacing w:val="-2"/>
      </w:rPr>
      <w:t>FCC 14-</w:t>
    </w:r>
    <w:r w:rsidR="00ED2E53">
      <w:rPr>
        <w:spacing w:val="-2"/>
      </w:rPr>
      <w:t>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5D2F3E"/>
    <w:multiLevelType w:val="hybridMultilevel"/>
    <w:tmpl w:val="449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A122F5E"/>
    <w:multiLevelType w:val="hybridMultilevel"/>
    <w:tmpl w:val="D61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5"/>
  </w:num>
  <w:num w:numId="4">
    <w:abstractNumId w:val="9"/>
  </w:num>
  <w:num w:numId="5">
    <w:abstractNumId w:val="2"/>
  </w:num>
  <w:num w:numId="6">
    <w:abstractNumId w:val="6"/>
  </w:num>
  <w:num w:numId="7">
    <w:abstractNumId w:val="3"/>
  </w:num>
  <w:num w:numId="8">
    <w:abstractNumId w:val="0"/>
  </w:num>
  <w:num w:numId="9">
    <w:abstractNumId w:val="8"/>
  </w:num>
  <w:num w:numId="10">
    <w:abstractNumId w:val="8"/>
    <w:lvlOverride w:ilvl="0">
      <w:startOverride w:val="1"/>
    </w:lvlOverride>
  </w:num>
  <w:num w:numId="11">
    <w:abstractNumId w:val="4"/>
  </w:num>
  <w:num w:numId="12">
    <w:abstractNumId w:val="4"/>
  </w:num>
  <w:num w:numId="13">
    <w:abstractNumId w:val="8"/>
  </w:num>
  <w:num w:numId="14">
    <w:abstractNumId w:val="4"/>
  </w:num>
  <w:num w:numId="15">
    <w:abstractNumId w:val="8"/>
  </w:num>
  <w:num w:numId="16">
    <w:abstractNumId w:val="8"/>
    <w:lvlOverride w:ilvl="0">
      <w:startOverride w:val="1"/>
    </w:lvlOverride>
  </w:num>
  <w:num w:numId="17">
    <w:abstractNumId w:val="8"/>
  </w:num>
  <w:num w:numId="18">
    <w:abstractNumId w:val="8"/>
  </w:num>
  <w:num w:numId="19">
    <w:abstractNumId w:val="8"/>
    <w:lvlOverride w:ilvl="0">
      <w:startOverride w:val="1"/>
    </w:lvlOverride>
  </w:num>
  <w:num w:numId="20">
    <w:abstractNumId w:val="7"/>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lvlOverride w:ilvl="0">
      <w:startOverride w:val="1"/>
    </w:lvlOverride>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79"/>
    <w:rsid w:val="0000017C"/>
    <w:rsid w:val="00000D6B"/>
    <w:rsid w:val="00000D6E"/>
    <w:rsid w:val="000015A0"/>
    <w:rsid w:val="00002533"/>
    <w:rsid w:val="000038ED"/>
    <w:rsid w:val="000041C1"/>
    <w:rsid w:val="000048C4"/>
    <w:rsid w:val="00005200"/>
    <w:rsid w:val="000056CE"/>
    <w:rsid w:val="0000767E"/>
    <w:rsid w:val="00007F8E"/>
    <w:rsid w:val="0001240C"/>
    <w:rsid w:val="00012D8F"/>
    <w:rsid w:val="000130F3"/>
    <w:rsid w:val="000135C6"/>
    <w:rsid w:val="0001387C"/>
    <w:rsid w:val="00014BAF"/>
    <w:rsid w:val="00015A56"/>
    <w:rsid w:val="000165CF"/>
    <w:rsid w:val="00016EF3"/>
    <w:rsid w:val="0001710B"/>
    <w:rsid w:val="00017EB3"/>
    <w:rsid w:val="00020862"/>
    <w:rsid w:val="0002106A"/>
    <w:rsid w:val="0002129E"/>
    <w:rsid w:val="0002138B"/>
    <w:rsid w:val="000213AA"/>
    <w:rsid w:val="00021D76"/>
    <w:rsid w:val="00022CCD"/>
    <w:rsid w:val="00023658"/>
    <w:rsid w:val="0002483F"/>
    <w:rsid w:val="00024A85"/>
    <w:rsid w:val="00027155"/>
    <w:rsid w:val="000273E4"/>
    <w:rsid w:val="00027A00"/>
    <w:rsid w:val="00031862"/>
    <w:rsid w:val="00031E4F"/>
    <w:rsid w:val="00033112"/>
    <w:rsid w:val="00033399"/>
    <w:rsid w:val="0003340F"/>
    <w:rsid w:val="00034AF0"/>
    <w:rsid w:val="000359B6"/>
    <w:rsid w:val="00036039"/>
    <w:rsid w:val="000360E8"/>
    <w:rsid w:val="00037F90"/>
    <w:rsid w:val="000406EC"/>
    <w:rsid w:val="000410C2"/>
    <w:rsid w:val="00042241"/>
    <w:rsid w:val="00042AD3"/>
    <w:rsid w:val="00042FEF"/>
    <w:rsid w:val="0004391E"/>
    <w:rsid w:val="00044100"/>
    <w:rsid w:val="000445FD"/>
    <w:rsid w:val="00047738"/>
    <w:rsid w:val="000504A8"/>
    <w:rsid w:val="00051028"/>
    <w:rsid w:val="00051A3F"/>
    <w:rsid w:val="00051CB8"/>
    <w:rsid w:val="00052121"/>
    <w:rsid w:val="00052232"/>
    <w:rsid w:val="000537CF"/>
    <w:rsid w:val="0005601E"/>
    <w:rsid w:val="00056813"/>
    <w:rsid w:val="000575FD"/>
    <w:rsid w:val="00057F5B"/>
    <w:rsid w:val="000602CA"/>
    <w:rsid w:val="000602FF"/>
    <w:rsid w:val="00060BB8"/>
    <w:rsid w:val="000620BD"/>
    <w:rsid w:val="00063188"/>
    <w:rsid w:val="000649C0"/>
    <w:rsid w:val="0007121C"/>
    <w:rsid w:val="00071247"/>
    <w:rsid w:val="00071B4A"/>
    <w:rsid w:val="00071FC1"/>
    <w:rsid w:val="00072185"/>
    <w:rsid w:val="00072A3C"/>
    <w:rsid w:val="00072EBC"/>
    <w:rsid w:val="000749FB"/>
    <w:rsid w:val="00074EAF"/>
    <w:rsid w:val="000767B3"/>
    <w:rsid w:val="0008175E"/>
    <w:rsid w:val="000817FF"/>
    <w:rsid w:val="00081898"/>
    <w:rsid w:val="00081AE4"/>
    <w:rsid w:val="000820FD"/>
    <w:rsid w:val="00083D49"/>
    <w:rsid w:val="000872BB"/>
    <w:rsid w:val="000874DA"/>
    <w:rsid w:val="000875BF"/>
    <w:rsid w:val="00091618"/>
    <w:rsid w:val="00091C71"/>
    <w:rsid w:val="00092A51"/>
    <w:rsid w:val="000931F3"/>
    <w:rsid w:val="000940A4"/>
    <w:rsid w:val="00095DB3"/>
    <w:rsid w:val="00096D8C"/>
    <w:rsid w:val="000A0495"/>
    <w:rsid w:val="000A0716"/>
    <w:rsid w:val="000A089C"/>
    <w:rsid w:val="000A1F8D"/>
    <w:rsid w:val="000A3B3C"/>
    <w:rsid w:val="000A3D49"/>
    <w:rsid w:val="000A4415"/>
    <w:rsid w:val="000A55C2"/>
    <w:rsid w:val="000A587F"/>
    <w:rsid w:val="000A7689"/>
    <w:rsid w:val="000A7799"/>
    <w:rsid w:val="000B0782"/>
    <w:rsid w:val="000B1B04"/>
    <w:rsid w:val="000B2E35"/>
    <w:rsid w:val="000B317F"/>
    <w:rsid w:val="000B3825"/>
    <w:rsid w:val="000B5A1A"/>
    <w:rsid w:val="000B70EC"/>
    <w:rsid w:val="000B74ED"/>
    <w:rsid w:val="000C0865"/>
    <w:rsid w:val="000C0B65"/>
    <w:rsid w:val="000C1303"/>
    <w:rsid w:val="000C1AF3"/>
    <w:rsid w:val="000C32BB"/>
    <w:rsid w:val="000C3D43"/>
    <w:rsid w:val="000C3E2C"/>
    <w:rsid w:val="000C42D0"/>
    <w:rsid w:val="000C477A"/>
    <w:rsid w:val="000C489B"/>
    <w:rsid w:val="000C4957"/>
    <w:rsid w:val="000C4C1F"/>
    <w:rsid w:val="000C5349"/>
    <w:rsid w:val="000C5F83"/>
    <w:rsid w:val="000C7B43"/>
    <w:rsid w:val="000D0C49"/>
    <w:rsid w:val="000D0F42"/>
    <w:rsid w:val="000D1E6A"/>
    <w:rsid w:val="000D2220"/>
    <w:rsid w:val="000D2787"/>
    <w:rsid w:val="000D2EB5"/>
    <w:rsid w:val="000D4878"/>
    <w:rsid w:val="000D541C"/>
    <w:rsid w:val="000D555B"/>
    <w:rsid w:val="000D6BD1"/>
    <w:rsid w:val="000D6EC1"/>
    <w:rsid w:val="000E03C0"/>
    <w:rsid w:val="000E0AA8"/>
    <w:rsid w:val="000E1E64"/>
    <w:rsid w:val="000E27B3"/>
    <w:rsid w:val="000E35EF"/>
    <w:rsid w:val="000E36F1"/>
    <w:rsid w:val="000E3D42"/>
    <w:rsid w:val="000E5766"/>
    <w:rsid w:val="000E5990"/>
    <w:rsid w:val="000E6A7C"/>
    <w:rsid w:val="000E717E"/>
    <w:rsid w:val="000F1C10"/>
    <w:rsid w:val="000F261D"/>
    <w:rsid w:val="000F2792"/>
    <w:rsid w:val="000F41DE"/>
    <w:rsid w:val="000F45B7"/>
    <w:rsid w:val="000F4B71"/>
    <w:rsid w:val="000F50E8"/>
    <w:rsid w:val="000F588A"/>
    <w:rsid w:val="000F6FF6"/>
    <w:rsid w:val="000F70B3"/>
    <w:rsid w:val="0010016F"/>
    <w:rsid w:val="001017FB"/>
    <w:rsid w:val="00102713"/>
    <w:rsid w:val="001044B9"/>
    <w:rsid w:val="00105187"/>
    <w:rsid w:val="0010547D"/>
    <w:rsid w:val="00105E1A"/>
    <w:rsid w:val="00105E37"/>
    <w:rsid w:val="001060F0"/>
    <w:rsid w:val="001072BB"/>
    <w:rsid w:val="00107B17"/>
    <w:rsid w:val="00107BBC"/>
    <w:rsid w:val="001112AD"/>
    <w:rsid w:val="001120DB"/>
    <w:rsid w:val="00112620"/>
    <w:rsid w:val="00114405"/>
    <w:rsid w:val="001153E9"/>
    <w:rsid w:val="00116BB0"/>
    <w:rsid w:val="001173CC"/>
    <w:rsid w:val="00117976"/>
    <w:rsid w:val="00120E32"/>
    <w:rsid w:val="00121539"/>
    <w:rsid w:val="001218E6"/>
    <w:rsid w:val="00122BD5"/>
    <w:rsid w:val="00122BF6"/>
    <w:rsid w:val="00122F71"/>
    <w:rsid w:val="00125437"/>
    <w:rsid w:val="00126E89"/>
    <w:rsid w:val="001271BE"/>
    <w:rsid w:val="00130289"/>
    <w:rsid w:val="00130611"/>
    <w:rsid w:val="001311A4"/>
    <w:rsid w:val="00132CAD"/>
    <w:rsid w:val="00133B35"/>
    <w:rsid w:val="00133E9E"/>
    <w:rsid w:val="001340BD"/>
    <w:rsid w:val="00134380"/>
    <w:rsid w:val="00134C08"/>
    <w:rsid w:val="00136607"/>
    <w:rsid w:val="00136F8E"/>
    <w:rsid w:val="001375BD"/>
    <w:rsid w:val="0013776D"/>
    <w:rsid w:val="00137976"/>
    <w:rsid w:val="0014038F"/>
    <w:rsid w:val="00140794"/>
    <w:rsid w:val="00140EF9"/>
    <w:rsid w:val="00140FFD"/>
    <w:rsid w:val="0014197B"/>
    <w:rsid w:val="0014254D"/>
    <w:rsid w:val="00144457"/>
    <w:rsid w:val="00145DB0"/>
    <w:rsid w:val="00146159"/>
    <w:rsid w:val="0014620A"/>
    <w:rsid w:val="001468D8"/>
    <w:rsid w:val="00146B4B"/>
    <w:rsid w:val="00150E58"/>
    <w:rsid w:val="0015156E"/>
    <w:rsid w:val="001517B5"/>
    <w:rsid w:val="00152394"/>
    <w:rsid w:val="001525E0"/>
    <w:rsid w:val="00153B5A"/>
    <w:rsid w:val="0015413A"/>
    <w:rsid w:val="00154B46"/>
    <w:rsid w:val="00154C2C"/>
    <w:rsid w:val="00155E53"/>
    <w:rsid w:val="001560B3"/>
    <w:rsid w:val="00156E4D"/>
    <w:rsid w:val="001607EB"/>
    <w:rsid w:val="00160A84"/>
    <w:rsid w:val="00163C00"/>
    <w:rsid w:val="00164257"/>
    <w:rsid w:val="00164B02"/>
    <w:rsid w:val="00164D1B"/>
    <w:rsid w:val="00164EFF"/>
    <w:rsid w:val="00165606"/>
    <w:rsid w:val="00165A72"/>
    <w:rsid w:val="00165F9E"/>
    <w:rsid w:val="00166536"/>
    <w:rsid w:val="0016661D"/>
    <w:rsid w:val="001666F7"/>
    <w:rsid w:val="00166F24"/>
    <w:rsid w:val="0017021B"/>
    <w:rsid w:val="00170272"/>
    <w:rsid w:val="00171419"/>
    <w:rsid w:val="0017158C"/>
    <w:rsid w:val="00172AAD"/>
    <w:rsid w:val="00173211"/>
    <w:rsid w:val="00176162"/>
    <w:rsid w:val="00177167"/>
    <w:rsid w:val="00177D03"/>
    <w:rsid w:val="00177F09"/>
    <w:rsid w:val="001833D4"/>
    <w:rsid w:val="001836E5"/>
    <w:rsid w:val="00183F24"/>
    <w:rsid w:val="0018509A"/>
    <w:rsid w:val="00185220"/>
    <w:rsid w:val="00185757"/>
    <w:rsid w:val="00186D09"/>
    <w:rsid w:val="00186F5F"/>
    <w:rsid w:val="001870F4"/>
    <w:rsid w:val="00187444"/>
    <w:rsid w:val="0018750B"/>
    <w:rsid w:val="00187850"/>
    <w:rsid w:val="001900E7"/>
    <w:rsid w:val="00190CE7"/>
    <w:rsid w:val="00192A28"/>
    <w:rsid w:val="001930C0"/>
    <w:rsid w:val="001931A4"/>
    <w:rsid w:val="001936D7"/>
    <w:rsid w:val="001942CF"/>
    <w:rsid w:val="001945A9"/>
    <w:rsid w:val="001948EF"/>
    <w:rsid w:val="0019497C"/>
    <w:rsid w:val="00195019"/>
    <w:rsid w:val="001968C2"/>
    <w:rsid w:val="001968CA"/>
    <w:rsid w:val="001A037E"/>
    <w:rsid w:val="001A03F9"/>
    <w:rsid w:val="001A0B22"/>
    <w:rsid w:val="001A141E"/>
    <w:rsid w:val="001A1624"/>
    <w:rsid w:val="001A2118"/>
    <w:rsid w:val="001A2410"/>
    <w:rsid w:val="001A6637"/>
    <w:rsid w:val="001A75B5"/>
    <w:rsid w:val="001A7990"/>
    <w:rsid w:val="001B080E"/>
    <w:rsid w:val="001B0A00"/>
    <w:rsid w:val="001B121D"/>
    <w:rsid w:val="001B19B1"/>
    <w:rsid w:val="001B1A17"/>
    <w:rsid w:val="001B1B05"/>
    <w:rsid w:val="001B28CB"/>
    <w:rsid w:val="001B3987"/>
    <w:rsid w:val="001B4666"/>
    <w:rsid w:val="001B56FE"/>
    <w:rsid w:val="001B6BB6"/>
    <w:rsid w:val="001B71DA"/>
    <w:rsid w:val="001B72BC"/>
    <w:rsid w:val="001B78EA"/>
    <w:rsid w:val="001C0862"/>
    <w:rsid w:val="001C31CF"/>
    <w:rsid w:val="001C33D0"/>
    <w:rsid w:val="001C37F2"/>
    <w:rsid w:val="001C3B41"/>
    <w:rsid w:val="001C3CC7"/>
    <w:rsid w:val="001C45B8"/>
    <w:rsid w:val="001C6162"/>
    <w:rsid w:val="001C6A57"/>
    <w:rsid w:val="001D05ED"/>
    <w:rsid w:val="001D0B42"/>
    <w:rsid w:val="001D11F3"/>
    <w:rsid w:val="001D1DEB"/>
    <w:rsid w:val="001D21A4"/>
    <w:rsid w:val="001D3119"/>
    <w:rsid w:val="001D374C"/>
    <w:rsid w:val="001D4AA6"/>
    <w:rsid w:val="001D60EB"/>
    <w:rsid w:val="001D61D1"/>
    <w:rsid w:val="001D6BCF"/>
    <w:rsid w:val="001D6E16"/>
    <w:rsid w:val="001D7FC5"/>
    <w:rsid w:val="001E01A8"/>
    <w:rsid w:val="001E01CA"/>
    <w:rsid w:val="001E14A7"/>
    <w:rsid w:val="001E32F6"/>
    <w:rsid w:val="001E5BF6"/>
    <w:rsid w:val="001E6CFC"/>
    <w:rsid w:val="001E78CF"/>
    <w:rsid w:val="001E7FD8"/>
    <w:rsid w:val="001F0A40"/>
    <w:rsid w:val="001F1D49"/>
    <w:rsid w:val="001F2140"/>
    <w:rsid w:val="001F26C4"/>
    <w:rsid w:val="001F3619"/>
    <w:rsid w:val="001F395E"/>
    <w:rsid w:val="001F5308"/>
    <w:rsid w:val="001F5F20"/>
    <w:rsid w:val="001F79D1"/>
    <w:rsid w:val="002005CB"/>
    <w:rsid w:val="00200B6C"/>
    <w:rsid w:val="00201DC5"/>
    <w:rsid w:val="00201E1B"/>
    <w:rsid w:val="00202FB9"/>
    <w:rsid w:val="0020541C"/>
    <w:rsid w:val="002057CF"/>
    <w:rsid w:val="002119C0"/>
    <w:rsid w:val="002121F2"/>
    <w:rsid w:val="0021379C"/>
    <w:rsid w:val="00214779"/>
    <w:rsid w:val="002163C1"/>
    <w:rsid w:val="00216AD9"/>
    <w:rsid w:val="002171E7"/>
    <w:rsid w:val="0022213D"/>
    <w:rsid w:val="0022217D"/>
    <w:rsid w:val="002225A6"/>
    <w:rsid w:val="00222CE4"/>
    <w:rsid w:val="002239DC"/>
    <w:rsid w:val="002256BF"/>
    <w:rsid w:val="002265B5"/>
    <w:rsid w:val="00227091"/>
    <w:rsid w:val="002302CA"/>
    <w:rsid w:val="002323E2"/>
    <w:rsid w:val="00232735"/>
    <w:rsid w:val="002335FD"/>
    <w:rsid w:val="00240343"/>
    <w:rsid w:val="00242524"/>
    <w:rsid w:val="00242C6B"/>
    <w:rsid w:val="002434CE"/>
    <w:rsid w:val="002444A7"/>
    <w:rsid w:val="00244D09"/>
    <w:rsid w:val="00245444"/>
    <w:rsid w:val="00246CA3"/>
    <w:rsid w:val="00246E78"/>
    <w:rsid w:val="002518A5"/>
    <w:rsid w:val="00251D15"/>
    <w:rsid w:val="00252183"/>
    <w:rsid w:val="00252384"/>
    <w:rsid w:val="002525A5"/>
    <w:rsid w:val="00252E27"/>
    <w:rsid w:val="00254252"/>
    <w:rsid w:val="0025425F"/>
    <w:rsid w:val="00255453"/>
    <w:rsid w:val="0025780F"/>
    <w:rsid w:val="00257B7B"/>
    <w:rsid w:val="00260D4C"/>
    <w:rsid w:val="00260DFF"/>
    <w:rsid w:val="00260E88"/>
    <w:rsid w:val="002610DC"/>
    <w:rsid w:val="00261C75"/>
    <w:rsid w:val="002622CC"/>
    <w:rsid w:val="00262D22"/>
    <w:rsid w:val="002634B2"/>
    <w:rsid w:val="00264EF0"/>
    <w:rsid w:val="002679E3"/>
    <w:rsid w:val="00267D95"/>
    <w:rsid w:val="00270678"/>
    <w:rsid w:val="00270C3B"/>
    <w:rsid w:val="0027125A"/>
    <w:rsid w:val="00271462"/>
    <w:rsid w:val="00271627"/>
    <w:rsid w:val="00272A75"/>
    <w:rsid w:val="00272D18"/>
    <w:rsid w:val="0027335D"/>
    <w:rsid w:val="00274487"/>
    <w:rsid w:val="0027543E"/>
    <w:rsid w:val="00275BA5"/>
    <w:rsid w:val="00275F8E"/>
    <w:rsid w:val="00276BAB"/>
    <w:rsid w:val="002777E5"/>
    <w:rsid w:val="00280708"/>
    <w:rsid w:val="00280CF8"/>
    <w:rsid w:val="0028119E"/>
    <w:rsid w:val="00284365"/>
    <w:rsid w:val="00285017"/>
    <w:rsid w:val="002853D6"/>
    <w:rsid w:val="00285605"/>
    <w:rsid w:val="00287594"/>
    <w:rsid w:val="00287A0F"/>
    <w:rsid w:val="00287AC2"/>
    <w:rsid w:val="00287BE0"/>
    <w:rsid w:val="00290613"/>
    <w:rsid w:val="0029295A"/>
    <w:rsid w:val="00293061"/>
    <w:rsid w:val="00293169"/>
    <w:rsid w:val="00293BB1"/>
    <w:rsid w:val="00294257"/>
    <w:rsid w:val="00294D41"/>
    <w:rsid w:val="00295CF5"/>
    <w:rsid w:val="00296733"/>
    <w:rsid w:val="002974F5"/>
    <w:rsid w:val="002A0832"/>
    <w:rsid w:val="002A0C7D"/>
    <w:rsid w:val="002A1548"/>
    <w:rsid w:val="002A2D2E"/>
    <w:rsid w:val="002A2E7D"/>
    <w:rsid w:val="002A34C8"/>
    <w:rsid w:val="002A38E8"/>
    <w:rsid w:val="002A3A8A"/>
    <w:rsid w:val="002A3B30"/>
    <w:rsid w:val="002A3E97"/>
    <w:rsid w:val="002A4AB2"/>
    <w:rsid w:val="002A4B03"/>
    <w:rsid w:val="002A5089"/>
    <w:rsid w:val="002A6444"/>
    <w:rsid w:val="002A722B"/>
    <w:rsid w:val="002B0307"/>
    <w:rsid w:val="002B0756"/>
    <w:rsid w:val="002B0CEB"/>
    <w:rsid w:val="002B2A19"/>
    <w:rsid w:val="002B3721"/>
    <w:rsid w:val="002B4496"/>
    <w:rsid w:val="002B53DD"/>
    <w:rsid w:val="002B6980"/>
    <w:rsid w:val="002B6A26"/>
    <w:rsid w:val="002B6F5D"/>
    <w:rsid w:val="002B739B"/>
    <w:rsid w:val="002C0582"/>
    <w:rsid w:val="002C0AA8"/>
    <w:rsid w:val="002C1AB1"/>
    <w:rsid w:val="002C23AB"/>
    <w:rsid w:val="002C43DF"/>
    <w:rsid w:val="002C674A"/>
    <w:rsid w:val="002C6756"/>
    <w:rsid w:val="002C68F9"/>
    <w:rsid w:val="002C701B"/>
    <w:rsid w:val="002C7256"/>
    <w:rsid w:val="002D09A9"/>
    <w:rsid w:val="002D09F8"/>
    <w:rsid w:val="002D2C77"/>
    <w:rsid w:val="002D3FB4"/>
    <w:rsid w:val="002D4165"/>
    <w:rsid w:val="002D5166"/>
    <w:rsid w:val="002D5A8B"/>
    <w:rsid w:val="002D5DAF"/>
    <w:rsid w:val="002E0E04"/>
    <w:rsid w:val="002E14FC"/>
    <w:rsid w:val="002E1C26"/>
    <w:rsid w:val="002E2159"/>
    <w:rsid w:val="002E24F1"/>
    <w:rsid w:val="002E28EC"/>
    <w:rsid w:val="002E373C"/>
    <w:rsid w:val="002E3E4A"/>
    <w:rsid w:val="002E4519"/>
    <w:rsid w:val="002E5A89"/>
    <w:rsid w:val="002E6DFB"/>
    <w:rsid w:val="002E7C2C"/>
    <w:rsid w:val="002F0848"/>
    <w:rsid w:val="002F08DF"/>
    <w:rsid w:val="002F12BE"/>
    <w:rsid w:val="002F1383"/>
    <w:rsid w:val="002F1E7A"/>
    <w:rsid w:val="002F1EE0"/>
    <w:rsid w:val="002F1EF8"/>
    <w:rsid w:val="002F21FB"/>
    <w:rsid w:val="002F6124"/>
    <w:rsid w:val="002F7BEC"/>
    <w:rsid w:val="003025D9"/>
    <w:rsid w:val="003030E3"/>
    <w:rsid w:val="00303F5F"/>
    <w:rsid w:val="00304470"/>
    <w:rsid w:val="003056B9"/>
    <w:rsid w:val="00306F94"/>
    <w:rsid w:val="00307211"/>
    <w:rsid w:val="00307A14"/>
    <w:rsid w:val="00310154"/>
    <w:rsid w:val="003105D6"/>
    <w:rsid w:val="00312CEE"/>
    <w:rsid w:val="00315A98"/>
    <w:rsid w:val="00316756"/>
    <w:rsid w:val="00316DB0"/>
    <w:rsid w:val="00316E6D"/>
    <w:rsid w:val="00320F28"/>
    <w:rsid w:val="0032146E"/>
    <w:rsid w:val="00321AD5"/>
    <w:rsid w:val="003251EB"/>
    <w:rsid w:val="0032527C"/>
    <w:rsid w:val="00326564"/>
    <w:rsid w:val="00327841"/>
    <w:rsid w:val="003309D5"/>
    <w:rsid w:val="00331549"/>
    <w:rsid w:val="0033156B"/>
    <w:rsid w:val="00331822"/>
    <w:rsid w:val="003323E9"/>
    <w:rsid w:val="00335635"/>
    <w:rsid w:val="00335664"/>
    <w:rsid w:val="00335CD8"/>
    <w:rsid w:val="0033619B"/>
    <w:rsid w:val="00336B77"/>
    <w:rsid w:val="00337844"/>
    <w:rsid w:val="00337FE7"/>
    <w:rsid w:val="00340246"/>
    <w:rsid w:val="00340625"/>
    <w:rsid w:val="003416E7"/>
    <w:rsid w:val="00341FF3"/>
    <w:rsid w:val="00342240"/>
    <w:rsid w:val="00342B19"/>
    <w:rsid w:val="00343749"/>
    <w:rsid w:val="00344902"/>
    <w:rsid w:val="00344BE8"/>
    <w:rsid w:val="00345F70"/>
    <w:rsid w:val="00346FDC"/>
    <w:rsid w:val="00350248"/>
    <w:rsid w:val="00350786"/>
    <w:rsid w:val="00350AFE"/>
    <w:rsid w:val="00350F4F"/>
    <w:rsid w:val="00351216"/>
    <w:rsid w:val="003522C3"/>
    <w:rsid w:val="00352D18"/>
    <w:rsid w:val="00353538"/>
    <w:rsid w:val="00353F40"/>
    <w:rsid w:val="0035548C"/>
    <w:rsid w:val="00355C09"/>
    <w:rsid w:val="003561D3"/>
    <w:rsid w:val="00356373"/>
    <w:rsid w:val="00356478"/>
    <w:rsid w:val="0036079B"/>
    <w:rsid w:val="00360F2F"/>
    <w:rsid w:val="003621CC"/>
    <w:rsid w:val="0036256C"/>
    <w:rsid w:val="00363A98"/>
    <w:rsid w:val="00364400"/>
    <w:rsid w:val="00364456"/>
    <w:rsid w:val="0036565F"/>
    <w:rsid w:val="003673C5"/>
    <w:rsid w:val="00367F57"/>
    <w:rsid w:val="00370E2D"/>
    <w:rsid w:val="00372D6D"/>
    <w:rsid w:val="003739A0"/>
    <w:rsid w:val="00374D87"/>
    <w:rsid w:val="003758B1"/>
    <w:rsid w:val="00375A37"/>
    <w:rsid w:val="00375EF9"/>
    <w:rsid w:val="00376B51"/>
    <w:rsid w:val="00376F8D"/>
    <w:rsid w:val="003777C1"/>
    <w:rsid w:val="00380219"/>
    <w:rsid w:val="00380295"/>
    <w:rsid w:val="00380CBF"/>
    <w:rsid w:val="00383F53"/>
    <w:rsid w:val="003862AC"/>
    <w:rsid w:val="00386AA5"/>
    <w:rsid w:val="003871AA"/>
    <w:rsid w:val="00390D76"/>
    <w:rsid w:val="00391603"/>
    <w:rsid w:val="00392F1E"/>
    <w:rsid w:val="00393715"/>
    <w:rsid w:val="00393AFC"/>
    <w:rsid w:val="00393E03"/>
    <w:rsid w:val="0039441D"/>
    <w:rsid w:val="00394542"/>
    <w:rsid w:val="003945BE"/>
    <w:rsid w:val="003948F3"/>
    <w:rsid w:val="00395F91"/>
    <w:rsid w:val="0039612B"/>
    <w:rsid w:val="00396699"/>
    <w:rsid w:val="00397A82"/>
    <w:rsid w:val="003A24C6"/>
    <w:rsid w:val="003A2FFE"/>
    <w:rsid w:val="003A409D"/>
    <w:rsid w:val="003A40A1"/>
    <w:rsid w:val="003A48BE"/>
    <w:rsid w:val="003A5FEA"/>
    <w:rsid w:val="003A76AA"/>
    <w:rsid w:val="003B0550"/>
    <w:rsid w:val="003B106B"/>
    <w:rsid w:val="003B2078"/>
    <w:rsid w:val="003B21DA"/>
    <w:rsid w:val="003B57D3"/>
    <w:rsid w:val="003B694F"/>
    <w:rsid w:val="003B6D2F"/>
    <w:rsid w:val="003B7448"/>
    <w:rsid w:val="003C069A"/>
    <w:rsid w:val="003C0FF7"/>
    <w:rsid w:val="003C1636"/>
    <w:rsid w:val="003C1F0A"/>
    <w:rsid w:val="003C2D3D"/>
    <w:rsid w:val="003C2DEC"/>
    <w:rsid w:val="003C3D13"/>
    <w:rsid w:val="003C67A9"/>
    <w:rsid w:val="003C6D0B"/>
    <w:rsid w:val="003C702C"/>
    <w:rsid w:val="003D01B4"/>
    <w:rsid w:val="003D0487"/>
    <w:rsid w:val="003D1A1C"/>
    <w:rsid w:val="003D23DB"/>
    <w:rsid w:val="003D27DC"/>
    <w:rsid w:val="003D2895"/>
    <w:rsid w:val="003D3A3E"/>
    <w:rsid w:val="003D5196"/>
    <w:rsid w:val="003D5B20"/>
    <w:rsid w:val="003D5C15"/>
    <w:rsid w:val="003D6899"/>
    <w:rsid w:val="003E181E"/>
    <w:rsid w:val="003E1954"/>
    <w:rsid w:val="003E29BF"/>
    <w:rsid w:val="003E2EDF"/>
    <w:rsid w:val="003E4341"/>
    <w:rsid w:val="003E58BC"/>
    <w:rsid w:val="003E5B56"/>
    <w:rsid w:val="003E5C4C"/>
    <w:rsid w:val="003E6C55"/>
    <w:rsid w:val="003E7D80"/>
    <w:rsid w:val="003F0D36"/>
    <w:rsid w:val="003F171C"/>
    <w:rsid w:val="003F180E"/>
    <w:rsid w:val="003F1E52"/>
    <w:rsid w:val="003F2AD7"/>
    <w:rsid w:val="003F3803"/>
    <w:rsid w:val="003F4995"/>
    <w:rsid w:val="003F4B93"/>
    <w:rsid w:val="003F5AA7"/>
    <w:rsid w:val="0040030E"/>
    <w:rsid w:val="00400C89"/>
    <w:rsid w:val="004015D3"/>
    <w:rsid w:val="00402A1D"/>
    <w:rsid w:val="00402E66"/>
    <w:rsid w:val="004038E2"/>
    <w:rsid w:val="00403B74"/>
    <w:rsid w:val="0040401D"/>
    <w:rsid w:val="00404D37"/>
    <w:rsid w:val="00405115"/>
    <w:rsid w:val="00405664"/>
    <w:rsid w:val="00405C4A"/>
    <w:rsid w:val="004063F5"/>
    <w:rsid w:val="004068E3"/>
    <w:rsid w:val="00407AF4"/>
    <w:rsid w:val="0041012F"/>
    <w:rsid w:val="00411272"/>
    <w:rsid w:val="004125EB"/>
    <w:rsid w:val="00412FC5"/>
    <w:rsid w:val="0041355F"/>
    <w:rsid w:val="00413B57"/>
    <w:rsid w:val="00413BC9"/>
    <w:rsid w:val="00413D22"/>
    <w:rsid w:val="00415EE3"/>
    <w:rsid w:val="004170E3"/>
    <w:rsid w:val="00417D33"/>
    <w:rsid w:val="00420A77"/>
    <w:rsid w:val="0042119E"/>
    <w:rsid w:val="00421585"/>
    <w:rsid w:val="00421979"/>
    <w:rsid w:val="00422276"/>
    <w:rsid w:val="004242F1"/>
    <w:rsid w:val="00424910"/>
    <w:rsid w:val="004271EE"/>
    <w:rsid w:val="004279AC"/>
    <w:rsid w:val="00430157"/>
    <w:rsid w:val="004317AD"/>
    <w:rsid w:val="00431896"/>
    <w:rsid w:val="00431F9E"/>
    <w:rsid w:val="0043410F"/>
    <w:rsid w:val="0043610D"/>
    <w:rsid w:val="00436309"/>
    <w:rsid w:val="004371DD"/>
    <w:rsid w:val="004412CB"/>
    <w:rsid w:val="00442548"/>
    <w:rsid w:val="004439F7"/>
    <w:rsid w:val="00443CBE"/>
    <w:rsid w:val="004459A6"/>
    <w:rsid w:val="00445A00"/>
    <w:rsid w:val="00450E63"/>
    <w:rsid w:val="00451A17"/>
    <w:rsid w:val="00451AEA"/>
    <w:rsid w:val="00451B0F"/>
    <w:rsid w:val="00452D1E"/>
    <w:rsid w:val="00453DE3"/>
    <w:rsid w:val="00453E54"/>
    <w:rsid w:val="0045482F"/>
    <w:rsid w:val="00457410"/>
    <w:rsid w:val="004600AC"/>
    <w:rsid w:val="00460119"/>
    <w:rsid w:val="00460B9C"/>
    <w:rsid w:val="00462CFF"/>
    <w:rsid w:val="00462FDA"/>
    <w:rsid w:val="00463A2B"/>
    <w:rsid w:val="00463C3E"/>
    <w:rsid w:val="00465162"/>
    <w:rsid w:val="00470220"/>
    <w:rsid w:val="004720EA"/>
    <w:rsid w:val="0047222C"/>
    <w:rsid w:val="00472A00"/>
    <w:rsid w:val="00472F26"/>
    <w:rsid w:val="0047356C"/>
    <w:rsid w:val="00474094"/>
    <w:rsid w:val="004742DE"/>
    <w:rsid w:val="004751C1"/>
    <w:rsid w:val="00475C93"/>
    <w:rsid w:val="004761CF"/>
    <w:rsid w:val="004814D6"/>
    <w:rsid w:val="004823E9"/>
    <w:rsid w:val="00482C2B"/>
    <w:rsid w:val="00483A58"/>
    <w:rsid w:val="00484511"/>
    <w:rsid w:val="00484E67"/>
    <w:rsid w:val="00486809"/>
    <w:rsid w:val="00486919"/>
    <w:rsid w:val="00487F1A"/>
    <w:rsid w:val="00490920"/>
    <w:rsid w:val="00491009"/>
    <w:rsid w:val="0049127F"/>
    <w:rsid w:val="00492CB9"/>
    <w:rsid w:val="00493FCC"/>
    <w:rsid w:val="00495E7D"/>
    <w:rsid w:val="004960BF"/>
    <w:rsid w:val="00497D0D"/>
    <w:rsid w:val="00497EC0"/>
    <w:rsid w:val="004A2AFB"/>
    <w:rsid w:val="004A3211"/>
    <w:rsid w:val="004A4526"/>
    <w:rsid w:val="004A59E5"/>
    <w:rsid w:val="004A64A3"/>
    <w:rsid w:val="004A741F"/>
    <w:rsid w:val="004A7ABD"/>
    <w:rsid w:val="004B0D8A"/>
    <w:rsid w:val="004B18E7"/>
    <w:rsid w:val="004B4A22"/>
    <w:rsid w:val="004B52A9"/>
    <w:rsid w:val="004B56E2"/>
    <w:rsid w:val="004B611C"/>
    <w:rsid w:val="004B639B"/>
    <w:rsid w:val="004B6BCC"/>
    <w:rsid w:val="004C04A3"/>
    <w:rsid w:val="004C0848"/>
    <w:rsid w:val="004C16C6"/>
    <w:rsid w:val="004C217A"/>
    <w:rsid w:val="004C2EE3"/>
    <w:rsid w:val="004C35BC"/>
    <w:rsid w:val="004C3E90"/>
    <w:rsid w:val="004C45C9"/>
    <w:rsid w:val="004C6269"/>
    <w:rsid w:val="004C6361"/>
    <w:rsid w:val="004C64A9"/>
    <w:rsid w:val="004D145B"/>
    <w:rsid w:val="004D3047"/>
    <w:rsid w:val="004D3E8A"/>
    <w:rsid w:val="004D4A70"/>
    <w:rsid w:val="004D5ADE"/>
    <w:rsid w:val="004D6491"/>
    <w:rsid w:val="004D6FC6"/>
    <w:rsid w:val="004D74B8"/>
    <w:rsid w:val="004E10C8"/>
    <w:rsid w:val="004E24B0"/>
    <w:rsid w:val="004E3240"/>
    <w:rsid w:val="004E4A22"/>
    <w:rsid w:val="004E5093"/>
    <w:rsid w:val="004E5B97"/>
    <w:rsid w:val="004F0443"/>
    <w:rsid w:val="004F073E"/>
    <w:rsid w:val="004F185F"/>
    <w:rsid w:val="004F1C85"/>
    <w:rsid w:val="004F1EF0"/>
    <w:rsid w:val="004F1FDF"/>
    <w:rsid w:val="004F2283"/>
    <w:rsid w:val="004F2CE4"/>
    <w:rsid w:val="004F39D0"/>
    <w:rsid w:val="004F3F26"/>
    <w:rsid w:val="004F4211"/>
    <w:rsid w:val="004F569B"/>
    <w:rsid w:val="004F665D"/>
    <w:rsid w:val="004F6840"/>
    <w:rsid w:val="004F6932"/>
    <w:rsid w:val="004F714E"/>
    <w:rsid w:val="005008D0"/>
    <w:rsid w:val="00500D94"/>
    <w:rsid w:val="00501DFB"/>
    <w:rsid w:val="00502074"/>
    <w:rsid w:val="005022AF"/>
    <w:rsid w:val="005028AA"/>
    <w:rsid w:val="00503CE6"/>
    <w:rsid w:val="00504991"/>
    <w:rsid w:val="00504ED8"/>
    <w:rsid w:val="00505230"/>
    <w:rsid w:val="005066E8"/>
    <w:rsid w:val="005106D9"/>
    <w:rsid w:val="00510909"/>
    <w:rsid w:val="00510BB3"/>
    <w:rsid w:val="00511265"/>
    <w:rsid w:val="00511968"/>
    <w:rsid w:val="00511C34"/>
    <w:rsid w:val="00512C1B"/>
    <w:rsid w:val="00513E40"/>
    <w:rsid w:val="00513EAF"/>
    <w:rsid w:val="005147BB"/>
    <w:rsid w:val="00514B48"/>
    <w:rsid w:val="005158C7"/>
    <w:rsid w:val="00515E14"/>
    <w:rsid w:val="00516145"/>
    <w:rsid w:val="005167C8"/>
    <w:rsid w:val="00516DD1"/>
    <w:rsid w:val="00516E10"/>
    <w:rsid w:val="005209AE"/>
    <w:rsid w:val="00520DC4"/>
    <w:rsid w:val="00522720"/>
    <w:rsid w:val="00522F55"/>
    <w:rsid w:val="00524D97"/>
    <w:rsid w:val="00524EDD"/>
    <w:rsid w:val="00525811"/>
    <w:rsid w:val="00526C8E"/>
    <w:rsid w:val="00527DA8"/>
    <w:rsid w:val="005314F5"/>
    <w:rsid w:val="00532B96"/>
    <w:rsid w:val="00533B17"/>
    <w:rsid w:val="00535157"/>
    <w:rsid w:val="00535207"/>
    <w:rsid w:val="005355C9"/>
    <w:rsid w:val="0053613F"/>
    <w:rsid w:val="00536AAD"/>
    <w:rsid w:val="005379FC"/>
    <w:rsid w:val="00540616"/>
    <w:rsid w:val="00541253"/>
    <w:rsid w:val="005423B7"/>
    <w:rsid w:val="005434C0"/>
    <w:rsid w:val="0054389E"/>
    <w:rsid w:val="00543CAA"/>
    <w:rsid w:val="00544DA6"/>
    <w:rsid w:val="0054517B"/>
    <w:rsid w:val="00545267"/>
    <w:rsid w:val="00547D0B"/>
    <w:rsid w:val="00547D40"/>
    <w:rsid w:val="00550669"/>
    <w:rsid w:val="00550F71"/>
    <w:rsid w:val="0055101B"/>
    <w:rsid w:val="00551A88"/>
    <w:rsid w:val="005521B2"/>
    <w:rsid w:val="00552F9A"/>
    <w:rsid w:val="00553195"/>
    <w:rsid w:val="00553392"/>
    <w:rsid w:val="00553723"/>
    <w:rsid w:val="00553FE0"/>
    <w:rsid w:val="00555956"/>
    <w:rsid w:val="0055614A"/>
    <w:rsid w:val="0055614C"/>
    <w:rsid w:val="005564E5"/>
    <w:rsid w:val="00556705"/>
    <w:rsid w:val="00557265"/>
    <w:rsid w:val="00560A9F"/>
    <w:rsid w:val="00564912"/>
    <w:rsid w:val="00564C9B"/>
    <w:rsid w:val="0056625A"/>
    <w:rsid w:val="0056738C"/>
    <w:rsid w:val="005679B7"/>
    <w:rsid w:val="00567BAB"/>
    <w:rsid w:val="005709A3"/>
    <w:rsid w:val="00572472"/>
    <w:rsid w:val="00572AFE"/>
    <w:rsid w:val="00572D43"/>
    <w:rsid w:val="00573B5C"/>
    <w:rsid w:val="00575B20"/>
    <w:rsid w:val="00580524"/>
    <w:rsid w:val="005807F2"/>
    <w:rsid w:val="00582E6B"/>
    <w:rsid w:val="00584256"/>
    <w:rsid w:val="005850F3"/>
    <w:rsid w:val="0058603E"/>
    <w:rsid w:val="00591924"/>
    <w:rsid w:val="005919C9"/>
    <w:rsid w:val="00591A9B"/>
    <w:rsid w:val="005928E8"/>
    <w:rsid w:val="00593132"/>
    <w:rsid w:val="005A24C0"/>
    <w:rsid w:val="005A2750"/>
    <w:rsid w:val="005A2EB7"/>
    <w:rsid w:val="005A4D25"/>
    <w:rsid w:val="005A4D9A"/>
    <w:rsid w:val="005A516A"/>
    <w:rsid w:val="005A5BC5"/>
    <w:rsid w:val="005A5C48"/>
    <w:rsid w:val="005A5CF7"/>
    <w:rsid w:val="005A5D51"/>
    <w:rsid w:val="005A5D53"/>
    <w:rsid w:val="005A61D1"/>
    <w:rsid w:val="005A6493"/>
    <w:rsid w:val="005A7DC7"/>
    <w:rsid w:val="005B1399"/>
    <w:rsid w:val="005B4407"/>
    <w:rsid w:val="005B55A5"/>
    <w:rsid w:val="005B68EE"/>
    <w:rsid w:val="005B7907"/>
    <w:rsid w:val="005C098D"/>
    <w:rsid w:val="005C1005"/>
    <w:rsid w:val="005C226D"/>
    <w:rsid w:val="005C2444"/>
    <w:rsid w:val="005C24E7"/>
    <w:rsid w:val="005C2846"/>
    <w:rsid w:val="005C45DA"/>
    <w:rsid w:val="005C54F4"/>
    <w:rsid w:val="005C639F"/>
    <w:rsid w:val="005C6CCB"/>
    <w:rsid w:val="005C710A"/>
    <w:rsid w:val="005C7461"/>
    <w:rsid w:val="005C7988"/>
    <w:rsid w:val="005C7D46"/>
    <w:rsid w:val="005C7FB2"/>
    <w:rsid w:val="005D31B4"/>
    <w:rsid w:val="005D3779"/>
    <w:rsid w:val="005D3D40"/>
    <w:rsid w:val="005D3E79"/>
    <w:rsid w:val="005D472F"/>
    <w:rsid w:val="005D564A"/>
    <w:rsid w:val="005D5DA9"/>
    <w:rsid w:val="005D6174"/>
    <w:rsid w:val="005E0381"/>
    <w:rsid w:val="005E2B66"/>
    <w:rsid w:val="005E2FB7"/>
    <w:rsid w:val="005E41BB"/>
    <w:rsid w:val="005E5539"/>
    <w:rsid w:val="005E55F9"/>
    <w:rsid w:val="005E5727"/>
    <w:rsid w:val="005E732A"/>
    <w:rsid w:val="005E7700"/>
    <w:rsid w:val="005F082C"/>
    <w:rsid w:val="005F13F2"/>
    <w:rsid w:val="005F1E96"/>
    <w:rsid w:val="005F211E"/>
    <w:rsid w:val="005F36D6"/>
    <w:rsid w:val="005F3D0C"/>
    <w:rsid w:val="005F6483"/>
    <w:rsid w:val="005F717E"/>
    <w:rsid w:val="005F7227"/>
    <w:rsid w:val="00600295"/>
    <w:rsid w:val="006007B1"/>
    <w:rsid w:val="00600F81"/>
    <w:rsid w:val="00602BCE"/>
    <w:rsid w:val="0060301E"/>
    <w:rsid w:val="006036DE"/>
    <w:rsid w:val="00603A8C"/>
    <w:rsid w:val="00604031"/>
    <w:rsid w:val="006042F3"/>
    <w:rsid w:val="00604C31"/>
    <w:rsid w:val="006051EE"/>
    <w:rsid w:val="0060521C"/>
    <w:rsid w:val="006065DA"/>
    <w:rsid w:val="00606B49"/>
    <w:rsid w:val="00606DBF"/>
    <w:rsid w:val="00607B64"/>
    <w:rsid w:val="00607BA5"/>
    <w:rsid w:val="00610E08"/>
    <w:rsid w:val="00613099"/>
    <w:rsid w:val="006153AC"/>
    <w:rsid w:val="006157F0"/>
    <w:rsid w:val="0061586C"/>
    <w:rsid w:val="0061711B"/>
    <w:rsid w:val="006201FB"/>
    <w:rsid w:val="006206D5"/>
    <w:rsid w:val="00621EB8"/>
    <w:rsid w:val="00622EC7"/>
    <w:rsid w:val="00622EDA"/>
    <w:rsid w:val="00623A18"/>
    <w:rsid w:val="00623E5D"/>
    <w:rsid w:val="006240F9"/>
    <w:rsid w:val="00624826"/>
    <w:rsid w:val="006250A4"/>
    <w:rsid w:val="006251E7"/>
    <w:rsid w:val="0062569A"/>
    <w:rsid w:val="00626185"/>
    <w:rsid w:val="00626EB6"/>
    <w:rsid w:val="00627B97"/>
    <w:rsid w:val="006300D2"/>
    <w:rsid w:val="00630C9B"/>
    <w:rsid w:val="00630F09"/>
    <w:rsid w:val="00632BDB"/>
    <w:rsid w:val="00633E94"/>
    <w:rsid w:val="00634E54"/>
    <w:rsid w:val="0063510E"/>
    <w:rsid w:val="00635C1E"/>
    <w:rsid w:val="00636E11"/>
    <w:rsid w:val="00637A20"/>
    <w:rsid w:val="0064029D"/>
    <w:rsid w:val="00642284"/>
    <w:rsid w:val="006434AF"/>
    <w:rsid w:val="00644877"/>
    <w:rsid w:val="0064498B"/>
    <w:rsid w:val="00645B3A"/>
    <w:rsid w:val="0064684A"/>
    <w:rsid w:val="00646F73"/>
    <w:rsid w:val="0064777A"/>
    <w:rsid w:val="00651396"/>
    <w:rsid w:val="00652C6D"/>
    <w:rsid w:val="006539D2"/>
    <w:rsid w:val="00655D03"/>
    <w:rsid w:val="0065686A"/>
    <w:rsid w:val="00657022"/>
    <w:rsid w:val="006572A2"/>
    <w:rsid w:val="00657D3C"/>
    <w:rsid w:val="006606A4"/>
    <w:rsid w:val="00663F9B"/>
    <w:rsid w:val="00663FD0"/>
    <w:rsid w:val="00664282"/>
    <w:rsid w:val="006652E0"/>
    <w:rsid w:val="00665EFD"/>
    <w:rsid w:val="00667028"/>
    <w:rsid w:val="006671D1"/>
    <w:rsid w:val="006712F8"/>
    <w:rsid w:val="00671FE0"/>
    <w:rsid w:val="00672202"/>
    <w:rsid w:val="00673648"/>
    <w:rsid w:val="00673979"/>
    <w:rsid w:val="00674C8C"/>
    <w:rsid w:val="00674E47"/>
    <w:rsid w:val="00675B1D"/>
    <w:rsid w:val="00676A5B"/>
    <w:rsid w:val="00676E39"/>
    <w:rsid w:val="0068046E"/>
    <w:rsid w:val="00681330"/>
    <w:rsid w:val="00681CC8"/>
    <w:rsid w:val="006825C2"/>
    <w:rsid w:val="00682AE3"/>
    <w:rsid w:val="006834CF"/>
    <w:rsid w:val="00683F84"/>
    <w:rsid w:val="00684904"/>
    <w:rsid w:val="00684A92"/>
    <w:rsid w:val="00685299"/>
    <w:rsid w:val="00685B80"/>
    <w:rsid w:val="006910FD"/>
    <w:rsid w:val="0069185B"/>
    <w:rsid w:val="00691B1D"/>
    <w:rsid w:val="00692A6F"/>
    <w:rsid w:val="00692E4A"/>
    <w:rsid w:val="00693282"/>
    <w:rsid w:val="00693438"/>
    <w:rsid w:val="00693CD8"/>
    <w:rsid w:val="006943D7"/>
    <w:rsid w:val="006944FE"/>
    <w:rsid w:val="00694F63"/>
    <w:rsid w:val="00694F7B"/>
    <w:rsid w:val="006959BD"/>
    <w:rsid w:val="00695EEA"/>
    <w:rsid w:val="00696200"/>
    <w:rsid w:val="006962A0"/>
    <w:rsid w:val="00696EAB"/>
    <w:rsid w:val="006978E2"/>
    <w:rsid w:val="006A076E"/>
    <w:rsid w:val="006A2D2C"/>
    <w:rsid w:val="006A4797"/>
    <w:rsid w:val="006A50FF"/>
    <w:rsid w:val="006A650A"/>
    <w:rsid w:val="006A6A81"/>
    <w:rsid w:val="006A7A67"/>
    <w:rsid w:val="006A7F2B"/>
    <w:rsid w:val="006B0AE2"/>
    <w:rsid w:val="006B0F2D"/>
    <w:rsid w:val="006B0FA6"/>
    <w:rsid w:val="006B15FA"/>
    <w:rsid w:val="006B20FC"/>
    <w:rsid w:val="006B235E"/>
    <w:rsid w:val="006B2621"/>
    <w:rsid w:val="006B3204"/>
    <w:rsid w:val="006B38CA"/>
    <w:rsid w:val="006B437B"/>
    <w:rsid w:val="006B4642"/>
    <w:rsid w:val="006B469D"/>
    <w:rsid w:val="006B4B90"/>
    <w:rsid w:val="006B5C47"/>
    <w:rsid w:val="006B611F"/>
    <w:rsid w:val="006B616D"/>
    <w:rsid w:val="006B758C"/>
    <w:rsid w:val="006C2DA1"/>
    <w:rsid w:val="006C3BFB"/>
    <w:rsid w:val="006C3CD6"/>
    <w:rsid w:val="006C44BD"/>
    <w:rsid w:val="006C505A"/>
    <w:rsid w:val="006C5F00"/>
    <w:rsid w:val="006C5FFC"/>
    <w:rsid w:val="006C6FBD"/>
    <w:rsid w:val="006C71D9"/>
    <w:rsid w:val="006D0241"/>
    <w:rsid w:val="006D0565"/>
    <w:rsid w:val="006D0EED"/>
    <w:rsid w:val="006D2A74"/>
    <w:rsid w:val="006D30F1"/>
    <w:rsid w:val="006D55E1"/>
    <w:rsid w:val="006D570C"/>
    <w:rsid w:val="006D5B91"/>
    <w:rsid w:val="006D5E3A"/>
    <w:rsid w:val="006D6041"/>
    <w:rsid w:val="006D70C8"/>
    <w:rsid w:val="006D7C02"/>
    <w:rsid w:val="006D7F84"/>
    <w:rsid w:val="006E1203"/>
    <w:rsid w:val="006E1292"/>
    <w:rsid w:val="006E1823"/>
    <w:rsid w:val="006E1CDD"/>
    <w:rsid w:val="006E4AB6"/>
    <w:rsid w:val="006E4D94"/>
    <w:rsid w:val="006E5DC8"/>
    <w:rsid w:val="006F5EF2"/>
    <w:rsid w:val="006F6FA7"/>
    <w:rsid w:val="006F7393"/>
    <w:rsid w:val="007001E4"/>
    <w:rsid w:val="0070224F"/>
    <w:rsid w:val="007029A8"/>
    <w:rsid w:val="00702C73"/>
    <w:rsid w:val="00702EF0"/>
    <w:rsid w:val="007037A4"/>
    <w:rsid w:val="0070417F"/>
    <w:rsid w:val="0070431C"/>
    <w:rsid w:val="00704830"/>
    <w:rsid w:val="0070490D"/>
    <w:rsid w:val="00705D5F"/>
    <w:rsid w:val="00705DCF"/>
    <w:rsid w:val="00707D1F"/>
    <w:rsid w:val="007106D0"/>
    <w:rsid w:val="00710E83"/>
    <w:rsid w:val="007115F7"/>
    <w:rsid w:val="00711789"/>
    <w:rsid w:val="007118A2"/>
    <w:rsid w:val="007132C9"/>
    <w:rsid w:val="00713F08"/>
    <w:rsid w:val="00714188"/>
    <w:rsid w:val="00715497"/>
    <w:rsid w:val="007172A1"/>
    <w:rsid w:val="007172E6"/>
    <w:rsid w:val="00717407"/>
    <w:rsid w:val="0071757C"/>
    <w:rsid w:val="00720780"/>
    <w:rsid w:val="007217E7"/>
    <w:rsid w:val="007245B0"/>
    <w:rsid w:val="00725FCB"/>
    <w:rsid w:val="007278A8"/>
    <w:rsid w:val="00727A1D"/>
    <w:rsid w:val="00730475"/>
    <w:rsid w:val="0073062A"/>
    <w:rsid w:val="00730A20"/>
    <w:rsid w:val="00735061"/>
    <w:rsid w:val="00735FE8"/>
    <w:rsid w:val="00737F60"/>
    <w:rsid w:val="00737FD5"/>
    <w:rsid w:val="007410D7"/>
    <w:rsid w:val="00741538"/>
    <w:rsid w:val="007418FA"/>
    <w:rsid w:val="00741AE3"/>
    <w:rsid w:val="00741DFA"/>
    <w:rsid w:val="007420DA"/>
    <w:rsid w:val="00743042"/>
    <w:rsid w:val="0074327D"/>
    <w:rsid w:val="00743607"/>
    <w:rsid w:val="007447EE"/>
    <w:rsid w:val="00744800"/>
    <w:rsid w:val="00744F0F"/>
    <w:rsid w:val="007450A3"/>
    <w:rsid w:val="007455A4"/>
    <w:rsid w:val="00746155"/>
    <w:rsid w:val="00746E39"/>
    <w:rsid w:val="00747744"/>
    <w:rsid w:val="00747F03"/>
    <w:rsid w:val="007500A1"/>
    <w:rsid w:val="00750510"/>
    <w:rsid w:val="00750A8B"/>
    <w:rsid w:val="00750F87"/>
    <w:rsid w:val="00751568"/>
    <w:rsid w:val="00752A5D"/>
    <w:rsid w:val="00752C8E"/>
    <w:rsid w:val="00753129"/>
    <w:rsid w:val="0075339D"/>
    <w:rsid w:val="007539A5"/>
    <w:rsid w:val="00754215"/>
    <w:rsid w:val="00755267"/>
    <w:rsid w:val="00755A55"/>
    <w:rsid w:val="00755E50"/>
    <w:rsid w:val="00755ECE"/>
    <w:rsid w:val="0075724B"/>
    <w:rsid w:val="00757CDA"/>
    <w:rsid w:val="0076071F"/>
    <w:rsid w:val="00760915"/>
    <w:rsid w:val="007614B2"/>
    <w:rsid w:val="00761B6C"/>
    <w:rsid w:val="00761E83"/>
    <w:rsid w:val="00761F93"/>
    <w:rsid w:val="007629AF"/>
    <w:rsid w:val="007651FF"/>
    <w:rsid w:val="00765FAE"/>
    <w:rsid w:val="00766758"/>
    <w:rsid w:val="00770395"/>
    <w:rsid w:val="007705D4"/>
    <w:rsid w:val="00770623"/>
    <w:rsid w:val="00770EB5"/>
    <w:rsid w:val="00771F5C"/>
    <w:rsid w:val="00773062"/>
    <w:rsid w:val="007744E5"/>
    <w:rsid w:val="00774630"/>
    <w:rsid w:val="0077678A"/>
    <w:rsid w:val="00780C66"/>
    <w:rsid w:val="00783567"/>
    <w:rsid w:val="00783E33"/>
    <w:rsid w:val="00784377"/>
    <w:rsid w:val="00784B33"/>
    <w:rsid w:val="007855F3"/>
    <w:rsid w:val="00785689"/>
    <w:rsid w:val="007856C3"/>
    <w:rsid w:val="007859BD"/>
    <w:rsid w:val="00786F74"/>
    <w:rsid w:val="007873CC"/>
    <w:rsid w:val="00790320"/>
    <w:rsid w:val="00790F85"/>
    <w:rsid w:val="007916B0"/>
    <w:rsid w:val="00791B86"/>
    <w:rsid w:val="00792B85"/>
    <w:rsid w:val="00794DF9"/>
    <w:rsid w:val="00796096"/>
    <w:rsid w:val="0079700B"/>
    <w:rsid w:val="00797368"/>
    <w:rsid w:val="0079754B"/>
    <w:rsid w:val="007A1E6D"/>
    <w:rsid w:val="007A3A1A"/>
    <w:rsid w:val="007A447C"/>
    <w:rsid w:val="007A4495"/>
    <w:rsid w:val="007A4970"/>
    <w:rsid w:val="007A4C83"/>
    <w:rsid w:val="007A5239"/>
    <w:rsid w:val="007A7E33"/>
    <w:rsid w:val="007B1B21"/>
    <w:rsid w:val="007B1D7D"/>
    <w:rsid w:val="007B2442"/>
    <w:rsid w:val="007B24A5"/>
    <w:rsid w:val="007B2CFF"/>
    <w:rsid w:val="007B2D6A"/>
    <w:rsid w:val="007B3626"/>
    <w:rsid w:val="007B4E81"/>
    <w:rsid w:val="007B5EDF"/>
    <w:rsid w:val="007B69D5"/>
    <w:rsid w:val="007B6B83"/>
    <w:rsid w:val="007B7FA4"/>
    <w:rsid w:val="007C1052"/>
    <w:rsid w:val="007C10DE"/>
    <w:rsid w:val="007C2199"/>
    <w:rsid w:val="007C2432"/>
    <w:rsid w:val="007C389A"/>
    <w:rsid w:val="007C3C09"/>
    <w:rsid w:val="007C3DE9"/>
    <w:rsid w:val="007C51AD"/>
    <w:rsid w:val="007C58B5"/>
    <w:rsid w:val="007C5F59"/>
    <w:rsid w:val="007C7160"/>
    <w:rsid w:val="007C73B9"/>
    <w:rsid w:val="007C790B"/>
    <w:rsid w:val="007D0299"/>
    <w:rsid w:val="007D1C3A"/>
    <w:rsid w:val="007D2189"/>
    <w:rsid w:val="007D3F2D"/>
    <w:rsid w:val="007D4123"/>
    <w:rsid w:val="007D436B"/>
    <w:rsid w:val="007D7060"/>
    <w:rsid w:val="007E06B8"/>
    <w:rsid w:val="007E122F"/>
    <w:rsid w:val="007E1311"/>
    <w:rsid w:val="007E1E70"/>
    <w:rsid w:val="007E51A7"/>
    <w:rsid w:val="007E545A"/>
    <w:rsid w:val="007E6CF3"/>
    <w:rsid w:val="007E7819"/>
    <w:rsid w:val="007E7939"/>
    <w:rsid w:val="007E7A07"/>
    <w:rsid w:val="007E7C65"/>
    <w:rsid w:val="007F03FD"/>
    <w:rsid w:val="007F0C42"/>
    <w:rsid w:val="007F13B7"/>
    <w:rsid w:val="007F2898"/>
    <w:rsid w:val="007F543A"/>
    <w:rsid w:val="007F5DB2"/>
    <w:rsid w:val="007F79B4"/>
    <w:rsid w:val="00800355"/>
    <w:rsid w:val="00800B55"/>
    <w:rsid w:val="00800FD3"/>
    <w:rsid w:val="008016B9"/>
    <w:rsid w:val="00801847"/>
    <w:rsid w:val="00802B39"/>
    <w:rsid w:val="00805100"/>
    <w:rsid w:val="00805C0B"/>
    <w:rsid w:val="00807038"/>
    <w:rsid w:val="00807961"/>
    <w:rsid w:val="00807D86"/>
    <w:rsid w:val="00807EE9"/>
    <w:rsid w:val="00807F22"/>
    <w:rsid w:val="00811DBC"/>
    <w:rsid w:val="008121B1"/>
    <w:rsid w:val="008122F3"/>
    <w:rsid w:val="00812EC2"/>
    <w:rsid w:val="00813650"/>
    <w:rsid w:val="00814340"/>
    <w:rsid w:val="008150CA"/>
    <w:rsid w:val="0081517D"/>
    <w:rsid w:val="008153C0"/>
    <w:rsid w:val="008157E9"/>
    <w:rsid w:val="00815F8A"/>
    <w:rsid w:val="008168D5"/>
    <w:rsid w:val="00816CCB"/>
    <w:rsid w:val="00817AFE"/>
    <w:rsid w:val="00817C2C"/>
    <w:rsid w:val="00817D9D"/>
    <w:rsid w:val="00822622"/>
    <w:rsid w:val="00822AC5"/>
    <w:rsid w:val="00822BB2"/>
    <w:rsid w:val="00822CE0"/>
    <w:rsid w:val="00822D69"/>
    <w:rsid w:val="00822ECF"/>
    <w:rsid w:val="00823DE3"/>
    <w:rsid w:val="00824D88"/>
    <w:rsid w:val="0082574C"/>
    <w:rsid w:val="00825D39"/>
    <w:rsid w:val="008260F7"/>
    <w:rsid w:val="00826936"/>
    <w:rsid w:val="00826BA2"/>
    <w:rsid w:val="008277D2"/>
    <w:rsid w:val="00830FB3"/>
    <w:rsid w:val="00833CD3"/>
    <w:rsid w:val="008340D8"/>
    <w:rsid w:val="008344C5"/>
    <w:rsid w:val="00834C01"/>
    <w:rsid w:val="00835B0E"/>
    <w:rsid w:val="008361F3"/>
    <w:rsid w:val="008404AB"/>
    <w:rsid w:val="00841AB1"/>
    <w:rsid w:val="00841D09"/>
    <w:rsid w:val="00841D9D"/>
    <w:rsid w:val="00842B9C"/>
    <w:rsid w:val="008458D2"/>
    <w:rsid w:val="00846A20"/>
    <w:rsid w:val="00846C35"/>
    <w:rsid w:val="00846F6A"/>
    <w:rsid w:val="008476CD"/>
    <w:rsid w:val="008478EA"/>
    <w:rsid w:val="0084790D"/>
    <w:rsid w:val="00847B40"/>
    <w:rsid w:val="0085104C"/>
    <w:rsid w:val="008525D6"/>
    <w:rsid w:val="00852836"/>
    <w:rsid w:val="00852C3A"/>
    <w:rsid w:val="0085445D"/>
    <w:rsid w:val="00854D3A"/>
    <w:rsid w:val="0085531E"/>
    <w:rsid w:val="0085590C"/>
    <w:rsid w:val="00855F44"/>
    <w:rsid w:val="00856D2C"/>
    <w:rsid w:val="00856EB5"/>
    <w:rsid w:val="00857172"/>
    <w:rsid w:val="00857892"/>
    <w:rsid w:val="0086136E"/>
    <w:rsid w:val="00861907"/>
    <w:rsid w:val="00861E27"/>
    <w:rsid w:val="00862A3D"/>
    <w:rsid w:val="00862CF1"/>
    <w:rsid w:val="00863EDD"/>
    <w:rsid w:val="0086523B"/>
    <w:rsid w:val="00865E69"/>
    <w:rsid w:val="00866143"/>
    <w:rsid w:val="0086639E"/>
    <w:rsid w:val="00866CEB"/>
    <w:rsid w:val="00867D74"/>
    <w:rsid w:val="00871B6A"/>
    <w:rsid w:val="00872738"/>
    <w:rsid w:val="00872841"/>
    <w:rsid w:val="00872883"/>
    <w:rsid w:val="00872B4D"/>
    <w:rsid w:val="00872DE1"/>
    <w:rsid w:val="00873D6D"/>
    <w:rsid w:val="00874283"/>
    <w:rsid w:val="00874BB4"/>
    <w:rsid w:val="00874D0B"/>
    <w:rsid w:val="00875E3E"/>
    <w:rsid w:val="008765E0"/>
    <w:rsid w:val="008766D9"/>
    <w:rsid w:val="00876775"/>
    <w:rsid w:val="00876D8B"/>
    <w:rsid w:val="00877800"/>
    <w:rsid w:val="008814B9"/>
    <w:rsid w:val="00881F5F"/>
    <w:rsid w:val="00882A0F"/>
    <w:rsid w:val="0088335A"/>
    <w:rsid w:val="00883D0C"/>
    <w:rsid w:val="00883DD7"/>
    <w:rsid w:val="0088408D"/>
    <w:rsid w:val="008844E7"/>
    <w:rsid w:val="00884DDB"/>
    <w:rsid w:val="00885B71"/>
    <w:rsid w:val="0088639D"/>
    <w:rsid w:val="008866EA"/>
    <w:rsid w:val="00886D71"/>
    <w:rsid w:val="00886E9D"/>
    <w:rsid w:val="00890E64"/>
    <w:rsid w:val="00893469"/>
    <w:rsid w:val="00894329"/>
    <w:rsid w:val="008947C9"/>
    <w:rsid w:val="008950BD"/>
    <w:rsid w:val="0089623B"/>
    <w:rsid w:val="008967BE"/>
    <w:rsid w:val="00896897"/>
    <w:rsid w:val="00897DAC"/>
    <w:rsid w:val="008A2E9D"/>
    <w:rsid w:val="008A58E5"/>
    <w:rsid w:val="008A5D4C"/>
    <w:rsid w:val="008A6C27"/>
    <w:rsid w:val="008A74FC"/>
    <w:rsid w:val="008A77B9"/>
    <w:rsid w:val="008B044A"/>
    <w:rsid w:val="008B343C"/>
    <w:rsid w:val="008B3602"/>
    <w:rsid w:val="008B43AB"/>
    <w:rsid w:val="008B491A"/>
    <w:rsid w:val="008B5548"/>
    <w:rsid w:val="008B5AD4"/>
    <w:rsid w:val="008C0709"/>
    <w:rsid w:val="008C1814"/>
    <w:rsid w:val="008C46EE"/>
    <w:rsid w:val="008C47E0"/>
    <w:rsid w:val="008C4BBC"/>
    <w:rsid w:val="008C5115"/>
    <w:rsid w:val="008C531C"/>
    <w:rsid w:val="008C5992"/>
    <w:rsid w:val="008C5D08"/>
    <w:rsid w:val="008C6138"/>
    <w:rsid w:val="008C6CB8"/>
    <w:rsid w:val="008C6D0F"/>
    <w:rsid w:val="008C793C"/>
    <w:rsid w:val="008C7D67"/>
    <w:rsid w:val="008C7DF3"/>
    <w:rsid w:val="008C7FF8"/>
    <w:rsid w:val="008D0370"/>
    <w:rsid w:val="008D0C9C"/>
    <w:rsid w:val="008D11EE"/>
    <w:rsid w:val="008D32ED"/>
    <w:rsid w:val="008D3D05"/>
    <w:rsid w:val="008D7BD6"/>
    <w:rsid w:val="008E197F"/>
    <w:rsid w:val="008E2315"/>
    <w:rsid w:val="008E28FB"/>
    <w:rsid w:val="008E3B0F"/>
    <w:rsid w:val="008E45D8"/>
    <w:rsid w:val="008E50DC"/>
    <w:rsid w:val="008E6E38"/>
    <w:rsid w:val="008E6E8B"/>
    <w:rsid w:val="008E6F35"/>
    <w:rsid w:val="008E6FAC"/>
    <w:rsid w:val="008E73B5"/>
    <w:rsid w:val="008F0A09"/>
    <w:rsid w:val="008F1A34"/>
    <w:rsid w:val="008F2084"/>
    <w:rsid w:val="008F3252"/>
    <w:rsid w:val="008F4D77"/>
    <w:rsid w:val="008F56C0"/>
    <w:rsid w:val="008F5A0E"/>
    <w:rsid w:val="008F61DE"/>
    <w:rsid w:val="008F6296"/>
    <w:rsid w:val="008F7F50"/>
    <w:rsid w:val="009002FB"/>
    <w:rsid w:val="0090075C"/>
    <w:rsid w:val="00900C1B"/>
    <w:rsid w:val="00901103"/>
    <w:rsid w:val="00901121"/>
    <w:rsid w:val="00905211"/>
    <w:rsid w:val="0090597B"/>
    <w:rsid w:val="00905F26"/>
    <w:rsid w:val="00905F8E"/>
    <w:rsid w:val="00906DCD"/>
    <w:rsid w:val="0091624D"/>
    <w:rsid w:val="009177ED"/>
    <w:rsid w:val="00917DD2"/>
    <w:rsid w:val="0092119E"/>
    <w:rsid w:val="00921803"/>
    <w:rsid w:val="0092231D"/>
    <w:rsid w:val="00923DD7"/>
    <w:rsid w:val="00926503"/>
    <w:rsid w:val="009265CF"/>
    <w:rsid w:val="00926EC1"/>
    <w:rsid w:val="00927FE3"/>
    <w:rsid w:val="0093032E"/>
    <w:rsid w:val="0093155B"/>
    <w:rsid w:val="00931B4C"/>
    <w:rsid w:val="0093258A"/>
    <w:rsid w:val="00932689"/>
    <w:rsid w:val="00933604"/>
    <w:rsid w:val="009356EF"/>
    <w:rsid w:val="009357F6"/>
    <w:rsid w:val="009359EE"/>
    <w:rsid w:val="00935BB8"/>
    <w:rsid w:val="00937727"/>
    <w:rsid w:val="00940165"/>
    <w:rsid w:val="0094048A"/>
    <w:rsid w:val="009417D7"/>
    <w:rsid w:val="009429BA"/>
    <w:rsid w:val="009439CF"/>
    <w:rsid w:val="00944279"/>
    <w:rsid w:val="009445D5"/>
    <w:rsid w:val="0094532B"/>
    <w:rsid w:val="009456C8"/>
    <w:rsid w:val="009457F5"/>
    <w:rsid w:val="00945EE5"/>
    <w:rsid w:val="00950895"/>
    <w:rsid w:val="009509B5"/>
    <w:rsid w:val="009513E4"/>
    <w:rsid w:val="00952622"/>
    <w:rsid w:val="00952CAB"/>
    <w:rsid w:val="0095413E"/>
    <w:rsid w:val="00954B96"/>
    <w:rsid w:val="00954C55"/>
    <w:rsid w:val="00955DFD"/>
    <w:rsid w:val="00957025"/>
    <w:rsid w:val="009573CF"/>
    <w:rsid w:val="009601C9"/>
    <w:rsid w:val="00961297"/>
    <w:rsid w:val="0096196C"/>
    <w:rsid w:val="00961A6A"/>
    <w:rsid w:val="00961B73"/>
    <w:rsid w:val="009627F6"/>
    <w:rsid w:val="00962D2F"/>
    <w:rsid w:val="00964B65"/>
    <w:rsid w:val="009670C1"/>
    <w:rsid w:val="00967546"/>
    <w:rsid w:val="00967842"/>
    <w:rsid w:val="00967C9D"/>
    <w:rsid w:val="00971521"/>
    <w:rsid w:val="00971BCF"/>
    <w:rsid w:val="00971C56"/>
    <w:rsid w:val="009723E9"/>
    <w:rsid w:val="00975174"/>
    <w:rsid w:val="0097548B"/>
    <w:rsid w:val="00975E48"/>
    <w:rsid w:val="009760F5"/>
    <w:rsid w:val="00976756"/>
    <w:rsid w:val="0097679A"/>
    <w:rsid w:val="00977F6C"/>
    <w:rsid w:val="009811E6"/>
    <w:rsid w:val="00982ECB"/>
    <w:rsid w:val="009832BF"/>
    <w:rsid w:val="009833EC"/>
    <w:rsid w:val="009867B6"/>
    <w:rsid w:val="00987BFF"/>
    <w:rsid w:val="0099067F"/>
    <w:rsid w:val="00990D26"/>
    <w:rsid w:val="0099115E"/>
    <w:rsid w:val="009912B8"/>
    <w:rsid w:val="00991835"/>
    <w:rsid w:val="00991B87"/>
    <w:rsid w:val="00992118"/>
    <w:rsid w:val="00992B3F"/>
    <w:rsid w:val="009930E3"/>
    <w:rsid w:val="00993BFB"/>
    <w:rsid w:val="00994372"/>
    <w:rsid w:val="00996512"/>
    <w:rsid w:val="00996AED"/>
    <w:rsid w:val="00996B9B"/>
    <w:rsid w:val="00996EBA"/>
    <w:rsid w:val="00997ADD"/>
    <w:rsid w:val="009A0C2A"/>
    <w:rsid w:val="009A0C42"/>
    <w:rsid w:val="009A13F7"/>
    <w:rsid w:val="009A2E09"/>
    <w:rsid w:val="009A3272"/>
    <w:rsid w:val="009A4C90"/>
    <w:rsid w:val="009A50C1"/>
    <w:rsid w:val="009A5323"/>
    <w:rsid w:val="009A5543"/>
    <w:rsid w:val="009A5748"/>
    <w:rsid w:val="009A7DE0"/>
    <w:rsid w:val="009B248E"/>
    <w:rsid w:val="009B38CB"/>
    <w:rsid w:val="009B3E76"/>
    <w:rsid w:val="009B3FB7"/>
    <w:rsid w:val="009B4295"/>
    <w:rsid w:val="009B4F6A"/>
    <w:rsid w:val="009B77C3"/>
    <w:rsid w:val="009C1F07"/>
    <w:rsid w:val="009C2108"/>
    <w:rsid w:val="009C351D"/>
    <w:rsid w:val="009C3CF4"/>
    <w:rsid w:val="009C46C3"/>
    <w:rsid w:val="009C5599"/>
    <w:rsid w:val="009C6ADD"/>
    <w:rsid w:val="009C7129"/>
    <w:rsid w:val="009C788B"/>
    <w:rsid w:val="009D08A6"/>
    <w:rsid w:val="009D0CF6"/>
    <w:rsid w:val="009D2F90"/>
    <w:rsid w:val="009D31AE"/>
    <w:rsid w:val="009D34B3"/>
    <w:rsid w:val="009D3B58"/>
    <w:rsid w:val="009D3D4C"/>
    <w:rsid w:val="009D420A"/>
    <w:rsid w:val="009D5BF3"/>
    <w:rsid w:val="009D6D92"/>
    <w:rsid w:val="009D7A3D"/>
    <w:rsid w:val="009D7D69"/>
    <w:rsid w:val="009E436B"/>
    <w:rsid w:val="009E57A4"/>
    <w:rsid w:val="009E5AD5"/>
    <w:rsid w:val="009E6E6C"/>
    <w:rsid w:val="009F0EEF"/>
    <w:rsid w:val="009F1397"/>
    <w:rsid w:val="009F1771"/>
    <w:rsid w:val="009F17F2"/>
    <w:rsid w:val="009F2B5E"/>
    <w:rsid w:val="009F3022"/>
    <w:rsid w:val="009F4490"/>
    <w:rsid w:val="009F476B"/>
    <w:rsid w:val="009F479E"/>
    <w:rsid w:val="009F627E"/>
    <w:rsid w:val="009F68D8"/>
    <w:rsid w:val="009F7A87"/>
    <w:rsid w:val="00A00EAB"/>
    <w:rsid w:val="00A011B0"/>
    <w:rsid w:val="00A0137F"/>
    <w:rsid w:val="00A013D4"/>
    <w:rsid w:val="00A01AE3"/>
    <w:rsid w:val="00A022C2"/>
    <w:rsid w:val="00A02F07"/>
    <w:rsid w:val="00A037CC"/>
    <w:rsid w:val="00A0392C"/>
    <w:rsid w:val="00A03C73"/>
    <w:rsid w:val="00A0419D"/>
    <w:rsid w:val="00A05F11"/>
    <w:rsid w:val="00A0676D"/>
    <w:rsid w:val="00A06D6B"/>
    <w:rsid w:val="00A12307"/>
    <w:rsid w:val="00A13640"/>
    <w:rsid w:val="00A136F9"/>
    <w:rsid w:val="00A139EC"/>
    <w:rsid w:val="00A152C4"/>
    <w:rsid w:val="00A15C6B"/>
    <w:rsid w:val="00A16C4E"/>
    <w:rsid w:val="00A174EB"/>
    <w:rsid w:val="00A21B43"/>
    <w:rsid w:val="00A21BF8"/>
    <w:rsid w:val="00A21C50"/>
    <w:rsid w:val="00A2232B"/>
    <w:rsid w:val="00A2247C"/>
    <w:rsid w:val="00A22877"/>
    <w:rsid w:val="00A23B28"/>
    <w:rsid w:val="00A24733"/>
    <w:rsid w:val="00A25900"/>
    <w:rsid w:val="00A25A95"/>
    <w:rsid w:val="00A2761C"/>
    <w:rsid w:val="00A30D3B"/>
    <w:rsid w:val="00A317EA"/>
    <w:rsid w:val="00A33046"/>
    <w:rsid w:val="00A33C3C"/>
    <w:rsid w:val="00A33C6D"/>
    <w:rsid w:val="00A356F0"/>
    <w:rsid w:val="00A358A4"/>
    <w:rsid w:val="00A35D47"/>
    <w:rsid w:val="00A36025"/>
    <w:rsid w:val="00A36716"/>
    <w:rsid w:val="00A37031"/>
    <w:rsid w:val="00A37071"/>
    <w:rsid w:val="00A3788A"/>
    <w:rsid w:val="00A37B81"/>
    <w:rsid w:val="00A37DED"/>
    <w:rsid w:val="00A40B98"/>
    <w:rsid w:val="00A41935"/>
    <w:rsid w:val="00A42803"/>
    <w:rsid w:val="00A43326"/>
    <w:rsid w:val="00A43790"/>
    <w:rsid w:val="00A43DFA"/>
    <w:rsid w:val="00A45F4F"/>
    <w:rsid w:val="00A46472"/>
    <w:rsid w:val="00A466CE"/>
    <w:rsid w:val="00A4673D"/>
    <w:rsid w:val="00A46FDC"/>
    <w:rsid w:val="00A5027D"/>
    <w:rsid w:val="00A50835"/>
    <w:rsid w:val="00A513FD"/>
    <w:rsid w:val="00A52C3B"/>
    <w:rsid w:val="00A52DC7"/>
    <w:rsid w:val="00A52DDD"/>
    <w:rsid w:val="00A53532"/>
    <w:rsid w:val="00A53891"/>
    <w:rsid w:val="00A53D7B"/>
    <w:rsid w:val="00A53D95"/>
    <w:rsid w:val="00A54216"/>
    <w:rsid w:val="00A54A82"/>
    <w:rsid w:val="00A571D5"/>
    <w:rsid w:val="00A600A9"/>
    <w:rsid w:val="00A62476"/>
    <w:rsid w:val="00A62658"/>
    <w:rsid w:val="00A6277B"/>
    <w:rsid w:val="00A63224"/>
    <w:rsid w:val="00A64FFA"/>
    <w:rsid w:val="00A662A1"/>
    <w:rsid w:val="00A664E1"/>
    <w:rsid w:val="00A67138"/>
    <w:rsid w:val="00A702CC"/>
    <w:rsid w:val="00A70B5B"/>
    <w:rsid w:val="00A711D3"/>
    <w:rsid w:val="00A72096"/>
    <w:rsid w:val="00A723D5"/>
    <w:rsid w:val="00A72DE8"/>
    <w:rsid w:val="00A738D2"/>
    <w:rsid w:val="00A73C66"/>
    <w:rsid w:val="00A740F5"/>
    <w:rsid w:val="00A7481B"/>
    <w:rsid w:val="00A75173"/>
    <w:rsid w:val="00A7531C"/>
    <w:rsid w:val="00A7661E"/>
    <w:rsid w:val="00A77FAA"/>
    <w:rsid w:val="00A80A8C"/>
    <w:rsid w:val="00A8231B"/>
    <w:rsid w:val="00A8246A"/>
    <w:rsid w:val="00A8273B"/>
    <w:rsid w:val="00A83C98"/>
    <w:rsid w:val="00A8485B"/>
    <w:rsid w:val="00A84B29"/>
    <w:rsid w:val="00A85368"/>
    <w:rsid w:val="00A85D0E"/>
    <w:rsid w:val="00A85EFA"/>
    <w:rsid w:val="00A86807"/>
    <w:rsid w:val="00A86D96"/>
    <w:rsid w:val="00A86DF3"/>
    <w:rsid w:val="00A878EC"/>
    <w:rsid w:val="00A9054D"/>
    <w:rsid w:val="00A90BD2"/>
    <w:rsid w:val="00A916DC"/>
    <w:rsid w:val="00A9185D"/>
    <w:rsid w:val="00A91F0C"/>
    <w:rsid w:val="00A92C5D"/>
    <w:rsid w:val="00A934EA"/>
    <w:rsid w:val="00A936E3"/>
    <w:rsid w:val="00A93B09"/>
    <w:rsid w:val="00A93DB1"/>
    <w:rsid w:val="00A94080"/>
    <w:rsid w:val="00A9571D"/>
    <w:rsid w:val="00A9581C"/>
    <w:rsid w:val="00A958B7"/>
    <w:rsid w:val="00A95C1E"/>
    <w:rsid w:val="00A9679D"/>
    <w:rsid w:val="00A979CA"/>
    <w:rsid w:val="00AA02E9"/>
    <w:rsid w:val="00AA0893"/>
    <w:rsid w:val="00AA0953"/>
    <w:rsid w:val="00AA2D3B"/>
    <w:rsid w:val="00AA2D96"/>
    <w:rsid w:val="00AA2E6F"/>
    <w:rsid w:val="00AA4830"/>
    <w:rsid w:val="00AA55B7"/>
    <w:rsid w:val="00AA5919"/>
    <w:rsid w:val="00AA5B9E"/>
    <w:rsid w:val="00AA6E22"/>
    <w:rsid w:val="00AA6EF6"/>
    <w:rsid w:val="00AA78C8"/>
    <w:rsid w:val="00AB0E44"/>
    <w:rsid w:val="00AB1D2C"/>
    <w:rsid w:val="00AB1E35"/>
    <w:rsid w:val="00AB1EBE"/>
    <w:rsid w:val="00AB2407"/>
    <w:rsid w:val="00AB53DF"/>
    <w:rsid w:val="00AB5519"/>
    <w:rsid w:val="00AB77D5"/>
    <w:rsid w:val="00AC02C8"/>
    <w:rsid w:val="00AC07EA"/>
    <w:rsid w:val="00AC0866"/>
    <w:rsid w:val="00AC0D2C"/>
    <w:rsid w:val="00AC18C3"/>
    <w:rsid w:val="00AC1B10"/>
    <w:rsid w:val="00AC2936"/>
    <w:rsid w:val="00AC5307"/>
    <w:rsid w:val="00AC7309"/>
    <w:rsid w:val="00AD0A2C"/>
    <w:rsid w:val="00AD0D52"/>
    <w:rsid w:val="00AD1395"/>
    <w:rsid w:val="00AD20B4"/>
    <w:rsid w:val="00AD2F65"/>
    <w:rsid w:val="00AD3BB4"/>
    <w:rsid w:val="00AD486B"/>
    <w:rsid w:val="00AD6062"/>
    <w:rsid w:val="00AD6505"/>
    <w:rsid w:val="00AE01F9"/>
    <w:rsid w:val="00AE1893"/>
    <w:rsid w:val="00AE1B10"/>
    <w:rsid w:val="00AE3674"/>
    <w:rsid w:val="00AE3681"/>
    <w:rsid w:val="00AE469A"/>
    <w:rsid w:val="00AE54D4"/>
    <w:rsid w:val="00AE6B6A"/>
    <w:rsid w:val="00AE6EBC"/>
    <w:rsid w:val="00AE76FD"/>
    <w:rsid w:val="00AF00F9"/>
    <w:rsid w:val="00AF0604"/>
    <w:rsid w:val="00AF11F6"/>
    <w:rsid w:val="00AF2371"/>
    <w:rsid w:val="00AF3373"/>
    <w:rsid w:val="00AF3C3D"/>
    <w:rsid w:val="00AF3FAF"/>
    <w:rsid w:val="00AF4049"/>
    <w:rsid w:val="00AF5602"/>
    <w:rsid w:val="00AF5F01"/>
    <w:rsid w:val="00AF6C99"/>
    <w:rsid w:val="00B004FA"/>
    <w:rsid w:val="00B01EBE"/>
    <w:rsid w:val="00B0283A"/>
    <w:rsid w:val="00B02A27"/>
    <w:rsid w:val="00B03E01"/>
    <w:rsid w:val="00B03EA6"/>
    <w:rsid w:val="00B042A2"/>
    <w:rsid w:val="00B0497B"/>
    <w:rsid w:val="00B068F5"/>
    <w:rsid w:val="00B070DA"/>
    <w:rsid w:val="00B077A4"/>
    <w:rsid w:val="00B07E5C"/>
    <w:rsid w:val="00B11879"/>
    <w:rsid w:val="00B12C54"/>
    <w:rsid w:val="00B13212"/>
    <w:rsid w:val="00B1322B"/>
    <w:rsid w:val="00B133AA"/>
    <w:rsid w:val="00B13756"/>
    <w:rsid w:val="00B13C61"/>
    <w:rsid w:val="00B1479D"/>
    <w:rsid w:val="00B1507F"/>
    <w:rsid w:val="00B15F01"/>
    <w:rsid w:val="00B21095"/>
    <w:rsid w:val="00B21E62"/>
    <w:rsid w:val="00B21F26"/>
    <w:rsid w:val="00B240C2"/>
    <w:rsid w:val="00B24CE5"/>
    <w:rsid w:val="00B2605B"/>
    <w:rsid w:val="00B263ED"/>
    <w:rsid w:val="00B266C4"/>
    <w:rsid w:val="00B27461"/>
    <w:rsid w:val="00B31C9E"/>
    <w:rsid w:val="00B31E8F"/>
    <w:rsid w:val="00B32264"/>
    <w:rsid w:val="00B33ED0"/>
    <w:rsid w:val="00B34546"/>
    <w:rsid w:val="00B34B68"/>
    <w:rsid w:val="00B35CFC"/>
    <w:rsid w:val="00B40489"/>
    <w:rsid w:val="00B40B79"/>
    <w:rsid w:val="00B43174"/>
    <w:rsid w:val="00B43892"/>
    <w:rsid w:val="00B43E62"/>
    <w:rsid w:val="00B43FB6"/>
    <w:rsid w:val="00B453B1"/>
    <w:rsid w:val="00B45571"/>
    <w:rsid w:val="00B456C5"/>
    <w:rsid w:val="00B4583E"/>
    <w:rsid w:val="00B46218"/>
    <w:rsid w:val="00B4754A"/>
    <w:rsid w:val="00B50D0C"/>
    <w:rsid w:val="00B5134B"/>
    <w:rsid w:val="00B515C0"/>
    <w:rsid w:val="00B51A17"/>
    <w:rsid w:val="00B52905"/>
    <w:rsid w:val="00B53778"/>
    <w:rsid w:val="00B53BAE"/>
    <w:rsid w:val="00B544E4"/>
    <w:rsid w:val="00B55913"/>
    <w:rsid w:val="00B567A5"/>
    <w:rsid w:val="00B5766C"/>
    <w:rsid w:val="00B6060B"/>
    <w:rsid w:val="00B6109E"/>
    <w:rsid w:val="00B621EB"/>
    <w:rsid w:val="00B62C11"/>
    <w:rsid w:val="00B63284"/>
    <w:rsid w:val="00B64157"/>
    <w:rsid w:val="00B647DA"/>
    <w:rsid w:val="00B64D40"/>
    <w:rsid w:val="00B67644"/>
    <w:rsid w:val="00B7042F"/>
    <w:rsid w:val="00B7111F"/>
    <w:rsid w:val="00B71762"/>
    <w:rsid w:val="00B72404"/>
    <w:rsid w:val="00B72B4D"/>
    <w:rsid w:val="00B73BDE"/>
    <w:rsid w:val="00B73FD2"/>
    <w:rsid w:val="00B743EF"/>
    <w:rsid w:val="00B7444A"/>
    <w:rsid w:val="00B749F0"/>
    <w:rsid w:val="00B758AA"/>
    <w:rsid w:val="00B75E18"/>
    <w:rsid w:val="00B76322"/>
    <w:rsid w:val="00B76FB5"/>
    <w:rsid w:val="00B811F7"/>
    <w:rsid w:val="00B8203C"/>
    <w:rsid w:val="00B820F1"/>
    <w:rsid w:val="00B82DA3"/>
    <w:rsid w:val="00B8415D"/>
    <w:rsid w:val="00B866C0"/>
    <w:rsid w:val="00B869D4"/>
    <w:rsid w:val="00B875EB"/>
    <w:rsid w:val="00B87E55"/>
    <w:rsid w:val="00B9040C"/>
    <w:rsid w:val="00B9052D"/>
    <w:rsid w:val="00B90ABC"/>
    <w:rsid w:val="00B910F4"/>
    <w:rsid w:val="00B91DD8"/>
    <w:rsid w:val="00B920F2"/>
    <w:rsid w:val="00B92426"/>
    <w:rsid w:val="00B93575"/>
    <w:rsid w:val="00B93C2F"/>
    <w:rsid w:val="00B93C5A"/>
    <w:rsid w:val="00B948CC"/>
    <w:rsid w:val="00B94987"/>
    <w:rsid w:val="00B94D14"/>
    <w:rsid w:val="00B94E8A"/>
    <w:rsid w:val="00B954DC"/>
    <w:rsid w:val="00B9592F"/>
    <w:rsid w:val="00BA03CC"/>
    <w:rsid w:val="00BA088F"/>
    <w:rsid w:val="00BA17F5"/>
    <w:rsid w:val="00BA303D"/>
    <w:rsid w:val="00BA39B7"/>
    <w:rsid w:val="00BA3EBA"/>
    <w:rsid w:val="00BA463C"/>
    <w:rsid w:val="00BA4E9E"/>
    <w:rsid w:val="00BA5DC6"/>
    <w:rsid w:val="00BA6196"/>
    <w:rsid w:val="00BA6CFB"/>
    <w:rsid w:val="00BA7692"/>
    <w:rsid w:val="00BA783D"/>
    <w:rsid w:val="00BB179C"/>
    <w:rsid w:val="00BB2887"/>
    <w:rsid w:val="00BB2D82"/>
    <w:rsid w:val="00BB3AB3"/>
    <w:rsid w:val="00BB4CDE"/>
    <w:rsid w:val="00BB539E"/>
    <w:rsid w:val="00BB56FF"/>
    <w:rsid w:val="00BC03EE"/>
    <w:rsid w:val="00BC287D"/>
    <w:rsid w:val="00BC2A62"/>
    <w:rsid w:val="00BC48D5"/>
    <w:rsid w:val="00BC528D"/>
    <w:rsid w:val="00BC5A38"/>
    <w:rsid w:val="00BC5A58"/>
    <w:rsid w:val="00BC5AAD"/>
    <w:rsid w:val="00BC6C3B"/>
    <w:rsid w:val="00BC6D8C"/>
    <w:rsid w:val="00BC6F1A"/>
    <w:rsid w:val="00BC6F93"/>
    <w:rsid w:val="00BC7C84"/>
    <w:rsid w:val="00BD047C"/>
    <w:rsid w:val="00BD04E3"/>
    <w:rsid w:val="00BD2BD6"/>
    <w:rsid w:val="00BD31A0"/>
    <w:rsid w:val="00BD37D7"/>
    <w:rsid w:val="00BD417C"/>
    <w:rsid w:val="00BD49AE"/>
    <w:rsid w:val="00BD5FED"/>
    <w:rsid w:val="00BD6D68"/>
    <w:rsid w:val="00BE113C"/>
    <w:rsid w:val="00BE11FC"/>
    <w:rsid w:val="00BE1B01"/>
    <w:rsid w:val="00BE2573"/>
    <w:rsid w:val="00BE2DC2"/>
    <w:rsid w:val="00BE3A8F"/>
    <w:rsid w:val="00BE5241"/>
    <w:rsid w:val="00BE5540"/>
    <w:rsid w:val="00BE58FD"/>
    <w:rsid w:val="00BE5B39"/>
    <w:rsid w:val="00BE5F64"/>
    <w:rsid w:val="00BE6018"/>
    <w:rsid w:val="00BE625E"/>
    <w:rsid w:val="00BE6FBF"/>
    <w:rsid w:val="00BF0024"/>
    <w:rsid w:val="00BF0337"/>
    <w:rsid w:val="00BF058B"/>
    <w:rsid w:val="00BF0B00"/>
    <w:rsid w:val="00BF1BCF"/>
    <w:rsid w:val="00BF2087"/>
    <w:rsid w:val="00BF3703"/>
    <w:rsid w:val="00BF4DDD"/>
    <w:rsid w:val="00BF5450"/>
    <w:rsid w:val="00BF6735"/>
    <w:rsid w:val="00BF6C04"/>
    <w:rsid w:val="00BF755E"/>
    <w:rsid w:val="00BF76E7"/>
    <w:rsid w:val="00BF7FB8"/>
    <w:rsid w:val="00C00151"/>
    <w:rsid w:val="00C00206"/>
    <w:rsid w:val="00C00917"/>
    <w:rsid w:val="00C015CB"/>
    <w:rsid w:val="00C0316A"/>
    <w:rsid w:val="00C05535"/>
    <w:rsid w:val="00C05678"/>
    <w:rsid w:val="00C05A5B"/>
    <w:rsid w:val="00C05BD1"/>
    <w:rsid w:val="00C05DC5"/>
    <w:rsid w:val="00C06DF0"/>
    <w:rsid w:val="00C071CD"/>
    <w:rsid w:val="00C1007E"/>
    <w:rsid w:val="00C11AA3"/>
    <w:rsid w:val="00C11DEA"/>
    <w:rsid w:val="00C12417"/>
    <w:rsid w:val="00C12699"/>
    <w:rsid w:val="00C13AD4"/>
    <w:rsid w:val="00C17F4A"/>
    <w:rsid w:val="00C206B3"/>
    <w:rsid w:val="00C20AED"/>
    <w:rsid w:val="00C20F64"/>
    <w:rsid w:val="00C2215E"/>
    <w:rsid w:val="00C22D00"/>
    <w:rsid w:val="00C24969"/>
    <w:rsid w:val="00C25A84"/>
    <w:rsid w:val="00C25B4C"/>
    <w:rsid w:val="00C2667A"/>
    <w:rsid w:val="00C26C4A"/>
    <w:rsid w:val="00C27EFE"/>
    <w:rsid w:val="00C3018F"/>
    <w:rsid w:val="00C310D2"/>
    <w:rsid w:val="00C3246F"/>
    <w:rsid w:val="00C34006"/>
    <w:rsid w:val="00C3473F"/>
    <w:rsid w:val="00C35FF2"/>
    <w:rsid w:val="00C3647E"/>
    <w:rsid w:val="00C368AA"/>
    <w:rsid w:val="00C374EC"/>
    <w:rsid w:val="00C377BC"/>
    <w:rsid w:val="00C37AD8"/>
    <w:rsid w:val="00C4069A"/>
    <w:rsid w:val="00C40C8E"/>
    <w:rsid w:val="00C426B1"/>
    <w:rsid w:val="00C4473B"/>
    <w:rsid w:val="00C45F5F"/>
    <w:rsid w:val="00C46463"/>
    <w:rsid w:val="00C46CF7"/>
    <w:rsid w:val="00C46F1F"/>
    <w:rsid w:val="00C47CE6"/>
    <w:rsid w:val="00C50330"/>
    <w:rsid w:val="00C50751"/>
    <w:rsid w:val="00C5250D"/>
    <w:rsid w:val="00C5364A"/>
    <w:rsid w:val="00C53F9B"/>
    <w:rsid w:val="00C54256"/>
    <w:rsid w:val="00C54806"/>
    <w:rsid w:val="00C55D03"/>
    <w:rsid w:val="00C56414"/>
    <w:rsid w:val="00C56852"/>
    <w:rsid w:val="00C56D57"/>
    <w:rsid w:val="00C57337"/>
    <w:rsid w:val="00C573BB"/>
    <w:rsid w:val="00C57AE2"/>
    <w:rsid w:val="00C57B4F"/>
    <w:rsid w:val="00C57C6C"/>
    <w:rsid w:val="00C6045B"/>
    <w:rsid w:val="00C6100B"/>
    <w:rsid w:val="00C616C7"/>
    <w:rsid w:val="00C62A0E"/>
    <w:rsid w:val="00C6563A"/>
    <w:rsid w:val="00C65B2F"/>
    <w:rsid w:val="00C65B79"/>
    <w:rsid w:val="00C66270"/>
    <w:rsid w:val="00C66421"/>
    <w:rsid w:val="00C66F58"/>
    <w:rsid w:val="00C67197"/>
    <w:rsid w:val="00C67780"/>
    <w:rsid w:val="00C71924"/>
    <w:rsid w:val="00C72431"/>
    <w:rsid w:val="00C727BB"/>
    <w:rsid w:val="00C73CFF"/>
    <w:rsid w:val="00C75F90"/>
    <w:rsid w:val="00C76075"/>
    <w:rsid w:val="00C76DE4"/>
    <w:rsid w:val="00C76E1E"/>
    <w:rsid w:val="00C77D72"/>
    <w:rsid w:val="00C812C5"/>
    <w:rsid w:val="00C83113"/>
    <w:rsid w:val="00C83241"/>
    <w:rsid w:val="00C83C87"/>
    <w:rsid w:val="00C84836"/>
    <w:rsid w:val="00C84F2E"/>
    <w:rsid w:val="00C87380"/>
    <w:rsid w:val="00C90A23"/>
    <w:rsid w:val="00C90D6A"/>
    <w:rsid w:val="00C90DC7"/>
    <w:rsid w:val="00C9191E"/>
    <w:rsid w:val="00C919DD"/>
    <w:rsid w:val="00C919F7"/>
    <w:rsid w:val="00C92924"/>
    <w:rsid w:val="00C92C63"/>
    <w:rsid w:val="00C9355E"/>
    <w:rsid w:val="00C93D25"/>
    <w:rsid w:val="00C945E5"/>
    <w:rsid w:val="00C9568B"/>
    <w:rsid w:val="00C9571B"/>
    <w:rsid w:val="00C95A1C"/>
    <w:rsid w:val="00C9707F"/>
    <w:rsid w:val="00C9787D"/>
    <w:rsid w:val="00CA0187"/>
    <w:rsid w:val="00CA0325"/>
    <w:rsid w:val="00CA0D7F"/>
    <w:rsid w:val="00CA1093"/>
    <w:rsid w:val="00CA15FE"/>
    <w:rsid w:val="00CA247E"/>
    <w:rsid w:val="00CA2FD8"/>
    <w:rsid w:val="00CA371B"/>
    <w:rsid w:val="00CA42B3"/>
    <w:rsid w:val="00CA54D7"/>
    <w:rsid w:val="00CA5EBC"/>
    <w:rsid w:val="00CA5FAB"/>
    <w:rsid w:val="00CA6889"/>
    <w:rsid w:val="00CB0BC5"/>
    <w:rsid w:val="00CB2907"/>
    <w:rsid w:val="00CB3273"/>
    <w:rsid w:val="00CB499C"/>
    <w:rsid w:val="00CB696E"/>
    <w:rsid w:val="00CB6DD1"/>
    <w:rsid w:val="00CC04BB"/>
    <w:rsid w:val="00CC193B"/>
    <w:rsid w:val="00CC23F3"/>
    <w:rsid w:val="00CC3296"/>
    <w:rsid w:val="00CC3479"/>
    <w:rsid w:val="00CC4203"/>
    <w:rsid w:val="00CC477F"/>
    <w:rsid w:val="00CC4A49"/>
    <w:rsid w:val="00CC5D69"/>
    <w:rsid w:val="00CC61A1"/>
    <w:rsid w:val="00CC72B6"/>
    <w:rsid w:val="00CC7F4F"/>
    <w:rsid w:val="00CC7FED"/>
    <w:rsid w:val="00CD1B2A"/>
    <w:rsid w:val="00CD1B84"/>
    <w:rsid w:val="00CD235A"/>
    <w:rsid w:val="00CD3035"/>
    <w:rsid w:val="00CD4046"/>
    <w:rsid w:val="00CD6B50"/>
    <w:rsid w:val="00CD6BF5"/>
    <w:rsid w:val="00CD6F49"/>
    <w:rsid w:val="00CE0360"/>
    <w:rsid w:val="00CE082D"/>
    <w:rsid w:val="00CE08FD"/>
    <w:rsid w:val="00CE149A"/>
    <w:rsid w:val="00CE1776"/>
    <w:rsid w:val="00CE1783"/>
    <w:rsid w:val="00CE3470"/>
    <w:rsid w:val="00CE425E"/>
    <w:rsid w:val="00CE4717"/>
    <w:rsid w:val="00CE6788"/>
    <w:rsid w:val="00CE709E"/>
    <w:rsid w:val="00CE732C"/>
    <w:rsid w:val="00CE737F"/>
    <w:rsid w:val="00CF034C"/>
    <w:rsid w:val="00CF0412"/>
    <w:rsid w:val="00CF2532"/>
    <w:rsid w:val="00CF3331"/>
    <w:rsid w:val="00CF388C"/>
    <w:rsid w:val="00CF4418"/>
    <w:rsid w:val="00CF5488"/>
    <w:rsid w:val="00CF64CD"/>
    <w:rsid w:val="00CF735B"/>
    <w:rsid w:val="00CF73D5"/>
    <w:rsid w:val="00CF7BEE"/>
    <w:rsid w:val="00CF7F41"/>
    <w:rsid w:val="00D00720"/>
    <w:rsid w:val="00D012F3"/>
    <w:rsid w:val="00D01F45"/>
    <w:rsid w:val="00D0218D"/>
    <w:rsid w:val="00D02D97"/>
    <w:rsid w:val="00D03BDD"/>
    <w:rsid w:val="00D042F5"/>
    <w:rsid w:val="00D043E1"/>
    <w:rsid w:val="00D0463C"/>
    <w:rsid w:val="00D0564D"/>
    <w:rsid w:val="00D05F8F"/>
    <w:rsid w:val="00D06091"/>
    <w:rsid w:val="00D06177"/>
    <w:rsid w:val="00D0708D"/>
    <w:rsid w:val="00D10FC9"/>
    <w:rsid w:val="00D112EB"/>
    <w:rsid w:val="00D11562"/>
    <w:rsid w:val="00D119CC"/>
    <w:rsid w:val="00D11B0A"/>
    <w:rsid w:val="00D13155"/>
    <w:rsid w:val="00D13641"/>
    <w:rsid w:val="00D1433A"/>
    <w:rsid w:val="00D14FE9"/>
    <w:rsid w:val="00D16204"/>
    <w:rsid w:val="00D16A1C"/>
    <w:rsid w:val="00D17C2F"/>
    <w:rsid w:val="00D234F5"/>
    <w:rsid w:val="00D23A5E"/>
    <w:rsid w:val="00D23A63"/>
    <w:rsid w:val="00D25DDF"/>
    <w:rsid w:val="00D26542"/>
    <w:rsid w:val="00D26989"/>
    <w:rsid w:val="00D27A80"/>
    <w:rsid w:val="00D300BD"/>
    <w:rsid w:val="00D31409"/>
    <w:rsid w:val="00D31514"/>
    <w:rsid w:val="00D321DF"/>
    <w:rsid w:val="00D32E4C"/>
    <w:rsid w:val="00D3325E"/>
    <w:rsid w:val="00D339A7"/>
    <w:rsid w:val="00D34EB8"/>
    <w:rsid w:val="00D359B4"/>
    <w:rsid w:val="00D35C01"/>
    <w:rsid w:val="00D3656D"/>
    <w:rsid w:val="00D3685C"/>
    <w:rsid w:val="00D411F7"/>
    <w:rsid w:val="00D427B2"/>
    <w:rsid w:val="00D438BA"/>
    <w:rsid w:val="00D43EA1"/>
    <w:rsid w:val="00D44AE1"/>
    <w:rsid w:val="00D45245"/>
    <w:rsid w:val="00D45714"/>
    <w:rsid w:val="00D46D03"/>
    <w:rsid w:val="00D476EE"/>
    <w:rsid w:val="00D47B5D"/>
    <w:rsid w:val="00D50564"/>
    <w:rsid w:val="00D50748"/>
    <w:rsid w:val="00D5238E"/>
    <w:rsid w:val="00D550F1"/>
    <w:rsid w:val="00D563E8"/>
    <w:rsid w:val="00D56FC5"/>
    <w:rsid w:val="00D577AB"/>
    <w:rsid w:val="00D57A85"/>
    <w:rsid w:val="00D57B35"/>
    <w:rsid w:val="00D57BE7"/>
    <w:rsid w:val="00D601E3"/>
    <w:rsid w:val="00D60BEF"/>
    <w:rsid w:val="00D61067"/>
    <w:rsid w:val="00D621AE"/>
    <w:rsid w:val="00D62345"/>
    <w:rsid w:val="00D6276D"/>
    <w:rsid w:val="00D633CC"/>
    <w:rsid w:val="00D636C7"/>
    <w:rsid w:val="00D64803"/>
    <w:rsid w:val="00D6595C"/>
    <w:rsid w:val="00D67B8A"/>
    <w:rsid w:val="00D7259D"/>
    <w:rsid w:val="00D72B21"/>
    <w:rsid w:val="00D730ED"/>
    <w:rsid w:val="00D73682"/>
    <w:rsid w:val="00D73812"/>
    <w:rsid w:val="00D73FB0"/>
    <w:rsid w:val="00D75121"/>
    <w:rsid w:val="00D7530A"/>
    <w:rsid w:val="00D767B0"/>
    <w:rsid w:val="00D770E8"/>
    <w:rsid w:val="00D801DA"/>
    <w:rsid w:val="00D81039"/>
    <w:rsid w:val="00D81E36"/>
    <w:rsid w:val="00D8303C"/>
    <w:rsid w:val="00D83874"/>
    <w:rsid w:val="00D84A55"/>
    <w:rsid w:val="00D84C18"/>
    <w:rsid w:val="00D84EAE"/>
    <w:rsid w:val="00D85553"/>
    <w:rsid w:val="00D85BB5"/>
    <w:rsid w:val="00D86535"/>
    <w:rsid w:val="00D86581"/>
    <w:rsid w:val="00D91885"/>
    <w:rsid w:val="00D91C5F"/>
    <w:rsid w:val="00D923EB"/>
    <w:rsid w:val="00D92BE2"/>
    <w:rsid w:val="00D95316"/>
    <w:rsid w:val="00D96F30"/>
    <w:rsid w:val="00DA2529"/>
    <w:rsid w:val="00DA31C0"/>
    <w:rsid w:val="00DA35E8"/>
    <w:rsid w:val="00DA3BA8"/>
    <w:rsid w:val="00DA3FC6"/>
    <w:rsid w:val="00DA41A2"/>
    <w:rsid w:val="00DA4443"/>
    <w:rsid w:val="00DA5CB5"/>
    <w:rsid w:val="00DA7026"/>
    <w:rsid w:val="00DA7203"/>
    <w:rsid w:val="00DA73D2"/>
    <w:rsid w:val="00DA7D94"/>
    <w:rsid w:val="00DB0647"/>
    <w:rsid w:val="00DB0DAC"/>
    <w:rsid w:val="00DB130A"/>
    <w:rsid w:val="00DB4D33"/>
    <w:rsid w:val="00DB5267"/>
    <w:rsid w:val="00DB5E4D"/>
    <w:rsid w:val="00DB640C"/>
    <w:rsid w:val="00DB7CE0"/>
    <w:rsid w:val="00DB7F5D"/>
    <w:rsid w:val="00DC07DD"/>
    <w:rsid w:val="00DC10A1"/>
    <w:rsid w:val="00DC217F"/>
    <w:rsid w:val="00DC2477"/>
    <w:rsid w:val="00DC27E4"/>
    <w:rsid w:val="00DC2A88"/>
    <w:rsid w:val="00DC2C7D"/>
    <w:rsid w:val="00DC33EE"/>
    <w:rsid w:val="00DC367A"/>
    <w:rsid w:val="00DC42CE"/>
    <w:rsid w:val="00DC5346"/>
    <w:rsid w:val="00DC53F6"/>
    <w:rsid w:val="00DC5465"/>
    <w:rsid w:val="00DC5A3A"/>
    <w:rsid w:val="00DC6299"/>
    <w:rsid w:val="00DC655F"/>
    <w:rsid w:val="00DC7869"/>
    <w:rsid w:val="00DD0B59"/>
    <w:rsid w:val="00DD122F"/>
    <w:rsid w:val="00DD2544"/>
    <w:rsid w:val="00DD2A8D"/>
    <w:rsid w:val="00DD311C"/>
    <w:rsid w:val="00DD3DC5"/>
    <w:rsid w:val="00DD7EBD"/>
    <w:rsid w:val="00DE0362"/>
    <w:rsid w:val="00DE1A45"/>
    <w:rsid w:val="00DE2040"/>
    <w:rsid w:val="00DE331E"/>
    <w:rsid w:val="00DE367B"/>
    <w:rsid w:val="00DE3BB8"/>
    <w:rsid w:val="00DE4108"/>
    <w:rsid w:val="00DE4718"/>
    <w:rsid w:val="00DE5ECF"/>
    <w:rsid w:val="00DE609C"/>
    <w:rsid w:val="00DE6173"/>
    <w:rsid w:val="00DE792A"/>
    <w:rsid w:val="00DF1119"/>
    <w:rsid w:val="00DF1BAA"/>
    <w:rsid w:val="00DF3828"/>
    <w:rsid w:val="00DF46C3"/>
    <w:rsid w:val="00DF4D12"/>
    <w:rsid w:val="00DF619F"/>
    <w:rsid w:val="00DF62B6"/>
    <w:rsid w:val="00DF776E"/>
    <w:rsid w:val="00E00046"/>
    <w:rsid w:val="00E00690"/>
    <w:rsid w:val="00E04010"/>
    <w:rsid w:val="00E04461"/>
    <w:rsid w:val="00E0500D"/>
    <w:rsid w:val="00E0513C"/>
    <w:rsid w:val="00E05547"/>
    <w:rsid w:val="00E059E5"/>
    <w:rsid w:val="00E05EA1"/>
    <w:rsid w:val="00E05FA3"/>
    <w:rsid w:val="00E0618E"/>
    <w:rsid w:val="00E07225"/>
    <w:rsid w:val="00E07A66"/>
    <w:rsid w:val="00E10CED"/>
    <w:rsid w:val="00E11519"/>
    <w:rsid w:val="00E14E56"/>
    <w:rsid w:val="00E151FF"/>
    <w:rsid w:val="00E21777"/>
    <w:rsid w:val="00E21A40"/>
    <w:rsid w:val="00E23F6E"/>
    <w:rsid w:val="00E2567F"/>
    <w:rsid w:val="00E26ECB"/>
    <w:rsid w:val="00E27652"/>
    <w:rsid w:val="00E309A4"/>
    <w:rsid w:val="00E31B74"/>
    <w:rsid w:val="00E35264"/>
    <w:rsid w:val="00E3767F"/>
    <w:rsid w:val="00E37896"/>
    <w:rsid w:val="00E37F21"/>
    <w:rsid w:val="00E41313"/>
    <w:rsid w:val="00E427F2"/>
    <w:rsid w:val="00E42907"/>
    <w:rsid w:val="00E431FE"/>
    <w:rsid w:val="00E43948"/>
    <w:rsid w:val="00E43AB3"/>
    <w:rsid w:val="00E45212"/>
    <w:rsid w:val="00E45251"/>
    <w:rsid w:val="00E45D2E"/>
    <w:rsid w:val="00E4656F"/>
    <w:rsid w:val="00E4774C"/>
    <w:rsid w:val="00E504A0"/>
    <w:rsid w:val="00E504C9"/>
    <w:rsid w:val="00E51725"/>
    <w:rsid w:val="00E5401E"/>
    <w:rsid w:val="00E5409F"/>
    <w:rsid w:val="00E55AD9"/>
    <w:rsid w:val="00E55E1E"/>
    <w:rsid w:val="00E5711B"/>
    <w:rsid w:val="00E575FD"/>
    <w:rsid w:val="00E57C9C"/>
    <w:rsid w:val="00E61DE6"/>
    <w:rsid w:val="00E620FE"/>
    <w:rsid w:val="00E63C1D"/>
    <w:rsid w:val="00E63DE6"/>
    <w:rsid w:val="00E63EB5"/>
    <w:rsid w:val="00E65694"/>
    <w:rsid w:val="00E65B05"/>
    <w:rsid w:val="00E66C29"/>
    <w:rsid w:val="00E66F0A"/>
    <w:rsid w:val="00E71E13"/>
    <w:rsid w:val="00E738C5"/>
    <w:rsid w:val="00E755B1"/>
    <w:rsid w:val="00E757C4"/>
    <w:rsid w:val="00E76386"/>
    <w:rsid w:val="00E82161"/>
    <w:rsid w:val="00E82289"/>
    <w:rsid w:val="00E82EEA"/>
    <w:rsid w:val="00E83EBF"/>
    <w:rsid w:val="00E8430E"/>
    <w:rsid w:val="00E848FE"/>
    <w:rsid w:val="00E86426"/>
    <w:rsid w:val="00E86A4C"/>
    <w:rsid w:val="00E87645"/>
    <w:rsid w:val="00E909D0"/>
    <w:rsid w:val="00E9140A"/>
    <w:rsid w:val="00E919C6"/>
    <w:rsid w:val="00E92201"/>
    <w:rsid w:val="00E93B3A"/>
    <w:rsid w:val="00E94C34"/>
    <w:rsid w:val="00E957C2"/>
    <w:rsid w:val="00E966DB"/>
    <w:rsid w:val="00E97FD9"/>
    <w:rsid w:val="00EA06B9"/>
    <w:rsid w:val="00EA349E"/>
    <w:rsid w:val="00EA5401"/>
    <w:rsid w:val="00EA5AC6"/>
    <w:rsid w:val="00EA5FAD"/>
    <w:rsid w:val="00EA63BA"/>
    <w:rsid w:val="00EA6640"/>
    <w:rsid w:val="00EA7672"/>
    <w:rsid w:val="00EA775D"/>
    <w:rsid w:val="00EA7881"/>
    <w:rsid w:val="00EB14DF"/>
    <w:rsid w:val="00EB16C3"/>
    <w:rsid w:val="00EB289C"/>
    <w:rsid w:val="00EB305D"/>
    <w:rsid w:val="00EB31C8"/>
    <w:rsid w:val="00EB423E"/>
    <w:rsid w:val="00EB436F"/>
    <w:rsid w:val="00EB46EE"/>
    <w:rsid w:val="00EB6996"/>
    <w:rsid w:val="00EB6A52"/>
    <w:rsid w:val="00EC290D"/>
    <w:rsid w:val="00EC3D27"/>
    <w:rsid w:val="00EC4EC9"/>
    <w:rsid w:val="00EC5503"/>
    <w:rsid w:val="00EC5BB3"/>
    <w:rsid w:val="00EC6CD7"/>
    <w:rsid w:val="00EC6E3C"/>
    <w:rsid w:val="00EC6E51"/>
    <w:rsid w:val="00EC7336"/>
    <w:rsid w:val="00EC7F87"/>
    <w:rsid w:val="00ED08E7"/>
    <w:rsid w:val="00ED1151"/>
    <w:rsid w:val="00ED23AA"/>
    <w:rsid w:val="00ED24C7"/>
    <w:rsid w:val="00ED2E53"/>
    <w:rsid w:val="00ED3804"/>
    <w:rsid w:val="00ED40D6"/>
    <w:rsid w:val="00ED4A53"/>
    <w:rsid w:val="00ED5573"/>
    <w:rsid w:val="00ED5716"/>
    <w:rsid w:val="00ED6A5B"/>
    <w:rsid w:val="00ED6EB7"/>
    <w:rsid w:val="00ED7B02"/>
    <w:rsid w:val="00EE13AA"/>
    <w:rsid w:val="00EE1AD7"/>
    <w:rsid w:val="00EE1BFE"/>
    <w:rsid w:val="00EE29CD"/>
    <w:rsid w:val="00EE2AC8"/>
    <w:rsid w:val="00EE4039"/>
    <w:rsid w:val="00EE4651"/>
    <w:rsid w:val="00EE5A56"/>
    <w:rsid w:val="00EE6488"/>
    <w:rsid w:val="00EE74E7"/>
    <w:rsid w:val="00EE76B4"/>
    <w:rsid w:val="00EF03CB"/>
    <w:rsid w:val="00EF04AE"/>
    <w:rsid w:val="00EF0C39"/>
    <w:rsid w:val="00EF1EA3"/>
    <w:rsid w:val="00EF3665"/>
    <w:rsid w:val="00EF4DD4"/>
    <w:rsid w:val="00EF5C9D"/>
    <w:rsid w:val="00EF6D57"/>
    <w:rsid w:val="00EF7923"/>
    <w:rsid w:val="00EF7DE7"/>
    <w:rsid w:val="00F000E4"/>
    <w:rsid w:val="00F006CC"/>
    <w:rsid w:val="00F0072E"/>
    <w:rsid w:val="00F021B6"/>
    <w:rsid w:val="00F021FA"/>
    <w:rsid w:val="00F02312"/>
    <w:rsid w:val="00F0326C"/>
    <w:rsid w:val="00F03457"/>
    <w:rsid w:val="00F049A6"/>
    <w:rsid w:val="00F04FD1"/>
    <w:rsid w:val="00F05154"/>
    <w:rsid w:val="00F0578D"/>
    <w:rsid w:val="00F071CE"/>
    <w:rsid w:val="00F11E51"/>
    <w:rsid w:val="00F12A84"/>
    <w:rsid w:val="00F13619"/>
    <w:rsid w:val="00F1378B"/>
    <w:rsid w:val="00F13AF8"/>
    <w:rsid w:val="00F14ADA"/>
    <w:rsid w:val="00F14E51"/>
    <w:rsid w:val="00F15309"/>
    <w:rsid w:val="00F1589E"/>
    <w:rsid w:val="00F15BA6"/>
    <w:rsid w:val="00F1614F"/>
    <w:rsid w:val="00F171CC"/>
    <w:rsid w:val="00F1793F"/>
    <w:rsid w:val="00F17A4F"/>
    <w:rsid w:val="00F17F0B"/>
    <w:rsid w:val="00F2172D"/>
    <w:rsid w:val="00F217F9"/>
    <w:rsid w:val="00F21A72"/>
    <w:rsid w:val="00F23FBB"/>
    <w:rsid w:val="00F25AF7"/>
    <w:rsid w:val="00F25D47"/>
    <w:rsid w:val="00F26DCD"/>
    <w:rsid w:val="00F26EAE"/>
    <w:rsid w:val="00F31F2C"/>
    <w:rsid w:val="00F322FF"/>
    <w:rsid w:val="00F326A1"/>
    <w:rsid w:val="00F3350F"/>
    <w:rsid w:val="00F33CF9"/>
    <w:rsid w:val="00F33F25"/>
    <w:rsid w:val="00F3469A"/>
    <w:rsid w:val="00F3520E"/>
    <w:rsid w:val="00F36778"/>
    <w:rsid w:val="00F3696B"/>
    <w:rsid w:val="00F3707A"/>
    <w:rsid w:val="00F37D2C"/>
    <w:rsid w:val="00F37FFD"/>
    <w:rsid w:val="00F4006D"/>
    <w:rsid w:val="00F41B40"/>
    <w:rsid w:val="00F42DC5"/>
    <w:rsid w:val="00F42E8B"/>
    <w:rsid w:val="00F4363E"/>
    <w:rsid w:val="00F4587A"/>
    <w:rsid w:val="00F471E8"/>
    <w:rsid w:val="00F514DF"/>
    <w:rsid w:val="00F51BFE"/>
    <w:rsid w:val="00F52EA8"/>
    <w:rsid w:val="00F53223"/>
    <w:rsid w:val="00F54695"/>
    <w:rsid w:val="00F5564E"/>
    <w:rsid w:val="00F5764C"/>
    <w:rsid w:val="00F57B4C"/>
    <w:rsid w:val="00F6001D"/>
    <w:rsid w:val="00F609C5"/>
    <w:rsid w:val="00F60FA8"/>
    <w:rsid w:val="00F61122"/>
    <w:rsid w:val="00F612EB"/>
    <w:rsid w:val="00F619BA"/>
    <w:rsid w:val="00F62E97"/>
    <w:rsid w:val="00F637B7"/>
    <w:rsid w:val="00F63939"/>
    <w:rsid w:val="00F63DF6"/>
    <w:rsid w:val="00F64143"/>
    <w:rsid w:val="00F64209"/>
    <w:rsid w:val="00F642B8"/>
    <w:rsid w:val="00F64FAB"/>
    <w:rsid w:val="00F66AC3"/>
    <w:rsid w:val="00F67234"/>
    <w:rsid w:val="00F719B8"/>
    <w:rsid w:val="00F72240"/>
    <w:rsid w:val="00F7235B"/>
    <w:rsid w:val="00F724D2"/>
    <w:rsid w:val="00F728CE"/>
    <w:rsid w:val="00F72AA4"/>
    <w:rsid w:val="00F72ADE"/>
    <w:rsid w:val="00F736CF"/>
    <w:rsid w:val="00F73995"/>
    <w:rsid w:val="00F73EE5"/>
    <w:rsid w:val="00F750C4"/>
    <w:rsid w:val="00F752D7"/>
    <w:rsid w:val="00F76051"/>
    <w:rsid w:val="00F7701B"/>
    <w:rsid w:val="00F77164"/>
    <w:rsid w:val="00F77951"/>
    <w:rsid w:val="00F84148"/>
    <w:rsid w:val="00F8470C"/>
    <w:rsid w:val="00F84C23"/>
    <w:rsid w:val="00F84C2C"/>
    <w:rsid w:val="00F84DD7"/>
    <w:rsid w:val="00F85689"/>
    <w:rsid w:val="00F86625"/>
    <w:rsid w:val="00F907A9"/>
    <w:rsid w:val="00F914BB"/>
    <w:rsid w:val="00F92AD4"/>
    <w:rsid w:val="00F92AD6"/>
    <w:rsid w:val="00F93A5F"/>
    <w:rsid w:val="00F93BF5"/>
    <w:rsid w:val="00F956E2"/>
    <w:rsid w:val="00F95853"/>
    <w:rsid w:val="00F96339"/>
    <w:rsid w:val="00F96D7E"/>
    <w:rsid w:val="00FA1CBF"/>
    <w:rsid w:val="00FA209B"/>
    <w:rsid w:val="00FA21B5"/>
    <w:rsid w:val="00FA2AB2"/>
    <w:rsid w:val="00FA4251"/>
    <w:rsid w:val="00FA59F3"/>
    <w:rsid w:val="00FA5D36"/>
    <w:rsid w:val="00FA60A5"/>
    <w:rsid w:val="00FA64AA"/>
    <w:rsid w:val="00FA6E50"/>
    <w:rsid w:val="00FA7E38"/>
    <w:rsid w:val="00FB0825"/>
    <w:rsid w:val="00FB0920"/>
    <w:rsid w:val="00FB09D7"/>
    <w:rsid w:val="00FB115E"/>
    <w:rsid w:val="00FB1403"/>
    <w:rsid w:val="00FB2F9B"/>
    <w:rsid w:val="00FB40C0"/>
    <w:rsid w:val="00FB4432"/>
    <w:rsid w:val="00FB4FB2"/>
    <w:rsid w:val="00FB5732"/>
    <w:rsid w:val="00FB669D"/>
    <w:rsid w:val="00FB6E17"/>
    <w:rsid w:val="00FB7546"/>
    <w:rsid w:val="00FB754F"/>
    <w:rsid w:val="00FB7DD1"/>
    <w:rsid w:val="00FC1053"/>
    <w:rsid w:val="00FC201B"/>
    <w:rsid w:val="00FC3ABA"/>
    <w:rsid w:val="00FC4832"/>
    <w:rsid w:val="00FC542D"/>
    <w:rsid w:val="00FC5DD7"/>
    <w:rsid w:val="00FC5F74"/>
    <w:rsid w:val="00FC6A4D"/>
    <w:rsid w:val="00FC7F5A"/>
    <w:rsid w:val="00FD0261"/>
    <w:rsid w:val="00FD1233"/>
    <w:rsid w:val="00FD1896"/>
    <w:rsid w:val="00FD22F7"/>
    <w:rsid w:val="00FD2B14"/>
    <w:rsid w:val="00FD30E5"/>
    <w:rsid w:val="00FD331C"/>
    <w:rsid w:val="00FD3F3E"/>
    <w:rsid w:val="00FD43DC"/>
    <w:rsid w:val="00FD4A43"/>
    <w:rsid w:val="00FD4F40"/>
    <w:rsid w:val="00FD5271"/>
    <w:rsid w:val="00FD6C83"/>
    <w:rsid w:val="00FD7669"/>
    <w:rsid w:val="00FE01D5"/>
    <w:rsid w:val="00FE15D9"/>
    <w:rsid w:val="00FE1BDB"/>
    <w:rsid w:val="00FE2CFF"/>
    <w:rsid w:val="00FE344D"/>
    <w:rsid w:val="00FE4EC3"/>
    <w:rsid w:val="00FE61EB"/>
    <w:rsid w:val="00FE73E5"/>
    <w:rsid w:val="00FE7546"/>
    <w:rsid w:val="00FE7FF7"/>
    <w:rsid w:val="00FF052A"/>
    <w:rsid w:val="00FF1F59"/>
    <w:rsid w:val="00FF280D"/>
    <w:rsid w:val="00FF2FEA"/>
    <w:rsid w:val="00FF32B0"/>
    <w:rsid w:val="00FF477A"/>
    <w:rsid w:val="00FF4DB7"/>
    <w:rsid w:val="00FF506A"/>
    <w:rsid w:val="00FF52AE"/>
    <w:rsid w:val="00FF568B"/>
    <w:rsid w:val="00FF72E8"/>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18"/>
    <w:pPr>
      <w:widowControl w:val="0"/>
    </w:pPr>
    <w:rPr>
      <w:snapToGrid w:val="0"/>
      <w:kern w:val="28"/>
      <w:sz w:val="22"/>
    </w:rPr>
  </w:style>
  <w:style w:type="paragraph" w:styleId="Heading1">
    <w:name w:val="heading 1"/>
    <w:basedOn w:val="Normal"/>
    <w:next w:val="ParaNum"/>
    <w:link w:val="Heading1Char"/>
    <w:qFormat/>
    <w:rsid w:val="0099211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92118"/>
    <w:pPr>
      <w:keepNext/>
      <w:numPr>
        <w:ilvl w:val="1"/>
        <w:numId w:val="2"/>
      </w:numPr>
      <w:spacing w:after="120"/>
      <w:outlineLvl w:val="1"/>
    </w:pPr>
    <w:rPr>
      <w:b/>
    </w:rPr>
  </w:style>
  <w:style w:type="paragraph" w:styleId="Heading3">
    <w:name w:val="heading 3"/>
    <w:basedOn w:val="Normal"/>
    <w:next w:val="ParaNum"/>
    <w:qFormat/>
    <w:rsid w:val="00992118"/>
    <w:pPr>
      <w:keepNext/>
      <w:numPr>
        <w:ilvl w:val="2"/>
        <w:numId w:val="2"/>
      </w:numPr>
      <w:tabs>
        <w:tab w:val="left" w:pos="2160"/>
      </w:tabs>
      <w:spacing w:after="120"/>
      <w:outlineLvl w:val="2"/>
    </w:pPr>
    <w:rPr>
      <w:b/>
    </w:rPr>
  </w:style>
  <w:style w:type="paragraph" w:styleId="Heading4">
    <w:name w:val="heading 4"/>
    <w:basedOn w:val="Normal"/>
    <w:next w:val="ParaNum"/>
    <w:qFormat/>
    <w:rsid w:val="00992118"/>
    <w:pPr>
      <w:keepNext/>
      <w:numPr>
        <w:ilvl w:val="3"/>
        <w:numId w:val="2"/>
      </w:numPr>
      <w:tabs>
        <w:tab w:val="left" w:pos="2880"/>
      </w:tabs>
      <w:spacing w:after="120"/>
      <w:outlineLvl w:val="3"/>
    </w:pPr>
    <w:rPr>
      <w:b/>
    </w:rPr>
  </w:style>
  <w:style w:type="paragraph" w:styleId="Heading5">
    <w:name w:val="heading 5"/>
    <w:basedOn w:val="Normal"/>
    <w:next w:val="ParaNum"/>
    <w:qFormat/>
    <w:rsid w:val="0099211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92118"/>
    <w:pPr>
      <w:numPr>
        <w:ilvl w:val="5"/>
        <w:numId w:val="2"/>
      </w:numPr>
      <w:tabs>
        <w:tab w:val="left" w:pos="4320"/>
      </w:tabs>
      <w:spacing w:after="120"/>
      <w:outlineLvl w:val="5"/>
    </w:pPr>
    <w:rPr>
      <w:b/>
    </w:rPr>
  </w:style>
  <w:style w:type="paragraph" w:styleId="Heading7">
    <w:name w:val="heading 7"/>
    <w:basedOn w:val="Normal"/>
    <w:next w:val="ParaNum"/>
    <w:qFormat/>
    <w:rsid w:val="0099211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9211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9211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21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2118"/>
  </w:style>
  <w:style w:type="paragraph" w:customStyle="1" w:styleId="ParaNum">
    <w:name w:val="ParaNum"/>
    <w:basedOn w:val="Normal"/>
    <w:link w:val="ParaNumChar"/>
    <w:rsid w:val="00992118"/>
    <w:pPr>
      <w:numPr>
        <w:numId w:val="1"/>
      </w:numPr>
      <w:tabs>
        <w:tab w:val="clear" w:pos="1080"/>
        <w:tab w:val="num" w:pos="1440"/>
      </w:tabs>
      <w:spacing w:after="120"/>
    </w:pPr>
  </w:style>
  <w:style w:type="paragraph" w:styleId="EndnoteText">
    <w:name w:val="endnote text"/>
    <w:basedOn w:val="Normal"/>
    <w:semiHidden/>
    <w:rsid w:val="00992118"/>
    <w:rPr>
      <w:sz w:val="20"/>
    </w:rPr>
  </w:style>
  <w:style w:type="character" w:styleId="EndnoteReference">
    <w:name w:val="endnote reference"/>
    <w:semiHidden/>
    <w:rsid w:val="00992118"/>
    <w:rPr>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992118"/>
    <w:pPr>
      <w:spacing w:after="120"/>
    </w:pPr>
  </w:style>
  <w:style w:type="character" w:styleId="FootnoteReference">
    <w:name w:val="footnote reference"/>
    <w:aliases w:val="Style 12,(NECG) Footnote Reference,Appel note de bas de p,Style 124,Style 4,Style 13,o,fr,Style 3,FR,Style 17,Footnote Reference/,Style 6"/>
    <w:rsid w:val="00992118"/>
    <w:rPr>
      <w:rFonts w:ascii="Times New Roman" w:hAnsi="Times New Roman"/>
      <w:dstrike w:val="0"/>
      <w:color w:val="auto"/>
      <w:sz w:val="20"/>
      <w:vertAlign w:val="superscript"/>
    </w:rPr>
  </w:style>
  <w:style w:type="paragraph" w:styleId="TOC1">
    <w:name w:val="toc 1"/>
    <w:basedOn w:val="Normal"/>
    <w:next w:val="Normal"/>
    <w:semiHidden/>
    <w:rsid w:val="0099211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2118"/>
    <w:pPr>
      <w:tabs>
        <w:tab w:val="left" w:pos="720"/>
        <w:tab w:val="right" w:leader="dot" w:pos="9360"/>
      </w:tabs>
      <w:suppressAutoHyphens/>
      <w:ind w:left="720" w:right="720" w:hanging="360"/>
    </w:pPr>
    <w:rPr>
      <w:noProof/>
    </w:rPr>
  </w:style>
  <w:style w:type="paragraph" w:styleId="TOC3">
    <w:name w:val="toc 3"/>
    <w:basedOn w:val="Normal"/>
    <w:next w:val="Normal"/>
    <w:semiHidden/>
    <w:rsid w:val="0099211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211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211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211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211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211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211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2118"/>
    <w:pPr>
      <w:tabs>
        <w:tab w:val="right" w:pos="9360"/>
      </w:tabs>
      <w:suppressAutoHyphens/>
    </w:pPr>
  </w:style>
  <w:style w:type="character" w:customStyle="1" w:styleId="EquationCaption">
    <w:name w:val="_Equation Caption"/>
    <w:rsid w:val="00992118"/>
  </w:style>
  <w:style w:type="paragraph" w:styleId="Header">
    <w:name w:val="header"/>
    <w:basedOn w:val="Normal"/>
    <w:link w:val="HeaderChar"/>
    <w:autoRedefine/>
    <w:rsid w:val="00992118"/>
    <w:pPr>
      <w:tabs>
        <w:tab w:val="center" w:pos="4680"/>
        <w:tab w:val="right" w:pos="9360"/>
      </w:tabs>
    </w:pPr>
    <w:rPr>
      <w:b/>
    </w:rPr>
  </w:style>
  <w:style w:type="paragraph" w:styleId="Footer">
    <w:name w:val="footer"/>
    <w:basedOn w:val="Normal"/>
    <w:link w:val="FooterChar"/>
    <w:rsid w:val="00992118"/>
    <w:pPr>
      <w:tabs>
        <w:tab w:val="center" w:pos="4320"/>
        <w:tab w:val="right" w:pos="8640"/>
      </w:tabs>
    </w:pPr>
  </w:style>
  <w:style w:type="character" w:styleId="PageNumber">
    <w:name w:val="page number"/>
    <w:basedOn w:val="DefaultParagraphFont"/>
    <w:rsid w:val="00992118"/>
  </w:style>
  <w:style w:type="paragraph" w:styleId="BlockText">
    <w:name w:val="Block Text"/>
    <w:basedOn w:val="Normal"/>
    <w:rsid w:val="00992118"/>
    <w:pPr>
      <w:spacing w:after="240"/>
      <w:ind w:left="1440" w:right="1440"/>
    </w:pPr>
  </w:style>
  <w:style w:type="paragraph" w:customStyle="1" w:styleId="Paratitle">
    <w:name w:val="Para title"/>
    <w:basedOn w:val="Normal"/>
    <w:rsid w:val="00992118"/>
    <w:pPr>
      <w:tabs>
        <w:tab w:val="center" w:pos="9270"/>
      </w:tabs>
      <w:spacing w:after="240"/>
    </w:pPr>
    <w:rPr>
      <w:spacing w:val="-2"/>
    </w:rPr>
  </w:style>
  <w:style w:type="paragraph" w:customStyle="1" w:styleId="Bullet">
    <w:name w:val="Bullet"/>
    <w:basedOn w:val="Normal"/>
    <w:rsid w:val="00992118"/>
    <w:pPr>
      <w:tabs>
        <w:tab w:val="left" w:pos="2160"/>
      </w:tabs>
      <w:spacing w:after="220"/>
      <w:ind w:left="2160" w:hanging="720"/>
    </w:pPr>
  </w:style>
  <w:style w:type="paragraph" w:customStyle="1" w:styleId="TableFormat">
    <w:name w:val="TableFormat"/>
    <w:basedOn w:val="Bullet"/>
    <w:rsid w:val="00992118"/>
    <w:pPr>
      <w:tabs>
        <w:tab w:val="clear" w:pos="2160"/>
        <w:tab w:val="left" w:pos="5040"/>
      </w:tabs>
      <w:ind w:left="5040" w:hanging="3600"/>
    </w:pPr>
  </w:style>
  <w:style w:type="paragraph" w:customStyle="1" w:styleId="TOCTitle">
    <w:name w:val="TOC Title"/>
    <w:basedOn w:val="Normal"/>
    <w:rsid w:val="0099211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2118"/>
    <w:pPr>
      <w:jc w:val="center"/>
    </w:pPr>
    <w:rPr>
      <w:rFonts w:ascii="Times New Roman Bold" w:hAnsi="Times New Roman Bold"/>
      <w:b/>
      <w:bCs/>
      <w:caps/>
      <w:szCs w:val="22"/>
    </w:rPr>
  </w:style>
  <w:style w:type="character" w:styleId="Hyperlink">
    <w:name w:val="Hyperlink"/>
    <w:rsid w:val="00992118"/>
    <w:rPr>
      <w:color w:val="0000FF"/>
      <w:u w:val="single"/>
    </w:rPr>
  </w:style>
  <w:style w:type="character" w:customStyle="1" w:styleId="Heading1Char">
    <w:name w:val="Heading 1 Char"/>
    <w:link w:val="Heading1"/>
    <w:locked/>
    <w:rsid w:val="004F2CE4"/>
    <w:rPr>
      <w:rFonts w:ascii="Times New Roman Bold" w:hAnsi="Times New Roman Bold"/>
      <w:b/>
      <w:caps/>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B40B79"/>
  </w:style>
  <w:style w:type="character" w:customStyle="1" w:styleId="ParaNumChar">
    <w:name w:val="ParaNum Char"/>
    <w:link w:val="ParaNum"/>
    <w:locked/>
    <w:rsid w:val="00B40B79"/>
    <w:rPr>
      <w:snapToGrid w:val="0"/>
      <w:kern w:val="28"/>
      <w:sz w:val="22"/>
    </w:rPr>
  </w:style>
  <w:style w:type="character" w:customStyle="1" w:styleId="HeaderChar">
    <w:name w:val="Header Char"/>
    <w:link w:val="Header"/>
    <w:locked/>
    <w:rsid w:val="00A9571D"/>
    <w:rPr>
      <w:b/>
      <w:snapToGrid w:val="0"/>
      <w:kern w:val="28"/>
      <w:sz w:val="22"/>
    </w:rPr>
  </w:style>
  <w:style w:type="character" w:customStyle="1" w:styleId="FooterChar">
    <w:name w:val="Footer Char"/>
    <w:link w:val="Footer"/>
    <w:locked/>
    <w:rsid w:val="0016661D"/>
    <w:rPr>
      <w:snapToGrid w:val="0"/>
      <w:kern w:val="28"/>
      <w:sz w:val="22"/>
    </w:rPr>
  </w:style>
  <w:style w:type="table" w:styleId="TableGrid">
    <w:name w:val="Table Grid"/>
    <w:basedOn w:val="TableNormal"/>
    <w:uiPriority w:val="99"/>
    <w:rsid w:val="008D32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368"/>
    <w:rPr>
      <w:rFonts w:ascii="Tahoma" w:hAnsi="Tahoma" w:cs="Tahoma"/>
      <w:snapToGrid/>
      <w:sz w:val="16"/>
      <w:szCs w:val="16"/>
    </w:rPr>
  </w:style>
  <w:style w:type="character" w:customStyle="1" w:styleId="BalloonTextChar">
    <w:name w:val="Balloon Text Char"/>
    <w:link w:val="BalloonText"/>
    <w:rsid w:val="00797368"/>
    <w:rPr>
      <w:rFonts w:ascii="Tahoma" w:hAnsi="Tahoma" w:cs="Tahoma"/>
      <w:snapToGrid w:val="0"/>
      <w:kern w:val="28"/>
      <w:sz w:val="16"/>
      <w:szCs w:val="16"/>
    </w:rPr>
  </w:style>
  <w:style w:type="paragraph" w:styleId="ListParagraph">
    <w:name w:val="List Paragraph"/>
    <w:basedOn w:val="Normal"/>
    <w:uiPriority w:val="34"/>
    <w:qFormat/>
    <w:rsid w:val="008A5D4C"/>
    <w:pPr>
      <w:ind w:left="720"/>
      <w:contextualSpacing/>
    </w:pPr>
    <w:rPr>
      <w:snapToGrid/>
    </w:rPr>
  </w:style>
  <w:style w:type="paragraph" w:customStyle="1" w:styleId="par1">
    <w:name w:val="par1"/>
    <w:basedOn w:val="Normal"/>
    <w:link w:val="par1Char"/>
    <w:rsid w:val="00FC5DD7"/>
    <w:pPr>
      <w:numPr>
        <w:numId w:val="4"/>
      </w:numPr>
    </w:p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semiHidden/>
    <w:locked/>
    <w:rsid w:val="00FC5DD7"/>
    <w:rPr>
      <w:rFonts w:cs="Times New Roman"/>
      <w:sz w:val="24"/>
      <w:szCs w:val="24"/>
      <w:lang w:val="en-US" w:eastAsia="en-US" w:bidi="ar-SA"/>
    </w:rPr>
  </w:style>
  <w:style w:type="character" w:customStyle="1" w:styleId="par1Char">
    <w:name w:val="par1 Char"/>
    <w:link w:val="par1"/>
    <w:locked/>
    <w:rsid w:val="00FC5DD7"/>
    <w:rPr>
      <w:sz w:val="22"/>
    </w:rPr>
  </w:style>
  <w:style w:type="paragraph" w:customStyle="1" w:styleId="Default">
    <w:name w:val="Default"/>
    <w:rsid w:val="001D4AA6"/>
    <w:pPr>
      <w:autoSpaceDE w:val="0"/>
      <w:autoSpaceDN w:val="0"/>
      <w:adjustRightInd w:val="0"/>
    </w:pPr>
    <w:rPr>
      <w:color w:val="000000"/>
      <w:sz w:val="24"/>
      <w:szCs w:val="24"/>
    </w:rPr>
  </w:style>
  <w:style w:type="character" w:customStyle="1" w:styleId="reference-text">
    <w:name w:val="reference-text"/>
    <w:basedOn w:val="DefaultParagraphFont"/>
    <w:rsid w:val="00372D6D"/>
  </w:style>
  <w:style w:type="character" w:customStyle="1" w:styleId="documentbody">
    <w:name w:val="documentbody"/>
    <w:basedOn w:val="DefaultParagraphFont"/>
    <w:rsid w:val="00685B80"/>
  </w:style>
  <w:style w:type="paragraph" w:styleId="HTMLPreformatted">
    <w:name w:val="HTML Preformatted"/>
    <w:basedOn w:val="Normal"/>
    <w:link w:val="HTMLPreformattedChar"/>
    <w:uiPriority w:val="99"/>
    <w:unhideWhenUsed/>
    <w:rsid w:val="001D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D6E16"/>
    <w:rPr>
      <w:rFonts w:ascii="Courier New" w:hAnsi="Courier New" w:cs="Courier New"/>
    </w:rPr>
  </w:style>
  <w:style w:type="paragraph" w:styleId="CommentText">
    <w:name w:val="annotation text"/>
    <w:basedOn w:val="Normal"/>
    <w:link w:val="CommentTextChar"/>
    <w:uiPriority w:val="99"/>
    <w:unhideWhenUsed/>
    <w:rsid w:val="00A43DFA"/>
    <w:rPr>
      <w:rFonts w:ascii="Arial" w:eastAsia="Calibri" w:hAnsi="Arial"/>
    </w:rPr>
  </w:style>
  <w:style w:type="character" w:customStyle="1" w:styleId="CommentTextChar">
    <w:name w:val="Comment Text Char"/>
    <w:link w:val="CommentText"/>
    <w:uiPriority w:val="99"/>
    <w:rsid w:val="00A43DFA"/>
    <w:rPr>
      <w:rFonts w:ascii="Arial" w:eastAsia="Calibri" w:hAnsi="Arial"/>
      <w:snapToGrid w:val="0"/>
      <w:kern w:val="28"/>
    </w:rPr>
  </w:style>
  <w:style w:type="paragraph" w:styleId="PlainText">
    <w:name w:val="Plain Text"/>
    <w:basedOn w:val="Normal"/>
    <w:link w:val="PlainTextChar"/>
    <w:uiPriority w:val="99"/>
    <w:unhideWhenUsed/>
    <w:rsid w:val="00FE61EB"/>
    <w:rPr>
      <w:rFonts w:ascii="Calibri" w:eastAsia="Calibri" w:hAnsi="Calibri"/>
      <w:szCs w:val="21"/>
    </w:rPr>
  </w:style>
  <w:style w:type="character" w:customStyle="1" w:styleId="PlainTextChar">
    <w:name w:val="Plain Text Char"/>
    <w:link w:val="PlainText"/>
    <w:uiPriority w:val="99"/>
    <w:rsid w:val="00FE61EB"/>
    <w:rPr>
      <w:rFonts w:ascii="Calibri" w:eastAsia="Calibri" w:hAnsi="Calibri" w:cs="Times New Roman"/>
      <w:sz w:val="22"/>
      <w:szCs w:val="21"/>
    </w:rPr>
  </w:style>
  <w:style w:type="character" w:customStyle="1" w:styleId="apple-converted-space">
    <w:name w:val="apple-converted-space"/>
    <w:basedOn w:val="DefaultParagraphFont"/>
    <w:rsid w:val="000F41DE"/>
  </w:style>
  <w:style w:type="character" w:styleId="CommentReference">
    <w:name w:val="annotation reference"/>
    <w:basedOn w:val="DefaultParagraphFont"/>
    <w:rsid w:val="00DB0DAC"/>
    <w:rPr>
      <w:sz w:val="16"/>
      <w:szCs w:val="16"/>
    </w:rPr>
  </w:style>
  <w:style w:type="paragraph" w:styleId="CommentSubject">
    <w:name w:val="annotation subject"/>
    <w:basedOn w:val="CommentText"/>
    <w:next w:val="CommentText"/>
    <w:link w:val="CommentSubjectChar"/>
    <w:rsid w:val="00DB0DAC"/>
    <w:rPr>
      <w:rFonts w:ascii="Times New Roman" w:eastAsia="Times New Roman" w:hAnsi="Times New Roman"/>
      <w:b/>
      <w:bCs/>
      <w:snapToGrid/>
    </w:rPr>
  </w:style>
  <w:style w:type="character" w:customStyle="1" w:styleId="CommentSubjectChar">
    <w:name w:val="Comment Subject Char"/>
    <w:basedOn w:val="CommentTextChar"/>
    <w:link w:val="CommentSubject"/>
    <w:rsid w:val="00DB0DAC"/>
    <w:rPr>
      <w:rFonts w:ascii="Calibri" w:eastAsia="Calibri" w:hAnsi="Calibri"/>
      <w:b/>
      <w:bCs/>
      <w:snapToGrid/>
      <w:kern w:val="28"/>
    </w:rPr>
  </w:style>
  <w:style w:type="character" w:customStyle="1" w:styleId="ptext-18">
    <w:name w:val="ptext-18"/>
    <w:basedOn w:val="DefaultParagraphFont"/>
    <w:rsid w:val="009A0C2A"/>
  </w:style>
  <w:style w:type="character" w:customStyle="1" w:styleId="bestsection">
    <w:name w:val="bestsection"/>
    <w:basedOn w:val="DefaultParagraphFont"/>
    <w:rsid w:val="00F37FFD"/>
  </w:style>
  <w:style w:type="character" w:customStyle="1" w:styleId="searchterm">
    <w:name w:val="searchterm"/>
    <w:basedOn w:val="DefaultParagraphFont"/>
    <w:rsid w:val="00F37FFD"/>
  </w:style>
  <w:style w:type="paragraph" w:styleId="NormalWeb">
    <w:name w:val="Normal (Web)"/>
    <w:basedOn w:val="Normal"/>
    <w:uiPriority w:val="99"/>
    <w:unhideWhenUsed/>
    <w:rsid w:val="000A0495"/>
    <w:rPr>
      <w:sz w:val="24"/>
      <w:szCs w:val="24"/>
    </w:rPr>
  </w:style>
  <w:style w:type="character" w:styleId="Strong">
    <w:name w:val="Strong"/>
    <w:basedOn w:val="DefaultParagraphFont"/>
    <w:uiPriority w:val="22"/>
    <w:qFormat/>
    <w:rsid w:val="000A0495"/>
    <w:rPr>
      <w:b/>
      <w:bCs/>
    </w:rPr>
  </w:style>
  <w:style w:type="paragraph" w:styleId="Revision">
    <w:name w:val="Revision"/>
    <w:hidden/>
    <w:uiPriority w:val="99"/>
    <w:semiHidden/>
    <w:rsid w:val="00D60BEF"/>
    <w:rPr>
      <w:snapToGrid w:val="0"/>
      <w:kern w:val="28"/>
      <w:sz w:val="22"/>
    </w:rPr>
  </w:style>
  <w:style w:type="character" w:customStyle="1" w:styleId="Heading2Char">
    <w:name w:val="Heading 2 Char"/>
    <w:basedOn w:val="DefaultParagraphFont"/>
    <w:link w:val="Heading2"/>
    <w:rsid w:val="00FB6E17"/>
    <w:rPr>
      <w:b/>
      <w:snapToGrid w:val="0"/>
      <w:kern w:val="28"/>
      <w:sz w:val="22"/>
    </w:rPr>
  </w:style>
  <w:style w:type="character" w:styleId="FollowedHyperlink">
    <w:name w:val="FollowedHyperlink"/>
    <w:basedOn w:val="DefaultParagraphFont"/>
    <w:semiHidden/>
    <w:unhideWhenUsed/>
    <w:rsid w:val="00315A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18"/>
    <w:pPr>
      <w:widowControl w:val="0"/>
    </w:pPr>
    <w:rPr>
      <w:snapToGrid w:val="0"/>
      <w:kern w:val="28"/>
      <w:sz w:val="22"/>
    </w:rPr>
  </w:style>
  <w:style w:type="paragraph" w:styleId="Heading1">
    <w:name w:val="heading 1"/>
    <w:basedOn w:val="Normal"/>
    <w:next w:val="ParaNum"/>
    <w:link w:val="Heading1Char"/>
    <w:qFormat/>
    <w:rsid w:val="0099211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92118"/>
    <w:pPr>
      <w:keepNext/>
      <w:numPr>
        <w:ilvl w:val="1"/>
        <w:numId w:val="2"/>
      </w:numPr>
      <w:spacing w:after="120"/>
      <w:outlineLvl w:val="1"/>
    </w:pPr>
    <w:rPr>
      <w:b/>
    </w:rPr>
  </w:style>
  <w:style w:type="paragraph" w:styleId="Heading3">
    <w:name w:val="heading 3"/>
    <w:basedOn w:val="Normal"/>
    <w:next w:val="ParaNum"/>
    <w:qFormat/>
    <w:rsid w:val="00992118"/>
    <w:pPr>
      <w:keepNext/>
      <w:numPr>
        <w:ilvl w:val="2"/>
        <w:numId w:val="2"/>
      </w:numPr>
      <w:tabs>
        <w:tab w:val="left" w:pos="2160"/>
      </w:tabs>
      <w:spacing w:after="120"/>
      <w:outlineLvl w:val="2"/>
    </w:pPr>
    <w:rPr>
      <w:b/>
    </w:rPr>
  </w:style>
  <w:style w:type="paragraph" w:styleId="Heading4">
    <w:name w:val="heading 4"/>
    <w:basedOn w:val="Normal"/>
    <w:next w:val="ParaNum"/>
    <w:qFormat/>
    <w:rsid w:val="00992118"/>
    <w:pPr>
      <w:keepNext/>
      <w:numPr>
        <w:ilvl w:val="3"/>
        <w:numId w:val="2"/>
      </w:numPr>
      <w:tabs>
        <w:tab w:val="left" w:pos="2880"/>
      </w:tabs>
      <w:spacing w:after="120"/>
      <w:outlineLvl w:val="3"/>
    </w:pPr>
    <w:rPr>
      <w:b/>
    </w:rPr>
  </w:style>
  <w:style w:type="paragraph" w:styleId="Heading5">
    <w:name w:val="heading 5"/>
    <w:basedOn w:val="Normal"/>
    <w:next w:val="ParaNum"/>
    <w:qFormat/>
    <w:rsid w:val="0099211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92118"/>
    <w:pPr>
      <w:numPr>
        <w:ilvl w:val="5"/>
        <w:numId w:val="2"/>
      </w:numPr>
      <w:tabs>
        <w:tab w:val="left" w:pos="4320"/>
      </w:tabs>
      <w:spacing w:after="120"/>
      <w:outlineLvl w:val="5"/>
    </w:pPr>
    <w:rPr>
      <w:b/>
    </w:rPr>
  </w:style>
  <w:style w:type="paragraph" w:styleId="Heading7">
    <w:name w:val="heading 7"/>
    <w:basedOn w:val="Normal"/>
    <w:next w:val="ParaNum"/>
    <w:qFormat/>
    <w:rsid w:val="0099211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9211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9211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21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2118"/>
  </w:style>
  <w:style w:type="paragraph" w:customStyle="1" w:styleId="ParaNum">
    <w:name w:val="ParaNum"/>
    <w:basedOn w:val="Normal"/>
    <w:link w:val="ParaNumChar"/>
    <w:rsid w:val="00992118"/>
    <w:pPr>
      <w:numPr>
        <w:numId w:val="1"/>
      </w:numPr>
      <w:tabs>
        <w:tab w:val="clear" w:pos="1080"/>
        <w:tab w:val="num" w:pos="1440"/>
      </w:tabs>
      <w:spacing w:after="120"/>
    </w:pPr>
  </w:style>
  <w:style w:type="paragraph" w:styleId="EndnoteText">
    <w:name w:val="endnote text"/>
    <w:basedOn w:val="Normal"/>
    <w:semiHidden/>
    <w:rsid w:val="00992118"/>
    <w:rPr>
      <w:sz w:val="20"/>
    </w:rPr>
  </w:style>
  <w:style w:type="character" w:styleId="EndnoteReference">
    <w:name w:val="endnote reference"/>
    <w:semiHidden/>
    <w:rsid w:val="00992118"/>
    <w:rPr>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992118"/>
    <w:pPr>
      <w:spacing w:after="120"/>
    </w:pPr>
  </w:style>
  <w:style w:type="character" w:styleId="FootnoteReference">
    <w:name w:val="footnote reference"/>
    <w:aliases w:val="Style 12,(NECG) Footnote Reference,Appel note de bas de p,Style 124,Style 4,Style 13,o,fr,Style 3,FR,Style 17,Footnote Reference/,Style 6"/>
    <w:rsid w:val="00992118"/>
    <w:rPr>
      <w:rFonts w:ascii="Times New Roman" w:hAnsi="Times New Roman"/>
      <w:dstrike w:val="0"/>
      <w:color w:val="auto"/>
      <w:sz w:val="20"/>
      <w:vertAlign w:val="superscript"/>
    </w:rPr>
  </w:style>
  <w:style w:type="paragraph" w:styleId="TOC1">
    <w:name w:val="toc 1"/>
    <w:basedOn w:val="Normal"/>
    <w:next w:val="Normal"/>
    <w:semiHidden/>
    <w:rsid w:val="0099211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2118"/>
    <w:pPr>
      <w:tabs>
        <w:tab w:val="left" w:pos="720"/>
        <w:tab w:val="right" w:leader="dot" w:pos="9360"/>
      </w:tabs>
      <w:suppressAutoHyphens/>
      <w:ind w:left="720" w:right="720" w:hanging="360"/>
    </w:pPr>
    <w:rPr>
      <w:noProof/>
    </w:rPr>
  </w:style>
  <w:style w:type="paragraph" w:styleId="TOC3">
    <w:name w:val="toc 3"/>
    <w:basedOn w:val="Normal"/>
    <w:next w:val="Normal"/>
    <w:semiHidden/>
    <w:rsid w:val="0099211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211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211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211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211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211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211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2118"/>
    <w:pPr>
      <w:tabs>
        <w:tab w:val="right" w:pos="9360"/>
      </w:tabs>
      <w:suppressAutoHyphens/>
    </w:pPr>
  </w:style>
  <w:style w:type="character" w:customStyle="1" w:styleId="EquationCaption">
    <w:name w:val="_Equation Caption"/>
    <w:rsid w:val="00992118"/>
  </w:style>
  <w:style w:type="paragraph" w:styleId="Header">
    <w:name w:val="header"/>
    <w:basedOn w:val="Normal"/>
    <w:link w:val="HeaderChar"/>
    <w:autoRedefine/>
    <w:rsid w:val="00992118"/>
    <w:pPr>
      <w:tabs>
        <w:tab w:val="center" w:pos="4680"/>
        <w:tab w:val="right" w:pos="9360"/>
      </w:tabs>
    </w:pPr>
    <w:rPr>
      <w:b/>
    </w:rPr>
  </w:style>
  <w:style w:type="paragraph" w:styleId="Footer">
    <w:name w:val="footer"/>
    <w:basedOn w:val="Normal"/>
    <w:link w:val="FooterChar"/>
    <w:rsid w:val="00992118"/>
    <w:pPr>
      <w:tabs>
        <w:tab w:val="center" w:pos="4320"/>
        <w:tab w:val="right" w:pos="8640"/>
      </w:tabs>
    </w:pPr>
  </w:style>
  <w:style w:type="character" w:styleId="PageNumber">
    <w:name w:val="page number"/>
    <w:basedOn w:val="DefaultParagraphFont"/>
    <w:rsid w:val="00992118"/>
  </w:style>
  <w:style w:type="paragraph" w:styleId="BlockText">
    <w:name w:val="Block Text"/>
    <w:basedOn w:val="Normal"/>
    <w:rsid w:val="00992118"/>
    <w:pPr>
      <w:spacing w:after="240"/>
      <w:ind w:left="1440" w:right="1440"/>
    </w:pPr>
  </w:style>
  <w:style w:type="paragraph" w:customStyle="1" w:styleId="Paratitle">
    <w:name w:val="Para title"/>
    <w:basedOn w:val="Normal"/>
    <w:rsid w:val="00992118"/>
    <w:pPr>
      <w:tabs>
        <w:tab w:val="center" w:pos="9270"/>
      </w:tabs>
      <w:spacing w:after="240"/>
    </w:pPr>
    <w:rPr>
      <w:spacing w:val="-2"/>
    </w:rPr>
  </w:style>
  <w:style w:type="paragraph" w:customStyle="1" w:styleId="Bullet">
    <w:name w:val="Bullet"/>
    <w:basedOn w:val="Normal"/>
    <w:rsid w:val="00992118"/>
    <w:pPr>
      <w:tabs>
        <w:tab w:val="left" w:pos="2160"/>
      </w:tabs>
      <w:spacing w:after="220"/>
      <w:ind w:left="2160" w:hanging="720"/>
    </w:pPr>
  </w:style>
  <w:style w:type="paragraph" w:customStyle="1" w:styleId="TableFormat">
    <w:name w:val="TableFormat"/>
    <w:basedOn w:val="Bullet"/>
    <w:rsid w:val="00992118"/>
    <w:pPr>
      <w:tabs>
        <w:tab w:val="clear" w:pos="2160"/>
        <w:tab w:val="left" w:pos="5040"/>
      </w:tabs>
      <w:ind w:left="5040" w:hanging="3600"/>
    </w:pPr>
  </w:style>
  <w:style w:type="paragraph" w:customStyle="1" w:styleId="TOCTitle">
    <w:name w:val="TOC Title"/>
    <w:basedOn w:val="Normal"/>
    <w:rsid w:val="0099211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2118"/>
    <w:pPr>
      <w:jc w:val="center"/>
    </w:pPr>
    <w:rPr>
      <w:rFonts w:ascii="Times New Roman Bold" w:hAnsi="Times New Roman Bold"/>
      <w:b/>
      <w:bCs/>
      <w:caps/>
      <w:szCs w:val="22"/>
    </w:rPr>
  </w:style>
  <w:style w:type="character" w:styleId="Hyperlink">
    <w:name w:val="Hyperlink"/>
    <w:rsid w:val="00992118"/>
    <w:rPr>
      <w:color w:val="0000FF"/>
      <w:u w:val="single"/>
    </w:rPr>
  </w:style>
  <w:style w:type="character" w:customStyle="1" w:styleId="Heading1Char">
    <w:name w:val="Heading 1 Char"/>
    <w:link w:val="Heading1"/>
    <w:locked/>
    <w:rsid w:val="004F2CE4"/>
    <w:rPr>
      <w:rFonts w:ascii="Times New Roman Bold" w:hAnsi="Times New Roman Bold"/>
      <w:b/>
      <w:caps/>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B40B79"/>
  </w:style>
  <w:style w:type="character" w:customStyle="1" w:styleId="ParaNumChar">
    <w:name w:val="ParaNum Char"/>
    <w:link w:val="ParaNum"/>
    <w:locked/>
    <w:rsid w:val="00B40B79"/>
    <w:rPr>
      <w:snapToGrid w:val="0"/>
      <w:kern w:val="28"/>
      <w:sz w:val="22"/>
    </w:rPr>
  </w:style>
  <w:style w:type="character" w:customStyle="1" w:styleId="HeaderChar">
    <w:name w:val="Header Char"/>
    <w:link w:val="Header"/>
    <w:locked/>
    <w:rsid w:val="00A9571D"/>
    <w:rPr>
      <w:b/>
      <w:snapToGrid w:val="0"/>
      <w:kern w:val="28"/>
      <w:sz w:val="22"/>
    </w:rPr>
  </w:style>
  <w:style w:type="character" w:customStyle="1" w:styleId="FooterChar">
    <w:name w:val="Footer Char"/>
    <w:link w:val="Footer"/>
    <w:locked/>
    <w:rsid w:val="0016661D"/>
    <w:rPr>
      <w:snapToGrid w:val="0"/>
      <w:kern w:val="28"/>
      <w:sz w:val="22"/>
    </w:rPr>
  </w:style>
  <w:style w:type="table" w:styleId="TableGrid">
    <w:name w:val="Table Grid"/>
    <w:basedOn w:val="TableNormal"/>
    <w:uiPriority w:val="99"/>
    <w:rsid w:val="008D32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368"/>
    <w:rPr>
      <w:rFonts w:ascii="Tahoma" w:hAnsi="Tahoma" w:cs="Tahoma"/>
      <w:snapToGrid/>
      <w:sz w:val="16"/>
      <w:szCs w:val="16"/>
    </w:rPr>
  </w:style>
  <w:style w:type="character" w:customStyle="1" w:styleId="BalloonTextChar">
    <w:name w:val="Balloon Text Char"/>
    <w:link w:val="BalloonText"/>
    <w:rsid w:val="00797368"/>
    <w:rPr>
      <w:rFonts w:ascii="Tahoma" w:hAnsi="Tahoma" w:cs="Tahoma"/>
      <w:snapToGrid w:val="0"/>
      <w:kern w:val="28"/>
      <w:sz w:val="16"/>
      <w:szCs w:val="16"/>
    </w:rPr>
  </w:style>
  <w:style w:type="paragraph" w:styleId="ListParagraph">
    <w:name w:val="List Paragraph"/>
    <w:basedOn w:val="Normal"/>
    <w:uiPriority w:val="34"/>
    <w:qFormat/>
    <w:rsid w:val="008A5D4C"/>
    <w:pPr>
      <w:ind w:left="720"/>
      <w:contextualSpacing/>
    </w:pPr>
    <w:rPr>
      <w:snapToGrid/>
    </w:rPr>
  </w:style>
  <w:style w:type="paragraph" w:customStyle="1" w:styleId="par1">
    <w:name w:val="par1"/>
    <w:basedOn w:val="Normal"/>
    <w:link w:val="par1Char"/>
    <w:rsid w:val="00FC5DD7"/>
    <w:pPr>
      <w:numPr>
        <w:numId w:val="4"/>
      </w:numPr>
    </w:p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semiHidden/>
    <w:locked/>
    <w:rsid w:val="00FC5DD7"/>
    <w:rPr>
      <w:rFonts w:cs="Times New Roman"/>
      <w:sz w:val="24"/>
      <w:szCs w:val="24"/>
      <w:lang w:val="en-US" w:eastAsia="en-US" w:bidi="ar-SA"/>
    </w:rPr>
  </w:style>
  <w:style w:type="character" w:customStyle="1" w:styleId="par1Char">
    <w:name w:val="par1 Char"/>
    <w:link w:val="par1"/>
    <w:locked/>
    <w:rsid w:val="00FC5DD7"/>
    <w:rPr>
      <w:sz w:val="22"/>
    </w:rPr>
  </w:style>
  <w:style w:type="paragraph" w:customStyle="1" w:styleId="Default">
    <w:name w:val="Default"/>
    <w:rsid w:val="001D4AA6"/>
    <w:pPr>
      <w:autoSpaceDE w:val="0"/>
      <w:autoSpaceDN w:val="0"/>
      <w:adjustRightInd w:val="0"/>
    </w:pPr>
    <w:rPr>
      <w:color w:val="000000"/>
      <w:sz w:val="24"/>
      <w:szCs w:val="24"/>
    </w:rPr>
  </w:style>
  <w:style w:type="character" w:customStyle="1" w:styleId="reference-text">
    <w:name w:val="reference-text"/>
    <w:basedOn w:val="DefaultParagraphFont"/>
    <w:rsid w:val="00372D6D"/>
  </w:style>
  <w:style w:type="character" w:customStyle="1" w:styleId="documentbody">
    <w:name w:val="documentbody"/>
    <w:basedOn w:val="DefaultParagraphFont"/>
    <w:rsid w:val="00685B80"/>
  </w:style>
  <w:style w:type="paragraph" w:styleId="HTMLPreformatted">
    <w:name w:val="HTML Preformatted"/>
    <w:basedOn w:val="Normal"/>
    <w:link w:val="HTMLPreformattedChar"/>
    <w:uiPriority w:val="99"/>
    <w:unhideWhenUsed/>
    <w:rsid w:val="001D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D6E16"/>
    <w:rPr>
      <w:rFonts w:ascii="Courier New" w:hAnsi="Courier New" w:cs="Courier New"/>
    </w:rPr>
  </w:style>
  <w:style w:type="paragraph" w:styleId="CommentText">
    <w:name w:val="annotation text"/>
    <w:basedOn w:val="Normal"/>
    <w:link w:val="CommentTextChar"/>
    <w:uiPriority w:val="99"/>
    <w:unhideWhenUsed/>
    <w:rsid w:val="00A43DFA"/>
    <w:rPr>
      <w:rFonts w:ascii="Arial" w:eastAsia="Calibri" w:hAnsi="Arial"/>
    </w:rPr>
  </w:style>
  <w:style w:type="character" w:customStyle="1" w:styleId="CommentTextChar">
    <w:name w:val="Comment Text Char"/>
    <w:link w:val="CommentText"/>
    <w:uiPriority w:val="99"/>
    <w:rsid w:val="00A43DFA"/>
    <w:rPr>
      <w:rFonts w:ascii="Arial" w:eastAsia="Calibri" w:hAnsi="Arial"/>
      <w:snapToGrid w:val="0"/>
      <w:kern w:val="28"/>
    </w:rPr>
  </w:style>
  <w:style w:type="paragraph" w:styleId="PlainText">
    <w:name w:val="Plain Text"/>
    <w:basedOn w:val="Normal"/>
    <w:link w:val="PlainTextChar"/>
    <w:uiPriority w:val="99"/>
    <w:unhideWhenUsed/>
    <w:rsid w:val="00FE61EB"/>
    <w:rPr>
      <w:rFonts w:ascii="Calibri" w:eastAsia="Calibri" w:hAnsi="Calibri"/>
      <w:szCs w:val="21"/>
    </w:rPr>
  </w:style>
  <w:style w:type="character" w:customStyle="1" w:styleId="PlainTextChar">
    <w:name w:val="Plain Text Char"/>
    <w:link w:val="PlainText"/>
    <w:uiPriority w:val="99"/>
    <w:rsid w:val="00FE61EB"/>
    <w:rPr>
      <w:rFonts w:ascii="Calibri" w:eastAsia="Calibri" w:hAnsi="Calibri" w:cs="Times New Roman"/>
      <w:sz w:val="22"/>
      <w:szCs w:val="21"/>
    </w:rPr>
  </w:style>
  <w:style w:type="character" w:customStyle="1" w:styleId="apple-converted-space">
    <w:name w:val="apple-converted-space"/>
    <w:basedOn w:val="DefaultParagraphFont"/>
    <w:rsid w:val="000F41DE"/>
  </w:style>
  <w:style w:type="character" w:styleId="CommentReference">
    <w:name w:val="annotation reference"/>
    <w:basedOn w:val="DefaultParagraphFont"/>
    <w:rsid w:val="00DB0DAC"/>
    <w:rPr>
      <w:sz w:val="16"/>
      <w:szCs w:val="16"/>
    </w:rPr>
  </w:style>
  <w:style w:type="paragraph" w:styleId="CommentSubject">
    <w:name w:val="annotation subject"/>
    <w:basedOn w:val="CommentText"/>
    <w:next w:val="CommentText"/>
    <w:link w:val="CommentSubjectChar"/>
    <w:rsid w:val="00DB0DAC"/>
    <w:rPr>
      <w:rFonts w:ascii="Times New Roman" w:eastAsia="Times New Roman" w:hAnsi="Times New Roman"/>
      <w:b/>
      <w:bCs/>
      <w:snapToGrid/>
    </w:rPr>
  </w:style>
  <w:style w:type="character" w:customStyle="1" w:styleId="CommentSubjectChar">
    <w:name w:val="Comment Subject Char"/>
    <w:basedOn w:val="CommentTextChar"/>
    <w:link w:val="CommentSubject"/>
    <w:rsid w:val="00DB0DAC"/>
    <w:rPr>
      <w:rFonts w:ascii="Calibri" w:eastAsia="Calibri" w:hAnsi="Calibri"/>
      <w:b/>
      <w:bCs/>
      <w:snapToGrid/>
      <w:kern w:val="28"/>
    </w:rPr>
  </w:style>
  <w:style w:type="character" w:customStyle="1" w:styleId="ptext-18">
    <w:name w:val="ptext-18"/>
    <w:basedOn w:val="DefaultParagraphFont"/>
    <w:rsid w:val="009A0C2A"/>
  </w:style>
  <w:style w:type="character" w:customStyle="1" w:styleId="bestsection">
    <w:name w:val="bestsection"/>
    <w:basedOn w:val="DefaultParagraphFont"/>
    <w:rsid w:val="00F37FFD"/>
  </w:style>
  <w:style w:type="character" w:customStyle="1" w:styleId="searchterm">
    <w:name w:val="searchterm"/>
    <w:basedOn w:val="DefaultParagraphFont"/>
    <w:rsid w:val="00F37FFD"/>
  </w:style>
  <w:style w:type="paragraph" w:styleId="NormalWeb">
    <w:name w:val="Normal (Web)"/>
    <w:basedOn w:val="Normal"/>
    <w:uiPriority w:val="99"/>
    <w:unhideWhenUsed/>
    <w:rsid w:val="000A0495"/>
    <w:rPr>
      <w:sz w:val="24"/>
      <w:szCs w:val="24"/>
    </w:rPr>
  </w:style>
  <w:style w:type="character" w:styleId="Strong">
    <w:name w:val="Strong"/>
    <w:basedOn w:val="DefaultParagraphFont"/>
    <w:uiPriority w:val="22"/>
    <w:qFormat/>
    <w:rsid w:val="000A0495"/>
    <w:rPr>
      <w:b/>
      <w:bCs/>
    </w:rPr>
  </w:style>
  <w:style w:type="paragraph" w:styleId="Revision">
    <w:name w:val="Revision"/>
    <w:hidden/>
    <w:uiPriority w:val="99"/>
    <w:semiHidden/>
    <w:rsid w:val="00D60BEF"/>
    <w:rPr>
      <w:snapToGrid w:val="0"/>
      <w:kern w:val="28"/>
      <w:sz w:val="22"/>
    </w:rPr>
  </w:style>
  <w:style w:type="character" w:customStyle="1" w:styleId="Heading2Char">
    <w:name w:val="Heading 2 Char"/>
    <w:basedOn w:val="DefaultParagraphFont"/>
    <w:link w:val="Heading2"/>
    <w:rsid w:val="00FB6E17"/>
    <w:rPr>
      <w:b/>
      <w:snapToGrid w:val="0"/>
      <w:kern w:val="28"/>
      <w:sz w:val="22"/>
    </w:rPr>
  </w:style>
  <w:style w:type="character" w:styleId="FollowedHyperlink">
    <w:name w:val="FollowedHyperlink"/>
    <w:basedOn w:val="DefaultParagraphFont"/>
    <w:semiHidden/>
    <w:unhideWhenUsed/>
    <w:rsid w:val="00315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844">
      <w:bodyDiv w:val="1"/>
      <w:marLeft w:val="0"/>
      <w:marRight w:val="0"/>
      <w:marTop w:val="0"/>
      <w:marBottom w:val="0"/>
      <w:divBdr>
        <w:top w:val="none" w:sz="0" w:space="0" w:color="auto"/>
        <w:left w:val="none" w:sz="0" w:space="0" w:color="auto"/>
        <w:bottom w:val="none" w:sz="0" w:space="0" w:color="auto"/>
        <w:right w:val="none" w:sz="0" w:space="0" w:color="auto"/>
      </w:divBdr>
    </w:div>
    <w:div w:id="56513591">
      <w:bodyDiv w:val="1"/>
      <w:marLeft w:val="0"/>
      <w:marRight w:val="0"/>
      <w:marTop w:val="0"/>
      <w:marBottom w:val="0"/>
      <w:divBdr>
        <w:top w:val="none" w:sz="0" w:space="0" w:color="auto"/>
        <w:left w:val="none" w:sz="0" w:space="0" w:color="auto"/>
        <w:bottom w:val="none" w:sz="0" w:space="0" w:color="auto"/>
        <w:right w:val="none" w:sz="0" w:space="0" w:color="auto"/>
      </w:divBdr>
    </w:div>
    <w:div w:id="282074318">
      <w:bodyDiv w:val="1"/>
      <w:marLeft w:val="0"/>
      <w:marRight w:val="0"/>
      <w:marTop w:val="0"/>
      <w:marBottom w:val="0"/>
      <w:divBdr>
        <w:top w:val="none" w:sz="0" w:space="0" w:color="auto"/>
        <w:left w:val="none" w:sz="0" w:space="0" w:color="auto"/>
        <w:bottom w:val="none" w:sz="0" w:space="0" w:color="auto"/>
        <w:right w:val="none" w:sz="0" w:space="0" w:color="auto"/>
      </w:divBdr>
      <w:divsChild>
        <w:div w:id="1498809638">
          <w:marLeft w:val="0"/>
          <w:marRight w:val="0"/>
          <w:marTop w:val="0"/>
          <w:marBottom w:val="0"/>
          <w:divBdr>
            <w:top w:val="none" w:sz="0" w:space="0" w:color="auto"/>
            <w:left w:val="none" w:sz="0" w:space="0" w:color="auto"/>
            <w:bottom w:val="none" w:sz="0" w:space="0" w:color="auto"/>
            <w:right w:val="none" w:sz="0" w:space="0" w:color="auto"/>
          </w:divBdr>
          <w:divsChild>
            <w:div w:id="679084802">
              <w:marLeft w:val="0"/>
              <w:marRight w:val="0"/>
              <w:marTop w:val="0"/>
              <w:marBottom w:val="0"/>
              <w:divBdr>
                <w:top w:val="none" w:sz="0" w:space="0" w:color="auto"/>
                <w:left w:val="none" w:sz="0" w:space="0" w:color="auto"/>
                <w:bottom w:val="none" w:sz="0" w:space="0" w:color="auto"/>
                <w:right w:val="none" w:sz="0" w:space="0" w:color="auto"/>
              </w:divBdr>
              <w:divsChild>
                <w:div w:id="1200901370">
                  <w:marLeft w:val="0"/>
                  <w:marRight w:val="0"/>
                  <w:marTop w:val="0"/>
                  <w:marBottom w:val="0"/>
                  <w:divBdr>
                    <w:top w:val="none" w:sz="0" w:space="0" w:color="auto"/>
                    <w:left w:val="none" w:sz="0" w:space="0" w:color="auto"/>
                    <w:bottom w:val="none" w:sz="0" w:space="0" w:color="auto"/>
                    <w:right w:val="none" w:sz="0" w:space="0" w:color="auto"/>
                  </w:divBdr>
                  <w:divsChild>
                    <w:div w:id="1582324597">
                      <w:marLeft w:val="0"/>
                      <w:marRight w:val="0"/>
                      <w:marTop w:val="0"/>
                      <w:marBottom w:val="0"/>
                      <w:divBdr>
                        <w:top w:val="none" w:sz="0" w:space="0" w:color="auto"/>
                        <w:left w:val="none" w:sz="0" w:space="0" w:color="auto"/>
                        <w:bottom w:val="none" w:sz="0" w:space="0" w:color="auto"/>
                        <w:right w:val="none" w:sz="0" w:space="0" w:color="auto"/>
                      </w:divBdr>
                      <w:divsChild>
                        <w:div w:id="521624925">
                          <w:marLeft w:val="0"/>
                          <w:marRight w:val="0"/>
                          <w:marTop w:val="0"/>
                          <w:marBottom w:val="0"/>
                          <w:divBdr>
                            <w:top w:val="none" w:sz="0" w:space="0" w:color="auto"/>
                            <w:left w:val="none" w:sz="0" w:space="0" w:color="auto"/>
                            <w:bottom w:val="none" w:sz="0" w:space="0" w:color="auto"/>
                            <w:right w:val="none" w:sz="0" w:space="0" w:color="auto"/>
                          </w:divBdr>
                          <w:divsChild>
                            <w:div w:id="1312372073">
                              <w:marLeft w:val="0"/>
                              <w:marRight w:val="0"/>
                              <w:marTop w:val="0"/>
                              <w:marBottom w:val="0"/>
                              <w:divBdr>
                                <w:top w:val="none" w:sz="0" w:space="0" w:color="auto"/>
                                <w:left w:val="none" w:sz="0" w:space="0" w:color="auto"/>
                                <w:bottom w:val="none" w:sz="0" w:space="0" w:color="auto"/>
                                <w:right w:val="none" w:sz="0" w:space="0" w:color="auto"/>
                              </w:divBdr>
                              <w:divsChild>
                                <w:div w:id="931429350">
                                  <w:marLeft w:val="0"/>
                                  <w:marRight w:val="0"/>
                                  <w:marTop w:val="0"/>
                                  <w:marBottom w:val="0"/>
                                  <w:divBdr>
                                    <w:top w:val="none" w:sz="0" w:space="0" w:color="auto"/>
                                    <w:left w:val="none" w:sz="0" w:space="0" w:color="auto"/>
                                    <w:bottom w:val="none" w:sz="0" w:space="0" w:color="auto"/>
                                    <w:right w:val="none" w:sz="0" w:space="0" w:color="auto"/>
                                  </w:divBdr>
                                  <w:divsChild>
                                    <w:div w:id="1193570083">
                                      <w:marLeft w:val="0"/>
                                      <w:marRight w:val="0"/>
                                      <w:marTop w:val="0"/>
                                      <w:marBottom w:val="0"/>
                                      <w:divBdr>
                                        <w:top w:val="none" w:sz="0" w:space="0" w:color="auto"/>
                                        <w:left w:val="none" w:sz="0" w:space="0" w:color="auto"/>
                                        <w:bottom w:val="none" w:sz="0" w:space="0" w:color="auto"/>
                                        <w:right w:val="none" w:sz="0" w:space="0" w:color="auto"/>
                                      </w:divBdr>
                                      <w:divsChild>
                                        <w:div w:id="1830751161">
                                          <w:marLeft w:val="0"/>
                                          <w:marRight w:val="0"/>
                                          <w:marTop w:val="0"/>
                                          <w:marBottom w:val="0"/>
                                          <w:divBdr>
                                            <w:top w:val="none" w:sz="0" w:space="0" w:color="auto"/>
                                            <w:left w:val="none" w:sz="0" w:space="0" w:color="auto"/>
                                            <w:bottom w:val="none" w:sz="0" w:space="0" w:color="auto"/>
                                            <w:right w:val="none" w:sz="0" w:space="0" w:color="auto"/>
                                          </w:divBdr>
                                          <w:divsChild>
                                            <w:div w:id="692808064">
                                              <w:marLeft w:val="0"/>
                                              <w:marRight w:val="0"/>
                                              <w:marTop w:val="0"/>
                                              <w:marBottom w:val="0"/>
                                              <w:divBdr>
                                                <w:top w:val="none" w:sz="0" w:space="0" w:color="auto"/>
                                                <w:left w:val="none" w:sz="0" w:space="0" w:color="auto"/>
                                                <w:bottom w:val="none" w:sz="0" w:space="0" w:color="auto"/>
                                                <w:right w:val="none" w:sz="0" w:space="0" w:color="auto"/>
                                              </w:divBdr>
                                              <w:divsChild>
                                                <w:div w:id="1175537146">
                                                  <w:marLeft w:val="0"/>
                                                  <w:marRight w:val="0"/>
                                                  <w:marTop w:val="0"/>
                                                  <w:marBottom w:val="300"/>
                                                  <w:divBdr>
                                                    <w:top w:val="none" w:sz="0" w:space="0" w:color="auto"/>
                                                    <w:left w:val="none" w:sz="0" w:space="0" w:color="auto"/>
                                                    <w:bottom w:val="none" w:sz="0" w:space="0" w:color="auto"/>
                                                    <w:right w:val="none" w:sz="0" w:space="0" w:color="auto"/>
                                                  </w:divBdr>
                                                  <w:divsChild>
                                                    <w:div w:id="780226467">
                                                      <w:marLeft w:val="0"/>
                                                      <w:marRight w:val="0"/>
                                                      <w:marTop w:val="0"/>
                                                      <w:marBottom w:val="0"/>
                                                      <w:divBdr>
                                                        <w:top w:val="none" w:sz="0" w:space="0" w:color="auto"/>
                                                        <w:left w:val="none" w:sz="0" w:space="0" w:color="auto"/>
                                                        <w:bottom w:val="none" w:sz="0" w:space="0" w:color="auto"/>
                                                        <w:right w:val="none" w:sz="0" w:space="0" w:color="auto"/>
                                                      </w:divBdr>
                                                      <w:divsChild>
                                                        <w:div w:id="242840155">
                                                          <w:marLeft w:val="0"/>
                                                          <w:marRight w:val="0"/>
                                                          <w:marTop w:val="0"/>
                                                          <w:marBottom w:val="0"/>
                                                          <w:divBdr>
                                                            <w:top w:val="none" w:sz="0" w:space="0" w:color="auto"/>
                                                            <w:left w:val="none" w:sz="0" w:space="0" w:color="auto"/>
                                                            <w:bottom w:val="none" w:sz="0" w:space="0" w:color="auto"/>
                                                            <w:right w:val="none" w:sz="0" w:space="0" w:color="auto"/>
                                                          </w:divBdr>
                                                          <w:divsChild>
                                                            <w:div w:id="590623528">
                                                              <w:marLeft w:val="0"/>
                                                              <w:marRight w:val="375"/>
                                                              <w:marTop w:val="0"/>
                                                              <w:marBottom w:val="0"/>
                                                              <w:divBdr>
                                                                <w:top w:val="none" w:sz="0" w:space="0" w:color="auto"/>
                                                                <w:left w:val="none" w:sz="0" w:space="0" w:color="auto"/>
                                                                <w:bottom w:val="none" w:sz="0" w:space="0" w:color="auto"/>
                                                                <w:right w:val="none" w:sz="0" w:space="0" w:color="auto"/>
                                                              </w:divBdr>
                                                            </w:div>
                                                            <w:div w:id="20713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3438511">
      <w:bodyDiv w:val="1"/>
      <w:marLeft w:val="0"/>
      <w:marRight w:val="0"/>
      <w:marTop w:val="0"/>
      <w:marBottom w:val="0"/>
      <w:divBdr>
        <w:top w:val="none" w:sz="0" w:space="0" w:color="auto"/>
        <w:left w:val="none" w:sz="0" w:space="0" w:color="auto"/>
        <w:bottom w:val="none" w:sz="0" w:space="0" w:color="auto"/>
        <w:right w:val="none" w:sz="0" w:space="0" w:color="auto"/>
      </w:divBdr>
    </w:div>
    <w:div w:id="334305328">
      <w:bodyDiv w:val="1"/>
      <w:marLeft w:val="0"/>
      <w:marRight w:val="0"/>
      <w:marTop w:val="0"/>
      <w:marBottom w:val="0"/>
      <w:divBdr>
        <w:top w:val="none" w:sz="0" w:space="0" w:color="auto"/>
        <w:left w:val="none" w:sz="0" w:space="0" w:color="auto"/>
        <w:bottom w:val="none" w:sz="0" w:space="0" w:color="auto"/>
        <w:right w:val="none" w:sz="0" w:space="0" w:color="auto"/>
      </w:divBdr>
    </w:div>
    <w:div w:id="395400928">
      <w:bodyDiv w:val="1"/>
      <w:marLeft w:val="0"/>
      <w:marRight w:val="0"/>
      <w:marTop w:val="0"/>
      <w:marBottom w:val="0"/>
      <w:divBdr>
        <w:top w:val="none" w:sz="0" w:space="0" w:color="auto"/>
        <w:left w:val="none" w:sz="0" w:space="0" w:color="auto"/>
        <w:bottom w:val="none" w:sz="0" w:space="0" w:color="auto"/>
        <w:right w:val="none" w:sz="0" w:space="0" w:color="auto"/>
      </w:divBdr>
    </w:div>
    <w:div w:id="444228872">
      <w:bodyDiv w:val="1"/>
      <w:marLeft w:val="0"/>
      <w:marRight w:val="0"/>
      <w:marTop w:val="0"/>
      <w:marBottom w:val="0"/>
      <w:divBdr>
        <w:top w:val="none" w:sz="0" w:space="0" w:color="auto"/>
        <w:left w:val="none" w:sz="0" w:space="0" w:color="auto"/>
        <w:bottom w:val="none" w:sz="0" w:space="0" w:color="auto"/>
        <w:right w:val="none" w:sz="0" w:space="0" w:color="auto"/>
      </w:divBdr>
    </w:div>
    <w:div w:id="461074778">
      <w:bodyDiv w:val="1"/>
      <w:marLeft w:val="0"/>
      <w:marRight w:val="0"/>
      <w:marTop w:val="0"/>
      <w:marBottom w:val="0"/>
      <w:divBdr>
        <w:top w:val="none" w:sz="0" w:space="0" w:color="auto"/>
        <w:left w:val="none" w:sz="0" w:space="0" w:color="auto"/>
        <w:bottom w:val="none" w:sz="0" w:space="0" w:color="auto"/>
        <w:right w:val="none" w:sz="0" w:space="0" w:color="auto"/>
      </w:divBdr>
    </w:div>
    <w:div w:id="489829936">
      <w:bodyDiv w:val="1"/>
      <w:marLeft w:val="0"/>
      <w:marRight w:val="0"/>
      <w:marTop w:val="0"/>
      <w:marBottom w:val="0"/>
      <w:divBdr>
        <w:top w:val="none" w:sz="0" w:space="0" w:color="auto"/>
        <w:left w:val="none" w:sz="0" w:space="0" w:color="auto"/>
        <w:bottom w:val="none" w:sz="0" w:space="0" w:color="auto"/>
        <w:right w:val="none" w:sz="0" w:space="0" w:color="auto"/>
      </w:divBdr>
    </w:div>
    <w:div w:id="571818779">
      <w:bodyDiv w:val="1"/>
      <w:marLeft w:val="0"/>
      <w:marRight w:val="0"/>
      <w:marTop w:val="0"/>
      <w:marBottom w:val="0"/>
      <w:divBdr>
        <w:top w:val="none" w:sz="0" w:space="0" w:color="auto"/>
        <w:left w:val="none" w:sz="0" w:space="0" w:color="auto"/>
        <w:bottom w:val="none" w:sz="0" w:space="0" w:color="auto"/>
        <w:right w:val="none" w:sz="0" w:space="0" w:color="auto"/>
      </w:divBdr>
    </w:div>
    <w:div w:id="580799995">
      <w:bodyDiv w:val="1"/>
      <w:marLeft w:val="0"/>
      <w:marRight w:val="0"/>
      <w:marTop w:val="0"/>
      <w:marBottom w:val="0"/>
      <w:divBdr>
        <w:top w:val="none" w:sz="0" w:space="0" w:color="auto"/>
        <w:left w:val="none" w:sz="0" w:space="0" w:color="auto"/>
        <w:bottom w:val="none" w:sz="0" w:space="0" w:color="auto"/>
        <w:right w:val="none" w:sz="0" w:space="0" w:color="auto"/>
      </w:divBdr>
    </w:div>
    <w:div w:id="682049833">
      <w:bodyDiv w:val="1"/>
      <w:marLeft w:val="0"/>
      <w:marRight w:val="0"/>
      <w:marTop w:val="0"/>
      <w:marBottom w:val="0"/>
      <w:divBdr>
        <w:top w:val="none" w:sz="0" w:space="0" w:color="auto"/>
        <w:left w:val="none" w:sz="0" w:space="0" w:color="auto"/>
        <w:bottom w:val="none" w:sz="0" w:space="0" w:color="auto"/>
        <w:right w:val="none" w:sz="0" w:space="0" w:color="auto"/>
      </w:divBdr>
    </w:div>
    <w:div w:id="708795733">
      <w:bodyDiv w:val="1"/>
      <w:marLeft w:val="0"/>
      <w:marRight w:val="0"/>
      <w:marTop w:val="0"/>
      <w:marBottom w:val="0"/>
      <w:divBdr>
        <w:top w:val="none" w:sz="0" w:space="0" w:color="auto"/>
        <w:left w:val="none" w:sz="0" w:space="0" w:color="auto"/>
        <w:bottom w:val="none" w:sz="0" w:space="0" w:color="auto"/>
        <w:right w:val="none" w:sz="0" w:space="0" w:color="auto"/>
      </w:divBdr>
    </w:div>
    <w:div w:id="710803769">
      <w:bodyDiv w:val="1"/>
      <w:marLeft w:val="0"/>
      <w:marRight w:val="0"/>
      <w:marTop w:val="0"/>
      <w:marBottom w:val="0"/>
      <w:divBdr>
        <w:top w:val="none" w:sz="0" w:space="0" w:color="auto"/>
        <w:left w:val="none" w:sz="0" w:space="0" w:color="auto"/>
        <w:bottom w:val="none" w:sz="0" w:space="0" w:color="auto"/>
        <w:right w:val="none" w:sz="0" w:space="0" w:color="auto"/>
      </w:divBdr>
    </w:div>
    <w:div w:id="789982566">
      <w:bodyDiv w:val="1"/>
      <w:marLeft w:val="0"/>
      <w:marRight w:val="0"/>
      <w:marTop w:val="0"/>
      <w:marBottom w:val="0"/>
      <w:divBdr>
        <w:top w:val="none" w:sz="0" w:space="0" w:color="auto"/>
        <w:left w:val="none" w:sz="0" w:space="0" w:color="auto"/>
        <w:bottom w:val="none" w:sz="0" w:space="0" w:color="auto"/>
        <w:right w:val="none" w:sz="0" w:space="0" w:color="auto"/>
      </w:divBdr>
    </w:div>
    <w:div w:id="803540820">
      <w:bodyDiv w:val="1"/>
      <w:marLeft w:val="0"/>
      <w:marRight w:val="0"/>
      <w:marTop w:val="0"/>
      <w:marBottom w:val="0"/>
      <w:divBdr>
        <w:top w:val="none" w:sz="0" w:space="0" w:color="auto"/>
        <w:left w:val="none" w:sz="0" w:space="0" w:color="auto"/>
        <w:bottom w:val="none" w:sz="0" w:space="0" w:color="auto"/>
        <w:right w:val="none" w:sz="0" w:space="0" w:color="auto"/>
      </w:divBdr>
    </w:div>
    <w:div w:id="825127640">
      <w:bodyDiv w:val="1"/>
      <w:marLeft w:val="0"/>
      <w:marRight w:val="0"/>
      <w:marTop w:val="0"/>
      <w:marBottom w:val="0"/>
      <w:divBdr>
        <w:top w:val="none" w:sz="0" w:space="0" w:color="auto"/>
        <w:left w:val="none" w:sz="0" w:space="0" w:color="auto"/>
        <w:bottom w:val="none" w:sz="0" w:space="0" w:color="auto"/>
        <w:right w:val="none" w:sz="0" w:space="0" w:color="auto"/>
      </w:divBdr>
    </w:div>
    <w:div w:id="826362249">
      <w:bodyDiv w:val="1"/>
      <w:marLeft w:val="0"/>
      <w:marRight w:val="0"/>
      <w:marTop w:val="0"/>
      <w:marBottom w:val="0"/>
      <w:divBdr>
        <w:top w:val="none" w:sz="0" w:space="0" w:color="auto"/>
        <w:left w:val="none" w:sz="0" w:space="0" w:color="auto"/>
        <w:bottom w:val="none" w:sz="0" w:space="0" w:color="auto"/>
        <w:right w:val="none" w:sz="0" w:space="0" w:color="auto"/>
      </w:divBdr>
    </w:div>
    <w:div w:id="882792553">
      <w:bodyDiv w:val="1"/>
      <w:marLeft w:val="0"/>
      <w:marRight w:val="0"/>
      <w:marTop w:val="0"/>
      <w:marBottom w:val="0"/>
      <w:divBdr>
        <w:top w:val="none" w:sz="0" w:space="0" w:color="auto"/>
        <w:left w:val="none" w:sz="0" w:space="0" w:color="auto"/>
        <w:bottom w:val="none" w:sz="0" w:space="0" w:color="auto"/>
        <w:right w:val="none" w:sz="0" w:space="0" w:color="auto"/>
      </w:divBdr>
    </w:div>
    <w:div w:id="901990901">
      <w:bodyDiv w:val="1"/>
      <w:marLeft w:val="0"/>
      <w:marRight w:val="0"/>
      <w:marTop w:val="0"/>
      <w:marBottom w:val="0"/>
      <w:divBdr>
        <w:top w:val="none" w:sz="0" w:space="0" w:color="auto"/>
        <w:left w:val="none" w:sz="0" w:space="0" w:color="auto"/>
        <w:bottom w:val="none" w:sz="0" w:space="0" w:color="auto"/>
        <w:right w:val="none" w:sz="0" w:space="0" w:color="auto"/>
      </w:divBdr>
      <w:divsChild>
        <w:div w:id="150173015">
          <w:marLeft w:val="0"/>
          <w:marRight w:val="0"/>
          <w:marTop w:val="0"/>
          <w:marBottom w:val="0"/>
          <w:divBdr>
            <w:top w:val="none" w:sz="0" w:space="0" w:color="auto"/>
            <w:left w:val="none" w:sz="0" w:space="0" w:color="auto"/>
            <w:bottom w:val="none" w:sz="0" w:space="0" w:color="auto"/>
            <w:right w:val="none" w:sz="0" w:space="0" w:color="auto"/>
          </w:divBdr>
        </w:div>
        <w:div w:id="172769647">
          <w:marLeft w:val="0"/>
          <w:marRight w:val="0"/>
          <w:marTop w:val="0"/>
          <w:marBottom w:val="0"/>
          <w:divBdr>
            <w:top w:val="none" w:sz="0" w:space="0" w:color="auto"/>
            <w:left w:val="none" w:sz="0" w:space="0" w:color="auto"/>
            <w:bottom w:val="none" w:sz="0" w:space="0" w:color="auto"/>
            <w:right w:val="none" w:sz="0" w:space="0" w:color="auto"/>
          </w:divBdr>
        </w:div>
        <w:div w:id="237597551">
          <w:marLeft w:val="0"/>
          <w:marRight w:val="0"/>
          <w:marTop w:val="0"/>
          <w:marBottom w:val="0"/>
          <w:divBdr>
            <w:top w:val="none" w:sz="0" w:space="0" w:color="auto"/>
            <w:left w:val="none" w:sz="0" w:space="0" w:color="auto"/>
            <w:bottom w:val="none" w:sz="0" w:space="0" w:color="auto"/>
            <w:right w:val="none" w:sz="0" w:space="0" w:color="auto"/>
          </w:divBdr>
        </w:div>
        <w:div w:id="292559041">
          <w:marLeft w:val="0"/>
          <w:marRight w:val="0"/>
          <w:marTop w:val="0"/>
          <w:marBottom w:val="0"/>
          <w:divBdr>
            <w:top w:val="none" w:sz="0" w:space="0" w:color="auto"/>
            <w:left w:val="none" w:sz="0" w:space="0" w:color="auto"/>
            <w:bottom w:val="none" w:sz="0" w:space="0" w:color="auto"/>
            <w:right w:val="none" w:sz="0" w:space="0" w:color="auto"/>
          </w:divBdr>
        </w:div>
        <w:div w:id="425611257">
          <w:marLeft w:val="0"/>
          <w:marRight w:val="0"/>
          <w:marTop w:val="0"/>
          <w:marBottom w:val="0"/>
          <w:divBdr>
            <w:top w:val="none" w:sz="0" w:space="0" w:color="auto"/>
            <w:left w:val="none" w:sz="0" w:space="0" w:color="auto"/>
            <w:bottom w:val="none" w:sz="0" w:space="0" w:color="auto"/>
            <w:right w:val="none" w:sz="0" w:space="0" w:color="auto"/>
          </w:divBdr>
        </w:div>
        <w:div w:id="463280504">
          <w:marLeft w:val="0"/>
          <w:marRight w:val="0"/>
          <w:marTop w:val="0"/>
          <w:marBottom w:val="0"/>
          <w:divBdr>
            <w:top w:val="none" w:sz="0" w:space="0" w:color="auto"/>
            <w:left w:val="none" w:sz="0" w:space="0" w:color="auto"/>
            <w:bottom w:val="none" w:sz="0" w:space="0" w:color="auto"/>
            <w:right w:val="none" w:sz="0" w:space="0" w:color="auto"/>
          </w:divBdr>
        </w:div>
        <w:div w:id="593173335">
          <w:marLeft w:val="0"/>
          <w:marRight w:val="0"/>
          <w:marTop w:val="0"/>
          <w:marBottom w:val="0"/>
          <w:divBdr>
            <w:top w:val="none" w:sz="0" w:space="0" w:color="auto"/>
            <w:left w:val="none" w:sz="0" w:space="0" w:color="auto"/>
            <w:bottom w:val="none" w:sz="0" w:space="0" w:color="auto"/>
            <w:right w:val="none" w:sz="0" w:space="0" w:color="auto"/>
          </w:divBdr>
        </w:div>
        <w:div w:id="818183956">
          <w:marLeft w:val="0"/>
          <w:marRight w:val="0"/>
          <w:marTop w:val="0"/>
          <w:marBottom w:val="0"/>
          <w:divBdr>
            <w:top w:val="none" w:sz="0" w:space="0" w:color="auto"/>
            <w:left w:val="none" w:sz="0" w:space="0" w:color="auto"/>
            <w:bottom w:val="none" w:sz="0" w:space="0" w:color="auto"/>
            <w:right w:val="none" w:sz="0" w:space="0" w:color="auto"/>
          </w:divBdr>
        </w:div>
        <w:div w:id="1042284954">
          <w:marLeft w:val="0"/>
          <w:marRight w:val="0"/>
          <w:marTop w:val="0"/>
          <w:marBottom w:val="0"/>
          <w:divBdr>
            <w:top w:val="none" w:sz="0" w:space="0" w:color="auto"/>
            <w:left w:val="none" w:sz="0" w:space="0" w:color="auto"/>
            <w:bottom w:val="none" w:sz="0" w:space="0" w:color="auto"/>
            <w:right w:val="none" w:sz="0" w:space="0" w:color="auto"/>
          </w:divBdr>
        </w:div>
        <w:div w:id="1088040070">
          <w:marLeft w:val="0"/>
          <w:marRight w:val="0"/>
          <w:marTop w:val="0"/>
          <w:marBottom w:val="0"/>
          <w:divBdr>
            <w:top w:val="none" w:sz="0" w:space="0" w:color="auto"/>
            <w:left w:val="none" w:sz="0" w:space="0" w:color="auto"/>
            <w:bottom w:val="none" w:sz="0" w:space="0" w:color="auto"/>
            <w:right w:val="none" w:sz="0" w:space="0" w:color="auto"/>
          </w:divBdr>
        </w:div>
        <w:div w:id="1132869850">
          <w:marLeft w:val="0"/>
          <w:marRight w:val="0"/>
          <w:marTop w:val="0"/>
          <w:marBottom w:val="0"/>
          <w:divBdr>
            <w:top w:val="none" w:sz="0" w:space="0" w:color="auto"/>
            <w:left w:val="none" w:sz="0" w:space="0" w:color="auto"/>
            <w:bottom w:val="none" w:sz="0" w:space="0" w:color="auto"/>
            <w:right w:val="none" w:sz="0" w:space="0" w:color="auto"/>
          </w:divBdr>
        </w:div>
        <w:div w:id="1165558592">
          <w:marLeft w:val="0"/>
          <w:marRight w:val="0"/>
          <w:marTop w:val="0"/>
          <w:marBottom w:val="0"/>
          <w:divBdr>
            <w:top w:val="none" w:sz="0" w:space="0" w:color="auto"/>
            <w:left w:val="none" w:sz="0" w:space="0" w:color="auto"/>
            <w:bottom w:val="none" w:sz="0" w:space="0" w:color="auto"/>
            <w:right w:val="none" w:sz="0" w:space="0" w:color="auto"/>
          </w:divBdr>
        </w:div>
        <w:div w:id="1224364945">
          <w:marLeft w:val="0"/>
          <w:marRight w:val="0"/>
          <w:marTop w:val="0"/>
          <w:marBottom w:val="0"/>
          <w:divBdr>
            <w:top w:val="none" w:sz="0" w:space="0" w:color="auto"/>
            <w:left w:val="none" w:sz="0" w:space="0" w:color="auto"/>
            <w:bottom w:val="none" w:sz="0" w:space="0" w:color="auto"/>
            <w:right w:val="none" w:sz="0" w:space="0" w:color="auto"/>
          </w:divBdr>
        </w:div>
        <w:div w:id="1459954761">
          <w:marLeft w:val="0"/>
          <w:marRight w:val="0"/>
          <w:marTop w:val="0"/>
          <w:marBottom w:val="0"/>
          <w:divBdr>
            <w:top w:val="none" w:sz="0" w:space="0" w:color="auto"/>
            <w:left w:val="none" w:sz="0" w:space="0" w:color="auto"/>
            <w:bottom w:val="none" w:sz="0" w:space="0" w:color="auto"/>
            <w:right w:val="none" w:sz="0" w:space="0" w:color="auto"/>
          </w:divBdr>
        </w:div>
        <w:div w:id="1708097056">
          <w:marLeft w:val="0"/>
          <w:marRight w:val="0"/>
          <w:marTop w:val="0"/>
          <w:marBottom w:val="0"/>
          <w:divBdr>
            <w:top w:val="none" w:sz="0" w:space="0" w:color="auto"/>
            <w:left w:val="none" w:sz="0" w:space="0" w:color="auto"/>
            <w:bottom w:val="none" w:sz="0" w:space="0" w:color="auto"/>
            <w:right w:val="none" w:sz="0" w:space="0" w:color="auto"/>
          </w:divBdr>
        </w:div>
        <w:div w:id="1875925949">
          <w:marLeft w:val="0"/>
          <w:marRight w:val="0"/>
          <w:marTop w:val="0"/>
          <w:marBottom w:val="0"/>
          <w:divBdr>
            <w:top w:val="none" w:sz="0" w:space="0" w:color="auto"/>
            <w:left w:val="none" w:sz="0" w:space="0" w:color="auto"/>
            <w:bottom w:val="none" w:sz="0" w:space="0" w:color="auto"/>
            <w:right w:val="none" w:sz="0" w:space="0" w:color="auto"/>
          </w:divBdr>
        </w:div>
      </w:divsChild>
    </w:div>
    <w:div w:id="990408144">
      <w:bodyDiv w:val="1"/>
      <w:marLeft w:val="0"/>
      <w:marRight w:val="0"/>
      <w:marTop w:val="0"/>
      <w:marBottom w:val="0"/>
      <w:divBdr>
        <w:top w:val="none" w:sz="0" w:space="0" w:color="auto"/>
        <w:left w:val="none" w:sz="0" w:space="0" w:color="auto"/>
        <w:bottom w:val="none" w:sz="0" w:space="0" w:color="auto"/>
        <w:right w:val="none" w:sz="0" w:space="0" w:color="auto"/>
      </w:divBdr>
    </w:div>
    <w:div w:id="1014258821">
      <w:bodyDiv w:val="1"/>
      <w:marLeft w:val="0"/>
      <w:marRight w:val="0"/>
      <w:marTop w:val="0"/>
      <w:marBottom w:val="0"/>
      <w:divBdr>
        <w:top w:val="none" w:sz="0" w:space="0" w:color="auto"/>
        <w:left w:val="none" w:sz="0" w:space="0" w:color="auto"/>
        <w:bottom w:val="none" w:sz="0" w:space="0" w:color="auto"/>
        <w:right w:val="none" w:sz="0" w:space="0" w:color="auto"/>
      </w:divBdr>
    </w:div>
    <w:div w:id="1079016963">
      <w:bodyDiv w:val="1"/>
      <w:marLeft w:val="0"/>
      <w:marRight w:val="0"/>
      <w:marTop w:val="0"/>
      <w:marBottom w:val="0"/>
      <w:divBdr>
        <w:top w:val="none" w:sz="0" w:space="0" w:color="auto"/>
        <w:left w:val="none" w:sz="0" w:space="0" w:color="auto"/>
        <w:bottom w:val="none" w:sz="0" w:space="0" w:color="auto"/>
        <w:right w:val="none" w:sz="0" w:space="0" w:color="auto"/>
      </w:divBdr>
    </w:div>
    <w:div w:id="1134520705">
      <w:bodyDiv w:val="1"/>
      <w:marLeft w:val="0"/>
      <w:marRight w:val="0"/>
      <w:marTop w:val="0"/>
      <w:marBottom w:val="0"/>
      <w:divBdr>
        <w:top w:val="none" w:sz="0" w:space="0" w:color="auto"/>
        <w:left w:val="none" w:sz="0" w:space="0" w:color="auto"/>
        <w:bottom w:val="none" w:sz="0" w:space="0" w:color="auto"/>
        <w:right w:val="none" w:sz="0" w:space="0" w:color="auto"/>
      </w:divBdr>
      <w:divsChild>
        <w:div w:id="337393192">
          <w:marLeft w:val="0"/>
          <w:marRight w:val="0"/>
          <w:marTop w:val="0"/>
          <w:marBottom w:val="0"/>
          <w:divBdr>
            <w:top w:val="none" w:sz="0" w:space="0" w:color="auto"/>
            <w:left w:val="none" w:sz="0" w:space="0" w:color="auto"/>
            <w:bottom w:val="none" w:sz="0" w:space="0" w:color="auto"/>
            <w:right w:val="none" w:sz="0" w:space="0" w:color="auto"/>
          </w:divBdr>
        </w:div>
        <w:div w:id="643240136">
          <w:marLeft w:val="0"/>
          <w:marRight w:val="0"/>
          <w:marTop w:val="0"/>
          <w:marBottom w:val="0"/>
          <w:divBdr>
            <w:top w:val="none" w:sz="0" w:space="0" w:color="auto"/>
            <w:left w:val="none" w:sz="0" w:space="0" w:color="auto"/>
            <w:bottom w:val="none" w:sz="0" w:space="0" w:color="auto"/>
            <w:right w:val="none" w:sz="0" w:space="0" w:color="auto"/>
          </w:divBdr>
        </w:div>
        <w:div w:id="1050810427">
          <w:marLeft w:val="0"/>
          <w:marRight w:val="0"/>
          <w:marTop w:val="0"/>
          <w:marBottom w:val="0"/>
          <w:divBdr>
            <w:top w:val="none" w:sz="0" w:space="0" w:color="auto"/>
            <w:left w:val="none" w:sz="0" w:space="0" w:color="auto"/>
            <w:bottom w:val="none" w:sz="0" w:space="0" w:color="auto"/>
            <w:right w:val="none" w:sz="0" w:space="0" w:color="auto"/>
          </w:divBdr>
        </w:div>
      </w:divsChild>
    </w:div>
    <w:div w:id="1171798304">
      <w:bodyDiv w:val="1"/>
      <w:marLeft w:val="0"/>
      <w:marRight w:val="0"/>
      <w:marTop w:val="0"/>
      <w:marBottom w:val="0"/>
      <w:divBdr>
        <w:top w:val="none" w:sz="0" w:space="0" w:color="auto"/>
        <w:left w:val="none" w:sz="0" w:space="0" w:color="auto"/>
        <w:bottom w:val="none" w:sz="0" w:space="0" w:color="auto"/>
        <w:right w:val="none" w:sz="0" w:space="0" w:color="auto"/>
      </w:divBdr>
    </w:div>
    <w:div w:id="1333144839">
      <w:bodyDiv w:val="1"/>
      <w:marLeft w:val="0"/>
      <w:marRight w:val="0"/>
      <w:marTop w:val="0"/>
      <w:marBottom w:val="0"/>
      <w:divBdr>
        <w:top w:val="none" w:sz="0" w:space="0" w:color="auto"/>
        <w:left w:val="none" w:sz="0" w:space="0" w:color="auto"/>
        <w:bottom w:val="none" w:sz="0" w:space="0" w:color="auto"/>
        <w:right w:val="none" w:sz="0" w:space="0" w:color="auto"/>
      </w:divBdr>
      <w:divsChild>
        <w:div w:id="866218845">
          <w:marLeft w:val="0"/>
          <w:marRight w:val="0"/>
          <w:marTop w:val="0"/>
          <w:marBottom w:val="0"/>
          <w:divBdr>
            <w:top w:val="none" w:sz="0" w:space="0" w:color="auto"/>
            <w:left w:val="none" w:sz="0" w:space="0" w:color="auto"/>
            <w:bottom w:val="none" w:sz="0" w:space="0" w:color="auto"/>
            <w:right w:val="none" w:sz="0" w:space="0" w:color="auto"/>
          </w:divBdr>
        </w:div>
        <w:div w:id="869076685">
          <w:marLeft w:val="0"/>
          <w:marRight w:val="0"/>
          <w:marTop w:val="0"/>
          <w:marBottom w:val="0"/>
          <w:divBdr>
            <w:top w:val="none" w:sz="0" w:space="0" w:color="auto"/>
            <w:left w:val="none" w:sz="0" w:space="0" w:color="auto"/>
            <w:bottom w:val="none" w:sz="0" w:space="0" w:color="auto"/>
            <w:right w:val="none" w:sz="0" w:space="0" w:color="auto"/>
          </w:divBdr>
        </w:div>
        <w:div w:id="1789423155">
          <w:marLeft w:val="0"/>
          <w:marRight w:val="0"/>
          <w:marTop w:val="0"/>
          <w:marBottom w:val="0"/>
          <w:divBdr>
            <w:top w:val="none" w:sz="0" w:space="0" w:color="auto"/>
            <w:left w:val="none" w:sz="0" w:space="0" w:color="auto"/>
            <w:bottom w:val="none" w:sz="0" w:space="0" w:color="auto"/>
            <w:right w:val="none" w:sz="0" w:space="0" w:color="auto"/>
          </w:divBdr>
        </w:div>
      </w:divsChild>
    </w:div>
    <w:div w:id="1445883128">
      <w:bodyDiv w:val="1"/>
      <w:marLeft w:val="0"/>
      <w:marRight w:val="0"/>
      <w:marTop w:val="0"/>
      <w:marBottom w:val="0"/>
      <w:divBdr>
        <w:top w:val="none" w:sz="0" w:space="0" w:color="auto"/>
        <w:left w:val="none" w:sz="0" w:space="0" w:color="auto"/>
        <w:bottom w:val="none" w:sz="0" w:space="0" w:color="auto"/>
        <w:right w:val="none" w:sz="0" w:space="0" w:color="auto"/>
      </w:divBdr>
    </w:div>
    <w:div w:id="1464008705">
      <w:bodyDiv w:val="1"/>
      <w:marLeft w:val="0"/>
      <w:marRight w:val="0"/>
      <w:marTop w:val="0"/>
      <w:marBottom w:val="0"/>
      <w:divBdr>
        <w:top w:val="none" w:sz="0" w:space="0" w:color="auto"/>
        <w:left w:val="none" w:sz="0" w:space="0" w:color="auto"/>
        <w:bottom w:val="none" w:sz="0" w:space="0" w:color="auto"/>
        <w:right w:val="none" w:sz="0" w:space="0" w:color="auto"/>
      </w:divBdr>
    </w:div>
    <w:div w:id="1486045595">
      <w:bodyDiv w:val="1"/>
      <w:marLeft w:val="0"/>
      <w:marRight w:val="0"/>
      <w:marTop w:val="0"/>
      <w:marBottom w:val="0"/>
      <w:divBdr>
        <w:top w:val="none" w:sz="0" w:space="0" w:color="auto"/>
        <w:left w:val="none" w:sz="0" w:space="0" w:color="auto"/>
        <w:bottom w:val="none" w:sz="0" w:space="0" w:color="auto"/>
        <w:right w:val="none" w:sz="0" w:space="0" w:color="auto"/>
      </w:divBdr>
      <w:divsChild>
        <w:div w:id="296495076">
          <w:marLeft w:val="0"/>
          <w:marRight w:val="0"/>
          <w:marTop w:val="0"/>
          <w:marBottom w:val="0"/>
          <w:divBdr>
            <w:top w:val="none" w:sz="0" w:space="0" w:color="auto"/>
            <w:left w:val="none" w:sz="0" w:space="0" w:color="auto"/>
            <w:bottom w:val="none" w:sz="0" w:space="0" w:color="auto"/>
            <w:right w:val="none" w:sz="0" w:space="0" w:color="auto"/>
          </w:divBdr>
        </w:div>
        <w:div w:id="1482844180">
          <w:marLeft w:val="0"/>
          <w:marRight w:val="0"/>
          <w:marTop w:val="0"/>
          <w:marBottom w:val="0"/>
          <w:divBdr>
            <w:top w:val="none" w:sz="0" w:space="0" w:color="auto"/>
            <w:left w:val="none" w:sz="0" w:space="0" w:color="auto"/>
            <w:bottom w:val="none" w:sz="0" w:space="0" w:color="auto"/>
            <w:right w:val="none" w:sz="0" w:space="0" w:color="auto"/>
          </w:divBdr>
        </w:div>
        <w:div w:id="1744520120">
          <w:marLeft w:val="0"/>
          <w:marRight w:val="0"/>
          <w:marTop w:val="0"/>
          <w:marBottom w:val="0"/>
          <w:divBdr>
            <w:top w:val="none" w:sz="0" w:space="0" w:color="auto"/>
            <w:left w:val="none" w:sz="0" w:space="0" w:color="auto"/>
            <w:bottom w:val="none" w:sz="0" w:space="0" w:color="auto"/>
            <w:right w:val="none" w:sz="0" w:space="0" w:color="auto"/>
          </w:divBdr>
        </w:div>
      </w:divsChild>
    </w:div>
    <w:div w:id="1488281265">
      <w:bodyDiv w:val="1"/>
      <w:marLeft w:val="0"/>
      <w:marRight w:val="0"/>
      <w:marTop w:val="0"/>
      <w:marBottom w:val="0"/>
      <w:divBdr>
        <w:top w:val="none" w:sz="0" w:space="0" w:color="auto"/>
        <w:left w:val="none" w:sz="0" w:space="0" w:color="auto"/>
        <w:bottom w:val="none" w:sz="0" w:space="0" w:color="auto"/>
        <w:right w:val="none" w:sz="0" w:space="0" w:color="auto"/>
      </w:divBdr>
    </w:div>
    <w:div w:id="1490092647">
      <w:bodyDiv w:val="1"/>
      <w:marLeft w:val="0"/>
      <w:marRight w:val="0"/>
      <w:marTop w:val="0"/>
      <w:marBottom w:val="0"/>
      <w:divBdr>
        <w:top w:val="none" w:sz="0" w:space="0" w:color="auto"/>
        <w:left w:val="none" w:sz="0" w:space="0" w:color="auto"/>
        <w:bottom w:val="none" w:sz="0" w:space="0" w:color="auto"/>
        <w:right w:val="none" w:sz="0" w:space="0" w:color="auto"/>
      </w:divBdr>
    </w:div>
    <w:div w:id="1535193740">
      <w:bodyDiv w:val="1"/>
      <w:marLeft w:val="0"/>
      <w:marRight w:val="0"/>
      <w:marTop w:val="0"/>
      <w:marBottom w:val="0"/>
      <w:divBdr>
        <w:top w:val="none" w:sz="0" w:space="0" w:color="auto"/>
        <w:left w:val="none" w:sz="0" w:space="0" w:color="auto"/>
        <w:bottom w:val="none" w:sz="0" w:space="0" w:color="auto"/>
        <w:right w:val="none" w:sz="0" w:space="0" w:color="auto"/>
      </w:divBdr>
      <w:divsChild>
        <w:div w:id="660230163">
          <w:marLeft w:val="0"/>
          <w:marRight w:val="0"/>
          <w:marTop w:val="0"/>
          <w:marBottom w:val="0"/>
          <w:divBdr>
            <w:top w:val="none" w:sz="0" w:space="0" w:color="auto"/>
            <w:left w:val="none" w:sz="0" w:space="0" w:color="auto"/>
            <w:bottom w:val="none" w:sz="0" w:space="0" w:color="auto"/>
            <w:right w:val="none" w:sz="0" w:space="0" w:color="auto"/>
          </w:divBdr>
        </w:div>
        <w:div w:id="1481072099">
          <w:marLeft w:val="0"/>
          <w:marRight w:val="0"/>
          <w:marTop w:val="0"/>
          <w:marBottom w:val="0"/>
          <w:divBdr>
            <w:top w:val="none" w:sz="0" w:space="0" w:color="auto"/>
            <w:left w:val="none" w:sz="0" w:space="0" w:color="auto"/>
            <w:bottom w:val="none" w:sz="0" w:space="0" w:color="auto"/>
            <w:right w:val="none" w:sz="0" w:space="0" w:color="auto"/>
          </w:divBdr>
        </w:div>
        <w:div w:id="2093775589">
          <w:marLeft w:val="0"/>
          <w:marRight w:val="0"/>
          <w:marTop w:val="0"/>
          <w:marBottom w:val="0"/>
          <w:divBdr>
            <w:top w:val="none" w:sz="0" w:space="0" w:color="auto"/>
            <w:left w:val="none" w:sz="0" w:space="0" w:color="auto"/>
            <w:bottom w:val="none" w:sz="0" w:space="0" w:color="auto"/>
            <w:right w:val="none" w:sz="0" w:space="0" w:color="auto"/>
          </w:divBdr>
        </w:div>
        <w:div w:id="2138135901">
          <w:marLeft w:val="0"/>
          <w:marRight w:val="0"/>
          <w:marTop w:val="0"/>
          <w:marBottom w:val="0"/>
          <w:divBdr>
            <w:top w:val="none" w:sz="0" w:space="0" w:color="auto"/>
            <w:left w:val="none" w:sz="0" w:space="0" w:color="auto"/>
            <w:bottom w:val="none" w:sz="0" w:space="0" w:color="auto"/>
            <w:right w:val="none" w:sz="0" w:space="0" w:color="auto"/>
          </w:divBdr>
        </w:div>
      </w:divsChild>
    </w:div>
    <w:div w:id="1565138120">
      <w:bodyDiv w:val="1"/>
      <w:marLeft w:val="0"/>
      <w:marRight w:val="0"/>
      <w:marTop w:val="0"/>
      <w:marBottom w:val="0"/>
      <w:divBdr>
        <w:top w:val="none" w:sz="0" w:space="0" w:color="auto"/>
        <w:left w:val="none" w:sz="0" w:space="0" w:color="auto"/>
        <w:bottom w:val="none" w:sz="0" w:space="0" w:color="auto"/>
        <w:right w:val="none" w:sz="0" w:space="0" w:color="auto"/>
      </w:divBdr>
    </w:div>
    <w:div w:id="1638102704">
      <w:bodyDiv w:val="1"/>
      <w:marLeft w:val="0"/>
      <w:marRight w:val="0"/>
      <w:marTop w:val="0"/>
      <w:marBottom w:val="0"/>
      <w:divBdr>
        <w:top w:val="none" w:sz="0" w:space="0" w:color="auto"/>
        <w:left w:val="none" w:sz="0" w:space="0" w:color="auto"/>
        <w:bottom w:val="none" w:sz="0" w:space="0" w:color="auto"/>
        <w:right w:val="none" w:sz="0" w:space="0" w:color="auto"/>
      </w:divBdr>
    </w:div>
    <w:div w:id="1851334329">
      <w:bodyDiv w:val="1"/>
      <w:marLeft w:val="0"/>
      <w:marRight w:val="0"/>
      <w:marTop w:val="0"/>
      <w:marBottom w:val="0"/>
      <w:divBdr>
        <w:top w:val="none" w:sz="0" w:space="0" w:color="auto"/>
        <w:left w:val="none" w:sz="0" w:space="0" w:color="auto"/>
        <w:bottom w:val="none" w:sz="0" w:space="0" w:color="auto"/>
        <w:right w:val="none" w:sz="0" w:space="0" w:color="auto"/>
      </w:divBdr>
    </w:div>
    <w:div w:id="1855804274">
      <w:bodyDiv w:val="1"/>
      <w:marLeft w:val="0"/>
      <w:marRight w:val="0"/>
      <w:marTop w:val="0"/>
      <w:marBottom w:val="0"/>
      <w:divBdr>
        <w:top w:val="none" w:sz="0" w:space="0" w:color="auto"/>
        <w:left w:val="none" w:sz="0" w:space="0" w:color="auto"/>
        <w:bottom w:val="none" w:sz="0" w:space="0" w:color="auto"/>
        <w:right w:val="none" w:sz="0" w:space="0" w:color="auto"/>
      </w:divBdr>
    </w:div>
    <w:div w:id="1863392722">
      <w:bodyDiv w:val="1"/>
      <w:marLeft w:val="0"/>
      <w:marRight w:val="0"/>
      <w:marTop w:val="0"/>
      <w:marBottom w:val="0"/>
      <w:divBdr>
        <w:top w:val="none" w:sz="0" w:space="0" w:color="auto"/>
        <w:left w:val="none" w:sz="0" w:space="0" w:color="auto"/>
        <w:bottom w:val="none" w:sz="0" w:space="0" w:color="auto"/>
        <w:right w:val="none" w:sz="0" w:space="0" w:color="auto"/>
      </w:divBdr>
    </w:div>
    <w:div w:id="1905866825">
      <w:bodyDiv w:val="1"/>
      <w:marLeft w:val="0"/>
      <w:marRight w:val="0"/>
      <w:marTop w:val="0"/>
      <w:marBottom w:val="0"/>
      <w:divBdr>
        <w:top w:val="none" w:sz="0" w:space="0" w:color="auto"/>
        <w:left w:val="none" w:sz="0" w:space="0" w:color="auto"/>
        <w:bottom w:val="none" w:sz="0" w:space="0" w:color="auto"/>
        <w:right w:val="none" w:sz="0" w:space="0" w:color="auto"/>
      </w:divBdr>
    </w:div>
    <w:div w:id="1906067897">
      <w:bodyDiv w:val="1"/>
      <w:marLeft w:val="0"/>
      <w:marRight w:val="0"/>
      <w:marTop w:val="0"/>
      <w:marBottom w:val="0"/>
      <w:divBdr>
        <w:top w:val="none" w:sz="0" w:space="0" w:color="auto"/>
        <w:left w:val="none" w:sz="0" w:space="0" w:color="auto"/>
        <w:bottom w:val="none" w:sz="0" w:space="0" w:color="auto"/>
        <w:right w:val="none" w:sz="0" w:space="0" w:color="auto"/>
      </w:divBdr>
    </w:div>
    <w:div w:id="1917008994">
      <w:bodyDiv w:val="1"/>
      <w:marLeft w:val="0"/>
      <w:marRight w:val="0"/>
      <w:marTop w:val="0"/>
      <w:marBottom w:val="0"/>
      <w:divBdr>
        <w:top w:val="none" w:sz="0" w:space="0" w:color="auto"/>
        <w:left w:val="none" w:sz="0" w:space="0" w:color="auto"/>
        <w:bottom w:val="none" w:sz="0" w:space="0" w:color="auto"/>
        <w:right w:val="none" w:sz="0" w:space="0" w:color="auto"/>
      </w:divBdr>
    </w:div>
    <w:div w:id="1952660302">
      <w:bodyDiv w:val="1"/>
      <w:marLeft w:val="0"/>
      <w:marRight w:val="0"/>
      <w:marTop w:val="0"/>
      <w:marBottom w:val="0"/>
      <w:divBdr>
        <w:top w:val="none" w:sz="0" w:space="0" w:color="auto"/>
        <w:left w:val="none" w:sz="0" w:space="0" w:color="auto"/>
        <w:bottom w:val="none" w:sz="0" w:space="0" w:color="auto"/>
        <w:right w:val="none" w:sz="0" w:space="0" w:color="auto"/>
      </w:divBdr>
    </w:div>
    <w:div w:id="2009676954">
      <w:bodyDiv w:val="1"/>
      <w:marLeft w:val="0"/>
      <w:marRight w:val="0"/>
      <w:marTop w:val="0"/>
      <w:marBottom w:val="0"/>
      <w:divBdr>
        <w:top w:val="none" w:sz="0" w:space="0" w:color="auto"/>
        <w:left w:val="none" w:sz="0" w:space="0" w:color="auto"/>
        <w:bottom w:val="none" w:sz="0" w:space="0" w:color="auto"/>
        <w:right w:val="none" w:sz="0" w:space="0" w:color="auto"/>
      </w:divBdr>
      <w:divsChild>
        <w:div w:id="305135779">
          <w:marLeft w:val="0"/>
          <w:marRight w:val="0"/>
          <w:marTop w:val="0"/>
          <w:marBottom w:val="0"/>
          <w:divBdr>
            <w:top w:val="none" w:sz="0" w:space="0" w:color="auto"/>
            <w:left w:val="none" w:sz="0" w:space="0" w:color="auto"/>
            <w:bottom w:val="none" w:sz="0" w:space="0" w:color="auto"/>
            <w:right w:val="none" w:sz="0" w:space="0" w:color="auto"/>
          </w:divBdr>
          <w:divsChild>
            <w:div w:id="1030031818">
              <w:marLeft w:val="0"/>
              <w:marRight w:val="0"/>
              <w:marTop w:val="0"/>
              <w:marBottom w:val="0"/>
              <w:divBdr>
                <w:top w:val="none" w:sz="0" w:space="0" w:color="auto"/>
                <w:left w:val="none" w:sz="0" w:space="0" w:color="auto"/>
                <w:bottom w:val="none" w:sz="0" w:space="0" w:color="auto"/>
                <w:right w:val="none" w:sz="0" w:space="0" w:color="auto"/>
              </w:divBdr>
              <w:divsChild>
                <w:div w:id="1294869415">
                  <w:marLeft w:val="0"/>
                  <w:marRight w:val="0"/>
                  <w:marTop w:val="0"/>
                  <w:marBottom w:val="0"/>
                  <w:divBdr>
                    <w:top w:val="none" w:sz="0" w:space="0" w:color="auto"/>
                    <w:left w:val="none" w:sz="0" w:space="0" w:color="auto"/>
                    <w:bottom w:val="none" w:sz="0" w:space="0" w:color="auto"/>
                    <w:right w:val="none" w:sz="0" w:space="0" w:color="auto"/>
                  </w:divBdr>
                  <w:divsChild>
                    <w:div w:id="151718708">
                      <w:marLeft w:val="0"/>
                      <w:marRight w:val="0"/>
                      <w:marTop w:val="0"/>
                      <w:marBottom w:val="0"/>
                      <w:divBdr>
                        <w:top w:val="none" w:sz="0" w:space="0" w:color="auto"/>
                        <w:left w:val="none" w:sz="0" w:space="0" w:color="auto"/>
                        <w:bottom w:val="none" w:sz="0" w:space="0" w:color="auto"/>
                        <w:right w:val="none" w:sz="0" w:space="0" w:color="auto"/>
                      </w:divBdr>
                      <w:divsChild>
                        <w:div w:id="1177689747">
                          <w:marLeft w:val="0"/>
                          <w:marRight w:val="0"/>
                          <w:marTop w:val="0"/>
                          <w:marBottom w:val="0"/>
                          <w:divBdr>
                            <w:top w:val="none" w:sz="0" w:space="0" w:color="auto"/>
                            <w:left w:val="none" w:sz="0" w:space="0" w:color="auto"/>
                            <w:bottom w:val="none" w:sz="0" w:space="0" w:color="auto"/>
                            <w:right w:val="none" w:sz="0" w:space="0" w:color="auto"/>
                          </w:divBdr>
                          <w:divsChild>
                            <w:div w:id="1530296991">
                              <w:marLeft w:val="0"/>
                              <w:marRight w:val="0"/>
                              <w:marTop w:val="0"/>
                              <w:marBottom w:val="0"/>
                              <w:divBdr>
                                <w:top w:val="none" w:sz="0" w:space="0" w:color="auto"/>
                                <w:left w:val="none" w:sz="0" w:space="0" w:color="auto"/>
                                <w:bottom w:val="none" w:sz="0" w:space="0" w:color="auto"/>
                                <w:right w:val="none" w:sz="0" w:space="0" w:color="auto"/>
                              </w:divBdr>
                              <w:divsChild>
                                <w:div w:id="558789112">
                                  <w:marLeft w:val="0"/>
                                  <w:marRight w:val="0"/>
                                  <w:marTop w:val="0"/>
                                  <w:marBottom w:val="0"/>
                                  <w:divBdr>
                                    <w:top w:val="none" w:sz="0" w:space="0" w:color="auto"/>
                                    <w:left w:val="none" w:sz="0" w:space="0" w:color="auto"/>
                                    <w:bottom w:val="none" w:sz="0" w:space="0" w:color="auto"/>
                                    <w:right w:val="none" w:sz="0" w:space="0" w:color="auto"/>
                                  </w:divBdr>
                                  <w:divsChild>
                                    <w:div w:id="1388145766">
                                      <w:marLeft w:val="0"/>
                                      <w:marRight w:val="0"/>
                                      <w:marTop w:val="0"/>
                                      <w:marBottom w:val="0"/>
                                      <w:divBdr>
                                        <w:top w:val="none" w:sz="0" w:space="0" w:color="auto"/>
                                        <w:left w:val="none" w:sz="0" w:space="0" w:color="auto"/>
                                        <w:bottom w:val="none" w:sz="0" w:space="0" w:color="auto"/>
                                        <w:right w:val="none" w:sz="0" w:space="0" w:color="auto"/>
                                      </w:divBdr>
                                      <w:divsChild>
                                        <w:div w:id="709576851">
                                          <w:marLeft w:val="0"/>
                                          <w:marRight w:val="0"/>
                                          <w:marTop w:val="0"/>
                                          <w:marBottom w:val="0"/>
                                          <w:divBdr>
                                            <w:top w:val="none" w:sz="0" w:space="0" w:color="auto"/>
                                            <w:left w:val="none" w:sz="0" w:space="0" w:color="auto"/>
                                            <w:bottom w:val="none" w:sz="0" w:space="0" w:color="auto"/>
                                            <w:right w:val="none" w:sz="0" w:space="0" w:color="auto"/>
                                          </w:divBdr>
                                          <w:divsChild>
                                            <w:div w:id="8464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752917">
      <w:bodyDiv w:val="1"/>
      <w:marLeft w:val="0"/>
      <w:marRight w:val="0"/>
      <w:marTop w:val="0"/>
      <w:marBottom w:val="0"/>
      <w:divBdr>
        <w:top w:val="none" w:sz="0" w:space="0" w:color="auto"/>
        <w:left w:val="none" w:sz="0" w:space="0" w:color="auto"/>
        <w:bottom w:val="none" w:sz="0" w:space="0" w:color="auto"/>
        <w:right w:val="none" w:sz="0" w:space="0" w:color="auto"/>
      </w:divBdr>
    </w:div>
    <w:div w:id="2047369773">
      <w:bodyDiv w:val="1"/>
      <w:marLeft w:val="0"/>
      <w:marRight w:val="0"/>
      <w:marTop w:val="0"/>
      <w:marBottom w:val="0"/>
      <w:divBdr>
        <w:top w:val="none" w:sz="0" w:space="0" w:color="auto"/>
        <w:left w:val="none" w:sz="0" w:space="0" w:color="auto"/>
        <w:bottom w:val="none" w:sz="0" w:space="0" w:color="auto"/>
        <w:right w:val="none" w:sz="0" w:space="0" w:color="auto"/>
      </w:divBdr>
    </w:div>
    <w:div w:id="2091274060">
      <w:bodyDiv w:val="1"/>
      <w:marLeft w:val="0"/>
      <w:marRight w:val="0"/>
      <w:marTop w:val="0"/>
      <w:marBottom w:val="0"/>
      <w:divBdr>
        <w:top w:val="none" w:sz="0" w:space="0" w:color="auto"/>
        <w:left w:val="none" w:sz="0" w:space="0" w:color="auto"/>
        <w:bottom w:val="none" w:sz="0" w:space="0" w:color="auto"/>
        <w:right w:val="none" w:sz="0" w:space="0" w:color="auto"/>
      </w:divBdr>
    </w:div>
    <w:div w:id="21210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Communications&amp;db=1000546&amp;rs=WLW14.10&amp;docname=47USCAS222&amp;rp=%2ffind%2fdefault.wl&amp;findtype=L&amp;ordoc=2030897620&amp;tc=-1&amp;vr=2.0&amp;fn=_top&amp;sv=Split&amp;tf=-1&amp;pbc=3D0EB1C9&amp;ut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1796</Words>
  <Characters>9442</Characters>
  <Application>Microsoft Office Word</Application>
  <DocSecurity>0</DocSecurity>
  <Lines>123</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11289</CharactersWithSpaces>
  <SharedDoc>false</SharedDoc>
  <HyperlinkBase> </HyperlinkBase>
  <HLinks>
    <vt:vector size="42" baseType="variant">
      <vt:variant>
        <vt:i4>7208987</vt:i4>
      </vt:variant>
      <vt:variant>
        <vt:i4>18</vt:i4>
      </vt:variant>
      <vt:variant>
        <vt:i4>0</vt:i4>
      </vt:variant>
      <vt:variant>
        <vt:i4>5</vt:i4>
      </vt:variant>
      <vt:variant>
        <vt:lpwstr>https://web2.westlaw.com/find/default.wl?tf=-1&amp;rs=WLW10.08&amp;fn=_top&amp;sv=Split&amp;docname=47CFRS1.80&amp;tc=-1&amp;pbc=982A51E4&amp;ordoc=2001262319&amp;findtype=L&amp;db=1000547&amp;vr=2.0&amp;rp=%2ffind%2fdefault.wl&amp;mt=Westlaw</vt:lpwstr>
      </vt:variant>
      <vt:variant>
        <vt:lpwstr/>
      </vt:variant>
      <vt:variant>
        <vt:i4>7340118</vt:i4>
      </vt:variant>
      <vt:variant>
        <vt:i4>15</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ariant>
        <vt:i4>7208987</vt:i4>
      </vt:variant>
      <vt:variant>
        <vt:i4>12</vt:i4>
      </vt:variant>
      <vt:variant>
        <vt:i4>0</vt:i4>
      </vt:variant>
      <vt:variant>
        <vt:i4>5</vt:i4>
      </vt:variant>
      <vt:variant>
        <vt:lpwstr>https://web2.westlaw.com/find/default.wl?tf=-1&amp;rs=WLW10.08&amp;fn=_top&amp;sv=Split&amp;docname=47CFRS1.80&amp;tc=-1&amp;pbc=982A51E4&amp;ordoc=2001262319&amp;findtype=L&amp;db=1000547&amp;vr=2.0&amp;rp=%2ffind%2fdefault.wl&amp;mt=Westlaw</vt:lpwstr>
      </vt:variant>
      <vt:variant>
        <vt:lpwstr/>
      </vt:variant>
      <vt:variant>
        <vt:i4>7340118</vt:i4>
      </vt:variant>
      <vt:variant>
        <vt:i4>9</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ariant>
        <vt:i4>7077898</vt:i4>
      </vt:variant>
      <vt:variant>
        <vt:i4>6</vt:i4>
      </vt:variant>
      <vt:variant>
        <vt:i4>0</vt:i4>
      </vt:variant>
      <vt:variant>
        <vt:i4>5</vt:i4>
      </vt:variant>
      <vt:variant>
        <vt:lpwstr>http://hraunfoss.fcc.gov/edocs_public/attachmatch/DOC-288810A1.pdf</vt:lpwstr>
      </vt:variant>
      <vt:variant>
        <vt:lpwstr/>
      </vt:variant>
      <vt:variant>
        <vt:i4>5636170</vt:i4>
      </vt:variant>
      <vt:variant>
        <vt:i4>3</vt:i4>
      </vt:variant>
      <vt:variant>
        <vt:i4>0</vt:i4>
      </vt:variant>
      <vt:variant>
        <vt:i4>5</vt:i4>
      </vt:variant>
      <vt:variant>
        <vt:lpwstr>http://www.epic.org/privacy/iei/</vt:lpwstr>
      </vt:variant>
      <vt:variant>
        <vt:lpwstr/>
      </vt:variant>
      <vt:variant>
        <vt:i4>589904</vt:i4>
      </vt:variant>
      <vt:variant>
        <vt:i4>0</vt:i4>
      </vt:variant>
      <vt:variant>
        <vt:i4>0</vt:i4>
      </vt:variant>
      <vt:variant>
        <vt:i4>5</vt:i4>
      </vt:variant>
      <vt:variant>
        <vt:lpwstr>http://www.theindychannel.com/news/privacy-on-the-line/lifeline-phone-applications-raise-specter-of-forgery-at-carriers-terracom-and-yourtel-america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2014-10-17T17:22:00Z</cp:lastPrinted>
  <dcterms:created xsi:type="dcterms:W3CDTF">2014-10-27T15:44:00Z</dcterms:created>
  <dcterms:modified xsi:type="dcterms:W3CDTF">2014-10-27T15:44:00Z</dcterms:modified>
  <cp:category> </cp:category>
  <cp:contentStatus> </cp:contentStatus>
</cp:coreProperties>
</file>