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1F165D" w:rsidRPr="00150FBA" w:rsidRDefault="001F165D" w:rsidP="001F165D">
            <w:pPr>
              <w:ind w:right="-18"/>
              <w:rPr>
                <w:szCs w:val="22"/>
              </w:rPr>
            </w:pPr>
            <w:r w:rsidRPr="00150FBA">
              <w:rPr>
                <w:szCs w:val="22"/>
              </w:rPr>
              <w:t xml:space="preserve">In </w:t>
            </w:r>
            <w:r>
              <w:rPr>
                <w:szCs w:val="22"/>
              </w:rPr>
              <w:t>th</w:t>
            </w:r>
            <w:r w:rsidRPr="00150FBA">
              <w:rPr>
                <w:szCs w:val="22"/>
              </w:rPr>
              <w:t>e</w:t>
            </w:r>
            <w:r>
              <w:rPr>
                <w:szCs w:val="22"/>
              </w:rPr>
              <w:t xml:space="preserve"> Matter of</w:t>
            </w:r>
          </w:p>
          <w:p w:rsidR="001F165D" w:rsidRPr="00150FBA" w:rsidRDefault="001F165D" w:rsidP="001F165D">
            <w:pPr>
              <w:ind w:right="-18"/>
              <w:rPr>
                <w:szCs w:val="22"/>
              </w:rPr>
            </w:pPr>
          </w:p>
          <w:p w:rsidR="001F165D" w:rsidRPr="00890E4C" w:rsidRDefault="0076502F" w:rsidP="001F165D">
            <w:pPr>
              <w:tabs>
                <w:tab w:val="left" w:pos="-720"/>
              </w:tabs>
              <w:suppressAutoHyphens/>
              <w:jc w:val="both"/>
              <w:rPr>
                <w:spacing w:val="-3"/>
                <w:szCs w:val="22"/>
              </w:rPr>
            </w:pPr>
            <w:r w:rsidRPr="00890E4C">
              <w:rPr>
                <w:spacing w:val="-3"/>
                <w:szCs w:val="22"/>
              </w:rPr>
              <w:t>Church Planters of America</w:t>
            </w:r>
            <w:r w:rsidR="001F165D" w:rsidRPr="00890E4C">
              <w:rPr>
                <w:spacing w:val="-3"/>
                <w:szCs w:val="22"/>
              </w:rPr>
              <w:tab/>
            </w:r>
            <w:r w:rsidR="001F165D" w:rsidRPr="00890E4C">
              <w:rPr>
                <w:spacing w:val="-3"/>
                <w:szCs w:val="22"/>
              </w:rPr>
              <w:tab/>
            </w:r>
            <w:r w:rsidR="001F165D" w:rsidRPr="00890E4C">
              <w:rPr>
                <w:spacing w:val="-3"/>
                <w:szCs w:val="22"/>
              </w:rPr>
              <w:tab/>
            </w:r>
            <w:r w:rsidR="001F165D" w:rsidRPr="00890E4C">
              <w:rPr>
                <w:spacing w:val="-3"/>
                <w:szCs w:val="22"/>
              </w:rPr>
              <w:tab/>
            </w:r>
            <w:r w:rsidR="001F165D" w:rsidRPr="00890E4C">
              <w:rPr>
                <w:spacing w:val="-3"/>
                <w:szCs w:val="22"/>
              </w:rPr>
              <w:tab/>
              <w:t xml:space="preserve">   </w:t>
            </w:r>
            <w:r w:rsidR="001F165D" w:rsidRPr="00890E4C">
              <w:rPr>
                <w:spacing w:val="-3"/>
                <w:szCs w:val="22"/>
              </w:rPr>
              <w:tab/>
              <w:t xml:space="preserve">    </w:t>
            </w:r>
            <w:r w:rsidR="001F165D" w:rsidRPr="00890E4C">
              <w:rPr>
                <w:spacing w:val="-3"/>
                <w:szCs w:val="22"/>
              </w:rPr>
              <w:tab/>
            </w:r>
          </w:p>
          <w:p w:rsidR="004C2EE3" w:rsidRDefault="003371FC" w:rsidP="00CB23A3">
            <w:pPr>
              <w:tabs>
                <w:tab w:val="left" w:pos="-720"/>
              </w:tabs>
              <w:suppressAutoHyphens/>
              <w:jc w:val="both"/>
              <w:rPr>
                <w:spacing w:val="-3"/>
                <w:szCs w:val="22"/>
              </w:rPr>
            </w:pPr>
            <w:r>
              <w:rPr>
                <w:szCs w:val="22"/>
              </w:rPr>
              <w:t xml:space="preserve">Permit to Modify the </w:t>
            </w:r>
            <w:r w:rsidR="00123707">
              <w:rPr>
                <w:szCs w:val="22"/>
              </w:rPr>
              <w:t xml:space="preserve">Licensed </w:t>
            </w:r>
            <w:r>
              <w:rPr>
                <w:szCs w:val="22"/>
              </w:rPr>
              <w:t xml:space="preserve">Facilities of </w:t>
            </w:r>
            <w:r w:rsidR="0076502F">
              <w:rPr>
                <w:szCs w:val="22"/>
              </w:rPr>
              <w:t>Station</w:t>
            </w:r>
            <w:r w:rsidR="00123707">
              <w:rPr>
                <w:spacing w:val="-3"/>
                <w:szCs w:val="22"/>
              </w:rPr>
              <w:t xml:space="preserve"> </w:t>
            </w:r>
            <w:r w:rsidR="0076502F">
              <w:rPr>
                <w:szCs w:val="22"/>
              </w:rPr>
              <w:t>WGHW(FM)</w:t>
            </w:r>
            <w:r w:rsidR="00071605">
              <w:rPr>
                <w:spacing w:val="-3"/>
                <w:szCs w:val="22"/>
              </w:rPr>
              <w:t xml:space="preserve">, </w:t>
            </w:r>
            <w:r w:rsidR="0076502F">
              <w:rPr>
                <w:spacing w:val="-3"/>
                <w:szCs w:val="22"/>
              </w:rPr>
              <w:t xml:space="preserve">Lockwoods Folly Town, NC </w:t>
            </w:r>
            <w:r w:rsidR="00071605">
              <w:rPr>
                <w:spacing w:val="-3"/>
                <w:szCs w:val="22"/>
              </w:rPr>
              <w:t>and</w:t>
            </w:r>
          </w:p>
          <w:p w:rsidR="007B7DF7" w:rsidRDefault="007B7DF7" w:rsidP="00CB23A3">
            <w:pPr>
              <w:tabs>
                <w:tab w:val="left" w:pos="-720"/>
              </w:tabs>
              <w:suppressAutoHyphens/>
              <w:jc w:val="both"/>
              <w:rPr>
                <w:spacing w:val="-3"/>
                <w:szCs w:val="22"/>
              </w:rPr>
            </w:pPr>
          </w:p>
          <w:p w:rsidR="007B7DF7" w:rsidRPr="00890E4C" w:rsidRDefault="0076502F" w:rsidP="00CB23A3">
            <w:pPr>
              <w:tabs>
                <w:tab w:val="left" w:pos="-720"/>
              </w:tabs>
              <w:suppressAutoHyphens/>
              <w:jc w:val="both"/>
              <w:rPr>
                <w:spacing w:val="-3"/>
                <w:szCs w:val="22"/>
              </w:rPr>
            </w:pPr>
            <w:r w:rsidRPr="00890E4C">
              <w:rPr>
                <w:spacing w:val="-3"/>
                <w:szCs w:val="22"/>
              </w:rPr>
              <w:t>Craven Community College</w:t>
            </w:r>
          </w:p>
          <w:p w:rsidR="007B7DF7" w:rsidRDefault="007B7DF7" w:rsidP="00CB23A3">
            <w:pPr>
              <w:tabs>
                <w:tab w:val="left" w:pos="-720"/>
              </w:tabs>
              <w:suppressAutoHyphens/>
              <w:jc w:val="both"/>
              <w:rPr>
                <w:spacing w:val="-3"/>
                <w:szCs w:val="22"/>
              </w:rPr>
            </w:pPr>
          </w:p>
          <w:p w:rsidR="007B7DF7" w:rsidRPr="00CB23A3" w:rsidRDefault="00F53357" w:rsidP="0076502F">
            <w:pPr>
              <w:tabs>
                <w:tab w:val="left" w:pos="-720"/>
              </w:tabs>
              <w:suppressAutoHyphens/>
              <w:jc w:val="both"/>
              <w:rPr>
                <w:spacing w:val="-3"/>
                <w:szCs w:val="22"/>
              </w:rPr>
            </w:pPr>
            <w:r>
              <w:rPr>
                <w:spacing w:val="-3"/>
                <w:szCs w:val="22"/>
              </w:rPr>
              <w:t xml:space="preserve">Permit to </w:t>
            </w:r>
            <w:r w:rsidR="003371FC">
              <w:rPr>
                <w:spacing w:val="-3"/>
                <w:szCs w:val="22"/>
              </w:rPr>
              <w:t xml:space="preserve">Modify the </w:t>
            </w:r>
            <w:r w:rsidR="00123707">
              <w:rPr>
                <w:spacing w:val="-3"/>
                <w:szCs w:val="22"/>
              </w:rPr>
              <w:t xml:space="preserve">Licensed </w:t>
            </w:r>
            <w:r w:rsidR="003371FC">
              <w:rPr>
                <w:spacing w:val="-3"/>
                <w:szCs w:val="22"/>
              </w:rPr>
              <w:t xml:space="preserve">Facilities of </w:t>
            </w:r>
            <w:r>
              <w:rPr>
                <w:spacing w:val="-3"/>
                <w:szCs w:val="22"/>
              </w:rPr>
              <w:t>WZNB(FM),</w:t>
            </w:r>
            <w:r w:rsidR="00123707">
              <w:rPr>
                <w:spacing w:val="-3"/>
                <w:szCs w:val="22"/>
              </w:rPr>
              <w:t xml:space="preserve"> </w:t>
            </w:r>
            <w:r w:rsidR="0076502F">
              <w:rPr>
                <w:spacing w:val="-3"/>
                <w:szCs w:val="22"/>
              </w:rPr>
              <w:t>New Bern, North Carolina</w:t>
            </w:r>
          </w:p>
        </w:tc>
        <w:tc>
          <w:tcPr>
            <w:tcW w:w="630" w:type="dxa"/>
          </w:tcPr>
          <w:p w:rsidR="001F165D" w:rsidRPr="00150FBA" w:rsidRDefault="001F165D" w:rsidP="001F165D">
            <w:pPr>
              <w:rPr>
                <w:b/>
                <w:szCs w:val="22"/>
              </w:rPr>
            </w:pPr>
            <w:r w:rsidRPr="00150FBA">
              <w:rPr>
                <w:b/>
                <w:szCs w:val="22"/>
              </w:rPr>
              <w:t>)</w:t>
            </w:r>
          </w:p>
          <w:p w:rsidR="001F165D" w:rsidRPr="00150FBA" w:rsidRDefault="001F165D" w:rsidP="001F165D">
            <w:pPr>
              <w:rPr>
                <w:b/>
                <w:szCs w:val="22"/>
              </w:rPr>
            </w:pPr>
            <w:r w:rsidRPr="00150FBA">
              <w:rPr>
                <w:b/>
                <w:szCs w:val="22"/>
              </w:rPr>
              <w:t>)</w:t>
            </w:r>
          </w:p>
          <w:p w:rsidR="001F165D" w:rsidRPr="00150FBA" w:rsidRDefault="001F165D" w:rsidP="001F165D">
            <w:pPr>
              <w:rPr>
                <w:b/>
                <w:szCs w:val="22"/>
              </w:rPr>
            </w:pPr>
            <w:r w:rsidRPr="00150FBA">
              <w:rPr>
                <w:b/>
                <w:szCs w:val="22"/>
              </w:rPr>
              <w:t>)</w:t>
            </w:r>
          </w:p>
          <w:p w:rsidR="001F165D" w:rsidRPr="00150FBA" w:rsidRDefault="001F165D" w:rsidP="001F165D">
            <w:pPr>
              <w:rPr>
                <w:b/>
                <w:szCs w:val="22"/>
              </w:rPr>
            </w:pPr>
            <w:r w:rsidRPr="00150FBA">
              <w:rPr>
                <w:b/>
                <w:szCs w:val="22"/>
              </w:rPr>
              <w:t>)</w:t>
            </w:r>
          </w:p>
          <w:p w:rsidR="001F165D" w:rsidRPr="00150FBA" w:rsidRDefault="001F165D" w:rsidP="001F165D">
            <w:pPr>
              <w:rPr>
                <w:b/>
                <w:szCs w:val="22"/>
              </w:rPr>
            </w:pPr>
            <w:r w:rsidRPr="00150FBA">
              <w:rPr>
                <w:b/>
                <w:szCs w:val="22"/>
              </w:rPr>
              <w:t>)</w:t>
            </w:r>
          </w:p>
          <w:p w:rsidR="001F165D" w:rsidRPr="00150FBA" w:rsidRDefault="001F165D" w:rsidP="001F165D">
            <w:pPr>
              <w:rPr>
                <w:b/>
                <w:szCs w:val="22"/>
              </w:rPr>
            </w:pPr>
            <w:r w:rsidRPr="00150FBA">
              <w:rPr>
                <w:b/>
                <w:szCs w:val="22"/>
              </w:rPr>
              <w:t>)</w:t>
            </w:r>
          </w:p>
          <w:p w:rsidR="004C2EE3" w:rsidRDefault="001F165D" w:rsidP="001F165D">
            <w:pPr>
              <w:rPr>
                <w:b/>
                <w:szCs w:val="22"/>
              </w:rPr>
            </w:pPr>
            <w:r w:rsidRPr="00150FBA">
              <w:rPr>
                <w:b/>
                <w:szCs w:val="22"/>
              </w:rPr>
              <w:t>)</w:t>
            </w:r>
          </w:p>
          <w:p w:rsidR="007B7DF7" w:rsidRDefault="007B7DF7" w:rsidP="001F165D">
            <w:pPr>
              <w:rPr>
                <w:b/>
                <w:szCs w:val="22"/>
              </w:rPr>
            </w:pPr>
            <w:r>
              <w:rPr>
                <w:b/>
                <w:szCs w:val="22"/>
              </w:rPr>
              <w:t>)</w:t>
            </w:r>
          </w:p>
          <w:p w:rsidR="007B7DF7" w:rsidRDefault="007B7DF7" w:rsidP="001F165D">
            <w:pPr>
              <w:rPr>
                <w:b/>
                <w:szCs w:val="22"/>
              </w:rPr>
            </w:pPr>
            <w:r>
              <w:rPr>
                <w:b/>
                <w:szCs w:val="22"/>
              </w:rPr>
              <w:t>)</w:t>
            </w:r>
          </w:p>
          <w:p w:rsidR="007B7DF7" w:rsidRDefault="007B7DF7" w:rsidP="001F165D">
            <w:pPr>
              <w:rPr>
                <w:b/>
                <w:szCs w:val="22"/>
              </w:rPr>
            </w:pPr>
            <w:r>
              <w:rPr>
                <w:b/>
                <w:szCs w:val="22"/>
              </w:rPr>
              <w:t>)</w:t>
            </w:r>
          </w:p>
          <w:p w:rsidR="007B7DF7" w:rsidRPr="001F165D" w:rsidRDefault="007B7DF7" w:rsidP="001F165D">
            <w:pPr>
              <w:rPr>
                <w:b/>
                <w:szCs w:val="22"/>
              </w:rPr>
            </w:pPr>
            <w:r>
              <w:rPr>
                <w:b/>
                <w:szCs w:val="22"/>
              </w:rPr>
              <w:t>)</w:t>
            </w:r>
          </w:p>
        </w:tc>
        <w:tc>
          <w:tcPr>
            <w:tcW w:w="4248" w:type="dxa"/>
          </w:tcPr>
          <w:p w:rsidR="00464DBA" w:rsidRDefault="00464DBA" w:rsidP="00464DBA">
            <w:pPr>
              <w:rPr>
                <w:szCs w:val="22"/>
              </w:rPr>
            </w:pPr>
            <w:r w:rsidRPr="00150FBA">
              <w:rPr>
                <w:szCs w:val="22"/>
              </w:rPr>
              <w:t xml:space="preserve">    </w:t>
            </w:r>
          </w:p>
          <w:p w:rsidR="001F165D" w:rsidRDefault="001F165D" w:rsidP="001F165D">
            <w:pPr>
              <w:rPr>
                <w:spacing w:val="-3"/>
                <w:szCs w:val="22"/>
              </w:rPr>
            </w:pPr>
          </w:p>
          <w:p w:rsidR="00464DBA" w:rsidRDefault="00464DBA" w:rsidP="001F165D">
            <w:pPr>
              <w:rPr>
                <w:spacing w:val="-3"/>
                <w:szCs w:val="22"/>
              </w:rPr>
            </w:pPr>
          </w:p>
          <w:p w:rsidR="00654B23" w:rsidRDefault="00654B23" w:rsidP="001F165D">
            <w:pPr>
              <w:rPr>
                <w:spacing w:val="-3"/>
                <w:szCs w:val="22"/>
              </w:rPr>
            </w:pPr>
          </w:p>
          <w:p w:rsidR="001F165D" w:rsidRPr="00150FBA" w:rsidRDefault="00CB23A3" w:rsidP="001F165D">
            <w:pPr>
              <w:rPr>
                <w:szCs w:val="22"/>
              </w:rPr>
            </w:pPr>
            <w:r>
              <w:rPr>
                <w:spacing w:val="-3"/>
                <w:szCs w:val="22"/>
              </w:rPr>
              <w:t>File No. B</w:t>
            </w:r>
            <w:r w:rsidR="0076502F">
              <w:rPr>
                <w:spacing w:val="-3"/>
                <w:szCs w:val="22"/>
              </w:rPr>
              <w:t>PED-20110211AAK</w:t>
            </w:r>
          </w:p>
          <w:p w:rsidR="001F165D" w:rsidRDefault="00794DDE" w:rsidP="001F165D">
            <w:pPr>
              <w:rPr>
                <w:szCs w:val="22"/>
              </w:rPr>
            </w:pPr>
            <w:r>
              <w:rPr>
                <w:szCs w:val="22"/>
              </w:rPr>
              <w:t xml:space="preserve">Facility ID No. </w:t>
            </w:r>
            <w:r w:rsidR="0076502F">
              <w:rPr>
                <w:spacing w:val="-3"/>
                <w:szCs w:val="22"/>
              </w:rPr>
              <w:t>89986</w:t>
            </w:r>
            <w:r w:rsidR="001F165D" w:rsidRPr="00150FBA">
              <w:rPr>
                <w:szCs w:val="22"/>
              </w:rPr>
              <w:t xml:space="preserve">  </w:t>
            </w:r>
          </w:p>
          <w:p w:rsidR="007B7DF7" w:rsidRDefault="007B7DF7" w:rsidP="001F165D">
            <w:pPr>
              <w:rPr>
                <w:szCs w:val="22"/>
              </w:rPr>
            </w:pPr>
          </w:p>
          <w:p w:rsidR="00464DBA" w:rsidRDefault="00464DBA" w:rsidP="007B7DF7">
            <w:pPr>
              <w:rPr>
                <w:spacing w:val="-3"/>
                <w:szCs w:val="22"/>
              </w:rPr>
            </w:pPr>
          </w:p>
          <w:p w:rsidR="00464DBA" w:rsidRDefault="00464DBA" w:rsidP="007B7DF7">
            <w:pPr>
              <w:rPr>
                <w:spacing w:val="-3"/>
                <w:szCs w:val="22"/>
              </w:rPr>
            </w:pPr>
          </w:p>
          <w:p w:rsidR="007B7DF7" w:rsidRPr="00150FBA" w:rsidRDefault="007B7DF7" w:rsidP="007B7DF7">
            <w:pPr>
              <w:rPr>
                <w:szCs w:val="22"/>
              </w:rPr>
            </w:pPr>
            <w:r>
              <w:rPr>
                <w:spacing w:val="-3"/>
                <w:szCs w:val="22"/>
              </w:rPr>
              <w:t>File No. B</w:t>
            </w:r>
            <w:r w:rsidR="0076502F">
              <w:rPr>
                <w:spacing w:val="-3"/>
                <w:szCs w:val="22"/>
              </w:rPr>
              <w:t>PED-20070906AFE</w:t>
            </w:r>
          </w:p>
          <w:p w:rsidR="004C2EE3" w:rsidRPr="001F165D" w:rsidRDefault="0076502F" w:rsidP="007B7DF7">
            <w:pPr>
              <w:rPr>
                <w:szCs w:val="22"/>
              </w:rPr>
            </w:pPr>
            <w:r>
              <w:rPr>
                <w:szCs w:val="22"/>
              </w:rPr>
              <w:t>Facility ID No. 94050</w:t>
            </w:r>
            <w:r w:rsidR="001F165D" w:rsidRPr="00150FBA">
              <w:rPr>
                <w:szCs w:val="22"/>
              </w:rPr>
              <w:t xml:space="preserve">   </w:t>
            </w:r>
          </w:p>
        </w:tc>
      </w:tr>
    </w:tbl>
    <w:p w:rsidR="004C2EE3" w:rsidRDefault="004C2EE3" w:rsidP="0070224F"/>
    <w:p w:rsidR="001F165D" w:rsidRDefault="001F165D" w:rsidP="001F165D">
      <w:pPr>
        <w:jc w:val="center"/>
        <w:rPr>
          <w:szCs w:val="22"/>
        </w:rPr>
      </w:pPr>
      <w:r w:rsidRPr="00411012">
        <w:rPr>
          <w:b/>
          <w:szCs w:val="22"/>
        </w:rPr>
        <w:t>MEMORANDUM OPINION AND ORDER</w:t>
      </w:r>
    </w:p>
    <w:p w:rsidR="00841AB1" w:rsidRDefault="00841AB1" w:rsidP="00F021FA">
      <w:pPr>
        <w:pStyle w:val="StyleBoldCentered"/>
      </w:pP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5C6C74">
        <w:rPr>
          <w:b/>
          <w:spacing w:val="-2"/>
        </w:rPr>
        <w:t>October 24,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C6C74">
        <w:rPr>
          <w:b/>
          <w:spacing w:val="-2"/>
        </w:rPr>
        <w:t>October 27, 2014</w:t>
      </w:r>
    </w:p>
    <w:p w:rsidR="00822CE0" w:rsidRDefault="00822CE0"/>
    <w:p w:rsidR="004C2EE3" w:rsidRDefault="004C2EE3">
      <w:pPr>
        <w:rPr>
          <w:spacing w:val="-2"/>
        </w:rPr>
      </w:pPr>
      <w:r>
        <w:t xml:space="preserve">By </w:t>
      </w:r>
      <w:r w:rsidR="004E4A22">
        <w:t>the</w:t>
      </w:r>
      <w:r w:rsidR="002A2D2E">
        <w:t xml:space="preserve"> </w:t>
      </w:r>
      <w:r w:rsidR="001F165D">
        <w:rPr>
          <w:spacing w:val="-2"/>
        </w:rPr>
        <w:t>Commission:</w:t>
      </w:r>
    </w:p>
    <w:p w:rsidR="00412FC5" w:rsidRDefault="00412FC5" w:rsidP="00412FC5"/>
    <w:p w:rsidR="00184199" w:rsidRDefault="00A004F7" w:rsidP="00D37E2A">
      <w:pPr>
        <w:pStyle w:val="ParaNum"/>
      </w:pPr>
      <w:r>
        <w:t xml:space="preserve">The Commission </w:t>
      </w:r>
      <w:r w:rsidR="00386279">
        <w:t xml:space="preserve">has before it </w:t>
      </w:r>
      <w:r>
        <w:t xml:space="preserve">an Application for Review filed on </w:t>
      </w:r>
      <w:r w:rsidR="00F53357">
        <w:t>January 11, 2013</w:t>
      </w:r>
      <w:r w:rsidR="00386279">
        <w:t xml:space="preserve"> by </w:t>
      </w:r>
      <w:r w:rsidR="00F53357">
        <w:t>Craven Community College (“Craven”)</w:t>
      </w:r>
      <w:r w:rsidR="00936E47">
        <w:t>, licensee of WZNB(FM), New</w:t>
      </w:r>
      <w:r w:rsidR="00D56745">
        <w:t xml:space="preserve"> Bern, North Carolina</w:t>
      </w:r>
      <w:r w:rsidR="00BD5CAE">
        <w:t xml:space="preserve">.  </w:t>
      </w:r>
      <w:r w:rsidR="00623356">
        <w:t>Craven hel</w:t>
      </w:r>
      <w:r w:rsidR="004D66A0">
        <w:t>d a permit to modify WZNB</w:t>
      </w:r>
      <w:r w:rsidR="00EF6D72">
        <w:rPr>
          <w:rStyle w:val="FootnoteReference"/>
        </w:rPr>
        <w:footnoteReference w:id="2"/>
      </w:r>
      <w:r w:rsidR="00623356">
        <w:t xml:space="preserve"> but</w:t>
      </w:r>
      <w:r w:rsidR="004D66A0">
        <w:t xml:space="preserve"> </w:t>
      </w:r>
      <w:r w:rsidR="00DC47F6">
        <w:t xml:space="preserve">after </w:t>
      </w:r>
      <w:r w:rsidR="00FC0FCE">
        <w:t xml:space="preserve">Craven </w:t>
      </w:r>
      <w:r w:rsidR="008B2E6B">
        <w:t xml:space="preserve">had </w:t>
      </w:r>
      <w:r w:rsidR="009D72F4">
        <w:t>not</w:t>
      </w:r>
      <w:r w:rsidR="002D749A">
        <w:t xml:space="preserve"> </w:t>
      </w:r>
      <w:r w:rsidR="00EF6D72">
        <w:t xml:space="preserve">met </w:t>
      </w:r>
      <w:r w:rsidR="008B2E6B">
        <w:t>the</w:t>
      </w:r>
      <w:r w:rsidR="00AB3E55">
        <w:t xml:space="preserve"> </w:t>
      </w:r>
      <w:r w:rsidR="002D749A">
        <w:t xml:space="preserve">February </w:t>
      </w:r>
      <w:r w:rsidR="009D72F4">
        <w:t xml:space="preserve">4, </w:t>
      </w:r>
      <w:r w:rsidR="002D749A">
        <w:t xml:space="preserve">2011 </w:t>
      </w:r>
      <w:r w:rsidR="00AB3E55">
        <w:t xml:space="preserve">construction deadline, the Media Bureau (“Bureau”) granted </w:t>
      </w:r>
      <w:r w:rsidR="00D26911">
        <w:t xml:space="preserve">a </w:t>
      </w:r>
      <w:r w:rsidR="003D41B1">
        <w:t xml:space="preserve">modification </w:t>
      </w:r>
      <w:r w:rsidR="00AA1335">
        <w:t xml:space="preserve">application by </w:t>
      </w:r>
      <w:r w:rsidR="0015148B">
        <w:t>Church Planters of America</w:t>
      </w:r>
      <w:r w:rsidR="00C53ED3">
        <w:t xml:space="preserve"> (“CPA”) </w:t>
      </w:r>
      <w:r w:rsidR="003D41B1">
        <w:t xml:space="preserve">which did not </w:t>
      </w:r>
      <w:r w:rsidR="004166CE">
        <w:t xml:space="preserve">protect the </w:t>
      </w:r>
      <w:r w:rsidR="004B5D5B">
        <w:t>by-</w:t>
      </w:r>
      <w:r w:rsidR="00537545">
        <w:t xml:space="preserve">then-expired </w:t>
      </w:r>
      <w:r w:rsidR="004166CE">
        <w:t>WZNB Permit</w:t>
      </w:r>
      <w:r w:rsidR="00623356">
        <w:t>.</w:t>
      </w:r>
      <w:r w:rsidR="00623356">
        <w:rPr>
          <w:rStyle w:val="FootnoteReference"/>
        </w:rPr>
        <w:footnoteReference w:id="3"/>
      </w:r>
      <w:r w:rsidR="00623356">
        <w:t xml:space="preserve">  </w:t>
      </w:r>
      <w:r w:rsidR="00AB3E55">
        <w:t xml:space="preserve">Craven seeks review of </w:t>
      </w:r>
      <w:r w:rsidR="001E702F">
        <w:t xml:space="preserve">Bureau </w:t>
      </w:r>
      <w:r w:rsidR="00AB3E55">
        <w:t>decision letter</w:t>
      </w:r>
      <w:r w:rsidR="00702C2F">
        <w:t>s</w:t>
      </w:r>
      <w:r w:rsidR="001E42BC">
        <w:t xml:space="preserve"> issued </w:t>
      </w:r>
      <w:r w:rsidR="00793418">
        <w:t>May 2012 and December 2012</w:t>
      </w:r>
      <w:r w:rsidR="009642B4">
        <w:rPr>
          <w:rStyle w:val="FootnoteReference"/>
        </w:rPr>
        <w:footnoteReference w:id="4"/>
      </w:r>
      <w:r w:rsidR="00210DAD">
        <w:t xml:space="preserve"> </w:t>
      </w:r>
      <w:r w:rsidR="007A258B">
        <w:t xml:space="preserve">which </w:t>
      </w:r>
      <w:r w:rsidR="00210DAD">
        <w:t>act</w:t>
      </w:r>
      <w:r w:rsidR="007A258B">
        <w:t>ed</w:t>
      </w:r>
      <w:r w:rsidR="00D26911">
        <w:t xml:space="preserve"> </w:t>
      </w:r>
      <w:r w:rsidR="00210DAD">
        <w:t xml:space="preserve">on </w:t>
      </w:r>
      <w:r w:rsidR="00300A8C">
        <w:t xml:space="preserve">two </w:t>
      </w:r>
      <w:r w:rsidR="00E943D8">
        <w:t xml:space="preserve">successive </w:t>
      </w:r>
      <w:r w:rsidR="00210DAD">
        <w:t>reconsideration petitions</w:t>
      </w:r>
      <w:r w:rsidR="00E82000">
        <w:t xml:space="preserve">, filed </w:t>
      </w:r>
      <w:r w:rsidR="00811BD7">
        <w:t xml:space="preserve">by Craven </w:t>
      </w:r>
      <w:r w:rsidR="00E82000">
        <w:t>on April 27, 2011, and June 18, 2012</w:t>
      </w:r>
      <w:r w:rsidR="004B541B">
        <w:t>, respectively</w:t>
      </w:r>
      <w:r w:rsidR="007A258B">
        <w:t xml:space="preserve">.  The </w:t>
      </w:r>
      <w:r w:rsidR="007A258B">
        <w:rPr>
          <w:i/>
        </w:rPr>
        <w:t xml:space="preserve">May Decision </w:t>
      </w:r>
      <w:r w:rsidR="00E943D8">
        <w:t>reject</w:t>
      </w:r>
      <w:r w:rsidR="00B033E4">
        <w:t>ed</w:t>
      </w:r>
      <w:r w:rsidR="00E943D8">
        <w:t xml:space="preserve"> </w:t>
      </w:r>
      <w:r w:rsidR="004F43BC">
        <w:t xml:space="preserve">a claim in </w:t>
      </w:r>
      <w:r w:rsidR="009075FB">
        <w:t xml:space="preserve">Craven’s </w:t>
      </w:r>
      <w:r w:rsidR="001E42BC">
        <w:t>first petition</w:t>
      </w:r>
      <w:r w:rsidR="004F43BC">
        <w:t xml:space="preserve"> </w:t>
      </w:r>
      <w:r w:rsidR="0036551D">
        <w:t xml:space="preserve">that </w:t>
      </w:r>
      <w:r w:rsidR="009075FB">
        <w:t xml:space="preserve">grant of </w:t>
      </w:r>
      <w:r w:rsidR="0011395E">
        <w:t xml:space="preserve">the CPA Application was </w:t>
      </w:r>
      <w:r w:rsidR="004B5D5B">
        <w:t xml:space="preserve">in error </w:t>
      </w:r>
      <w:r w:rsidR="00273043">
        <w:t>because</w:t>
      </w:r>
      <w:r w:rsidR="0011395E">
        <w:t xml:space="preserve"> </w:t>
      </w:r>
      <w:r w:rsidR="004071D0">
        <w:t xml:space="preserve">it conflicted with a </w:t>
      </w:r>
      <w:r w:rsidR="004F4254">
        <w:t>still-</w:t>
      </w:r>
      <w:r w:rsidR="004071D0">
        <w:t xml:space="preserve">valid </w:t>
      </w:r>
      <w:r w:rsidR="007C7C9D">
        <w:t xml:space="preserve">WZNB </w:t>
      </w:r>
      <w:r w:rsidR="009075FB">
        <w:t>Permit</w:t>
      </w:r>
      <w:r w:rsidR="005461A3">
        <w:t xml:space="preserve">.  </w:t>
      </w:r>
      <w:r w:rsidR="00DA6C4F">
        <w:t xml:space="preserve">In that petition, </w:t>
      </w:r>
      <w:r w:rsidR="005461A3">
        <w:t xml:space="preserve">Craven </w:t>
      </w:r>
      <w:r w:rsidR="00DA6C4F">
        <w:t>claimed</w:t>
      </w:r>
      <w:r w:rsidR="008B2E6B">
        <w:t xml:space="preserve"> to have </w:t>
      </w:r>
      <w:r w:rsidR="005461A3">
        <w:t xml:space="preserve">believed </w:t>
      </w:r>
      <w:r w:rsidR="00D17F03">
        <w:t xml:space="preserve">that the WZNB Permit expiration date had been “tolled” </w:t>
      </w:r>
      <w:r w:rsidR="005461A3">
        <w:t xml:space="preserve">after it </w:t>
      </w:r>
      <w:r w:rsidR="008B2E6B">
        <w:t xml:space="preserve">had </w:t>
      </w:r>
      <w:r w:rsidR="005461A3">
        <w:t xml:space="preserve">filed </w:t>
      </w:r>
      <w:r w:rsidR="004071D0">
        <w:t xml:space="preserve">a tolling notification with the </w:t>
      </w:r>
      <w:r w:rsidR="00370084">
        <w:t xml:space="preserve">Commission </w:t>
      </w:r>
      <w:r w:rsidR="008B2E6B">
        <w:t xml:space="preserve">less than two months before the construction deadline </w:t>
      </w:r>
      <w:r w:rsidR="005461A3">
        <w:t>and</w:t>
      </w:r>
      <w:r w:rsidR="004071D0">
        <w:t xml:space="preserve"> </w:t>
      </w:r>
      <w:r w:rsidR="008B2E6B">
        <w:t xml:space="preserve">had </w:t>
      </w:r>
      <w:r w:rsidR="004071D0">
        <w:t xml:space="preserve">received no </w:t>
      </w:r>
      <w:r w:rsidR="00B033E4">
        <w:t>response</w:t>
      </w:r>
      <w:r w:rsidR="00E82000">
        <w:t xml:space="preserve"> from Bureau staff</w:t>
      </w:r>
      <w:r w:rsidR="00B033E4">
        <w:t>.</w:t>
      </w:r>
      <w:r w:rsidR="00367250">
        <w:rPr>
          <w:rStyle w:val="FootnoteReference"/>
        </w:rPr>
        <w:footnoteReference w:id="5"/>
      </w:r>
      <w:r w:rsidR="0011395E">
        <w:t xml:space="preserve">  </w:t>
      </w:r>
      <w:r w:rsidR="007A258B">
        <w:t xml:space="preserve">The </w:t>
      </w:r>
      <w:r w:rsidR="007A258B">
        <w:rPr>
          <w:i/>
        </w:rPr>
        <w:t xml:space="preserve">December </w:t>
      </w:r>
      <w:r w:rsidR="007A258B">
        <w:rPr>
          <w:i/>
        </w:rPr>
        <w:lastRenderedPageBreak/>
        <w:t xml:space="preserve">Decision </w:t>
      </w:r>
      <w:r w:rsidR="00084F53">
        <w:t>dismiss</w:t>
      </w:r>
      <w:r w:rsidR="00B033E4">
        <w:t>ed</w:t>
      </w:r>
      <w:r w:rsidR="00DA6C4F">
        <w:t>,</w:t>
      </w:r>
      <w:r w:rsidR="0029452F">
        <w:t xml:space="preserve"> </w:t>
      </w:r>
      <w:r w:rsidR="009642B4">
        <w:t>as un</w:t>
      </w:r>
      <w:r w:rsidR="00CF2A6E">
        <w:t>timely and repetitious</w:t>
      </w:r>
      <w:r w:rsidR="00DA6C4F">
        <w:t>,</w:t>
      </w:r>
      <w:r w:rsidR="00CF2A6E">
        <w:t xml:space="preserve"> Craven’s </w:t>
      </w:r>
      <w:r w:rsidR="00565415">
        <w:t xml:space="preserve">arguments in its </w:t>
      </w:r>
      <w:r w:rsidR="001E42BC">
        <w:t xml:space="preserve">second petition </w:t>
      </w:r>
      <w:r w:rsidR="00565415">
        <w:t xml:space="preserve">that </w:t>
      </w:r>
      <w:r w:rsidR="00D713F1">
        <w:t xml:space="preserve">the </w:t>
      </w:r>
      <w:r w:rsidR="00CF2A6E">
        <w:rPr>
          <w:i/>
        </w:rPr>
        <w:t>May Decision</w:t>
      </w:r>
      <w:r w:rsidR="00565415">
        <w:t xml:space="preserve"> improperly concluded t</w:t>
      </w:r>
      <w:r w:rsidR="007C2357">
        <w:t>hat t</w:t>
      </w:r>
      <w:r w:rsidR="005B48FC">
        <w:t xml:space="preserve">he WZNB Permit </w:t>
      </w:r>
      <w:r w:rsidR="00944EB1">
        <w:t xml:space="preserve">was not entitled to tolling or waiver of the construction deadline and had </w:t>
      </w:r>
      <w:r w:rsidR="003510EC">
        <w:t xml:space="preserve">accordingly </w:t>
      </w:r>
      <w:r w:rsidR="005B48FC">
        <w:t>expired in February 2011</w:t>
      </w:r>
      <w:r w:rsidR="00AB3E55">
        <w:t xml:space="preserve">.  </w:t>
      </w:r>
      <w:r w:rsidR="00A80056">
        <w:t>For the reasons discussed below, w</w:t>
      </w:r>
      <w:r w:rsidR="008A39AB">
        <w:t>e affirm</w:t>
      </w:r>
      <w:r w:rsidR="001316AE">
        <w:t xml:space="preserve"> the Bureau’s actions</w:t>
      </w:r>
      <w:r w:rsidR="00CC6EBB">
        <w:t>.</w:t>
      </w:r>
      <w:r w:rsidR="00623356">
        <w:t xml:space="preserve"> </w:t>
      </w:r>
    </w:p>
    <w:p w:rsidR="00693C94" w:rsidRPr="00D37E2A" w:rsidRDefault="00F02EE7" w:rsidP="00D37E2A">
      <w:pPr>
        <w:pStyle w:val="ParaNum"/>
      </w:pPr>
      <w:r>
        <w:t xml:space="preserve">Upon consideration of the Application for Review and the entire record, we affirm the Bureau’s actions with the exception of the Bureau’s dismissal of the second petition as “procedurally defective.” </w:t>
      </w:r>
      <w:r>
        <w:rPr>
          <w:rStyle w:val="FootnoteReference"/>
        </w:rPr>
        <w:footnoteReference w:id="6"/>
      </w:r>
      <w:r>
        <w:t xml:space="preserve"> </w:t>
      </w:r>
      <w:r w:rsidR="001F7574">
        <w:t xml:space="preserve">We </w:t>
      </w:r>
      <w:r w:rsidR="00B90D6B">
        <w:t>affirm the Bureau’s finding that Craven was not entitled to tolling or waiver of the construction deadline.</w:t>
      </w:r>
      <w:r w:rsidR="00D449AA">
        <w:rPr>
          <w:rStyle w:val="FootnoteReference"/>
        </w:rPr>
        <w:footnoteReference w:id="7"/>
      </w:r>
      <w:r w:rsidR="00B90D6B">
        <w:t xml:space="preserve">  </w:t>
      </w:r>
      <w:r w:rsidR="002A5C4C">
        <w:t xml:space="preserve"> </w:t>
      </w:r>
      <w:r w:rsidR="0032298B">
        <w:t>Craven</w:t>
      </w:r>
      <w:r w:rsidR="00217F28">
        <w:t xml:space="preserve"> based its</w:t>
      </w:r>
      <w:r w:rsidR="00377F39">
        <w:t xml:space="preserve"> </w:t>
      </w:r>
      <w:r w:rsidR="008B2E6B">
        <w:t xml:space="preserve">tolling </w:t>
      </w:r>
      <w:r w:rsidR="0032298B">
        <w:t xml:space="preserve">request </w:t>
      </w:r>
      <w:r w:rsidR="00217F28">
        <w:t>on</w:t>
      </w:r>
      <w:r w:rsidR="00377F39">
        <w:t xml:space="preserve"> </w:t>
      </w:r>
      <w:r w:rsidR="002E2822">
        <w:t xml:space="preserve">a “massive </w:t>
      </w:r>
      <w:r w:rsidR="00AA7E41">
        <w:t>recession</w:t>
      </w:r>
      <w:r w:rsidR="00AF0295">
        <w:t xml:space="preserve">” which </w:t>
      </w:r>
      <w:r w:rsidR="008B2E6B">
        <w:t xml:space="preserve">it maintained </w:t>
      </w:r>
      <w:r w:rsidR="00AF0295">
        <w:t>triggered</w:t>
      </w:r>
      <w:r w:rsidR="001A751E">
        <w:t xml:space="preserve"> drops</w:t>
      </w:r>
      <w:r w:rsidR="00AF0295">
        <w:t xml:space="preserve"> in </w:t>
      </w:r>
      <w:r w:rsidR="001A751E">
        <w:t xml:space="preserve">Craven’s receipt of </w:t>
      </w:r>
      <w:r w:rsidR="00AF0295">
        <w:t>state and federal</w:t>
      </w:r>
      <w:r w:rsidR="002E2822">
        <w:t xml:space="preserve"> funding</w:t>
      </w:r>
      <w:r w:rsidR="001A751E">
        <w:t>, and difficu</w:t>
      </w:r>
      <w:r w:rsidR="002E2822">
        <w:t xml:space="preserve">lties </w:t>
      </w:r>
      <w:r w:rsidR="00D12E4E">
        <w:t>Craven</w:t>
      </w:r>
      <w:r w:rsidR="00377F39">
        <w:t xml:space="preserve"> </w:t>
      </w:r>
      <w:r w:rsidR="008B2E6B">
        <w:t xml:space="preserve">claims to have </w:t>
      </w:r>
      <w:r w:rsidR="002E2822">
        <w:t xml:space="preserve">experienced </w:t>
      </w:r>
      <w:r w:rsidR="00377F39">
        <w:t xml:space="preserve">in procuring </w:t>
      </w:r>
      <w:r w:rsidR="00AA7E41">
        <w:t>an antenna.</w:t>
      </w:r>
      <w:r w:rsidR="00AA7E41">
        <w:rPr>
          <w:rStyle w:val="FootnoteReference"/>
        </w:rPr>
        <w:footnoteReference w:id="8"/>
      </w:r>
      <w:r w:rsidR="00AA7E41">
        <w:t xml:space="preserve">  </w:t>
      </w:r>
      <w:r w:rsidR="002A5C4C">
        <w:t xml:space="preserve">Such matters are </w:t>
      </w:r>
      <w:r w:rsidR="00C04140">
        <w:t xml:space="preserve">neither </w:t>
      </w:r>
      <w:r w:rsidR="002A5C4C">
        <w:t xml:space="preserve">specified in the </w:t>
      </w:r>
      <w:r w:rsidR="00217F28">
        <w:t>tolling rule</w:t>
      </w:r>
      <w:r w:rsidR="00C04140">
        <w:t>,</w:t>
      </w:r>
      <w:r w:rsidR="002A5C4C">
        <w:t xml:space="preserve"> </w:t>
      </w:r>
      <w:r w:rsidR="00C04140">
        <w:t>nor of a comparable magnitude to warrant a waiver</w:t>
      </w:r>
      <w:r w:rsidR="008B2E6B">
        <w:t xml:space="preserve"> of the construction deadline</w:t>
      </w:r>
      <w:r w:rsidR="002A5C4C">
        <w:t>.</w:t>
      </w:r>
      <w:r w:rsidR="00DC5A7C">
        <w:rPr>
          <w:rStyle w:val="FootnoteReference"/>
        </w:rPr>
        <w:footnoteReference w:id="9"/>
      </w:r>
      <w:r w:rsidR="004030F9">
        <w:t xml:space="preserve">  </w:t>
      </w:r>
      <w:r w:rsidR="00A528FE">
        <w:t>The Bureau</w:t>
      </w:r>
      <w:r w:rsidR="00245354">
        <w:t xml:space="preserve"> correct</w:t>
      </w:r>
      <w:r w:rsidR="001F7574">
        <w:t>ly stated</w:t>
      </w:r>
      <w:r w:rsidR="00A528FE">
        <w:t xml:space="preserve"> that </w:t>
      </w:r>
      <w:r w:rsidR="008B2E6B">
        <w:t xml:space="preserve">a permittee’s </w:t>
      </w:r>
      <w:r w:rsidR="00AE7964">
        <w:t xml:space="preserve">financial </w:t>
      </w:r>
      <w:r w:rsidR="008B2E6B">
        <w:t xml:space="preserve">difficulties </w:t>
      </w:r>
      <w:r w:rsidR="00AE7964">
        <w:t xml:space="preserve">do not </w:t>
      </w:r>
      <w:r w:rsidR="00245354">
        <w:t xml:space="preserve">ordinarily </w:t>
      </w:r>
      <w:r w:rsidR="00AE7964">
        <w:t xml:space="preserve">form the basis for </w:t>
      </w:r>
      <w:r w:rsidR="00DA6C4F">
        <w:t xml:space="preserve">granting </w:t>
      </w:r>
      <w:r w:rsidR="00AE7964">
        <w:t xml:space="preserve">additional construction time because </w:t>
      </w:r>
      <w:r w:rsidR="001A751E">
        <w:t xml:space="preserve">applicants for construction permits are required to </w:t>
      </w:r>
      <w:r w:rsidR="00AE7964">
        <w:t xml:space="preserve">have </w:t>
      </w:r>
      <w:r w:rsidR="00D73001">
        <w:t xml:space="preserve">reasonable assurance of </w:t>
      </w:r>
      <w:r w:rsidR="00AE7964">
        <w:t>sufficient fund</w:t>
      </w:r>
      <w:r w:rsidR="00D73001">
        <w:t>ing</w:t>
      </w:r>
      <w:r w:rsidR="00AE7964">
        <w:t xml:space="preserve"> to construct </w:t>
      </w:r>
      <w:r w:rsidR="00245354">
        <w:t xml:space="preserve">at the time of application and </w:t>
      </w:r>
      <w:r w:rsidR="00A528FE">
        <w:t>to</w:t>
      </w:r>
      <w:r w:rsidR="00245354">
        <w:t xml:space="preserve"> notify the Commission of any material</w:t>
      </w:r>
      <w:r w:rsidR="00A528FE">
        <w:t xml:space="preserve"> changes</w:t>
      </w:r>
      <w:r w:rsidR="00AE7964">
        <w:t>.</w:t>
      </w:r>
      <w:r w:rsidR="00245354">
        <w:rPr>
          <w:rStyle w:val="FootnoteReference"/>
        </w:rPr>
        <w:footnoteReference w:id="10"/>
      </w:r>
      <w:r w:rsidR="00AE7964">
        <w:t xml:space="preserve">  </w:t>
      </w:r>
      <w:r w:rsidR="004E018E">
        <w:t xml:space="preserve">The Bureau properly </w:t>
      </w:r>
      <w:r w:rsidR="00255807">
        <w:t>rejected the primary case upon which Craven relied,</w:t>
      </w:r>
      <w:r w:rsidR="0003707C">
        <w:t xml:space="preserve"> </w:t>
      </w:r>
      <w:r w:rsidR="0003707C" w:rsidRPr="00F02EE7">
        <w:rPr>
          <w:i/>
        </w:rPr>
        <w:t>Koor</w:t>
      </w:r>
      <w:r w:rsidR="00255807" w:rsidRPr="00F02EE7">
        <w:rPr>
          <w:i/>
        </w:rPr>
        <w:t>,</w:t>
      </w:r>
      <w:r w:rsidR="0003707C" w:rsidRPr="001E75E3">
        <w:rPr>
          <w:rStyle w:val="FootnoteReference"/>
        </w:rPr>
        <w:footnoteReference w:id="11"/>
      </w:r>
      <w:r w:rsidR="0003707C" w:rsidRPr="00F02EE7">
        <w:rPr>
          <w:i/>
        </w:rPr>
        <w:t xml:space="preserve"> </w:t>
      </w:r>
      <w:r w:rsidR="00255807">
        <w:t xml:space="preserve">because Craven </w:t>
      </w:r>
      <w:r w:rsidR="008B2E6B">
        <w:t xml:space="preserve">had mischaracterized </w:t>
      </w:r>
      <w:r w:rsidR="00255807">
        <w:t xml:space="preserve">its holding.  </w:t>
      </w:r>
      <w:r w:rsidR="00255807" w:rsidRPr="00F02EE7">
        <w:rPr>
          <w:i/>
        </w:rPr>
        <w:t>Koor</w:t>
      </w:r>
      <w:r w:rsidR="00255807">
        <w:t xml:space="preserve">, </w:t>
      </w:r>
      <w:r w:rsidR="0003707C" w:rsidRPr="00255807">
        <w:t>which</w:t>
      </w:r>
      <w:r w:rsidR="0003707C">
        <w:t xml:space="preserve"> Craven </w:t>
      </w:r>
      <w:r w:rsidR="009809B9">
        <w:t xml:space="preserve">also </w:t>
      </w:r>
      <w:r w:rsidR="004E018E">
        <w:t xml:space="preserve">relies upon on review, </w:t>
      </w:r>
      <w:r w:rsidR="00255807">
        <w:t xml:space="preserve">did not </w:t>
      </w:r>
      <w:r w:rsidR="008B2E6B">
        <w:t xml:space="preserve">establish </w:t>
      </w:r>
      <w:r w:rsidR="004E018E">
        <w:t xml:space="preserve">that virtually any cause not under the control of </w:t>
      </w:r>
      <w:r w:rsidR="00DA6C4F">
        <w:t xml:space="preserve">a </w:t>
      </w:r>
      <w:r w:rsidR="008B2E6B">
        <w:t xml:space="preserve">permittee </w:t>
      </w:r>
      <w:r w:rsidR="00145BCA">
        <w:t xml:space="preserve">warrants additional </w:t>
      </w:r>
      <w:r w:rsidR="003510EC">
        <w:t xml:space="preserve">construction </w:t>
      </w:r>
      <w:r w:rsidR="00145BCA">
        <w:t xml:space="preserve">time.  </w:t>
      </w:r>
      <w:r w:rsidR="001E75E3">
        <w:t xml:space="preserve">To the contrary, </w:t>
      </w:r>
      <w:r w:rsidR="001E75E3" w:rsidRPr="00F02EE7">
        <w:rPr>
          <w:i/>
        </w:rPr>
        <w:t xml:space="preserve">Koor </w:t>
      </w:r>
      <w:r w:rsidR="007671BA">
        <w:t xml:space="preserve">explicitly held that </w:t>
      </w:r>
      <w:r w:rsidR="004E018E">
        <w:t xml:space="preserve">common and routine conditions, such as winter weather, </w:t>
      </w:r>
      <w:r w:rsidR="00A92BFE">
        <w:t>do not warrant additional construction time.</w:t>
      </w:r>
      <w:r w:rsidR="007671BA">
        <w:rPr>
          <w:rStyle w:val="FootnoteReference"/>
        </w:rPr>
        <w:footnoteReference w:id="12"/>
      </w:r>
      <w:r w:rsidR="00A92BFE">
        <w:t xml:space="preserve"> </w:t>
      </w:r>
      <w:r w:rsidR="00695BDA">
        <w:t xml:space="preserve"> </w:t>
      </w:r>
      <w:r w:rsidR="001F7574">
        <w:t xml:space="preserve">  </w:t>
      </w:r>
    </w:p>
    <w:p w:rsidR="00BD002F" w:rsidRDefault="00D91524" w:rsidP="00D37E2A">
      <w:pPr>
        <w:pStyle w:val="ParaNum"/>
      </w:pPr>
      <w:r>
        <w:lastRenderedPageBreak/>
        <w:t>Similarly, w</w:t>
      </w:r>
      <w:r w:rsidR="00693C94">
        <w:t xml:space="preserve">ith respect to </w:t>
      </w:r>
      <w:r w:rsidR="008B2E6B">
        <w:t xml:space="preserve">Craven’s claimed </w:t>
      </w:r>
      <w:r w:rsidR="00693C94">
        <w:t>delays in the</w:t>
      </w:r>
      <w:r w:rsidR="00A92BFE">
        <w:t xml:space="preserve"> </w:t>
      </w:r>
      <w:r w:rsidR="00693C94">
        <w:t xml:space="preserve">equipment acquisition/bidding process </w:t>
      </w:r>
      <w:r>
        <w:t xml:space="preserve">which </w:t>
      </w:r>
      <w:r w:rsidR="008B2E6B">
        <w:t>it characterized to have been</w:t>
      </w:r>
      <w:r>
        <w:t xml:space="preserve"> “beyond its control” </w:t>
      </w:r>
      <w:r w:rsidR="00DA6C4F">
        <w:t xml:space="preserve">and accordingly justifying tolling, </w:t>
      </w:r>
      <w:r w:rsidR="00693C94">
        <w:t xml:space="preserve">we </w:t>
      </w:r>
      <w:r w:rsidR="007671BA">
        <w:t xml:space="preserve">reject </w:t>
      </w:r>
      <w:r w:rsidR="00695BDA">
        <w:t>Craven’s argum</w:t>
      </w:r>
      <w:r w:rsidR="00146812">
        <w:t xml:space="preserve">ent that the Bureau should not have faulted it for </w:t>
      </w:r>
      <w:r w:rsidR="00D12E4E">
        <w:t xml:space="preserve">not initiating the acquisition process </w:t>
      </w:r>
      <w:r w:rsidR="00F23DDD">
        <w:t>until two</w:t>
      </w:r>
      <w:r w:rsidR="004D1BEE">
        <w:t xml:space="preserve"> years </w:t>
      </w:r>
      <w:r w:rsidR="00811BD7">
        <w:t xml:space="preserve">into the construction period </w:t>
      </w:r>
      <w:r w:rsidR="004D1BEE">
        <w:t xml:space="preserve">had elapsed.  </w:t>
      </w:r>
      <w:r>
        <w:t xml:space="preserve">Craven points out – correctly – that when </w:t>
      </w:r>
      <w:r w:rsidR="00693C94">
        <w:t xml:space="preserve">a major </w:t>
      </w:r>
      <w:r>
        <w:t>event beyond a permittee</w:t>
      </w:r>
      <w:r w:rsidR="00695BDA">
        <w:t>’s control</w:t>
      </w:r>
      <w:r w:rsidR="008555F1">
        <w:t>, such as an “act of God,”</w:t>
      </w:r>
      <w:r w:rsidR="00B02216">
        <w:t xml:space="preserve"> </w:t>
      </w:r>
      <w:r w:rsidR="00511618">
        <w:t>occurs</w:t>
      </w:r>
      <w:r w:rsidR="008B2E6B">
        <w:t>,</w:t>
      </w:r>
      <w:r w:rsidR="00EB70CC">
        <w:t xml:space="preserve"> </w:t>
      </w:r>
      <w:r w:rsidR="00693C94">
        <w:t xml:space="preserve">the Commission </w:t>
      </w:r>
      <w:r w:rsidR="00695BDA">
        <w:t>grant</w:t>
      </w:r>
      <w:r w:rsidR="00693C94">
        <w:t>s</w:t>
      </w:r>
      <w:r w:rsidR="00695BDA">
        <w:t xml:space="preserve"> tolling looking forward from that event without looking back </w:t>
      </w:r>
      <w:r w:rsidR="00693C94">
        <w:t xml:space="preserve">at </w:t>
      </w:r>
      <w:r w:rsidR="0002771F">
        <w:t xml:space="preserve">or deducting time </w:t>
      </w:r>
      <w:r w:rsidR="00695BDA">
        <w:t xml:space="preserve">for </w:t>
      </w:r>
      <w:r w:rsidR="00693C94">
        <w:t xml:space="preserve">anything that may or may not </w:t>
      </w:r>
      <w:r w:rsidR="00695BDA">
        <w:t>have occurred earlier</w:t>
      </w:r>
      <w:r w:rsidR="008B2E6B">
        <w:t xml:space="preserve"> in the construction period</w:t>
      </w:r>
      <w:r w:rsidR="00A21C51">
        <w:t>.</w:t>
      </w:r>
      <w:r w:rsidR="00FF40D1">
        <w:rPr>
          <w:rStyle w:val="FootnoteReference"/>
        </w:rPr>
        <w:footnoteReference w:id="13"/>
      </w:r>
      <w:r w:rsidR="00695BDA">
        <w:t xml:space="preserve">  </w:t>
      </w:r>
      <w:r w:rsidR="00EB70CC">
        <w:t xml:space="preserve">Such reasoning certainly holds for events, such as tornados and adverse litigation, </w:t>
      </w:r>
      <w:r w:rsidR="00D73001">
        <w:t>which</w:t>
      </w:r>
      <w:r w:rsidR="00EB70CC">
        <w:t xml:space="preserve"> could not </w:t>
      </w:r>
      <w:r w:rsidR="008B2E6B">
        <w:t>have been</w:t>
      </w:r>
      <w:r w:rsidR="00EB70CC">
        <w:t xml:space="preserve"> avoided through diligent planning.  </w:t>
      </w:r>
      <w:r w:rsidR="007F6CE2">
        <w:t xml:space="preserve">Where Craven’s reasoning breaks down </w:t>
      </w:r>
      <w:r w:rsidR="0002771F">
        <w:t xml:space="preserve">is </w:t>
      </w:r>
      <w:r w:rsidR="007F6CE2">
        <w:t>it</w:t>
      </w:r>
      <w:r w:rsidR="0002771F">
        <w:t>s attempt</w:t>
      </w:r>
      <w:r w:rsidR="007F6CE2">
        <w:t xml:space="preserve"> to el</w:t>
      </w:r>
      <w:r w:rsidR="00F13341">
        <w:t xml:space="preserve">evate </w:t>
      </w:r>
      <w:r w:rsidR="00D73001">
        <w:t xml:space="preserve">ordinary </w:t>
      </w:r>
      <w:r w:rsidR="00537545">
        <w:t xml:space="preserve">construction tasks and </w:t>
      </w:r>
      <w:r w:rsidR="00D73001">
        <w:t xml:space="preserve">risks – the effects of which can be mitigated by diligence and prudent planning – </w:t>
      </w:r>
      <w:r w:rsidR="007F6CE2">
        <w:t xml:space="preserve">into </w:t>
      </w:r>
      <w:r w:rsidR="00DA6C4F">
        <w:t xml:space="preserve">valid </w:t>
      </w:r>
      <w:r w:rsidR="007F6CE2">
        <w:t>tolling events</w:t>
      </w:r>
      <w:r w:rsidR="00811BD7">
        <w:t xml:space="preserve"> under</w:t>
      </w:r>
      <w:r w:rsidR="003E712B">
        <w:t xml:space="preserve"> Section 73.3598(b)</w:t>
      </w:r>
      <w:r w:rsidR="00F23DDD">
        <w:t>.</w:t>
      </w:r>
      <w:r w:rsidR="00A528FE">
        <w:t xml:space="preserve"> </w:t>
      </w:r>
      <w:r w:rsidR="00A21C51">
        <w:t xml:space="preserve"> </w:t>
      </w:r>
      <w:r w:rsidR="00146812">
        <w:t xml:space="preserve">We fully expect that during the construction process, </w:t>
      </w:r>
      <w:r w:rsidR="00BC764E">
        <w:t>most</w:t>
      </w:r>
      <w:r w:rsidR="00146812">
        <w:t xml:space="preserve"> permittees will experience </w:t>
      </w:r>
      <w:r w:rsidR="0030696E">
        <w:t xml:space="preserve">some form of </w:t>
      </w:r>
      <w:r w:rsidR="00146812">
        <w:t xml:space="preserve">unanticipated </w:t>
      </w:r>
      <w:r w:rsidR="0030696E">
        <w:t>delay</w:t>
      </w:r>
      <w:r w:rsidR="00BC764E">
        <w:t xml:space="preserve"> </w:t>
      </w:r>
      <w:r w:rsidR="00146812">
        <w:t xml:space="preserve">over which they have no direct control.  </w:t>
      </w:r>
      <w:r w:rsidR="000F4DED">
        <w:t>Such events might</w:t>
      </w:r>
      <w:r w:rsidR="006B422A">
        <w:t xml:space="preserve"> include, for example, </w:t>
      </w:r>
      <w:r w:rsidR="001A441B">
        <w:t xml:space="preserve">winter </w:t>
      </w:r>
      <w:r w:rsidR="00D14F0F">
        <w:t>weather</w:t>
      </w:r>
      <w:r w:rsidR="00FB51C0">
        <w:t xml:space="preserve">, </w:t>
      </w:r>
      <w:r w:rsidR="000F4DED">
        <w:t>a more-lengthy-than-expected initial</w:t>
      </w:r>
      <w:r w:rsidR="001A441B">
        <w:t xml:space="preserve"> zoning </w:t>
      </w:r>
      <w:r w:rsidR="000F4DED">
        <w:t>process</w:t>
      </w:r>
      <w:r w:rsidR="001A441B">
        <w:t xml:space="preserve">, </w:t>
      </w:r>
      <w:r w:rsidR="003B1681">
        <w:t>and vendor/manufacturer</w:t>
      </w:r>
      <w:r w:rsidR="00075B65">
        <w:t>/contractor</w:t>
      </w:r>
      <w:r w:rsidR="00595E93">
        <w:t xml:space="preserve"> problem</w:t>
      </w:r>
      <w:r w:rsidR="00B50677">
        <w:t>s</w:t>
      </w:r>
      <w:r w:rsidR="0002771F">
        <w:t>.  T</w:t>
      </w:r>
      <w:r w:rsidR="00D14F0F">
        <w:t>he Commission has stated</w:t>
      </w:r>
      <w:r w:rsidR="0002771F">
        <w:t>, however,</w:t>
      </w:r>
      <w:r w:rsidR="00D14F0F">
        <w:t xml:space="preserve"> that such factors are not </w:t>
      </w:r>
      <w:r w:rsidR="00D73001">
        <w:t>–</w:t>
      </w:r>
      <w:r w:rsidR="00D14F0F">
        <w:t xml:space="preserve"> given the expanded three-year construction period </w:t>
      </w:r>
      <w:r w:rsidR="00D73001">
        <w:t>–</w:t>
      </w:r>
      <w:r w:rsidR="00D14F0F">
        <w:t xml:space="preserve"> </w:t>
      </w:r>
      <w:r w:rsidR="00D14F0F" w:rsidRPr="00A92BFE">
        <w:t xml:space="preserve">so insurmountable that they excuse </w:t>
      </w:r>
      <w:r w:rsidR="00F94FF9">
        <w:t>a party’s</w:t>
      </w:r>
      <w:r w:rsidR="00D14F0F" w:rsidRPr="00A92BFE">
        <w:t xml:space="preserve"> lack of diligence in </w:t>
      </w:r>
      <w:r w:rsidR="00D14F0F">
        <w:t>planning</w:t>
      </w:r>
      <w:r w:rsidR="00F94FF9">
        <w:t> and implement</w:t>
      </w:r>
      <w:r w:rsidR="00F23DDD">
        <w:t>ation</w:t>
      </w:r>
      <w:r w:rsidR="00D14F0F">
        <w:t>.</w:t>
      </w:r>
      <w:r w:rsidR="00D14F0F">
        <w:rPr>
          <w:rStyle w:val="FootnoteReference"/>
        </w:rPr>
        <w:footnoteReference w:id="14"/>
      </w:r>
      <w:r w:rsidR="0002771F">
        <w:t xml:space="preserve"> </w:t>
      </w:r>
      <w:r w:rsidR="00F23DDD">
        <w:t xml:space="preserve"> </w:t>
      </w:r>
      <w:r w:rsidR="00BC764E">
        <w:t xml:space="preserve">Waivers of the construction period, if granted under such circumstances, would be so common that </w:t>
      </w:r>
      <w:r w:rsidR="008B2E6B">
        <w:t xml:space="preserve">they </w:t>
      </w:r>
      <w:r w:rsidR="00BC764E">
        <w:t>could negate the underlying rule</w:t>
      </w:r>
      <w:r w:rsidR="00DA6C4F">
        <w:t>, undermining its objective of expediting service to the public</w:t>
      </w:r>
      <w:r w:rsidR="00BC764E">
        <w:t>.</w:t>
      </w:r>
      <w:r w:rsidR="00041742">
        <w:rPr>
          <w:rStyle w:val="FootnoteReference"/>
        </w:rPr>
        <w:footnoteReference w:id="15"/>
      </w:r>
      <w:r w:rsidR="00BC764E">
        <w:t xml:space="preserve">  </w:t>
      </w:r>
      <w:r w:rsidR="00B50677">
        <w:t xml:space="preserve">It was thus </w:t>
      </w:r>
      <w:r w:rsidR="008B2E6B">
        <w:t xml:space="preserve">appropriate </w:t>
      </w:r>
      <w:r w:rsidR="0034140C">
        <w:t>for</w:t>
      </w:r>
      <w:r w:rsidR="00F23DDD">
        <w:t xml:space="preserve"> </w:t>
      </w:r>
      <w:r w:rsidR="00954BF3">
        <w:t>the Bureau</w:t>
      </w:r>
      <w:r w:rsidR="0020528A">
        <w:t xml:space="preserve">, in considering Craven’s </w:t>
      </w:r>
      <w:r w:rsidR="00511618">
        <w:t xml:space="preserve">argument that </w:t>
      </w:r>
      <w:r w:rsidR="0020528A">
        <w:t xml:space="preserve">antenna </w:t>
      </w:r>
      <w:r w:rsidR="00511618">
        <w:t xml:space="preserve">acquisition </w:t>
      </w:r>
      <w:r w:rsidR="00B72138">
        <w:t xml:space="preserve">problems “beyond its control” </w:t>
      </w:r>
      <w:r w:rsidR="006B422A">
        <w:t>prevented completion by the existing deadline</w:t>
      </w:r>
      <w:r w:rsidR="0020528A">
        <w:t xml:space="preserve">, </w:t>
      </w:r>
      <w:r w:rsidR="00954BF3">
        <w:t>to tak</w:t>
      </w:r>
      <w:r w:rsidR="00B50677">
        <w:t>e</w:t>
      </w:r>
      <w:r w:rsidR="00954BF3">
        <w:t xml:space="preserve"> into account</w:t>
      </w:r>
      <w:r w:rsidR="00B50677">
        <w:t xml:space="preserve"> that Craven</w:t>
      </w:r>
      <w:r w:rsidR="0020528A">
        <w:t xml:space="preserve"> </w:t>
      </w:r>
      <w:r w:rsidR="00B50677">
        <w:t xml:space="preserve">did not </w:t>
      </w:r>
      <w:r w:rsidR="00762DE7">
        <w:t xml:space="preserve">even </w:t>
      </w:r>
      <w:r w:rsidR="00271E32">
        <w:t>begin that</w:t>
      </w:r>
      <w:r w:rsidR="00762DE7">
        <w:t xml:space="preserve"> </w:t>
      </w:r>
      <w:r w:rsidR="005A729F">
        <w:t xml:space="preserve">acquisition </w:t>
      </w:r>
      <w:r w:rsidR="00B50677">
        <w:t xml:space="preserve">process until a substantial </w:t>
      </w:r>
      <w:r w:rsidR="0020528A">
        <w:t>portion o</w:t>
      </w:r>
      <w:r w:rsidR="0034140C">
        <w:t>f the construction period</w:t>
      </w:r>
      <w:r w:rsidR="008B2E6B">
        <w:t xml:space="preserve"> had already</w:t>
      </w:r>
      <w:r w:rsidR="00954BF3">
        <w:t xml:space="preserve"> </w:t>
      </w:r>
      <w:r w:rsidR="00B50677">
        <w:t>elapsed.</w:t>
      </w:r>
      <w:r w:rsidR="00D14F0F">
        <w:t xml:space="preserve"> </w:t>
      </w:r>
      <w:r w:rsidR="00A92BFE" w:rsidRPr="00D14F0F">
        <w:t> </w:t>
      </w:r>
      <w:r w:rsidR="00271E32">
        <w:t>We observe, additionally, th</w:t>
      </w:r>
      <w:r w:rsidR="00F13341">
        <w:t xml:space="preserve">at </w:t>
      </w:r>
      <w:r w:rsidR="0030696E">
        <w:t xml:space="preserve">we would expect </w:t>
      </w:r>
      <w:r w:rsidR="005A729F">
        <w:t xml:space="preserve">a </w:t>
      </w:r>
      <w:r w:rsidR="00F13341">
        <w:t xml:space="preserve">prudent permittee </w:t>
      </w:r>
      <w:r w:rsidR="003A055D">
        <w:t>that</w:t>
      </w:r>
      <w:r w:rsidR="0030696E">
        <w:t xml:space="preserve"> knows it is subject to an </w:t>
      </w:r>
      <w:r w:rsidR="005A729F">
        <w:t>external acquisition/bidding process</w:t>
      </w:r>
      <w:r w:rsidR="00C06EFE">
        <w:t xml:space="preserve"> </w:t>
      </w:r>
      <w:r w:rsidR="003A055D">
        <w:t>requiring</w:t>
      </w:r>
      <w:r w:rsidR="00C06EFE">
        <w:t xml:space="preserve"> more time and coordination </w:t>
      </w:r>
      <w:r w:rsidR="0030696E">
        <w:t xml:space="preserve">than </w:t>
      </w:r>
      <w:r w:rsidR="00C06EFE">
        <w:t xml:space="preserve">a </w:t>
      </w:r>
      <w:r w:rsidR="0030696E">
        <w:t>direct purchase</w:t>
      </w:r>
      <w:r w:rsidR="005A729F">
        <w:t xml:space="preserve">, </w:t>
      </w:r>
      <w:r w:rsidR="0030696E">
        <w:t>to</w:t>
      </w:r>
      <w:r w:rsidR="00F23DDD">
        <w:t xml:space="preserve"> </w:t>
      </w:r>
      <w:r w:rsidR="00C06EFE">
        <w:t>compensate</w:t>
      </w:r>
      <w:r w:rsidR="005A729F">
        <w:t xml:space="preserve"> </w:t>
      </w:r>
      <w:r w:rsidR="00F23DDD">
        <w:t>by taking st</w:t>
      </w:r>
      <w:r w:rsidR="00271E32">
        <w:t xml:space="preserve">eps </w:t>
      </w:r>
      <w:r w:rsidR="00511618">
        <w:t xml:space="preserve">within its control </w:t>
      </w:r>
      <w:r w:rsidR="00F23DDD">
        <w:t>to initiate</w:t>
      </w:r>
      <w:r w:rsidR="00F13341">
        <w:t xml:space="preserve"> the process early in the construction period.</w:t>
      </w:r>
      <w:r w:rsidR="00C06EFE">
        <w:t xml:space="preserve">  The existence of an economic recession during the permit’s early years is not a </w:t>
      </w:r>
      <w:r w:rsidR="00691B12">
        <w:t xml:space="preserve">sufficient </w:t>
      </w:r>
      <w:r w:rsidR="00C06EFE">
        <w:t xml:space="preserve">basis for </w:t>
      </w:r>
      <w:r w:rsidR="008B2E6B">
        <w:t xml:space="preserve">its </w:t>
      </w:r>
      <w:r w:rsidR="00C06EFE">
        <w:t xml:space="preserve">failure to </w:t>
      </w:r>
      <w:r w:rsidR="008B2E6B">
        <w:t>have done</w:t>
      </w:r>
      <w:r w:rsidR="00DA6C4F">
        <w:t xml:space="preserve"> </w:t>
      </w:r>
      <w:r w:rsidR="00C06EFE">
        <w:t>so.</w:t>
      </w:r>
    </w:p>
    <w:p w:rsidR="00A004F7" w:rsidRPr="00032FC4" w:rsidRDefault="00A004F7" w:rsidP="00EC72BA">
      <w:pPr>
        <w:pStyle w:val="ParaNum"/>
        <w:widowControl/>
      </w:pPr>
      <w:r>
        <w:t>ACCORDINGLY, IT IS ORDERED that</w:t>
      </w:r>
      <w:r w:rsidR="00C74C64">
        <w:t xml:space="preserve">: (1) the Application for Review of Craven Community College </w:t>
      </w:r>
      <w:r w:rsidR="004A2BF6">
        <w:t>IS DENIED</w:t>
      </w:r>
      <w:r w:rsidR="00C74C64">
        <w:t>, pursuant to</w:t>
      </w:r>
      <w:r>
        <w:t xml:space="preserve"> </w:t>
      </w:r>
      <w:r w:rsidR="00C74C64">
        <w:t>section 5(c)(5) of the Communications Act of 1934, as amended, 47 U.S.C. § 155(c)(5), and section 1.115(g) of the Commission’s rules</w:t>
      </w:r>
      <w:r w:rsidR="00E3154C">
        <w:t>, 47 C.F.R. § 1.115(g).</w:t>
      </w:r>
    </w:p>
    <w:p w:rsidR="00A004F7" w:rsidRPr="006358C3" w:rsidRDefault="00A004F7" w:rsidP="00A004F7">
      <w:r w:rsidRPr="006358C3">
        <w:tab/>
      </w:r>
      <w:r w:rsidRPr="006358C3">
        <w:tab/>
      </w:r>
      <w:r w:rsidRPr="006358C3">
        <w:tab/>
      </w:r>
      <w:r w:rsidRPr="006358C3">
        <w:tab/>
      </w:r>
      <w:r w:rsidRPr="006358C3">
        <w:tab/>
      </w:r>
      <w:r w:rsidRPr="006358C3">
        <w:tab/>
        <w:t>FEDERAL COMMUNICATIONS COMMISSION</w:t>
      </w:r>
    </w:p>
    <w:p w:rsidR="00A004F7" w:rsidRDefault="00A004F7" w:rsidP="00A004F7"/>
    <w:p w:rsidR="00A004F7" w:rsidRDefault="00A004F7" w:rsidP="00A004F7"/>
    <w:p w:rsidR="00A004F7" w:rsidRDefault="00A004F7" w:rsidP="00A004F7"/>
    <w:p w:rsidR="00A004F7" w:rsidRPr="006358C3" w:rsidRDefault="00A004F7" w:rsidP="00A004F7"/>
    <w:p w:rsidR="00A004F7" w:rsidRPr="006358C3" w:rsidRDefault="00A004F7" w:rsidP="00A004F7">
      <w:r>
        <w:t xml:space="preserve"> </w:t>
      </w:r>
      <w:r>
        <w:tab/>
      </w:r>
      <w:r>
        <w:tab/>
      </w:r>
      <w:r>
        <w:tab/>
      </w:r>
      <w:r>
        <w:tab/>
      </w:r>
      <w:r>
        <w:tab/>
      </w:r>
      <w:r>
        <w:tab/>
      </w:r>
      <w:r w:rsidRPr="006358C3">
        <w:t>Marlene H. Dortch</w:t>
      </w:r>
    </w:p>
    <w:p w:rsidR="002C00E8" w:rsidRPr="002C00E8" w:rsidRDefault="00A004F7" w:rsidP="00BB383A">
      <w:r>
        <w:t xml:space="preserve"> </w:t>
      </w:r>
      <w:r>
        <w:tab/>
      </w:r>
      <w:r>
        <w:tab/>
      </w:r>
      <w:r>
        <w:tab/>
      </w:r>
      <w:r>
        <w:tab/>
      </w:r>
      <w:r>
        <w:tab/>
      </w:r>
      <w:r>
        <w:tab/>
      </w:r>
      <w:r w:rsidRPr="006358C3">
        <w:t>Secretary</w:t>
      </w:r>
    </w:p>
    <w:sectPr w:rsidR="002C00E8" w:rsidRPr="002C00E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97" w:rsidRDefault="003A2197">
      <w:pPr>
        <w:spacing w:line="20" w:lineRule="exact"/>
      </w:pPr>
    </w:p>
  </w:endnote>
  <w:endnote w:type="continuationSeparator" w:id="0">
    <w:p w:rsidR="003A2197" w:rsidRDefault="003A2197">
      <w:r>
        <w:t xml:space="preserve"> </w:t>
      </w:r>
    </w:p>
  </w:endnote>
  <w:endnote w:type="continuationNotice" w:id="1">
    <w:p w:rsidR="003A2197" w:rsidRDefault="003A21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AA" w:rsidRDefault="00D449AA" w:rsidP="0055614C">
    <w:pPr>
      <w:pStyle w:val="Footer"/>
      <w:framePr w:wrap="around" w:vAnchor="text" w:hAnchor="margin" w:xAlign="center" w:y="1"/>
    </w:pPr>
    <w:r>
      <w:fldChar w:fldCharType="begin"/>
    </w:r>
    <w:r>
      <w:instrText xml:space="preserve">PAGE  </w:instrText>
    </w:r>
    <w:r>
      <w:fldChar w:fldCharType="end"/>
    </w:r>
  </w:p>
  <w:p w:rsidR="00D449AA" w:rsidRDefault="00D44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AA" w:rsidRDefault="00D449AA" w:rsidP="0055614C">
    <w:pPr>
      <w:pStyle w:val="Footer"/>
      <w:framePr w:wrap="around" w:vAnchor="text" w:hAnchor="margin" w:xAlign="center" w:y="1"/>
    </w:pPr>
    <w:r>
      <w:fldChar w:fldCharType="begin"/>
    </w:r>
    <w:r>
      <w:instrText xml:space="preserve">PAGE  </w:instrText>
    </w:r>
    <w:r>
      <w:fldChar w:fldCharType="separate"/>
    </w:r>
    <w:r w:rsidR="00A72EE7">
      <w:rPr>
        <w:noProof/>
      </w:rPr>
      <w:t>2</w:t>
    </w:r>
    <w:r>
      <w:rPr>
        <w:noProof/>
      </w:rPr>
      <w:fldChar w:fldCharType="end"/>
    </w:r>
  </w:p>
  <w:p w:rsidR="00D449AA" w:rsidRDefault="00D449A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AA" w:rsidRDefault="00D449A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97" w:rsidRDefault="003A2197">
      <w:r>
        <w:separator/>
      </w:r>
    </w:p>
  </w:footnote>
  <w:footnote w:type="continuationSeparator" w:id="0">
    <w:p w:rsidR="003A2197" w:rsidRDefault="003A2197" w:rsidP="00C721AC">
      <w:pPr>
        <w:spacing w:before="120"/>
        <w:rPr>
          <w:sz w:val="20"/>
        </w:rPr>
      </w:pPr>
      <w:r>
        <w:rPr>
          <w:sz w:val="20"/>
        </w:rPr>
        <w:t xml:space="preserve">(Continued from previous page)  </w:t>
      </w:r>
      <w:r>
        <w:rPr>
          <w:sz w:val="20"/>
        </w:rPr>
        <w:separator/>
      </w:r>
    </w:p>
  </w:footnote>
  <w:footnote w:type="continuationNotice" w:id="1">
    <w:p w:rsidR="003A2197" w:rsidRDefault="003A2197" w:rsidP="00C721AC">
      <w:pPr>
        <w:jc w:val="right"/>
        <w:rPr>
          <w:sz w:val="20"/>
        </w:rPr>
      </w:pPr>
      <w:r>
        <w:rPr>
          <w:sz w:val="20"/>
        </w:rPr>
        <w:t>(continued….)</w:t>
      </w:r>
    </w:p>
  </w:footnote>
  <w:footnote w:id="2">
    <w:p w:rsidR="00D449AA" w:rsidRDefault="00D449AA" w:rsidP="00EF6D72">
      <w:pPr>
        <w:pStyle w:val="FootnoteText"/>
      </w:pPr>
      <w:r>
        <w:rPr>
          <w:rStyle w:val="FootnoteReference"/>
        </w:rPr>
        <w:footnoteRef/>
      </w:r>
      <w:r>
        <w:t xml:space="preserve"> File No. BPED-20070906AFE (“WZNB Permit”).</w:t>
      </w:r>
    </w:p>
  </w:footnote>
  <w:footnote w:id="3">
    <w:p w:rsidR="00D449AA" w:rsidRDefault="00D449AA" w:rsidP="00623356">
      <w:pPr>
        <w:pStyle w:val="FootnoteText"/>
      </w:pPr>
      <w:r>
        <w:rPr>
          <w:rStyle w:val="FootnoteReference"/>
        </w:rPr>
        <w:footnoteRef/>
      </w:r>
      <w:r>
        <w:t xml:space="preserve"> File No. BPED-</w:t>
      </w:r>
      <w:r>
        <w:rPr>
          <w:spacing w:val="-3"/>
          <w:szCs w:val="22"/>
        </w:rPr>
        <w:t xml:space="preserve">20110211AAK (“CPA Application”).  </w:t>
      </w:r>
      <w:r>
        <w:t xml:space="preserve">CPA sought to modify the licensed facilities of WGHW(FM), Lockwoods Folly Town, North Carolina.  </w:t>
      </w:r>
      <w:r w:rsidR="00A629BE" w:rsidRPr="00B05000">
        <w:t xml:space="preserve">WGHW and WZNB operate on second-adjacent channels in the same general area.  In this case grant of one of the modification applications would preclude grant of the other. </w:t>
      </w:r>
    </w:p>
  </w:footnote>
  <w:footnote w:id="4">
    <w:p w:rsidR="00D449AA" w:rsidRDefault="00D449AA" w:rsidP="009642B4">
      <w:pPr>
        <w:pStyle w:val="FootnoteText"/>
      </w:pPr>
      <w:r>
        <w:rPr>
          <w:rStyle w:val="FootnoteReference"/>
        </w:rPr>
        <w:footnoteRef/>
      </w:r>
      <w:r>
        <w:t xml:space="preserve"> </w:t>
      </w:r>
      <w:r>
        <w:rPr>
          <w:i/>
        </w:rPr>
        <w:t xml:space="preserve">See Harry F. Cole, Esq., </w:t>
      </w:r>
      <w:r w:rsidRPr="001A717F">
        <w:t xml:space="preserve">Letter, </w:t>
      </w:r>
      <w:r>
        <w:t>Ref. No. 1800B3-TSN (MB Dec. 12, 2012)</w:t>
      </w:r>
      <w:r w:rsidRPr="001A717F">
        <w:t xml:space="preserve"> (“</w:t>
      </w:r>
      <w:r>
        <w:rPr>
          <w:i/>
        </w:rPr>
        <w:t>December Decision</w:t>
      </w:r>
      <w:r w:rsidRPr="001A717F">
        <w:t>”).</w:t>
      </w:r>
      <w:r>
        <w:t xml:space="preserve">  </w:t>
      </w:r>
      <w:r>
        <w:rPr>
          <w:i/>
        </w:rPr>
        <w:t xml:space="preserve">Harry F. Cole, Esq., </w:t>
      </w:r>
      <w:r w:rsidRPr="001A717F">
        <w:t xml:space="preserve">Letter, </w:t>
      </w:r>
      <w:r>
        <w:t>Ref. No. 1800B3-TSN (MB May 18, 2012)</w:t>
      </w:r>
      <w:r w:rsidRPr="001A717F">
        <w:t xml:space="preserve"> (“</w:t>
      </w:r>
      <w:r>
        <w:rPr>
          <w:i/>
        </w:rPr>
        <w:t>May Decision</w:t>
      </w:r>
      <w:r w:rsidRPr="001A717F">
        <w:t>”).</w:t>
      </w:r>
      <w:r>
        <w:t xml:space="preserve">  </w:t>
      </w:r>
    </w:p>
  </w:footnote>
  <w:footnote w:id="5">
    <w:p w:rsidR="00D449AA" w:rsidRPr="000D5640" w:rsidRDefault="00D449AA" w:rsidP="00D67123">
      <w:pPr>
        <w:pStyle w:val="FootnoteText"/>
      </w:pPr>
      <w:r>
        <w:rPr>
          <w:rStyle w:val="FootnoteReference"/>
        </w:rPr>
        <w:footnoteRef/>
      </w:r>
      <w:r>
        <w:t xml:space="preserve"> The Communications Act of 1934, as amended, provides for automatic forfeiture of construction permits unless construction was “prevented by causes not under the control of” the permittee.  </w:t>
      </w:r>
      <w:r>
        <w:rPr>
          <w:i/>
        </w:rPr>
        <w:t>See</w:t>
      </w:r>
      <w:r>
        <w:t xml:space="preserve"> 47 U.S.C § 319(b).  The Commission’s rules provide specific grounds and procedures for obtaining tolling of the construction deadline and it will also entertain waiver requests in other “rare and exceptional circumstances beyond the permittee’s control.”  </w:t>
      </w:r>
      <w:r>
        <w:rPr>
          <w:i/>
        </w:rPr>
        <w:t xml:space="preserve">See </w:t>
      </w:r>
      <w:r>
        <w:t xml:space="preserve">47 C.F.R. § 73.3598(b).  </w:t>
      </w:r>
      <w:r>
        <w:rPr>
          <w:i/>
        </w:rPr>
        <w:t xml:space="preserve">Streamlining of Mass Media Applications, Rules, and Processes, </w:t>
      </w:r>
      <w:r>
        <w:t>Memorandum Opinion and Order, 14 FCC Rcd 17525, 17541 (1999) (</w:t>
      </w:r>
      <w:r>
        <w:rPr>
          <w:i/>
        </w:rPr>
        <w:t>“Streamlining</w:t>
      </w:r>
      <w:r>
        <w:t xml:space="preserve">”).  The Bureau had no record of receiving a tolling notification that Craven filed with the Office of the Secretary, rejected Craven’s contention that it was entitled to assume that the construction period had been tolled absent any advice to the contrary, and observed that Craven relied on economic circumstances which would not have justified tolling or waiver for WZNB.  </w:t>
      </w:r>
      <w:r>
        <w:rPr>
          <w:i/>
        </w:rPr>
        <w:t xml:space="preserve">See May Decision </w:t>
      </w:r>
      <w:r>
        <w:t xml:space="preserve">at 4-5.  With respect to WGHW, however, the Bureau received and granted CPA’s request for tolling based on administrative review of the matters raised by Craven.  </w:t>
      </w:r>
      <w:r>
        <w:rPr>
          <w:i/>
        </w:rPr>
        <w:t xml:space="preserve">See </w:t>
      </w:r>
      <w:r>
        <w:t>47 C.F.R. § 73.3598(b)(2).</w:t>
      </w:r>
    </w:p>
  </w:footnote>
  <w:footnote w:id="6">
    <w:p w:rsidR="00F02EE7" w:rsidRDefault="00F02EE7" w:rsidP="00F02EE7">
      <w:pPr>
        <w:pStyle w:val="FootnoteText"/>
      </w:pPr>
      <w:r>
        <w:rPr>
          <w:rStyle w:val="FootnoteReference"/>
        </w:rPr>
        <w:footnoteRef/>
      </w:r>
      <w:r>
        <w:t xml:space="preserve">  As Craven notes in note 1 of its Application for Review, its second petition sought reconsideration of the Bureau’s determination, first made in the </w:t>
      </w:r>
      <w:r w:rsidRPr="006501ED">
        <w:rPr>
          <w:i/>
        </w:rPr>
        <w:t>May Decision</w:t>
      </w:r>
      <w:r>
        <w:rPr>
          <w:i/>
        </w:rPr>
        <w:t>,</w:t>
      </w:r>
      <w:r>
        <w:t xml:space="preserve"> that Craven’s tolling request was not meritorious and the permit had accordingly expired. As such, it was not until after the </w:t>
      </w:r>
      <w:r w:rsidRPr="006501ED">
        <w:rPr>
          <w:i/>
        </w:rPr>
        <w:t>May Decision</w:t>
      </w:r>
      <w:r>
        <w:t>, of which Craven sought reconsideration in the second petition, that C</w:t>
      </w:r>
      <w:r w:rsidR="00255A92">
        <w:t xml:space="preserve">raven could contest that ruling, </w:t>
      </w:r>
      <w:r w:rsidR="00255A92" w:rsidRPr="00254CDD">
        <w:t>making t</w:t>
      </w:r>
      <w:r w:rsidRPr="00254CDD">
        <w:t xml:space="preserve">he second petition the first opportunity Craven had to </w:t>
      </w:r>
      <w:r w:rsidR="00255A92" w:rsidRPr="00254CDD">
        <w:t>do so</w:t>
      </w:r>
      <w:r w:rsidRPr="00254CDD">
        <w:t>.  However, because we affirm the Bureau’s ultimate</w:t>
      </w:r>
      <w:r>
        <w:t xml:space="preserve"> substantive rulings here denying the arguments contained in the second petition, the Bureau’s error is harmless. </w:t>
      </w:r>
    </w:p>
  </w:footnote>
  <w:footnote w:id="7">
    <w:p w:rsidR="00D449AA" w:rsidRPr="00B90D6B" w:rsidRDefault="00D449AA" w:rsidP="00D449AA">
      <w:pPr>
        <w:pStyle w:val="FootnoteText"/>
      </w:pPr>
      <w:r>
        <w:rPr>
          <w:rStyle w:val="FootnoteReference"/>
        </w:rPr>
        <w:footnoteRef/>
      </w:r>
      <w:r>
        <w:t xml:space="preserve"> Additionally, t</w:t>
      </w:r>
      <w:r w:rsidRPr="00D449AA">
        <w:t>he staff properly found that the mere filing of a tolling notification is not, absent favorable staff action, sufficient to achieve tolling status.</w:t>
      </w:r>
      <w:r>
        <w:t xml:space="preserve">  </w:t>
      </w:r>
      <w:r>
        <w:rPr>
          <w:i/>
        </w:rPr>
        <w:t xml:space="preserve">See May Decision </w:t>
      </w:r>
      <w:r>
        <w:t>at 5.  Nor, as Craven argues</w:t>
      </w:r>
      <w:r w:rsidR="00D73001">
        <w:t>,</w:t>
      </w:r>
      <w:r>
        <w:t xml:space="preserve"> is the expiring permittee entitled to “advisories” of the upcoming expiration.  The expiration date printed on the construction permit is</w:t>
      </w:r>
      <w:r w:rsidR="00145BCA">
        <w:t xml:space="preserve"> sufficient notice</w:t>
      </w:r>
      <w:r>
        <w:t>.</w:t>
      </w:r>
      <w:r w:rsidR="00145BCA">
        <w:t xml:space="preserve">  To the extent that Craven argues that the Bureau should hav</w:t>
      </w:r>
      <w:r w:rsidR="00F53980">
        <w:t>e acted upon its tolling notification</w:t>
      </w:r>
      <w:r w:rsidR="004B5D5B">
        <w:t xml:space="preserve">, </w:t>
      </w:r>
      <w:r w:rsidR="00145BCA">
        <w:t xml:space="preserve"> </w:t>
      </w:r>
      <w:r w:rsidR="00040B4C">
        <w:t xml:space="preserve">and notified it of denial </w:t>
      </w:r>
      <w:r w:rsidR="00145BCA">
        <w:t xml:space="preserve">prior to expiration, the Bureau had not received </w:t>
      </w:r>
      <w:r w:rsidR="00F53980">
        <w:t>that filing</w:t>
      </w:r>
      <w:r w:rsidR="00145BCA">
        <w:t xml:space="preserve"> and, as the Bureau noted, Craven did not follow up to inquire of its status.</w:t>
      </w:r>
      <w:r w:rsidR="00D73001">
        <w:t xml:space="preserve">  Absent information to the contrary, Craven</w:t>
      </w:r>
      <w:r w:rsidR="00537545">
        <w:t xml:space="preserve">’s </w:t>
      </w:r>
      <w:r w:rsidR="004B5D5B">
        <w:t xml:space="preserve">claimed </w:t>
      </w:r>
      <w:r w:rsidR="00537545">
        <w:t xml:space="preserve">belief that the </w:t>
      </w:r>
      <w:r w:rsidR="00965FB3">
        <w:t xml:space="preserve">Bureau had tolled the </w:t>
      </w:r>
      <w:r w:rsidR="00537545">
        <w:t>WZNB Permit was wholly unfounded</w:t>
      </w:r>
      <w:r w:rsidR="00D73001">
        <w:t>.</w:t>
      </w:r>
      <w:r w:rsidR="004B5D5B">
        <w:t xml:space="preserve"> </w:t>
      </w:r>
      <w:r w:rsidR="00DA6C4F">
        <w:t xml:space="preserve"> </w:t>
      </w:r>
      <w:r w:rsidR="004B541B">
        <w:t xml:space="preserve">Section 73.3598(b) provides that a permit “shall toll when construction is prevented by the [certain outlined] causes not under control of the permittee,” not with the filing of a tolling notification relying on none of those, events as Craven claims.  </w:t>
      </w:r>
      <w:r w:rsidR="004B5D5B">
        <w:t xml:space="preserve">A permittee </w:t>
      </w:r>
      <w:r w:rsidR="00DA6C4F">
        <w:t>cannot</w:t>
      </w:r>
      <w:r w:rsidR="004B5D5B">
        <w:t xml:space="preserve"> avoid the consequences of its failure to diligently construct by filing a meritless tolling notification on the eve of its </w:t>
      </w:r>
      <w:r w:rsidR="00DA6C4F">
        <w:t xml:space="preserve">construction </w:t>
      </w:r>
      <w:r w:rsidR="004B5D5B">
        <w:t xml:space="preserve">deadline and then </w:t>
      </w:r>
      <w:r w:rsidR="00DA6C4F">
        <w:t>fail to construct until</w:t>
      </w:r>
      <w:r w:rsidR="004B5D5B">
        <w:t xml:space="preserve"> staff advise</w:t>
      </w:r>
      <w:r w:rsidR="00DA6C4F">
        <w:t>s</w:t>
      </w:r>
      <w:r w:rsidR="004B5D5B">
        <w:t xml:space="preserve"> it that its </w:t>
      </w:r>
      <w:r w:rsidR="00DA6C4F">
        <w:t>notification has been rejected.</w:t>
      </w:r>
    </w:p>
  </w:footnote>
  <w:footnote w:id="8">
    <w:p w:rsidR="00D449AA" w:rsidRPr="00E00FDE" w:rsidRDefault="00D449AA">
      <w:pPr>
        <w:pStyle w:val="FootnoteText"/>
        <w:rPr>
          <w:i/>
        </w:rPr>
      </w:pPr>
      <w:r>
        <w:rPr>
          <w:rStyle w:val="FootnoteReference"/>
        </w:rPr>
        <w:footnoteRef/>
      </w:r>
      <w:r>
        <w:t xml:space="preserve"> </w:t>
      </w:r>
      <w:r>
        <w:rPr>
          <w:i/>
        </w:rPr>
        <w:t xml:space="preserve">See </w:t>
      </w:r>
      <w:r>
        <w:t xml:space="preserve">Tolling Request at 1-2.  With respect to the antenna, Craven stated that: (1) it could not, as a government institution, order an antenna directly, but needed officials in the state’s capital to initiate a bidding process; (2) bids received did not meet required specifications; (3) a company which Craven expected to submit a compliant bid missed the bidding deadline; and (4) state officials did not initiate a re-bidding process in time to place an order before the college closed for the Christmas holiday.  </w:t>
      </w:r>
      <w:r>
        <w:rPr>
          <w:i/>
        </w:rPr>
        <w:t>Id.</w:t>
      </w:r>
    </w:p>
  </w:footnote>
  <w:footnote w:id="9">
    <w:p w:rsidR="00D449AA" w:rsidRPr="00DC5A7C" w:rsidRDefault="00D449AA">
      <w:pPr>
        <w:pStyle w:val="FootnoteText"/>
      </w:pPr>
      <w:r>
        <w:rPr>
          <w:rStyle w:val="FootnoteReference"/>
        </w:rPr>
        <w:footnoteRef/>
      </w:r>
      <w:r>
        <w:t xml:space="preserve">  </w:t>
      </w:r>
      <w:r>
        <w:rPr>
          <w:i/>
        </w:rPr>
        <w:t xml:space="preserve">See </w:t>
      </w:r>
      <w:r>
        <w:t xml:space="preserve">47 C.F.R. § 73.3598(b); </w:t>
      </w:r>
      <w:r>
        <w:rPr>
          <w:i/>
        </w:rPr>
        <w:t xml:space="preserve">Streamlining, </w:t>
      </w:r>
      <w:r>
        <w:t xml:space="preserve">14 FCC Rcd at </w:t>
      </w:r>
      <w:r w:rsidRPr="00E2702A">
        <w:rPr>
          <w:snapToGrid w:val="0"/>
        </w:rPr>
        <w:t>17541</w:t>
      </w:r>
      <w:r w:rsidR="004008C1" w:rsidRPr="00E2702A">
        <w:rPr>
          <w:snapToGrid w:val="0"/>
        </w:rPr>
        <w:t xml:space="preserve"> </w:t>
      </w:r>
      <w:r w:rsidR="004008C1">
        <w:rPr>
          <w:snapToGrid w:val="0"/>
        </w:rPr>
        <w:t>(“rare and exceptional circumstances” beyond those specified in Section 73.3598(b) to justify tolling may warrant waiver of construction deadline)</w:t>
      </w:r>
      <w:r>
        <w:t xml:space="preserve">. </w:t>
      </w:r>
    </w:p>
  </w:footnote>
  <w:footnote w:id="10">
    <w:p w:rsidR="00D449AA" w:rsidRPr="00245354" w:rsidRDefault="00D449AA">
      <w:pPr>
        <w:pStyle w:val="FootnoteText"/>
      </w:pPr>
      <w:r>
        <w:rPr>
          <w:rStyle w:val="FootnoteReference"/>
        </w:rPr>
        <w:footnoteRef/>
      </w:r>
      <w:r>
        <w:t xml:space="preserve">  </w:t>
      </w:r>
      <w:r>
        <w:rPr>
          <w:i/>
        </w:rPr>
        <w:t xml:space="preserve">See May Decision </w:t>
      </w:r>
      <w:r>
        <w:t>at 4</w:t>
      </w:r>
      <w:r>
        <w:rPr>
          <w:i/>
        </w:rPr>
        <w:t xml:space="preserve">, </w:t>
      </w:r>
      <w:r>
        <w:t xml:space="preserve">citing 47 C.F.R. § 1.65(a); </w:t>
      </w:r>
      <w:r>
        <w:rPr>
          <w:i/>
        </w:rPr>
        <w:t xml:space="preserve">Texas Grace Communications, </w:t>
      </w:r>
      <w:r>
        <w:t xml:space="preserve">Memorandum Opinion and Order, 16 FCC Rcd 19167, 19173 (2001); </w:t>
      </w:r>
      <w:r>
        <w:rPr>
          <w:i/>
        </w:rPr>
        <w:t xml:space="preserve">Frederick Gauther De Castro, </w:t>
      </w:r>
      <w:r>
        <w:t>Letter, 22 FCC Rcd 5401 (MB 2007).</w:t>
      </w:r>
    </w:p>
  </w:footnote>
  <w:footnote w:id="11">
    <w:p w:rsidR="00D449AA" w:rsidRPr="0003707C" w:rsidRDefault="00D449AA">
      <w:pPr>
        <w:pStyle w:val="FootnoteText"/>
      </w:pPr>
      <w:r>
        <w:rPr>
          <w:rStyle w:val="FootnoteReference"/>
        </w:rPr>
        <w:footnoteRef/>
      </w:r>
      <w:r>
        <w:t xml:space="preserve"> </w:t>
      </w:r>
      <w:r>
        <w:rPr>
          <w:i/>
        </w:rPr>
        <w:t xml:space="preserve">Koor Communications, Inc., </w:t>
      </w:r>
      <w:r>
        <w:t>Letter, 23 FCC Rcd 13246, 13249-50 (MB 2008) (“</w:t>
      </w:r>
      <w:r>
        <w:rPr>
          <w:i/>
        </w:rPr>
        <w:t>Koor</w:t>
      </w:r>
      <w:r>
        <w:t>”).</w:t>
      </w:r>
    </w:p>
  </w:footnote>
  <w:footnote w:id="12">
    <w:p w:rsidR="00D449AA" w:rsidRPr="007671BA" w:rsidRDefault="00D449AA">
      <w:pPr>
        <w:pStyle w:val="FootnoteText"/>
      </w:pPr>
      <w:r>
        <w:rPr>
          <w:rStyle w:val="FootnoteReference"/>
        </w:rPr>
        <w:footnoteRef/>
      </w:r>
      <w:r>
        <w:t xml:space="preserve"> </w:t>
      </w:r>
      <w:r>
        <w:rPr>
          <w:i/>
        </w:rPr>
        <w:t xml:space="preserve">Id. </w:t>
      </w:r>
      <w:r w:rsidR="00D469DE">
        <w:t xml:space="preserve">at 13249, citing </w:t>
      </w:r>
      <w:r w:rsidR="00D469DE" w:rsidRPr="00833110">
        <w:rPr>
          <w:i/>
        </w:rPr>
        <w:t>Streamlining</w:t>
      </w:r>
      <w:r w:rsidR="00D469DE" w:rsidRPr="00D469DE">
        <w:t>, 14 FCC Rcd at 17539</w:t>
      </w:r>
      <w:r>
        <w:t>.</w:t>
      </w:r>
    </w:p>
  </w:footnote>
  <w:footnote w:id="13">
    <w:p w:rsidR="00FF40D1" w:rsidRPr="00FF40D1" w:rsidRDefault="00FF40D1">
      <w:pPr>
        <w:pStyle w:val="FootnoteText"/>
      </w:pPr>
      <w:r>
        <w:rPr>
          <w:rStyle w:val="FootnoteReference"/>
        </w:rPr>
        <w:footnoteRef/>
      </w:r>
      <w:r>
        <w:t xml:space="preserve"> Application for Review at 6 - 7, citing </w:t>
      </w:r>
      <w:r>
        <w:rPr>
          <w:i/>
        </w:rPr>
        <w:t>Lauren A. Colby</w:t>
      </w:r>
      <w:r w:rsidRPr="00833110">
        <w:t xml:space="preserve">, </w:t>
      </w:r>
      <w:r w:rsidR="00D73001" w:rsidRPr="00833110">
        <w:t>Letter,</w:t>
      </w:r>
      <w:r w:rsidR="00D73001">
        <w:rPr>
          <w:i/>
        </w:rPr>
        <w:t xml:space="preserve"> </w:t>
      </w:r>
      <w:r>
        <w:t>21 FCC Rcd 1260 (MB 2006).</w:t>
      </w:r>
    </w:p>
  </w:footnote>
  <w:footnote w:id="14">
    <w:p w:rsidR="00D449AA" w:rsidRDefault="00D449AA">
      <w:pPr>
        <w:pStyle w:val="FootnoteText"/>
      </w:pPr>
      <w:r>
        <w:rPr>
          <w:rStyle w:val="FootnoteReference"/>
        </w:rPr>
        <w:footnoteRef/>
      </w:r>
      <w:r>
        <w:t xml:space="preserve"> </w:t>
      </w:r>
      <w:r w:rsidR="00965FB3" w:rsidRPr="00A92BFE">
        <w:rPr>
          <w:i/>
          <w:iCs/>
        </w:rPr>
        <w:t>See </w:t>
      </w:r>
      <w:hyperlink r:id="rId1" w:tgtFrame="_top" w:history="1">
        <w:r w:rsidR="00965FB3">
          <w:rPr>
            <w:rStyle w:val="Hyperlink"/>
            <w:i/>
            <w:iCs/>
            <w:color w:val="auto"/>
            <w:u w:val="none"/>
          </w:rPr>
          <w:t>Streamlining</w:t>
        </w:r>
        <w:r w:rsidR="00965FB3" w:rsidRPr="00D14F0F">
          <w:rPr>
            <w:rStyle w:val="Hyperlink"/>
            <w:i/>
            <w:iCs/>
            <w:color w:val="auto"/>
            <w:u w:val="none"/>
          </w:rPr>
          <w:t>,</w:t>
        </w:r>
        <w:r w:rsidR="00965FB3" w:rsidRPr="00D14F0F">
          <w:rPr>
            <w:rStyle w:val="Hyperlink"/>
            <w:color w:val="auto"/>
            <w:u w:val="none"/>
          </w:rPr>
          <w:t> 14 FCC Rcd at 17539</w:t>
        </w:r>
        <w:r w:rsidR="00965FB3">
          <w:rPr>
            <w:rStyle w:val="Hyperlink"/>
            <w:color w:val="auto"/>
            <w:u w:val="none"/>
          </w:rPr>
          <w:t xml:space="preserve">-40; </w:t>
        </w:r>
        <w:r w:rsidR="00965FB3">
          <w:rPr>
            <w:rStyle w:val="Hyperlink"/>
            <w:i/>
            <w:color w:val="auto"/>
            <w:u w:val="none"/>
          </w:rPr>
          <w:t xml:space="preserve">Wendell &amp; Associates, </w:t>
        </w:r>
        <w:r w:rsidR="00965FB3">
          <w:rPr>
            <w:rStyle w:val="Hyperlink"/>
            <w:color w:val="auto"/>
            <w:u w:val="none"/>
          </w:rPr>
          <w:t>Memorandum Opinion and Order, 17 FCC Rcd 18576 at 18580-81 (2002) (where permittee alleged that its inability to design and order an antenna was due to loss of a contractor for reasons beyond its control, the Commission looked beyond the alleged reason for the loss and determined that failure to construct was attributable instead to permittee’s failure to take diligent actions)</w:t>
        </w:r>
        <w:r w:rsidR="00965FB3" w:rsidRPr="00D14F0F">
          <w:rPr>
            <w:rStyle w:val="Hyperlink"/>
            <w:color w:val="auto"/>
            <w:u w:val="none"/>
          </w:rPr>
          <w:t>.</w:t>
        </w:r>
      </w:hyperlink>
      <w:r w:rsidR="00965FB3">
        <w:t xml:space="preserve"> </w:t>
      </w:r>
      <w:r w:rsidR="00340DF5">
        <w:t>Craven’</w:t>
      </w:r>
      <w:r w:rsidR="00B24211">
        <w:t>s antenna delay</w:t>
      </w:r>
      <w:r w:rsidR="00340DF5">
        <w:t xml:space="preserve"> is comparable to </w:t>
      </w:r>
      <w:r w:rsidR="00B24211">
        <w:t xml:space="preserve">delays experienced by </w:t>
      </w:r>
      <w:r w:rsidR="006F5B78">
        <w:t>p</w:t>
      </w:r>
      <w:r w:rsidR="00340DF5">
        <w:t>ermittee</w:t>
      </w:r>
      <w:r w:rsidR="006F5B78">
        <w:t>s</w:t>
      </w:r>
      <w:r w:rsidR="00340DF5">
        <w:t xml:space="preserve"> that cannot construct </w:t>
      </w:r>
      <w:r w:rsidR="00AF180D">
        <w:t xml:space="preserve">while </w:t>
      </w:r>
      <w:r w:rsidR="00340DF5">
        <w:t xml:space="preserve">snow </w:t>
      </w:r>
      <w:r w:rsidR="00AF180D">
        <w:t xml:space="preserve">is </w:t>
      </w:r>
      <w:r w:rsidR="00340DF5">
        <w:t>on the ground.  W</w:t>
      </w:r>
      <w:r>
        <w:t>hile a permittee may have no power to stop winter snow</w:t>
      </w:r>
      <w:r w:rsidR="00C65548">
        <w:t>fall</w:t>
      </w:r>
      <w:r>
        <w:t xml:space="preserve">, it does have the ability to plan its construction activities to </w:t>
      </w:r>
      <w:r w:rsidR="00537545">
        <w:t xml:space="preserve">take advantage of seasonal construction opportunities and avoid potential seasonal impediments </w:t>
      </w:r>
      <w:r>
        <w:t xml:space="preserve">over the course of a </w:t>
      </w:r>
      <w:r w:rsidR="00340DF5">
        <w:t>three-year construction period</w:t>
      </w:r>
      <w:r w:rsidR="00537545">
        <w:t xml:space="preserve">.  </w:t>
      </w:r>
      <w:r w:rsidR="00965FB3">
        <w:t>Thus, we</w:t>
      </w:r>
      <w:r w:rsidR="00537545">
        <w:t xml:space="preserve"> </w:t>
      </w:r>
      <w:r w:rsidR="00965FB3">
        <w:t>reject</w:t>
      </w:r>
      <w:r w:rsidR="00537545">
        <w:t xml:space="preserve"> Craven’s </w:t>
      </w:r>
      <w:r w:rsidR="006B519B">
        <w:t>assertion that</w:t>
      </w:r>
      <w:r w:rsidR="00EA1F0F">
        <w:t xml:space="preserve"> the bidding process</w:t>
      </w:r>
      <w:r>
        <w:t xml:space="preserve"> is a </w:t>
      </w:r>
      <w:r w:rsidR="00813D35">
        <w:t xml:space="preserve">sufficient </w:t>
      </w:r>
      <w:r>
        <w:t xml:space="preserve">circumstance beyond its control preventing </w:t>
      </w:r>
      <w:r w:rsidR="00537545">
        <w:t xml:space="preserve">timely </w:t>
      </w:r>
      <w:r>
        <w:t xml:space="preserve">completion of construction. </w:t>
      </w:r>
      <w:r w:rsidR="00AF180D">
        <w:t xml:space="preserve">  </w:t>
      </w:r>
      <w:r w:rsidR="00AF180D">
        <w:rPr>
          <w:i/>
        </w:rPr>
        <w:t xml:space="preserve">See generally Streamlining, </w:t>
      </w:r>
      <w:r w:rsidR="00AF180D">
        <w:t>14 FCC Rcd at 17538-39.</w:t>
      </w:r>
    </w:p>
  </w:footnote>
  <w:footnote w:id="15">
    <w:p w:rsidR="00041742" w:rsidRPr="004F4254" w:rsidRDefault="00041742">
      <w:pPr>
        <w:pStyle w:val="FootnoteText"/>
      </w:pPr>
      <w:r>
        <w:rPr>
          <w:rStyle w:val="FootnoteReference"/>
        </w:rPr>
        <w:footnoteRef/>
      </w:r>
      <w:r>
        <w:t xml:space="preserve"> </w:t>
      </w:r>
      <w:r w:rsidR="004F4254" w:rsidRPr="004F4254">
        <w:rPr>
          <w:i/>
        </w:rPr>
        <w:t>See</w:t>
      </w:r>
      <w:r w:rsidRPr="00E2702A">
        <w:rPr>
          <w:i/>
        </w:rPr>
        <w:t xml:space="preserve"> </w:t>
      </w:r>
      <w:r w:rsidR="004F4254">
        <w:rPr>
          <w:i/>
        </w:rPr>
        <w:t xml:space="preserve">Streamlining, </w:t>
      </w:r>
      <w:r w:rsidR="004F4254" w:rsidRPr="00E2702A">
        <w:t>14 FCC Rcd at 17539.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D7" w:rsidRDefault="008D5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AA" w:rsidRDefault="00D449AA" w:rsidP="00810B6F">
    <w:pPr>
      <w:pStyle w:val="Header"/>
      <w:rPr>
        <w:b w:val="0"/>
      </w:rPr>
    </w:pPr>
    <w:r>
      <w:tab/>
      <w:t>Federal Communications Commission</w:t>
    </w:r>
    <w:r>
      <w:tab/>
    </w:r>
    <w:r w:rsidR="00BF0838">
      <w:t>FCC 14-174</w:t>
    </w:r>
  </w:p>
  <w:p w:rsidR="00D449AA" w:rsidRDefault="00D449AA">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914CB0C" wp14:editId="5DBE7D4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449AA" w:rsidRDefault="00D449A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AA" w:rsidRDefault="00D449AA"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F0838">
      <w:rPr>
        <w:spacing w:val="-2"/>
      </w:rPr>
      <w:t>FCC 14-174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4E25"/>
    <w:rsid w:val="0001338C"/>
    <w:rsid w:val="00016BFD"/>
    <w:rsid w:val="00017078"/>
    <w:rsid w:val="000254BD"/>
    <w:rsid w:val="0002771F"/>
    <w:rsid w:val="00036039"/>
    <w:rsid w:val="00036FAC"/>
    <w:rsid w:val="0003707C"/>
    <w:rsid w:val="00037F90"/>
    <w:rsid w:val="00040B4C"/>
    <w:rsid w:val="00040DD1"/>
    <w:rsid w:val="00041490"/>
    <w:rsid w:val="00041742"/>
    <w:rsid w:val="00042368"/>
    <w:rsid w:val="000454F2"/>
    <w:rsid w:val="0004630E"/>
    <w:rsid w:val="00051E14"/>
    <w:rsid w:val="00065740"/>
    <w:rsid w:val="00071605"/>
    <w:rsid w:val="0007326A"/>
    <w:rsid w:val="00075B65"/>
    <w:rsid w:val="00084F53"/>
    <w:rsid w:val="000875BF"/>
    <w:rsid w:val="000903CD"/>
    <w:rsid w:val="00091746"/>
    <w:rsid w:val="00096D8C"/>
    <w:rsid w:val="000A1564"/>
    <w:rsid w:val="000A6592"/>
    <w:rsid w:val="000B11FD"/>
    <w:rsid w:val="000C0B65"/>
    <w:rsid w:val="000C1DFC"/>
    <w:rsid w:val="000C347D"/>
    <w:rsid w:val="000C3EE2"/>
    <w:rsid w:val="000D0570"/>
    <w:rsid w:val="000D171A"/>
    <w:rsid w:val="000D19DD"/>
    <w:rsid w:val="000D33F0"/>
    <w:rsid w:val="000D3971"/>
    <w:rsid w:val="000D5640"/>
    <w:rsid w:val="000D7D42"/>
    <w:rsid w:val="000E05FE"/>
    <w:rsid w:val="000E1316"/>
    <w:rsid w:val="000E138A"/>
    <w:rsid w:val="000E37E3"/>
    <w:rsid w:val="000E3D42"/>
    <w:rsid w:val="000E61BD"/>
    <w:rsid w:val="000F160E"/>
    <w:rsid w:val="000F2CB1"/>
    <w:rsid w:val="000F4DED"/>
    <w:rsid w:val="000F79E3"/>
    <w:rsid w:val="00101B90"/>
    <w:rsid w:val="001026C2"/>
    <w:rsid w:val="001104CD"/>
    <w:rsid w:val="00111FFB"/>
    <w:rsid w:val="0011395E"/>
    <w:rsid w:val="00117F6A"/>
    <w:rsid w:val="00120C9C"/>
    <w:rsid w:val="00121084"/>
    <w:rsid w:val="00121946"/>
    <w:rsid w:val="00122BD5"/>
    <w:rsid w:val="00123312"/>
    <w:rsid w:val="00123532"/>
    <w:rsid w:val="00123707"/>
    <w:rsid w:val="0012600F"/>
    <w:rsid w:val="00126DF1"/>
    <w:rsid w:val="001316AE"/>
    <w:rsid w:val="00133692"/>
    <w:rsid w:val="00133F79"/>
    <w:rsid w:val="00140754"/>
    <w:rsid w:val="00140F62"/>
    <w:rsid w:val="00143A82"/>
    <w:rsid w:val="00145A4A"/>
    <w:rsid w:val="00145BCA"/>
    <w:rsid w:val="00146812"/>
    <w:rsid w:val="00150622"/>
    <w:rsid w:val="0015148B"/>
    <w:rsid w:val="001553ED"/>
    <w:rsid w:val="00157620"/>
    <w:rsid w:val="00170E9A"/>
    <w:rsid w:val="001739C0"/>
    <w:rsid w:val="0017583E"/>
    <w:rsid w:val="00176503"/>
    <w:rsid w:val="00184199"/>
    <w:rsid w:val="0018426A"/>
    <w:rsid w:val="00192572"/>
    <w:rsid w:val="00194A66"/>
    <w:rsid w:val="00195ED2"/>
    <w:rsid w:val="001A155D"/>
    <w:rsid w:val="001A441B"/>
    <w:rsid w:val="001A751E"/>
    <w:rsid w:val="001B2D4D"/>
    <w:rsid w:val="001D0978"/>
    <w:rsid w:val="001D37F0"/>
    <w:rsid w:val="001D6BCF"/>
    <w:rsid w:val="001E01CA"/>
    <w:rsid w:val="001E42BC"/>
    <w:rsid w:val="001E4B81"/>
    <w:rsid w:val="001E67CF"/>
    <w:rsid w:val="001E702F"/>
    <w:rsid w:val="001E722C"/>
    <w:rsid w:val="001E7346"/>
    <w:rsid w:val="001E75E3"/>
    <w:rsid w:val="001F165D"/>
    <w:rsid w:val="001F7574"/>
    <w:rsid w:val="00203100"/>
    <w:rsid w:val="0020528A"/>
    <w:rsid w:val="00210DAD"/>
    <w:rsid w:val="002153F8"/>
    <w:rsid w:val="00217C59"/>
    <w:rsid w:val="00217EF3"/>
    <w:rsid w:val="00217F28"/>
    <w:rsid w:val="00221972"/>
    <w:rsid w:val="002219E2"/>
    <w:rsid w:val="00222223"/>
    <w:rsid w:val="002279A8"/>
    <w:rsid w:val="0023041F"/>
    <w:rsid w:val="002376FE"/>
    <w:rsid w:val="00242E1A"/>
    <w:rsid w:val="002447DC"/>
    <w:rsid w:val="00245354"/>
    <w:rsid w:val="002464BB"/>
    <w:rsid w:val="00247B63"/>
    <w:rsid w:val="00252EFF"/>
    <w:rsid w:val="00254CDD"/>
    <w:rsid w:val="00255807"/>
    <w:rsid w:val="00255A92"/>
    <w:rsid w:val="00267B6B"/>
    <w:rsid w:val="00271E32"/>
    <w:rsid w:val="00273043"/>
    <w:rsid w:val="0027306E"/>
    <w:rsid w:val="002741DD"/>
    <w:rsid w:val="00275982"/>
    <w:rsid w:val="00275CF5"/>
    <w:rsid w:val="0028301F"/>
    <w:rsid w:val="00285017"/>
    <w:rsid w:val="002851A2"/>
    <w:rsid w:val="00285452"/>
    <w:rsid w:val="00285C9F"/>
    <w:rsid w:val="002877E2"/>
    <w:rsid w:val="002942C9"/>
    <w:rsid w:val="0029452F"/>
    <w:rsid w:val="002A24F4"/>
    <w:rsid w:val="002A2D2E"/>
    <w:rsid w:val="002A3720"/>
    <w:rsid w:val="002A3EE0"/>
    <w:rsid w:val="002A5C4C"/>
    <w:rsid w:val="002B1AD0"/>
    <w:rsid w:val="002B2A8B"/>
    <w:rsid w:val="002B7506"/>
    <w:rsid w:val="002C00E8"/>
    <w:rsid w:val="002C0976"/>
    <w:rsid w:val="002C0C51"/>
    <w:rsid w:val="002C20F4"/>
    <w:rsid w:val="002C2E92"/>
    <w:rsid w:val="002C377D"/>
    <w:rsid w:val="002C3A85"/>
    <w:rsid w:val="002C5A8A"/>
    <w:rsid w:val="002D1ED4"/>
    <w:rsid w:val="002D5440"/>
    <w:rsid w:val="002D749A"/>
    <w:rsid w:val="002E1342"/>
    <w:rsid w:val="002E2822"/>
    <w:rsid w:val="002E5E11"/>
    <w:rsid w:val="002E7A99"/>
    <w:rsid w:val="002F3215"/>
    <w:rsid w:val="002F3523"/>
    <w:rsid w:val="002F43A9"/>
    <w:rsid w:val="002F58D7"/>
    <w:rsid w:val="002F7630"/>
    <w:rsid w:val="00300A8C"/>
    <w:rsid w:val="00301064"/>
    <w:rsid w:val="003029FC"/>
    <w:rsid w:val="003065C4"/>
    <w:rsid w:val="0030696E"/>
    <w:rsid w:val="00316957"/>
    <w:rsid w:val="00321932"/>
    <w:rsid w:val="0032298B"/>
    <w:rsid w:val="003270BB"/>
    <w:rsid w:val="00331915"/>
    <w:rsid w:val="00333BCF"/>
    <w:rsid w:val="003371FC"/>
    <w:rsid w:val="003378F3"/>
    <w:rsid w:val="00340DF5"/>
    <w:rsid w:val="0034140C"/>
    <w:rsid w:val="003430C3"/>
    <w:rsid w:val="00343749"/>
    <w:rsid w:val="00346E47"/>
    <w:rsid w:val="003510EC"/>
    <w:rsid w:val="00353273"/>
    <w:rsid w:val="0035403E"/>
    <w:rsid w:val="00357653"/>
    <w:rsid w:val="00357FBB"/>
    <w:rsid w:val="003638FC"/>
    <w:rsid w:val="0036551D"/>
    <w:rsid w:val="003660ED"/>
    <w:rsid w:val="00367250"/>
    <w:rsid w:val="00370084"/>
    <w:rsid w:val="00372550"/>
    <w:rsid w:val="00376FAD"/>
    <w:rsid w:val="00377F39"/>
    <w:rsid w:val="00385308"/>
    <w:rsid w:val="00385F26"/>
    <w:rsid w:val="00386279"/>
    <w:rsid w:val="00387E2A"/>
    <w:rsid w:val="00390245"/>
    <w:rsid w:val="003921A4"/>
    <w:rsid w:val="0039229E"/>
    <w:rsid w:val="0039305D"/>
    <w:rsid w:val="003945E6"/>
    <w:rsid w:val="00396745"/>
    <w:rsid w:val="003A025F"/>
    <w:rsid w:val="003A055D"/>
    <w:rsid w:val="003A0EE8"/>
    <w:rsid w:val="003A2197"/>
    <w:rsid w:val="003A3CDF"/>
    <w:rsid w:val="003A6134"/>
    <w:rsid w:val="003B0550"/>
    <w:rsid w:val="003B1681"/>
    <w:rsid w:val="003B40B7"/>
    <w:rsid w:val="003B694F"/>
    <w:rsid w:val="003C4D52"/>
    <w:rsid w:val="003C6506"/>
    <w:rsid w:val="003C6EA6"/>
    <w:rsid w:val="003D41B1"/>
    <w:rsid w:val="003D4C77"/>
    <w:rsid w:val="003D7DAF"/>
    <w:rsid w:val="003E0FB8"/>
    <w:rsid w:val="003E65D2"/>
    <w:rsid w:val="003E712B"/>
    <w:rsid w:val="003F171C"/>
    <w:rsid w:val="003F3D86"/>
    <w:rsid w:val="003F6577"/>
    <w:rsid w:val="003F7A43"/>
    <w:rsid w:val="003F7CD6"/>
    <w:rsid w:val="004008C1"/>
    <w:rsid w:val="0040194E"/>
    <w:rsid w:val="00402D97"/>
    <w:rsid w:val="004030F9"/>
    <w:rsid w:val="0040567D"/>
    <w:rsid w:val="004071D0"/>
    <w:rsid w:val="00411B92"/>
    <w:rsid w:val="004126D1"/>
    <w:rsid w:val="00412FC5"/>
    <w:rsid w:val="004139F7"/>
    <w:rsid w:val="00415E66"/>
    <w:rsid w:val="004166CE"/>
    <w:rsid w:val="00420A4B"/>
    <w:rsid w:val="004214BA"/>
    <w:rsid w:val="00422276"/>
    <w:rsid w:val="004225A5"/>
    <w:rsid w:val="004242F1"/>
    <w:rsid w:val="00430107"/>
    <w:rsid w:val="0043130E"/>
    <w:rsid w:val="00445A00"/>
    <w:rsid w:val="004507FD"/>
    <w:rsid w:val="00451B0F"/>
    <w:rsid w:val="0045228A"/>
    <w:rsid w:val="00455483"/>
    <w:rsid w:val="00462DFA"/>
    <w:rsid w:val="00464DBA"/>
    <w:rsid w:val="0046754F"/>
    <w:rsid w:val="004773B8"/>
    <w:rsid w:val="00477559"/>
    <w:rsid w:val="004972C0"/>
    <w:rsid w:val="004A25B4"/>
    <w:rsid w:val="004A2BF6"/>
    <w:rsid w:val="004A3FD1"/>
    <w:rsid w:val="004B2461"/>
    <w:rsid w:val="004B36E4"/>
    <w:rsid w:val="004B541B"/>
    <w:rsid w:val="004B5D5B"/>
    <w:rsid w:val="004B5F4B"/>
    <w:rsid w:val="004C2EE3"/>
    <w:rsid w:val="004C4F9D"/>
    <w:rsid w:val="004C6CCA"/>
    <w:rsid w:val="004D1BEE"/>
    <w:rsid w:val="004D32E6"/>
    <w:rsid w:val="004D474A"/>
    <w:rsid w:val="004D66A0"/>
    <w:rsid w:val="004D791A"/>
    <w:rsid w:val="004E018E"/>
    <w:rsid w:val="004E0258"/>
    <w:rsid w:val="004E0E3F"/>
    <w:rsid w:val="004E4A22"/>
    <w:rsid w:val="004E71C4"/>
    <w:rsid w:val="004E7505"/>
    <w:rsid w:val="004F4254"/>
    <w:rsid w:val="004F43BC"/>
    <w:rsid w:val="004F6A8F"/>
    <w:rsid w:val="004F7B02"/>
    <w:rsid w:val="005057EA"/>
    <w:rsid w:val="005113E8"/>
    <w:rsid w:val="00511618"/>
    <w:rsid w:val="00511968"/>
    <w:rsid w:val="00513AB8"/>
    <w:rsid w:val="005153D9"/>
    <w:rsid w:val="00532CE5"/>
    <w:rsid w:val="00536ED3"/>
    <w:rsid w:val="00537545"/>
    <w:rsid w:val="00544C5B"/>
    <w:rsid w:val="005461A3"/>
    <w:rsid w:val="0054705E"/>
    <w:rsid w:val="00551966"/>
    <w:rsid w:val="00551EBB"/>
    <w:rsid w:val="0055614C"/>
    <w:rsid w:val="00560E85"/>
    <w:rsid w:val="0056198B"/>
    <w:rsid w:val="005643ED"/>
    <w:rsid w:val="00565415"/>
    <w:rsid w:val="0057264F"/>
    <w:rsid w:val="00572985"/>
    <w:rsid w:val="00572ECB"/>
    <w:rsid w:val="0057372F"/>
    <w:rsid w:val="005738C8"/>
    <w:rsid w:val="00576C24"/>
    <w:rsid w:val="0057703F"/>
    <w:rsid w:val="00577DFA"/>
    <w:rsid w:val="00583B24"/>
    <w:rsid w:val="00592972"/>
    <w:rsid w:val="00593187"/>
    <w:rsid w:val="00595E93"/>
    <w:rsid w:val="005A4825"/>
    <w:rsid w:val="005A5D6F"/>
    <w:rsid w:val="005A61D3"/>
    <w:rsid w:val="005A7055"/>
    <w:rsid w:val="005A729F"/>
    <w:rsid w:val="005B0F09"/>
    <w:rsid w:val="005B48FC"/>
    <w:rsid w:val="005B5E38"/>
    <w:rsid w:val="005B6901"/>
    <w:rsid w:val="005C26E9"/>
    <w:rsid w:val="005C5D81"/>
    <w:rsid w:val="005C6C74"/>
    <w:rsid w:val="005C6FA8"/>
    <w:rsid w:val="005D16C5"/>
    <w:rsid w:val="005D1BE4"/>
    <w:rsid w:val="005D532A"/>
    <w:rsid w:val="005D5A44"/>
    <w:rsid w:val="005D5AF8"/>
    <w:rsid w:val="005E14C2"/>
    <w:rsid w:val="005E3051"/>
    <w:rsid w:val="005F0D05"/>
    <w:rsid w:val="005F596A"/>
    <w:rsid w:val="00602ADF"/>
    <w:rsid w:val="006075DA"/>
    <w:rsid w:val="006075EA"/>
    <w:rsid w:val="00607BA5"/>
    <w:rsid w:val="0061051B"/>
    <w:rsid w:val="00610861"/>
    <w:rsid w:val="00611361"/>
    <w:rsid w:val="0061180A"/>
    <w:rsid w:val="00613F7E"/>
    <w:rsid w:val="00622B5E"/>
    <w:rsid w:val="00623356"/>
    <w:rsid w:val="0062442F"/>
    <w:rsid w:val="00624E64"/>
    <w:rsid w:val="00626133"/>
    <w:rsid w:val="006268FB"/>
    <w:rsid w:val="00626EB6"/>
    <w:rsid w:val="006278AD"/>
    <w:rsid w:val="00630FEA"/>
    <w:rsid w:val="00631E6E"/>
    <w:rsid w:val="00636753"/>
    <w:rsid w:val="00640FD9"/>
    <w:rsid w:val="00641826"/>
    <w:rsid w:val="006475B5"/>
    <w:rsid w:val="00650090"/>
    <w:rsid w:val="0065479D"/>
    <w:rsid w:val="00654B23"/>
    <w:rsid w:val="00655D03"/>
    <w:rsid w:val="00656A48"/>
    <w:rsid w:val="00661ABF"/>
    <w:rsid w:val="006622F4"/>
    <w:rsid w:val="00666CDE"/>
    <w:rsid w:val="00667228"/>
    <w:rsid w:val="00671698"/>
    <w:rsid w:val="00673C78"/>
    <w:rsid w:val="006744C3"/>
    <w:rsid w:val="00675BDA"/>
    <w:rsid w:val="006763EF"/>
    <w:rsid w:val="0067725F"/>
    <w:rsid w:val="00683388"/>
    <w:rsid w:val="00683F84"/>
    <w:rsid w:val="00686CB9"/>
    <w:rsid w:val="006916DB"/>
    <w:rsid w:val="00691B12"/>
    <w:rsid w:val="00693C94"/>
    <w:rsid w:val="00694F55"/>
    <w:rsid w:val="00695898"/>
    <w:rsid w:val="00695BDA"/>
    <w:rsid w:val="006A6A81"/>
    <w:rsid w:val="006B036C"/>
    <w:rsid w:val="006B18BE"/>
    <w:rsid w:val="006B1900"/>
    <w:rsid w:val="006B2040"/>
    <w:rsid w:val="006B422A"/>
    <w:rsid w:val="006B519B"/>
    <w:rsid w:val="006D0A3F"/>
    <w:rsid w:val="006D1B04"/>
    <w:rsid w:val="006E2EB9"/>
    <w:rsid w:val="006E3811"/>
    <w:rsid w:val="006E4CEC"/>
    <w:rsid w:val="006E6D0F"/>
    <w:rsid w:val="006F2EBC"/>
    <w:rsid w:val="006F5B78"/>
    <w:rsid w:val="006F62AC"/>
    <w:rsid w:val="006F7393"/>
    <w:rsid w:val="006F78F1"/>
    <w:rsid w:val="0070224F"/>
    <w:rsid w:val="00702C2F"/>
    <w:rsid w:val="00706187"/>
    <w:rsid w:val="00707846"/>
    <w:rsid w:val="00711506"/>
    <w:rsid w:val="007115F7"/>
    <w:rsid w:val="00715227"/>
    <w:rsid w:val="00725932"/>
    <w:rsid w:val="00726F2D"/>
    <w:rsid w:val="00731B9A"/>
    <w:rsid w:val="00744D3D"/>
    <w:rsid w:val="007576DF"/>
    <w:rsid w:val="00762DE7"/>
    <w:rsid w:val="0076502F"/>
    <w:rsid w:val="00766999"/>
    <w:rsid w:val="007671BA"/>
    <w:rsid w:val="00781921"/>
    <w:rsid w:val="00784F0F"/>
    <w:rsid w:val="00785328"/>
    <w:rsid w:val="00785689"/>
    <w:rsid w:val="0078678B"/>
    <w:rsid w:val="00793418"/>
    <w:rsid w:val="00794DDE"/>
    <w:rsid w:val="0079754B"/>
    <w:rsid w:val="007A1E6D"/>
    <w:rsid w:val="007A258B"/>
    <w:rsid w:val="007A2D51"/>
    <w:rsid w:val="007A2EE4"/>
    <w:rsid w:val="007A505A"/>
    <w:rsid w:val="007A5764"/>
    <w:rsid w:val="007A59A3"/>
    <w:rsid w:val="007A5E29"/>
    <w:rsid w:val="007B0EB2"/>
    <w:rsid w:val="007B5F1C"/>
    <w:rsid w:val="007B7DF7"/>
    <w:rsid w:val="007C043D"/>
    <w:rsid w:val="007C1A90"/>
    <w:rsid w:val="007C2357"/>
    <w:rsid w:val="007C2C2A"/>
    <w:rsid w:val="007C483C"/>
    <w:rsid w:val="007C5C81"/>
    <w:rsid w:val="007C7C9D"/>
    <w:rsid w:val="007D0436"/>
    <w:rsid w:val="007D0D7D"/>
    <w:rsid w:val="007D0FB2"/>
    <w:rsid w:val="007D6F42"/>
    <w:rsid w:val="007E59B1"/>
    <w:rsid w:val="007E7EA9"/>
    <w:rsid w:val="007F16F0"/>
    <w:rsid w:val="007F6CE2"/>
    <w:rsid w:val="007F7D60"/>
    <w:rsid w:val="00802274"/>
    <w:rsid w:val="00803C8C"/>
    <w:rsid w:val="008040E0"/>
    <w:rsid w:val="00806F53"/>
    <w:rsid w:val="00810B6F"/>
    <w:rsid w:val="00811BD7"/>
    <w:rsid w:val="0081206E"/>
    <w:rsid w:val="00813D35"/>
    <w:rsid w:val="00815651"/>
    <w:rsid w:val="00816BBA"/>
    <w:rsid w:val="00821D38"/>
    <w:rsid w:val="00822886"/>
    <w:rsid w:val="00822CE0"/>
    <w:rsid w:val="00830020"/>
    <w:rsid w:val="00833110"/>
    <w:rsid w:val="00833278"/>
    <w:rsid w:val="00834C85"/>
    <w:rsid w:val="00835794"/>
    <w:rsid w:val="00837A88"/>
    <w:rsid w:val="00841058"/>
    <w:rsid w:val="00841AB1"/>
    <w:rsid w:val="0084219F"/>
    <w:rsid w:val="008425EC"/>
    <w:rsid w:val="00843CED"/>
    <w:rsid w:val="008466C3"/>
    <w:rsid w:val="008555F1"/>
    <w:rsid w:val="00861F6A"/>
    <w:rsid w:val="008649D6"/>
    <w:rsid w:val="00867EA9"/>
    <w:rsid w:val="00872647"/>
    <w:rsid w:val="00890E4C"/>
    <w:rsid w:val="00894362"/>
    <w:rsid w:val="00895185"/>
    <w:rsid w:val="00896001"/>
    <w:rsid w:val="008A34CA"/>
    <w:rsid w:val="008A39AB"/>
    <w:rsid w:val="008A6BBF"/>
    <w:rsid w:val="008B0012"/>
    <w:rsid w:val="008B2E6B"/>
    <w:rsid w:val="008B6602"/>
    <w:rsid w:val="008C0B65"/>
    <w:rsid w:val="008C68F1"/>
    <w:rsid w:val="008D14BC"/>
    <w:rsid w:val="008D53D7"/>
    <w:rsid w:val="008D79F6"/>
    <w:rsid w:val="008E19A3"/>
    <w:rsid w:val="008E7BDF"/>
    <w:rsid w:val="008F04D9"/>
    <w:rsid w:val="008F17D3"/>
    <w:rsid w:val="008F1EBD"/>
    <w:rsid w:val="008F6474"/>
    <w:rsid w:val="009026CF"/>
    <w:rsid w:val="00905225"/>
    <w:rsid w:val="009075FB"/>
    <w:rsid w:val="00910BF5"/>
    <w:rsid w:val="009125F1"/>
    <w:rsid w:val="00921803"/>
    <w:rsid w:val="00923C75"/>
    <w:rsid w:val="00924B0A"/>
    <w:rsid w:val="00926503"/>
    <w:rsid w:val="0093387F"/>
    <w:rsid w:val="00934589"/>
    <w:rsid w:val="0093622C"/>
    <w:rsid w:val="00936E47"/>
    <w:rsid w:val="00941689"/>
    <w:rsid w:val="00944EB1"/>
    <w:rsid w:val="0094556E"/>
    <w:rsid w:val="009460BA"/>
    <w:rsid w:val="00950759"/>
    <w:rsid w:val="009518E4"/>
    <w:rsid w:val="00954BF3"/>
    <w:rsid w:val="00955E72"/>
    <w:rsid w:val="00957616"/>
    <w:rsid w:val="009625D7"/>
    <w:rsid w:val="009642B4"/>
    <w:rsid w:val="009650FE"/>
    <w:rsid w:val="00965FB3"/>
    <w:rsid w:val="00967AEE"/>
    <w:rsid w:val="009726D8"/>
    <w:rsid w:val="009747B7"/>
    <w:rsid w:val="0097517D"/>
    <w:rsid w:val="0097644D"/>
    <w:rsid w:val="009809B9"/>
    <w:rsid w:val="009901F2"/>
    <w:rsid w:val="00990398"/>
    <w:rsid w:val="00992CC6"/>
    <w:rsid w:val="009947E7"/>
    <w:rsid w:val="00995B3D"/>
    <w:rsid w:val="00996DA2"/>
    <w:rsid w:val="009A1B58"/>
    <w:rsid w:val="009A526E"/>
    <w:rsid w:val="009B0CDF"/>
    <w:rsid w:val="009C0273"/>
    <w:rsid w:val="009C2243"/>
    <w:rsid w:val="009C27C2"/>
    <w:rsid w:val="009C3DA4"/>
    <w:rsid w:val="009C4951"/>
    <w:rsid w:val="009C7603"/>
    <w:rsid w:val="009C7846"/>
    <w:rsid w:val="009C7B1E"/>
    <w:rsid w:val="009D72F4"/>
    <w:rsid w:val="009F18DF"/>
    <w:rsid w:val="009F26F2"/>
    <w:rsid w:val="009F43CD"/>
    <w:rsid w:val="009F76DB"/>
    <w:rsid w:val="00A004D9"/>
    <w:rsid w:val="00A004F7"/>
    <w:rsid w:val="00A138F8"/>
    <w:rsid w:val="00A1475C"/>
    <w:rsid w:val="00A165CF"/>
    <w:rsid w:val="00A21012"/>
    <w:rsid w:val="00A21C51"/>
    <w:rsid w:val="00A23C99"/>
    <w:rsid w:val="00A25592"/>
    <w:rsid w:val="00A26224"/>
    <w:rsid w:val="00A32C3B"/>
    <w:rsid w:val="00A40F5A"/>
    <w:rsid w:val="00A414E7"/>
    <w:rsid w:val="00A44DAE"/>
    <w:rsid w:val="00A45F4F"/>
    <w:rsid w:val="00A477F5"/>
    <w:rsid w:val="00A528FE"/>
    <w:rsid w:val="00A55B96"/>
    <w:rsid w:val="00A56F30"/>
    <w:rsid w:val="00A600A9"/>
    <w:rsid w:val="00A6023B"/>
    <w:rsid w:val="00A602C8"/>
    <w:rsid w:val="00A629BE"/>
    <w:rsid w:val="00A64F21"/>
    <w:rsid w:val="00A6739F"/>
    <w:rsid w:val="00A72EE7"/>
    <w:rsid w:val="00A749DA"/>
    <w:rsid w:val="00A75D0E"/>
    <w:rsid w:val="00A77527"/>
    <w:rsid w:val="00A77BBF"/>
    <w:rsid w:val="00A80056"/>
    <w:rsid w:val="00A814FE"/>
    <w:rsid w:val="00A8152C"/>
    <w:rsid w:val="00A8184D"/>
    <w:rsid w:val="00A822D4"/>
    <w:rsid w:val="00A82471"/>
    <w:rsid w:val="00A84C8A"/>
    <w:rsid w:val="00A85558"/>
    <w:rsid w:val="00A868DA"/>
    <w:rsid w:val="00A91537"/>
    <w:rsid w:val="00A92BFE"/>
    <w:rsid w:val="00A95A66"/>
    <w:rsid w:val="00AA1335"/>
    <w:rsid w:val="00AA394B"/>
    <w:rsid w:val="00AA4979"/>
    <w:rsid w:val="00AA55B7"/>
    <w:rsid w:val="00AA5B9E"/>
    <w:rsid w:val="00AA625F"/>
    <w:rsid w:val="00AA7CC1"/>
    <w:rsid w:val="00AA7E41"/>
    <w:rsid w:val="00AB2407"/>
    <w:rsid w:val="00AB3E55"/>
    <w:rsid w:val="00AB53DF"/>
    <w:rsid w:val="00AC02C7"/>
    <w:rsid w:val="00AC1205"/>
    <w:rsid w:val="00AC2BE6"/>
    <w:rsid w:val="00AD41B9"/>
    <w:rsid w:val="00AD44CC"/>
    <w:rsid w:val="00AD5F2B"/>
    <w:rsid w:val="00AD7B44"/>
    <w:rsid w:val="00AE42C3"/>
    <w:rsid w:val="00AE46E9"/>
    <w:rsid w:val="00AE7964"/>
    <w:rsid w:val="00AF0295"/>
    <w:rsid w:val="00AF180D"/>
    <w:rsid w:val="00AF2065"/>
    <w:rsid w:val="00B0000C"/>
    <w:rsid w:val="00B00A18"/>
    <w:rsid w:val="00B02216"/>
    <w:rsid w:val="00B033E4"/>
    <w:rsid w:val="00B05000"/>
    <w:rsid w:val="00B067E4"/>
    <w:rsid w:val="00B07E5C"/>
    <w:rsid w:val="00B1211F"/>
    <w:rsid w:val="00B12C11"/>
    <w:rsid w:val="00B23C41"/>
    <w:rsid w:val="00B24211"/>
    <w:rsid w:val="00B30ADB"/>
    <w:rsid w:val="00B30CDE"/>
    <w:rsid w:val="00B32962"/>
    <w:rsid w:val="00B34207"/>
    <w:rsid w:val="00B35FFA"/>
    <w:rsid w:val="00B43817"/>
    <w:rsid w:val="00B43B69"/>
    <w:rsid w:val="00B50677"/>
    <w:rsid w:val="00B526BB"/>
    <w:rsid w:val="00B56A73"/>
    <w:rsid w:val="00B60CBB"/>
    <w:rsid w:val="00B72138"/>
    <w:rsid w:val="00B76B26"/>
    <w:rsid w:val="00B811F7"/>
    <w:rsid w:val="00B8372B"/>
    <w:rsid w:val="00B83DFD"/>
    <w:rsid w:val="00B90D6B"/>
    <w:rsid w:val="00B926FD"/>
    <w:rsid w:val="00B951A7"/>
    <w:rsid w:val="00B95994"/>
    <w:rsid w:val="00B971EB"/>
    <w:rsid w:val="00B97B91"/>
    <w:rsid w:val="00B97F20"/>
    <w:rsid w:val="00BA4D16"/>
    <w:rsid w:val="00BA5DC6"/>
    <w:rsid w:val="00BA6196"/>
    <w:rsid w:val="00BB219D"/>
    <w:rsid w:val="00BB383A"/>
    <w:rsid w:val="00BB7F89"/>
    <w:rsid w:val="00BC0F9E"/>
    <w:rsid w:val="00BC3B04"/>
    <w:rsid w:val="00BC3F8A"/>
    <w:rsid w:val="00BC4E68"/>
    <w:rsid w:val="00BC4ED1"/>
    <w:rsid w:val="00BC508A"/>
    <w:rsid w:val="00BC5B7B"/>
    <w:rsid w:val="00BC6D8C"/>
    <w:rsid w:val="00BC764E"/>
    <w:rsid w:val="00BC7DB2"/>
    <w:rsid w:val="00BD002F"/>
    <w:rsid w:val="00BD2399"/>
    <w:rsid w:val="00BD291E"/>
    <w:rsid w:val="00BD3BA3"/>
    <w:rsid w:val="00BD5CAE"/>
    <w:rsid w:val="00BD6EE2"/>
    <w:rsid w:val="00BE168F"/>
    <w:rsid w:val="00BF0838"/>
    <w:rsid w:val="00BF4A76"/>
    <w:rsid w:val="00BF4F8D"/>
    <w:rsid w:val="00C04140"/>
    <w:rsid w:val="00C06EFE"/>
    <w:rsid w:val="00C13F91"/>
    <w:rsid w:val="00C14CE3"/>
    <w:rsid w:val="00C14F15"/>
    <w:rsid w:val="00C154E0"/>
    <w:rsid w:val="00C16541"/>
    <w:rsid w:val="00C25329"/>
    <w:rsid w:val="00C30CAB"/>
    <w:rsid w:val="00C3327E"/>
    <w:rsid w:val="00C34006"/>
    <w:rsid w:val="00C41780"/>
    <w:rsid w:val="00C426B1"/>
    <w:rsid w:val="00C4681E"/>
    <w:rsid w:val="00C472C9"/>
    <w:rsid w:val="00C52CFD"/>
    <w:rsid w:val="00C53D4B"/>
    <w:rsid w:val="00C53ED3"/>
    <w:rsid w:val="00C61E23"/>
    <w:rsid w:val="00C64DBB"/>
    <w:rsid w:val="00C65548"/>
    <w:rsid w:val="00C66160"/>
    <w:rsid w:val="00C67445"/>
    <w:rsid w:val="00C674D5"/>
    <w:rsid w:val="00C679DB"/>
    <w:rsid w:val="00C706D9"/>
    <w:rsid w:val="00C70C51"/>
    <w:rsid w:val="00C721AC"/>
    <w:rsid w:val="00C73DFA"/>
    <w:rsid w:val="00C74C64"/>
    <w:rsid w:val="00C7585B"/>
    <w:rsid w:val="00C758C9"/>
    <w:rsid w:val="00C76EEA"/>
    <w:rsid w:val="00C80B73"/>
    <w:rsid w:val="00C86B7D"/>
    <w:rsid w:val="00C86B9B"/>
    <w:rsid w:val="00C87EA0"/>
    <w:rsid w:val="00C90D6A"/>
    <w:rsid w:val="00C96812"/>
    <w:rsid w:val="00CA247E"/>
    <w:rsid w:val="00CA5358"/>
    <w:rsid w:val="00CA6117"/>
    <w:rsid w:val="00CA7911"/>
    <w:rsid w:val="00CB164B"/>
    <w:rsid w:val="00CB23A3"/>
    <w:rsid w:val="00CB6F9F"/>
    <w:rsid w:val="00CC6EBB"/>
    <w:rsid w:val="00CC72B6"/>
    <w:rsid w:val="00CD45EC"/>
    <w:rsid w:val="00CD7228"/>
    <w:rsid w:val="00CD7C8E"/>
    <w:rsid w:val="00CE50EA"/>
    <w:rsid w:val="00CE790E"/>
    <w:rsid w:val="00CF1842"/>
    <w:rsid w:val="00CF2A6E"/>
    <w:rsid w:val="00CF332B"/>
    <w:rsid w:val="00CF583D"/>
    <w:rsid w:val="00CF71B2"/>
    <w:rsid w:val="00D0218D"/>
    <w:rsid w:val="00D10C11"/>
    <w:rsid w:val="00D12E4E"/>
    <w:rsid w:val="00D14F0F"/>
    <w:rsid w:val="00D152B4"/>
    <w:rsid w:val="00D17409"/>
    <w:rsid w:val="00D1761C"/>
    <w:rsid w:val="00D17C52"/>
    <w:rsid w:val="00D17F03"/>
    <w:rsid w:val="00D21293"/>
    <w:rsid w:val="00D21419"/>
    <w:rsid w:val="00D2290A"/>
    <w:rsid w:val="00D241DD"/>
    <w:rsid w:val="00D24806"/>
    <w:rsid w:val="00D25FB5"/>
    <w:rsid w:val="00D26911"/>
    <w:rsid w:val="00D26B96"/>
    <w:rsid w:val="00D3115A"/>
    <w:rsid w:val="00D31940"/>
    <w:rsid w:val="00D348E6"/>
    <w:rsid w:val="00D35017"/>
    <w:rsid w:val="00D3517A"/>
    <w:rsid w:val="00D37E2A"/>
    <w:rsid w:val="00D43451"/>
    <w:rsid w:val="00D434D4"/>
    <w:rsid w:val="00D44223"/>
    <w:rsid w:val="00D449AA"/>
    <w:rsid w:val="00D44D7E"/>
    <w:rsid w:val="00D451E2"/>
    <w:rsid w:val="00D46540"/>
    <w:rsid w:val="00D469DE"/>
    <w:rsid w:val="00D46B1E"/>
    <w:rsid w:val="00D471BA"/>
    <w:rsid w:val="00D47BC5"/>
    <w:rsid w:val="00D56745"/>
    <w:rsid w:val="00D67123"/>
    <w:rsid w:val="00D713F1"/>
    <w:rsid w:val="00D71F34"/>
    <w:rsid w:val="00D73001"/>
    <w:rsid w:val="00D73BBA"/>
    <w:rsid w:val="00D73BBC"/>
    <w:rsid w:val="00D73FB1"/>
    <w:rsid w:val="00D76B76"/>
    <w:rsid w:val="00D80252"/>
    <w:rsid w:val="00D8099D"/>
    <w:rsid w:val="00D87EC0"/>
    <w:rsid w:val="00D9150A"/>
    <w:rsid w:val="00D91524"/>
    <w:rsid w:val="00DA2529"/>
    <w:rsid w:val="00DA6C4F"/>
    <w:rsid w:val="00DB04A2"/>
    <w:rsid w:val="00DB130A"/>
    <w:rsid w:val="00DB1DE4"/>
    <w:rsid w:val="00DB2EBB"/>
    <w:rsid w:val="00DC10A1"/>
    <w:rsid w:val="00DC47F6"/>
    <w:rsid w:val="00DC5240"/>
    <w:rsid w:val="00DC5A7C"/>
    <w:rsid w:val="00DC655F"/>
    <w:rsid w:val="00DD0B59"/>
    <w:rsid w:val="00DD7C11"/>
    <w:rsid w:val="00DD7EBD"/>
    <w:rsid w:val="00DE1C45"/>
    <w:rsid w:val="00DE5ED1"/>
    <w:rsid w:val="00DF4924"/>
    <w:rsid w:val="00DF62B6"/>
    <w:rsid w:val="00DF79D3"/>
    <w:rsid w:val="00E00FDE"/>
    <w:rsid w:val="00E02D18"/>
    <w:rsid w:val="00E0588F"/>
    <w:rsid w:val="00E07225"/>
    <w:rsid w:val="00E10394"/>
    <w:rsid w:val="00E16860"/>
    <w:rsid w:val="00E16A78"/>
    <w:rsid w:val="00E17D04"/>
    <w:rsid w:val="00E215F7"/>
    <w:rsid w:val="00E24F24"/>
    <w:rsid w:val="00E2505B"/>
    <w:rsid w:val="00E25997"/>
    <w:rsid w:val="00E26667"/>
    <w:rsid w:val="00E2702A"/>
    <w:rsid w:val="00E270B9"/>
    <w:rsid w:val="00E30105"/>
    <w:rsid w:val="00E3154C"/>
    <w:rsid w:val="00E34972"/>
    <w:rsid w:val="00E400A5"/>
    <w:rsid w:val="00E40697"/>
    <w:rsid w:val="00E41C6C"/>
    <w:rsid w:val="00E41E5D"/>
    <w:rsid w:val="00E52146"/>
    <w:rsid w:val="00E52FFA"/>
    <w:rsid w:val="00E5409F"/>
    <w:rsid w:val="00E55D50"/>
    <w:rsid w:val="00E56408"/>
    <w:rsid w:val="00E567B6"/>
    <w:rsid w:val="00E63EB0"/>
    <w:rsid w:val="00E64678"/>
    <w:rsid w:val="00E659D2"/>
    <w:rsid w:val="00E749FE"/>
    <w:rsid w:val="00E74B4A"/>
    <w:rsid w:val="00E75F7C"/>
    <w:rsid w:val="00E8052F"/>
    <w:rsid w:val="00E82000"/>
    <w:rsid w:val="00E83F62"/>
    <w:rsid w:val="00E8681F"/>
    <w:rsid w:val="00E91306"/>
    <w:rsid w:val="00E91780"/>
    <w:rsid w:val="00E92F17"/>
    <w:rsid w:val="00E943D8"/>
    <w:rsid w:val="00EA1F0F"/>
    <w:rsid w:val="00EA5458"/>
    <w:rsid w:val="00EB5854"/>
    <w:rsid w:val="00EB5CF1"/>
    <w:rsid w:val="00EB6C05"/>
    <w:rsid w:val="00EB70CC"/>
    <w:rsid w:val="00EB7403"/>
    <w:rsid w:val="00EC1DCF"/>
    <w:rsid w:val="00EC1F98"/>
    <w:rsid w:val="00EC659A"/>
    <w:rsid w:val="00EC72BA"/>
    <w:rsid w:val="00ED18A1"/>
    <w:rsid w:val="00ED1ADE"/>
    <w:rsid w:val="00ED43D8"/>
    <w:rsid w:val="00EE4BBA"/>
    <w:rsid w:val="00EE6488"/>
    <w:rsid w:val="00EE7BE9"/>
    <w:rsid w:val="00EF4CD9"/>
    <w:rsid w:val="00EF6D72"/>
    <w:rsid w:val="00F01A11"/>
    <w:rsid w:val="00F021FA"/>
    <w:rsid w:val="00F02EE7"/>
    <w:rsid w:val="00F07C95"/>
    <w:rsid w:val="00F11EBF"/>
    <w:rsid w:val="00F126D8"/>
    <w:rsid w:val="00F13341"/>
    <w:rsid w:val="00F20901"/>
    <w:rsid w:val="00F23DDD"/>
    <w:rsid w:val="00F26418"/>
    <w:rsid w:val="00F347A3"/>
    <w:rsid w:val="00F355E2"/>
    <w:rsid w:val="00F36E41"/>
    <w:rsid w:val="00F37962"/>
    <w:rsid w:val="00F40DCB"/>
    <w:rsid w:val="00F5017B"/>
    <w:rsid w:val="00F53357"/>
    <w:rsid w:val="00F53980"/>
    <w:rsid w:val="00F5687A"/>
    <w:rsid w:val="00F62E97"/>
    <w:rsid w:val="00F63CA1"/>
    <w:rsid w:val="00F64209"/>
    <w:rsid w:val="00F665A6"/>
    <w:rsid w:val="00F75744"/>
    <w:rsid w:val="00F80A27"/>
    <w:rsid w:val="00F81C86"/>
    <w:rsid w:val="00F92201"/>
    <w:rsid w:val="00F92BCC"/>
    <w:rsid w:val="00F93BF5"/>
    <w:rsid w:val="00F94FF9"/>
    <w:rsid w:val="00F96D62"/>
    <w:rsid w:val="00FA1C0D"/>
    <w:rsid w:val="00FA5B8F"/>
    <w:rsid w:val="00FB0D8D"/>
    <w:rsid w:val="00FB51C0"/>
    <w:rsid w:val="00FC0FCE"/>
    <w:rsid w:val="00FC1667"/>
    <w:rsid w:val="00FC22E8"/>
    <w:rsid w:val="00FD6331"/>
    <w:rsid w:val="00FD6ACE"/>
    <w:rsid w:val="00FD781D"/>
    <w:rsid w:val="00FE70B8"/>
    <w:rsid w:val="00FF283B"/>
    <w:rsid w:val="00FF40D1"/>
    <w:rsid w:val="00FF5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EE7"/>
    <w:pPr>
      <w:widowControl w:val="0"/>
    </w:pPr>
    <w:rPr>
      <w:snapToGrid w:val="0"/>
      <w:kern w:val="28"/>
      <w:sz w:val="22"/>
    </w:rPr>
  </w:style>
  <w:style w:type="paragraph" w:styleId="Heading1">
    <w:name w:val="heading 1"/>
    <w:basedOn w:val="Normal"/>
    <w:next w:val="ParaNum"/>
    <w:qFormat/>
    <w:rsid w:val="00A72E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72EE7"/>
    <w:pPr>
      <w:keepNext/>
      <w:numPr>
        <w:ilvl w:val="1"/>
        <w:numId w:val="3"/>
      </w:numPr>
      <w:spacing w:after="120"/>
      <w:outlineLvl w:val="1"/>
    </w:pPr>
    <w:rPr>
      <w:b/>
    </w:rPr>
  </w:style>
  <w:style w:type="paragraph" w:styleId="Heading3">
    <w:name w:val="heading 3"/>
    <w:basedOn w:val="Normal"/>
    <w:next w:val="ParaNum"/>
    <w:qFormat/>
    <w:rsid w:val="00A72EE7"/>
    <w:pPr>
      <w:keepNext/>
      <w:numPr>
        <w:ilvl w:val="2"/>
        <w:numId w:val="3"/>
      </w:numPr>
      <w:tabs>
        <w:tab w:val="left" w:pos="2160"/>
      </w:tabs>
      <w:spacing w:after="120"/>
      <w:outlineLvl w:val="2"/>
    </w:pPr>
    <w:rPr>
      <w:b/>
    </w:rPr>
  </w:style>
  <w:style w:type="paragraph" w:styleId="Heading4">
    <w:name w:val="heading 4"/>
    <w:basedOn w:val="Normal"/>
    <w:next w:val="ParaNum"/>
    <w:qFormat/>
    <w:rsid w:val="00A72EE7"/>
    <w:pPr>
      <w:keepNext/>
      <w:numPr>
        <w:ilvl w:val="3"/>
        <w:numId w:val="3"/>
      </w:numPr>
      <w:tabs>
        <w:tab w:val="left" w:pos="2880"/>
      </w:tabs>
      <w:spacing w:after="120"/>
      <w:outlineLvl w:val="3"/>
    </w:pPr>
    <w:rPr>
      <w:b/>
    </w:rPr>
  </w:style>
  <w:style w:type="paragraph" w:styleId="Heading5">
    <w:name w:val="heading 5"/>
    <w:basedOn w:val="Normal"/>
    <w:next w:val="ParaNum"/>
    <w:qFormat/>
    <w:rsid w:val="00A72EE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72EE7"/>
    <w:pPr>
      <w:numPr>
        <w:ilvl w:val="5"/>
        <w:numId w:val="3"/>
      </w:numPr>
      <w:tabs>
        <w:tab w:val="left" w:pos="4320"/>
      </w:tabs>
      <w:spacing w:after="120"/>
      <w:outlineLvl w:val="5"/>
    </w:pPr>
    <w:rPr>
      <w:b/>
    </w:rPr>
  </w:style>
  <w:style w:type="paragraph" w:styleId="Heading7">
    <w:name w:val="heading 7"/>
    <w:basedOn w:val="Normal"/>
    <w:next w:val="ParaNum"/>
    <w:qFormat/>
    <w:rsid w:val="00A72EE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72EE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72E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72E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2EE7"/>
  </w:style>
  <w:style w:type="paragraph" w:customStyle="1" w:styleId="ParaNum">
    <w:name w:val="ParaNum"/>
    <w:basedOn w:val="Normal"/>
    <w:link w:val="ParaNumChar"/>
    <w:rsid w:val="00A72EE7"/>
    <w:pPr>
      <w:numPr>
        <w:numId w:val="2"/>
      </w:numPr>
      <w:tabs>
        <w:tab w:val="clear" w:pos="1080"/>
        <w:tab w:val="num" w:pos="1440"/>
      </w:tabs>
      <w:spacing w:after="120"/>
    </w:pPr>
  </w:style>
  <w:style w:type="paragraph" w:styleId="EndnoteText">
    <w:name w:val="endnote text"/>
    <w:basedOn w:val="Normal"/>
    <w:semiHidden/>
    <w:rsid w:val="00A72EE7"/>
    <w:rPr>
      <w:sz w:val="20"/>
    </w:rPr>
  </w:style>
  <w:style w:type="character" w:styleId="EndnoteReference">
    <w:name w:val="endnote reference"/>
    <w:semiHidden/>
    <w:rsid w:val="00A72EE7"/>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A72EE7"/>
    <w:pPr>
      <w:spacing w:after="120"/>
    </w:pPr>
  </w:style>
  <w:style w:type="character" w:styleId="FootnoteReference">
    <w:name w:val="footnote reference"/>
    <w:aliases w:val="Style 12,(NECG) Footnote Reference,Appel note de bas de p,Style 124,o,fr,Style 3,Style 13"/>
    <w:rsid w:val="00A72EE7"/>
    <w:rPr>
      <w:rFonts w:ascii="Times New Roman" w:hAnsi="Times New Roman"/>
      <w:dstrike w:val="0"/>
      <w:color w:val="auto"/>
      <w:sz w:val="20"/>
      <w:vertAlign w:val="superscript"/>
    </w:rPr>
  </w:style>
  <w:style w:type="paragraph" w:styleId="TOC1">
    <w:name w:val="toc 1"/>
    <w:basedOn w:val="Normal"/>
    <w:next w:val="Normal"/>
    <w:semiHidden/>
    <w:rsid w:val="00A72E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72EE7"/>
    <w:pPr>
      <w:tabs>
        <w:tab w:val="left" w:pos="720"/>
        <w:tab w:val="right" w:leader="dot" w:pos="9360"/>
      </w:tabs>
      <w:suppressAutoHyphens/>
      <w:ind w:left="720" w:right="720" w:hanging="360"/>
    </w:pPr>
    <w:rPr>
      <w:noProof/>
    </w:rPr>
  </w:style>
  <w:style w:type="paragraph" w:styleId="TOC3">
    <w:name w:val="toc 3"/>
    <w:basedOn w:val="Normal"/>
    <w:next w:val="Normal"/>
    <w:semiHidden/>
    <w:rsid w:val="00A72E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72E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72E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72E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72E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72E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72E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72EE7"/>
    <w:pPr>
      <w:tabs>
        <w:tab w:val="right" w:pos="9360"/>
      </w:tabs>
      <w:suppressAutoHyphens/>
    </w:pPr>
  </w:style>
  <w:style w:type="character" w:customStyle="1" w:styleId="EquationCaption">
    <w:name w:val="_Equation Caption"/>
    <w:rsid w:val="00A72EE7"/>
  </w:style>
  <w:style w:type="paragraph" w:styleId="Header">
    <w:name w:val="header"/>
    <w:basedOn w:val="Normal"/>
    <w:autoRedefine/>
    <w:rsid w:val="00A72EE7"/>
    <w:pPr>
      <w:tabs>
        <w:tab w:val="center" w:pos="4680"/>
        <w:tab w:val="right" w:pos="9360"/>
      </w:tabs>
    </w:pPr>
    <w:rPr>
      <w:b/>
    </w:rPr>
  </w:style>
  <w:style w:type="paragraph" w:styleId="Footer">
    <w:name w:val="footer"/>
    <w:basedOn w:val="Normal"/>
    <w:rsid w:val="00A72EE7"/>
    <w:pPr>
      <w:tabs>
        <w:tab w:val="center" w:pos="4320"/>
        <w:tab w:val="right" w:pos="8640"/>
      </w:tabs>
    </w:pPr>
  </w:style>
  <w:style w:type="character" w:styleId="PageNumber">
    <w:name w:val="page number"/>
    <w:basedOn w:val="DefaultParagraphFont"/>
    <w:rsid w:val="00A72EE7"/>
  </w:style>
  <w:style w:type="paragraph" w:styleId="BlockText">
    <w:name w:val="Block Text"/>
    <w:basedOn w:val="Normal"/>
    <w:rsid w:val="00A72EE7"/>
    <w:pPr>
      <w:spacing w:after="240"/>
      <w:ind w:left="1440" w:right="1440"/>
    </w:pPr>
  </w:style>
  <w:style w:type="paragraph" w:customStyle="1" w:styleId="Paratitle">
    <w:name w:val="Para title"/>
    <w:basedOn w:val="Normal"/>
    <w:rsid w:val="00A72EE7"/>
    <w:pPr>
      <w:tabs>
        <w:tab w:val="center" w:pos="9270"/>
      </w:tabs>
      <w:spacing w:after="240"/>
    </w:pPr>
    <w:rPr>
      <w:spacing w:val="-2"/>
    </w:rPr>
  </w:style>
  <w:style w:type="paragraph" w:customStyle="1" w:styleId="Bullet">
    <w:name w:val="Bullet"/>
    <w:basedOn w:val="Normal"/>
    <w:rsid w:val="00A72EE7"/>
    <w:pPr>
      <w:tabs>
        <w:tab w:val="left" w:pos="2160"/>
      </w:tabs>
      <w:spacing w:after="220"/>
      <w:ind w:left="2160" w:hanging="720"/>
    </w:pPr>
  </w:style>
  <w:style w:type="paragraph" w:customStyle="1" w:styleId="TableFormat">
    <w:name w:val="TableFormat"/>
    <w:basedOn w:val="Bullet"/>
    <w:rsid w:val="00A72EE7"/>
    <w:pPr>
      <w:tabs>
        <w:tab w:val="clear" w:pos="2160"/>
        <w:tab w:val="left" w:pos="5040"/>
      </w:tabs>
      <w:ind w:left="5040" w:hanging="3600"/>
    </w:pPr>
  </w:style>
  <w:style w:type="paragraph" w:customStyle="1" w:styleId="TOCTitle">
    <w:name w:val="TOC Title"/>
    <w:basedOn w:val="Normal"/>
    <w:rsid w:val="00A72E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72EE7"/>
    <w:pPr>
      <w:jc w:val="center"/>
    </w:pPr>
    <w:rPr>
      <w:rFonts w:ascii="Times New Roman Bold" w:hAnsi="Times New Roman Bold"/>
      <w:b/>
      <w:bCs/>
      <w:caps/>
      <w:szCs w:val="22"/>
    </w:rPr>
  </w:style>
  <w:style w:type="character" w:styleId="Hyperlink">
    <w:name w:val="Hyperlink"/>
    <w:rsid w:val="00A72EE7"/>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A004F7"/>
  </w:style>
  <w:style w:type="character" w:customStyle="1" w:styleId="ParaNumChar">
    <w:name w:val="ParaNum Char"/>
    <w:link w:val="ParaNum"/>
    <w:rsid w:val="00A004F7"/>
    <w:rPr>
      <w:snapToGrid w:val="0"/>
      <w:kern w:val="28"/>
      <w:sz w:val="22"/>
    </w:rPr>
  </w:style>
  <w:style w:type="paragraph" w:styleId="BalloonText">
    <w:name w:val="Balloon Text"/>
    <w:basedOn w:val="Normal"/>
    <w:link w:val="BalloonTextChar"/>
    <w:rsid w:val="00036FAC"/>
    <w:rPr>
      <w:rFonts w:ascii="Tahoma" w:hAnsi="Tahoma" w:cs="Tahoma"/>
      <w:sz w:val="16"/>
      <w:szCs w:val="16"/>
    </w:rPr>
  </w:style>
  <w:style w:type="character" w:customStyle="1" w:styleId="BalloonTextChar">
    <w:name w:val="Balloon Text Char"/>
    <w:basedOn w:val="DefaultParagraphFont"/>
    <w:link w:val="BalloonText"/>
    <w:rsid w:val="00036FAC"/>
    <w:rPr>
      <w:rFonts w:ascii="Tahoma" w:hAnsi="Tahoma" w:cs="Tahoma"/>
      <w:snapToGrid w:val="0"/>
      <w:kern w:val="28"/>
      <w:sz w:val="16"/>
      <w:szCs w:val="16"/>
    </w:rPr>
  </w:style>
  <w:style w:type="character" w:styleId="CommentReference">
    <w:name w:val="annotation reference"/>
    <w:basedOn w:val="DefaultParagraphFont"/>
    <w:rsid w:val="004F4254"/>
    <w:rPr>
      <w:sz w:val="16"/>
      <w:szCs w:val="16"/>
    </w:rPr>
  </w:style>
  <w:style w:type="paragraph" w:styleId="CommentText">
    <w:name w:val="annotation text"/>
    <w:basedOn w:val="Normal"/>
    <w:link w:val="CommentTextChar"/>
    <w:rsid w:val="004F4254"/>
    <w:rPr>
      <w:sz w:val="20"/>
    </w:rPr>
  </w:style>
  <w:style w:type="character" w:customStyle="1" w:styleId="CommentTextChar">
    <w:name w:val="Comment Text Char"/>
    <w:basedOn w:val="DefaultParagraphFont"/>
    <w:link w:val="CommentText"/>
    <w:rsid w:val="004F4254"/>
    <w:rPr>
      <w:snapToGrid w:val="0"/>
      <w:kern w:val="28"/>
    </w:rPr>
  </w:style>
  <w:style w:type="paragraph" w:styleId="CommentSubject">
    <w:name w:val="annotation subject"/>
    <w:basedOn w:val="CommentText"/>
    <w:next w:val="CommentText"/>
    <w:link w:val="CommentSubjectChar"/>
    <w:rsid w:val="004F4254"/>
    <w:rPr>
      <w:b/>
      <w:bCs/>
    </w:rPr>
  </w:style>
  <w:style w:type="character" w:customStyle="1" w:styleId="CommentSubjectChar">
    <w:name w:val="Comment Subject Char"/>
    <w:basedOn w:val="CommentTextChar"/>
    <w:link w:val="CommentSubject"/>
    <w:rsid w:val="004F4254"/>
    <w:rPr>
      <w:b/>
      <w:bCs/>
      <w:snapToGrid w:val="0"/>
      <w:kern w:val="28"/>
    </w:rPr>
  </w:style>
  <w:style w:type="paragraph" w:styleId="ListParagraph">
    <w:name w:val="List Paragraph"/>
    <w:basedOn w:val="Normal"/>
    <w:uiPriority w:val="34"/>
    <w:qFormat/>
    <w:rsid w:val="00F02E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EE7"/>
    <w:pPr>
      <w:widowControl w:val="0"/>
    </w:pPr>
    <w:rPr>
      <w:snapToGrid w:val="0"/>
      <w:kern w:val="28"/>
      <w:sz w:val="22"/>
    </w:rPr>
  </w:style>
  <w:style w:type="paragraph" w:styleId="Heading1">
    <w:name w:val="heading 1"/>
    <w:basedOn w:val="Normal"/>
    <w:next w:val="ParaNum"/>
    <w:qFormat/>
    <w:rsid w:val="00A72E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72EE7"/>
    <w:pPr>
      <w:keepNext/>
      <w:numPr>
        <w:ilvl w:val="1"/>
        <w:numId w:val="3"/>
      </w:numPr>
      <w:spacing w:after="120"/>
      <w:outlineLvl w:val="1"/>
    </w:pPr>
    <w:rPr>
      <w:b/>
    </w:rPr>
  </w:style>
  <w:style w:type="paragraph" w:styleId="Heading3">
    <w:name w:val="heading 3"/>
    <w:basedOn w:val="Normal"/>
    <w:next w:val="ParaNum"/>
    <w:qFormat/>
    <w:rsid w:val="00A72EE7"/>
    <w:pPr>
      <w:keepNext/>
      <w:numPr>
        <w:ilvl w:val="2"/>
        <w:numId w:val="3"/>
      </w:numPr>
      <w:tabs>
        <w:tab w:val="left" w:pos="2160"/>
      </w:tabs>
      <w:spacing w:after="120"/>
      <w:outlineLvl w:val="2"/>
    </w:pPr>
    <w:rPr>
      <w:b/>
    </w:rPr>
  </w:style>
  <w:style w:type="paragraph" w:styleId="Heading4">
    <w:name w:val="heading 4"/>
    <w:basedOn w:val="Normal"/>
    <w:next w:val="ParaNum"/>
    <w:qFormat/>
    <w:rsid w:val="00A72EE7"/>
    <w:pPr>
      <w:keepNext/>
      <w:numPr>
        <w:ilvl w:val="3"/>
        <w:numId w:val="3"/>
      </w:numPr>
      <w:tabs>
        <w:tab w:val="left" w:pos="2880"/>
      </w:tabs>
      <w:spacing w:after="120"/>
      <w:outlineLvl w:val="3"/>
    </w:pPr>
    <w:rPr>
      <w:b/>
    </w:rPr>
  </w:style>
  <w:style w:type="paragraph" w:styleId="Heading5">
    <w:name w:val="heading 5"/>
    <w:basedOn w:val="Normal"/>
    <w:next w:val="ParaNum"/>
    <w:qFormat/>
    <w:rsid w:val="00A72EE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72EE7"/>
    <w:pPr>
      <w:numPr>
        <w:ilvl w:val="5"/>
        <w:numId w:val="3"/>
      </w:numPr>
      <w:tabs>
        <w:tab w:val="left" w:pos="4320"/>
      </w:tabs>
      <w:spacing w:after="120"/>
      <w:outlineLvl w:val="5"/>
    </w:pPr>
    <w:rPr>
      <w:b/>
    </w:rPr>
  </w:style>
  <w:style w:type="paragraph" w:styleId="Heading7">
    <w:name w:val="heading 7"/>
    <w:basedOn w:val="Normal"/>
    <w:next w:val="ParaNum"/>
    <w:qFormat/>
    <w:rsid w:val="00A72EE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72EE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72E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72E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2EE7"/>
  </w:style>
  <w:style w:type="paragraph" w:customStyle="1" w:styleId="ParaNum">
    <w:name w:val="ParaNum"/>
    <w:basedOn w:val="Normal"/>
    <w:link w:val="ParaNumChar"/>
    <w:rsid w:val="00A72EE7"/>
    <w:pPr>
      <w:numPr>
        <w:numId w:val="2"/>
      </w:numPr>
      <w:tabs>
        <w:tab w:val="clear" w:pos="1080"/>
        <w:tab w:val="num" w:pos="1440"/>
      </w:tabs>
      <w:spacing w:after="120"/>
    </w:pPr>
  </w:style>
  <w:style w:type="paragraph" w:styleId="EndnoteText">
    <w:name w:val="endnote text"/>
    <w:basedOn w:val="Normal"/>
    <w:semiHidden/>
    <w:rsid w:val="00A72EE7"/>
    <w:rPr>
      <w:sz w:val="20"/>
    </w:rPr>
  </w:style>
  <w:style w:type="character" w:styleId="EndnoteReference">
    <w:name w:val="endnote reference"/>
    <w:semiHidden/>
    <w:rsid w:val="00A72EE7"/>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A72EE7"/>
    <w:pPr>
      <w:spacing w:after="120"/>
    </w:pPr>
  </w:style>
  <w:style w:type="character" w:styleId="FootnoteReference">
    <w:name w:val="footnote reference"/>
    <w:aliases w:val="Style 12,(NECG) Footnote Reference,Appel note de bas de p,Style 124,o,fr,Style 3,Style 13"/>
    <w:rsid w:val="00A72EE7"/>
    <w:rPr>
      <w:rFonts w:ascii="Times New Roman" w:hAnsi="Times New Roman"/>
      <w:dstrike w:val="0"/>
      <w:color w:val="auto"/>
      <w:sz w:val="20"/>
      <w:vertAlign w:val="superscript"/>
    </w:rPr>
  </w:style>
  <w:style w:type="paragraph" w:styleId="TOC1">
    <w:name w:val="toc 1"/>
    <w:basedOn w:val="Normal"/>
    <w:next w:val="Normal"/>
    <w:semiHidden/>
    <w:rsid w:val="00A72E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72EE7"/>
    <w:pPr>
      <w:tabs>
        <w:tab w:val="left" w:pos="720"/>
        <w:tab w:val="right" w:leader="dot" w:pos="9360"/>
      </w:tabs>
      <w:suppressAutoHyphens/>
      <w:ind w:left="720" w:right="720" w:hanging="360"/>
    </w:pPr>
    <w:rPr>
      <w:noProof/>
    </w:rPr>
  </w:style>
  <w:style w:type="paragraph" w:styleId="TOC3">
    <w:name w:val="toc 3"/>
    <w:basedOn w:val="Normal"/>
    <w:next w:val="Normal"/>
    <w:semiHidden/>
    <w:rsid w:val="00A72E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72E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72E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72E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72E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72E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72E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72EE7"/>
    <w:pPr>
      <w:tabs>
        <w:tab w:val="right" w:pos="9360"/>
      </w:tabs>
      <w:suppressAutoHyphens/>
    </w:pPr>
  </w:style>
  <w:style w:type="character" w:customStyle="1" w:styleId="EquationCaption">
    <w:name w:val="_Equation Caption"/>
    <w:rsid w:val="00A72EE7"/>
  </w:style>
  <w:style w:type="paragraph" w:styleId="Header">
    <w:name w:val="header"/>
    <w:basedOn w:val="Normal"/>
    <w:autoRedefine/>
    <w:rsid w:val="00A72EE7"/>
    <w:pPr>
      <w:tabs>
        <w:tab w:val="center" w:pos="4680"/>
        <w:tab w:val="right" w:pos="9360"/>
      </w:tabs>
    </w:pPr>
    <w:rPr>
      <w:b/>
    </w:rPr>
  </w:style>
  <w:style w:type="paragraph" w:styleId="Footer">
    <w:name w:val="footer"/>
    <w:basedOn w:val="Normal"/>
    <w:rsid w:val="00A72EE7"/>
    <w:pPr>
      <w:tabs>
        <w:tab w:val="center" w:pos="4320"/>
        <w:tab w:val="right" w:pos="8640"/>
      </w:tabs>
    </w:pPr>
  </w:style>
  <w:style w:type="character" w:styleId="PageNumber">
    <w:name w:val="page number"/>
    <w:basedOn w:val="DefaultParagraphFont"/>
    <w:rsid w:val="00A72EE7"/>
  </w:style>
  <w:style w:type="paragraph" w:styleId="BlockText">
    <w:name w:val="Block Text"/>
    <w:basedOn w:val="Normal"/>
    <w:rsid w:val="00A72EE7"/>
    <w:pPr>
      <w:spacing w:after="240"/>
      <w:ind w:left="1440" w:right="1440"/>
    </w:pPr>
  </w:style>
  <w:style w:type="paragraph" w:customStyle="1" w:styleId="Paratitle">
    <w:name w:val="Para title"/>
    <w:basedOn w:val="Normal"/>
    <w:rsid w:val="00A72EE7"/>
    <w:pPr>
      <w:tabs>
        <w:tab w:val="center" w:pos="9270"/>
      </w:tabs>
      <w:spacing w:after="240"/>
    </w:pPr>
    <w:rPr>
      <w:spacing w:val="-2"/>
    </w:rPr>
  </w:style>
  <w:style w:type="paragraph" w:customStyle="1" w:styleId="Bullet">
    <w:name w:val="Bullet"/>
    <w:basedOn w:val="Normal"/>
    <w:rsid w:val="00A72EE7"/>
    <w:pPr>
      <w:tabs>
        <w:tab w:val="left" w:pos="2160"/>
      </w:tabs>
      <w:spacing w:after="220"/>
      <w:ind w:left="2160" w:hanging="720"/>
    </w:pPr>
  </w:style>
  <w:style w:type="paragraph" w:customStyle="1" w:styleId="TableFormat">
    <w:name w:val="TableFormat"/>
    <w:basedOn w:val="Bullet"/>
    <w:rsid w:val="00A72EE7"/>
    <w:pPr>
      <w:tabs>
        <w:tab w:val="clear" w:pos="2160"/>
        <w:tab w:val="left" w:pos="5040"/>
      </w:tabs>
      <w:ind w:left="5040" w:hanging="3600"/>
    </w:pPr>
  </w:style>
  <w:style w:type="paragraph" w:customStyle="1" w:styleId="TOCTitle">
    <w:name w:val="TOC Title"/>
    <w:basedOn w:val="Normal"/>
    <w:rsid w:val="00A72E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72EE7"/>
    <w:pPr>
      <w:jc w:val="center"/>
    </w:pPr>
    <w:rPr>
      <w:rFonts w:ascii="Times New Roman Bold" w:hAnsi="Times New Roman Bold"/>
      <w:b/>
      <w:bCs/>
      <w:caps/>
      <w:szCs w:val="22"/>
    </w:rPr>
  </w:style>
  <w:style w:type="character" w:styleId="Hyperlink">
    <w:name w:val="Hyperlink"/>
    <w:rsid w:val="00A72EE7"/>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A004F7"/>
  </w:style>
  <w:style w:type="character" w:customStyle="1" w:styleId="ParaNumChar">
    <w:name w:val="ParaNum Char"/>
    <w:link w:val="ParaNum"/>
    <w:rsid w:val="00A004F7"/>
    <w:rPr>
      <w:snapToGrid w:val="0"/>
      <w:kern w:val="28"/>
      <w:sz w:val="22"/>
    </w:rPr>
  </w:style>
  <w:style w:type="paragraph" w:styleId="BalloonText">
    <w:name w:val="Balloon Text"/>
    <w:basedOn w:val="Normal"/>
    <w:link w:val="BalloonTextChar"/>
    <w:rsid w:val="00036FAC"/>
    <w:rPr>
      <w:rFonts w:ascii="Tahoma" w:hAnsi="Tahoma" w:cs="Tahoma"/>
      <w:sz w:val="16"/>
      <w:szCs w:val="16"/>
    </w:rPr>
  </w:style>
  <w:style w:type="character" w:customStyle="1" w:styleId="BalloonTextChar">
    <w:name w:val="Balloon Text Char"/>
    <w:basedOn w:val="DefaultParagraphFont"/>
    <w:link w:val="BalloonText"/>
    <w:rsid w:val="00036FAC"/>
    <w:rPr>
      <w:rFonts w:ascii="Tahoma" w:hAnsi="Tahoma" w:cs="Tahoma"/>
      <w:snapToGrid w:val="0"/>
      <w:kern w:val="28"/>
      <w:sz w:val="16"/>
      <w:szCs w:val="16"/>
    </w:rPr>
  </w:style>
  <w:style w:type="character" w:styleId="CommentReference">
    <w:name w:val="annotation reference"/>
    <w:basedOn w:val="DefaultParagraphFont"/>
    <w:rsid w:val="004F4254"/>
    <w:rPr>
      <w:sz w:val="16"/>
      <w:szCs w:val="16"/>
    </w:rPr>
  </w:style>
  <w:style w:type="paragraph" w:styleId="CommentText">
    <w:name w:val="annotation text"/>
    <w:basedOn w:val="Normal"/>
    <w:link w:val="CommentTextChar"/>
    <w:rsid w:val="004F4254"/>
    <w:rPr>
      <w:sz w:val="20"/>
    </w:rPr>
  </w:style>
  <w:style w:type="character" w:customStyle="1" w:styleId="CommentTextChar">
    <w:name w:val="Comment Text Char"/>
    <w:basedOn w:val="DefaultParagraphFont"/>
    <w:link w:val="CommentText"/>
    <w:rsid w:val="004F4254"/>
    <w:rPr>
      <w:snapToGrid w:val="0"/>
      <w:kern w:val="28"/>
    </w:rPr>
  </w:style>
  <w:style w:type="paragraph" w:styleId="CommentSubject">
    <w:name w:val="annotation subject"/>
    <w:basedOn w:val="CommentText"/>
    <w:next w:val="CommentText"/>
    <w:link w:val="CommentSubjectChar"/>
    <w:rsid w:val="004F4254"/>
    <w:rPr>
      <w:b/>
      <w:bCs/>
    </w:rPr>
  </w:style>
  <w:style w:type="character" w:customStyle="1" w:styleId="CommentSubjectChar">
    <w:name w:val="Comment Subject Char"/>
    <w:basedOn w:val="CommentTextChar"/>
    <w:link w:val="CommentSubject"/>
    <w:rsid w:val="004F4254"/>
    <w:rPr>
      <w:b/>
      <w:bCs/>
      <w:snapToGrid w:val="0"/>
      <w:kern w:val="28"/>
    </w:rPr>
  </w:style>
  <w:style w:type="paragraph" w:styleId="ListParagraph">
    <w:name w:val="List Paragraph"/>
    <w:basedOn w:val="Normal"/>
    <w:uiPriority w:val="34"/>
    <w:qFormat/>
    <w:rsid w:val="00F02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26744">
      <w:bodyDiv w:val="1"/>
      <w:marLeft w:val="0"/>
      <w:marRight w:val="0"/>
      <w:marTop w:val="0"/>
      <w:marBottom w:val="0"/>
      <w:divBdr>
        <w:top w:val="none" w:sz="0" w:space="0" w:color="auto"/>
        <w:left w:val="none" w:sz="0" w:space="0" w:color="auto"/>
        <w:bottom w:val="none" w:sz="0" w:space="0" w:color="auto"/>
        <w:right w:val="none" w:sz="0" w:space="0" w:color="auto"/>
      </w:divBdr>
    </w:div>
    <w:div w:id="1199512611">
      <w:bodyDiv w:val="1"/>
      <w:marLeft w:val="0"/>
      <w:marRight w:val="0"/>
      <w:marTop w:val="0"/>
      <w:marBottom w:val="0"/>
      <w:divBdr>
        <w:top w:val="none" w:sz="0" w:space="0" w:color="auto"/>
        <w:left w:val="none" w:sz="0" w:space="0" w:color="auto"/>
        <w:bottom w:val="none" w:sz="0" w:space="0" w:color="auto"/>
        <w:right w:val="none" w:sz="0" w:space="0" w:color="auto"/>
      </w:divBdr>
      <w:divsChild>
        <w:div w:id="1632981847">
          <w:marLeft w:val="0"/>
          <w:marRight w:val="0"/>
          <w:marTop w:val="0"/>
          <w:marBottom w:val="0"/>
          <w:divBdr>
            <w:top w:val="none" w:sz="0" w:space="0" w:color="auto"/>
            <w:left w:val="single" w:sz="6" w:space="0" w:color="BBBBBB"/>
            <w:bottom w:val="single" w:sz="6" w:space="0" w:color="BBBBBB"/>
            <w:right w:val="single" w:sz="6" w:space="0" w:color="BBBBBB"/>
          </w:divBdr>
          <w:divsChild>
            <w:div w:id="1932738540">
              <w:marLeft w:val="0"/>
              <w:marRight w:val="0"/>
              <w:marTop w:val="0"/>
              <w:marBottom w:val="0"/>
              <w:divBdr>
                <w:top w:val="none" w:sz="0" w:space="0" w:color="auto"/>
                <w:left w:val="none" w:sz="0" w:space="0" w:color="auto"/>
                <w:bottom w:val="none" w:sz="0" w:space="0" w:color="auto"/>
                <w:right w:val="none" w:sz="0" w:space="0" w:color="auto"/>
              </w:divBdr>
              <w:divsChild>
                <w:div w:id="1099520666">
                  <w:marLeft w:val="0"/>
                  <w:marRight w:val="0"/>
                  <w:marTop w:val="0"/>
                  <w:marBottom w:val="0"/>
                  <w:divBdr>
                    <w:top w:val="none" w:sz="0" w:space="0" w:color="auto"/>
                    <w:left w:val="none" w:sz="0" w:space="0" w:color="auto"/>
                    <w:bottom w:val="none" w:sz="0" w:space="0" w:color="auto"/>
                    <w:right w:val="none" w:sz="0" w:space="0" w:color="auto"/>
                  </w:divBdr>
                  <w:divsChild>
                    <w:div w:id="346444651">
                      <w:marLeft w:val="0"/>
                      <w:marRight w:val="0"/>
                      <w:marTop w:val="0"/>
                      <w:marBottom w:val="0"/>
                      <w:divBdr>
                        <w:top w:val="none" w:sz="0" w:space="0" w:color="auto"/>
                        <w:left w:val="none" w:sz="0" w:space="0" w:color="auto"/>
                        <w:bottom w:val="none" w:sz="0" w:space="0" w:color="auto"/>
                        <w:right w:val="none" w:sz="0" w:space="0" w:color="auto"/>
                      </w:divBdr>
                      <w:divsChild>
                        <w:div w:id="1675959208">
                          <w:marLeft w:val="0"/>
                          <w:marRight w:val="0"/>
                          <w:marTop w:val="0"/>
                          <w:marBottom w:val="0"/>
                          <w:divBdr>
                            <w:top w:val="none" w:sz="0" w:space="0" w:color="auto"/>
                            <w:left w:val="none" w:sz="0" w:space="0" w:color="auto"/>
                            <w:bottom w:val="none" w:sz="0" w:space="0" w:color="auto"/>
                            <w:right w:val="none" w:sz="0" w:space="0" w:color="auto"/>
                          </w:divBdr>
                          <w:divsChild>
                            <w:div w:id="1094210515">
                              <w:marLeft w:val="0"/>
                              <w:marRight w:val="0"/>
                              <w:marTop w:val="0"/>
                              <w:marBottom w:val="0"/>
                              <w:divBdr>
                                <w:top w:val="none" w:sz="0" w:space="0" w:color="auto"/>
                                <w:left w:val="none" w:sz="0" w:space="0" w:color="auto"/>
                                <w:bottom w:val="none" w:sz="0" w:space="0" w:color="auto"/>
                                <w:right w:val="none" w:sz="0" w:space="0" w:color="auto"/>
                              </w:divBdr>
                              <w:divsChild>
                                <w:div w:id="327947841">
                                  <w:marLeft w:val="0"/>
                                  <w:marRight w:val="0"/>
                                  <w:marTop w:val="0"/>
                                  <w:marBottom w:val="0"/>
                                  <w:divBdr>
                                    <w:top w:val="none" w:sz="0" w:space="0" w:color="auto"/>
                                    <w:left w:val="none" w:sz="0" w:space="0" w:color="auto"/>
                                    <w:bottom w:val="none" w:sz="0" w:space="0" w:color="auto"/>
                                    <w:right w:val="none" w:sz="0" w:space="0" w:color="auto"/>
                                  </w:divBdr>
                                  <w:divsChild>
                                    <w:div w:id="1893468311">
                                      <w:marLeft w:val="0"/>
                                      <w:marRight w:val="0"/>
                                      <w:marTop w:val="0"/>
                                      <w:marBottom w:val="0"/>
                                      <w:divBdr>
                                        <w:top w:val="none" w:sz="0" w:space="0" w:color="auto"/>
                                        <w:left w:val="none" w:sz="0" w:space="0" w:color="auto"/>
                                        <w:bottom w:val="none" w:sz="0" w:space="0" w:color="auto"/>
                                        <w:right w:val="none" w:sz="0" w:space="0" w:color="auto"/>
                                      </w:divBdr>
                                      <w:divsChild>
                                        <w:div w:id="1494032339">
                                          <w:marLeft w:val="1200"/>
                                          <w:marRight w:val="1200"/>
                                          <w:marTop w:val="0"/>
                                          <w:marBottom w:val="0"/>
                                          <w:divBdr>
                                            <w:top w:val="none" w:sz="0" w:space="0" w:color="auto"/>
                                            <w:left w:val="none" w:sz="0" w:space="0" w:color="auto"/>
                                            <w:bottom w:val="none" w:sz="0" w:space="0" w:color="auto"/>
                                            <w:right w:val="none" w:sz="0" w:space="0" w:color="auto"/>
                                          </w:divBdr>
                                          <w:divsChild>
                                            <w:div w:id="1225218754">
                                              <w:marLeft w:val="0"/>
                                              <w:marRight w:val="0"/>
                                              <w:marTop w:val="0"/>
                                              <w:marBottom w:val="0"/>
                                              <w:divBdr>
                                                <w:top w:val="none" w:sz="0" w:space="0" w:color="auto"/>
                                                <w:left w:val="none" w:sz="0" w:space="0" w:color="auto"/>
                                                <w:bottom w:val="none" w:sz="0" w:space="0" w:color="auto"/>
                                                <w:right w:val="none" w:sz="0" w:space="0" w:color="auto"/>
                                              </w:divBdr>
                                              <w:divsChild>
                                                <w:div w:id="919631799">
                                                  <w:marLeft w:val="0"/>
                                                  <w:marRight w:val="0"/>
                                                  <w:marTop w:val="0"/>
                                                  <w:marBottom w:val="0"/>
                                                  <w:divBdr>
                                                    <w:top w:val="none" w:sz="0" w:space="0" w:color="auto"/>
                                                    <w:left w:val="none" w:sz="0" w:space="0" w:color="auto"/>
                                                    <w:bottom w:val="none" w:sz="0" w:space="0" w:color="auto"/>
                                                    <w:right w:val="none" w:sz="0" w:space="0" w:color="auto"/>
                                                  </w:divBdr>
                                                  <w:divsChild>
                                                    <w:div w:id="1518041812">
                                                      <w:marLeft w:val="0"/>
                                                      <w:marRight w:val="0"/>
                                                      <w:marTop w:val="0"/>
                                                      <w:marBottom w:val="0"/>
                                                      <w:divBdr>
                                                        <w:top w:val="none" w:sz="0" w:space="0" w:color="auto"/>
                                                        <w:left w:val="none" w:sz="0" w:space="0" w:color="auto"/>
                                                        <w:bottom w:val="none" w:sz="0" w:space="0" w:color="auto"/>
                                                        <w:right w:val="none" w:sz="0" w:space="0" w:color="auto"/>
                                                      </w:divBdr>
                                                      <w:divsChild>
                                                        <w:div w:id="5740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12&amp;db=4493&amp;tc=-1&amp;rp=%2ffind%2fdefault.wl&amp;findtype=Y&amp;ordoc=2016889560&amp;serialnum=1999289255&amp;vr=2.0&amp;fn=_top&amp;sv=Split&amp;tf=-1&amp;referencepositiontype=S&amp;pbc=B017CA51&amp;referenceposition=17539&amp;rs=WLW14.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952</Words>
  <Characters>5319</Characters>
  <Application>Microsoft Office Word</Application>
  <DocSecurity>0</DocSecurity>
  <Lines>110</Lines>
  <Paragraphs>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6318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2014-09-10T19:23:00Z</cp:lastPrinted>
  <dcterms:created xsi:type="dcterms:W3CDTF">2014-10-27T13:38:00Z</dcterms:created>
  <dcterms:modified xsi:type="dcterms:W3CDTF">2014-10-27T13:38:00Z</dcterms:modified>
  <cp:category> </cp:category>
  <cp:contentStatus> </cp:contentStatus>
</cp:coreProperties>
</file>