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23E2E" w14:textId="77777777" w:rsidR="00E273E3" w:rsidRPr="00B86957" w:rsidRDefault="00E273E3" w:rsidP="002659F3">
      <w:pPr>
        <w:jc w:val="center"/>
        <w:rPr>
          <w:b/>
          <w:szCs w:val="22"/>
        </w:rPr>
      </w:pPr>
      <w:bookmarkStart w:id="0" w:name="_GoBack"/>
      <w:bookmarkEnd w:id="0"/>
      <w:r w:rsidRPr="00B86957">
        <w:rPr>
          <w:b/>
          <w:szCs w:val="22"/>
        </w:rPr>
        <w:t>Before the</w:t>
      </w:r>
    </w:p>
    <w:p w14:paraId="2D382D5C" w14:textId="77777777" w:rsidR="00E273E3" w:rsidRPr="00B86957" w:rsidRDefault="00E273E3" w:rsidP="002659F3">
      <w:pPr>
        <w:pStyle w:val="StyleBoldCentered"/>
        <w:rPr>
          <w:rFonts w:ascii="Times New Roman" w:hAnsi="Times New Roman"/>
        </w:rPr>
      </w:pPr>
      <w:r w:rsidRPr="00B86957">
        <w:rPr>
          <w:rFonts w:ascii="Times New Roman" w:hAnsi="Times New Roman"/>
        </w:rPr>
        <w:t>F</w:t>
      </w:r>
      <w:r w:rsidRPr="00B86957">
        <w:rPr>
          <w:rFonts w:ascii="Times New Roman" w:hAnsi="Times New Roman"/>
          <w:caps w:val="0"/>
        </w:rPr>
        <w:t>ederal Communications Commission</w:t>
      </w:r>
    </w:p>
    <w:p w14:paraId="5F30FEEB" w14:textId="77777777" w:rsidR="00E273E3" w:rsidRPr="00B86957" w:rsidRDefault="00E273E3" w:rsidP="002659F3">
      <w:pPr>
        <w:pStyle w:val="StyleBoldCentered"/>
        <w:rPr>
          <w:rFonts w:ascii="Times New Roman" w:hAnsi="Times New Roman"/>
        </w:rPr>
      </w:pPr>
      <w:r w:rsidRPr="00B86957">
        <w:rPr>
          <w:rFonts w:ascii="Times New Roman" w:hAnsi="Times New Roman"/>
          <w:caps w:val="0"/>
        </w:rPr>
        <w:t>Washington</w:t>
      </w:r>
      <w:r w:rsidRPr="00B86957">
        <w:rPr>
          <w:rFonts w:ascii="Times New Roman" w:hAnsi="Times New Roman"/>
        </w:rPr>
        <w:t>, D.C. 20554</w:t>
      </w:r>
    </w:p>
    <w:p w14:paraId="75B0736B" w14:textId="77777777" w:rsidR="00E273E3" w:rsidRPr="00B86957" w:rsidRDefault="00E273E3" w:rsidP="002659F3">
      <w:pPr>
        <w:rPr>
          <w:szCs w:val="22"/>
        </w:rPr>
      </w:pPr>
    </w:p>
    <w:tbl>
      <w:tblPr>
        <w:tblW w:w="0" w:type="auto"/>
        <w:tblLayout w:type="fixed"/>
        <w:tblLook w:val="0000" w:firstRow="0" w:lastRow="0" w:firstColumn="0" w:lastColumn="0" w:noHBand="0" w:noVBand="0"/>
      </w:tblPr>
      <w:tblGrid>
        <w:gridCol w:w="4698"/>
        <w:gridCol w:w="630"/>
        <w:gridCol w:w="4248"/>
      </w:tblGrid>
      <w:tr w:rsidR="00E273E3" w:rsidRPr="00B86957" w14:paraId="717793EC" w14:textId="77777777">
        <w:tc>
          <w:tcPr>
            <w:tcW w:w="4698" w:type="dxa"/>
          </w:tcPr>
          <w:p w14:paraId="0D48C3A4" w14:textId="77777777" w:rsidR="00E273E3" w:rsidRPr="00B86957" w:rsidRDefault="00E273E3" w:rsidP="002659F3">
            <w:pPr>
              <w:suppressAutoHyphens/>
              <w:rPr>
                <w:spacing w:val="-2"/>
                <w:szCs w:val="22"/>
              </w:rPr>
            </w:pPr>
            <w:r w:rsidRPr="00B86957">
              <w:rPr>
                <w:spacing w:val="-2"/>
                <w:szCs w:val="22"/>
              </w:rPr>
              <w:t>In the Matter of</w:t>
            </w:r>
          </w:p>
          <w:p w14:paraId="3B86101E" w14:textId="77777777" w:rsidR="00E273E3" w:rsidRPr="00B86957" w:rsidRDefault="00E273E3" w:rsidP="002659F3">
            <w:pPr>
              <w:suppressAutoHyphens/>
              <w:rPr>
                <w:spacing w:val="-2"/>
                <w:szCs w:val="22"/>
              </w:rPr>
            </w:pPr>
          </w:p>
          <w:p w14:paraId="212528D1" w14:textId="77777777" w:rsidR="00E273E3" w:rsidRPr="00B86957" w:rsidRDefault="00E273E3" w:rsidP="002659F3">
            <w:pPr>
              <w:suppressAutoHyphens/>
              <w:rPr>
                <w:spacing w:val="-2"/>
                <w:szCs w:val="22"/>
              </w:rPr>
            </w:pPr>
            <w:r w:rsidRPr="00B86957">
              <w:rPr>
                <w:spacing w:val="-2"/>
                <w:szCs w:val="22"/>
              </w:rPr>
              <w:t xml:space="preserve">Indigo Wireless, Inc. </w:t>
            </w:r>
          </w:p>
        </w:tc>
        <w:tc>
          <w:tcPr>
            <w:tcW w:w="630" w:type="dxa"/>
          </w:tcPr>
          <w:p w14:paraId="299B8C34" w14:textId="77777777" w:rsidR="00E273E3" w:rsidRPr="00B86957" w:rsidRDefault="00E273E3" w:rsidP="002659F3">
            <w:pPr>
              <w:suppressAutoHyphens/>
              <w:rPr>
                <w:spacing w:val="-2"/>
                <w:szCs w:val="22"/>
              </w:rPr>
            </w:pPr>
            <w:r w:rsidRPr="00B86957">
              <w:rPr>
                <w:spacing w:val="-2"/>
                <w:szCs w:val="22"/>
              </w:rPr>
              <w:t>)</w:t>
            </w:r>
          </w:p>
          <w:p w14:paraId="4F5E7C29" w14:textId="77777777" w:rsidR="00E273E3" w:rsidRPr="00B86957" w:rsidRDefault="00E273E3" w:rsidP="002659F3">
            <w:pPr>
              <w:suppressAutoHyphens/>
              <w:rPr>
                <w:spacing w:val="-2"/>
                <w:szCs w:val="22"/>
              </w:rPr>
            </w:pPr>
            <w:r w:rsidRPr="00B86957">
              <w:rPr>
                <w:spacing w:val="-2"/>
                <w:szCs w:val="22"/>
              </w:rPr>
              <w:t>)</w:t>
            </w:r>
          </w:p>
          <w:p w14:paraId="76CDFF7E" w14:textId="77777777" w:rsidR="00E273E3" w:rsidRPr="00B86957" w:rsidRDefault="00E273E3" w:rsidP="002659F3">
            <w:pPr>
              <w:suppressAutoHyphens/>
              <w:rPr>
                <w:spacing w:val="-2"/>
                <w:szCs w:val="22"/>
              </w:rPr>
            </w:pPr>
            <w:r w:rsidRPr="00B86957">
              <w:rPr>
                <w:spacing w:val="-2"/>
                <w:szCs w:val="22"/>
              </w:rPr>
              <w:t>)</w:t>
            </w:r>
          </w:p>
          <w:p w14:paraId="57CF735E" w14:textId="77777777" w:rsidR="00E273E3" w:rsidRPr="00B86957" w:rsidRDefault="00E273E3" w:rsidP="002659F3">
            <w:pPr>
              <w:suppressAutoHyphens/>
              <w:rPr>
                <w:spacing w:val="-2"/>
                <w:szCs w:val="22"/>
              </w:rPr>
            </w:pPr>
            <w:r w:rsidRPr="00B86957">
              <w:rPr>
                <w:spacing w:val="-2"/>
                <w:szCs w:val="22"/>
              </w:rPr>
              <w:t>)</w:t>
            </w:r>
          </w:p>
          <w:p w14:paraId="4C89BAE2" w14:textId="77777777" w:rsidR="00E273E3" w:rsidRPr="00B86957" w:rsidRDefault="00E273E3" w:rsidP="002659F3">
            <w:pPr>
              <w:suppressAutoHyphens/>
              <w:rPr>
                <w:spacing w:val="-2"/>
                <w:szCs w:val="22"/>
              </w:rPr>
            </w:pPr>
            <w:r w:rsidRPr="00B86957">
              <w:rPr>
                <w:spacing w:val="-2"/>
                <w:szCs w:val="22"/>
              </w:rPr>
              <w:t>)</w:t>
            </w:r>
          </w:p>
          <w:p w14:paraId="5AD352DB" w14:textId="77777777" w:rsidR="00E273E3" w:rsidRPr="00B86957" w:rsidRDefault="00E273E3" w:rsidP="002659F3">
            <w:pPr>
              <w:suppressAutoHyphens/>
              <w:rPr>
                <w:spacing w:val="-2"/>
                <w:szCs w:val="22"/>
              </w:rPr>
            </w:pPr>
            <w:r w:rsidRPr="00B86957">
              <w:rPr>
                <w:spacing w:val="-2"/>
                <w:szCs w:val="22"/>
              </w:rPr>
              <w:t>)</w:t>
            </w:r>
          </w:p>
          <w:p w14:paraId="781E84D4" w14:textId="77777777" w:rsidR="00E273E3" w:rsidRPr="00B86957" w:rsidRDefault="00E273E3" w:rsidP="002659F3">
            <w:pPr>
              <w:suppressAutoHyphens/>
              <w:rPr>
                <w:spacing w:val="-2"/>
                <w:szCs w:val="22"/>
              </w:rPr>
            </w:pPr>
            <w:r w:rsidRPr="00B86957">
              <w:rPr>
                <w:spacing w:val="-2"/>
                <w:szCs w:val="22"/>
              </w:rPr>
              <w:t>)</w:t>
            </w:r>
          </w:p>
        </w:tc>
        <w:tc>
          <w:tcPr>
            <w:tcW w:w="4248" w:type="dxa"/>
          </w:tcPr>
          <w:p w14:paraId="45DAC116" w14:textId="77777777" w:rsidR="00315C0E" w:rsidRPr="00B86957" w:rsidRDefault="00315C0E" w:rsidP="00EE05DB">
            <w:pPr>
              <w:suppressAutoHyphens/>
              <w:ind w:left="432"/>
              <w:rPr>
                <w:spacing w:val="-2"/>
                <w:szCs w:val="22"/>
              </w:rPr>
            </w:pPr>
          </w:p>
          <w:p w14:paraId="742E3D6F" w14:textId="77777777" w:rsidR="00315C0E" w:rsidRPr="00B86957" w:rsidRDefault="00315C0E" w:rsidP="00EE05DB">
            <w:pPr>
              <w:suppressAutoHyphens/>
              <w:ind w:left="432"/>
              <w:rPr>
                <w:spacing w:val="-2"/>
                <w:szCs w:val="22"/>
              </w:rPr>
            </w:pPr>
          </w:p>
          <w:p w14:paraId="2CF7C05D" w14:textId="77777777" w:rsidR="00E273E3" w:rsidRPr="00B86957" w:rsidRDefault="00E273E3" w:rsidP="00EE05DB">
            <w:pPr>
              <w:suppressAutoHyphens/>
              <w:ind w:left="432"/>
              <w:rPr>
                <w:spacing w:val="-2"/>
                <w:szCs w:val="22"/>
              </w:rPr>
            </w:pPr>
            <w:r w:rsidRPr="00B86957">
              <w:rPr>
                <w:spacing w:val="-2"/>
                <w:szCs w:val="22"/>
              </w:rPr>
              <w:t>File No.:  EB-SED-13-00009306</w:t>
            </w:r>
          </w:p>
          <w:p w14:paraId="379B7EFC" w14:textId="77777777" w:rsidR="00E273E3" w:rsidRPr="00B86957" w:rsidRDefault="00E273E3" w:rsidP="00EE05DB">
            <w:pPr>
              <w:suppressAutoHyphens/>
              <w:ind w:left="432"/>
              <w:rPr>
                <w:spacing w:val="-2"/>
                <w:szCs w:val="22"/>
              </w:rPr>
            </w:pPr>
          </w:p>
          <w:p w14:paraId="63636329" w14:textId="77777777" w:rsidR="00E273E3" w:rsidRPr="00B86957" w:rsidRDefault="00E273E3" w:rsidP="00EE05DB">
            <w:pPr>
              <w:suppressAutoHyphens/>
              <w:ind w:left="432"/>
              <w:rPr>
                <w:spacing w:val="-2"/>
                <w:szCs w:val="22"/>
              </w:rPr>
            </w:pPr>
            <w:r w:rsidRPr="00B86957">
              <w:rPr>
                <w:spacing w:val="-2"/>
                <w:szCs w:val="22"/>
              </w:rPr>
              <w:t>NAL/Acct. No.:  201132100018</w:t>
            </w:r>
          </w:p>
          <w:p w14:paraId="76DFFF06" w14:textId="77777777" w:rsidR="00E273E3" w:rsidRPr="00B86957" w:rsidRDefault="00E273E3" w:rsidP="00EE05DB">
            <w:pPr>
              <w:suppressAutoHyphens/>
              <w:ind w:left="432"/>
              <w:rPr>
                <w:spacing w:val="-2"/>
                <w:szCs w:val="22"/>
              </w:rPr>
            </w:pPr>
          </w:p>
          <w:p w14:paraId="0A476EF0" w14:textId="77777777" w:rsidR="00E273E3" w:rsidRPr="00B86957" w:rsidRDefault="00E273E3" w:rsidP="00EE05DB">
            <w:pPr>
              <w:suppressAutoHyphens/>
              <w:ind w:left="432"/>
              <w:rPr>
                <w:spacing w:val="-2"/>
                <w:szCs w:val="22"/>
              </w:rPr>
            </w:pPr>
            <w:r w:rsidRPr="00B86957">
              <w:rPr>
                <w:spacing w:val="-2"/>
                <w:szCs w:val="22"/>
              </w:rPr>
              <w:t>FRN:  0009120999</w:t>
            </w:r>
          </w:p>
        </w:tc>
      </w:tr>
    </w:tbl>
    <w:p w14:paraId="1372C16B" w14:textId="77777777" w:rsidR="00E273E3" w:rsidRPr="00B86957" w:rsidRDefault="00E273E3" w:rsidP="002659F3">
      <w:pPr>
        <w:rPr>
          <w:szCs w:val="22"/>
        </w:rPr>
      </w:pPr>
    </w:p>
    <w:p w14:paraId="3472E2F0" w14:textId="77777777" w:rsidR="00E273E3" w:rsidRPr="00B86957" w:rsidRDefault="00315C0E" w:rsidP="002659F3">
      <w:pPr>
        <w:pStyle w:val="StyleBoldCentered"/>
        <w:spacing w:after="220"/>
        <w:rPr>
          <w:rFonts w:ascii="Times New Roman" w:hAnsi="Times New Roman"/>
        </w:rPr>
      </w:pPr>
      <w:r w:rsidRPr="00B86957">
        <w:rPr>
          <w:rFonts w:ascii="Times New Roman" w:hAnsi="Times New Roman"/>
        </w:rPr>
        <w:t>Memorandum Opinion and</w:t>
      </w:r>
      <w:r w:rsidR="00E273E3" w:rsidRPr="00B86957">
        <w:rPr>
          <w:rFonts w:ascii="Times New Roman" w:hAnsi="Times New Roman"/>
        </w:rPr>
        <w:t xml:space="preserve"> ORDER</w:t>
      </w:r>
    </w:p>
    <w:p w14:paraId="3678EC73" w14:textId="32D1FDE6" w:rsidR="00E273E3" w:rsidRPr="00B86957" w:rsidRDefault="00E273E3" w:rsidP="00226191">
      <w:pPr>
        <w:tabs>
          <w:tab w:val="right" w:pos="9360"/>
        </w:tabs>
        <w:suppressAutoHyphens/>
        <w:rPr>
          <w:spacing w:val="-2"/>
          <w:szCs w:val="22"/>
        </w:rPr>
      </w:pPr>
      <w:r w:rsidRPr="00B86957">
        <w:rPr>
          <w:b/>
          <w:spacing w:val="-2"/>
          <w:szCs w:val="22"/>
        </w:rPr>
        <w:t xml:space="preserve">Adopted:  </w:t>
      </w:r>
      <w:r w:rsidR="005431CD">
        <w:rPr>
          <w:b/>
          <w:spacing w:val="-2"/>
          <w:szCs w:val="22"/>
        </w:rPr>
        <w:t>November 5</w:t>
      </w:r>
      <w:r w:rsidR="00315C0E" w:rsidRPr="00B86957">
        <w:rPr>
          <w:b/>
          <w:spacing w:val="-2"/>
          <w:szCs w:val="22"/>
        </w:rPr>
        <w:t>, 2014</w:t>
      </w:r>
      <w:r w:rsidR="00315C0E" w:rsidRPr="00B86957">
        <w:rPr>
          <w:b/>
          <w:spacing w:val="-2"/>
          <w:szCs w:val="22"/>
        </w:rPr>
        <w:tab/>
        <w:t xml:space="preserve">Released:  </w:t>
      </w:r>
      <w:r w:rsidR="005431CD">
        <w:rPr>
          <w:b/>
          <w:spacing w:val="-2"/>
          <w:szCs w:val="22"/>
        </w:rPr>
        <w:t>November 6</w:t>
      </w:r>
      <w:r w:rsidRPr="00B86957">
        <w:rPr>
          <w:b/>
          <w:spacing w:val="-2"/>
          <w:szCs w:val="22"/>
        </w:rPr>
        <w:t>, 2014</w:t>
      </w:r>
    </w:p>
    <w:p w14:paraId="5813DAC2" w14:textId="77777777" w:rsidR="00E273E3" w:rsidRPr="00B86957" w:rsidRDefault="00E273E3" w:rsidP="00EE05DB">
      <w:pPr>
        <w:jc w:val="center"/>
        <w:rPr>
          <w:szCs w:val="22"/>
        </w:rPr>
      </w:pPr>
    </w:p>
    <w:p w14:paraId="0CBC1C4C" w14:textId="77777777" w:rsidR="00E273E3" w:rsidRPr="00B86957" w:rsidRDefault="00E273E3" w:rsidP="002659F3">
      <w:pPr>
        <w:rPr>
          <w:spacing w:val="-2"/>
          <w:szCs w:val="22"/>
        </w:rPr>
      </w:pPr>
      <w:r w:rsidRPr="00B86957">
        <w:rPr>
          <w:szCs w:val="22"/>
        </w:rPr>
        <w:t xml:space="preserve">By the </w:t>
      </w:r>
      <w:r w:rsidR="00315C0E" w:rsidRPr="00B86957">
        <w:rPr>
          <w:szCs w:val="22"/>
        </w:rPr>
        <w:t>Commission</w:t>
      </w:r>
      <w:r w:rsidRPr="00B86957">
        <w:rPr>
          <w:spacing w:val="-2"/>
          <w:szCs w:val="22"/>
        </w:rPr>
        <w:t>:</w:t>
      </w:r>
    </w:p>
    <w:p w14:paraId="27963E97" w14:textId="77777777" w:rsidR="00E273E3" w:rsidRPr="00B86957" w:rsidRDefault="00E273E3" w:rsidP="002659F3">
      <w:pPr>
        <w:rPr>
          <w:spacing w:val="-2"/>
          <w:szCs w:val="22"/>
        </w:rPr>
      </w:pPr>
    </w:p>
    <w:p w14:paraId="49EBFC6C" w14:textId="14A3F288" w:rsidR="00315C0E" w:rsidRPr="00B86957" w:rsidRDefault="00315C0E" w:rsidP="00963AE9">
      <w:pPr>
        <w:pStyle w:val="ParaNum"/>
      </w:pPr>
      <w:r w:rsidRPr="00B86957">
        <w:t>We deny the Application for Review filed by Indigo Wireless, Inc. (Indigo Wireless) challenging the Enforcement Bureau’s assessment of a $39,000 forfeiture for</w:t>
      </w:r>
      <w:r w:rsidR="00CA31ED" w:rsidRPr="00B86957">
        <w:t xml:space="preserve"> Indigo Wireless’s</w:t>
      </w:r>
      <w:r w:rsidRPr="00B86957">
        <w:t xml:space="preserve"> fail</w:t>
      </w:r>
      <w:r w:rsidR="00CA31ED" w:rsidRPr="00B86957">
        <w:t>ure</w:t>
      </w:r>
      <w:r w:rsidRPr="00B86957">
        <w:t xml:space="preserve"> to offer consumers the required number or percentage of digital wireless handset models that met or exceeded the radio frequency interference standards for hearing aid compatibility</w:t>
      </w:r>
      <w:r w:rsidRPr="00B86957">
        <w:rPr>
          <w:color w:val="000000"/>
        </w:rPr>
        <w:t xml:space="preserve"> in 2009.  </w:t>
      </w:r>
      <w:r w:rsidR="004725D1">
        <w:t>The Commission</w:t>
      </w:r>
      <w:r w:rsidR="00A55CBB">
        <w:t xml:space="preserve"> adopted the</w:t>
      </w:r>
      <w:r w:rsidR="004725D1">
        <w:t xml:space="preserve"> hearing aid compatibility rules </w:t>
      </w:r>
      <w:r w:rsidR="00A55CBB">
        <w:t>t</w:t>
      </w:r>
      <w:r w:rsidR="004725D1">
        <w:t xml:space="preserve">o enhance the ability of consumers with hearing loss to access digital wireless telecommunications.  </w:t>
      </w:r>
      <w:r w:rsidR="00A55CBB">
        <w:t>Those</w:t>
      </w:r>
      <w:r w:rsidR="004725D1">
        <w:t xml:space="preserve"> rules recognized the immediate need for such access and determined that individuals with hearing loss should not be denied the public safety and convenience benefits of digital wireless telephones.  </w:t>
      </w:r>
    </w:p>
    <w:p w14:paraId="7D3FA5B4" w14:textId="77777777" w:rsidR="00315C0E" w:rsidRPr="00B86957" w:rsidRDefault="00E273E3" w:rsidP="00963AE9">
      <w:pPr>
        <w:pStyle w:val="ParaNum"/>
      </w:pPr>
      <w:r w:rsidRPr="00B86957">
        <w:t xml:space="preserve">On </w:t>
      </w:r>
      <w:r w:rsidR="00315C0E" w:rsidRPr="00B86957">
        <w:t>June 20</w:t>
      </w:r>
      <w:r w:rsidRPr="00B86957">
        <w:t>, 201</w:t>
      </w:r>
      <w:r w:rsidR="00315C0E" w:rsidRPr="00B86957">
        <w:t>4</w:t>
      </w:r>
      <w:r w:rsidRPr="00B86957">
        <w:t xml:space="preserve">, the Enforcement Bureau </w:t>
      </w:r>
      <w:r w:rsidR="00CA31ED" w:rsidRPr="00B86957">
        <w:t xml:space="preserve">(Bureau) </w:t>
      </w:r>
      <w:r w:rsidRPr="00B86957">
        <w:t xml:space="preserve">issued a </w:t>
      </w:r>
      <w:r w:rsidR="00315C0E" w:rsidRPr="00B86957">
        <w:t xml:space="preserve">Forfeiture Order </w:t>
      </w:r>
      <w:r w:rsidR="008719AC" w:rsidRPr="00B86957">
        <w:t xml:space="preserve">against Indigo Wireless </w:t>
      </w:r>
      <w:r w:rsidR="00315C0E" w:rsidRPr="00B86957">
        <w:t xml:space="preserve">assessing a $39,000 </w:t>
      </w:r>
      <w:r w:rsidR="0021197D" w:rsidRPr="00B86957">
        <w:t xml:space="preserve">forfeiture </w:t>
      </w:r>
      <w:r w:rsidR="00315C0E" w:rsidRPr="00B86957">
        <w:t>for its apparent willful and repeated violation of Section 20.19(c)(3)(ii) of the Commission’s rules (Rules)</w:t>
      </w:r>
      <w:r w:rsidR="00315C0E" w:rsidRPr="00B86957">
        <w:rPr>
          <w:rStyle w:val="FootnoteReference"/>
          <w:sz w:val="22"/>
          <w:szCs w:val="22"/>
        </w:rPr>
        <w:footnoteReference w:id="2"/>
      </w:r>
      <w:r w:rsidR="00315C0E" w:rsidRPr="00B86957">
        <w:t xml:space="preserve"> by failing </w:t>
      </w:r>
      <w:r w:rsidR="00315C0E" w:rsidRPr="00B86957">
        <w:rPr>
          <w:color w:val="000000"/>
        </w:rPr>
        <w:t xml:space="preserve">to offer the required </w:t>
      </w:r>
      <w:r w:rsidR="00315C0E" w:rsidRPr="00B86957">
        <w:rPr>
          <w:rFonts w:eastAsia="MS Mincho"/>
        </w:rPr>
        <w:t>number</w:t>
      </w:r>
      <w:r w:rsidR="00315C0E" w:rsidRPr="00B86957">
        <w:rPr>
          <w:color w:val="000000"/>
        </w:rPr>
        <w:t xml:space="preserve"> or percentage of hearing aid-compatible handset models that met or exceeded the M3 rating for nine months during the 2009 reporting period.</w:t>
      </w:r>
      <w:r w:rsidR="00CA31ED" w:rsidRPr="00B86957">
        <w:rPr>
          <w:rStyle w:val="FootnoteReference"/>
          <w:sz w:val="22"/>
          <w:szCs w:val="22"/>
        </w:rPr>
        <w:footnoteReference w:id="3"/>
      </w:r>
      <w:r w:rsidR="00EA3CDE" w:rsidRPr="00B86957">
        <w:rPr>
          <w:color w:val="000000"/>
        </w:rPr>
        <w:t xml:space="preserve">  </w:t>
      </w:r>
      <w:r w:rsidR="001253B7" w:rsidRPr="00B86957">
        <w:rPr>
          <w:color w:val="000000"/>
        </w:rPr>
        <w:t xml:space="preserve">The Bureau concluded that Indigo Wireless </w:t>
      </w:r>
      <w:r w:rsidR="00954C07">
        <w:rPr>
          <w:color w:val="000000"/>
        </w:rPr>
        <w:t xml:space="preserve">failed to meet the applicable handset model deployment benchmark by </w:t>
      </w:r>
      <w:r w:rsidR="001253B7" w:rsidRPr="00B86957">
        <w:rPr>
          <w:color w:val="000000"/>
        </w:rPr>
        <w:t>two handset</w:t>
      </w:r>
      <w:r w:rsidR="00954C07">
        <w:rPr>
          <w:color w:val="000000"/>
        </w:rPr>
        <w:t xml:space="preserve"> model</w:t>
      </w:r>
      <w:r w:rsidR="001253B7" w:rsidRPr="00B86957">
        <w:rPr>
          <w:color w:val="000000"/>
        </w:rPr>
        <w:t>s</w:t>
      </w:r>
      <w:r w:rsidR="00D32F31" w:rsidRPr="00B86957">
        <w:rPr>
          <w:color w:val="000000"/>
        </w:rPr>
        <w:t xml:space="preserve"> and </w:t>
      </w:r>
      <w:r w:rsidR="00954C07">
        <w:rPr>
          <w:color w:val="000000"/>
        </w:rPr>
        <w:t xml:space="preserve">that the proposed </w:t>
      </w:r>
      <w:r w:rsidR="00D32F31" w:rsidRPr="00B86957">
        <w:rPr>
          <w:color w:val="000000"/>
        </w:rPr>
        <w:t xml:space="preserve">upward </w:t>
      </w:r>
      <w:r w:rsidR="00024EAA">
        <w:rPr>
          <w:color w:val="000000"/>
        </w:rPr>
        <w:t xml:space="preserve">forfeiture </w:t>
      </w:r>
      <w:r w:rsidR="00D32F31" w:rsidRPr="00B86957">
        <w:rPr>
          <w:color w:val="000000"/>
        </w:rPr>
        <w:t>adjustment based on the duration of the violation was appropriate.</w:t>
      </w:r>
      <w:r w:rsidR="00D32F31" w:rsidRPr="00B86957">
        <w:rPr>
          <w:rStyle w:val="FootnoteReference"/>
          <w:sz w:val="22"/>
          <w:szCs w:val="22"/>
        </w:rPr>
        <w:footnoteReference w:id="4"/>
      </w:r>
      <w:r w:rsidR="00D32F31" w:rsidRPr="00B86957">
        <w:rPr>
          <w:color w:val="000000"/>
        </w:rPr>
        <w:t xml:space="preserve">  </w:t>
      </w:r>
    </w:p>
    <w:p w14:paraId="0DC4EEDE" w14:textId="2DB01D34" w:rsidR="00CA31ED" w:rsidRPr="00B86957" w:rsidRDefault="00CA31ED" w:rsidP="00BC7243">
      <w:pPr>
        <w:pStyle w:val="ParaNum"/>
        <w:widowControl/>
      </w:pPr>
      <w:r w:rsidRPr="00B86957">
        <w:t>On July 21, 2014, Indigo Wireless filed an Application for Review challenging the Bureau’s assessment of the $39,000 forfeiture.</w:t>
      </w:r>
      <w:r w:rsidR="00024EAA">
        <w:rPr>
          <w:rStyle w:val="FootnoteReference"/>
        </w:rPr>
        <w:footnoteReference w:id="5"/>
      </w:r>
      <w:r w:rsidRPr="00B86957">
        <w:t xml:space="preserve">  Indigo Wireless argues that the Bureau erred by “discount[ing] </w:t>
      </w:r>
      <w:r w:rsidR="001B2A39" w:rsidRPr="00B86957">
        <w:t>the diligent, good-faith efforts of a small service provider to faithfully comply with the Commission’s HAC rules in the absence of adequate official resources….”</w:t>
      </w:r>
      <w:r w:rsidR="001B2A39" w:rsidRPr="00B86957">
        <w:rPr>
          <w:rStyle w:val="FootnoteReference"/>
          <w:sz w:val="22"/>
          <w:szCs w:val="22"/>
        </w:rPr>
        <w:footnoteReference w:id="6"/>
      </w:r>
      <w:r w:rsidR="001B2A39" w:rsidRPr="00B86957">
        <w:t xml:space="preserve">  Indigo Wireless also argues that the Bureau “erroneously discounted” Indigo Wireless’s assertion </w:t>
      </w:r>
      <w:r w:rsidR="00024EAA">
        <w:t>that several contemporaneous Notices of Apparent Liability for Forfeiture</w:t>
      </w:r>
      <w:r w:rsidR="001B2A39" w:rsidRPr="00B86957">
        <w:t xml:space="preserve"> with “very similar HAC-related fact situations” had proposed </w:t>
      </w:r>
      <w:r w:rsidR="001B2A39" w:rsidRPr="00B86957">
        <w:lastRenderedPageBreak/>
        <w:t>lesser forfeitures.</w:t>
      </w:r>
      <w:r w:rsidR="001B2A39" w:rsidRPr="00B86957">
        <w:rPr>
          <w:rStyle w:val="FootnoteReference"/>
          <w:sz w:val="22"/>
          <w:szCs w:val="22"/>
        </w:rPr>
        <w:footnoteReference w:id="7"/>
      </w:r>
      <w:r w:rsidR="001B2A39" w:rsidRPr="00B86957">
        <w:t xml:space="preserve">  Finally, Indigo Wireless </w:t>
      </w:r>
      <w:r w:rsidR="00954C07">
        <w:t xml:space="preserve">generally references the company’s </w:t>
      </w:r>
      <w:r w:rsidR="00954C07" w:rsidRPr="00B86957">
        <w:t>“annual residential subscriber revenue”</w:t>
      </w:r>
      <w:r w:rsidR="00954C07">
        <w:t xml:space="preserve"> that it reported in </w:t>
      </w:r>
      <w:r w:rsidR="001B2A39" w:rsidRPr="00B86957">
        <w:t xml:space="preserve">its 2011 </w:t>
      </w:r>
      <w:r w:rsidR="0032281F">
        <w:t xml:space="preserve">FCC </w:t>
      </w:r>
      <w:r w:rsidR="001B2A39" w:rsidRPr="00B86957">
        <w:t xml:space="preserve">Form 499-A </w:t>
      </w:r>
      <w:r w:rsidR="00954C07">
        <w:t xml:space="preserve">Telecommunications Reporting Worksheet in an apparent effort </w:t>
      </w:r>
      <w:r w:rsidR="00A55CBB">
        <w:t xml:space="preserve">to </w:t>
      </w:r>
      <w:r w:rsidR="00954C07">
        <w:t xml:space="preserve">demonstrate </w:t>
      </w:r>
      <w:r w:rsidR="00B047E5" w:rsidRPr="00B86957">
        <w:t>an inability to pay t</w:t>
      </w:r>
      <w:r w:rsidR="001B2A39" w:rsidRPr="00B86957">
        <w:t xml:space="preserve">he </w:t>
      </w:r>
      <w:r w:rsidR="00954C07">
        <w:t xml:space="preserve">assessed </w:t>
      </w:r>
      <w:r w:rsidR="001B2A39" w:rsidRPr="00B86957">
        <w:t>forfeiture.</w:t>
      </w:r>
      <w:r w:rsidR="001B2A39" w:rsidRPr="00B86957">
        <w:rPr>
          <w:rStyle w:val="FootnoteReference"/>
          <w:sz w:val="22"/>
          <w:szCs w:val="22"/>
        </w:rPr>
        <w:footnoteReference w:id="8"/>
      </w:r>
    </w:p>
    <w:p w14:paraId="570C7385" w14:textId="77777777" w:rsidR="005303DF" w:rsidRDefault="005303DF" w:rsidP="00963AE9">
      <w:pPr>
        <w:pStyle w:val="ParaNum"/>
      </w:pPr>
      <w:r w:rsidRPr="005303DF">
        <w:t xml:space="preserve">Upon review of the </w:t>
      </w:r>
      <w:r w:rsidRPr="00B86957">
        <w:t xml:space="preserve">Application for Review </w:t>
      </w:r>
      <w:r w:rsidRPr="005303DF">
        <w:t xml:space="preserve">and the entire record, and finding no basis in the </w:t>
      </w:r>
      <w:r w:rsidRPr="00B86957">
        <w:t xml:space="preserve">Application for Review </w:t>
      </w:r>
      <w:r w:rsidRPr="005303DF">
        <w:t>to modify the Bureau</w:t>
      </w:r>
      <w:r>
        <w:t>’</w:t>
      </w:r>
      <w:r w:rsidRPr="005303DF">
        <w:t xml:space="preserve">s decisions, we conclude that </w:t>
      </w:r>
      <w:r>
        <w:t>Indigo Wireless</w:t>
      </w:r>
      <w:r w:rsidRPr="005303DF">
        <w:t xml:space="preserve"> has failed to demonstrate that the Bureau erred. </w:t>
      </w:r>
      <w:r>
        <w:t xml:space="preserve"> </w:t>
      </w:r>
      <w:r w:rsidRPr="005303DF">
        <w:t xml:space="preserve">We uphold the forfeiture amount for the reasons set forth in the </w:t>
      </w:r>
      <w:r w:rsidRPr="00BC7243">
        <w:rPr>
          <w:i/>
        </w:rPr>
        <w:t>Forfeiture Order</w:t>
      </w:r>
      <w:r w:rsidRPr="005303DF">
        <w:t>.</w:t>
      </w:r>
    </w:p>
    <w:p w14:paraId="13B889FD" w14:textId="08768C75" w:rsidR="00E273E3" w:rsidRPr="00024EAA" w:rsidRDefault="00E03AD8" w:rsidP="00024EAA">
      <w:pPr>
        <w:pStyle w:val="ParaNum"/>
      </w:pPr>
      <w:r w:rsidRPr="00B86957">
        <w:rPr>
          <w:b/>
        </w:rPr>
        <w:t>ACCORDINGLY, IT IS ORDERED</w:t>
      </w:r>
      <w:r w:rsidRPr="00B86957">
        <w:t xml:space="preserve"> that</w:t>
      </w:r>
      <w:r w:rsidR="00E77507">
        <w:t>,</w:t>
      </w:r>
      <w:r w:rsidRPr="00B86957">
        <w:t xml:space="preserve"> pursuant to Section 4(i) and 5(c)(5) of the Communications Act of 1934, as amended, and Section 1</w:t>
      </w:r>
      <w:r w:rsidR="00024EAA">
        <w:t>.115 of the Rules</w:t>
      </w:r>
      <w:r w:rsidR="00E77507">
        <w:t>,</w:t>
      </w:r>
      <w:r w:rsidRPr="00B86957">
        <w:t xml:space="preserve"> the Application for Review filed by the Indigo Wireless, Inc. on July 21, 2014, </w:t>
      </w:r>
      <w:r w:rsidRPr="00B86957">
        <w:rPr>
          <w:b/>
        </w:rPr>
        <w:t>IS DENIED</w:t>
      </w:r>
      <w:r w:rsidR="009F656D">
        <w:t>,</w:t>
      </w:r>
      <w:r>
        <w:rPr>
          <w:b/>
        </w:rPr>
        <w:t xml:space="preserve"> </w:t>
      </w:r>
      <w:r w:rsidRPr="009B04D1">
        <w:rPr>
          <w:szCs w:val="22"/>
        </w:rPr>
        <w:t xml:space="preserve">and the </w:t>
      </w:r>
      <w:r w:rsidRPr="00BC7243">
        <w:rPr>
          <w:i/>
        </w:rPr>
        <w:t>Forfeiture Order</w:t>
      </w:r>
      <w:r w:rsidRPr="009B04D1">
        <w:rPr>
          <w:b/>
          <w:szCs w:val="22"/>
        </w:rPr>
        <w:t xml:space="preserve"> IS AFFIRMED</w:t>
      </w:r>
      <w:r w:rsidRPr="00B86957">
        <w:t>.</w:t>
      </w:r>
      <w:r w:rsidR="00024EAA">
        <w:rPr>
          <w:rStyle w:val="FootnoteReference"/>
        </w:rPr>
        <w:footnoteReference w:id="9"/>
      </w:r>
    </w:p>
    <w:p w14:paraId="29926C21" w14:textId="03362831" w:rsidR="00E273E3" w:rsidRPr="00B86957" w:rsidRDefault="00E273E3" w:rsidP="00C9673A">
      <w:pPr>
        <w:pStyle w:val="ParaNum"/>
        <w:numPr>
          <w:ilvl w:val="0"/>
          <w:numId w:val="0"/>
        </w:numPr>
        <w:ind w:left="5040"/>
        <w:rPr>
          <w:szCs w:val="22"/>
        </w:rPr>
      </w:pPr>
    </w:p>
    <w:p w14:paraId="714AF0D2" w14:textId="77777777" w:rsidR="00963AE9" w:rsidRDefault="00963AE9" w:rsidP="0017296B">
      <w:r>
        <w:tab/>
      </w:r>
      <w:r>
        <w:tab/>
      </w:r>
      <w:r>
        <w:tab/>
      </w:r>
      <w:r>
        <w:tab/>
      </w:r>
      <w:r>
        <w:tab/>
      </w:r>
      <w:r>
        <w:tab/>
        <w:t>FEDERAL COMMUNICATIONS COMMISSION</w:t>
      </w:r>
    </w:p>
    <w:p w14:paraId="6305A964" w14:textId="77777777" w:rsidR="00963AE9" w:rsidRDefault="00963AE9" w:rsidP="0017296B"/>
    <w:p w14:paraId="6B4039F7" w14:textId="77777777" w:rsidR="00963AE9" w:rsidRDefault="00963AE9" w:rsidP="0017296B"/>
    <w:p w14:paraId="19FCB45D" w14:textId="77777777" w:rsidR="00963AE9" w:rsidRDefault="00963AE9" w:rsidP="0017296B"/>
    <w:p w14:paraId="0EA02263" w14:textId="77777777" w:rsidR="00963AE9" w:rsidRDefault="00963AE9" w:rsidP="0017296B"/>
    <w:p w14:paraId="3053F832" w14:textId="77777777" w:rsidR="00963AE9" w:rsidRDefault="00963AE9" w:rsidP="0017296B">
      <w:r>
        <w:tab/>
      </w:r>
      <w:r>
        <w:tab/>
      </w:r>
      <w:r>
        <w:tab/>
      </w:r>
      <w:r>
        <w:tab/>
      </w:r>
      <w:r>
        <w:tab/>
      </w:r>
      <w:r>
        <w:tab/>
        <w:t>Marlene H. Dortch</w:t>
      </w:r>
    </w:p>
    <w:p w14:paraId="206573E7" w14:textId="4FB09AB2" w:rsidR="00963AE9" w:rsidRDefault="00963AE9" w:rsidP="0017296B">
      <w:r>
        <w:tab/>
      </w:r>
      <w:r>
        <w:tab/>
      </w:r>
      <w:r>
        <w:tab/>
      </w:r>
      <w:r>
        <w:tab/>
      </w:r>
      <w:r>
        <w:tab/>
      </w:r>
      <w:r>
        <w:tab/>
        <w:t>Secretary</w:t>
      </w:r>
    </w:p>
    <w:sectPr w:rsidR="00963AE9" w:rsidSect="00B3497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64ACC" w14:textId="77777777" w:rsidR="00D813A8" w:rsidRDefault="00D813A8">
      <w:pPr>
        <w:spacing w:line="20" w:lineRule="exact"/>
      </w:pPr>
    </w:p>
  </w:endnote>
  <w:endnote w:type="continuationSeparator" w:id="0">
    <w:p w14:paraId="6BA28088" w14:textId="77777777" w:rsidR="00D813A8" w:rsidRDefault="00D813A8">
      <w:r>
        <w:t xml:space="preserve"> </w:t>
      </w:r>
    </w:p>
  </w:endnote>
  <w:endnote w:type="continuationNotice" w:id="1">
    <w:p w14:paraId="6118108D" w14:textId="77777777" w:rsidR="00D813A8" w:rsidRDefault="00D813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470CB" w14:textId="77777777" w:rsidR="00D60410" w:rsidRDefault="00D60410">
    <w:pPr>
      <w:pStyle w:val="Footer"/>
      <w:framePr w:wrap="around" w:vAnchor="text" w:hAnchor="margin" w:xAlign="center" w:y="1"/>
    </w:pPr>
    <w:r>
      <w:fldChar w:fldCharType="begin"/>
    </w:r>
    <w:r>
      <w:instrText xml:space="preserve">PAGE  </w:instrText>
    </w:r>
    <w:r>
      <w:fldChar w:fldCharType="end"/>
    </w:r>
  </w:p>
  <w:p w14:paraId="65E7E22D" w14:textId="77777777" w:rsidR="00D60410" w:rsidRDefault="00D60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0FBF7" w14:textId="77777777" w:rsidR="00D60410" w:rsidRDefault="00D60410">
    <w:pPr>
      <w:pStyle w:val="Footer"/>
      <w:framePr w:wrap="around" w:vAnchor="text" w:hAnchor="margin" w:xAlign="center" w:y="1"/>
    </w:pPr>
    <w:r>
      <w:fldChar w:fldCharType="begin"/>
    </w:r>
    <w:r>
      <w:instrText xml:space="preserve">PAGE  </w:instrText>
    </w:r>
    <w:r>
      <w:fldChar w:fldCharType="separate"/>
    </w:r>
    <w:r w:rsidR="00E75545">
      <w:rPr>
        <w:noProof/>
      </w:rPr>
      <w:t>2</w:t>
    </w:r>
    <w:r>
      <w:rPr>
        <w:noProof/>
      </w:rPr>
      <w:fldChar w:fldCharType="end"/>
    </w:r>
  </w:p>
  <w:p w14:paraId="27FF1304" w14:textId="77777777" w:rsidR="00D60410" w:rsidRDefault="00D60410">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D34B1" w14:textId="77777777" w:rsidR="00CB214D" w:rsidRDefault="00CB2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55D43" w14:textId="77777777" w:rsidR="00D813A8" w:rsidRDefault="00D813A8">
      <w:r>
        <w:separator/>
      </w:r>
    </w:p>
  </w:footnote>
  <w:footnote w:type="continuationSeparator" w:id="0">
    <w:p w14:paraId="08E50CCD" w14:textId="77777777" w:rsidR="00D813A8" w:rsidRDefault="00D813A8" w:rsidP="009C0FC7">
      <w:r>
        <w:separator/>
      </w:r>
    </w:p>
  </w:footnote>
  <w:footnote w:type="continuationNotice" w:id="1">
    <w:p w14:paraId="749FD18D" w14:textId="77777777" w:rsidR="00D813A8" w:rsidRDefault="00D813A8" w:rsidP="009C0FC7">
      <w:r>
        <w:separator/>
      </w:r>
    </w:p>
  </w:footnote>
  <w:footnote w:id="2">
    <w:p w14:paraId="6F1C214F" w14:textId="77777777" w:rsidR="00D60410" w:rsidRPr="00A3796D" w:rsidRDefault="00D60410" w:rsidP="00315C0E">
      <w:pPr>
        <w:pStyle w:val="FootnoteText"/>
      </w:pPr>
      <w:r w:rsidRPr="00A3796D">
        <w:rPr>
          <w:rStyle w:val="FootnoteReference"/>
        </w:rPr>
        <w:footnoteRef/>
      </w:r>
      <w:r w:rsidRPr="00A3796D">
        <w:t xml:space="preserve"> 47 C.F.R. § 20.19(c)(3)(ii).  </w:t>
      </w:r>
    </w:p>
  </w:footnote>
  <w:footnote w:id="3">
    <w:p w14:paraId="2536BCFA" w14:textId="77777777" w:rsidR="00D60410" w:rsidRPr="00CA31ED" w:rsidRDefault="00D60410">
      <w:pPr>
        <w:pStyle w:val="FootnoteText"/>
      </w:pPr>
      <w:r>
        <w:rPr>
          <w:rStyle w:val="FootnoteReference"/>
        </w:rPr>
        <w:footnoteRef/>
      </w:r>
      <w:r>
        <w:t xml:space="preserve"> </w:t>
      </w:r>
      <w:r w:rsidRPr="00A3796D">
        <w:rPr>
          <w:i/>
        </w:rPr>
        <w:t>Indigo Wireless, Inc.</w:t>
      </w:r>
      <w:r w:rsidRPr="00A3796D">
        <w:t>, Forfeiture</w:t>
      </w:r>
      <w:r>
        <w:t xml:space="preserve"> Order</w:t>
      </w:r>
      <w:r w:rsidRPr="00A3796D">
        <w:t xml:space="preserve">, </w:t>
      </w:r>
      <w:r w:rsidR="00D33184">
        <w:t>29 FCC Rcd 7404</w:t>
      </w:r>
      <w:r w:rsidRPr="00A3796D">
        <w:t xml:space="preserve"> (Enf. Bur. 201</w:t>
      </w:r>
      <w:r>
        <w:t>4</w:t>
      </w:r>
      <w:r w:rsidRPr="00A3796D">
        <w:t>) (</w:t>
      </w:r>
      <w:r>
        <w:rPr>
          <w:i/>
        </w:rPr>
        <w:t>Forfeiture Order</w:t>
      </w:r>
      <w:r w:rsidRPr="00A3796D">
        <w:t>)</w:t>
      </w:r>
      <w:r>
        <w:t xml:space="preserve">.  The </w:t>
      </w:r>
      <w:r>
        <w:rPr>
          <w:i/>
        </w:rPr>
        <w:t>Forfeiture Order</w:t>
      </w:r>
      <w:r>
        <w:t xml:space="preserve"> affirmed in full the conclusions of the </w:t>
      </w:r>
      <w:r w:rsidRPr="00EE05DB">
        <w:t>Notice of Apparent Liability for Forfeiture</w:t>
      </w:r>
      <w:r w:rsidRPr="00DB209B">
        <w:t xml:space="preserve"> </w:t>
      </w:r>
      <w:r>
        <w:t>(</w:t>
      </w:r>
      <w:r>
        <w:rPr>
          <w:i/>
        </w:rPr>
        <w:t>NAL</w:t>
      </w:r>
      <w:r>
        <w:t>)</w:t>
      </w:r>
      <w:r>
        <w:rPr>
          <w:i/>
        </w:rPr>
        <w:t xml:space="preserve"> </w:t>
      </w:r>
      <w:r w:rsidRPr="00DB209B">
        <w:t>against Indigo Wireless</w:t>
      </w:r>
      <w:r>
        <w:t xml:space="preserve">.  </w:t>
      </w:r>
      <w:r w:rsidRPr="00A3796D">
        <w:rPr>
          <w:i/>
        </w:rPr>
        <w:t>See Indigo Wireless, Inc.</w:t>
      </w:r>
      <w:r w:rsidRPr="00A3796D">
        <w:t>, Notice of Apparent Liability for Forfeiture, 25 FCC Rcd 17821 (Enf. Bur. 2010)</w:t>
      </w:r>
      <w:r>
        <w:t xml:space="preserve">.  </w:t>
      </w:r>
    </w:p>
  </w:footnote>
  <w:footnote w:id="4">
    <w:p w14:paraId="3FFC7E3D" w14:textId="77777777" w:rsidR="00D60410" w:rsidRPr="00D32F31" w:rsidRDefault="00D60410">
      <w:pPr>
        <w:pStyle w:val="FootnoteText"/>
      </w:pPr>
      <w:r>
        <w:rPr>
          <w:rStyle w:val="FootnoteReference"/>
        </w:rPr>
        <w:footnoteRef/>
      </w:r>
      <w:r>
        <w:t xml:space="preserve"> </w:t>
      </w:r>
      <w:r>
        <w:rPr>
          <w:i/>
        </w:rPr>
        <w:t>Forfeiture Order</w:t>
      </w:r>
      <w:r w:rsidR="00D33184">
        <w:t>, 29 FCC Rcd</w:t>
      </w:r>
      <w:r>
        <w:t xml:space="preserve"> at</w:t>
      </w:r>
      <w:r w:rsidR="00D33184">
        <w:t xml:space="preserve"> 7408,</w:t>
      </w:r>
      <w:r>
        <w:t xml:space="preserve"> para. 1</w:t>
      </w:r>
      <w:r w:rsidR="00D33184">
        <w:t>0</w:t>
      </w:r>
      <w:r>
        <w:t xml:space="preserve">.  </w:t>
      </w:r>
    </w:p>
  </w:footnote>
  <w:footnote w:id="5">
    <w:p w14:paraId="5483C592" w14:textId="77777777" w:rsidR="00024EAA" w:rsidRDefault="00024EAA">
      <w:pPr>
        <w:pStyle w:val="FootnoteText"/>
      </w:pPr>
      <w:r>
        <w:rPr>
          <w:rStyle w:val="FootnoteReference"/>
        </w:rPr>
        <w:footnoteRef/>
      </w:r>
      <w:r>
        <w:t xml:space="preserve"> </w:t>
      </w:r>
      <w:r w:rsidRPr="00A3796D">
        <w:rPr>
          <w:i/>
        </w:rPr>
        <w:t>Indigo Wireless, Inc.</w:t>
      </w:r>
      <w:r w:rsidRPr="00A3796D">
        <w:t xml:space="preserve">, </w:t>
      </w:r>
      <w:r>
        <w:t xml:space="preserve">Application for Review (filed July 21, 2014) (on file in </w:t>
      </w:r>
      <w:r w:rsidRPr="00315C0E">
        <w:t>EB-SED-13-00009306</w:t>
      </w:r>
      <w:r>
        <w:t>).</w:t>
      </w:r>
      <w:r w:rsidRPr="00A3796D">
        <w:t xml:space="preserve">  </w:t>
      </w:r>
    </w:p>
  </w:footnote>
  <w:footnote w:id="6">
    <w:p w14:paraId="5E3F62F4" w14:textId="452B6FAA" w:rsidR="00D60410" w:rsidRPr="001B2A39" w:rsidRDefault="00D60410">
      <w:pPr>
        <w:pStyle w:val="FootnoteText"/>
      </w:pPr>
      <w:r>
        <w:rPr>
          <w:rStyle w:val="FootnoteReference"/>
        </w:rPr>
        <w:footnoteRef/>
      </w:r>
      <w:r>
        <w:t xml:space="preserve"> </w:t>
      </w:r>
      <w:r w:rsidR="00024EAA">
        <w:rPr>
          <w:i/>
        </w:rPr>
        <w:t>Id.</w:t>
      </w:r>
      <w:r w:rsidR="00024EAA" w:rsidRPr="00BC7243">
        <w:rPr>
          <w:i/>
        </w:rPr>
        <w:t xml:space="preserve"> </w:t>
      </w:r>
      <w:r>
        <w:t xml:space="preserve">at 6.  </w:t>
      </w:r>
    </w:p>
  </w:footnote>
  <w:footnote w:id="7">
    <w:p w14:paraId="40C42094" w14:textId="77777777" w:rsidR="00D60410" w:rsidRPr="001B2A39" w:rsidRDefault="00D60410">
      <w:pPr>
        <w:pStyle w:val="FootnoteText"/>
      </w:pPr>
      <w:r>
        <w:rPr>
          <w:rStyle w:val="FootnoteReference"/>
        </w:rPr>
        <w:footnoteRef/>
      </w:r>
      <w:r>
        <w:t xml:space="preserve"> </w:t>
      </w:r>
      <w:r>
        <w:rPr>
          <w:i/>
        </w:rPr>
        <w:t>Id</w:t>
      </w:r>
      <w:r>
        <w:t xml:space="preserve">.  </w:t>
      </w:r>
    </w:p>
  </w:footnote>
  <w:footnote w:id="8">
    <w:p w14:paraId="3F22A3DC" w14:textId="2E67A4CD" w:rsidR="00D60410" w:rsidRPr="001B2A39" w:rsidRDefault="00D60410">
      <w:pPr>
        <w:pStyle w:val="FootnoteText"/>
      </w:pPr>
      <w:r>
        <w:rPr>
          <w:rStyle w:val="FootnoteReference"/>
        </w:rPr>
        <w:footnoteRef/>
      </w:r>
      <w:r>
        <w:t xml:space="preserve"> </w:t>
      </w:r>
      <w:r>
        <w:rPr>
          <w:i/>
        </w:rPr>
        <w:t>Id</w:t>
      </w:r>
      <w:r>
        <w:t>. at 1.</w:t>
      </w:r>
      <w:r w:rsidR="00954C07">
        <w:t xml:space="preserve">  </w:t>
      </w:r>
      <w:r w:rsidR="004725D1">
        <w:t xml:space="preserve">Indigo Wireless had an opportunity to provide financial information in response to the </w:t>
      </w:r>
      <w:r w:rsidR="004725D1">
        <w:rPr>
          <w:i/>
        </w:rPr>
        <w:t>NAL</w:t>
      </w:r>
      <w:r w:rsidR="004725D1">
        <w:t xml:space="preserve"> but did not do so.  </w:t>
      </w:r>
      <w:r w:rsidR="004725D1">
        <w:rPr>
          <w:i/>
        </w:rPr>
        <w:t>See Forfeiture Order</w:t>
      </w:r>
      <w:r w:rsidR="00D33184">
        <w:t xml:space="preserve">, 29 FCC Rcd at 7408, </w:t>
      </w:r>
      <w:r w:rsidR="004725D1">
        <w:t xml:space="preserve">para. 9; </w:t>
      </w:r>
      <w:r w:rsidR="004725D1">
        <w:rPr>
          <w:i/>
        </w:rPr>
        <w:t>see also</w:t>
      </w:r>
      <w:r w:rsidR="004725D1">
        <w:t xml:space="preserve"> </w:t>
      </w:r>
      <w:r w:rsidR="004725D1">
        <w:rPr>
          <w:i/>
        </w:rPr>
        <w:t>NAL</w:t>
      </w:r>
      <w:r w:rsidR="004725D1">
        <w:t xml:space="preserve">, </w:t>
      </w:r>
      <w:r w:rsidR="004725D1" w:rsidRPr="00A3796D">
        <w:t>25 FCC Rcd at 17829, para. 19</w:t>
      </w:r>
      <w:r w:rsidR="004725D1">
        <w:t xml:space="preserve"> (outlining </w:t>
      </w:r>
      <w:r w:rsidR="00FD7D4F">
        <w:t xml:space="preserve">the </w:t>
      </w:r>
      <w:r w:rsidR="004725D1">
        <w:t xml:space="preserve">types of financial information that should be provided to support an inability to pay argument).  </w:t>
      </w:r>
    </w:p>
  </w:footnote>
  <w:footnote w:id="9">
    <w:p w14:paraId="2EF4FD73" w14:textId="77777777" w:rsidR="00024EAA" w:rsidRDefault="00024EAA">
      <w:pPr>
        <w:pStyle w:val="FootnoteText"/>
      </w:pPr>
      <w:r>
        <w:rPr>
          <w:rStyle w:val="FootnoteReference"/>
        </w:rPr>
        <w:footnoteRef/>
      </w:r>
      <w:r>
        <w:t xml:space="preserve"> 47 U.S.C. §§ 154(i), 155(c)(5); </w:t>
      </w:r>
      <w:r w:rsidRPr="00B86957">
        <w:t>47 C.F.R. § 1.115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14A10" w14:textId="77777777" w:rsidR="00CB214D" w:rsidRDefault="00CB2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E60B" w14:textId="575632D8" w:rsidR="00D60410" w:rsidRPr="001B048F" w:rsidRDefault="00D60410" w:rsidP="001B048F">
    <w:pPr>
      <w:pStyle w:val="Header"/>
      <w:rPr>
        <w:b w:val="0"/>
      </w:rPr>
    </w:pPr>
    <w:r>
      <w:rPr>
        <w:noProof/>
      </w:rPr>
      <mc:AlternateContent>
        <mc:Choice Requires="wps">
          <w:drawing>
            <wp:anchor distT="0" distB="0" distL="114300" distR="114300" simplePos="0" relativeHeight="251658240" behindDoc="1" locked="0" layoutInCell="0" allowOverlap="1" wp14:anchorId="3DB90F56" wp14:editId="7F8E3ADE">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8C7EB9">
      <w:rPr>
        <w:spacing w:val="-2"/>
      </w:rPr>
      <w:t>FCC</w:t>
    </w:r>
    <w:r w:rsidR="008C7EB9" w:rsidRPr="001B048F">
      <w:rPr>
        <w:spacing w:val="-2"/>
      </w:rPr>
      <w:t xml:space="preserve"> 14-</w:t>
    </w:r>
    <w:r w:rsidR="005431CD">
      <w:rPr>
        <w:spacing w:val="-2"/>
      </w:rPr>
      <w:t>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C81A" w14:textId="3C626EAC" w:rsidR="00D60410" w:rsidRPr="001B048F" w:rsidRDefault="00D60410" w:rsidP="001B048F">
    <w:pPr>
      <w:pStyle w:val="Header"/>
      <w:rPr>
        <w:b w:val="0"/>
      </w:rPr>
    </w:pPr>
    <w:r>
      <w:rPr>
        <w:noProof/>
      </w:rPr>
      <mc:AlternateContent>
        <mc:Choice Requires="wps">
          <w:drawing>
            <wp:anchor distT="0" distB="0" distL="114300" distR="114300" simplePos="0" relativeHeight="251657216" behindDoc="1" locked="0" layoutInCell="0" allowOverlap="1" wp14:anchorId="0E7554AE" wp14:editId="463E5E9E">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w:t>
    </w:r>
    <w:r w:rsidRPr="001B048F">
      <w:rPr>
        <w:spacing w:val="-2"/>
      </w:rPr>
      <w:t xml:space="preserve"> 14-</w:t>
    </w:r>
    <w:r w:rsidR="005431CD">
      <w:rPr>
        <w:spacing w:val="-2"/>
      </w:rPr>
      <w:t>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4"/>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3"/>
  </w:num>
  <w:num w:numId="31">
    <w:abstractNumId w:val="3"/>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14462"/>
    <w:rsid w:val="000174F9"/>
    <w:rsid w:val="00024EAA"/>
    <w:rsid w:val="00031AE8"/>
    <w:rsid w:val="00036D58"/>
    <w:rsid w:val="000604EB"/>
    <w:rsid w:val="00062C44"/>
    <w:rsid w:val="000649FE"/>
    <w:rsid w:val="00071E3F"/>
    <w:rsid w:val="00072D7D"/>
    <w:rsid w:val="00074717"/>
    <w:rsid w:val="000853AD"/>
    <w:rsid w:val="00087F14"/>
    <w:rsid w:val="00091AE4"/>
    <w:rsid w:val="00092506"/>
    <w:rsid w:val="000962DF"/>
    <w:rsid w:val="00097F82"/>
    <w:rsid w:val="000A3E68"/>
    <w:rsid w:val="000A4776"/>
    <w:rsid w:val="000B14C3"/>
    <w:rsid w:val="000B1C2B"/>
    <w:rsid w:val="000B7657"/>
    <w:rsid w:val="000C6050"/>
    <w:rsid w:val="000D1391"/>
    <w:rsid w:val="000E1951"/>
    <w:rsid w:val="000E2707"/>
    <w:rsid w:val="000F1155"/>
    <w:rsid w:val="00100646"/>
    <w:rsid w:val="00105A35"/>
    <w:rsid w:val="0011337B"/>
    <w:rsid w:val="0011687C"/>
    <w:rsid w:val="001205FE"/>
    <w:rsid w:val="0012427E"/>
    <w:rsid w:val="001253B7"/>
    <w:rsid w:val="00126C88"/>
    <w:rsid w:val="00135F7F"/>
    <w:rsid w:val="00136476"/>
    <w:rsid w:val="001426F0"/>
    <w:rsid w:val="00145E08"/>
    <w:rsid w:val="001532B1"/>
    <w:rsid w:val="00153CE0"/>
    <w:rsid w:val="00162161"/>
    <w:rsid w:val="00164D9B"/>
    <w:rsid w:val="001740BB"/>
    <w:rsid w:val="00180026"/>
    <w:rsid w:val="001819AF"/>
    <w:rsid w:val="001A29EF"/>
    <w:rsid w:val="001A2F40"/>
    <w:rsid w:val="001A69BA"/>
    <w:rsid w:val="001A79FB"/>
    <w:rsid w:val="001B048F"/>
    <w:rsid w:val="001B2A39"/>
    <w:rsid w:val="001B59AF"/>
    <w:rsid w:val="001C3156"/>
    <w:rsid w:val="001C3B35"/>
    <w:rsid w:val="001C42B3"/>
    <w:rsid w:val="001D1CEF"/>
    <w:rsid w:val="001E135C"/>
    <w:rsid w:val="001E1906"/>
    <w:rsid w:val="001E401B"/>
    <w:rsid w:val="001F2B76"/>
    <w:rsid w:val="001F5AA4"/>
    <w:rsid w:val="001F7EE0"/>
    <w:rsid w:val="0021197D"/>
    <w:rsid w:val="0021315C"/>
    <w:rsid w:val="002146E2"/>
    <w:rsid w:val="00223173"/>
    <w:rsid w:val="00226191"/>
    <w:rsid w:val="0022665A"/>
    <w:rsid w:val="00236820"/>
    <w:rsid w:val="00246222"/>
    <w:rsid w:val="00250EDF"/>
    <w:rsid w:val="00252799"/>
    <w:rsid w:val="00256B42"/>
    <w:rsid w:val="002659F3"/>
    <w:rsid w:val="00265FC9"/>
    <w:rsid w:val="00270CD1"/>
    <w:rsid w:val="002710C5"/>
    <w:rsid w:val="002718D7"/>
    <w:rsid w:val="00283E59"/>
    <w:rsid w:val="00287564"/>
    <w:rsid w:val="002966A1"/>
    <w:rsid w:val="00297424"/>
    <w:rsid w:val="002B7493"/>
    <w:rsid w:val="002C12AD"/>
    <w:rsid w:val="002C66A2"/>
    <w:rsid w:val="002D3A88"/>
    <w:rsid w:val="002D6A81"/>
    <w:rsid w:val="002E046E"/>
    <w:rsid w:val="002E1671"/>
    <w:rsid w:val="002E43B6"/>
    <w:rsid w:val="002E6027"/>
    <w:rsid w:val="002F2ACB"/>
    <w:rsid w:val="00306C34"/>
    <w:rsid w:val="00315C0E"/>
    <w:rsid w:val="0032053D"/>
    <w:rsid w:val="0032244D"/>
    <w:rsid w:val="0032281F"/>
    <w:rsid w:val="00325463"/>
    <w:rsid w:val="00331B47"/>
    <w:rsid w:val="00331D4E"/>
    <w:rsid w:val="003368A3"/>
    <w:rsid w:val="003368E2"/>
    <w:rsid w:val="00336B23"/>
    <w:rsid w:val="003400E9"/>
    <w:rsid w:val="00340246"/>
    <w:rsid w:val="00344871"/>
    <w:rsid w:val="00345F40"/>
    <w:rsid w:val="003472A7"/>
    <w:rsid w:val="00347397"/>
    <w:rsid w:val="00353E9D"/>
    <w:rsid w:val="00361B43"/>
    <w:rsid w:val="003623B1"/>
    <w:rsid w:val="0039768C"/>
    <w:rsid w:val="003A07BF"/>
    <w:rsid w:val="003A4346"/>
    <w:rsid w:val="003A4767"/>
    <w:rsid w:val="003A5530"/>
    <w:rsid w:val="003A6F0A"/>
    <w:rsid w:val="003B4544"/>
    <w:rsid w:val="003B5341"/>
    <w:rsid w:val="003B5EF6"/>
    <w:rsid w:val="003B6F75"/>
    <w:rsid w:val="003C0BCF"/>
    <w:rsid w:val="003D5B63"/>
    <w:rsid w:val="003D5BD6"/>
    <w:rsid w:val="003E36EC"/>
    <w:rsid w:val="003E4BA1"/>
    <w:rsid w:val="003E5CB1"/>
    <w:rsid w:val="003E7003"/>
    <w:rsid w:val="003F2F66"/>
    <w:rsid w:val="004016AD"/>
    <w:rsid w:val="00403B86"/>
    <w:rsid w:val="00416F51"/>
    <w:rsid w:val="004200CE"/>
    <w:rsid w:val="0042056B"/>
    <w:rsid w:val="00431572"/>
    <w:rsid w:val="00436A9E"/>
    <w:rsid w:val="00452C14"/>
    <w:rsid w:val="00455ADB"/>
    <w:rsid w:val="00457AE7"/>
    <w:rsid w:val="004603D8"/>
    <w:rsid w:val="00466CC6"/>
    <w:rsid w:val="004725D1"/>
    <w:rsid w:val="004736A1"/>
    <w:rsid w:val="004C3EDB"/>
    <w:rsid w:val="004C4957"/>
    <w:rsid w:val="004D0F86"/>
    <w:rsid w:val="004E218D"/>
    <w:rsid w:val="004E5D01"/>
    <w:rsid w:val="004F0990"/>
    <w:rsid w:val="00505616"/>
    <w:rsid w:val="00512A5C"/>
    <w:rsid w:val="00514466"/>
    <w:rsid w:val="00514B5F"/>
    <w:rsid w:val="005214C9"/>
    <w:rsid w:val="00526086"/>
    <w:rsid w:val="00526174"/>
    <w:rsid w:val="005303DF"/>
    <w:rsid w:val="00535D18"/>
    <w:rsid w:val="00537EE6"/>
    <w:rsid w:val="005415C8"/>
    <w:rsid w:val="0054220C"/>
    <w:rsid w:val="005431CD"/>
    <w:rsid w:val="005440C1"/>
    <w:rsid w:val="00545EF8"/>
    <w:rsid w:val="00547654"/>
    <w:rsid w:val="00552923"/>
    <w:rsid w:val="00557BF1"/>
    <w:rsid w:val="00560703"/>
    <w:rsid w:val="0056704D"/>
    <w:rsid w:val="00567C95"/>
    <w:rsid w:val="00567D8D"/>
    <w:rsid w:val="0059732E"/>
    <w:rsid w:val="005A72DD"/>
    <w:rsid w:val="005B0185"/>
    <w:rsid w:val="005B3158"/>
    <w:rsid w:val="005B67ED"/>
    <w:rsid w:val="005C0504"/>
    <w:rsid w:val="005C2A5A"/>
    <w:rsid w:val="005C30D4"/>
    <w:rsid w:val="005D250F"/>
    <w:rsid w:val="005D4F7D"/>
    <w:rsid w:val="005E3D9F"/>
    <w:rsid w:val="006020E8"/>
    <w:rsid w:val="00603106"/>
    <w:rsid w:val="006168A4"/>
    <w:rsid w:val="00622396"/>
    <w:rsid w:val="00624EEA"/>
    <w:rsid w:val="0063038A"/>
    <w:rsid w:val="00634F84"/>
    <w:rsid w:val="00637D3F"/>
    <w:rsid w:val="00640EAA"/>
    <w:rsid w:val="00644983"/>
    <w:rsid w:val="0064498D"/>
    <w:rsid w:val="006472F4"/>
    <w:rsid w:val="00650C92"/>
    <w:rsid w:val="00653DFB"/>
    <w:rsid w:val="006557D7"/>
    <w:rsid w:val="0065677C"/>
    <w:rsid w:val="00661DE5"/>
    <w:rsid w:val="00671666"/>
    <w:rsid w:val="00672014"/>
    <w:rsid w:val="006733A8"/>
    <w:rsid w:val="00673674"/>
    <w:rsid w:val="00674B18"/>
    <w:rsid w:val="00683E53"/>
    <w:rsid w:val="00686968"/>
    <w:rsid w:val="006877E7"/>
    <w:rsid w:val="006925CF"/>
    <w:rsid w:val="006A6FD0"/>
    <w:rsid w:val="006B080E"/>
    <w:rsid w:val="006D2212"/>
    <w:rsid w:val="006D550A"/>
    <w:rsid w:val="006D7FF3"/>
    <w:rsid w:val="006E3B0D"/>
    <w:rsid w:val="006E728E"/>
    <w:rsid w:val="006F37D0"/>
    <w:rsid w:val="00704843"/>
    <w:rsid w:val="007115F7"/>
    <w:rsid w:val="00713C5F"/>
    <w:rsid w:val="00714FD7"/>
    <w:rsid w:val="0072776E"/>
    <w:rsid w:val="00731211"/>
    <w:rsid w:val="0073326F"/>
    <w:rsid w:val="00743CDB"/>
    <w:rsid w:val="00745AB4"/>
    <w:rsid w:val="007470E1"/>
    <w:rsid w:val="00752D0E"/>
    <w:rsid w:val="00755564"/>
    <w:rsid w:val="00757E63"/>
    <w:rsid w:val="0077103F"/>
    <w:rsid w:val="00782257"/>
    <w:rsid w:val="00785772"/>
    <w:rsid w:val="00787DBC"/>
    <w:rsid w:val="00791577"/>
    <w:rsid w:val="007A400F"/>
    <w:rsid w:val="007B13FF"/>
    <w:rsid w:val="007B1B20"/>
    <w:rsid w:val="007B25BE"/>
    <w:rsid w:val="007C197B"/>
    <w:rsid w:val="007C3802"/>
    <w:rsid w:val="007C3FB4"/>
    <w:rsid w:val="007C416C"/>
    <w:rsid w:val="007D5BA0"/>
    <w:rsid w:val="007E39BB"/>
    <w:rsid w:val="007F31CD"/>
    <w:rsid w:val="007F3C22"/>
    <w:rsid w:val="0080144D"/>
    <w:rsid w:val="00804AA7"/>
    <w:rsid w:val="00806AEF"/>
    <w:rsid w:val="00817123"/>
    <w:rsid w:val="008218CC"/>
    <w:rsid w:val="00823395"/>
    <w:rsid w:val="00836DF6"/>
    <w:rsid w:val="00854197"/>
    <w:rsid w:val="00862B6D"/>
    <w:rsid w:val="008635E6"/>
    <w:rsid w:val="008666BC"/>
    <w:rsid w:val="008719AC"/>
    <w:rsid w:val="00874CFC"/>
    <w:rsid w:val="00890DC3"/>
    <w:rsid w:val="008A1A2C"/>
    <w:rsid w:val="008B1964"/>
    <w:rsid w:val="008C7EB9"/>
    <w:rsid w:val="008D6AFE"/>
    <w:rsid w:val="008E0D87"/>
    <w:rsid w:val="008F0F79"/>
    <w:rsid w:val="009012DC"/>
    <w:rsid w:val="00901EA9"/>
    <w:rsid w:val="00913674"/>
    <w:rsid w:val="009150E9"/>
    <w:rsid w:val="00920FB9"/>
    <w:rsid w:val="00922BC7"/>
    <w:rsid w:val="00924198"/>
    <w:rsid w:val="009244F0"/>
    <w:rsid w:val="0093638C"/>
    <w:rsid w:val="00937A4E"/>
    <w:rsid w:val="00942879"/>
    <w:rsid w:val="00954C07"/>
    <w:rsid w:val="00955661"/>
    <w:rsid w:val="0095740B"/>
    <w:rsid w:val="00963AE9"/>
    <w:rsid w:val="009714F0"/>
    <w:rsid w:val="0097633D"/>
    <w:rsid w:val="00980AA0"/>
    <w:rsid w:val="00981A39"/>
    <w:rsid w:val="00985084"/>
    <w:rsid w:val="00992A29"/>
    <w:rsid w:val="009A09C6"/>
    <w:rsid w:val="009A323D"/>
    <w:rsid w:val="009A3AE5"/>
    <w:rsid w:val="009A4C09"/>
    <w:rsid w:val="009B04D1"/>
    <w:rsid w:val="009B1061"/>
    <w:rsid w:val="009B2C59"/>
    <w:rsid w:val="009B3E58"/>
    <w:rsid w:val="009B6F55"/>
    <w:rsid w:val="009C0FC7"/>
    <w:rsid w:val="009C2411"/>
    <w:rsid w:val="009C3321"/>
    <w:rsid w:val="009C46AB"/>
    <w:rsid w:val="009C6AD9"/>
    <w:rsid w:val="009D5355"/>
    <w:rsid w:val="009E44EE"/>
    <w:rsid w:val="009E708F"/>
    <w:rsid w:val="009F656D"/>
    <w:rsid w:val="00A002F4"/>
    <w:rsid w:val="00A00AE0"/>
    <w:rsid w:val="00A01D1A"/>
    <w:rsid w:val="00A047AF"/>
    <w:rsid w:val="00A0567A"/>
    <w:rsid w:val="00A10460"/>
    <w:rsid w:val="00A14E35"/>
    <w:rsid w:val="00A174D4"/>
    <w:rsid w:val="00A20570"/>
    <w:rsid w:val="00A223C9"/>
    <w:rsid w:val="00A230E1"/>
    <w:rsid w:val="00A24CD1"/>
    <w:rsid w:val="00A26C54"/>
    <w:rsid w:val="00A30CB0"/>
    <w:rsid w:val="00A34AB2"/>
    <w:rsid w:val="00A3796D"/>
    <w:rsid w:val="00A42341"/>
    <w:rsid w:val="00A52CEE"/>
    <w:rsid w:val="00A55CBB"/>
    <w:rsid w:val="00A7796E"/>
    <w:rsid w:val="00A84DCB"/>
    <w:rsid w:val="00A95983"/>
    <w:rsid w:val="00AA19E7"/>
    <w:rsid w:val="00AA1C42"/>
    <w:rsid w:val="00AA614F"/>
    <w:rsid w:val="00AB2A81"/>
    <w:rsid w:val="00AB3FF0"/>
    <w:rsid w:val="00AC08EF"/>
    <w:rsid w:val="00AC0A30"/>
    <w:rsid w:val="00AC7682"/>
    <w:rsid w:val="00AC7905"/>
    <w:rsid w:val="00AD525D"/>
    <w:rsid w:val="00AE4E71"/>
    <w:rsid w:val="00AE6CDF"/>
    <w:rsid w:val="00AF2483"/>
    <w:rsid w:val="00AF6122"/>
    <w:rsid w:val="00B046DF"/>
    <w:rsid w:val="00B047E5"/>
    <w:rsid w:val="00B0601B"/>
    <w:rsid w:val="00B102D9"/>
    <w:rsid w:val="00B106C6"/>
    <w:rsid w:val="00B16371"/>
    <w:rsid w:val="00B20811"/>
    <w:rsid w:val="00B21753"/>
    <w:rsid w:val="00B246DD"/>
    <w:rsid w:val="00B26603"/>
    <w:rsid w:val="00B307A4"/>
    <w:rsid w:val="00B3497B"/>
    <w:rsid w:val="00B52F5E"/>
    <w:rsid w:val="00B661C1"/>
    <w:rsid w:val="00B70A0B"/>
    <w:rsid w:val="00B7385F"/>
    <w:rsid w:val="00B84DAA"/>
    <w:rsid w:val="00B86957"/>
    <w:rsid w:val="00B910E6"/>
    <w:rsid w:val="00BA0DEA"/>
    <w:rsid w:val="00BB18C9"/>
    <w:rsid w:val="00BB2B10"/>
    <w:rsid w:val="00BB6D6F"/>
    <w:rsid w:val="00BC3C88"/>
    <w:rsid w:val="00BC3FB6"/>
    <w:rsid w:val="00BC7243"/>
    <w:rsid w:val="00BD5C10"/>
    <w:rsid w:val="00BD747D"/>
    <w:rsid w:val="00BF0CB5"/>
    <w:rsid w:val="00C02572"/>
    <w:rsid w:val="00C063BE"/>
    <w:rsid w:val="00C11CF4"/>
    <w:rsid w:val="00C135FF"/>
    <w:rsid w:val="00C14EBB"/>
    <w:rsid w:val="00C211BD"/>
    <w:rsid w:val="00C2400C"/>
    <w:rsid w:val="00C26770"/>
    <w:rsid w:val="00C26850"/>
    <w:rsid w:val="00C30B5C"/>
    <w:rsid w:val="00C32B5E"/>
    <w:rsid w:val="00C462AA"/>
    <w:rsid w:val="00C5575E"/>
    <w:rsid w:val="00C710A4"/>
    <w:rsid w:val="00C7583B"/>
    <w:rsid w:val="00C80AB7"/>
    <w:rsid w:val="00C81248"/>
    <w:rsid w:val="00C81DFC"/>
    <w:rsid w:val="00C82A24"/>
    <w:rsid w:val="00C855E5"/>
    <w:rsid w:val="00C90C7F"/>
    <w:rsid w:val="00C9559E"/>
    <w:rsid w:val="00C9673A"/>
    <w:rsid w:val="00C97F25"/>
    <w:rsid w:val="00CA31ED"/>
    <w:rsid w:val="00CA74A0"/>
    <w:rsid w:val="00CB214D"/>
    <w:rsid w:val="00CB65A8"/>
    <w:rsid w:val="00CC660D"/>
    <w:rsid w:val="00CC6B2D"/>
    <w:rsid w:val="00CD7A1B"/>
    <w:rsid w:val="00CF0BCD"/>
    <w:rsid w:val="00CF2340"/>
    <w:rsid w:val="00CF537E"/>
    <w:rsid w:val="00CF6B67"/>
    <w:rsid w:val="00D137D5"/>
    <w:rsid w:val="00D15C2F"/>
    <w:rsid w:val="00D23943"/>
    <w:rsid w:val="00D249F3"/>
    <w:rsid w:val="00D32F31"/>
    <w:rsid w:val="00D33184"/>
    <w:rsid w:val="00D417DA"/>
    <w:rsid w:val="00D43974"/>
    <w:rsid w:val="00D55192"/>
    <w:rsid w:val="00D60410"/>
    <w:rsid w:val="00D70FC6"/>
    <w:rsid w:val="00D75D1C"/>
    <w:rsid w:val="00D7664D"/>
    <w:rsid w:val="00D77881"/>
    <w:rsid w:val="00D813A8"/>
    <w:rsid w:val="00D81BE6"/>
    <w:rsid w:val="00DB04B0"/>
    <w:rsid w:val="00DB110F"/>
    <w:rsid w:val="00DB209B"/>
    <w:rsid w:val="00DC68F5"/>
    <w:rsid w:val="00DD066D"/>
    <w:rsid w:val="00DD17B4"/>
    <w:rsid w:val="00DD355E"/>
    <w:rsid w:val="00DF2FC3"/>
    <w:rsid w:val="00DF49C5"/>
    <w:rsid w:val="00E03AD8"/>
    <w:rsid w:val="00E0401A"/>
    <w:rsid w:val="00E136B4"/>
    <w:rsid w:val="00E20614"/>
    <w:rsid w:val="00E216B3"/>
    <w:rsid w:val="00E273E3"/>
    <w:rsid w:val="00E32B89"/>
    <w:rsid w:val="00E40344"/>
    <w:rsid w:val="00E41348"/>
    <w:rsid w:val="00E44BA5"/>
    <w:rsid w:val="00E51F9F"/>
    <w:rsid w:val="00E57ED1"/>
    <w:rsid w:val="00E61780"/>
    <w:rsid w:val="00E650AE"/>
    <w:rsid w:val="00E6792A"/>
    <w:rsid w:val="00E75545"/>
    <w:rsid w:val="00E77507"/>
    <w:rsid w:val="00E9402D"/>
    <w:rsid w:val="00E95342"/>
    <w:rsid w:val="00EA3CDE"/>
    <w:rsid w:val="00EA7BC5"/>
    <w:rsid w:val="00EB5C8E"/>
    <w:rsid w:val="00EC01C8"/>
    <w:rsid w:val="00EC389E"/>
    <w:rsid w:val="00EC59F7"/>
    <w:rsid w:val="00EC6192"/>
    <w:rsid w:val="00ED001A"/>
    <w:rsid w:val="00ED7F11"/>
    <w:rsid w:val="00EE05DB"/>
    <w:rsid w:val="00EE194C"/>
    <w:rsid w:val="00EF23E9"/>
    <w:rsid w:val="00EF2D22"/>
    <w:rsid w:val="00EF49F0"/>
    <w:rsid w:val="00EF4BC1"/>
    <w:rsid w:val="00EF5B91"/>
    <w:rsid w:val="00F0262C"/>
    <w:rsid w:val="00F03DF9"/>
    <w:rsid w:val="00F122FD"/>
    <w:rsid w:val="00F156C3"/>
    <w:rsid w:val="00F15E74"/>
    <w:rsid w:val="00F16485"/>
    <w:rsid w:val="00F210F9"/>
    <w:rsid w:val="00F35991"/>
    <w:rsid w:val="00F51AF3"/>
    <w:rsid w:val="00F771DF"/>
    <w:rsid w:val="00F80BCB"/>
    <w:rsid w:val="00F83951"/>
    <w:rsid w:val="00F84343"/>
    <w:rsid w:val="00F8613C"/>
    <w:rsid w:val="00F90362"/>
    <w:rsid w:val="00F93126"/>
    <w:rsid w:val="00F9326A"/>
    <w:rsid w:val="00FA2BC9"/>
    <w:rsid w:val="00FA3463"/>
    <w:rsid w:val="00FA581C"/>
    <w:rsid w:val="00FB450C"/>
    <w:rsid w:val="00FC1C58"/>
    <w:rsid w:val="00FD2585"/>
    <w:rsid w:val="00FD7D4F"/>
    <w:rsid w:val="00FE74AF"/>
    <w:rsid w:val="00FF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5545"/>
    <w:pPr>
      <w:widowControl w:val="0"/>
    </w:pPr>
    <w:rPr>
      <w:snapToGrid w:val="0"/>
      <w:kern w:val="28"/>
      <w:szCs w:val="20"/>
    </w:rPr>
  </w:style>
  <w:style w:type="paragraph" w:styleId="Heading1">
    <w:name w:val="heading 1"/>
    <w:basedOn w:val="Normal"/>
    <w:next w:val="ParaNum"/>
    <w:link w:val="Heading1Char"/>
    <w:qFormat/>
    <w:rsid w:val="00E7554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75545"/>
    <w:pPr>
      <w:keepNext/>
      <w:numPr>
        <w:ilvl w:val="1"/>
        <w:numId w:val="3"/>
      </w:numPr>
      <w:spacing w:after="120"/>
      <w:outlineLvl w:val="1"/>
    </w:pPr>
    <w:rPr>
      <w:b/>
    </w:rPr>
  </w:style>
  <w:style w:type="paragraph" w:styleId="Heading3">
    <w:name w:val="heading 3"/>
    <w:basedOn w:val="Normal"/>
    <w:next w:val="ParaNum"/>
    <w:link w:val="Heading3Char"/>
    <w:qFormat/>
    <w:rsid w:val="00E7554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7554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7554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7554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7554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7554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7554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55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5545"/>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11687C"/>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E75545"/>
    <w:pPr>
      <w:numPr>
        <w:numId w:val="2"/>
      </w:numPr>
      <w:tabs>
        <w:tab w:val="clear" w:pos="1080"/>
        <w:tab w:val="num" w:pos="1440"/>
      </w:tabs>
      <w:spacing w:after="120"/>
    </w:pPr>
  </w:style>
  <w:style w:type="paragraph" w:styleId="EndnoteText">
    <w:name w:val="endnote text"/>
    <w:basedOn w:val="Normal"/>
    <w:link w:val="EndnoteTextChar"/>
    <w:semiHidden/>
    <w:rsid w:val="00E75545"/>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E75545"/>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E75545"/>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
    <w:rsid w:val="00E75545"/>
    <w:rPr>
      <w:rFonts w:ascii="Times New Roman" w:hAnsi="Times New Roman"/>
      <w:dstrike w:val="0"/>
      <w:color w:val="auto"/>
      <w:sz w:val="20"/>
      <w:vertAlign w:val="superscript"/>
    </w:rPr>
  </w:style>
  <w:style w:type="paragraph" w:styleId="TOC1">
    <w:name w:val="toc 1"/>
    <w:basedOn w:val="Normal"/>
    <w:next w:val="Normal"/>
    <w:rsid w:val="00E7554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5545"/>
    <w:pPr>
      <w:tabs>
        <w:tab w:val="left" w:pos="720"/>
        <w:tab w:val="right" w:leader="dot" w:pos="9360"/>
      </w:tabs>
      <w:suppressAutoHyphens/>
      <w:ind w:left="720" w:right="720" w:hanging="360"/>
    </w:pPr>
    <w:rPr>
      <w:noProof/>
    </w:rPr>
  </w:style>
  <w:style w:type="paragraph" w:styleId="TOC3">
    <w:name w:val="toc 3"/>
    <w:basedOn w:val="Normal"/>
    <w:next w:val="Normal"/>
    <w:semiHidden/>
    <w:rsid w:val="00E7554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554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554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554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554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554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554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5545"/>
    <w:pPr>
      <w:tabs>
        <w:tab w:val="right" w:pos="9360"/>
      </w:tabs>
      <w:suppressAutoHyphens/>
    </w:pPr>
  </w:style>
  <w:style w:type="character" w:customStyle="1" w:styleId="EquationCaption">
    <w:name w:val="_Equation Caption"/>
    <w:rsid w:val="00E75545"/>
  </w:style>
  <w:style w:type="paragraph" w:styleId="Header">
    <w:name w:val="header"/>
    <w:basedOn w:val="Normal"/>
    <w:link w:val="HeaderChar"/>
    <w:autoRedefine/>
    <w:rsid w:val="00E75545"/>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E75545"/>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E75545"/>
  </w:style>
  <w:style w:type="paragraph" w:styleId="BlockText">
    <w:name w:val="Block Text"/>
    <w:basedOn w:val="Normal"/>
    <w:rsid w:val="00E75545"/>
    <w:pPr>
      <w:spacing w:after="240"/>
      <w:ind w:left="1440" w:right="1440"/>
    </w:pPr>
  </w:style>
  <w:style w:type="paragraph" w:customStyle="1" w:styleId="Paratitle">
    <w:name w:val="Para title"/>
    <w:basedOn w:val="Normal"/>
    <w:rsid w:val="00E75545"/>
    <w:pPr>
      <w:tabs>
        <w:tab w:val="center" w:pos="9270"/>
      </w:tabs>
      <w:spacing w:after="240"/>
    </w:pPr>
    <w:rPr>
      <w:spacing w:val="-2"/>
    </w:rPr>
  </w:style>
  <w:style w:type="paragraph" w:customStyle="1" w:styleId="Bullet">
    <w:name w:val="Bullet"/>
    <w:basedOn w:val="Normal"/>
    <w:rsid w:val="00E75545"/>
    <w:pPr>
      <w:tabs>
        <w:tab w:val="left" w:pos="2160"/>
      </w:tabs>
      <w:spacing w:after="220"/>
      <w:ind w:left="2160" w:hanging="720"/>
    </w:pPr>
  </w:style>
  <w:style w:type="paragraph" w:customStyle="1" w:styleId="TableFormat">
    <w:name w:val="TableFormat"/>
    <w:basedOn w:val="Bullet"/>
    <w:rsid w:val="00E75545"/>
    <w:pPr>
      <w:tabs>
        <w:tab w:val="clear" w:pos="2160"/>
        <w:tab w:val="left" w:pos="5040"/>
      </w:tabs>
      <w:ind w:left="5040" w:hanging="3600"/>
    </w:pPr>
  </w:style>
  <w:style w:type="paragraph" w:customStyle="1" w:styleId="TOCTitle">
    <w:name w:val="TOC Title"/>
    <w:basedOn w:val="Normal"/>
    <w:rsid w:val="00E7554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5545"/>
    <w:pPr>
      <w:jc w:val="center"/>
    </w:pPr>
    <w:rPr>
      <w:rFonts w:ascii="Times New Roman Bold" w:hAnsi="Times New Roman Bold"/>
      <w:b/>
      <w:bCs/>
      <w:caps/>
      <w:szCs w:val="22"/>
    </w:rPr>
  </w:style>
  <w:style w:type="character" w:styleId="Hyperlink">
    <w:name w:val="Hyperlink"/>
    <w:rsid w:val="00E75545"/>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5545"/>
    <w:pPr>
      <w:widowControl w:val="0"/>
    </w:pPr>
    <w:rPr>
      <w:snapToGrid w:val="0"/>
      <w:kern w:val="28"/>
      <w:szCs w:val="20"/>
    </w:rPr>
  </w:style>
  <w:style w:type="paragraph" w:styleId="Heading1">
    <w:name w:val="heading 1"/>
    <w:basedOn w:val="Normal"/>
    <w:next w:val="ParaNum"/>
    <w:link w:val="Heading1Char"/>
    <w:qFormat/>
    <w:rsid w:val="00E7554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75545"/>
    <w:pPr>
      <w:keepNext/>
      <w:numPr>
        <w:ilvl w:val="1"/>
        <w:numId w:val="3"/>
      </w:numPr>
      <w:spacing w:after="120"/>
      <w:outlineLvl w:val="1"/>
    </w:pPr>
    <w:rPr>
      <w:b/>
    </w:rPr>
  </w:style>
  <w:style w:type="paragraph" w:styleId="Heading3">
    <w:name w:val="heading 3"/>
    <w:basedOn w:val="Normal"/>
    <w:next w:val="ParaNum"/>
    <w:link w:val="Heading3Char"/>
    <w:qFormat/>
    <w:rsid w:val="00E7554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7554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7554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7554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7554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7554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7554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55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5545"/>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11687C"/>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E75545"/>
    <w:pPr>
      <w:numPr>
        <w:numId w:val="2"/>
      </w:numPr>
      <w:tabs>
        <w:tab w:val="clear" w:pos="1080"/>
        <w:tab w:val="num" w:pos="1440"/>
      </w:tabs>
      <w:spacing w:after="120"/>
    </w:pPr>
  </w:style>
  <w:style w:type="paragraph" w:styleId="EndnoteText">
    <w:name w:val="endnote text"/>
    <w:basedOn w:val="Normal"/>
    <w:link w:val="EndnoteTextChar"/>
    <w:semiHidden/>
    <w:rsid w:val="00E75545"/>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E75545"/>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E75545"/>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
    <w:rsid w:val="00E75545"/>
    <w:rPr>
      <w:rFonts w:ascii="Times New Roman" w:hAnsi="Times New Roman"/>
      <w:dstrike w:val="0"/>
      <w:color w:val="auto"/>
      <w:sz w:val="20"/>
      <w:vertAlign w:val="superscript"/>
    </w:rPr>
  </w:style>
  <w:style w:type="paragraph" w:styleId="TOC1">
    <w:name w:val="toc 1"/>
    <w:basedOn w:val="Normal"/>
    <w:next w:val="Normal"/>
    <w:rsid w:val="00E7554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5545"/>
    <w:pPr>
      <w:tabs>
        <w:tab w:val="left" w:pos="720"/>
        <w:tab w:val="right" w:leader="dot" w:pos="9360"/>
      </w:tabs>
      <w:suppressAutoHyphens/>
      <w:ind w:left="720" w:right="720" w:hanging="360"/>
    </w:pPr>
    <w:rPr>
      <w:noProof/>
    </w:rPr>
  </w:style>
  <w:style w:type="paragraph" w:styleId="TOC3">
    <w:name w:val="toc 3"/>
    <w:basedOn w:val="Normal"/>
    <w:next w:val="Normal"/>
    <w:semiHidden/>
    <w:rsid w:val="00E7554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554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554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554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554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554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554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5545"/>
    <w:pPr>
      <w:tabs>
        <w:tab w:val="right" w:pos="9360"/>
      </w:tabs>
      <w:suppressAutoHyphens/>
    </w:pPr>
  </w:style>
  <w:style w:type="character" w:customStyle="1" w:styleId="EquationCaption">
    <w:name w:val="_Equation Caption"/>
    <w:rsid w:val="00E75545"/>
  </w:style>
  <w:style w:type="paragraph" w:styleId="Header">
    <w:name w:val="header"/>
    <w:basedOn w:val="Normal"/>
    <w:link w:val="HeaderChar"/>
    <w:autoRedefine/>
    <w:rsid w:val="00E75545"/>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E75545"/>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E75545"/>
  </w:style>
  <w:style w:type="paragraph" w:styleId="BlockText">
    <w:name w:val="Block Text"/>
    <w:basedOn w:val="Normal"/>
    <w:rsid w:val="00E75545"/>
    <w:pPr>
      <w:spacing w:after="240"/>
      <w:ind w:left="1440" w:right="1440"/>
    </w:pPr>
  </w:style>
  <w:style w:type="paragraph" w:customStyle="1" w:styleId="Paratitle">
    <w:name w:val="Para title"/>
    <w:basedOn w:val="Normal"/>
    <w:rsid w:val="00E75545"/>
    <w:pPr>
      <w:tabs>
        <w:tab w:val="center" w:pos="9270"/>
      </w:tabs>
      <w:spacing w:after="240"/>
    </w:pPr>
    <w:rPr>
      <w:spacing w:val="-2"/>
    </w:rPr>
  </w:style>
  <w:style w:type="paragraph" w:customStyle="1" w:styleId="Bullet">
    <w:name w:val="Bullet"/>
    <w:basedOn w:val="Normal"/>
    <w:rsid w:val="00E75545"/>
    <w:pPr>
      <w:tabs>
        <w:tab w:val="left" w:pos="2160"/>
      </w:tabs>
      <w:spacing w:after="220"/>
      <w:ind w:left="2160" w:hanging="720"/>
    </w:pPr>
  </w:style>
  <w:style w:type="paragraph" w:customStyle="1" w:styleId="TableFormat">
    <w:name w:val="TableFormat"/>
    <w:basedOn w:val="Bullet"/>
    <w:rsid w:val="00E75545"/>
    <w:pPr>
      <w:tabs>
        <w:tab w:val="clear" w:pos="2160"/>
        <w:tab w:val="left" w:pos="5040"/>
      </w:tabs>
      <w:ind w:left="5040" w:hanging="3600"/>
    </w:pPr>
  </w:style>
  <w:style w:type="paragraph" w:customStyle="1" w:styleId="TOCTitle">
    <w:name w:val="TOC Title"/>
    <w:basedOn w:val="Normal"/>
    <w:rsid w:val="00E7554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5545"/>
    <w:pPr>
      <w:jc w:val="center"/>
    </w:pPr>
    <w:rPr>
      <w:rFonts w:ascii="Times New Roman Bold" w:hAnsi="Times New Roman Bold"/>
      <w:b/>
      <w:bCs/>
      <w:caps/>
      <w:szCs w:val="22"/>
    </w:rPr>
  </w:style>
  <w:style w:type="character" w:styleId="Hyperlink">
    <w:name w:val="Hyperlink"/>
    <w:rsid w:val="00E75545"/>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479</Words>
  <Characters>2763</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2014-11-05T21:11:00Z</dcterms:created>
  <dcterms:modified xsi:type="dcterms:W3CDTF">2014-11-05T21:11:00Z</dcterms:modified>
  <cp:category> </cp:category>
  <cp:contentStatus> </cp:contentStatus>
</cp:coreProperties>
</file>