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48" w:rsidRDefault="00401748">
      <w:pPr>
        <w:jc w:val="center"/>
        <w:rPr>
          <w:b/>
        </w:rPr>
      </w:pPr>
      <w:bookmarkStart w:id="0" w:name="_GoBack"/>
      <w:bookmarkEnd w:id="0"/>
      <w:r>
        <w:rPr>
          <w:b/>
        </w:rPr>
        <w:t>Before the</w:t>
      </w:r>
    </w:p>
    <w:p w:rsidR="00401748" w:rsidRDefault="00401748">
      <w:pPr>
        <w:jc w:val="center"/>
        <w:rPr>
          <w:b/>
        </w:rPr>
      </w:pPr>
      <w:r>
        <w:rPr>
          <w:b/>
        </w:rPr>
        <w:t>Federal Communications Commission</w:t>
      </w:r>
    </w:p>
    <w:p w:rsidR="00401748" w:rsidRDefault="00401748">
      <w:pPr>
        <w:jc w:val="center"/>
        <w:rPr>
          <w:b/>
        </w:rPr>
      </w:pPr>
      <w:r>
        <w:rPr>
          <w:b/>
        </w:rPr>
        <w:t>Washington, D.C. 20554</w:t>
      </w:r>
    </w:p>
    <w:p w:rsidR="00401748" w:rsidRDefault="00401748"/>
    <w:tbl>
      <w:tblPr>
        <w:tblW w:w="0" w:type="auto"/>
        <w:tblLayout w:type="fixed"/>
        <w:tblLook w:val="0000" w:firstRow="0" w:lastRow="0" w:firstColumn="0" w:lastColumn="0" w:noHBand="0" w:noVBand="0"/>
      </w:tblPr>
      <w:tblGrid>
        <w:gridCol w:w="4698"/>
        <w:gridCol w:w="720"/>
        <w:gridCol w:w="4230"/>
      </w:tblGrid>
      <w:tr w:rsidR="00401748">
        <w:tc>
          <w:tcPr>
            <w:tcW w:w="4698" w:type="dxa"/>
          </w:tcPr>
          <w:p w:rsidR="00401748" w:rsidRDefault="00401748">
            <w:pPr>
              <w:ind w:right="-18"/>
            </w:pPr>
            <w:r>
              <w:t xml:space="preserve">In the Matter of </w:t>
            </w:r>
          </w:p>
          <w:p w:rsidR="00401748" w:rsidRDefault="00401748">
            <w:pPr>
              <w:ind w:right="-18"/>
            </w:pPr>
          </w:p>
          <w:p w:rsidR="00401748" w:rsidRDefault="00401748">
            <w:pPr>
              <w:ind w:right="-18"/>
              <w:rPr>
                <w:color w:val="000000"/>
                <w:szCs w:val="22"/>
              </w:rPr>
            </w:pPr>
            <w:r>
              <w:rPr>
                <w:color w:val="000000"/>
                <w:szCs w:val="22"/>
              </w:rPr>
              <w:t>Scott Malcolm</w:t>
            </w:r>
          </w:p>
          <w:p w:rsidR="00401748" w:rsidRDefault="00401748">
            <w:pPr>
              <w:ind w:right="-18"/>
              <w:rPr>
                <w:color w:val="000000"/>
                <w:szCs w:val="22"/>
              </w:rPr>
            </w:pPr>
          </w:p>
          <w:p w:rsidR="00401748" w:rsidRDefault="00401748">
            <w:pPr>
              <w:ind w:right="-18"/>
              <w:rPr>
                <w:color w:val="000000"/>
                <w:szCs w:val="22"/>
              </w:rPr>
            </w:pPr>
            <w:r>
              <w:rPr>
                <w:color w:val="000000"/>
                <w:szCs w:val="22"/>
              </w:rPr>
              <w:t>DSM Supply, LLC</w:t>
            </w:r>
          </w:p>
          <w:p w:rsidR="00401748" w:rsidRDefault="00401748">
            <w:pPr>
              <w:ind w:right="-18"/>
              <w:rPr>
                <w:color w:val="000000"/>
                <w:szCs w:val="22"/>
              </w:rPr>
            </w:pPr>
            <w:r>
              <w:rPr>
                <w:color w:val="000000"/>
                <w:szCs w:val="22"/>
              </w:rPr>
              <w:t>Somaticare, LLC</w:t>
            </w:r>
          </w:p>
          <w:p w:rsidR="00401748" w:rsidRDefault="00401748">
            <w:pPr>
              <w:ind w:right="-18"/>
            </w:pPr>
          </w:p>
          <w:p w:rsidR="00401748" w:rsidRDefault="00401748">
            <w:pPr>
              <w:ind w:right="-18"/>
            </w:pPr>
            <w:r>
              <w:t>Apparent Liability for Forfeiture</w:t>
            </w:r>
          </w:p>
          <w:p w:rsidR="00401748" w:rsidRDefault="00401748">
            <w:pPr>
              <w:ind w:right="-18"/>
            </w:pPr>
          </w:p>
        </w:tc>
        <w:tc>
          <w:tcPr>
            <w:tcW w:w="720" w:type="dxa"/>
          </w:tcPr>
          <w:p w:rsidR="00401748" w:rsidRDefault="00401748">
            <w:r>
              <w:t>)</w:t>
            </w:r>
          </w:p>
          <w:p w:rsidR="00401748" w:rsidRDefault="00401748">
            <w:r>
              <w:t>)</w:t>
            </w:r>
          </w:p>
          <w:p w:rsidR="00401748" w:rsidRDefault="00401748">
            <w:r>
              <w:t>)</w:t>
            </w:r>
          </w:p>
          <w:p w:rsidR="00401748" w:rsidRDefault="00401748">
            <w:r>
              <w:t>)</w:t>
            </w:r>
          </w:p>
          <w:p w:rsidR="00401748" w:rsidRDefault="00401748">
            <w:r>
              <w:t>)</w:t>
            </w:r>
          </w:p>
          <w:p w:rsidR="00401748" w:rsidRDefault="00401748">
            <w:r>
              <w:t>)</w:t>
            </w:r>
          </w:p>
          <w:p w:rsidR="00401748" w:rsidRDefault="00401748">
            <w:r>
              <w:t>)</w:t>
            </w:r>
          </w:p>
          <w:p w:rsidR="00401748" w:rsidRDefault="00401748">
            <w:r>
              <w:t>)</w:t>
            </w:r>
          </w:p>
        </w:tc>
        <w:tc>
          <w:tcPr>
            <w:tcW w:w="4230" w:type="dxa"/>
          </w:tcPr>
          <w:p w:rsidR="00401748" w:rsidRDefault="00401748">
            <w:pPr>
              <w:rPr>
                <w:spacing w:val="-2"/>
              </w:rPr>
            </w:pPr>
          </w:p>
          <w:p w:rsidR="00401748" w:rsidRDefault="00401748">
            <w:pPr>
              <w:rPr>
                <w:spacing w:val="-2"/>
              </w:rPr>
            </w:pPr>
          </w:p>
          <w:p w:rsidR="00401748" w:rsidRDefault="00401748">
            <w:pPr>
              <w:rPr>
                <w:spacing w:val="-2"/>
              </w:rPr>
            </w:pPr>
            <w:r>
              <w:rPr>
                <w:spacing w:val="-2"/>
              </w:rPr>
              <w:t>File No.: EB-TCD-12-00001013</w:t>
            </w:r>
          </w:p>
          <w:p w:rsidR="00401748" w:rsidRDefault="00401748">
            <w:pPr>
              <w:rPr>
                <w:spacing w:val="-2"/>
              </w:rPr>
            </w:pPr>
            <w:r>
              <w:rPr>
                <w:spacing w:val="-2"/>
              </w:rPr>
              <w:t xml:space="preserve"> </w:t>
            </w:r>
          </w:p>
          <w:p w:rsidR="00401748" w:rsidRDefault="00401748">
            <w:pPr>
              <w:rPr>
                <w:spacing w:val="-2"/>
                <w:szCs w:val="22"/>
              </w:rPr>
            </w:pPr>
            <w:r>
              <w:rPr>
                <w:spacing w:val="-2"/>
              </w:rPr>
              <w:t>NAL/Acct. No</w:t>
            </w:r>
            <w:r>
              <w:rPr>
                <w:spacing w:val="-2"/>
                <w:szCs w:val="22"/>
              </w:rPr>
              <w:t xml:space="preserve">.:  </w:t>
            </w:r>
            <w:r w:rsidR="000C1FD3">
              <w:rPr>
                <w:spacing w:val="-2"/>
                <w:szCs w:val="22"/>
              </w:rPr>
              <w:t>201432170003</w:t>
            </w:r>
          </w:p>
          <w:p w:rsidR="00401748" w:rsidRDefault="00401748">
            <w:pPr>
              <w:rPr>
                <w:spacing w:val="-2"/>
                <w:szCs w:val="22"/>
              </w:rPr>
            </w:pPr>
          </w:p>
          <w:p w:rsidR="00401748" w:rsidRDefault="00401748">
            <w:r>
              <w:t xml:space="preserve">FRN:  </w:t>
            </w:r>
            <w:r w:rsidR="003A186B">
              <w:t>0023383201</w:t>
            </w:r>
          </w:p>
        </w:tc>
      </w:tr>
    </w:tbl>
    <w:p w:rsidR="00401748" w:rsidRDefault="00401748">
      <w:pPr>
        <w:spacing w:before="120"/>
        <w:jc w:val="center"/>
        <w:rPr>
          <w:b/>
        </w:rPr>
      </w:pPr>
      <w:r>
        <w:rPr>
          <w:b/>
          <w:spacing w:val="-2"/>
        </w:rPr>
        <w:t>NOTICE OF APPARENT LIABILITY FOR FORFEITURE</w:t>
      </w:r>
    </w:p>
    <w:p w:rsidR="00401748" w:rsidRDefault="00401748"/>
    <w:p w:rsidR="00401748" w:rsidRDefault="00401748">
      <w:pPr>
        <w:tabs>
          <w:tab w:val="left" w:pos="5760"/>
        </w:tabs>
        <w:rPr>
          <w:b/>
        </w:rPr>
      </w:pPr>
      <w:r>
        <w:rPr>
          <w:b/>
        </w:rPr>
        <w:t xml:space="preserve">Adopted:  </w:t>
      </w:r>
      <w:r w:rsidR="000C1FD3">
        <w:rPr>
          <w:b/>
        </w:rPr>
        <w:t>February 24, 2014</w:t>
      </w:r>
      <w:r>
        <w:rPr>
          <w:b/>
        </w:rPr>
        <w:tab/>
      </w:r>
      <w:r>
        <w:rPr>
          <w:b/>
        </w:rPr>
        <w:tab/>
        <w:t xml:space="preserve">  Released:  </w:t>
      </w:r>
      <w:r w:rsidR="000C1FD3">
        <w:rPr>
          <w:b/>
        </w:rPr>
        <w:t>February 24, 2014</w:t>
      </w:r>
    </w:p>
    <w:p w:rsidR="00401748" w:rsidRDefault="00401748">
      <w:pPr>
        <w:tabs>
          <w:tab w:val="left" w:pos="5760"/>
        </w:tabs>
        <w:rPr>
          <w:b/>
        </w:rPr>
      </w:pPr>
    </w:p>
    <w:p w:rsidR="00401748" w:rsidRDefault="00401748">
      <w:pPr>
        <w:tabs>
          <w:tab w:val="left" w:pos="5760"/>
        </w:tabs>
      </w:pPr>
      <w:r>
        <w:t>By the Commission:</w:t>
      </w:r>
    </w:p>
    <w:p w:rsidR="00401748" w:rsidRDefault="00401748">
      <w:pPr>
        <w:tabs>
          <w:tab w:val="left" w:pos="5760"/>
        </w:tabs>
        <w:rPr>
          <w:b/>
        </w:rPr>
      </w:pPr>
    </w:p>
    <w:p w:rsidR="00401748" w:rsidRDefault="00401748" w:rsidP="00810066">
      <w:pPr>
        <w:pStyle w:val="Heading1"/>
      </w:pPr>
      <w:r>
        <w:t>INTRODUCTION</w:t>
      </w:r>
    </w:p>
    <w:p w:rsidR="00401748" w:rsidRPr="00365D19" w:rsidRDefault="00401748" w:rsidP="00810066">
      <w:pPr>
        <w:pStyle w:val="ParaNum"/>
      </w:pPr>
      <w:r>
        <w:t xml:space="preserve">In this </w:t>
      </w:r>
      <w:r w:rsidRPr="006B7905">
        <w:t>Notice of Apparent Liability for Forfeiture (NAL), we find that Scott Malcolm,</w:t>
      </w:r>
      <w:r>
        <w:t xml:space="preserve"> </w:t>
      </w:r>
      <w:r w:rsidRPr="006B7905">
        <w:t>DSM Supply, LLC</w:t>
      </w:r>
      <w:r w:rsidR="00BC37F5">
        <w:t xml:space="preserve"> (DSM)</w:t>
      </w:r>
      <w:r w:rsidRPr="006B7905">
        <w:t>, and Somaticare, LLC</w:t>
      </w:r>
      <w:r w:rsidR="00BC37F5">
        <w:t xml:space="preserve"> (Somaticare)</w:t>
      </w:r>
      <w:r>
        <w:t xml:space="preserve"> (collectively, the DSM parties)</w:t>
      </w:r>
      <w:r w:rsidRPr="006B7905">
        <w:rPr>
          <w:rStyle w:val="FootnoteReference"/>
          <w:color w:val="000000"/>
        </w:rPr>
        <w:t xml:space="preserve"> </w:t>
      </w:r>
      <w:r w:rsidRPr="006B7905">
        <w:t>apparently willfully and repeatedly violated Section 227(b)(1)(C) of the Communications Act of 1934, as amended (the Communications Act or Act), and Section 64.1200(a)(4) of the</w:t>
      </w:r>
      <w:r>
        <w:t xml:space="preserve"> Commission’s rules, by sending </w:t>
      </w:r>
      <w:r w:rsidR="006B0ABD">
        <w:t>115</w:t>
      </w:r>
      <w:r>
        <w:t xml:space="preserve"> </w:t>
      </w:r>
      <w:r w:rsidRPr="006B7905">
        <w:t>unsolicited</w:t>
      </w:r>
      <w:r>
        <w:t xml:space="preserve"> </w:t>
      </w:r>
      <w:r w:rsidRPr="006B7905">
        <w:t>advertisements, or “junk faxes,” to the telephone facsimile machines of 2</w:t>
      </w:r>
      <w:r w:rsidR="00A3583E">
        <w:t>6</w:t>
      </w:r>
      <w:r w:rsidRPr="006B7905">
        <w:t xml:space="preserve"> consumers.</w:t>
      </w:r>
      <w:r>
        <w:rPr>
          <w:rStyle w:val="FootnoteReference"/>
          <w:szCs w:val="22"/>
        </w:rPr>
        <w:footnoteReference w:id="2"/>
      </w:r>
      <w:r w:rsidRPr="006B7905">
        <w:t xml:space="preserve">  </w:t>
      </w:r>
      <w:r>
        <w:t>The advertisements, which promote</w:t>
      </w:r>
      <w:r w:rsidRPr="00B15CA5">
        <w:t xml:space="preserve"> a variety of chiropractic supplies offered by “DSM Supply,” </w:t>
      </w:r>
      <w:r w:rsidR="004F0AAE">
        <w:t>arrived</w:t>
      </w:r>
      <w:r w:rsidRPr="00B15CA5">
        <w:t xml:space="preserve"> in private homes and </w:t>
      </w:r>
      <w:r w:rsidR="000C3C37">
        <w:t>health care</w:t>
      </w:r>
      <w:r w:rsidRPr="00B15CA5">
        <w:t xml:space="preserve"> offices across the United States.  </w:t>
      </w:r>
      <w:r w:rsidR="00716194">
        <w:t>T</w:t>
      </w:r>
      <w:r w:rsidRPr="00B15CA5">
        <w:t xml:space="preserve">he faxes have been an unwanted intrusion and expense </w:t>
      </w:r>
      <w:r w:rsidR="00716194">
        <w:t xml:space="preserve">for consumers and, as reported by some </w:t>
      </w:r>
      <w:r w:rsidR="00327D32">
        <w:t>health care</w:t>
      </w:r>
      <w:r w:rsidR="00327D32" w:rsidRPr="00B15CA5">
        <w:t xml:space="preserve"> </w:t>
      </w:r>
      <w:r w:rsidRPr="00B15CA5">
        <w:t>practitioners</w:t>
      </w:r>
      <w:r w:rsidR="00716194">
        <w:t xml:space="preserve">, a </w:t>
      </w:r>
      <w:r w:rsidRPr="00B15CA5">
        <w:t xml:space="preserve">serious disruption to their practices.  </w:t>
      </w:r>
      <w:r w:rsidR="00716194">
        <w:t xml:space="preserve">Further, </w:t>
      </w:r>
      <w:r w:rsidR="00CB5927">
        <w:t xml:space="preserve">because the faxes failed to include the required opt-out notice, </w:t>
      </w:r>
      <w:r w:rsidR="00716194">
        <w:t xml:space="preserve">the DSM parties made it difficult, if not impossible, for consumers </w:t>
      </w:r>
      <w:r w:rsidR="002634F7">
        <w:t xml:space="preserve">to </w:t>
      </w:r>
      <w:r w:rsidR="00716194">
        <w:t xml:space="preserve">find relief.  </w:t>
      </w:r>
      <w:r w:rsidRPr="00B15CA5">
        <w:t xml:space="preserve">Numerous complainants consistently describe unsuccessful attempts to stop the onslaught of DSM </w:t>
      </w:r>
      <w:r w:rsidR="003969A9">
        <w:t>advertisements</w:t>
      </w:r>
      <w:r w:rsidRPr="00B15CA5">
        <w:t xml:space="preserve">—attempts that sometimes stretched over years but never </w:t>
      </w:r>
      <w:r w:rsidR="004F0AAE">
        <w:t>brought</w:t>
      </w:r>
      <w:r w:rsidRPr="00B15CA5">
        <w:t xml:space="preserve"> an end to the unwanted faxes.  Based on the facts and circumstances surrounding these </w:t>
      </w:r>
      <w:r w:rsidR="006B0ABD">
        <w:t>115</w:t>
      </w:r>
      <w:r>
        <w:t xml:space="preserve"> </w:t>
      </w:r>
      <w:r w:rsidRPr="00B15CA5">
        <w:t>apparent violations, we apply the maximum forfeiture penalty and find that Mr. Malcolm, DSM, and Somaticare are apparently jointly and severally liable for a forfeiture in the amount of $</w:t>
      </w:r>
      <w:r w:rsidR="000C3C37">
        <w:t>1,</w:t>
      </w:r>
      <w:r w:rsidR="00202CCE">
        <w:t>840</w:t>
      </w:r>
      <w:r w:rsidR="000C3C37">
        <w:t>,000</w:t>
      </w:r>
      <w:r w:rsidRPr="00B15CA5">
        <w:t>.</w:t>
      </w:r>
    </w:p>
    <w:p w:rsidR="00401748" w:rsidRDefault="00401748" w:rsidP="00810066">
      <w:pPr>
        <w:pStyle w:val="Heading1"/>
      </w:pPr>
      <w:r>
        <w:t>BACKGROUND</w:t>
      </w:r>
    </w:p>
    <w:p w:rsidR="00401748" w:rsidRDefault="00401748" w:rsidP="00810066">
      <w:pPr>
        <w:pStyle w:val="ParaNum"/>
      </w:pPr>
      <w:r w:rsidRPr="001874C8">
        <w:rPr>
          <w:color w:val="000000"/>
        </w:rPr>
        <w:t>The</w:t>
      </w:r>
      <w:r w:rsidRPr="001874C8">
        <w:t xml:space="preserve"> </w:t>
      </w:r>
      <w:r w:rsidRPr="001874C8">
        <w:rPr>
          <w:color w:val="000000"/>
        </w:rPr>
        <w:t>Telephone</w:t>
      </w:r>
      <w:r w:rsidRPr="001874C8">
        <w:t xml:space="preserve"> Consumer Protection Act of 1991 (TCPA) was enacted by Congress to address problems </w:t>
      </w:r>
      <w:r w:rsidRPr="001874C8">
        <w:rPr>
          <w:color w:val="000000"/>
        </w:rPr>
        <w:t>of</w:t>
      </w:r>
      <w:r w:rsidRPr="001874C8">
        <w:t xml:space="preserve"> abusive telemarketing, including junk faxes.</w:t>
      </w:r>
      <w:r>
        <w:rPr>
          <w:rStyle w:val="FootnoteReference"/>
          <w:szCs w:val="22"/>
        </w:rPr>
        <w:footnoteReference w:id="3"/>
      </w:r>
      <w:r w:rsidRPr="001874C8">
        <w:t xml:space="preserve">  Unsolicited faxes often impose unwanted burdens on the called party, including costs of paper and ink, and making fax machines unavailable for legitimate business messages.  </w:t>
      </w:r>
      <w:r w:rsidRPr="00342E54">
        <w:t xml:space="preserve">Section 227(b)(1)(C) of the Act </w:t>
      </w:r>
      <w:r>
        <w:t xml:space="preserve">thus </w:t>
      </w:r>
      <w:r w:rsidRPr="00342E54">
        <w:t>makes it “unlawful for any person within the United States, or any person outside the United States if the recipient is within the United States . . . to use any telephone facsimile machine, computer, or other device to send, to a telephone facsimile machine, an unsolicited advertisement</w:t>
      </w:r>
      <w:r w:rsidR="00A3583E">
        <w:t>,</w:t>
      </w:r>
      <w:r w:rsidRPr="00342E54">
        <w:t xml:space="preserve"> unless the unsolicited advertisement is from a sender with an established business relationship with the recipient . . . .”</w:t>
      </w:r>
      <w:r w:rsidRPr="00342E54">
        <w:rPr>
          <w:rStyle w:val="FootnoteReference"/>
        </w:rPr>
        <w:footnoteReference w:id="4"/>
      </w:r>
      <w:r w:rsidRPr="00342E54">
        <w:t xml:space="preserve">  As relevant here, an </w:t>
      </w:r>
      <w:r w:rsidRPr="00342E54">
        <w:lastRenderedPageBreak/>
        <w:t>“unsolicited advertisement” is “any material advertising the commercial availability or quality of any property, goods, or services which is transmitted to any person without that person’s prior express invitation or permission, in writing or otherwise.”</w:t>
      </w:r>
      <w:r w:rsidRPr="00342E54">
        <w:rPr>
          <w:rStyle w:val="FootnoteReference"/>
        </w:rPr>
        <w:footnoteReference w:id="5"/>
      </w:r>
      <w:r>
        <w:t xml:space="preserve">  Nonetheless,</w:t>
      </w:r>
      <w:r w:rsidR="00105958">
        <w:t xml:space="preserve"> </w:t>
      </w:r>
      <w:r w:rsidRPr="00342E54">
        <w:t xml:space="preserve">it is permissible to send </w:t>
      </w:r>
      <w:r w:rsidR="004214E7">
        <w:t xml:space="preserve">such </w:t>
      </w:r>
      <w:r>
        <w:t xml:space="preserve">fax </w:t>
      </w:r>
      <w:r w:rsidRPr="00342E54">
        <w:t>advertisements to recipients with whom the sender has an established business relationship</w:t>
      </w:r>
      <w:r>
        <w:t xml:space="preserve"> (EBR)</w:t>
      </w:r>
      <w:r w:rsidRPr="00342E54">
        <w:t>,</w:t>
      </w:r>
      <w:r w:rsidRPr="00342E54">
        <w:rPr>
          <w:rStyle w:val="FootnoteReference"/>
        </w:rPr>
        <w:footnoteReference w:id="6"/>
      </w:r>
      <w:r w:rsidRPr="00342E54">
        <w:t xml:space="preserve"> as long as the receiving fax number has been provided voluntarily by the recipient,</w:t>
      </w:r>
      <w:r>
        <w:rPr>
          <w:rStyle w:val="FootnoteReference"/>
        </w:rPr>
        <w:footnoteReference w:id="7"/>
      </w:r>
      <w:r>
        <w:t xml:space="preserve"> </w:t>
      </w:r>
      <w:r w:rsidRPr="00342E54">
        <w:t>the advertisement includes a clear and conspicuous notice that tells the recipient how to avoid receiving additional fax advertisements</w:t>
      </w:r>
      <w:r>
        <w:t>,</w:t>
      </w:r>
      <w:r w:rsidRPr="00342E54">
        <w:rPr>
          <w:rStyle w:val="FootnoteReference"/>
        </w:rPr>
        <w:footnoteReference w:id="8"/>
      </w:r>
      <w:r>
        <w:t xml:space="preserve"> and the EBR has not been effectively terminated by a party’s instructions to stop sending fax advertisements.</w:t>
      </w:r>
      <w:r>
        <w:rPr>
          <w:rStyle w:val="FootnoteReference"/>
        </w:rPr>
        <w:footnoteReference w:id="9"/>
      </w:r>
      <w:r>
        <w:t xml:space="preserve"> </w:t>
      </w:r>
    </w:p>
    <w:p w:rsidR="007A0C97" w:rsidRDefault="00401748" w:rsidP="009258D9">
      <w:pPr>
        <w:pStyle w:val="ParaNum"/>
        <w:widowControl/>
        <w:rPr>
          <w:szCs w:val="22"/>
        </w:rPr>
      </w:pPr>
      <w:r w:rsidRPr="00177DBD">
        <w:rPr>
          <w:szCs w:val="22"/>
        </w:rPr>
        <w:t xml:space="preserve">All </w:t>
      </w:r>
      <w:r w:rsidR="000C1FD3">
        <w:rPr>
          <w:szCs w:val="22"/>
        </w:rPr>
        <w:t xml:space="preserve">unsolicited </w:t>
      </w:r>
      <w:r w:rsidRPr="00177DBD">
        <w:rPr>
          <w:szCs w:val="22"/>
        </w:rPr>
        <w:t>facsimile advertisements must contain an opt-out notice on the first page of the advertisement stating that the recipient is entitled to request that the sender not send any future advertisements.</w:t>
      </w:r>
      <w:r w:rsidRPr="00C87BBF">
        <w:rPr>
          <w:rStyle w:val="FootnoteReference"/>
          <w:szCs w:val="22"/>
        </w:rPr>
        <w:footnoteReference w:id="10"/>
      </w:r>
      <w:r w:rsidRPr="00177DBD">
        <w:rPr>
          <w:szCs w:val="22"/>
        </w:rPr>
        <w:t xml:space="preserve">  This notice must include a domestic contact telephone number and a facsimile machine number that the recipient may use to transmit an opt-out request to the fax sender 24 hours a day, 7 days a week.</w:t>
      </w:r>
      <w:r w:rsidRPr="00C87BBF">
        <w:rPr>
          <w:rStyle w:val="FootnoteReference"/>
          <w:szCs w:val="22"/>
        </w:rPr>
        <w:footnoteReference w:id="11"/>
      </w:r>
      <w:r>
        <w:rPr>
          <w:szCs w:val="22"/>
        </w:rPr>
        <w:t xml:space="preserve">  </w:t>
      </w:r>
      <w:r w:rsidRPr="00177DBD">
        <w:rPr>
          <w:szCs w:val="22"/>
        </w:rPr>
        <w:t>A fax sender must honor such opt-out requests within the shortest reasonable time, not to exceed 30 days, and is expressly prohibited from sending unsolicited advertisements to any party</w:t>
      </w:r>
      <w:r>
        <w:rPr>
          <w:szCs w:val="22"/>
        </w:rPr>
        <w:t>—including a party doing business with the sender—w</w:t>
      </w:r>
      <w:r w:rsidRPr="00177DBD">
        <w:rPr>
          <w:szCs w:val="22"/>
        </w:rPr>
        <w:t>ho has made a valid opt-out request unless that party subsequently provides the sender prior express invitation or permission to deliver a fax advertisement.</w:t>
      </w:r>
      <w:r w:rsidRPr="00D17CEE">
        <w:rPr>
          <w:rStyle w:val="FootnoteReference"/>
          <w:szCs w:val="22"/>
        </w:rPr>
        <w:footnoteReference w:id="12"/>
      </w:r>
      <w:r w:rsidRPr="00177DBD">
        <w:rPr>
          <w:szCs w:val="22"/>
        </w:rPr>
        <w:t xml:space="preserve">  </w:t>
      </w:r>
      <w:r>
        <w:rPr>
          <w:szCs w:val="22"/>
        </w:rPr>
        <w:t>Accordingly, under</w:t>
      </w:r>
      <w:r w:rsidRPr="00177DBD">
        <w:rPr>
          <w:szCs w:val="22"/>
        </w:rPr>
        <w:t xml:space="preserve"> the Commission’s rules, a do-not-fax request terminates an established business relationship for purposes of fax advertising so that unsolicited facsimile advertisements may no longer lawfully be sent even if the party opting out continues to do business with the sender.</w:t>
      </w:r>
      <w:r w:rsidRPr="00D17CEE">
        <w:rPr>
          <w:rStyle w:val="FootnoteReference"/>
          <w:szCs w:val="22"/>
        </w:rPr>
        <w:footnoteReference w:id="13"/>
      </w:r>
    </w:p>
    <w:p w:rsidR="00401748" w:rsidRPr="009258D9" w:rsidRDefault="00401748" w:rsidP="00810066">
      <w:pPr>
        <w:pStyle w:val="ParaNum"/>
      </w:pPr>
      <w:r w:rsidRPr="00075233">
        <w:t>On December 20, 2011, in response to numerous consumer complaints alleging that DSM had faxed unsolicited advertisements, the Enforcement Bureau (Bureau) issued a citation to DSM</w:t>
      </w:r>
      <w:r>
        <w:t>, Somaticare,</w:t>
      </w:r>
      <w:r w:rsidRPr="00075233">
        <w:t xml:space="preserve"> and Mr. Malcolm, as President of both DSM and Somaticare,</w:t>
      </w:r>
      <w:r w:rsidR="00164C8D">
        <w:rPr>
          <w:rStyle w:val="FootnoteReference"/>
          <w:color w:val="000000"/>
          <w:szCs w:val="22"/>
        </w:rPr>
        <w:footnoteReference w:id="14"/>
      </w:r>
      <w:r w:rsidRPr="00075233">
        <w:t xml:space="preserve"> pursuant to Section 503(b)(5) of the Act.</w:t>
      </w:r>
      <w:r>
        <w:rPr>
          <w:rStyle w:val="FootnoteReference"/>
          <w:color w:val="000000"/>
          <w:szCs w:val="22"/>
        </w:rPr>
        <w:footnoteReference w:id="15"/>
      </w:r>
      <w:r w:rsidRPr="00075233">
        <w:t xml:space="preserve">  The Bureau cited</w:t>
      </w:r>
      <w:r>
        <w:t xml:space="preserve"> </w:t>
      </w:r>
      <w:r w:rsidRPr="00075233">
        <w:t>DSM</w:t>
      </w:r>
      <w:r>
        <w:t>, Somaticare, and Mr. Malcolm</w:t>
      </w:r>
      <w:r w:rsidRPr="00075233">
        <w:t xml:space="preserve"> for </w:t>
      </w:r>
      <w:r w:rsidR="007B69C8">
        <w:t xml:space="preserve">using a telephone facsimile machine, computer, or other device to send unsolicited advertisements to telephone facsimile machines in violation of </w:t>
      </w:r>
      <w:r w:rsidRPr="00075233">
        <w:t>Section 227(b)(1)(C) of the Act and Section 64.1200(a)(4) of the Commission’s rules</w:t>
      </w:r>
      <w:r>
        <w:t>,</w:t>
      </w:r>
      <w:r w:rsidR="00F13DF2">
        <w:t xml:space="preserve"> and</w:t>
      </w:r>
      <w:r>
        <w:t xml:space="preserve"> attach</w:t>
      </w:r>
      <w:r w:rsidR="00F13DF2">
        <w:t>ed</w:t>
      </w:r>
      <w:r>
        <w:t xml:space="preserve"> 20 representative consumer complaints </w:t>
      </w:r>
      <w:r w:rsidR="00164C8D">
        <w:t xml:space="preserve">documenting </w:t>
      </w:r>
      <w:r>
        <w:t>multiple violations</w:t>
      </w:r>
      <w:r w:rsidR="003F1F6F">
        <w:t>.</w:t>
      </w:r>
      <w:r>
        <w:t xml:space="preserve">  </w:t>
      </w:r>
      <w:r w:rsidRPr="00075233">
        <w:t xml:space="preserve">The citation informed </w:t>
      </w:r>
      <w:r>
        <w:t>the recipients</w:t>
      </w:r>
      <w:r w:rsidRPr="00075233">
        <w:t xml:space="preserve"> that within 30 days of the date of the citation, </w:t>
      </w:r>
      <w:r>
        <w:t>they</w:t>
      </w:r>
      <w:r w:rsidRPr="00075233">
        <w:t xml:space="preserve"> could either request an interview with Commission staff or provide a written statement responding to the citation.  </w:t>
      </w:r>
      <w:r>
        <w:t xml:space="preserve">None of the DSM parties </w:t>
      </w:r>
      <w:r w:rsidRPr="00075233">
        <w:t>respond</w:t>
      </w:r>
      <w:r>
        <w:t>ed in any way</w:t>
      </w:r>
      <w:r w:rsidRPr="00075233">
        <w:t>.</w:t>
      </w:r>
      <w:r>
        <w:rPr>
          <w:rStyle w:val="FootnoteReference"/>
          <w:color w:val="000000"/>
          <w:szCs w:val="22"/>
        </w:rPr>
        <w:footnoteReference w:id="16"/>
      </w:r>
      <w:r w:rsidRPr="00075233">
        <w:t xml:space="preserve">  </w:t>
      </w:r>
      <w:r>
        <w:t xml:space="preserve">Despite the citation’s warning that subsequent violations could </w:t>
      </w:r>
      <w:r w:rsidR="0055384C">
        <w:t xml:space="preserve">warrant </w:t>
      </w:r>
      <w:r>
        <w:t xml:space="preserve">monetary forfeitures, we have received </w:t>
      </w:r>
      <w:r w:rsidR="00DC7CFD">
        <w:t>over 350</w:t>
      </w:r>
      <w:r>
        <w:t xml:space="preserve"> additional complaints indicating that the DSM parties continued to send unlawful fax advertisements</w:t>
      </w:r>
      <w:r w:rsidR="00B7712E">
        <w:t xml:space="preserve"> </w:t>
      </w:r>
      <w:r w:rsidR="00E248CE">
        <w:t xml:space="preserve">after </w:t>
      </w:r>
      <w:r w:rsidR="00B7712E">
        <w:t>the 2011 citation</w:t>
      </w:r>
      <w:r w:rsidR="00DC7CFD">
        <w:t>.</w:t>
      </w:r>
      <w:r w:rsidRPr="009258D9">
        <w:t xml:space="preserve"> </w:t>
      </w:r>
    </w:p>
    <w:p w:rsidR="00401748" w:rsidRDefault="00401748" w:rsidP="00810066">
      <w:pPr>
        <w:pStyle w:val="Heading1"/>
      </w:pPr>
      <w:r>
        <w:t>DISCUSSION</w:t>
      </w:r>
    </w:p>
    <w:p w:rsidR="00401748" w:rsidRDefault="00401748" w:rsidP="00810066">
      <w:pPr>
        <w:pStyle w:val="Heading2"/>
      </w:pPr>
      <w:r>
        <w:t xml:space="preserve">Apparent Violations of Section 227(b)(1)(C) of the Act and Section 64.1200(a)(4) of the Commission’s Rules Restricting Facsimile Advertisements </w:t>
      </w:r>
    </w:p>
    <w:p w:rsidR="00774AD1" w:rsidRPr="000A761D" w:rsidRDefault="00401748" w:rsidP="00810066">
      <w:pPr>
        <w:pStyle w:val="ParaNum"/>
      </w:pPr>
      <w:r w:rsidRPr="00844E70">
        <w:t>We find that Scott Malcolm, DSM Supply, LLC, and Somaticare, LLC</w:t>
      </w:r>
      <w:r w:rsidR="009116FB">
        <w:t>,</w:t>
      </w:r>
      <w:r w:rsidRPr="00844E70">
        <w:t xml:space="preserve"> violated Section 227(b)(1)(C) of the Act and Section 64.1200(a)(4) of the Commission’s rules by using a telephone facsimile machine, </w:t>
      </w:r>
      <w:r w:rsidRPr="00844E70">
        <w:rPr>
          <w:color w:val="000000"/>
        </w:rPr>
        <w:t>computer</w:t>
      </w:r>
      <w:r w:rsidRPr="00844E70">
        <w:t xml:space="preserve">, or other device to send </w:t>
      </w:r>
      <w:r w:rsidR="006B0ABD">
        <w:t>115</w:t>
      </w:r>
      <w:r w:rsidRPr="00844E70">
        <w:t xml:space="preserve"> unsolicited advertisements</w:t>
      </w:r>
      <w:r w:rsidR="00D0211C">
        <w:t xml:space="preserve"> </w:t>
      </w:r>
      <w:r w:rsidRPr="00844E70">
        <w:t>to 2</w:t>
      </w:r>
      <w:r w:rsidR="00A3583E">
        <w:t>6</w:t>
      </w:r>
      <w:r w:rsidRPr="00844E70">
        <w:t xml:space="preserve"> consumers between February 25, 2013 and </w:t>
      </w:r>
      <w:r w:rsidR="005D781A">
        <w:t>January 21</w:t>
      </w:r>
      <w:r w:rsidRPr="00844E70">
        <w:t>, 201</w:t>
      </w:r>
      <w:r w:rsidR="005D781A">
        <w:t>4</w:t>
      </w:r>
      <w:r w:rsidRPr="00844E70">
        <w:t>.  Each of the consumers listed in Appendix</w:t>
      </w:r>
      <w:r w:rsidR="0058056C">
        <w:t xml:space="preserve"> A</w:t>
      </w:r>
      <w:r w:rsidRPr="00844E70">
        <w:t xml:space="preserve"> has provided evidence that he or she received at least one fax that advertised DSM’s chiropractic supplies.  These consumers have further indicated that they received the </w:t>
      </w:r>
      <w:r w:rsidR="003969A9">
        <w:t xml:space="preserve">DSM </w:t>
      </w:r>
      <w:r w:rsidRPr="00844E70">
        <w:t>advertisements without expressly authorizing such faxes to be sent.  While t</w:t>
      </w:r>
      <w:r w:rsidR="00A3583E">
        <w:t>hree</w:t>
      </w:r>
      <w:r w:rsidRPr="00844E70">
        <w:t xml:space="preserve"> consumers confirm a purchase from DSM that created an EBR </w:t>
      </w:r>
      <w:r>
        <w:t>that</w:t>
      </w:r>
      <w:r w:rsidRPr="00844E70">
        <w:t xml:space="preserve"> entitle</w:t>
      </w:r>
      <w:r>
        <w:t>d</w:t>
      </w:r>
      <w:r w:rsidRPr="00844E70">
        <w:t xml:space="preserve"> DSM to send its fax advertisements,</w:t>
      </w:r>
      <w:r w:rsidR="00777312">
        <w:rPr>
          <w:rStyle w:val="FootnoteReference"/>
          <w:szCs w:val="22"/>
        </w:rPr>
        <w:footnoteReference w:id="17"/>
      </w:r>
      <w:r w:rsidRPr="00844E70">
        <w:t xml:space="preserve"> the advertisements did not include a notice to inform the recipients how to opt out of receiving additional ads in the future, a key requirement to </w:t>
      </w:r>
      <w:r w:rsidR="00425A17">
        <w:t>satisfy</w:t>
      </w:r>
      <w:r w:rsidR="00425A17" w:rsidRPr="00844E70">
        <w:t xml:space="preserve"> </w:t>
      </w:r>
      <w:r w:rsidRPr="00844E70">
        <w:t>the EBR exemption.</w:t>
      </w:r>
      <w:r w:rsidR="00777312">
        <w:rPr>
          <w:rStyle w:val="FootnoteReference"/>
          <w:szCs w:val="22"/>
        </w:rPr>
        <w:footnoteReference w:id="18"/>
      </w:r>
      <w:r w:rsidRPr="00F27E7D">
        <w:rPr>
          <w:rStyle w:val="FootnoteReference"/>
          <w:szCs w:val="22"/>
        </w:rPr>
        <w:t xml:space="preserve"> </w:t>
      </w:r>
      <w:r w:rsidR="00425A17">
        <w:t xml:space="preserve"> </w:t>
      </w:r>
      <w:r w:rsidRPr="00844E70">
        <w:t>Additionally, one of the consumers who</w:t>
      </w:r>
      <w:r>
        <w:t xml:space="preserve"> </w:t>
      </w:r>
      <w:r w:rsidRPr="00844E70">
        <w:t>acknowledged an EBR with DSM also provided information showing that he told DSM to stop sending its advertisements at least 30 days before receipt of the fax ads at issue here</w:t>
      </w:r>
      <w:r>
        <w:rPr>
          <w:rStyle w:val="FootnoteReference"/>
          <w:szCs w:val="22"/>
        </w:rPr>
        <w:footnoteReference w:id="19"/>
      </w:r>
      <w:r w:rsidR="004A410E">
        <w:t>—notice</w:t>
      </w:r>
      <w:r w:rsidRPr="00844E70">
        <w:t xml:space="preserve"> that terminated</w:t>
      </w:r>
      <w:r w:rsidR="00A3583E">
        <w:t xml:space="preserve"> DSM’s permission to fax under the</w:t>
      </w:r>
      <w:r w:rsidRPr="00844E70">
        <w:t xml:space="preserve"> EBR</w:t>
      </w:r>
      <w:r w:rsidR="00A3583E">
        <w:t xml:space="preserve"> exemption.</w:t>
      </w:r>
      <w:r w:rsidR="007B69C8">
        <w:rPr>
          <w:rStyle w:val="FootnoteReference"/>
          <w:szCs w:val="22"/>
        </w:rPr>
        <w:footnoteReference w:id="20"/>
      </w:r>
      <w:r w:rsidR="00A6696C">
        <w:t xml:space="preserve">  </w:t>
      </w:r>
      <w:r w:rsidR="00777312">
        <w:t xml:space="preserve">Numerous other consumers who never purchased </w:t>
      </w:r>
      <w:r w:rsidR="00777312" w:rsidRPr="00562F59">
        <w:t xml:space="preserve">anything from or made any inquiry to </w:t>
      </w:r>
      <w:r w:rsidR="00A6696C" w:rsidRPr="00562F59">
        <w:t xml:space="preserve">DSM also report </w:t>
      </w:r>
      <w:r w:rsidR="00774AD1" w:rsidRPr="00562F59">
        <w:t xml:space="preserve">that </w:t>
      </w:r>
      <w:r w:rsidR="00A6696C" w:rsidRPr="00562F59">
        <w:t xml:space="preserve">their do-not-fax instructions </w:t>
      </w:r>
      <w:r w:rsidR="00774AD1" w:rsidRPr="00562F59">
        <w:t xml:space="preserve">were repeatedly </w:t>
      </w:r>
      <w:r w:rsidR="00A6696C" w:rsidRPr="00562F59">
        <w:t>ignored</w:t>
      </w:r>
      <w:r w:rsidR="00774AD1" w:rsidRPr="00562F59">
        <w:t xml:space="preserve">.  </w:t>
      </w:r>
      <w:r w:rsidR="00562F59" w:rsidRPr="00273F6F">
        <w:rPr>
          <w:color w:val="000000"/>
        </w:rPr>
        <w:t xml:space="preserve">Almost all of the consumers who filed complaints </w:t>
      </w:r>
      <w:r w:rsidRPr="00562F59">
        <w:t>provide</w:t>
      </w:r>
      <w:r w:rsidR="00322657" w:rsidRPr="00562F59">
        <w:t>d</w:t>
      </w:r>
      <w:r w:rsidRPr="00562F59">
        <w:t xml:space="preserve"> copies of DSM advertisements that do not contain any opt-out notice or affirmatively state</w:t>
      </w:r>
      <w:r w:rsidR="00322657" w:rsidRPr="00562F59">
        <w:t>d</w:t>
      </w:r>
      <w:r w:rsidRPr="00F47C04">
        <w:t xml:space="preserve"> that the advertisements they received from DSM did not include such a notice.  </w:t>
      </w:r>
    </w:p>
    <w:p w:rsidR="00401748" w:rsidRPr="00774AD1" w:rsidRDefault="00401748" w:rsidP="00774AD1">
      <w:pPr>
        <w:pStyle w:val="ParaNum"/>
        <w:rPr>
          <w:szCs w:val="22"/>
        </w:rPr>
      </w:pPr>
      <w:r w:rsidRPr="00774AD1">
        <w:rPr>
          <w:szCs w:val="22"/>
        </w:rPr>
        <w:t>Despite th</w:t>
      </w:r>
      <w:r w:rsidR="00322657" w:rsidRPr="00774AD1">
        <w:rPr>
          <w:szCs w:val="22"/>
        </w:rPr>
        <w:t>e absence of any opt-out notice</w:t>
      </w:r>
      <w:r w:rsidR="00A6696C" w:rsidRPr="00774AD1">
        <w:rPr>
          <w:szCs w:val="22"/>
        </w:rPr>
        <w:t xml:space="preserve"> on the DSM advertisements</w:t>
      </w:r>
      <w:r w:rsidRPr="00774AD1">
        <w:rPr>
          <w:szCs w:val="22"/>
        </w:rPr>
        <w:t xml:space="preserve">, </w:t>
      </w:r>
      <w:r w:rsidR="00A3583E">
        <w:rPr>
          <w:szCs w:val="22"/>
        </w:rPr>
        <w:t xml:space="preserve">all but one of the </w:t>
      </w:r>
      <w:r w:rsidRPr="00774AD1">
        <w:rPr>
          <w:szCs w:val="22"/>
        </w:rPr>
        <w:t xml:space="preserve"> consumer</w:t>
      </w:r>
      <w:r w:rsidR="00A3583E">
        <w:rPr>
          <w:szCs w:val="22"/>
        </w:rPr>
        <w:t>s</w:t>
      </w:r>
      <w:r w:rsidRPr="00774AD1">
        <w:rPr>
          <w:szCs w:val="22"/>
        </w:rPr>
        <w:t xml:space="preserve"> listed in Appendix A </w:t>
      </w:r>
      <w:r w:rsidR="00A3583E">
        <w:rPr>
          <w:szCs w:val="22"/>
        </w:rPr>
        <w:t xml:space="preserve">have stated that they </w:t>
      </w:r>
      <w:r w:rsidR="004A410E" w:rsidRPr="00B64952">
        <w:rPr>
          <w:szCs w:val="22"/>
        </w:rPr>
        <w:t xml:space="preserve">attempted to stop the faxes by </w:t>
      </w:r>
      <w:r w:rsidRPr="00B64952">
        <w:rPr>
          <w:szCs w:val="22"/>
        </w:rPr>
        <w:t>contact</w:t>
      </w:r>
      <w:r w:rsidR="004A410E" w:rsidRPr="002222BD">
        <w:rPr>
          <w:szCs w:val="22"/>
        </w:rPr>
        <w:t>ing</w:t>
      </w:r>
      <w:r w:rsidRPr="002222BD">
        <w:rPr>
          <w:szCs w:val="22"/>
        </w:rPr>
        <w:t xml:space="preserve"> DSM </w:t>
      </w:r>
      <w:r w:rsidR="0019350A" w:rsidRPr="002222BD">
        <w:rPr>
          <w:szCs w:val="22"/>
        </w:rPr>
        <w:t>by</w:t>
      </w:r>
      <w:r w:rsidR="00925461" w:rsidRPr="00AA1607">
        <w:rPr>
          <w:szCs w:val="22"/>
        </w:rPr>
        <w:t xml:space="preserve"> either </w:t>
      </w:r>
      <w:r w:rsidRPr="00AA1607">
        <w:rPr>
          <w:szCs w:val="22"/>
        </w:rPr>
        <w:t>a phone call to its sales number, a fax to its facsimile number, or a letter to its business address.</w:t>
      </w:r>
      <w:r w:rsidR="00F743E7">
        <w:rPr>
          <w:rStyle w:val="FootnoteReference"/>
          <w:szCs w:val="22"/>
        </w:rPr>
        <w:footnoteReference w:id="21"/>
      </w:r>
      <w:r w:rsidRPr="00774AD1">
        <w:rPr>
          <w:szCs w:val="22"/>
        </w:rPr>
        <w:t xml:space="preserve">  Without the required opt-out notice, fax recipients could only guess which means of </w:t>
      </w:r>
      <w:r w:rsidRPr="001232DF">
        <w:rPr>
          <w:szCs w:val="22"/>
        </w:rPr>
        <w:t xml:space="preserve">contact might enable them to lodge a do-not-fax request that actually would be recorded and honored.  The record demonstrates, however, that the DSM parties </w:t>
      </w:r>
      <w:r w:rsidRPr="00B64952">
        <w:rPr>
          <w:szCs w:val="22"/>
        </w:rPr>
        <w:t>have</w:t>
      </w:r>
      <w:r w:rsidR="005F6CB6" w:rsidRPr="00B64952">
        <w:rPr>
          <w:szCs w:val="22"/>
        </w:rPr>
        <w:t xml:space="preserve"> done</w:t>
      </w:r>
      <w:r w:rsidRPr="00B64952">
        <w:rPr>
          <w:szCs w:val="22"/>
        </w:rPr>
        <w:t xml:space="preserve"> </w:t>
      </w:r>
      <w:r w:rsidRPr="002222BD">
        <w:rPr>
          <w:szCs w:val="22"/>
        </w:rPr>
        <w:t>little or no</w:t>
      </w:r>
      <w:r w:rsidR="005F6CB6" w:rsidRPr="002222BD">
        <w:rPr>
          <w:szCs w:val="22"/>
        </w:rPr>
        <w:t>thing to</w:t>
      </w:r>
      <w:r w:rsidRPr="002222BD">
        <w:rPr>
          <w:szCs w:val="22"/>
        </w:rPr>
        <w:t xml:space="preserve"> honor do-not-fax request</w:t>
      </w:r>
      <w:r w:rsidR="005F6CB6" w:rsidRPr="00AA1607">
        <w:rPr>
          <w:szCs w:val="22"/>
        </w:rPr>
        <w:t>s</w:t>
      </w:r>
      <w:r w:rsidRPr="00AA1607">
        <w:rPr>
          <w:szCs w:val="22"/>
        </w:rPr>
        <w:t xml:space="preserve"> no matter how </w:t>
      </w:r>
      <w:r w:rsidR="005F6CB6" w:rsidRPr="00AA1607">
        <w:rPr>
          <w:szCs w:val="22"/>
        </w:rPr>
        <w:t>they were</w:t>
      </w:r>
      <w:r w:rsidRPr="00AA1607">
        <w:rPr>
          <w:szCs w:val="22"/>
        </w:rPr>
        <w:t xml:space="preserve"> received.</w:t>
      </w:r>
      <w:r w:rsidR="00635976">
        <w:rPr>
          <w:szCs w:val="22"/>
        </w:rPr>
        <w:t xml:space="preserve"> </w:t>
      </w:r>
      <w:r w:rsidRPr="00AA1607">
        <w:rPr>
          <w:szCs w:val="22"/>
        </w:rPr>
        <w:t xml:space="preserve"> A few complainants have</w:t>
      </w:r>
      <w:r w:rsidRPr="00A3583E">
        <w:rPr>
          <w:szCs w:val="22"/>
        </w:rPr>
        <w:t xml:space="preserve"> noted a brief respite from </w:t>
      </w:r>
      <w:r w:rsidR="00084BE1" w:rsidRPr="00A3583E">
        <w:rPr>
          <w:szCs w:val="22"/>
        </w:rPr>
        <w:t>these faxes</w:t>
      </w:r>
      <w:r w:rsidRPr="00A3583E">
        <w:rPr>
          <w:szCs w:val="22"/>
        </w:rPr>
        <w:t xml:space="preserve"> only to have the advertisements shortly resume in full force.</w:t>
      </w:r>
      <w:r>
        <w:rPr>
          <w:rStyle w:val="FootnoteReference"/>
          <w:szCs w:val="22"/>
        </w:rPr>
        <w:footnoteReference w:id="22"/>
      </w:r>
      <w:r w:rsidRPr="00774AD1">
        <w:rPr>
          <w:szCs w:val="22"/>
        </w:rPr>
        <w:t xml:space="preserve">  Two different complainants use identical words to summarize the typical </w:t>
      </w:r>
      <w:r w:rsidR="004C431D" w:rsidRPr="00774AD1">
        <w:rPr>
          <w:szCs w:val="22"/>
        </w:rPr>
        <w:t>DSM experience</w:t>
      </w:r>
      <w:r w:rsidRPr="00774AD1">
        <w:rPr>
          <w:szCs w:val="22"/>
        </w:rPr>
        <w:t xml:space="preserve"> succinctly:  “They will not stop.”</w:t>
      </w:r>
      <w:r>
        <w:rPr>
          <w:rStyle w:val="FootnoteReference"/>
          <w:szCs w:val="22"/>
        </w:rPr>
        <w:footnoteReference w:id="23"/>
      </w:r>
      <w:r w:rsidRPr="00774AD1">
        <w:rPr>
          <w:szCs w:val="22"/>
        </w:rPr>
        <w:t xml:space="preserve">  </w:t>
      </w:r>
    </w:p>
    <w:p w:rsidR="00401748" w:rsidRDefault="00401748" w:rsidP="00401748">
      <w:pPr>
        <w:pStyle w:val="ParaNum"/>
        <w:widowControl/>
        <w:rPr>
          <w:szCs w:val="22"/>
        </w:rPr>
      </w:pPr>
      <w:r>
        <w:rPr>
          <w:szCs w:val="22"/>
        </w:rPr>
        <w:t xml:space="preserve">Overwhelmingly, consumers have reported rude and unresponsive encounters during attempts to lodge a do-not-fax request with DSM.  One consumer notes that a </w:t>
      </w:r>
      <w:r w:rsidR="004C431D">
        <w:rPr>
          <w:szCs w:val="22"/>
        </w:rPr>
        <w:t>DSM representative</w:t>
      </w:r>
      <w:r>
        <w:rPr>
          <w:szCs w:val="22"/>
        </w:rPr>
        <w:t xml:space="preserve"> “actually laughed and said ‘whatever’ when I informed him I would be reporting him to the FCC.”</w:t>
      </w:r>
      <w:r>
        <w:rPr>
          <w:rStyle w:val="FootnoteReference"/>
          <w:szCs w:val="22"/>
        </w:rPr>
        <w:footnoteReference w:id="24"/>
      </w:r>
      <w:r w:rsidRPr="00330BF2">
        <w:rPr>
          <w:szCs w:val="22"/>
        </w:rPr>
        <w:t xml:space="preserve">  </w:t>
      </w:r>
      <w:r>
        <w:rPr>
          <w:szCs w:val="22"/>
        </w:rPr>
        <w:t xml:space="preserve">Most significant, regardless of the response received when making a do-not-fax request, </w:t>
      </w:r>
      <w:r w:rsidR="008A3E89">
        <w:rPr>
          <w:szCs w:val="22"/>
        </w:rPr>
        <w:t>25</w:t>
      </w:r>
      <w:r w:rsidRPr="00330BF2">
        <w:rPr>
          <w:szCs w:val="22"/>
        </w:rPr>
        <w:t xml:space="preserve"> consumer</w:t>
      </w:r>
      <w:r w:rsidR="008A3E89">
        <w:rPr>
          <w:szCs w:val="22"/>
        </w:rPr>
        <w:t>s</w:t>
      </w:r>
      <w:r w:rsidRPr="00330BF2">
        <w:rPr>
          <w:szCs w:val="22"/>
        </w:rPr>
        <w:t xml:space="preserve"> </w:t>
      </w:r>
      <w:r>
        <w:rPr>
          <w:szCs w:val="22"/>
        </w:rPr>
        <w:t>listed in A</w:t>
      </w:r>
      <w:r w:rsidR="008A3E89">
        <w:rPr>
          <w:szCs w:val="22"/>
        </w:rPr>
        <w:t>ppendix</w:t>
      </w:r>
      <w:r>
        <w:rPr>
          <w:szCs w:val="22"/>
        </w:rPr>
        <w:t xml:space="preserve"> A ha</w:t>
      </w:r>
      <w:r w:rsidR="008A3E89">
        <w:rPr>
          <w:szCs w:val="22"/>
        </w:rPr>
        <w:t>ve</w:t>
      </w:r>
      <w:r>
        <w:rPr>
          <w:szCs w:val="22"/>
        </w:rPr>
        <w:t xml:space="preserve"> reported</w:t>
      </w:r>
      <w:r w:rsidRPr="00330BF2">
        <w:rPr>
          <w:szCs w:val="22"/>
        </w:rPr>
        <w:t xml:space="preserve"> receiving a fax advertisement from DSM </w:t>
      </w:r>
      <w:r w:rsidRPr="004C431D">
        <w:rPr>
          <w:i/>
          <w:szCs w:val="22"/>
        </w:rPr>
        <w:t>after</w:t>
      </w:r>
      <w:r w:rsidRPr="00330BF2">
        <w:rPr>
          <w:szCs w:val="22"/>
        </w:rPr>
        <w:t xml:space="preserve"> making such a request, and 1</w:t>
      </w:r>
      <w:r w:rsidR="008A3E89">
        <w:rPr>
          <w:szCs w:val="22"/>
        </w:rPr>
        <w:t>7</w:t>
      </w:r>
      <w:r w:rsidRPr="00330BF2">
        <w:rPr>
          <w:szCs w:val="22"/>
        </w:rPr>
        <w:t xml:space="preserve"> </w:t>
      </w:r>
      <w:r>
        <w:rPr>
          <w:szCs w:val="22"/>
        </w:rPr>
        <w:t>consumers have shown</w:t>
      </w:r>
      <w:r w:rsidRPr="00330BF2">
        <w:rPr>
          <w:szCs w:val="22"/>
        </w:rPr>
        <w:t xml:space="preserve"> that </w:t>
      </w:r>
      <w:r>
        <w:rPr>
          <w:szCs w:val="22"/>
        </w:rPr>
        <w:t>they received a DSM</w:t>
      </w:r>
      <w:r w:rsidR="00F07D2A">
        <w:rPr>
          <w:szCs w:val="22"/>
        </w:rPr>
        <w:t xml:space="preserve"> </w:t>
      </w:r>
      <w:r>
        <w:rPr>
          <w:szCs w:val="22"/>
        </w:rPr>
        <w:t>fax advertisement more than</w:t>
      </w:r>
      <w:r w:rsidRPr="00330BF2">
        <w:rPr>
          <w:szCs w:val="22"/>
        </w:rPr>
        <w:t xml:space="preserve"> 30 days </w:t>
      </w:r>
      <w:r>
        <w:rPr>
          <w:szCs w:val="22"/>
        </w:rPr>
        <w:t>after they instructed Mr. Malcolm or one of his employees to stop faxing</w:t>
      </w:r>
      <w:r w:rsidRPr="00330BF2">
        <w:rPr>
          <w:szCs w:val="22"/>
        </w:rPr>
        <w:t>.</w:t>
      </w:r>
    </w:p>
    <w:p w:rsidR="00401748" w:rsidRDefault="00401748" w:rsidP="00401748">
      <w:pPr>
        <w:pStyle w:val="ParaNum"/>
        <w:widowControl/>
        <w:rPr>
          <w:szCs w:val="22"/>
        </w:rPr>
      </w:pPr>
      <w:r w:rsidRPr="00330BF2">
        <w:rPr>
          <w:szCs w:val="22"/>
        </w:rPr>
        <w:t>Consumers have compellingly documented</w:t>
      </w:r>
      <w:r>
        <w:rPr>
          <w:szCs w:val="22"/>
        </w:rPr>
        <w:t xml:space="preserve"> the disruption,</w:t>
      </w:r>
      <w:r w:rsidRPr="00330BF2">
        <w:rPr>
          <w:szCs w:val="22"/>
        </w:rPr>
        <w:t xml:space="preserve"> expense, and frustration caused both by receipt of the DSM parties’ unlawful advertisements and by the unpleasant and unsuccessful attempts to permanently stop them</w:t>
      </w:r>
      <w:r>
        <w:rPr>
          <w:szCs w:val="22"/>
        </w:rPr>
        <w:t xml:space="preserve">. </w:t>
      </w:r>
    </w:p>
    <w:p w:rsidR="00401748" w:rsidRDefault="00401748" w:rsidP="00401748">
      <w:pPr>
        <w:pStyle w:val="ParaNum"/>
        <w:numPr>
          <w:ilvl w:val="0"/>
          <w:numId w:val="5"/>
        </w:numPr>
        <w:rPr>
          <w:szCs w:val="22"/>
        </w:rPr>
      </w:pPr>
      <w:r>
        <w:rPr>
          <w:szCs w:val="22"/>
        </w:rPr>
        <w:t>“On 11-26-2012 Scott from DSM Supply promised to stop unwanted faxes.  The faxes have kept coming regularly despite several other requests to stop.”</w:t>
      </w:r>
      <w:r>
        <w:rPr>
          <w:rStyle w:val="FootnoteReference"/>
          <w:szCs w:val="22"/>
        </w:rPr>
        <w:footnoteReference w:id="25"/>
      </w:r>
    </w:p>
    <w:p w:rsidR="00401748" w:rsidRDefault="00401748" w:rsidP="00401748">
      <w:pPr>
        <w:pStyle w:val="ParaNum"/>
        <w:numPr>
          <w:ilvl w:val="0"/>
          <w:numId w:val="5"/>
        </w:numPr>
      </w:pPr>
      <w:r>
        <w:t>“</w:t>
      </w:r>
      <w:r w:rsidRPr="00491F8B">
        <w:t>For the last 15 months we have been in business I have called EVERY time we receive a fax to have us removed.  The person on the other end is rude and we are not removed</w:t>
      </w:r>
      <w:r>
        <w:t xml:space="preserve">. . . . </w:t>
      </w:r>
      <w:r w:rsidR="00DD46D9">
        <w:t xml:space="preserve"> </w:t>
      </w:r>
      <w:r>
        <w:t>These faxes come multiple times per month.”</w:t>
      </w:r>
      <w:r>
        <w:rPr>
          <w:rStyle w:val="FootnoteReference"/>
          <w:szCs w:val="22"/>
        </w:rPr>
        <w:footnoteReference w:id="26"/>
      </w:r>
    </w:p>
    <w:p w:rsidR="00401748" w:rsidRDefault="00401748" w:rsidP="00401748">
      <w:pPr>
        <w:pStyle w:val="ParaNum"/>
        <w:numPr>
          <w:ilvl w:val="0"/>
          <w:numId w:val="5"/>
        </w:numPr>
      </w:pPr>
      <w:r>
        <w:t>“They send multiple faxes daily and use up ink and paper.  Please help.”</w:t>
      </w:r>
      <w:r>
        <w:rPr>
          <w:rStyle w:val="FootnoteReference"/>
        </w:rPr>
        <w:footnoteReference w:id="27"/>
      </w:r>
    </w:p>
    <w:p w:rsidR="00401748" w:rsidRDefault="00401748" w:rsidP="00810066">
      <w:pPr>
        <w:pStyle w:val="ParaNum"/>
        <w:widowControl/>
        <w:numPr>
          <w:ilvl w:val="0"/>
          <w:numId w:val="5"/>
        </w:numPr>
      </w:pPr>
      <w:r w:rsidRPr="00A14FFD">
        <w:t>“We have called, faxed, etc</w:t>
      </w:r>
      <w:r>
        <w:t>.</w:t>
      </w:r>
      <w:r w:rsidRPr="00A14FFD">
        <w:t xml:space="preserve"> dozens of time to this vendor and yet still keep getting 3 faxes a week at 3 pages per fax.</w:t>
      </w:r>
      <w:r>
        <w:t>”</w:t>
      </w:r>
      <w:r>
        <w:rPr>
          <w:rStyle w:val="FootnoteReference"/>
        </w:rPr>
        <w:footnoteReference w:id="28"/>
      </w:r>
    </w:p>
    <w:p w:rsidR="00401748" w:rsidRDefault="00401748" w:rsidP="00401748">
      <w:pPr>
        <w:pStyle w:val="ParaNum"/>
        <w:numPr>
          <w:ilvl w:val="0"/>
          <w:numId w:val="5"/>
        </w:numPr>
      </w:pPr>
      <w:r>
        <w:t>“They have sent us faxes for years.  We call them every time we receive a fax and ask them to remove us.  On one occasion I called several times and they hung up on me, laughed at me, and never removed us from their list.”</w:t>
      </w:r>
      <w:r>
        <w:rPr>
          <w:rStyle w:val="FootnoteReference"/>
        </w:rPr>
        <w:footnoteReference w:id="29"/>
      </w:r>
    </w:p>
    <w:p w:rsidR="00401748" w:rsidRDefault="00401748" w:rsidP="00401748">
      <w:pPr>
        <w:pStyle w:val="ParaNum"/>
        <w:numPr>
          <w:ilvl w:val="0"/>
          <w:numId w:val="5"/>
        </w:numPr>
      </w:pPr>
      <w:r w:rsidRPr="00A14FFD">
        <w:t>“These faxes are graphic laden and consume</w:t>
      </w:r>
      <w:r w:rsidR="00322657">
        <w:t xml:space="preserve"> </w:t>
      </w:r>
      <w:r w:rsidRPr="00A14FFD">
        <w:t>a lot of toner, costing my company money.”</w:t>
      </w:r>
      <w:r w:rsidRPr="00A14FFD">
        <w:rPr>
          <w:rStyle w:val="FootnoteReference"/>
        </w:rPr>
        <w:footnoteReference w:id="30"/>
      </w:r>
    </w:p>
    <w:p w:rsidR="00401748" w:rsidRDefault="00401748" w:rsidP="00401748">
      <w:pPr>
        <w:pStyle w:val="ParaNum"/>
        <w:numPr>
          <w:ilvl w:val="0"/>
          <w:numId w:val="5"/>
        </w:numPr>
      </w:pPr>
      <w:r>
        <w:t>“I was verbally abused . . . after asking them to stop sending me faxes.”</w:t>
      </w:r>
      <w:r>
        <w:rPr>
          <w:rStyle w:val="FootnoteReference"/>
        </w:rPr>
        <w:footnoteReference w:id="31"/>
      </w:r>
    </w:p>
    <w:p w:rsidR="00401748" w:rsidRDefault="00401748" w:rsidP="00401748">
      <w:pPr>
        <w:pStyle w:val="ParaNum"/>
        <w:numPr>
          <w:ilvl w:val="0"/>
          <w:numId w:val="5"/>
        </w:numPr>
      </w:pPr>
      <w:r>
        <w:t>“Have requested MULTIPLE times to be removed from fax and phone solicitations, over the past several years, and yet we continue to get at least two sets (multiple pages, multiple cop</w:t>
      </w:r>
      <w:r w:rsidR="007E34F0">
        <w:t>i</w:t>
      </w:r>
      <w:r>
        <w:t>es) of faxes from this company on a regular basis.  When we call, the representatives are actually hostile to us. . . .  The one time we DID order from them was five or better years ago . . . now they want us to continue to pay for their advertisements in toner and fax minutes!”</w:t>
      </w:r>
      <w:r>
        <w:rPr>
          <w:rStyle w:val="FootnoteReference"/>
        </w:rPr>
        <w:footnoteReference w:id="32"/>
      </w:r>
    </w:p>
    <w:p w:rsidR="00401748" w:rsidRPr="00695BF9" w:rsidRDefault="00401748" w:rsidP="00401748">
      <w:pPr>
        <w:pStyle w:val="ParaNum"/>
        <w:widowControl/>
        <w:rPr>
          <w:szCs w:val="22"/>
        </w:rPr>
      </w:pPr>
      <w:r>
        <w:rPr>
          <w:szCs w:val="22"/>
        </w:rPr>
        <w:t xml:space="preserve">The experiences </w:t>
      </w:r>
      <w:r w:rsidR="00322657">
        <w:rPr>
          <w:szCs w:val="22"/>
        </w:rPr>
        <w:t xml:space="preserve">of these </w:t>
      </w:r>
      <w:r>
        <w:rPr>
          <w:szCs w:val="22"/>
        </w:rPr>
        <w:t xml:space="preserve">complainants provide convincing evidence that the unlawful and abusive practices by the DSM parties have been both consistent and longstanding.  </w:t>
      </w:r>
      <w:r w:rsidRPr="00D323B8">
        <w:rPr>
          <w:szCs w:val="22"/>
        </w:rPr>
        <w:t xml:space="preserve">Based on the record before us, we conclude that </w:t>
      </w:r>
      <w:r>
        <w:rPr>
          <w:szCs w:val="22"/>
        </w:rPr>
        <w:t>Mr. Malcolm, DSM, and</w:t>
      </w:r>
      <w:r w:rsidRPr="00D323B8">
        <w:rPr>
          <w:szCs w:val="22"/>
        </w:rPr>
        <w:t xml:space="preserve"> Somaticare apparently violated Section 227(b)(1)(C) of the Act and Section 64.1200(a)(4) of the Commission’s rules by </w:t>
      </w:r>
      <w:r>
        <w:rPr>
          <w:szCs w:val="22"/>
        </w:rPr>
        <w:t>sending</w:t>
      </w:r>
      <w:r w:rsidRPr="00D323B8">
        <w:rPr>
          <w:color w:val="000000"/>
          <w:szCs w:val="22"/>
        </w:rPr>
        <w:t xml:space="preserve"> at least </w:t>
      </w:r>
      <w:r w:rsidR="006B0ABD">
        <w:rPr>
          <w:color w:val="000000"/>
          <w:szCs w:val="22"/>
        </w:rPr>
        <w:t>115</w:t>
      </w:r>
      <w:r w:rsidRPr="00D323B8">
        <w:rPr>
          <w:color w:val="000000"/>
          <w:szCs w:val="22"/>
        </w:rPr>
        <w:t xml:space="preserve"> unsolicited facsimile advertisements between February 25</w:t>
      </w:r>
      <w:r w:rsidR="00BF1D09">
        <w:rPr>
          <w:color w:val="000000"/>
          <w:szCs w:val="22"/>
        </w:rPr>
        <w:t>, 2013</w:t>
      </w:r>
      <w:r w:rsidRPr="00D323B8">
        <w:rPr>
          <w:color w:val="000000"/>
          <w:szCs w:val="22"/>
        </w:rPr>
        <w:t xml:space="preserve"> and </w:t>
      </w:r>
      <w:r w:rsidR="005D781A">
        <w:rPr>
          <w:color w:val="000000"/>
          <w:szCs w:val="22"/>
        </w:rPr>
        <w:t>January 21</w:t>
      </w:r>
      <w:r w:rsidR="00BF1D09">
        <w:rPr>
          <w:color w:val="000000"/>
          <w:szCs w:val="22"/>
        </w:rPr>
        <w:t>, 201</w:t>
      </w:r>
      <w:r w:rsidR="005D781A">
        <w:rPr>
          <w:color w:val="000000"/>
          <w:szCs w:val="22"/>
        </w:rPr>
        <w:t>4</w:t>
      </w:r>
      <w:r w:rsidR="000C1FD3">
        <w:rPr>
          <w:color w:val="000000"/>
          <w:szCs w:val="22"/>
        </w:rPr>
        <w:t xml:space="preserve"> that did not meet the statutory requirements for an EBR or corresponding notice</w:t>
      </w:r>
      <w:r w:rsidRPr="00D323B8">
        <w:rPr>
          <w:color w:val="000000"/>
          <w:szCs w:val="22"/>
        </w:rPr>
        <w:t>.</w:t>
      </w:r>
    </w:p>
    <w:p w:rsidR="00401748" w:rsidRDefault="00401748" w:rsidP="00810066">
      <w:pPr>
        <w:pStyle w:val="Heading2"/>
      </w:pPr>
      <w:r>
        <w:t>Proposed Forfeiture</w:t>
      </w:r>
    </w:p>
    <w:p w:rsidR="00401748" w:rsidRDefault="00401748" w:rsidP="00810066">
      <w:pPr>
        <w:pStyle w:val="ParaNum"/>
        <w:rPr>
          <w:szCs w:val="22"/>
        </w:rPr>
      </w:pPr>
      <w:r>
        <w:t xml:space="preserve">After we have first issued a citation to </w:t>
      </w:r>
      <w:r w:rsidR="00CF0766">
        <w:t>a person</w:t>
      </w:r>
      <w:r>
        <w:t xml:space="preserve">, as we have in this case, Section 503(b) of the Act authorizes the Commission to propose a </w:t>
      </w:r>
      <w:r>
        <w:rPr>
          <w:color w:val="000000"/>
          <w:szCs w:val="22"/>
        </w:rPr>
        <w:t>forfeiture</w:t>
      </w:r>
      <w:r>
        <w:t xml:space="preserve"> for subsequent conduct of the type described in the citation that violates the Act</w:t>
      </w:r>
      <w:r>
        <w:rPr>
          <w:i/>
        </w:rPr>
        <w:t>,</w:t>
      </w:r>
      <w:r>
        <w:t xml:space="preserve"> or any rule, regulation, or order issued by the Commission under the Act.</w:t>
      </w:r>
      <w:r>
        <w:rPr>
          <w:rStyle w:val="FootnoteReference"/>
        </w:rPr>
        <w:footnoteReference w:id="33"/>
      </w:r>
      <w:r>
        <w:t xml:space="preserve">  Section 503(b)(2)(E) mandates that, “[i]n determining the amount of such a forfeiture penalty, the Commission or its designee shall take into account the nature, circumstances, extent, and gravity of the violation and, with respect to the violator, the degree of culpability, any history of prior offenses, ability to pay, and such other matters as justice may require.”</w:t>
      </w:r>
      <w:r>
        <w:rPr>
          <w:rStyle w:val="FootnoteReference"/>
          <w:color w:val="000000"/>
          <w:szCs w:val="22"/>
        </w:rPr>
        <w:footnoteReference w:id="34"/>
      </w:r>
      <w:r>
        <w:t xml:space="preserve">  Our forfeiture guidelines set forth the base amount for penalties for certain kinds of violations and identify criteria, consistent with the Section 503(b)(2)(E) factors, that may influence whether we adjust the base amount downward or upward.</w:t>
      </w:r>
      <w:r>
        <w:rPr>
          <w:rStyle w:val="FootnoteReference"/>
        </w:rPr>
        <w:footnoteReference w:id="35"/>
      </w:r>
      <w:r>
        <w:t xml:space="preserve">  For example, we may adjust a penalty upward for “[e]gregious misconduct,” an “[i]ntentional violation,” or where the subject of an enforcement action has engaged in “[p]rior violations of any FCC requirements” or a “[r]epeated or continuous violation.”</w:t>
      </w:r>
      <w:r>
        <w:rPr>
          <w:rStyle w:val="FootnoteReference"/>
        </w:rPr>
        <w:footnoteReference w:id="36"/>
      </w:r>
      <w:r>
        <w:t xml:space="preserve">  Currently, the maximum penalty that the Commission may impose against a party such as Mr. Malcolm, DSM, or Somaticare is $16,000 per violation.</w:t>
      </w:r>
      <w:r>
        <w:rPr>
          <w:rStyle w:val="FootnoteReference"/>
        </w:rPr>
        <w:footnoteReference w:id="37"/>
      </w:r>
      <w:r>
        <w:t xml:space="preserve"> </w:t>
      </w:r>
    </w:p>
    <w:p w:rsidR="00401748" w:rsidRPr="00F87218" w:rsidRDefault="00401748" w:rsidP="00401748">
      <w:pPr>
        <w:pStyle w:val="ParaNum"/>
        <w:widowControl/>
        <w:rPr>
          <w:szCs w:val="22"/>
        </w:rPr>
      </w:pPr>
      <w:r>
        <w:rPr>
          <w:color w:val="000000"/>
        </w:rPr>
        <w:t>T</w:t>
      </w:r>
      <w:r>
        <w:t xml:space="preserve">he Commission has generally considered $4,500 per unsolicited fax advertisement an appropriate base </w:t>
      </w:r>
      <w:r w:rsidR="00273DC0">
        <w:t xml:space="preserve">forfeiture </w:t>
      </w:r>
      <w:r>
        <w:t xml:space="preserve">for violating the prohibition </w:t>
      </w:r>
      <w:r>
        <w:rPr>
          <w:color w:val="000000"/>
          <w:szCs w:val="22"/>
        </w:rPr>
        <w:t>against</w:t>
      </w:r>
      <w:r>
        <w:t xml:space="preserve"> sending them.</w:t>
      </w:r>
      <w:r>
        <w:rPr>
          <w:rStyle w:val="FootnoteReference"/>
        </w:rPr>
        <w:footnoteReference w:id="38"/>
      </w:r>
      <w:r>
        <w:t xml:space="preserve">  In addition, when </w:t>
      </w:r>
      <w:r w:rsidR="00297047">
        <w:t xml:space="preserve">a </w:t>
      </w:r>
      <w:r>
        <w:t>consumer requests that facsimile messages</w:t>
      </w:r>
      <w:r w:rsidR="00297047">
        <w:t xml:space="preserve"> stop but they continue</w:t>
      </w:r>
      <w:r>
        <w:t>, the Commission ha</w:t>
      </w:r>
      <w:r w:rsidR="00D05035">
        <w:t>s</w:t>
      </w:r>
      <w:r>
        <w:t xml:space="preserve"> previously considered $10,000 per unsolicited fax advertisement the appropriate forfeiture for such </w:t>
      </w:r>
      <w:r w:rsidR="00D05035">
        <w:t xml:space="preserve">an </w:t>
      </w:r>
      <w:r>
        <w:t>egregious violation.</w:t>
      </w:r>
      <w:r>
        <w:rPr>
          <w:rStyle w:val="FootnoteReference"/>
        </w:rPr>
        <w:footnoteReference w:id="39"/>
      </w:r>
      <w:r>
        <w:t xml:space="preserve">  </w:t>
      </w:r>
      <w:r w:rsidR="00297047">
        <w:t xml:space="preserve">Over time, </w:t>
      </w:r>
      <w:r>
        <w:t>however, proposed forfeitures</w:t>
      </w:r>
      <w:r w:rsidR="00D05035">
        <w:t xml:space="preserve"> of these</w:t>
      </w:r>
      <w:r w:rsidR="00297047">
        <w:t xml:space="preserve"> size</w:t>
      </w:r>
      <w:r w:rsidR="00D05035">
        <w:t>s</w:t>
      </w:r>
      <w:r>
        <w:t xml:space="preserve"> </w:t>
      </w:r>
      <w:r w:rsidR="00D05035">
        <w:t>have f</w:t>
      </w:r>
      <w:r>
        <w:t xml:space="preserve">ailed to deter the more persistent </w:t>
      </w:r>
      <w:r w:rsidR="00D05035">
        <w:t>violators of the junk fax rules</w:t>
      </w:r>
      <w:r>
        <w:t xml:space="preserve">.  Accordingly, the Commission has applied upward adjustments to multiple </w:t>
      </w:r>
      <w:r w:rsidR="00EE2164">
        <w:t xml:space="preserve">and </w:t>
      </w:r>
      <w:r>
        <w:t>repeated violations of our junk fax rules</w:t>
      </w:r>
      <w:r>
        <w:rPr>
          <w:rStyle w:val="FootnoteReference"/>
        </w:rPr>
        <w:footnoteReference w:id="40"/>
      </w:r>
      <w:r>
        <w:t xml:space="preserve"> and to violators whose practices are egregious.</w:t>
      </w:r>
      <w:r>
        <w:rPr>
          <w:rStyle w:val="FootnoteReference"/>
        </w:rPr>
        <w:footnoteReference w:id="41"/>
      </w:r>
      <w:r>
        <w:t xml:space="preserve">   </w:t>
      </w:r>
    </w:p>
    <w:p w:rsidR="00401748" w:rsidRPr="00695BF9" w:rsidRDefault="00401748" w:rsidP="00401748">
      <w:pPr>
        <w:pStyle w:val="ParaNum"/>
        <w:widowControl/>
        <w:rPr>
          <w:szCs w:val="22"/>
        </w:rPr>
      </w:pPr>
      <w:r w:rsidRPr="00BD2A19">
        <w:rPr>
          <w:szCs w:val="22"/>
        </w:rPr>
        <w:t xml:space="preserve">As our </w:t>
      </w:r>
      <w:r>
        <w:rPr>
          <w:szCs w:val="22"/>
        </w:rPr>
        <w:t xml:space="preserve">past </w:t>
      </w:r>
      <w:r w:rsidRPr="00BD2A19">
        <w:rPr>
          <w:szCs w:val="22"/>
        </w:rPr>
        <w:t xml:space="preserve">upward adjustments indicate, different and more substantial penalties are appropriate for persons and entities who engage in a significant number of violations, especially those whose conduct is egregious.  </w:t>
      </w:r>
      <w:r w:rsidR="00F93BBC">
        <w:t>The DSM facsimile</w:t>
      </w:r>
      <w:r>
        <w:t xml:space="preserve"> advertisements prompted over </w:t>
      </w:r>
      <w:r w:rsidR="007E34F0">
        <w:t>3</w:t>
      </w:r>
      <w:r>
        <w:t xml:space="preserve">50 complaints to the Commission </w:t>
      </w:r>
      <w:r w:rsidRPr="00BD2A19">
        <w:rPr>
          <w:i/>
        </w:rPr>
        <w:t>after</w:t>
      </w:r>
      <w:r>
        <w:t xml:space="preserve"> the Bureau first warned the</w:t>
      </w:r>
      <w:r w:rsidR="00F93BBC">
        <w:t>se parties</w:t>
      </w:r>
      <w:r>
        <w:t xml:space="preserve"> that their conduct violated the law.  These complaints indicate that Mr. Malcolm, DSM, and Somaticare are knowing, flagrant, and persistent violators of the junk fax rules and are not likely to be deterred from continuing to send unsolicited faxes, and violating other junk fax rules, unless a substantial penalty is assessed.  Although Section 503(b)(6) of the Communications Act</w:t>
      </w:r>
      <w:r>
        <w:rPr>
          <w:rStyle w:val="FootnoteReference"/>
        </w:rPr>
        <w:footnoteReference w:id="42"/>
      </w:r>
      <w:r>
        <w:t xml:space="preserve"> does not permit the Commission to assess a forfeiture for th</w:t>
      </w:r>
      <w:r w:rsidR="002F5F72">
        <w:t>o</w:t>
      </w:r>
      <w:r>
        <w:t xml:space="preserve">se violations that occurred more than one year prior to the date of this NAL, the </w:t>
      </w:r>
      <w:r w:rsidR="00273DC0">
        <w:t xml:space="preserve">volume and </w:t>
      </w:r>
      <w:r>
        <w:t xml:space="preserve">egregious nature of the apparent violations </w:t>
      </w:r>
      <w:r w:rsidR="00F93BBC">
        <w:t>justifies</w:t>
      </w:r>
      <w:r>
        <w:t xml:space="preserve"> the maximum penalty possible for the </w:t>
      </w:r>
      <w:r w:rsidR="006B0ABD">
        <w:t>115</w:t>
      </w:r>
      <w:r>
        <w:t xml:space="preserve"> violations that </w:t>
      </w:r>
      <w:r w:rsidR="002F5F72">
        <w:t>occurred</w:t>
      </w:r>
      <w:r>
        <w:t xml:space="preserve"> with</w:t>
      </w:r>
      <w:r w:rsidR="002F5F72">
        <w:t>in</w:t>
      </w:r>
      <w:r>
        <w:t xml:space="preserve"> the past year.</w:t>
      </w:r>
    </w:p>
    <w:p w:rsidR="00401748" w:rsidRPr="00E54372" w:rsidRDefault="00F93BBC" w:rsidP="00810066">
      <w:pPr>
        <w:pStyle w:val="ParaNum"/>
        <w:rPr>
          <w:szCs w:val="22"/>
        </w:rPr>
      </w:pPr>
      <w:r>
        <w:t>M</w:t>
      </w:r>
      <w:r w:rsidR="00401748">
        <w:t>any of the consumers claim that they received DSM advertisements by fax for months or even for years, so that far more unwanted faxes were apparently sent to these parties than the specific faxes reported in their complaints and listed in Appendix A.</w:t>
      </w:r>
      <w:r w:rsidR="00401748">
        <w:rPr>
          <w:rStyle w:val="FootnoteReference"/>
        </w:rPr>
        <w:footnoteReference w:id="43"/>
      </w:r>
      <w:r w:rsidR="00401748">
        <w:t xml:space="preserve"> </w:t>
      </w:r>
      <w:r w:rsidR="00A52E82">
        <w:t xml:space="preserve"> </w:t>
      </w:r>
      <w:r w:rsidR="00401748">
        <w:t>In addition, the DSM parties regularly sent as many as three separate advertisements in a single transmission,</w:t>
      </w:r>
      <w:r w:rsidR="00401748">
        <w:rPr>
          <w:rStyle w:val="FootnoteReference"/>
        </w:rPr>
        <w:footnoteReference w:id="44"/>
      </w:r>
      <w:r w:rsidR="00401748">
        <w:t xml:space="preserve"> and in some instances faxed duplicate transmissions containing multiple advertisements within minutes.</w:t>
      </w:r>
      <w:r w:rsidR="00401748">
        <w:rPr>
          <w:rStyle w:val="FootnoteReference"/>
        </w:rPr>
        <w:footnoteReference w:id="45"/>
      </w:r>
      <w:r w:rsidR="00401748">
        <w:t xml:space="preserve">  The complaints show that </w:t>
      </w:r>
      <w:r w:rsidR="009C1AD8">
        <w:t xml:space="preserve">the </w:t>
      </w:r>
      <w:r w:rsidR="00401748">
        <w:t>multi-page transmissions with sizable text and graphic images consume undue amounts of consumers’ paper and ink, while also extending the time that fax machines are unavailable for their owners</w:t>
      </w:r>
      <w:r w:rsidR="00F47C04">
        <w:t>’</w:t>
      </w:r>
      <w:r w:rsidR="00401748">
        <w:t xml:space="preserve"> </w:t>
      </w:r>
      <w:r w:rsidR="00A52E82">
        <w:t xml:space="preserve">lawful </w:t>
      </w:r>
      <w:r w:rsidR="00401748">
        <w:t>use.</w:t>
      </w:r>
      <w:r w:rsidR="00401748">
        <w:rPr>
          <w:rStyle w:val="FootnoteReference"/>
        </w:rPr>
        <w:footnoteReference w:id="46"/>
      </w:r>
      <w:r w:rsidR="00401748">
        <w:t xml:space="preserve">  For the </w:t>
      </w:r>
      <w:r w:rsidR="00327D4D">
        <w:t>health care</w:t>
      </w:r>
      <w:r w:rsidR="00401748">
        <w:t xml:space="preserve"> offices that have been </w:t>
      </w:r>
      <w:r w:rsidR="00A52E82">
        <w:t xml:space="preserve">the </w:t>
      </w:r>
      <w:r w:rsidR="00401748">
        <w:t>primary target</w:t>
      </w:r>
      <w:r w:rsidR="00A52E82">
        <w:t>s</w:t>
      </w:r>
      <w:r w:rsidR="00401748">
        <w:t>,</w:t>
      </w:r>
      <w:r w:rsidR="00401748">
        <w:rPr>
          <w:rStyle w:val="FootnoteReference"/>
        </w:rPr>
        <w:footnoteReference w:id="47"/>
      </w:r>
      <w:r w:rsidR="00401748">
        <w:t xml:space="preserve"> these faxes can be more than an inconvenience and unwarranted expense</w:t>
      </w:r>
      <w:r w:rsidR="00800E21">
        <w:t xml:space="preserve">.  Some </w:t>
      </w:r>
      <w:r w:rsidR="00327D4D">
        <w:t>health care</w:t>
      </w:r>
      <w:r w:rsidR="00401748">
        <w:t xml:space="preserve"> professionals or office employees have described how </w:t>
      </w:r>
      <w:r w:rsidR="009C1AD8">
        <w:t xml:space="preserve">the </w:t>
      </w:r>
      <w:r w:rsidR="00401748">
        <w:t>DSM</w:t>
      </w:r>
      <w:r w:rsidR="009C1AD8">
        <w:t xml:space="preserve"> parties</w:t>
      </w:r>
      <w:r w:rsidR="00401748">
        <w:t>’ frequent and lengthy faxes disrupted their practices and possibly interfered with patient care.</w:t>
      </w:r>
      <w:r w:rsidR="00401748">
        <w:rPr>
          <w:rStyle w:val="FootnoteReference"/>
        </w:rPr>
        <w:footnoteReference w:id="48"/>
      </w:r>
      <w:r w:rsidR="00401748">
        <w:t xml:space="preserve">  </w:t>
      </w:r>
    </w:p>
    <w:p w:rsidR="00E54372" w:rsidRPr="00065037" w:rsidRDefault="00774AD1" w:rsidP="00810066">
      <w:pPr>
        <w:pStyle w:val="ParaNum"/>
        <w:widowControl/>
        <w:rPr>
          <w:szCs w:val="22"/>
        </w:rPr>
      </w:pPr>
      <w:r>
        <w:t>As described above, t</w:t>
      </w:r>
      <w:r w:rsidR="00E54372">
        <w:t xml:space="preserve">he faxes </w:t>
      </w:r>
      <w:r>
        <w:t>failed to provide</w:t>
      </w:r>
      <w:r w:rsidR="00E54372">
        <w:t xml:space="preserve"> </w:t>
      </w:r>
      <w:r w:rsidR="00B7712E">
        <w:t xml:space="preserve">any </w:t>
      </w:r>
      <w:r w:rsidR="00E54372">
        <w:t xml:space="preserve">opt-out information to instruct recipients </w:t>
      </w:r>
      <w:r w:rsidR="001232DF">
        <w:t>how</w:t>
      </w:r>
      <w:r w:rsidR="00E54372">
        <w:t xml:space="preserve"> to avoid receiving future fax advertisements from the DSM parties.  Even more significant, the complaints powerfully demonstrate the DSM parties’ complete indifference to the fax recipients’ persistent efforts to make do-not-fax requests even without benefit of an opt-out notice.</w:t>
      </w:r>
      <w:r w:rsidR="00E54372">
        <w:rPr>
          <w:rStyle w:val="FootnoteReference"/>
        </w:rPr>
        <w:footnoteReference w:id="49"/>
      </w:r>
      <w:r w:rsidR="007C44F4">
        <w:t xml:space="preserve">  The DSM parties either lacked procedures to record and honor do-not-fax requests, or simply disregarded </w:t>
      </w:r>
      <w:r w:rsidR="001A1DAE">
        <w:t>such requests</w:t>
      </w:r>
      <w:r w:rsidR="007C44F4">
        <w:t xml:space="preserve">.  </w:t>
      </w:r>
      <w:r w:rsidR="005B1EB6">
        <w:t>All but one of the consumers</w:t>
      </w:r>
      <w:r w:rsidR="001561F2">
        <w:t xml:space="preserve"> listed in Appendix A attempted to make a do-not-fax request</w:t>
      </w:r>
      <w:r w:rsidR="009A268B">
        <w:t>,</w:t>
      </w:r>
      <w:r w:rsidR="00D01634">
        <w:t xml:space="preserve"> and 1</w:t>
      </w:r>
      <w:r w:rsidR="005B1EB6">
        <w:t>7</w:t>
      </w:r>
      <w:r w:rsidR="00D01634">
        <w:t xml:space="preserve"> of the consumers have provided information showing that they received at least one DSM fax advertisement more than 30 days after they made a do-not-fax request</w:t>
      </w:r>
      <w:r w:rsidR="001232DF">
        <w:t>;</w:t>
      </w:r>
      <w:r w:rsidR="001561F2">
        <w:rPr>
          <w:rStyle w:val="FootnoteReference"/>
        </w:rPr>
        <w:footnoteReference w:id="50"/>
      </w:r>
      <w:r w:rsidR="00D01634">
        <w:t xml:space="preserve"> </w:t>
      </w:r>
      <w:r w:rsidR="001232DF">
        <w:t xml:space="preserve">each such subsequent fax </w:t>
      </w:r>
      <w:r w:rsidR="00D01634">
        <w:t>constitutes an additional violation of the Commission’s rules that could carry a separate penalty of up to $16,000 each.</w:t>
      </w:r>
      <w:r w:rsidR="001561F2">
        <w:t xml:space="preserve">  </w:t>
      </w:r>
      <w:r w:rsidR="00FB1D42">
        <w:t>In this case, we consider these additional violations as aggravating factors that warrant upward adjustments of our base forfeiture amounts.</w:t>
      </w:r>
      <w:r w:rsidR="001232DF">
        <w:rPr>
          <w:rStyle w:val="FootnoteReference"/>
        </w:rPr>
        <w:footnoteReference w:id="51"/>
      </w:r>
      <w:r w:rsidR="00FB1D42">
        <w:t xml:space="preserve">  </w:t>
      </w:r>
      <w:r w:rsidR="00E54372">
        <w:t xml:space="preserve">  </w:t>
      </w:r>
    </w:p>
    <w:p w:rsidR="00401748" w:rsidRPr="00810066" w:rsidRDefault="00401748" w:rsidP="00401748">
      <w:pPr>
        <w:pStyle w:val="ParaNum"/>
        <w:widowControl/>
        <w:rPr>
          <w:szCs w:val="22"/>
        </w:rPr>
      </w:pPr>
      <w:r>
        <w:t xml:space="preserve">Weighing the facts before us, we propose the maximum penalty allowed under the Act and the Commission’s rules, $16,000, for each of the </w:t>
      </w:r>
      <w:r w:rsidR="006B0ABD">
        <w:t>115</w:t>
      </w:r>
      <w:r>
        <w:t xml:space="preserve"> instances in which the DSM parties sent an unsolicited facsimile advertisement without satisfying the requirements to invoke the established bu</w:t>
      </w:r>
      <w:r w:rsidR="005B05DA">
        <w:t>siness relationship exemption</w:t>
      </w:r>
      <w:r w:rsidR="001232DF">
        <w:t>—</w:t>
      </w:r>
      <w:r w:rsidR="007C44F4">
        <w:t>a total penalty of</w:t>
      </w:r>
      <w:r w:rsidR="00A52E82">
        <w:t xml:space="preserve"> $1,</w:t>
      </w:r>
      <w:r w:rsidR="00202CCE">
        <w:t>840</w:t>
      </w:r>
      <w:r w:rsidR="00A52E82">
        <w:t>,000</w:t>
      </w:r>
      <w:r w:rsidR="005B05DA">
        <w:t>.</w:t>
      </w:r>
      <w:r>
        <w:t xml:space="preserve">  </w:t>
      </w:r>
    </w:p>
    <w:p w:rsidR="00EB5858" w:rsidRPr="00810066" w:rsidRDefault="00F033AB" w:rsidP="009258D9">
      <w:pPr>
        <w:pStyle w:val="ParaNum"/>
        <w:widowControl/>
        <w:tabs>
          <w:tab w:val="num" w:pos="1710"/>
        </w:tabs>
        <w:rPr>
          <w:szCs w:val="22"/>
        </w:rPr>
      </w:pPr>
      <w:r>
        <w:t>Consistent with</w:t>
      </w:r>
      <w:r w:rsidR="009258D9">
        <w:t xml:space="preserve"> prior </w:t>
      </w:r>
      <w:r w:rsidR="009258D9" w:rsidRPr="00BC37F5">
        <w:t>NALs</w:t>
      </w:r>
      <w:r w:rsidR="009258D9">
        <w:t xml:space="preserve">, the </w:t>
      </w:r>
      <w:r>
        <w:t xml:space="preserve">proposed </w:t>
      </w:r>
      <w:r w:rsidR="009258D9">
        <w:t>penalty</w:t>
      </w:r>
      <w:r>
        <w:t xml:space="preserve"> here</w:t>
      </w:r>
      <w:r w:rsidR="009258D9">
        <w:t xml:space="preserve"> applies to Mr. Malcolm</w:t>
      </w:r>
      <w:r>
        <w:t xml:space="preserve"> personally</w:t>
      </w:r>
      <w:r w:rsidR="009258D9">
        <w:t>, whether acting in his own name or through DSM or Somaticare.</w:t>
      </w:r>
      <w:r w:rsidR="002222BD">
        <w:rPr>
          <w:rStyle w:val="FootnoteReference"/>
        </w:rPr>
        <w:footnoteReference w:id="52"/>
      </w:r>
      <w:r w:rsidR="009258D9">
        <w:t xml:space="preserve">  </w:t>
      </w:r>
      <w:r w:rsidR="00EB5858">
        <w:t xml:space="preserve">As </w:t>
      </w:r>
      <w:r w:rsidR="00DE2903">
        <w:t xml:space="preserve">demonstrated </w:t>
      </w:r>
      <w:r w:rsidR="00EB5858">
        <w:t>more fully below, there exists such a unity of interest and ownership that no separate personality exists as between Mr. Malcolm and DSM or Somaticare.</w:t>
      </w:r>
      <w:r w:rsidR="00DE2903">
        <w:t xml:space="preserve">  These </w:t>
      </w:r>
      <w:r w:rsidR="00AA7806">
        <w:t>entities</w:t>
      </w:r>
      <w:r w:rsidR="00DE2903">
        <w:t xml:space="preserve"> </w:t>
      </w:r>
      <w:r w:rsidR="00BE573B">
        <w:t>merely function</w:t>
      </w:r>
      <w:r w:rsidR="00470F46">
        <w:t xml:space="preserve"> as </w:t>
      </w:r>
      <w:r w:rsidR="00BE573B">
        <w:t>instrumentalit</w:t>
      </w:r>
      <w:r w:rsidR="00DE2903">
        <w:t>ies</w:t>
      </w:r>
      <w:r w:rsidR="00BE573B">
        <w:t xml:space="preserve"> of Mr. Malcolm</w:t>
      </w:r>
      <w:r w:rsidR="00AA7806">
        <w:t>,</w:t>
      </w:r>
      <w:r w:rsidR="00470F46">
        <w:t xml:space="preserve"> </w:t>
      </w:r>
      <w:r w:rsidR="00AA7806">
        <w:t xml:space="preserve">and </w:t>
      </w:r>
      <w:r w:rsidR="00470F46">
        <w:t xml:space="preserve">Mr. Malcolm </w:t>
      </w:r>
      <w:r w:rsidR="00777629">
        <w:t xml:space="preserve">cannot be allowed </w:t>
      </w:r>
      <w:r w:rsidR="00470F46">
        <w:t xml:space="preserve">to circumvent personal liability </w:t>
      </w:r>
      <w:r w:rsidR="00777629">
        <w:t>simply by forming purportedly different organizations</w:t>
      </w:r>
      <w:r w:rsidR="00BE573B">
        <w:t>.</w:t>
      </w:r>
      <w:r w:rsidR="004E7586" w:rsidRPr="0026204F">
        <w:rPr>
          <w:rStyle w:val="FootnoteReference"/>
          <w:color w:val="000000"/>
        </w:rPr>
        <w:footnoteReference w:id="53"/>
      </w:r>
      <w:r w:rsidR="00BE573B">
        <w:t xml:space="preserve">  </w:t>
      </w:r>
    </w:p>
    <w:p w:rsidR="009258D9" w:rsidRPr="00810066" w:rsidRDefault="009258D9" w:rsidP="00810066">
      <w:pPr>
        <w:pStyle w:val="ParaNum"/>
        <w:rPr>
          <w:szCs w:val="22"/>
        </w:rPr>
      </w:pPr>
      <w:r w:rsidRPr="009258D9">
        <w:t>According to publicly available records maintained by the Texas Secretary of State, Scott Malcolm is both the president and director—and, in fact, the only “member” or corporate officer—of both DSM and Somaticare.  DSM was formed as a limited liability company in 2006 with Mr. Malcolm designated as the sole “initial Member”</w:t>
      </w:r>
      <w:r w:rsidR="00AA7806">
        <w:t>;</w:t>
      </w:r>
      <w:r w:rsidRPr="00480FEC">
        <w:rPr>
          <w:rStyle w:val="FootnoteReference"/>
          <w:color w:val="000000"/>
        </w:rPr>
        <w:footnoteReference w:id="54"/>
      </w:r>
      <w:r w:rsidRPr="009258D9">
        <w:t xml:space="preserve"> no filings or records show any other member of the company from that time to the present.  DSM was “forfeited” twice and designated “inactive” by the Secretary of State—in May of both 2008 and 2010—for failure to file a franchise tax return</w:t>
      </w:r>
      <w:r w:rsidR="00AA7806">
        <w:t xml:space="preserve"> </w:t>
      </w:r>
      <w:r w:rsidRPr="009258D9">
        <w:t xml:space="preserve">or pay state franchise tax.   In October 2008, Mr. Malcolm </w:t>
      </w:r>
      <w:r w:rsidR="00AA7806">
        <w:t>sought and received</w:t>
      </w:r>
      <w:r w:rsidRPr="009258D9">
        <w:t xml:space="preserve"> reinstatement for DSM</w:t>
      </w:r>
      <w:r w:rsidR="00BC37F5">
        <w:t xml:space="preserve"> </w:t>
      </w:r>
      <w:r w:rsidRPr="009258D9">
        <w:t>after the Texas Comptroller of Public Accounts cleared DSM</w:t>
      </w:r>
      <w:r w:rsidR="00BC37F5">
        <w:t xml:space="preserve"> </w:t>
      </w:r>
      <w:r w:rsidRPr="009258D9">
        <w:t xml:space="preserve">for reinstatement.  After DSM’s May 2010 tax forfeiture, Mr. Malcolm did not correct the deficiencies or seek reinstatement for over two years.  </w:t>
      </w:r>
      <w:r w:rsidR="00766638">
        <w:t>During that</w:t>
      </w:r>
      <w:r w:rsidR="00AA7806">
        <w:t xml:space="preserve"> time</w:t>
      </w:r>
      <w:r w:rsidR="00766638">
        <w:t>, Mr. Malcolm</w:t>
      </w:r>
      <w:r w:rsidR="00CB293F">
        <w:t>,</w:t>
      </w:r>
      <w:r w:rsidR="00766638">
        <w:t xml:space="preserve"> acting </w:t>
      </w:r>
      <w:r w:rsidR="00CB293F">
        <w:t xml:space="preserve">for himself </w:t>
      </w:r>
      <w:r w:rsidR="00AA7806">
        <w:t xml:space="preserve">and </w:t>
      </w:r>
      <w:r w:rsidR="00CB293F">
        <w:t xml:space="preserve">using </w:t>
      </w:r>
      <w:r w:rsidR="00766638">
        <w:t>the name of DSM</w:t>
      </w:r>
      <w:r w:rsidR="00CB293F">
        <w:t>,</w:t>
      </w:r>
      <w:r w:rsidR="00766638">
        <w:t xml:space="preserve"> continued to send junk faxes in violation of the Act and the Commission’s rules.  In fact, some of the faxes that formed the basis for the </w:t>
      </w:r>
      <w:r w:rsidR="00CB293F" w:rsidRPr="00075233">
        <w:rPr>
          <w:szCs w:val="22"/>
        </w:rPr>
        <w:t xml:space="preserve">December 20, 2011, </w:t>
      </w:r>
      <w:r w:rsidR="00CB293F">
        <w:rPr>
          <w:szCs w:val="22"/>
        </w:rPr>
        <w:t xml:space="preserve">citation to Mr. Malcolm, DSM, and Somaticare were sent during the period when DSM was </w:t>
      </w:r>
      <w:r w:rsidR="00BC37F5">
        <w:rPr>
          <w:szCs w:val="22"/>
        </w:rPr>
        <w:t xml:space="preserve">not </w:t>
      </w:r>
      <w:r w:rsidR="00CB293F">
        <w:rPr>
          <w:szCs w:val="22"/>
        </w:rPr>
        <w:t>a legal entity.</w:t>
      </w:r>
      <w:r w:rsidR="00CB293F" w:rsidRPr="00075233">
        <w:rPr>
          <w:szCs w:val="22"/>
        </w:rPr>
        <w:t xml:space="preserve">  </w:t>
      </w:r>
      <w:r w:rsidRPr="009258D9">
        <w:t>DSM was reinstated on May 30, 2012</w:t>
      </w:r>
      <w:r w:rsidR="00AA7806">
        <w:t>,</w:t>
      </w:r>
      <w:r w:rsidRPr="009258D9">
        <w:t xml:space="preserve"> and apparently has remained active since then. </w:t>
      </w:r>
    </w:p>
    <w:p w:rsidR="00EB5858" w:rsidRPr="00810066" w:rsidRDefault="009258D9" w:rsidP="009258D9">
      <w:pPr>
        <w:pStyle w:val="ParaNum"/>
        <w:widowControl/>
        <w:rPr>
          <w:szCs w:val="22"/>
        </w:rPr>
      </w:pPr>
      <w:r w:rsidRPr="00480FEC">
        <w:rPr>
          <w:color w:val="000000"/>
        </w:rPr>
        <w:t>Somaticare was incorporated as Somaticare, Inc.</w:t>
      </w:r>
      <w:r w:rsidR="00AA7806">
        <w:rPr>
          <w:color w:val="000000"/>
        </w:rPr>
        <w:t>,</w:t>
      </w:r>
      <w:r w:rsidRPr="00480FEC">
        <w:rPr>
          <w:color w:val="000000"/>
        </w:rPr>
        <w:t xml:space="preserve"> in 1999</w:t>
      </w:r>
      <w:r w:rsidRPr="00480FEC">
        <w:rPr>
          <w:rStyle w:val="FootnoteReference"/>
          <w:color w:val="000000"/>
        </w:rPr>
        <w:footnoteReference w:id="55"/>
      </w:r>
      <w:r w:rsidRPr="00480FEC">
        <w:rPr>
          <w:color w:val="000000"/>
        </w:rPr>
        <w:t xml:space="preserve"> and then converted to a limited liability company in 2000.  Again, Scott Malcolm is listed as the sole corporate officer of Somaticare</w:t>
      </w:r>
      <w:r w:rsidR="00AA7806">
        <w:rPr>
          <w:color w:val="000000"/>
        </w:rPr>
        <w:t>, and</w:t>
      </w:r>
      <w:r w:rsidRPr="00480FEC">
        <w:rPr>
          <w:color w:val="000000"/>
        </w:rPr>
        <w:t xml:space="preserve"> the Texas Secretary of State</w:t>
      </w:r>
      <w:r w:rsidR="005E657B">
        <w:rPr>
          <w:color w:val="000000"/>
        </w:rPr>
        <w:t xml:space="preserve"> records</w:t>
      </w:r>
      <w:r w:rsidRPr="00480FEC">
        <w:rPr>
          <w:color w:val="000000"/>
        </w:rPr>
        <w:t xml:space="preserve"> show </w:t>
      </w:r>
      <w:r w:rsidR="005E657B">
        <w:rPr>
          <w:color w:val="000000"/>
        </w:rPr>
        <w:t xml:space="preserve">no </w:t>
      </w:r>
      <w:r w:rsidRPr="00480FEC">
        <w:rPr>
          <w:color w:val="000000"/>
        </w:rPr>
        <w:t>other individual with an interest in either the corporation or company.  In 2006, Somaticare—like DSM—was forfeited for tax infractions</w:t>
      </w:r>
      <w:r w:rsidR="0016053E">
        <w:rPr>
          <w:color w:val="000000"/>
        </w:rPr>
        <w:t xml:space="preserve">. </w:t>
      </w:r>
      <w:r w:rsidRPr="00480FEC">
        <w:rPr>
          <w:color w:val="000000"/>
        </w:rPr>
        <w:t xml:space="preserve"> Somaticare, however, never sought reinstatement and remains inactive according to the </w:t>
      </w:r>
      <w:r w:rsidR="0016053E">
        <w:rPr>
          <w:color w:val="000000"/>
        </w:rPr>
        <w:t xml:space="preserve">Texas </w:t>
      </w:r>
      <w:r w:rsidRPr="00480FEC">
        <w:rPr>
          <w:color w:val="000000"/>
        </w:rPr>
        <w:t xml:space="preserve">Secretary of State. </w:t>
      </w:r>
      <w:r w:rsidR="0016053E">
        <w:rPr>
          <w:color w:val="000000"/>
        </w:rPr>
        <w:t xml:space="preserve"> </w:t>
      </w:r>
      <w:r w:rsidRPr="00480FEC">
        <w:rPr>
          <w:color w:val="000000"/>
        </w:rPr>
        <w:t>Despite th</w:t>
      </w:r>
      <w:r w:rsidR="00AA7806">
        <w:rPr>
          <w:color w:val="000000"/>
        </w:rPr>
        <w:t>ese facts</w:t>
      </w:r>
      <w:r w:rsidRPr="00480FEC">
        <w:rPr>
          <w:color w:val="000000"/>
        </w:rPr>
        <w:t>, billing records show that “Somaticare, Inc.” is the subscriber for contact telephone numbers that appear on both DSM’s advertisements and its website.</w:t>
      </w:r>
      <w:r w:rsidR="002174A8">
        <w:rPr>
          <w:rStyle w:val="FootnoteReference"/>
          <w:color w:val="000000"/>
        </w:rPr>
        <w:footnoteReference w:id="56"/>
      </w:r>
      <w:r w:rsidRPr="00480FEC">
        <w:rPr>
          <w:color w:val="000000"/>
        </w:rPr>
        <w:t xml:space="preserve">  Specifically, the junk faxes associated with the complaints herein say they are from DSM Supply and </w:t>
      </w:r>
      <w:r w:rsidR="005410B0">
        <w:rPr>
          <w:color w:val="000000"/>
        </w:rPr>
        <w:t>show</w:t>
      </w:r>
      <w:r w:rsidRPr="00480FEC">
        <w:rPr>
          <w:color w:val="000000"/>
        </w:rPr>
        <w:t xml:space="preserve"> </w:t>
      </w:r>
      <w:r w:rsidR="005410B0">
        <w:rPr>
          <w:color w:val="000000"/>
        </w:rPr>
        <w:t>a</w:t>
      </w:r>
      <w:r w:rsidRPr="00480FEC">
        <w:rPr>
          <w:color w:val="000000"/>
        </w:rPr>
        <w:t xml:space="preserve"> telephone number</w:t>
      </w:r>
      <w:r w:rsidR="005410B0">
        <w:rPr>
          <w:color w:val="000000"/>
        </w:rPr>
        <w:t xml:space="preserve"> for the sending fax machine (800-290-6642) and a telephone number</w:t>
      </w:r>
      <w:r w:rsidRPr="00480FEC">
        <w:rPr>
          <w:color w:val="000000"/>
        </w:rPr>
        <w:t xml:space="preserve"> for responses to DSM (800-285-2807)</w:t>
      </w:r>
      <w:r w:rsidR="0016053E">
        <w:rPr>
          <w:color w:val="000000"/>
        </w:rPr>
        <w:t>; both telephone numbers</w:t>
      </w:r>
      <w:r w:rsidRPr="00480FEC">
        <w:rPr>
          <w:color w:val="000000"/>
        </w:rPr>
        <w:t xml:space="preserve"> are registered in the name of “Somaticare, Inc.” </w:t>
      </w:r>
      <w:r w:rsidR="001C66BB">
        <w:rPr>
          <w:color w:val="000000"/>
        </w:rPr>
        <w:t xml:space="preserve">and </w:t>
      </w:r>
      <w:r w:rsidRPr="00480FEC">
        <w:rPr>
          <w:color w:val="000000"/>
        </w:rPr>
        <w:t xml:space="preserve">at the same street address that is recorded for DSM </w:t>
      </w:r>
      <w:r w:rsidR="001C66BB">
        <w:rPr>
          <w:color w:val="000000"/>
        </w:rPr>
        <w:t>(</w:t>
      </w:r>
      <w:r w:rsidRPr="00480FEC">
        <w:rPr>
          <w:color w:val="000000"/>
        </w:rPr>
        <w:t>both on the fax advertisements themselves and with the Texas Secretary of State</w:t>
      </w:r>
      <w:r w:rsidR="001C66BB">
        <w:rPr>
          <w:color w:val="000000"/>
        </w:rPr>
        <w:t>)</w:t>
      </w:r>
      <w:r w:rsidRPr="00480FEC">
        <w:rPr>
          <w:color w:val="000000"/>
        </w:rPr>
        <w:t xml:space="preserve">.  The response number  that is </w:t>
      </w:r>
      <w:r w:rsidR="001D612B">
        <w:rPr>
          <w:color w:val="000000"/>
        </w:rPr>
        <w:t>listed on the faxes and is</w:t>
      </w:r>
      <w:r w:rsidRPr="00480FEC">
        <w:rPr>
          <w:color w:val="000000"/>
        </w:rPr>
        <w:t xml:space="preserve"> assigned to </w:t>
      </w:r>
      <w:r w:rsidR="00BC37F5">
        <w:rPr>
          <w:color w:val="000000"/>
        </w:rPr>
        <w:t>“</w:t>
      </w:r>
      <w:r w:rsidRPr="00480FEC">
        <w:rPr>
          <w:color w:val="000000"/>
        </w:rPr>
        <w:t>Somaticare, Inc.</w:t>
      </w:r>
      <w:r w:rsidR="00BC37F5">
        <w:rPr>
          <w:color w:val="000000"/>
        </w:rPr>
        <w:t>”</w:t>
      </w:r>
      <w:r w:rsidRPr="00480FEC">
        <w:rPr>
          <w:color w:val="000000"/>
        </w:rPr>
        <w:t xml:space="preserve"> is also listed as the response number on DSM’s website.</w:t>
      </w:r>
      <w:r w:rsidRPr="00480FEC">
        <w:rPr>
          <w:rStyle w:val="FootnoteReference"/>
          <w:color w:val="000000"/>
        </w:rPr>
        <w:footnoteReference w:id="57"/>
      </w:r>
      <w:r w:rsidR="005E17CE">
        <w:rPr>
          <w:color w:val="000000"/>
        </w:rPr>
        <w:t xml:space="preserve">  Thus, while </w:t>
      </w:r>
      <w:r w:rsidR="00A510B7">
        <w:rPr>
          <w:color w:val="000000"/>
        </w:rPr>
        <w:t xml:space="preserve">neither </w:t>
      </w:r>
      <w:r w:rsidR="005E17CE">
        <w:rPr>
          <w:color w:val="000000"/>
        </w:rPr>
        <w:t>Somaticare</w:t>
      </w:r>
      <w:r w:rsidR="00BC37F5">
        <w:rPr>
          <w:color w:val="000000"/>
        </w:rPr>
        <w:t>, Inc.</w:t>
      </w:r>
      <w:r w:rsidR="00AA7806">
        <w:rPr>
          <w:color w:val="000000"/>
        </w:rPr>
        <w:t>,</w:t>
      </w:r>
      <w:r w:rsidR="00A510B7">
        <w:rPr>
          <w:color w:val="000000"/>
        </w:rPr>
        <w:t xml:space="preserve"> nor Somaticare, LLC</w:t>
      </w:r>
      <w:r w:rsidR="00AA7806">
        <w:rPr>
          <w:color w:val="000000"/>
        </w:rPr>
        <w:t>,</w:t>
      </w:r>
      <w:r w:rsidR="00A510B7">
        <w:rPr>
          <w:color w:val="000000"/>
        </w:rPr>
        <w:t xml:space="preserve"> are </w:t>
      </w:r>
      <w:r w:rsidR="005E17CE">
        <w:rPr>
          <w:color w:val="000000"/>
        </w:rPr>
        <w:t>recognized legal entit</w:t>
      </w:r>
      <w:r w:rsidR="00A510B7">
        <w:rPr>
          <w:color w:val="000000"/>
        </w:rPr>
        <w:t>ies</w:t>
      </w:r>
      <w:r w:rsidR="005E17CE">
        <w:rPr>
          <w:color w:val="000000"/>
        </w:rPr>
        <w:t xml:space="preserve">, Mr. Malcolm continues to </w:t>
      </w:r>
      <w:r w:rsidR="00EB5858">
        <w:rPr>
          <w:color w:val="000000"/>
        </w:rPr>
        <w:t xml:space="preserve">use the name to conduct his business and send the </w:t>
      </w:r>
      <w:r w:rsidR="00A510B7">
        <w:rPr>
          <w:color w:val="000000"/>
        </w:rPr>
        <w:t xml:space="preserve">apparent unlawful </w:t>
      </w:r>
      <w:r w:rsidR="00EB5858">
        <w:rPr>
          <w:color w:val="000000"/>
        </w:rPr>
        <w:t>junk faxes that form the basis of this NAL.</w:t>
      </w:r>
    </w:p>
    <w:p w:rsidR="00E51A15" w:rsidRPr="003717A9" w:rsidRDefault="00280F7D" w:rsidP="00810066">
      <w:pPr>
        <w:pStyle w:val="ParaNum"/>
        <w:widowControl/>
      </w:pPr>
      <w:r>
        <w:t xml:space="preserve">In light of these facts, Sections 217 and 227 of the Act provide additional bases for holding Mr. Malcolm personally liable.  Section 217 provides in relevant part that “the act, omission, or failure of any officer, agent, or other person acting for or employed by any . . . </w:t>
      </w:r>
      <w:r w:rsidRPr="003717A9">
        <w:rPr>
          <w:i/>
        </w:rPr>
        <w:t>user</w:t>
      </w:r>
      <w:r>
        <w:t xml:space="preserve">, acting within the scope of his employment, shall in every case </w:t>
      </w:r>
      <w:r w:rsidRPr="00E141BD">
        <w:rPr>
          <w:szCs w:val="22"/>
        </w:rPr>
        <w:t xml:space="preserve">be also deemed to be the act, omission, or failure of such . . . </w:t>
      </w:r>
      <w:r w:rsidRPr="003717A9">
        <w:rPr>
          <w:i/>
          <w:szCs w:val="22"/>
        </w:rPr>
        <w:t>user</w:t>
      </w:r>
      <w:r w:rsidRPr="00E141BD">
        <w:rPr>
          <w:szCs w:val="22"/>
        </w:rPr>
        <w:t xml:space="preserve"> as well as that of the person.”</w:t>
      </w:r>
      <w:r w:rsidRPr="00E141BD">
        <w:rPr>
          <w:rStyle w:val="FootnoteReference"/>
          <w:szCs w:val="22"/>
        </w:rPr>
        <w:footnoteReference w:id="58"/>
      </w:r>
      <w:r w:rsidRPr="00E141BD">
        <w:rPr>
          <w:szCs w:val="22"/>
        </w:rPr>
        <w:t xml:space="preserve">  In </w:t>
      </w:r>
      <w:r w:rsidRPr="00E141BD">
        <w:rPr>
          <w:i/>
          <w:szCs w:val="22"/>
        </w:rPr>
        <w:t>21st Century Fax(es) LTD. aka 20</w:t>
      </w:r>
      <w:r w:rsidRPr="00E141BD">
        <w:rPr>
          <w:i/>
          <w:szCs w:val="22"/>
          <w:vertAlign w:val="superscript"/>
        </w:rPr>
        <w:t>th</w:t>
      </w:r>
      <w:r w:rsidRPr="00E141BD">
        <w:rPr>
          <w:i/>
          <w:szCs w:val="22"/>
        </w:rPr>
        <w:t xml:space="preserve"> Century Fax(es)</w:t>
      </w:r>
      <w:r w:rsidRPr="00E141BD">
        <w:rPr>
          <w:szCs w:val="22"/>
        </w:rPr>
        <w:t xml:space="preserve">, </w:t>
      </w:r>
      <w:r>
        <w:rPr>
          <w:szCs w:val="22"/>
        </w:rPr>
        <w:t>the Commission</w:t>
      </w:r>
      <w:r w:rsidRPr="00E141BD">
        <w:rPr>
          <w:szCs w:val="22"/>
        </w:rPr>
        <w:t xml:space="preserve"> </w:t>
      </w:r>
      <w:r w:rsidR="003717A9">
        <w:rPr>
          <w:szCs w:val="22"/>
        </w:rPr>
        <w:t>cited</w:t>
      </w:r>
      <w:r w:rsidR="003717A9" w:rsidRPr="00E141BD">
        <w:rPr>
          <w:szCs w:val="22"/>
        </w:rPr>
        <w:t xml:space="preserve"> </w:t>
      </w:r>
      <w:r w:rsidRPr="00E141BD">
        <w:rPr>
          <w:szCs w:val="22"/>
        </w:rPr>
        <w:t xml:space="preserve">Section 217 </w:t>
      </w:r>
      <w:r w:rsidR="003717A9">
        <w:rPr>
          <w:szCs w:val="22"/>
        </w:rPr>
        <w:t>as applying</w:t>
      </w:r>
      <w:r w:rsidRPr="00E141BD">
        <w:rPr>
          <w:szCs w:val="22"/>
        </w:rPr>
        <w:t xml:space="preserve"> in </w:t>
      </w:r>
      <w:r w:rsidR="003717A9">
        <w:rPr>
          <w:szCs w:val="22"/>
        </w:rPr>
        <w:t xml:space="preserve">a </w:t>
      </w:r>
      <w:r w:rsidRPr="00E141BD">
        <w:rPr>
          <w:szCs w:val="22"/>
        </w:rPr>
        <w:t>case involving TCPA matters</w:t>
      </w:r>
      <w:r>
        <w:rPr>
          <w:szCs w:val="22"/>
        </w:rPr>
        <w:t xml:space="preserve"> and</w:t>
      </w:r>
      <w:r w:rsidRPr="00E141BD">
        <w:rPr>
          <w:szCs w:val="22"/>
        </w:rPr>
        <w:t xml:space="preserve"> </w:t>
      </w:r>
      <w:r w:rsidR="003717A9">
        <w:rPr>
          <w:szCs w:val="22"/>
        </w:rPr>
        <w:t>suggested</w:t>
      </w:r>
      <w:r>
        <w:rPr>
          <w:szCs w:val="22"/>
        </w:rPr>
        <w:t xml:space="preserve"> that a</w:t>
      </w:r>
      <w:r w:rsidRPr="001E41A5">
        <w:rPr>
          <w:szCs w:val="22"/>
        </w:rPr>
        <w:t xml:space="preserve"> junk fax sender is a “user” as contemplated by Section 217.</w:t>
      </w:r>
      <w:r w:rsidRPr="001E41A5">
        <w:rPr>
          <w:rStyle w:val="FootnoteReference"/>
          <w:szCs w:val="22"/>
        </w:rPr>
        <w:footnoteReference w:id="59"/>
      </w:r>
      <w:r w:rsidRPr="001E41A5">
        <w:rPr>
          <w:szCs w:val="22"/>
        </w:rPr>
        <w:t xml:space="preserve"> </w:t>
      </w:r>
      <w:r>
        <w:rPr>
          <w:szCs w:val="22"/>
        </w:rPr>
        <w:t xml:space="preserve"> </w:t>
      </w:r>
      <w:r>
        <w:rPr>
          <w:color w:val="000000"/>
        </w:rPr>
        <w:t>Thus, under Section 217, Mr. Malcolm, as well as DSM and Somaticare, are “users” under Section 217, and to the extent that someone other than Mr. Malcolm physically operated the fa</w:t>
      </w:r>
      <w:r w:rsidR="00CC001D">
        <w:rPr>
          <w:color w:val="000000"/>
        </w:rPr>
        <w:t>c</w:t>
      </w:r>
      <w:r>
        <w:rPr>
          <w:color w:val="000000"/>
        </w:rPr>
        <w:t xml:space="preserve">simile machines, liability for those actions is attributable to Mr. Malcolm and the companies.  </w:t>
      </w:r>
      <w:r w:rsidRPr="00E141BD">
        <w:rPr>
          <w:szCs w:val="22"/>
        </w:rPr>
        <w:t xml:space="preserve">In </w:t>
      </w:r>
      <w:r w:rsidRPr="00E141BD">
        <w:rPr>
          <w:i/>
          <w:szCs w:val="22"/>
        </w:rPr>
        <w:t>21st Century</w:t>
      </w:r>
      <w:r>
        <w:rPr>
          <w:szCs w:val="22"/>
        </w:rPr>
        <w:t>, the Commission f</w:t>
      </w:r>
      <w:r w:rsidRPr="00E141BD">
        <w:rPr>
          <w:szCs w:val="22"/>
        </w:rPr>
        <w:t>urther</w:t>
      </w:r>
      <w:r>
        <w:rPr>
          <w:szCs w:val="22"/>
        </w:rPr>
        <w:t xml:space="preserve"> explained t</w:t>
      </w:r>
      <w:r w:rsidRPr="00E141BD">
        <w:rPr>
          <w:szCs w:val="22"/>
        </w:rPr>
        <w:t>hat</w:t>
      </w:r>
      <w:r>
        <w:rPr>
          <w:szCs w:val="22"/>
        </w:rPr>
        <w:t xml:space="preserve"> under Section 227(b)(1),</w:t>
      </w:r>
      <w:r w:rsidRPr="00E141BD">
        <w:rPr>
          <w:szCs w:val="22"/>
        </w:rPr>
        <w:t xml:space="preserve"> “the term ‘person’ </w:t>
      </w:r>
      <w:r>
        <w:rPr>
          <w:szCs w:val="22"/>
        </w:rPr>
        <w:t>. . . </w:t>
      </w:r>
      <w:r w:rsidRPr="00E141BD">
        <w:rPr>
          <w:szCs w:val="22"/>
        </w:rPr>
        <w:t>includes the individual who actually performs the faxing as well as the corporate entity on whose behalf he or she is acting.”</w:t>
      </w:r>
      <w:r w:rsidRPr="00E141BD">
        <w:rPr>
          <w:rStyle w:val="FootnoteReference"/>
          <w:szCs w:val="22"/>
        </w:rPr>
        <w:footnoteReference w:id="60"/>
      </w:r>
      <w:r w:rsidRPr="00E141BD">
        <w:rPr>
          <w:szCs w:val="22"/>
        </w:rPr>
        <w:t xml:space="preserve">  </w:t>
      </w:r>
      <w:r>
        <w:rPr>
          <w:szCs w:val="22"/>
        </w:rPr>
        <w:t xml:space="preserve">Again, because the evidence described above demonstrates that </w:t>
      </w:r>
      <w:r>
        <w:rPr>
          <w:color w:val="000000"/>
        </w:rPr>
        <w:t>Mr. Malcolm either personally sent the unwanted faxes or was responsible for their transmission</w:t>
      </w:r>
      <w:r w:rsidRPr="00E141BD">
        <w:rPr>
          <w:szCs w:val="22"/>
        </w:rPr>
        <w:t>, we find that Mr. Malcolm</w:t>
      </w:r>
      <w:r>
        <w:t xml:space="preserve"> was sufficiently involved in the operations of the companies that he is a “person” liable for unlawful conduct within the meaning of Section 227.  </w:t>
      </w:r>
      <w:r>
        <w:rPr>
          <w:color w:val="000000"/>
        </w:rPr>
        <w:t>In sum</w:t>
      </w:r>
      <w:r w:rsidRPr="00AA1607">
        <w:rPr>
          <w:color w:val="000000"/>
        </w:rPr>
        <w:t>,</w:t>
      </w:r>
      <w:r>
        <w:rPr>
          <w:color w:val="000000"/>
        </w:rPr>
        <w:t xml:space="preserve"> for multiple reasons</w:t>
      </w:r>
      <w:r w:rsidRPr="00AA1607">
        <w:rPr>
          <w:color w:val="000000"/>
        </w:rPr>
        <w:t xml:space="preserve"> we find that Mr. Malcolm</w:t>
      </w:r>
      <w:r>
        <w:rPr>
          <w:color w:val="000000"/>
        </w:rPr>
        <w:t>,</w:t>
      </w:r>
      <w:r w:rsidRPr="00AA1607">
        <w:rPr>
          <w:color w:val="000000"/>
        </w:rPr>
        <w:t xml:space="preserve"> DSM</w:t>
      </w:r>
      <w:r>
        <w:rPr>
          <w:color w:val="000000"/>
        </w:rPr>
        <w:t>,</w:t>
      </w:r>
      <w:r w:rsidRPr="00AA1607">
        <w:rPr>
          <w:color w:val="000000"/>
        </w:rPr>
        <w:t xml:space="preserve"> and Somaticare are </w:t>
      </w:r>
      <w:r>
        <w:rPr>
          <w:color w:val="000000"/>
        </w:rPr>
        <w:t xml:space="preserve">jointly and severally </w:t>
      </w:r>
      <w:r w:rsidRPr="00AA1607">
        <w:rPr>
          <w:color w:val="000000"/>
        </w:rPr>
        <w:t>liable for the apparently unlawful conduct</w:t>
      </w:r>
      <w:r>
        <w:rPr>
          <w:color w:val="000000"/>
        </w:rPr>
        <w:t>.</w:t>
      </w:r>
    </w:p>
    <w:p w:rsidR="00401748" w:rsidRPr="00071FD8" w:rsidRDefault="00401748" w:rsidP="00401748">
      <w:pPr>
        <w:pStyle w:val="ParaNum"/>
        <w:widowControl/>
        <w:rPr>
          <w:i/>
          <w:szCs w:val="22"/>
        </w:rPr>
      </w:pPr>
      <w:r>
        <w:t>Accordingly</w:t>
      </w:r>
      <w:r w:rsidR="000469FF">
        <w:t>,</w:t>
      </w:r>
      <w:r w:rsidR="009258D9">
        <w:t xml:space="preserve"> </w:t>
      </w:r>
      <w:r>
        <w:t xml:space="preserve">we propose the maximum $16,000 </w:t>
      </w:r>
      <w:r w:rsidR="00DF2321">
        <w:t xml:space="preserve">penalty </w:t>
      </w:r>
      <w:r>
        <w:t xml:space="preserve">for each of the </w:t>
      </w:r>
      <w:r w:rsidR="006B0ABD">
        <w:t>115</w:t>
      </w:r>
      <w:r>
        <w:t xml:space="preserve"> violations of Section 227(b)(1)(C) of the Act and Section 64.1200(a)(4) of the Commission’s rules that are explained above and recorded in Appendix A, for a total penalty of </w:t>
      </w:r>
      <w:r w:rsidRPr="00071FD8">
        <w:t>$</w:t>
      </w:r>
      <w:r w:rsidR="000C3C37">
        <w:t>1,</w:t>
      </w:r>
      <w:r w:rsidR="00202CCE">
        <w:t>840</w:t>
      </w:r>
      <w:r w:rsidR="000C3C37">
        <w:t>,000</w:t>
      </w:r>
      <w:r>
        <w:t>.  This penalty takes into account, in the language of Section 503(b)(2)(E), the “degree of culpability” and “history of prior offenses,”</w:t>
      </w:r>
      <w:r>
        <w:rPr>
          <w:rStyle w:val="FootnoteReference"/>
        </w:rPr>
        <w:footnoteReference w:id="61"/>
      </w:r>
      <w:r>
        <w:t xml:space="preserve"> and in the language of our forfeiture guidelines, the DSM parties’ apparent</w:t>
      </w:r>
      <w:r w:rsidR="0038073E">
        <w:t xml:space="preserve"> “egregious misconduct” and </w:t>
      </w:r>
      <w:r>
        <w:t>“intentional</w:t>
      </w:r>
      <w:r w:rsidR="0038073E">
        <w:t>” and “repeated”</w:t>
      </w:r>
      <w:r>
        <w:t xml:space="preserve"> violation</w:t>
      </w:r>
      <w:r w:rsidR="0038073E">
        <w:t>s</w:t>
      </w:r>
      <w:r>
        <w:t>.</w:t>
      </w:r>
      <w:r>
        <w:rPr>
          <w:rStyle w:val="FootnoteReference"/>
        </w:rPr>
        <w:footnoteReference w:id="62"/>
      </w:r>
      <w:r>
        <w:t xml:space="preserve"> </w:t>
      </w:r>
    </w:p>
    <w:p w:rsidR="00401748" w:rsidRDefault="00401748" w:rsidP="00401748">
      <w:pPr>
        <w:pStyle w:val="Heading1"/>
        <w:widowControl/>
      </w:pPr>
      <w:r>
        <w:t xml:space="preserve">CONCLUSION </w:t>
      </w:r>
    </w:p>
    <w:p w:rsidR="00401748" w:rsidRPr="00695BF9" w:rsidRDefault="00401748" w:rsidP="00810066">
      <w:pPr>
        <w:pStyle w:val="ParaNum"/>
        <w:rPr>
          <w:szCs w:val="22"/>
        </w:rPr>
      </w:pPr>
      <w:r>
        <w:t xml:space="preserve">We have determined that Scott Malcolm, DSM Supply, LLC, and Somaticare, LLC apparently violated Section 227(b)(1)(C) of the Act and Section 64.1200(a)(4) of the Commission’s rules, by using a telephone facsimile machine, computer, or other device to send </w:t>
      </w:r>
      <w:r w:rsidR="006B0ABD">
        <w:t>115</w:t>
      </w:r>
      <w:r>
        <w:t xml:space="preserve"> unsolicited fax advertisements to the 2</w:t>
      </w:r>
      <w:r w:rsidR="004522D9">
        <w:t>6</w:t>
      </w:r>
      <w:r>
        <w:t xml:space="preserve"> consumers identified in Appendix A</w:t>
      </w:r>
      <w:r w:rsidR="00DF2321">
        <w:t>.</w:t>
      </w:r>
      <w:r>
        <w:t xml:space="preserve">  For these </w:t>
      </w:r>
      <w:r w:rsidR="006B0ABD">
        <w:t>115</w:t>
      </w:r>
      <w:r>
        <w:t xml:space="preserve"> apparent violations, we have further determined that Mr. Malcolm, DSM, and Somaticare </w:t>
      </w:r>
      <w:r>
        <w:rPr>
          <w:szCs w:val="22"/>
        </w:rPr>
        <w:t>are</w:t>
      </w:r>
      <w:r>
        <w:t xml:space="preserve"> apparently jointly and severally liable for a forfeiture in the amount of </w:t>
      </w:r>
      <w:r w:rsidR="00C03DFD">
        <w:rPr>
          <w:color w:val="000000"/>
        </w:rPr>
        <w:t>$</w:t>
      </w:r>
      <w:r w:rsidR="000C3C37">
        <w:rPr>
          <w:color w:val="000000"/>
        </w:rPr>
        <w:t>1,</w:t>
      </w:r>
      <w:r w:rsidR="00202CCE">
        <w:rPr>
          <w:color w:val="000000"/>
        </w:rPr>
        <w:t>8</w:t>
      </w:r>
      <w:r w:rsidR="000C3C37">
        <w:rPr>
          <w:color w:val="000000"/>
        </w:rPr>
        <w:t>4</w:t>
      </w:r>
      <w:r w:rsidR="00202CCE">
        <w:rPr>
          <w:color w:val="000000"/>
        </w:rPr>
        <w:t>0</w:t>
      </w:r>
      <w:r w:rsidR="000C3C37">
        <w:rPr>
          <w:color w:val="000000"/>
        </w:rPr>
        <w:t>,000</w:t>
      </w:r>
      <w:r>
        <w:rPr>
          <w:color w:val="000000"/>
        </w:rPr>
        <w:t>.</w:t>
      </w:r>
    </w:p>
    <w:p w:rsidR="00401748" w:rsidRDefault="00401748" w:rsidP="00401748">
      <w:pPr>
        <w:pStyle w:val="Heading1"/>
        <w:widowControl/>
      </w:pPr>
      <w:r>
        <w:t>ORDERING CLAUSES</w:t>
      </w:r>
    </w:p>
    <w:p w:rsidR="00401748" w:rsidRDefault="00401748" w:rsidP="00401748">
      <w:pPr>
        <w:pStyle w:val="ParaNum"/>
        <w:widowControl/>
        <w:rPr>
          <w:szCs w:val="22"/>
        </w:rPr>
      </w:pPr>
      <w:r w:rsidRPr="00545833">
        <w:t xml:space="preserve">Accordingly, </w:t>
      </w:r>
      <w:r w:rsidRPr="00545833">
        <w:rPr>
          <w:b/>
        </w:rPr>
        <w:t xml:space="preserve">IT IS ORDERED </w:t>
      </w:r>
      <w:r w:rsidRPr="00545833">
        <w:t>that, pursuant to Section 503(b) of the Act, and 1.80 of the rules,</w:t>
      </w:r>
      <w:r w:rsidRPr="00545833">
        <w:rPr>
          <w:vertAlign w:val="superscript"/>
        </w:rPr>
        <w:footnoteReference w:id="63"/>
      </w:r>
      <w:r w:rsidRPr="00545833">
        <w:t xml:space="preserve"> </w:t>
      </w:r>
      <w:r>
        <w:t>Scott Malcolm, DSM Supply, LLC, and Somaticare, LLC are</w:t>
      </w:r>
      <w:r w:rsidRPr="00545833">
        <w:t xml:space="preserve"> hereby </w:t>
      </w:r>
      <w:r w:rsidRPr="00545833">
        <w:rPr>
          <w:b/>
        </w:rPr>
        <w:t xml:space="preserve">NOTIFIED </w:t>
      </w:r>
      <w:r w:rsidRPr="00545833">
        <w:t xml:space="preserve">of </w:t>
      </w:r>
      <w:r w:rsidR="0005015E">
        <w:t>their</w:t>
      </w:r>
      <w:r w:rsidRPr="00545833">
        <w:t xml:space="preserve"> </w:t>
      </w:r>
      <w:r w:rsidRPr="00545833">
        <w:rPr>
          <w:b/>
        </w:rPr>
        <w:t xml:space="preserve">APPARENT </w:t>
      </w:r>
      <w:r w:rsidR="0005015E">
        <w:rPr>
          <w:b/>
        </w:rPr>
        <w:t xml:space="preserve">JOINT and SEVERAL </w:t>
      </w:r>
      <w:r w:rsidRPr="00545833">
        <w:rPr>
          <w:b/>
        </w:rPr>
        <w:t xml:space="preserve">LIABILITY FOR A FORFEITURE </w:t>
      </w:r>
      <w:r w:rsidRPr="00545833">
        <w:t xml:space="preserve">in the amount of </w:t>
      </w:r>
      <w:r w:rsidR="00DF2321">
        <w:t xml:space="preserve">one million, </w:t>
      </w:r>
      <w:r w:rsidR="004522D9">
        <w:t xml:space="preserve">eight </w:t>
      </w:r>
      <w:r w:rsidR="00DF2321">
        <w:t xml:space="preserve">hundred and </w:t>
      </w:r>
      <w:r w:rsidR="00202CCE">
        <w:t>forty</w:t>
      </w:r>
      <w:r w:rsidR="00DF2321">
        <w:t xml:space="preserve"> thousand</w:t>
      </w:r>
      <w:r>
        <w:t xml:space="preserve"> dollars (</w:t>
      </w:r>
      <w:r w:rsidRPr="00545833">
        <w:t>$</w:t>
      </w:r>
      <w:r w:rsidR="000C3C37">
        <w:t>1,</w:t>
      </w:r>
      <w:r w:rsidR="00202CCE">
        <w:t>8</w:t>
      </w:r>
      <w:r w:rsidR="000C3C37">
        <w:t>4</w:t>
      </w:r>
      <w:r w:rsidR="00202CCE">
        <w:t>0</w:t>
      </w:r>
      <w:r w:rsidR="000C3C37">
        <w:t>,000</w:t>
      </w:r>
      <w:r w:rsidRPr="00545833">
        <w:t xml:space="preserve">) for </w:t>
      </w:r>
      <w:r w:rsidR="0005015E">
        <w:t>willful</w:t>
      </w:r>
      <w:r w:rsidRPr="00545833">
        <w:t xml:space="preserve"> and repeated violati</w:t>
      </w:r>
      <w:r w:rsidR="0005015E">
        <w:t>ons</w:t>
      </w:r>
      <w:r w:rsidRPr="00545833">
        <w:t xml:space="preserve"> Section</w:t>
      </w:r>
      <w:r>
        <w:t xml:space="preserve"> </w:t>
      </w:r>
      <w:r>
        <w:rPr>
          <w:szCs w:val="22"/>
        </w:rPr>
        <w:t>227(b)(1)(C) of the Communications Act, 47 U.S.C. § 227(b)(1)(C), and Section 64.1200(a)(4) of the Commission’s rules, 47 C.F.R. § 64.1200(a)(4).</w:t>
      </w:r>
    </w:p>
    <w:p w:rsidR="00401748" w:rsidRDefault="00401748" w:rsidP="00401748">
      <w:pPr>
        <w:pStyle w:val="ParaNum"/>
        <w:widowControl/>
        <w:rPr>
          <w:szCs w:val="22"/>
        </w:rPr>
      </w:pPr>
      <w:r>
        <w:rPr>
          <w:b/>
        </w:rPr>
        <w:t>IT IS FURTHER ORDERED THAT</w:t>
      </w:r>
      <w:r>
        <w:t>, pursuant to Section 1.80 of the Commission’s rules,</w:t>
      </w:r>
      <w:r>
        <w:rPr>
          <w:rStyle w:val="FootnoteReference"/>
          <w:spacing w:val="-2"/>
        </w:rPr>
        <w:footnoteReference w:id="64"/>
      </w:r>
      <w:r>
        <w:t xml:space="preserve"> within thirty (30) calendar days of the release date of this Notice of Apparent Liability for Forfeiture, Scott Malcolm, DSM Supply, LLC, or Somaticare, LLC </w:t>
      </w:r>
      <w:r>
        <w:rPr>
          <w:b/>
        </w:rPr>
        <w:t>SHALL PAY</w:t>
      </w:r>
      <w:r>
        <w:t xml:space="preserve"> the full amount of the proposed forfeiture or </w:t>
      </w:r>
      <w:r>
        <w:rPr>
          <w:b/>
        </w:rPr>
        <w:t>SHALL FILE</w:t>
      </w:r>
      <w:r>
        <w:t xml:space="preserve"> a written statement seeking reduction or cancellation of the proposed forfeiture.</w:t>
      </w:r>
    </w:p>
    <w:p w:rsidR="00401748" w:rsidRPr="00454F23" w:rsidRDefault="00401748" w:rsidP="00401748">
      <w:pPr>
        <w:pStyle w:val="ParaNum"/>
        <w:widowControl/>
        <w:rPr>
          <w:rFonts w:eastAsia="MS Mincho" w:cs="Arial"/>
        </w:rPr>
      </w:pPr>
      <w:r w:rsidRPr="00454F23">
        <w:t xml:space="preserve">Payment of the forfeiture must be made by check or similar instrument, wire transfer, or credit card, and must include the NAL/Account number and FRN referenced above.  </w:t>
      </w:r>
      <w:r>
        <w:t xml:space="preserve">Scott Malcolm, DSM Supply, LLC, and/or Somaticare, LLC </w:t>
      </w:r>
      <w:r w:rsidRPr="00454F23">
        <w:t xml:space="preserve">shall send electronic notification of payment to </w:t>
      </w:r>
      <w:r>
        <w:t xml:space="preserve">Johnny Drake </w:t>
      </w:r>
      <w:r w:rsidRPr="00905449">
        <w:rPr>
          <w:color w:val="000000"/>
        </w:rPr>
        <w:t xml:space="preserve">at </w:t>
      </w:r>
      <w:hyperlink r:id="rId8" w:history="1">
        <w:r w:rsidRPr="00905449">
          <w:rPr>
            <w:rStyle w:val="Hyperlink"/>
            <w:color w:val="000000"/>
            <w:szCs w:val="22"/>
            <w:u w:val="none"/>
          </w:rPr>
          <w:t>Johnny.Drake@fcc.gov</w:t>
        </w:r>
      </w:hyperlink>
      <w:r w:rsidRPr="00905449">
        <w:rPr>
          <w:color w:val="000000"/>
          <w:szCs w:val="22"/>
        </w:rPr>
        <w:t xml:space="preserve"> </w:t>
      </w:r>
      <w:r w:rsidRPr="00905449">
        <w:rPr>
          <w:color w:val="000000"/>
        </w:rPr>
        <w:t>on</w:t>
      </w:r>
      <w:r>
        <w:t xml:space="preserve"> the</w:t>
      </w:r>
      <w:r w:rsidRPr="00454F23">
        <w:t xml:space="preserve"> date said payment is made.  Regardless of the form of payment, a completed FCC Form 159 (Remittance Advice) must be submitted.</w:t>
      </w:r>
      <w:r w:rsidRPr="00545833">
        <w:rPr>
          <w:rFonts w:eastAsia="MS Mincho"/>
          <w:vertAlign w:val="superscript"/>
        </w:rPr>
        <w:footnoteReference w:id="65"/>
      </w:r>
      <w:r w:rsidRPr="00454F23">
        <w:t xml:space="preserve">  When completing the FCC Form 159, enter the Account Number in block number 23A (call sign/other ID) and enter the letters “FORF” in block number 24A (payment type code).   Below are additional instructions </w:t>
      </w:r>
      <w:r w:rsidR="004522D9">
        <w:t>the DSM parties</w:t>
      </w:r>
      <w:r w:rsidR="004522D9" w:rsidRPr="00454F23">
        <w:t xml:space="preserve"> </w:t>
      </w:r>
      <w:r w:rsidRPr="00454F23">
        <w:t xml:space="preserve">should follow based on the form of payment </w:t>
      </w:r>
      <w:r w:rsidR="004522D9">
        <w:t>they</w:t>
      </w:r>
      <w:r w:rsidR="004522D9" w:rsidRPr="00454F23">
        <w:t xml:space="preserve"> </w:t>
      </w:r>
      <w:r w:rsidRPr="00454F23">
        <w:t>select:</w:t>
      </w:r>
    </w:p>
    <w:p w:rsidR="00401748" w:rsidRPr="00626BA2" w:rsidRDefault="00401748" w:rsidP="00401748">
      <w:pPr>
        <w:pStyle w:val="ParaNum"/>
        <w:numPr>
          <w:ilvl w:val="0"/>
          <w:numId w:val="5"/>
        </w:numPr>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P.O. Box 979088, St. Louis, MO 63197-9000, or sent via overnight mail to U.S. Bank – Government Lockbox #979088, SL-MO-C2-GL, 1005 Convention Plaza, St. Louis, MO 63101.  </w:t>
      </w:r>
    </w:p>
    <w:p w:rsidR="00401748" w:rsidRPr="00626BA2" w:rsidRDefault="00401748" w:rsidP="00401748">
      <w:pPr>
        <w:pStyle w:val="ParaNum"/>
        <w:numPr>
          <w:ilvl w:val="0"/>
          <w:numId w:val="5"/>
        </w:numPr>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401748" w:rsidRPr="00454F23" w:rsidRDefault="00401748" w:rsidP="00401748">
      <w:pPr>
        <w:pStyle w:val="ParaNum"/>
        <w:numPr>
          <w:ilvl w:val="0"/>
          <w:numId w:val="5"/>
        </w:numPr>
        <w:rPr>
          <w:rFonts w:eastAsia="MS Mincho"/>
        </w:rPr>
      </w:pPr>
      <w:r>
        <w:rPr>
          <w:rFonts w:eastAsia="MS Mincho"/>
        </w:rPr>
        <w:t xml:space="preserve"> Payment by credit card must</w:t>
      </w:r>
      <w:r w:rsidRPr="00626BA2">
        <w:rPr>
          <w:rFonts w:eastAsia="MS Mincho"/>
        </w:rPr>
        <w:t xml:space="preserve"> be made by providing the required credit card information on FCC Form 159 and signing and dating the Form 159 to authorize 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 xml:space="preserve">sent via overnight mail to U.S. Bank – Government Lockbox #979088, SL-MO-C2-GL, 1005 Convention Plaza, St. Louis, MO 63101.  </w:t>
      </w:r>
    </w:p>
    <w:p w:rsidR="00401748" w:rsidRPr="00454F23" w:rsidRDefault="00401748" w:rsidP="00401748">
      <w:pPr>
        <w:pStyle w:val="ParaNum"/>
        <w:widowControl/>
        <w:rPr>
          <w:rFonts w:eastAsia="MS Mincho"/>
        </w:rPr>
      </w:pPr>
      <w:r w:rsidRPr="00454F23">
        <w:rPr>
          <w:rFonts w:eastAsia="MS Mincho"/>
        </w:rPr>
        <w:t xml:space="preserve">Any request for full payment </w:t>
      </w:r>
      <w:r w:rsidRPr="00454F23">
        <w:rPr>
          <w:rFonts w:eastAsia="MS Mincho" w:cs="Arial"/>
        </w:rPr>
        <w:t>under</w:t>
      </w:r>
      <w:r w:rsidRPr="00454F23">
        <w:rPr>
          <w:rFonts w:eastAsia="MS Mincho"/>
        </w:rPr>
        <w:t xml:space="preserve"> an installment plan </w:t>
      </w:r>
      <w:r w:rsidR="004522D9">
        <w:rPr>
          <w:rFonts w:eastAsia="MS Mincho"/>
        </w:rPr>
        <w:t>must</w:t>
      </w:r>
      <w:r w:rsidR="004522D9" w:rsidRPr="00454F23">
        <w:rPr>
          <w:rFonts w:eastAsia="MS Mincho"/>
        </w:rPr>
        <w:t xml:space="preserve"> </w:t>
      </w:r>
      <w:r w:rsidRPr="00454F23">
        <w:rPr>
          <w:rFonts w:eastAsia="MS Mincho"/>
        </w:rPr>
        <w:t xml:space="preserve">be sent to:  Chief Financial Officer—Financial Operations, </w:t>
      </w:r>
      <w:r w:rsidRPr="00454F23">
        <w:rPr>
          <w:rFonts w:eastAsia="MS Mincho" w:cs="Arial"/>
        </w:rPr>
        <w:t>Federal</w:t>
      </w:r>
      <w:r w:rsidRPr="00454F23">
        <w:rPr>
          <w:rFonts w:eastAsia="MS Mincho"/>
        </w:rPr>
        <w:t xml:space="preserve"> Communications Commission, 445 12th Street, S.W., Room 1-A625, Washington, D.C.  20554.</w:t>
      </w:r>
      <w:r>
        <w:rPr>
          <w:rStyle w:val="FootnoteReference"/>
          <w:rFonts w:eastAsia="MS Mincho"/>
        </w:rPr>
        <w:footnoteReference w:id="66"/>
      </w:r>
      <w:r w:rsidRPr="00454F23">
        <w:rPr>
          <w:rFonts w:eastAsia="MS Mincho"/>
        </w:rPr>
        <w:t>  If you have questions regarding payment procedures, please contact the Financial Operations Group Help Desk by phone, 1-877-480-3201, or by e</w:t>
      </w:r>
      <w:r w:rsidRPr="00454F23">
        <w:rPr>
          <w:rFonts w:eastAsia="MS Mincho"/>
        </w:rPr>
        <w:noBreakHyphen/>
        <w:t xml:space="preserve">mail, </w:t>
      </w:r>
      <w:r w:rsidRPr="00454F23">
        <w:rPr>
          <w:rFonts w:eastAsia="MS Mincho" w:cs="Arial"/>
        </w:rPr>
        <w:t>ARINQUIRIES@fcc.gov</w:t>
      </w:r>
      <w:r w:rsidRPr="00454F23">
        <w:rPr>
          <w:rFonts w:eastAsia="MS Mincho"/>
        </w:rPr>
        <w:t>.   </w:t>
      </w:r>
    </w:p>
    <w:p w:rsidR="00401748" w:rsidRDefault="00401748" w:rsidP="00401748">
      <w:pPr>
        <w:pStyle w:val="ParaNum"/>
        <w:widowControl/>
      </w:pPr>
      <w:r>
        <w:t>The response, if any, must be mailed both to: Marlene H. Dortch, Secretary, Federal Communications Commission, 445 12</w:t>
      </w:r>
      <w:r>
        <w:rPr>
          <w:vertAlign w:val="superscript"/>
        </w:rPr>
        <w:t>th</w:t>
      </w:r>
      <w:r>
        <w:t xml:space="preserve"> Street, SW, Washington, D.C. 20554, Attn: Enforcement Bureau –Telecommunications Consumers Division; and to Richard A. Hindman, Chief, Telecommunications Consumers Division, Enforcement Bureau, Federal Communications Commission, 445 12</w:t>
      </w:r>
      <w:r>
        <w:rPr>
          <w:vertAlign w:val="superscript"/>
        </w:rPr>
        <w:t>th</w:t>
      </w:r>
      <w:r>
        <w:t xml:space="preserve"> Street, SW, Washington, D.C. 20554, and must include the NAL/Acct. No. referenced in the caption.  Documents sent by overnight mail (</w:t>
      </w:r>
      <w:r>
        <w:rPr>
          <w:i/>
        </w:rPr>
        <w:t xml:space="preserve">other than </w:t>
      </w:r>
      <w:r>
        <w:t>United States Postal Service Express Mail) must be addressed to: Marlene H. Dortch, Secretary, Federal Communications Commission, Office of the Secretary, 9300 East Hampton Drive, Capitol Heights, MD 20743.  Hand or messenger-delivered mail should be directed, without envelopes, to Marlene H. Dortch, Secretary, Federal Communications Commission, Office of the Secretary, 445 12</w:t>
      </w:r>
      <w:r>
        <w:rPr>
          <w:vertAlign w:val="superscript"/>
        </w:rPr>
        <w:t>th</w:t>
      </w:r>
      <w:r>
        <w:t xml:space="preserve"> Street, SW, Washington, D.C. 20554 (deliveries accepted Monday through Friday 8:00 a.m. to 7:00 p.m. only).  See www.fcc.gov/osec/guidelines.html for further instructions on FCC filing addresses.</w:t>
      </w:r>
    </w:p>
    <w:p w:rsidR="00401748" w:rsidRPr="00D24655" w:rsidRDefault="00401748" w:rsidP="00401748">
      <w:pPr>
        <w:pStyle w:val="ParaNum"/>
        <w:widowControl/>
        <w:rPr>
          <w:szCs w:val="22"/>
        </w:rPr>
      </w:pPr>
      <w:r>
        <w:t xml:space="preserve">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 submitted. </w:t>
      </w:r>
    </w:p>
    <w:p w:rsidR="00810066" w:rsidRDefault="00401748" w:rsidP="00401748">
      <w:pPr>
        <w:pStyle w:val="ParaNum"/>
        <w:widowControl/>
        <w:rPr>
          <w:szCs w:val="22"/>
        </w:rPr>
      </w:pPr>
      <w:r>
        <w:rPr>
          <w:b/>
          <w:szCs w:val="22"/>
        </w:rPr>
        <w:t>IT IS FURTHER ORDERED</w:t>
      </w:r>
      <w:r>
        <w:rPr>
          <w:szCs w:val="22"/>
        </w:rPr>
        <w:t xml:space="preserve"> that a copy of this </w:t>
      </w:r>
      <w:r w:rsidRPr="00480FEC">
        <w:rPr>
          <w:szCs w:val="22"/>
        </w:rPr>
        <w:t>Notice of Apparent Liability for Forfeiture</w:t>
      </w:r>
      <w:r>
        <w:rPr>
          <w:i/>
          <w:szCs w:val="22"/>
        </w:rPr>
        <w:t xml:space="preserve"> </w:t>
      </w:r>
      <w:r>
        <w:rPr>
          <w:szCs w:val="22"/>
        </w:rPr>
        <w:t xml:space="preserve">shall be sent by Certified Mail Return Receipt </w:t>
      </w:r>
      <w:r>
        <w:rPr>
          <w:color w:val="000000"/>
          <w:szCs w:val="22"/>
        </w:rPr>
        <w:t>Requested</w:t>
      </w:r>
      <w:r>
        <w:rPr>
          <w:szCs w:val="22"/>
        </w:rPr>
        <w:t xml:space="preserve"> and First Class mail to DSM Supply, LLC, Attn: Scott Malcolm, President/Owner, 11837 Judd Court, Suite </w:t>
      </w:r>
      <w:r w:rsidR="001155C7">
        <w:rPr>
          <w:szCs w:val="22"/>
        </w:rPr>
        <w:t>106E</w:t>
      </w:r>
      <w:r>
        <w:rPr>
          <w:szCs w:val="22"/>
        </w:rPr>
        <w:t>, Dallas, TX 75243</w:t>
      </w:r>
      <w:r w:rsidR="004522D9">
        <w:rPr>
          <w:szCs w:val="22"/>
        </w:rPr>
        <w:t>;</w:t>
      </w:r>
      <w:r>
        <w:rPr>
          <w:szCs w:val="22"/>
        </w:rPr>
        <w:t xml:space="preserve"> Somaticare, LLC, Attn: Scott Malcolm, President/Owner, 11837 Judd Court, Suite </w:t>
      </w:r>
      <w:r w:rsidR="001155C7">
        <w:rPr>
          <w:szCs w:val="22"/>
        </w:rPr>
        <w:t>106E</w:t>
      </w:r>
      <w:r>
        <w:rPr>
          <w:szCs w:val="22"/>
        </w:rPr>
        <w:t>, Dallas, TX 75243</w:t>
      </w:r>
      <w:r w:rsidR="004522D9">
        <w:rPr>
          <w:szCs w:val="22"/>
        </w:rPr>
        <w:t>;</w:t>
      </w:r>
      <w:r>
        <w:rPr>
          <w:szCs w:val="22"/>
        </w:rPr>
        <w:t xml:space="preserve"> Scott Malcolm, 11837 Judd Court, Suite </w:t>
      </w:r>
      <w:r w:rsidR="001155C7">
        <w:rPr>
          <w:szCs w:val="22"/>
        </w:rPr>
        <w:t>106E</w:t>
      </w:r>
      <w:r>
        <w:rPr>
          <w:szCs w:val="22"/>
        </w:rPr>
        <w:t>, Dallas, TX 75243</w:t>
      </w:r>
      <w:r w:rsidR="001155C7">
        <w:rPr>
          <w:szCs w:val="22"/>
        </w:rPr>
        <w:t>; and to Michael R. Cramer, registered agent for DSM Supply, LLC, 10440 N. Central Expwy, Suite 520, Dallas, TX 75231</w:t>
      </w:r>
      <w:r>
        <w:rPr>
          <w:szCs w:val="22"/>
        </w:rPr>
        <w:t xml:space="preserve">.   </w:t>
      </w:r>
    </w:p>
    <w:p w:rsidR="00401748" w:rsidRDefault="00401748" w:rsidP="00810066"/>
    <w:p w:rsidR="00401748" w:rsidRDefault="00401748" w:rsidP="00401748">
      <w:pPr>
        <w:ind w:left="2880" w:firstLine="720"/>
        <w:rPr>
          <w:szCs w:val="22"/>
        </w:rPr>
      </w:pPr>
      <w:r>
        <w:rPr>
          <w:szCs w:val="22"/>
        </w:rPr>
        <w:t>FEDERAL COMMUNICATIONS COMMISSION</w:t>
      </w:r>
    </w:p>
    <w:p w:rsidR="00401748" w:rsidRDefault="00401748" w:rsidP="00401748">
      <w:pPr>
        <w:rPr>
          <w:szCs w:val="22"/>
        </w:rPr>
      </w:pPr>
      <w:r>
        <w:rPr>
          <w:szCs w:val="22"/>
        </w:rPr>
        <w:tab/>
      </w:r>
      <w:r>
        <w:rPr>
          <w:szCs w:val="22"/>
        </w:rPr>
        <w:tab/>
      </w:r>
      <w:r>
        <w:rPr>
          <w:szCs w:val="22"/>
        </w:rPr>
        <w:tab/>
      </w:r>
      <w:r>
        <w:rPr>
          <w:szCs w:val="22"/>
        </w:rPr>
        <w:tab/>
      </w:r>
    </w:p>
    <w:p w:rsidR="00401748" w:rsidRDefault="00401748" w:rsidP="00401748">
      <w:pPr>
        <w:rPr>
          <w:szCs w:val="22"/>
        </w:rPr>
      </w:pPr>
      <w:r>
        <w:rPr>
          <w:szCs w:val="22"/>
        </w:rPr>
        <w:tab/>
      </w:r>
    </w:p>
    <w:p w:rsidR="00810066" w:rsidRDefault="00810066" w:rsidP="00401748">
      <w:pPr>
        <w:rPr>
          <w:szCs w:val="22"/>
        </w:rPr>
      </w:pPr>
    </w:p>
    <w:p w:rsidR="00401748" w:rsidRDefault="00401748" w:rsidP="00401748">
      <w:pPr>
        <w:rPr>
          <w:szCs w:val="22"/>
        </w:rPr>
      </w:pPr>
    </w:p>
    <w:p w:rsidR="00401748" w:rsidRDefault="00401748" w:rsidP="00401748">
      <w:pPr>
        <w:rPr>
          <w:szCs w:val="22"/>
        </w:rPr>
      </w:pPr>
      <w:r>
        <w:rPr>
          <w:szCs w:val="22"/>
        </w:rPr>
        <w:tab/>
      </w:r>
      <w:r>
        <w:rPr>
          <w:szCs w:val="22"/>
        </w:rPr>
        <w:tab/>
      </w:r>
      <w:r>
        <w:rPr>
          <w:szCs w:val="22"/>
        </w:rPr>
        <w:tab/>
      </w:r>
      <w:r>
        <w:rPr>
          <w:szCs w:val="22"/>
        </w:rPr>
        <w:tab/>
      </w:r>
      <w:r>
        <w:rPr>
          <w:szCs w:val="22"/>
        </w:rPr>
        <w:tab/>
        <w:t>Marlene H. Dortch</w:t>
      </w:r>
    </w:p>
    <w:p w:rsidR="00810066" w:rsidRDefault="00401748" w:rsidP="00810066">
      <w:pPr>
        <w:sectPr w:rsidR="00810066" w:rsidSect="00EC7D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docGrid w:linePitch="299"/>
        </w:sectPr>
      </w:pPr>
      <w:r>
        <w:rPr>
          <w:szCs w:val="22"/>
        </w:rPr>
        <w:tab/>
      </w:r>
      <w:r>
        <w:rPr>
          <w:szCs w:val="22"/>
        </w:rPr>
        <w:tab/>
      </w:r>
      <w:r>
        <w:rPr>
          <w:szCs w:val="22"/>
        </w:rPr>
        <w:tab/>
      </w:r>
      <w:r>
        <w:rPr>
          <w:szCs w:val="22"/>
        </w:rPr>
        <w:tab/>
      </w:r>
      <w:r>
        <w:rPr>
          <w:szCs w:val="22"/>
        </w:rPr>
        <w:tab/>
        <w:t>Secretary</w:t>
      </w:r>
      <w:r>
        <w:tab/>
      </w:r>
      <w:r>
        <w:tab/>
      </w:r>
      <w:r>
        <w:tab/>
      </w:r>
      <w:r>
        <w:tab/>
      </w:r>
    </w:p>
    <w:p w:rsidR="004522D9" w:rsidRDefault="004522D9" w:rsidP="00810066">
      <w:pPr>
        <w:jc w:val="center"/>
        <w:rPr>
          <w:b/>
        </w:rPr>
      </w:pPr>
      <w:r>
        <w:rPr>
          <w:b/>
        </w:rPr>
        <w:t>APPENDIX A</w:t>
      </w:r>
    </w:p>
    <w:p w:rsidR="004522D9" w:rsidRDefault="004522D9" w:rsidP="004522D9">
      <w:pPr>
        <w:jc w:val="center"/>
        <w:rPr>
          <w:b/>
        </w:rPr>
      </w:pPr>
    </w:p>
    <w:p w:rsidR="004522D9" w:rsidRDefault="004522D9" w:rsidP="004522D9">
      <w:pPr>
        <w:jc w:val="center"/>
        <w:rPr>
          <w:b/>
        </w:rPr>
      </w:pPr>
      <w:r>
        <w:rPr>
          <w:b/>
        </w:rPr>
        <w:t>Complainants and Violation Dates</w:t>
      </w:r>
      <w:r>
        <w:rPr>
          <w:rStyle w:val="FootnoteReference"/>
          <w:b/>
        </w:rPr>
        <w:footnoteReference w:id="67"/>
      </w:r>
    </w:p>
    <w:p w:rsidR="004522D9" w:rsidRDefault="004522D9" w:rsidP="004522D9">
      <w:pPr>
        <w:jc w:val="center"/>
        <w:rPr>
          <w: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970"/>
      </w:tblGrid>
      <w:tr w:rsidR="004522D9" w:rsidRPr="009B0E04" w:rsidTr="00DD3ACC">
        <w:tc>
          <w:tcPr>
            <w:tcW w:w="6300" w:type="dxa"/>
            <w:shd w:val="clear" w:color="auto" w:fill="auto"/>
          </w:tcPr>
          <w:p w:rsidR="004522D9" w:rsidRDefault="004522D9" w:rsidP="00DD3ACC">
            <w:pPr>
              <w:rPr>
                <w:rFonts w:eastAsia="MS Mincho"/>
              </w:rPr>
            </w:pPr>
            <w:r w:rsidRPr="007858A2">
              <w:rPr>
                <w:rFonts w:eastAsia="MS Mincho"/>
                <w:b/>
              </w:rPr>
              <w:t>Complainant received facsimile solicitation</w:t>
            </w:r>
            <w:r>
              <w:rPr>
                <w:rFonts w:eastAsia="MS Mincho"/>
                <w:b/>
              </w:rPr>
              <w:t>(</w:t>
            </w:r>
            <w:r w:rsidRPr="007858A2">
              <w:rPr>
                <w:rFonts w:eastAsia="MS Mincho"/>
                <w:b/>
              </w:rPr>
              <w:t>s</w:t>
            </w:r>
            <w:r>
              <w:rPr>
                <w:rFonts w:eastAsia="MS Mincho"/>
                <w:b/>
              </w:rPr>
              <w:t>)</w:t>
            </w:r>
          </w:p>
        </w:tc>
        <w:tc>
          <w:tcPr>
            <w:tcW w:w="2970" w:type="dxa"/>
            <w:shd w:val="clear" w:color="auto" w:fill="auto"/>
          </w:tcPr>
          <w:p w:rsidR="004522D9" w:rsidRPr="00310BEF" w:rsidRDefault="004522D9" w:rsidP="00DD3ACC">
            <w:pPr>
              <w:rPr>
                <w:rFonts w:eastAsia="MS Mincho"/>
                <w:b/>
              </w:rPr>
            </w:pPr>
            <w:r>
              <w:rPr>
                <w:rFonts w:eastAsia="MS Mincho"/>
                <w:b/>
              </w:rPr>
              <w:t>Violation Date(s)</w:t>
            </w:r>
          </w:p>
        </w:tc>
      </w:tr>
      <w:tr w:rsidR="004522D9" w:rsidRPr="009B0E04" w:rsidTr="00DD3ACC">
        <w:tc>
          <w:tcPr>
            <w:tcW w:w="6300" w:type="dxa"/>
            <w:shd w:val="clear" w:color="auto" w:fill="auto"/>
          </w:tcPr>
          <w:p w:rsidR="004522D9" w:rsidRPr="007858A2" w:rsidRDefault="004522D9" w:rsidP="00DD3ACC">
            <w:pPr>
              <w:rPr>
                <w:rFonts w:eastAsia="MS Mincho"/>
              </w:rPr>
            </w:pPr>
            <w:r>
              <w:rPr>
                <w:rFonts w:eastAsia="MS Mincho"/>
              </w:rPr>
              <w:t xml:space="preserve">M. Eisenberg </w:t>
            </w:r>
          </w:p>
        </w:tc>
        <w:tc>
          <w:tcPr>
            <w:tcW w:w="2970" w:type="dxa"/>
            <w:shd w:val="clear" w:color="auto" w:fill="auto"/>
          </w:tcPr>
          <w:p w:rsidR="004522D9" w:rsidRPr="007858A2" w:rsidRDefault="004522D9" w:rsidP="00DD3ACC">
            <w:pPr>
              <w:rPr>
                <w:rFonts w:eastAsia="MS Mincho"/>
              </w:rPr>
            </w:pPr>
            <w:r w:rsidRPr="007858A2">
              <w:rPr>
                <w:rFonts w:eastAsia="MS Mincho"/>
              </w:rPr>
              <w:t>2/25/13</w:t>
            </w:r>
            <w:r>
              <w:rPr>
                <w:rFonts w:eastAsia="MS Mincho"/>
              </w:rPr>
              <w:t xml:space="preserve"> </w:t>
            </w:r>
            <w:r w:rsidRPr="007858A2">
              <w:rPr>
                <w:rFonts w:eastAsia="MS Mincho"/>
              </w:rPr>
              <w:t>(</w:t>
            </w:r>
            <w:r>
              <w:rPr>
                <w:rFonts w:eastAsia="MS Mincho"/>
              </w:rPr>
              <w:t>2</w:t>
            </w:r>
            <w:r w:rsidRPr="007858A2">
              <w:rPr>
                <w:rFonts w:eastAsia="MS Mincho"/>
              </w:rPr>
              <w:t xml:space="preserve"> advertisements)</w:t>
            </w:r>
          </w:p>
          <w:p w:rsidR="004522D9" w:rsidRPr="007858A2" w:rsidRDefault="004522D9" w:rsidP="00DD3ACC">
            <w:pPr>
              <w:rPr>
                <w:rFonts w:eastAsia="MS Mincho"/>
              </w:rPr>
            </w:pPr>
            <w:r w:rsidRPr="007858A2">
              <w:rPr>
                <w:rFonts w:eastAsia="MS Mincho"/>
              </w:rPr>
              <w:t>3/1/13 (3 advertisements)</w:t>
            </w:r>
          </w:p>
          <w:p w:rsidR="004522D9" w:rsidRPr="007858A2" w:rsidRDefault="004522D9" w:rsidP="00DD3ACC">
            <w:pPr>
              <w:rPr>
                <w:rFonts w:eastAsia="MS Mincho"/>
              </w:rPr>
            </w:pPr>
            <w:r w:rsidRPr="007858A2">
              <w:rPr>
                <w:rFonts w:eastAsia="MS Mincho"/>
              </w:rPr>
              <w:t>3/11/13</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J. Cain, Ford Chiropractic, Inc.</w:t>
            </w:r>
          </w:p>
        </w:tc>
        <w:tc>
          <w:tcPr>
            <w:tcW w:w="2970" w:type="dxa"/>
            <w:shd w:val="clear" w:color="auto" w:fill="auto"/>
          </w:tcPr>
          <w:p w:rsidR="004522D9" w:rsidRDefault="004522D9" w:rsidP="00DD3ACC">
            <w:pPr>
              <w:rPr>
                <w:rFonts w:eastAsia="MS Mincho"/>
              </w:rPr>
            </w:pPr>
            <w:r>
              <w:rPr>
                <w:rFonts w:eastAsia="MS Mincho"/>
              </w:rPr>
              <w:t>3/1/13</w:t>
            </w:r>
          </w:p>
          <w:p w:rsidR="004522D9" w:rsidRDefault="004522D9" w:rsidP="00DD3ACC">
            <w:pPr>
              <w:rPr>
                <w:rFonts w:eastAsia="MS Mincho"/>
              </w:rPr>
            </w:pPr>
            <w:r>
              <w:rPr>
                <w:rFonts w:eastAsia="MS Mincho"/>
              </w:rPr>
              <w:t>3/11/13</w:t>
            </w:r>
          </w:p>
          <w:p w:rsidR="004522D9" w:rsidRPr="007858A2" w:rsidRDefault="004522D9" w:rsidP="00DD3ACC">
            <w:pPr>
              <w:rPr>
                <w:rFonts w:eastAsia="MS Mincho"/>
              </w:rPr>
            </w:pPr>
            <w:r>
              <w:rPr>
                <w:rFonts w:eastAsia="MS Mincho"/>
              </w:rPr>
              <w:t>3/22/13</w:t>
            </w:r>
          </w:p>
        </w:tc>
      </w:tr>
      <w:tr w:rsidR="004522D9" w:rsidRPr="009B0E04" w:rsidTr="00DD3ACC">
        <w:tc>
          <w:tcPr>
            <w:tcW w:w="6300" w:type="dxa"/>
            <w:shd w:val="clear" w:color="auto" w:fill="auto"/>
          </w:tcPr>
          <w:p w:rsidR="004522D9" w:rsidRPr="007858A2" w:rsidRDefault="004522D9" w:rsidP="00DD3ACC">
            <w:pPr>
              <w:rPr>
                <w:rFonts w:eastAsia="MS Mincho"/>
              </w:rPr>
            </w:pPr>
            <w:r>
              <w:rPr>
                <w:rFonts w:eastAsia="MS Mincho"/>
              </w:rPr>
              <w:t>K. Bauman</w:t>
            </w:r>
          </w:p>
        </w:tc>
        <w:tc>
          <w:tcPr>
            <w:tcW w:w="2970" w:type="dxa"/>
            <w:shd w:val="clear" w:color="auto" w:fill="auto"/>
          </w:tcPr>
          <w:p w:rsidR="004522D9" w:rsidRPr="007858A2" w:rsidRDefault="004522D9" w:rsidP="00DD3ACC">
            <w:pPr>
              <w:rPr>
                <w:rFonts w:eastAsia="MS Mincho"/>
              </w:rPr>
            </w:pPr>
            <w:r>
              <w:rPr>
                <w:rFonts w:eastAsia="MS Mincho"/>
              </w:rPr>
              <w:t>3/11/13</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K. Miller, ACSC, Inc.</w:t>
            </w:r>
          </w:p>
        </w:tc>
        <w:tc>
          <w:tcPr>
            <w:tcW w:w="2970" w:type="dxa"/>
            <w:shd w:val="clear" w:color="auto" w:fill="auto"/>
          </w:tcPr>
          <w:p w:rsidR="004522D9" w:rsidRPr="007858A2" w:rsidRDefault="004522D9" w:rsidP="00DD3ACC">
            <w:pPr>
              <w:rPr>
                <w:rFonts w:eastAsia="MS Mincho"/>
              </w:rPr>
            </w:pPr>
            <w:r w:rsidRPr="007858A2">
              <w:rPr>
                <w:rFonts w:eastAsia="MS Mincho"/>
              </w:rPr>
              <w:t>2/25/13</w:t>
            </w:r>
          </w:p>
          <w:p w:rsidR="004522D9" w:rsidRPr="007858A2" w:rsidRDefault="004522D9" w:rsidP="00DD3ACC">
            <w:pPr>
              <w:rPr>
                <w:rFonts w:eastAsia="MS Mincho"/>
              </w:rPr>
            </w:pPr>
            <w:r w:rsidRPr="007858A2">
              <w:rPr>
                <w:rFonts w:eastAsia="MS Mincho"/>
              </w:rPr>
              <w:t>2/27/13</w:t>
            </w:r>
          </w:p>
          <w:p w:rsidR="004522D9" w:rsidRPr="007858A2" w:rsidRDefault="004522D9" w:rsidP="00DD3ACC">
            <w:pPr>
              <w:rPr>
                <w:rFonts w:eastAsia="MS Mincho"/>
              </w:rPr>
            </w:pPr>
            <w:r w:rsidRPr="007858A2">
              <w:rPr>
                <w:rFonts w:eastAsia="MS Mincho"/>
              </w:rPr>
              <w:t>3/1/13 (3 advertisements)</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R. Zimmerman, Wendell Nelson Chiropractic</w:t>
            </w:r>
          </w:p>
        </w:tc>
        <w:tc>
          <w:tcPr>
            <w:tcW w:w="2970" w:type="dxa"/>
            <w:shd w:val="clear" w:color="auto" w:fill="auto"/>
          </w:tcPr>
          <w:p w:rsidR="004522D9" w:rsidRPr="007858A2" w:rsidRDefault="004522D9" w:rsidP="00DD3ACC">
            <w:pPr>
              <w:rPr>
                <w:rFonts w:eastAsia="MS Mincho"/>
              </w:rPr>
            </w:pPr>
            <w:r w:rsidRPr="007858A2">
              <w:rPr>
                <w:rFonts w:eastAsia="MS Mincho"/>
              </w:rPr>
              <w:t>2/25/13 (2 advertisements)</w:t>
            </w:r>
          </w:p>
          <w:p w:rsidR="004522D9" w:rsidRPr="007858A2" w:rsidRDefault="004522D9" w:rsidP="00DD3ACC">
            <w:pPr>
              <w:rPr>
                <w:rFonts w:eastAsia="MS Mincho"/>
              </w:rPr>
            </w:pPr>
            <w:r w:rsidRPr="007858A2">
              <w:rPr>
                <w:rFonts w:eastAsia="MS Mincho"/>
              </w:rPr>
              <w:t>3/1/13 (3 advertisements)</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M. Splinter-Kelleher, Soundview Physical Therapy, Inc.</w:t>
            </w:r>
          </w:p>
        </w:tc>
        <w:tc>
          <w:tcPr>
            <w:tcW w:w="2970" w:type="dxa"/>
            <w:shd w:val="clear" w:color="auto" w:fill="auto"/>
          </w:tcPr>
          <w:p w:rsidR="004522D9" w:rsidRDefault="004522D9" w:rsidP="00DD3ACC">
            <w:pPr>
              <w:rPr>
                <w:rFonts w:eastAsia="MS Mincho"/>
              </w:rPr>
            </w:pPr>
            <w:r>
              <w:rPr>
                <w:rFonts w:eastAsia="MS Mincho"/>
              </w:rPr>
              <w:t>2/25/13</w:t>
            </w:r>
          </w:p>
          <w:p w:rsidR="004522D9" w:rsidRPr="007858A2" w:rsidRDefault="004522D9" w:rsidP="00DD3ACC">
            <w:pPr>
              <w:rPr>
                <w:rFonts w:eastAsia="MS Mincho"/>
              </w:rPr>
            </w:pPr>
            <w:r w:rsidRPr="007858A2">
              <w:rPr>
                <w:rFonts w:eastAsia="MS Mincho"/>
              </w:rPr>
              <w:t>3/1/13</w:t>
            </w:r>
            <w:r>
              <w:rPr>
                <w:rFonts w:eastAsia="MS Mincho"/>
              </w:rPr>
              <w:t xml:space="preserve"> (3 advertisements)</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A. Green, Apopka Wellness Center</w:t>
            </w:r>
          </w:p>
        </w:tc>
        <w:tc>
          <w:tcPr>
            <w:tcW w:w="2970" w:type="dxa"/>
            <w:shd w:val="clear" w:color="auto" w:fill="auto"/>
          </w:tcPr>
          <w:p w:rsidR="004522D9" w:rsidRDefault="004522D9" w:rsidP="00DD3ACC">
            <w:pPr>
              <w:rPr>
                <w:rFonts w:eastAsia="MS Mincho"/>
              </w:rPr>
            </w:pPr>
            <w:r>
              <w:rPr>
                <w:rFonts w:eastAsia="MS Mincho"/>
              </w:rPr>
              <w:t>3/11/13</w:t>
            </w:r>
          </w:p>
          <w:p w:rsidR="004522D9" w:rsidRPr="007858A2" w:rsidRDefault="004522D9" w:rsidP="00DD3ACC">
            <w:pPr>
              <w:rPr>
                <w:rFonts w:eastAsia="MS Mincho"/>
              </w:rPr>
            </w:pPr>
            <w:r w:rsidRPr="007858A2">
              <w:rPr>
                <w:rFonts w:eastAsia="MS Mincho"/>
              </w:rPr>
              <w:t>3/22/13</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R. Bell, Ren</w:t>
            </w:r>
            <w:r>
              <w:rPr>
                <w:rFonts w:eastAsia="MS Mincho"/>
              </w:rPr>
              <w:t>aissance</w:t>
            </w:r>
            <w:r w:rsidRPr="007858A2">
              <w:rPr>
                <w:rFonts w:eastAsia="MS Mincho"/>
              </w:rPr>
              <w:t xml:space="preserve"> Chiro</w:t>
            </w:r>
            <w:r>
              <w:rPr>
                <w:rFonts w:eastAsia="MS Mincho"/>
              </w:rPr>
              <w:t xml:space="preserve">practic </w:t>
            </w:r>
          </w:p>
        </w:tc>
        <w:tc>
          <w:tcPr>
            <w:tcW w:w="2970" w:type="dxa"/>
            <w:shd w:val="clear" w:color="auto" w:fill="auto"/>
          </w:tcPr>
          <w:p w:rsidR="004522D9" w:rsidRPr="007858A2" w:rsidRDefault="004522D9" w:rsidP="00DD3ACC">
            <w:pPr>
              <w:rPr>
                <w:rFonts w:eastAsia="MS Mincho"/>
              </w:rPr>
            </w:pPr>
            <w:r w:rsidRPr="007858A2">
              <w:rPr>
                <w:rFonts w:eastAsia="MS Mincho"/>
              </w:rPr>
              <w:t>5/13/13</w:t>
            </w:r>
          </w:p>
          <w:p w:rsidR="004522D9" w:rsidRPr="007858A2" w:rsidRDefault="004522D9" w:rsidP="00DD3ACC">
            <w:pPr>
              <w:rPr>
                <w:rFonts w:eastAsia="MS Mincho"/>
              </w:rPr>
            </w:pPr>
            <w:r w:rsidRPr="007858A2">
              <w:rPr>
                <w:rFonts w:eastAsia="MS Mincho"/>
              </w:rPr>
              <w:t>5/24/13</w:t>
            </w:r>
          </w:p>
          <w:p w:rsidR="004522D9" w:rsidRPr="007858A2" w:rsidRDefault="004522D9" w:rsidP="00DD3ACC">
            <w:pPr>
              <w:rPr>
                <w:rFonts w:eastAsia="MS Mincho"/>
              </w:rPr>
            </w:pPr>
            <w:r w:rsidRPr="007858A2">
              <w:rPr>
                <w:rFonts w:eastAsia="MS Mincho"/>
              </w:rPr>
              <w:t>5/29/13</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R. Hanley, Cheyenne Mountain Chiropractic</w:t>
            </w:r>
          </w:p>
        </w:tc>
        <w:tc>
          <w:tcPr>
            <w:tcW w:w="2970" w:type="dxa"/>
            <w:shd w:val="clear" w:color="auto" w:fill="auto"/>
          </w:tcPr>
          <w:p w:rsidR="004522D9" w:rsidRPr="007858A2" w:rsidRDefault="004522D9" w:rsidP="00DD3ACC">
            <w:pPr>
              <w:rPr>
                <w:rFonts w:eastAsia="MS Mincho"/>
              </w:rPr>
            </w:pPr>
            <w:r w:rsidRPr="007858A2">
              <w:rPr>
                <w:rFonts w:eastAsia="MS Mincho"/>
              </w:rPr>
              <w:t>5/13/13</w:t>
            </w:r>
          </w:p>
        </w:tc>
      </w:tr>
      <w:tr w:rsidR="004522D9" w:rsidRPr="009B0E04" w:rsidTr="00DD3ACC">
        <w:tc>
          <w:tcPr>
            <w:tcW w:w="6300" w:type="dxa"/>
            <w:shd w:val="clear" w:color="auto" w:fill="auto"/>
          </w:tcPr>
          <w:p w:rsidR="004522D9" w:rsidRPr="007858A2" w:rsidRDefault="004522D9" w:rsidP="00DD3ACC">
            <w:pPr>
              <w:rPr>
                <w:rFonts w:eastAsia="MS Mincho"/>
              </w:rPr>
            </w:pPr>
            <w:r>
              <w:rPr>
                <w:rFonts w:eastAsia="MS Mincho"/>
              </w:rPr>
              <w:t>K. Durham, Zega Chiropractic</w:t>
            </w:r>
          </w:p>
        </w:tc>
        <w:tc>
          <w:tcPr>
            <w:tcW w:w="2970" w:type="dxa"/>
            <w:shd w:val="clear" w:color="auto" w:fill="auto"/>
          </w:tcPr>
          <w:p w:rsidR="004522D9" w:rsidRDefault="004522D9" w:rsidP="00DD3ACC">
            <w:pPr>
              <w:rPr>
                <w:rFonts w:eastAsia="MS Mincho"/>
              </w:rPr>
            </w:pPr>
            <w:r>
              <w:rPr>
                <w:rFonts w:eastAsia="MS Mincho"/>
              </w:rPr>
              <w:t>5/13/13</w:t>
            </w:r>
          </w:p>
          <w:p w:rsidR="004522D9" w:rsidRDefault="004522D9" w:rsidP="00DD3ACC">
            <w:pPr>
              <w:rPr>
                <w:rFonts w:eastAsia="MS Mincho"/>
              </w:rPr>
            </w:pPr>
            <w:r>
              <w:rPr>
                <w:rFonts w:eastAsia="MS Mincho"/>
              </w:rPr>
              <w:t>5/20/13</w:t>
            </w:r>
          </w:p>
          <w:p w:rsidR="004522D9" w:rsidRDefault="004522D9" w:rsidP="00DD3ACC">
            <w:pPr>
              <w:rPr>
                <w:rFonts w:eastAsia="MS Mincho"/>
              </w:rPr>
            </w:pPr>
            <w:r>
              <w:rPr>
                <w:rFonts w:eastAsia="MS Mincho"/>
              </w:rPr>
              <w:t>5/24/13</w:t>
            </w:r>
          </w:p>
          <w:p w:rsidR="004522D9" w:rsidRDefault="004522D9" w:rsidP="00DD3ACC">
            <w:pPr>
              <w:rPr>
                <w:rFonts w:eastAsia="MS Mincho"/>
              </w:rPr>
            </w:pPr>
            <w:r>
              <w:rPr>
                <w:rFonts w:eastAsia="MS Mincho"/>
              </w:rPr>
              <w:t>5/29/13</w:t>
            </w:r>
          </w:p>
          <w:p w:rsidR="004522D9" w:rsidRPr="007858A2" w:rsidRDefault="004522D9" w:rsidP="00DD3ACC">
            <w:pPr>
              <w:rPr>
                <w:rFonts w:eastAsia="MS Mincho"/>
              </w:rPr>
            </w:pPr>
            <w:r>
              <w:rPr>
                <w:rFonts w:eastAsia="MS Mincho"/>
              </w:rPr>
              <w:t>6/17/13</w:t>
            </w:r>
          </w:p>
        </w:tc>
      </w:tr>
      <w:tr w:rsidR="004522D9" w:rsidRPr="009B0E04" w:rsidTr="00DD3ACC">
        <w:tc>
          <w:tcPr>
            <w:tcW w:w="6300" w:type="dxa"/>
            <w:shd w:val="clear" w:color="auto" w:fill="auto"/>
          </w:tcPr>
          <w:p w:rsidR="004522D9" w:rsidRDefault="004522D9" w:rsidP="00DD3ACC">
            <w:pPr>
              <w:rPr>
                <w:rFonts w:eastAsia="MS Mincho"/>
              </w:rPr>
            </w:pPr>
            <w:r>
              <w:rPr>
                <w:rFonts w:eastAsia="MS Mincho"/>
              </w:rPr>
              <w:t>R. LaFreniere, Hartsville Family Chiropractic</w:t>
            </w:r>
          </w:p>
        </w:tc>
        <w:tc>
          <w:tcPr>
            <w:tcW w:w="2970" w:type="dxa"/>
            <w:shd w:val="clear" w:color="auto" w:fill="auto"/>
          </w:tcPr>
          <w:p w:rsidR="004522D9" w:rsidRDefault="004522D9" w:rsidP="00DD3ACC">
            <w:pPr>
              <w:rPr>
                <w:rFonts w:eastAsia="MS Mincho"/>
              </w:rPr>
            </w:pPr>
            <w:r>
              <w:rPr>
                <w:rFonts w:eastAsia="MS Mincho"/>
              </w:rPr>
              <w:t>5/15/13</w:t>
            </w:r>
          </w:p>
        </w:tc>
      </w:tr>
      <w:tr w:rsidR="004522D9" w:rsidRPr="009B0E04" w:rsidTr="00DD3ACC">
        <w:tc>
          <w:tcPr>
            <w:tcW w:w="6300" w:type="dxa"/>
            <w:shd w:val="clear" w:color="auto" w:fill="auto"/>
          </w:tcPr>
          <w:p w:rsidR="004522D9" w:rsidRPr="007858A2" w:rsidRDefault="004522D9" w:rsidP="00DD3ACC">
            <w:pPr>
              <w:rPr>
                <w:rFonts w:eastAsia="MS Mincho"/>
              </w:rPr>
            </w:pPr>
            <w:r>
              <w:rPr>
                <w:rFonts w:eastAsia="MS Mincho"/>
              </w:rPr>
              <w:t>K. Oricchio, Adirondack Physical Therapy and Sports Rehabilitation</w:t>
            </w:r>
          </w:p>
        </w:tc>
        <w:tc>
          <w:tcPr>
            <w:tcW w:w="2970" w:type="dxa"/>
            <w:shd w:val="clear" w:color="auto" w:fill="auto"/>
          </w:tcPr>
          <w:p w:rsidR="004522D9" w:rsidRDefault="004522D9" w:rsidP="00DD3ACC">
            <w:pPr>
              <w:rPr>
                <w:rFonts w:eastAsia="MS Mincho"/>
              </w:rPr>
            </w:pPr>
            <w:r>
              <w:rPr>
                <w:rFonts w:eastAsia="MS Mincho"/>
              </w:rPr>
              <w:t>5/20/13</w:t>
            </w:r>
          </w:p>
          <w:p w:rsidR="004522D9" w:rsidRDefault="004522D9" w:rsidP="00DD3ACC">
            <w:pPr>
              <w:rPr>
                <w:rFonts w:eastAsia="MS Mincho"/>
              </w:rPr>
            </w:pPr>
            <w:r>
              <w:rPr>
                <w:rFonts w:eastAsia="MS Mincho"/>
              </w:rPr>
              <w:t>5/29/13</w:t>
            </w:r>
            <w:r w:rsidR="003E59A2">
              <w:rPr>
                <w:rFonts w:eastAsia="MS Mincho"/>
              </w:rPr>
              <w:t xml:space="preserve"> (2 advertisements)</w:t>
            </w:r>
          </w:p>
          <w:p w:rsidR="004522D9" w:rsidRPr="007858A2" w:rsidRDefault="004522D9" w:rsidP="00DD3ACC">
            <w:pPr>
              <w:rPr>
                <w:rFonts w:eastAsia="MS Mincho"/>
              </w:rPr>
            </w:pPr>
            <w:r>
              <w:rPr>
                <w:rFonts w:eastAsia="MS Mincho"/>
              </w:rPr>
              <w:t>6/3/13</w:t>
            </w:r>
          </w:p>
        </w:tc>
      </w:tr>
      <w:tr w:rsidR="004522D9" w:rsidRPr="009B0E04" w:rsidTr="00DD3ACC">
        <w:tc>
          <w:tcPr>
            <w:tcW w:w="6300" w:type="dxa"/>
            <w:shd w:val="clear" w:color="auto" w:fill="auto"/>
          </w:tcPr>
          <w:p w:rsidR="004522D9" w:rsidRPr="007858A2" w:rsidRDefault="004522D9" w:rsidP="00DD3ACC">
            <w:pPr>
              <w:rPr>
                <w:rFonts w:eastAsia="MS Mincho"/>
              </w:rPr>
            </w:pPr>
            <w:r>
              <w:rPr>
                <w:rFonts w:eastAsia="MS Mincho"/>
              </w:rPr>
              <w:t>Dr. S. Fender</w:t>
            </w:r>
            <w:r w:rsidRPr="007858A2">
              <w:rPr>
                <w:rFonts w:eastAsia="MS Mincho"/>
              </w:rPr>
              <w:t xml:space="preserve"> </w:t>
            </w:r>
          </w:p>
        </w:tc>
        <w:tc>
          <w:tcPr>
            <w:tcW w:w="2970" w:type="dxa"/>
            <w:shd w:val="clear" w:color="auto" w:fill="auto"/>
          </w:tcPr>
          <w:p w:rsidR="004522D9" w:rsidRDefault="004522D9" w:rsidP="00DD3ACC">
            <w:pPr>
              <w:rPr>
                <w:rFonts w:eastAsia="MS Mincho"/>
              </w:rPr>
            </w:pPr>
            <w:r>
              <w:rPr>
                <w:rFonts w:eastAsia="MS Mincho"/>
              </w:rPr>
              <w:t>2/25/13</w:t>
            </w:r>
          </w:p>
          <w:p w:rsidR="004522D9" w:rsidRPr="007858A2" w:rsidRDefault="004522D9" w:rsidP="00DD3ACC">
            <w:pPr>
              <w:rPr>
                <w:rFonts w:eastAsia="MS Mincho"/>
              </w:rPr>
            </w:pPr>
            <w:r w:rsidRPr="007858A2">
              <w:rPr>
                <w:rFonts w:eastAsia="MS Mincho"/>
              </w:rPr>
              <w:t>5/24/13</w:t>
            </w:r>
          </w:p>
          <w:p w:rsidR="004522D9" w:rsidRPr="007858A2" w:rsidRDefault="004522D9" w:rsidP="00DD3ACC">
            <w:pPr>
              <w:rPr>
                <w:rFonts w:eastAsia="MS Mincho"/>
              </w:rPr>
            </w:pPr>
            <w:r w:rsidRPr="007858A2">
              <w:rPr>
                <w:rFonts w:eastAsia="MS Mincho"/>
              </w:rPr>
              <w:t>5/29/13</w:t>
            </w:r>
          </w:p>
          <w:p w:rsidR="004522D9" w:rsidRPr="007858A2" w:rsidRDefault="004522D9" w:rsidP="00DD3ACC">
            <w:pPr>
              <w:rPr>
                <w:rFonts w:eastAsia="MS Mincho"/>
              </w:rPr>
            </w:pPr>
            <w:r w:rsidRPr="007858A2">
              <w:rPr>
                <w:rFonts w:eastAsia="MS Mincho"/>
              </w:rPr>
              <w:t>6/3/13</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S. Sparks, Diaz Olson Physical Therapy and Sports Rehab</w:t>
            </w:r>
          </w:p>
        </w:tc>
        <w:tc>
          <w:tcPr>
            <w:tcW w:w="2970" w:type="dxa"/>
            <w:shd w:val="clear" w:color="auto" w:fill="auto"/>
          </w:tcPr>
          <w:p w:rsidR="004522D9" w:rsidRPr="007858A2" w:rsidRDefault="004522D9" w:rsidP="00DD3ACC">
            <w:pPr>
              <w:rPr>
                <w:rFonts w:eastAsia="MS Mincho"/>
              </w:rPr>
            </w:pPr>
            <w:r w:rsidRPr="007858A2">
              <w:rPr>
                <w:rFonts w:eastAsia="MS Mincho"/>
              </w:rPr>
              <w:t>5/29/13 (2 advertisements)</w:t>
            </w:r>
          </w:p>
          <w:p w:rsidR="004522D9" w:rsidRPr="007858A2" w:rsidRDefault="004522D9" w:rsidP="00DD3ACC">
            <w:pPr>
              <w:rPr>
                <w:rFonts w:eastAsia="MS Mincho"/>
              </w:rPr>
            </w:pPr>
            <w:r w:rsidRPr="007858A2">
              <w:rPr>
                <w:rFonts w:eastAsia="MS Mincho"/>
              </w:rPr>
              <w:t>5/30/13</w:t>
            </w:r>
          </w:p>
          <w:p w:rsidR="004522D9" w:rsidRPr="007858A2" w:rsidRDefault="004522D9" w:rsidP="00DD3ACC">
            <w:pPr>
              <w:rPr>
                <w:rFonts w:eastAsia="MS Mincho"/>
              </w:rPr>
            </w:pPr>
            <w:r w:rsidRPr="007858A2">
              <w:rPr>
                <w:rFonts w:eastAsia="MS Mincho"/>
              </w:rPr>
              <w:t>6/4/13</w:t>
            </w:r>
          </w:p>
        </w:tc>
      </w:tr>
    </w:tbl>
    <w:p w:rsidR="004522D9" w:rsidRDefault="004522D9" w:rsidP="004522D9">
      <w:r>
        <w:br w:type="page"/>
      </w:r>
    </w:p>
    <w:p w:rsidR="004522D9" w:rsidRDefault="004522D9" w:rsidP="004522D9"/>
    <w:p w:rsidR="004522D9" w:rsidRDefault="004522D9" w:rsidP="004522D9"/>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970"/>
      </w:tblGrid>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b/>
              </w:rPr>
              <w:t>Complainant received facsimile solicitation</w:t>
            </w:r>
            <w:r>
              <w:rPr>
                <w:rFonts w:eastAsia="MS Mincho"/>
                <w:b/>
              </w:rPr>
              <w:t>(</w:t>
            </w:r>
            <w:r w:rsidRPr="007858A2">
              <w:rPr>
                <w:rFonts w:eastAsia="MS Mincho"/>
                <w:b/>
              </w:rPr>
              <w:t>s</w:t>
            </w:r>
            <w:r>
              <w:rPr>
                <w:rFonts w:eastAsia="MS Mincho"/>
                <w:b/>
              </w:rPr>
              <w:t>)</w:t>
            </w:r>
            <w:r w:rsidRPr="007858A2">
              <w:rPr>
                <w:rFonts w:eastAsia="MS Mincho"/>
                <w:b/>
              </w:rPr>
              <w:t xml:space="preserve"> at least 30 days after requesting no more be sent</w:t>
            </w:r>
          </w:p>
        </w:tc>
        <w:tc>
          <w:tcPr>
            <w:tcW w:w="2970" w:type="dxa"/>
            <w:shd w:val="clear" w:color="auto" w:fill="auto"/>
          </w:tcPr>
          <w:p w:rsidR="004522D9" w:rsidRDefault="004522D9" w:rsidP="00DD3ACC">
            <w:pPr>
              <w:jc w:val="center"/>
              <w:rPr>
                <w:rFonts w:eastAsia="MS Mincho"/>
                <w:b/>
              </w:rPr>
            </w:pPr>
          </w:p>
          <w:p w:rsidR="004522D9" w:rsidRPr="00310BEF" w:rsidRDefault="004522D9" w:rsidP="00DD3ACC">
            <w:pPr>
              <w:rPr>
                <w:rFonts w:eastAsia="MS Mincho"/>
                <w:b/>
              </w:rPr>
            </w:pPr>
            <w:r>
              <w:rPr>
                <w:rFonts w:eastAsia="MS Mincho"/>
                <w:b/>
              </w:rPr>
              <w:t>Violation Date(s)</w:t>
            </w:r>
          </w:p>
          <w:p w:rsidR="004522D9" w:rsidRPr="00B85EB3" w:rsidRDefault="004522D9" w:rsidP="00DD3ACC">
            <w:pPr>
              <w:jc w:val="center"/>
              <w:rPr>
                <w:rFonts w:eastAsia="MS Mincho"/>
                <w:b/>
              </w:rPr>
            </w:pP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T. Ibinger, Simply Chiropractic Center</w:t>
            </w:r>
          </w:p>
        </w:tc>
        <w:tc>
          <w:tcPr>
            <w:tcW w:w="2970" w:type="dxa"/>
            <w:shd w:val="clear" w:color="auto" w:fill="auto"/>
          </w:tcPr>
          <w:p w:rsidR="004522D9" w:rsidRPr="007858A2" w:rsidRDefault="004522D9" w:rsidP="00DD3ACC">
            <w:pPr>
              <w:rPr>
                <w:rFonts w:eastAsia="MS Mincho"/>
              </w:rPr>
            </w:pPr>
            <w:r w:rsidRPr="007858A2">
              <w:rPr>
                <w:rFonts w:eastAsia="MS Mincho"/>
              </w:rPr>
              <w:t>2/25/2013</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J. Goldstein, Goldstein Chiropractic</w:t>
            </w:r>
          </w:p>
        </w:tc>
        <w:tc>
          <w:tcPr>
            <w:tcW w:w="2970" w:type="dxa"/>
            <w:shd w:val="clear" w:color="auto" w:fill="auto"/>
          </w:tcPr>
          <w:p w:rsidR="004522D9" w:rsidRPr="007858A2" w:rsidRDefault="004522D9" w:rsidP="00DD3ACC">
            <w:pPr>
              <w:rPr>
                <w:rFonts w:eastAsia="MS Mincho"/>
              </w:rPr>
            </w:pPr>
            <w:r w:rsidRPr="007858A2">
              <w:rPr>
                <w:rFonts w:eastAsia="MS Mincho"/>
              </w:rPr>
              <w:t>2/25/13</w:t>
            </w:r>
            <w:r w:rsidR="009E68EE">
              <w:rPr>
                <w:rFonts w:eastAsia="MS Mincho"/>
              </w:rPr>
              <w:t xml:space="preserve"> </w:t>
            </w:r>
          </w:p>
          <w:p w:rsidR="004522D9" w:rsidRPr="007858A2" w:rsidRDefault="004522D9" w:rsidP="00DD3ACC">
            <w:pPr>
              <w:rPr>
                <w:rFonts w:eastAsia="MS Mincho"/>
              </w:rPr>
            </w:pPr>
            <w:r w:rsidRPr="007858A2">
              <w:rPr>
                <w:rFonts w:eastAsia="MS Mincho"/>
              </w:rPr>
              <w:t>3/22/13</w:t>
            </w:r>
            <w:r w:rsidR="009E68EE">
              <w:rPr>
                <w:rFonts w:eastAsia="MS Mincho"/>
              </w:rPr>
              <w:t xml:space="preserve"> </w:t>
            </w:r>
          </w:p>
          <w:p w:rsidR="004522D9" w:rsidRPr="007858A2" w:rsidRDefault="004522D9" w:rsidP="00DD3ACC">
            <w:pPr>
              <w:rPr>
                <w:rFonts w:eastAsia="MS Mincho"/>
              </w:rPr>
            </w:pPr>
            <w:r w:rsidRPr="007858A2">
              <w:rPr>
                <w:rFonts w:eastAsia="MS Mincho"/>
              </w:rPr>
              <w:t>5/29/13</w:t>
            </w:r>
          </w:p>
          <w:p w:rsidR="004522D9" w:rsidRPr="007858A2" w:rsidRDefault="004522D9" w:rsidP="00DD3ACC">
            <w:pPr>
              <w:rPr>
                <w:rFonts w:eastAsia="MS Mincho"/>
              </w:rPr>
            </w:pPr>
            <w:r w:rsidRPr="007858A2">
              <w:rPr>
                <w:rFonts w:eastAsia="MS Mincho"/>
              </w:rPr>
              <w:t xml:space="preserve">6/3/13 </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T. Nicasio, Shaw Chiropractic</w:t>
            </w:r>
          </w:p>
        </w:tc>
        <w:tc>
          <w:tcPr>
            <w:tcW w:w="2970" w:type="dxa"/>
            <w:shd w:val="clear" w:color="auto" w:fill="auto"/>
          </w:tcPr>
          <w:p w:rsidR="004522D9" w:rsidRPr="007858A2" w:rsidRDefault="004522D9" w:rsidP="00DD3ACC">
            <w:pPr>
              <w:rPr>
                <w:rFonts w:eastAsia="MS Mincho"/>
              </w:rPr>
            </w:pPr>
            <w:r>
              <w:rPr>
                <w:rFonts w:eastAsia="MS Mincho"/>
              </w:rPr>
              <w:t xml:space="preserve">2/25/13 (4 </w:t>
            </w:r>
            <w:r w:rsidRPr="007858A2">
              <w:rPr>
                <w:rFonts w:eastAsia="MS Mincho"/>
              </w:rPr>
              <w:t>advertisements)</w:t>
            </w:r>
          </w:p>
          <w:p w:rsidR="004522D9" w:rsidRPr="007858A2" w:rsidRDefault="004522D9" w:rsidP="00DD3ACC">
            <w:pPr>
              <w:rPr>
                <w:rFonts w:eastAsia="MS Mincho"/>
              </w:rPr>
            </w:pPr>
            <w:r w:rsidRPr="007858A2">
              <w:rPr>
                <w:rFonts w:eastAsia="MS Mincho"/>
              </w:rPr>
              <w:t>3/1/13 (6 advertisements)</w:t>
            </w:r>
          </w:p>
          <w:p w:rsidR="004522D9" w:rsidRPr="007858A2" w:rsidRDefault="004522D9" w:rsidP="00DD3ACC">
            <w:pPr>
              <w:rPr>
                <w:rFonts w:eastAsia="MS Mincho"/>
              </w:rPr>
            </w:pPr>
            <w:r w:rsidRPr="007858A2">
              <w:rPr>
                <w:rFonts w:eastAsia="MS Mincho"/>
              </w:rPr>
              <w:t>3/11/13 (2 advertisements)</w:t>
            </w:r>
          </w:p>
          <w:p w:rsidR="004522D9" w:rsidRPr="007858A2" w:rsidRDefault="004522D9" w:rsidP="00DD3ACC">
            <w:pPr>
              <w:rPr>
                <w:rFonts w:eastAsia="MS Mincho"/>
              </w:rPr>
            </w:pPr>
            <w:r w:rsidRPr="007858A2">
              <w:rPr>
                <w:rFonts w:eastAsia="MS Mincho"/>
              </w:rPr>
              <w:t>3/22/13 (2 advertisements)</w:t>
            </w:r>
          </w:p>
          <w:p w:rsidR="004522D9" w:rsidRPr="007858A2" w:rsidRDefault="004522D9" w:rsidP="009E68EE">
            <w:pPr>
              <w:rPr>
                <w:rFonts w:eastAsia="MS Mincho"/>
              </w:rPr>
            </w:pPr>
            <w:r w:rsidRPr="007858A2">
              <w:rPr>
                <w:rFonts w:eastAsia="MS Mincho"/>
              </w:rPr>
              <w:t xml:space="preserve">5/13/13 </w:t>
            </w:r>
            <w:r w:rsidR="00263F2A">
              <w:rPr>
                <w:rFonts w:eastAsia="MS Mincho"/>
              </w:rPr>
              <w:t>(</w:t>
            </w:r>
            <w:r w:rsidR="009E68EE">
              <w:rPr>
                <w:rFonts w:eastAsia="MS Mincho"/>
              </w:rPr>
              <w:t>4</w:t>
            </w:r>
            <w:r w:rsidRPr="007858A2">
              <w:rPr>
                <w:rFonts w:eastAsia="MS Mincho"/>
              </w:rPr>
              <w:t xml:space="preserve"> advertisements)</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D. Riffel, Metropolitan Chiropractic</w:t>
            </w:r>
          </w:p>
        </w:tc>
        <w:tc>
          <w:tcPr>
            <w:tcW w:w="2970" w:type="dxa"/>
            <w:shd w:val="clear" w:color="auto" w:fill="auto"/>
          </w:tcPr>
          <w:p w:rsidR="004522D9" w:rsidRPr="007858A2" w:rsidRDefault="004522D9" w:rsidP="00DD3ACC">
            <w:pPr>
              <w:rPr>
                <w:rFonts w:eastAsia="MS Mincho"/>
              </w:rPr>
            </w:pPr>
            <w:r w:rsidRPr="007858A2">
              <w:rPr>
                <w:rFonts w:eastAsia="MS Mincho"/>
              </w:rPr>
              <w:t>3/1/13 (3 advertisements)</w:t>
            </w:r>
          </w:p>
          <w:p w:rsidR="004522D9" w:rsidRPr="007858A2" w:rsidRDefault="004522D9" w:rsidP="00DD3ACC">
            <w:pPr>
              <w:rPr>
                <w:rFonts w:eastAsia="MS Mincho"/>
              </w:rPr>
            </w:pPr>
            <w:r w:rsidRPr="007858A2">
              <w:rPr>
                <w:rFonts w:eastAsia="MS Mincho"/>
              </w:rPr>
              <w:t>5/29/13 (2 advertisements)</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R. Habeger, Back in Motion Chiropractic</w:t>
            </w:r>
          </w:p>
        </w:tc>
        <w:tc>
          <w:tcPr>
            <w:tcW w:w="2970" w:type="dxa"/>
            <w:shd w:val="clear" w:color="auto" w:fill="auto"/>
          </w:tcPr>
          <w:p w:rsidR="004522D9" w:rsidRPr="007858A2" w:rsidRDefault="004522D9" w:rsidP="00DD3ACC">
            <w:pPr>
              <w:rPr>
                <w:rFonts w:eastAsia="MS Mincho"/>
              </w:rPr>
            </w:pPr>
            <w:r w:rsidRPr="007858A2">
              <w:rPr>
                <w:rFonts w:eastAsia="MS Mincho"/>
              </w:rPr>
              <w:t>3/1/13 (3 advertisements)</w:t>
            </w:r>
          </w:p>
          <w:p w:rsidR="004522D9" w:rsidRPr="007858A2" w:rsidRDefault="004522D9" w:rsidP="00DD3ACC">
            <w:pPr>
              <w:rPr>
                <w:rFonts w:eastAsia="MS Mincho"/>
              </w:rPr>
            </w:pPr>
            <w:r w:rsidRPr="007858A2">
              <w:rPr>
                <w:rFonts w:eastAsia="MS Mincho"/>
              </w:rPr>
              <w:t>3/11/13</w:t>
            </w:r>
          </w:p>
          <w:p w:rsidR="004522D9" w:rsidRPr="007858A2" w:rsidRDefault="004522D9" w:rsidP="00DD3ACC">
            <w:pPr>
              <w:rPr>
                <w:rFonts w:eastAsia="MS Mincho"/>
              </w:rPr>
            </w:pPr>
            <w:r w:rsidRPr="007858A2">
              <w:rPr>
                <w:rFonts w:eastAsia="MS Mincho"/>
              </w:rPr>
              <w:t>5/13/13 (2 advertisements) 5/20/13</w:t>
            </w:r>
          </w:p>
          <w:p w:rsidR="004522D9" w:rsidRPr="007858A2" w:rsidRDefault="004522D9" w:rsidP="00DD3ACC">
            <w:pPr>
              <w:rPr>
                <w:rFonts w:eastAsia="MS Mincho"/>
              </w:rPr>
            </w:pPr>
            <w:r w:rsidRPr="007858A2">
              <w:rPr>
                <w:rFonts w:eastAsia="MS Mincho"/>
              </w:rPr>
              <w:t>5/24/13</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 xml:space="preserve">K. Bauman </w:t>
            </w:r>
          </w:p>
        </w:tc>
        <w:tc>
          <w:tcPr>
            <w:tcW w:w="2970" w:type="dxa"/>
            <w:shd w:val="clear" w:color="auto" w:fill="auto"/>
          </w:tcPr>
          <w:p w:rsidR="004522D9" w:rsidRPr="007858A2" w:rsidRDefault="004522D9" w:rsidP="00DD3ACC">
            <w:pPr>
              <w:rPr>
                <w:rFonts w:eastAsia="MS Mincho"/>
              </w:rPr>
            </w:pPr>
            <w:r w:rsidRPr="007858A2">
              <w:rPr>
                <w:rFonts w:eastAsia="MS Mincho"/>
              </w:rPr>
              <w:t>3/22/13</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M. Servant, Authentic Healing</w:t>
            </w:r>
          </w:p>
        </w:tc>
        <w:tc>
          <w:tcPr>
            <w:tcW w:w="2970" w:type="dxa"/>
            <w:shd w:val="clear" w:color="auto" w:fill="auto"/>
          </w:tcPr>
          <w:p w:rsidR="004522D9" w:rsidRPr="007858A2" w:rsidRDefault="004522D9" w:rsidP="00DD3ACC">
            <w:pPr>
              <w:rPr>
                <w:rFonts w:eastAsia="MS Mincho"/>
              </w:rPr>
            </w:pPr>
            <w:r w:rsidRPr="007858A2">
              <w:rPr>
                <w:rFonts w:eastAsia="MS Mincho"/>
              </w:rPr>
              <w:t>3/22/13</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S. Pagano, Pagano Chiropractic Clinic PC</w:t>
            </w:r>
          </w:p>
        </w:tc>
        <w:tc>
          <w:tcPr>
            <w:tcW w:w="2970" w:type="dxa"/>
            <w:shd w:val="clear" w:color="auto" w:fill="auto"/>
          </w:tcPr>
          <w:p w:rsidR="004522D9" w:rsidRPr="007858A2" w:rsidRDefault="004522D9" w:rsidP="00DD3ACC">
            <w:pPr>
              <w:rPr>
                <w:rFonts w:eastAsia="MS Mincho"/>
              </w:rPr>
            </w:pPr>
            <w:r w:rsidRPr="007858A2">
              <w:rPr>
                <w:rFonts w:eastAsia="MS Mincho"/>
              </w:rPr>
              <w:t>5/13/13</w:t>
            </w:r>
            <w:r>
              <w:rPr>
                <w:rFonts w:eastAsia="MS Mincho"/>
              </w:rPr>
              <w:t xml:space="preserve"> </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A. Green, Apopka Wellness Center</w:t>
            </w:r>
          </w:p>
        </w:tc>
        <w:tc>
          <w:tcPr>
            <w:tcW w:w="2970" w:type="dxa"/>
            <w:shd w:val="clear" w:color="auto" w:fill="auto"/>
          </w:tcPr>
          <w:p w:rsidR="004522D9" w:rsidRPr="007858A2" w:rsidRDefault="004522D9" w:rsidP="00DD3ACC">
            <w:pPr>
              <w:rPr>
                <w:rFonts w:eastAsia="MS Mincho"/>
              </w:rPr>
            </w:pPr>
            <w:r w:rsidRPr="007858A2">
              <w:rPr>
                <w:rFonts w:eastAsia="MS Mincho"/>
              </w:rPr>
              <w:t>5/13/13</w:t>
            </w:r>
          </w:p>
          <w:p w:rsidR="004522D9" w:rsidRPr="007858A2" w:rsidRDefault="004522D9" w:rsidP="00DD3ACC">
            <w:pPr>
              <w:rPr>
                <w:rFonts w:eastAsia="MS Mincho"/>
              </w:rPr>
            </w:pPr>
            <w:r w:rsidRPr="007858A2">
              <w:rPr>
                <w:rFonts w:eastAsia="MS Mincho"/>
              </w:rPr>
              <w:t>5/20/13</w:t>
            </w:r>
          </w:p>
          <w:p w:rsidR="004522D9" w:rsidRPr="007858A2" w:rsidRDefault="004522D9" w:rsidP="00DD3ACC">
            <w:pPr>
              <w:rPr>
                <w:rFonts w:eastAsia="MS Mincho"/>
              </w:rPr>
            </w:pPr>
            <w:r w:rsidRPr="007858A2">
              <w:rPr>
                <w:rFonts w:eastAsia="MS Mincho"/>
              </w:rPr>
              <w:t>5/2</w:t>
            </w:r>
            <w:r w:rsidR="00DF6F72">
              <w:rPr>
                <w:rFonts w:eastAsia="MS Mincho"/>
              </w:rPr>
              <w:t>4</w:t>
            </w:r>
            <w:r w:rsidRPr="007858A2">
              <w:rPr>
                <w:rFonts w:eastAsia="MS Mincho"/>
              </w:rPr>
              <w:t>/13</w:t>
            </w:r>
          </w:p>
          <w:p w:rsidR="004522D9" w:rsidRPr="007858A2" w:rsidRDefault="004522D9" w:rsidP="009E68EE">
            <w:pPr>
              <w:rPr>
                <w:rFonts w:eastAsia="MS Mincho"/>
              </w:rPr>
            </w:pPr>
            <w:r w:rsidRPr="007858A2">
              <w:rPr>
                <w:rFonts w:eastAsia="MS Mincho"/>
              </w:rPr>
              <w:t>6/3/13</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L. Addison, Rothfeld Center for Integrative Medicine</w:t>
            </w:r>
          </w:p>
        </w:tc>
        <w:tc>
          <w:tcPr>
            <w:tcW w:w="2970" w:type="dxa"/>
            <w:shd w:val="clear" w:color="auto" w:fill="auto"/>
          </w:tcPr>
          <w:p w:rsidR="004522D9" w:rsidRDefault="004522D9" w:rsidP="00DD3ACC">
            <w:pPr>
              <w:rPr>
                <w:rFonts w:eastAsia="MS Mincho"/>
              </w:rPr>
            </w:pPr>
            <w:r w:rsidRPr="007858A2">
              <w:rPr>
                <w:rFonts w:eastAsia="MS Mincho"/>
              </w:rPr>
              <w:t>5/13/13 (2 advertisements)</w:t>
            </w:r>
          </w:p>
          <w:p w:rsidR="004522D9" w:rsidRDefault="004522D9" w:rsidP="00DD3ACC">
            <w:pPr>
              <w:rPr>
                <w:rFonts w:eastAsia="MS Mincho"/>
              </w:rPr>
            </w:pPr>
            <w:r>
              <w:rPr>
                <w:rFonts w:eastAsia="MS Mincho"/>
              </w:rPr>
              <w:t>5/24/13</w:t>
            </w:r>
          </w:p>
          <w:p w:rsidR="004522D9" w:rsidRPr="007858A2" w:rsidRDefault="004522D9" w:rsidP="00DD3ACC">
            <w:pPr>
              <w:rPr>
                <w:rFonts w:eastAsia="MS Mincho"/>
              </w:rPr>
            </w:pPr>
            <w:r>
              <w:rPr>
                <w:rFonts w:eastAsia="MS Mincho"/>
              </w:rPr>
              <w:t>5/29/13 (2 advertisements)</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J. Cain, Ford Chiropractic, Inc.</w:t>
            </w:r>
          </w:p>
        </w:tc>
        <w:tc>
          <w:tcPr>
            <w:tcW w:w="2970" w:type="dxa"/>
            <w:shd w:val="clear" w:color="auto" w:fill="auto"/>
          </w:tcPr>
          <w:p w:rsidR="004522D9" w:rsidRDefault="004522D9" w:rsidP="00DD3ACC">
            <w:pPr>
              <w:rPr>
                <w:rFonts w:eastAsia="MS Mincho"/>
              </w:rPr>
            </w:pPr>
            <w:r>
              <w:rPr>
                <w:rFonts w:eastAsia="MS Mincho"/>
              </w:rPr>
              <w:t>5/13/13</w:t>
            </w:r>
          </w:p>
          <w:p w:rsidR="004522D9" w:rsidRDefault="004522D9" w:rsidP="00DD3ACC">
            <w:pPr>
              <w:rPr>
                <w:rFonts w:eastAsia="MS Mincho"/>
              </w:rPr>
            </w:pPr>
            <w:r>
              <w:rPr>
                <w:rFonts w:eastAsia="MS Mincho"/>
              </w:rPr>
              <w:t>5/20/13</w:t>
            </w:r>
          </w:p>
          <w:p w:rsidR="004522D9" w:rsidRDefault="004522D9" w:rsidP="00DD3ACC">
            <w:pPr>
              <w:rPr>
                <w:rFonts w:eastAsia="MS Mincho"/>
              </w:rPr>
            </w:pPr>
            <w:r>
              <w:rPr>
                <w:rFonts w:eastAsia="MS Mincho"/>
              </w:rPr>
              <w:t>5/29/13</w:t>
            </w:r>
          </w:p>
          <w:p w:rsidR="004522D9" w:rsidRDefault="004522D9" w:rsidP="00DD3ACC">
            <w:pPr>
              <w:rPr>
                <w:rFonts w:eastAsia="MS Mincho"/>
              </w:rPr>
            </w:pPr>
            <w:r>
              <w:rPr>
                <w:rFonts w:eastAsia="MS Mincho"/>
              </w:rPr>
              <w:t>6/3/13</w:t>
            </w:r>
          </w:p>
          <w:p w:rsidR="004522D9" w:rsidRPr="007858A2" w:rsidRDefault="004522D9" w:rsidP="00DD3ACC">
            <w:pPr>
              <w:rPr>
                <w:rFonts w:eastAsia="MS Mincho"/>
              </w:rPr>
            </w:pPr>
            <w:r>
              <w:rPr>
                <w:rFonts w:eastAsia="MS Mincho"/>
              </w:rPr>
              <w:t>6/17/13</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A. Ortelli</w:t>
            </w:r>
            <w:r w:rsidR="003A0BEE">
              <w:rPr>
                <w:rFonts w:eastAsia="MS Mincho"/>
              </w:rPr>
              <w:t>,</w:t>
            </w:r>
            <w:r w:rsidRPr="007858A2">
              <w:rPr>
                <w:rFonts w:eastAsia="MS Mincho"/>
              </w:rPr>
              <w:t xml:space="preserve"> Stamford Family Wellness</w:t>
            </w:r>
          </w:p>
        </w:tc>
        <w:tc>
          <w:tcPr>
            <w:tcW w:w="2970" w:type="dxa"/>
            <w:shd w:val="clear" w:color="auto" w:fill="auto"/>
          </w:tcPr>
          <w:p w:rsidR="004522D9" w:rsidRPr="007858A2" w:rsidRDefault="004522D9" w:rsidP="00DD3ACC">
            <w:pPr>
              <w:rPr>
                <w:rFonts w:eastAsia="MS Mincho"/>
              </w:rPr>
            </w:pPr>
            <w:r w:rsidRPr="007858A2">
              <w:rPr>
                <w:rFonts w:eastAsia="MS Mincho"/>
              </w:rPr>
              <w:t>5/17/13</w:t>
            </w:r>
          </w:p>
          <w:p w:rsidR="004522D9" w:rsidRDefault="004522D9" w:rsidP="00DD3ACC">
            <w:pPr>
              <w:rPr>
                <w:rFonts w:eastAsia="MS Mincho"/>
              </w:rPr>
            </w:pPr>
            <w:r w:rsidRPr="007858A2">
              <w:rPr>
                <w:rFonts w:eastAsia="MS Mincho"/>
              </w:rPr>
              <w:t>5/20/13</w:t>
            </w:r>
          </w:p>
          <w:p w:rsidR="004522D9" w:rsidRDefault="004522D9" w:rsidP="00DD3ACC">
            <w:pPr>
              <w:rPr>
                <w:rFonts w:eastAsia="MS Mincho"/>
              </w:rPr>
            </w:pPr>
            <w:r>
              <w:rPr>
                <w:rFonts w:eastAsia="MS Mincho"/>
              </w:rPr>
              <w:t>10/1/13</w:t>
            </w:r>
          </w:p>
          <w:p w:rsidR="004522D9" w:rsidRDefault="004522D9" w:rsidP="00DD3ACC">
            <w:pPr>
              <w:rPr>
                <w:rFonts w:eastAsia="MS Mincho"/>
              </w:rPr>
            </w:pPr>
            <w:r>
              <w:rPr>
                <w:rFonts w:eastAsia="MS Mincho"/>
              </w:rPr>
              <w:t>11/18/13</w:t>
            </w:r>
          </w:p>
          <w:p w:rsidR="004522D9" w:rsidRPr="007858A2" w:rsidRDefault="004522D9" w:rsidP="00DD3ACC">
            <w:pPr>
              <w:rPr>
                <w:rFonts w:eastAsia="MS Mincho"/>
              </w:rPr>
            </w:pPr>
            <w:r>
              <w:rPr>
                <w:rFonts w:eastAsia="MS Mincho"/>
              </w:rPr>
              <w:t>11/25/13</w:t>
            </w:r>
          </w:p>
        </w:tc>
      </w:tr>
      <w:tr w:rsidR="004522D9" w:rsidRPr="009B0E04" w:rsidTr="00DD3ACC">
        <w:tc>
          <w:tcPr>
            <w:tcW w:w="6300" w:type="dxa"/>
            <w:shd w:val="clear" w:color="auto" w:fill="auto"/>
          </w:tcPr>
          <w:p w:rsidR="004522D9" w:rsidRPr="007858A2" w:rsidRDefault="004522D9" w:rsidP="00DD3ACC">
            <w:pPr>
              <w:rPr>
                <w:rFonts w:eastAsia="MS Mincho"/>
              </w:rPr>
            </w:pPr>
            <w:r w:rsidRPr="007858A2">
              <w:rPr>
                <w:rFonts w:eastAsia="MS Mincho"/>
              </w:rPr>
              <w:t>T. Edgil, Edgil Family Chiropractic</w:t>
            </w:r>
          </w:p>
        </w:tc>
        <w:tc>
          <w:tcPr>
            <w:tcW w:w="2970" w:type="dxa"/>
            <w:shd w:val="clear" w:color="auto" w:fill="auto"/>
          </w:tcPr>
          <w:p w:rsidR="004522D9" w:rsidRPr="007858A2" w:rsidRDefault="004522D9" w:rsidP="00DD3ACC">
            <w:pPr>
              <w:rPr>
                <w:rFonts w:eastAsia="MS Mincho"/>
              </w:rPr>
            </w:pPr>
            <w:r w:rsidRPr="007858A2">
              <w:rPr>
                <w:rFonts w:eastAsia="MS Mincho"/>
              </w:rPr>
              <w:t>5/29/13 (2 advertisements)</w:t>
            </w:r>
          </w:p>
        </w:tc>
      </w:tr>
      <w:tr w:rsidR="004522D9" w:rsidRPr="009B0E04" w:rsidTr="00DD3ACC">
        <w:tc>
          <w:tcPr>
            <w:tcW w:w="6300" w:type="dxa"/>
            <w:shd w:val="clear" w:color="auto" w:fill="auto"/>
          </w:tcPr>
          <w:p w:rsidR="004522D9" w:rsidRPr="007858A2" w:rsidRDefault="004522D9" w:rsidP="00DD3ACC">
            <w:pPr>
              <w:rPr>
                <w:rFonts w:eastAsia="MS Mincho"/>
              </w:rPr>
            </w:pPr>
            <w:r>
              <w:rPr>
                <w:rFonts w:eastAsia="MS Mincho"/>
              </w:rPr>
              <w:t>S. Sparks, Diaz Olson Physical Therapy and Sports Rehab</w:t>
            </w:r>
          </w:p>
        </w:tc>
        <w:tc>
          <w:tcPr>
            <w:tcW w:w="2970" w:type="dxa"/>
            <w:shd w:val="clear" w:color="auto" w:fill="auto"/>
          </w:tcPr>
          <w:p w:rsidR="004522D9" w:rsidRPr="007858A2" w:rsidRDefault="004522D9" w:rsidP="00DD3ACC">
            <w:pPr>
              <w:rPr>
                <w:rFonts w:eastAsia="MS Mincho"/>
              </w:rPr>
            </w:pPr>
            <w:r>
              <w:rPr>
                <w:rFonts w:eastAsia="MS Mincho"/>
              </w:rPr>
              <w:t>8/1/13</w:t>
            </w:r>
          </w:p>
        </w:tc>
      </w:tr>
      <w:tr w:rsidR="004522D9" w:rsidRPr="009B0E04" w:rsidTr="00DD3ACC">
        <w:tc>
          <w:tcPr>
            <w:tcW w:w="6300" w:type="dxa"/>
            <w:shd w:val="clear" w:color="auto" w:fill="auto"/>
          </w:tcPr>
          <w:p w:rsidR="004522D9" w:rsidRPr="007858A2" w:rsidRDefault="004522D9" w:rsidP="00DD3ACC">
            <w:pPr>
              <w:rPr>
                <w:rFonts w:eastAsia="MS Mincho"/>
              </w:rPr>
            </w:pPr>
            <w:r>
              <w:rPr>
                <w:rFonts w:eastAsia="MS Mincho"/>
              </w:rPr>
              <w:t>D. Radke, Radke Chiropractic Office</w:t>
            </w:r>
          </w:p>
        </w:tc>
        <w:tc>
          <w:tcPr>
            <w:tcW w:w="2970" w:type="dxa"/>
            <w:shd w:val="clear" w:color="auto" w:fill="auto"/>
          </w:tcPr>
          <w:p w:rsidR="004522D9" w:rsidRDefault="004522D9" w:rsidP="00DD3ACC">
            <w:pPr>
              <w:rPr>
                <w:rFonts w:eastAsia="MS Mincho"/>
              </w:rPr>
            </w:pPr>
            <w:r>
              <w:rPr>
                <w:rFonts w:eastAsia="MS Mincho"/>
              </w:rPr>
              <w:t>11/25/13 (2 advertisements)</w:t>
            </w:r>
          </w:p>
          <w:p w:rsidR="004522D9" w:rsidRPr="007858A2" w:rsidRDefault="004522D9" w:rsidP="00DD3ACC">
            <w:pPr>
              <w:rPr>
                <w:rFonts w:eastAsia="MS Mincho"/>
              </w:rPr>
            </w:pPr>
            <w:r>
              <w:rPr>
                <w:rFonts w:eastAsia="MS Mincho"/>
              </w:rPr>
              <w:t>12/16/13</w:t>
            </w:r>
          </w:p>
        </w:tc>
      </w:tr>
    </w:tbl>
    <w:p w:rsidR="00D04379" w:rsidRDefault="00D04379">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970"/>
      </w:tblGrid>
      <w:tr w:rsidR="004522D9" w:rsidRPr="009B0E04" w:rsidTr="00DD3ACC">
        <w:tc>
          <w:tcPr>
            <w:tcW w:w="6300" w:type="dxa"/>
            <w:shd w:val="clear" w:color="auto" w:fill="auto"/>
          </w:tcPr>
          <w:p w:rsidR="004522D9" w:rsidRDefault="004522D9" w:rsidP="00DD3ACC">
            <w:pPr>
              <w:rPr>
                <w:rFonts w:eastAsia="MS Mincho"/>
              </w:rPr>
            </w:pPr>
            <w:r>
              <w:rPr>
                <w:rFonts w:eastAsia="MS Mincho"/>
              </w:rPr>
              <w:t>R. Allred, Whidbey General Hospital Rehabilitation Services North</w:t>
            </w:r>
          </w:p>
        </w:tc>
        <w:tc>
          <w:tcPr>
            <w:tcW w:w="2970" w:type="dxa"/>
            <w:shd w:val="clear" w:color="auto" w:fill="auto"/>
          </w:tcPr>
          <w:p w:rsidR="004522D9" w:rsidRDefault="004522D9" w:rsidP="00DD3ACC">
            <w:pPr>
              <w:rPr>
                <w:rFonts w:eastAsia="MS Mincho"/>
              </w:rPr>
            </w:pPr>
            <w:r>
              <w:rPr>
                <w:rFonts w:eastAsia="MS Mincho"/>
              </w:rPr>
              <w:t>11/25/13</w:t>
            </w:r>
          </w:p>
          <w:p w:rsidR="004522D9" w:rsidRDefault="006B0ABD" w:rsidP="00DD3ACC">
            <w:pPr>
              <w:rPr>
                <w:rFonts w:eastAsia="MS Mincho"/>
              </w:rPr>
            </w:pPr>
            <w:r>
              <w:rPr>
                <w:rFonts w:eastAsia="MS Mincho"/>
              </w:rPr>
              <w:t>1/21/14</w:t>
            </w:r>
          </w:p>
        </w:tc>
      </w:tr>
      <w:tr w:rsidR="004522D9" w:rsidRPr="009B0E04" w:rsidTr="00DD3ACC">
        <w:tc>
          <w:tcPr>
            <w:tcW w:w="6300" w:type="dxa"/>
            <w:shd w:val="clear" w:color="auto" w:fill="auto"/>
          </w:tcPr>
          <w:p w:rsidR="004522D9" w:rsidRPr="007858A2" w:rsidRDefault="004522D9" w:rsidP="00DD3ACC">
            <w:pPr>
              <w:rPr>
                <w:rFonts w:eastAsia="MS Mincho"/>
              </w:rPr>
            </w:pPr>
            <w:r>
              <w:rPr>
                <w:rFonts w:eastAsia="MS Mincho"/>
              </w:rPr>
              <w:t>K. Oricchio, Adirondack Physical Therapy and Sports Rehabilitation</w:t>
            </w:r>
          </w:p>
        </w:tc>
        <w:tc>
          <w:tcPr>
            <w:tcW w:w="2970" w:type="dxa"/>
            <w:shd w:val="clear" w:color="auto" w:fill="auto"/>
          </w:tcPr>
          <w:p w:rsidR="004522D9" w:rsidRPr="007858A2" w:rsidRDefault="004522D9" w:rsidP="00DD3ACC">
            <w:pPr>
              <w:rPr>
                <w:rFonts w:eastAsia="MS Mincho"/>
              </w:rPr>
            </w:pPr>
            <w:r>
              <w:rPr>
                <w:rFonts w:eastAsia="MS Mincho"/>
              </w:rPr>
              <w:t>11/25/13</w:t>
            </w:r>
          </w:p>
        </w:tc>
      </w:tr>
    </w:tbl>
    <w:p w:rsidR="004522D9" w:rsidRDefault="004522D9" w:rsidP="004522D9">
      <w:pPr>
        <w:rPr>
          <w:b/>
        </w:rPr>
      </w:pPr>
    </w:p>
    <w:p w:rsidR="001762A6" w:rsidRDefault="001762A6" w:rsidP="004522D9">
      <w:pPr>
        <w:pStyle w:val="ParaNum"/>
        <w:widowControl/>
        <w:numPr>
          <w:ilvl w:val="0"/>
          <w:numId w:val="0"/>
        </w:numPr>
        <w:ind w:firstLine="720"/>
        <w:rPr>
          <w:b/>
        </w:rPr>
      </w:pPr>
    </w:p>
    <w:p w:rsidR="00810066" w:rsidRDefault="00810066" w:rsidP="001762A6">
      <w:pPr>
        <w:jc w:val="center"/>
        <w:rPr>
          <w:b/>
        </w:rPr>
        <w:sectPr w:rsidR="00810066" w:rsidSect="00810066">
          <w:footerReference w:type="default" r:id="rId15"/>
          <w:footerReference w:type="first" r:id="rId16"/>
          <w:footnotePr>
            <w:numRestart w:val="eachSect"/>
          </w:footnotePr>
          <w:pgSz w:w="12240" w:h="15840"/>
          <w:pgMar w:top="1440" w:right="1440" w:bottom="720" w:left="1440" w:header="720" w:footer="720" w:gutter="0"/>
          <w:cols w:space="720"/>
          <w:docGrid w:linePitch="299"/>
        </w:sectPr>
      </w:pPr>
    </w:p>
    <w:p w:rsidR="001762A6" w:rsidRDefault="001762A6" w:rsidP="001762A6">
      <w:pPr>
        <w:jc w:val="center"/>
        <w:rPr>
          <w:b/>
        </w:rPr>
      </w:pPr>
      <w:r>
        <w:rPr>
          <w:b/>
        </w:rPr>
        <w:t>APPENDIX B</w:t>
      </w:r>
    </w:p>
    <w:p w:rsidR="001762A6" w:rsidRDefault="001762A6" w:rsidP="001762A6">
      <w:pPr>
        <w:jc w:val="center"/>
        <w:rPr>
          <w:b/>
        </w:rPr>
      </w:pPr>
    </w:p>
    <w:p w:rsidR="001762A6" w:rsidRDefault="001762A6" w:rsidP="001762A6">
      <w:pPr>
        <w:jc w:val="center"/>
        <w:rPr>
          <w:b/>
        </w:rPr>
      </w:pPr>
      <w:r>
        <w:rPr>
          <w:b/>
        </w:rPr>
        <w:t>Examples of Faxes</w:t>
      </w:r>
      <w:r>
        <w:rPr>
          <w:rStyle w:val="FootnoteReference"/>
          <w:b/>
        </w:rPr>
        <w:footnoteReference w:id="68"/>
      </w:r>
    </w:p>
    <w:p w:rsidR="001762A6" w:rsidRDefault="0074740A" w:rsidP="001762A6">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pt;height:579.3pt">
            <v:imagedata r:id="rId17" o:title=""/>
          </v:shape>
        </w:pict>
      </w:r>
    </w:p>
    <w:p w:rsidR="001762A6" w:rsidRDefault="001762A6" w:rsidP="001762A6">
      <w:pPr>
        <w:jc w:val="center"/>
        <w:rPr>
          <w:b/>
        </w:rPr>
      </w:pPr>
      <w:r>
        <w:rPr>
          <w:b/>
        </w:rPr>
        <w:br w:type="page"/>
      </w:r>
      <w:r w:rsidR="0074740A">
        <w:rPr>
          <w:b/>
        </w:rPr>
        <w:pict>
          <v:shape id="_x0000_i1026" type="#_x0000_t75" style="width:450.5pt;height:625.55pt">
            <v:imagedata r:id="rId18" o:title=""/>
          </v:shape>
        </w:pict>
      </w:r>
    </w:p>
    <w:p w:rsidR="001762A6" w:rsidRDefault="001762A6" w:rsidP="001762A6">
      <w:pPr>
        <w:jc w:val="center"/>
        <w:rPr>
          <w:b/>
        </w:rPr>
      </w:pPr>
      <w:r>
        <w:rPr>
          <w:b/>
        </w:rPr>
        <w:br w:type="page"/>
      </w:r>
      <w:r w:rsidR="0074740A">
        <w:rPr>
          <w:b/>
        </w:rPr>
        <w:pict>
          <v:shape id="_x0000_i1027" type="#_x0000_t75" style="width:443.25pt;height:606.4pt">
            <v:imagedata r:id="rId19" o:title=""/>
          </v:shape>
        </w:pict>
      </w:r>
    </w:p>
    <w:p w:rsidR="00401748" w:rsidRDefault="00401748" w:rsidP="00401748">
      <w:pPr>
        <w:rPr>
          <w:b/>
        </w:rPr>
      </w:pPr>
    </w:p>
    <w:sectPr w:rsidR="00401748" w:rsidSect="00810066">
      <w:footnotePr>
        <w:numRestart w:val="eachSect"/>
      </w:footnotePr>
      <w:pgSz w:w="12240" w:h="15840"/>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5F" w:rsidRDefault="00DF0A5F">
      <w:r>
        <w:separator/>
      </w:r>
    </w:p>
  </w:endnote>
  <w:endnote w:type="continuationSeparator" w:id="0">
    <w:p w:rsidR="00DF0A5F" w:rsidRDefault="00DF0A5F">
      <w:r>
        <w:continuationSeparator/>
      </w:r>
    </w:p>
  </w:endnote>
  <w:endnote w:type="continuationNotice" w:id="1">
    <w:p w:rsidR="00DF0A5F" w:rsidRDefault="00DF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87" w:rsidRDefault="00287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48" w:rsidRDefault="0040174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8718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87" w:rsidRDefault="002871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66" w:rsidRDefault="0081006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C22D5">
      <w:rPr>
        <w:rStyle w:val="PageNumber"/>
        <w:noProof/>
      </w:rPr>
      <w:t>17</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66" w:rsidRDefault="00810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5F" w:rsidRDefault="00DF0A5F">
      <w:pPr>
        <w:rPr>
          <w:sz w:val="20"/>
        </w:rPr>
      </w:pPr>
      <w:r>
        <w:rPr>
          <w:sz w:val="20"/>
        </w:rPr>
        <w:separator/>
      </w:r>
    </w:p>
  </w:footnote>
  <w:footnote w:type="continuationSeparator" w:id="0">
    <w:p w:rsidR="00DF0A5F" w:rsidRDefault="00DF0A5F" w:rsidP="00810066">
      <w:pPr>
        <w:spacing w:before="120"/>
        <w:rPr>
          <w:sz w:val="20"/>
        </w:rPr>
      </w:pPr>
      <w:r>
        <w:rPr>
          <w:sz w:val="20"/>
        </w:rPr>
        <w:t xml:space="preserve"> (Continued from previous page…)</w:t>
      </w:r>
      <w:r>
        <w:rPr>
          <w:sz w:val="20"/>
        </w:rPr>
        <w:separator/>
      </w:r>
    </w:p>
  </w:footnote>
  <w:footnote w:type="continuationNotice" w:id="1">
    <w:p w:rsidR="00DF0A5F" w:rsidRDefault="00DF0A5F">
      <w:pPr>
        <w:jc w:val="right"/>
        <w:rPr>
          <w:sz w:val="20"/>
        </w:rPr>
      </w:pPr>
      <w:r>
        <w:rPr>
          <w:sz w:val="20"/>
        </w:rPr>
        <w:t>(continued....)</w:t>
      </w:r>
    </w:p>
  </w:footnote>
  <w:footnote w:id="2">
    <w:p w:rsidR="00401748" w:rsidRPr="00A14FFD" w:rsidRDefault="00401748" w:rsidP="00D05035">
      <w:pPr>
        <w:pStyle w:val="FootnoteText"/>
      </w:pPr>
      <w:r w:rsidRPr="00A14FFD">
        <w:rPr>
          <w:rStyle w:val="FootnoteReference"/>
        </w:rPr>
        <w:footnoteRef/>
      </w:r>
      <w:r w:rsidRPr="00A14FFD">
        <w:t xml:space="preserve"> </w:t>
      </w:r>
      <w:r w:rsidRPr="00A14FFD">
        <w:rPr>
          <w:i/>
          <w:color w:val="000000"/>
        </w:rPr>
        <w:t>See</w:t>
      </w:r>
      <w:r w:rsidRPr="00A14FFD">
        <w:rPr>
          <w:color w:val="000000"/>
        </w:rPr>
        <w:t xml:space="preserve"> </w:t>
      </w:r>
      <w:hyperlink r:id="rId1" w:tgtFrame="_top" w:history="1">
        <w:r w:rsidRPr="00A14FFD">
          <w:t>47 U.S.C. §</w:t>
        </w:r>
      </w:hyperlink>
      <w:r w:rsidRPr="00A14FFD">
        <w:t xml:space="preserve"> </w:t>
      </w:r>
      <w:hyperlink r:id="rId2" w:tgtFrame="_top" w:history="1">
        <w:r w:rsidRPr="00A14FFD">
          <w:t>227(b)(1)(C)</w:t>
        </w:r>
      </w:hyperlink>
      <w:r w:rsidRPr="00A14FFD">
        <w:t xml:space="preserve">; </w:t>
      </w:r>
      <w:hyperlink r:id="rId3" w:tgtFrame="_top" w:history="1">
        <w:r w:rsidRPr="00A14FFD">
          <w:t>47 C.F.R. § 64.1200(a)(4)</w:t>
        </w:r>
      </w:hyperlink>
      <w:r w:rsidRPr="00A14FFD">
        <w:t xml:space="preserve">.    </w:t>
      </w:r>
    </w:p>
  </w:footnote>
  <w:footnote w:id="3">
    <w:p w:rsidR="00401748" w:rsidRPr="00A14FFD" w:rsidRDefault="00401748" w:rsidP="00D05035">
      <w:pPr>
        <w:pStyle w:val="FootnoteText"/>
      </w:pPr>
      <w:r w:rsidRPr="00A14FFD">
        <w:rPr>
          <w:rStyle w:val="FootnoteReference"/>
        </w:rPr>
        <w:footnoteRef/>
      </w:r>
      <w:r w:rsidRPr="00A14FFD">
        <w:t xml:space="preserve"> Telephone Consumer Protection Act of 1991, Pub. L. No. 102-243, 105 Stat. 2394 (1991) (codified at</w:t>
      </w:r>
      <w:r w:rsidRPr="00A14FFD">
        <w:rPr>
          <w:i/>
        </w:rPr>
        <w:t xml:space="preserve"> </w:t>
      </w:r>
      <w:r w:rsidRPr="00A14FFD">
        <w:t>47 U.S.C.</w:t>
      </w:r>
      <w:r>
        <w:br/>
      </w:r>
      <w:r w:rsidRPr="00A14FFD">
        <w:t xml:space="preserve">§ 227).  </w:t>
      </w:r>
      <w:r w:rsidRPr="00A14FFD">
        <w:rPr>
          <w:i/>
        </w:rPr>
        <w:t xml:space="preserve">See also </w:t>
      </w:r>
      <w:r w:rsidRPr="00A14FFD">
        <w:t xml:space="preserve">Junk Fax Prevention Act of 2005, Pub. L. No. 109-21, 119 Stat. 359 (2005). </w:t>
      </w:r>
    </w:p>
  </w:footnote>
  <w:footnote w:id="4">
    <w:p w:rsidR="00401748" w:rsidRPr="00A14FFD" w:rsidRDefault="00401748" w:rsidP="00D05035">
      <w:pPr>
        <w:pStyle w:val="FootnoteText"/>
      </w:pPr>
      <w:r w:rsidRPr="00A14FFD">
        <w:rPr>
          <w:rStyle w:val="FootnoteReference"/>
        </w:rPr>
        <w:footnoteRef/>
      </w:r>
      <w:r w:rsidRPr="00A14FFD">
        <w:t xml:space="preserve"> 47 U.S.C. § 227(b)(1)(C); </w:t>
      </w:r>
      <w:r w:rsidRPr="00A14FFD">
        <w:rPr>
          <w:i/>
        </w:rPr>
        <w:t xml:space="preserve">see also </w:t>
      </w:r>
      <w:r w:rsidRPr="00A14FFD">
        <w:t xml:space="preserve">47 C.F.R. § 64.1200(a)(4).  </w:t>
      </w:r>
    </w:p>
  </w:footnote>
  <w:footnote w:id="5">
    <w:p w:rsidR="00401748" w:rsidRPr="00A14FFD" w:rsidRDefault="00401748" w:rsidP="00D05035">
      <w:pPr>
        <w:pStyle w:val="FootnoteText"/>
      </w:pPr>
      <w:r w:rsidRPr="00A14FFD">
        <w:rPr>
          <w:rStyle w:val="FootnoteReference"/>
        </w:rPr>
        <w:footnoteRef/>
      </w:r>
      <w:r w:rsidRPr="00A14FFD">
        <w:t xml:space="preserve"> 47 U.S.C. § 227(a)(5); 47 C.F.R. § 64.1200(f)(15). </w:t>
      </w:r>
    </w:p>
  </w:footnote>
  <w:footnote w:id="6">
    <w:p w:rsidR="00401748" w:rsidRPr="00A14FFD" w:rsidRDefault="00401748" w:rsidP="00D05035">
      <w:pPr>
        <w:pStyle w:val="FootnoteText"/>
      </w:pPr>
      <w:r w:rsidRPr="00A14FFD">
        <w:rPr>
          <w:rStyle w:val="FootnoteReference"/>
        </w:rPr>
        <w:footnoteRef/>
      </w:r>
      <w:r w:rsidRPr="00A14FFD">
        <w:t xml:space="preserve"> For purposes of faxing, an established business relationship is defined as “a prior or existing relationship formed by a voluntary two-way communication between a person or entity and a business or residential [telephone] subscriber with or without an exchange of consideration, on the basis of an inquiry, application, purchase or transaction by the business or residential subscriber regarding products or services offered by such person or entity, which relationship has not been previously terminated by either party.” </w:t>
      </w:r>
      <w:r w:rsidR="007A0C97">
        <w:t xml:space="preserve"> </w:t>
      </w:r>
      <w:r w:rsidRPr="00A14FFD">
        <w:t xml:space="preserve">47 C.F.R. </w:t>
      </w:r>
      <w:r w:rsidR="00511943" w:rsidRPr="00A14FFD">
        <w:t>§</w:t>
      </w:r>
      <w:r w:rsidR="00511943">
        <w:t xml:space="preserve"> </w:t>
      </w:r>
      <w:r w:rsidRPr="00A14FFD">
        <w:t xml:space="preserve">64.1200(f)(6); </w:t>
      </w:r>
      <w:r w:rsidRPr="00A14FFD">
        <w:rPr>
          <w:i/>
        </w:rPr>
        <w:t xml:space="preserve">see also </w:t>
      </w:r>
      <w:r w:rsidRPr="00A14FFD">
        <w:t xml:space="preserve">47 U.S.C. § 227(a)(2); </w:t>
      </w:r>
      <w:r w:rsidR="003969A9">
        <w:rPr>
          <w:i/>
        </w:rPr>
        <w:t>Rules and Regulations Implementing the Telephone Consumer Protection Act of 1991</w:t>
      </w:r>
      <w:r w:rsidR="003969A9">
        <w:t>, Report and Order and Third Order on Reconsideration,</w:t>
      </w:r>
      <w:r w:rsidRPr="00A14FFD">
        <w:rPr>
          <w:i/>
        </w:rPr>
        <w:t xml:space="preserve"> </w:t>
      </w:r>
      <w:r w:rsidRPr="00A14FFD">
        <w:t xml:space="preserve">21 FCC Rcd </w:t>
      </w:r>
      <w:r w:rsidR="003969A9">
        <w:t>3787,</w:t>
      </w:r>
      <w:r w:rsidRPr="00A14FFD">
        <w:t xml:space="preserve"> 3797</w:t>
      </w:r>
      <w:r w:rsidR="005B05DA">
        <w:t>–</w:t>
      </w:r>
      <w:r w:rsidRPr="00A14FFD">
        <w:t>99, para</w:t>
      </w:r>
      <w:r w:rsidR="00A3583E">
        <w:t>s</w:t>
      </w:r>
      <w:r w:rsidRPr="00A14FFD">
        <w:t>. 18</w:t>
      </w:r>
      <w:r w:rsidR="00A3583E">
        <w:t>–20</w:t>
      </w:r>
      <w:r w:rsidR="003969A9">
        <w:t xml:space="preserve"> (2006)</w:t>
      </w:r>
      <w:r w:rsidR="00D51F2B">
        <w:t xml:space="preserve"> (</w:t>
      </w:r>
      <w:r w:rsidR="00D51F2B">
        <w:rPr>
          <w:i/>
        </w:rPr>
        <w:t>Junk Fax Prevention Act R&amp;O</w:t>
      </w:r>
      <w:r w:rsidR="00D51F2B" w:rsidRPr="00EC7DF8">
        <w:t>)</w:t>
      </w:r>
      <w:r w:rsidR="003969A9">
        <w:t xml:space="preserve">, </w:t>
      </w:r>
      <w:r w:rsidR="003969A9">
        <w:rPr>
          <w:i/>
        </w:rPr>
        <w:t>modified on other grounds</w:t>
      </w:r>
      <w:r w:rsidR="003969A9">
        <w:t>, 23 FCC Rcd 15059 (2008)</w:t>
      </w:r>
      <w:r w:rsidRPr="00A14FFD">
        <w:t>.</w:t>
      </w:r>
    </w:p>
  </w:footnote>
  <w:footnote w:id="7">
    <w:p w:rsidR="00401748" w:rsidRPr="00A14FFD" w:rsidRDefault="00401748" w:rsidP="00D05035">
      <w:pPr>
        <w:pStyle w:val="FootnoteText"/>
      </w:pPr>
      <w:r w:rsidRPr="00A14FFD">
        <w:rPr>
          <w:rStyle w:val="FootnoteReference"/>
        </w:rPr>
        <w:footnoteRef/>
      </w:r>
      <w:r w:rsidRPr="00A14FFD">
        <w:t xml:space="preserve"> 47 U.S.C. § 227(b)(1)(C)(ii); 47 C.F.R. § 64.1200(a)(4)(ii).</w:t>
      </w:r>
    </w:p>
  </w:footnote>
  <w:footnote w:id="8">
    <w:p w:rsidR="00401748" w:rsidRPr="00A14FFD" w:rsidRDefault="00401748" w:rsidP="00D05035">
      <w:pPr>
        <w:pStyle w:val="FootnoteText"/>
      </w:pPr>
      <w:r w:rsidRPr="00A14FFD">
        <w:rPr>
          <w:rStyle w:val="FootnoteReference"/>
        </w:rPr>
        <w:footnoteRef/>
      </w:r>
      <w:r w:rsidRPr="00A14FFD">
        <w:t xml:space="preserve"> 47 U.S.C. § 227(b)(1)(C)(iii); 47 C.F.R. § 64.1200(a)(4)(iii).</w:t>
      </w:r>
    </w:p>
  </w:footnote>
  <w:footnote w:id="9">
    <w:p w:rsidR="00401748" w:rsidRPr="00A14FFD" w:rsidRDefault="00401748" w:rsidP="00D05035">
      <w:pPr>
        <w:pStyle w:val="FootnoteText"/>
      </w:pPr>
      <w:r w:rsidRPr="00A14FFD">
        <w:rPr>
          <w:rStyle w:val="FootnoteReference"/>
        </w:rPr>
        <w:footnoteRef/>
      </w:r>
      <w:r w:rsidRPr="00A14FFD">
        <w:t xml:space="preserve"> 47 C.F.R. § 64.1200(a)(4)(v</w:t>
      </w:r>
      <w:r w:rsidR="00421932">
        <w:t>i</w:t>
      </w:r>
      <w:r w:rsidRPr="00A14FFD">
        <w:t xml:space="preserve">).  </w:t>
      </w:r>
    </w:p>
  </w:footnote>
  <w:footnote w:id="10">
    <w:p w:rsidR="00401748" w:rsidRPr="00360680" w:rsidRDefault="00401748" w:rsidP="00D05035">
      <w:pPr>
        <w:pStyle w:val="FootnoteText"/>
      </w:pPr>
      <w:r>
        <w:rPr>
          <w:rStyle w:val="FootnoteReference"/>
        </w:rPr>
        <w:footnoteRef/>
      </w:r>
      <w:r>
        <w:t xml:space="preserve"> 47 U.S.C. § 227(b)(1)(C)(iii)</w:t>
      </w:r>
      <w:r w:rsidR="00421932">
        <w:t xml:space="preserve">; 47 C.F.R. § </w:t>
      </w:r>
      <w:r w:rsidR="004214E7">
        <w:t>6</w:t>
      </w:r>
      <w:r w:rsidR="00421932">
        <w:t>4.1200(a)(4)</w:t>
      </w:r>
      <w:r>
        <w:t xml:space="preserve">.  </w:t>
      </w:r>
    </w:p>
  </w:footnote>
  <w:footnote w:id="11">
    <w:p w:rsidR="00401748" w:rsidRPr="00342E54" w:rsidRDefault="00401748" w:rsidP="00D05035">
      <w:pPr>
        <w:pStyle w:val="FootnoteText"/>
      </w:pPr>
      <w:r w:rsidRPr="00342E54">
        <w:rPr>
          <w:rStyle w:val="FootnoteReference"/>
        </w:rPr>
        <w:footnoteRef/>
      </w:r>
      <w:r w:rsidRPr="00342E54">
        <w:t xml:space="preserve"> 47 C.F.R. § 64.1200(a)(4)(iii)(D) and (E); </w:t>
      </w:r>
      <w:r w:rsidRPr="00342E54">
        <w:rPr>
          <w:i/>
        </w:rPr>
        <w:t xml:space="preserve">see also </w:t>
      </w:r>
      <w:r w:rsidRPr="00342E54">
        <w:t>47 U.S.C. § 227(b)(2)(D)(iv)(I).</w:t>
      </w:r>
      <w:r>
        <w:t xml:space="preserve">  </w:t>
      </w:r>
      <w:r w:rsidRPr="00D17CEE">
        <w:t xml:space="preserve">If neither the required telephone number nor facsimile machine number is toll-free, a separate cost-free mechanism such as a </w:t>
      </w:r>
      <w:r w:rsidR="00511943">
        <w:t>w</w:t>
      </w:r>
      <w:r w:rsidRPr="00D17CEE">
        <w:t xml:space="preserve">ebsite or </w:t>
      </w:r>
      <w:r w:rsidRPr="00D17CEE">
        <w:br/>
        <w:t>e-mail address must be available for a recipient to transmit an opt-out request.  47 C.F.R. § 64.1200(a)(4)(iii)(D)(2); 47 U.S.C. § 227(b)(2)(D)(iv)(II).</w:t>
      </w:r>
    </w:p>
  </w:footnote>
  <w:footnote w:id="12">
    <w:p w:rsidR="00401748" w:rsidRPr="00342E54" w:rsidRDefault="00401748" w:rsidP="00D05035">
      <w:pPr>
        <w:pStyle w:val="FootnoteText"/>
      </w:pPr>
      <w:r w:rsidRPr="00342E54">
        <w:rPr>
          <w:rStyle w:val="FootnoteReference"/>
        </w:rPr>
        <w:footnoteRef/>
      </w:r>
      <w:r w:rsidRPr="00342E54">
        <w:t xml:space="preserve"> </w:t>
      </w:r>
      <w:r w:rsidRPr="005D2A0C">
        <w:t xml:space="preserve">47 C.F.R. § 64.1200(a)(4)(vi); </w:t>
      </w:r>
      <w:r w:rsidRPr="005D2A0C">
        <w:rPr>
          <w:i/>
        </w:rPr>
        <w:t>see also</w:t>
      </w:r>
      <w:r w:rsidRPr="005D2A0C">
        <w:t xml:space="preserve"> 47 U.S.C. § 227(b)(2)(D)(ii).  The opt-out notice must state that failure to honor a</w:t>
      </w:r>
      <w:r>
        <w:t>n</w:t>
      </w:r>
      <w:r w:rsidRPr="005D2A0C">
        <w:t xml:space="preserve"> opt-out request within 30 days is unlawful</w:t>
      </w:r>
      <w:r>
        <w:t xml:space="preserve">.  </w:t>
      </w:r>
      <w:r w:rsidRPr="005D2A0C">
        <w:t xml:space="preserve">47 C.F.R. § 64.1200(a)(4)(iii)(B); </w:t>
      </w:r>
      <w:r w:rsidRPr="005D2A0C">
        <w:rPr>
          <w:i/>
        </w:rPr>
        <w:t xml:space="preserve">see also </w:t>
      </w:r>
      <w:r w:rsidRPr="005D2A0C">
        <w:t xml:space="preserve">47 U.S.C. </w:t>
      </w:r>
      <w:r>
        <w:br/>
      </w:r>
      <w:r w:rsidRPr="005D2A0C">
        <w:t>§ 227(b)(2)(D)(ii).</w:t>
      </w:r>
    </w:p>
  </w:footnote>
  <w:footnote w:id="13">
    <w:p w:rsidR="00401748" w:rsidRPr="00342E54" w:rsidRDefault="00401748" w:rsidP="00D05035">
      <w:pPr>
        <w:pStyle w:val="FootnoteText"/>
      </w:pPr>
      <w:r w:rsidRPr="00342E54">
        <w:rPr>
          <w:rStyle w:val="FootnoteReference"/>
        </w:rPr>
        <w:footnoteRef/>
      </w:r>
      <w:r w:rsidRPr="00342E54">
        <w:t xml:space="preserve"> </w:t>
      </w:r>
      <w:r w:rsidRPr="00342E54">
        <w:rPr>
          <w:rStyle w:val="FooterChar1"/>
          <w:i/>
          <w:sz w:val="20"/>
        </w:rPr>
        <w:t>See</w:t>
      </w:r>
      <w:r w:rsidRPr="00342E54">
        <w:rPr>
          <w:rStyle w:val="FooterChar1"/>
          <w:sz w:val="20"/>
        </w:rPr>
        <w:t xml:space="preserve"> 47 C.F.R. § 64.1200(a)(4)(vi); </w:t>
      </w:r>
      <w:r>
        <w:rPr>
          <w:rStyle w:val="FooterChar1"/>
          <w:i/>
          <w:sz w:val="20"/>
        </w:rPr>
        <w:t>Junk Fax Prevention Act R&amp;O</w:t>
      </w:r>
      <w:r w:rsidRPr="00342E54">
        <w:rPr>
          <w:rStyle w:val="FooterChar1"/>
          <w:sz w:val="20"/>
        </w:rPr>
        <w:t>, 21 FCC Rcd at 3806, para. 35.</w:t>
      </w:r>
    </w:p>
  </w:footnote>
  <w:footnote w:id="14">
    <w:p w:rsidR="00164C8D" w:rsidRPr="00A14FFD" w:rsidRDefault="00164C8D" w:rsidP="00164C8D">
      <w:pPr>
        <w:pStyle w:val="FootnoteText"/>
      </w:pPr>
      <w:r w:rsidRPr="00A14FFD">
        <w:rPr>
          <w:rStyle w:val="FootnoteReference"/>
        </w:rPr>
        <w:footnoteRef/>
      </w:r>
      <w:r w:rsidRPr="00A14FFD">
        <w:t xml:space="preserve"> Citation from Richard A. Hindman, Chief, Telecommunications Consumers Division, FCC Enforcement Bureau, to Somaticare, Inc. aka DSM Supply, LLC and DSM Supply, LLC aka Somaticare, Inc. (Dec. 20, 201</w:t>
      </w:r>
      <w:r w:rsidR="00A3583E">
        <w:t>1</w:t>
      </w:r>
      <w:r w:rsidRPr="00A14FFD">
        <w:t>) (on file in EB-TCD-12-00001013)</w:t>
      </w:r>
      <w:r>
        <w:t xml:space="preserve"> (Somaticare/DSM Citation)</w:t>
      </w:r>
      <w:r w:rsidRPr="00A14FFD">
        <w:t xml:space="preserve">.  The citation was addressed to both DSM and Somaticare, and directed to the attention of Mr. Malcolm.  It expressly warned that future violations of the Act and the Commission’s rules governing telephone solicitations and unsolicited advertisements “may subject you and your company to monetary forfeitures.” </w:t>
      </w:r>
      <w:r>
        <w:t xml:space="preserve"> </w:t>
      </w:r>
      <w:r w:rsidRPr="00A14FFD">
        <w:rPr>
          <w:i/>
        </w:rPr>
        <w:t>Id</w:t>
      </w:r>
      <w:r w:rsidRPr="00A14FFD">
        <w:t xml:space="preserve">.  </w:t>
      </w:r>
      <w:r w:rsidRPr="00A14FFD">
        <w:rPr>
          <w:i/>
        </w:rPr>
        <w:t xml:space="preserve"> </w:t>
      </w:r>
      <w:r w:rsidRPr="00A14FFD">
        <w:t xml:space="preserve"> </w:t>
      </w:r>
    </w:p>
  </w:footnote>
  <w:footnote w:id="15">
    <w:p w:rsidR="00401748" w:rsidRPr="00A14FFD" w:rsidRDefault="00401748" w:rsidP="00D05035">
      <w:pPr>
        <w:pStyle w:val="FootnoteText"/>
      </w:pPr>
      <w:r w:rsidRPr="00A14FFD">
        <w:rPr>
          <w:rStyle w:val="FootnoteReference"/>
        </w:rPr>
        <w:footnoteRef/>
      </w:r>
      <w:r w:rsidRPr="00A14FFD">
        <w:t xml:space="preserve"> </w:t>
      </w:r>
      <w:bookmarkStart w:id="1" w:name="SDU_12"/>
      <w:bookmarkEnd w:id="1"/>
      <w:r w:rsidRPr="00A14FFD">
        <w:t xml:space="preserve">47 U.S.C. § 503(b)(5) (requiring the Commission to issue a citation of the violation charged, prior to a notice of possible forfeiture or determination of a forfeiture, against a person who does not hold a license, permit, certificate or other authorization issued by the Commission, who is not an applicant for any such instrumentality, or who is not engaged in any activities for which such instrumentality is necessary).   </w:t>
      </w:r>
    </w:p>
  </w:footnote>
  <w:footnote w:id="16">
    <w:p w:rsidR="00401748" w:rsidRPr="00A14FFD" w:rsidRDefault="00401748" w:rsidP="00AA7806">
      <w:pPr>
        <w:pStyle w:val="FootnoteText"/>
      </w:pPr>
      <w:r w:rsidRPr="00A14FFD">
        <w:rPr>
          <w:rStyle w:val="FootnoteReference"/>
        </w:rPr>
        <w:footnoteRef/>
      </w:r>
      <w:r w:rsidRPr="00A14FFD">
        <w:t xml:space="preserve"> </w:t>
      </w:r>
      <w:r w:rsidR="00084BE1">
        <w:t xml:space="preserve">The </w:t>
      </w:r>
      <w:r w:rsidRPr="00A14FFD">
        <w:t xml:space="preserve">DSM </w:t>
      </w:r>
      <w:r w:rsidR="00084BE1">
        <w:t xml:space="preserve">parties </w:t>
      </w:r>
      <w:r w:rsidRPr="00A14FFD">
        <w:t xml:space="preserve">acknowledged receipt of the citation, as evidenced by a signed United States Postal Service return receipt, Article Number 7009 0080 0000 6070 2476 (Somaticare, Inc. aka DSM Supply, LLC, Attn: Scott Malcolm, President/Owner, 1187 Judd Court, Suite 104, Dallas, TX 75243).  </w:t>
      </w:r>
    </w:p>
  </w:footnote>
  <w:footnote w:id="17">
    <w:p w:rsidR="00777312" w:rsidRPr="00A14FFD" w:rsidRDefault="00777312" w:rsidP="00777312">
      <w:pPr>
        <w:pStyle w:val="ParaNum"/>
        <w:widowControl/>
        <w:numPr>
          <w:ilvl w:val="0"/>
          <w:numId w:val="0"/>
        </w:numPr>
        <w:tabs>
          <w:tab w:val="num" w:pos="1440"/>
        </w:tabs>
        <w:rPr>
          <w:sz w:val="20"/>
        </w:rPr>
      </w:pPr>
      <w:r w:rsidRPr="00A14FFD">
        <w:rPr>
          <w:rStyle w:val="FootnoteReference"/>
        </w:rPr>
        <w:footnoteRef/>
      </w:r>
      <w:r>
        <w:rPr>
          <w:sz w:val="20"/>
        </w:rPr>
        <w:t xml:space="preserve"> </w:t>
      </w:r>
      <w:r w:rsidR="00A3583E">
        <w:rPr>
          <w:i/>
          <w:sz w:val="20"/>
        </w:rPr>
        <w:t>See</w:t>
      </w:r>
      <w:r w:rsidR="00A3583E">
        <w:rPr>
          <w:sz w:val="20"/>
        </w:rPr>
        <w:t xml:space="preserve"> </w:t>
      </w:r>
      <w:r w:rsidRPr="00A14FFD">
        <w:rPr>
          <w:sz w:val="20"/>
        </w:rPr>
        <w:t xml:space="preserve">FCC Form 1088A—Junk Fax Complaint from </w:t>
      </w:r>
      <w:r>
        <w:rPr>
          <w:sz w:val="20"/>
        </w:rPr>
        <w:t>R. LaFreniere</w:t>
      </w:r>
      <w:r w:rsidRPr="00A14FFD">
        <w:rPr>
          <w:sz w:val="20"/>
        </w:rPr>
        <w:t xml:space="preserve"> (</w:t>
      </w:r>
      <w:r>
        <w:rPr>
          <w:sz w:val="20"/>
        </w:rPr>
        <w:t>May 13</w:t>
      </w:r>
      <w:r w:rsidRPr="00A14FFD">
        <w:rPr>
          <w:sz w:val="20"/>
        </w:rPr>
        <w:t>, 2013) (LaFreniere Complaint)</w:t>
      </w:r>
      <w:r>
        <w:rPr>
          <w:sz w:val="20"/>
        </w:rPr>
        <w:t>;</w:t>
      </w:r>
      <w:r w:rsidRPr="00A14FFD">
        <w:rPr>
          <w:sz w:val="20"/>
        </w:rPr>
        <w:t xml:space="preserve"> FCC Form 1088A—Junk Fax Complaint from </w:t>
      </w:r>
      <w:r>
        <w:rPr>
          <w:sz w:val="20"/>
        </w:rPr>
        <w:t>D. Radke (Dec. 18, 2013) (December Radke Complaint)</w:t>
      </w:r>
      <w:r w:rsidR="00A3583E">
        <w:rPr>
          <w:sz w:val="20"/>
        </w:rPr>
        <w:t>; FCC Form 1088A—Junk Fax Complaint from J. Cain (June 20, 2013) (Cain Compliant)</w:t>
      </w:r>
      <w:r>
        <w:rPr>
          <w:sz w:val="20"/>
        </w:rPr>
        <w:t>.</w:t>
      </w:r>
    </w:p>
  </w:footnote>
  <w:footnote w:id="18">
    <w:p w:rsidR="00777312" w:rsidRDefault="00777312" w:rsidP="00905449">
      <w:pPr>
        <w:pStyle w:val="FootnoteText"/>
      </w:pPr>
      <w:r>
        <w:rPr>
          <w:rStyle w:val="FootnoteReference"/>
        </w:rPr>
        <w:footnoteRef/>
      </w:r>
      <w:r>
        <w:t xml:space="preserve"> </w:t>
      </w:r>
      <w:r w:rsidR="001667D3">
        <w:rPr>
          <w:i/>
        </w:rPr>
        <w:t xml:space="preserve">See </w:t>
      </w:r>
      <w:r w:rsidR="001667D3">
        <w:t>47 U.S.C. § 227(b)(1)(C)(iii); 47 C.F.R. § 64.1200(a)(4)(i)–(iii)</w:t>
      </w:r>
      <w:r>
        <w:t>.</w:t>
      </w:r>
    </w:p>
  </w:footnote>
  <w:footnote w:id="19">
    <w:p w:rsidR="00401748" w:rsidRDefault="00401748" w:rsidP="00D05035">
      <w:pPr>
        <w:pStyle w:val="FootnoteText"/>
      </w:pPr>
      <w:r>
        <w:rPr>
          <w:rStyle w:val="FootnoteReference"/>
        </w:rPr>
        <w:footnoteRef/>
      </w:r>
      <w:r>
        <w:t xml:space="preserve"> December Radke Complaint (“Repeatedly requested removal from their fax list, by fax, and phone.  Continued faxes despite their promises to remove—this has been going on for several years.”); </w:t>
      </w:r>
      <w:r w:rsidRPr="00A14FFD">
        <w:t xml:space="preserve">FCC Form 1088A—Junk Fax Complaint from </w:t>
      </w:r>
      <w:r>
        <w:t xml:space="preserve">D. Radke (Nov. 25, 2013) (November Radke Complaint) (“Have requested MULTIPLE times to be removed from fax and phone solicitations, over the past several years.”).  </w:t>
      </w:r>
      <w:r w:rsidR="001667D3">
        <w:t>The other consumers who did business with DSM both reported having made do-not-fax requests, but were unable to provide a time frame for those requests to demonstrate that they were made at least 30 days prior to receipt of a subsequent DSM fax advertisement.  LaFreniere Complaint (reporting do-not-fax requests “on no less than 3 occasions”); Cain Complaint (reporting “multiple” do-not-fax requests).</w:t>
      </w:r>
    </w:p>
  </w:footnote>
  <w:footnote w:id="20">
    <w:p w:rsidR="007B69C8" w:rsidRPr="000D1EC1" w:rsidRDefault="007B69C8" w:rsidP="00774AD1">
      <w:pPr>
        <w:pStyle w:val="FootnoteText"/>
      </w:pPr>
      <w:r>
        <w:rPr>
          <w:rStyle w:val="FootnoteReference"/>
        </w:rPr>
        <w:footnoteRef/>
      </w:r>
      <w:r>
        <w:t xml:space="preserve"> Fax senders must honor opt-out requests within the shortest reasonable time, not to exceed 30 days, and are expressly prohibited from sending unsolicited advertisements to any party who has made a valid opt-out request unless that party subsequently provides to the sender prior express invitation or permission to deliver a fax advertisement.  47 C.F.R. §</w:t>
      </w:r>
      <w:r w:rsidR="000D1EC1">
        <w:t xml:space="preserve"> 64.1200(a)(4)(vi).</w:t>
      </w:r>
    </w:p>
  </w:footnote>
  <w:footnote w:id="21">
    <w:p w:rsidR="00F743E7" w:rsidRPr="00F743E7" w:rsidRDefault="00F743E7" w:rsidP="00645DC4">
      <w:pPr>
        <w:pStyle w:val="FootnoteText"/>
      </w:pPr>
      <w:r>
        <w:rPr>
          <w:rStyle w:val="FootnoteReference"/>
        </w:rPr>
        <w:footnoteRef/>
      </w:r>
      <w:r>
        <w:t xml:space="preserve"> As noted below, both the voice and facsimile numbers displayed for DSM on the fax advertisements belong to Somaticare.  </w:t>
      </w:r>
      <w:r>
        <w:rPr>
          <w:i/>
        </w:rPr>
        <w:t xml:space="preserve">See infra </w:t>
      </w:r>
      <w:r w:rsidR="001762A6">
        <w:t>para</w:t>
      </w:r>
      <w:r w:rsidR="008A3E89">
        <w:t>.</w:t>
      </w:r>
      <w:r w:rsidR="001762A6">
        <w:t xml:space="preserve"> </w:t>
      </w:r>
      <w:r w:rsidR="00D0211C">
        <w:t>18</w:t>
      </w:r>
      <w:r w:rsidR="00FF2144">
        <w:t>.</w:t>
      </w:r>
    </w:p>
  </w:footnote>
  <w:footnote w:id="22">
    <w:p w:rsidR="00401748" w:rsidRDefault="00401748" w:rsidP="00D05035">
      <w:pPr>
        <w:pStyle w:val="FootnoteText"/>
      </w:pPr>
      <w:r>
        <w:rPr>
          <w:rStyle w:val="FootnoteReference"/>
        </w:rPr>
        <w:footnoteRef/>
      </w:r>
      <w:r>
        <w:t xml:space="preserve"> </w:t>
      </w:r>
      <w:r>
        <w:rPr>
          <w:i/>
        </w:rPr>
        <w:t>See, e.g.</w:t>
      </w:r>
      <w:r w:rsidRPr="00905449">
        <w:t>,</w:t>
      </w:r>
      <w:r>
        <w:rPr>
          <w:i/>
        </w:rPr>
        <w:t xml:space="preserve"> </w:t>
      </w:r>
      <w:r w:rsidRPr="00A14FFD">
        <w:t xml:space="preserve">FCC Form 1088A—Junk Fax Complaint from </w:t>
      </w:r>
      <w:r w:rsidRPr="00695BF9">
        <w:t xml:space="preserve">M. Servant (Mar. 22, 2013) (Servant Complaint) (“Have contacted DSM multiple times over the past year to ask to have my fax # removed from their list.  After a few weeks, the faxes resume.”); </w:t>
      </w:r>
      <w:r w:rsidRPr="00A14FFD">
        <w:t>FCC Form 1088A—Junk Fax Complaint from K. Oricchio (Nov. 26, 2013) (“They stopped faxing for 3 months and are now back faxing—3 pages per fax.”).</w:t>
      </w:r>
    </w:p>
  </w:footnote>
  <w:footnote w:id="23">
    <w:p w:rsidR="00401748" w:rsidRDefault="00401748" w:rsidP="00D05035">
      <w:pPr>
        <w:pStyle w:val="FootnoteText"/>
      </w:pPr>
      <w:r>
        <w:rPr>
          <w:rStyle w:val="FootnoteReference"/>
        </w:rPr>
        <w:footnoteRef/>
      </w:r>
      <w:r>
        <w:t xml:space="preserve"> </w:t>
      </w:r>
      <w:r w:rsidRPr="00A14FFD">
        <w:t>FCC Form 1088A—Junk Fax Complaint from S. Pagano (May 13, 2013) (Pagano Complaint); LaFreniere Complaint.</w:t>
      </w:r>
    </w:p>
  </w:footnote>
  <w:footnote w:id="24">
    <w:p w:rsidR="00401748" w:rsidRPr="00A41CAE" w:rsidRDefault="00401748" w:rsidP="00D05035">
      <w:pPr>
        <w:pStyle w:val="FootnoteText"/>
      </w:pPr>
      <w:r>
        <w:rPr>
          <w:rStyle w:val="FootnoteReference"/>
        </w:rPr>
        <w:footnoteRef/>
      </w:r>
      <w:r>
        <w:t xml:space="preserve"> Servant Complaint. </w:t>
      </w:r>
      <w:r w:rsidR="00CC5269">
        <w:t xml:space="preserve"> </w:t>
      </w:r>
      <w:r>
        <w:rPr>
          <w:i/>
        </w:rPr>
        <w:t xml:space="preserve">See also </w:t>
      </w:r>
      <w:r w:rsidRPr="00A14FFD">
        <w:t xml:space="preserve">FCC Form 1088A—Junk Fax Complaint from </w:t>
      </w:r>
      <w:r>
        <w:t>K. Durham (June 17, 2013) (“I have also told them that I was going to have to report them to the FCC and they then hung up on me.”)</w:t>
      </w:r>
      <w:r w:rsidR="000461DB">
        <w:t>.</w:t>
      </w:r>
    </w:p>
  </w:footnote>
  <w:footnote w:id="25">
    <w:p w:rsidR="00401748" w:rsidRPr="00AC4B89" w:rsidRDefault="00401748" w:rsidP="00D05035">
      <w:pPr>
        <w:pStyle w:val="FootnoteText"/>
      </w:pPr>
      <w:r>
        <w:rPr>
          <w:rStyle w:val="FootnoteReference"/>
        </w:rPr>
        <w:footnoteRef/>
      </w:r>
      <w:r>
        <w:t xml:space="preserve"> </w:t>
      </w:r>
      <w:r w:rsidRPr="00A14FFD">
        <w:t xml:space="preserve">FCC Form 1088A—Junk Fax Complaint from </w:t>
      </w:r>
      <w:r>
        <w:t>D. Riffel (June 14, 2013)</w:t>
      </w:r>
      <w:r w:rsidR="00DD46D9">
        <w:t xml:space="preserve"> (June Riffel Complaint)</w:t>
      </w:r>
      <w:r>
        <w:t xml:space="preserve">.  </w:t>
      </w:r>
      <w:r>
        <w:rPr>
          <w:i/>
        </w:rPr>
        <w:t xml:space="preserve">See also </w:t>
      </w:r>
      <w:r w:rsidRPr="00A14FFD">
        <w:t xml:space="preserve">FCC Form 1088A—Junk Fax Complaint from </w:t>
      </w:r>
      <w:r>
        <w:t>D. Riffel (Jan. 16, 2013) (“We have made at least six request</w:t>
      </w:r>
      <w:r w:rsidR="00A6696C">
        <w:t>s</w:t>
      </w:r>
      <w:r>
        <w:t xml:space="preserve"> in the last six months, some verbal by phone number listed on the fax . . . several by fax back to number listed on the margin.  There is no opt-out information and none of the requests have been honored, they don’t even offer to comply when asked verbally.  Flagrant disregard of our requests.”).</w:t>
      </w:r>
    </w:p>
  </w:footnote>
  <w:footnote w:id="26">
    <w:p w:rsidR="00401748" w:rsidRDefault="00401748" w:rsidP="00D05035">
      <w:pPr>
        <w:pStyle w:val="FootnoteText"/>
      </w:pPr>
      <w:r>
        <w:rPr>
          <w:rStyle w:val="FootnoteReference"/>
        </w:rPr>
        <w:footnoteRef/>
      </w:r>
      <w:r>
        <w:t xml:space="preserve"> </w:t>
      </w:r>
      <w:r w:rsidRPr="00A14FFD">
        <w:t>FCC Form 1088A—Junk Fax Complaint from T. Ibinger (Feb. 25, 2013)</w:t>
      </w:r>
      <w:r>
        <w:t>.</w:t>
      </w:r>
    </w:p>
  </w:footnote>
  <w:footnote w:id="27">
    <w:p w:rsidR="00401748" w:rsidRDefault="00401748" w:rsidP="00D05035">
      <w:pPr>
        <w:pStyle w:val="FootnoteText"/>
      </w:pPr>
      <w:r>
        <w:rPr>
          <w:rStyle w:val="FootnoteReference"/>
        </w:rPr>
        <w:footnoteRef/>
      </w:r>
      <w:r>
        <w:t xml:space="preserve"> </w:t>
      </w:r>
      <w:r w:rsidRPr="00A14FFD">
        <w:t xml:space="preserve">FCC Form 1088A—Junk Fax Complaint from </w:t>
      </w:r>
      <w:r>
        <w:t>L. Addison (May 1</w:t>
      </w:r>
      <w:r w:rsidR="003E59A2">
        <w:t>3</w:t>
      </w:r>
      <w:r>
        <w:t>, 2013)</w:t>
      </w:r>
      <w:r w:rsidR="00DD46D9">
        <w:t xml:space="preserve"> (Addison Complaint)</w:t>
      </w:r>
      <w:r>
        <w:t>.</w:t>
      </w:r>
    </w:p>
  </w:footnote>
  <w:footnote w:id="28">
    <w:p w:rsidR="00401748" w:rsidRDefault="00401748" w:rsidP="00D05035">
      <w:pPr>
        <w:pStyle w:val="FootnoteText"/>
      </w:pPr>
      <w:r>
        <w:rPr>
          <w:rStyle w:val="FootnoteReference"/>
        </w:rPr>
        <w:footnoteRef/>
      </w:r>
      <w:r>
        <w:t xml:space="preserve"> </w:t>
      </w:r>
      <w:r w:rsidRPr="00A14FFD">
        <w:t>FCC Form 1088A—Junk Fax Complaint from K. Miller (Mar. 1, 2013)</w:t>
      </w:r>
      <w:r>
        <w:t>.</w:t>
      </w:r>
    </w:p>
  </w:footnote>
  <w:footnote w:id="29">
    <w:p w:rsidR="00401748" w:rsidRDefault="00401748" w:rsidP="00D05035">
      <w:pPr>
        <w:pStyle w:val="FootnoteText"/>
      </w:pPr>
      <w:r>
        <w:rPr>
          <w:rStyle w:val="FootnoteReference"/>
        </w:rPr>
        <w:footnoteRef/>
      </w:r>
      <w:r>
        <w:t xml:space="preserve"> </w:t>
      </w:r>
      <w:r w:rsidRPr="00A14FFD">
        <w:t xml:space="preserve">FCC Form 1088A—Junk Fax Complaint from </w:t>
      </w:r>
      <w:r>
        <w:t>A. Ortelli. (May 21, 2013).</w:t>
      </w:r>
    </w:p>
  </w:footnote>
  <w:footnote w:id="30">
    <w:p w:rsidR="00401748" w:rsidRDefault="00401748" w:rsidP="00D05035">
      <w:pPr>
        <w:pStyle w:val="FootnoteText"/>
      </w:pPr>
      <w:r>
        <w:rPr>
          <w:rStyle w:val="FootnoteReference"/>
        </w:rPr>
        <w:footnoteRef/>
      </w:r>
      <w:r>
        <w:t xml:space="preserve"> Servant Complaint.</w:t>
      </w:r>
    </w:p>
  </w:footnote>
  <w:footnote w:id="31">
    <w:p w:rsidR="00401748" w:rsidRDefault="00401748" w:rsidP="00D05035">
      <w:pPr>
        <w:pStyle w:val="FootnoteText"/>
      </w:pPr>
      <w:r>
        <w:rPr>
          <w:rStyle w:val="FootnoteReference"/>
        </w:rPr>
        <w:footnoteRef/>
      </w:r>
      <w:r>
        <w:t xml:space="preserve"> </w:t>
      </w:r>
      <w:r w:rsidRPr="00A14FFD">
        <w:t>Pagano Complaint.</w:t>
      </w:r>
    </w:p>
  </w:footnote>
  <w:footnote w:id="32">
    <w:p w:rsidR="00401748" w:rsidRDefault="00401748" w:rsidP="00D05035">
      <w:pPr>
        <w:pStyle w:val="FootnoteText"/>
      </w:pPr>
      <w:r>
        <w:rPr>
          <w:rStyle w:val="FootnoteReference"/>
        </w:rPr>
        <w:footnoteRef/>
      </w:r>
      <w:r>
        <w:t xml:space="preserve"> </w:t>
      </w:r>
      <w:r w:rsidRPr="00A14FFD">
        <w:t>November Radke Complaint.</w:t>
      </w:r>
    </w:p>
  </w:footnote>
  <w:footnote w:id="33">
    <w:p w:rsidR="00401748" w:rsidRPr="00A14FFD" w:rsidRDefault="00401748" w:rsidP="00D05035">
      <w:pPr>
        <w:pStyle w:val="FootnoteText"/>
      </w:pPr>
      <w:r w:rsidRPr="00A14FFD">
        <w:rPr>
          <w:rStyle w:val="FootnoteReference"/>
        </w:rPr>
        <w:footnoteRef/>
      </w:r>
      <w:r w:rsidRPr="00A14FFD">
        <w:t xml:space="preserve"> 47 U.S.C. § 503(b)(5).</w:t>
      </w:r>
    </w:p>
  </w:footnote>
  <w:footnote w:id="34">
    <w:p w:rsidR="00401748" w:rsidRPr="00A14FFD" w:rsidRDefault="00401748" w:rsidP="00D05035">
      <w:pPr>
        <w:pStyle w:val="FootnoteText"/>
      </w:pPr>
      <w:r w:rsidRPr="00A14FFD">
        <w:rPr>
          <w:rStyle w:val="FootnoteReference"/>
        </w:rPr>
        <w:footnoteRef/>
      </w:r>
      <w:r w:rsidRPr="00A14FFD">
        <w:t xml:space="preserve"> 47 U.S.C. § 503(b)(2)(E). </w:t>
      </w:r>
    </w:p>
  </w:footnote>
  <w:footnote w:id="35">
    <w:p w:rsidR="00401748" w:rsidRPr="00A14FFD" w:rsidRDefault="00401748" w:rsidP="00D05035">
      <w:pPr>
        <w:pStyle w:val="FootnoteText"/>
      </w:pPr>
      <w:r w:rsidRPr="00A14FFD">
        <w:rPr>
          <w:rStyle w:val="FootnoteReference"/>
        </w:rPr>
        <w:footnoteRef/>
      </w:r>
      <w:r w:rsidRPr="00A14FFD">
        <w:t xml:space="preserve"> </w:t>
      </w:r>
      <w:r w:rsidR="00EE2164">
        <w:rPr>
          <w:i/>
        </w:rPr>
        <w:t xml:space="preserve">See </w:t>
      </w:r>
      <w:r w:rsidRPr="00A14FFD">
        <w:t>47 C.F.R. § 1.80(b)(8) note.  The absence of a particular type of violation from the forfeiture guidelines must “not be taken to mean that the violation is unimportant or nonexistent,” and “</w:t>
      </w:r>
      <w:r w:rsidR="00EE2164">
        <w:t>[</w:t>
      </w:r>
      <w:r w:rsidRPr="00A14FFD">
        <w:t>t</w:t>
      </w:r>
      <w:r w:rsidR="00EE2164">
        <w:t>]</w:t>
      </w:r>
      <w:r w:rsidRPr="00A14FFD">
        <w:t>he Commission retains discretion to impose forfeitures for other violations.</w:t>
      </w:r>
      <w:r w:rsidR="00EE2164">
        <w:t xml:space="preserve"> . . .</w:t>
      </w:r>
      <w:r w:rsidRPr="00A14FFD">
        <w:t xml:space="preserve">”  </w:t>
      </w:r>
      <w:r w:rsidRPr="00A14FFD">
        <w:rPr>
          <w:i/>
        </w:rPr>
        <w:t>Commission’s Forfeiture Policy Statement</w:t>
      </w:r>
      <w:r w:rsidRPr="00A14FFD">
        <w:t xml:space="preserve">, Report &amp; Order, 12 FCC Rcd 17087, 17110 (1997). </w:t>
      </w:r>
    </w:p>
  </w:footnote>
  <w:footnote w:id="36">
    <w:p w:rsidR="00401748" w:rsidRPr="00A14FFD" w:rsidRDefault="00401748" w:rsidP="00D05035">
      <w:pPr>
        <w:pStyle w:val="FootnoteText"/>
      </w:pPr>
      <w:r w:rsidRPr="00A14FFD">
        <w:rPr>
          <w:rStyle w:val="FootnoteReference"/>
        </w:rPr>
        <w:footnoteRef/>
      </w:r>
      <w:r w:rsidRPr="00A14FFD">
        <w:t xml:space="preserve"> 47 C.F.R. § 1.80(b)(8) note</w:t>
      </w:r>
      <w:r w:rsidR="00EE2164" w:rsidRPr="00A14FFD">
        <w:t>, sec. II (Adjustment Criteria for Section 503 Forfeitures)</w:t>
      </w:r>
      <w:r w:rsidRPr="00A14FFD">
        <w:t xml:space="preserve">. </w:t>
      </w:r>
    </w:p>
  </w:footnote>
  <w:footnote w:id="37">
    <w:p w:rsidR="00401748" w:rsidRPr="00A14FFD" w:rsidRDefault="00401748" w:rsidP="004C431D">
      <w:pPr>
        <w:spacing w:after="120"/>
        <w:rPr>
          <w:color w:val="000000"/>
          <w:sz w:val="20"/>
        </w:rPr>
      </w:pPr>
      <w:r w:rsidRPr="00A14FFD">
        <w:rPr>
          <w:rStyle w:val="FootnoteReference"/>
        </w:rPr>
        <w:footnoteRef/>
      </w:r>
      <w:r w:rsidRPr="00A14FFD">
        <w:rPr>
          <w:sz w:val="20"/>
        </w:rPr>
        <w:t xml:space="preserve"> Section 503(b)(2)(D) of the Act provides for forfeitures of up to $10,000 for each violation by a person who is not a regulated entity such as a broadcast station licensee or common carrier.  47 U.S.C. § 503(b)(2)(D).  The Commission periodically adjusts this and other forfeiture amounts for inflation.  Both currently and at the time of the  violations set forth in Appendix A, the maximum forfeiture was set at $16,000 for each violation of this type committed by a party subject to section 503(b)(2)(D).  </w:t>
      </w:r>
      <w:r w:rsidRPr="00A14FFD">
        <w:rPr>
          <w:i/>
          <w:sz w:val="20"/>
        </w:rPr>
        <w:t xml:space="preserve">See </w:t>
      </w:r>
      <w:r w:rsidRPr="00A14FFD">
        <w:rPr>
          <w:sz w:val="20"/>
        </w:rPr>
        <w:t xml:space="preserve">47 C.F.R. § 1.80(b)(5) (2012), 47 C.F.R. § 1.80(b)(7) (amended and renumbered pursuant to </w:t>
      </w:r>
      <w:r w:rsidRPr="00A14FFD">
        <w:rPr>
          <w:i/>
          <w:color w:val="000000"/>
          <w:sz w:val="20"/>
        </w:rPr>
        <w:t>Amendment of Section 1.80(b) of the Commission’s Rules, Adjustment of Civil Monetary Penalties to Reflect Inflation</w:t>
      </w:r>
      <w:r w:rsidRPr="00A14FFD">
        <w:rPr>
          <w:color w:val="000000"/>
          <w:sz w:val="20"/>
        </w:rPr>
        <w:t>, Order, 28 FCC Rcd 10785 (Enf. Bur. 2013)).</w:t>
      </w:r>
    </w:p>
  </w:footnote>
  <w:footnote w:id="38">
    <w:p w:rsidR="00401748" w:rsidRPr="00A14FFD" w:rsidRDefault="00401748" w:rsidP="00D05035">
      <w:pPr>
        <w:pStyle w:val="FootnoteText"/>
      </w:pPr>
      <w:r w:rsidRPr="00A14FFD">
        <w:rPr>
          <w:rStyle w:val="FootnoteReference"/>
        </w:rPr>
        <w:footnoteRef/>
      </w:r>
      <w:r w:rsidRPr="00A14FFD">
        <w:t xml:space="preserve"> </w:t>
      </w:r>
      <w:r w:rsidRPr="00A14FFD">
        <w:rPr>
          <w:i/>
          <w:color w:val="000000"/>
        </w:rPr>
        <w:t>See</w:t>
      </w:r>
      <w:r w:rsidRPr="00A14FFD">
        <w:rPr>
          <w:color w:val="000000"/>
        </w:rPr>
        <w:t xml:space="preserve"> </w:t>
      </w:r>
      <w:hyperlink r:id="rId4" w:tgtFrame="_top" w:history="1">
        <w:r w:rsidRPr="00A14FFD">
          <w:rPr>
            <w:i/>
          </w:rPr>
          <w:t>Get-Aways, Inc.</w:t>
        </w:r>
        <w:r w:rsidRPr="00273F6F">
          <w:t>,</w:t>
        </w:r>
        <w:r w:rsidRPr="00A14FFD">
          <w:rPr>
            <w:i/>
          </w:rPr>
          <w:t xml:space="preserve"> </w:t>
        </w:r>
        <w:r w:rsidRPr="00A14FFD">
          <w:t>Notice of Apparent Liability for Forfeiture</w:t>
        </w:r>
        <w:r w:rsidRPr="00A14FFD">
          <w:rPr>
            <w:i/>
          </w:rPr>
          <w:t xml:space="preserve">, </w:t>
        </w:r>
        <w:r w:rsidRPr="00A14FFD">
          <w:t>15 FCC Rcd 1805, 1812, para. 16 (1999);</w:t>
        </w:r>
      </w:hyperlink>
      <w:r w:rsidRPr="00A14FFD">
        <w:t xml:space="preserve"> </w:t>
      </w:r>
      <w:hyperlink r:id="rId5" w:tgtFrame="_top" w:history="1">
        <w:r w:rsidRPr="00A14FFD">
          <w:rPr>
            <w:i/>
          </w:rPr>
          <w:t>Get-Aways, Inc.</w:t>
        </w:r>
        <w:r w:rsidRPr="00273F6F">
          <w:t>,</w:t>
        </w:r>
        <w:r w:rsidRPr="00A14FFD">
          <w:rPr>
            <w:i/>
          </w:rPr>
          <w:t xml:space="preserve"> </w:t>
        </w:r>
        <w:r w:rsidRPr="00A14FFD">
          <w:t>Forfeiture Order, 15 FCC Rcd 4843 (2000)</w:t>
        </w:r>
        <w:r w:rsidR="000B537A">
          <w:t xml:space="preserve">; </w:t>
        </w:r>
        <w:r w:rsidR="000B537A">
          <w:rPr>
            <w:i/>
          </w:rPr>
          <w:t>Five Star Adver</w:t>
        </w:r>
        <w:r w:rsidR="00EE2164">
          <w:rPr>
            <w:i/>
          </w:rPr>
          <w:t>.</w:t>
        </w:r>
        <w:r w:rsidR="000B537A">
          <w:rPr>
            <w:i/>
          </w:rPr>
          <w:t>, Inc.</w:t>
        </w:r>
        <w:r w:rsidR="000B537A">
          <w:t xml:space="preserve">, Notice of Apparent Liability For Forfeiture, 23 FCC Rcd 17699, </w:t>
        </w:r>
        <w:r w:rsidR="007E34F0" w:rsidRPr="007E34F0">
          <w:t>17701–02, para. 7 (2008) (</w:t>
        </w:r>
        <w:r w:rsidR="007E34F0" w:rsidRPr="00905449">
          <w:rPr>
            <w:i/>
          </w:rPr>
          <w:t>Five Star</w:t>
        </w:r>
        <w:r w:rsidR="007E34F0" w:rsidRPr="007E34F0">
          <w:t xml:space="preserve"> NAL); </w:t>
        </w:r>
        <w:r w:rsidR="007E34F0" w:rsidRPr="00273F6F">
          <w:rPr>
            <w:i/>
          </w:rPr>
          <w:t>Five Star Adver</w:t>
        </w:r>
        <w:r w:rsidR="006B41B5">
          <w:rPr>
            <w:i/>
          </w:rPr>
          <w:t>.</w:t>
        </w:r>
        <w:r w:rsidR="007E34F0" w:rsidRPr="00273F6F">
          <w:rPr>
            <w:i/>
          </w:rPr>
          <w:t>, Inc.</w:t>
        </w:r>
        <w:r w:rsidR="007E34F0" w:rsidRPr="007E34F0">
          <w:t>, Forfeiture Order, 27 FCC Rcd 622 (2012) (</w:t>
        </w:r>
        <w:r w:rsidR="007E34F0" w:rsidRPr="00905449">
          <w:rPr>
            <w:i/>
          </w:rPr>
          <w:t>Five Star</w:t>
        </w:r>
        <w:r w:rsidR="007E34F0" w:rsidRPr="007E34F0">
          <w:t xml:space="preserve"> Forfeiture Order)</w:t>
        </w:r>
        <w:r w:rsidR="000B537A">
          <w:t>.</w:t>
        </w:r>
        <w:r w:rsidRPr="00A14FFD">
          <w:t xml:space="preserve">  </w:t>
        </w:r>
      </w:hyperlink>
    </w:p>
  </w:footnote>
  <w:footnote w:id="39">
    <w:p w:rsidR="00401748" w:rsidRPr="00A14FFD" w:rsidRDefault="00401748" w:rsidP="00D05035">
      <w:pPr>
        <w:pStyle w:val="FootnoteText"/>
      </w:pPr>
      <w:r w:rsidRPr="00A14FFD">
        <w:rPr>
          <w:rStyle w:val="FootnoteReference"/>
        </w:rPr>
        <w:footnoteRef/>
      </w:r>
      <w:r w:rsidRPr="00A14FFD">
        <w:t xml:space="preserve"> </w:t>
      </w:r>
      <w:r w:rsidR="00A945B3" w:rsidRPr="00A14FFD">
        <w:rPr>
          <w:i/>
        </w:rPr>
        <w:t>Tri-Star</w:t>
      </w:r>
      <w:r w:rsidR="00A945B3">
        <w:rPr>
          <w:i/>
        </w:rPr>
        <w:t>Mktg., Inc</w:t>
      </w:r>
      <w:r w:rsidR="00A945B3" w:rsidRPr="00A14FFD">
        <w:t xml:space="preserve">, </w:t>
      </w:r>
      <w:r w:rsidR="00A945B3">
        <w:t xml:space="preserve">Notice of Apparent Liability for Forfeiture, </w:t>
      </w:r>
      <w:r w:rsidR="00A945B3" w:rsidRPr="00A14FFD">
        <w:t xml:space="preserve">15 FCC Rcd </w:t>
      </w:r>
      <w:r w:rsidR="00A945B3">
        <w:t>11295,</w:t>
      </w:r>
      <w:r w:rsidR="00A945B3" w:rsidRPr="00A14FFD">
        <w:t xml:space="preserve"> 11300, para. 12</w:t>
      </w:r>
      <w:r w:rsidR="00A945B3">
        <w:t xml:space="preserve"> (2000); </w:t>
      </w:r>
      <w:r w:rsidR="00A945B3">
        <w:rPr>
          <w:i/>
        </w:rPr>
        <w:t>Tri-Star Mktg., Inc.</w:t>
      </w:r>
      <w:r w:rsidR="00A945B3">
        <w:t>, Forfeiture Order, 15 FCC Rcd 23198 (2000);</w:t>
      </w:r>
      <w:hyperlink r:id="rId6" w:tgtFrame="_top" w:history="1">
        <w:r w:rsidR="00A945B3">
          <w:t xml:space="preserve"> </w:t>
        </w:r>
        <w:r w:rsidR="00A945B3">
          <w:rPr>
            <w:i/>
          </w:rPr>
          <w:t xml:space="preserve">Five Star </w:t>
        </w:r>
        <w:r w:rsidR="00A945B3" w:rsidRPr="00EC7DF8">
          <w:rPr>
            <w:i/>
          </w:rPr>
          <w:t>NAL</w:t>
        </w:r>
        <w:r w:rsidR="00A945B3">
          <w:t xml:space="preserve">, 23 FCC Rcd at 17701–02, para. 7 (2008); </w:t>
        </w:r>
        <w:r w:rsidR="00A945B3">
          <w:rPr>
            <w:i/>
          </w:rPr>
          <w:t xml:space="preserve">Five Star </w:t>
        </w:r>
        <w:r w:rsidR="00A945B3">
          <w:t>Forfeiture Order, 27 FCC Rcd 622.</w:t>
        </w:r>
        <w:r w:rsidR="00A945B3" w:rsidRPr="00A14FFD">
          <w:t xml:space="preserve">  </w:t>
        </w:r>
      </w:hyperlink>
    </w:p>
  </w:footnote>
  <w:footnote w:id="40">
    <w:p w:rsidR="00401748" w:rsidRPr="00A14FFD" w:rsidRDefault="00401748" w:rsidP="00D05035">
      <w:pPr>
        <w:pStyle w:val="FootnoteText"/>
      </w:pPr>
      <w:r w:rsidRPr="00A14FFD">
        <w:rPr>
          <w:rStyle w:val="FootnoteReference"/>
        </w:rPr>
        <w:footnoteRef/>
      </w:r>
      <w:r w:rsidRPr="00A14FFD">
        <w:t xml:space="preserve"> </w:t>
      </w:r>
      <w:r w:rsidR="00764558">
        <w:t xml:space="preserve">In recent cases involving multiple and repeated violations of the junk fax rules—but not additional aggravating factors like deceit—the Commission has proposed the adjustment through a lump sum, resulting in an overall penalty that is more than the sum of applying the base forfeiture, but less than applying the statutory maximum, to all violations involved.  </w:t>
      </w:r>
      <w:r w:rsidR="00764558">
        <w:rPr>
          <w:i/>
          <w:iCs/>
        </w:rPr>
        <w:t>See</w:t>
      </w:r>
      <w:r w:rsidR="00764558">
        <w:t xml:space="preserve"> </w:t>
      </w:r>
      <w:r w:rsidR="00764558">
        <w:rPr>
          <w:i/>
          <w:iCs/>
        </w:rPr>
        <w:t>Nat’l Emps. Benefit Grp.</w:t>
      </w:r>
      <w:r w:rsidR="00764558">
        <w:t>, Notice of Apparent Liability for Forfeiture, 27 FCC Rcd 2734, 2737, para. 8 (2012) (</w:t>
      </w:r>
      <w:r w:rsidR="00764558">
        <w:rPr>
          <w:i/>
          <w:iCs/>
        </w:rPr>
        <w:t>NEBG NAL</w:t>
      </w:r>
      <w:r w:rsidR="00764558">
        <w:t xml:space="preserve">) (applying a $150,000 upward adjustment in proposing a forfeiture for 97 junk fax violations); </w:t>
      </w:r>
      <w:r w:rsidR="00764558">
        <w:rPr>
          <w:i/>
          <w:iCs/>
        </w:rPr>
        <w:t>Laser Techs.</w:t>
      </w:r>
      <w:r w:rsidR="00764558">
        <w:t xml:space="preserve">, Notice of Apparent Liability for Forfeiture, 26 FCC Rcd 10792, 10795, para. 9 (2011) (applying a $50,000 upward adjustment in proposing a forfeiture for 40 junk fax violations); </w:t>
      </w:r>
      <w:r w:rsidR="00764558">
        <w:rPr>
          <w:i/>
          <w:iCs/>
        </w:rPr>
        <w:t>Presidential Who’s Who</w:t>
      </w:r>
      <w:r w:rsidR="00764558">
        <w:t xml:space="preserve">, Notice of Apparent Liability for Forfeiture, 26 FCC Rcd 8989, 8993–95, paras. 11–13 (2011) (applying a $150,000 upward adjustment in proposing a forfeiture for 31 junk fax violations, taking into account the violator’s 73 prior junk fax violations); </w:t>
      </w:r>
      <w:r w:rsidR="00764558">
        <w:rPr>
          <w:i/>
          <w:iCs/>
        </w:rPr>
        <w:t>The Street Map Co.</w:t>
      </w:r>
      <w:r w:rsidR="00764558">
        <w:t xml:space="preserve">, Notice of Apparent Liability for Forfeiture, 26 FCC Rcd 8318, 8321–22, paras. 10–11 (2011) (applying a $75,000 upward adjustment in proposing a forfeiture for 51 junk fax violations, taking into account the violator’s prior 11 junk fax violations).  When aggravating factors, such as deceit, have accompanied numerous violations of the junk fax rules, the Commission has generally increased the forfeiture for each violation involved to the statutory maximum.  </w:t>
      </w:r>
      <w:r w:rsidR="00764558">
        <w:rPr>
          <w:i/>
          <w:iCs/>
        </w:rPr>
        <w:t>See Tim Gibbons/United Emp. Benefits Grp</w:t>
      </w:r>
      <w:r w:rsidR="00764558">
        <w:t>., Notice of Apparent Liability for Forfeiture, 27 FCC Rcd 11432, 11437–38, paras. 10–14 (2012) (</w:t>
      </w:r>
      <w:r w:rsidR="00764558">
        <w:rPr>
          <w:i/>
          <w:iCs/>
        </w:rPr>
        <w:t>Gibbons/UEBG NAL</w:t>
      </w:r>
      <w:r w:rsidR="00764558">
        <w:t xml:space="preserve">) (proposing the maximum forfeiture penalty for 99 junk fax violations, taking into account the violator’s prior violations, deceptive conduct, and related violations); </w:t>
      </w:r>
      <w:r w:rsidR="00764558">
        <w:rPr>
          <w:i/>
          <w:iCs/>
        </w:rPr>
        <w:t>Patrick Keane a/k/a/ The Street Map Co</w:t>
      </w:r>
      <w:r w:rsidR="00764558">
        <w:t>., Notice of Apparent Liability for Forfeiture, 27 FCC Rcd 13757, 13761, paras. 9–13 (2012) (</w:t>
      </w:r>
      <w:r w:rsidR="00764558">
        <w:rPr>
          <w:i/>
          <w:iCs/>
        </w:rPr>
        <w:t>Patrick Keane NAL</w:t>
      </w:r>
      <w:r w:rsidR="00764558">
        <w:t>) (proposing the maximum forfeiture penalty for 38 junk fax violations, taking into account the violator’s prior violations, deceptive conduct, and related violations)</w:t>
      </w:r>
      <w:r w:rsidR="00764558">
        <w:rPr>
          <w:color w:val="1F497D"/>
        </w:rPr>
        <w:t>.</w:t>
      </w:r>
    </w:p>
  </w:footnote>
  <w:footnote w:id="41">
    <w:p w:rsidR="00401748" w:rsidRPr="00A14FFD" w:rsidRDefault="00401748" w:rsidP="004C431D">
      <w:pPr>
        <w:pStyle w:val="ParaNum"/>
        <w:widowControl/>
        <w:numPr>
          <w:ilvl w:val="0"/>
          <w:numId w:val="0"/>
        </w:numPr>
        <w:rPr>
          <w:sz w:val="20"/>
        </w:rPr>
      </w:pPr>
      <w:r w:rsidRPr="00A14FFD">
        <w:rPr>
          <w:rStyle w:val="FootnoteReference"/>
        </w:rPr>
        <w:footnoteRef/>
      </w:r>
      <w:r w:rsidRPr="00A14FFD">
        <w:rPr>
          <w:sz w:val="20"/>
        </w:rPr>
        <w:t xml:space="preserve"> </w:t>
      </w:r>
      <w:r w:rsidR="00D05035">
        <w:rPr>
          <w:sz w:val="20"/>
        </w:rPr>
        <w:t>I</w:t>
      </w:r>
      <w:r w:rsidR="00D05035" w:rsidRPr="00A14FFD">
        <w:rPr>
          <w:sz w:val="20"/>
        </w:rPr>
        <w:t>n proposin</w:t>
      </w:r>
      <w:r w:rsidR="00D05035">
        <w:rPr>
          <w:sz w:val="20"/>
        </w:rPr>
        <w:t>g maximum forfeiture penalties,</w:t>
      </w:r>
      <w:r w:rsidR="00D05035" w:rsidRPr="00A14FFD">
        <w:rPr>
          <w:sz w:val="20"/>
        </w:rPr>
        <w:t xml:space="preserve"> </w:t>
      </w:r>
      <w:r w:rsidR="00D05035">
        <w:rPr>
          <w:sz w:val="20"/>
        </w:rPr>
        <w:t>t</w:t>
      </w:r>
      <w:r w:rsidRPr="00A14FFD">
        <w:rPr>
          <w:sz w:val="20"/>
        </w:rPr>
        <w:t>he Commission has taken note of violators’ deceitful conduct, misrepresentation of material facts, and attempts to evade law enforcement</w:t>
      </w:r>
      <w:r w:rsidR="00D05035">
        <w:rPr>
          <w:sz w:val="20"/>
        </w:rPr>
        <w:t>.</w:t>
      </w:r>
      <w:r w:rsidRPr="00A14FFD">
        <w:rPr>
          <w:sz w:val="20"/>
        </w:rPr>
        <w:t xml:space="preserve"> </w:t>
      </w:r>
      <w:r w:rsidR="00D05035">
        <w:rPr>
          <w:sz w:val="20"/>
        </w:rPr>
        <w:t xml:space="preserve"> </w:t>
      </w:r>
      <w:r w:rsidR="001A1DAE">
        <w:rPr>
          <w:i/>
          <w:sz w:val="20"/>
        </w:rPr>
        <w:t xml:space="preserve">See </w:t>
      </w:r>
      <w:r w:rsidRPr="00A14FFD">
        <w:rPr>
          <w:i/>
          <w:sz w:val="20"/>
        </w:rPr>
        <w:t>Sabrina Javani d/b/a EZ Bus</w:t>
      </w:r>
      <w:r w:rsidR="001A1DAE">
        <w:rPr>
          <w:i/>
          <w:sz w:val="20"/>
        </w:rPr>
        <w:t>.</w:t>
      </w:r>
      <w:r w:rsidRPr="00A14FFD">
        <w:rPr>
          <w:i/>
          <w:sz w:val="20"/>
        </w:rPr>
        <w:t xml:space="preserve"> Loans</w:t>
      </w:r>
      <w:r w:rsidRPr="00A14FFD">
        <w:rPr>
          <w:sz w:val="20"/>
        </w:rPr>
        <w:t>, Notice of Apparent Liability for Forfeiture, 27 FCC Rcd 7921</w:t>
      </w:r>
      <w:r w:rsidR="009B02FB">
        <w:rPr>
          <w:sz w:val="20"/>
        </w:rPr>
        <w:t>(2012) (</w:t>
      </w:r>
      <w:r w:rsidR="009B02FB">
        <w:rPr>
          <w:i/>
          <w:sz w:val="20"/>
        </w:rPr>
        <w:t>EZ Busisness NAL</w:t>
      </w:r>
      <w:r w:rsidR="009B02FB">
        <w:rPr>
          <w:sz w:val="20"/>
        </w:rPr>
        <w:t>)</w:t>
      </w:r>
      <w:r w:rsidRPr="00A14FFD">
        <w:rPr>
          <w:sz w:val="20"/>
        </w:rPr>
        <w:t xml:space="preserve">; </w:t>
      </w:r>
      <w:r w:rsidRPr="00A14FFD">
        <w:rPr>
          <w:i/>
          <w:sz w:val="20"/>
        </w:rPr>
        <w:t>Teresa Goldberg a/k/a Tammy Pocknett d/b/a Software Training Co. et al</w:t>
      </w:r>
      <w:r w:rsidRPr="00A14FFD">
        <w:rPr>
          <w:sz w:val="20"/>
        </w:rPr>
        <w:t xml:space="preserve">., Notice of Apparent Liability for Forfeiture, 27 FCC Rcd 2723 (2012); </w:t>
      </w:r>
      <w:r w:rsidRPr="00A14FFD">
        <w:rPr>
          <w:i/>
          <w:sz w:val="20"/>
        </w:rPr>
        <w:t>Travel Club M</w:t>
      </w:r>
      <w:r w:rsidR="001A1DAE">
        <w:rPr>
          <w:i/>
          <w:sz w:val="20"/>
        </w:rPr>
        <w:t>ktg.</w:t>
      </w:r>
      <w:r w:rsidRPr="00A14FFD">
        <w:rPr>
          <w:i/>
          <w:sz w:val="20"/>
        </w:rPr>
        <w:t xml:space="preserve"> d/b/a Travelink Corp. et al.</w:t>
      </w:r>
      <w:r w:rsidRPr="00A14FFD">
        <w:rPr>
          <w:sz w:val="20"/>
        </w:rPr>
        <w:t xml:space="preserve">, Notice of Apparent Liability for Forfeiture, 26 FCC Rcd 15381 (2011).       </w:t>
      </w:r>
    </w:p>
  </w:footnote>
  <w:footnote w:id="42">
    <w:p w:rsidR="00401748" w:rsidRPr="00A14FFD" w:rsidRDefault="00401748" w:rsidP="00D05035">
      <w:pPr>
        <w:pStyle w:val="FootnoteText"/>
      </w:pPr>
      <w:r w:rsidRPr="00A14FFD">
        <w:rPr>
          <w:rStyle w:val="FootnoteReference"/>
        </w:rPr>
        <w:footnoteRef/>
      </w:r>
      <w:r w:rsidRPr="00A14FFD">
        <w:t xml:space="preserve"> 47 U.S.C. § 503(b)(6). </w:t>
      </w:r>
    </w:p>
  </w:footnote>
  <w:footnote w:id="43">
    <w:p w:rsidR="00401748" w:rsidRPr="00A14FFD" w:rsidRDefault="00401748" w:rsidP="00D05035">
      <w:pPr>
        <w:pStyle w:val="FootnoteText"/>
      </w:pPr>
      <w:r w:rsidRPr="00A14FFD">
        <w:rPr>
          <w:rStyle w:val="FootnoteReference"/>
        </w:rPr>
        <w:footnoteRef/>
      </w:r>
      <w:r w:rsidRPr="00A14FFD">
        <w:rPr>
          <w:i/>
        </w:rPr>
        <w:t xml:space="preserve"> </w:t>
      </w:r>
      <w:r w:rsidR="005B1EB6" w:rsidRPr="00A14FFD">
        <w:rPr>
          <w:i/>
        </w:rPr>
        <w:t>See</w:t>
      </w:r>
      <w:r w:rsidR="005B1EB6" w:rsidRPr="00A14FFD">
        <w:t>,</w:t>
      </w:r>
      <w:r w:rsidR="005B1EB6" w:rsidRPr="00A14FFD">
        <w:rPr>
          <w:i/>
        </w:rPr>
        <w:t xml:space="preserve"> e.g.</w:t>
      </w:r>
      <w:r w:rsidR="005B1EB6" w:rsidRPr="00A14FFD">
        <w:t xml:space="preserve">, FCC Form 1088A—Junk Fax Complaint from M. Eisenberg (Mar. </w:t>
      </w:r>
      <w:r w:rsidR="003E59A2">
        <w:t>11</w:t>
      </w:r>
      <w:r w:rsidR="005B1EB6" w:rsidRPr="00A14FFD">
        <w:t>, 2013) (“I have copies of faxes from this sender that date back at least one year”)</w:t>
      </w:r>
      <w:r w:rsidR="005B1EB6">
        <w:t xml:space="preserve">; </w:t>
      </w:r>
      <w:r w:rsidR="005B1EB6" w:rsidRPr="00A14FFD">
        <w:t>FCC Form 1088A—Junk Fax Complaint fr</w:t>
      </w:r>
      <w:r w:rsidR="005B1EB6">
        <w:t>om R. Habeger (May 13, 2013) (Habeger Complaint) (reporting regular receipt of faxes despite 2010 do-not-fax request)</w:t>
      </w:r>
      <w:r w:rsidR="005B1EB6" w:rsidRPr="00A14FFD">
        <w:t>.</w:t>
      </w:r>
    </w:p>
  </w:footnote>
  <w:footnote w:id="44">
    <w:p w:rsidR="00401748" w:rsidRPr="00A14FFD" w:rsidRDefault="00401748" w:rsidP="00D05035">
      <w:pPr>
        <w:pStyle w:val="FootnoteText"/>
      </w:pPr>
      <w:r w:rsidRPr="00A14FFD">
        <w:rPr>
          <w:rStyle w:val="FootnoteReference"/>
        </w:rPr>
        <w:footnoteRef/>
      </w:r>
      <w:r w:rsidRPr="00A14FFD">
        <w:t xml:space="preserve"> Each of these advertisements constitutes a separate violation.  When a complainant has documented receipt of multiple advertisements in a single transmission, typically by providing copies of the faxes, we apply a separate penalty for each advertisement.  </w:t>
      </w:r>
      <w:r w:rsidRPr="00A14FFD">
        <w:rPr>
          <w:i/>
        </w:rPr>
        <w:t xml:space="preserve">See </w:t>
      </w:r>
      <w:r w:rsidRPr="00A14FFD">
        <w:t>Appendix A.</w:t>
      </w:r>
    </w:p>
  </w:footnote>
  <w:footnote w:id="45">
    <w:p w:rsidR="00401748" w:rsidRPr="00A14FFD" w:rsidRDefault="00401748" w:rsidP="00D05035">
      <w:pPr>
        <w:pStyle w:val="FootnoteText"/>
      </w:pPr>
      <w:r w:rsidRPr="00A14FFD">
        <w:rPr>
          <w:rStyle w:val="FootnoteReference"/>
        </w:rPr>
        <w:footnoteRef/>
      </w:r>
      <w:r w:rsidRPr="00A14FFD">
        <w:t xml:space="preserve"> </w:t>
      </w:r>
      <w:r w:rsidRPr="00A14FFD">
        <w:rPr>
          <w:i/>
        </w:rPr>
        <w:t>See</w:t>
      </w:r>
      <w:r w:rsidRPr="00A14FFD">
        <w:t>,</w:t>
      </w:r>
      <w:r w:rsidRPr="00A14FFD">
        <w:rPr>
          <w:i/>
        </w:rPr>
        <w:t xml:space="preserve"> e.g.</w:t>
      </w:r>
      <w:r w:rsidRPr="00A14FFD">
        <w:t>,</w:t>
      </w:r>
      <w:r w:rsidRPr="00536B7F">
        <w:t xml:space="preserve"> </w:t>
      </w:r>
      <w:r w:rsidRPr="00A14FFD">
        <w:t>FCC Form 1088A—Junk Fax Complaint from T. Nicasio (May 13, 2013) (faxes</w:t>
      </w:r>
      <w:r w:rsidR="0094404F">
        <w:t xml:space="preserve"> attached to complaint</w:t>
      </w:r>
      <w:r w:rsidRPr="00A14FFD">
        <w:t xml:space="preserve"> show that duplicate multi-page transmissions were received with</w:t>
      </w:r>
      <w:r w:rsidR="0094404F">
        <w:t>in</w:t>
      </w:r>
      <w:r w:rsidRPr="00A14FFD">
        <w:t xml:space="preserve"> 15 minutes</w:t>
      </w:r>
      <w:r w:rsidR="00CA194B">
        <w:t xml:space="preserve"> of one another</w:t>
      </w:r>
      <w:r w:rsidRPr="00A14FFD">
        <w:t>).</w:t>
      </w:r>
    </w:p>
  </w:footnote>
  <w:footnote w:id="46">
    <w:p w:rsidR="00401748" w:rsidRPr="00A14FFD" w:rsidRDefault="00401748" w:rsidP="00D05035">
      <w:pPr>
        <w:pStyle w:val="FootnoteText"/>
      </w:pPr>
      <w:r w:rsidRPr="00A14FFD">
        <w:rPr>
          <w:rStyle w:val="FootnoteReference"/>
        </w:rPr>
        <w:footnoteRef/>
      </w:r>
      <w:r w:rsidRPr="00A14FFD">
        <w:t xml:space="preserve"> </w:t>
      </w:r>
      <w:r w:rsidRPr="00A14FFD">
        <w:rPr>
          <w:i/>
        </w:rPr>
        <w:t>See</w:t>
      </w:r>
      <w:r w:rsidRPr="00A14FFD">
        <w:t>,</w:t>
      </w:r>
      <w:r w:rsidRPr="00A14FFD">
        <w:rPr>
          <w:i/>
        </w:rPr>
        <w:t xml:space="preserve"> e.g.</w:t>
      </w:r>
      <w:r w:rsidRPr="00A14FFD">
        <w:t>, Servant Complaint and Addison Complaint</w:t>
      </w:r>
      <w:r w:rsidR="00EE0020">
        <w:t>.</w:t>
      </w:r>
    </w:p>
  </w:footnote>
  <w:footnote w:id="47">
    <w:p w:rsidR="00401748" w:rsidRPr="00A14FFD" w:rsidRDefault="00401748" w:rsidP="00D05035">
      <w:pPr>
        <w:pStyle w:val="FootnoteText"/>
      </w:pPr>
      <w:r w:rsidRPr="00A14FFD">
        <w:rPr>
          <w:rStyle w:val="FootnoteReference"/>
        </w:rPr>
        <w:footnoteRef/>
      </w:r>
      <w:r w:rsidRPr="00A14FFD">
        <w:t xml:space="preserve"> Twenty-f</w:t>
      </w:r>
      <w:r w:rsidR="00493FC7">
        <w:t>our</w:t>
      </w:r>
      <w:r w:rsidRPr="00A14FFD">
        <w:t xml:space="preserve"> of the 2</w:t>
      </w:r>
      <w:r w:rsidR="00493FC7">
        <w:t>6</w:t>
      </w:r>
      <w:r w:rsidRPr="00A14FFD">
        <w:t xml:space="preserve"> complainants listed in Appendix A are chiropractic or other </w:t>
      </w:r>
      <w:r w:rsidR="00DB1DFB">
        <w:t>health care</w:t>
      </w:r>
      <w:r w:rsidRPr="00A14FFD">
        <w:t xml:space="preserve"> offices.</w:t>
      </w:r>
    </w:p>
  </w:footnote>
  <w:footnote w:id="48">
    <w:p w:rsidR="00401748" w:rsidRPr="00A14FFD" w:rsidRDefault="00401748" w:rsidP="00D05035">
      <w:pPr>
        <w:pStyle w:val="FootnoteText"/>
      </w:pPr>
      <w:r w:rsidRPr="00A14FFD">
        <w:rPr>
          <w:rStyle w:val="FootnoteReference"/>
        </w:rPr>
        <w:footnoteRef/>
      </w:r>
      <w:r w:rsidRPr="00A14FFD">
        <w:t xml:space="preserve"> </w:t>
      </w:r>
      <w:r w:rsidRPr="00A14FFD">
        <w:rPr>
          <w:i/>
        </w:rPr>
        <w:t>See</w:t>
      </w:r>
      <w:r w:rsidRPr="00A14FFD">
        <w:t>,</w:t>
      </w:r>
      <w:r w:rsidRPr="00A14FFD">
        <w:rPr>
          <w:i/>
        </w:rPr>
        <w:t xml:space="preserve"> e.g.</w:t>
      </w:r>
      <w:r w:rsidRPr="00A14FFD">
        <w:t xml:space="preserve">, FCC Form 1088A—Junk Fax Complaint from J. Danaka (Jan. 23, 2013) (“[T]he only way to avoid the faxes is to turn off our fax at night.  This is a doctor’s office and we need our fax to receive information regarding our patients.”); FCC Form 1088A—Junk Fax Complaint from J. Dubats (Jan. 23, 2013) (“We have been having problems with this company sending faxes on our patient referral line. . . . </w:t>
      </w:r>
      <w:r w:rsidR="00CA194B">
        <w:t xml:space="preserve"> </w:t>
      </w:r>
      <w:r w:rsidRPr="00A14FFD">
        <w:t>[T]oday after I requested nicely that they please stop they hung up and faxed another sheet to our office.”)</w:t>
      </w:r>
      <w:r w:rsidR="00A52E82">
        <w:t>.</w:t>
      </w:r>
    </w:p>
  </w:footnote>
  <w:footnote w:id="49">
    <w:p w:rsidR="00E54372" w:rsidRPr="00695BF9" w:rsidRDefault="00E54372" w:rsidP="00E54372">
      <w:pPr>
        <w:pStyle w:val="ParaNum"/>
        <w:widowControl/>
        <w:numPr>
          <w:ilvl w:val="0"/>
          <w:numId w:val="0"/>
        </w:numPr>
        <w:rPr>
          <w:sz w:val="20"/>
        </w:rPr>
      </w:pPr>
      <w:r w:rsidRPr="00695BF9">
        <w:rPr>
          <w:rStyle w:val="FootnoteReference"/>
        </w:rPr>
        <w:footnoteRef/>
      </w:r>
      <w:r w:rsidRPr="00695BF9">
        <w:rPr>
          <w:sz w:val="20"/>
        </w:rPr>
        <w:t xml:space="preserve"> Habeger</w:t>
      </w:r>
      <w:r w:rsidR="00493FC7">
        <w:rPr>
          <w:sz w:val="20"/>
        </w:rPr>
        <w:t xml:space="preserve"> Complaint</w:t>
      </w:r>
      <w:r w:rsidRPr="00695BF9">
        <w:rPr>
          <w:sz w:val="20"/>
        </w:rPr>
        <w:t xml:space="preserve"> (stating receipt of 3</w:t>
      </w:r>
      <w:r w:rsidR="00493FC7" w:rsidRPr="00A14FFD">
        <w:t>–</w:t>
      </w:r>
      <w:r w:rsidRPr="00695BF9">
        <w:rPr>
          <w:sz w:val="20"/>
        </w:rPr>
        <w:t>4 faxes per week since 2010 and documenting five do-not-fax requests</w:t>
      </w:r>
      <w:r w:rsidR="00493FC7">
        <w:rPr>
          <w:sz w:val="20"/>
        </w:rPr>
        <w:t>)</w:t>
      </w:r>
      <w:r w:rsidRPr="00695BF9">
        <w:rPr>
          <w:sz w:val="20"/>
        </w:rPr>
        <w:t>; FCC Form 1088A—Junk Fax Complaint from K. Bauman (Apr. 22, 2013) (“Sent numerous faxes to opt out”); FCC Form 1088A—Junk Fa</w:t>
      </w:r>
      <w:r w:rsidR="001232DF">
        <w:rPr>
          <w:sz w:val="20"/>
        </w:rPr>
        <w:t>x Complaint from A. Green (June </w:t>
      </w:r>
      <w:r w:rsidRPr="00695BF9">
        <w:rPr>
          <w:sz w:val="20"/>
        </w:rPr>
        <w:t xml:space="preserve">3, 2013) (made </w:t>
      </w:r>
      <w:r w:rsidR="00CA194B">
        <w:rPr>
          <w:sz w:val="20"/>
        </w:rPr>
        <w:t>three</w:t>
      </w:r>
      <w:r w:rsidRPr="00695BF9">
        <w:rPr>
          <w:sz w:val="20"/>
        </w:rPr>
        <w:t xml:space="preserve"> phone calls and sent </w:t>
      </w:r>
      <w:r w:rsidR="00CA194B">
        <w:rPr>
          <w:sz w:val="20"/>
        </w:rPr>
        <w:t>three</w:t>
      </w:r>
      <w:r w:rsidRPr="00695BF9">
        <w:rPr>
          <w:sz w:val="20"/>
        </w:rPr>
        <w:t xml:space="preserve"> faxes to opt-out).</w:t>
      </w:r>
    </w:p>
  </w:footnote>
  <w:footnote w:id="50">
    <w:p w:rsidR="001561F2" w:rsidRPr="001561F2" w:rsidRDefault="001561F2">
      <w:pPr>
        <w:pStyle w:val="FootnoteText"/>
      </w:pPr>
      <w:r>
        <w:rPr>
          <w:rStyle w:val="FootnoteReference"/>
        </w:rPr>
        <w:footnoteRef/>
      </w:r>
      <w:r>
        <w:t xml:space="preserve"> </w:t>
      </w:r>
      <w:r>
        <w:rPr>
          <w:i/>
        </w:rPr>
        <w:t xml:space="preserve">See supra </w:t>
      </w:r>
      <w:r>
        <w:t>para.</w:t>
      </w:r>
      <w:r w:rsidR="009D4B24">
        <w:t xml:space="preserve"> </w:t>
      </w:r>
      <w:r w:rsidR="00F47C04">
        <w:t>7</w:t>
      </w:r>
      <w:r w:rsidR="009D4B24">
        <w:t>.</w:t>
      </w:r>
    </w:p>
  </w:footnote>
  <w:footnote w:id="51">
    <w:p w:rsidR="00B64952" w:rsidRDefault="001232DF" w:rsidP="00D05035">
      <w:pPr>
        <w:pStyle w:val="FootnoteText"/>
      </w:pPr>
      <w:r>
        <w:rPr>
          <w:rStyle w:val="FootnoteReference"/>
        </w:rPr>
        <w:footnoteRef/>
      </w:r>
      <w:r>
        <w:t xml:space="preserve">  </w:t>
      </w:r>
      <w:r w:rsidR="002222BD">
        <w:t xml:space="preserve">The Commission has </w:t>
      </w:r>
      <w:r>
        <w:t xml:space="preserve">previously treated </w:t>
      </w:r>
      <w:r w:rsidR="002222BD">
        <w:t xml:space="preserve">opt-out notice violations </w:t>
      </w:r>
      <w:r>
        <w:t>as aggravating factors in asses</w:t>
      </w:r>
      <w:r w:rsidR="00AA1607">
        <w:t>sing maximum forfeiture</w:t>
      </w:r>
      <w:r>
        <w:t xml:space="preserve">s for faxing unsolicited advertisements, </w:t>
      </w:r>
      <w:r w:rsidR="002222BD">
        <w:t xml:space="preserve">but </w:t>
      </w:r>
      <w:r>
        <w:t xml:space="preserve">the Commission </w:t>
      </w:r>
      <w:r w:rsidR="002222BD">
        <w:t xml:space="preserve">has </w:t>
      </w:r>
      <w:r>
        <w:t xml:space="preserve">explicitly noted that these violations </w:t>
      </w:r>
      <w:r w:rsidR="002222BD">
        <w:t xml:space="preserve">are </w:t>
      </w:r>
      <w:r>
        <w:t xml:space="preserve">separate and distinct, and could carry separate penalties of up to $16,000 each.  </w:t>
      </w:r>
      <w:r w:rsidR="00F43E94">
        <w:rPr>
          <w:i/>
        </w:rPr>
        <w:t>Gibbons/UEBG NAL</w:t>
      </w:r>
      <w:r w:rsidRPr="00A14FFD">
        <w:t xml:space="preserve">, 27 FCC Rcd </w:t>
      </w:r>
      <w:r w:rsidR="00F43E94">
        <w:t>at</w:t>
      </w:r>
      <w:r>
        <w:t xml:space="preserve"> 11438, para. 14; </w:t>
      </w:r>
      <w:r>
        <w:rPr>
          <w:i/>
        </w:rPr>
        <w:t>EZ Business NAL</w:t>
      </w:r>
      <w:r>
        <w:t>, 27 FCC Rcd at 7926, paras. 10</w:t>
      </w:r>
      <w:r w:rsidR="00E26EFF" w:rsidRPr="00A14FFD">
        <w:t>–</w:t>
      </w:r>
      <w:r>
        <w:t>11</w:t>
      </w:r>
      <w:r w:rsidR="002222BD">
        <w:t>.</w:t>
      </w:r>
      <w:r>
        <w:t xml:space="preserve"> </w:t>
      </w:r>
    </w:p>
  </w:footnote>
  <w:footnote w:id="52">
    <w:p w:rsidR="002222BD" w:rsidRPr="00FA32ED" w:rsidRDefault="002222BD" w:rsidP="002222BD">
      <w:pPr>
        <w:pStyle w:val="FootnoteText"/>
      </w:pPr>
      <w:r>
        <w:rPr>
          <w:rStyle w:val="FootnoteReference"/>
        </w:rPr>
        <w:footnoteRef/>
      </w:r>
      <w:r>
        <w:t xml:space="preserve"> </w:t>
      </w:r>
      <w:r w:rsidR="00F43E94" w:rsidRPr="00552C4E">
        <w:rPr>
          <w:i/>
        </w:rPr>
        <w:t>See</w:t>
      </w:r>
      <w:r w:rsidR="00F43E94">
        <w:t xml:space="preserve"> </w:t>
      </w:r>
      <w:r w:rsidR="00F43E94">
        <w:rPr>
          <w:i/>
        </w:rPr>
        <w:t>Patrick Keane NAL</w:t>
      </w:r>
      <w:r w:rsidR="00F43E94">
        <w:t xml:space="preserve">, 27 FCC Rcd at 13762, para. 13; </w:t>
      </w:r>
      <w:r w:rsidR="00F43E94">
        <w:rPr>
          <w:i/>
        </w:rPr>
        <w:t>Patrick Keane a/k/a The Street Map Co.</w:t>
      </w:r>
      <w:r w:rsidR="00F43E94">
        <w:t>, Forfeiture Order, 28 FCC Rcd 6688, 6690, para. 6 (2013);</w:t>
      </w:r>
      <w:r w:rsidR="00F43E94">
        <w:rPr>
          <w:i/>
        </w:rPr>
        <w:t xml:space="preserve"> Gibbons/UEBG NAL</w:t>
      </w:r>
      <w:r w:rsidR="00F43E94">
        <w:t>, 27 FCC Rcd at 11438</w:t>
      </w:r>
      <w:r w:rsidR="00F43E94" w:rsidRPr="00A14FFD">
        <w:t>–</w:t>
      </w:r>
      <w:r w:rsidR="00F43E94">
        <w:t xml:space="preserve">39, para. 15; </w:t>
      </w:r>
      <w:r w:rsidR="00F43E94">
        <w:rPr>
          <w:i/>
        </w:rPr>
        <w:t>Tim Gibbons/United Emp. Benefits Grp.</w:t>
      </w:r>
      <w:r w:rsidR="00F43E94">
        <w:t>, Forfeiture Order, 28 FCC Rcd 6679, 6681, para. 8 (2013).</w:t>
      </w:r>
    </w:p>
  </w:footnote>
  <w:footnote w:id="53">
    <w:p w:rsidR="004E7586" w:rsidRPr="00F975E6" w:rsidRDefault="004E7586" w:rsidP="004E7586">
      <w:pPr>
        <w:pStyle w:val="FootnoteText"/>
      </w:pPr>
      <w:r>
        <w:rPr>
          <w:rStyle w:val="FootnoteReference"/>
        </w:rPr>
        <w:footnoteRef/>
      </w:r>
      <w:r>
        <w:t xml:space="preserve"> </w:t>
      </w:r>
      <w:r>
        <w:rPr>
          <w:i/>
        </w:rPr>
        <w:t xml:space="preserve">See </w:t>
      </w:r>
      <w:r w:rsidRPr="00B04FB1">
        <w:rPr>
          <w:i/>
        </w:rPr>
        <w:t>Texas v. Am</w:t>
      </w:r>
      <w:r>
        <w:rPr>
          <w:i/>
        </w:rPr>
        <w:t>.</w:t>
      </w:r>
      <w:r w:rsidRPr="00B04FB1">
        <w:rPr>
          <w:i/>
        </w:rPr>
        <w:t xml:space="preserve"> Blastfax</w:t>
      </w:r>
      <w:r>
        <w:t>, 164 F. Supp. 2d 892, 897</w:t>
      </w:r>
      <w:r w:rsidRPr="00A14FFD">
        <w:t>–</w:t>
      </w:r>
      <w:r>
        <w:t xml:space="preserve">98 (W.D. Texas 2001) (“[I]f the officer directly participated in or authorized the statutory violation, even though acting on behalf of the corporation, he may be personally liable” for violations of the TCPA).  </w:t>
      </w:r>
      <w:r>
        <w:rPr>
          <w:i/>
        </w:rPr>
        <w:t>See also United States v. Pollution Servs. of Oswego, Inc.</w:t>
      </w:r>
      <w:r w:rsidRPr="00905449">
        <w:t>,</w:t>
      </w:r>
      <w:r w:rsidRPr="008E4AFF">
        <w:t xml:space="preserve"> 763 F.2d 133, 134</w:t>
      </w:r>
      <w:r w:rsidRPr="00A14FFD">
        <w:t>–</w:t>
      </w:r>
      <w:r w:rsidRPr="008E4AFF">
        <w:t>35</w:t>
      </w:r>
      <w:r>
        <w:t xml:space="preserve"> (2</w:t>
      </w:r>
      <w:r w:rsidRPr="00905449">
        <w:t>nd</w:t>
      </w:r>
      <w:r>
        <w:t xml:space="preserve"> Cir. 1985) (“In light of the clear congressional intent to hold ‘person[s]’ liable for violations [of the Rivers and Harbors Appropriations Act], we see no reason to shield from civil liability those corporate officers who are personally involved in or directly responsible for statutorily proscribed activity”).  Like in the </w:t>
      </w:r>
      <w:r>
        <w:rPr>
          <w:i/>
        </w:rPr>
        <w:t>Oswego</w:t>
      </w:r>
      <w:r>
        <w:t xml:space="preserve"> case, the TCPA embodies the congressional intent to hold “persons” liable for violations.  </w:t>
      </w:r>
      <w:r>
        <w:rPr>
          <w:i/>
        </w:rPr>
        <w:t xml:space="preserve">See </w:t>
      </w:r>
      <w:r>
        <w:t xml:space="preserve">47 U.S.C. § 227(b)(1).  </w:t>
      </w:r>
      <w:r>
        <w:rPr>
          <w:i/>
        </w:rPr>
        <w:t xml:space="preserve">See also </w:t>
      </w:r>
      <w:r>
        <w:t xml:space="preserve">47 U.S.C. § 153(39) (defining a “person” to include individuals as well as corporate entities).  In other contexts the courts have found the responsible corporate officer of a company to be personally liable for unlawful acts where the corporate officer was in a position of responsibility </w:t>
      </w:r>
      <w:r>
        <w:rPr>
          <w:i/>
        </w:rPr>
        <w:t>vis-à-vis</w:t>
      </w:r>
      <w:r>
        <w:t xml:space="preserve"> the illegal conduct, had the power to prevent others from engaging in such conduct or to promptly correct the violation, and failed to take action.  </w:t>
      </w:r>
      <w:r>
        <w:rPr>
          <w:i/>
        </w:rPr>
        <w:t>See e.g.</w:t>
      </w:r>
      <w:r>
        <w:t xml:space="preserve"> </w:t>
      </w:r>
      <w:r>
        <w:rPr>
          <w:i/>
        </w:rPr>
        <w:t>United States v. Hodges X-Ray, Inc.</w:t>
      </w:r>
      <w:r>
        <w:t>, 759 F.2d 557, 560</w:t>
      </w:r>
      <w:r w:rsidRPr="00A14FFD">
        <w:t>–</w:t>
      </w:r>
      <w:r>
        <w:t>62 (6</w:t>
      </w:r>
      <w:r w:rsidRPr="00273F6F">
        <w:t>th</w:t>
      </w:r>
      <w:r>
        <w:t xml:space="preserve"> Cir. 1985).</w:t>
      </w:r>
    </w:p>
  </w:footnote>
  <w:footnote w:id="54">
    <w:p w:rsidR="009258D9" w:rsidRDefault="009258D9" w:rsidP="00D05035">
      <w:pPr>
        <w:pStyle w:val="FootnoteText"/>
      </w:pPr>
      <w:r>
        <w:rPr>
          <w:rStyle w:val="FootnoteReference"/>
        </w:rPr>
        <w:footnoteRef/>
      </w:r>
      <w:r>
        <w:t xml:space="preserve"> Certificate of Formation of DSM Supply, LLC (filed in the Office of the Secretary of State of Texas, Corporations Division; June 29, 2006).</w:t>
      </w:r>
    </w:p>
  </w:footnote>
  <w:footnote w:id="55">
    <w:p w:rsidR="009258D9" w:rsidRDefault="009258D9" w:rsidP="00D05035">
      <w:pPr>
        <w:pStyle w:val="FootnoteText"/>
      </w:pPr>
      <w:r>
        <w:rPr>
          <w:rStyle w:val="FootnoteReference"/>
        </w:rPr>
        <w:footnoteRef/>
      </w:r>
      <w:r>
        <w:t xml:space="preserve"> Articles of Incorporation of Somaticare, Inc. (filed in the Office of the Secretary of State of Texas, Corporations Section; Nov. 16, 1999).</w:t>
      </w:r>
    </w:p>
  </w:footnote>
  <w:footnote w:id="56">
    <w:p w:rsidR="002174A8" w:rsidRDefault="002174A8" w:rsidP="004C431D">
      <w:pPr>
        <w:pStyle w:val="FootnoteText"/>
      </w:pPr>
      <w:r>
        <w:rPr>
          <w:rStyle w:val="FootnoteReference"/>
        </w:rPr>
        <w:footnoteRef/>
      </w:r>
      <w:r>
        <w:t xml:space="preserve"> E-mail from Brenda Weaver, Logix Communications, LP</w:t>
      </w:r>
      <w:r w:rsidR="009762A5">
        <w:t xml:space="preserve">, </w:t>
      </w:r>
      <w:r>
        <w:t xml:space="preserve">to </w:t>
      </w:r>
      <w:r w:rsidR="009762A5">
        <w:t>Lisa Williford, T</w:t>
      </w:r>
      <w:r>
        <w:t xml:space="preserve">elecommunications Consumers Division, FCC Enforcement Bureau (May </w:t>
      </w:r>
      <w:r w:rsidR="009762A5">
        <w:t>28</w:t>
      </w:r>
      <w:r>
        <w:t>, 201</w:t>
      </w:r>
      <w:r w:rsidR="009762A5">
        <w:t>3</w:t>
      </w:r>
      <w:r>
        <w:t>, 12:1</w:t>
      </w:r>
      <w:r w:rsidR="009762A5">
        <w:t>6</w:t>
      </w:r>
      <w:r>
        <w:t xml:space="preserve"> PM)</w:t>
      </w:r>
      <w:r w:rsidR="001762A6">
        <w:t xml:space="preserve">; e-mail from Brenda Weaver, Logix Communications, LP, to Al McCloud, Telecommunications Consumers Division, FCC Enforcement Bureau (Jan. 13, 2013, 2:54 PM). </w:t>
      </w:r>
      <w:r>
        <w:t xml:space="preserve">   </w:t>
      </w:r>
    </w:p>
  </w:footnote>
  <w:footnote w:id="57">
    <w:p w:rsidR="009258D9" w:rsidRDefault="009258D9" w:rsidP="00D05035">
      <w:pPr>
        <w:pStyle w:val="FootnoteText"/>
      </w:pPr>
      <w:r>
        <w:rPr>
          <w:rStyle w:val="FootnoteReference"/>
        </w:rPr>
        <w:footnoteRef/>
      </w:r>
      <w:r>
        <w:t xml:space="preserve"> </w:t>
      </w:r>
      <w:r w:rsidRPr="00480FEC">
        <w:rPr>
          <w:i/>
          <w:color w:val="000000"/>
        </w:rPr>
        <w:t>See</w:t>
      </w:r>
      <w:r w:rsidR="00B95564">
        <w:rPr>
          <w:i/>
          <w:color w:val="000000"/>
        </w:rPr>
        <w:t xml:space="preserve"> </w:t>
      </w:r>
      <w:r w:rsidR="00B95564" w:rsidRPr="004F549C">
        <w:rPr>
          <w:color w:val="000000"/>
        </w:rPr>
        <w:t>http://dsmsupply.com</w:t>
      </w:r>
      <w:r w:rsidR="00B95564" w:rsidRPr="00480FEC">
        <w:rPr>
          <w:color w:val="000000"/>
        </w:rPr>
        <w:t xml:space="preserve"> (last visited Nov. 25, 2013).</w:t>
      </w:r>
    </w:p>
  </w:footnote>
  <w:footnote w:id="58">
    <w:p w:rsidR="00280F7D" w:rsidRDefault="00280F7D" w:rsidP="00280F7D">
      <w:pPr>
        <w:pStyle w:val="FootnoteText"/>
      </w:pPr>
      <w:r>
        <w:rPr>
          <w:rStyle w:val="FootnoteReference"/>
        </w:rPr>
        <w:footnoteRef/>
      </w:r>
      <w:r>
        <w:t xml:space="preserve"> 47 U.S.C. § 217 (emphasis added).</w:t>
      </w:r>
    </w:p>
  </w:footnote>
  <w:footnote w:id="59">
    <w:p w:rsidR="00280F7D" w:rsidRPr="009D37AF" w:rsidRDefault="00280F7D" w:rsidP="00280F7D">
      <w:pPr>
        <w:pStyle w:val="FootnoteText"/>
      </w:pPr>
      <w:r>
        <w:rPr>
          <w:rStyle w:val="FootnoteReference"/>
        </w:rPr>
        <w:footnoteRef/>
      </w:r>
      <w:r>
        <w:t xml:space="preserve"> </w:t>
      </w:r>
      <w:r w:rsidRPr="0078223C">
        <w:rPr>
          <w:i/>
        </w:rPr>
        <w:t xml:space="preserve">21st </w:t>
      </w:r>
      <w:r>
        <w:rPr>
          <w:i/>
        </w:rPr>
        <w:t>Century Fax(es) LTD. aka 20</w:t>
      </w:r>
      <w:r w:rsidRPr="0078223C">
        <w:rPr>
          <w:i/>
          <w:vertAlign w:val="superscript"/>
        </w:rPr>
        <w:t>th</w:t>
      </w:r>
      <w:r>
        <w:rPr>
          <w:i/>
        </w:rPr>
        <w:t xml:space="preserve"> Century Fax(es)</w:t>
      </w:r>
      <w:r>
        <w:t>, Forfeiture Order, 17 FCC Rcd 1384, at 1386 n.16 (2002) (</w:t>
      </w:r>
      <w:r>
        <w:rPr>
          <w:i/>
        </w:rPr>
        <w:t>21</w:t>
      </w:r>
      <w:r w:rsidRPr="005E657B">
        <w:rPr>
          <w:i/>
          <w:vertAlign w:val="superscript"/>
        </w:rPr>
        <w:t>st</w:t>
      </w:r>
      <w:r>
        <w:rPr>
          <w:i/>
        </w:rPr>
        <w:t xml:space="preserve"> Century</w:t>
      </w:r>
      <w:r>
        <w:t>).</w:t>
      </w:r>
    </w:p>
  </w:footnote>
  <w:footnote w:id="60">
    <w:p w:rsidR="00280F7D" w:rsidRPr="00DD4B95" w:rsidRDefault="00280F7D" w:rsidP="00280F7D">
      <w:pPr>
        <w:pStyle w:val="FootnoteText"/>
      </w:pPr>
      <w:r>
        <w:rPr>
          <w:rStyle w:val="FootnoteReference"/>
        </w:rPr>
        <w:footnoteRef/>
      </w:r>
      <w:r>
        <w:t xml:space="preserve"> </w:t>
      </w:r>
      <w:r>
        <w:rPr>
          <w:i/>
        </w:rPr>
        <w:t xml:space="preserve">Id. </w:t>
      </w:r>
      <w:r>
        <w:t>at 1386, para. 5.</w:t>
      </w:r>
    </w:p>
  </w:footnote>
  <w:footnote w:id="61">
    <w:p w:rsidR="00401748" w:rsidRPr="00A14FFD" w:rsidRDefault="00401748" w:rsidP="00D05035">
      <w:pPr>
        <w:pStyle w:val="FootnoteText"/>
      </w:pPr>
      <w:r w:rsidRPr="00A14FFD">
        <w:rPr>
          <w:rStyle w:val="FootnoteReference"/>
        </w:rPr>
        <w:footnoteRef/>
      </w:r>
      <w:r w:rsidRPr="00A14FFD">
        <w:t xml:space="preserve"> 47 U.S.C. § 503(b)(2)(E).</w:t>
      </w:r>
    </w:p>
  </w:footnote>
  <w:footnote w:id="62">
    <w:p w:rsidR="00401748" w:rsidRPr="00A14FFD" w:rsidRDefault="00401748" w:rsidP="00D05035">
      <w:pPr>
        <w:pStyle w:val="FootnoteText"/>
      </w:pPr>
      <w:r w:rsidRPr="00A14FFD">
        <w:rPr>
          <w:rStyle w:val="FootnoteReference"/>
        </w:rPr>
        <w:footnoteRef/>
      </w:r>
      <w:r w:rsidRPr="00A14FFD">
        <w:t xml:space="preserve"> 47 C.F.R. § 1.80(b)(8) note, sec. II (Adjustment Criteria for Section 503 Forfeitures).</w:t>
      </w:r>
    </w:p>
  </w:footnote>
  <w:footnote w:id="63">
    <w:p w:rsidR="00401748" w:rsidRPr="00A14FFD" w:rsidRDefault="00401748" w:rsidP="00D05035">
      <w:pPr>
        <w:pStyle w:val="FootnoteText"/>
      </w:pPr>
      <w:r w:rsidRPr="00A14FFD">
        <w:rPr>
          <w:rStyle w:val="FootnoteReference"/>
        </w:rPr>
        <w:footnoteRef/>
      </w:r>
      <w:r w:rsidRPr="00A14FFD">
        <w:t xml:space="preserve"> 47 U.S.C. § 503(b); 47 C.F.R. § 1.80.</w:t>
      </w:r>
    </w:p>
  </w:footnote>
  <w:footnote w:id="64">
    <w:p w:rsidR="00401748" w:rsidRPr="00A14FFD" w:rsidRDefault="00401748" w:rsidP="00D05035">
      <w:pPr>
        <w:pStyle w:val="FootnoteText"/>
      </w:pPr>
      <w:r w:rsidRPr="00A14FFD">
        <w:rPr>
          <w:rStyle w:val="FootnoteReference"/>
        </w:rPr>
        <w:footnoteRef/>
      </w:r>
      <w:r w:rsidRPr="00A14FFD">
        <w:t xml:space="preserve"> 47 C.F.R. § 1.80.</w:t>
      </w:r>
    </w:p>
  </w:footnote>
  <w:footnote w:id="65">
    <w:p w:rsidR="00401748" w:rsidRPr="00A14FFD" w:rsidRDefault="00401748" w:rsidP="00D05035">
      <w:pPr>
        <w:pStyle w:val="FootnoteText"/>
      </w:pPr>
      <w:r w:rsidRPr="00A14FFD">
        <w:rPr>
          <w:rStyle w:val="FootnoteReference"/>
        </w:rPr>
        <w:footnoteRef/>
      </w:r>
      <w:r w:rsidRPr="00A14FFD">
        <w:t xml:space="preserve"> </w:t>
      </w:r>
      <w:r w:rsidRPr="00A14FFD">
        <w:rPr>
          <w:rFonts w:eastAsia="MS Mincho"/>
        </w:rPr>
        <w:t>An FCC Form 159 and detailed instructions for completing the form may be obtained at http://www.fcc.gov/Forms/Form159/159.pdf.</w:t>
      </w:r>
    </w:p>
  </w:footnote>
  <w:footnote w:id="66">
    <w:p w:rsidR="00401748" w:rsidRPr="00A14FFD" w:rsidRDefault="00401748" w:rsidP="00D05035">
      <w:pPr>
        <w:pStyle w:val="FootnoteText"/>
      </w:pPr>
      <w:r w:rsidRPr="00A14FFD">
        <w:rPr>
          <w:rStyle w:val="FootnoteReference"/>
        </w:rPr>
        <w:footnoteRef/>
      </w:r>
      <w:r w:rsidRPr="00A14FFD">
        <w:t xml:space="preserve"> </w:t>
      </w:r>
      <w:r w:rsidRPr="00A14FFD">
        <w:rPr>
          <w:i/>
        </w:rPr>
        <w:t>See</w:t>
      </w:r>
      <w:r w:rsidRPr="00A14FFD">
        <w:t xml:space="preserve"> 47 C.F.R. § 1.1914.</w:t>
      </w:r>
    </w:p>
  </w:footnote>
  <w:footnote w:id="67">
    <w:p w:rsidR="004522D9" w:rsidRPr="00A14FFD" w:rsidRDefault="004522D9" w:rsidP="004522D9">
      <w:pPr>
        <w:pStyle w:val="FootnoteText"/>
      </w:pPr>
      <w:r w:rsidRPr="00A14FFD">
        <w:rPr>
          <w:rStyle w:val="FootnoteReference"/>
        </w:rPr>
        <w:footnoteRef/>
      </w:r>
      <w:r w:rsidRPr="00A14FFD">
        <w:t xml:space="preserve"> Some complainants appear on both lists, because they reported receiving one or more faxes before they requested not to receive any more faxes, and also received one or more faxes after such requests. </w:t>
      </w:r>
    </w:p>
  </w:footnote>
  <w:footnote w:id="68">
    <w:p w:rsidR="001762A6" w:rsidRDefault="001762A6" w:rsidP="001762A6">
      <w:pPr>
        <w:pStyle w:val="FootnoteText"/>
      </w:pPr>
      <w:r>
        <w:rPr>
          <w:rStyle w:val="FootnoteReference"/>
        </w:rPr>
        <w:footnoteRef/>
      </w:r>
      <w:r>
        <w:t xml:space="preserve"> Receiving fax numbers redacted by the FCC.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87" w:rsidRDefault="00287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F8" w:rsidRDefault="00EC7DF8" w:rsidP="00EC7DF8">
    <w:pPr>
      <w:pStyle w:val="Header"/>
      <w:rPr>
        <w:b w:val="0"/>
        <w:szCs w:val="22"/>
      </w:rPr>
    </w:pPr>
    <w:r>
      <w:tab/>
    </w:r>
    <w:r>
      <w:rPr>
        <w:szCs w:val="22"/>
      </w:rPr>
      <w:t>Federal Communications Commission</w:t>
    </w:r>
    <w:r>
      <w:rPr>
        <w:szCs w:val="22"/>
      </w:rPr>
      <w:tab/>
      <w:t xml:space="preserve"> FCC 14-</w:t>
    </w:r>
    <w:r w:rsidR="00C42540">
      <w:rPr>
        <w:szCs w:val="22"/>
      </w:rPr>
      <w:t>17</w:t>
    </w:r>
    <w:r>
      <w:rPr>
        <w:szCs w:val="22"/>
      </w:rPr>
      <w:t xml:space="preserve"> </w:t>
    </w:r>
  </w:p>
  <w:p w:rsidR="00EC7DF8" w:rsidRDefault="0074740A" w:rsidP="00EC7DF8">
    <w:pPr>
      <w:pStyle w:val="Header"/>
    </w:pPr>
    <w:r>
      <w:rPr>
        <w:noProof/>
        <w:lang w:val="x-none" w:eastAsia="x-none"/>
      </w:rPr>
      <w:pict>
        <v:line id="_x0000_s2052" style="position:absolute;z-index:251658240" from="0,1.75pt" to="468pt,1.75pt"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48" w:rsidRDefault="00401748">
    <w:pPr>
      <w:pStyle w:val="Header"/>
      <w:rPr>
        <w:b w:val="0"/>
        <w:szCs w:val="22"/>
      </w:rPr>
    </w:pPr>
    <w:r>
      <w:tab/>
    </w:r>
    <w:r>
      <w:rPr>
        <w:szCs w:val="22"/>
      </w:rPr>
      <w:t>Federal Communications Commission</w:t>
    </w:r>
    <w:r>
      <w:rPr>
        <w:szCs w:val="22"/>
      </w:rPr>
      <w:tab/>
      <w:t xml:space="preserve"> FCC 14-</w:t>
    </w:r>
    <w:r w:rsidR="00C42540">
      <w:rPr>
        <w:szCs w:val="22"/>
      </w:rPr>
      <w:t>17</w:t>
    </w:r>
    <w:r>
      <w:rPr>
        <w:szCs w:val="22"/>
      </w:rPr>
      <w:t xml:space="preserve"> </w:t>
    </w:r>
  </w:p>
  <w:p w:rsidR="00401748" w:rsidRDefault="0074740A">
    <w:pPr>
      <w:pStyle w:val="Header"/>
    </w:pPr>
    <w:r>
      <w:rPr>
        <w:noProof/>
        <w:lang w:val="x-none" w:eastAsia="x-none"/>
      </w:rPr>
      <w:pict>
        <v:line id="_x0000_s2050"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0ECC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3C86DED"/>
    <w:multiLevelType w:val="hybridMultilevel"/>
    <w:tmpl w:val="E0A84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D0F1B3D"/>
    <w:multiLevelType w:val="singleLevel"/>
    <w:tmpl w:val="4DCCE696"/>
    <w:lvl w:ilvl="0">
      <w:start w:val="1"/>
      <w:numFmt w:val="decimal"/>
      <w:lvlText w:val="%1."/>
      <w:lvlJc w:val="left"/>
      <w:pPr>
        <w:tabs>
          <w:tab w:val="num" w:pos="13050"/>
        </w:tabs>
        <w:ind w:firstLine="720"/>
      </w:pPr>
      <w:rPr>
        <w:rFonts w:ascii="Times New Roman" w:hAnsi="Times New Roman" w:cs="Times New Roman" w:hint="default"/>
        <w:b w:val="0"/>
        <w:i w:val="0"/>
        <w:caps w:val="0"/>
        <w:strike w:val="0"/>
        <w:dstrike w:val="0"/>
        <w:shadow w:val="0"/>
        <w:emboss w:val="0"/>
        <w:imprint w:val="0"/>
        <w:vanish w:val="0"/>
        <w:color w:val="auto"/>
        <w:sz w:val="22"/>
        <w:u w:val="none"/>
        <w:vertAlign w:val="baseline"/>
      </w:rPr>
    </w:lvl>
  </w:abstractNum>
  <w:abstractNum w:abstractNumId="9">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2">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3">
    <w:nsid w:val="59BA0F8A"/>
    <w:multiLevelType w:val="singleLevel"/>
    <w:tmpl w:val="5E322D42"/>
    <w:lvl w:ilvl="0">
      <w:start w:val="1"/>
      <w:numFmt w:val="bullet"/>
      <w:lvlText w:val=""/>
      <w:lvlJc w:val="left"/>
      <w:pPr>
        <w:tabs>
          <w:tab w:val="num" w:pos="2520"/>
        </w:tabs>
        <w:ind w:left="2520" w:hanging="360"/>
      </w:pPr>
      <w:rPr>
        <w:rFonts w:ascii="Symbol" w:hAnsi="Symbol" w:hint="default"/>
        <w:color w:val="auto"/>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2"/>
  </w:num>
  <w:num w:numId="2">
    <w:abstractNumId w:val="13"/>
  </w:num>
  <w:num w:numId="3">
    <w:abstractNumId w:val="8"/>
  </w:num>
  <w:num w:numId="4">
    <w:abstractNumId w:val="11"/>
  </w:num>
  <w:num w:numId="5">
    <w:abstractNumId w:val="9"/>
  </w:num>
  <w:num w:numId="6">
    <w:abstractNumId w:val="8"/>
    <w:lvlOverride w:ilvl="0">
      <w:startOverride w:val="1"/>
    </w:lvlOverride>
  </w:num>
  <w:num w:numId="7">
    <w:abstractNumId w:val="14"/>
  </w:num>
  <w:num w:numId="8">
    <w:abstractNumId w:val="2"/>
  </w:num>
  <w:num w:numId="9">
    <w:abstractNumId w:val="3"/>
  </w:num>
  <w:num w:numId="10">
    <w:abstractNumId w:val="0"/>
  </w:num>
  <w:num w:numId="11">
    <w:abstractNumId w:val="4"/>
  </w:num>
  <w:num w:numId="12">
    <w:abstractNumId w:val="5"/>
  </w:num>
  <w:num w:numId="13">
    <w:abstractNumId w:val="7"/>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2847"/>
    <w:rsid w:val="000312B2"/>
    <w:rsid w:val="00037F38"/>
    <w:rsid w:val="000461DB"/>
    <w:rsid w:val="000469FF"/>
    <w:rsid w:val="0005015E"/>
    <w:rsid w:val="0006528D"/>
    <w:rsid w:val="00084BE1"/>
    <w:rsid w:val="000A761D"/>
    <w:rsid w:val="000B158C"/>
    <w:rsid w:val="000B537A"/>
    <w:rsid w:val="000C1FD3"/>
    <w:rsid w:val="000C3C37"/>
    <w:rsid w:val="000C47D1"/>
    <w:rsid w:val="000D1EC1"/>
    <w:rsid w:val="00105958"/>
    <w:rsid w:val="00113AEC"/>
    <w:rsid w:val="001155C7"/>
    <w:rsid w:val="001232DF"/>
    <w:rsid w:val="0012673B"/>
    <w:rsid w:val="00127E65"/>
    <w:rsid w:val="001502CB"/>
    <w:rsid w:val="00152A88"/>
    <w:rsid w:val="001561F2"/>
    <w:rsid w:val="0016053E"/>
    <w:rsid w:val="00164C8D"/>
    <w:rsid w:val="001667D3"/>
    <w:rsid w:val="001762A6"/>
    <w:rsid w:val="00191ED8"/>
    <w:rsid w:val="0019350A"/>
    <w:rsid w:val="001A1DAE"/>
    <w:rsid w:val="001A3801"/>
    <w:rsid w:val="001B155A"/>
    <w:rsid w:val="001B4EF1"/>
    <w:rsid w:val="001C66BB"/>
    <w:rsid w:val="001D386C"/>
    <w:rsid w:val="001D3B70"/>
    <w:rsid w:val="001D612B"/>
    <w:rsid w:val="001D7394"/>
    <w:rsid w:val="00202CCE"/>
    <w:rsid w:val="002174A8"/>
    <w:rsid w:val="002222BD"/>
    <w:rsid w:val="002225C7"/>
    <w:rsid w:val="00225C55"/>
    <w:rsid w:val="0022768B"/>
    <w:rsid w:val="00244596"/>
    <w:rsid w:val="0026204F"/>
    <w:rsid w:val="002634F7"/>
    <w:rsid w:val="00263F2A"/>
    <w:rsid w:val="00273A5E"/>
    <w:rsid w:val="00273DC0"/>
    <w:rsid w:val="00273F6F"/>
    <w:rsid w:val="00280F7D"/>
    <w:rsid w:val="002828F8"/>
    <w:rsid w:val="00285057"/>
    <w:rsid w:val="00287187"/>
    <w:rsid w:val="00297047"/>
    <w:rsid w:val="002C6159"/>
    <w:rsid w:val="002D593B"/>
    <w:rsid w:val="002F03A9"/>
    <w:rsid w:val="002F1169"/>
    <w:rsid w:val="002F5F72"/>
    <w:rsid w:val="00310BEF"/>
    <w:rsid w:val="003116C3"/>
    <w:rsid w:val="00322657"/>
    <w:rsid w:val="00322885"/>
    <w:rsid w:val="00325DD9"/>
    <w:rsid w:val="00327D32"/>
    <w:rsid w:val="00327D4D"/>
    <w:rsid w:val="00333B1F"/>
    <w:rsid w:val="00345A3C"/>
    <w:rsid w:val="0035598D"/>
    <w:rsid w:val="00360778"/>
    <w:rsid w:val="00365407"/>
    <w:rsid w:val="003717A9"/>
    <w:rsid w:val="0037296B"/>
    <w:rsid w:val="00376AB2"/>
    <w:rsid w:val="0038073E"/>
    <w:rsid w:val="00383EFF"/>
    <w:rsid w:val="00383F3C"/>
    <w:rsid w:val="0038700A"/>
    <w:rsid w:val="0038713C"/>
    <w:rsid w:val="003969A9"/>
    <w:rsid w:val="003A0BEE"/>
    <w:rsid w:val="003A186B"/>
    <w:rsid w:val="003A5E0E"/>
    <w:rsid w:val="003B5886"/>
    <w:rsid w:val="003B770B"/>
    <w:rsid w:val="003C1465"/>
    <w:rsid w:val="003C5585"/>
    <w:rsid w:val="003C7D56"/>
    <w:rsid w:val="003D2C49"/>
    <w:rsid w:val="003E59A2"/>
    <w:rsid w:val="003E76CF"/>
    <w:rsid w:val="003F1F6F"/>
    <w:rsid w:val="00401748"/>
    <w:rsid w:val="004141DB"/>
    <w:rsid w:val="004214E7"/>
    <w:rsid w:val="00421932"/>
    <w:rsid w:val="00425A17"/>
    <w:rsid w:val="0043439B"/>
    <w:rsid w:val="004522D9"/>
    <w:rsid w:val="00462DD2"/>
    <w:rsid w:val="00470F46"/>
    <w:rsid w:val="00481AC7"/>
    <w:rsid w:val="00493FC7"/>
    <w:rsid w:val="004A0E28"/>
    <w:rsid w:val="004A410E"/>
    <w:rsid w:val="004B05CD"/>
    <w:rsid w:val="004B4B3D"/>
    <w:rsid w:val="004C431D"/>
    <w:rsid w:val="004C4CC5"/>
    <w:rsid w:val="004C67E7"/>
    <w:rsid w:val="004E3496"/>
    <w:rsid w:val="004E7586"/>
    <w:rsid w:val="004F0AAE"/>
    <w:rsid w:val="004F294D"/>
    <w:rsid w:val="00500360"/>
    <w:rsid w:val="00511943"/>
    <w:rsid w:val="00515B20"/>
    <w:rsid w:val="0053440A"/>
    <w:rsid w:val="00536B7F"/>
    <w:rsid w:val="005410B0"/>
    <w:rsid w:val="0055384C"/>
    <w:rsid w:val="005554B1"/>
    <w:rsid w:val="00562F59"/>
    <w:rsid w:val="00573B2C"/>
    <w:rsid w:val="0058056C"/>
    <w:rsid w:val="00581343"/>
    <w:rsid w:val="005B05DA"/>
    <w:rsid w:val="005B1EB6"/>
    <w:rsid w:val="005B6E68"/>
    <w:rsid w:val="005D035A"/>
    <w:rsid w:val="005D2291"/>
    <w:rsid w:val="005D4269"/>
    <w:rsid w:val="005D781A"/>
    <w:rsid w:val="005E17CE"/>
    <w:rsid w:val="005E657B"/>
    <w:rsid w:val="005F6CB6"/>
    <w:rsid w:val="00626157"/>
    <w:rsid w:val="00635976"/>
    <w:rsid w:val="00641029"/>
    <w:rsid w:val="0064330F"/>
    <w:rsid w:val="00645DC4"/>
    <w:rsid w:val="00673509"/>
    <w:rsid w:val="00687CB7"/>
    <w:rsid w:val="00690388"/>
    <w:rsid w:val="006924A3"/>
    <w:rsid w:val="00694903"/>
    <w:rsid w:val="006B0ABD"/>
    <w:rsid w:val="006B41B5"/>
    <w:rsid w:val="006C4932"/>
    <w:rsid w:val="006D0897"/>
    <w:rsid w:val="006D63AA"/>
    <w:rsid w:val="006E00E8"/>
    <w:rsid w:val="006E4179"/>
    <w:rsid w:val="007046ED"/>
    <w:rsid w:val="0071574E"/>
    <w:rsid w:val="00716194"/>
    <w:rsid w:val="0072041A"/>
    <w:rsid w:val="00734BA7"/>
    <w:rsid w:val="00734EAB"/>
    <w:rsid w:val="0074740A"/>
    <w:rsid w:val="00755085"/>
    <w:rsid w:val="00764558"/>
    <w:rsid w:val="007664C4"/>
    <w:rsid w:val="00766638"/>
    <w:rsid w:val="00774AD1"/>
    <w:rsid w:val="00777312"/>
    <w:rsid w:val="00777629"/>
    <w:rsid w:val="0078223C"/>
    <w:rsid w:val="00785A17"/>
    <w:rsid w:val="007A0990"/>
    <w:rsid w:val="007A0C97"/>
    <w:rsid w:val="007A76E8"/>
    <w:rsid w:val="007B659B"/>
    <w:rsid w:val="007B69C8"/>
    <w:rsid w:val="007C2452"/>
    <w:rsid w:val="007C44F4"/>
    <w:rsid w:val="007C6E8F"/>
    <w:rsid w:val="007E23B7"/>
    <w:rsid w:val="007E34F0"/>
    <w:rsid w:val="00800E21"/>
    <w:rsid w:val="00801F88"/>
    <w:rsid w:val="00805910"/>
    <w:rsid w:val="00810066"/>
    <w:rsid w:val="00812C75"/>
    <w:rsid w:val="008379A8"/>
    <w:rsid w:val="008453EA"/>
    <w:rsid w:val="008516D8"/>
    <w:rsid w:val="00877498"/>
    <w:rsid w:val="00881097"/>
    <w:rsid w:val="0088413A"/>
    <w:rsid w:val="008A225A"/>
    <w:rsid w:val="008A3E89"/>
    <w:rsid w:val="008B5267"/>
    <w:rsid w:val="008C47EE"/>
    <w:rsid w:val="008F38E7"/>
    <w:rsid w:val="008F6C8F"/>
    <w:rsid w:val="008F6CBC"/>
    <w:rsid w:val="00900C97"/>
    <w:rsid w:val="00905449"/>
    <w:rsid w:val="009116FB"/>
    <w:rsid w:val="00925461"/>
    <w:rsid w:val="009258D9"/>
    <w:rsid w:val="00936122"/>
    <w:rsid w:val="0094404F"/>
    <w:rsid w:val="00975CE5"/>
    <w:rsid w:val="009762A5"/>
    <w:rsid w:val="00983569"/>
    <w:rsid w:val="0098562E"/>
    <w:rsid w:val="009A268B"/>
    <w:rsid w:val="009A3D38"/>
    <w:rsid w:val="009A50DA"/>
    <w:rsid w:val="009B02FB"/>
    <w:rsid w:val="009C1AD8"/>
    <w:rsid w:val="009D37AF"/>
    <w:rsid w:val="009D4B24"/>
    <w:rsid w:val="009E68EE"/>
    <w:rsid w:val="009E6F3E"/>
    <w:rsid w:val="009F1A6D"/>
    <w:rsid w:val="00A25D47"/>
    <w:rsid w:val="00A3262A"/>
    <w:rsid w:val="00A33562"/>
    <w:rsid w:val="00A3583E"/>
    <w:rsid w:val="00A40827"/>
    <w:rsid w:val="00A40CFC"/>
    <w:rsid w:val="00A510B7"/>
    <w:rsid w:val="00A52E82"/>
    <w:rsid w:val="00A64819"/>
    <w:rsid w:val="00A6696C"/>
    <w:rsid w:val="00A70CEE"/>
    <w:rsid w:val="00A80BCF"/>
    <w:rsid w:val="00A84658"/>
    <w:rsid w:val="00A91D7B"/>
    <w:rsid w:val="00A945B3"/>
    <w:rsid w:val="00AA1607"/>
    <w:rsid w:val="00AA7806"/>
    <w:rsid w:val="00AB363E"/>
    <w:rsid w:val="00AC14B7"/>
    <w:rsid w:val="00AC7678"/>
    <w:rsid w:val="00AD308C"/>
    <w:rsid w:val="00AE2AC8"/>
    <w:rsid w:val="00AF54F3"/>
    <w:rsid w:val="00B00250"/>
    <w:rsid w:val="00B057D7"/>
    <w:rsid w:val="00B15538"/>
    <w:rsid w:val="00B21439"/>
    <w:rsid w:val="00B31298"/>
    <w:rsid w:val="00B5178B"/>
    <w:rsid w:val="00B55D92"/>
    <w:rsid w:val="00B64952"/>
    <w:rsid w:val="00B7712E"/>
    <w:rsid w:val="00B77414"/>
    <w:rsid w:val="00B84CBF"/>
    <w:rsid w:val="00B87E81"/>
    <w:rsid w:val="00B95564"/>
    <w:rsid w:val="00B97786"/>
    <w:rsid w:val="00BB1B0E"/>
    <w:rsid w:val="00BB6C4F"/>
    <w:rsid w:val="00BB745B"/>
    <w:rsid w:val="00BC37F5"/>
    <w:rsid w:val="00BC7FA9"/>
    <w:rsid w:val="00BE361A"/>
    <w:rsid w:val="00BE573B"/>
    <w:rsid w:val="00BF017A"/>
    <w:rsid w:val="00BF1D09"/>
    <w:rsid w:val="00BF1DB7"/>
    <w:rsid w:val="00C03DFD"/>
    <w:rsid w:val="00C11E32"/>
    <w:rsid w:val="00C23CEE"/>
    <w:rsid w:val="00C42540"/>
    <w:rsid w:val="00CA194B"/>
    <w:rsid w:val="00CA60F4"/>
    <w:rsid w:val="00CB293F"/>
    <w:rsid w:val="00CB5927"/>
    <w:rsid w:val="00CC001D"/>
    <w:rsid w:val="00CC5269"/>
    <w:rsid w:val="00CC6637"/>
    <w:rsid w:val="00CE6515"/>
    <w:rsid w:val="00CE7C6C"/>
    <w:rsid w:val="00CF0766"/>
    <w:rsid w:val="00CF62BF"/>
    <w:rsid w:val="00D01634"/>
    <w:rsid w:val="00D0211C"/>
    <w:rsid w:val="00D04379"/>
    <w:rsid w:val="00D05035"/>
    <w:rsid w:val="00D06DB8"/>
    <w:rsid w:val="00D51F2B"/>
    <w:rsid w:val="00D934CD"/>
    <w:rsid w:val="00D9374C"/>
    <w:rsid w:val="00D959CC"/>
    <w:rsid w:val="00DA016B"/>
    <w:rsid w:val="00DA6CC9"/>
    <w:rsid w:val="00DB1DFB"/>
    <w:rsid w:val="00DB4FD5"/>
    <w:rsid w:val="00DB6BA9"/>
    <w:rsid w:val="00DC744C"/>
    <w:rsid w:val="00DC7CFD"/>
    <w:rsid w:val="00DD0104"/>
    <w:rsid w:val="00DD3ACC"/>
    <w:rsid w:val="00DD4442"/>
    <w:rsid w:val="00DD46D9"/>
    <w:rsid w:val="00DD4B95"/>
    <w:rsid w:val="00DE16F8"/>
    <w:rsid w:val="00DE1ECE"/>
    <w:rsid w:val="00DE2903"/>
    <w:rsid w:val="00DF0A5F"/>
    <w:rsid w:val="00DF2321"/>
    <w:rsid w:val="00DF6F72"/>
    <w:rsid w:val="00E046AC"/>
    <w:rsid w:val="00E12B03"/>
    <w:rsid w:val="00E248CE"/>
    <w:rsid w:val="00E26EFF"/>
    <w:rsid w:val="00E51A15"/>
    <w:rsid w:val="00E54372"/>
    <w:rsid w:val="00E72847"/>
    <w:rsid w:val="00E938C1"/>
    <w:rsid w:val="00EB45C2"/>
    <w:rsid w:val="00EB5858"/>
    <w:rsid w:val="00EC7DF8"/>
    <w:rsid w:val="00ED6C51"/>
    <w:rsid w:val="00EE0020"/>
    <w:rsid w:val="00EE2164"/>
    <w:rsid w:val="00EE6CBC"/>
    <w:rsid w:val="00F00C72"/>
    <w:rsid w:val="00F033AB"/>
    <w:rsid w:val="00F07D2A"/>
    <w:rsid w:val="00F13DF2"/>
    <w:rsid w:val="00F27417"/>
    <w:rsid w:val="00F27B7F"/>
    <w:rsid w:val="00F40673"/>
    <w:rsid w:val="00F43E94"/>
    <w:rsid w:val="00F47C04"/>
    <w:rsid w:val="00F743E7"/>
    <w:rsid w:val="00F81251"/>
    <w:rsid w:val="00F825D9"/>
    <w:rsid w:val="00F90FE7"/>
    <w:rsid w:val="00F93BBC"/>
    <w:rsid w:val="00FA32ED"/>
    <w:rsid w:val="00FA54DC"/>
    <w:rsid w:val="00FB1D42"/>
    <w:rsid w:val="00FB5193"/>
    <w:rsid w:val="00FC22D5"/>
    <w:rsid w:val="00FC2C65"/>
    <w:rsid w:val="00FD0548"/>
    <w:rsid w:val="00FF2144"/>
    <w:rsid w:val="00FF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0A"/>
    <w:pPr>
      <w:widowControl w:val="0"/>
    </w:pPr>
    <w:rPr>
      <w:snapToGrid w:val="0"/>
      <w:kern w:val="28"/>
      <w:sz w:val="22"/>
    </w:rPr>
  </w:style>
  <w:style w:type="paragraph" w:styleId="Heading1">
    <w:name w:val="heading 1"/>
    <w:basedOn w:val="Normal"/>
    <w:next w:val="ParaNum"/>
    <w:link w:val="Heading1Char"/>
    <w:qFormat/>
    <w:rsid w:val="0074740A"/>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4740A"/>
    <w:pPr>
      <w:keepNext/>
      <w:numPr>
        <w:ilvl w:val="1"/>
        <w:numId w:val="13"/>
      </w:numPr>
      <w:spacing w:after="120"/>
      <w:outlineLvl w:val="1"/>
    </w:pPr>
    <w:rPr>
      <w:b/>
    </w:rPr>
  </w:style>
  <w:style w:type="paragraph" w:styleId="Heading3">
    <w:name w:val="heading 3"/>
    <w:basedOn w:val="Normal"/>
    <w:next w:val="ParaNum"/>
    <w:link w:val="Heading3Char"/>
    <w:qFormat/>
    <w:rsid w:val="0074740A"/>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74740A"/>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74740A"/>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74740A"/>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74740A"/>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74740A"/>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4740A"/>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474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740A"/>
  </w:style>
  <w:style w:type="character" w:customStyle="1" w:styleId="Heading2Char">
    <w:name w:val="Heading 2 Char"/>
    <w:link w:val="Heading2"/>
    <w:locked/>
    <w:rPr>
      <w:b/>
      <w:snapToGrid w:val="0"/>
      <w:kern w:val="28"/>
      <w:sz w:val="22"/>
    </w:rPr>
  </w:style>
  <w:style w:type="character" w:customStyle="1" w:styleId="Heading3Char">
    <w:name w:val="Heading 3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paragraph" w:styleId="Caption">
    <w:name w:val="caption"/>
    <w:basedOn w:val="Normal"/>
    <w:next w:val="Normal"/>
    <w:uiPriority w:val="99"/>
    <w:qFormat/>
    <w:pPr>
      <w:spacing w:before="120" w:after="120"/>
    </w:pPr>
    <w:rPr>
      <w:b/>
    </w:rPr>
  </w:style>
  <w:style w:type="character" w:customStyle="1" w:styleId="Heading1Char">
    <w:name w:val="Heading 1 Char"/>
    <w:link w:val="Heading1"/>
    <w:locked/>
    <w:rPr>
      <w:rFonts w:ascii="Times New Roman Bold" w:hAnsi="Times New Roman Bold"/>
      <w:b/>
      <w:caps/>
      <w:snapToGrid w:val="0"/>
      <w:kern w:val="28"/>
      <w:sz w:val="22"/>
    </w:rPr>
  </w:style>
  <w:style w:type="paragraph" w:customStyle="1" w:styleId="ParaNum">
    <w:name w:val="ParaNum"/>
    <w:basedOn w:val="Normal"/>
    <w:rsid w:val="0074740A"/>
    <w:pPr>
      <w:numPr>
        <w:numId w:val="7"/>
      </w:numPr>
      <w:tabs>
        <w:tab w:val="clear" w:pos="1080"/>
        <w:tab w:val="num" w:pos="1440"/>
      </w:tabs>
      <w:spacing w:after="120"/>
    </w:pPr>
  </w:style>
  <w:style w:type="paragraph" w:styleId="FootnoteText">
    <w:name w:val="footnote text"/>
    <w:aliases w:val="ALTS FOOTNOTE,fn,rrfootnote,Footnote Text Char,Footnote Text Char2 Char,Footnote Text Char Char Char,Footnote Text Char1 Char Char1 Char,Footnote Text Char Char1 Char Char Char,Footnote Text Char3 Char Char Char Char Char,Footnote Text Cha"/>
    <w:link w:val="FootnoteTextChar1"/>
    <w:rsid w:val="0074740A"/>
    <w:pPr>
      <w:spacing w:after="120"/>
    </w:pPr>
  </w:style>
  <w:style w:type="character" w:customStyle="1" w:styleId="FootnoteTextChar1">
    <w:name w:val="Footnote Text Char1"/>
    <w:aliases w:val="ALTS FOOTNOTE Char,fn Char,rrfootnote Char,Footnote Text Char Char,Footnote Text Char2 Char Char,Footnote Text Char Char Char Char,Footnote Text Char1 Char Char1 Char Char,Footnote Text Char Char1 Char Char Char Char"/>
    <w:link w:val="FootnoteText"/>
    <w:locked/>
  </w:style>
  <w:style w:type="paragraph" w:customStyle="1" w:styleId="Bullet">
    <w:name w:val="Bullet"/>
    <w:basedOn w:val="Normal"/>
    <w:rsid w:val="0074740A"/>
    <w:pPr>
      <w:tabs>
        <w:tab w:val="left" w:pos="2160"/>
      </w:tabs>
      <w:spacing w:after="220"/>
      <w:ind w:left="2160" w:hanging="720"/>
    </w:pPr>
  </w:style>
  <w:style w:type="paragraph" w:styleId="BlockText">
    <w:name w:val="Block Text"/>
    <w:basedOn w:val="Normal"/>
    <w:rsid w:val="0074740A"/>
    <w:pPr>
      <w:spacing w:after="240"/>
      <w:ind w:left="1440" w:right="1440"/>
    </w:pPr>
  </w:style>
  <w:style w:type="paragraph" w:customStyle="1" w:styleId="TableFormat">
    <w:name w:val="TableFormat"/>
    <w:basedOn w:val="Bullet"/>
    <w:rsid w:val="0074740A"/>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rsid w:val="0074740A"/>
    <w:rPr>
      <w:rFonts w:ascii="Times New Roman" w:hAnsi="Times New Roman"/>
      <w:dstrike w:val="0"/>
      <w:color w:val="auto"/>
      <w:sz w:val="20"/>
      <w:vertAlign w:val="superscript"/>
    </w:rPr>
  </w:style>
  <w:style w:type="paragraph" w:styleId="Header">
    <w:name w:val="header"/>
    <w:basedOn w:val="Normal"/>
    <w:link w:val="HeaderChar"/>
    <w:autoRedefine/>
    <w:rsid w:val="0074740A"/>
    <w:pPr>
      <w:tabs>
        <w:tab w:val="center" w:pos="4680"/>
        <w:tab w:val="right" w:pos="9360"/>
      </w:tabs>
    </w:pPr>
    <w:rPr>
      <w:b/>
    </w:rPr>
  </w:style>
  <w:style w:type="paragraph" w:styleId="Footer">
    <w:name w:val="footer"/>
    <w:basedOn w:val="Normal"/>
    <w:link w:val="FooterChar"/>
    <w:rsid w:val="0074740A"/>
    <w:pPr>
      <w:tabs>
        <w:tab w:val="center" w:pos="4320"/>
        <w:tab w:val="right" w:pos="8640"/>
      </w:tabs>
    </w:pPr>
  </w:style>
  <w:style w:type="character" w:customStyle="1" w:styleId="HeaderChar">
    <w:name w:val="Header Char"/>
    <w:link w:val="Header"/>
    <w:locked/>
    <w:rPr>
      <w:b/>
      <w:snapToGrid w:val="0"/>
      <w:kern w:val="28"/>
      <w:sz w:val="22"/>
    </w:rPr>
  </w:style>
  <w:style w:type="paragraph" w:styleId="TOC2">
    <w:name w:val="toc 2"/>
    <w:basedOn w:val="Normal"/>
    <w:next w:val="Normal"/>
    <w:semiHidden/>
    <w:rsid w:val="0074740A"/>
    <w:pPr>
      <w:tabs>
        <w:tab w:val="left" w:pos="720"/>
        <w:tab w:val="right" w:leader="dot" w:pos="9360"/>
      </w:tabs>
      <w:suppressAutoHyphens/>
      <w:ind w:left="720" w:right="720" w:hanging="360"/>
    </w:pPr>
    <w:rPr>
      <w:noProof/>
    </w:rPr>
  </w:style>
  <w:style w:type="character" w:customStyle="1" w:styleId="FooterChar">
    <w:name w:val="Footer Char"/>
    <w:link w:val="Footer"/>
    <w:locked/>
    <w:rPr>
      <w:snapToGrid w:val="0"/>
      <w:kern w:val="28"/>
      <w:sz w:val="22"/>
    </w:rPr>
  </w:style>
  <w:style w:type="paragraph" w:customStyle="1" w:styleId="NumberedList">
    <w:name w:val="Numbered List"/>
    <w:basedOn w:val="Normal"/>
    <w:pPr>
      <w:numPr>
        <w:numId w:val="4"/>
      </w:numPr>
      <w:spacing w:after="220"/>
    </w:pPr>
  </w:style>
  <w:style w:type="paragraph" w:styleId="TOC1">
    <w:name w:val="toc 1"/>
    <w:basedOn w:val="Normal"/>
    <w:next w:val="Normal"/>
    <w:semiHidden/>
    <w:rsid w:val="0074740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474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474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474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474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474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474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4740A"/>
    <w:pPr>
      <w:tabs>
        <w:tab w:val="left" w:pos="3240"/>
        <w:tab w:val="right" w:leader="dot" w:pos="9360"/>
      </w:tabs>
      <w:suppressAutoHyphens/>
      <w:ind w:left="3240" w:hanging="360"/>
    </w:pPr>
    <w:rPr>
      <w:noProof/>
    </w:rPr>
  </w:style>
  <w:style w:type="character" w:styleId="PageNumber">
    <w:name w:val="page number"/>
    <w:basedOn w:val="DefaultParagraphFont"/>
    <w:rsid w:val="0074740A"/>
  </w:style>
  <w:style w:type="paragraph" w:styleId="Title">
    <w:name w:val="Title"/>
    <w:basedOn w:val="Normal"/>
    <w:link w:val="TitleChar"/>
    <w:uiPriority w:val="99"/>
    <w:qFormat/>
    <w:pPr>
      <w:jc w:val="center"/>
    </w:pPr>
    <w:rPr>
      <w:rFonts w:ascii="Cambria" w:hAnsi="Cambria"/>
      <w:b/>
      <w:sz w:val="32"/>
      <w:lang w:val="x-none" w:eastAsia="x-none"/>
    </w:rPr>
  </w:style>
  <w:style w:type="paragraph" w:customStyle="1" w:styleId="ParaNumChar">
    <w:name w:val="ParaNum Char"/>
    <w:basedOn w:val="Normal"/>
    <w:uiPriority w:val="99"/>
    <w:pPr>
      <w:tabs>
        <w:tab w:val="left" w:pos="1440"/>
        <w:tab w:val="num" w:pos="9270"/>
      </w:tabs>
      <w:spacing w:after="220"/>
      <w:ind w:left="8190" w:firstLine="720"/>
      <w:jc w:val="both"/>
    </w:pPr>
  </w:style>
  <w:style w:type="character" w:customStyle="1" w:styleId="TitleChar">
    <w:name w:val="Title Char"/>
    <w:link w:val="Title"/>
    <w:uiPriority w:val="99"/>
    <w:locked/>
    <w:rPr>
      <w:rFonts w:ascii="Cambria" w:hAnsi="Cambria"/>
      <w:b/>
      <w:kern w:val="28"/>
      <w:sz w:val="32"/>
    </w:rPr>
  </w:style>
  <w:style w:type="character" w:styleId="Hyperlink">
    <w:name w:val="Hyperlink"/>
    <w:rsid w:val="0074740A"/>
    <w:rPr>
      <w:color w:val="0000FF"/>
      <w:u w:val="single"/>
    </w:rPr>
  </w:style>
  <w:style w:type="paragraph" w:styleId="BodyText">
    <w:name w:val="Body Text"/>
    <w:basedOn w:val="Normal"/>
    <w:link w:val="BodyTextChar"/>
    <w:uiPriority w:val="99"/>
    <w:pPr>
      <w:spacing w:after="120"/>
    </w:pPr>
    <w:rPr>
      <w:sz w:val="20"/>
      <w:lang w:val="x-none" w:eastAsia="x-none"/>
    </w:rPr>
  </w:style>
  <w:style w:type="character" w:customStyle="1" w:styleId="documentbody1">
    <w:name w:val="documentbody1"/>
    <w:uiPriority w:val="99"/>
    <w:rPr>
      <w:rFonts w:ascii="Verdana" w:hAnsi="Verdana"/>
      <w:sz w:val="19"/>
      <w:shd w:val="clear" w:color="auto" w:fill="FFFFFF"/>
    </w:rPr>
  </w:style>
  <w:style w:type="character" w:customStyle="1" w:styleId="BodyTextChar">
    <w:name w:val="Body Text Char"/>
    <w:link w:val="BodyText"/>
    <w:uiPriority w:val="99"/>
    <w:semiHidden/>
    <w:locked/>
    <w:rPr>
      <w:sz w:val="20"/>
    </w:rPr>
  </w:style>
  <w:style w:type="table" w:styleId="TableGrid">
    <w:name w:val="Table Grid"/>
    <w:basedOn w:val="TableNormal"/>
    <w:uiPriority w:val="5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sz w:val="16"/>
      <w:lang w:val="x-none" w:eastAsia="x-none"/>
    </w:rPr>
  </w:style>
  <w:style w:type="character" w:styleId="FollowedHyperlink">
    <w:name w:val="FollowedHyperlink"/>
    <w:uiPriority w:val="99"/>
    <w:rPr>
      <w:rFonts w:cs="Times New Roman"/>
      <w:color w:val="800080"/>
      <w:u w:val="single"/>
    </w:rPr>
  </w:style>
  <w:style w:type="character" w:customStyle="1" w:styleId="BalloonTextChar">
    <w:name w:val="Balloon Text Char"/>
    <w:link w:val="BalloonText"/>
    <w:uiPriority w:val="99"/>
    <w:locked/>
    <w:rPr>
      <w:rFonts w:ascii="Tahoma" w:hAnsi="Tahoma"/>
      <w:sz w:val="16"/>
    </w:rPr>
  </w:style>
  <w:style w:type="character" w:styleId="Emphasis">
    <w:name w:val="Emphasis"/>
    <w:uiPriority w:val="99"/>
    <w:qFormat/>
    <w:rPr>
      <w:rFonts w:cs="Times New Roman"/>
      <w:i/>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lang w:val="x-none" w:eastAsia="x-none"/>
    </w:rPr>
  </w:style>
  <w:style w:type="paragraph" w:styleId="CommentSubject">
    <w:name w:val="annotation subject"/>
    <w:basedOn w:val="CommentText"/>
    <w:next w:val="CommentText"/>
    <w:link w:val="CommentSubjectChar"/>
    <w:uiPriority w:val="99"/>
    <w:semiHidden/>
    <w:rPr>
      <w:b/>
    </w:rPr>
  </w:style>
  <w:style w:type="character" w:customStyle="1" w:styleId="CommentTextChar">
    <w:name w:val="Comment Text Char"/>
    <w:link w:val="CommentText"/>
    <w:uiPriority w:val="99"/>
    <w:semiHidden/>
    <w:locked/>
    <w:rPr>
      <w:sz w:val="20"/>
    </w:rPr>
  </w:style>
  <w:style w:type="paragraph" w:styleId="DocumentMap">
    <w:name w:val="Document Map"/>
    <w:basedOn w:val="Normal"/>
    <w:link w:val="DocumentMapChar"/>
    <w:uiPriority w:val="99"/>
    <w:semiHidden/>
    <w:pPr>
      <w:shd w:val="clear" w:color="auto" w:fill="000080"/>
    </w:pPr>
    <w:rPr>
      <w:rFonts w:ascii="Tahoma" w:hAnsi="Tahoma"/>
      <w:sz w:val="16"/>
      <w:lang w:val="x-none" w:eastAsia="x-none"/>
    </w:rPr>
  </w:style>
  <w:style w:type="character" w:customStyle="1" w:styleId="CommentSubjectChar">
    <w:name w:val="Comment Subject Char"/>
    <w:link w:val="CommentSubject"/>
    <w:uiPriority w:val="99"/>
    <w:semiHidden/>
    <w:locked/>
    <w:rPr>
      <w:b/>
      <w:sz w:val="20"/>
    </w:rPr>
  </w:style>
  <w:style w:type="character" w:styleId="Strong">
    <w:name w:val="Strong"/>
    <w:uiPriority w:val="22"/>
    <w:qFormat/>
    <w:rPr>
      <w:b/>
      <w:bCs/>
    </w:rPr>
  </w:style>
  <w:style w:type="character" w:customStyle="1" w:styleId="DocumentMapChar">
    <w:name w:val="Document Map Char"/>
    <w:link w:val="DocumentMap"/>
    <w:uiPriority w:val="99"/>
    <w:semiHidden/>
    <w:locked/>
    <w:rPr>
      <w:rFonts w:ascii="Tahoma" w:hAnsi="Tahoma"/>
      <w:sz w:val="16"/>
    </w:rPr>
  </w:style>
  <w:style w:type="paragraph" w:customStyle="1" w:styleId="factsbody">
    <w:name w:val="factsbody"/>
    <w:basedOn w:val="Normal"/>
    <w:rsid w:val="004C4C81"/>
    <w:pPr>
      <w:spacing w:before="100" w:beforeAutospacing="1" w:after="100" w:afterAutospacing="1"/>
    </w:pPr>
    <w:rPr>
      <w:rFonts w:ascii="Arial" w:hAnsi="Arial" w:cs="Arial"/>
      <w:color w:val="000000"/>
      <w:szCs w:val="22"/>
    </w:rPr>
  </w:style>
  <w:style w:type="character" w:customStyle="1" w:styleId="FooterChar1">
    <w:name w:val="Footer Char1"/>
    <w:rsid w:val="00D17CEE"/>
    <w:rPr>
      <w:sz w:val="24"/>
      <w:lang w:val="en-US" w:eastAsia="en-US" w:bidi="ar-SA"/>
    </w:rPr>
  </w:style>
  <w:style w:type="paragraph" w:styleId="Revision">
    <w:name w:val="Revision"/>
    <w:hidden/>
    <w:uiPriority w:val="99"/>
    <w:semiHidden/>
    <w:rsid w:val="004A410E"/>
    <w:rPr>
      <w:sz w:val="22"/>
    </w:rPr>
  </w:style>
  <w:style w:type="paragraph" w:styleId="EndnoteText">
    <w:name w:val="endnote text"/>
    <w:basedOn w:val="Normal"/>
    <w:link w:val="EndnoteTextChar"/>
    <w:semiHidden/>
    <w:rsid w:val="0074740A"/>
    <w:rPr>
      <w:sz w:val="20"/>
    </w:rPr>
  </w:style>
  <w:style w:type="character" w:customStyle="1" w:styleId="EndnoteTextChar">
    <w:name w:val="Endnote Text Char"/>
    <w:basedOn w:val="DefaultParagraphFont"/>
    <w:link w:val="EndnoteText"/>
    <w:semiHidden/>
    <w:rsid w:val="00810066"/>
    <w:rPr>
      <w:snapToGrid w:val="0"/>
      <w:kern w:val="28"/>
    </w:rPr>
  </w:style>
  <w:style w:type="character" w:styleId="EndnoteReference">
    <w:name w:val="endnote reference"/>
    <w:semiHidden/>
    <w:rsid w:val="0074740A"/>
    <w:rPr>
      <w:vertAlign w:val="superscript"/>
    </w:rPr>
  </w:style>
  <w:style w:type="paragraph" w:styleId="TOAHeading">
    <w:name w:val="toa heading"/>
    <w:basedOn w:val="Normal"/>
    <w:next w:val="Normal"/>
    <w:semiHidden/>
    <w:rsid w:val="0074740A"/>
    <w:pPr>
      <w:tabs>
        <w:tab w:val="right" w:pos="9360"/>
      </w:tabs>
      <w:suppressAutoHyphens/>
    </w:pPr>
  </w:style>
  <w:style w:type="character" w:customStyle="1" w:styleId="EquationCaption">
    <w:name w:val="_Equation Caption"/>
    <w:rsid w:val="0074740A"/>
  </w:style>
  <w:style w:type="paragraph" w:customStyle="1" w:styleId="Paratitle">
    <w:name w:val="Para title"/>
    <w:basedOn w:val="Normal"/>
    <w:rsid w:val="0074740A"/>
    <w:pPr>
      <w:tabs>
        <w:tab w:val="center" w:pos="9270"/>
      </w:tabs>
      <w:spacing w:after="240"/>
    </w:pPr>
    <w:rPr>
      <w:spacing w:val="-2"/>
    </w:rPr>
  </w:style>
  <w:style w:type="paragraph" w:customStyle="1" w:styleId="TOCTitle">
    <w:name w:val="TOC Title"/>
    <w:basedOn w:val="Normal"/>
    <w:rsid w:val="007474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4740A"/>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0A"/>
    <w:pPr>
      <w:widowControl w:val="0"/>
    </w:pPr>
    <w:rPr>
      <w:snapToGrid w:val="0"/>
      <w:kern w:val="28"/>
      <w:sz w:val="22"/>
    </w:rPr>
  </w:style>
  <w:style w:type="paragraph" w:styleId="Heading1">
    <w:name w:val="heading 1"/>
    <w:basedOn w:val="Normal"/>
    <w:next w:val="ParaNum"/>
    <w:link w:val="Heading1Char"/>
    <w:qFormat/>
    <w:rsid w:val="0074740A"/>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4740A"/>
    <w:pPr>
      <w:keepNext/>
      <w:numPr>
        <w:ilvl w:val="1"/>
        <w:numId w:val="13"/>
      </w:numPr>
      <w:spacing w:after="120"/>
      <w:outlineLvl w:val="1"/>
    </w:pPr>
    <w:rPr>
      <w:b/>
    </w:rPr>
  </w:style>
  <w:style w:type="paragraph" w:styleId="Heading3">
    <w:name w:val="heading 3"/>
    <w:basedOn w:val="Normal"/>
    <w:next w:val="ParaNum"/>
    <w:link w:val="Heading3Char"/>
    <w:qFormat/>
    <w:rsid w:val="0074740A"/>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74740A"/>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74740A"/>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74740A"/>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74740A"/>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74740A"/>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4740A"/>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474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740A"/>
  </w:style>
  <w:style w:type="character" w:customStyle="1" w:styleId="Heading2Char">
    <w:name w:val="Heading 2 Char"/>
    <w:link w:val="Heading2"/>
    <w:locked/>
    <w:rPr>
      <w:b/>
      <w:snapToGrid w:val="0"/>
      <w:kern w:val="28"/>
      <w:sz w:val="22"/>
    </w:rPr>
  </w:style>
  <w:style w:type="character" w:customStyle="1" w:styleId="Heading3Char">
    <w:name w:val="Heading 3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paragraph" w:styleId="Caption">
    <w:name w:val="caption"/>
    <w:basedOn w:val="Normal"/>
    <w:next w:val="Normal"/>
    <w:uiPriority w:val="99"/>
    <w:qFormat/>
    <w:pPr>
      <w:spacing w:before="120" w:after="120"/>
    </w:pPr>
    <w:rPr>
      <w:b/>
    </w:rPr>
  </w:style>
  <w:style w:type="character" w:customStyle="1" w:styleId="Heading1Char">
    <w:name w:val="Heading 1 Char"/>
    <w:link w:val="Heading1"/>
    <w:locked/>
    <w:rPr>
      <w:rFonts w:ascii="Times New Roman Bold" w:hAnsi="Times New Roman Bold"/>
      <w:b/>
      <w:caps/>
      <w:snapToGrid w:val="0"/>
      <w:kern w:val="28"/>
      <w:sz w:val="22"/>
    </w:rPr>
  </w:style>
  <w:style w:type="paragraph" w:customStyle="1" w:styleId="ParaNum">
    <w:name w:val="ParaNum"/>
    <w:basedOn w:val="Normal"/>
    <w:rsid w:val="0074740A"/>
    <w:pPr>
      <w:numPr>
        <w:numId w:val="7"/>
      </w:numPr>
      <w:tabs>
        <w:tab w:val="clear" w:pos="1080"/>
        <w:tab w:val="num" w:pos="1440"/>
      </w:tabs>
      <w:spacing w:after="120"/>
    </w:pPr>
  </w:style>
  <w:style w:type="paragraph" w:styleId="FootnoteText">
    <w:name w:val="footnote text"/>
    <w:aliases w:val="ALTS FOOTNOTE,fn,rrfootnote,Footnote Text Char,Footnote Text Char2 Char,Footnote Text Char Char Char,Footnote Text Char1 Char Char1 Char,Footnote Text Char Char1 Char Char Char,Footnote Text Char3 Char Char Char Char Char,Footnote Text Cha"/>
    <w:link w:val="FootnoteTextChar1"/>
    <w:rsid w:val="0074740A"/>
    <w:pPr>
      <w:spacing w:after="120"/>
    </w:pPr>
  </w:style>
  <w:style w:type="character" w:customStyle="1" w:styleId="FootnoteTextChar1">
    <w:name w:val="Footnote Text Char1"/>
    <w:aliases w:val="ALTS FOOTNOTE Char,fn Char,rrfootnote Char,Footnote Text Char Char,Footnote Text Char2 Char Char,Footnote Text Char Char Char Char,Footnote Text Char1 Char Char1 Char Char,Footnote Text Char Char1 Char Char Char Char"/>
    <w:link w:val="FootnoteText"/>
    <w:locked/>
  </w:style>
  <w:style w:type="paragraph" w:customStyle="1" w:styleId="Bullet">
    <w:name w:val="Bullet"/>
    <w:basedOn w:val="Normal"/>
    <w:rsid w:val="0074740A"/>
    <w:pPr>
      <w:tabs>
        <w:tab w:val="left" w:pos="2160"/>
      </w:tabs>
      <w:spacing w:after="220"/>
      <w:ind w:left="2160" w:hanging="720"/>
    </w:pPr>
  </w:style>
  <w:style w:type="paragraph" w:styleId="BlockText">
    <w:name w:val="Block Text"/>
    <w:basedOn w:val="Normal"/>
    <w:rsid w:val="0074740A"/>
    <w:pPr>
      <w:spacing w:after="240"/>
      <w:ind w:left="1440" w:right="1440"/>
    </w:pPr>
  </w:style>
  <w:style w:type="paragraph" w:customStyle="1" w:styleId="TableFormat">
    <w:name w:val="TableFormat"/>
    <w:basedOn w:val="Bullet"/>
    <w:rsid w:val="0074740A"/>
    <w:p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rsid w:val="0074740A"/>
    <w:rPr>
      <w:rFonts w:ascii="Times New Roman" w:hAnsi="Times New Roman"/>
      <w:dstrike w:val="0"/>
      <w:color w:val="auto"/>
      <w:sz w:val="20"/>
      <w:vertAlign w:val="superscript"/>
    </w:rPr>
  </w:style>
  <w:style w:type="paragraph" w:styleId="Header">
    <w:name w:val="header"/>
    <w:basedOn w:val="Normal"/>
    <w:link w:val="HeaderChar"/>
    <w:autoRedefine/>
    <w:rsid w:val="0074740A"/>
    <w:pPr>
      <w:tabs>
        <w:tab w:val="center" w:pos="4680"/>
        <w:tab w:val="right" w:pos="9360"/>
      </w:tabs>
    </w:pPr>
    <w:rPr>
      <w:b/>
    </w:rPr>
  </w:style>
  <w:style w:type="paragraph" w:styleId="Footer">
    <w:name w:val="footer"/>
    <w:basedOn w:val="Normal"/>
    <w:link w:val="FooterChar"/>
    <w:rsid w:val="0074740A"/>
    <w:pPr>
      <w:tabs>
        <w:tab w:val="center" w:pos="4320"/>
        <w:tab w:val="right" w:pos="8640"/>
      </w:tabs>
    </w:pPr>
  </w:style>
  <w:style w:type="character" w:customStyle="1" w:styleId="HeaderChar">
    <w:name w:val="Header Char"/>
    <w:link w:val="Header"/>
    <w:locked/>
    <w:rPr>
      <w:b/>
      <w:snapToGrid w:val="0"/>
      <w:kern w:val="28"/>
      <w:sz w:val="22"/>
    </w:rPr>
  </w:style>
  <w:style w:type="paragraph" w:styleId="TOC2">
    <w:name w:val="toc 2"/>
    <w:basedOn w:val="Normal"/>
    <w:next w:val="Normal"/>
    <w:semiHidden/>
    <w:rsid w:val="0074740A"/>
    <w:pPr>
      <w:tabs>
        <w:tab w:val="left" w:pos="720"/>
        <w:tab w:val="right" w:leader="dot" w:pos="9360"/>
      </w:tabs>
      <w:suppressAutoHyphens/>
      <w:ind w:left="720" w:right="720" w:hanging="360"/>
    </w:pPr>
    <w:rPr>
      <w:noProof/>
    </w:rPr>
  </w:style>
  <w:style w:type="character" w:customStyle="1" w:styleId="FooterChar">
    <w:name w:val="Footer Char"/>
    <w:link w:val="Footer"/>
    <w:locked/>
    <w:rPr>
      <w:snapToGrid w:val="0"/>
      <w:kern w:val="28"/>
      <w:sz w:val="22"/>
    </w:rPr>
  </w:style>
  <w:style w:type="paragraph" w:customStyle="1" w:styleId="NumberedList">
    <w:name w:val="Numbered List"/>
    <w:basedOn w:val="Normal"/>
    <w:pPr>
      <w:numPr>
        <w:numId w:val="4"/>
      </w:numPr>
      <w:spacing w:after="220"/>
    </w:pPr>
  </w:style>
  <w:style w:type="paragraph" w:styleId="TOC1">
    <w:name w:val="toc 1"/>
    <w:basedOn w:val="Normal"/>
    <w:next w:val="Normal"/>
    <w:semiHidden/>
    <w:rsid w:val="0074740A"/>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474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474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474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474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474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474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4740A"/>
    <w:pPr>
      <w:tabs>
        <w:tab w:val="left" w:pos="3240"/>
        <w:tab w:val="right" w:leader="dot" w:pos="9360"/>
      </w:tabs>
      <w:suppressAutoHyphens/>
      <w:ind w:left="3240" w:hanging="360"/>
    </w:pPr>
    <w:rPr>
      <w:noProof/>
    </w:rPr>
  </w:style>
  <w:style w:type="character" w:styleId="PageNumber">
    <w:name w:val="page number"/>
    <w:basedOn w:val="DefaultParagraphFont"/>
    <w:rsid w:val="0074740A"/>
  </w:style>
  <w:style w:type="paragraph" w:styleId="Title">
    <w:name w:val="Title"/>
    <w:basedOn w:val="Normal"/>
    <w:link w:val="TitleChar"/>
    <w:uiPriority w:val="99"/>
    <w:qFormat/>
    <w:pPr>
      <w:jc w:val="center"/>
    </w:pPr>
    <w:rPr>
      <w:rFonts w:ascii="Cambria" w:hAnsi="Cambria"/>
      <w:b/>
      <w:sz w:val="32"/>
      <w:lang w:val="x-none" w:eastAsia="x-none"/>
    </w:rPr>
  </w:style>
  <w:style w:type="paragraph" w:customStyle="1" w:styleId="ParaNumChar">
    <w:name w:val="ParaNum Char"/>
    <w:basedOn w:val="Normal"/>
    <w:uiPriority w:val="99"/>
    <w:pPr>
      <w:tabs>
        <w:tab w:val="left" w:pos="1440"/>
        <w:tab w:val="num" w:pos="9270"/>
      </w:tabs>
      <w:spacing w:after="220"/>
      <w:ind w:left="8190" w:firstLine="720"/>
      <w:jc w:val="both"/>
    </w:pPr>
  </w:style>
  <w:style w:type="character" w:customStyle="1" w:styleId="TitleChar">
    <w:name w:val="Title Char"/>
    <w:link w:val="Title"/>
    <w:uiPriority w:val="99"/>
    <w:locked/>
    <w:rPr>
      <w:rFonts w:ascii="Cambria" w:hAnsi="Cambria"/>
      <w:b/>
      <w:kern w:val="28"/>
      <w:sz w:val="32"/>
    </w:rPr>
  </w:style>
  <w:style w:type="character" w:styleId="Hyperlink">
    <w:name w:val="Hyperlink"/>
    <w:rsid w:val="0074740A"/>
    <w:rPr>
      <w:color w:val="0000FF"/>
      <w:u w:val="single"/>
    </w:rPr>
  </w:style>
  <w:style w:type="paragraph" w:styleId="BodyText">
    <w:name w:val="Body Text"/>
    <w:basedOn w:val="Normal"/>
    <w:link w:val="BodyTextChar"/>
    <w:uiPriority w:val="99"/>
    <w:pPr>
      <w:spacing w:after="120"/>
    </w:pPr>
    <w:rPr>
      <w:sz w:val="20"/>
      <w:lang w:val="x-none" w:eastAsia="x-none"/>
    </w:rPr>
  </w:style>
  <w:style w:type="character" w:customStyle="1" w:styleId="documentbody1">
    <w:name w:val="documentbody1"/>
    <w:uiPriority w:val="99"/>
    <w:rPr>
      <w:rFonts w:ascii="Verdana" w:hAnsi="Verdana"/>
      <w:sz w:val="19"/>
      <w:shd w:val="clear" w:color="auto" w:fill="FFFFFF"/>
    </w:rPr>
  </w:style>
  <w:style w:type="character" w:customStyle="1" w:styleId="BodyTextChar">
    <w:name w:val="Body Text Char"/>
    <w:link w:val="BodyText"/>
    <w:uiPriority w:val="99"/>
    <w:semiHidden/>
    <w:locked/>
    <w:rPr>
      <w:sz w:val="20"/>
    </w:rPr>
  </w:style>
  <w:style w:type="table" w:styleId="TableGrid">
    <w:name w:val="Table Grid"/>
    <w:basedOn w:val="TableNormal"/>
    <w:uiPriority w:val="5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sz w:val="16"/>
      <w:lang w:val="x-none" w:eastAsia="x-none"/>
    </w:rPr>
  </w:style>
  <w:style w:type="character" w:styleId="FollowedHyperlink">
    <w:name w:val="FollowedHyperlink"/>
    <w:uiPriority w:val="99"/>
    <w:rPr>
      <w:rFonts w:cs="Times New Roman"/>
      <w:color w:val="800080"/>
      <w:u w:val="single"/>
    </w:rPr>
  </w:style>
  <w:style w:type="character" w:customStyle="1" w:styleId="BalloonTextChar">
    <w:name w:val="Balloon Text Char"/>
    <w:link w:val="BalloonText"/>
    <w:uiPriority w:val="99"/>
    <w:locked/>
    <w:rPr>
      <w:rFonts w:ascii="Tahoma" w:hAnsi="Tahoma"/>
      <w:sz w:val="16"/>
    </w:rPr>
  </w:style>
  <w:style w:type="character" w:styleId="Emphasis">
    <w:name w:val="Emphasis"/>
    <w:uiPriority w:val="99"/>
    <w:qFormat/>
    <w:rPr>
      <w:rFonts w:cs="Times New Roman"/>
      <w:i/>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lang w:val="x-none" w:eastAsia="x-none"/>
    </w:rPr>
  </w:style>
  <w:style w:type="paragraph" w:styleId="CommentSubject">
    <w:name w:val="annotation subject"/>
    <w:basedOn w:val="CommentText"/>
    <w:next w:val="CommentText"/>
    <w:link w:val="CommentSubjectChar"/>
    <w:uiPriority w:val="99"/>
    <w:semiHidden/>
    <w:rPr>
      <w:b/>
    </w:rPr>
  </w:style>
  <w:style w:type="character" w:customStyle="1" w:styleId="CommentTextChar">
    <w:name w:val="Comment Text Char"/>
    <w:link w:val="CommentText"/>
    <w:uiPriority w:val="99"/>
    <w:semiHidden/>
    <w:locked/>
    <w:rPr>
      <w:sz w:val="20"/>
    </w:rPr>
  </w:style>
  <w:style w:type="paragraph" w:styleId="DocumentMap">
    <w:name w:val="Document Map"/>
    <w:basedOn w:val="Normal"/>
    <w:link w:val="DocumentMapChar"/>
    <w:uiPriority w:val="99"/>
    <w:semiHidden/>
    <w:pPr>
      <w:shd w:val="clear" w:color="auto" w:fill="000080"/>
    </w:pPr>
    <w:rPr>
      <w:rFonts w:ascii="Tahoma" w:hAnsi="Tahoma"/>
      <w:sz w:val="16"/>
      <w:lang w:val="x-none" w:eastAsia="x-none"/>
    </w:rPr>
  </w:style>
  <w:style w:type="character" w:customStyle="1" w:styleId="CommentSubjectChar">
    <w:name w:val="Comment Subject Char"/>
    <w:link w:val="CommentSubject"/>
    <w:uiPriority w:val="99"/>
    <w:semiHidden/>
    <w:locked/>
    <w:rPr>
      <w:b/>
      <w:sz w:val="20"/>
    </w:rPr>
  </w:style>
  <w:style w:type="character" w:styleId="Strong">
    <w:name w:val="Strong"/>
    <w:uiPriority w:val="22"/>
    <w:qFormat/>
    <w:rPr>
      <w:b/>
      <w:bCs/>
    </w:rPr>
  </w:style>
  <w:style w:type="character" w:customStyle="1" w:styleId="DocumentMapChar">
    <w:name w:val="Document Map Char"/>
    <w:link w:val="DocumentMap"/>
    <w:uiPriority w:val="99"/>
    <w:semiHidden/>
    <w:locked/>
    <w:rPr>
      <w:rFonts w:ascii="Tahoma" w:hAnsi="Tahoma"/>
      <w:sz w:val="16"/>
    </w:rPr>
  </w:style>
  <w:style w:type="paragraph" w:customStyle="1" w:styleId="factsbody">
    <w:name w:val="factsbody"/>
    <w:basedOn w:val="Normal"/>
    <w:rsid w:val="004C4C81"/>
    <w:pPr>
      <w:spacing w:before="100" w:beforeAutospacing="1" w:after="100" w:afterAutospacing="1"/>
    </w:pPr>
    <w:rPr>
      <w:rFonts w:ascii="Arial" w:hAnsi="Arial" w:cs="Arial"/>
      <w:color w:val="000000"/>
      <w:szCs w:val="22"/>
    </w:rPr>
  </w:style>
  <w:style w:type="character" w:customStyle="1" w:styleId="FooterChar1">
    <w:name w:val="Footer Char1"/>
    <w:rsid w:val="00D17CEE"/>
    <w:rPr>
      <w:sz w:val="24"/>
      <w:lang w:val="en-US" w:eastAsia="en-US" w:bidi="ar-SA"/>
    </w:rPr>
  </w:style>
  <w:style w:type="paragraph" w:styleId="Revision">
    <w:name w:val="Revision"/>
    <w:hidden/>
    <w:uiPriority w:val="99"/>
    <w:semiHidden/>
    <w:rsid w:val="004A410E"/>
    <w:rPr>
      <w:sz w:val="22"/>
    </w:rPr>
  </w:style>
  <w:style w:type="paragraph" w:styleId="EndnoteText">
    <w:name w:val="endnote text"/>
    <w:basedOn w:val="Normal"/>
    <w:link w:val="EndnoteTextChar"/>
    <w:semiHidden/>
    <w:rsid w:val="0074740A"/>
    <w:rPr>
      <w:sz w:val="20"/>
    </w:rPr>
  </w:style>
  <w:style w:type="character" w:customStyle="1" w:styleId="EndnoteTextChar">
    <w:name w:val="Endnote Text Char"/>
    <w:basedOn w:val="DefaultParagraphFont"/>
    <w:link w:val="EndnoteText"/>
    <w:semiHidden/>
    <w:rsid w:val="00810066"/>
    <w:rPr>
      <w:snapToGrid w:val="0"/>
      <w:kern w:val="28"/>
    </w:rPr>
  </w:style>
  <w:style w:type="character" w:styleId="EndnoteReference">
    <w:name w:val="endnote reference"/>
    <w:semiHidden/>
    <w:rsid w:val="0074740A"/>
    <w:rPr>
      <w:vertAlign w:val="superscript"/>
    </w:rPr>
  </w:style>
  <w:style w:type="paragraph" w:styleId="TOAHeading">
    <w:name w:val="toa heading"/>
    <w:basedOn w:val="Normal"/>
    <w:next w:val="Normal"/>
    <w:semiHidden/>
    <w:rsid w:val="0074740A"/>
    <w:pPr>
      <w:tabs>
        <w:tab w:val="right" w:pos="9360"/>
      </w:tabs>
      <w:suppressAutoHyphens/>
    </w:pPr>
  </w:style>
  <w:style w:type="character" w:customStyle="1" w:styleId="EquationCaption">
    <w:name w:val="_Equation Caption"/>
    <w:rsid w:val="0074740A"/>
  </w:style>
  <w:style w:type="paragraph" w:customStyle="1" w:styleId="Paratitle">
    <w:name w:val="Para title"/>
    <w:basedOn w:val="Normal"/>
    <w:rsid w:val="0074740A"/>
    <w:pPr>
      <w:tabs>
        <w:tab w:val="center" w:pos="9270"/>
      </w:tabs>
      <w:spacing w:after="240"/>
    </w:pPr>
    <w:rPr>
      <w:spacing w:val="-2"/>
    </w:rPr>
  </w:style>
  <w:style w:type="paragraph" w:customStyle="1" w:styleId="TOCTitle">
    <w:name w:val="TOC Title"/>
    <w:basedOn w:val="Normal"/>
    <w:rsid w:val="007474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4740A"/>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71452">
      <w:bodyDiv w:val="1"/>
      <w:marLeft w:val="0"/>
      <w:marRight w:val="0"/>
      <w:marTop w:val="0"/>
      <w:marBottom w:val="0"/>
      <w:divBdr>
        <w:top w:val="none" w:sz="0" w:space="0" w:color="auto"/>
        <w:left w:val="none" w:sz="0" w:space="0" w:color="auto"/>
        <w:bottom w:val="none" w:sz="0" w:space="0" w:color="auto"/>
        <w:right w:val="none" w:sz="0" w:space="0" w:color="auto"/>
      </w:divBdr>
    </w:div>
    <w:div w:id="16120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ny.Drake@fcc.gov" TargetMode="External"/><Relationship Id="rId13" Type="http://schemas.openxmlformats.org/officeDocument/2006/relationships/header" Target="header3.xml"/><Relationship Id="rId18"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DB=1000547&amp;DocName=47CFRS64%2E1200&amp;FindType=L&amp;AP=&amp;RS=WLW4.05&amp;VR=2.0&amp;FN=_top&amp;SV=Split&amp;MT=Westlaw" TargetMode="External"/><Relationship Id="rId2" Type="http://schemas.openxmlformats.org/officeDocument/2006/relationships/hyperlink" Target="http://web2.westlaw.com/find/default.wl?DB=1000546&amp;DocName=47USCAS227&amp;FindType=L&amp;AP=&amp;RS=WLW4.05&amp;VR=2.0&amp;FN=_top&amp;SV=Split&amp;MT=Westlaw" TargetMode="External"/><Relationship Id="rId1" Type="http://schemas.openxmlformats.org/officeDocument/2006/relationships/hyperlink" Target="http://web2.westlaw.com/find/default.wl?DB=1000546&amp;DocName=47USCAS227&amp;FindType=L&amp;AP=&amp;RS=WLW4.05&amp;VR=2.0&amp;FN=_top&amp;SV=Split&amp;MT=Westlaw" TargetMode="External"/><Relationship Id="rId6" Type="http://schemas.openxmlformats.org/officeDocument/2006/relationships/hyperlink" Target="http://web2.westlaw.com/find/default.wl?DB=1016&amp;SerialNum=2000065436&amp;FindType=Y&amp;AP=&amp;RS=WLW4.05&amp;VR=2.0&amp;FN=_top&amp;SV=Split&amp;MT=Westlaw" TargetMode="External"/><Relationship Id="rId5" Type="http://schemas.openxmlformats.org/officeDocument/2006/relationships/hyperlink" Target="http://web2.westlaw.com/find/default.wl?DB=1016&amp;SerialNum=2000065436&amp;FindType=Y&amp;AP=&amp;RS=WLW4.05&amp;VR=2.0&amp;FN=_top&amp;SV=Split&amp;MT=Westlaw" TargetMode="External"/><Relationship Id="rId4" Type="http://schemas.openxmlformats.org/officeDocument/2006/relationships/hyperlink" Target="http://web2.westlaw.com/find/default.wl?DB=4493&amp;SerialNum=1999290595&amp;FindType=Y&amp;AP=&amp;RS=WLW4.05&amp;VR=2.0&amp;FN=_top&amp;SV=Split&amp;MT=Westl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4696</Words>
  <Characters>25838</Characters>
  <Application>Microsoft Office Word</Application>
  <DocSecurity>0</DocSecurity>
  <Lines>486</Lines>
  <Paragraphs>189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30507</CharactersWithSpaces>
  <SharedDoc>false</SharedDoc>
  <HyperlinkBase> </HyperlinkBase>
  <HLinks>
    <vt:vector size="42" baseType="variant">
      <vt:variant>
        <vt:i4>5963824</vt:i4>
      </vt:variant>
      <vt:variant>
        <vt:i4>0</vt:i4>
      </vt:variant>
      <vt:variant>
        <vt:i4>0</vt:i4>
      </vt:variant>
      <vt:variant>
        <vt:i4>5</vt:i4>
      </vt:variant>
      <vt:variant>
        <vt:lpwstr>mailto:Johnny.Drake@fcc.gov</vt:lpwstr>
      </vt:variant>
      <vt:variant>
        <vt:lpwstr/>
      </vt:variant>
      <vt:variant>
        <vt:i4>4128795</vt:i4>
      </vt:variant>
      <vt:variant>
        <vt:i4>15</vt:i4>
      </vt:variant>
      <vt:variant>
        <vt:i4>0</vt:i4>
      </vt:variant>
      <vt:variant>
        <vt:i4>5</vt:i4>
      </vt:variant>
      <vt:variant>
        <vt:lpwstr>http://web2.westlaw.com/find/default.wl?DB=1016&amp;SerialNum=2000065436&amp;FindType=Y&amp;AP=&amp;RS=WLW4.05&amp;VR=2.0&amp;FN=_top&amp;SV=Split&amp;MT=Westlaw</vt:lpwstr>
      </vt:variant>
      <vt:variant>
        <vt:lpwstr/>
      </vt:variant>
      <vt:variant>
        <vt:i4>4128795</vt:i4>
      </vt:variant>
      <vt:variant>
        <vt:i4>12</vt:i4>
      </vt:variant>
      <vt:variant>
        <vt:i4>0</vt:i4>
      </vt:variant>
      <vt:variant>
        <vt:i4>5</vt:i4>
      </vt:variant>
      <vt:variant>
        <vt:lpwstr>http://web2.westlaw.com/find/default.wl?DB=1016&amp;SerialNum=2000065436&amp;FindType=Y&amp;AP=&amp;RS=WLW4.05&amp;VR=2.0&amp;FN=_top&amp;SV=Split&amp;MT=Westlaw</vt:lpwstr>
      </vt:variant>
      <vt:variant>
        <vt:lpwstr/>
      </vt:variant>
      <vt:variant>
        <vt:i4>4128797</vt:i4>
      </vt:variant>
      <vt:variant>
        <vt:i4>9</vt:i4>
      </vt:variant>
      <vt:variant>
        <vt:i4>0</vt:i4>
      </vt:variant>
      <vt:variant>
        <vt:i4>5</vt:i4>
      </vt:variant>
      <vt:variant>
        <vt:lpwstr>http://web2.westlaw.com/find/default.wl?DB=4493&amp;SerialNum=1999290595&amp;FindType=Y&amp;AP=&amp;RS=WLW4.05&amp;VR=2.0&amp;FN=_top&amp;SV=Split&amp;MT=Westlaw</vt:lpwstr>
      </vt:variant>
      <vt:variant>
        <vt:lpwstr/>
      </vt:variant>
      <vt:variant>
        <vt:i4>5505081</vt:i4>
      </vt:variant>
      <vt:variant>
        <vt:i4>6</vt:i4>
      </vt:variant>
      <vt:variant>
        <vt:i4>0</vt:i4>
      </vt:variant>
      <vt:variant>
        <vt:i4>5</vt:i4>
      </vt:variant>
      <vt:variant>
        <vt:lpwstr>http://web2.westlaw.com/find/default.wl?DB=1000547&amp;DocName=47CFRS64%2E1200&amp;FindType=L&amp;AP=&amp;RS=WLW4.05&amp;VR=2.0&amp;FN=_top&amp;SV=Split&amp;MT=Westlaw</vt:lpwstr>
      </vt:variant>
      <vt:variant>
        <vt:lpwstr/>
      </vt:variant>
      <vt:variant>
        <vt:i4>8061015</vt:i4>
      </vt:variant>
      <vt:variant>
        <vt:i4>3</vt:i4>
      </vt:variant>
      <vt:variant>
        <vt:i4>0</vt:i4>
      </vt:variant>
      <vt:variant>
        <vt:i4>5</vt:i4>
      </vt:variant>
      <vt:variant>
        <vt:lpwstr>http://web2.westlaw.com/find/default.wl?DB=1000546&amp;DocName=47USCAS227&amp;FindType=L&amp;AP=&amp;RS=WLW4.05&amp;VR=2.0&amp;FN=_top&amp;SV=Split&amp;MT=Westlaw</vt:lpwstr>
      </vt:variant>
      <vt:variant>
        <vt:lpwstr/>
      </vt:variant>
      <vt:variant>
        <vt:i4>8061015</vt:i4>
      </vt:variant>
      <vt:variant>
        <vt:i4>0</vt:i4>
      </vt:variant>
      <vt:variant>
        <vt:i4>0</vt:i4>
      </vt:variant>
      <vt:variant>
        <vt:i4>5</vt:i4>
      </vt:variant>
      <vt:variant>
        <vt:lpwstr>http://web2.westlaw.com/find/default.wl?DB=1000546&amp;DocName=47USCAS227&amp;FindType=L&amp;AP=&amp;RS=WLW4.05&amp;VR=2.0&amp;FN=_top&amp;SV=Split&amp;MT=Westlaw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2014-01-05T16:18:00Z</cp:lastPrinted>
  <dcterms:created xsi:type="dcterms:W3CDTF">2014-02-24T18:08:00Z</dcterms:created>
  <dcterms:modified xsi:type="dcterms:W3CDTF">2014-02-24T18:08:00Z</dcterms:modified>
  <cp:category> </cp:category>
  <cp:contentStatus> </cp:contentStatus>
</cp:coreProperties>
</file>