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0B6A4A" w:rsidRDefault="000B6A4A" w:rsidP="000B6A4A">
            <w:pPr>
              <w:ind w:right="-18"/>
            </w:pPr>
            <w:r>
              <w:t>Amendment of Certain of the Commission’s</w:t>
            </w:r>
          </w:p>
          <w:p w:rsidR="004C2EE3" w:rsidRPr="007115F7" w:rsidRDefault="000B6A4A" w:rsidP="00FF2DFC">
            <w:pPr>
              <w:ind w:right="-18"/>
              <w:rPr>
                <w:spacing w:val="-2"/>
              </w:rPr>
            </w:pPr>
            <w:r>
              <w:t>Part 1 Rules of Practice and Procedure</w:t>
            </w:r>
            <w:r w:rsidR="00FF2DFC">
              <w:t xml:space="preserve"> and Part 0 Rules of Commission Organization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C515B3" w:rsidRPr="0055556D"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F2DFC" w:rsidRDefault="00FF2DFC">
            <w:pPr>
              <w:tabs>
                <w:tab w:val="center" w:pos="4680"/>
              </w:tabs>
              <w:suppressAutoHyphens/>
              <w:rPr>
                <w:spacing w:val="-2"/>
              </w:rPr>
            </w:pPr>
          </w:p>
          <w:p w:rsidR="004C2EE3" w:rsidRDefault="00FF2DFC">
            <w:pPr>
              <w:tabs>
                <w:tab w:val="center" w:pos="4680"/>
              </w:tabs>
              <w:suppressAutoHyphens/>
              <w:rPr>
                <w:spacing w:val="-2"/>
              </w:rPr>
            </w:pPr>
            <w:r>
              <w:rPr>
                <w:spacing w:val="-2"/>
              </w:rPr>
              <w:t>GC Docket No. 10-44</w:t>
            </w:r>
          </w:p>
        </w:tc>
      </w:tr>
    </w:tbl>
    <w:p w:rsidR="004C2EE3" w:rsidRDefault="004C2EE3" w:rsidP="0070224F"/>
    <w:p w:rsidR="0023321D" w:rsidRDefault="0023321D" w:rsidP="0070224F"/>
    <w:p w:rsidR="00841AB1" w:rsidRDefault="00C515B3"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76A7B">
        <w:rPr>
          <w:b/>
          <w:spacing w:val="-2"/>
        </w:rPr>
        <w:t>November 19,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6A7B">
        <w:rPr>
          <w:b/>
          <w:spacing w:val="-2"/>
        </w:rPr>
        <w:t xml:space="preserve">November </w:t>
      </w:r>
      <w:r w:rsidR="005E7BB3">
        <w:rPr>
          <w:b/>
          <w:spacing w:val="-2"/>
        </w:rPr>
        <w:t>26</w:t>
      </w:r>
      <w:r w:rsidR="00576A7B">
        <w:rPr>
          <w:b/>
          <w:spacing w:val="-2"/>
        </w:rPr>
        <w:t>, 2014</w:t>
      </w:r>
    </w:p>
    <w:p w:rsidR="00822CE0" w:rsidRDefault="00822CE0"/>
    <w:p w:rsidR="004C2EE3" w:rsidRDefault="004C2EE3">
      <w:pPr>
        <w:rPr>
          <w:spacing w:val="-2"/>
        </w:rPr>
      </w:pPr>
      <w:r>
        <w:t xml:space="preserve">By </w:t>
      </w:r>
      <w:r w:rsidR="004E4A22">
        <w:t>the</w:t>
      </w:r>
      <w:r w:rsidR="002A2D2E">
        <w:t xml:space="preserve"> </w:t>
      </w:r>
      <w:r w:rsidR="002D5ED3">
        <w:rPr>
          <w:spacing w:val="-2"/>
        </w:rPr>
        <w:t>Commission</w:t>
      </w:r>
      <w:r>
        <w:rPr>
          <w:spacing w:val="-2"/>
        </w:rPr>
        <w:t>:</w:t>
      </w:r>
    </w:p>
    <w:p w:rsidR="00412FC5" w:rsidRDefault="00412FC5" w:rsidP="00412FC5"/>
    <w:p w:rsidR="002C00E8" w:rsidRDefault="000B6A4A" w:rsidP="002C00E8">
      <w:pPr>
        <w:pStyle w:val="Heading1"/>
      </w:pPr>
      <w:r>
        <w:t>INTRODUCTION</w:t>
      </w:r>
    </w:p>
    <w:p w:rsidR="00FF2DFC" w:rsidRDefault="0037268C" w:rsidP="009F106F">
      <w:pPr>
        <w:pStyle w:val="ParaNum"/>
      </w:pPr>
      <w:r>
        <w:t>In this Order, we take steps to modernize and improve the efficiency for three common types of proceedings by implementing imp</w:t>
      </w:r>
      <w:r w:rsidR="00A12E46">
        <w:t>r</w:t>
      </w:r>
      <w:r>
        <w:t xml:space="preserve">oved filing procedures.  </w:t>
      </w:r>
      <w:r w:rsidR="00FF2DFC">
        <w:t xml:space="preserve">Specifically, this Order requires electronic filing for:  (a) applications for authorization of domestic transfers of control under section 214(a) of the </w:t>
      </w:r>
      <w:r w:rsidR="00FF2DFC" w:rsidRPr="009F106F">
        <w:t>Communications</w:t>
      </w:r>
      <w:r w:rsidR="00FF2DFC">
        <w:t xml:space="preserve"> Act of 1934, as amended (Act);</w:t>
      </w:r>
      <w:r w:rsidR="00FF2DFC">
        <w:rPr>
          <w:rStyle w:val="FootnoteReference"/>
        </w:rPr>
        <w:footnoteReference w:id="2"/>
      </w:r>
      <w:r w:rsidR="00FF2DFC">
        <w:t xml:space="preserve"> (b) applications for authorization to discontinue, reduce, or impair a service under section 214(a) of the Act;</w:t>
      </w:r>
      <w:r w:rsidR="00FF2DFC">
        <w:rPr>
          <w:rStyle w:val="FootnoteReference"/>
        </w:rPr>
        <w:footnoteReference w:id="3"/>
      </w:r>
      <w:r w:rsidR="00FF2DFC">
        <w:t xml:space="preserve"> and (c) notices of network change</w:t>
      </w:r>
      <w:r w:rsidR="006E128D">
        <w:t>s</w:t>
      </w:r>
      <w:r w:rsidR="00FF2DFC">
        <w:t xml:space="preserve"> under section 251(c)(5) of the Act.</w:t>
      </w:r>
      <w:r w:rsidR="00FF2DFC">
        <w:rPr>
          <w:rStyle w:val="FootnoteReference"/>
        </w:rPr>
        <w:footnoteReference w:id="4"/>
      </w:r>
      <w:r w:rsidR="00FF2DFC">
        <w:t xml:space="preserve">  We expect these new filing procedures to be more convenient and efficient for applicants, provide better transparency and information to the public, and save Commission staff resources.</w:t>
      </w:r>
    </w:p>
    <w:p w:rsidR="000B6A4A" w:rsidRDefault="000B6A4A" w:rsidP="00E21F23">
      <w:pPr>
        <w:pStyle w:val="ParaNum"/>
        <w:widowControl/>
      </w:pPr>
      <w:r>
        <w:t xml:space="preserve">At present, </w:t>
      </w:r>
      <w:r w:rsidR="00FF18EF">
        <w:t xml:space="preserve">domestic common carriers </w:t>
      </w:r>
      <w:r>
        <w:t xml:space="preserve">cannot </w:t>
      </w:r>
      <w:r w:rsidR="004B645F">
        <w:t xml:space="preserve">electronically </w:t>
      </w:r>
      <w:r>
        <w:t xml:space="preserve">file </w:t>
      </w:r>
      <w:r w:rsidR="00FF2DFC">
        <w:t>the above</w:t>
      </w:r>
      <w:r w:rsidR="004B645F">
        <w:t xml:space="preserve"> applications and notices</w:t>
      </w:r>
      <w:r w:rsidR="00415A00">
        <w:t xml:space="preserve"> </w:t>
      </w:r>
      <w:r>
        <w:t>with the Commission</w:t>
      </w:r>
      <w:r w:rsidR="00AD34A2">
        <w:t>.</w:t>
      </w:r>
      <w:r>
        <w:t xml:space="preserve">  </w:t>
      </w:r>
      <w:r w:rsidR="00955563">
        <w:t>T</w:t>
      </w:r>
      <w:r>
        <w:t>hey must file paper copies with the Secretary’s Office</w:t>
      </w:r>
      <w:r w:rsidR="00C05C94">
        <w:t xml:space="preserve">, and, where applicable, send </w:t>
      </w:r>
      <w:r w:rsidR="0012765F">
        <w:t xml:space="preserve">copies </w:t>
      </w:r>
      <w:r w:rsidR="00C05C94">
        <w:t xml:space="preserve">with </w:t>
      </w:r>
      <w:r w:rsidR="008D718E">
        <w:t xml:space="preserve">accompanying </w:t>
      </w:r>
      <w:r w:rsidR="00BF269A">
        <w:t xml:space="preserve">application processing fees </w:t>
      </w:r>
      <w:r w:rsidR="00C05C94">
        <w:t>to the Commission’s lockbox bank in St. Louis, Missouri.</w:t>
      </w:r>
      <w:r w:rsidR="00C1723C">
        <w:rPr>
          <w:rStyle w:val="FootnoteReference"/>
        </w:rPr>
        <w:footnoteReference w:id="5"/>
      </w:r>
      <w:r w:rsidR="00C05C94">
        <w:t xml:space="preserve">  </w:t>
      </w:r>
      <w:r>
        <w:t>This process is time-consuming for the parties and makes it difficult for the public to track developments.  To modernize the process</w:t>
      </w:r>
      <w:r w:rsidR="00C1723C">
        <w:t xml:space="preserve"> and improve efficiency and effectiveness for all stakeholders,</w:t>
      </w:r>
      <w:r>
        <w:t xml:space="preserve"> this Order implements new filing procedures for</w:t>
      </w:r>
      <w:r w:rsidR="00C1723C">
        <w:t xml:space="preserve"> domestic </w:t>
      </w:r>
      <w:r w:rsidR="008D718E">
        <w:t xml:space="preserve">section </w:t>
      </w:r>
      <w:r w:rsidR="00C1723C">
        <w:t>214 filing</w:t>
      </w:r>
      <w:r w:rsidR="00FF18EF">
        <w:t>s</w:t>
      </w:r>
      <w:r w:rsidR="00C1723C">
        <w:t xml:space="preserve"> and network change notices</w:t>
      </w:r>
      <w:r>
        <w:t xml:space="preserve">, allowing parties to utilize the Commission’s Electronic Comment Filing System (ECFS) </w:t>
      </w:r>
      <w:r>
        <w:lastRenderedPageBreak/>
        <w:t>for their submissions.</w:t>
      </w:r>
      <w:r w:rsidR="0012765F">
        <w:rPr>
          <w:rStyle w:val="FootnoteReference"/>
        </w:rPr>
        <w:footnoteReference w:id="6"/>
      </w:r>
      <w:r>
        <w:t xml:space="preserve">  The ECFS system enables parties </w:t>
      </w:r>
      <w:r w:rsidRPr="00753EE1">
        <w:rPr>
          <w:rStyle w:val="StyleParaNum11pt1CharCharCharCharCharCharCharCharCharCharCharCharCharCharCharCharChar"/>
          <w:color w:val="000000"/>
        </w:rPr>
        <w:t xml:space="preserve">and the general public </w:t>
      </w:r>
      <w:r w:rsidRPr="00753EE1">
        <w:t xml:space="preserve">to locate filings </w:t>
      </w:r>
      <w:r>
        <w:rPr>
          <w:rStyle w:val="StyleParaNum11pt1CharCharCharCharCharCharCharCharCharCharCharCharCharCharCharCharChar"/>
          <w:color w:val="000000"/>
        </w:rPr>
        <w:t>by entering various search criteria</w:t>
      </w:r>
      <w:r w:rsidR="00FF18EF">
        <w:rPr>
          <w:rStyle w:val="StyleParaNum11pt1CharCharCharCharCharCharCharCharCharCharCharCharCharCharCharCharChar"/>
          <w:color w:val="000000"/>
        </w:rPr>
        <w:t xml:space="preserve"> and to monitor all activity in Commission dockets</w:t>
      </w:r>
      <w:r>
        <w:rPr>
          <w:rStyle w:val="StyleParaNum11pt1CharCharCharCharCharCharCharCharCharCharCharCharCharCharCharCharChar"/>
          <w:color w:val="000000"/>
        </w:rPr>
        <w:t>.</w:t>
      </w:r>
      <w:r w:rsidR="00FF18EF">
        <w:rPr>
          <w:rStyle w:val="FootnoteReference"/>
          <w:szCs w:val="22"/>
        </w:rPr>
        <w:footnoteReference w:id="7"/>
      </w:r>
      <w:r>
        <w:t xml:space="preserve">   </w:t>
      </w:r>
    </w:p>
    <w:p w:rsidR="00DA098C" w:rsidRDefault="00DA098C" w:rsidP="009F106F">
      <w:pPr>
        <w:pStyle w:val="ParaNum"/>
      </w:pPr>
      <w:r>
        <w:t>To allow for these three categories of filings to be submitted into ECFS, the Commission has made available a</w:t>
      </w:r>
      <w:r w:rsidR="005E6548">
        <w:t xml:space="preserve"> new</w:t>
      </w:r>
      <w:r>
        <w:t xml:space="preserve"> “Submit a Non-Docketed Filing” module of ECFS.  This page is linked to the ECFS homepage at </w:t>
      </w:r>
      <w:r w:rsidRPr="00CD227E">
        <w:t>http://apps.fcc.gov/ecfs</w:t>
      </w:r>
      <w:r>
        <w:t xml:space="preserve"> and to the Online Filing page at </w:t>
      </w:r>
      <w:r w:rsidR="004F437C" w:rsidRPr="004F437C">
        <w:t>http://www.fcc.gov/online</w:t>
      </w:r>
      <w:r w:rsidR="004F437C">
        <w:t xml:space="preserve"> </w:t>
      </w:r>
      <w:r w:rsidRPr="00CD227E">
        <w:t>filing</w:t>
      </w:r>
      <w:r>
        <w:t xml:space="preserve">.  Use of this new module only allows the </w:t>
      </w:r>
      <w:r w:rsidR="004F437C">
        <w:t>on</w:t>
      </w:r>
      <w:r w:rsidR="00BF13D8">
        <w:t>line</w:t>
      </w:r>
      <w:r w:rsidR="00AD34A2">
        <w:t xml:space="preserve"> </w:t>
      </w:r>
      <w:r>
        <w:t xml:space="preserve">submission of certain types of filings for which previously there was no electronic-filing </w:t>
      </w:r>
      <w:r w:rsidR="005E6548">
        <w:t>capability available</w:t>
      </w:r>
      <w:r>
        <w:t xml:space="preserve">.  It does not change the type of information or the format of information that the Commission will collect in connection with these types of filings.  The Commission expects to continue to expand capabilities for </w:t>
      </w:r>
      <w:r w:rsidR="004F437C">
        <w:t>on</w:t>
      </w:r>
      <w:r w:rsidR="00B142BB">
        <w:t>line</w:t>
      </w:r>
      <w:r>
        <w:t xml:space="preserve"> filing and intends to work toward the goal of providing such capabilities </w:t>
      </w:r>
      <w:r w:rsidR="00BD3873">
        <w:t>for every type of filing that the public might submit</w:t>
      </w:r>
      <w:r>
        <w:t xml:space="preserve">.  In addition to the rule changes we make </w:t>
      </w:r>
      <w:r w:rsidR="00FC17A9">
        <w:t xml:space="preserve">specific to the three categories of applications discussed </w:t>
      </w:r>
      <w:r>
        <w:t xml:space="preserve">in this Order, we </w:t>
      </w:r>
      <w:r w:rsidR="00FC17A9">
        <w:t xml:space="preserve">also revise our rules to </w:t>
      </w:r>
      <w:r>
        <w:t>make clear that</w:t>
      </w:r>
      <w:r w:rsidR="00BD3873">
        <w:t>,</w:t>
      </w:r>
      <w:r>
        <w:t xml:space="preserve"> to the extent any Commission rules may </w:t>
      </w:r>
      <w:r w:rsidR="00BD3873">
        <w:t xml:space="preserve">be construed as requiring </w:t>
      </w:r>
      <w:r>
        <w:t xml:space="preserve">paper filings, Commission staff is authorized to provide </w:t>
      </w:r>
      <w:r w:rsidR="004F437C">
        <w:t>on</w:t>
      </w:r>
      <w:r w:rsidR="007F2A21">
        <w:t>line</w:t>
      </w:r>
      <w:r w:rsidR="00BD3873">
        <w:t xml:space="preserve"> filing</w:t>
      </w:r>
      <w:r>
        <w:t xml:space="preserve"> capabilities</w:t>
      </w:r>
      <w:r w:rsidR="005E6548">
        <w:t xml:space="preserve"> and to accept such filings from parties that wish to submit them electronically.</w:t>
      </w:r>
      <w:r>
        <w:t xml:space="preserve">   </w:t>
      </w:r>
    </w:p>
    <w:p w:rsidR="000B6A4A" w:rsidRDefault="000B6A4A" w:rsidP="000B6A4A">
      <w:pPr>
        <w:pStyle w:val="Heading1"/>
        <w:spacing w:after="220"/>
        <w:jc w:val="both"/>
      </w:pPr>
      <w:r>
        <w:t>background</w:t>
      </w:r>
      <w:r w:rsidR="00572D29">
        <w:t xml:space="preserve"> </w:t>
      </w:r>
    </w:p>
    <w:p w:rsidR="000B6A4A" w:rsidRDefault="000B6A4A" w:rsidP="009F106F">
      <w:pPr>
        <w:pStyle w:val="ParaNum"/>
      </w:pPr>
      <w:r>
        <w:t xml:space="preserve">In 1998, the Commission amended its rules to permit electronic filing in certain proceedings, noting that it would </w:t>
      </w:r>
      <w:r w:rsidRPr="009D7878">
        <w:t xml:space="preserve">“evaluate the new rules and assess the operation of the system as we gain experience to determine </w:t>
      </w:r>
      <w:r>
        <w:t>. . .</w:t>
      </w:r>
      <w:r w:rsidRPr="009D7878">
        <w:t xml:space="preserve"> whether it is feasible to expand further the applicability of the</w:t>
      </w:r>
      <w:r>
        <w:t xml:space="preserve"> [ECFS]</w:t>
      </w:r>
      <w:r w:rsidRPr="009D7878">
        <w:t xml:space="preserve"> system beyond rulemaking-related proceedings and possibly ultimately to require electronic filing.”</w:t>
      </w:r>
      <w:r>
        <w:rPr>
          <w:rStyle w:val="FootnoteReference"/>
          <w:color w:val="000000"/>
        </w:rPr>
        <w:footnoteReference w:id="8"/>
      </w:r>
      <w:r>
        <w:t xml:space="preserve">  In 20</w:t>
      </w:r>
      <w:r w:rsidR="0012765F">
        <w:t xml:space="preserve">02, the </w:t>
      </w:r>
      <w:r>
        <w:t xml:space="preserve">Commission released a Report and Order </w:t>
      </w:r>
      <w:r w:rsidR="00BC1324">
        <w:t xml:space="preserve">adopting rules to govern the streamlined review of </w:t>
      </w:r>
      <w:r w:rsidR="004B645F">
        <w:t xml:space="preserve">domestic </w:t>
      </w:r>
      <w:r w:rsidR="00D70C6F">
        <w:t xml:space="preserve">section 214 transfer of control </w:t>
      </w:r>
      <w:r w:rsidR="00BC1324">
        <w:t>applications.</w:t>
      </w:r>
      <w:r w:rsidR="00806DE5">
        <w:rPr>
          <w:rStyle w:val="FootnoteReference"/>
        </w:rPr>
        <w:footnoteReference w:id="9"/>
      </w:r>
      <w:r w:rsidR="00BC1324">
        <w:t xml:space="preserve">  </w:t>
      </w:r>
      <w:r w:rsidR="00BB5C7B">
        <w:t>The</w:t>
      </w:r>
      <w:r w:rsidR="00BC1324">
        <w:t xml:space="preserve"> </w:t>
      </w:r>
      <w:r w:rsidR="00BC1324" w:rsidRPr="00D70C6F">
        <w:rPr>
          <w:i/>
        </w:rPr>
        <w:t>214 Streamlining Order</w:t>
      </w:r>
      <w:r w:rsidR="00BC1324">
        <w:t xml:space="preserve"> acknowledged that improving access to electronic filing systems for domestic section 214 applications was an ongoing objective.</w:t>
      </w:r>
      <w:r w:rsidR="00391F67">
        <w:rPr>
          <w:rStyle w:val="FootnoteReference"/>
        </w:rPr>
        <w:footnoteReference w:id="10"/>
      </w:r>
      <w:r w:rsidR="00BC1324">
        <w:t xml:space="preserve">  </w:t>
      </w:r>
      <w:r w:rsidR="00AB0D1B">
        <w:t xml:space="preserve">At that time, </w:t>
      </w:r>
      <w:r w:rsidR="00D70C6F">
        <w:t xml:space="preserve">electronic filing for </w:t>
      </w:r>
      <w:r w:rsidR="00BC1324">
        <w:t xml:space="preserve">international section 214 applications </w:t>
      </w:r>
      <w:r w:rsidR="00AB0D1B">
        <w:t xml:space="preserve">was already available, </w:t>
      </w:r>
      <w:r w:rsidR="00BC1324">
        <w:t>and th</w:t>
      </w:r>
      <w:r w:rsidR="00AB0D1B">
        <w:t xml:space="preserve">e Commission stated that </w:t>
      </w:r>
      <w:r w:rsidR="00BC1324">
        <w:t xml:space="preserve">a future goal was to permit applicants to eventually file both domestic and international 214 transfer of control applications electronically and to </w:t>
      </w:r>
      <w:r w:rsidR="00FF18EF">
        <w:t xml:space="preserve">also </w:t>
      </w:r>
      <w:r w:rsidR="00BC1324">
        <w:t xml:space="preserve">allow them to pay the </w:t>
      </w:r>
      <w:r w:rsidR="00524A5F">
        <w:t xml:space="preserve">filing </w:t>
      </w:r>
      <w:r w:rsidR="00BC1324">
        <w:t>fees for both authorizations electronically.</w:t>
      </w:r>
      <w:r w:rsidR="00391F67">
        <w:rPr>
          <w:rStyle w:val="FootnoteReference"/>
        </w:rPr>
        <w:footnoteReference w:id="11"/>
      </w:r>
      <w:r w:rsidR="00BC1324">
        <w:t xml:space="preserve">  </w:t>
      </w:r>
      <w:r w:rsidR="00AB0D1B">
        <w:t xml:space="preserve">In 2014, </w:t>
      </w:r>
      <w:r w:rsidR="00BB5C7B">
        <w:t>a</w:t>
      </w:r>
      <w:r w:rsidR="00AB0D1B">
        <w:t xml:space="preserve"> Commission </w:t>
      </w:r>
      <w:r w:rsidR="00BB5C7B">
        <w:t xml:space="preserve">staff working group </w:t>
      </w:r>
      <w:r w:rsidR="00AB0D1B">
        <w:t xml:space="preserve">released its </w:t>
      </w:r>
      <w:r w:rsidR="00AB0D1B">
        <w:rPr>
          <w:i/>
        </w:rPr>
        <w:t>Report on FCC Process R</w:t>
      </w:r>
      <w:r w:rsidR="00AB0D1B" w:rsidRPr="00AB0D1B">
        <w:rPr>
          <w:i/>
        </w:rPr>
        <w:t>eform</w:t>
      </w:r>
      <w:r w:rsidR="00483BC0">
        <w:t>,</w:t>
      </w:r>
      <w:r w:rsidR="002D5F86">
        <w:t xml:space="preserve"> </w:t>
      </w:r>
      <w:r w:rsidR="00AB0D1B">
        <w:t xml:space="preserve">which </w:t>
      </w:r>
      <w:r w:rsidR="008D718E">
        <w:t xml:space="preserve">specifically </w:t>
      </w:r>
      <w:r w:rsidR="00AB0D1B">
        <w:t xml:space="preserve">recommended that the </w:t>
      </w:r>
      <w:r w:rsidR="00B2523C">
        <w:t xml:space="preserve">Commission implement electronic filing procedures for licensing processes, including domestic </w:t>
      </w:r>
      <w:r w:rsidR="004B645F">
        <w:t xml:space="preserve">section </w:t>
      </w:r>
      <w:r w:rsidR="00B2523C">
        <w:t>214 transfer of control and discontinuance application</w:t>
      </w:r>
      <w:r w:rsidR="002E7345">
        <w:t>s</w:t>
      </w:r>
      <w:r w:rsidR="00B2523C">
        <w:t xml:space="preserve"> still filed on paper</w:t>
      </w:r>
      <w:r w:rsidR="008D718E">
        <w:t xml:space="preserve">, and for network </w:t>
      </w:r>
      <w:r w:rsidR="00552583">
        <w:t>change notifications</w:t>
      </w:r>
      <w:r w:rsidR="00B13FF4">
        <w:t>, as discussed in more detail below</w:t>
      </w:r>
      <w:r w:rsidR="00B2523C">
        <w:t>.</w:t>
      </w:r>
      <w:r w:rsidR="00552583">
        <w:rPr>
          <w:rStyle w:val="FootnoteReference"/>
        </w:rPr>
        <w:footnoteReference w:id="12"/>
      </w:r>
      <w:r w:rsidR="00B2523C">
        <w:t xml:space="preserve">  </w:t>
      </w:r>
    </w:p>
    <w:p w:rsidR="000B6A4A" w:rsidRDefault="000B6A4A" w:rsidP="000B6A4A">
      <w:pPr>
        <w:pStyle w:val="Heading1"/>
      </w:pPr>
      <w:r w:rsidRPr="00CD6A92">
        <w:lastRenderedPageBreak/>
        <w:t>DISCUSSION</w:t>
      </w:r>
    </w:p>
    <w:p w:rsidR="00E6630B" w:rsidRDefault="00DA6FBC" w:rsidP="00E6630B">
      <w:pPr>
        <w:pStyle w:val="Heading2"/>
      </w:pPr>
      <w:r>
        <w:t>Domestic Section 214 T</w:t>
      </w:r>
      <w:r w:rsidR="00E6630B">
        <w:t>ransfer of Control Applications</w:t>
      </w:r>
    </w:p>
    <w:p w:rsidR="00782B61" w:rsidRPr="0007520D" w:rsidRDefault="00782B61" w:rsidP="009F106F">
      <w:pPr>
        <w:pStyle w:val="ParaNum"/>
        <w:rPr>
          <w:rStyle w:val="StyleParaNum11pt1CharCharCharCharCharCharCharCharCharCharCharCharCharCharCharCharChar"/>
          <w:kern w:val="0"/>
        </w:rPr>
      </w:pPr>
      <w:r>
        <w:rPr>
          <w:rStyle w:val="StyleParaNum11pt1CharCharCharCharCharCharCharCharCharCharCharCharCharCharCharCharChar"/>
          <w:color w:val="000000"/>
        </w:rPr>
        <w:t xml:space="preserve">Currently, </w:t>
      </w:r>
      <w:r w:rsidR="003C6931">
        <w:rPr>
          <w:rStyle w:val="StyleParaNum11pt1CharCharCharCharCharCharCharCharCharCharCharCharCharCharCharCharChar"/>
          <w:color w:val="000000"/>
        </w:rPr>
        <w:t>section</w:t>
      </w:r>
      <w:r w:rsidR="002E7345">
        <w:rPr>
          <w:rStyle w:val="StyleParaNum11pt1CharCharCharCharCharCharCharCharCharCharCharCharCharCharCharCharChar"/>
          <w:color w:val="000000"/>
        </w:rPr>
        <w:t>s</w:t>
      </w:r>
      <w:r w:rsidR="003C6931">
        <w:rPr>
          <w:rStyle w:val="StyleParaNum11pt1CharCharCharCharCharCharCharCharCharCharCharCharCharCharCharCharChar"/>
          <w:color w:val="000000"/>
        </w:rPr>
        <w:t xml:space="preserve"> 63.52-53 of the Commission’s rules</w:t>
      </w:r>
      <w:r w:rsidR="002E7345">
        <w:rPr>
          <w:rStyle w:val="StyleParaNum11pt1CharCharCharCharCharCharCharCharCharCharCharCharCharCharCharCharChar"/>
          <w:color w:val="000000"/>
        </w:rPr>
        <w:t xml:space="preserve"> </w:t>
      </w:r>
      <w:r w:rsidR="002E7345" w:rsidRPr="002E7345">
        <w:rPr>
          <w:rStyle w:val="StyleParaNum11pt1CharCharCharCharCharCharCharCharCharCharCharCharCharCharCharCharChar"/>
          <w:color w:val="000000"/>
        </w:rPr>
        <w:t>provide only for paper filing of</w:t>
      </w:r>
      <w:r>
        <w:rPr>
          <w:rStyle w:val="StyleParaNum11pt1CharCharCharCharCharCharCharCharCharCharCharCharCharCharCharCharChar"/>
          <w:color w:val="000000"/>
        </w:rPr>
        <w:t xml:space="preserve"> domestic section 214 tr</w:t>
      </w:r>
      <w:r w:rsidR="00534A3D">
        <w:rPr>
          <w:rStyle w:val="StyleParaNum11pt1CharCharCharCharCharCharCharCharCharCharCharCharCharCharCharCharChar"/>
          <w:color w:val="000000"/>
        </w:rPr>
        <w:t>ansfer</w:t>
      </w:r>
      <w:r>
        <w:rPr>
          <w:rStyle w:val="StyleParaNum11pt1CharCharCharCharCharCharCharCharCharCharCharCharCharCharCharCharChar"/>
          <w:color w:val="000000"/>
        </w:rPr>
        <w:t xml:space="preserve"> of cont</w:t>
      </w:r>
      <w:r w:rsidR="00571672">
        <w:rPr>
          <w:rStyle w:val="StyleParaNum11pt1CharCharCharCharCharCharCharCharCharCharCharCharCharCharCharCharChar"/>
          <w:color w:val="000000"/>
        </w:rPr>
        <w:t>rol applications</w:t>
      </w:r>
      <w:r w:rsidR="002E7345">
        <w:rPr>
          <w:rStyle w:val="StyleParaNum11pt1CharCharCharCharCharCharCharCharCharCharCharCharCharCharCharCharChar"/>
          <w:color w:val="000000"/>
        </w:rPr>
        <w:t>.</w:t>
      </w:r>
      <w:r w:rsidR="000D411C">
        <w:rPr>
          <w:rStyle w:val="FootnoteReference"/>
          <w:szCs w:val="22"/>
        </w:rPr>
        <w:footnoteReference w:id="13"/>
      </w:r>
      <w:r w:rsidR="00BF269A">
        <w:rPr>
          <w:rStyle w:val="StyleParaNum11pt1CharCharCharCharCharCharCharCharCharCharCharCharCharCharCharCharChar"/>
          <w:color w:val="000000"/>
        </w:rPr>
        <w:t xml:space="preserve">  Applicants </w:t>
      </w:r>
      <w:r w:rsidR="00494F16">
        <w:rPr>
          <w:rStyle w:val="StyleParaNum11pt1CharCharCharCharCharCharCharCharCharCharCharCharCharCharCharCharChar"/>
          <w:color w:val="000000"/>
        </w:rPr>
        <w:t xml:space="preserve">pay the required application processing fee by sending a copy of the application, accompanied by FCC Form 159 and </w:t>
      </w:r>
      <w:r w:rsidR="00BF269A">
        <w:rPr>
          <w:rStyle w:val="StyleParaNum11pt1CharCharCharCharCharCharCharCharCharCharCharCharCharCharCharCharChar"/>
          <w:color w:val="000000"/>
        </w:rPr>
        <w:t xml:space="preserve">a check or </w:t>
      </w:r>
      <w:r w:rsidR="00FF18EF">
        <w:rPr>
          <w:rStyle w:val="StyleParaNum11pt1CharCharCharCharCharCharCharCharCharCharCharCharCharCharCharCharChar"/>
          <w:color w:val="000000"/>
        </w:rPr>
        <w:t xml:space="preserve">a </w:t>
      </w:r>
      <w:r w:rsidR="00BF269A">
        <w:rPr>
          <w:rStyle w:val="StyleParaNum11pt1CharCharCharCharCharCharCharCharCharCharCharCharCharCharCharCharChar"/>
          <w:color w:val="000000"/>
        </w:rPr>
        <w:t>credit card number</w:t>
      </w:r>
      <w:r w:rsidR="00494F16">
        <w:rPr>
          <w:rStyle w:val="StyleParaNum11pt1CharCharCharCharCharCharCharCharCharCharCharCharCharCharCharCharChar"/>
          <w:color w:val="000000"/>
        </w:rPr>
        <w:t>,</w:t>
      </w:r>
      <w:r w:rsidR="00BF269A">
        <w:rPr>
          <w:rStyle w:val="StyleParaNum11pt1CharCharCharCharCharCharCharCharCharCharCharCharCharCharCharCharChar"/>
          <w:color w:val="000000"/>
        </w:rPr>
        <w:t xml:space="preserve"> </w:t>
      </w:r>
      <w:r w:rsidR="00FF18EF">
        <w:rPr>
          <w:rStyle w:val="StyleParaNum11pt1CharCharCharCharCharCharCharCharCharCharCharCharCharCharCharCharChar"/>
          <w:color w:val="000000"/>
        </w:rPr>
        <w:t xml:space="preserve">to the lockbox bank </w:t>
      </w:r>
      <w:r w:rsidR="00BF269A">
        <w:rPr>
          <w:rStyle w:val="StyleParaNum11pt1CharCharCharCharCharCharCharCharCharCharCharCharCharCharCharCharChar"/>
          <w:color w:val="000000"/>
        </w:rPr>
        <w:t xml:space="preserve">via regular </w:t>
      </w:r>
      <w:r w:rsidR="000D411C">
        <w:rPr>
          <w:rStyle w:val="StyleParaNum11pt1CharCharCharCharCharCharCharCharCharCharCharCharCharCharCharCharChar"/>
          <w:color w:val="000000"/>
        </w:rPr>
        <w:t xml:space="preserve">U.S. </w:t>
      </w:r>
      <w:r w:rsidR="00BF269A">
        <w:rPr>
          <w:rStyle w:val="StyleParaNum11pt1CharCharCharCharCharCharCharCharCharCharCharCharCharCharCharCharChar"/>
          <w:color w:val="000000"/>
        </w:rPr>
        <w:t xml:space="preserve">mail or overnight delivery.  </w:t>
      </w:r>
      <w:r>
        <w:rPr>
          <w:rStyle w:val="StyleParaNum11pt1CharCharCharCharCharCharCharCharCharCharCharCharCharCharCharCharChar"/>
          <w:color w:val="000000"/>
        </w:rPr>
        <w:t xml:space="preserve">Although members of the </w:t>
      </w:r>
      <w:r w:rsidR="00C72F29">
        <w:rPr>
          <w:rStyle w:val="StyleParaNum11pt1CharCharCharCharCharCharCharCharCharCharCharCharCharCharCharCharChar"/>
          <w:color w:val="000000"/>
        </w:rPr>
        <w:t xml:space="preserve">public may obtain copies of </w:t>
      </w:r>
      <w:r w:rsidR="00BF269A">
        <w:rPr>
          <w:rStyle w:val="StyleParaNum11pt1CharCharCharCharCharCharCharCharCharCharCharCharCharCharCharCharChar"/>
          <w:color w:val="000000"/>
        </w:rPr>
        <w:t>application</w:t>
      </w:r>
      <w:r w:rsidR="00C72F29">
        <w:rPr>
          <w:rStyle w:val="StyleParaNum11pt1CharCharCharCharCharCharCharCharCharCharCharCharCharCharCharCharChar"/>
          <w:color w:val="000000"/>
        </w:rPr>
        <w:t>s</w:t>
      </w:r>
      <w:r>
        <w:rPr>
          <w:rStyle w:val="StyleParaNum11pt1CharCharCharCharCharCharCharCharCharCharCharCharCharCharCharCharChar"/>
          <w:color w:val="000000"/>
        </w:rPr>
        <w:t xml:space="preserve"> from the Commission’s Reference Information Center, there is no way to search for or view </w:t>
      </w:r>
      <w:r w:rsidR="00BF269A">
        <w:rPr>
          <w:rStyle w:val="StyleParaNum11pt1CharCharCharCharCharCharCharCharCharCharCharCharCharCharCharCharChar"/>
          <w:color w:val="000000"/>
        </w:rPr>
        <w:t xml:space="preserve">the applications </w:t>
      </w:r>
      <w:r w:rsidR="00494F16">
        <w:rPr>
          <w:rStyle w:val="StyleParaNum11pt1CharCharCharCharCharCharCharCharCharCharCharCharCharCharCharCharChar"/>
          <w:color w:val="000000"/>
        </w:rPr>
        <w:t xml:space="preserve">online </w:t>
      </w:r>
      <w:r w:rsidR="00BF269A">
        <w:rPr>
          <w:rStyle w:val="StyleParaNum11pt1CharCharCharCharCharCharCharCharCharCharCharCharCharCharCharCharChar"/>
          <w:color w:val="000000"/>
        </w:rPr>
        <w:t xml:space="preserve">until the Wireline Competition Bureau </w:t>
      </w:r>
      <w:r w:rsidR="00120D30">
        <w:rPr>
          <w:rStyle w:val="StyleParaNum11pt1CharCharCharCharCharCharCharCharCharCharCharCharCharCharCharCharChar"/>
          <w:color w:val="000000"/>
        </w:rPr>
        <w:t xml:space="preserve">(Bureau) </w:t>
      </w:r>
      <w:r w:rsidR="00BB5C7B">
        <w:rPr>
          <w:rStyle w:val="StyleParaNum11pt1CharCharCharCharCharCharCharCharCharCharCharCharCharCharCharCharChar"/>
          <w:color w:val="000000"/>
        </w:rPr>
        <w:t>establishes a docket for the</w:t>
      </w:r>
      <w:r w:rsidR="00BF269A">
        <w:rPr>
          <w:rStyle w:val="StyleParaNum11pt1CharCharCharCharCharCharCharCharCharCharCharCharCharCharCharCharChar"/>
          <w:color w:val="000000"/>
        </w:rPr>
        <w:t xml:space="preserve"> application</w:t>
      </w:r>
      <w:r>
        <w:rPr>
          <w:rStyle w:val="StyleParaNum11pt1CharCharCharCharCharCharCharCharCharCharCharCharCharCharCharCharChar"/>
          <w:color w:val="000000"/>
        </w:rPr>
        <w:t>.  T</w:t>
      </w:r>
      <w:r w:rsidR="000A3E74">
        <w:rPr>
          <w:rStyle w:val="StyleParaNum11pt1CharCharCharCharCharCharCharCharCharCharCharCharCharCharCharCharChar"/>
          <w:color w:val="000000"/>
        </w:rPr>
        <w:t>he</w:t>
      </w:r>
      <w:r>
        <w:rPr>
          <w:rStyle w:val="StyleParaNum11pt1CharCharCharCharCharCharCharCharCharCharCharCharCharCharCharCharChar"/>
          <w:color w:val="000000"/>
        </w:rPr>
        <w:t xml:space="preserve"> actions </w:t>
      </w:r>
      <w:r w:rsidR="000A3E74">
        <w:rPr>
          <w:rStyle w:val="StyleParaNum11pt1CharCharCharCharCharCharCharCharCharCharCharCharCharCharCharCharChar"/>
          <w:color w:val="000000"/>
        </w:rPr>
        <w:t xml:space="preserve">herein </w:t>
      </w:r>
      <w:r>
        <w:rPr>
          <w:rStyle w:val="StyleParaNum11pt1CharCharCharCharCharCharCharCharCharCharCharCharCharCharCharCharChar"/>
          <w:color w:val="000000"/>
        </w:rPr>
        <w:t>modernize and reform these existing procedures</w:t>
      </w:r>
      <w:r w:rsidR="00BB5C7B">
        <w:rPr>
          <w:rStyle w:val="StyleParaNum11pt1CharCharCharCharCharCharCharCharCharCharCharCharCharCharCharCharChar"/>
          <w:color w:val="000000"/>
        </w:rPr>
        <w:t xml:space="preserve"> to facilitate electronic filing and electronic public review</w:t>
      </w:r>
      <w:r>
        <w:rPr>
          <w:rStyle w:val="StyleParaNum11pt1CharCharCharCharCharCharCharCharCharCharCharCharCharCharCharCharChar"/>
          <w:color w:val="000000"/>
        </w:rPr>
        <w:t>.</w:t>
      </w:r>
    </w:p>
    <w:p w:rsidR="00782B61" w:rsidRDefault="00782B61" w:rsidP="009F106F">
      <w:pPr>
        <w:pStyle w:val="ParaNum"/>
      </w:pPr>
      <w:r>
        <w:rPr>
          <w:rStyle w:val="StyleParaNum11pt1CharCharCharCharCharCharCharCharCharCharCharCharCharCharCharCharChar"/>
          <w:color w:val="000000"/>
        </w:rPr>
        <w:t xml:space="preserve">Specifically, in order to facilitate electronic filing of new </w:t>
      </w:r>
      <w:r w:rsidR="003C6931">
        <w:rPr>
          <w:rStyle w:val="StyleParaNum11pt1CharCharCharCharCharCharCharCharCharCharCharCharCharCharCharCharChar"/>
          <w:color w:val="000000"/>
        </w:rPr>
        <w:t xml:space="preserve">domestic </w:t>
      </w:r>
      <w:r w:rsidR="000D411C">
        <w:rPr>
          <w:rStyle w:val="StyleParaNum11pt1CharCharCharCharCharCharCharCharCharCharCharCharCharCharCharCharChar"/>
          <w:color w:val="000000"/>
        </w:rPr>
        <w:t>section 214 transfer of control applications</w:t>
      </w:r>
      <w:r>
        <w:rPr>
          <w:rStyle w:val="StyleParaNum11pt1CharCharCharCharCharCharCharCharCharCharCharCharCharCharCharCharChar"/>
          <w:color w:val="000000"/>
        </w:rPr>
        <w:t xml:space="preserve">, we </w:t>
      </w:r>
      <w:r w:rsidR="00494F16">
        <w:rPr>
          <w:rStyle w:val="StyleParaNum11pt1CharCharCharCharCharCharCharCharCharCharCharCharCharCharCharCharChar"/>
          <w:color w:val="000000"/>
        </w:rPr>
        <w:t xml:space="preserve">have </w:t>
      </w:r>
      <w:r>
        <w:rPr>
          <w:rStyle w:val="StyleParaNum11pt1CharCharCharCharCharCharCharCharCharCharCharCharCharCharCharCharChar"/>
          <w:color w:val="000000"/>
        </w:rPr>
        <w:t>e</w:t>
      </w:r>
      <w:r w:rsidR="002D5F86">
        <w:rPr>
          <w:rStyle w:val="StyleParaNum11pt1CharCharCharCharCharCharCharCharCharCharCharCharCharCharCharCharChar"/>
          <w:color w:val="000000"/>
        </w:rPr>
        <w:t>stablish</w:t>
      </w:r>
      <w:r w:rsidR="00494F16">
        <w:rPr>
          <w:rStyle w:val="StyleParaNum11pt1CharCharCharCharCharCharCharCharCharCharCharCharCharCharCharCharChar"/>
          <w:color w:val="000000"/>
        </w:rPr>
        <w:t>ed</w:t>
      </w:r>
      <w:r w:rsidR="002D5F86">
        <w:rPr>
          <w:rStyle w:val="StyleParaNum11pt1CharCharCharCharCharCharCharCharCharCharCharCharCharCharCharCharChar"/>
          <w:color w:val="000000"/>
        </w:rPr>
        <w:t xml:space="preserve"> within </w:t>
      </w:r>
      <w:r>
        <w:rPr>
          <w:rStyle w:val="StyleParaNum11pt1CharCharCharCharCharCharCharCharCharCharCharCharCharCharCharCharChar"/>
          <w:color w:val="000000"/>
        </w:rPr>
        <w:t xml:space="preserve">ECFS </w:t>
      </w:r>
      <w:r w:rsidR="00AC2067">
        <w:rPr>
          <w:rStyle w:val="StyleParaNum11pt1CharCharCharCharCharCharCharCharCharCharCharCharCharCharCharCharChar"/>
          <w:color w:val="000000"/>
        </w:rPr>
        <w:t xml:space="preserve">a “Submit a Non-Docketed Filing” module that facilitates filing of such applications into </w:t>
      </w:r>
      <w:r>
        <w:rPr>
          <w:rStyle w:val="StyleParaNum11pt1CharCharCharCharCharCharCharCharCharCharCharCharCharCharCharCharChar"/>
          <w:color w:val="000000"/>
        </w:rPr>
        <w:t>a</w:t>
      </w:r>
      <w:r>
        <w:t xml:space="preserve"> single docket where all such </w:t>
      </w:r>
      <w:r w:rsidR="000D411C">
        <w:t>applications</w:t>
      </w:r>
      <w:r>
        <w:t xml:space="preserve"> must be filed.</w:t>
      </w:r>
      <w:r w:rsidR="00AD34A2">
        <w:rPr>
          <w:rStyle w:val="FootnoteReference"/>
        </w:rPr>
        <w:footnoteReference w:id="14"/>
      </w:r>
      <w:r>
        <w:t xml:space="preserve">  We employ this mechanism because</w:t>
      </w:r>
      <w:r w:rsidR="00AC2067">
        <w:t xml:space="preserve"> </w:t>
      </w:r>
      <w:r w:rsidRPr="00982E6B">
        <w:rPr>
          <w:spacing w:val="-2"/>
        </w:rPr>
        <w:t>staff must review a</w:t>
      </w:r>
      <w:r w:rsidR="000D411C">
        <w:rPr>
          <w:spacing w:val="-2"/>
        </w:rPr>
        <w:t>n application</w:t>
      </w:r>
      <w:r w:rsidRPr="00982E6B">
        <w:rPr>
          <w:spacing w:val="-2"/>
        </w:rPr>
        <w:t xml:space="preserve"> </w:t>
      </w:r>
      <w:r w:rsidR="00BB5C7B">
        <w:rPr>
          <w:spacing w:val="-2"/>
        </w:rPr>
        <w:t>to ensure that it conforms with the Commission’s rules before that application can</w:t>
      </w:r>
      <w:r w:rsidR="0022400E">
        <w:rPr>
          <w:spacing w:val="-2"/>
        </w:rPr>
        <w:t xml:space="preserve"> </w:t>
      </w:r>
      <w:r>
        <w:rPr>
          <w:spacing w:val="-2"/>
        </w:rPr>
        <w:t>receive its own unique ECFS docket number.</w:t>
      </w:r>
      <w:r>
        <w:t xml:space="preserve">  </w:t>
      </w:r>
    </w:p>
    <w:p w:rsidR="00782B61" w:rsidRDefault="00A12E46" w:rsidP="009F106F">
      <w:pPr>
        <w:pStyle w:val="ParaNum"/>
      </w:pPr>
      <w:r>
        <w:t>T</w:t>
      </w:r>
      <w:r w:rsidR="00782B61">
        <w:t xml:space="preserve">he </w:t>
      </w:r>
      <w:r w:rsidR="000D411C">
        <w:t>applicants</w:t>
      </w:r>
      <w:r w:rsidR="00782B61">
        <w:t xml:space="preserve"> will be required to </w:t>
      </w:r>
      <w:r w:rsidR="00AC2067">
        <w:t xml:space="preserve">select “Section 214 </w:t>
      </w:r>
      <w:r w:rsidR="007C6FFB">
        <w:t xml:space="preserve">Domestic </w:t>
      </w:r>
      <w:r w:rsidR="00AC2067">
        <w:t>Transfer of Control Application” from the “Submit a Non-Docketed Filing” module of ECFS.</w:t>
      </w:r>
      <w:r w:rsidR="003477F4">
        <w:rPr>
          <w:rStyle w:val="FootnoteReference"/>
        </w:rPr>
        <w:footnoteReference w:id="15"/>
      </w:r>
      <w:r w:rsidR="00782B61">
        <w:t xml:space="preserve">  The filing </w:t>
      </w:r>
      <w:r w:rsidR="00782B61" w:rsidRPr="000351D2">
        <w:t xml:space="preserve">must </w:t>
      </w:r>
      <w:r w:rsidR="00782B61">
        <w:t xml:space="preserve">include the </w:t>
      </w:r>
      <w:r w:rsidR="000D411C">
        <w:t>application</w:t>
      </w:r>
      <w:r w:rsidR="00782B61">
        <w:t xml:space="preserve">, as well as all attachments.  </w:t>
      </w:r>
      <w:r w:rsidR="000D411C">
        <w:t>W</w:t>
      </w:r>
      <w:r w:rsidR="00782B61">
        <w:t xml:space="preserve">hen using ECFS to </w:t>
      </w:r>
      <w:r w:rsidR="00C15337">
        <w:t>submit a domestic section 214 transfer of control application</w:t>
      </w:r>
      <w:r w:rsidR="00782B61">
        <w:t>, a</w:t>
      </w:r>
      <w:r w:rsidR="00C15337">
        <w:t>n</w:t>
      </w:r>
      <w:r w:rsidR="00782B61">
        <w:t xml:space="preserve"> </w:t>
      </w:r>
      <w:r w:rsidR="00C15337">
        <w:t>applicant</w:t>
      </w:r>
      <w:r w:rsidR="00782B61">
        <w:t xml:space="preserve"> no longer will have to file</w:t>
      </w:r>
      <w:r w:rsidR="00D30BC4">
        <w:t xml:space="preserve"> paper copies </w:t>
      </w:r>
      <w:r w:rsidR="00667001">
        <w:t>of its</w:t>
      </w:r>
      <w:r w:rsidR="00C15337">
        <w:t xml:space="preserve"> application</w:t>
      </w:r>
      <w:r w:rsidR="00782B61">
        <w:t xml:space="preserve"> with the Office of the Secretary</w:t>
      </w:r>
      <w:r w:rsidR="00D30BC4">
        <w:t xml:space="preserve"> or the lockbox bank</w:t>
      </w:r>
      <w:r w:rsidR="00782B61">
        <w:t>.</w:t>
      </w:r>
      <w:r w:rsidR="00782B61">
        <w:rPr>
          <w:rStyle w:val="FootnoteReference"/>
        </w:rPr>
        <w:footnoteReference w:id="16"/>
      </w:r>
      <w:r w:rsidR="00782B61">
        <w:t xml:space="preserve"> </w:t>
      </w:r>
      <w:r w:rsidR="00DB728A">
        <w:t xml:space="preserve"> </w:t>
      </w:r>
      <w:bookmarkStart w:id="1" w:name="SearchTerm"/>
      <w:r w:rsidR="00DB728A" w:rsidRPr="00DB728A">
        <w:rPr>
          <w:rFonts w:ascii="Verdana" w:hAnsi="Verdana"/>
          <w:color w:val="000000"/>
          <w:sz w:val="20"/>
          <w:shd w:val="clear" w:color="auto" w:fill="FFFFFF"/>
        </w:rPr>
        <w:t> </w:t>
      </w:r>
      <w:bookmarkEnd w:id="1"/>
    </w:p>
    <w:p w:rsidR="00782B61" w:rsidRDefault="00120D30" w:rsidP="00E21F23">
      <w:pPr>
        <w:pStyle w:val="ParaNum"/>
        <w:widowControl/>
      </w:pPr>
      <w:r>
        <w:t>Bureau</w:t>
      </w:r>
      <w:r w:rsidR="00782B61">
        <w:t xml:space="preserve"> staff will review new </w:t>
      </w:r>
      <w:r w:rsidR="00571672">
        <w:t>domestic section 214 transfer of control applications</w:t>
      </w:r>
      <w:r w:rsidR="00782B61" w:rsidRPr="00894AA8">
        <w:t xml:space="preserve"> for conformance with procedural rules </w:t>
      </w:r>
      <w:r w:rsidR="00782B61">
        <w:t>(including</w:t>
      </w:r>
      <w:r w:rsidR="00782B61" w:rsidRPr="00894AA8">
        <w:t xml:space="preserve"> fee</w:t>
      </w:r>
      <w:r w:rsidR="00782B61">
        <w:t xml:space="preserve"> payment, as appropriate).</w:t>
      </w:r>
      <w:r w:rsidR="00782B61">
        <w:rPr>
          <w:rStyle w:val="FootnoteReference"/>
        </w:rPr>
        <w:footnoteReference w:id="17"/>
      </w:r>
      <w:r w:rsidR="00782B61">
        <w:t xml:space="preserve">  As of the effective date of th</w:t>
      </w:r>
      <w:r w:rsidR="002770AA">
        <w:t>e new rules</w:t>
      </w:r>
      <w:r w:rsidR="00782B61">
        <w:t xml:space="preserve">, </w:t>
      </w:r>
      <w:r w:rsidR="00571672">
        <w:t>applicants will</w:t>
      </w:r>
      <w:r w:rsidR="00782B61">
        <w:t xml:space="preserve"> no longer submit a hard copy of the </w:t>
      </w:r>
      <w:r w:rsidR="00571672">
        <w:t>application</w:t>
      </w:r>
      <w:r w:rsidR="00782B61">
        <w:t xml:space="preserve"> with the fee pay</w:t>
      </w:r>
      <w:r w:rsidR="00571672">
        <w:t>ment as described in rule 1.1105</w:t>
      </w:r>
      <w:r w:rsidR="00782B61">
        <w:t>.</w:t>
      </w:r>
      <w:r w:rsidR="00782B61">
        <w:rPr>
          <w:rStyle w:val="FootnoteReference"/>
        </w:rPr>
        <w:footnoteReference w:id="18"/>
      </w:r>
      <w:r w:rsidR="00782B61">
        <w:t xml:space="preserve">  Instead, </w:t>
      </w:r>
      <w:r w:rsidR="00571672">
        <w:t>applicants</w:t>
      </w:r>
      <w:r w:rsidR="00782B61">
        <w:t xml:space="preserve"> must first transmit the </w:t>
      </w:r>
      <w:r w:rsidR="00571672">
        <w:t>application processing fee</w:t>
      </w:r>
      <w:r w:rsidR="00782B61">
        <w:t xml:space="preserve"> to the designated payment center and then file the </w:t>
      </w:r>
      <w:r w:rsidR="00571672">
        <w:t>application</w:t>
      </w:r>
      <w:r w:rsidR="00782B61">
        <w:t xml:space="preserve"> electronically using ECFS.  </w:t>
      </w:r>
      <w:r w:rsidR="00571672">
        <w:t>Applicants</w:t>
      </w:r>
      <w:r w:rsidR="00782B61">
        <w:t xml:space="preserve"> may transmit the </w:t>
      </w:r>
      <w:r w:rsidR="00433412">
        <w:t>processing fee</w:t>
      </w:r>
      <w:r w:rsidR="00782B61">
        <w:t xml:space="preserve"> via check, </w:t>
      </w:r>
      <w:r w:rsidR="00571672">
        <w:t xml:space="preserve">credit card, </w:t>
      </w:r>
      <w:r w:rsidR="00782B61">
        <w:t>wire transfer, or electronically using the Commission’s Fee Filer System (Fee Filer).</w:t>
      </w:r>
      <w:r w:rsidR="00063F65">
        <w:rPr>
          <w:rStyle w:val="FootnoteReference"/>
        </w:rPr>
        <w:footnoteReference w:id="19"/>
      </w:r>
      <w:r w:rsidR="00782B61">
        <w:t xml:space="preserve">  </w:t>
      </w:r>
    </w:p>
    <w:p w:rsidR="00782B61" w:rsidRDefault="00782B61" w:rsidP="009F106F">
      <w:pPr>
        <w:pStyle w:val="ParaNum"/>
      </w:pPr>
      <w:r>
        <w:t xml:space="preserve">Assuming </w:t>
      </w:r>
      <w:r w:rsidR="00981643">
        <w:t xml:space="preserve">that </w:t>
      </w:r>
      <w:r>
        <w:t>a</w:t>
      </w:r>
      <w:r w:rsidR="00294658">
        <w:t xml:space="preserve"> domestic section 214 transfer of control application satis</w:t>
      </w:r>
      <w:r>
        <w:t xml:space="preserve">fies initial procedural review, </w:t>
      </w:r>
      <w:r w:rsidR="00120D30">
        <w:t xml:space="preserve">Bureau </w:t>
      </w:r>
      <w:r>
        <w:t xml:space="preserve">staff will give the </w:t>
      </w:r>
      <w:r w:rsidR="00285CF7">
        <w:t>application</w:t>
      </w:r>
      <w:r>
        <w:t xml:space="preserve"> its own </w:t>
      </w:r>
      <w:r w:rsidRPr="000351D2">
        <w:t>case-specific</w:t>
      </w:r>
      <w:r>
        <w:t xml:space="preserve"> ECFS docket number.</w:t>
      </w:r>
      <w:r w:rsidRPr="00894AA8">
        <w:t xml:space="preserve">  </w:t>
      </w:r>
      <w:r w:rsidR="00294658">
        <w:t xml:space="preserve">After </w:t>
      </w:r>
      <w:r w:rsidR="00981643">
        <w:t>doing so</w:t>
      </w:r>
      <w:r w:rsidR="00294658">
        <w:t xml:space="preserve">, </w:t>
      </w:r>
      <w:r w:rsidR="00120D30">
        <w:t>Bureau</w:t>
      </w:r>
      <w:r w:rsidR="00294658">
        <w:t xml:space="preserve"> staff will review application</w:t>
      </w:r>
      <w:r w:rsidR="00981643">
        <w:t>s</w:t>
      </w:r>
      <w:r w:rsidR="00294658">
        <w:t xml:space="preserve"> in accordance with </w:t>
      </w:r>
      <w:r w:rsidR="00981643">
        <w:t xml:space="preserve">the Commission’s </w:t>
      </w:r>
      <w:r w:rsidR="00294658">
        <w:t>domestic section 214 transfer of control rules.</w:t>
      </w:r>
      <w:r w:rsidR="00294658">
        <w:rPr>
          <w:rStyle w:val="FootnoteReference"/>
        </w:rPr>
        <w:footnoteReference w:id="20"/>
      </w:r>
      <w:r w:rsidR="00294658">
        <w:t xml:space="preserve">  Once its review is complete,</w:t>
      </w:r>
      <w:r w:rsidR="00120D30">
        <w:t xml:space="preserve"> the Bureau </w:t>
      </w:r>
      <w:r w:rsidR="00294658">
        <w:t xml:space="preserve">will release an </w:t>
      </w:r>
      <w:r w:rsidR="00981643">
        <w:t>A</w:t>
      </w:r>
      <w:r w:rsidR="00294658">
        <w:t>ccepted-</w:t>
      </w:r>
      <w:r w:rsidR="00981643">
        <w:t>F</w:t>
      </w:r>
      <w:r w:rsidR="00294658">
        <w:t>or-</w:t>
      </w:r>
      <w:r w:rsidR="00981643">
        <w:t>F</w:t>
      </w:r>
      <w:r w:rsidR="00294658">
        <w:t>iling Public Notice</w:t>
      </w:r>
      <w:r w:rsidR="00671587">
        <w:t xml:space="preserve"> in the same manner as it does today under the current rules.  The Public Notice</w:t>
      </w:r>
      <w:r w:rsidR="00294658">
        <w:t xml:space="preserve"> will be </w:t>
      </w:r>
      <w:r w:rsidR="00981643">
        <w:t xml:space="preserve">associated with </w:t>
      </w:r>
      <w:r w:rsidR="007C6FFB">
        <w:t xml:space="preserve">the </w:t>
      </w:r>
      <w:r w:rsidR="00981643">
        <w:t>ECFS docket established for the application</w:t>
      </w:r>
      <w:r w:rsidR="00294658">
        <w:t xml:space="preserve">.  All subsequent filings by applicants and interested parties </w:t>
      </w:r>
      <w:r w:rsidR="0022400E">
        <w:t xml:space="preserve">must be submitted via ECFS to the appropriate docket.  </w:t>
      </w:r>
      <w:r w:rsidR="001927FF">
        <w:t xml:space="preserve">Thus, the “Submit a Non-Docketed Filing” module should contain only initial filings (and </w:t>
      </w:r>
      <w:r w:rsidR="007C6FFB">
        <w:t xml:space="preserve">possibly </w:t>
      </w:r>
      <w:r w:rsidR="001927FF">
        <w:t>amendments thereto</w:t>
      </w:r>
      <w:r w:rsidR="007C6FFB">
        <w:t xml:space="preserve"> submitted before the assignment of a unique docket number</w:t>
      </w:r>
      <w:r w:rsidR="001927FF">
        <w:t xml:space="preserve">), not comments on or oppositions to those filings.  </w:t>
      </w:r>
      <w:r w:rsidR="0022400E">
        <w:t>Additionally, subsequent</w:t>
      </w:r>
      <w:r w:rsidR="00294658">
        <w:t xml:space="preserve"> Commission documents addressing the application will be </w:t>
      </w:r>
      <w:r w:rsidR="0022400E">
        <w:t>associated with</w:t>
      </w:r>
      <w:r w:rsidR="00063F65">
        <w:t xml:space="preserve"> </w:t>
      </w:r>
      <w:r w:rsidR="00294658">
        <w:t xml:space="preserve">that ECFS docket.  </w:t>
      </w:r>
      <w:r w:rsidR="00120D30">
        <w:t xml:space="preserve">Bureau </w:t>
      </w:r>
      <w:r w:rsidR="00294658">
        <w:t>staff currently process</w:t>
      </w:r>
      <w:r w:rsidR="00433412">
        <w:t>es</w:t>
      </w:r>
      <w:r w:rsidR="00294658">
        <w:t xml:space="preserve"> </w:t>
      </w:r>
      <w:r w:rsidR="00433412">
        <w:t xml:space="preserve">docketed </w:t>
      </w:r>
      <w:r w:rsidR="00294658">
        <w:t>section 214 domestic transfer of control application</w:t>
      </w:r>
      <w:r w:rsidR="00987D2F">
        <w:t>s</w:t>
      </w:r>
      <w:r w:rsidR="00294658">
        <w:t xml:space="preserve"> in this manner, and applications and associated filings are </w:t>
      </w:r>
      <w:r w:rsidR="00C15337">
        <w:t xml:space="preserve">currently </w:t>
      </w:r>
      <w:r w:rsidR="00294658">
        <w:t xml:space="preserve">available to the public through the </w:t>
      </w:r>
      <w:r w:rsidR="00C15337">
        <w:t xml:space="preserve">assigned </w:t>
      </w:r>
      <w:r w:rsidR="00294658">
        <w:t>ECFS docket</w:t>
      </w:r>
      <w:r w:rsidR="00C15337">
        <w:t xml:space="preserve"> for each application</w:t>
      </w:r>
      <w:r w:rsidR="00294658">
        <w:t>.</w:t>
      </w:r>
      <w:r w:rsidR="003C6931">
        <w:rPr>
          <w:rStyle w:val="FootnoteReference"/>
        </w:rPr>
        <w:footnoteReference w:id="21"/>
      </w:r>
      <w:r w:rsidR="00294658">
        <w:t xml:space="preserve">  Therefore, there will be no change to this process other than allowing applicants to file the initial application electronically through ECFS </w:t>
      </w:r>
      <w:r w:rsidR="00433412">
        <w:t xml:space="preserve">and </w:t>
      </w:r>
      <w:r w:rsidR="0022400E">
        <w:t xml:space="preserve">to </w:t>
      </w:r>
      <w:r w:rsidR="00433412">
        <w:t>pay the fee electronically</w:t>
      </w:r>
      <w:r w:rsidR="00294658">
        <w:t xml:space="preserve">.  </w:t>
      </w:r>
      <w:r w:rsidR="00285CF7">
        <w:t xml:space="preserve">We will also allow parties </w:t>
      </w:r>
      <w:r w:rsidR="0022400E">
        <w:t xml:space="preserve">the option </w:t>
      </w:r>
      <w:r w:rsidR="00285CF7">
        <w:t>to serve petitions to deny or comments addressing domestic section 214 transfer of control application</w:t>
      </w:r>
      <w:r w:rsidR="00C15337">
        <w:t>s</w:t>
      </w:r>
      <w:r w:rsidR="00285CF7">
        <w:t xml:space="preserve"> on </w:t>
      </w:r>
      <w:r w:rsidR="00C15337">
        <w:t>the applicants</w:t>
      </w:r>
      <w:r w:rsidR="00285CF7">
        <w:t xml:space="preserve"> via email without following up by regular U.S. mail.</w:t>
      </w:r>
      <w:r w:rsidR="00285CF7" w:rsidRPr="00921849">
        <w:rPr>
          <w:vertAlign w:val="superscript"/>
        </w:rPr>
        <w:footnoteReference w:id="22"/>
      </w:r>
      <w:r w:rsidR="00285CF7">
        <w:t xml:space="preserve"> </w:t>
      </w:r>
    </w:p>
    <w:p w:rsidR="00E6630B" w:rsidRDefault="00DA6FBC" w:rsidP="00DA6FBC">
      <w:pPr>
        <w:pStyle w:val="Heading2"/>
      </w:pPr>
      <w:r>
        <w:t>Domestic Section 214 Discontinuance Application</w:t>
      </w:r>
    </w:p>
    <w:p w:rsidR="009F106F" w:rsidRPr="009F106F" w:rsidRDefault="009F106F" w:rsidP="009F106F">
      <w:pPr>
        <w:pStyle w:val="ParaNum"/>
      </w:pPr>
      <w:r w:rsidRPr="009F106F">
        <w:t>Currently, section 63.71 of the Commission’s rules does not provide for electronic filing of domestic section 214 discontinuance applications, and therefore carriers generally submit applications on paper copies to the Office of the Secretary.</w:t>
      </w:r>
      <w:r w:rsidRPr="009F106F">
        <w:rPr>
          <w:rStyle w:val="FootnoteReference"/>
          <w:szCs w:val="22"/>
        </w:rPr>
        <w:t xml:space="preserve"> </w:t>
      </w:r>
      <w:r>
        <w:rPr>
          <w:rStyle w:val="FootnoteReference"/>
          <w:szCs w:val="22"/>
        </w:rPr>
        <w:footnoteReference w:id="23"/>
      </w:r>
      <w:r>
        <w:rPr>
          <w:szCs w:val="22"/>
        </w:rPr>
        <w:t xml:space="preserve">  </w:t>
      </w:r>
      <w:r w:rsidRPr="009F106F">
        <w:rPr>
          <w:szCs w:val="22"/>
        </w:rPr>
        <w:t>As with other paper filings, although members of the public may obtain copies of the application from the Commission’s Reference Information Center, there is no way to search for or view the applications online until the Bureau establishes a docket for the application.</w:t>
      </w:r>
    </w:p>
    <w:p w:rsidR="00DA6FBC" w:rsidRPr="00630204" w:rsidRDefault="003C6931" w:rsidP="009F106F">
      <w:pPr>
        <w:pStyle w:val="ParaNum"/>
      </w:pPr>
      <w:r w:rsidRPr="00630204">
        <w:t>I</w:t>
      </w:r>
      <w:r w:rsidR="00DA6FBC" w:rsidRPr="00630204">
        <w:t xml:space="preserve">n order to facilitate electronic filing of new </w:t>
      </w:r>
      <w:r w:rsidRPr="00630204">
        <w:t xml:space="preserve">domestic </w:t>
      </w:r>
      <w:r w:rsidR="00DA6FBC" w:rsidRPr="00630204">
        <w:t>section 214 d</w:t>
      </w:r>
      <w:r w:rsidRPr="00630204">
        <w:t>iscontinuance applications</w:t>
      </w:r>
      <w:r w:rsidR="00DA6FBC" w:rsidRPr="00630204">
        <w:t xml:space="preserve">, we </w:t>
      </w:r>
      <w:r w:rsidR="007C6FFB" w:rsidRPr="00630204">
        <w:t xml:space="preserve">have </w:t>
      </w:r>
      <w:r w:rsidR="00DA6FBC" w:rsidRPr="00630204">
        <w:t>establish</w:t>
      </w:r>
      <w:r w:rsidR="007C6FFB" w:rsidRPr="00630204">
        <w:t>ed</w:t>
      </w:r>
      <w:r w:rsidR="00DA6FBC" w:rsidRPr="00630204">
        <w:t xml:space="preserve"> within </w:t>
      </w:r>
      <w:r w:rsidR="0022400E" w:rsidRPr="00630204">
        <w:t xml:space="preserve">the </w:t>
      </w:r>
      <w:r w:rsidR="00DA6FBC" w:rsidRPr="00630204">
        <w:t xml:space="preserve">ECFS a </w:t>
      </w:r>
      <w:r w:rsidR="007C6FFB" w:rsidRPr="00630204">
        <w:t>“Submit a Non-Docketed Filing” module that facilitates filing of such applications into</w:t>
      </w:r>
      <w:r w:rsidR="007C6FFB">
        <w:rPr>
          <w:rStyle w:val="StyleParaNum11pt1CharCharCharCharCharCharCharCharCharCharCharCharCharCharCharCharChar"/>
          <w:color w:val="000000"/>
        </w:rPr>
        <w:t xml:space="preserve"> </w:t>
      </w:r>
      <w:r w:rsidR="00DA6FBC">
        <w:t>single docket</w:t>
      </w:r>
      <w:r w:rsidR="007C6FFB">
        <w:t xml:space="preserve">, </w:t>
      </w:r>
      <w:r w:rsidR="00DA6FBC">
        <w:t xml:space="preserve">where all such applications must be filed.  </w:t>
      </w:r>
      <w:r>
        <w:t>As with the domestic transfer of control applications, w</w:t>
      </w:r>
      <w:r w:rsidR="00DA6FBC">
        <w:t>e employ this mechanism because</w:t>
      </w:r>
      <w:r w:rsidR="00CD227E">
        <w:t xml:space="preserve"> </w:t>
      </w:r>
      <w:r w:rsidR="00DA6FBC" w:rsidRPr="00630204">
        <w:t xml:space="preserve">staff must review an </w:t>
      </w:r>
      <w:r w:rsidR="0022400E" w:rsidRPr="00630204">
        <w:t>application to ensure that it conforms with the Commission’s rules before that application can receive its own unique ECFS docket number.</w:t>
      </w:r>
      <w:r w:rsidR="00DA6FBC" w:rsidRPr="00630204">
        <w:t xml:space="preserve"> </w:t>
      </w:r>
    </w:p>
    <w:p w:rsidR="00DA6FBC" w:rsidRDefault="00A12E46" w:rsidP="00E21F23">
      <w:pPr>
        <w:pStyle w:val="ParaNum"/>
        <w:widowControl/>
      </w:pPr>
      <w:r>
        <w:t>T</w:t>
      </w:r>
      <w:r w:rsidR="00DA6FBC">
        <w:t xml:space="preserve">he applicants will be required to </w:t>
      </w:r>
      <w:r w:rsidR="007C6FFB">
        <w:t>select “Section 214 Domestic Discontinuance Application” from the “Submit a Non-Docketed Filing” module of ECFS.</w:t>
      </w:r>
      <w:r w:rsidR="00DA6FBC">
        <w:rPr>
          <w:rStyle w:val="FootnoteReference"/>
        </w:rPr>
        <w:footnoteReference w:id="24"/>
      </w:r>
      <w:r w:rsidR="00DA6FBC">
        <w:t xml:space="preserve">  The filing </w:t>
      </w:r>
      <w:r w:rsidR="00DA6FBC" w:rsidRPr="000351D2">
        <w:t xml:space="preserve">must </w:t>
      </w:r>
      <w:r w:rsidR="00DA6FBC">
        <w:t xml:space="preserve">include the application, as well as all attachments.  When using ECFS to submit a domestic section 214 </w:t>
      </w:r>
      <w:r w:rsidR="00987D2F">
        <w:t>discontinuance</w:t>
      </w:r>
      <w:r w:rsidR="00DA6FBC">
        <w:t xml:space="preserve"> application, an applicant </w:t>
      </w:r>
      <w:r w:rsidR="00671587">
        <w:t xml:space="preserve">will </w:t>
      </w:r>
      <w:r w:rsidR="00DA6FBC">
        <w:t xml:space="preserve">no longer have to file its </w:t>
      </w:r>
      <w:r w:rsidR="00EC64CC">
        <w:t xml:space="preserve">paper </w:t>
      </w:r>
      <w:r w:rsidR="00DA6FBC">
        <w:t>application with the Office of the Secretary.</w:t>
      </w:r>
      <w:r w:rsidR="00DA6FBC">
        <w:rPr>
          <w:rStyle w:val="FootnoteReference"/>
        </w:rPr>
        <w:footnoteReference w:id="25"/>
      </w:r>
      <w:r w:rsidR="00DA6FBC">
        <w:t xml:space="preserve">  </w:t>
      </w:r>
    </w:p>
    <w:p w:rsidR="00DA6FBC" w:rsidRDefault="00120D30" w:rsidP="009F106F">
      <w:pPr>
        <w:pStyle w:val="ParaNum"/>
      </w:pPr>
      <w:r>
        <w:t>Bureau</w:t>
      </w:r>
      <w:r w:rsidR="00DA6FBC">
        <w:t xml:space="preserve"> staff will review new domestic section 214 </w:t>
      </w:r>
      <w:r w:rsidR="00987D2F">
        <w:t xml:space="preserve">discontinuance </w:t>
      </w:r>
      <w:r w:rsidR="00DA6FBC">
        <w:t>applications</w:t>
      </w:r>
      <w:r w:rsidR="00DA6FBC" w:rsidRPr="00894AA8">
        <w:t xml:space="preserve"> for conformance with procedural rules</w:t>
      </w:r>
      <w:r w:rsidR="00987D2F">
        <w:t>.</w:t>
      </w:r>
      <w:r w:rsidR="00DA6FBC">
        <w:rPr>
          <w:rStyle w:val="FootnoteReference"/>
        </w:rPr>
        <w:footnoteReference w:id="26"/>
      </w:r>
      <w:r w:rsidR="00DA6FBC">
        <w:t xml:space="preserve">  </w:t>
      </w:r>
      <w:r w:rsidR="00671587">
        <w:t xml:space="preserve">Assuming the application satisfies initial procedural review, Bureau staff will give the application its own </w:t>
      </w:r>
      <w:r w:rsidR="00671587" w:rsidRPr="000351D2">
        <w:t>case-specific</w:t>
      </w:r>
      <w:r w:rsidR="00671587">
        <w:t xml:space="preserve"> ECFS docket number.</w:t>
      </w:r>
      <w:r w:rsidR="00671587" w:rsidRPr="00894AA8">
        <w:t xml:space="preserve">  </w:t>
      </w:r>
      <w:r w:rsidR="00671587">
        <w:t>After doing so, Bu</w:t>
      </w:r>
      <w:r w:rsidR="00630204">
        <w:t xml:space="preserve">reau staff will </w:t>
      </w:r>
      <w:r w:rsidR="00671587">
        <w:t>review applications in accordance with the Commission’s domes</w:t>
      </w:r>
      <w:r w:rsidR="00630204">
        <w:t xml:space="preserve">tic section 214 discontinuance </w:t>
      </w:r>
      <w:r w:rsidR="00671587">
        <w:t>rules.</w:t>
      </w:r>
      <w:r w:rsidR="00671587" w:rsidRPr="00671587">
        <w:rPr>
          <w:rStyle w:val="FootnoteReference"/>
        </w:rPr>
        <w:t xml:space="preserve"> </w:t>
      </w:r>
      <w:r w:rsidR="00671587">
        <w:rPr>
          <w:rStyle w:val="FootnoteReference"/>
        </w:rPr>
        <w:footnoteReference w:id="27"/>
      </w:r>
      <w:r w:rsidR="00671587">
        <w:t xml:space="preserve"> Once its review is complete, the Bureau will release a Public Notice </w:t>
      </w:r>
      <w:r w:rsidR="0059050E">
        <w:t xml:space="preserve">seeking comment on the proposed discontinuance </w:t>
      </w:r>
      <w:r w:rsidR="00671587">
        <w:t xml:space="preserve">in the same manner as it does today under the current rules.  The Public Notice will be associated with </w:t>
      </w:r>
      <w:r w:rsidR="00586B25">
        <w:t xml:space="preserve">the </w:t>
      </w:r>
      <w:r w:rsidR="00671587">
        <w:t xml:space="preserve">ECFS docket established for the </w:t>
      </w:r>
      <w:r w:rsidR="0059050E">
        <w:t xml:space="preserve">particular </w:t>
      </w:r>
      <w:r w:rsidR="00671587">
        <w:t>application</w:t>
      </w:r>
      <w:r w:rsidR="006D5559">
        <w:t xml:space="preserve">.  </w:t>
      </w:r>
      <w:r w:rsidR="007C6FFB">
        <w:t>All subsequent filings by applicants and interested parties must be submitted via ECFS to the appropriate docket.  Thus, the “Submit a Non-Docketed Filing” module should contain only initial filings (and possibly amendments thereto submitted before the assignment of a unique docket number), not comments on or oppositions to those filings.  Additionally, s</w:t>
      </w:r>
      <w:r w:rsidR="00671587">
        <w:t>ubsequent Commission documents addressing the application will be associated with that ECFS docket.  Bureau staff currently processes docketed section 214 discontinuance applications in this manner, and applications and associated filings are currently available to the public through the assigned ECFS docket for each application.  Therefore, as with transfer of control applications, there will be no change to this process other than allowing applicants to file the initial application electronically through ECFS instead of by filing paper copies.</w:t>
      </w:r>
      <w:r w:rsidR="00063F65">
        <w:t xml:space="preserve">  </w:t>
      </w:r>
      <w:r w:rsidR="00A649F5">
        <w:t>Section 63.71 of the Commis</w:t>
      </w:r>
      <w:r w:rsidR="00D30BC4">
        <w:t>sion’s</w:t>
      </w:r>
      <w:r w:rsidR="00A649F5">
        <w:t xml:space="preserve"> rules </w:t>
      </w:r>
      <w:r w:rsidR="00D30BC4">
        <w:t>directs commenters to send any obj</w:t>
      </w:r>
      <w:r w:rsidR="004E38FB">
        <w:t>e</w:t>
      </w:r>
      <w:r w:rsidR="00D30BC4">
        <w:t>ctions to the proposed discontinuance to the Office of the Secretary.</w:t>
      </w:r>
      <w:r w:rsidR="00D30BC4">
        <w:rPr>
          <w:rStyle w:val="FootnoteReference"/>
        </w:rPr>
        <w:footnoteReference w:id="28"/>
      </w:r>
      <w:r w:rsidR="00D30BC4">
        <w:t xml:space="preserve">  Commenters may </w:t>
      </w:r>
      <w:r w:rsidR="00671587">
        <w:t xml:space="preserve">file them electronically through ECFS or </w:t>
      </w:r>
      <w:r w:rsidR="00D30BC4">
        <w:t xml:space="preserve">continue to send objections </w:t>
      </w:r>
      <w:r w:rsidR="004E38FB">
        <w:t>on paper to the Office of the Secretary</w:t>
      </w:r>
      <w:r w:rsidR="00671587">
        <w:t>.</w:t>
      </w:r>
      <w:r w:rsidR="00671587">
        <w:rPr>
          <w:rStyle w:val="FootnoteReference"/>
        </w:rPr>
        <w:footnoteReference w:id="29"/>
      </w:r>
      <w:r w:rsidR="00671587">
        <w:t xml:space="preserve"> </w:t>
      </w:r>
      <w:r w:rsidR="00DA6FBC">
        <w:t xml:space="preserve">  </w:t>
      </w:r>
    </w:p>
    <w:p w:rsidR="00DB728A" w:rsidRPr="00DA6FBC" w:rsidRDefault="00DB728A" w:rsidP="00DB728A">
      <w:pPr>
        <w:pStyle w:val="Heading2"/>
      </w:pPr>
      <w:r>
        <w:t>Network Changes</w:t>
      </w:r>
    </w:p>
    <w:p w:rsidR="000B6A4A" w:rsidRDefault="000B6A4A" w:rsidP="009F106F">
      <w:pPr>
        <w:pStyle w:val="ParaNum"/>
      </w:pPr>
      <w:r>
        <w:t xml:space="preserve">Our current rules require that public notices of network changes and associated certifications be filed with the Commission by sending two paper copies to </w:t>
      </w:r>
      <w:r w:rsidR="004B645F">
        <w:t xml:space="preserve">the Office </w:t>
      </w:r>
      <w:r w:rsidR="00E26703">
        <w:t>of the S</w:t>
      </w:r>
      <w:r>
        <w:t>ecretary</w:t>
      </w:r>
      <w:r w:rsidR="00E26703">
        <w:t>,</w:t>
      </w:r>
      <w:r>
        <w:t xml:space="preserve"> with the official filing date being the date on which the filing is received by the Secretary.</w:t>
      </w:r>
      <w:r>
        <w:rPr>
          <w:rStyle w:val="FootnoteReference"/>
        </w:rPr>
        <w:footnoteReference w:id="30"/>
      </w:r>
      <w:r>
        <w:t xml:space="preserve">  This </w:t>
      </w:r>
      <w:r w:rsidRPr="00C42AE4">
        <w:t xml:space="preserve">Order </w:t>
      </w:r>
      <w:r>
        <w:t xml:space="preserve">revises that rule by eliminating the paper filing requirement and instead requiring electronic filing through ECFS of all </w:t>
      </w:r>
      <w:r w:rsidRPr="003B0A66">
        <w:t>public notices of network changes and associated certifications</w:t>
      </w:r>
      <w:r>
        <w:t>.  It also clarifies that all permissible filings responsive to network change notifications are permitted</w:t>
      </w:r>
      <w:r w:rsidR="000C10BA">
        <w:t>,</w:t>
      </w:r>
      <w:r>
        <w:t xml:space="preserve"> but not required</w:t>
      </w:r>
      <w:r w:rsidR="000C10BA">
        <w:t>,</w:t>
      </w:r>
      <w:r>
        <w:t xml:space="preserve"> to be filed electronically via ECFS. </w:t>
      </w:r>
    </w:p>
    <w:p w:rsidR="000B6A4A" w:rsidRPr="009540AD" w:rsidRDefault="00B13FF4" w:rsidP="009F106F">
      <w:pPr>
        <w:pStyle w:val="ParaNum"/>
      </w:pPr>
      <w:r>
        <w:t xml:space="preserve">The </w:t>
      </w:r>
      <w:r>
        <w:rPr>
          <w:i/>
        </w:rPr>
        <w:t xml:space="preserve">Process Reform Report </w:t>
      </w:r>
      <w:r w:rsidR="000B6A4A">
        <w:t>specifically addressed the need for electronic filing of network change disclosures:</w:t>
      </w:r>
    </w:p>
    <w:p w:rsidR="000B6A4A" w:rsidRDefault="000B6A4A" w:rsidP="009F106F">
      <w:pPr>
        <w:pStyle w:val="ParaNum"/>
        <w:numPr>
          <w:ilvl w:val="0"/>
          <w:numId w:val="0"/>
        </w:numPr>
        <w:ind w:left="1440"/>
      </w:pPr>
      <w:r>
        <w:t>Local Exchange Carriers (</w:t>
      </w:r>
      <w:r w:rsidRPr="00E74F8F">
        <w:t>LECs</w:t>
      </w:r>
      <w:r>
        <w:t>)</w:t>
      </w:r>
      <w:r w:rsidRPr="00E74F8F">
        <w:t xml:space="preserve"> that want to make a network change, either temporary (like shutting the power off at an exchange while they install new equipment) or permanent, must notify all affected interconnected parties, and must file with the Commission.  </w:t>
      </w:r>
      <w:r>
        <w:t xml:space="preserve">This is currently a paper-based process. </w:t>
      </w:r>
      <w:r w:rsidRPr="00E74F8F">
        <w:t xml:space="preserve">FCC staff should create an electronic filing system for Network Change notifications, possibly on a website interface, or via a data container submitted over the web.  The resulting database could be set up to automatically notify parties who had indicated their interest, notify parties the ILEC identified as interconnecting carriers, </w:t>
      </w:r>
      <w:r>
        <w:t xml:space="preserve">and </w:t>
      </w:r>
      <w:r w:rsidRPr="00E74F8F">
        <w:t>generate PNs, quarterly reports, and external data inquiries.</w:t>
      </w:r>
      <w:r>
        <w:rPr>
          <w:rStyle w:val="FootnoteReference"/>
        </w:rPr>
        <w:footnoteReference w:id="31"/>
      </w:r>
    </w:p>
    <w:p w:rsidR="000B6A4A" w:rsidRDefault="000B6A4A" w:rsidP="009F106F">
      <w:pPr>
        <w:pStyle w:val="ParaNum"/>
      </w:pPr>
      <w:r>
        <w:t xml:space="preserve">Network change disclosures are not </w:t>
      </w:r>
      <w:r w:rsidR="000C10BA">
        <w:t xml:space="preserve">currently </w:t>
      </w:r>
      <w:r>
        <w:t xml:space="preserve">part of </w:t>
      </w:r>
      <w:r w:rsidR="000C10BA">
        <w:t xml:space="preserve">any </w:t>
      </w:r>
      <w:r>
        <w:t xml:space="preserve">docketed proceeding, and they are not </w:t>
      </w:r>
      <w:r w:rsidR="000C10BA">
        <w:t xml:space="preserve">currently </w:t>
      </w:r>
      <w:r>
        <w:t>filed in ECFS.  Rather, they are filed on paper, and they then appear on the Bureau’s Section 251 Wireline Network Change</w:t>
      </w:r>
      <w:r w:rsidR="007B3960">
        <w:t>s</w:t>
      </w:r>
      <w:r>
        <w:t xml:space="preserve"> </w:t>
      </w:r>
      <w:r w:rsidR="00DE044E">
        <w:t>web</w:t>
      </w:r>
      <w:r>
        <w:t>page.</w:t>
      </w:r>
      <w:r>
        <w:rPr>
          <w:rStyle w:val="FootnoteReference"/>
        </w:rPr>
        <w:footnoteReference w:id="32"/>
      </w:r>
      <w:r>
        <w:t xml:space="preserve">  Earlier this year, the Bureau began accepting comments </w:t>
      </w:r>
      <w:r w:rsidR="00E02BE6">
        <w:t xml:space="preserve">about network change disclosures </w:t>
      </w:r>
      <w:r>
        <w:t>via email from parties other than interconnected providers.</w:t>
      </w:r>
      <w:r>
        <w:rPr>
          <w:rStyle w:val="FootnoteReference"/>
        </w:rPr>
        <w:footnoteReference w:id="33"/>
      </w:r>
      <w:r>
        <w:t xml:space="preserve">  Because the initial network change disclosures and any resulting comments or objections are not </w:t>
      </w:r>
      <w:r w:rsidR="00E02BE6">
        <w:t xml:space="preserve">currently contained </w:t>
      </w:r>
      <w:r>
        <w:t xml:space="preserve">in ECFS, they are not as readily </w:t>
      </w:r>
      <w:r w:rsidR="00E02BE6">
        <w:t>available to the public, or as easily submitted to the Commission as are documents that do appear</w:t>
      </w:r>
      <w:r>
        <w:t xml:space="preserve"> in ECFS.</w:t>
      </w:r>
    </w:p>
    <w:p w:rsidR="000B6A4A" w:rsidRDefault="000B6A4A" w:rsidP="009F106F">
      <w:pPr>
        <w:pStyle w:val="ParaNum"/>
      </w:pPr>
      <w:r>
        <w:t xml:space="preserve">In order to facilitate electronic filing of new section 251(c)(5) network change notifications and associated filings, we </w:t>
      </w:r>
      <w:r w:rsidR="00552814">
        <w:t xml:space="preserve">have </w:t>
      </w:r>
      <w:r>
        <w:t>establish</w:t>
      </w:r>
      <w:r w:rsidR="00552814">
        <w:t>ed</w:t>
      </w:r>
      <w:r>
        <w:t xml:space="preserve"> within ECFS a </w:t>
      </w:r>
      <w:r w:rsidR="00552814">
        <w:t xml:space="preserve">“Submit a Non-Docketed Filing” module that facilitates filing of such applications into a </w:t>
      </w:r>
      <w:r>
        <w:t>single docket</w:t>
      </w:r>
      <w:r w:rsidR="00552814">
        <w:t>,</w:t>
      </w:r>
      <w:r>
        <w:t xml:space="preserve"> where </w:t>
      </w:r>
      <w:r w:rsidR="00552814">
        <w:t xml:space="preserve">all such </w:t>
      </w:r>
      <w:r>
        <w:t>network change notifications will reside initially</w:t>
      </w:r>
      <w:r w:rsidRPr="00B13FF4">
        <w:rPr>
          <w:spacing w:val="-2"/>
        </w:rPr>
        <w:t>.</w:t>
      </w:r>
      <w:r>
        <w:t xml:space="preserve">  </w:t>
      </w:r>
    </w:p>
    <w:p w:rsidR="000B6A4A" w:rsidRDefault="000B6A4A" w:rsidP="009F106F">
      <w:pPr>
        <w:pStyle w:val="ParaNum"/>
      </w:pPr>
      <w:r>
        <w:t>When filing a</w:t>
      </w:r>
      <w:r w:rsidRPr="00894AA8">
        <w:t xml:space="preserve"> </w:t>
      </w:r>
      <w:r>
        <w:t xml:space="preserve">Section 251 network change notification, an incumbent </w:t>
      </w:r>
      <w:r w:rsidR="00063F65">
        <w:t>LEC</w:t>
      </w:r>
      <w:r>
        <w:t xml:space="preserve"> will be required to </w:t>
      </w:r>
      <w:r w:rsidR="00552814">
        <w:t>select “Section 251 Network Change Notification” from the “Submit a Non-Docketed Filing” module of ECFS.</w:t>
      </w:r>
      <w:r>
        <w:t xml:space="preserve">  The filing </w:t>
      </w:r>
      <w:r w:rsidRPr="000351D2">
        <w:t xml:space="preserve">must </w:t>
      </w:r>
      <w:r>
        <w:t>include the network change notification and the certification</w:t>
      </w:r>
      <w:r w:rsidR="008002B4">
        <w:t>(s)</w:t>
      </w:r>
      <w:r>
        <w:t xml:space="preserve"> </w:t>
      </w:r>
      <w:r w:rsidR="00C94A42">
        <w:t>required by our rules.</w:t>
      </w:r>
      <w:r>
        <w:t xml:space="preserve">  Electronic filing does not modify the requirement that an incumbent LEC provide public notice in the manner currently required by section 51.329 of our rules.  The incumbent LEC will no longer have to file the </w:t>
      </w:r>
      <w:r w:rsidR="00EC64CC">
        <w:t xml:space="preserve">paper </w:t>
      </w:r>
      <w:r>
        <w:t xml:space="preserve">notification with the Office of the Secretary.  </w:t>
      </w:r>
    </w:p>
    <w:p w:rsidR="00F34099" w:rsidRDefault="000B6A4A" w:rsidP="009F106F">
      <w:pPr>
        <w:pStyle w:val="ParaNum"/>
      </w:pPr>
      <w:r>
        <w:t>Bureau staff will review new network change notifications for completeness and conformance with our rules.  Assuming the network change notification satisfies this initial procedural review, the Bureau then will give the notification its own case-specific ECFS docket number.</w:t>
      </w:r>
      <w:r w:rsidRPr="00894AA8">
        <w:t xml:space="preserve">  </w:t>
      </w:r>
      <w:r w:rsidR="001E7B40">
        <w:t>For each complete network change notification filing</w:t>
      </w:r>
      <w:r w:rsidR="00C42AE4">
        <w:t xml:space="preserve">, </w:t>
      </w:r>
      <w:r>
        <w:t xml:space="preserve">Bureau staff will </w:t>
      </w:r>
      <w:r w:rsidR="001247FE">
        <w:t>release</w:t>
      </w:r>
      <w:r>
        <w:t xml:space="preserve"> a Public Notice</w:t>
      </w:r>
      <w:r w:rsidRPr="0066396A">
        <w:t xml:space="preserve"> </w:t>
      </w:r>
      <w:r w:rsidR="001247FE">
        <w:t xml:space="preserve">which will identify and be posted </w:t>
      </w:r>
      <w:r>
        <w:t xml:space="preserve">in the </w:t>
      </w:r>
      <w:r w:rsidR="001247FE">
        <w:t xml:space="preserve">new </w:t>
      </w:r>
      <w:r>
        <w:t>case-specific ECFS docket</w:t>
      </w:r>
      <w:r w:rsidRPr="0066396A">
        <w:t xml:space="preserve">. </w:t>
      </w:r>
      <w:r>
        <w:t xml:space="preserve"> </w:t>
      </w:r>
      <w:r w:rsidR="001247FE">
        <w:t>I</w:t>
      </w:r>
      <w:r>
        <w:t xml:space="preserve">f a filed network change notification does not comply with the Commission’s procedural rules, Bureau staff will </w:t>
      </w:r>
      <w:r w:rsidR="001247FE">
        <w:t xml:space="preserve">contact the incumbent LEC to see if the filing can be amended, but </w:t>
      </w:r>
      <w:r>
        <w:t xml:space="preserve">will not assign a separate ECFS docket number to </w:t>
      </w:r>
      <w:r w:rsidR="00DE7CCB">
        <w:t>the</w:t>
      </w:r>
      <w:r>
        <w:t xml:space="preserve"> </w:t>
      </w:r>
      <w:r w:rsidR="00DE7CCB">
        <w:t>filing.</w:t>
      </w:r>
      <w:r w:rsidR="00552814">
        <w:t xml:space="preserve">  </w:t>
      </w:r>
      <w:r w:rsidR="002D6093" w:rsidRPr="00CD227E">
        <w:rPr>
          <w:color w:val="000000" w:themeColor="text1"/>
        </w:rPr>
        <w:t>Parties sending permissible filings that are responsive to network change notifications may submit them electronically in the case-specific ECFS docket or on paper to the Office of the Secretary.</w:t>
      </w:r>
    </w:p>
    <w:p w:rsidR="00CD227E" w:rsidRDefault="00CD227E" w:rsidP="00CD227E">
      <w:pPr>
        <w:pStyle w:val="Heading2"/>
      </w:pPr>
      <w:r>
        <w:t>Official Filing Date</w:t>
      </w:r>
    </w:p>
    <w:p w:rsidR="00F34099" w:rsidRPr="00572D29" w:rsidRDefault="00607B10" w:rsidP="00E21F23">
      <w:pPr>
        <w:pStyle w:val="ParaNum"/>
        <w:widowControl/>
      </w:pPr>
      <w:r>
        <w:t>Filings via t</w:t>
      </w:r>
      <w:r w:rsidRPr="00314232">
        <w:t xml:space="preserve">he ECFS submission methods we adopt </w:t>
      </w:r>
      <w:r w:rsidR="007945C0">
        <w:t>herein</w:t>
      </w:r>
      <w:r>
        <w:t xml:space="preserve"> must comply with</w:t>
      </w:r>
      <w:r w:rsidRPr="00314232">
        <w:t xml:space="preserve"> </w:t>
      </w:r>
      <w:r w:rsidRPr="00314232">
        <w:rPr>
          <w:shd w:val="clear" w:color="auto" w:fill="FFFFFF"/>
        </w:rPr>
        <w:t xml:space="preserve">section 1.4(f) of the Commission's rules, under which documents filed electronically must be received by the Commission's electronic filing system before midnight </w:t>
      </w:r>
      <w:r>
        <w:rPr>
          <w:shd w:val="clear" w:color="auto" w:fill="FFFFFF"/>
        </w:rPr>
        <w:t>in order to be considered filed as of that date</w:t>
      </w:r>
      <w:r w:rsidRPr="00314232">
        <w:rPr>
          <w:shd w:val="clear" w:color="auto" w:fill="FFFFFF"/>
        </w:rPr>
        <w:t>.</w:t>
      </w:r>
      <w:r w:rsidRPr="00314232">
        <w:rPr>
          <w:rStyle w:val="FootnoteReference"/>
          <w:sz w:val="22"/>
          <w:szCs w:val="22"/>
          <w:shd w:val="clear" w:color="auto" w:fill="FFFFFF"/>
        </w:rPr>
        <w:footnoteReference w:id="34"/>
      </w:r>
      <w:r>
        <w:rPr>
          <w:shd w:val="clear" w:color="auto" w:fill="FFFFFF"/>
        </w:rPr>
        <w:t xml:space="preserve">  A</w:t>
      </w:r>
      <w:r w:rsidRPr="00314232">
        <w:rPr>
          <w:shd w:val="clear" w:color="auto" w:fill="FFFFFF"/>
        </w:rPr>
        <w:t xml:space="preserve"> time stamp mechanism is built into ECFS, including automatic notification to the filer of the official filing date and time.</w:t>
      </w:r>
      <w:r w:rsidRPr="00314232">
        <w:rPr>
          <w:rStyle w:val="FootnoteReference"/>
          <w:sz w:val="22"/>
          <w:szCs w:val="22"/>
          <w:shd w:val="clear" w:color="auto" w:fill="FFFFFF"/>
        </w:rPr>
        <w:footnoteReference w:id="35"/>
      </w:r>
      <w:r>
        <w:rPr>
          <w:shd w:val="clear" w:color="auto" w:fill="FFFFFF"/>
        </w:rPr>
        <w:t xml:space="preserve">  We will therefore consider </w:t>
      </w:r>
      <w:r w:rsidR="00C42AE4">
        <w:rPr>
          <w:shd w:val="clear" w:color="auto" w:fill="FFFFFF"/>
        </w:rPr>
        <w:t xml:space="preserve">domestic </w:t>
      </w:r>
      <w:r>
        <w:rPr>
          <w:shd w:val="clear" w:color="auto" w:fill="FFFFFF"/>
        </w:rPr>
        <w:t>section 214 transfer of control and discontinuance applications and network change filings to be officially filed on the date on which they are time stamped in ECFS.</w:t>
      </w:r>
      <w:r w:rsidR="00314232" w:rsidRPr="00314232">
        <w:rPr>
          <w:rStyle w:val="FootnoteReference"/>
          <w:sz w:val="22"/>
          <w:szCs w:val="22"/>
        </w:rPr>
        <w:footnoteReference w:id="36"/>
      </w:r>
      <w:r w:rsidR="00314232" w:rsidRPr="00314232">
        <w:t xml:space="preserve"> </w:t>
      </w:r>
      <w:r w:rsidR="00F34099" w:rsidRPr="00314232">
        <w:t xml:space="preserve"> </w:t>
      </w:r>
    </w:p>
    <w:p w:rsidR="00572D29" w:rsidRDefault="00572D29" w:rsidP="00572D29">
      <w:pPr>
        <w:pStyle w:val="Heading2"/>
      </w:pPr>
      <w:r>
        <w:t>Confidential Information</w:t>
      </w:r>
    </w:p>
    <w:p w:rsidR="00572D29" w:rsidRPr="00572D29" w:rsidRDefault="00572D29" w:rsidP="009F106F">
      <w:pPr>
        <w:pStyle w:val="ParaNum"/>
      </w:pPr>
      <w:r>
        <w:t>Consistent with existing Commission electronic filing guidelines, a</w:t>
      </w:r>
      <w:r w:rsidRPr="00E33D44">
        <w:t xml:space="preserve">ny party asserting that materials </w:t>
      </w:r>
      <w:r>
        <w:t>filed</w:t>
      </w:r>
      <w:r w:rsidRPr="00E33D44">
        <w:t xml:space="preserve"> </w:t>
      </w:r>
      <w:r>
        <w:t>with</w:t>
      </w:r>
      <w:r w:rsidRPr="00E33D44">
        <w:t xml:space="preserve"> a</w:t>
      </w:r>
      <w:r>
        <w:t xml:space="preserve"> domestic section 214 transfer of control application, discontinuance application, or network change notification </w:t>
      </w:r>
      <w:r w:rsidRPr="00E33D44">
        <w:t>are proprietary must file with the Commission</w:t>
      </w:r>
      <w:r>
        <w:t>,</w:t>
      </w:r>
      <w:r w:rsidRPr="00E33D44">
        <w:t xml:space="preserve"> using </w:t>
      </w:r>
      <w:r>
        <w:t xml:space="preserve">ECFS, </w:t>
      </w:r>
      <w:r w:rsidRPr="00E33D44">
        <w:t xml:space="preserve">a public version of the materials </w:t>
      </w:r>
      <w:r>
        <w:t>with</w:t>
      </w:r>
      <w:r w:rsidRPr="00E33D44">
        <w:t xml:space="preserve"> any proprietary information</w:t>
      </w:r>
      <w:r>
        <w:t xml:space="preserve"> redacted</w:t>
      </w:r>
      <w:r w:rsidRPr="00E33D44">
        <w:t>.</w:t>
      </w:r>
      <w:r w:rsidR="009C4D56">
        <w:rPr>
          <w:rStyle w:val="FootnoteReference"/>
        </w:rPr>
        <w:footnoteReference w:id="37"/>
      </w:r>
      <w:r w:rsidRPr="00E33D44">
        <w:t xml:space="preserve">  </w:t>
      </w:r>
      <w:r>
        <w:t xml:space="preserve">The </w:t>
      </w:r>
      <w:r w:rsidRPr="00E33D44">
        <w:t xml:space="preserve">party </w:t>
      </w:r>
      <w:r>
        <w:t xml:space="preserve">also must </w:t>
      </w:r>
      <w:r w:rsidRPr="00E33D44">
        <w:t xml:space="preserve">file with the Secretary’s Office an unredacted </w:t>
      </w:r>
      <w:r>
        <w:t>hard copy</w:t>
      </w:r>
      <w:r w:rsidRPr="00E33D44">
        <w:t xml:space="preserve"> version that contains the proprietary information</w:t>
      </w:r>
      <w:r>
        <w:t xml:space="preserve"> and clearly marks each page, or portion thereof, using bolded brackets, highlighting, or other distinct markings that identify the sections of the filing for which a proprietary designation is claimed.  Each page of the redacted and unredacted versions must be clearly identified as the “Public Version” or the “Confidential Version,” respectively.  Both versions must be served on the same day.  Parties </w:t>
      </w:r>
      <w:r w:rsidR="00B15631">
        <w:t>may</w:t>
      </w:r>
      <w:r>
        <w:t xml:space="preserve"> serve </w:t>
      </w:r>
      <w:r w:rsidR="00B15631">
        <w:t>a</w:t>
      </w:r>
      <w:r>
        <w:t xml:space="preserve"> copy of the unredacted version on the W</w:t>
      </w:r>
      <w:r w:rsidR="002D6DC6">
        <w:t xml:space="preserve">ireline Competition Bureau </w:t>
      </w:r>
      <w:r>
        <w:t>Competition Policy Division.</w:t>
      </w:r>
    </w:p>
    <w:p w:rsidR="00572D29" w:rsidRDefault="00572D29" w:rsidP="00572D29">
      <w:pPr>
        <w:pStyle w:val="Heading2"/>
      </w:pPr>
      <w:r>
        <w:t>Effective Date of Electronic Filing</w:t>
      </w:r>
      <w:r w:rsidR="0037268C">
        <w:t xml:space="preserve"> Requirements</w:t>
      </w:r>
      <w:r w:rsidR="00B10F66">
        <w:t xml:space="preserve"> and Website Posting</w:t>
      </w:r>
    </w:p>
    <w:p w:rsidR="00572D29" w:rsidRDefault="00B15631" w:rsidP="009F106F">
      <w:pPr>
        <w:pStyle w:val="ParaNum"/>
      </w:pPr>
      <w:r>
        <w:t xml:space="preserve">This Order implements procedures and amends rules to facilitate docketing and electronic filing for domestic section 214 filings and network change notices through ECFS.  The rule changes apply to filings submitted after the effective date of these rules and do not impact existing proceedings.  </w:t>
      </w:r>
      <w:r w:rsidR="0006368A">
        <w:t>T</w:t>
      </w:r>
      <w:r w:rsidR="00B10F66">
        <w:t xml:space="preserve">o ensure transparency and accessibility of </w:t>
      </w:r>
      <w:r w:rsidR="00404400">
        <w:t xml:space="preserve">domestic </w:t>
      </w:r>
      <w:r w:rsidR="00B10F66">
        <w:t xml:space="preserve">section 214 filings and network change notices </w:t>
      </w:r>
      <w:r w:rsidR="00D0724F">
        <w:t xml:space="preserve">to </w:t>
      </w:r>
      <w:r w:rsidR="00B10F66">
        <w:t>all interested parties, the Bureau will continue to post on its website a listing of all pending filings and their status.</w:t>
      </w:r>
      <w:r w:rsidR="00D0724F">
        <w:rPr>
          <w:rStyle w:val="FootnoteReference"/>
        </w:rPr>
        <w:footnoteReference w:id="38"/>
      </w:r>
      <w:r w:rsidR="00B10F66">
        <w:t xml:space="preserve">  </w:t>
      </w:r>
      <w:r w:rsidR="00D0724F">
        <w:t>This resource contains links to public notices and other information useful to parties who are interested in commenting on the pending items.  As indicated above, parties will also be able to access the applications, notices, and all associated filings from the public and the Commission in the ECFS dockets we establish for each submission.</w:t>
      </w:r>
    </w:p>
    <w:p w:rsidR="000B6A4A" w:rsidRDefault="00FE171F" w:rsidP="009F106F">
      <w:pPr>
        <w:pStyle w:val="ParaNum"/>
      </w:pPr>
      <w:r>
        <w:t xml:space="preserve">With respect to </w:t>
      </w:r>
      <w:r w:rsidR="00C2424D">
        <w:t xml:space="preserve">pending </w:t>
      </w:r>
      <w:r>
        <w:t>network change notifications filed prior to the effective date of th</w:t>
      </w:r>
      <w:r w:rsidR="00B87BA3">
        <w:t>ese new rules</w:t>
      </w:r>
      <w:r>
        <w:t xml:space="preserve">, </w:t>
      </w:r>
      <w:r w:rsidR="000B6A4A">
        <w:t xml:space="preserve">responsive filings may </w:t>
      </w:r>
      <w:r w:rsidR="00C2424D">
        <w:t xml:space="preserve">continue to </w:t>
      </w:r>
      <w:r w:rsidR="000B6A4A">
        <w:t xml:space="preserve">be submitted on paper, and public comments in response to copper retirements may be sent by e-mail to </w:t>
      </w:r>
      <w:r w:rsidR="000B6A4A" w:rsidRPr="00CD227E">
        <w:t>NetworkChange@fcc.gov</w:t>
      </w:r>
      <w:r w:rsidR="000B6A4A">
        <w:t>.</w:t>
      </w:r>
    </w:p>
    <w:p w:rsidR="00B2434B" w:rsidRDefault="00B2434B" w:rsidP="009F106F">
      <w:pPr>
        <w:pStyle w:val="ParaNum"/>
      </w:pPr>
      <w:r>
        <w:t>The attached Appendix contains the amendments to the rules.</w:t>
      </w:r>
      <w:bookmarkStart w:id="2" w:name="_Ref383768342"/>
      <w:r>
        <w:rPr>
          <w:rStyle w:val="FootnoteReference"/>
        </w:rPr>
        <w:footnoteReference w:id="39"/>
      </w:r>
      <w:bookmarkEnd w:id="2"/>
      <w:r>
        <w:t xml:space="preserve">  The revised rules, and the requirement that these types of filings be submitted electronically, will take effect 30 days after publication in the Federal Register.  </w:t>
      </w:r>
    </w:p>
    <w:p w:rsidR="00B2434B" w:rsidRDefault="00B2434B" w:rsidP="009F106F">
      <w:pPr>
        <w:pStyle w:val="ParaNum"/>
      </w:pPr>
      <w:r>
        <w:t xml:space="preserve">We believe, however, that it would serve the public interest to allow filings in these types of proceedings to be made in accordance with this order as soon as possible, without waiting until the rules become effective.  Therefore, effective </w:t>
      </w:r>
      <w:r w:rsidR="005423BE">
        <w:t>upon</w:t>
      </w:r>
      <w:r w:rsidR="00E255B2">
        <w:t xml:space="preserve"> release of this Order</w:t>
      </w:r>
      <w:r>
        <w:t>, we waive our existing rules to the extent that they might prohibit such electronic filing, subject to the availability of such capabilities in ECFS.  The Commission may suspend, revoke, amend, or waive its rules at any time for good cause shown.</w:t>
      </w:r>
      <w:r>
        <w:rPr>
          <w:rStyle w:val="FootnoteReference"/>
        </w:rPr>
        <w:footnoteReference w:id="40"/>
      </w:r>
      <w:r>
        <w:t xml:space="preserve">  </w:t>
      </w:r>
      <w:r w:rsidRPr="00E96F09">
        <w:t>The Commission may exercise its discretion to waive a rule where the particular facts make strict compliance inconsistent with the public interest.</w:t>
      </w:r>
      <w:r>
        <w:rPr>
          <w:rStyle w:val="FootnoteReference"/>
        </w:rPr>
        <w:footnoteReference w:id="41"/>
      </w:r>
      <w:r w:rsidRPr="00E96F09">
        <w:t xml:space="preserve"> </w:t>
      </w:r>
      <w:r>
        <w:t xml:space="preserve"> This waiver serves the public interest by allowing the benefits of electronic filing to be realized immediately by the public, by Commission staff, and by those parties who choose to use it.  It will also allow for a transition period during which electronic filing, though not yet mandatory, will be permitted, which should benefit both the Bureau and </w:t>
      </w:r>
      <w:r w:rsidR="003C66C5">
        <w:t xml:space="preserve">filers </w:t>
      </w:r>
      <w:r>
        <w:t>by helping to identify any unforeseen difficulties.</w:t>
      </w:r>
    </w:p>
    <w:p w:rsidR="00104B84" w:rsidRDefault="00104B84" w:rsidP="002D5109">
      <w:pPr>
        <w:pStyle w:val="Heading2"/>
      </w:pPr>
      <w:r w:rsidRPr="00104B84">
        <w:t xml:space="preserve">Additional </w:t>
      </w:r>
      <w:r w:rsidR="004F437C">
        <w:t>Onl</w:t>
      </w:r>
      <w:r w:rsidR="00BF13D8">
        <w:t>ine</w:t>
      </w:r>
      <w:r w:rsidR="00550453">
        <w:t xml:space="preserve"> </w:t>
      </w:r>
      <w:r w:rsidRPr="00104B84">
        <w:t>Filing Capabilities</w:t>
      </w:r>
    </w:p>
    <w:p w:rsidR="00104B84" w:rsidRDefault="00104B84" w:rsidP="009F106F">
      <w:pPr>
        <w:pStyle w:val="ParaNum"/>
      </w:pPr>
      <w:r w:rsidRPr="00104B84">
        <w:t xml:space="preserve">As noted above, we also revise </w:t>
      </w:r>
      <w:r w:rsidR="00A064A3">
        <w:t xml:space="preserve">section 1.49 of </w:t>
      </w:r>
      <w:r w:rsidRPr="00104B84">
        <w:t xml:space="preserve">our rules to make clear that, to the extent any Commission rules may be construed as requiring paper filings, Commission staff is authorized to provide </w:t>
      </w:r>
      <w:r w:rsidR="004F437C">
        <w:t>on</w:t>
      </w:r>
      <w:r w:rsidR="00786A28">
        <w:t>line</w:t>
      </w:r>
      <w:r w:rsidRPr="00104B84">
        <w:t xml:space="preserve"> filing capabilities and to accept such filings from parties that wish to submit them.  This </w:t>
      </w:r>
      <w:r w:rsidR="00023EAB">
        <w:t>furthers</w:t>
      </w:r>
      <w:r w:rsidRPr="00104B84">
        <w:t xml:space="preserve"> the Commission’s efforts to update and improve its procedures by providing for greater reliance on electronic filing,</w:t>
      </w:r>
      <w:r>
        <w:rPr>
          <w:rStyle w:val="FootnoteReference"/>
        </w:rPr>
        <w:footnoteReference w:id="42"/>
      </w:r>
      <w:r w:rsidRPr="00104B84">
        <w:t xml:space="preserve"> which are being continued in this Order</w:t>
      </w:r>
      <w:r w:rsidR="00A064A3">
        <w:t>.</w:t>
      </w:r>
    </w:p>
    <w:p w:rsidR="007B20F0" w:rsidRPr="007B20F0" w:rsidRDefault="007B20F0" w:rsidP="007B20F0">
      <w:pPr>
        <w:keepNext/>
        <w:numPr>
          <w:ilvl w:val="0"/>
          <w:numId w:val="3"/>
        </w:numPr>
        <w:suppressAutoHyphens/>
        <w:spacing w:after="220"/>
        <w:jc w:val="both"/>
        <w:outlineLvl w:val="0"/>
        <w:rPr>
          <w:rFonts w:ascii="Times New Roman Bold" w:hAnsi="Times New Roman Bold"/>
          <w:b/>
          <w:caps/>
        </w:rPr>
      </w:pPr>
      <w:r w:rsidRPr="007B20F0">
        <w:rPr>
          <w:rFonts w:ascii="Times New Roman Bold" w:hAnsi="Times New Roman Bold"/>
          <w:b/>
          <w:caps/>
        </w:rPr>
        <w:t>PROCEDURAL MATTERS</w:t>
      </w:r>
    </w:p>
    <w:p w:rsidR="007B20F0" w:rsidRPr="007B20F0" w:rsidRDefault="007B20F0" w:rsidP="007B20F0">
      <w:pPr>
        <w:keepNext/>
        <w:numPr>
          <w:ilvl w:val="1"/>
          <w:numId w:val="3"/>
        </w:numPr>
        <w:spacing w:after="120"/>
        <w:outlineLvl w:val="1"/>
        <w:rPr>
          <w:b/>
          <w:szCs w:val="22"/>
        </w:rPr>
      </w:pPr>
      <w:bookmarkStart w:id="3" w:name="_Toc399947729"/>
      <w:r w:rsidRPr="007B20F0">
        <w:rPr>
          <w:b/>
          <w:szCs w:val="22"/>
        </w:rPr>
        <w:t>Paperwork Reduction Act</w:t>
      </w:r>
      <w:bookmarkEnd w:id="3"/>
    </w:p>
    <w:p w:rsidR="00C42AE4" w:rsidRPr="00C42AE4" w:rsidRDefault="00D0724F" w:rsidP="009F106F">
      <w:pPr>
        <w:pStyle w:val="ParaNum"/>
      </w:pPr>
      <w:r w:rsidRPr="00C42AE4">
        <w:rPr>
          <w:shd w:val="clear" w:color="auto" w:fill="FFFFFF"/>
        </w:rPr>
        <w:t xml:space="preserve">The Commission has authority under the Paperwork Reduction Act of 1995 to collect the information contained in the </w:t>
      </w:r>
      <w:r w:rsidR="00404400" w:rsidRPr="00221587">
        <w:rPr>
          <w:shd w:val="clear" w:color="auto" w:fill="FFFFFF"/>
        </w:rPr>
        <w:t xml:space="preserve">domestic </w:t>
      </w:r>
      <w:r w:rsidRPr="00C42AE4">
        <w:rPr>
          <w:shd w:val="clear" w:color="auto" w:fill="FFFFFF"/>
        </w:rPr>
        <w:t>section 214 applications and network change notices we address in this Order.</w:t>
      </w:r>
      <w:r w:rsidRPr="00A05834">
        <w:rPr>
          <w:snapToGrid/>
          <w:kern w:val="0"/>
          <w:vertAlign w:val="superscript"/>
        </w:rPr>
        <w:footnoteReference w:id="43"/>
      </w:r>
      <w:r w:rsidRPr="00C42AE4">
        <w:rPr>
          <w:shd w:val="clear" w:color="auto" w:fill="FFFFFF"/>
        </w:rPr>
        <w:t xml:space="preserve">  The Commission will report the </w:t>
      </w:r>
      <w:r w:rsidR="00BE146D" w:rsidRPr="00C42AE4">
        <w:rPr>
          <w:shd w:val="clear" w:color="auto" w:fill="FFFFFF"/>
        </w:rPr>
        <w:t xml:space="preserve">electronic filing </w:t>
      </w:r>
      <w:r w:rsidRPr="00C42AE4">
        <w:rPr>
          <w:shd w:val="clear" w:color="auto" w:fill="FFFFFF"/>
        </w:rPr>
        <w:t>changes adopted in this Order to the Office of Management and Budget.</w:t>
      </w:r>
      <w:r w:rsidR="0029342D" w:rsidRPr="00221587">
        <w:rPr>
          <w:snapToGrid/>
          <w:kern w:val="0"/>
        </w:rPr>
        <w:t xml:space="preserve"> </w:t>
      </w:r>
    </w:p>
    <w:p w:rsidR="0029342D" w:rsidRDefault="0029342D" w:rsidP="00C42AE4">
      <w:pPr>
        <w:pStyle w:val="Heading2"/>
      </w:pPr>
      <w:r>
        <w:t>Regulatory Flexibility Act</w:t>
      </w:r>
    </w:p>
    <w:p w:rsidR="0029342D" w:rsidRPr="00CC06B0" w:rsidRDefault="0029342D" w:rsidP="009F106F">
      <w:pPr>
        <w:pStyle w:val="ParaNum"/>
      </w:pPr>
      <w:r>
        <w:t>The actions taken in this Order do</w:t>
      </w:r>
      <w:r w:rsidRPr="00CC06B0">
        <w:t xml:space="preserve"> not require notice and comment,</w:t>
      </w:r>
      <w:r w:rsidRPr="00CC06B0">
        <w:rPr>
          <w:rStyle w:val="FootnoteReference"/>
        </w:rPr>
        <w:footnoteReference w:id="44"/>
      </w:r>
      <w:r w:rsidRPr="00CC06B0">
        <w:t xml:space="preserve"> and therefore fall outside </w:t>
      </w:r>
      <w:r>
        <w:t>t</w:t>
      </w:r>
      <w:r w:rsidRPr="00CC06B0">
        <w:t>he Regulatory Flexibility Act of 1980, as amended.</w:t>
      </w:r>
      <w:r w:rsidRPr="00CC06B0">
        <w:rPr>
          <w:rStyle w:val="FootnoteReference"/>
        </w:rPr>
        <w:footnoteReference w:id="45"/>
      </w:r>
      <w:r w:rsidRPr="00CC06B0">
        <w:t xml:space="preserve">  </w:t>
      </w:r>
      <w:r>
        <w:t xml:space="preserve">We nonetheless anticipate that the rules we adopt </w:t>
      </w:r>
      <w:r w:rsidR="000A3E74">
        <w:t>herein</w:t>
      </w:r>
      <w:r>
        <w:t xml:space="preserve"> will not have</w:t>
      </w:r>
      <w:r w:rsidRPr="00CC06B0">
        <w:t xml:space="preserve"> a significant economic impact on a substantial number of small entities</w:t>
      </w:r>
      <w:r>
        <w:t xml:space="preserve">.  As described above, the rules relate to </w:t>
      </w:r>
      <w:r w:rsidR="00F77C27">
        <w:t>Commission</w:t>
      </w:r>
      <w:r>
        <w:t xml:space="preserve"> procedures and</w:t>
      </w:r>
      <w:r w:rsidRPr="00CC06B0">
        <w:t xml:space="preserve"> do not impose</w:t>
      </w:r>
      <w:r>
        <w:t xml:space="preserve"> new</w:t>
      </w:r>
      <w:r w:rsidRPr="00CC06B0">
        <w:t xml:space="preserve"> substantive responsibilities on regulated entities.</w:t>
      </w:r>
      <w:r>
        <w:t xml:space="preserve"> </w:t>
      </w:r>
      <w:r w:rsidRPr="00CC06B0">
        <w:t xml:space="preserve"> </w:t>
      </w:r>
      <w:r>
        <w:t>T</w:t>
      </w:r>
      <w:r w:rsidRPr="00CC06B0">
        <w:t xml:space="preserve">here is no reason to believe that operation of the </w:t>
      </w:r>
      <w:r>
        <w:t xml:space="preserve">revised </w:t>
      </w:r>
      <w:r w:rsidRPr="00CC06B0">
        <w:t>rules w</w:t>
      </w:r>
      <w:r>
        <w:t>ill</w:t>
      </w:r>
      <w:r w:rsidRPr="00CC06B0">
        <w:t xml:space="preserve"> impose significant costs on parties to Commission proceedings.  </w:t>
      </w:r>
      <w:r>
        <w:t xml:space="preserve">To the contrary, we take </w:t>
      </w:r>
      <w:r w:rsidR="000A3E74">
        <w:t>the</w:t>
      </w:r>
      <w:r>
        <w:t xml:space="preserve"> actions </w:t>
      </w:r>
      <w:r w:rsidR="000A3E74">
        <w:t xml:space="preserve">herein </w:t>
      </w:r>
      <w:r>
        <w:t xml:space="preserve">with the expectation that, overall, they will make dealings with the Commission quicker, easier, and less costly for entities of all sizes. </w:t>
      </w:r>
    </w:p>
    <w:p w:rsidR="007B20F0" w:rsidRPr="007B20F0" w:rsidRDefault="007B20F0" w:rsidP="007B20F0">
      <w:pPr>
        <w:keepNext/>
        <w:numPr>
          <w:ilvl w:val="1"/>
          <w:numId w:val="3"/>
        </w:numPr>
        <w:spacing w:after="120"/>
        <w:outlineLvl w:val="1"/>
        <w:rPr>
          <w:b/>
          <w:szCs w:val="22"/>
        </w:rPr>
      </w:pPr>
      <w:bookmarkStart w:id="4" w:name="_Toc399947730"/>
      <w:r w:rsidRPr="007B20F0">
        <w:rPr>
          <w:b/>
          <w:szCs w:val="22"/>
        </w:rPr>
        <w:t>Congressional Review Act</w:t>
      </w:r>
      <w:bookmarkEnd w:id="4"/>
    </w:p>
    <w:p w:rsidR="007B20F0" w:rsidRPr="007B20F0" w:rsidRDefault="007B20F0" w:rsidP="009F106F">
      <w:pPr>
        <w:pStyle w:val="ParaNum"/>
        <w:rPr>
          <w:snapToGrid/>
        </w:rPr>
      </w:pPr>
      <w:r w:rsidRPr="007B20F0">
        <w:rPr>
          <w:snapToGrid/>
        </w:rPr>
        <w:t xml:space="preserve">The Commission will not send a copy of this Order to Congress or the Government Accountability Office pursuant to the Congressional Review </w:t>
      </w:r>
      <w:r w:rsidR="00C6360C" w:rsidRPr="007B20F0">
        <w:rPr>
          <w:snapToGrid/>
        </w:rPr>
        <w:t>Act because</w:t>
      </w:r>
      <w:r w:rsidRPr="007B20F0">
        <w:rPr>
          <w:snapToGrid/>
        </w:rPr>
        <w:t xml:space="preserve"> the adopted rules are rules of agency organization, procedure, or practice </w:t>
      </w:r>
      <w:r w:rsidRPr="007B20F0">
        <w:t>that</w:t>
      </w:r>
      <w:r w:rsidRPr="007B20F0">
        <w:rPr>
          <w:snapToGrid/>
        </w:rPr>
        <w:t xml:space="preserve"> do not “substantially affect the rights or obligations of non-agency parties.”</w:t>
      </w:r>
      <w:r w:rsidR="0006368A" w:rsidRPr="0006368A">
        <w:rPr>
          <w:snapToGrid/>
          <w:sz w:val="20"/>
          <w:vertAlign w:val="superscript"/>
        </w:rPr>
        <w:t xml:space="preserve"> </w:t>
      </w:r>
      <w:r w:rsidR="0006368A" w:rsidRPr="007B20F0">
        <w:rPr>
          <w:snapToGrid/>
          <w:sz w:val="20"/>
          <w:vertAlign w:val="superscript"/>
        </w:rPr>
        <w:footnoteReference w:id="46"/>
      </w:r>
    </w:p>
    <w:p w:rsidR="007B20F0" w:rsidRPr="007B20F0" w:rsidRDefault="007B20F0" w:rsidP="007B20F0">
      <w:pPr>
        <w:keepNext/>
        <w:numPr>
          <w:ilvl w:val="0"/>
          <w:numId w:val="3"/>
        </w:numPr>
        <w:suppressAutoHyphens/>
        <w:spacing w:after="220"/>
        <w:jc w:val="both"/>
        <w:outlineLvl w:val="0"/>
        <w:rPr>
          <w:rFonts w:ascii="Times New Roman Bold" w:hAnsi="Times New Roman Bold"/>
          <w:b/>
          <w:caps/>
        </w:rPr>
      </w:pPr>
      <w:r w:rsidRPr="007B20F0">
        <w:rPr>
          <w:rFonts w:ascii="Times New Roman Bold" w:hAnsi="Times New Roman Bold"/>
          <w:b/>
          <w:caps/>
        </w:rPr>
        <w:t>ORDERING CLAUSES</w:t>
      </w:r>
    </w:p>
    <w:p w:rsidR="007B20F0" w:rsidRDefault="007B20F0" w:rsidP="009F106F">
      <w:pPr>
        <w:pStyle w:val="ParaNum"/>
      </w:pPr>
      <w:r w:rsidRPr="007B20F0">
        <w:t xml:space="preserve">Accordingly, IT IS ORDERED, pursuant to </w:t>
      </w:r>
      <w:r w:rsidR="0016281A">
        <w:t>s</w:t>
      </w:r>
      <w:r w:rsidRPr="007B20F0">
        <w:t xml:space="preserve">ections 4(i), 4(j), </w:t>
      </w:r>
      <w:r w:rsidR="00AC22B4">
        <w:t xml:space="preserve">201, 214, </w:t>
      </w:r>
      <w:r w:rsidRPr="007B20F0">
        <w:t xml:space="preserve">and 251 of the Communications Act of 1934, as amended, 47 U.S.C. §§ 154(i), 154(j), </w:t>
      </w:r>
      <w:r w:rsidR="00AC22B4">
        <w:t xml:space="preserve">201, 214, </w:t>
      </w:r>
      <w:r w:rsidRPr="007B20F0">
        <w:t>251, that</w:t>
      </w:r>
      <w:r w:rsidR="00400DE4" w:rsidRPr="00400DE4">
        <w:t xml:space="preserve"> </w:t>
      </w:r>
      <w:r w:rsidR="005423BE">
        <w:t>p</w:t>
      </w:r>
      <w:r w:rsidR="00400DE4">
        <w:t xml:space="preserve">arts </w:t>
      </w:r>
      <w:r w:rsidR="005423BE">
        <w:t xml:space="preserve">1, </w:t>
      </w:r>
      <w:r w:rsidR="00400DE4">
        <w:t>51</w:t>
      </w:r>
      <w:r w:rsidR="005423BE">
        <w:t>,</w:t>
      </w:r>
      <w:r w:rsidR="00400DE4">
        <w:t xml:space="preserve"> and 63 of the</w:t>
      </w:r>
      <w:r w:rsidR="005423BE">
        <w:t xml:space="preserve"> Commission’s rules, 47 C.F.R. p</w:t>
      </w:r>
      <w:r w:rsidR="00400DE4">
        <w:t xml:space="preserve">arts </w:t>
      </w:r>
      <w:r w:rsidR="001C482F">
        <w:t xml:space="preserve">1, </w:t>
      </w:r>
      <w:r w:rsidR="00400DE4">
        <w:t>51</w:t>
      </w:r>
      <w:r w:rsidR="001C482F">
        <w:t>,</w:t>
      </w:r>
      <w:r w:rsidR="00400DE4">
        <w:t xml:space="preserve"> and 63</w:t>
      </w:r>
      <w:r w:rsidR="005423BE">
        <w:t>,</w:t>
      </w:r>
      <w:r w:rsidR="00400DE4">
        <w:t xml:space="preserve"> ARE AMENDED as set forth in the attached Appendix</w:t>
      </w:r>
      <w:r w:rsidR="001C482F">
        <w:t xml:space="preserve">, effective </w:t>
      </w:r>
      <w:r w:rsidR="00607B10">
        <w:t>30 days after publication in the Federal Register.</w:t>
      </w:r>
    </w:p>
    <w:p w:rsidR="001C482F" w:rsidRPr="007B20F0" w:rsidRDefault="001C482F" w:rsidP="009F106F">
      <w:pPr>
        <w:pStyle w:val="ParaNum"/>
      </w:pPr>
      <w:r>
        <w:t xml:space="preserve">IT IS FURTHER ORDERED, pursuant to </w:t>
      </w:r>
      <w:r w:rsidR="005423BE">
        <w:t>s</w:t>
      </w:r>
      <w:r>
        <w:t xml:space="preserve">ections 4(i), 4(j), 214, and 251 of the Communications Act of 1934, as amended, 47 U.S.C. §§ 154(i), 154(j), 214, 251, and section 1.3 of the Commission’s rules, 47 C.F.R. § 1.3, that, effective upon release of this Order, sections 1.49, 51.329, 63.52, 63.53, 63.63, and 63.71 of the Commission’s rules, 47 C.F.R. §§ 1.49, 51.329, 63.52, 63.53, 63.63, 63.71, </w:t>
      </w:r>
      <w:r w:rsidR="005423BE">
        <w:t>ARE</w:t>
      </w:r>
      <w:r>
        <w:t xml:space="preserve"> WAIVED to the extent necessary to permit online electronic filing in accordance with the processes discussed in this Order.  This waiver shall be effective until the effective date of the rule changes ordered in the previous paragraph.</w:t>
      </w:r>
    </w:p>
    <w:p w:rsidR="007B20F0" w:rsidRPr="007B20F0" w:rsidRDefault="007B20F0" w:rsidP="007B20F0">
      <w:pPr>
        <w:tabs>
          <w:tab w:val="left" w:pos="720"/>
        </w:tabs>
        <w:spacing w:after="120"/>
        <w:ind w:left="720"/>
      </w:pPr>
    </w:p>
    <w:p w:rsidR="007B20F0" w:rsidRPr="007B20F0" w:rsidRDefault="007B20F0" w:rsidP="007B20F0">
      <w:pPr>
        <w:tabs>
          <w:tab w:val="left" w:pos="720"/>
        </w:tabs>
        <w:spacing w:after="120"/>
        <w:ind w:left="720"/>
      </w:pPr>
      <w:r w:rsidRPr="007B20F0">
        <w:tab/>
      </w:r>
      <w:r w:rsidRPr="007B20F0">
        <w:tab/>
      </w:r>
      <w:r w:rsidRPr="007B20F0">
        <w:tab/>
      </w:r>
      <w:r w:rsidRPr="007B20F0">
        <w:tab/>
      </w:r>
      <w:r w:rsidRPr="007B20F0">
        <w:tab/>
        <w:t>FEDERAL COMMUNICATIONS COMMISSION</w:t>
      </w:r>
    </w:p>
    <w:p w:rsidR="00384192" w:rsidRDefault="00384192" w:rsidP="007B20F0">
      <w:pPr>
        <w:spacing w:after="120"/>
        <w:ind w:firstLine="720"/>
      </w:pPr>
    </w:p>
    <w:p w:rsidR="005423BE" w:rsidRDefault="005423BE" w:rsidP="007B20F0">
      <w:pPr>
        <w:spacing w:after="120"/>
        <w:ind w:firstLine="720"/>
      </w:pPr>
    </w:p>
    <w:p w:rsidR="005423BE" w:rsidRPr="007B20F0" w:rsidRDefault="005423BE" w:rsidP="007B20F0">
      <w:pPr>
        <w:spacing w:after="120"/>
        <w:ind w:firstLine="720"/>
      </w:pPr>
    </w:p>
    <w:p w:rsidR="007B20F0" w:rsidRPr="007B20F0" w:rsidRDefault="007B20F0" w:rsidP="009C4D56">
      <w:pPr>
        <w:ind w:firstLine="720"/>
      </w:pPr>
      <w:r w:rsidRPr="007B20F0">
        <w:tab/>
      </w:r>
      <w:r w:rsidRPr="007B20F0">
        <w:tab/>
      </w:r>
      <w:r w:rsidRPr="007B20F0">
        <w:tab/>
      </w:r>
      <w:r w:rsidRPr="007B20F0">
        <w:tab/>
      </w:r>
      <w:r w:rsidRPr="007B20F0">
        <w:tab/>
        <w:t>Marlene H. Dortch</w:t>
      </w:r>
    </w:p>
    <w:p w:rsidR="000E53F5" w:rsidRDefault="007B20F0" w:rsidP="00D6191B">
      <w:pPr>
        <w:ind w:firstLine="720"/>
      </w:pPr>
      <w:r w:rsidRPr="007B20F0">
        <w:tab/>
      </w:r>
      <w:r w:rsidRPr="007B20F0">
        <w:tab/>
      </w:r>
      <w:r w:rsidRPr="007B20F0">
        <w:tab/>
      </w:r>
      <w:r w:rsidRPr="007B20F0">
        <w:tab/>
      </w:r>
      <w:r w:rsidRPr="007B20F0">
        <w:tab/>
        <w:t>Secretary</w:t>
      </w:r>
      <w:r w:rsidR="000E53F5">
        <w:br w:type="page"/>
      </w:r>
    </w:p>
    <w:p w:rsidR="000E53F5" w:rsidRDefault="000E53F5" w:rsidP="000E53F5">
      <w:pPr>
        <w:widowControl/>
        <w:spacing w:after="200" w:line="276" w:lineRule="auto"/>
        <w:jc w:val="center"/>
        <w:rPr>
          <w:rFonts w:eastAsiaTheme="minorHAnsi"/>
          <w:b/>
          <w:snapToGrid/>
          <w:kern w:val="0"/>
          <w:szCs w:val="22"/>
        </w:rPr>
      </w:pPr>
      <w:r w:rsidRPr="000E53F5">
        <w:rPr>
          <w:rFonts w:eastAsiaTheme="minorHAnsi"/>
          <w:b/>
          <w:snapToGrid/>
          <w:kern w:val="0"/>
          <w:szCs w:val="22"/>
        </w:rPr>
        <w:t xml:space="preserve">APPENDIX </w:t>
      </w:r>
    </w:p>
    <w:p w:rsidR="005423BE" w:rsidRPr="000E53F5" w:rsidRDefault="005423BE" w:rsidP="005423BE">
      <w:pPr>
        <w:widowControl/>
        <w:spacing w:after="360" w:line="276" w:lineRule="auto"/>
        <w:jc w:val="center"/>
        <w:rPr>
          <w:rFonts w:eastAsiaTheme="minorHAnsi"/>
          <w:b/>
          <w:snapToGrid/>
          <w:kern w:val="0"/>
          <w:szCs w:val="22"/>
        </w:rPr>
      </w:pPr>
      <w:r>
        <w:rPr>
          <w:rFonts w:eastAsiaTheme="minorHAnsi"/>
          <w:b/>
          <w:snapToGrid/>
          <w:kern w:val="0"/>
          <w:szCs w:val="22"/>
        </w:rPr>
        <w:t>Final Rules</w:t>
      </w:r>
    </w:p>
    <w:p w:rsidR="000906BC" w:rsidRPr="00F510FF" w:rsidRDefault="000E53F5" w:rsidP="000906BC">
      <w:pPr>
        <w:widowControl/>
        <w:spacing w:after="200" w:line="276" w:lineRule="auto"/>
      </w:pPr>
      <w:r w:rsidRPr="005E7BB3">
        <w:rPr>
          <w:rFonts w:eastAsia="Calibri"/>
          <w:bCs/>
          <w:snapToGrid/>
          <w:kern w:val="0"/>
          <w:szCs w:val="22"/>
        </w:rPr>
        <w:t xml:space="preserve">1.  </w:t>
      </w:r>
      <w:r w:rsidR="000906BC" w:rsidRPr="00F510FF">
        <w:t>Section 1.49 is amended by revising paragraphs (f)(1)(iv)</w:t>
      </w:r>
      <w:r w:rsidR="000906BC">
        <w:t xml:space="preserve"> and </w:t>
      </w:r>
      <w:r w:rsidR="000906BC" w:rsidRPr="00F510FF">
        <w:t>(v), adding paragraphs (1)(vi), (1)(vii), and (1)(viii) to paragraph (f), revising paragraphs (f)(2) and adding paragraph (f)(2)(v); redesignating paragraph (f)(3) as paragraph (f)(4), inserting a new paragraph (f)(3), and revising paragraph (f)(4) (as redesignated) to read as follows:</w:t>
      </w:r>
    </w:p>
    <w:p w:rsidR="000906BC" w:rsidRPr="005E7BB3" w:rsidRDefault="000906BC" w:rsidP="000906BC">
      <w:pPr>
        <w:widowControl/>
        <w:spacing w:after="200" w:line="276" w:lineRule="auto"/>
        <w:rPr>
          <w:rFonts w:eastAsia="Calibri"/>
          <w:b/>
          <w:snapToGrid/>
          <w:color w:val="000000" w:themeColor="text1"/>
          <w:kern w:val="0"/>
          <w:szCs w:val="22"/>
        </w:rPr>
      </w:pPr>
      <w:r w:rsidRPr="005E7BB3">
        <w:rPr>
          <w:rFonts w:eastAsia="Calibri"/>
          <w:b/>
          <w:snapToGrid/>
          <w:color w:val="000000" w:themeColor="text1"/>
          <w:kern w:val="0"/>
          <w:szCs w:val="22"/>
        </w:rPr>
        <w:t>§ 1.49</w:t>
      </w:r>
      <w:r>
        <w:rPr>
          <w:rFonts w:eastAsia="Calibri"/>
          <w:b/>
          <w:snapToGrid/>
          <w:color w:val="000000" w:themeColor="text1"/>
          <w:kern w:val="0"/>
          <w:szCs w:val="22"/>
        </w:rPr>
        <w:t xml:space="preserve">  </w:t>
      </w:r>
      <w:r w:rsidRPr="005E7BB3">
        <w:rPr>
          <w:rFonts w:eastAsia="Calibri"/>
          <w:b/>
          <w:snapToGrid/>
          <w:color w:val="000000" w:themeColor="text1"/>
          <w:kern w:val="0"/>
          <w:szCs w:val="22"/>
        </w:rPr>
        <w:t>Specifications as to pleadings and documents.</w:t>
      </w:r>
    </w:p>
    <w:p w:rsidR="000906BC" w:rsidRDefault="000906BC" w:rsidP="000906BC">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 * * * *</w:t>
      </w:r>
    </w:p>
    <w:p w:rsidR="000906BC" w:rsidRDefault="000906BC" w:rsidP="000906BC">
      <w:pPr>
        <w:widowControl/>
        <w:spacing w:after="200" w:line="276" w:lineRule="auto"/>
        <w:rPr>
          <w:rFonts w:eastAsia="Calibri"/>
          <w:snapToGrid/>
          <w:color w:val="000000" w:themeColor="text1"/>
          <w:kern w:val="0"/>
          <w:szCs w:val="22"/>
        </w:rPr>
      </w:pPr>
      <w:r w:rsidRPr="000E53F5">
        <w:rPr>
          <w:rFonts w:eastAsia="Calibri"/>
          <w:snapToGrid/>
          <w:color w:val="000000" w:themeColor="text1"/>
          <w:kern w:val="0"/>
          <w:szCs w:val="22"/>
        </w:rPr>
        <w:t>(</w:t>
      </w:r>
      <w:r>
        <w:rPr>
          <w:rFonts w:eastAsia="Calibri"/>
          <w:snapToGrid/>
          <w:color w:val="000000" w:themeColor="text1"/>
          <w:kern w:val="0"/>
          <w:szCs w:val="22"/>
        </w:rPr>
        <w:t>f</w:t>
      </w:r>
      <w:r w:rsidRPr="000E53F5">
        <w:rPr>
          <w:rFonts w:eastAsia="Calibri"/>
          <w:snapToGrid/>
          <w:color w:val="000000" w:themeColor="text1"/>
          <w:kern w:val="0"/>
          <w:szCs w:val="22"/>
        </w:rPr>
        <w:t xml:space="preserve">) </w:t>
      </w:r>
      <w:r>
        <w:rPr>
          <w:rFonts w:eastAsia="Calibri"/>
          <w:snapToGrid/>
          <w:color w:val="000000" w:themeColor="text1"/>
          <w:kern w:val="0"/>
          <w:szCs w:val="22"/>
        </w:rPr>
        <w:t>* * *</w:t>
      </w:r>
    </w:p>
    <w:p w:rsidR="000906BC" w:rsidRDefault="000906BC" w:rsidP="000906BC">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(1) * * *</w:t>
      </w:r>
    </w:p>
    <w:p w:rsidR="000906BC" w:rsidRDefault="000906BC" w:rsidP="000906BC">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 xml:space="preserve">(iv) </w:t>
      </w:r>
      <w:r w:rsidRPr="00501C2A">
        <w:rPr>
          <w:rFonts w:eastAsia="Calibri"/>
          <w:snapToGrid/>
          <w:color w:val="000000" w:themeColor="text1"/>
          <w:kern w:val="0"/>
          <w:szCs w:val="22"/>
        </w:rPr>
        <w:t>Proceedings involving Over-the-Air Reception Devices;</w:t>
      </w:r>
    </w:p>
    <w:p w:rsidR="000906BC" w:rsidRDefault="000906BC" w:rsidP="000906BC">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 xml:space="preserve">(v) </w:t>
      </w:r>
      <w:r w:rsidRPr="00501C2A">
        <w:rPr>
          <w:rFonts w:eastAsia="Calibri"/>
          <w:snapToGrid/>
          <w:color w:val="000000" w:themeColor="text1"/>
          <w:kern w:val="0"/>
          <w:szCs w:val="22"/>
        </w:rPr>
        <w:t xml:space="preserve">Common carrier certifications under </w:t>
      </w:r>
      <w:r>
        <w:rPr>
          <w:rFonts w:eastAsia="Calibri"/>
          <w:snapToGrid/>
          <w:color w:val="000000" w:themeColor="text1"/>
          <w:kern w:val="0"/>
          <w:szCs w:val="22"/>
        </w:rPr>
        <w:t>§</w:t>
      </w:r>
      <w:r w:rsidRPr="00501C2A">
        <w:rPr>
          <w:rFonts w:eastAsia="Calibri"/>
          <w:snapToGrid/>
          <w:color w:val="000000" w:themeColor="text1"/>
          <w:kern w:val="0"/>
          <w:szCs w:val="22"/>
        </w:rPr>
        <w:t xml:space="preserve"> 54.314 of this chapter</w:t>
      </w:r>
      <w:r>
        <w:rPr>
          <w:rFonts w:eastAsia="Calibri"/>
          <w:snapToGrid/>
          <w:color w:val="000000" w:themeColor="text1"/>
          <w:kern w:val="0"/>
          <w:szCs w:val="22"/>
        </w:rPr>
        <w:t>;</w:t>
      </w:r>
    </w:p>
    <w:p w:rsidR="000906BC" w:rsidRDefault="000906BC" w:rsidP="000906BC">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(vi) Domestic Section 214 transfer-of-control applications pursuant to §§ 63.52 and 63.53 of this chapter;</w:t>
      </w:r>
    </w:p>
    <w:p w:rsidR="000906BC" w:rsidRDefault="000906BC" w:rsidP="000906BC">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(vii) Domestic Section 214 discontinuance applications pursuant to §§ 63.63 and/or 63.71 of this chapter; and</w:t>
      </w:r>
    </w:p>
    <w:p w:rsidR="000906BC" w:rsidRPr="007F5CCF" w:rsidRDefault="000906BC" w:rsidP="000906BC">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 xml:space="preserve">(viii) Notices of network change and associated certifications pursuant </w:t>
      </w:r>
      <w:r w:rsidRPr="00C6360C">
        <w:rPr>
          <w:rFonts w:eastAsia="Calibri"/>
          <w:snapToGrid/>
          <w:color w:val="000000" w:themeColor="text1"/>
          <w:kern w:val="0"/>
          <w:szCs w:val="22"/>
        </w:rPr>
        <w:t xml:space="preserve">to </w:t>
      </w:r>
      <w:r>
        <w:rPr>
          <w:color w:val="000000" w:themeColor="text1"/>
        </w:rPr>
        <w:t>§</w:t>
      </w:r>
      <w:r w:rsidRPr="00C6360C">
        <w:rPr>
          <w:color w:val="000000" w:themeColor="text1"/>
        </w:rPr>
        <w:t xml:space="preserve"> 51.325 </w:t>
      </w:r>
      <w:r w:rsidRPr="00D6191B">
        <w:rPr>
          <w:i/>
          <w:color w:val="000000" w:themeColor="text1"/>
        </w:rPr>
        <w:t>et seq</w:t>
      </w:r>
      <w:r w:rsidRPr="00C6360C">
        <w:rPr>
          <w:color w:val="000000" w:themeColor="text1"/>
        </w:rPr>
        <w:t>.</w:t>
      </w:r>
      <w:r w:rsidRPr="00C6360C">
        <w:rPr>
          <w:rFonts w:eastAsia="Calibri"/>
          <w:snapToGrid/>
          <w:color w:val="000000" w:themeColor="text1"/>
          <w:kern w:val="0"/>
          <w:szCs w:val="22"/>
        </w:rPr>
        <w:t xml:space="preserve"> of </w:t>
      </w:r>
      <w:r>
        <w:rPr>
          <w:rFonts w:eastAsia="Calibri"/>
          <w:snapToGrid/>
          <w:color w:val="000000" w:themeColor="text1"/>
          <w:kern w:val="0"/>
          <w:szCs w:val="22"/>
        </w:rPr>
        <w:t>this chapter.</w:t>
      </w:r>
    </w:p>
    <w:p w:rsidR="000906BC" w:rsidRDefault="000906BC" w:rsidP="000906BC">
      <w:pPr>
        <w:widowControl/>
        <w:rPr>
          <w:rFonts w:eastAsia="Calibri"/>
          <w:snapToGrid/>
          <w:color w:val="333333"/>
          <w:kern w:val="0"/>
          <w:szCs w:val="22"/>
        </w:rPr>
      </w:pPr>
      <w:r w:rsidRPr="007F5CCF">
        <w:rPr>
          <w:rFonts w:eastAsia="Calibri"/>
          <w:snapToGrid/>
          <w:color w:val="333333"/>
          <w:kern w:val="0"/>
          <w:szCs w:val="22"/>
        </w:rPr>
        <w:t xml:space="preserve">(2) Unless required under paragraph (f)(1) of this section, in the following types of proceedings, all pleadings, </w:t>
      </w:r>
      <w:r w:rsidRPr="007F5CCF">
        <w:rPr>
          <w:rFonts w:eastAsia="Calibri"/>
          <w:snapToGrid/>
          <w:kern w:val="0"/>
          <w:szCs w:val="22"/>
        </w:rPr>
        <w:t>including</w:t>
      </w:r>
      <w:r w:rsidRPr="007F5CCF">
        <w:rPr>
          <w:rFonts w:eastAsia="Calibri"/>
          <w:snapToGrid/>
          <w:color w:val="333333"/>
          <w:kern w:val="0"/>
          <w:szCs w:val="22"/>
        </w:rPr>
        <w:t xml:space="preserve"> permissible ex parte submissions, notices of ex parte presentations, comments, reply comments, and petitions for reconsideration and replies thereto, may be filed in electronic format:</w:t>
      </w:r>
    </w:p>
    <w:p w:rsidR="000906BC" w:rsidRPr="007F5CCF" w:rsidRDefault="000906BC" w:rsidP="000906BC">
      <w:pPr>
        <w:widowControl/>
        <w:rPr>
          <w:rFonts w:ascii="Calibri" w:eastAsia="Calibri" w:hAnsi="Calibri"/>
          <w:snapToGrid/>
          <w:kern w:val="0"/>
          <w:szCs w:val="22"/>
        </w:rPr>
      </w:pPr>
    </w:p>
    <w:p w:rsidR="000906BC" w:rsidRDefault="000906BC" w:rsidP="000906BC">
      <w:pPr>
        <w:widowControl/>
        <w:rPr>
          <w:rFonts w:eastAsia="Calibri"/>
          <w:snapToGrid/>
          <w:color w:val="333333"/>
          <w:kern w:val="0"/>
          <w:szCs w:val="22"/>
        </w:rPr>
      </w:pPr>
      <w:r w:rsidRPr="007F5CCF">
        <w:rPr>
          <w:rFonts w:eastAsia="Calibri"/>
          <w:snapToGrid/>
          <w:color w:val="333333"/>
          <w:kern w:val="0"/>
          <w:szCs w:val="22"/>
        </w:rPr>
        <w:t>*</w:t>
      </w:r>
      <w:r>
        <w:rPr>
          <w:rFonts w:eastAsia="Calibri"/>
          <w:snapToGrid/>
          <w:color w:val="333333"/>
          <w:kern w:val="0"/>
          <w:szCs w:val="22"/>
        </w:rPr>
        <w:t xml:space="preserve"> </w:t>
      </w:r>
      <w:r w:rsidRPr="007F5CCF">
        <w:rPr>
          <w:rFonts w:eastAsia="Calibri"/>
          <w:snapToGrid/>
          <w:color w:val="333333"/>
          <w:kern w:val="0"/>
          <w:szCs w:val="22"/>
        </w:rPr>
        <w:t>*</w:t>
      </w:r>
      <w:r>
        <w:rPr>
          <w:rFonts w:eastAsia="Calibri"/>
          <w:snapToGrid/>
          <w:color w:val="333333"/>
          <w:kern w:val="0"/>
          <w:szCs w:val="22"/>
        </w:rPr>
        <w:t xml:space="preserve"> </w:t>
      </w:r>
      <w:r w:rsidRPr="007F5CCF">
        <w:rPr>
          <w:rFonts w:eastAsia="Calibri"/>
          <w:snapToGrid/>
          <w:color w:val="333333"/>
          <w:kern w:val="0"/>
          <w:szCs w:val="22"/>
        </w:rPr>
        <w:t>*</w:t>
      </w:r>
      <w:r>
        <w:rPr>
          <w:rFonts w:eastAsia="Calibri"/>
          <w:snapToGrid/>
          <w:color w:val="333333"/>
          <w:kern w:val="0"/>
          <w:szCs w:val="22"/>
        </w:rPr>
        <w:t xml:space="preserve"> </w:t>
      </w:r>
      <w:r w:rsidRPr="007F5CCF">
        <w:rPr>
          <w:rFonts w:eastAsia="Calibri"/>
          <w:snapToGrid/>
          <w:color w:val="333333"/>
          <w:kern w:val="0"/>
          <w:szCs w:val="22"/>
        </w:rPr>
        <w:t>*</w:t>
      </w:r>
      <w:r>
        <w:rPr>
          <w:rFonts w:eastAsia="Calibri"/>
          <w:snapToGrid/>
          <w:color w:val="333333"/>
          <w:kern w:val="0"/>
          <w:szCs w:val="22"/>
        </w:rPr>
        <w:t xml:space="preserve"> *</w:t>
      </w:r>
    </w:p>
    <w:p w:rsidR="000906BC" w:rsidRPr="007F5CCF" w:rsidRDefault="000906BC" w:rsidP="000906BC">
      <w:pPr>
        <w:widowControl/>
        <w:rPr>
          <w:rFonts w:ascii="Calibri" w:eastAsia="Calibri" w:hAnsi="Calibri"/>
          <w:snapToGrid/>
          <w:kern w:val="0"/>
          <w:szCs w:val="22"/>
        </w:rPr>
      </w:pPr>
    </w:p>
    <w:p w:rsidR="000906BC" w:rsidRPr="007F5CCF" w:rsidRDefault="000906BC" w:rsidP="000906BC">
      <w:pPr>
        <w:widowControl/>
        <w:rPr>
          <w:rFonts w:eastAsia="Calibri"/>
          <w:snapToGrid/>
          <w:color w:val="333333"/>
          <w:kern w:val="0"/>
          <w:szCs w:val="22"/>
        </w:rPr>
      </w:pPr>
      <w:r w:rsidRPr="007F5CCF">
        <w:rPr>
          <w:rFonts w:eastAsia="Calibri"/>
          <w:snapToGrid/>
          <w:color w:val="333333"/>
          <w:kern w:val="0"/>
          <w:szCs w:val="22"/>
        </w:rPr>
        <w:t xml:space="preserve">(iii) Petition for rulemaking proceedings (except broadcast allotment proceedings); </w:t>
      </w:r>
    </w:p>
    <w:p w:rsidR="000906BC" w:rsidRPr="007F5CCF" w:rsidRDefault="000906BC" w:rsidP="000906BC">
      <w:pPr>
        <w:widowControl/>
        <w:rPr>
          <w:rFonts w:eastAsia="Calibri"/>
          <w:snapToGrid/>
          <w:color w:val="333333"/>
          <w:kern w:val="0"/>
          <w:szCs w:val="22"/>
        </w:rPr>
      </w:pPr>
    </w:p>
    <w:p w:rsidR="000906BC" w:rsidRPr="007F5CCF" w:rsidRDefault="000906BC" w:rsidP="000906BC">
      <w:pPr>
        <w:widowControl/>
        <w:rPr>
          <w:rFonts w:eastAsia="Calibri"/>
          <w:snapToGrid/>
          <w:color w:val="333333"/>
          <w:kern w:val="0"/>
          <w:szCs w:val="22"/>
        </w:rPr>
      </w:pPr>
      <w:r w:rsidRPr="007F5CCF">
        <w:rPr>
          <w:rFonts w:eastAsia="Calibri"/>
          <w:snapToGrid/>
          <w:color w:val="333333"/>
          <w:kern w:val="0"/>
          <w:szCs w:val="22"/>
        </w:rPr>
        <w:t>(iv) Petition for forbearance proceedings; and</w:t>
      </w:r>
    </w:p>
    <w:p w:rsidR="000906BC" w:rsidRPr="007F5CCF" w:rsidRDefault="000906BC" w:rsidP="000906BC">
      <w:pPr>
        <w:widowControl/>
        <w:rPr>
          <w:rFonts w:eastAsia="Calibri"/>
          <w:snapToGrid/>
          <w:color w:val="333333"/>
          <w:kern w:val="0"/>
          <w:szCs w:val="22"/>
        </w:rPr>
      </w:pPr>
    </w:p>
    <w:p w:rsidR="000906BC" w:rsidRPr="007F5CCF" w:rsidRDefault="000906BC" w:rsidP="000906BC">
      <w:pPr>
        <w:widowControl/>
        <w:rPr>
          <w:rFonts w:eastAsia="Calibri"/>
          <w:iCs/>
          <w:snapToGrid/>
          <w:color w:val="333333"/>
          <w:kern w:val="0"/>
          <w:szCs w:val="22"/>
        </w:rPr>
      </w:pPr>
      <w:r w:rsidRPr="007F5CCF">
        <w:rPr>
          <w:rFonts w:eastAsia="Calibri"/>
          <w:snapToGrid/>
          <w:color w:val="333333"/>
          <w:kern w:val="0"/>
          <w:szCs w:val="22"/>
        </w:rPr>
        <w:t xml:space="preserve">(v) Filings responsive to domestic section 214 transfers under </w:t>
      </w:r>
      <w:r w:rsidR="000B53E0">
        <w:rPr>
          <w:rFonts w:eastAsia="Calibri"/>
          <w:snapToGrid/>
          <w:color w:val="333333"/>
          <w:kern w:val="0"/>
          <w:szCs w:val="22"/>
        </w:rPr>
        <w:t>§</w:t>
      </w:r>
      <w:r w:rsidRPr="007F5CCF">
        <w:rPr>
          <w:rFonts w:eastAsia="Calibri"/>
          <w:snapToGrid/>
          <w:color w:val="333333"/>
          <w:kern w:val="0"/>
          <w:szCs w:val="22"/>
        </w:rPr>
        <w:t xml:space="preserve"> 63.03 of this chapter, section 214 discontinuances under </w:t>
      </w:r>
      <w:r>
        <w:rPr>
          <w:rFonts w:eastAsia="Calibri"/>
          <w:snapToGrid/>
          <w:color w:val="333333"/>
          <w:kern w:val="0"/>
          <w:szCs w:val="22"/>
        </w:rPr>
        <w:t>§</w:t>
      </w:r>
      <w:r w:rsidRPr="007F5CCF">
        <w:rPr>
          <w:rFonts w:eastAsia="Calibri"/>
          <w:snapToGrid/>
          <w:color w:val="333333"/>
          <w:kern w:val="0"/>
          <w:szCs w:val="22"/>
        </w:rPr>
        <w:t xml:space="preserve"> 63.71 of this chapter, and notices of network change under </w:t>
      </w:r>
      <w:r>
        <w:rPr>
          <w:rFonts w:eastAsia="Calibri"/>
          <w:snapToGrid/>
          <w:color w:val="333333"/>
          <w:kern w:val="0"/>
          <w:szCs w:val="22"/>
        </w:rPr>
        <w:t>§</w:t>
      </w:r>
      <w:r w:rsidRPr="007F5CCF">
        <w:rPr>
          <w:rFonts w:eastAsia="Calibri"/>
          <w:snapToGrid/>
          <w:color w:val="333333"/>
          <w:kern w:val="0"/>
          <w:szCs w:val="22"/>
        </w:rPr>
        <w:t xml:space="preserve"> 51.325 </w:t>
      </w:r>
      <w:r w:rsidRPr="007F5CCF">
        <w:rPr>
          <w:rFonts w:eastAsia="Calibri"/>
          <w:i/>
          <w:iCs/>
          <w:snapToGrid/>
          <w:color w:val="333333"/>
          <w:kern w:val="0"/>
          <w:szCs w:val="22"/>
        </w:rPr>
        <w:t>et seq.</w:t>
      </w:r>
      <w:r w:rsidRPr="007F5CCF">
        <w:rPr>
          <w:rFonts w:eastAsia="Calibri"/>
          <w:iCs/>
          <w:snapToGrid/>
          <w:color w:val="333333"/>
          <w:kern w:val="0"/>
          <w:szCs w:val="22"/>
        </w:rPr>
        <w:t xml:space="preserve"> of this chapter.</w:t>
      </w:r>
    </w:p>
    <w:p w:rsidR="000906BC" w:rsidRPr="007F5CCF" w:rsidRDefault="000906BC" w:rsidP="000906BC">
      <w:pPr>
        <w:widowControl/>
        <w:rPr>
          <w:rFonts w:eastAsia="Calibri"/>
          <w:iCs/>
          <w:snapToGrid/>
          <w:color w:val="333333"/>
          <w:kern w:val="0"/>
          <w:szCs w:val="22"/>
        </w:rPr>
      </w:pPr>
    </w:p>
    <w:p w:rsidR="000906BC" w:rsidRPr="007F5CCF" w:rsidRDefault="000906BC" w:rsidP="000906BC">
      <w:pPr>
        <w:widowControl/>
        <w:rPr>
          <w:rFonts w:eastAsia="Calibri"/>
          <w:iCs/>
          <w:snapToGrid/>
          <w:color w:val="333333"/>
          <w:kern w:val="0"/>
          <w:szCs w:val="22"/>
        </w:rPr>
      </w:pPr>
      <w:r w:rsidRPr="007F5CCF">
        <w:rPr>
          <w:rFonts w:eastAsia="Calibri"/>
          <w:iCs/>
          <w:snapToGrid/>
          <w:color w:val="333333"/>
          <w:kern w:val="0"/>
          <w:szCs w:val="22"/>
        </w:rPr>
        <w:t>(3) To further greater reliance on electronic filing wherever possible, the Bureaus and Offices, in coordination with the Managing Director, may provide to the public capabilities for electronic filing of additional types of pleadings notwithstanding any provisions of this chapter that may otherwise be construed as requiring such filings to be submitted on paper.</w:t>
      </w:r>
    </w:p>
    <w:p w:rsidR="000906BC" w:rsidRPr="007F5CCF" w:rsidRDefault="000906BC" w:rsidP="000906BC">
      <w:pPr>
        <w:widowControl/>
        <w:rPr>
          <w:rFonts w:eastAsia="Calibri"/>
          <w:iCs/>
          <w:snapToGrid/>
          <w:color w:val="333333"/>
          <w:kern w:val="0"/>
          <w:szCs w:val="22"/>
        </w:rPr>
      </w:pPr>
    </w:p>
    <w:p w:rsidR="000906BC" w:rsidRPr="007F5CCF" w:rsidRDefault="000906BC" w:rsidP="000906BC">
      <w:pPr>
        <w:widowControl/>
        <w:rPr>
          <w:rFonts w:eastAsia="Calibri"/>
          <w:iCs/>
          <w:snapToGrid/>
          <w:color w:val="333333"/>
          <w:kern w:val="0"/>
          <w:szCs w:val="22"/>
        </w:rPr>
      </w:pPr>
      <w:r w:rsidRPr="007F5CCF">
        <w:rPr>
          <w:rFonts w:eastAsia="Calibri"/>
          <w:iCs/>
          <w:snapToGrid/>
          <w:color w:val="333333"/>
          <w:kern w:val="0"/>
          <w:szCs w:val="22"/>
        </w:rPr>
        <w:t>(4) For purposes of compliance with any prescribed pleading lengths, the length of any document filed in electronic form shall be equal to the length of the document if printed out and formatted according to the specifications of paragraph (a) of this section, or shall be no more than 250 words per page.</w:t>
      </w:r>
    </w:p>
    <w:p w:rsidR="000906BC" w:rsidRDefault="000906BC" w:rsidP="000E53F5">
      <w:pPr>
        <w:widowControl/>
        <w:spacing w:after="200" w:line="276" w:lineRule="auto"/>
        <w:rPr>
          <w:rFonts w:eastAsia="Calibri"/>
          <w:bCs/>
          <w:snapToGrid/>
          <w:kern w:val="0"/>
          <w:szCs w:val="22"/>
        </w:rPr>
      </w:pPr>
    </w:p>
    <w:p w:rsidR="000E53F5" w:rsidRPr="005E7BB3" w:rsidRDefault="000906BC" w:rsidP="000E53F5">
      <w:pPr>
        <w:widowControl/>
        <w:spacing w:after="200" w:line="276" w:lineRule="auto"/>
        <w:rPr>
          <w:rFonts w:eastAsia="Calibri"/>
          <w:bCs/>
          <w:snapToGrid/>
          <w:color w:val="000000" w:themeColor="text1"/>
          <w:kern w:val="0"/>
          <w:szCs w:val="22"/>
        </w:rPr>
      </w:pPr>
      <w:r w:rsidRPr="00DD5C13">
        <w:rPr>
          <w:rFonts w:eastAsia="Calibri"/>
          <w:snapToGrid/>
          <w:color w:val="000000" w:themeColor="text1"/>
          <w:kern w:val="0"/>
          <w:szCs w:val="22"/>
        </w:rPr>
        <w:t xml:space="preserve">2. </w:t>
      </w:r>
      <w:r w:rsidR="00213C07">
        <w:rPr>
          <w:rFonts w:eastAsia="Calibri"/>
          <w:snapToGrid/>
          <w:color w:val="000000" w:themeColor="text1"/>
          <w:kern w:val="0"/>
          <w:szCs w:val="22"/>
        </w:rPr>
        <w:t xml:space="preserve"> </w:t>
      </w:r>
      <w:r w:rsidR="000E53F5" w:rsidRPr="005E7BB3">
        <w:rPr>
          <w:rFonts w:eastAsia="Calibri"/>
          <w:bCs/>
          <w:snapToGrid/>
          <w:color w:val="000000" w:themeColor="text1"/>
          <w:kern w:val="0"/>
          <w:szCs w:val="22"/>
        </w:rPr>
        <w:t xml:space="preserve">Section 51.329 is amended by revising paragraph (c)(2) to read as follows:  </w:t>
      </w:r>
    </w:p>
    <w:p w:rsidR="000E53F5" w:rsidRPr="005E7BB3" w:rsidRDefault="00814444" w:rsidP="000E53F5">
      <w:pPr>
        <w:widowControl/>
        <w:spacing w:after="200" w:line="276" w:lineRule="auto"/>
        <w:rPr>
          <w:rFonts w:eastAsia="Calibri"/>
          <w:b/>
          <w:snapToGrid/>
          <w:color w:val="000000" w:themeColor="text1"/>
          <w:kern w:val="0"/>
          <w:szCs w:val="22"/>
        </w:rPr>
      </w:pPr>
      <w:r w:rsidRPr="005E7BB3">
        <w:rPr>
          <w:rFonts w:eastAsia="Calibri"/>
          <w:b/>
          <w:snapToGrid/>
          <w:color w:val="000000" w:themeColor="text1"/>
          <w:kern w:val="0"/>
          <w:szCs w:val="22"/>
        </w:rPr>
        <w:t xml:space="preserve">§ </w:t>
      </w:r>
      <w:r w:rsidR="000E53F5" w:rsidRPr="005E7BB3">
        <w:rPr>
          <w:rFonts w:eastAsia="Calibri"/>
          <w:b/>
          <w:snapToGrid/>
          <w:color w:val="000000" w:themeColor="text1"/>
          <w:kern w:val="0"/>
          <w:szCs w:val="22"/>
        </w:rPr>
        <w:t>51.329</w:t>
      </w:r>
      <w:r w:rsidR="000906BC">
        <w:rPr>
          <w:rFonts w:eastAsia="Calibri"/>
          <w:b/>
          <w:snapToGrid/>
          <w:color w:val="000000" w:themeColor="text1"/>
          <w:kern w:val="0"/>
          <w:szCs w:val="22"/>
        </w:rPr>
        <w:t xml:space="preserve"> </w:t>
      </w:r>
      <w:r w:rsidR="000E53F5" w:rsidRPr="005E7BB3">
        <w:rPr>
          <w:rFonts w:eastAsia="Calibri"/>
          <w:b/>
          <w:snapToGrid/>
          <w:color w:val="000000" w:themeColor="text1"/>
          <w:kern w:val="0"/>
          <w:szCs w:val="22"/>
        </w:rPr>
        <w:t xml:space="preserve"> Notice of network changes: Methods for providing notice.</w:t>
      </w:r>
    </w:p>
    <w:p w:rsidR="000E53F5" w:rsidRPr="000E53F5" w:rsidRDefault="000E53F5" w:rsidP="000E53F5">
      <w:pPr>
        <w:widowControl/>
        <w:spacing w:after="200" w:line="276" w:lineRule="auto"/>
        <w:rPr>
          <w:rFonts w:eastAsia="Calibri"/>
          <w:snapToGrid/>
          <w:color w:val="000000" w:themeColor="text1"/>
          <w:kern w:val="0"/>
          <w:szCs w:val="22"/>
        </w:rPr>
      </w:pPr>
      <w:r w:rsidRPr="005E7BB3">
        <w:rPr>
          <w:rFonts w:eastAsia="Calibri"/>
          <w:b/>
          <w:snapToGrid/>
          <w:color w:val="000000" w:themeColor="text1"/>
          <w:kern w:val="0"/>
          <w:szCs w:val="22"/>
        </w:rPr>
        <w:t>* * * * *</w:t>
      </w:r>
    </w:p>
    <w:p w:rsidR="000E53F5" w:rsidRPr="000E53F5" w:rsidRDefault="000E53F5" w:rsidP="000E53F5">
      <w:pPr>
        <w:widowControl/>
        <w:spacing w:after="200" w:line="276" w:lineRule="auto"/>
        <w:rPr>
          <w:rFonts w:eastAsia="Calibri"/>
          <w:snapToGrid/>
          <w:color w:val="000000" w:themeColor="text1"/>
          <w:kern w:val="0"/>
          <w:szCs w:val="22"/>
        </w:rPr>
      </w:pPr>
      <w:r w:rsidRPr="000E53F5">
        <w:rPr>
          <w:rFonts w:eastAsia="Calibri"/>
          <w:snapToGrid/>
          <w:color w:val="000000" w:themeColor="text1"/>
          <w:kern w:val="0"/>
          <w:szCs w:val="22"/>
        </w:rPr>
        <w:t>(c)  Specific filing requirements.  Commission filings under this section must be made as follows:</w:t>
      </w:r>
    </w:p>
    <w:p w:rsidR="000E53F5" w:rsidRPr="000E53F5" w:rsidRDefault="000E53F5" w:rsidP="000E53F5">
      <w:pPr>
        <w:widowControl/>
        <w:spacing w:after="200" w:line="276" w:lineRule="auto"/>
        <w:rPr>
          <w:rFonts w:eastAsia="Calibri"/>
          <w:snapToGrid/>
          <w:color w:val="000000" w:themeColor="text1"/>
          <w:kern w:val="0"/>
          <w:szCs w:val="22"/>
        </w:rPr>
      </w:pPr>
      <w:r w:rsidRPr="000E53F5">
        <w:rPr>
          <w:rFonts w:eastAsia="Calibri"/>
          <w:snapToGrid/>
          <w:color w:val="000000" w:themeColor="text1"/>
          <w:kern w:val="0"/>
          <w:szCs w:val="22"/>
        </w:rPr>
        <w:t>* * * * *</w:t>
      </w:r>
    </w:p>
    <w:p w:rsidR="000E53F5" w:rsidRPr="000E53F5" w:rsidRDefault="000E53F5" w:rsidP="000E53F5">
      <w:pPr>
        <w:widowControl/>
        <w:spacing w:after="200" w:line="276" w:lineRule="auto"/>
        <w:rPr>
          <w:rFonts w:eastAsia="Calibri"/>
          <w:snapToGrid/>
          <w:color w:val="000000" w:themeColor="text1"/>
          <w:kern w:val="0"/>
          <w:szCs w:val="22"/>
        </w:rPr>
      </w:pPr>
      <w:r w:rsidRPr="000E53F5">
        <w:rPr>
          <w:rFonts w:eastAsia="Calibri"/>
          <w:snapToGrid/>
          <w:color w:val="000000" w:themeColor="text1"/>
          <w:kern w:val="0"/>
          <w:szCs w:val="22"/>
        </w:rPr>
        <w:t xml:space="preserve">(2)  The incumbent LEC’s public notice and any associated certifications shall be filed through the Commission’s Electronic Comment Filing System (ECFS), using the </w:t>
      </w:r>
      <w:r w:rsidR="003D1F8D">
        <w:t>“Submit a Non-Docketed Filing” module</w:t>
      </w:r>
      <w:r w:rsidRPr="000E53F5">
        <w:rPr>
          <w:rFonts w:eastAsia="Calibri"/>
          <w:snapToGrid/>
          <w:color w:val="000000" w:themeColor="text1"/>
          <w:kern w:val="0"/>
          <w:szCs w:val="22"/>
        </w:rPr>
        <w:t>.  All subsequent filings responsive to a notice may be filed using the Commission’s ECFS under the docket number set forth in the Commission’s public notice for the proceeding.  Subsequent filings responsive to a notice also may be filed by sending one paper copy of the filing to “Secretary, Federal Communications Commission, Washington, DC  20554” and one paper copy of the filing to “Federal Communications Commission, Wireline Competition Bureau, Competition Policy Division, Washington, DC  20554.”  For notices filed using the Commission’s ECFS, the date on which the filing is received by that system will be considered the official filing date.  For notices filed via paper copy, the date on which the filing is received by the Secretary or the FCC Mailroom is considered the official filing date.  All subsequent filings responsive to a notice shall refer to the ECFS docket number assigned to the notice.</w:t>
      </w:r>
    </w:p>
    <w:p w:rsidR="000E53F5" w:rsidRPr="005E7BB3" w:rsidRDefault="000906BC" w:rsidP="000E53F5">
      <w:pPr>
        <w:widowControl/>
        <w:spacing w:after="200" w:line="276" w:lineRule="auto"/>
        <w:rPr>
          <w:rFonts w:eastAsiaTheme="minorHAnsi"/>
          <w:snapToGrid/>
          <w:color w:val="000000" w:themeColor="text1"/>
          <w:kern w:val="0"/>
          <w:szCs w:val="22"/>
        </w:rPr>
      </w:pPr>
      <w:r w:rsidRPr="00330857">
        <w:rPr>
          <w:rFonts w:eastAsiaTheme="minorHAnsi"/>
          <w:snapToGrid/>
          <w:color w:val="000000" w:themeColor="text1"/>
          <w:kern w:val="0"/>
          <w:szCs w:val="22"/>
        </w:rPr>
        <w:t xml:space="preserve">3. </w:t>
      </w:r>
      <w:r w:rsidRPr="00330857">
        <w:rPr>
          <w:rFonts w:eastAsiaTheme="minorHAnsi"/>
          <w:color w:val="000000" w:themeColor="text1"/>
          <w:szCs w:val="22"/>
        </w:rPr>
        <w:t xml:space="preserve"> </w:t>
      </w:r>
      <w:r w:rsidR="00EA40C8" w:rsidRPr="005E7BB3">
        <w:rPr>
          <w:rFonts w:eastAsia="Calibri"/>
          <w:snapToGrid/>
          <w:color w:val="000000" w:themeColor="text1"/>
          <w:kern w:val="0"/>
          <w:szCs w:val="22"/>
        </w:rPr>
        <w:t xml:space="preserve">Section </w:t>
      </w:r>
      <w:r w:rsidR="000E53F5" w:rsidRPr="005E7BB3">
        <w:rPr>
          <w:rFonts w:eastAsiaTheme="minorHAnsi"/>
          <w:snapToGrid/>
          <w:color w:val="000000" w:themeColor="text1"/>
          <w:kern w:val="0"/>
          <w:szCs w:val="22"/>
        </w:rPr>
        <w:t>63.52 is amended by revising paragraphs (a) and (c) to read as follows:</w:t>
      </w:r>
    </w:p>
    <w:p w:rsidR="000E53F5" w:rsidRPr="005E7BB3" w:rsidRDefault="00814444" w:rsidP="000E53F5">
      <w:pPr>
        <w:widowControl/>
        <w:spacing w:after="200" w:line="276" w:lineRule="auto"/>
        <w:rPr>
          <w:rFonts w:eastAsia="Calibri"/>
          <w:b/>
          <w:bCs/>
          <w:snapToGrid/>
          <w:color w:val="000000" w:themeColor="text1"/>
          <w:kern w:val="0"/>
          <w:szCs w:val="22"/>
        </w:rPr>
      </w:pPr>
      <w:r>
        <w:rPr>
          <w:rFonts w:eastAsiaTheme="minorHAnsi"/>
          <w:b/>
          <w:snapToGrid/>
          <w:color w:val="000000" w:themeColor="text1"/>
          <w:kern w:val="0"/>
          <w:szCs w:val="22"/>
        </w:rPr>
        <w:t xml:space="preserve">§ </w:t>
      </w:r>
      <w:r w:rsidR="000E53F5" w:rsidRPr="005E7BB3">
        <w:rPr>
          <w:rFonts w:eastAsiaTheme="minorHAnsi"/>
          <w:b/>
          <w:snapToGrid/>
          <w:color w:val="000000" w:themeColor="text1"/>
          <w:kern w:val="0"/>
          <w:szCs w:val="22"/>
        </w:rPr>
        <w:t>63.52  Copies required; fees and filing periods for domestic authorizations.</w:t>
      </w:r>
    </w:p>
    <w:p w:rsidR="00260B09" w:rsidRDefault="000E53F5" w:rsidP="000E53F5">
      <w:pPr>
        <w:widowControl/>
        <w:spacing w:after="200" w:line="276" w:lineRule="auto"/>
        <w:rPr>
          <w:rFonts w:eastAsiaTheme="minorHAnsi"/>
          <w:snapToGrid/>
          <w:color w:val="000000" w:themeColor="text1"/>
          <w:kern w:val="0"/>
          <w:szCs w:val="22"/>
        </w:rPr>
      </w:pPr>
      <w:r w:rsidRPr="000E53F5">
        <w:rPr>
          <w:rFonts w:eastAsiaTheme="minorHAnsi"/>
          <w:snapToGrid/>
          <w:color w:val="000000" w:themeColor="text1"/>
          <w:kern w:val="0"/>
          <w:szCs w:val="22"/>
        </w:rPr>
        <w:t xml:space="preserve">(a) </w:t>
      </w:r>
      <w:r w:rsidR="00693A7C">
        <w:rPr>
          <w:rFonts w:eastAsiaTheme="minorHAnsi"/>
          <w:snapToGrid/>
          <w:color w:val="000000" w:themeColor="text1"/>
          <w:kern w:val="0"/>
          <w:szCs w:val="22"/>
        </w:rPr>
        <w:t>A</w:t>
      </w:r>
      <w:r w:rsidRPr="000E53F5">
        <w:rPr>
          <w:rFonts w:eastAsiaTheme="minorHAnsi"/>
          <w:snapToGrid/>
          <w:color w:val="000000" w:themeColor="text1"/>
          <w:kern w:val="0"/>
          <w:szCs w:val="22"/>
        </w:rPr>
        <w:t>pplications filed under section 214 of the Communications Act</w:t>
      </w:r>
      <w:r w:rsidR="00693A7C">
        <w:rPr>
          <w:rFonts w:eastAsiaTheme="minorHAnsi"/>
          <w:snapToGrid/>
          <w:color w:val="000000" w:themeColor="text1"/>
          <w:kern w:val="0"/>
          <w:szCs w:val="22"/>
        </w:rPr>
        <w:t xml:space="preserve"> for domestic authority</w:t>
      </w:r>
      <w:r w:rsidRPr="000E53F5">
        <w:rPr>
          <w:rFonts w:eastAsiaTheme="minorHAnsi"/>
          <w:snapToGrid/>
          <w:color w:val="000000" w:themeColor="text1"/>
          <w:kern w:val="0"/>
          <w:szCs w:val="22"/>
        </w:rPr>
        <w:t xml:space="preserve"> must be filed electronically with the Commission through the Electronic Comment Filing System (ECFS).  Each domestic transfer of control application shall be accompanied by the fee prescribed in subpart G of part 1 of this chapter.</w:t>
      </w:r>
    </w:p>
    <w:p w:rsidR="000E53F5" w:rsidRPr="000E53F5" w:rsidRDefault="000E53F5" w:rsidP="000E53F5">
      <w:pPr>
        <w:widowControl/>
        <w:spacing w:after="200" w:line="276" w:lineRule="auto"/>
        <w:rPr>
          <w:rFonts w:eastAsiaTheme="minorHAnsi"/>
          <w:snapToGrid/>
          <w:color w:val="000000" w:themeColor="text1"/>
          <w:kern w:val="0"/>
          <w:szCs w:val="22"/>
        </w:rPr>
      </w:pPr>
      <w:r w:rsidRPr="000E53F5">
        <w:rPr>
          <w:rFonts w:eastAsiaTheme="minorHAnsi"/>
          <w:snapToGrid/>
          <w:color w:val="000000" w:themeColor="text1"/>
          <w:kern w:val="0"/>
          <w:szCs w:val="22"/>
        </w:rPr>
        <w:t>* * * * *</w:t>
      </w:r>
    </w:p>
    <w:p w:rsidR="000E53F5" w:rsidRPr="000E53F5" w:rsidRDefault="000E53F5" w:rsidP="000E53F5">
      <w:pPr>
        <w:widowControl/>
        <w:spacing w:after="200" w:line="276" w:lineRule="auto"/>
        <w:rPr>
          <w:rFonts w:eastAsiaTheme="minorHAnsi"/>
          <w:snapToGrid/>
          <w:color w:val="000000" w:themeColor="text1"/>
          <w:kern w:val="0"/>
          <w:szCs w:val="22"/>
        </w:rPr>
      </w:pPr>
      <w:r w:rsidRPr="000E53F5">
        <w:rPr>
          <w:rFonts w:eastAsiaTheme="minorHAnsi"/>
          <w:snapToGrid/>
          <w:color w:val="000000" w:themeColor="text1"/>
          <w:kern w:val="0"/>
          <w:szCs w:val="22"/>
        </w:rPr>
        <w:t xml:space="preserve">(c) Any interested party may file a petition to deny an application within the 30-day or other time period specified in paragraph (b) of this section.  The petitioner shall serve a copy of such petition on the applicant via electronic mail or paper copy no later than the date of filing thereof with the Commission.  </w:t>
      </w:r>
      <w:r w:rsidR="00693A7C" w:rsidRPr="00693A7C">
        <w:rPr>
          <w:rFonts w:eastAsiaTheme="minorHAnsi"/>
          <w:snapToGrid/>
          <w:color w:val="000000" w:themeColor="text1"/>
          <w:kern w:val="0"/>
          <w:szCs w:val="22"/>
        </w:rPr>
        <w:t xml:space="preserve">The petition shall contain specific allegations of fact sufficient to show that the petitioner is a party in interest and that a grant of the application would be prima facie inconsistent with the public interest, convenience and necessity. </w:t>
      </w:r>
      <w:r w:rsidR="00C6360C">
        <w:rPr>
          <w:rFonts w:eastAsiaTheme="minorHAnsi"/>
          <w:snapToGrid/>
          <w:color w:val="000000" w:themeColor="text1"/>
          <w:kern w:val="0"/>
          <w:szCs w:val="22"/>
        </w:rPr>
        <w:t xml:space="preserve"> </w:t>
      </w:r>
      <w:r w:rsidR="00693A7C" w:rsidRPr="00693A7C">
        <w:rPr>
          <w:rFonts w:eastAsiaTheme="minorHAnsi"/>
          <w:snapToGrid/>
          <w:color w:val="000000" w:themeColor="text1"/>
          <w:kern w:val="0"/>
          <w:szCs w:val="22"/>
        </w:rPr>
        <w:t xml:space="preserve">Such allegations of fact shall, except for those of which official notice may be taken, be supported by affidavit of a person or persons with personal knowledge thereof. </w:t>
      </w:r>
      <w:r w:rsidR="00C6360C">
        <w:rPr>
          <w:rFonts w:eastAsiaTheme="minorHAnsi"/>
          <w:snapToGrid/>
          <w:color w:val="000000" w:themeColor="text1"/>
          <w:kern w:val="0"/>
          <w:szCs w:val="22"/>
        </w:rPr>
        <w:t xml:space="preserve"> </w:t>
      </w:r>
      <w:r w:rsidR="00693A7C" w:rsidRPr="00693A7C">
        <w:rPr>
          <w:rFonts w:eastAsiaTheme="minorHAnsi"/>
          <w:snapToGrid/>
          <w:color w:val="000000" w:themeColor="text1"/>
          <w:kern w:val="0"/>
          <w:szCs w:val="22"/>
        </w:rPr>
        <w:t xml:space="preserve">The applicant may file an opposition to any petition to deny, and the petitioners may file a reply to such opposition (see § 1.45 of this chapter), and allegations of facts or denials thereof shall similarly be supported by affidavit. </w:t>
      </w:r>
      <w:r w:rsidR="00C6360C">
        <w:rPr>
          <w:rFonts w:eastAsiaTheme="minorHAnsi"/>
          <w:snapToGrid/>
          <w:color w:val="000000" w:themeColor="text1"/>
          <w:kern w:val="0"/>
          <w:szCs w:val="22"/>
        </w:rPr>
        <w:t xml:space="preserve"> </w:t>
      </w:r>
      <w:r w:rsidR="00693A7C" w:rsidRPr="00693A7C">
        <w:rPr>
          <w:rFonts w:eastAsiaTheme="minorHAnsi"/>
          <w:snapToGrid/>
          <w:color w:val="000000" w:themeColor="text1"/>
          <w:kern w:val="0"/>
          <w:szCs w:val="22"/>
        </w:rPr>
        <w:t>These responsive pleadings shall be served on the applicant or petitioners, as appropriate, and other parties to the proceeding.</w:t>
      </w:r>
    </w:p>
    <w:p w:rsidR="000E53F5" w:rsidRPr="005E7BB3" w:rsidRDefault="000906BC" w:rsidP="000E53F5">
      <w:pPr>
        <w:widowControl/>
        <w:spacing w:after="200" w:line="276" w:lineRule="auto"/>
        <w:rPr>
          <w:rFonts w:eastAsiaTheme="minorHAnsi"/>
          <w:snapToGrid/>
          <w:color w:val="000000" w:themeColor="text1"/>
          <w:kern w:val="0"/>
          <w:szCs w:val="22"/>
        </w:rPr>
      </w:pPr>
      <w:r w:rsidRPr="009C4E4C">
        <w:rPr>
          <w:rFonts w:eastAsia="Calibri"/>
          <w:bCs/>
          <w:snapToGrid/>
          <w:color w:val="000000" w:themeColor="text1"/>
          <w:kern w:val="0"/>
          <w:szCs w:val="22"/>
        </w:rPr>
        <w:t xml:space="preserve">4. </w:t>
      </w:r>
      <w:r>
        <w:rPr>
          <w:rFonts w:eastAsia="Calibri"/>
          <w:bCs/>
          <w:snapToGrid/>
          <w:color w:val="000000" w:themeColor="text1"/>
          <w:kern w:val="0"/>
          <w:szCs w:val="22"/>
        </w:rPr>
        <w:t xml:space="preserve"> </w:t>
      </w:r>
      <w:r w:rsidR="000E53F5" w:rsidRPr="005E7BB3">
        <w:rPr>
          <w:rFonts w:eastAsiaTheme="minorHAnsi"/>
          <w:color w:val="000000" w:themeColor="text1"/>
          <w:szCs w:val="22"/>
        </w:rPr>
        <w:t xml:space="preserve">Section 63.53 is amended by revising paragraph (b) to read as follows:  </w:t>
      </w:r>
    </w:p>
    <w:p w:rsidR="000E53F5" w:rsidRPr="005E7BB3" w:rsidRDefault="00814444" w:rsidP="000E53F5">
      <w:pPr>
        <w:widowControl/>
        <w:spacing w:after="200" w:line="276" w:lineRule="auto"/>
        <w:rPr>
          <w:rFonts w:eastAsiaTheme="minorHAnsi"/>
          <w:b/>
          <w:snapToGrid/>
          <w:color w:val="000000" w:themeColor="text1"/>
          <w:kern w:val="0"/>
          <w:szCs w:val="22"/>
        </w:rPr>
      </w:pPr>
      <w:r>
        <w:rPr>
          <w:rFonts w:eastAsiaTheme="minorHAnsi"/>
          <w:b/>
          <w:snapToGrid/>
          <w:color w:val="000000" w:themeColor="text1"/>
          <w:kern w:val="0"/>
          <w:szCs w:val="22"/>
        </w:rPr>
        <w:t xml:space="preserve">§ </w:t>
      </w:r>
      <w:r w:rsidR="000E53F5" w:rsidRPr="005E7BB3">
        <w:rPr>
          <w:rFonts w:eastAsiaTheme="minorHAnsi"/>
          <w:b/>
          <w:snapToGrid/>
          <w:color w:val="000000" w:themeColor="text1"/>
          <w:kern w:val="0"/>
          <w:szCs w:val="22"/>
        </w:rPr>
        <w:t>63.53  Form.</w:t>
      </w:r>
    </w:p>
    <w:p w:rsidR="000E53F5" w:rsidRPr="000E53F5" w:rsidRDefault="000E53F5" w:rsidP="000E53F5">
      <w:pPr>
        <w:widowControl/>
        <w:spacing w:after="200" w:line="276" w:lineRule="auto"/>
        <w:rPr>
          <w:rFonts w:eastAsiaTheme="minorHAnsi"/>
          <w:snapToGrid/>
          <w:color w:val="000000" w:themeColor="text1"/>
          <w:kern w:val="0"/>
          <w:szCs w:val="22"/>
        </w:rPr>
      </w:pPr>
      <w:r w:rsidRPr="000E53F5">
        <w:rPr>
          <w:rFonts w:eastAsiaTheme="minorHAnsi"/>
          <w:snapToGrid/>
          <w:color w:val="000000" w:themeColor="text1"/>
          <w:kern w:val="0"/>
          <w:szCs w:val="22"/>
        </w:rPr>
        <w:t>* * * * *</w:t>
      </w:r>
    </w:p>
    <w:p w:rsidR="000E53F5" w:rsidRPr="000E53F5" w:rsidRDefault="000E53F5" w:rsidP="000E53F5">
      <w:pPr>
        <w:widowControl/>
        <w:spacing w:after="200" w:line="276" w:lineRule="auto"/>
        <w:rPr>
          <w:rFonts w:eastAsiaTheme="minorHAnsi"/>
          <w:snapToGrid/>
          <w:color w:val="000000" w:themeColor="text1"/>
          <w:kern w:val="0"/>
          <w:szCs w:val="22"/>
        </w:rPr>
      </w:pPr>
      <w:r w:rsidRPr="000E53F5">
        <w:rPr>
          <w:rFonts w:eastAsiaTheme="minorHAnsi"/>
          <w:snapToGrid/>
          <w:color w:val="000000" w:themeColor="text1"/>
          <w:kern w:val="0"/>
          <w:szCs w:val="22"/>
        </w:rPr>
        <w:t xml:space="preserve">(b) </w:t>
      </w:r>
      <w:r w:rsidR="006425FC">
        <w:rPr>
          <w:rFonts w:eastAsiaTheme="minorHAnsi"/>
          <w:snapToGrid/>
          <w:color w:val="000000" w:themeColor="text1"/>
          <w:kern w:val="0"/>
          <w:szCs w:val="22"/>
        </w:rPr>
        <w:t>A</w:t>
      </w:r>
      <w:r w:rsidRPr="000E53F5">
        <w:rPr>
          <w:rFonts w:eastAsiaTheme="minorHAnsi"/>
          <w:snapToGrid/>
          <w:color w:val="000000" w:themeColor="text1"/>
          <w:kern w:val="0"/>
          <w:szCs w:val="22"/>
        </w:rPr>
        <w:t xml:space="preserve">pplications for domestic service under section 214 of the Communications Act must be filed electronically with the Commission.  For applications filed electronically and subject to a processing fee it is not necessary to send the original or any copies with the fee payment.  Unless specified otherwise all applications and other filings described in this section must be filed electronically through the </w:t>
      </w:r>
      <w:r w:rsidR="006425FC">
        <w:rPr>
          <w:rFonts w:eastAsiaTheme="minorHAnsi"/>
          <w:snapToGrid/>
          <w:color w:val="000000" w:themeColor="text1"/>
          <w:kern w:val="0"/>
          <w:szCs w:val="22"/>
        </w:rPr>
        <w:t xml:space="preserve">“Submit a Non-Docketed Filing” module of the Commission’s </w:t>
      </w:r>
      <w:r w:rsidRPr="000E53F5">
        <w:rPr>
          <w:rFonts w:eastAsiaTheme="minorHAnsi"/>
          <w:snapToGrid/>
          <w:color w:val="000000" w:themeColor="text1"/>
          <w:kern w:val="0"/>
          <w:szCs w:val="22"/>
        </w:rPr>
        <w:t>Electronic Comment Filing System.  For information on electronic filing requirements, see the ECFS homepage at http://apps.fcc.gov/ecfs/.  See also § 63.52.</w:t>
      </w:r>
    </w:p>
    <w:p w:rsidR="000E53F5" w:rsidRPr="000E53F5" w:rsidRDefault="000E53F5" w:rsidP="000E53F5">
      <w:pPr>
        <w:widowControl/>
        <w:spacing w:after="200" w:line="276" w:lineRule="auto"/>
        <w:rPr>
          <w:rFonts w:eastAsiaTheme="minorHAnsi"/>
          <w:snapToGrid/>
          <w:color w:val="000000" w:themeColor="text1"/>
          <w:kern w:val="0"/>
          <w:szCs w:val="22"/>
        </w:rPr>
      </w:pPr>
      <w:r w:rsidRPr="000E53F5">
        <w:rPr>
          <w:rFonts w:eastAsiaTheme="minorHAnsi"/>
          <w:snapToGrid/>
          <w:color w:val="000000" w:themeColor="text1"/>
          <w:kern w:val="0"/>
          <w:szCs w:val="22"/>
        </w:rPr>
        <w:t>* * * * *</w:t>
      </w:r>
    </w:p>
    <w:p w:rsidR="000E53F5" w:rsidRPr="00814444" w:rsidRDefault="000906BC" w:rsidP="000E53F5">
      <w:pPr>
        <w:widowControl/>
        <w:spacing w:after="200" w:line="276" w:lineRule="auto"/>
        <w:rPr>
          <w:rFonts w:eastAsia="Calibri"/>
          <w:snapToGrid/>
          <w:color w:val="000000" w:themeColor="text1"/>
          <w:kern w:val="0"/>
          <w:szCs w:val="22"/>
        </w:rPr>
      </w:pPr>
      <w:r w:rsidRPr="004B0618">
        <w:rPr>
          <w:rFonts w:eastAsia="Calibri"/>
          <w:bCs/>
          <w:snapToGrid/>
          <w:color w:val="000000" w:themeColor="text1"/>
          <w:kern w:val="0"/>
          <w:szCs w:val="22"/>
        </w:rPr>
        <w:t xml:space="preserve">5. </w:t>
      </w:r>
      <w:r>
        <w:rPr>
          <w:rFonts w:eastAsia="Calibri"/>
          <w:bCs/>
          <w:snapToGrid/>
          <w:color w:val="000000" w:themeColor="text1"/>
          <w:kern w:val="0"/>
          <w:szCs w:val="22"/>
        </w:rPr>
        <w:t xml:space="preserve"> </w:t>
      </w:r>
      <w:r w:rsidR="000E53F5" w:rsidRPr="005E7BB3">
        <w:rPr>
          <w:rFonts w:eastAsia="Calibri"/>
          <w:bCs/>
          <w:snapToGrid/>
          <w:color w:val="000000" w:themeColor="text1"/>
          <w:kern w:val="0"/>
          <w:szCs w:val="22"/>
        </w:rPr>
        <w:t xml:space="preserve">Section 63.63 is amended by revising </w:t>
      </w:r>
      <w:r w:rsidR="000B53E0" w:rsidRPr="005E7BB3">
        <w:rPr>
          <w:rFonts w:eastAsia="Calibri"/>
          <w:bCs/>
          <w:snapToGrid/>
          <w:color w:val="000000" w:themeColor="text1"/>
          <w:kern w:val="0"/>
          <w:szCs w:val="22"/>
        </w:rPr>
        <w:t xml:space="preserve">paragraph (a) </w:t>
      </w:r>
      <w:r w:rsidR="006425FC" w:rsidRPr="005E7BB3">
        <w:rPr>
          <w:rFonts w:eastAsia="Calibri"/>
          <w:bCs/>
          <w:snapToGrid/>
          <w:color w:val="000000" w:themeColor="text1"/>
          <w:kern w:val="0"/>
          <w:szCs w:val="22"/>
        </w:rPr>
        <w:t xml:space="preserve">introductory text </w:t>
      </w:r>
      <w:r w:rsidR="000E53F5" w:rsidRPr="005E7BB3">
        <w:rPr>
          <w:rFonts w:eastAsia="Calibri"/>
          <w:bCs/>
          <w:snapToGrid/>
          <w:color w:val="000000" w:themeColor="text1"/>
          <w:kern w:val="0"/>
          <w:szCs w:val="22"/>
        </w:rPr>
        <w:t xml:space="preserve">to read as follows:  </w:t>
      </w:r>
    </w:p>
    <w:p w:rsidR="000E53F5" w:rsidRPr="005E7BB3" w:rsidRDefault="00814444" w:rsidP="000E53F5">
      <w:pPr>
        <w:widowControl/>
        <w:spacing w:after="200" w:line="276" w:lineRule="auto"/>
        <w:rPr>
          <w:rFonts w:eastAsia="Calibri"/>
          <w:b/>
          <w:snapToGrid/>
          <w:color w:val="000000" w:themeColor="text1"/>
          <w:kern w:val="0"/>
          <w:szCs w:val="22"/>
        </w:rPr>
      </w:pPr>
      <w:r>
        <w:rPr>
          <w:rFonts w:eastAsia="Calibri"/>
          <w:b/>
          <w:snapToGrid/>
          <w:color w:val="000000" w:themeColor="text1"/>
          <w:kern w:val="0"/>
          <w:szCs w:val="22"/>
        </w:rPr>
        <w:t xml:space="preserve">§ </w:t>
      </w:r>
      <w:r w:rsidR="000E53F5" w:rsidRPr="005E7BB3">
        <w:rPr>
          <w:rFonts w:eastAsia="Calibri"/>
          <w:b/>
          <w:snapToGrid/>
          <w:color w:val="000000" w:themeColor="text1"/>
          <w:kern w:val="0"/>
          <w:szCs w:val="22"/>
        </w:rPr>
        <w:t>63.63</w:t>
      </w:r>
      <w:r w:rsidR="000906BC">
        <w:rPr>
          <w:rFonts w:eastAsia="Calibri"/>
          <w:b/>
          <w:snapToGrid/>
          <w:color w:val="000000" w:themeColor="text1"/>
          <w:kern w:val="0"/>
          <w:szCs w:val="22"/>
        </w:rPr>
        <w:t xml:space="preserve"> </w:t>
      </w:r>
      <w:r w:rsidR="000E53F5" w:rsidRPr="005E7BB3">
        <w:rPr>
          <w:rFonts w:eastAsia="Calibri"/>
          <w:b/>
          <w:snapToGrid/>
          <w:color w:val="000000" w:themeColor="text1"/>
          <w:kern w:val="0"/>
          <w:szCs w:val="22"/>
        </w:rPr>
        <w:t xml:space="preserve"> Emergency discontinuance, reduction or impairment of service.</w:t>
      </w:r>
    </w:p>
    <w:p w:rsidR="000E53F5" w:rsidRPr="000E53F5" w:rsidRDefault="000E53F5" w:rsidP="000E53F5">
      <w:pPr>
        <w:widowControl/>
        <w:spacing w:after="200" w:line="276" w:lineRule="auto"/>
        <w:rPr>
          <w:rFonts w:eastAsia="Calibri"/>
          <w:snapToGrid/>
          <w:color w:val="000000" w:themeColor="text1"/>
          <w:kern w:val="0"/>
          <w:szCs w:val="22"/>
        </w:rPr>
      </w:pPr>
      <w:r w:rsidRPr="000E53F5">
        <w:rPr>
          <w:rFonts w:eastAsia="Calibri"/>
          <w:snapToGrid/>
          <w:color w:val="000000" w:themeColor="text1"/>
          <w:kern w:val="0"/>
          <w:szCs w:val="22"/>
        </w:rPr>
        <w:t xml:space="preserve">(a) Application for authority for emergency discontinuance, reduction, or impairment of service shall be made by electronically filing an informal request through the </w:t>
      </w:r>
      <w:r w:rsidR="006425FC">
        <w:rPr>
          <w:rFonts w:eastAsiaTheme="minorHAnsi"/>
          <w:snapToGrid/>
          <w:color w:val="000000" w:themeColor="text1"/>
          <w:kern w:val="0"/>
          <w:szCs w:val="22"/>
        </w:rPr>
        <w:t xml:space="preserve">“Submit a Non-Docketed Filing” module of the </w:t>
      </w:r>
      <w:r w:rsidRPr="000E53F5">
        <w:rPr>
          <w:rFonts w:eastAsia="Calibri"/>
          <w:snapToGrid/>
          <w:color w:val="000000" w:themeColor="text1"/>
          <w:kern w:val="0"/>
          <w:szCs w:val="22"/>
        </w:rPr>
        <w:t>Commission’s Electronic Comment Filing System.  Such requests shall be made as soon as practicable but not later than 15 days in the case of public coast stations</w:t>
      </w:r>
      <w:r w:rsidR="006425FC">
        <w:rPr>
          <w:rFonts w:eastAsia="Calibri"/>
          <w:snapToGrid/>
          <w:color w:val="000000" w:themeColor="text1"/>
          <w:kern w:val="0"/>
          <w:szCs w:val="22"/>
        </w:rPr>
        <w:t>,</w:t>
      </w:r>
      <w:r w:rsidRPr="000E53F5">
        <w:rPr>
          <w:rFonts w:eastAsia="Calibri"/>
          <w:snapToGrid/>
          <w:color w:val="000000" w:themeColor="text1"/>
          <w:kern w:val="0"/>
          <w:szCs w:val="22"/>
        </w:rPr>
        <w:t xml:space="preserve"> or 65 days in all other cases, after the occurrence of the conditions which have occasioned the discontinuance, reduction, or impairment. </w:t>
      </w:r>
      <w:r w:rsidR="00C6360C">
        <w:rPr>
          <w:rFonts w:eastAsia="Calibri"/>
          <w:snapToGrid/>
          <w:color w:val="000000" w:themeColor="text1"/>
          <w:kern w:val="0"/>
          <w:szCs w:val="22"/>
        </w:rPr>
        <w:t xml:space="preserve"> </w:t>
      </w:r>
      <w:r w:rsidRPr="000E53F5">
        <w:rPr>
          <w:rFonts w:eastAsia="Calibri"/>
          <w:snapToGrid/>
          <w:color w:val="000000" w:themeColor="text1"/>
          <w:kern w:val="0"/>
          <w:szCs w:val="22"/>
        </w:rPr>
        <w:t>The request shall make reference to this section and show the following:</w:t>
      </w:r>
    </w:p>
    <w:p w:rsidR="000E53F5" w:rsidRPr="000E53F5" w:rsidRDefault="000E53F5" w:rsidP="000E53F5">
      <w:pPr>
        <w:widowControl/>
        <w:rPr>
          <w:rFonts w:eastAsia="Calibri"/>
          <w:snapToGrid/>
          <w:color w:val="000000" w:themeColor="text1"/>
          <w:kern w:val="0"/>
          <w:szCs w:val="22"/>
        </w:rPr>
      </w:pPr>
      <w:r w:rsidRPr="000E53F5">
        <w:rPr>
          <w:rFonts w:eastAsia="Calibri"/>
          <w:snapToGrid/>
          <w:color w:val="000000" w:themeColor="text1"/>
          <w:kern w:val="0"/>
          <w:szCs w:val="22"/>
        </w:rPr>
        <w:t>* * * * *</w:t>
      </w:r>
    </w:p>
    <w:p w:rsidR="000E53F5" w:rsidRPr="000E53F5" w:rsidRDefault="000E53F5" w:rsidP="000E53F5">
      <w:pPr>
        <w:widowControl/>
        <w:rPr>
          <w:rFonts w:eastAsia="Calibri"/>
          <w:snapToGrid/>
          <w:color w:val="000000" w:themeColor="text1"/>
          <w:kern w:val="0"/>
          <w:szCs w:val="22"/>
        </w:rPr>
      </w:pPr>
    </w:p>
    <w:p w:rsidR="000E53F5" w:rsidRPr="005E7BB3" w:rsidRDefault="000906BC" w:rsidP="000E53F5">
      <w:pPr>
        <w:widowControl/>
        <w:spacing w:after="200" w:line="276" w:lineRule="auto"/>
        <w:rPr>
          <w:rFonts w:eastAsia="Calibri"/>
          <w:bCs/>
          <w:snapToGrid/>
          <w:color w:val="000000" w:themeColor="text1"/>
          <w:kern w:val="0"/>
          <w:szCs w:val="22"/>
        </w:rPr>
      </w:pPr>
      <w:r w:rsidRPr="0032160C">
        <w:t xml:space="preserve">6. </w:t>
      </w:r>
      <w:r>
        <w:t xml:space="preserve"> </w:t>
      </w:r>
      <w:r w:rsidR="000E53F5" w:rsidRPr="005E7BB3">
        <w:rPr>
          <w:rFonts w:eastAsia="Calibri"/>
          <w:bCs/>
          <w:snapToGrid/>
          <w:color w:val="000000" w:themeColor="text1"/>
          <w:kern w:val="0"/>
          <w:szCs w:val="22"/>
        </w:rPr>
        <w:t>Section 63.71 is amended by revising paragraph (a)(5)</w:t>
      </w:r>
      <w:r w:rsidR="000B53E0">
        <w:rPr>
          <w:rFonts w:eastAsia="Calibri"/>
          <w:bCs/>
          <w:snapToGrid/>
          <w:color w:val="000000" w:themeColor="text1"/>
          <w:kern w:val="0"/>
          <w:szCs w:val="22"/>
        </w:rPr>
        <w:t>(i) and (ii)</w:t>
      </w:r>
      <w:r w:rsidR="000E53F5" w:rsidRPr="005E7BB3">
        <w:rPr>
          <w:rFonts w:eastAsia="Calibri"/>
          <w:bCs/>
          <w:snapToGrid/>
          <w:color w:val="000000" w:themeColor="text1"/>
          <w:kern w:val="0"/>
          <w:szCs w:val="22"/>
        </w:rPr>
        <w:t xml:space="preserve">, </w:t>
      </w:r>
      <w:r w:rsidR="000B53E0">
        <w:rPr>
          <w:rFonts w:eastAsia="Calibri"/>
          <w:bCs/>
          <w:snapToGrid/>
          <w:color w:val="000000" w:themeColor="text1"/>
          <w:kern w:val="0"/>
          <w:szCs w:val="22"/>
        </w:rPr>
        <w:t xml:space="preserve">redesignating paragraphs (c) and (d) as paragraphs (d) and (e), and </w:t>
      </w:r>
      <w:r w:rsidR="000E53F5" w:rsidRPr="005E7BB3">
        <w:rPr>
          <w:rFonts w:eastAsia="Calibri"/>
          <w:bCs/>
          <w:snapToGrid/>
          <w:color w:val="000000" w:themeColor="text1"/>
          <w:kern w:val="0"/>
          <w:szCs w:val="22"/>
        </w:rPr>
        <w:t xml:space="preserve">adding new paragraph (c) to read as follows:  </w:t>
      </w:r>
    </w:p>
    <w:p w:rsidR="000E53F5" w:rsidRPr="005E7BB3" w:rsidRDefault="00814444" w:rsidP="000E53F5">
      <w:pPr>
        <w:widowControl/>
        <w:spacing w:after="200" w:line="276" w:lineRule="auto"/>
        <w:rPr>
          <w:rFonts w:eastAsia="Calibri"/>
          <w:b/>
          <w:snapToGrid/>
          <w:color w:val="000000" w:themeColor="text1"/>
          <w:kern w:val="0"/>
          <w:szCs w:val="22"/>
        </w:rPr>
      </w:pPr>
      <w:r w:rsidRPr="005E7BB3">
        <w:rPr>
          <w:rFonts w:eastAsia="Calibri"/>
          <w:b/>
          <w:snapToGrid/>
          <w:color w:val="000000" w:themeColor="text1"/>
          <w:kern w:val="0"/>
          <w:szCs w:val="22"/>
        </w:rPr>
        <w:t xml:space="preserve">§ </w:t>
      </w:r>
      <w:r w:rsidR="000E53F5" w:rsidRPr="005E7BB3">
        <w:rPr>
          <w:rFonts w:eastAsia="Calibri"/>
          <w:b/>
          <w:snapToGrid/>
          <w:color w:val="000000" w:themeColor="text1"/>
          <w:kern w:val="0"/>
          <w:szCs w:val="22"/>
        </w:rPr>
        <w:t>63.71</w:t>
      </w:r>
      <w:r w:rsidR="000906BC">
        <w:rPr>
          <w:rFonts w:eastAsia="Calibri"/>
          <w:b/>
          <w:snapToGrid/>
          <w:color w:val="000000" w:themeColor="text1"/>
          <w:kern w:val="0"/>
          <w:szCs w:val="22"/>
        </w:rPr>
        <w:t xml:space="preserve"> </w:t>
      </w:r>
      <w:r w:rsidR="000E53F5" w:rsidRPr="005E7BB3">
        <w:rPr>
          <w:rFonts w:eastAsia="Calibri"/>
          <w:b/>
          <w:snapToGrid/>
          <w:color w:val="000000" w:themeColor="text1"/>
          <w:kern w:val="0"/>
          <w:szCs w:val="22"/>
        </w:rPr>
        <w:t xml:space="preserve"> Procedures for discontinuance, reduction or impairment of service by domestic carriers.</w:t>
      </w:r>
    </w:p>
    <w:p w:rsidR="006425FC" w:rsidRDefault="006425FC" w:rsidP="000E53F5">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(a) * * *</w:t>
      </w:r>
    </w:p>
    <w:p w:rsidR="006425FC" w:rsidRDefault="006425FC" w:rsidP="000E53F5">
      <w:pPr>
        <w:widowControl/>
        <w:spacing w:after="200" w:line="276" w:lineRule="auto"/>
        <w:rPr>
          <w:rFonts w:eastAsia="Calibri"/>
          <w:snapToGrid/>
          <w:color w:val="000000" w:themeColor="text1"/>
          <w:kern w:val="0"/>
          <w:szCs w:val="22"/>
        </w:rPr>
      </w:pPr>
      <w:r>
        <w:rPr>
          <w:rFonts w:eastAsia="Calibri"/>
          <w:snapToGrid/>
          <w:color w:val="000000" w:themeColor="text1"/>
          <w:kern w:val="0"/>
          <w:szCs w:val="22"/>
        </w:rPr>
        <w:t>(5) * * *</w:t>
      </w:r>
    </w:p>
    <w:p w:rsidR="000E53F5" w:rsidRPr="000E53F5" w:rsidRDefault="000E53F5" w:rsidP="000E53F5">
      <w:pPr>
        <w:widowControl/>
        <w:spacing w:after="200" w:line="276" w:lineRule="auto"/>
        <w:rPr>
          <w:rFonts w:eastAsia="Calibri"/>
          <w:snapToGrid/>
          <w:color w:val="000000" w:themeColor="text1"/>
          <w:kern w:val="0"/>
          <w:szCs w:val="22"/>
        </w:rPr>
      </w:pPr>
      <w:r w:rsidRPr="000E53F5">
        <w:rPr>
          <w:rFonts w:eastAsia="Calibri"/>
          <w:snapToGrid/>
          <w:color w:val="000000" w:themeColor="text1"/>
          <w:kern w:val="0"/>
          <w:szCs w:val="22"/>
        </w:rPr>
        <w:t xml:space="preserve">(i) If the carrier is non-dominant with respect to the service being discontinued, reduced or impaired, the notice shall state: 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w:t>
      </w:r>
      <w:r w:rsidR="003D76F7">
        <w:rPr>
          <w:rFonts w:eastAsia="Calibri"/>
          <w:snapToGrid/>
          <w:color w:val="000000" w:themeColor="text1"/>
          <w:kern w:val="0"/>
          <w:szCs w:val="22"/>
        </w:rPr>
        <w:t xml:space="preserve"> </w:t>
      </w:r>
      <w:r w:rsidRPr="000E53F5">
        <w:rPr>
          <w:rFonts w:eastAsia="Calibri"/>
          <w:snapToGrid/>
          <w:color w:val="000000" w:themeColor="text1"/>
          <w:kern w:val="0"/>
          <w:szCs w:val="22"/>
        </w:rPr>
        <w:t xml:space="preserve">If you wish to object, you should file your comments as soon as possible, but no later than 15 days after the Commission releases public notice of the proposed discontinuance. </w:t>
      </w:r>
      <w:r w:rsidR="003D76F7">
        <w:rPr>
          <w:rFonts w:eastAsia="Calibri"/>
          <w:snapToGrid/>
          <w:color w:val="000000" w:themeColor="text1"/>
          <w:kern w:val="0"/>
          <w:szCs w:val="22"/>
        </w:rPr>
        <w:t xml:space="preserve"> </w:t>
      </w:r>
      <w:r w:rsidRPr="000E53F5">
        <w:rPr>
          <w:rFonts w:eastAsia="Calibri"/>
          <w:snapToGrid/>
          <w:color w:val="000000" w:themeColor="text1"/>
          <w:kern w:val="0"/>
          <w:szCs w:val="22"/>
        </w:rPr>
        <w:t xml:space="preserve">You may file your comments electronically through the </w:t>
      </w:r>
      <w:r w:rsidR="006425FC">
        <w:rPr>
          <w:rFonts w:eastAsia="Calibri"/>
          <w:snapToGrid/>
          <w:color w:val="000000" w:themeColor="text1"/>
          <w:kern w:val="0"/>
          <w:szCs w:val="22"/>
        </w:rPr>
        <w:t xml:space="preserve">FCC’s </w:t>
      </w:r>
      <w:r w:rsidRPr="000E53F5">
        <w:rPr>
          <w:rFonts w:eastAsia="Calibri"/>
          <w:snapToGrid/>
          <w:color w:val="000000" w:themeColor="text1"/>
          <w:kern w:val="0"/>
          <w:szCs w:val="22"/>
        </w:rPr>
        <w:t xml:space="preserve">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w:t>
      </w:r>
      <w:bookmarkStart w:id="5" w:name="SR;596"/>
      <w:bookmarkStart w:id="6" w:name="SR;597"/>
      <w:bookmarkEnd w:id="5"/>
      <w:bookmarkEnd w:id="6"/>
      <w:r w:rsidRPr="000E53F5">
        <w:rPr>
          <w:rFonts w:eastAsia="Calibri"/>
          <w:snapToGrid/>
          <w:color w:val="000000" w:themeColor="text1"/>
          <w:kern w:val="0"/>
          <w:szCs w:val="22"/>
        </w:rPr>
        <w:t>§ 63.71 Application of (carrier's name). Comments should include specific information about the impact of this proposed discontinuance (or reduction or impairment) upon you or your company, including any inability to acquire reasonable substitute service.</w:t>
      </w:r>
    </w:p>
    <w:p w:rsidR="000E53F5" w:rsidRPr="000E53F5" w:rsidRDefault="000E53F5" w:rsidP="007F5CCF">
      <w:pPr>
        <w:widowControl/>
        <w:spacing w:after="200" w:line="276" w:lineRule="auto"/>
        <w:rPr>
          <w:rFonts w:eastAsia="Calibri"/>
          <w:snapToGrid/>
          <w:color w:val="000000" w:themeColor="text1"/>
          <w:kern w:val="0"/>
          <w:szCs w:val="22"/>
        </w:rPr>
      </w:pPr>
      <w:r w:rsidRPr="000E53F5">
        <w:rPr>
          <w:rFonts w:eastAsia="Calibri"/>
          <w:snapToGrid/>
          <w:color w:val="000000" w:themeColor="text1"/>
          <w:kern w:val="0"/>
          <w:szCs w:val="22"/>
        </w:rPr>
        <w:t xml:space="preserve">(ii) If the carrier is dominant with respect to the service being discontinued, reduced or impaired, the notice shall state: </w:t>
      </w:r>
      <w:r w:rsidR="003D76F7">
        <w:rPr>
          <w:rFonts w:eastAsia="Calibri"/>
          <w:snapToGrid/>
          <w:color w:val="000000" w:themeColor="text1"/>
          <w:kern w:val="0"/>
          <w:szCs w:val="22"/>
        </w:rPr>
        <w:t xml:space="preserve"> </w:t>
      </w:r>
      <w:r w:rsidRPr="000E53F5">
        <w:rPr>
          <w:rFonts w:eastAsia="Calibri"/>
          <w:snapToGrid/>
          <w:color w:val="000000" w:themeColor="text1"/>
          <w:kern w:val="0"/>
          <w:szCs w:val="22"/>
        </w:rPr>
        <w:t xml:space="preserve">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If you wish to object, you should file your comments as soon as possible, but no later than 30 days after the Commission releases public notice of the proposed discontinuance. </w:t>
      </w:r>
      <w:r w:rsidR="00C6360C">
        <w:rPr>
          <w:rFonts w:eastAsia="Calibri"/>
          <w:snapToGrid/>
          <w:color w:val="000000" w:themeColor="text1"/>
          <w:kern w:val="0"/>
          <w:szCs w:val="22"/>
        </w:rPr>
        <w:t xml:space="preserve"> </w:t>
      </w:r>
      <w:r w:rsidRPr="000E53F5">
        <w:rPr>
          <w:rFonts w:eastAsia="Calibri"/>
          <w:snapToGrid/>
          <w:color w:val="000000" w:themeColor="text1"/>
          <w:kern w:val="0"/>
          <w:szCs w:val="22"/>
        </w:rPr>
        <w:t>You may file your comments electronically through the</w:t>
      </w:r>
      <w:r w:rsidR="006425FC">
        <w:rPr>
          <w:rFonts w:eastAsia="Calibri"/>
          <w:snapToGrid/>
          <w:color w:val="000000" w:themeColor="text1"/>
          <w:kern w:val="0"/>
          <w:szCs w:val="22"/>
        </w:rPr>
        <w:t xml:space="preserve"> FCC’s</w:t>
      </w:r>
      <w:r w:rsidRPr="000E53F5">
        <w:rPr>
          <w:rFonts w:eastAsia="Calibri"/>
          <w:snapToGrid/>
          <w:color w:val="000000" w:themeColor="text1"/>
          <w:kern w:val="0"/>
          <w:szCs w:val="22"/>
        </w:rPr>
        <w:t xml:space="preserve">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w:t>
      </w:r>
      <w:r w:rsidR="006425FC">
        <w:rPr>
          <w:rFonts w:eastAsia="Calibri"/>
          <w:snapToGrid/>
          <w:color w:val="000000" w:themeColor="text1"/>
          <w:kern w:val="0"/>
          <w:szCs w:val="22"/>
        </w:rPr>
        <w:t>§</w:t>
      </w:r>
      <w:r w:rsidR="006425FC" w:rsidRPr="000E53F5">
        <w:rPr>
          <w:rFonts w:eastAsia="Calibri"/>
          <w:snapToGrid/>
          <w:color w:val="000000" w:themeColor="text1"/>
          <w:kern w:val="0"/>
          <w:szCs w:val="22"/>
        </w:rPr>
        <w:t xml:space="preserve"> </w:t>
      </w:r>
      <w:r w:rsidRPr="000E53F5">
        <w:rPr>
          <w:rFonts w:eastAsia="Calibri"/>
          <w:snapToGrid/>
          <w:color w:val="000000" w:themeColor="text1"/>
          <w:kern w:val="0"/>
          <w:szCs w:val="22"/>
        </w:rPr>
        <w:t>63.71 Application of (carrier's name). Comments should include specific information about the impact of this proposed discontinuance (or reduction or impairment) upon you or your company, including any inability to acquire reasonable substitute service.</w:t>
      </w:r>
    </w:p>
    <w:p w:rsidR="006425FC" w:rsidRPr="000E53F5" w:rsidRDefault="006425FC" w:rsidP="000E53F5">
      <w:pPr>
        <w:widowControl/>
        <w:rPr>
          <w:rFonts w:eastAsia="Calibri"/>
          <w:snapToGrid/>
          <w:color w:val="000000" w:themeColor="text1"/>
          <w:kern w:val="0"/>
          <w:szCs w:val="22"/>
        </w:rPr>
      </w:pPr>
      <w:r>
        <w:rPr>
          <w:rFonts w:eastAsia="Calibri"/>
          <w:snapToGrid/>
          <w:color w:val="000000" w:themeColor="text1"/>
          <w:kern w:val="0"/>
          <w:szCs w:val="22"/>
        </w:rPr>
        <w:t>* * *</w:t>
      </w:r>
      <w:r w:rsidR="00814444">
        <w:rPr>
          <w:rFonts w:eastAsia="Calibri"/>
          <w:snapToGrid/>
          <w:color w:val="000000" w:themeColor="text1"/>
          <w:kern w:val="0"/>
          <w:szCs w:val="22"/>
        </w:rPr>
        <w:t xml:space="preserve"> * *</w:t>
      </w:r>
    </w:p>
    <w:p w:rsidR="006425FC" w:rsidRDefault="006425FC" w:rsidP="000E53F5">
      <w:pPr>
        <w:widowControl/>
        <w:rPr>
          <w:rFonts w:eastAsia="Calibri"/>
          <w:snapToGrid/>
          <w:color w:val="000000" w:themeColor="text1"/>
          <w:kern w:val="0"/>
          <w:szCs w:val="22"/>
        </w:rPr>
      </w:pPr>
    </w:p>
    <w:p w:rsidR="000E53F5" w:rsidRPr="000E53F5" w:rsidRDefault="000E53F5" w:rsidP="007F5CCF">
      <w:pPr>
        <w:widowControl/>
        <w:spacing w:after="200" w:line="276" w:lineRule="auto"/>
        <w:rPr>
          <w:rFonts w:eastAsia="Calibri"/>
          <w:snapToGrid/>
          <w:color w:val="000000" w:themeColor="text1"/>
          <w:kern w:val="0"/>
          <w:szCs w:val="22"/>
        </w:rPr>
      </w:pPr>
      <w:r w:rsidRPr="000E53F5">
        <w:rPr>
          <w:rFonts w:eastAsia="Calibri"/>
          <w:snapToGrid/>
          <w:color w:val="000000" w:themeColor="text1"/>
          <w:kern w:val="0"/>
          <w:szCs w:val="22"/>
        </w:rPr>
        <w:t xml:space="preserve">(c) Discontinuance applications and all related attachments to the application filed under this section shall be filed through the </w:t>
      </w:r>
      <w:r w:rsidR="0061104B">
        <w:rPr>
          <w:rFonts w:eastAsia="Calibri"/>
          <w:snapToGrid/>
          <w:color w:val="000000" w:themeColor="text1"/>
          <w:kern w:val="0"/>
          <w:szCs w:val="22"/>
        </w:rPr>
        <w:t xml:space="preserve">“Submit a Non-Docketed Filing” module of the </w:t>
      </w:r>
      <w:r w:rsidRPr="000E53F5">
        <w:rPr>
          <w:rFonts w:eastAsia="Calibri"/>
          <w:snapToGrid/>
          <w:color w:val="000000" w:themeColor="text1"/>
          <w:kern w:val="0"/>
          <w:szCs w:val="22"/>
        </w:rPr>
        <w:t>Commission’s Electronic Comment Filing System.</w:t>
      </w:r>
    </w:p>
    <w:p w:rsidR="000E53F5" w:rsidRPr="000E53F5" w:rsidRDefault="000E53F5" w:rsidP="000E53F5">
      <w:pPr>
        <w:widowControl/>
        <w:rPr>
          <w:rFonts w:eastAsia="Calibri"/>
          <w:snapToGrid/>
          <w:color w:val="000000" w:themeColor="text1"/>
          <w:kern w:val="0"/>
          <w:szCs w:val="22"/>
        </w:rPr>
      </w:pPr>
      <w:r w:rsidRPr="000E53F5">
        <w:rPr>
          <w:rFonts w:eastAsia="Calibri"/>
          <w:snapToGrid/>
          <w:color w:val="000000" w:themeColor="text1"/>
          <w:kern w:val="0"/>
          <w:szCs w:val="22"/>
        </w:rPr>
        <w:t xml:space="preserve">(d) * * * </w:t>
      </w:r>
    </w:p>
    <w:p w:rsidR="000E53F5" w:rsidRPr="000E53F5" w:rsidRDefault="000E53F5" w:rsidP="000E53F5">
      <w:pPr>
        <w:widowControl/>
        <w:rPr>
          <w:rFonts w:eastAsia="Calibri"/>
          <w:snapToGrid/>
          <w:color w:val="000000" w:themeColor="text1"/>
          <w:kern w:val="0"/>
          <w:szCs w:val="22"/>
        </w:rPr>
      </w:pPr>
    </w:p>
    <w:p w:rsidR="002D4439" w:rsidRPr="007F5CCF" w:rsidRDefault="000E53F5" w:rsidP="005E7BB3">
      <w:pPr>
        <w:widowControl/>
        <w:spacing w:after="200" w:line="276" w:lineRule="auto"/>
        <w:rPr>
          <w:rFonts w:eastAsia="Calibri"/>
          <w:iCs/>
          <w:snapToGrid/>
          <w:color w:val="333333"/>
          <w:kern w:val="0"/>
          <w:szCs w:val="22"/>
        </w:rPr>
      </w:pPr>
      <w:r w:rsidRPr="000E53F5">
        <w:rPr>
          <w:rFonts w:eastAsia="Calibri"/>
          <w:snapToGrid/>
          <w:color w:val="000000" w:themeColor="text1"/>
          <w:kern w:val="0"/>
          <w:szCs w:val="22"/>
        </w:rPr>
        <w:t>(e) * * *</w:t>
      </w:r>
      <w:bookmarkStart w:id="7" w:name="f_2_i"/>
      <w:bookmarkEnd w:id="7"/>
    </w:p>
    <w:sectPr w:rsidR="002D4439" w:rsidRPr="007F5CC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DE" w:rsidRDefault="00263ADE">
      <w:pPr>
        <w:spacing w:line="20" w:lineRule="exact"/>
      </w:pPr>
    </w:p>
  </w:endnote>
  <w:endnote w:type="continuationSeparator" w:id="0">
    <w:p w:rsidR="00263ADE" w:rsidRDefault="00263ADE">
      <w:r>
        <w:t xml:space="preserve"> </w:t>
      </w:r>
    </w:p>
  </w:endnote>
  <w:endnote w:type="continuationNotice" w:id="1">
    <w:p w:rsidR="00263ADE" w:rsidRDefault="00263A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C112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DE" w:rsidRDefault="00263ADE">
      <w:r>
        <w:separator/>
      </w:r>
    </w:p>
  </w:footnote>
  <w:footnote w:type="continuationSeparator" w:id="0">
    <w:p w:rsidR="00263ADE" w:rsidRDefault="00263ADE" w:rsidP="00C721AC">
      <w:pPr>
        <w:spacing w:before="120"/>
        <w:rPr>
          <w:sz w:val="20"/>
        </w:rPr>
      </w:pPr>
      <w:r>
        <w:rPr>
          <w:sz w:val="20"/>
        </w:rPr>
        <w:t xml:space="preserve">(Continued from previous page)  </w:t>
      </w:r>
      <w:r>
        <w:rPr>
          <w:sz w:val="20"/>
        </w:rPr>
        <w:separator/>
      </w:r>
    </w:p>
  </w:footnote>
  <w:footnote w:type="continuationNotice" w:id="1">
    <w:p w:rsidR="00263ADE" w:rsidRDefault="00263ADE" w:rsidP="00C721AC">
      <w:pPr>
        <w:jc w:val="right"/>
        <w:rPr>
          <w:sz w:val="20"/>
        </w:rPr>
      </w:pPr>
      <w:r>
        <w:rPr>
          <w:sz w:val="20"/>
        </w:rPr>
        <w:t>(continued…)</w:t>
      </w:r>
    </w:p>
  </w:footnote>
  <w:footnote w:id="2">
    <w:p w:rsidR="00FF2DFC" w:rsidRDefault="00FF2DFC" w:rsidP="00FF2DFC">
      <w:pPr>
        <w:pStyle w:val="FootnoteText"/>
      </w:pPr>
      <w:r>
        <w:rPr>
          <w:rStyle w:val="FootnoteReference"/>
        </w:rPr>
        <w:footnoteRef/>
      </w:r>
      <w:r>
        <w:t xml:space="preserve"> 47 U.S.C. § 214(a).</w:t>
      </w:r>
    </w:p>
  </w:footnote>
  <w:footnote w:id="3">
    <w:p w:rsidR="00FF2DFC" w:rsidRPr="00D051F5" w:rsidRDefault="00FF2DFC" w:rsidP="00FF2DFC">
      <w:pPr>
        <w:pStyle w:val="FootnoteText"/>
      </w:pPr>
      <w:r>
        <w:rPr>
          <w:rStyle w:val="FootnoteReference"/>
        </w:rPr>
        <w:footnoteRef/>
      </w:r>
      <w:r>
        <w:t xml:space="preserve"> </w:t>
      </w:r>
      <w:r>
        <w:rPr>
          <w:i/>
        </w:rPr>
        <w:t>Id.</w:t>
      </w:r>
    </w:p>
  </w:footnote>
  <w:footnote w:id="4">
    <w:p w:rsidR="00FF2DFC" w:rsidRPr="00D051F5" w:rsidRDefault="00FF2DFC" w:rsidP="00FF2DFC">
      <w:pPr>
        <w:pStyle w:val="FootnoteText"/>
      </w:pPr>
      <w:r>
        <w:rPr>
          <w:rStyle w:val="FootnoteReference"/>
        </w:rPr>
        <w:footnoteRef/>
      </w:r>
      <w:r>
        <w:t xml:space="preserve"> </w:t>
      </w:r>
      <w:r w:rsidR="00483BC0">
        <w:t>47 U.S.C.</w:t>
      </w:r>
      <w:r>
        <w:t xml:space="preserve"> § 251(c)(5).</w:t>
      </w:r>
    </w:p>
  </w:footnote>
  <w:footnote w:id="5">
    <w:p w:rsidR="00C1723C" w:rsidRDefault="00C1723C">
      <w:pPr>
        <w:pStyle w:val="FootnoteText"/>
      </w:pPr>
      <w:r>
        <w:rPr>
          <w:rStyle w:val="FootnoteReference"/>
        </w:rPr>
        <w:footnoteRef/>
      </w:r>
      <w:r>
        <w:t xml:space="preserve"> 47 C.F.R. §§</w:t>
      </w:r>
      <w:r w:rsidR="008D718E">
        <w:t xml:space="preserve"> 1.1105, 1.1110-12 (</w:t>
      </w:r>
      <w:r w:rsidR="00806DE5">
        <w:t xml:space="preserve">requirements for payment of fees for wireline and other filings, including domestic </w:t>
      </w:r>
      <w:r w:rsidR="00C42AE4">
        <w:t xml:space="preserve">section </w:t>
      </w:r>
      <w:r w:rsidR="00806DE5">
        <w:t xml:space="preserve">214 transfer of control applications); </w:t>
      </w:r>
      <w:r>
        <w:t>63.52-53 (requirements for filing paper copies of applications for transfer of domestic autho</w:t>
      </w:r>
      <w:r w:rsidR="00304300">
        <w:t>rization under section 214)</w:t>
      </w:r>
      <w:r w:rsidR="00483BC0">
        <w:t>;</w:t>
      </w:r>
      <w:r>
        <w:t xml:space="preserve"> 63.71 (requirements for filing paper </w:t>
      </w:r>
      <w:r w:rsidR="00304300">
        <w:t xml:space="preserve">copies of </w:t>
      </w:r>
      <w:r>
        <w:t>application</w:t>
      </w:r>
      <w:r w:rsidR="00304300">
        <w:t>s</w:t>
      </w:r>
      <w:r>
        <w:t xml:space="preserve"> for domestic discontinuance, reduction, or impairment of service under section 214); 51.329(c)(2) (requirements for filing paper copies of network change notices)</w:t>
      </w:r>
      <w:r w:rsidR="00077D5A">
        <w:t>)</w:t>
      </w:r>
      <w:r>
        <w:t>.</w:t>
      </w:r>
    </w:p>
  </w:footnote>
  <w:footnote w:id="6">
    <w:p w:rsidR="0012765F" w:rsidRPr="0012765F" w:rsidRDefault="0012765F">
      <w:pPr>
        <w:pStyle w:val="FootnoteText"/>
      </w:pPr>
      <w:r>
        <w:rPr>
          <w:rStyle w:val="FootnoteReference"/>
        </w:rPr>
        <w:footnoteRef/>
      </w:r>
      <w:r>
        <w:t xml:space="preserve"> The Commission is also implementing ECFS filing procedures for formal complaints filed under section 208 of the Act and pole attachment complaints filed under section 224 of the Act, 47 U.S.C. §§ 208, 224.  </w:t>
      </w:r>
      <w:r w:rsidRPr="0012765F">
        <w:rPr>
          <w:i/>
        </w:rPr>
        <w:t>Amendment of Certain of the Commission’s Part 1 Rules of Practice and Procedure Relating to the Filing of Formal Compl</w:t>
      </w:r>
      <w:r>
        <w:rPr>
          <w:i/>
        </w:rPr>
        <w:t>aints Under Section 208 of the C</w:t>
      </w:r>
      <w:r w:rsidRPr="0012765F">
        <w:rPr>
          <w:i/>
        </w:rPr>
        <w:t>ommunications Act</w:t>
      </w:r>
      <w:r>
        <w:rPr>
          <w:i/>
        </w:rPr>
        <w:t xml:space="preserve"> and P</w:t>
      </w:r>
      <w:r w:rsidRPr="0012765F">
        <w:rPr>
          <w:i/>
        </w:rPr>
        <w:t>ole Attachment Complaints Under Section 224 of the Communications Act</w:t>
      </w:r>
      <w:r>
        <w:t xml:space="preserve">, </w:t>
      </w:r>
      <w:r w:rsidR="006219AD" w:rsidRPr="006219AD">
        <w:t>GC Docket No. 10-44</w:t>
      </w:r>
      <w:r>
        <w:t>, Order, FCC 14-</w:t>
      </w:r>
      <w:r w:rsidR="006219AD">
        <w:t>179</w:t>
      </w:r>
      <w:r>
        <w:t xml:space="preserve"> (</w:t>
      </w:r>
      <w:r w:rsidR="006219AD">
        <w:t>rel. Nov. 12, 2014</w:t>
      </w:r>
      <w:r>
        <w:t>).</w:t>
      </w:r>
    </w:p>
  </w:footnote>
  <w:footnote w:id="7">
    <w:p w:rsidR="00FF18EF" w:rsidRPr="00FF18EF" w:rsidRDefault="00FF18EF">
      <w:pPr>
        <w:pStyle w:val="FootnoteText"/>
      </w:pPr>
      <w:r>
        <w:rPr>
          <w:rStyle w:val="FootnoteReference"/>
        </w:rPr>
        <w:footnoteRef/>
      </w:r>
      <w:r>
        <w:t xml:space="preserve"> </w:t>
      </w:r>
      <w:r w:rsidRPr="00FF18EF">
        <w:t xml:space="preserve">ECFS </w:t>
      </w:r>
      <w:r w:rsidR="00EE67B9">
        <w:t xml:space="preserve">also </w:t>
      </w:r>
      <w:r w:rsidRPr="00FF18EF">
        <w:t xml:space="preserve">offers an </w:t>
      </w:r>
      <w:r w:rsidR="00304300">
        <w:t>“</w:t>
      </w:r>
      <w:r w:rsidRPr="00FF18EF">
        <w:t>RSS Feed</w:t>
      </w:r>
      <w:r w:rsidR="00304300">
        <w:t>”</w:t>
      </w:r>
      <w:r w:rsidRPr="00FF18EF">
        <w:t xml:space="preserve"> feature, which allows users to be notified of any </w:t>
      </w:r>
      <w:r w:rsidR="00EE67B9">
        <w:t xml:space="preserve">new </w:t>
      </w:r>
      <w:r w:rsidRPr="00FF18EF">
        <w:t>filing</w:t>
      </w:r>
      <w:r w:rsidR="00EE67B9">
        <w:t>s</w:t>
      </w:r>
      <w:r w:rsidRPr="00FF18EF">
        <w:t xml:space="preserve"> </w:t>
      </w:r>
      <w:r w:rsidR="005E6548">
        <w:t>associated with</w:t>
      </w:r>
      <w:r w:rsidR="005E6548" w:rsidRPr="00FF18EF">
        <w:t xml:space="preserve"> </w:t>
      </w:r>
      <w:r w:rsidR="00EE67B9">
        <w:t xml:space="preserve">a given </w:t>
      </w:r>
      <w:r w:rsidRPr="00FF18EF">
        <w:t>docket</w:t>
      </w:r>
      <w:r>
        <w:t>.</w:t>
      </w:r>
    </w:p>
  </w:footnote>
  <w:footnote w:id="8">
    <w:p w:rsidR="000B6A4A" w:rsidRDefault="000B6A4A" w:rsidP="000B6A4A">
      <w:pPr>
        <w:pStyle w:val="FootnoteText"/>
      </w:pPr>
      <w:r>
        <w:rPr>
          <w:rStyle w:val="FootnoteReference"/>
        </w:rPr>
        <w:footnoteRef/>
      </w:r>
      <w:r>
        <w:t xml:space="preserve"> </w:t>
      </w:r>
      <w:r w:rsidR="007548CC">
        <w:rPr>
          <w:i/>
          <w:iCs/>
          <w:snapToGrid w:val="0"/>
        </w:rPr>
        <w:t>Electronic Filing of Documents in Rulemaking Proceedings</w:t>
      </w:r>
      <w:r w:rsidR="007548CC">
        <w:rPr>
          <w:snapToGrid w:val="0"/>
        </w:rPr>
        <w:t>, GN Docket No. 97-113, Report and Order, 13 FCC Rcd 11322, 11322, para. 1 (1998) (</w:t>
      </w:r>
      <w:r w:rsidR="007548CC">
        <w:rPr>
          <w:i/>
          <w:iCs/>
          <w:snapToGrid w:val="0"/>
        </w:rPr>
        <w:t>ECFS Order</w:t>
      </w:r>
      <w:r w:rsidR="007548CC">
        <w:rPr>
          <w:snapToGrid w:val="0"/>
        </w:rPr>
        <w:t xml:space="preserve">). </w:t>
      </w:r>
    </w:p>
  </w:footnote>
  <w:footnote w:id="9">
    <w:p w:rsidR="00806DE5" w:rsidRPr="00391F67" w:rsidRDefault="00806DE5">
      <w:pPr>
        <w:pStyle w:val="FootnoteText"/>
      </w:pPr>
      <w:r>
        <w:rPr>
          <w:rStyle w:val="FootnoteReference"/>
        </w:rPr>
        <w:footnoteRef/>
      </w:r>
      <w:r>
        <w:t xml:space="preserve"> </w:t>
      </w:r>
      <w:r w:rsidRPr="00391F67">
        <w:rPr>
          <w:i/>
        </w:rPr>
        <w:t>Implementation of Further Streamlining Measures for Domestic Section 214 Authorizations</w:t>
      </w:r>
      <w:r>
        <w:t>, CC Docket No. 01-150, Report and Order, 17 FCC Rcd 5517 (2002) (</w:t>
      </w:r>
      <w:r w:rsidR="00391F67">
        <w:rPr>
          <w:i/>
        </w:rPr>
        <w:t>214 Streamlining Order</w:t>
      </w:r>
      <w:r w:rsidR="00391F67">
        <w:t>).</w:t>
      </w:r>
    </w:p>
  </w:footnote>
  <w:footnote w:id="10">
    <w:p w:rsidR="00391F67" w:rsidRPr="00391F67" w:rsidRDefault="00391F67">
      <w:pPr>
        <w:pStyle w:val="FootnoteText"/>
      </w:pPr>
      <w:r>
        <w:rPr>
          <w:rStyle w:val="FootnoteReference"/>
        </w:rPr>
        <w:footnoteRef/>
      </w:r>
      <w:r>
        <w:t xml:space="preserve"> </w:t>
      </w:r>
      <w:r>
        <w:rPr>
          <w:i/>
        </w:rPr>
        <w:t>Id</w:t>
      </w:r>
      <w:r>
        <w:t>. at 5526, para. 18.</w:t>
      </w:r>
    </w:p>
  </w:footnote>
  <w:footnote w:id="11">
    <w:p w:rsidR="00391F67" w:rsidRPr="00391F67" w:rsidRDefault="00391F67">
      <w:pPr>
        <w:pStyle w:val="FootnoteText"/>
      </w:pPr>
      <w:r>
        <w:rPr>
          <w:rStyle w:val="FootnoteReference"/>
        </w:rPr>
        <w:footnoteRef/>
      </w:r>
      <w:r>
        <w:t xml:space="preserve"> </w:t>
      </w:r>
      <w:r>
        <w:rPr>
          <w:i/>
        </w:rPr>
        <w:t>Id</w:t>
      </w:r>
      <w:r>
        <w:t>.</w:t>
      </w:r>
    </w:p>
  </w:footnote>
  <w:footnote w:id="12">
    <w:p w:rsidR="00552583" w:rsidRPr="00B13FF4" w:rsidRDefault="00552583">
      <w:pPr>
        <w:pStyle w:val="FootnoteText"/>
      </w:pPr>
      <w:r>
        <w:rPr>
          <w:rStyle w:val="FootnoteReference"/>
        </w:rPr>
        <w:footnoteRef/>
      </w:r>
      <w:r>
        <w:t xml:space="preserve"> Report on FCC Process Reform at 22, 69 (rel. Feb. 14, 2014)</w:t>
      </w:r>
      <w:r w:rsidR="00B13FF4">
        <w:t xml:space="preserve"> (</w:t>
      </w:r>
      <w:r w:rsidR="00B13FF4">
        <w:rPr>
          <w:i/>
        </w:rPr>
        <w:t>Process Reform Report</w:t>
      </w:r>
      <w:r w:rsidR="00B13FF4">
        <w:t>)</w:t>
      </w:r>
      <w:r>
        <w:t>,</w:t>
      </w:r>
      <w:r w:rsidR="00B13FF4">
        <w:t xml:space="preserve"> </w:t>
      </w:r>
      <w:r w:rsidRPr="00552583">
        <w:t>http://www.fcc.gov/article/da-14-199a2</w:t>
      </w:r>
      <w:r>
        <w:t xml:space="preserve">. </w:t>
      </w:r>
      <w:r w:rsidR="00B13FF4">
        <w:t xml:space="preserve"> The report is intended to </w:t>
      </w:r>
      <w:r w:rsidR="00B13FF4" w:rsidRPr="00821CDA">
        <w:rPr>
          <w:szCs w:val="22"/>
        </w:rPr>
        <w:t>“further[] the goal of  having the agency operate in the most effective, efficient and transparent way possible</w:t>
      </w:r>
      <w:r w:rsidR="00B13FF4">
        <w:rPr>
          <w:szCs w:val="22"/>
        </w:rPr>
        <w:t>,</w:t>
      </w:r>
      <w:r w:rsidR="00B13FF4" w:rsidRPr="00821CDA">
        <w:rPr>
          <w:szCs w:val="22"/>
        </w:rPr>
        <w:t>”</w:t>
      </w:r>
      <w:r w:rsidR="00B13FF4" w:rsidRPr="00B13FF4">
        <w:rPr>
          <w:szCs w:val="22"/>
        </w:rPr>
        <w:t xml:space="preserve"> </w:t>
      </w:r>
      <w:r w:rsidR="00B13FF4">
        <w:rPr>
          <w:szCs w:val="22"/>
        </w:rPr>
        <w:t xml:space="preserve">including by </w:t>
      </w:r>
      <w:r w:rsidR="00B13FF4" w:rsidRPr="007F1B23">
        <w:t>allowing</w:t>
      </w:r>
      <w:r w:rsidR="00B13FF4">
        <w:rPr>
          <w:szCs w:val="22"/>
        </w:rPr>
        <w:t xml:space="preserve"> for quicker and more transparent processing of items before</w:t>
      </w:r>
      <w:r w:rsidR="00B13FF4" w:rsidRPr="007F1B23">
        <w:t xml:space="preserve"> </w:t>
      </w:r>
      <w:r w:rsidR="00B13FF4">
        <w:rPr>
          <w:szCs w:val="22"/>
        </w:rPr>
        <w:t xml:space="preserve">the agency.  </w:t>
      </w:r>
      <w:r w:rsidR="00B13FF4">
        <w:rPr>
          <w:i/>
          <w:szCs w:val="22"/>
        </w:rPr>
        <w:t>Id</w:t>
      </w:r>
      <w:r w:rsidR="00B13FF4">
        <w:rPr>
          <w:szCs w:val="22"/>
        </w:rPr>
        <w:t>. at 3.</w:t>
      </w:r>
    </w:p>
  </w:footnote>
  <w:footnote w:id="13">
    <w:p w:rsidR="000D411C" w:rsidRDefault="000D411C">
      <w:pPr>
        <w:pStyle w:val="FootnoteText"/>
      </w:pPr>
      <w:r>
        <w:rPr>
          <w:rStyle w:val="FootnoteReference"/>
        </w:rPr>
        <w:footnoteRef/>
      </w:r>
      <w:r>
        <w:t xml:space="preserve"> </w:t>
      </w:r>
      <w:r w:rsidR="002E7345">
        <w:rPr>
          <w:i/>
        </w:rPr>
        <w:t xml:space="preserve">See </w:t>
      </w:r>
      <w:r w:rsidR="003C6931">
        <w:t>47 C.F.R. § 63.52;</w:t>
      </w:r>
      <w:r w:rsidR="002E7345">
        <w:t xml:space="preserve"> § 63.53 (providing that domestic section 214 applications “</w:t>
      </w:r>
      <w:r w:rsidR="002E7345" w:rsidRPr="000775CA">
        <w:t>shall be submitted on paper not more than 21.6 cm (8.5 in) wide and not more than 35.6 cm (14 in) long with a left-hand margin of 4 cm (1.5 in)</w:t>
      </w:r>
      <w:r w:rsidR="002E7345">
        <w:t xml:space="preserve">”); </w:t>
      </w:r>
      <w:r w:rsidR="002E7345">
        <w:rPr>
          <w:i/>
        </w:rPr>
        <w:t>see also</w:t>
      </w:r>
      <w:r w:rsidR="003C6931">
        <w:t xml:space="preserve"> </w:t>
      </w:r>
      <w:r>
        <w:t xml:space="preserve">Wireline Competition Bureau Common Carrier Services Fee Filing Guide, effective July 3, 2014, </w:t>
      </w:r>
      <w:r w:rsidRPr="000D411C">
        <w:t>http://www.fcc.gov/document/wcb-application-fee-guide</w:t>
      </w:r>
      <w:r>
        <w:t>.</w:t>
      </w:r>
    </w:p>
  </w:footnote>
  <w:footnote w:id="14">
    <w:p w:rsidR="00AD34A2" w:rsidRDefault="00AD34A2">
      <w:pPr>
        <w:pStyle w:val="FootnoteText"/>
      </w:pPr>
      <w:r>
        <w:rPr>
          <w:rStyle w:val="FootnoteReference"/>
        </w:rPr>
        <w:footnoteRef/>
      </w:r>
      <w:r w:rsidR="006219AD">
        <w:t xml:space="preserve"> </w:t>
      </w:r>
      <w:r>
        <w:t xml:space="preserve">The Commission may make available other capabilities of ECFS to streamline this process. </w:t>
      </w:r>
    </w:p>
  </w:footnote>
  <w:footnote w:id="15">
    <w:p w:rsidR="003477F4" w:rsidRDefault="003477F4">
      <w:pPr>
        <w:pStyle w:val="FootnoteText"/>
      </w:pPr>
      <w:r>
        <w:rPr>
          <w:rStyle w:val="FootnoteReference"/>
        </w:rPr>
        <w:footnoteRef/>
      </w:r>
      <w:r>
        <w:t xml:space="preserve"> </w:t>
      </w:r>
      <w:r w:rsidR="00653323" w:rsidRPr="00AD34A2">
        <w:rPr>
          <w:snapToGrid w:val="0"/>
          <w:kern w:val="28"/>
        </w:rPr>
        <w:t xml:space="preserve">All electronic filings must be </w:t>
      </w:r>
      <w:r w:rsidR="00653323" w:rsidRPr="00AD34A2">
        <w:rPr>
          <w:bCs/>
          <w:snapToGrid w:val="0"/>
          <w:kern w:val="28"/>
        </w:rPr>
        <w:t xml:space="preserve">in an open format, which means </w:t>
      </w:r>
      <w:r w:rsidR="00653323" w:rsidRPr="00AD34A2">
        <w:rPr>
          <w:snapToGrid w:val="0"/>
          <w:kern w:val="28"/>
        </w:rPr>
        <w:t xml:space="preserve">machine-readable </w:t>
      </w:r>
      <w:r w:rsidR="00653323" w:rsidRPr="00AD34A2">
        <w:rPr>
          <w:bCs/>
          <w:snapToGrid w:val="0"/>
          <w:kern w:val="28"/>
        </w:rPr>
        <w:t>and made available to the public without restrictions that would impede re-use of the information.  </w:t>
      </w:r>
      <w:r w:rsidR="00653323" w:rsidRPr="00AD34A2">
        <w:rPr>
          <w:bCs/>
          <w:i/>
          <w:iCs/>
          <w:snapToGrid w:val="0"/>
          <w:color w:val="000000" w:themeColor="text1"/>
          <w:kern w:val="28"/>
        </w:rPr>
        <w:t xml:space="preserve">See </w:t>
      </w:r>
      <w:r w:rsidR="00653323" w:rsidRPr="00AD34A2">
        <w:rPr>
          <w:bCs/>
          <w:snapToGrid w:val="0"/>
          <w:color w:val="000000" w:themeColor="text1"/>
          <w:kern w:val="28"/>
        </w:rPr>
        <w:t>Open Government Directive (Dec. 8, 2009),</w:t>
      </w:r>
      <w:r w:rsidR="00653323" w:rsidRPr="00AD34A2">
        <w:rPr>
          <w:bCs/>
          <w:i/>
          <w:iCs/>
          <w:snapToGrid w:val="0"/>
          <w:color w:val="000000" w:themeColor="text1"/>
          <w:kern w:val="28"/>
        </w:rPr>
        <w:t xml:space="preserve"> </w:t>
      </w:r>
      <w:hyperlink r:id="rId1" w:history="1">
        <w:r w:rsidR="00653323" w:rsidRPr="00AD34A2">
          <w:rPr>
            <w:bCs/>
            <w:snapToGrid w:val="0"/>
            <w:color w:val="000000" w:themeColor="text1"/>
            <w:kern w:val="28"/>
          </w:rPr>
          <w:t>http://m.whitehouse.gov/open/documents/open-government-directive</w:t>
        </w:r>
      </w:hyperlink>
      <w:r w:rsidR="00653323" w:rsidRPr="00AD34A2">
        <w:rPr>
          <w:snapToGrid w:val="0"/>
          <w:color w:val="000000" w:themeColor="text1"/>
          <w:kern w:val="28"/>
        </w:rPr>
        <w:t xml:space="preserve">.  </w:t>
      </w:r>
      <w:r w:rsidR="00653323" w:rsidRPr="006D3404">
        <w:rPr>
          <w:bCs/>
          <w:snapToGrid w:val="0"/>
          <w:kern w:val="28"/>
        </w:rPr>
        <w:t>F</w:t>
      </w:r>
      <w:r w:rsidR="00653323" w:rsidRPr="00AD34A2">
        <w:rPr>
          <w:snapToGrid w:val="0"/>
          <w:kern w:val="28"/>
        </w:rPr>
        <w:t>iles containing text must be formatted to allow electronic searching and/or copying.  Non-text filings (</w:t>
      </w:r>
      <w:r w:rsidR="00653323" w:rsidRPr="006D3404">
        <w:rPr>
          <w:snapToGrid w:val="0"/>
          <w:kern w:val="28"/>
        </w:rPr>
        <w:t>e.g</w:t>
      </w:r>
      <w:r w:rsidR="00653323" w:rsidRPr="00AD34A2">
        <w:rPr>
          <w:snapToGrid w:val="0"/>
          <w:kern w:val="28"/>
        </w:rPr>
        <w:t>.,</w:t>
      </w:r>
      <w:r w:rsidR="00AD34A2">
        <w:rPr>
          <w:snapToGrid w:val="0"/>
          <w:kern w:val="28"/>
        </w:rPr>
        <w:t xml:space="preserve"> </w:t>
      </w:r>
      <w:r w:rsidR="00653323" w:rsidRPr="00AD34A2">
        <w:rPr>
          <w:bCs/>
          <w:snapToGrid w:val="0"/>
          <w:kern w:val="28"/>
        </w:rPr>
        <w:t>spreadsheets</w:t>
      </w:r>
      <w:r w:rsidR="00653323" w:rsidRPr="00AD34A2">
        <w:rPr>
          <w:snapToGrid w:val="0"/>
          <w:kern w:val="28"/>
        </w:rPr>
        <w:t xml:space="preserve">) must be submitted in </w:t>
      </w:r>
      <w:r w:rsidR="00653323" w:rsidRPr="00AD34A2">
        <w:rPr>
          <w:bCs/>
          <w:snapToGrid w:val="0"/>
          <w:kern w:val="28"/>
        </w:rPr>
        <w:t>the format in which they were created.</w:t>
      </w:r>
      <w:r w:rsidR="00653323" w:rsidRPr="00AD34A2">
        <w:rPr>
          <w:snapToGrid w:val="0"/>
          <w:kern w:val="28"/>
        </w:rPr>
        <w:t xml:space="preserve">  </w:t>
      </w:r>
      <w:r w:rsidR="00AD34A2">
        <w:rPr>
          <w:snapToGrid w:val="0"/>
          <w:kern w:val="28"/>
        </w:rPr>
        <w:t>Filers should b</w:t>
      </w:r>
      <w:r w:rsidR="00653323" w:rsidRPr="00AD34A2">
        <w:rPr>
          <w:snapToGrid w:val="0"/>
          <w:kern w:val="28"/>
        </w:rPr>
        <w:t xml:space="preserve">e certain that documents are not locked or password-protected.  If those restrictions are present (e.g., a document is locked), the system may reject the filing, and a party will need to resubmit its document within the filing deadline.  The Commission will consider granting waivers to this electronic filing requirement only in exceptional circumstances.  </w:t>
      </w:r>
      <w:r w:rsidR="00653323" w:rsidRPr="00AD34A2">
        <w:rPr>
          <w:i/>
          <w:iCs/>
          <w:snapToGrid w:val="0"/>
          <w:kern w:val="28"/>
        </w:rPr>
        <w:t>See Amendment of Certain of the Commission’s Part 1 Rules of Practice and Procedure and Part 0 Rules of Commission Organization</w:t>
      </w:r>
      <w:r w:rsidR="00653323" w:rsidRPr="00AD34A2">
        <w:rPr>
          <w:snapToGrid w:val="0"/>
          <w:kern w:val="28"/>
        </w:rPr>
        <w:t>, GC Docket No. 10-44, Report and Order, 26 FCC Rcd 1594, 1602, para. 20 &amp; n.61 (2011) (</w:t>
      </w:r>
      <w:r w:rsidR="00653323" w:rsidRPr="00AD34A2">
        <w:rPr>
          <w:i/>
          <w:iCs/>
          <w:snapToGrid w:val="0"/>
          <w:kern w:val="28"/>
        </w:rPr>
        <w:t>Part 1 Order</w:t>
      </w:r>
      <w:r w:rsidR="00653323" w:rsidRPr="00AD34A2">
        <w:rPr>
          <w:snapToGrid w:val="0"/>
          <w:kern w:val="28"/>
        </w:rPr>
        <w:t>)</w:t>
      </w:r>
      <w:r w:rsidR="00AD34A2">
        <w:rPr>
          <w:snapToGrid w:val="0"/>
          <w:kern w:val="28"/>
        </w:rPr>
        <w:t xml:space="preserve">.  </w:t>
      </w:r>
    </w:p>
  </w:footnote>
  <w:footnote w:id="16">
    <w:p w:rsidR="00782B61" w:rsidRPr="00EC1663" w:rsidRDefault="00782B61" w:rsidP="00782B61">
      <w:pPr>
        <w:pStyle w:val="FootnoteText"/>
      </w:pPr>
      <w:r>
        <w:rPr>
          <w:rStyle w:val="FootnoteReference"/>
        </w:rPr>
        <w:footnoteRef/>
      </w:r>
      <w:r>
        <w:t xml:space="preserve"> </w:t>
      </w:r>
      <w:r w:rsidRPr="00657CC3">
        <w:rPr>
          <w:i/>
        </w:rPr>
        <w:t>See</w:t>
      </w:r>
      <w:r>
        <w:rPr>
          <w:i/>
        </w:rPr>
        <w:t xml:space="preserve"> infra</w:t>
      </w:r>
      <w:r>
        <w:t xml:space="preserve"> Appendix (detailing revisions to </w:t>
      </w:r>
      <w:r w:rsidRPr="00B45CB9">
        <w:t xml:space="preserve">47 C.F.R. </w:t>
      </w:r>
      <w:r w:rsidR="006D3404">
        <w:t>§</w:t>
      </w:r>
      <w:r>
        <w:t>§</w:t>
      </w:r>
      <w:r w:rsidR="00C15337">
        <w:t xml:space="preserve"> 63.52-53</w:t>
      </w:r>
      <w:r>
        <w:t>).</w:t>
      </w:r>
      <w:r w:rsidR="00C15337">
        <w:t xml:space="preserve">  There is an exception to this for confidential filings, as described below.</w:t>
      </w:r>
      <w:r>
        <w:t xml:space="preserve">  </w:t>
      </w:r>
    </w:p>
  </w:footnote>
  <w:footnote w:id="17">
    <w:p w:rsidR="00782B61" w:rsidRDefault="00782B61" w:rsidP="00782B61">
      <w:pPr>
        <w:pStyle w:val="FootnoteText"/>
      </w:pPr>
      <w:r>
        <w:rPr>
          <w:rStyle w:val="FootnoteReference"/>
        </w:rPr>
        <w:footnoteRef/>
      </w:r>
      <w:r>
        <w:t xml:space="preserve"> </w:t>
      </w:r>
      <w:r w:rsidR="00294658">
        <w:t>Applicants</w:t>
      </w:r>
      <w:r>
        <w:t xml:space="preserve"> must remit </w:t>
      </w:r>
      <w:r w:rsidR="00294658">
        <w:t>application processing f</w:t>
      </w:r>
      <w:r>
        <w:t>ees in ac</w:t>
      </w:r>
      <w:r w:rsidR="00294658">
        <w:t>cordance with 47 C.F.R. § 1.1105</w:t>
      </w:r>
      <w:r>
        <w:t xml:space="preserve">.  </w:t>
      </w:r>
      <w:r w:rsidR="002877DA">
        <w:t>In addition, Bureau staff will check the applicant’s status under the Commission’s “red light rule</w:t>
      </w:r>
      <w:r w:rsidR="003D76F7">
        <w:t>,</w:t>
      </w:r>
      <w:r w:rsidR="002877DA">
        <w:t xml:space="preserve">” which restricts processing of applications filed by parties with outstanding debts owed to the Commission.  </w:t>
      </w:r>
      <w:r w:rsidR="002877DA">
        <w:rPr>
          <w:i/>
        </w:rPr>
        <w:t>See</w:t>
      </w:r>
      <w:r w:rsidR="002877DA">
        <w:t xml:space="preserve"> 47 C.F.R. § 1.1910.  </w:t>
      </w:r>
    </w:p>
  </w:footnote>
  <w:footnote w:id="18">
    <w:p w:rsidR="00782B61" w:rsidRDefault="00782B61" w:rsidP="00782B61">
      <w:pPr>
        <w:pStyle w:val="FootnoteText"/>
      </w:pPr>
      <w:r>
        <w:rPr>
          <w:rStyle w:val="FootnoteReference"/>
        </w:rPr>
        <w:footnoteRef/>
      </w:r>
      <w:r>
        <w:t xml:space="preserve"> </w:t>
      </w:r>
      <w:r w:rsidRPr="001521C2">
        <w:rPr>
          <w:i/>
        </w:rPr>
        <w:t>See</w:t>
      </w:r>
      <w:r w:rsidR="00571672">
        <w:t xml:space="preserve"> 47 C.F.R. § 1.1105</w:t>
      </w:r>
      <w:r>
        <w:t>.</w:t>
      </w:r>
    </w:p>
  </w:footnote>
  <w:footnote w:id="19">
    <w:p w:rsidR="00063F65" w:rsidRDefault="00063F65">
      <w:pPr>
        <w:pStyle w:val="FootnoteText"/>
      </w:pPr>
      <w:r>
        <w:rPr>
          <w:rStyle w:val="FootnoteReference"/>
        </w:rPr>
        <w:footnoteRef/>
      </w:r>
      <w:r>
        <w:t xml:space="preserve"> Instructions for using Fee Filer to pay application processing fees are listed on the Commission’s webpage, </w:t>
      </w:r>
      <w:r w:rsidRPr="006B1DEE">
        <w:t>http://www.fcc.gov/encyclopedia/fee-filer</w:t>
      </w:r>
      <w:r>
        <w:t>.</w:t>
      </w:r>
    </w:p>
  </w:footnote>
  <w:footnote w:id="20">
    <w:p w:rsidR="00294658" w:rsidRDefault="00294658">
      <w:pPr>
        <w:pStyle w:val="FootnoteText"/>
      </w:pPr>
      <w:r>
        <w:rPr>
          <w:rStyle w:val="FootnoteReference"/>
        </w:rPr>
        <w:footnoteRef/>
      </w:r>
      <w:r>
        <w:t xml:space="preserve"> 47 C.F.R. </w:t>
      </w:r>
      <w:r w:rsidR="007945C0">
        <w:t>§</w:t>
      </w:r>
      <w:r>
        <w:t>§ 63.03-04.</w:t>
      </w:r>
    </w:p>
  </w:footnote>
  <w:footnote w:id="21">
    <w:p w:rsidR="003C6931" w:rsidRPr="003C6931" w:rsidRDefault="003C6931">
      <w:pPr>
        <w:pStyle w:val="FootnoteText"/>
      </w:pPr>
      <w:r>
        <w:rPr>
          <w:rStyle w:val="FootnoteReference"/>
        </w:rPr>
        <w:footnoteRef/>
      </w:r>
      <w:r>
        <w:t xml:space="preserve"> </w:t>
      </w:r>
      <w:r>
        <w:rPr>
          <w:i/>
        </w:rPr>
        <w:t xml:space="preserve">See </w:t>
      </w:r>
      <w:r>
        <w:t>47 C.F.R. § 63.03(a) (setting out the Commission’s accepted-for-filing process for domestic section 214 transfer of control applications).</w:t>
      </w:r>
    </w:p>
  </w:footnote>
  <w:footnote w:id="22">
    <w:p w:rsidR="00285CF7" w:rsidRDefault="00285CF7" w:rsidP="00285CF7">
      <w:pPr>
        <w:pStyle w:val="FootnoteText"/>
      </w:pPr>
      <w:r>
        <w:rPr>
          <w:rStyle w:val="FootnoteReference"/>
        </w:rPr>
        <w:footnoteRef/>
      </w:r>
      <w:r>
        <w:t xml:space="preserve"> </w:t>
      </w:r>
      <w:r w:rsidRPr="004B4D8F">
        <w:rPr>
          <w:i/>
        </w:rPr>
        <w:t>See</w:t>
      </w:r>
      <w:r>
        <w:rPr>
          <w:i/>
        </w:rPr>
        <w:t xml:space="preserve"> infra</w:t>
      </w:r>
      <w:r>
        <w:t xml:space="preserve"> Appendix (detailing revisions to </w:t>
      </w:r>
      <w:r w:rsidRPr="00B45CB9">
        <w:t xml:space="preserve">47 C.F.R. </w:t>
      </w:r>
      <w:r w:rsidR="00C15337">
        <w:t>§ 63.52(c)</w:t>
      </w:r>
      <w:r w:rsidR="00470F59">
        <w:t>)</w:t>
      </w:r>
      <w:r>
        <w:t xml:space="preserve">.  Parties using email service should be mindful that the Commission’s or the opposing party’s </w:t>
      </w:r>
      <w:r w:rsidR="00494F16">
        <w:t xml:space="preserve">email </w:t>
      </w:r>
      <w:r>
        <w:t>server may reject attachments that are too large.</w:t>
      </w:r>
    </w:p>
  </w:footnote>
  <w:footnote w:id="23">
    <w:p w:rsidR="009F106F" w:rsidRPr="00F970E2" w:rsidRDefault="009F106F" w:rsidP="009F106F">
      <w:pPr>
        <w:pStyle w:val="FootnoteText"/>
        <w:rPr>
          <w:color w:val="000000" w:themeColor="text1"/>
        </w:rPr>
      </w:pPr>
      <w:r>
        <w:rPr>
          <w:rStyle w:val="FootnoteReference"/>
        </w:rPr>
        <w:footnoteRef/>
      </w:r>
      <w:r>
        <w:t xml:space="preserve"> </w:t>
      </w:r>
      <w:r w:rsidRPr="00F970E2">
        <w:rPr>
          <w:color w:val="000000" w:themeColor="text1"/>
        </w:rPr>
        <w:t>47 C.F.R. § 63.71(b).  There are no application processing fees for discontinuance applications.</w:t>
      </w:r>
    </w:p>
  </w:footnote>
  <w:footnote w:id="24">
    <w:p w:rsidR="00DA6FBC" w:rsidRDefault="00DA6FBC" w:rsidP="00DA6FBC">
      <w:pPr>
        <w:pStyle w:val="FootnoteText"/>
      </w:pPr>
      <w:r>
        <w:rPr>
          <w:rStyle w:val="FootnoteReference"/>
        </w:rPr>
        <w:footnoteRef/>
      </w:r>
      <w:r>
        <w:t xml:space="preserve"> The Commission may make available other capabilities of ECFS to streamline this process.</w:t>
      </w:r>
    </w:p>
  </w:footnote>
  <w:footnote w:id="25">
    <w:p w:rsidR="00DA6FBC" w:rsidRPr="00EC1663" w:rsidRDefault="00DA6FBC" w:rsidP="00DA6FBC">
      <w:pPr>
        <w:pStyle w:val="FootnoteText"/>
      </w:pPr>
      <w:r>
        <w:rPr>
          <w:rStyle w:val="FootnoteReference"/>
        </w:rPr>
        <w:footnoteRef/>
      </w:r>
      <w:r>
        <w:t xml:space="preserve"> </w:t>
      </w:r>
      <w:r w:rsidRPr="00657CC3">
        <w:rPr>
          <w:i/>
        </w:rPr>
        <w:t>See</w:t>
      </w:r>
      <w:r>
        <w:rPr>
          <w:i/>
        </w:rPr>
        <w:t xml:space="preserve"> infra</w:t>
      </w:r>
      <w:r>
        <w:t xml:space="preserve"> Appendix (detailing revisions to </w:t>
      </w:r>
      <w:r w:rsidRPr="00B45CB9">
        <w:t xml:space="preserve">47 C.F.R. </w:t>
      </w:r>
      <w:r w:rsidR="007945C0">
        <w:t>§</w:t>
      </w:r>
      <w:r>
        <w:t xml:space="preserve">§ 63.52-53).  There is an exception to this for confidential filings, as described below.  </w:t>
      </w:r>
    </w:p>
  </w:footnote>
  <w:footnote w:id="26">
    <w:p w:rsidR="00DA6FBC" w:rsidRDefault="00DA6FBC" w:rsidP="00DA6FBC">
      <w:pPr>
        <w:pStyle w:val="FootnoteText"/>
      </w:pPr>
      <w:r>
        <w:rPr>
          <w:rStyle w:val="FootnoteReference"/>
        </w:rPr>
        <w:footnoteRef/>
      </w:r>
      <w:r>
        <w:t xml:space="preserve"> 47 C.F.R. § </w:t>
      </w:r>
      <w:r w:rsidR="00987D2F">
        <w:t>63.71</w:t>
      </w:r>
      <w:r>
        <w:t xml:space="preserve">.  </w:t>
      </w:r>
      <w:r w:rsidR="004B5419">
        <w:t xml:space="preserve">In addition, </w:t>
      </w:r>
      <w:r w:rsidR="0045566B">
        <w:t xml:space="preserve">Bureau staff </w:t>
      </w:r>
      <w:r w:rsidR="004B5419">
        <w:t>will check the applicant’s status under the Commission’s “red light rule</w:t>
      </w:r>
      <w:r w:rsidR="00FE171F">
        <w:t>.</w:t>
      </w:r>
      <w:r w:rsidR="004B5419">
        <w:t xml:space="preserve">”  </w:t>
      </w:r>
      <w:r w:rsidR="004B5419">
        <w:rPr>
          <w:i/>
        </w:rPr>
        <w:t>See</w:t>
      </w:r>
      <w:r w:rsidR="004B5419">
        <w:t xml:space="preserve"> 47 C.F.R. § 1.1910. </w:t>
      </w:r>
      <w:r w:rsidR="0045566B">
        <w:t xml:space="preserve"> </w:t>
      </w:r>
    </w:p>
  </w:footnote>
  <w:footnote w:id="27">
    <w:p w:rsidR="00671587" w:rsidRDefault="00671587" w:rsidP="00671587">
      <w:pPr>
        <w:pStyle w:val="FootnoteText"/>
      </w:pPr>
      <w:r>
        <w:rPr>
          <w:rStyle w:val="FootnoteReference"/>
        </w:rPr>
        <w:footnoteRef/>
      </w:r>
      <w:r>
        <w:t xml:space="preserve"> </w:t>
      </w:r>
      <w:r w:rsidR="006219AD" w:rsidRPr="006219AD">
        <w:rPr>
          <w:i/>
          <w:iCs/>
        </w:rPr>
        <w:t>See, e.g.</w:t>
      </w:r>
      <w:r w:rsidR="006219AD" w:rsidRPr="006219AD">
        <w:t>,</w:t>
      </w:r>
      <w:r w:rsidR="006219AD" w:rsidRPr="006219AD">
        <w:rPr>
          <w:i/>
          <w:iCs/>
        </w:rPr>
        <w:t xml:space="preserve"> </w:t>
      </w:r>
      <w:r w:rsidR="006219AD" w:rsidRPr="006219AD">
        <w:t>47 C.F.R. §§ 63.60-601</w:t>
      </w:r>
      <w:r>
        <w:t>.</w:t>
      </w:r>
    </w:p>
  </w:footnote>
  <w:footnote w:id="28">
    <w:p w:rsidR="00D30BC4" w:rsidRDefault="00D30BC4">
      <w:pPr>
        <w:pStyle w:val="FootnoteText"/>
      </w:pPr>
      <w:r>
        <w:rPr>
          <w:rStyle w:val="FootnoteReference"/>
        </w:rPr>
        <w:footnoteRef/>
      </w:r>
      <w:r>
        <w:t xml:space="preserve"> 47 C.F.R. § 63.71(a)(5).</w:t>
      </w:r>
    </w:p>
  </w:footnote>
  <w:footnote w:id="29">
    <w:p w:rsidR="00671587" w:rsidRPr="003167F5" w:rsidRDefault="00671587" w:rsidP="00671587">
      <w:pPr>
        <w:pStyle w:val="FootnoteText"/>
      </w:pPr>
      <w:r>
        <w:rPr>
          <w:rStyle w:val="FootnoteReference"/>
        </w:rPr>
        <w:footnoteRef/>
      </w:r>
      <w:r>
        <w:t xml:space="preserve"> </w:t>
      </w:r>
      <w:r>
        <w:rPr>
          <w:i/>
        </w:rPr>
        <w:t>See infra</w:t>
      </w:r>
      <w:r>
        <w:t xml:space="preserve"> Appendix (detailing revisions to </w:t>
      </w:r>
      <w:r w:rsidRPr="00B45CB9">
        <w:t xml:space="preserve">47 C.F.R. </w:t>
      </w:r>
      <w:r>
        <w:t>§ 63.71).  Pursuant to these revisions, the language that applicants include in their notice to customers must inform customers that they have the option of either filing comments with the Office of the Secretary or filing comments through ECFS.</w:t>
      </w:r>
      <w:r w:rsidR="000C10BA">
        <w:t xml:space="preserve"> </w:t>
      </w:r>
      <w:r w:rsidR="000C10BA" w:rsidRPr="000C10BA">
        <w:t xml:space="preserve"> </w:t>
      </w:r>
    </w:p>
  </w:footnote>
  <w:footnote w:id="30">
    <w:p w:rsidR="000B6A4A" w:rsidRPr="00A04ED4" w:rsidRDefault="000B6A4A" w:rsidP="000B6A4A">
      <w:pPr>
        <w:pStyle w:val="FootnoteText"/>
      </w:pPr>
      <w:r w:rsidRPr="00A04ED4">
        <w:rPr>
          <w:rStyle w:val="FootnoteReference"/>
        </w:rPr>
        <w:footnoteRef/>
      </w:r>
      <w:r w:rsidRPr="00A04ED4">
        <w:t xml:space="preserve"> 47 C.F.R. § 51.329(c)(2).</w:t>
      </w:r>
    </w:p>
  </w:footnote>
  <w:footnote w:id="31">
    <w:p w:rsidR="000B6A4A" w:rsidRPr="008B013C" w:rsidRDefault="000B6A4A" w:rsidP="000B6A4A">
      <w:pPr>
        <w:pStyle w:val="FootnoteText"/>
      </w:pPr>
      <w:r w:rsidRPr="008B013C">
        <w:rPr>
          <w:rStyle w:val="FootnoteReference"/>
        </w:rPr>
        <w:footnoteRef/>
      </w:r>
      <w:r w:rsidRPr="008B013C">
        <w:t xml:space="preserve"> </w:t>
      </w:r>
      <w:r w:rsidR="00E26703">
        <w:rPr>
          <w:i/>
        </w:rPr>
        <w:t xml:space="preserve">Process Reform Report </w:t>
      </w:r>
      <w:r>
        <w:t>at 69</w:t>
      </w:r>
      <w:r w:rsidRPr="008B013C">
        <w:t>.</w:t>
      </w:r>
    </w:p>
  </w:footnote>
  <w:footnote w:id="32">
    <w:p w:rsidR="000B6A4A" w:rsidRPr="00277C9F" w:rsidRDefault="000B6A4A" w:rsidP="000B6A4A">
      <w:pPr>
        <w:pStyle w:val="FootnoteText"/>
      </w:pPr>
      <w:r w:rsidRPr="00277C9F">
        <w:rPr>
          <w:rStyle w:val="FootnoteReference"/>
        </w:rPr>
        <w:footnoteRef/>
      </w:r>
      <w:r w:rsidRPr="00277C9F">
        <w:t xml:space="preserve"> </w:t>
      </w:r>
      <w:r w:rsidRPr="00277C9F">
        <w:rPr>
          <w:i/>
        </w:rPr>
        <w:t>See</w:t>
      </w:r>
      <w:r w:rsidRPr="00277C9F">
        <w:t xml:space="preserve"> http://www.fcc.gov/encyclopedia/section-251-wireline-network-changes.</w:t>
      </w:r>
    </w:p>
  </w:footnote>
  <w:footnote w:id="33">
    <w:p w:rsidR="00F970E2" w:rsidRPr="00CD227E" w:rsidRDefault="000B6A4A" w:rsidP="00F970E2">
      <w:pPr>
        <w:pStyle w:val="FootnoteText"/>
      </w:pPr>
      <w:r w:rsidRPr="00B62ADA">
        <w:rPr>
          <w:rStyle w:val="FootnoteReference"/>
        </w:rPr>
        <w:footnoteRef/>
      </w:r>
      <w:r w:rsidRPr="00B62ADA">
        <w:t xml:space="preserve"> </w:t>
      </w:r>
      <w:r w:rsidRPr="00DE044E">
        <w:rPr>
          <w:i/>
        </w:rPr>
        <w:t>See id</w:t>
      </w:r>
      <w:r w:rsidRPr="00DE044E">
        <w:t xml:space="preserve">.; </w:t>
      </w:r>
      <w:r w:rsidR="004077C8" w:rsidRPr="00DE044E">
        <w:rPr>
          <w:i/>
        </w:rPr>
        <w:t xml:space="preserve">see also </w:t>
      </w:r>
      <w:r w:rsidRPr="00DE044E">
        <w:t>Commission Copper Retirement</w:t>
      </w:r>
      <w:r w:rsidR="00DE044E" w:rsidRPr="00DE044E">
        <w:t xml:space="preserve"> Blog Post, </w:t>
      </w:r>
      <w:r w:rsidR="00DE044E" w:rsidRPr="00DE044E">
        <w:rPr>
          <w:rFonts w:eastAsia="Calibri"/>
        </w:rPr>
        <w:t xml:space="preserve">Julie Veach, Chief, Wireline Competition Bureau, Federal Communications Commission, Protecting Consumers in the Transition from Copper Networks (May 17, 2014), </w:t>
      </w:r>
      <w:r w:rsidR="00F970E2" w:rsidRPr="00CD227E">
        <w:rPr>
          <w:rFonts w:eastAsia="Calibri"/>
          <w:color w:val="000000" w:themeColor="text1"/>
        </w:rPr>
        <w:t>http://www.fcc.gov/blog/protecting-consumers-transition-copper-networks</w:t>
      </w:r>
      <w:r w:rsidR="00DE044E" w:rsidRPr="00CD227E">
        <w:rPr>
          <w:rFonts w:eastAsia="Calibri"/>
          <w:color w:val="000000" w:themeColor="text1"/>
        </w:rPr>
        <w:t>.</w:t>
      </w:r>
    </w:p>
  </w:footnote>
  <w:footnote w:id="34">
    <w:p w:rsidR="00607B10" w:rsidRDefault="00607B10" w:rsidP="00607B10">
      <w:pPr>
        <w:pStyle w:val="FootnoteText"/>
      </w:pPr>
      <w:r>
        <w:rPr>
          <w:rStyle w:val="FootnoteReference"/>
        </w:rPr>
        <w:footnoteRef/>
      </w:r>
      <w:r>
        <w:t xml:space="preserve"> 47 C.F.R. § 1.4(f); </w:t>
      </w:r>
      <w:r w:rsidRPr="00F34099">
        <w:rPr>
          <w:i/>
        </w:rPr>
        <w:t>ECFS Order</w:t>
      </w:r>
      <w:r>
        <w:t>, 13 FCC Rcd at 11331, para. 19.</w:t>
      </w:r>
    </w:p>
  </w:footnote>
  <w:footnote w:id="35">
    <w:p w:rsidR="00607B10" w:rsidRPr="00F34099" w:rsidRDefault="00607B10" w:rsidP="00607B10">
      <w:pPr>
        <w:pStyle w:val="FootnoteText"/>
      </w:pPr>
      <w:r>
        <w:rPr>
          <w:rStyle w:val="FootnoteReference"/>
        </w:rPr>
        <w:footnoteRef/>
      </w:r>
      <w:r>
        <w:t xml:space="preserve"> </w:t>
      </w:r>
      <w:r>
        <w:rPr>
          <w:i/>
        </w:rPr>
        <w:t>ECFS Order</w:t>
      </w:r>
      <w:r>
        <w:t>, 13 FCC Rcd at 113</w:t>
      </w:r>
      <w:r w:rsidR="00C2558B">
        <w:t>31</w:t>
      </w:r>
      <w:r>
        <w:t>, para. 20.</w:t>
      </w:r>
      <w:r w:rsidRPr="00F34099">
        <w:rPr>
          <w:rFonts w:ascii="Verdana" w:hAnsi="Verdana"/>
          <w:i/>
          <w:iCs/>
          <w:color w:val="000000"/>
          <w:shd w:val="clear" w:color="auto" w:fill="FFFFFF"/>
        </w:rPr>
        <w:t xml:space="preserve"> </w:t>
      </w:r>
      <w:r>
        <w:rPr>
          <w:rFonts w:ascii="Verdana" w:hAnsi="Verdana"/>
          <w:i/>
          <w:iCs/>
          <w:color w:val="000000"/>
          <w:shd w:val="clear" w:color="auto" w:fill="FFFFFF"/>
        </w:rPr>
        <w:t xml:space="preserve"> </w:t>
      </w:r>
      <w:r w:rsidRPr="00F34099">
        <w:rPr>
          <w:color w:val="000000"/>
          <w:shd w:val="clear" w:color="auto" w:fill="FFFFFF"/>
        </w:rPr>
        <w:t>Under Commission rules, pleadings are considered to be filed upon their receipt by the Commission, rather than the time of attempted submission. </w:t>
      </w:r>
      <w:r>
        <w:rPr>
          <w:color w:val="000000"/>
          <w:shd w:val="clear" w:color="auto" w:fill="FFFFFF"/>
        </w:rPr>
        <w:t xml:space="preserve"> </w:t>
      </w:r>
      <w:r w:rsidRPr="00F34099">
        <w:rPr>
          <w:i/>
          <w:iCs/>
          <w:color w:val="000000"/>
          <w:shd w:val="clear" w:color="auto" w:fill="FFFFFF"/>
        </w:rPr>
        <w:t>See</w:t>
      </w:r>
      <w:r w:rsidRPr="00F34099">
        <w:rPr>
          <w:color w:val="000000"/>
          <w:shd w:val="clear" w:color="auto" w:fill="FFFFFF"/>
        </w:rPr>
        <w:t> 47 C.F.R. § 1.7.</w:t>
      </w:r>
    </w:p>
  </w:footnote>
  <w:footnote w:id="36">
    <w:p w:rsidR="00314232" w:rsidRDefault="00314232">
      <w:pPr>
        <w:pStyle w:val="FootnoteText"/>
      </w:pPr>
      <w:r>
        <w:rPr>
          <w:rStyle w:val="FootnoteReference"/>
        </w:rPr>
        <w:footnoteRef/>
      </w:r>
      <w:r>
        <w:t xml:space="preserve"> </w:t>
      </w:r>
      <w:r w:rsidR="00607B10" w:rsidRPr="00314232">
        <w:rPr>
          <w:szCs w:val="22"/>
        </w:rPr>
        <w:t xml:space="preserve">Currently, the official filing date for domestic section 214 transfer of control applications is the date on which the lockbox bank stamps the application as accepted.  </w:t>
      </w:r>
      <w:r w:rsidR="00607B10">
        <w:rPr>
          <w:szCs w:val="22"/>
        </w:rPr>
        <w:t>T</w:t>
      </w:r>
      <w:r w:rsidR="00607B10" w:rsidRPr="00314232">
        <w:rPr>
          <w:szCs w:val="22"/>
        </w:rPr>
        <w:t>he Commission</w:t>
      </w:r>
      <w:r w:rsidR="00607B10">
        <w:rPr>
          <w:szCs w:val="22"/>
        </w:rPr>
        <w:t xml:space="preserve"> </w:t>
      </w:r>
      <w:r w:rsidR="00607B10" w:rsidRPr="00314232">
        <w:rPr>
          <w:szCs w:val="22"/>
        </w:rPr>
        <w:t>considers domestic section 214 discontinuance applications and network change notices to be officially filed on the date carriers submit them to the Office of the Secretary</w:t>
      </w:r>
      <w:r w:rsidR="00F970E2">
        <w:rPr>
          <w:szCs w:val="22"/>
        </w:rPr>
        <w:t>.</w:t>
      </w:r>
      <w:r w:rsidR="00607B10">
        <w:rPr>
          <w:szCs w:val="22"/>
        </w:rPr>
        <w:t xml:space="preserve">  </w:t>
      </w:r>
      <w:r>
        <w:t>For purposes of required notice to customers, the Commission deems a discontinuance application to be filed on the date the Commission releases public notice of the filing.  47 C.F.R. § 63.71(c).</w:t>
      </w:r>
    </w:p>
  </w:footnote>
  <w:footnote w:id="37">
    <w:p w:rsidR="009C4D56" w:rsidRPr="00D86914" w:rsidRDefault="009C4D56" w:rsidP="009C4D56">
      <w:pPr>
        <w:pStyle w:val="FootnoteText"/>
      </w:pPr>
      <w:r>
        <w:rPr>
          <w:rStyle w:val="FootnoteReference"/>
        </w:rPr>
        <w:footnoteRef/>
      </w:r>
      <w:r>
        <w:t xml:space="preserve"> </w:t>
      </w:r>
      <w:r>
        <w:rPr>
          <w:i/>
        </w:rPr>
        <w:t xml:space="preserve">See </w:t>
      </w:r>
      <w:r>
        <w:t xml:space="preserve">47 C.F.R. § 0.459(a)(2). </w:t>
      </w:r>
    </w:p>
  </w:footnote>
  <w:footnote w:id="38">
    <w:p w:rsidR="00D0724F" w:rsidRPr="00D0724F" w:rsidRDefault="00D0724F">
      <w:pPr>
        <w:pStyle w:val="FootnoteText"/>
      </w:pPr>
      <w:r>
        <w:rPr>
          <w:rStyle w:val="FootnoteReference"/>
        </w:rPr>
        <w:footnoteRef/>
      </w:r>
      <w:r>
        <w:t xml:space="preserve"> </w:t>
      </w:r>
      <w:r>
        <w:rPr>
          <w:i/>
        </w:rPr>
        <w:t xml:space="preserve">See </w:t>
      </w:r>
      <w:r w:rsidRPr="00F970E2">
        <w:t>http://www.fcc.gov/encyclopedia/transfer-control</w:t>
      </w:r>
      <w:r w:rsidRPr="00C42AE4">
        <w:t xml:space="preserve">; </w:t>
      </w:r>
      <w:r w:rsidRPr="00F970E2">
        <w:t>http://www.fcc.gov/encyclopedia/domestic-section-214-discontinuance-service</w:t>
      </w:r>
      <w:r>
        <w:t xml:space="preserve">; </w:t>
      </w:r>
      <w:r w:rsidRPr="00D0724F">
        <w:t>http://www.fcc.gov/encyclopedia/section-251-wireline-network-changes</w:t>
      </w:r>
      <w:r>
        <w:t>.</w:t>
      </w:r>
      <w:r>
        <w:rPr>
          <w:i/>
        </w:rPr>
        <w:t xml:space="preserve"> </w:t>
      </w:r>
    </w:p>
  </w:footnote>
  <w:footnote w:id="39">
    <w:p w:rsidR="00B2434B" w:rsidRDefault="00B2434B" w:rsidP="00B2434B">
      <w:pPr>
        <w:pStyle w:val="FootnoteText"/>
      </w:pPr>
      <w:r>
        <w:rPr>
          <w:rStyle w:val="FootnoteReference"/>
        </w:rPr>
        <w:footnoteRef/>
      </w:r>
      <w:r>
        <w:t xml:space="preserve"> Because the changes we adopt here modify existing agency procedural rules, they are exempt from the notice and comment requirements of the Administrative Procedure Act.  5 U.S.C. § 553(b) (stating that notice and comment requirements do not apply to rules of agency procedure).  </w:t>
      </w:r>
      <w:r>
        <w:rPr>
          <w:i/>
        </w:rPr>
        <w:t xml:space="preserve">See </w:t>
      </w:r>
      <w:r w:rsidRPr="003841AF">
        <w:rPr>
          <w:i/>
        </w:rPr>
        <w:t>Amendment of Certain of the Commission’s Part 1 Rules of Practice and Procedure and Part 0 Rules of Commission Organization</w:t>
      </w:r>
      <w:r>
        <w:t xml:space="preserve">, </w:t>
      </w:r>
      <w:r w:rsidR="0016281A">
        <w:t xml:space="preserve">GC Docket No. 10-44, </w:t>
      </w:r>
      <w:r>
        <w:t xml:space="preserve">Notice of Proposed Rulemaking, 25 FCC Rcd 2430, 2430, para. 1 n.1; 2434, para. 11 n.15; 2436, para. 16 n.23 (2010); </w:t>
      </w:r>
      <w:r w:rsidRPr="00516F87">
        <w:rPr>
          <w:i/>
        </w:rPr>
        <w:t>Par</w:t>
      </w:r>
      <w:r>
        <w:rPr>
          <w:i/>
        </w:rPr>
        <w:t>t 1 Order</w:t>
      </w:r>
      <w:r>
        <w:t xml:space="preserve">, 26 FCC Rcd at 1598, para. 10 n.23; 1600, para. 15 n.44. </w:t>
      </w:r>
    </w:p>
  </w:footnote>
  <w:footnote w:id="40">
    <w:p w:rsidR="00B2434B" w:rsidRDefault="00B2434B" w:rsidP="00B2434B">
      <w:pPr>
        <w:pStyle w:val="FootnoteText"/>
      </w:pPr>
      <w:r>
        <w:rPr>
          <w:rStyle w:val="FootnoteReference"/>
        </w:rPr>
        <w:footnoteRef/>
      </w:r>
      <w:r>
        <w:t xml:space="preserve"> 47 C.F.R. § 1.3.</w:t>
      </w:r>
    </w:p>
  </w:footnote>
  <w:footnote w:id="41">
    <w:p w:rsidR="00B2434B" w:rsidRDefault="00B2434B" w:rsidP="00B2434B">
      <w:pPr>
        <w:pStyle w:val="FootnoteText"/>
      </w:pPr>
      <w:r>
        <w:rPr>
          <w:rStyle w:val="FootnoteReference"/>
        </w:rPr>
        <w:footnoteRef/>
      </w:r>
      <w:r>
        <w:t xml:space="preserve"> </w:t>
      </w:r>
      <w:r w:rsidRPr="00BB25FA">
        <w:rPr>
          <w:i/>
        </w:rPr>
        <w:t>Northeast Cellular Telephone Co. v. FCC</w:t>
      </w:r>
      <w:r w:rsidRPr="00BB25FA">
        <w:t>, 897 F.2d 1164, 1166 (D.C. Cir. 1990).</w:t>
      </w:r>
    </w:p>
  </w:footnote>
  <w:footnote w:id="42">
    <w:p w:rsidR="00104B84" w:rsidRDefault="00104B84">
      <w:pPr>
        <w:pStyle w:val="FootnoteText"/>
      </w:pPr>
      <w:r>
        <w:rPr>
          <w:rStyle w:val="FootnoteReference"/>
        </w:rPr>
        <w:footnoteRef/>
      </w:r>
      <w:r>
        <w:t xml:space="preserve"> </w:t>
      </w:r>
      <w:r w:rsidRPr="00104B84">
        <w:rPr>
          <w:i/>
          <w:iCs/>
        </w:rPr>
        <w:t>See, e.g.</w:t>
      </w:r>
      <w:r w:rsidRPr="00104B84">
        <w:t xml:space="preserve">, </w:t>
      </w:r>
      <w:r w:rsidRPr="00104B84">
        <w:rPr>
          <w:i/>
          <w:iCs/>
        </w:rPr>
        <w:t>Part 1 Order</w:t>
      </w:r>
      <w:r w:rsidRPr="00104B84">
        <w:t xml:space="preserve">, 26 FCC Rcd at </w:t>
      </w:r>
      <w:r>
        <w:t>1599-1602</w:t>
      </w:r>
      <w:r w:rsidRPr="00104B84">
        <w:t>, paras. 13-21</w:t>
      </w:r>
      <w:r>
        <w:t>.</w:t>
      </w:r>
    </w:p>
  </w:footnote>
  <w:footnote w:id="43">
    <w:p w:rsidR="00D0724F" w:rsidRPr="00941FA4" w:rsidRDefault="00D0724F" w:rsidP="00D0724F">
      <w:pPr>
        <w:pStyle w:val="FootnoteText"/>
      </w:pPr>
      <w:r w:rsidRPr="003326C0">
        <w:rPr>
          <w:rStyle w:val="FootnoteReference"/>
        </w:rPr>
        <w:footnoteRef/>
      </w:r>
      <w:r w:rsidRPr="00941FA4">
        <w:t xml:space="preserve"> Pub. L. No. 104-13, 109 Stat. 163 (1995) (codified at 44 U.S.C. § 3501 </w:t>
      </w:r>
      <w:r w:rsidRPr="00941FA4">
        <w:rPr>
          <w:i/>
        </w:rPr>
        <w:t>et seq</w:t>
      </w:r>
      <w:r w:rsidR="00D07513">
        <w:t>.).  The collections are designated under OMB Control Nos. 3060-0149</w:t>
      </w:r>
      <w:r w:rsidR="00856666">
        <w:t>, 3060-0989</w:t>
      </w:r>
      <w:r w:rsidR="00D07513">
        <w:t xml:space="preserve"> (section 214 filings) and 3060-</w:t>
      </w:r>
      <w:r w:rsidR="00856666">
        <w:t>0741</w:t>
      </w:r>
      <w:r w:rsidR="00D07513">
        <w:t xml:space="preserve"> (</w:t>
      </w:r>
      <w:r w:rsidR="00856666">
        <w:t>network changes</w:t>
      </w:r>
      <w:r w:rsidR="00D07513">
        <w:t>).</w:t>
      </w:r>
    </w:p>
  </w:footnote>
  <w:footnote w:id="44">
    <w:p w:rsidR="0029342D" w:rsidRPr="003326C0" w:rsidRDefault="0029342D" w:rsidP="0029342D">
      <w:pPr>
        <w:pStyle w:val="FootnoteText"/>
      </w:pPr>
      <w:r w:rsidRPr="003326C0">
        <w:rPr>
          <w:rStyle w:val="FootnoteReference"/>
        </w:rPr>
        <w:footnoteRef/>
      </w:r>
      <w:r w:rsidRPr="003326C0">
        <w:t xml:space="preserve"> </w:t>
      </w:r>
      <w:r w:rsidRPr="003326C0">
        <w:rPr>
          <w:i/>
        </w:rPr>
        <w:t>See</w:t>
      </w:r>
      <w:r>
        <w:rPr>
          <w:i/>
        </w:rPr>
        <w:t xml:space="preserve"> supra</w:t>
      </w:r>
      <w:r w:rsidRPr="003326C0">
        <w:t xml:space="preserve"> </w:t>
      </w:r>
      <w:r>
        <w:t>n.</w:t>
      </w:r>
      <w:r w:rsidR="003D76F7">
        <w:t>3</w:t>
      </w:r>
      <w:r w:rsidR="0055556D">
        <w:t>8</w:t>
      </w:r>
      <w:r>
        <w:t>.</w:t>
      </w:r>
    </w:p>
  </w:footnote>
  <w:footnote w:id="45">
    <w:p w:rsidR="0029342D" w:rsidRPr="003326C0" w:rsidRDefault="0029342D" w:rsidP="0029342D">
      <w:pPr>
        <w:pStyle w:val="FootnoteText"/>
      </w:pPr>
      <w:r w:rsidRPr="003326C0">
        <w:rPr>
          <w:rStyle w:val="FootnoteReference"/>
        </w:rPr>
        <w:footnoteRef/>
      </w:r>
      <w:r w:rsidRPr="003326C0">
        <w:t xml:space="preserve"> </w:t>
      </w:r>
      <w:r w:rsidRPr="003326C0">
        <w:rPr>
          <w:i/>
        </w:rPr>
        <w:t>See</w:t>
      </w:r>
      <w:r>
        <w:t xml:space="preserve"> 5 U.S.C. §§ 601(2);</w:t>
      </w:r>
      <w:r w:rsidRPr="003326C0">
        <w:t xml:space="preserve"> 603(a).</w:t>
      </w:r>
    </w:p>
  </w:footnote>
  <w:footnote w:id="46">
    <w:p w:rsidR="0006368A" w:rsidRDefault="0006368A" w:rsidP="0006368A">
      <w:pPr>
        <w:pStyle w:val="FootnoteText"/>
      </w:pPr>
      <w:r>
        <w:rPr>
          <w:rStyle w:val="FootnoteReference"/>
        </w:rPr>
        <w:footnoteRef/>
      </w:r>
      <w:r>
        <w:t xml:space="preserve"> </w:t>
      </w:r>
      <w:r>
        <w:rPr>
          <w:i/>
          <w:iCs/>
          <w:szCs w:val="22"/>
        </w:rPr>
        <w:t>S</w:t>
      </w:r>
      <w:r w:rsidRPr="00BB55C1">
        <w:rPr>
          <w:i/>
          <w:iCs/>
          <w:szCs w:val="22"/>
        </w:rPr>
        <w:t>ee</w:t>
      </w:r>
      <w:r w:rsidRPr="00BB55C1">
        <w:rPr>
          <w:szCs w:val="22"/>
        </w:rPr>
        <w:t xml:space="preserve"> 5 U.S.C. </w:t>
      </w:r>
      <w:r>
        <w:t xml:space="preserve">§ </w:t>
      </w:r>
      <w:r w:rsidRPr="00BB55C1">
        <w:rPr>
          <w:szCs w:val="22"/>
        </w:rPr>
        <w:t>801(a)(1)(A)</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FF" w:rsidRDefault="00D04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3321D">
      <w:t>FCC 14-183</w:t>
    </w:r>
  </w:p>
  <w:p w:rsidR="00D25FB5" w:rsidRDefault="000B6A4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15E2D81" wp14:editId="0504763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B6A4A"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7314FB3" wp14:editId="09CB293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3321D">
      <w:rPr>
        <w:spacing w:val="-2"/>
      </w:rPr>
      <w:t>FCC 14-183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6D6B0D"/>
    <w:multiLevelType w:val="hybridMultilevel"/>
    <w:tmpl w:val="1A0CC2AC"/>
    <w:lvl w:ilvl="0" w:tplc="C8E48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C8F28674"/>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DE34A19"/>
    <w:multiLevelType w:val="hybridMultilevel"/>
    <w:tmpl w:val="DFA68574"/>
    <w:lvl w:ilvl="0" w:tplc="BB6C9E70">
      <w:start w:val="3"/>
      <w:numFmt w:val="bullet"/>
      <w:lvlText w:val=""/>
      <w:lvlJc w:val="left"/>
      <w:pPr>
        <w:ind w:left="720" w:hanging="360"/>
      </w:pPr>
      <w:rPr>
        <w:rFonts w:ascii="Symbol" w:eastAsia="Calibri" w:hAnsi="Symbol" w:cs="Times New Roman" w:hint="default"/>
        <w:color w:val="33333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8"/>
  </w:num>
  <w:num w:numId="24">
    <w:abstractNumId w:val="4"/>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4A"/>
    <w:rsid w:val="00003109"/>
    <w:rsid w:val="000037FC"/>
    <w:rsid w:val="00023EAB"/>
    <w:rsid w:val="0003292C"/>
    <w:rsid w:val="00036039"/>
    <w:rsid w:val="00037F90"/>
    <w:rsid w:val="0006368A"/>
    <w:rsid w:val="00063F65"/>
    <w:rsid w:val="00077D5A"/>
    <w:rsid w:val="00084C62"/>
    <w:rsid w:val="000875BF"/>
    <w:rsid w:val="000906BC"/>
    <w:rsid w:val="00096D8C"/>
    <w:rsid w:val="000A3E74"/>
    <w:rsid w:val="000A5702"/>
    <w:rsid w:val="000B1D31"/>
    <w:rsid w:val="000B53E0"/>
    <w:rsid w:val="000B6A4A"/>
    <w:rsid w:val="000C0A53"/>
    <w:rsid w:val="000C0B65"/>
    <w:rsid w:val="000C10BA"/>
    <w:rsid w:val="000D411C"/>
    <w:rsid w:val="000E05FE"/>
    <w:rsid w:val="000E3D42"/>
    <w:rsid w:val="000E53F5"/>
    <w:rsid w:val="00104B84"/>
    <w:rsid w:val="00110D99"/>
    <w:rsid w:val="00120D30"/>
    <w:rsid w:val="0012107C"/>
    <w:rsid w:val="00122BD5"/>
    <w:rsid w:val="001247FE"/>
    <w:rsid w:val="0012765F"/>
    <w:rsid w:val="00133F79"/>
    <w:rsid w:val="0013643B"/>
    <w:rsid w:val="00143305"/>
    <w:rsid w:val="00150CE8"/>
    <w:rsid w:val="0016281A"/>
    <w:rsid w:val="00172BE2"/>
    <w:rsid w:val="001765DF"/>
    <w:rsid w:val="001927FF"/>
    <w:rsid w:val="00194A66"/>
    <w:rsid w:val="001C43F9"/>
    <w:rsid w:val="001C482F"/>
    <w:rsid w:val="001D49A4"/>
    <w:rsid w:val="001D500A"/>
    <w:rsid w:val="001D6BCF"/>
    <w:rsid w:val="001E01CA"/>
    <w:rsid w:val="001E0ED0"/>
    <w:rsid w:val="001E7B40"/>
    <w:rsid w:val="00213C07"/>
    <w:rsid w:val="0021698B"/>
    <w:rsid w:val="00221587"/>
    <w:rsid w:val="0022400E"/>
    <w:rsid w:val="00225D82"/>
    <w:rsid w:val="0023321D"/>
    <w:rsid w:val="002378A4"/>
    <w:rsid w:val="00260B09"/>
    <w:rsid w:val="00263ADE"/>
    <w:rsid w:val="00275CF5"/>
    <w:rsid w:val="00276D1A"/>
    <w:rsid w:val="002770AA"/>
    <w:rsid w:val="0028301F"/>
    <w:rsid w:val="00285017"/>
    <w:rsid w:val="00285CF7"/>
    <w:rsid w:val="002877DA"/>
    <w:rsid w:val="0029342D"/>
    <w:rsid w:val="00294658"/>
    <w:rsid w:val="002A234C"/>
    <w:rsid w:val="002A2D2E"/>
    <w:rsid w:val="002C00E8"/>
    <w:rsid w:val="002D4439"/>
    <w:rsid w:val="002D5109"/>
    <w:rsid w:val="002D5ED3"/>
    <w:rsid w:val="002D5F86"/>
    <w:rsid w:val="002D6093"/>
    <w:rsid w:val="002D6DC6"/>
    <w:rsid w:val="002E7345"/>
    <w:rsid w:val="00304300"/>
    <w:rsid w:val="00314232"/>
    <w:rsid w:val="00333C9A"/>
    <w:rsid w:val="00343749"/>
    <w:rsid w:val="003477F4"/>
    <w:rsid w:val="00361700"/>
    <w:rsid w:val="003660ED"/>
    <w:rsid w:val="0037268C"/>
    <w:rsid w:val="0037419A"/>
    <w:rsid w:val="00381095"/>
    <w:rsid w:val="00384192"/>
    <w:rsid w:val="003847F7"/>
    <w:rsid w:val="00391F67"/>
    <w:rsid w:val="003A2085"/>
    <w:rsid w:val="003A5E32"/>
    <w:rsid w:val="003B0550"/>
    <w:rsid w:val="003B5007"/>
    <w:rsid w:val="003B694F"/>
    <w:rsid w:val="003C66C5"/>
    <w:rsid w:val="003C6931"/>
    <w:rsid w:val="003D1F8D"/>
    <w:rsid w:val="003D7090"/>
    <w:rsid w:val="003D76F7"/>
    <w:rsid w:val="003F171C"/>
    <w:rsid w:val="003F1758"/>
    <w:rsid w:val="00400DE4"/>
    <w:rsid w:val="00404400"/>
    <w:rsid w:val="004077C8"/>
    <w:rsid w:val="00412FC5"/>
    <w:rsid w:val="00415A00"/>
    <w:rsid w:val="004221D5"/>
    <w:rsid w:val="00422276"/>
    <w:rsid w:val="004242F1"/>
    <w:rsid w:val="00433412"/>
    <w:rsid w:val="00443544"/>
    <w:rsid w:val="00445A00"/>
    <w:rsid w:val="004512A0"/>
    <w:rsid w:val="00451B0F"/>
    <w:rsid w:val="00452106"/>
    <w:rsid w:val="0045566B"/>
    <w:rsid w:val="00456122"/>
    <w:rsid w:val="0045629A"/>
    <w:rsid w:val="00470F59"/>
    <w:rsid w:val="0047120F"/>
    <w:rsid w:val="00483BC0"/>
    <w:rsid w:val="00484ABD"/>
    <w:rsid w:val="00494F16"/>
    <w:rsid w:val="004A2354"/>
    <w:rsid w:val="004B5419"/>
    <w:rsid w:val="004B645F"/>
    <w:rsid w:val="004C2EE3"/>
    <w:rsid w:val="004E38FB"/>
    <w:rsid w:val="004E4A22"/>
    <w:rsid w:val="004F437C"/>
    <w:rsid w:val="00501C2A"/>
    <w:rsid w:val="00511968"/>
    <w:rsid w:val="005119E9"/>
    <w:rsid w:val="00524A5F"/>
    <w:rsid w:val="00534A3D"/>
    <w:rsid w:val="005423BE"/>
    <w:rsid w:val="00550453"/>
    <w:rsid w:val="00552583"/>
    <w:rsid w:val="00552814"/>
    <w:rsid w:val="0055556D"/>
    <w:rsid w:val="0055614C"/>
    <w:rsid w:val="00571672"/>
    <w:rsid w:val="00572D29"/>
    <w:rsid w:val="00576A7B"/>
    <w:rsid w:val="00586B25"/>
    <w:rsid w:val="00587F9E"/>
    <w:rsid w:val="0059050E"/>
    <w:rsid w:val="005A6683"/>
    <w:rsid w:val="005C4178"/>
    <w:rsid w:val="005E14C2"/>
    <w:rsid w:val="005E6548"/>
    <w:rsid w:val="005E7BB3"/>
    <w:rsid w:val="0060727E"/>
    <w:rsid w:val="00607B10"/>
    <w:rsid w:val="00607BA5"/>
    <w:rsid w:val="0061104B"/>
    <w:rsid w:val="0061180A"/>
    <w:rsid w:val="006219AD"/>
    <w:rsid w:val="00626EB6"/>
    <w:rsid w:val="00630204"/>
    <w:rsid w:val="006425FC"/>
    <w:rsid w:val="00647573"/>
    <w:rsid w:val="00653323"/>
    <w:rsid w:val="00655D03"/>
    <w:rsid w:val="00656FE0"/>
    <w:rsid w:val="00667001"/>
    <w:rsid w:val="00667B60"/>
    <w:rsid w:val="00671587"/>
    <w:rsid w:val="00683388"/>
    <w:rsid w:val="00683F84"/>
    <w:rsid w:val="00693790"/>
    <w:rsid w:val="00693A7C"/>
    <w:rsid w:val="006A6A81"/>
    <w:rsid w:val="006B06CC"/>
    <w:rsid w:val="006B0D8D"/>
    <w:rsid w:val="006D3404"/>
    <w:rsid w:val="006D5559"/>
    <w:rsid w:val="006E128D"/>
    <w:rsid w:val="006E27B2"/>
    <w:rsid w:val="006F7393"/>
    <w:rsid w:val="0070224F"/>
    <w:rsid w:val="007115F7"/>
    <w:rsid w:val="0074027D"/>
    <w:rsid w:val="007548CC"/>
    <w:rsid w:val="00772893"/>
    <w:rsid w:val="00777DCC"/>
    <w:rsid w:val="00782B61"/>
    <w:rsid w:val="00785689"/>
    <w:rsid w:val="00786A28"/>
    <w:rsid w:val="007902E0"/>
    <w:rsid w:val="007945C0"/>
    <w:rsid w:val="0079754B"/>
    <w:rsid w:val="007A1E6D"/>
    <w:rsid w:val="007B0EB2"/>
    <w:rsid w:val="007B20F0"/>
    <w:rsid w:val="007B3960"/>
    <w:rsid w:val="007C6FFB"/>
    <w:rsid w:val="007E70BB"/>
    <w:rsid w:val="007F2A21"/>
    <w:rsid w:val="007F5CCF"/>
    <w:rsid w:val="007F6006"/>
    <w:rsid w:val="008002B4"/>
    <w:rsid w:val="00806DE5"/>
    <w:rsid w:val="00810B6F"/>
    <w:rsid w:val="0081171E"/>
    <w:rsid w:val="00814444"/>
    <w:rsid w:val="00822CE0"/>
    <w:rsid w:val="0082626B"/>
    <w:rsid w:val="0083569A"/>
    <w:rsid w:val="00841AB1"/>
    <w:rsid w:val="00843287"/>
    <w:rsid w:val="00856666"/>
    <w:rsid w:val="008646CE"/>
    <w:rsid w:val="00876058"/>
    <w:rsid w:val="00886697"/>
    <w:rsid w:val="008879A3"/>
    <w:rsid w:val="0089228F"/>
    <w:rsid w:val="008B5100"/>
    <w:rsid w:val="008C68F1"/>
    <w:rsid w:val="008D5EFE"/>
    <w:rsid w:val="008D718E"/>
    <w:rsid w:val="008F7444"/>
    <w:rsid w:val="009037F0"/>
    <w:rsid w:val="00914ED3"/>
    <w:rsid w:val="00921803"/>
    <w:rsid w:val="00926503"/>
    <w:rsid w:val="00955563"/>
    <w:rsid w:val="00955F0B"/>
    <w:rsid w:val="009726D8"/>
    <w:rsid w:val="00981643"/>
    <w:rsid w:val="00982790"/>
    <w:rsid w:val="00987D2F"/>
    <w:rsid w:val="009A22B5"/>
    <w:rsid w:val="009B7A53"/>
    <w:rsid w:val="009C4D56"/>
    <w:rsid w:val="009E0B12"/>
    <w:rsid w:val="009F106F"/>
    <w:rsid w:val="009F76DB"/>
    <w:rsid w:val="00A05834"/>
    <w:rsid w:val="00A05DC5"/>
    <w:rsid w:val="00A0627E"/>
    <w:rsid w:val="00A064A3"/>
    <w:rsid w:val="00A12E46"/>
    <w:rsid w:val="00A178EE"/>
    <w:rsid w:val="00A32C3B"/>
    <w:rsid w:val="00A34A77"/>
    <w:rsid w:val="00A413D7"/>
    <w:rsid w:val="00A45F4F"/>
    <w:rsid w:val="00A57602"/>
    <w:rsid w:val="00A600A9"/>
    <w:rsid w:val="00A61619"/>
    <w:rsid w:val="00A649F5"/>
    <w:rsid w:val="00A915C3"/>
    <w:rsid w:val="00AA2944"/>
    <w:rsid w:val="00AA55B7"/>
    <w:rsid w:val="00AA5B9E"/>
    <w:rsid w:val="00AB0D1B"/>
    <w:rsid w:val="00AB2407"/>
    <w:rsid w:val="00AB53DF"/>
    <w:rsid w:val="00AC2067"/>
    <w:rsid w:val="00AC22B4"/>
    <w:rsid w:val="00AD3254"/>
    <w:rsid w:val="00AD34A2"/>
    <w:rsid w:val="00AE26F5"/>
    <w:rsid w:val="00AE61D7"/>
    <w:rsid w:val="00B00EDB"/>
    <w:rsid w:val="00B05267"/>
    <w:rsid w:val="00B07E5C"/>
    <w:rsid w:val="00B10F66"/>
    <w:rsid w:val="00B13FF4"/>
    <w:rsid w:val="00B142BB"/>
    <w:rsid w:val="00B150D0"/>
    <w:rsid w:val="00B15631"/>
    <w:rsid w:val="00B2434B"/>
    <w:rsid w:val="00B2523C"/>
    <w:rsid w:val="00B25EB8"/>
    <w:rsid w:val="00B44DF3"/>
    <w:rsid w:val="00B70556"/>
    <w:rsid w:val="00B726FC"/>
    <w:rsid w:val="00B811F7"/>
    <w:rsid w:val="00B86B16"/>
    <w:rsid w:val="00B87BA3"/>
    <w:rsid w:val="00B924E6"/>
    <w:rsid w:val="00BA5DC6"/>
    <w:rsid w:val="00BA6196"/>
    <w:rsid w:val="00BB1B78"/>
    <w:rsid w:val="00BB5C7B"/>
    <w:rsid w:val="00BC1324"/>
    <w:rsid w:val="00BC6D8C"/>
    <w:rsid w:val="00BD2131"/>
    <w:rsid w:val="00BD3873"/>
    <w:rsid w:val="00BD6FD1"/>
    <w:rsid w:val="00BE146D"/>
    <w:rsid w:val="00BE6B8B"/>
    <w:rsid w:val="00BF13D8"/>
    <w:rsid w:val="00BF269A"/>
    <w:rsid w:val="00BF735C"/>
    <w:rsid w:val="00C05C94"/>
    <w:rsid w:val="00C13952"/>
    <w:rsid w:val="00C15337"/>
    <w:rsid w:val="00C1723C"/>
    <w:rsid w:val="00C2424D"/>
    <w:rsid w:val="00C2558B"/>
    <w:rsid w:val="00C34006"/>
    <w:rsid w:val="00C426B1"/>
    <w:rsid w:val="00C42AE4"/>
    <w:rsid w:val="00C515B3"/>
    <w:rsid w:val="00C54A9E"/>
    <w:rsid w:val="00C6360C"/>
    <w:rsid w:val="00C66160"/>
    <w:rsid w:val="00C6724F"/>
    <w:rsid w:val="00C721AC"/>
    <w:rsid w:val="00C72F29"/>
    <w:rsid w:val="00C76C54"/>
    <w:rsid w:val="00C90D6A"/>
    <w:rsid w:val="00C94A42"/>
    <w:rsid w:val="00CA247E"/>
    <w:rsid w:val="00CC1122"/>
    <w:rsid w:val="00CC72B6"/>
    <w:rsid w:val="00CD227E"/>
    <w:rsid w:val="00CF027F"/>
    <w:rsid w:val="00CF4F53"/>
    <w:rsid w:val="00D0218D"/>
    <w:rsid w:val="00D041FF"/>
    <w:rsid w:val="00D0724F"/>
    <w:rsid w:val="00D07513"/>
    <w:rsid w:val="00D20CE8"/>
    <w:rsid w:val="00D25468"/>
    <w:rsid w:val="00D25FB5"/>
    <w:rsid w:val="00D30BC4"/>
    <w:rsid w:val="00D44223"/>
    <w:rsid w:val="00D6191B"/>
    <w:rsid w:val="00D70C6F"/>
    <w:rsid w:val="00D86311"/>
    <w:rsid w:val="00D90070"/>
    <w:rsid w:val="00DA098C"/>
    <w:rsid w:val="00DA2529"/>
    <w:rsid w:val="00DA6FBC"/>
    <w:rsid w:val="00DA7E07"/>
    <w:rsid w:val="00DB130A"/>
    <w:rsid w:val="00DB2EBB"/>
    <w:rsid w:val="00DB728A"/>
    <w:rsid w:val="00DB7BE8"/>
    <w:rsid w:val="00DC10A1"/>
    <w:rsid w:val="00DC655F"/>
    <w:rsid w:val="00DD0B59"/>
    <w:rsid w:val="00DD7EBD"/>
    <w:rsid w:val="00DE044E"/>
    <w:rsid w:val="00DE7CCB"/>
    <w:rsid w:val="00DF62B6"/>
    <w:rsid w:val="00E02BE6"/>
    <w:rsid w:val="00E07225"/>
    <w:rsid w:val="00E21F23"/>
    <w:rsid w:val="00E255B2"/>
    <w:rsid w:val="00E26703"/>
    <w:rsid w:val="00E50540"/>
    <w:rsid w:val="00E5409F"/>
    <w:rsid w:val="00E625D8"/>
    <w:rsid w:val="00E6630B"/>
    <w:rsid w:val="00E81464"/>
    <w:rsid w:val="00EA40C8"/>
    <w:rsid w:val="00EB3F1E"/>
    <w:rsid w:val="00EB4670"/>
    <w:rsid w:val="00EC64CC"/>
    <w:rsid w:val="00EE3FFE"/>
    <w:rsid w:val="00EE6488"/>
    <w:rsid w:val="00EE67B9"/>
    <w:rsid w:val="00EF5609"/>
    <w:rsid w:val="00F021FA"/>
    <w:rsid w:val="00F0307E"/>
    <w:rsid w:val="00F0351E"/>
    <w:rsid w:val="00F34099"/>
    <w:rsid w:val="00F367FF"/>
    <w:rsid w:val="00F57E84"/>
    <w:rsid w:val="00F621B6"/>
    <w:rsid w:val="00F62E97"/>
    <w:rsid w:val="00F64209"/>
    <w:rsid w:val="00F65F7E"/>
    <w:rsid w:val="00F77C27"/>
    <w:rsid w:val="00F93BF5"/>
    <w:rsid w:val="00F952C8"/>
    <w:rsid w:val="00F970E2"/>
    <w:rsid w:val="00FB0D0A"/>
    <w:rsid w:val="00FC17A9"/>
    <w:rsid w:val="00FE171F"/>
    <w:rsid w:val="00FF18EF"/>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12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CC11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autoRedefine/>
    <w:qFormat/>
    <w:rsid w:val="00CC1122"/>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
    <w:qFormat/>
    <w:rsid w:val="00CC112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
    <w:qFormat/>
    <w:rsid w:val="00CC1122"/>
    <w:pPr>
      <w:keepNext/>
      <w:numPr>
        <w:ilvl w:val="3"/>
        <w:numId w:val="3"/>
      </w:numPr>
      <w:tabs>
        <w:tab w:val="left" w:pos="2880"/>
      </w:tabs>
      <w:spacing w:after="120"/>
      <w:outlineLvl w:val="3"/>
    </w:pPr>
    <w:rPr>
      <w:b/>
    </w:rPr>
  </w:style>
  <w:style w:type="paragraph" w:styleId="Heading5">
    <w:name w:val="heading 5"/>
    <w:basedOn w:val="Normal"/>
    <w:next w:val="ParaNum"/>
    <w:qFormat/>
    <w:rsid w:val="00CC112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C1122"/>
    <w:pPr>
      <w:numPr>
        <w:ilvl w:val="5"/>
        <w:numId w:val="3"/>
      </w:numPr>
      <w:tabs>
        <w:tab w:val="left" w:pos="4320"/>
      </w:tabs>
      <w:spacing w:after="120"/>
      <w:outlineLvl w:val="5"/>
    </w:pPr>
    <w:rPr>
      <w:b/>
    </w:rPr>
  </w:style>
  <w:style w:type="paragraph" w:styleId="Heading7">
    <w:name w:val="heading 7"/>
    <w:basedOn w:val="Normal"/>
    <w:next w:val="ParaNum"/>
    <w:qFormat/>
    <w:rsid w:val="00CC11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C112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C11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C11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1122"/>
  </w:style>
  <w:style w:type="paragraph" w:customStyle="1" w:styleId="ParaNum">
    <w:name w:val="ParaNum"/>
    <w:basedOn w:val="Normal"/>
    <w:link w:val="ParaNumChar"/>
    <w:rsid w:val="00CC1122"/>
    <w:pPr>
      <w:numPr>
        <w:numId w:val="2"/>
      </w:numPr>
      <w:tabs>
        <w:tab w:val="clear" w:pos="1080"/>
        <w:tab w:val="num" w:pos="1440"/>
      </w:tabs>
      <w:spacing w:after="120"/>
    </w:pPr>
  </w:style>
  <w:style w:type="paragraph" w:styleId="EndnoteText">
    <w:name w:val="endnote text"/>
    <w:basedOn w:val="Normal"/>
    <w:semiHidden/>
    <w:rsid w:val="00CC1122"/>
    <w:rPr>
      <w:sz w:val="20"/>
    </w:rPr>
  </w:style>
  <w:style w:type="character" w:styleId="EndnoteReference">
    <w:name w:val="endnote reference"/>
    <w:semiHidden/>
    <w:rsid w:val="00CC1122"/>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C112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CC1122"/>
    <w:rPr>
      <w:rFonts w:ascii="Times New Roman" w:hAnsi="Times New Roman"/>
      <w:dstrike w:val="0"/>
      <w:color w:val="auto"/>
      <w:sz w:val="20"/>
      <w:vertAlign w:val="superscript"/>
    </w:rPr>
  </w:style>
  <w:style w:type="paragraph" w:styleId="TOC1">
    <w:name w:val="toc 1"/>
    <w:basedOn w:val="Normal"/>
    <w:next w:val="Normal"/>
    <w:semiHidden/>
    <w:rsid w:val="00CC11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C1122"/>
    <w:pPr>
      <w:tabs>
        <w:tab w:val="left" w:pos="720"/>
        <w:tab w:val="right" w:leader="dot" w:pos="9360"/>
      </w:tabs>
      <w:suppressAutoHyphens/>
      <w:ind w:left="720" w:right="720" w:hanging="360"/>
    </w:pPr>
    <w:rPr>
      <w:noProof/>
    </w:rPr>
  </w:style>
  <w:style w:type="paragraph" w:styleId="TOC3">
    <w:name w:val="toc 3"/>
    <w:basedOn w:val="Normal"/>
    <w:next w:val="Normal"/>
    <w:semiHidden/>
    <w:rsid w:val="00CC11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11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11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11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11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11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11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1122"/>
    <w:pPr>
      <w:tabs>
        <w:tab w:val="right" w:pos="9360"/>
      </w:tabs>
      <w:suppressAutoHyphens/>
    </w:pPr>
  </w:style>
  <w:style w:type="character" w:customStyle="1" w:styleId="EquationCaption">
    <w:name w:val="_Equation Caption"/>
    <w:rsid w:val="00CC1122"/>
  </w:style>
  <w:style w:type="paragraph" w:styleId="Header">
    <w:name w:val="header"/>
    <w:basedOn w:val="Normal"/>
    <w:autoRedefine/>
    <w:rsid w:val="00CC1122"/>
    <w:pPr>
      <w:tabs>
        <w:tab w:val="center" w:pos="4680"/>
        <w:tab w:val="right" w:pos="9360"/>
      </w:tabs>
    </w:pPr>
    <w:rPr>
      <w:b/>
    </w:rPr>
  </w:style>
  <w:style w:type="paragraph" w:styleId="Footer">
    <w:name w:val="footer"/>
    <w:basedOn w:val="Normal"/>
    <w:rsid w:val="00CC1122"/>
    <w:pPr>
      <w:tabs>
        <w:tab w:val="center" w:pos="4320"/>
        <w:tab w:val="right" w:pos="8640"/>
      </w:tabs>
    </w:pPr>
  </w:style>
  <w:style w:type="character" w:styleId="PageNumber">
    <w:name w:val="page number"/>
    <w:basedOn w:val="DefaultParagraphFont"/>
    <w:rsid w:val="00CC1122"/>
  </w:style>
  <w:style w:type="paragraph" w:styleId="BlockText">
    <w:name w:val="Block Text"/>
    <w:basedOn w:val="Normal"/>
    <w:rsid w:val="00CC1122"/>
    <w:pPr>
      <w:spacing w:after="240"/>
      <w:ind w:left="1440" w:right="1440"/>
    </w:pPr>
  </w:style>
  <w:style w:type="paragraph" w:customStyle="1" w:styleId="Paratitle">
    <w:name w:val="Para title"/>
    <w:basedOn w:val="Normal"/>
    <w:rsid w:val="00CC1122"/>
    <w:pPr>
      <w:tabs>
        <w:tab w:val="center" w:pos="9270"/>
      </w:tabs>
      <w:spacing w:after="240"/>
    </w:pPr>
    <w:rPr>
      <w:spacing w:val="-2"/>
    </w:rPr>
  </w:style>
  <w:style w:type="paragraph" w:customStyle="1" w:styleId="Bullet">
    <w:name w:val="Bullet"/>
    <w:basedOn w:val="Normal"/>
    <w:rsid w:val="00CC1122"/>
    <w:pPr>
      <w:tabs>
        <w:tab w:val="left" w:pos="2160"/>
      </w:tabs>
      <w:spacing w:after="220"/>
      <w:ind w:left="2160" w:hanging="720"/>
    </w:pPr>
  </w:style>
  <w:style w:type="paragraph" w:customStyle="1" w:styleId="TableFormat">
    <w:name w:val="TableFormat"/>
    <w:basedOn w:val="Bullet"/>
    <w:rsid w:val="00CC1122"/>
    <w:pPr>
      <w:tabs>
        <w:tab w:val="clear" w:pos="2160"/>
        <w:tab w:val="left" w:pos="5040"/>
      </w:tabs>
      <w:ind w:left="5040" w:hanging="3600"/>
    </w:pPr>
  </w:style>
  <w:style w:type="paragraph" w:customStyle="1" w:styleId="TOCTitle">
    <w:name w:val="TOC Title"/>
    <w:basedOn w:val="Normal"/>
    <w:rsid w:val="00CC11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1122"/>
    <w:pPr>
      <w:jc w:val="center"/>
    </w:pPr>
    <w:rPr>
      <w:rFonts w:ascii="Times New Roman Bold" w:hAnsi="Times New Roman Bold"/>
      <w:b/>
      <w:bCs/>
      <w:caps/>
      <w:szCs w:val="22"/>
    </w:rPr>
  </w:style>
  <w:style w:type="character" w:styleId="Hyperlink">
    <w:name w:val="Hyperlink"/>
    <w:rsid w:val="00CC1122"/>
    <w:rPr>
      <w:color w:val="0000FF"/>
      <w:u w:val="single"/>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0B6A4A"/>
  </w:style>
  <w:style w:type="character" w:customStyle="1" w:styleId="ParaNumChar">
    <w:name w:val="ParaNum Char"/>
    <w:link w:val="ParaNum"/>
    <w:locked/>
    <w:rsid w:val="009F106F"/>
    <w:rPr>
      <w:snapToGrid w:val="0"/>
      <w:kern w:val="28"/>
      <w:sz w:val="22"/>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 Char Char Char Char Char,fn Char1"/>
    <w:rsid w:val="000B6A4A"/>
    <w:rPr>
      <w:lang w:val="en-US" w:eastAsia="en-US" w:bidi="ar-SA"/>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rsid w:val="000B6A4A"/>
    <w:pPr>
      <w:widowControl/>
      <w:tabs>
        <w:tab w:val="num" w:pos="720"/>
        <w:tab w:val="left" w:pos="1080"/>
      </w:tabs>
      <w:spacing w:after="240"/>
      <w:ind w:firstLine="360"/>
    </w:pPr>
    <w:rPr>
      <w:snapToGrid/>
      <w:szCs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locked/>
    <w:rsid w:val="000B6A4A"/>
    <w:rPr>
      <w:kern w:val="28"/>
      <w:sz w:val="22"/>
      <w:szCs w:val="22"/>
    </w:rPr>
  </w:style>
  <w:style w:type="character" w:styleId="CommentReference">
    <w:name w:val="annotation reference"/>
    <w:rsid w:val="000B6A4A"/>
    <w:rPr>
      <w:sz w:val="16"/>
      <w:szCs w:val="16"/>
    </w:rPr>
  </w:style>
  <w:style w:type="paragraph" w:styleId="CommentText">
    <w:name w:val="annotation text"/>
    <w:basedOn w:val="Normal"/>
    <w:link w:val="CommentTextChar"/>
    <w:rsid w:val="000B6A4A"/>
    <w:pPr>
      <w:widowControl/>
    </w:pPr>
    <w:rPr>
      <w:snapToGrid/>
      <w:kern w:val="0"/>
      <w:sz w:val="20"/>
    </w:rPr>
  </w:style>
  <w:style w:type="character" w:customStyle="1" w:styleId="CommentTextChar">
    <w:name w:val="Comment Text Char"/>
    <w:basedOn w:val="DefaultParagraphFont"/>
    <w:link w:val="CommentText"/>
    <w:rsid w:val="000B6A4A"/>
  </w:style>
  <w:style w:type="paragraph" w:styleId="BalloonText">
    <w:name w:val="Balloon Text"/>
    <w:basedOn w:val="Normal"/>
    <w:link w:val="BalloonTextChar"/>
    <w:rsid w:val="000B6A4A"/>
    <w:rPr>
      <w:rFonts w:ascii="Tahoma" w:hAnsi="Tahoma" w:cs="Tahoma"/>
      <w:sz w:val="16"/>
      <w:szCs w:val="16"/>
    </w:rPr>
  </w:style>
  <w:style w:type="character" w:customStyle="1" w:styleId="BalloonTextChar">
    <w:name w:val="Balloon Text Char"/>
    <w:basedOn w:val="DefaultParagraphFont"/>
    <w:link w:val="BalloonText"/>
    <w:rsid w:val="000B6A4A"/>
    <w:rPr>
      <w:rFonts w:ascii="Tahoma" w:hAnsi="Tahoma" w:cs="Tahoma"/>
      <w:snapToGrid w:val="0"/>
      <w:kern w:val="28"/>
      <w:sz w:val="16"/>
      <w:szCs w:val="16"/>
    </w:rPr>
  </w:style>
  <w:style w:type="character" w:customStyle="1" w:styleId="apple-converted-space">
    <w:name w:val="apple-converted-space"/>
    <w:basedOn w:val="DefaultParagraphFont"/>
    <w:rsid w:val="00C05C94"/>
  </w:style>
  <w:style w:type="character" w:customStyle="1" w:styleId="searchterm">
    <w:name w:val="searchterm"/>
    <w:basedOn w:val="DefaultParagraphFont"/>
    <w:rsid w:val="00C05C94"/>
  </w:style>
  <w:style w:type="paragraph" w:styleId="CommentSubject">
    <w:name w:val="annotation subject"/>
    <w:basedOn w:val="CommentText"/>
    <w:next w:val="CommentText"/>
    <w:link w:val="CommentSubjectChar"/>
    <w:rsid w:val="00456122"/>
    <w:pPr>
      <w:widowControl w:val="0"/>
    </w:pPr>
    <w:rPr>
      <w:b/>
      <w:bCs/>
      <w:snapToGrid w:val="0"/>
      <w:kern w:val="28"/>
    </w:rPr>
  </w:style>
  <w:style w:type="character" w:customStyle="1" w:styleId="CommentSubjectChar">
    <w:name w:val="Comment Subject Char"/>
    <w:basedOn w:val="CommentTextChar"/>
    <w:link w:val="CommentSubject"/>
    <w:rsid w:val="00456122"/>
    <w:rPr>
      <w:b/>
      <w:bCs/>
      <w:snapToGrid w:val="0"/>
      <w:kern w:val="28"/>
    </w:rPr>
  </w:style>
  <w:style w:type="paragraph" w:styleId="ListParagraph">
    <w:name w:val="List Paragraph"/>
    <w:basedOn w:val="Normal"/>
    <w:uiPriority w:val="34"/>
    <w:qFormat/>
    <w:rsid w:val="00FC1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12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CC11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autoRedefine/>
    <w:qFormat/>
    <w:rsid w:val="00CC1122"/>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
    <w:qFormat/>
    <w:rsid w:val="00CC112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
    <w:qFormat/>
    <w:rsid w:val="00CC1122"/>
    <w:pPr>
      <w:keepNext/>
      <w:numPr>
        <w:ilvl w:val="3"/>
        <w:numId w:val="3"/>
      </w:numPr>
      <w:tabs>
        <w:tab w:val="left" w:pos="2880"/>
      </w:tabs>
      <w:spacing w:after="120"/>
      <w:outlineLvl w:val="3"/>
    </w:pPr>
    <w:rPr>
      <w:b/>
    </w:rPr>
  </w:style>
  <w:style w:type="paragraph" w:styleId="Heading5">
    <w:name w:val="heading 5"/>
    <w:basedOn w:val="Normal"/>
    <w:next w:val="ParaNum"/>
    <w:qFormat/>
    <w:rsid w:val="00CC112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C1122"/>
    <w:pPr>
      <w:numPr>
        <w:ilvl w:val="5"/>
        <w:numId w:val="3"/>
      </w:numPr>
      <w:tabs>
        <w:tab w:val="left" w:pos="4320"/>
      </w:tabs>
      <w:spacing w:after="120"/>
      <w:outlineLvl w:val="5"/>
    </w:pPr>
    <w:rPr>
      <w:b/>
    </w:rPr>
  </w:style>
  <w:style w:type="paragraph" w:styleId="Heading7">
    <w:name w:val="heading 7"/>
    <w:basedOn w:val="Normal"/>
    <w:next w:val="ParaNum"/>
    <w:qFormat/>
    <w:rsid w:val="00CC11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C112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C11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C11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1122"/>
  </w:style>
  <w:style w:type="paragraph" w:customStyle="1" w:styleId="ParaNum">
    <w:name w:val="ParaNum"/>
    <w:basedOn w:val="Normal"/>
    <w:link w:val="ParaNumChar"/>
    <w:rsid w:val="00CC1122"/>
    <w:pPr>
      <w:numPr>
        <w:numId w:val="2"/>
      </w:numPr>
      <w:tabs>
        <w:tab w:val="clear" w:pos="1080"/>
        <w:tab w:val="num" w:pos="1440"/>
      </w:tabs>
      <w:spacing w:after="120"/>
    </w:pPr>
  </w:style>
  <w:style w:type="paragraph" w:styleId="EndnoteText">
    <w:name w:val="endnote text"/>
    <w:basedOn w:val="Normal"/>
    <w:semiHidden/>
    <w:rsid w:val="00CC1122"/>
    <w:rPr>
      <w:sz w:val="20"/>
    </w:rPr>
  </w:style>
  <w:style w:type="character" w:styleId="EndnoteReference">
    <w:name w:val="endnote reference"/>
    <w:semiHidden/>
    <w:rsid w:val="00CC1122"/>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C112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CC1122"/>
    <w:rPr>
      <w:rFonts w:ascii="Times New Roman" w:hAnsi="Times New Roman"/>
      <w:dstrike w:val="0"/>
      <w:color w:val="auto"/>
      <w:sz w:val="20"/>
      <w:vertAlign w:val="superscript"/>
    </w:rPr>
  </w:style>
  <w:style w:type="paragraph" w:styleId="TOC1">
    <w:name w:val="toc 1"/>
    <w:basedOn w:val="Normal"/>
    <w:next w:val="Normal"/>
    <w:semiHidden/>
    <w:rsid w:val="00CC11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C1122"/>
    <w:pPr>
      <w:tabs>
        <w:tab w:val="left" w:pos="720"/>
        <w:tab w:val="right" w:leader="dot" w:pos="9360"/>
      </w:tabs>
      <w:suppressAutoHyphens/>
      <w:ind w:left="720" w:right="720" w:hanging="360"/>
    </w:pPr>
    <w:rPr>
      <w:noProof/>
    </w:rPr>
  </w:style>
  <w:style w:type="paragraph" w:styleId="TOC3">
    <w:name w:val="toc 3"/>
    <w:basedOn w:val="Normal"/>
    <w:next w:val="Normal"/>
    <w:semiHidden/>
    <w:rsid w:val="00CC11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11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11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11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11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11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11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1122"/>
    <w:pPr>
      <w:tabs>
        <w:tab w:val="right" w:pos="9360"/>
      </w:tabs>
      <w:suppressAutoHyphens/>
    </w:pPr>
  </w:style>
  <w:style w:type="character" w:customStyle="1" w:styleId="EquationCaption">
    <w:name w:val="_Equation Caption"/>
    <w:rsid w:val="00CC1122"/>
  </w:style>
  <w:style w:type="paragraph" w:styleId="Header">
    <w:name w:val="header"/>
    <w:basedOn w:val="Normal"/>
    <w:autoRedefine/>
    <w:rsid w:val="00CC1122"/>
    <w:pPr>
      <w:tabs>
        <w:tab w:val="center" w:pos="4680"/>
        <w:tab w:val="right" w:pos="9360"/>
      </w:tabs>
    </w:pPr>
    <w:rPr>
      <w:b/>
    </w:rPr>
  </w:style>
  <w:style w:type="paragraph" w:styleId="Footer">
    <w:name w:val="footer"/>
    <w:basedOn w:val="Normal"/>
    <w:rsid w:val="00CC1122"/>
    <w:pPr>
      <w:tabs>
        <w:tab w:val="center" w:pos="4320"/>
        <w:tab w:val="right" w:pos="8640"/>
      </w:tabs>
    </w:pPr>
  </w:style>
  <w:style w:type="character" w:styleId="PageNumber">
    <w:name w:val="page number"/>
    <w:basedOn w:val="DefaultParagraphFont"/>
    <w:rsid w:val="00CC1122"/>
  </w:style>
  <w:style w:type="paragraph" w:styleId="BlockText">
    <w:name w:val="Block Text"/>
    <w:basedOn w:val="Normal"/>
    <w:rsid w:val="00CC1122"/>
    <w:pPr>
      <w:spacing w:after="240"/>
      <w:ind w:left="1440" w:right="1440"/>
    </w:pPr>
  </w:style>
  <w:style w:type="paragraph" w:customStyle="1" w:styleId="Paratitle">
    <w:name w:val="Para title"/>
    <w:basedOn w:val="Normal"/>
    <w:rsid w:val="00CC1122"/>
    <w:pPr>
      <w:tabs>
        <w:tab w:val="center" w:pos="9270"/>
      </w:tabs>
      <w:spacing w:after="240"/>
    </w:pPr>
    <w:rPr>
      <w:spacing w:val="-2"/>
    </w:rPr>
  </w:style>
  <w:style w:type="paragraph" w:customStyle="1" w:styleId="Bullet">
    <w:name w:val="Bullet"/>
    <w:basedOn w:val="Normal"/>
    <w:rsid w:val="00CC1122"/>
    <w:pPr>
      <w:tabs>
        <w:tab w:val="left" w:pos="2160"/>
      </w:tabs>
      <w:spacing w:after="220"/>
      <w:ind w:left="2160" w:hanging="720"/>
    </w:pPr>
  </w:style>
  <w:style w:type="paragraph" w:customStyle="1" w:styleId="TableFormat">
    <w:name w:val="TableFormat"/>
    <w:basedOn w:val="Bullet"/>
    <w:rsid w:val="00CC1122"/>
    <w:pPr>
      <w:tabs>
        <w:tab w:val="clear" w:pos="2160"/>
        <w:tab w:val="left" w:pos="5040"/>
      </w:tabs>
      <w:ind w:left="5040" w:hanging="3600"/>
    </w:pPr>
  </w:style>
  <w:style w:type="paragraph" w:customStyle="1" w:styleId="TOCTitle">
    <w:name w:val="TOC Title"/>
    <w:basedOn w:val="Normal"/>
    <w:rsid w:val="00CC11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1122"/>
    <w:pPr>
      <w:jc w:val="center"/>
    </w:pPr>
    <w:rPr>
      <w:rFonts w:ascii="Times New Roman Bold" w:hAnsi="Times New Roman Bold"/>
      <w:b/>
      <w:bCs/>
      <w:caps/>
      <w:szCs w:val="22"/>
    </w:rPr>
  </w:style>
  <w:style w:type="character" w:styleId="Hyperlink">
    <w:name w:val="Hyperlink"/>
    <w:rsid w:val="00CC1122"/>
    <w:rPr>
      <w:color w:val="0000FF"/>
      <w:u w:val="single"/>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0B6A4A"/>
  </w:style>
  <w:style w:type="character" w:customStyle="1" w:styleId="ParaNumChar">
    <w:name w:val="ParaNum Char"/>
    <w:link w:val="ParaNum"/>
    <w:locked/>
    <w:rsid w:val="009F106F"/>
    <w:rPr>
      <w:snapToGrid w:val="0"/>
      <w:kern w:val="28"/>
      <w:sz w:val="22"/>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 Char Char Char Char Char,fn Char1"/>
    <w:rsid w:val="000B6A4A"/>
    <w:rPr>
      <w:lang w:val="en-US" w:eastAsia="en-US" w:bidi="ar-SA"/>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rsid w:val="000B6A4A"/>
    <w:pPr>
      <w:widowControl/>
      <w:tabs>
        <w:tab w:val="num" w:pos="720"/>
        <w:tab w:val="left" w:pos="1080"/>
      </w:tabs>
      <w:spacing w:after="240"/>
      <w:ind w:firstLine="360"/>
    </w:pPr>
    <w:rPr>
      <w:snapToGrid/>
      <w:szCs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locked/>
    <w:rsid w:val="000B6A4A"/>
    <w:rPr>
      <w:kern w:val="28"/>
      <w:sz w:val="22"/>
      <w:szCs w:val="22"/>
    </w:rPr>
  </w:style>
  <w:style w:type="character" w:styleId="CommentReference">
    <w:name w:val="annotation reference"/>
    <w:rsid w:val="000B6A4A"/>
    <w:rPr>
      <w:sz w:val="16"/>
      <w:szCs w:val="16"/>
    </w:rPr>
  </w:style>
  <w:style w:type="paragraph" w:styleId="CommentText">
    <w:name w:val="annotation text"/>
    <w:basedOn w:val="Normal"/>
    <w:link w:val="CommentTextChar"/>
    <w:rsid w:val="000B6A4A"/>
    <w:pPr>
      <w:widowControl/>
    </w:pPr>
    <w:rPr>
      <w:snapToGrid/>
      <w:kern w:val="0"/>
      <w:sz w:val="20"/>
    </w:rPr>
  </w:style>
  <w:style w:type="character" w:customStyle="1" w:styleId="CommentTextChar">
    <w:name w:val="Comment Text Char"/>
    <w:basedOn w:val="DefaultParagraphFont"/>
    <w:link w:val="CommentText"/>
    <w:rsid w:val="000B6A4A"/>
  </w:style>
  <w:style w:type="paragraph" w:styleId="BalloonText">
    <w:name w:val="Balloon Text"/>
    <w:basedOn w:val="Normal"/>
    <w:link w:val="BalloonTextChar"/>
    <w:rsid w:val="000B6A4A"/>
    <w:rPr>
      <w:rFonts w:ascii="Tahoma" w:hAnsi="Tahoma" w:cs="Tahoma"/>
      <w:sz w:val="16"/>
      <w:szCs w:val="16"/>
    </w:rPr>
  </w:style>
  <w:style w:type="character" w:customStyle="1" w:styleId="BalloonTextChar">
    <w:name w:val="Balloon Text Char"/>
    <w:basedOn w:val="DefaultParagraphFont"/>
    <w:link w:val="BalloonText"/>
    <w:rsid w:val="000B6A4A"/>
    <w:rPr>
      <w:rFonts w:ascii="Tahoma" w:hAnsi="Tahoma" w:cs="Tahoma"/>
      <w:snapToGrid w:val="0"/>
      <w:kern w:val="28"/>
      <w:sz w:val="16"/>
      <w:szCs w:val="16"/>
    </w:rPr>
  </w:style>
  <w:style w:type="character" w:customStyle="1" w:styleId="apple-converted-space">
    <w:name w:val="apple-converted-space"/>
    <w:basedOn w:val="DefaultParagraphFont"/>
    <w:rsid w:val="00C05C94"/>
  </w:style>
  <w:style w:type="character" w:customStyle="1" w:styleId="searchterm">
    <w:name w:val="searchterm"/>
    <w:basedOn w:val="DefaultParagraphFont"/>
    <w:rsid w:val="00C05C94"/>
  </w:style>
  <w:style w:type="paragraph" w:styleId="CommentSubject">
    <w:name w:val="annotation subject"/>
    <w:basedOn w:val="CommentText"/>
    <w:next w:val="CommentText"/>
    <w:link w:val="CommentSubjectChar"/>
    <w:rsid w:val="00456122"/>
    <w:pPr>
      <w:widowControl w:val="0"/>
    </w:pPr>
    <w:rPr>
      <w:b/>
      <w:bCs/>
      <w:snapToGrid w:val="0"/>
      <w:kern w:val="28"/>
    </w:rPr>
  </w:style>
  <w:style w:type="character" w:customStyle="1" w:styleId="CommentSubjectChar">
    <w:name w:val="Comment Subject Char"/>
    <w:basedOn w:val="CommentTextChar"/>
    <w:link w:val="CommentSubject"/>
    <w:rsid w:val="00456122"/>
    <w:rPr>
      <w:b/>
      <w:bCs/>
      <w:snapToGrid w:val="0"/>
      <w:kern w:val="28"/>
    </w:rPr>
  </w:style>
  <w:style w:type="paragraph" w:styleId="ListParagraph">
    <w:name w:val="List Paragraph"/>
    <w:basedOn w:val="Normal"/>
    <w:uiPriority w:val="34"/>
    <w:qFormat/>
    <w:rsid w:val="00FC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7971">
      <w:bodyDiv w:val="1"/>
      <w:marLeft w:val="0"/>
      <w:marRight w:val="0"/>
      <w:marTop w:val="0"/>
      <w:marBottom w:val="0"/>
      <w:divBdr>
        <w:top w:val="none" w:sz="0" w:space="0" w:color="auto"/>
        <w:left w:val="none" w:sz="0" w:space="0" w:color="auto"/>
        <w:bottom w:val="none" w:sz="0" w:space="0" w:color="auto"/>
        <w:right w:val="none" w:sz="0" w:space="0" w:color="auto"/>
      </w:divBdr>
    </w:div>
    <w:div w:id="793404865">
      <w:bodyDiv w:val="1"/>
      <w:marLeft w:val="0"/>
      <w:marRight w:val="0"/>
      <w:marTop w:val="0"/>
      <w:marBottom w:val="0"/>
      <w:divBdr>
        <w:top w:val="none" w:sz="0" w:space="0" w:color="auto"/>
        <w:left w:val="none" w:sz="0" w:space="0" w:color="auto"/>
        <w:bottom w:val="none" w:sz="0" w:space="0" w:color="auto"/>
        <w:right w:val="none" w:sz="0" w:space="0" w:color="auto"/>
      </w:divBdr>
    </w:div>
    <w:div w:id="1421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whitehouse.gov/open/documents/open-government-dir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5052</Words>
  <Characters>27885</Characters>
  <Application>Microsoft Office Word</Application>
  <DocSecurity>0</DocSecurity>
  <Lines>422</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2014-11-26T17:17:00Z</dcterms:created>
  <dcterms:modified xsi:type="dcterms:W3CDTF">2014-11-26T17:17:00Z</dcterms:modified>
  <cp:category> </cp:category>
  <cp:contentStatus> </cp:contentStatus>
</cp:coreProperties>
</file>