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67A0EE" w14:textId="77777777" w:rsidR="004C2EE3" w:rsidRPr="007A6FE3" w:rsidRDefault="004C2EE3">
      <w:pPr>
        <w:jc w:val="center"/>
        <w:rPr>
          <w:b/>
        </w:rPr>
      </w:pPr>
      <w:bookmarkStart w:id="0" w:name="_GoBack"/>
      <w:bookmarkEnd w:id="0"/>
      <w:r w:rsidRPr="007A6FE3">
        <w:rPr>
          <w:rFonts w:ascii="Times New Roman Bold" w:hAnsi="Times New Roman Bold"/>
          <w:b/>
          <w:kern w:val="0"/>
          <w:szCs w:val="22"/>
        </w:rPr>
        <w:t>Before</w:t>
      </w:r>
      <w:r w:rsidRPr="007A6FE3">
        <w:rPr>
          <w:b/>
        </w:rPr>
        <w:t xml:space="preserve"> the</w:t>
      </w:r>
    </w:p>
    <w:p w14:paraId="0F959C70" w14:textId="77777777" w:rsidR="00921803" w:rsidRPr="007A6FE3" w:rsidRDefault="00921803" w:rsidP="00921803">
      <w:pPr>
        <w:pStyle w:val="StyleBoldCentered"/>
      </w:pPr>
      <w:r w:rsidRPr="007A6FE3">
        <w:t>F</w:t>
      </w:r>
      <w:r w:rsidRPr="007A6FE3">
        <w:rPr>
          <w:caps w:val="0"/>
        </w:rPr>
        <w:t>ederal Communications Commission</w:t>
      </w:r>
    </w:p>
    <w:p w14:paraId="799F1D38" w14:textId="77777777" w:rsidR="004C2EE3" w:rsidRPr="007A6FE3" w:rsidRDefault="00810B6F" w:rsidP="00096D8C">
      <w:pPr>
        <w:pStyle w:val="StyleBoldCentered"/>
      </w:pPr>
      <w:r w:rsidRPr="007A6FE3">
        <w:rPr>
          <w:caps w:val="0"/>
        </w:rPr>
        <w:t>Washington, D.C. 20554</w:t>
      </w:r>
    </w:p>
    <w:p w14:paraId="6830F7CF" w14:textId="77777777" w:rsidR="004C2EE3" w:rsidRPr="007A6FE3" w:rsidRDefault="004C2EE3" w:rsidP="0070224F"/>
    <w:tbl>
      <w:tblPr>
        <w:tblW w:w="0" w:type="auto"/>
        <w:tblLayout w:type="fixed"/>
        <w:tblLook w:val="0000" w:firstRow="0" w:lastRow="0" w:firstColumn="0" w:lastColumn="0" w:noHBand="0" w:noVBand="0"/>
      </w:tblPr>
      <w:tblGrid>
        <w:gridCol w:w="4698"/>
        <w:gridCol w:w="630"/>
        <w:gridCol w:w="4248"/>
      </w:tblGrid>
      <w:tr w:rsidR="00EA5333" w:rsidRPr="007A6FE3" w14:paraId="2D5D6812" w14:textId="77777777">
        <w:tc>
          <w:tcPr>
            <w:tcW w:w="4698" w:type="dxa"/>
          </w:tcPr>
          <w:p w14:paraId="3EC216D1" w14:textId="77777777" w:rsidR="004C2EE3" w:rsidRPr="007A6FE3" w:rsidRDefault="004C2EE3">
            <w:pPr>
              <w:tabs>
                <w:tab w:val="center" w:pos="4680"/>
              </w:tabs>
              <w:suppressAutoHyphens/>
              <w:rPr>
                <w:spacing w:val="-2"/>
              </w:rPr>
            </w:pPr>
            <w:r w:rsidRPr="007A6FE3">
              <w:rPr>
                <w:spacing w:val="-2"/>
              </w:rPr>
              <w:t>In the Matter of</w:t>
            </w:r>
          </w:p>
          <w:p w14:paraId="36F22B1D" w14:textId="77777777" w:rsidR="004C2EE3" w:rsidRPr="007A6FE3" w:rsidRDefault="004C2EE3">
            <w:pPr>
              <w:tabs>
                <w:tab w:val="center" w:pos="4680"/>
              </w:tabs>
              <w:suppressAutoHyphens/>
              <w:rPr>
                <w:spacing w:val="-2"/>
              </w:rPr>
            </w:pPr>
          </w:p>
          <w:p w14:paraId="036CD38D" w14:textId="77777777" w:rsidR="00690CF6" w:rsidRPr="007A6FE3" w:rsidRDefault="00690CF6" w:rsidP="00BE6E64">
            <w:pPr>
              <w:tabs>
                <w:tab w:val="center" w:pos="4680"/>
              </w:tabs>
              <w:suppressAutoHyphens/>
              <w:rPr>
                <w:spacing w:val="-2"/>
              </w:rPr>
            </w:pPr>
            <w:r w:rsidRPr="007A6FE3">
              <w:rPr>
                <w:snapToGrid/>
                <w:kern w:val="0"/>
                <w:szCs w:val="22"/>
              </w:rPr>
              <w:t>Ensuring Customer Premises Equipment Backup Power for Continuity of Communications</w:t>
            </w:r>
          </w:p>
          <w:p w14:paraId="00FC7DCD" w14:textId="77777777" w:rsidR="00690CF6" w:rsidRPr="007A6FE3" w:rsidRDefault="00690CF6" w:rsidP="00BE6E64">
            <w:pPr>
              <w:tabs>
                <w:tab w:val="center" w:pos="4680"/>
              </w:tabs>
              <w:suppressAutoHyphens/>
              <w:rPr>
                <w:spacing w:val="-2"/>
              </w:rPr>
            </w:pPr>
          </w:p>
          <w:p w14:paraId="7172D013" w14:textId="77777777" w:rsidR="00BE6E64" w:rsidRPr="007A6FE3" w:rsidRDefault="00BE6E64" w:rsidP="00BE6E64">
            <w:pPr>
              <w:tabs>
                <w:tab w:val="center" w:pos="4680"/>
              </w:tabs>
              <w:suppressAutoHyphens/>
              <w:rPr>
                <w:spacing w:val="-2"/>
              </w:rPr>
            </w:pPr>
            <w:r w:rsidRPr="007A6FE3">
              <w:rPr>
                <w:spacing w:val="-2"/>
              </w:rPr>
              <w:t>Technology Transitions</w:t>
            </w:r>
          </w:p>
          <w:p w14:paraId="5CA5685B" w14:textId="77777777" w:rsidR="00690CF6" w:rsidRPr="007A6FE3" w:rsidRDefault="00690CF6" w:rsidP="005E477F">
            <w:pPr>
              <w:rPr>
                <w:snapToGrid/>
                <w:kern w:val="0"/>
                <w:szCs w:val="22"/>
              </w:rPr>
            </w:pPr>
          </w:p>
          <w:p w14:paraId="50A14F63" w14:textId="77777777" w:rsidR="00690CF6" w:rsidRPr="007A6FE3" w:rsidRDefault="00690CF6" w:rsidP="005E477F">
            <w:pPr>
              <w:rPr>
                <w:snapToGrid/>
                <w:kern w:val="0"/>
                <w:szCs w:val="22"/>
              </w:rPr>
            </w:pPr>
            <w:r w:rsidRPr="007A6FE3">
              <w:rPr>
                <w:snapToGrid/>
                <w:kern w:val="0"/>
                <w:szCs w:val="22"/>
              </w:rPr>
              <w:t>Policies and Rules Governing Retirement Of Copper Loops by Incumbent Local Exchange Carriers</w:t>
            </w:r>
          </w:p>
          <w:p w14:paraId="576F6B1F" w14:textId="77777777" w:rsidR="00690CF6" w:rsidRPr="007A6FE3" w:rsidRDefault="00690CF6" w:rsidP="005E477F">
            <w:pPr>
              <w:rPr>
                <w:snapToGrid/>
                <w:kern w:val="0"/>
                <w:szCs w:val="22"/>
              </w:rPr>
            </w:pPr>
          </w:p>
          <w:p w14:paraId="686D5C27" w14:textId="77777777" w:rsidR="00330B09" w:rsidRDefault="00330B09" w:rsidP="005E477F">
            <w:pPr>
              <w:rPr>
                <w:snapToGrid/>
                <w:kern w:val="0"/>
                <w:szCs w:val="22"/>
              </w:rPr>
            </w:pPr>
            <w:r w:rsidRPr="007A6FE3">
              <w:rPr>
                <w:snapToGrid/>
                <w:kern w:val="0"/>
                <w:szCs w:val="22"/>
              </w:rPr>
              <w:t>Special Access for Price Cap Local Exchange Carriers</w:t>
            </w:r>
          </w:p>
          <w:p w14:paraId="4675207B" w14:textId="77777777" w:rsidR="004F67FF" w:rsidRDefault="004F67FF" w:rsidP="005E477F">
            <w:pPr>
              <w:rPr>
                <w:snapToGrid/>
                <w:kern w:val="0"/>
                <w:szCs w:val="22"/>
              </w:rPr>
            </w:pPr>
          </w:p>
          <w:p w14:paraId="166BE022" w14:textId="77777777" w:rsidR="004F67FF" w:rsidRPr="007A6FE3" w:rsidRDefault="004F67FF" w:rsidP="005E477F">
            <w:pPr>
              <w:rPr>
                <w:snapToGrid/>
                <w:kern w:val="0"/>
                <w:szCs w:val="22"/>
              </w:rPr>
            </w:pPr>
            <w:r>
              <w:rPr>
                <w:snapToGrid/>
                <w:kern w:val="0"/>
                <w:szCs w:val="22"/>
              </w:rPr>
              <w:t>AT&amp;T Corporation Petition for Rulemaking to Reform Regulation of Incumbent Local Exchange Carrier Rates for Interstate Special Access Services</w:t>
            </w:r>
          </w:p>
          <w:p w14:paraId="43823CD6" w14:textId="77777777" w:rsidR="00330B09" w:rsidRPr="007A6FE3" w:rsidRDefault="00330B09" w:rsidP="005E477F">
            <w:pPr>
              <w:rPr>
                <w:snapToGrid/>
                <w:kern w:val="0"/>
                <w:szCs w:val="22"/>
              </w:rPr>
            </w:pPr>
          </w:p>
          <w:p w14:paraId="7664B854" w14:textId="77777777" w:rsidR="00F36C6E" w:rsidRPr="007A6FE3" w:rsidRDefault="00F36C6E" w:rsidP="001F0A2B">
            <w:pPr>
              <w:tabs>
                <w:tab w:val="center" w:pos="4680"/>
              </w:tabs>
              <w:suppressAutoHyphens/>
              <w:rPr>
                <w:spacing w:val="-2"/>
              </w:rPr>
            </w:pPr>
          </w:p>
        </w:tc>
        <w:tc>
          <w:tcPr>
            <w:tcW w:w="630" w:type="dxa"/>
          </w:tcPr>
          <w:p w14:paraId="11005F83" w14:textId="77777777" w:rsidR="004C2EE3" w:rsidRPr="007A6FE3" w:rsidRDefault="004C2EE3">
            <w:pPr>
              <w:tabs>
                <w:tab w:val="center" w:pos="4680"/>
              </w:tabs>
              <w:suppressAutoHyphens/>
              <w:rPr>
                <w:b/>
                <w:spacing w:val="-2"/>
              </w:rPr>
            </w:pPr>
            <w:r w:rsidRPr="007A6FE3">
              <w:rPr>
                <w:b/>
                <w:spacing w:val="-2"/>
              </w:rPr>
              <w:t>)</w:t>
            </w:r>
          </w:p>
          <w:p w14:paraId="565CD4C5" w14:textId="77777777" w:rsidR="004C2EE3" w:rsidRPr="007A6FE3" w:rsidRDefault="004C2EE3">
            <w:pPr>
              <w:tabs>
                <w:tab w:val="center" w:pos="4680"/>
              </w:tabs>
              <w:suppressAutoHyphens/>
              <w:rPr>
                <w:b/>
                <w:spacing w:val="-2"/>
              </w:rPr>
            </w:pPr>
            <w:r w:rsidRPr="007A6FE3">
              <w:rPr>
                <w:b/>
                <w:spacing w:val="-2"/>
              </w:rPr>
              <w:t>)</w:t>
            </w:r>
          </w:p>
          <w:p w14:paraId="425B5B8A" w14:textId="77777777" w:rsidR="004C2EE3" w:rsidRPr="007A6FE3" w:rsidRDefault="004C2EE3">
            <w:pPr>
              <w:tabs>
                <w:tab w:val="center" w:pos="4680"/>
              </w:tabs>
              <w:suppressAutoHyphens/>
              <w:rPr>
                <w:b/>
                <w:spacing w:val="-2"/>
              </w:rPr>
            </w:pPr>
            <w:r w:rsidRPr="007A6FE3">
              <w:rPr>
                <w:b/>
                <w:spacing w:val="-2"/>
              </w:rPr>
              <w:t>)</w:t>
            </w:r>
          </w:p>
          <w:p w14:paraId="45D38C08" w14:textId="77777777" w:rsidR="004C2EE3" w:rsidRPr="007A6FE3" w:rsidRDefault="004C2EE3">
            <w:pPr>
              <w:tabs>
                <w:tab w:val="center" w:pos="4680"/>
              </w:tabs>
              <w:suppressAutoHyphens/>
              <w:rPr>
                <w:b/>
                <w:spacing w:val="-2"/>
              </w:rPr>
            </w:pPr>
            <w:r w:rsidRPr="007A6FE3">
              <w:rPr>
                <w:b/>
                <w:spacing w:val="-2"/>
              </w:rPr>
              <w:t>)</w:t>
            </w:r>
          </w:p>
          <w:p w14:paraId="5FAFF302" w14:textId="77777777" w:rsidR="004C2EE3" w:rsidRPr="007A6FE3" w:rsidRDefault="004C2EE3">
            <w:pPr>
              <w:tabs>
                <w:tab w:val="center" w:pos="4680"/>
              </w:tabs>
              <w:suppressAutoHyphens/>
              <w:rPr>
                <w:b/>
                <w:spacing w:val="-2"/>
              </w:rPr>
            </w:pPr>
            <w:r w:rsidRPr="007A6FE3">
              <w:rPr>
                <w:b/>
                <w:spacing w:val="-2"/>
              </w:rPr>
              <w:t>)</w:t>
            </w:r>
          </w:p>
          <w:p w14:paraId="7C0A8756" w14:textId="77777777" w:rsidR="004C2EE3" w:rsidRPr="007A6FE3" w:rsidRDefault="004C2EE3">
            <w:pPr>
              <w:tabs>
                <w:tab w:val="center" w:pos="4680"/>
              </w:tabs>
              <w:suppressAutoHyphens/>
              <w:rPr>
                <w:b/>
                <w:spacing w:val="-2"/>
              </w:rPr>
            </w:pPr>
            <w:r w:rsidRPr="007A6FE3">
              <w:rPr>
                <w:b/>
                <w:spacing w:val="-2"/>
              </w:rPr>
              <w:t>)</w:t>
            </w:r>
          </w:p>
          <w:p w14:paraId="3AF6F8DC" w14:textId="77777777" w:rsidR="004C2EE3" w:rsidRPr="007A6FE3" w:rsidRDefault="004C2EE3">
            <w:pPr>
              <w:tabs>
                <w:tab w:val="center" w:pos="4680"/>
              </w:tabs>
              <w:suppressAutoHyphens/>
              <w:rPr>
                <w:b/>
                <w:spacing w:val="-2"/>
              </w:rPr>
            </w:pPr>
            <w:r w:rsidRPr="007A6FE3">
              <w:rPr>
                <w:b/>
                <w:spacing w:val="-2"/>
              </w:rPr>
              <w:t>)</w:t>
            </w:r>
          </w:p>
          <w:p w14:paraId="2FB5EB43" w14:textId="77777777" w:rsidR="005E477F" w:rsidRPr="007A6FE3" w:rsidRDefault="005E477F">
            <w:pPr>
              <w:tabs>
                <w:tab w:val="center" w:pos="4680"/>
              </w:tabs>
              <w:suppressAutoHyphens/>
              <w:rPr>
                <w:b/>
                <w:spacing w:val="-2"/>
              </w:rPr>
            </w:pPr>
            <w:r w:rsidRPr="007A6FE3">
              <w:rPr>
                <w:b/>
                <w:spacing w:val="-2"/>
              </w:rPr>
              <w:t>)</w:t>
            </w:r>
          </w:p>
          <w:p w14:paraId="710F2CEC" w14:textId="77777777" w:rsidR="005E477F" w:rsidRPr="007A6FE3" w:rsidRDefault="005E477F">
            <w:pPr>
              <w:tabs>
                <w:tab w:val="center" w:pos="4680"/>
              </w:tabs>
              <w:suppressAutoHyphens/>
              <w:rPr>
                <w:b/>
                <w:spacing w:val="-2"/>
              </w:rPr>
            </w:pPr>
            <w:r w:rsidRPr="007A6FE3">
              <w:rPr>
                <w:b/>
                <w:spacing w:val="-2"/>
              </w:rPr>
              <w:t>)</w:t>
            </w:r>
          </w:p>
          <w:p w14:paraId="6E3B53CA" w14:textId="77777777" w:rsidR="005E477F" w:rsidRPr="007A6FE3" w:rsidRDefault="005E477F">
            <w:pPr>
              <w:tabs>
                <w:tab w:val="center" w:pos="4680"/>
              </w:tabs>
              <w:suppressAutoHyphens/>
              <w:rPr>
                <w:b/>
                <w:spacing w:val="-2"/>
              </w:rPr>
            </w:pPr>
            <w:r w:rsidRPr="007A6FE3">
              <w:rPr>
                <w:b/>
                <w:spacing w:val="-2"/>
              </w:rPr>
              <w:t>)</w:t>
            </w:r>
          </w:p>
          <w:p w14:paraId="750A6889" w14:textId="77777777" w:rsidR="00F36C6E" w:rsidRPr="007A6FE3" w:rsidRDefault="00F36C6E">
            <w:pPr>
              <w:tabs>
                <w:tab w:val="center" w:pos="4680"/>
              </w:tabs>
              <w:suppressAutoHyphens/>
              <w:rPr>
                <w:b/>
                <w:spacing w:val="-2"/>
              </w:rPr>
            </w:pPr>
            <w:r w:rsidRPr="007A6FE3">
              <w:rPr>
                <w:b/>
                <w:spacing w:val="-2"/>
              </w:rPr>
              <w:t>)</w:t>
            </w:r>
          </w:p>
          <w:p w14:paraId="2B594F39" w14:textId="77777777" w:rsidR="00F36C6E" w:rsidRPr="007A6FE3" w:rsidRDefault="007B536F">
            <w:pPr>
              <w:tabs>
                <w:tab w:val="center" w:pos="4680"/>
              </w:tabs>
              <w:suppressAutoHyphens/>
              <w:rPr>
                <w:b/>
                <w:spacing w:val="-2"/>
              </w:rPr>
            </w:pPr>
            <w:r w:rsidRPr="007A6FE3">
              <w:rPr>
                <w:b/>
                <w:spacing w:val="-2"/>
              </w:rPr>
              <w:t>)</w:t>
            </w:r>
          </w:p>
          <w:p w14:paraId="1C411680" w14:textId="77777777" w:rsidR="004753CE" w:rsidRDefault="007B536F" w:rsidP="00A45920">
            <w:pPr>
              <w:tabs>
                <w:tab w:val="center" w:pos="4680"/>
              </w:tabs>
              <w:suppressAutoHyphens/>
              <w:rPr>
                <w:b/>
                <w:spacing w:val="-2"/>
              </w:rPr>
            </w:pPr>
            <w:r w:rsidRPr="007A6FE3">
              <w:rPr>
                <w:b/>
                <w:spacing w:val="-2"/>
              </w:rPr>
              <w:t>)</w:t>
            </w:r>
          </w:p>
          <w:p w14:paraId="0808E958" w14:textId="77777777" w:rsidR="004F67FF" w:rsidRDefault="004F67FF" w:rsidP="00A45920">
            <w:pPr>
              <w:tabs>
                <w:tab w:val="center" w:pos="4680"/>
              </w:tabs>
              <w:suppressAutoHyphens/>
              <w:rPr>
                <w:b/>
                <w:spacing w:val="-2"/>
              </w:rPr>
            </w:pPr>
            <w:r w:rsidRPr="007A6FE3">
              <w:rPr>
                <w:b/>
                <w:spacing w:val="-2"/>
              </w:rPr>
              <w:t>)</w:t>
            </w:r>
          </w:p>
          <w:p w14:paraId="58EC9B53" w14:textId="77777777" w:rsidR="004F67FF" w:rsidRDefault="004F67FF" w:rsidP="00A45920">
            <w:pPr>
              <w:tabs>
                <w:tab w:val="center" w:pos="4680"/>
              </w:tabs>
              <w:suppressAutoHyphens/>
              <w:rPr>
                <w:b/>
                <w:spacing w:val="-2"/>
              </w:rPr>
            </w:pPr>
            <w:r w:rsidRPr="007A6FE3">
              <w:rPr>
                <w:b/>
                <w:spacing w:val="-2"/>
              </w:rPr>
              <w:t>)</w:t>
            </w:r>
          </w:p>
          <w:p w14:paraId="080FAE80" w14:textId="77777777" w:rsidR="004F67FF" w:rsidRDefault="004F67FF" w:rsidP="00A45920">
            <w:pPr>
              <w:tabs>
                <w:tab w:val="center" w:pos="4680"/>
              </w:tabs>
              <w:suppressAutoHyphens/>
              <w:rPr>
                <w:b/>
                <w:spacing w:val="-2"/>
              </w:rPr>
            </w:pPr>
            <w:r w:rsidRPr="007A6FE3">
              <w:rPr>
                <w:b/>
                <w:spacing w:val="-2"/>
              </w:rPr>
              <w:t>)</w:t>
            </w:r>
          </w:p>
          <w:p w14:paraId="5CA614D4" w14:textId="77777777" w:rsidR="004F67FF" w:rsidRDefault="004F67FF" w:rsidP="00A45920">
            <w:pPr>
              <w:tabs>
                <w:tab w:val="center" w:pos="4680"/>
              </w:tabs>
              <w:suppressAutoHyphens/>
              <w:rPr>
                <w:b/>
                <w:spacing w:val="-2"/>
              </w:rPr>
            </w:pPr>
            <w:r w:rsidRPr="007A6FE3">
              <w:rPr>
                <w:b/>
                <w:spacing w:val="-2"/>
              </w:rPr>
              <w:t>)</w:t>
            </w:r>
          </w:p>
          <w:p w14:paraId="6A79E8EC" w14:textId="77777777" w:rsidR="004F67FF" w:rsidRPr="007A6FE3" w:rsidRDefault="004F67FF" w:rsidP="00A45920">
            <w:pPr>
              <w:tabs>
                <w:tab w:val="center" w:pos="4680"/>
              </w:tabs>
              <w:suppressAutoHyphens/>
              <w:rPr>
                <w:b/>
                <w:spacing w:val="-2"/>
              </w:rPr>
            </w:pPr>
            <w:r w:rsidRPr="007A6FE3">
              <w:rPr>
                <w:b/>
                <w:spacing w:val="-2"/>
              </w:rPr>
              <w:t>)</w:t>
            </w:r>
          </w:p>
          <w:p w14:paraId="61E992C1" w14:textId="77777777" w:rsidR="004753CE" w:rsidRPr="007A6FE3" w:rsidRDefault="004753CE" w:rsidP="00A45920">
            <w:pPr>
              <w:tabs>
                <w:tab w:val="center" w:pos="4680"/>
              </w:tabs>
              <w:suppressAutoHyphens/>
              <w:rPr>
                <w:spacing w:val="-2"/>
              </w:rPr>
            </w:pPr>
          </w:p>
        </w:tc>
        <w:tc>
          <w:tcPr>
            <w:tcW w:w="4248" w:type="dxa"/>
          </w:tcPr>
          <w:p w14:paraId="58AFDAF7" w14:textId="77777777" w:rsidR="004C2EE3" w:rsidRPr="007A6FE3" w:rsidRDefault="004C2EE3">
            <w:pPr>
              <w:tabs>
                <w:tab w:val="center" w:pos="4680"/>
              </w:tabs>
              <w:suppressAutoHyphens/>
              <w:rPr>
                <w:spacing w:val="-2"/>
              </w:rPr>
            </w:pPr>
          </w:p>
          <w:p w14:paraId="6D70224D" w14:textId="77777777" w:rsidR="004C2EE3" w:rsidRPr="007A6FE3" w:rsidRDefault="004C2EE3">
            <w:pPr>
              <w:pStyle w:val="TOAHeading"/>
              <w:tabs>
                <w:tab w:val="clear" w:pos="9360"/>
                <w:tab w:val="center" w:pos="4680"/>
              </w:tabs>
              <w:rPr>
                <w:spacing w:val="-2"/>
              </w:rPr>
            </w:pPr>
          </w:p>
          <w:p w14:paraId="01E0C562" w14:textId="77777777" w:rsidR="00690CF6" w:rsidRPr="007A6FE3" w:rsidRDefault="00690CF6">
            <w:pPr>
              <w:tabs>
                <w:tab w:val="center" w:pos="4680"/>
              </w:tabs>
              <w:suppressAutoHyphens/>
              <w:rPr>
                <w:spacing w:val="-2"/>
              </w:rPr>
            </w:pPr>
            <w:r w:rsidRPr="007A6FE3">
              <w:rPr>
                <w:spacing w:val="-2"/>
              </w:rPr>
              <w:t>PS Docket No. 14-174</w:t>
            </w:r>
          </w:p>
          <w:p w14:paraId="2700F92D" w14:textId="77777777" w:rsidR="00690CF6" w:rsidRPr="007A6FE3" w:rsidRDefault="00690CF6">
            <w:pPr>
              <w:tabs>
                <w:tab w:val="center" w:pos="4680"/>
              </w:tabs>
              <w:suppressAutoHyphens/>
              <w:rPr>
                <w:spacing w:val="-2"/>
              </w:rPr>
            </w:pPr>
          </w:p>
          <w:p w14:paraId="6B63EC25" w14:textId="77777777" w:rsidR="00690CF6" w:rsidRPr="007A6FE3" w:rsidRDefault="00690CF6">
            <w:pPr>
              <w:tabs>
                <w:tab w:val="center" w:pos="4680"/>
              </w:tabs>
              <w:suppressAutoHyphens/>
              <w:rPr>
                <w:spacing w:val="-2"/>
              </w:rPr>
            </w:pPr>
          </w:p>
          <w:p w14:paraId="73672C24" w14:textId="77777777" w:rsidR="004C2EE3" w:rsidRPr="007A6FE3" w:rsidRDefault="00BE6E64">
            <w:pPr>
              <w:tabs>
                <w:tab w:val="center" w:pos="4680"/>
              </w:tabs>
              <w:suppressAutoHyphens/>
              <w:rPr>
                <w:spacing w:val="-2"/>
              </w:rPr>
            </w:pPr>
            <w:r w:rsidRPr="007A6FE3">
              <w:rPr>
                <w:spacing w:val="-2"/>
              </w:rPr>
              <w:t>GN Docket No. 13-5</w:t>
            </w:r>
          </w:p>
          <w:p w14:paraId="58156613" w14:textId="77777777" w:rsidR="000D242D" w:rsidRPr="007A6FE3" w:rsidRDefault="000D242D" w:rsidP="005E477F">
            <w:pPr>
              <w:tabs>
                <w:tab w:val="center" w:pos="4680"/>
              </w:tabs>
              <w:suppressAutoHyphens/>
              <w:rPr>
                <w:snapToGrid/>
                <w:kern w:val="0"/>
                <w:szCs w:val="22"/>
              </w:rPr>
            </w:pPr>
          </w:p>
          <w:p w14:paraId="47F9D0A0" w14:textId="77777777" w:rsidR="00690CF6" w:rsidRPr="007A6FE3" w:rsidRDefault="00690CF6" w:rsidP="005E477F">
            <w:pPr>
              <w:tabs>
                <w:tab w:val="center" w:pos="4680"/>
              </w:tabs>
              <w:suppressAutoHyphens/>
              <w:rPr>
                <w:spacing w:val="-2"/>
              </w:rPr>
            </w:pPr>
            <w:r w:rsidRPr="007A6FE3">
              <w:rPr>
                <w:snapToGrid/>
                <w:kern w:val="0"/>
                <w:szCs w:val="22"/>
              </w:rPr>
              <w:t>RM-11358</w:t>
            </w:r>
          </w:p>
          <w:p w14:paraId="55C56F47" w14:textId="77777777" w:rsidR="00690CF6" w:rsidRPr="007A6FE3" w:rsidRDefault="00690CF6" w:rsidP="005E477F">
            <w:pPr>
              <w:tabs>
                <w:tab w:val="center" w:pos="4680"/>
              </w:tabs>
              <w:suppressAutoHyphens/>
              <w:rPr>
                <w:spacing w:val="-2"/>
              </w:rPr>
            </w:pPr>
          </w:p>
          <w:p w14:paraId="124AD8E1" w14:textId="77777777" w:rsidR="00690CF6" w:rsidRPr="007A6FE3" w:rsidRDefault="00690CF6" w:rsidP="005E477F">
            <w:pPr>
              <w:tabs>
                <w:tab w:val="center" w:pos="4680"/>
              </w:tabs>
              <w:suppressAutoHyphens/>
              <w:rPr>
                <w:spacing w:val="-2"/>
              </w:rPr>
            </w:pPr>
          </w:p>
          <w:p w14:paraId="5C6EDA4C" w14:textId="77777777" w:rsidR="00690CF6" w:rsidRPr="007A6FE3" w:rsidRDefault="00690CF6" w:rsidP="005E477F">
            <w:pPr>
              <w:tabs>
                <w:tab w:val="center" w:pos="4680"/>
              </w:tabs>
              <w:suppressAutoHyphens/>
              <w:rPr>
                <w:spacing w:val="-2"/>
              </w:rPr>
            </w:pPr>
          </w:p>
          <w:p w14:paraId="23B9760B" w14:textId="77777777" w:rsidR="00330B09" w:rsidRDefault="00330B09" w:rsidP="005E477F">
            <w:pPr>
              <w:tabs>
                <w:tab w:val="center" w:pos="4680"/>
              </w:tabs>
              <w:suppressAutoHyphens/>
              <w:rPr>
                <w:snapToGrid/>
                <w:kern w:val="0"/>
                <w:szCs w:val="22"/>
              </w:rPr>
            </w:pPr>
            <w:r w:rsidRPr="007A6FE3">
              <w:rPr>
                <w:snapToGrid/>
                <w:kern w:val="0"/>
                <w:szCs w:val="22"/>
              </w:rPr>
              <w:t>WC Docket No. 05-25</w:t>
            </w:r>
          </w:p>
          <w:p w14:paraId="1CF25512" w14:textId="77777777" w:rsidR="004F67FF" w:rsidRDefault="004F67FF" w:rsidP="005E477F">
            <w:pPr>
              <w:tabs>
                <w:tab w:val="center" w:pos="4680"/>
              </w:tabs>
              <w:suppressAutoHyphens/>
              <w:rPr>
                <w:snapToGrid/>
                <w:kern w:val="0"/>
                <w:szCs w:val="22"/>
              </w:rPr>
            </w:pPr>
          </w:p>
          <w:p w14:paraId="17B65B8C" w14:textId="77777777" w:rsidR="004F67FF" w:rsidRPr="007A6FE3" w:rsidRDefault="004F67FF" w:rsidP="005E477F">
            <w:pPr>
              <w:tabs>
                <w:tab w:val="center" w:pos="4680"/>
              </w:tabs>
              <w:suppressAutoHyphens/>
              <w:rPr>
                <w:snapToGrid/>
                <w:kern w:val="0"/>
                <w:szCs w:val="22"/>
              </w:rPr>
            </w:pPr>
          </w:p>
          <w:p w14:paraId="49E2D2B0" w14:textId="77777777" w:rsidR="00330B09" w:rsidRPr="007A6FE3" w:rsidRDefault="00330B09" w:rsidP="005E477F">
            <w:pPr>
              <w:tabs>
                <w:tab w:val="center" w:pos="4680"/>
              </w:tabs>
              <w:suppressAutoHyphens/>
              <w:rPr>
                <w:snapToGrid/>
                <w:kern w:val="0"/>
                <w:szCs w:val="22"/>
              </w:rPr>
            </w:pPr>
            <w:r w:rsidRPr="007A6FE3">
              <w:rPr>
                <w:snapToGrid/>
                <w:kern w:val="0"/>
                <w:szCs w:val="22"/>
              </w:rPr>
              <w:t>RM-10593</w:t>
            </w:r>
          </w:p>
          <w:p w14:paraId="1DB9990F" w14:textId="77777777" w:rsidR="00330B09" w:rsidRPr="007A6FE3" w:rsidRDefault="00330B09" w:rsidP="005E477F">
            <w:pPr>
              <w:tabs>
                <w:tab w:val="center" w:pos="4680"/>
              </w:tabs>
              <w:suppressAutoHyphens/>
              <w:rPr>
                <w:snapToGrid/>
                <w:kern w:val="0"/>
                <w:szCs w:val="22"/>
              </w:rPr>
            </w:pPr>
          </w:p>
          <w:p w14:paraId="7431963C" w14:textId="77777777" w:rsidR="004753CE" w:rsidRPr="007A6FE3" w:rsidRDefault="004753CE" w:rsidP="009F1668">
            <w:pPr>
              <w:tabs>
                <w:tab w:val="center" w:pos="4680"/>
              </w:tabs>
              <w:suppressAutoHyphens/>
              <w:rPr>
                <w:spacing w:val="-2"/>
              </w:rPr>
            </w:pPr>
          </w:p>
        </w:tc>
      </w:tr>
    </w:tbl>
    <w:p w14:paraId="736E4025" w14:textId="77777777" w:rsidR="00841AB1" w:rsidRPr="007A6FE3" w:rsidRDefault="00BE6E64" w:rsidP="00B55656">
      <w:pPr>
        <w:pStyle w:val="StyleBoldCentered"/>
      </w:pPr>
      <w:r w:rsidRPr="007A6FE3">
        <w:t>NOTICE OF PROPOSED RULEMAKING</w:t>
      </w:r>
      <w:r w:rsidR="00103499" w:rsidRPr="007A6FE3">
        <w:t xml:space="preserve"> AND</w:t>
      </w:r>
      <w:r w:rsidRPr="007A6FE3">
        <w:t xml:space="preserve"> DECLARATORY </w:t>
      </w:r>
      <w:r w:rsidR="00CA5454" w:rsidRPr="007A6FE3">
        <w:t>RULING</w:t>
      </w:r>
    </w:p>
    <w:p w14:paraId="679FC1D3" w14:textId="77777777" w:rsidR="004C2EE3" w:rsidRPr="007A6FE3" w:rsidRDefault="004C2EE3">
      <w:pPr>
        <w:tabs>
          <w:tab w:val="left" w:pos="-720"/>
        </w:tabs>
        <w:suppressAutoHyphens/>
        <w:spacing w:line="227" w:lineRule="auto"/>
        <w:rPr>
          <w:spacing w:val="-2"/>
        </w:rPr>
      </w:pPr>
    </w:p>
    <w:p w14:paraId="76DBBB8D" w14:textId="61FDAFBE" w:rsidR="004C2EE3" w:rsidRPr="007A6FE3" w:rsidRDefault="004C2EE3" w:rsidP="00133F79">
      <w:pPr>
        <w:tabs>
          <w:tab w:val="left" w:pos="720"/>
          <w:tab w:val="right" w:pos="9360"/>
        </w:tabs>
        <w:suppressAutoHyphens/>
        <w:spacing w:line="227" w:lineRule="auto"/>
        <w:rPr>
          <w:spacing w:val="-2"/>
        </w:rPr>
      </w:pPr>
      <w:r w:rsidRPr="007A6FE3">
        <w:rPr>
          <w:b/>
          <w:spacing w:val="-2"/>
        </w:rPr>
        <w:t xml:space="preserve">Adopted:  </w:t>
      </w:r>
      <w:r w:rsidR="004F67FF">
        <w:rPr>
          <w:b/>
          <w:spacing w:val="-2"/>
        </w:rPr>
        <w:t>November 21, 2014</w:t>
      </w:r>
      <w:r w:rsidRPr="007A6FE3">
        <w:rPr>
          <w:b/>
          <w:spacing w:val="-2"/>
        </w:rPr>
        <w:tab/>
      </w:r>
      <w:r w:rsidR="00822CE0" w:rsidRPr="007A6FE3">
        <w:rPr>
          <w:b/>
          <w:spacing w:val="-2"/>
        </w:rPr>
        <w:t>Released</w:t>
      </w:r>
      <w:r w:rsidRPr="007A6FE3">
        <w:rPr>
          <w:b/>
          <w:spacing w:val="-2"/>
        </w:rPr>
        <w:t>:</w:t>
      </w:r>
      <w:r w:rsidR="00822CE0" w:rsidRPr="007A6FE3">
        <w:rPr>
          <w:b/>
          <w:spacing w:val="-2"/>
        </w:rPr>
        <w:t xml:space="preserve"> </w:t>
      </w:r>
      <w:r w:rsidRPr="007A6FE3">
        <w:rPr>
          <w:b/>
          <w:spacing w:val="-2"/>
        </w:rPr>
        <w:t xml:space="preserve"> </w:t>
      </w:r>
      <w:r w:rsidR="004F67FF">
        <w:rPr>
          <w:b/>
          <w:spacing w:val="-2"/>
        </w:rPr>
        <w:t xml:space="preserve">November </w:t>
      </w:r>
      <w:r w:rsidR="00BE2F6C">
        <w:rPr>
          <w:b/>
          <w:spacing w:val="-2"/>
        </w:rPr>
        <w:t>25</w:t>
      </w:r>
      <w:r w:rsidR="004F67FF">
        <w:rPr>
          <w:b/>
          <w:spacing w:val="-2"/>
        </w:rPr>
        <w:t>, 2014</w:t>
      </w:r>
    </w:p>
    <w:p w14:paraId="66B712BF" w14:textId="77777777" w:rsidR="00822CE0" w:rsidRPr="007A6FE3" w:rsidRDefault="00822CE0"/>
    <w:p w14:paraId="1857136A" w14:textId="77777777" w:rsidR="00445619" w:rsidRPr="007A6FE3" w:rsidRDefault="00445619" w:rsidP="00445619">
      <w:pPr>
        <w:pStyle w:val="BodyText"/>
        <w:widowControl/>
        <w:rPr>
          <w:rFonts w:ascii="Times" w:hAnsi="Times"/>
          <w:b/>
          <w:sz w:val="22"/>
          <w:szCs w:val="22"/>
        </w:rPr>
      </w:pPr>
      <w:r w:rsidRPr="007A6FE3">
        <w:rPr>
          <w:rFonts w:ascii="Times" w:hAnsi="Times"/>
          <w:b/>
          <w:sz w:val="22"/>
          <w:szCs w:val="22"/>
        </w:rPr>
        <w:t xml:space="preserve">Comment Date:  (30 days after </w:t>
      </w:r>
      <w:r w:rsidR="001F0A2B" w:rsidRPr="007A6FE3">
        <w:rPr>
          <w:rFonts w:ascii="Times" w:hAnsi="Times"/>
          <w:b/>
          <w:sz w:val="22"/>
          <w:szCs w:val="22"/>
        </w:rPr>
        <w:t xml:space="preserve">date of </w:t>
      </w:r>
      <w:r w:rsidRPr="007A6FE3">
        <w:rPr>
          <w:rFonts w:ascii="Times" w:hAnsi="Times"/>
          <w:b/>
          <w:sz w:val="22"/>
          <w:szCs w:val="22"/>
        </w:rPr>
        <w:t>publication in the Federal Register)</w:t>
      </w:r>
    </w:p>
    <w:p w14:paraId="5F907DCE" w14:textId="77777777" w:rsidR="00445619" w:rsidRPr="007A6FE3" w:rsidRDefault="00445619" w:rsidP="00445619">
      <w:pPr>
        <w:pStyle w:val="BodyText"/>
        <w:widowControl/>
        <w:rPr>
          <w:rFonts w:ascii="Times" w:hAnsi="Times"/>
          <w:b/>
          <w:sz w:val="22"/>
          <w:szCs w:val="22"/>
        </w:rPr>
      </w:pPr>
      <w:r w:rsidRPr="007A6FE3">
        <w:rPr>
          <w:rFonts w:ascii="Times" w:hAnsi="Times"/>
          <w:b/>
          <w:sz w:val="22"/>
          <w:szCs w:val="22"/>
        </w:rPr>
        <w:t xml:space="preserve">Reply Comment Date:  (60 </w:t>
      </w:r>
      <w:r w:rsidR="002445BA" w:rsidRPr="007A6FE3">
        <w:rPr>
          <w:rFonts w:ascii="Times" w:hAnsi="Times"/>
          <w:b/>
          <w:sz w:val="22"/>
          <w:szCs w:val="22"/>
        </w:rPr>
        <w:t xml:space="preserve">days </w:t>
      </w:r>
      <w:r w:rsidRPr="007A6FE3">
        <w:rPr>
          <w:rFonts w:ascii="Times" w:hAnsi="Times"/>
          <w:b/>
          <w:sz w:val="22"/>
          <w:szCs w:val="22"/>
        </w:rPr>
        <w:t xml:space="preserve">after </w:t>
      </w:r>
      <w:r w:rsidR="001F0A2B" w:rsidRPr="007A6FE3">
        <w:rPr>
          <w:rFonts w:ascii="Times" w:hAnsi="Times"/>
          <w:b/>
          <w:sz w:val="22"/>
          <w:szCs w:val="22"/>
        </w:rPr>
        <w:t xml:space="preserve">date of </w:t>
      </w:r>
      <w:r w:rsidRPr="007A6FE3">
        <w:rPr>
          <w:rFonts w:ascii="Times" w:hAnsi="Times"/>
          <w:b/>
          <w:sz w:val="22"/>
          <w:szCs w:val="22"/>
        </w:rPr>
        <w:t>publication in the Federal Register)</w:t>
      </w:r>
    </w:p>
    <w:p w14:paraId="45373FCC" w14:textId="77777777" w:rsidR="00445619" w:rsidRPr="007A6FE3" w:rsidRDefault="00445619"/>
    <w:p w14:paraId="73974787" w14:textId="77777777" w:rsidR="004C2EE3" w:rsidRPr="007A6FE3" w:rsidRDefault="004F67FF" w:rsidP="003F0F7D">
      <w:pPr>
        <w:ind w:left="1980" w:hanging="1980"/>
        <w:rPr>
          <w:spacing w:val="-2"/>
        </w:rPr>
      </w:pPr>
      <w:r>
        <w:t>By the Commission:  Chairman Wheeler and Commissioners Clyburn and Rosenworcel issuing separate statements; Commissioners Pai and O’Rielly concurring in part, dissenting in part and issuing separate statements.</w:t>
      </w:r>
    </w:p>
    <w:p w14:paraId="0D9FFEC1" w14:textId="77777777" w:rsidR="00E12107" w:rsidRPr="007A6FE3" w:rsidRDefault="00E12107" w:rsidP="00C82B36">
      <w:pPr>
        <w:pStyle w:val="TOCTitle"/>
      </w:pPr>
      <w:bookmarkStart w:id="1" w:name="TOChere"/>
      <w:r w:rsidRPr="007A6FE3">
        <w:t>Table of Contents</w:t>
      </w:r>
    </w:p>
    <w:p w14:paraId="4DFCFD91" w14:textId="77777777" w:rsidR="00E12107" w:rsidRPr="007A6FE3" w:rsidRDefault="00E12107" w:rsidP="00C82B36">
      <w:pPr>
        <w:pStyle w:val="Paratitle"/>
      </w:pPr>
      <w:r w:rsidRPr="007A6FE3">
        <w:tab/>
      </w:r>
      <w:bookmarkStart w:id="2" w:name="start_here"/>
      <w:bookmarkEnd w:id="2"/>
      <w:r w:rsidRPr="007A6FE3">
        <w:t>Para.</w:t>
      </w:r>
    </w:p>
    <w:p w14:paraId="7D987A24" w14:textId="77777777" w:rsidR="00E12107" w:rsidRPr="007A6FE3" w:rsidRDefault="00E12107">
      <w:pPr>
        <w:pStyle w:val="TOC1"/>
        <w:rPr>
          <w:rFonts w:asciiTheme="minorHAnsi" w:eastAsiaTheme="minorEastAsia" w:hAnsiTheme="minorHAnsi" w:cstheme="minorBidi"/>
          <w:caps w:val="0"/>
          <w:snapToGrid/>
          <w:kern w:val="0"/>
          <w:szCs w:val="22"/>
        </w:rPr>
      </w:pPr>
      <w:r w:rsidRPr="007A6FE3">
        <w:t>I.</w:t>
      </w:r>
      <w:r w:rsidRPr="007A6FE3">
        <w:rPr>
          <w:rFonts w:asciiTheme="minorHAnsi" w:eastAsiaTheme="minorEastAsia" w:hAnsiTheme="minorHAnsi" w:cstheme="minorBidi"/>
          <w:caps w:val="0"/>
          <w:snapToGrid/>
          <w:kern w:val="0"/>
          <w:szCs w:val="22"/>
        </w:rPr>
        <w:tab/>
      </w:r>
      <w:r w:rsidRPr="007A6FE3">
        <w:t>Introduction</w:t>
      </w:r>
      <w:r w:rsidRPr="007A6FE3">
        <w:tab/>
        <w:t>1</w:t>
      </w:r>
    </w:p>
    <w:p w14:paraId="5D92A871" w14:textId="77777777" w:rsidR="00E12107" w:rsidRPr="007A6FE3" w:rsidRDefault="00E12107">
      <w:pPr>
        <w:pStyle w:val="TOC1"/>
        <w:rPr>
          <w:rFonts w:asciiTheme="minorHAnsi" w:eastAsiaTheme="minorEastAsia" w:hAnsiTheme="minorHAnsi" w:cstheme="minorBidi"/>
          <w:caps w:val="0"/>
          <w:snapToGrid/>
          <w:kern w:val="0"/>
          <w:szCs w:val="22"/>
        </w:rPr>
      </w:pPr>
      <w:r w:rsidRPr="007A6FE3">
        <w:t>II.</w:t>
      </w:r>
      <w:r w:rsidRPr="007A6FE3">
        <w:rPr>
          <w:rFonts w:asciiTheme="minorHAnsi" w:eastAsiaTheme="minorEastAsia" w:hAnsiTheme="minorHAnsi" w:cstheme="minorBidi"/>
          <w:caps w:val="0"/>
          <w:snapToGrid/>
          <w:kern w:val="0"/>
          <w:szCs w:val="22"/>
        </w:rPr>
        <w:tab/>
      </w:r>
      <w:r w:rsidRPr="007A6FE3">
        <w:t>Background</w:t>
      </w:r>
      <w:r w:rsidRPr="007A6FE3">
        <w:tab/>
        <w:t>7</w:t>
      </w:r>
    </w:p>
    <w:p w14:paraId="5E54F082" w14:textId="77777777" w:rsidR="00E12107" w:rsidRPr="007A6FE3" w:rsidRDefault="00E12107">
      <w:pPr>
        <w:pStyle w:val="TOC1"/>
        <w:rPr>
          <w:rFonts w:asciiTheme="minorHAnsi" w:eastAsiaTheme="minorEastAsia" w:hAnsiTheme="minorHAnsi" w:cstheme="minorBidi"/>
          <w:caps w:val="0"/>
          <w:snapToGrid/>
          <w:kern w:val="0"/>
          <w:szCs w:val="22"/>
        </w:rPr>
      </w:pPr>
      <w:r w:rsidRPr="007A6FE3">
        <w:t>III.</w:t>
      </w:r>
      <w:r w:rsidRPr="007A6FE3">
        <w:rPr>
          <w:rFonts w:asciiTheme="minorHAnsi" w:eastAsiaTheme="minorEastAsia" w:hAnsiTheme="minorHAnsi" w:cstheme="minorBidi"/>
          <w:caps w:val="0"/>
          <w:snapToGrid/>
          <w:kern w:val="0"/>
          <w:szCs w:val="22"/>
        </w:rPr>
        <w:tab/>
      </w:r>
      <w:r w:rsidRPr="007A6FE3">
        <w:t>NOTICE OF PROPOSED RULEMAKING</w:t>
      </w:r>
      <w:r w:rsidRPr="007A6FE3">
        <w:tab/>
        <w:t>10</w:t>
      </w:r>
    </w:p>
    <w:p w14:paraId="7B9B95EC" w14:textId="77777777" w:rsidR="00E12107" w:rsidRPr="007A6FE3" w:rsidRDefault="00E12107" w:rsidP="00C82B36">
      <w:pPr>
        <w:pStyle w:val="TOC2"/>
        <w:tabs>
          <w:tab w:val="left" w:pos="360"/>
        </w:tabs>
        <w:rPr>
          <w:rFonts w:asciiTheme="minorHAnsi" w:eastAsiaTheme="minorEastAsia" w:hAnsiTheme="minorHAnsi" w:cstheme="minorBidi"/>
          <w:snapToGrid/>
          <w:kern w:val="0"/>
          <w:szCs w:val="22"/>
        </w:rPr>
      </w:pPr>
      <w:r w:rsidRPr="007A6FE3">
        <w:t>A.</w:t>
      </w:r>
      <w:r w:rsidRPr="007A6FE3">
        <w:rPr>
          <w:rFonts w:asciiTheme="minorHAnsi" w:eastAsiaTheme="minorEastAsia" w:hAnsiTheme="minorHAnsi" w:cstheme="minorBidi"/>
          <w:snapToGrid/>
          <w:kern w:val="0"/>
          <w:szCs w:val="22"/>
        </w:rPr>
        <w:tab/>
      </w:r>
      <w:r w:rsidRPr="007A6FE3">
        <w:t>Background</w:t>
      </w:r>
      <w:r w:rsidRPr="007A6FE3">
        <w:tab/>
        <w:t>11</w:t>
      </w:r>
    </w:p>
    <w:p w14:paraId="1AD371C0" w14:textId="77777777" w:rsidR="00E12107" w:rsidRPr="007A6FE3" w:rsidRDefault="00E12107" w:rsidP="00C82B36">
      <w:pPr>
        <w:pStyle w:val="TOC3"/>
        <w:tabs>
          <w:tab w:val="left" w:pos="360"/>
        </w:tabs>
        <w:rPr>
          <w:rFonts w:asciiTheme="minorHAnsi" w:eastAsiaTheme="minorEastAsia" w:hAnsiTheme="minorHAnsi" w:cstheme="minorBidi"/>
          <w:snapToGrid/>
          <w:kern w:val="0"/>
          <w:szCs w:val="22"/>
        </w:rPr>
      </w:pPr>
      <w:r w:rsidRPr="007A6FE3">
        <w:t>1.</w:t>
      </w:r>
      <w:r w:rsidRPr="007A6FE3">
        <w:rPr>
          <w:rFonts w:asciiTheme="minorHAnsi" w:eastAsiaTheme="minorEastAsia" w:hAnsiTheme="minorHAnsi" w:cstheme="minorBidi"/>
          <w:snapToGrid/>
          <w:kern w:val="0"/>
          <w:szCs w:val="22"/>
        </w:rPr>
        <w:tab/>
      </w:r>
      <w:r w:rsidRPr="007A6FE3">
        <w:t>CPE Backup Power</w:t>
      </w:r>
      <w:r w:rsidRPr="007A6FE3">
        <w:tab/>
        <w:t>11</w:t>
      </w:r>
    </w:p>
    <w:p w14:paraId="3CBFA5B2" w14:textId="77777777" w:rsidR="00E12107" w:rsidRPr="007A6FE3" w:rsidRDefault="00E12107" w:rsidP="00C82B36">
      <w:pPr>
        <w:pStyle w:val="TOC3"/>
        <w:tabs>
          <w:tab w:val="left" w:pos="360"/>
        </w:tabs>
        <w:rPr>
          <w:rFonts w:asciiTheme="minorHAnsi" w:eastAsiaTheme="minorEastAsia" w:hAnsiTheme="minorHAnsi" w:cstheme="minorBidi"/>
          <w:snapToGrid/>
          <w:kern w:val="0"/>
          <w:szCs w:val="22"/>
        </w:rPr>
      </w:pPr>
      <w:r w:rsidRPr="007A6FE3">
        <w:t>2.</w:t>
      </w:r>
      <w:r w:rsidRPr="007A6FE3">
        <w:rPr>
          <w:rFonts w:asciiTheme="minorHAnsi" w:eastAsiaTheme="minorEastAsia" w:hAnsiTheme="minorHAnsi" w:cstheme="minorBidi"/>
          <w:snapToGrid/>
          <w:kern w:val="0"/>
          <w:szCs w:val="22"/>
        </w:rPr>
        <w:tab/>
      </w:r>
      <w:r w:rsidRPr="007A6FE3">
        <w:t>Copper Retirement</w:t>
      </w:r>
      <w:r w:rsidRPr="007A6FE3">
        <w:tab/>
        <w:t>14</w:t>
      </w:r>
    </w:p>
    <w:p w14:paraId="1F447A6D" w14:textId="77777777" w:rsidR="00E12107" w:rsidRPr="007A6FE3" w:rsidRDefault="00E12107" w:rsidP="00C82B36">
      <w:pPr>
        <w:pStyle w:val="TOC3"/>
        <w:tabs>
          <w:tab w:val="left" w:pos="360"/>
        </w:tabs>
        <w:rPr>
          <w:rFonts w:asciiTheme="minorHAnsi" w:eastAsiaTheme="minorEastAsia" w:hAnsiTheme="minorHAnsi" w:cstheme="minorBidi"/>
          <w:snapToGrid/>
          <w:kern w:val="0"/>
          <w:szCs w:val="22"/>
        </w:rPr>
      </w:pPr>
      <w:r w:rsidRPr="007A6FE3">
        <w:t>3.</w:t>
      </w:r>
      <w:r w:rsidRPr="007A6FE3">
        <w:rPr>
          <w:rFonts w:asciiTheme="minorHAnsi" w:eastAsiaTheme="minorEastAsia" w:hAnsiTheme="minorHAnsi" w:cstheme="minorBidi"/>
          <w:snapToGrid/>
          <w:kern w:val="0"/>
          <w:szCs w:val="22"/>
        </w:rPr>
        <w:tab/>
      </w:r>
      <w:r w:rsidRPr="007A6FE3">
        <w:t>Section 214 Discontinuance</w:t>
      </w:r>
      <w:r w:rsidRPr="007A6FE3">
        <w:tab/>
        <w:t>23</w:t>
      </w:r>
    </w:p>
    <w:p w14:paraId="21197C7E" w14:textId="77777777" w:rsidR="00E12107" w:rsidRPr="007A6FE3" w:rsidRDefault="00E12107" w:rsidP="00C82B36">
      <w:pPr>
        <w:pStyle w:val="TOC2"/>
        <w:tabs>
          <w:tab w:val="left" w:pos="360"/>
        </w:tabs>
        <w:rPr>
          <w:rFonts w:asciiTheme="minorHAnsi" w:eastAsiaTheme="minorEastAsia" w:hAnsiTheme="minorHAnsi" w:cstheme="minorBidi"/>
          <w:snapToGrid/>
          <w:kern w:val="0"/>
          <w:szCs w:val="22"/>
        </w:rPr>
      </w:pPr>
      <w:r w:rsidRPr="007A6FE3">
        <w:t>B.</w:t>
      </w:r>
      <w:r w:rsidRPr="007A6FE3">
        <w:rPr>
          <w:rFonts w:asciiTheme="minorHAnsi" w:eastAsiaTheme="minorEastAsia" w:hAnsiTheme="minorHAnsi" w:cstheme="minorBidi"/>
          <w:snapToGrid/>
          <w:kern w:val="0"/>
          <w:szCs w:val="22"/>
        </w:rPr>
        <w:tab/>
      </w:r>
      <w:r w:rsidRPr="007A6FE3">
        <w:t>Discussion</w:t>
      </w:r>
      <w:r w:rsidRPr="007A6FE3">
        <w:tab/>
        <w:t>31</w:t>
      </w:r>
    </w:p>
    <w:p w14:paraId="69C9BFE5" w14:textId="77777777" w:rsidR="00E12107" w:rsidRPr="007A6FE3" w:rsidRDefault="00E12107" w:rsidP="00C82B36">
      <w:pPr>
        <w:pStyle w:val="TOC3"/>
        <w:tabs>
          <w:tab w:val="left" w:pos="360"/>
        </w:tabs>
        <w:rPr>
          <w:rFonts w:asciiTheme="minorHAnsi" w:eastAsiaTheme="minorEastAsia" w:hAnsiTheme="minorHAnsi" w:cstheme="minorBidi"/>
          <w:snapToGrid/>
          <w:kern w:val="0"/>
          <w:szCs w:val="22"/>
        </w:rPr>
      </w:pPr>
      <w:r w:rsidRPr="007A6FE3">
        <w:t>1.</w:t>
      </w:r>
      <w:r w:rsidRPr="007A6FE3">
        <w:rPr>
          <w:rFonts w:asciiTheme="minorHAnsi" w:eastAsiaTheme="minorEastAsia" w:hAnsiTheme="minorHAnsi" w:cstheme="minorBidi"/>
          <w:snapToGrid/>
          <w:kern w:val="0"/>
          <w:szCs w:val="22"/>
        </w:rPr>
        <w:tab/>
      </w:r>
      <w:r w:rsidRPr="007A6FE3">
        <w:t>Continuity of Power for CPE</w:t>
      </w:r>
      <w:r w:rsidRPr="007A6FE3">
        <w:tab/>
        <w:t>31</w:t>
      </w:r>
    </w:p>
    <w:p w14:paraId="7BD39106" w14:textId="77777777" w:rsidR="00E12107" w:rsidRPr="007A6FE3" w:rsidRDefault="00E12107" w:rsidP="00C82B36">
      <w:pPr>
        <w:pStyle w:val="TOC3"/>
        <w:tabs>
          <w:tab w:val="left" w:pos="360"/>
        </w:tabs>
        <w:rPr>
          <w:rFonts w:asciiTheme="minorHAnsi" w:eastAsiaTheme="minorEastAsia" w:hAnsiTheme="minorHAnsi" w:cstheme="minorBidi"/>
          <w:snapToGrid/>
          <w:kern w:val="0"/>
          <w:szCs w:val="22"/>
        </w:rPr>
      </w:pPr>
      <w:r w:rsidRPr="007A6FE3">
        <w:t>2.</w:t>
      </w:r>
      <w:r w:rsidRPr="007A6FE3">
        <w:rPr>
          <w:rFonts w:asciiTheme="minorHAnsi" w:eastAsiaTheme="minorEastAsia" w:hAnsiTheme="minorHAnsi" w:cstheme="minorBidi"/>
          <w:snapToGrid/>
          <w:kern w:val="0"/>
          <w:szCs w:val="22"/>
        </w:rPr>
        <w:tab/>
      </w:r>
      <w:r w:rsidRPr="007A6FE3">
        <w:t>Copper Retirement</w:t>
      </w:r>
      <w:r w:rsidRPr="007A6FE3">
        <w:tab/>
        <w:t>49</w:t>
      </w:r>
    </w:p>
    <w:p w14:paraId="7E6F9567" w14:textId="77777777" w:rsidR="00E12107" w:rsidRPr="007A6FE3" w:rsidRDefault="00E12107" w:rsidP="003F0F7D">
      <w:pPr>
        <w:pStyle w:val="TOC4"/>
        <w:widowControl/>
        <w:tabs>
          <w:tab w:val="left" w:pos="360"/>
        </w:tabs>
        <w:rPr>
          <w:rFonts w:asciiTheme="minorHAnsi" w:eastAsiaTheme="minorEastAsia" w:hAnsiTheme="minorHAnsi" w:cstheme="minorBidi"/>
          <w:snapToGrid/>
          <w:kern w:val="0"/>
          <w:szCs w:val="22"/>
        </w:rPr>
      </w:pPr>
      <w:r w:rsidRPr="007A6FE3">
        <w:t>a.</w:t>
      </w:r>
      <w:r w:rsidRPr="007A6FE3">
        <w:rPr>
          <w:rFonts w:asciiTheme="minorHAnsi" w:eastAsiaTheme="minorEastAsia" w:hAnsiTheme="minorHAnsi" w:cstheme="minorBidi"/>
          <w:snapToGrid/>
          <w:kern w:val="0"/>
          <w:szCs w:val="22"/>
        </w:rPr>
        <w:tab/>
      </w:r>
      <w:r w:rsidRPr="007A6FE3">
        <w:t>Definition of “Copper Retirement”</w:t>
      </w:r>
      <w:r w:rsidRPr="007A6FE3">
        <w:tab/>
        <w:t>50</w:t>
      </w:r>
    </w:p>
    <w:p w14:paraId="19C384EF" w14:textId="77777777" w:rsidR="00E12107" w:rsidRPr="007A6FE3" w:rsidRDefault="00E12107" w:rsidP="003F0F7D">
      <w:pPr>
        <w:pStyle w:val="TOC4"/>
        <w:widowControl/>
        <w:tabs>
          <w:tab w:val="left" w:pos="360"/>
        </w:tabs>
        <w:rPr>
          <w:rFonts w:asciiTheme="minorHAnsi" w:eastAsiaTheme="minorEastAsia" w:hAnsiTheme="minorHAnsi" w:cstheme="minorBidi"/>
          <w:snapToGrid/>
          <w:kern w:val="0"/>
          <w:szCs w:val="22"/>
        </w:rPr>
      </w:pPr>
      <w:r w:rsidRPr="007A6FE3">
        <w:t>b.</w:t>
      </w:r>
      <w:r w:rsidRPr="007A6FE3">
        <w:rPr>
          <w:rFonts w:asciiTheme="minorHAnsi" w:eastAsiaTheme="minorEastAsia" w:hAnsiTheme="minorHAnsi" w:cstheme="minorBidi"/>
          <w:snapToGrid/>
          <w:kern w:val="0"/>
          <w:szCs w:val="22"/>
        </w:rPr>
        <w:tab/>
      </w:r>
      <w:r w:rsidRPr="007A6FE3">
        <w:t>Revision of Copper Retirement Processes to Promote Competition and Protect Consumers</w:t>
      </w:r>
      <w:r w:rsidRPr="007A6FE3">
        <w:tab/>
        <w:t>55</w:t>
      </w:r>
    </w:p>
    <w:p w14:paraId="7CCF89AE" w14:textId="77777777" w:rsidR="00E12107" w:rsidRPr="007A6FE3" w:rsidRDefault="00E12107" w:rsidP="00C82B36">
      <w:pPr>
        <w:pStyle w:val="TOC4"/>
        <w:tabs>
          <w:tab w:val="left" w:pos="360"/>
        </w:tabs>
        <w:rPr>
          <w:rFonts w:asciiTheme="minorHAnsi" w:eastAsiaTheme="minorEastAsia" w:hAnsiTheme="minorHAnsi" w:cstheme="minorBidi"/>
          <w:snapToGrid/>
          <w:kern w:val="0"/>
          <w:szCs w:val="22"/>
        </w:rPr>
      </w:pPr>
      <w:r w:rsidRPr="007A6FE3">
        <w:t>c.</w:t>
      </w:r>
      <w:r w:rsidRPr="007A6FE3">
        <w:rPr>
          <w:rFonts w:asciiTheme="minorHAnsi" w:eastAsiaTheme="minorEastAsia" w:hAnsiTheme="minorHAnsi" w:cstheme="minorBidi"/>
          <w:snapToGrid/>
          <w:kern w:val="0"/>
          <w:szCs w:val="22"/>
        </w:rPr>
        <w:tab/>
      </w:r>
      <w:r w:rsidRPr="007A6FE3">
        <w:t>Sale of Copper Facilities That Would Otherwise Be Retired</w:t>
      </w:r>
      <w:r w:rsidRPr="007A6FE3">
        <w:tab/>
        <w:t>84</w:t>
      </w:r>
    </w:p>
    <w:p w14:paraId="40E1D5A4" w14:textId="77777777" w:rsidR="00E12107" w:rsidRPr="007A6FE3" w:rsidRDefault="00E12107" w:rsidP="00C82B36">
      <w:pPr>
        <w:pStyle w:val="TOC3"/>
        <w:tabs>
          <w:tab w:val="left" w:pos="360"/>
        </w:tabs>
        <w:rPr>
          <w:rFonts w:asciiTheme="minorHAnsi" w:eastAsiaTheme="minorEastAsia" w:hAnsiTheme="minorHAnsi" w:cstheme="minorBidi"/>
          <w:snapToGrid/>
          <w:kern w:val="0"/>
          <w:szCs w:val="22"/>
        </w:rPr>
      </w:pPr>
      <w:r w:rsidRPr="007A6FE3">
        <w:lastRenderedPageBreak/>
        <w:t>3.</w:t>
      </w:r>
      <w:r w:rsidRPr="007A6FE3">
        <w:rPr>
          <w:rFonts w:asciiTheme="minorHAnsi" w:eastAsiaTheme="minorEastAsia" w:hAnsiTheme="minorHAnsi" w:cstheme="minorBidi"/>
          <w:snapToGrid/>
          <w:kern w:val="0"/>
          <w:szCs w:val="22"/>
        </w:rPr>
        <w:tab/>
      </w:r>
      <w:r w:rsidRPr="007A6FE3">
        <w:t>Section 214 Discontinuances</w:t>
      </w:r>
      <w:r w:rsidRPr="007A6FE3">
        <w:tab/>
        <w:t>92</w:t>
      </w:r>
    </w:p>
    <w:p w14:paraId="32CDD11E" w14:textId="77777777" w:rsidR="00E12107" w:rsidRPr="007A6FE3" w:rsidRDefault="00E12107" w:rsidP="00C82B36">
      <w:pPr>
        <w:pStyle w:val="TOC4"/>
        <w:tabs>
          <w:tab w:val="left" w:pos="360"/>
        </w:tabs>
        <w:rPr>
          <w:rFonts w:asciiTheme="minorHAnsi" w:eastAsiaTheme="minorEastAsia" w:hAnsiTheme="minorHAnsi" w:cstheme="minorBidi"/>
          <w:snapToGrid/>
          <w:kern w:val="0"/>
          <w:szCs w:val="22"/>
        </w:rPr>
      </w:pPr>
      <w:r w:rsidRPr="007A6FE3">
        <w:t>a.</w:t>
      </w:r>
      <w:r w:rsidRPr="007A6FE3">
        <w:rPr>
          <w:rFonts w:asciiTheme="minorHAnsi" w:eastAsiaTheme="minorEastAsia" w:hAnsiTheme="minorHAnsi" w:cstheme="minorBidi"/>
          <w:snapToGrid/>
          <w:kern w:val="0"/>
          <w:szCs w:val="22"/>
        </w:rPr>
        <w:tab/>
      </w:r>
      <w:r w:rsidRPr="007A6FE3">
        <w:t>What Constitutes an Adequate Substitute for a Retail Service a Carrier Seeks to Discontinue, Reduce, or Impair?</w:t>
      </w:r>
      <w:r w:rsidRPr="007A6FE3">
        <w:tab/>
        <w:t>93</w:t>
      </w:r>
    </w:p>
    <w:p w14:paraId="1CDC2BE4" w14:textId="77777777" w:rsidR="00E12107" w:rsidRPr="007A6FE3" w:rsidRDefault="00E12107" w:rsidP="00C82B36">
      <w:pPr>
        <w:pStyle w:val="TOC4"/>
        <w:tabs>
          <w:tab w:val="left" w:pos="360"/>
        </w:tabs>
        <w:rPr>
          <w:rFonts w:asciiTheme="minorHAnsi" w:eastAsiaTheme="minorEastAsia" w:hAnsiTheme="minorHAnsi" w:cstheme="minorBidi"/>
          <w:snapToGrid/>
          <w:kern w:val="0"/>
          <w:szCs w:val="22"/>
        </w:rPr>
      </w:pPr>
      <w:r w:rsidRPr="007A6FE3">
        <w:t>b.</w:t>
      </w:r>
      <w:r w:rsidRPr="007A6FE3">
        <w:rPr>
          <w:rFonts w:asciiTheme="minorHAnsi" w:eastAsiaTheme="minorEastAsia" w:hAnsiTheme="minorHAnsi" w:cstheme="minorBidi"/>
          <w:snapToGrid/>
          <w:kern w:val="0"/>
          <w:szCs w:val="22"/>
        </w:rPr>
        <w:tab/>
      </w:r>
      <w:r w:rsidRPr="007A6FE3">
        <w:t>Scope of Section 214(a) Discontinuance Authority and Wholesale Services</w:t>
      </w:r>
      <w:r w:rsidRPr="007A6FE3">
        <w:tab/>
        <w:t>102</w:t>
      </w:r>
    </w:p>
    <w:p w14:paraId="458C81F3" w14:textId="77777777" w:rsidR="00E12107" w:rsidRPr="007A6FE3" w:rsidRDefault="00E12107" w:rsidP="00C82B36">
      <w:pPr>
        <w:pStyle w:val="TOC4"/>
        <w:tabs>
          <w:tab w:val="left" w:pos="360"/>
        </w:tabs>
        <w:rPr>
          <w:rFonts w:asciiTheme="minorHAnsi" w:eastAsiaTheme="minorEastAsia" w:hAnsiTheme="minorHAnsi" w:cstheme="minorBidi"/>
          <w:snapToGrid/>
          <w:kern w:val="0"/>
          <w:szCs w:val="22"/>
        </w:rPr>
      </w:pPr>
      <w:r w:rsidRPr="007A6FE3">
        <w:t>c.</w:t>
      </w:r>
      <w:r w:rsidRPr="007A6FE3">
        <w:rPr>
          <w:rFonts w:asciiTheme="minorHAnsi" w:eastAsiaTheme="minorEastAsia" w:hAnsiTheme="minorHAnsi" w:cstheme="minorBidi"/>
          <w:snapToGrid/>
          <w:kern w:val="0"/>
          <w:szCs w:val="22"/>
        </w:rPr>
        <w:tab/>
      </w:r>
      <w:r w:rsidRPr="007A6FE3">
        <w:t>Maintaining Wholesale Access to Last-Mile Services</w:t>
      </w:r>
      <w:r w:rsidRPr="007A6FE3">
        <w:tab/>
        <w:t>106</w:t>
      </w:r>
    </w:p>
    <w:p w14:paraId="3A6222FE" w14:textId="77777777" w:rsidR="00E12107" w:rsidRPr="007A6FE3" w:rsidRDefault="00E12107" w:rsidP="00E12107">
      <w:pPr>
        <w:pStyle w:val="TOC1"/>
        <w:rPr>
          <w:rFonts w:asciiTheme="minorHAnsi" w:eastAsiaTheme="minorEastAsia" w:hAnsiTheme="minorHAnsi" w:cstheme="minorBidi"/>
          <w:caps w:val="0"/>
          <w:snapToGrid/>
          <w:kern w:val="0"/>
          <w:szCs w:val="22"/>
        </w:rPr>
      </w:pPr>
      <w:r w:rsidRPr="007A6FE3">
        <w:t>IV.</w:t>
      </w:r>
      <w:r w:rsidRPr="007A6FE3">
        <w:rPr>
          <w:rFonts w:asciiTheme="minorHAnsi" w:eastAsiaTheme="minorEastAsia" w:hAnsiTheme="minorHAnsi" w:cstheme="minorBidi"/>
          <w:caps w:val="0"/>
          <w:snapToGrid/>
          <w:kern w:val="0"/>
          <w:szCs w:val="22"/>
        </w:rPr>
        <w:tab/>
      </w:r>
      <w:r w:rsidRPr="007A6FE3">
        <w:t>Declaratory RULING</w:t>
      </w:r>
      <w:r w:rsidRPr="007A6FE3">
        <w:tab/>
        <w:t>114</w:t>
      </w:r>
    </w:p>
    <w:p w14:paraId="61E52A56" w14:textId="77777777" w:rsidR="00E12107" w:rsidRPr="007A6FE3" w:rsidRDefault="00E12107" w:rsidP="00C82B36">
      <w:pPr>
        <w:pStyle w:val="TOC1"/>
        <w:rPr>
          <w:rFonts w:asciiTheme="minorHAnsi" w:eastAsiaTheme="minorEastAsia" w:hAnsiTheme="minorHAnsi" w:cstheme="minorBidi"/>
          <w:snapToGrid/>
          <w:kern w:val="0"/>
          <w:szCs w:val="22"/>
        </w:rPr>
      </w:pPr>
      <w:r w:rsidRPr="007A6FE3">
        <w:t>V.</w:t>
      </w:r>
      <w:r w:rsidRPr="007A6FE3">
        <w:rPr>
          <w:rFonts w:asciiTheme="minorHAnsi" w:eastAsiaTheme="minorEastAsia" w:hAnsiTheme="minorHAnsi" w:cstheme="minorBidi"/>
          <w:caps w:val="0"/>
          <w:snapToGrid/>
          <w:kern w:val="0"/>
          <w:szCs w:val="22"/>
        </w:rPr>
        <w:tab/>
      </w:r>
      <w:r w:rsidRPr="007A6FE3">
        <w:t>PROCEDURAL MATTERS</w:t>
      </w:r>
      <w:r w:rsidRPr="007A6FE3">
        <w:tab/>
        <w:t>120</w:t>
      </w:r>
    </w:p>
    <w:p w14:paraId="2F960AB2" w14:textId="77777777" w:rsidR="00E12107" w:rsidRPr="007A6FE3" w:rsidRDefault="00E12107" w:rsidP="00E12107">
      <w:pPr>
        <w:pStyle w:val="TOC1"/>
        <w:rPr>
          <w:rFonts w:asciiTheme="minorHAnsi" w:eastAsiaTheme="minorEastAsia" w:hAnsiTheme="minorHAnsi" w:cstheme="minorBidi"/>
          <w:caps w:val="0"/>
          <w:snapToGrid/>
          <w:kern w:val="0"/>
          <w:szCs w:val="22"/>
        </w:rPr>
      </w:pPr>
      <w:r w:rsidRPr="007A6FE3">
        <w:t>VI.</w:t>
      </w:r>
      <w:r w:rsidRPr="007A6FE3">
        <w:rPr>
          <w:rFonts w:asciiTheme="minorHAnsi" w:eastAsiaTheme="minorEastAsia" w:hAnsiTheme="minorHAnsi" w:cstheme="minorBidi"/>
          <w:caps w:val="0"/>
          <w:snapToGrid/>
          <w:kern w:val="0"/>
          <w:szCs w:val="22"/>
        </w:rPr>
        <w:tab/>
      </w:r>
      <w:r w:rsidRPr="007A6FE3">
        <w:t>ORDERING CLAUSES</w:t>
      </w:r>
      <w:r w:rsidRPr="007A6FE3">
        <w:tab/>
        <w:t>1</w:t>
      </w:r>
      <w:r w:rsidR="003E0B1E">
        <w:t>24</w:t>
      </w:r>
    </w:p>
    <w:bookmarkEnd w:id="1"/>
    <w:p w14:paraId="2A252642" w14:textId="2ECB1E26" w:rsidR="00226137" w:rsidRPr="007A6FE3" w:rsidRDefault="006B6124" w:rsidP="008C62BF">
      <w:pPr>
        <w:pStyle w:val="TOC2"/>
        <w:tabs>
          <w:tab w:val="left" w:pos="360"/>
        </w:tabs>
        <w:ind w:left="0" w:firstLine="0"/>
      </w:pPr>
      <w:r w:rsidRPr="007A6FE3">
        <w:t>A</w:t>
      </w:r>
      <w:r w:rsidR="006B419E">
        <w:t>PPENDIX</w:t>
      </w:r>
      <w:r w:rsidRPr="007A6FE3">
        <w:t xml:space="preserve"> </w:t>
      </w:r>
      <w:r w:rsidR="00226137" w:rsidRPr="007A6FE3">
        <w:t>A — Proposed Rules</w:t>
      </w:r>
    </w:p>
    <w:p w14:paraId="6E39726A" w14:textId="595AFF77" w:rsidR="00416AE1" w:rsidRPr="007A6FE3" w:rsidRDefault="006B6124" w:rsidP="00D15861">
      <w:r w:rsidRPr="007A6FE3">
        <w:t>A</w:t>
      </w:r>
      <w:r w:rsidR="006B419E">
        <w:t>PPENDIX</w:t>
      </w:r>
      <w:r w:rsidRPr="007A6FE3">
        <w:t xml:space="preserve"> </w:t>
      </w:r>
      <w:r w:rsidR="00226137" w:rsidRPr="007A6FE3">
        <w:t>B —</w:t>
      </w:r>
      <w:r w:rsidR="006B419E">
        <w:t xml:space="preserve"> </w:t>
      </w:r>
      <w:r w:rsidR="00226137" w:rsidRPr="007A6FE3">
        <w:t>Initial Regulatory Flexibility Analysis</w:t>
      </w:r>
      <w:r w:rsidR="00F922CE" w:rsidRPr="007A6FE3">
        <w:t xml:space="preserve"> </w:t>
      </w:r>
    </w:p>
    <w:p w14:paraId="2CE72E71" w14:textId="77777777" w:rsidR="0044637E" w:rsidRPr="007A6FE3" w:rsidRDefault="0044637E" w:rsidP="00412FC5"/>
    <w:p w14:paraId="3BED681D" w14:textId="77777777" w:rsidR="00FC7F4D" w:rsidRPr="007A6FE3" w:rsidRDefault="00FC7F4D" w:rsidP="00FC7F4D">
      <w:pPr>
        <w:pStyle w:val="Heading1"/>
      </w:pPr>
      <w:bookmarkStart w:id="3" w:name="_Toc399947702"/>
      <w:bookmarkStart w:id="4" w:name="_Toc400554012"/>
      <w:bookmarkStart w:id="5" w:name="_Toc400566821"/>
      <w:bookmarkStart w:id="6" w:name="_Toc400711690"/>
      <w:bookmarkStart w:id="7" w:name="_Toc400719642"/>
      <w:bookmarkStart w:id="8" w:name="_Toc401299412"/>
      <w:bookmarkStart w:id="9" w:name="_Toc401306977"/>
      <w:bookmarkStart w:id="10" w:name="_Toc401595618"/>
      <w:bookmarkStart w:id="11" w:name="_Toc401658175"/>
      <w:bookmarkStart w:id="12" w:name="_Toc401821677"/>
      <w:bookmarkStart w:id="13" w:name="_Toc401912144"/>
      <w:bookmarkStart w:id="14" w:name="_Toc402255398"/>
      <w:bookmarkStart w:id="15" w:name="_Toc402276181"/>
      <w:bookmarkStart w:id="16" w:name="_Toc402360423"/>
      <w:bookmarkStart w:id="17" w:name="_Toc402511485"/>
      <w:bookmarkStart w:id="18" w:name="_Toc403566394"/>
      <w:bookmarkStart w:id="19" w:name="_Toc404072105"/>
      <w:bookmarkStart w:id="20" w:name="_Toc404081301"/>
      <w:bookmarkStart w:id="21" w:name="_Toc404165780"/>
      <w:bookmarkStart w:id="22" w:name="_Toc404165858"/>
      <w:bookmarkStart w:id="23" w:name="_Toc404172416"/>
      <w:bookmarkStart w:id="24" w:name="_Toc404181469"/>
      <w:bookmarkStart w:id="25" w:name="_Toc404183062"/>
      <w:bookmarkStart w:id="26" w:name="_Toc404246607"/>
      <w:r w:rsidRPr="007A6FE3">
        <w:t>Introduction</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1DBFE9D1" w14:textId="77777777" w:rsidR="00E85627" w:rsidRPr="007A6FE3" w:rsidRDefault="00E85627" w:rsidP="00E85627">
      <w:pPr>
        <w:pStyle w:val="ParaNum0"/>
      </w:pPr>
      <w:r w:rsidRPr="007A6FE3">
        <w:t>The Nation’s communications networks are in the midst of a series of technology transitions.</w:t>
      </w:r>
      <w:r w:rsidRPr="007A6FE3">
        <w:rPr>
          <w:rStyle w:val="FootnoteReference"/>
        </w:rPr>
        <w:footnoteReference w:id="2"/>
      </w:r>
      <w:r w:rsidRPr="007A6FE3">
        <w:t xml:space="preserve">  In this item, the Commission focuses on the technological revolution involving the transition from network</w:t>
      </w:r>
      <w:r w:rsidR="007A2E35" w:rsidRPr="007A6FE3">
        <w:t>s</w:t>
      </w:r>
      <w:r w:rsidRPr="007A6FE3">
        <w:t xml:space="preserve"> based on time-division multiplexed (TDM) circuit-switched voice services running on copper loops to all-Internet Protocol (IP) multi-media network</w:t>
      </w:r>
      <w:r w:rsidR="007A2E35" w:rsidRPr="007A6FE3">
        <w:t>s</w:t>
      </w:r>
      <w:r w:rsidRPr="007A6FE3">
        <w:t xml:space="preserve"> using copper, co-axial cable, wireless, and fiber as physical infrastructure.</w:t>
      </w:r>
      <w:r w:rsidRPr="007A6FE3">
        <w:rPr>
          <w:rStyle w:val="FootnoteReference"/>
          <w:szCs w:val="22"/>
        </w:rPr>
        <w:footnoteReference w:id="3"/>
      </w:r>
      <w:r w:rsidRPr="007A6FE3">
        <w:t xml:space="preserve">  These transitions already are bringing </w:t>
      </w:r>
      <w:r w:rsidR="00A32D23" w:rsidRPr="007A6FE3">
        <w:t xml:space="preserve">innovative </w:t>
      </w:r>
      <w:r w:rsidRPr="007A6FE3">
        <w:t xml:space="preserve">and improved communications </w:t>
      </w:r>
      <w:r w:rsidR="00A32D23" w:rsidRPr="007A6FE3">
        <w:t xml:space="preserve">services </w:t>
      </w:r>
      <w:r w:rsidRPr="007A6FE3">
        <w:t xml:space="preserve">to the marketplace.  Our January 2014 </w:t>
      </w:r>
      <w:r w:rsidRPr="007A6FE3">
        <w:rPr>
          <w:i/>
        </w:rPr>
        <w:t>Technology Transitions Order</w:t>
      </w:r>
      <w:r w:rsidRPr="007A6FE3">
        <w:t xml:space="preserve"> unanimously recognized that the success of these technology transitions depends upon the technologically-neutral preservation of principles </w:t>
      </w:r>
      <w:r w:rsidR="007A2E35" w:rsidRPr="007A6FE3">
        <w:t xml:space="preserve">embodied in the Communications Act </w:t>
      </w:r>
      <w:r w:rsidRPr="007A6FE3">
        <w:t>that have long defined the relationship between those who build and operate networks and those who use them.  These principles include competition, consumer protection, universal service, and public safety and national security.</w:t>
      </w:r>
      <w:r w:rsidRPr="007A6FE3">
        <w:rPr>
          <w:rStyle w:val="FootnoteReference"/>
        </w:rPr>
        <w:footnoteReference w:id="4"/>
      </w:r>
      <w:r w:rsidRPr="007A6FE3">
        <w:t xml:space="preserve">  We are determined to ensure that these fundamental values are not lost merely because technology changes.</w:t>
      </w:r>
    </w:p>
    <w:p w14:paraId="6679C320" w14:textId="77777777" w:rsidR="00E85627" w:rsidRPr="007A6FE3" w:rsidRDefault="00E85627" w:rsidP="00135367">
      <w:pPr>
        <w:pStyle w:val="ParaNum0"/>
      </w:pPr>
      <w:r w:rsidRPr="007A6FE3">
        <w:t>The items that we adopt today are a part of making that vision a reality.  Just as the 911 Policy Statement and Notice of Proposed Rulemaking also adopted today will help to preserve the public’s safety by enhancing the end-to-end reliability of transitional and IP-based 911 networks, this Notice of Proposed Rulemaking (Notice)</w:t>
      </w:r>
      <w:r w:rsidR="00103499" w:rsidRPr="007A6FE3">
        <w:t xml:space="preserve"> and</w:t>
      </w:r>
      <w:r w:rsidRPr="007A6FE3">
        <w:t xml:space="preserve"> Declaratory Ruling seeks to strengthen our public safety, pro-consumer and pro-competition policies and protections in a manner appropriate for the technology transitions that are underway and for the networks and services that emerge from those transitions.  While this item takes multiple steps toward those ends, the Commission is determined to:</w:t>
      </w:r>
    </w:p>
    <w:p w14:paraId="683F9869" w14:textId="77777777" w:rsidR="00E85627" w:rsidRPr="007A6FE3" w:rsidRDefault="00A6732D" w:rsidP="00101FB4">
      <w:pPr>
        <w:pStyle w:val="ParaNum0"/>
        <w:widowControl/>
        <w:numPr>
          <w:ilvl w:val="0"/>
          <w:numId w:val="11"/>
        </w:numPr>
      </w:pPr>
      <w:r w:rsidRPr="007A6FE3">
        <w:t>E</w:t>
      </w:r>
      <w:r w:rsidR="00E85627" w:rsidRPr="007A6FE3">
        <w:t>nsure reliable back-up power for consumers of IP-based voice and data services across networks that provide residential fixed service that substitutes for and improves upon the kind of traditional telephony used by people to dial 911</w:t>
      </w:r>
      <w:r w:rsidR="00842EB1" w:rsidRPr="007A6FE3">
        <w:t>;</w:t>
      </w:r>
    </w:p>
    <w:p w14:paraId="6AC6E2A9" w14:textId="77777777" w:rsidR="00E85627" w:rsidRPr="007A6FE3" w:rsidRDefault="00A6732D" w:rsidP="008541C5">
      <w:pPr>
        <w:pStyle w:val="ParaNum0"/>
        <w:numPr>
          <w:ilvl w:val="0"/>
          <w:numId w:val="11"/>
        </w:numPr>
      </w:pPr>
      <w:r w:rsidRPr="007A6FE3">
        <w:t>P</w:t>
      </w:r>
      <w:r w:rsidR="00E85627" w:rsidRPr="007A6FE3">
        <w:t xml:space="preserve">rotect </w:t>
      </w:r>
      <w:r w:rsidR="007A2E35" w:rsidRPr="007A6FE3">
        <w:t>consumers by</w:t>
      </w:r>
      <w:r w:rsidR="00E85627" w:rsidRPr="007A6FE3">
        <w:t xml:space="preserve"> </w:t>
      </w:r>
      <w:r w:rsidR="007A2E35" w:rsidRPr="007A6FE3">
        <w:t xml:space="preserve">ensuring they are </w:t>
      </w:r>
      <w:r w:rsidR="00E85627" w:rsidRPr="007A6FE3">
        <w:t>inform</w:t>
      </w:r>
      <w:r w:rsidR="007A2E35" w:rsidRPr="007A6FE3">
        <w:t>ed</w:t>
      </w:r>
      <w:r w:rsidR="00E85627" w:rsidRPr="007A6FE3">
        <w:t xml:space="preserve"> about their choices and the services provided to them when carriers retire legacy facilities (e.g., copper networks) and seek to discontinue </w:t>
      </w:r>
      <w:r w:rsidR="00A32D23" w:rsidRPr="007A6FE3">
        <w:t xml:space="preserve">legacy </w:t>
      </w:r>
      <w:r w:rsidR="00E85627" w:rsidRPr="007A6FE3">
        <w:t>services (e.g., basic voice service)</w:t>
      </w:r>
      <w:r w:rsidR="00842EB1" w:rsidRPr="007A6FE3">
        <w:t>;</w:t>
      </w:r>
      <w:r w:rsidR="00E85627" w:rsidRPr="007A6FE3">
        <w:t xml:space="preserve"> and</w:t>
      </w:r>
    </w:p>
    <w:p w14:paraId="6AF26A86" w14:textId="77777777" w:rsidR="00135367" w:rsidRPr="007A6FE3" w:rsidRDefault="00A6732D" w:rsidP="003F0F7D">
      <w:pPr>
        <w:pStyle w:val="ParaNum0"/>
        <w:widowControl/>
        <w:numPr>
          <w:ilvl w:val="0"/>
          <w:numId w:val="11"/>
        </w:numPr>
      </w:pPr>
      <w:r w:rsidRPr="007A6FE3">
        <w:t>P</w:t>
      </w:r>
      <w:r w:rsidR="00E85627" w:rsidRPr="007A6FE3">
        <w:t xml:space="preserve">rotect competition where it exists today, so that the mere change of a network facility or discontinuance of a legacy service does </w:t>
      </w:r>
      <w:r w:rsidR="00A32D23" w:rsidRPr="007A6FE3">
        <w:t xml:space="preserve">not deprive </w:t>
      </w:r>
      <w:r w:rsidR="00E85627" w:rsidRPr="007A6FE3">
        <w:t xml:space="preserve">small- and medium-sized business, schools, libraries, and other enterprises of the ability to choose the kinds of innovative services that best suit their needs.  </w:t>
      </w:r>
    </w:p>
    <w:p w14:paraId="70ED7DB4" w14:textId="77777777" w:rsidR="00E85627" w:rsidRPr="007A6FE3" w:rsidRDefault="00E85627" w:rsidP="00135367">
      <w:pPr>
        <w:pStyle w:val="ParaNum0"/>
        <w:numPr>
          <w:ilvl w:val="0"/>
          <w:numId w:val="0"/>
        </w:numPr>
      </w:pPr>
      <w:r w:rsidRPr="007A6FE3">
        <w:t xml:space="preserve">We elaborate on and summarize each of these actions below.  </w:t>
      </w:r>
    </w:p>
    <w:p w14:paraId="61FC594D" w14:textId="77777777" w:rsidR="00E85627" w:rsidRPr="007A6FE3" w:rsidRDefault="00E85627" w:rsidP="00E85627">
      <w:pPr>
        <w:pStyle w:val="ParaNum0"/>
      </w:pPr>
      <w:r w:rsidRPr="007A6FE3">
        <w:rPr>
          <w:i/>
        </w:rPr>
        <w:t>Ensuring Reliable Backup Power for Consumers of IP-based Services and New Network Facilities</w:t>
      </w:r>
      <w:r w:rsidRPr="007A6FE3">
        <w:t>.  We begin by addressing a critical issue for consumers in the 21</w:t>
      </w:r>
      <w:r w:rsidRPr="007A6FE3">
        <w:rPr>
          <w:vertAlign w:val="superscript"/>
        </w:rPr>
        <w:t>st</w:t>
      </w:r>
      <w:r w:rsidRPr="007A6FE3">
        <w:t xml:space="preserve"> Century:  reliable access to emergency and other communications services when electrical power to a residence </w:t>
      </w:r>
      <w:r w:rsidR="007B08A8" w:rsidRPr="007A6FE3">
        <w:t xml:space="preserve">or other customer location </w:t>
      </w:r>
      <w:r w:rsidRPr="007A6FE3">
        <w:t>goes out.  When commercial power sources fail, it often is in times of weather-related or manmade disasters—the very same time that consumers are most likely to need to call 911, communicate with relatives and other loved ones far away, receive incoming emergency notifications (like evacuation orders), and, generally, remain in contact with information from the outside world.  In the 20</w:t>
      </w:r>
      <w:r w:rsidRPr="007A6FE3">
        <w:rPr>
          <w:vertAlign w:val="superscript"/>
        </w:rPr>
        <w:t>th</w:t>
      </w:r>
      <w:r w:rsidRPr="007A6FE3">
        <w:t xml:space="preserve"> Century, consumers rightly became accustomed to </w:t>
      </w:r>
      <w:r w:rsidR="009E1841" w:rsidRPr="007A6FE3">
        <w:t>retaining</w:t>
      </w:r>
      <w:r w:rsidRPr="007A6FE3">
        <w:t xml:space="preserve"> the ability to use their landline phones </w:t>
      </w:r>
      <w:r w:rsidR="004D0CEA" w:rsidRPr="007A6FE3">
        <w:t xml:space="preserve">even </w:t>
      </w:r>
      <w:r w:rsidRPr="007A6FE3">
        <w:t xml:space="preserve">when the power went out </w:t>
      </w:r>
      <w:r w:rsidR="009E1841" w:rsidRPr="007A6FE3">
        <w:t>since</w:t>
      </w:r>
      <w:r w:rsidRPr="007A6FE3">
        <w:t xml:space="preserve"> copper networks conduct </w:t>
      </w:r>
      <w:r w:rsidR="009E1841" w:rsidRPr="007A6FE3">
        <w:t xml:space="preserve">electricity </w:t>
      </w:r>
      <w:r w:rsidRPr="007A6FE3">
        <w:t>from the local exchange carrier’s central office to the customer premises equipment (CPE)</w:t>
      </w:r>
      <w:r w:rsidR="009E1841" w:rsidRPr="007A6FE3">
        <w:t xml:space="preserve"> (i.e., copper networks possess “line power”)</w:t>
      </w:r>
      <w:r w:rsidRPr="007A6FE3">
        <w:t>.  In the 21</w:t>
      </w:r>
      <w:r w:rsidRPr="007A6FE3">
        <w:rPr>
          <w:vertAlign w:val="superscript"/>
        </w:rPr>
        <w:t>st</w:t>
      </w:r>
      <w:r w:rsidRPr="007A6FE3">
        <w:t xml:space="preserve"> Century, consumers are rapidly migrating to IP-based services and new network facilities (such as fiber or coaxial cable used by cable systems that provide interconnected </w:t>
      </w:r>
      <w:r w:rsidR="00A32D23" w:rsidRPr="007A6FE3">
        <w:t xml:space="preserve">VoIP </w:t>
      </w:r>
      <w:r w:rsidRPr="007A6FE3">
        <w:t xml:space="preserve">service) that carry enormous advantages but that do not </w:t>
      </w:r>
      <w:r w:rsidR="0058184F" w:rsidRPr="007A6FE3">
        <w:t xml:space="preserve">necessarily </w:t>
      </w:r>
      <w:r w:rsidRPr="007A6FE3">
        <w:t xml:space="preserve">supply line power.  </w:t>
      </w:r>
      <w:r w:rsidRPr="007A6FE3">
        <w:rPr>
          <w:szCs w:val="22"/>
        </w:rPr>
        <w:t xml:space="preserve">Because the CPE used for IP-based services generally requires backup power source such as batteries in the event of a power outage, it is important that consumers have </w:t>
      </w:r>
      <w:r w:rsidR="0058184F" w:rsidRPr="007A6FE3">
        <w:rPr>
          <w:szCs w:val="22"/>
        </w:rPr>
        <w:t>a means</w:t>
      </w:r>
      <w:r w:rsidRPr="007A6FE3">
        <w:rPr>
          <w:szCs w:val="22"/>
        </w:rPr>
        <w:t xml:space="preserve"> to ensure continuity of communications</w:t>
      </w:r>
      <w:r w:rsidR="0058184F" w:rsidRPr="007A6FE3">
        <w:rPr>
          <w:szCs w:val="22"/>
        </w:rPr>
        <w:t xml:space="preserve"> throughout a power outage</w:t>
      </w:r>
      <w:r w:rsidRPr="007A6FE3">
        <w:rPr>
          <w:szCs w:val="22"/>
        </w:rPr>
        <w:t xml:space="preserve">, including, most importantly, continued access to emergency services.  Accordingly, we </w:t>
      </w:r>
      <w:r w:rsidR="007A2E35" w:rsidRPr="007A6FE3">
        <w:rPr>
          <w:szCs w:val="22"/>
        </w:rPr>
        <w:t>propose</w:t>
      </w:r>
      <w:r w:rsidRPr="007A6FE3">
        <w:rPr>
          <w:szCs w:val="22"/>
        </w:rPr>
        <w:t xml:space="preserve"> and seek comment on steps the Commission could take to safeguard continuity of communications </w:t>
      </w:r>
      <w:r w:rsidR="0058184F" w:rsidRPr="007A6FE3">
        <w:rPr>
          <w:szCs w:val="22"/>
        </w:rPr>
        <w:t>throughout</w:t>
      </w:r>
      <w:r w:rsidRPr="007A6FE3">
        <w:rPr>
          <w:szCs w:val="22"/>
        </w:rPr>
        <w:t xml:space="preserve"> a power outage, including </w:t>
      </w:r>
      <w:r w:rsidR="0058184F" w:rsidRPr="007A6FE3">
        <w:rPr>
          <w:szCs w:val="22"/>
        </w:rPr>
        <w:t xml:space="preserve">the </w:t>
      </w:r>
      <w:r w:rsidRPr="007A6FE3">
        <w:rPr>
          <w:szCs w:val="22"/>
        </w:rPr>
        <w:t>possible adoption of new rules in this area.</w:t>
      </w:r>
      <w:r w:rsidR="00135367" w:rsidRPr="007A6FE3">
        <w:rPr>
          <w:szCs w:val="22"/>
        </w:rPr>
        <w:t xml:space="preserve">  Our approach </w:t>
      </w:r>
      <w:r w:rsidR="007A2E35" w:rsidRPr="007A6FE3">
        <w:rPr>
          <w:szCs w:val="22"/>
        </w:rPr>
        <w:t>would establish reasonable expectations in a</w:t>
      </w:r>
      <w:r w:rsidR="00135367" w:rsidRPr="007A6FE3">
        <w:rPr>
          <w:szCs w:val="22"/>
        </w:rPr>
        <w:t xml:space="preserve"> technology-neutral </w:t>
      </w:r>
      <w:r w:rsidR="007A2E35" w:rsidRPr="007A6FE3">
        <w:rPr>
          <w:szCs w:val="22"/>
        </w:rPr>
        <w:t xml:space="preserve">fashion, </w:t>
      </w:r>
      <w:r w:rsidR="00135367" w:rsidRPr="007A6FE3">
        <w:rPr>
          <w:szCs w:val="22"/>
        </w:rPr>
        <w:t xml:space="preserve">and </w:t>
      </w:r>
      <w:r w:rsidR="007A2E35" w:rsidRPr="007A6FE3">
        <w:rPr>
          <w:szCs w:val="22"/>
        </w:rPr>
        <w:t xml:space="preserve">would </w:t>
      </w:r>
      <w:r w:rsidR="00135367" w:rsidRPr="007A6FE3">
        <w:rPr>
          <w:szCs w:val="22"/>
        </w:rPr>
        <w:t>appl</w:t>
      </w:r>
      <w:r w:rsidR="007A2E35" w:rsidRPr="007A6FE3">
        <w:rPr>
          <w:szCs w:val="22"/>
        </w:rPr>
        <w:t>y</w:t>
      </w:r>
      <w:r w:rsidR="00135367" w:rsidRPr="007A6FE3">
        <w:rPr>
          <w:szCs w:val="22"/>
        </w:rPr>
        <w:t xml:space="preserve"> to all fixed networks supplying this fundamental means of residential communication.</w:t>
      </w:r>
    </w:p>
    <w:p w14:paraId="28FAC301" w14:textId="77777777" w:rsidR="00E85627" w:rsidRPr="007A6FE3" w:rsidRDefault="00E85627" w:rsidP="00E85627">
      <w:pPr>
        <w:pStyle w:val="ParaNum0"/>
      </w:pPr>
      <w:r w:rsidRPr="007A6FE3">
        <w:rPr>
          <w:i/>
        </w:rPr>
        <w:t>Informing and Protecting Consumers as Networks and Services Change</w:t>
      </w:r>
      <w:r w:rsidRPr="007A6FE3">
        <w:t>.  What happens when a consumer</w:t>
      </w:r>
      <w:r w:rsidR="00C50BB4" w:rsidRPr="007A6FE3">
        <w:t xml:space="preserve"> </w:t>
      </w:r>
      <w:r w:rsidRPr="007A6FE3">
        <w:t>is told that the telephone service on which he or she has relied is about to be discontinued</w:t>
      </w:r>
      <w:r w:rsidR="00C50BB4" w:rsidRPr="007A6FE3">
        <w:t xml:space="preserve"> or when the copper </w:t>
      </w:r>
      <w:r w:rsidR="00135367" w:rsidRPr="007A6FE3">
        <w:t xml:space="preserve">network </w:t>
      </w:r>
      <w:r w:rsidR="00C50BB4" w:rsidRPr="007A6FE3">
        <w:t xml:space="preserve">used to provide that service is </w:t>
      </w:r>
      <w:r w:rsidR="00D90A35" w:rsidRPr="007A6FE3">
        <w:t xml:space="preserve">going to be </w:t>
      </w:r>
      <w:r w:rsidR="00135367" w:rsidRPr="007A6FE3">
        <w:t>shut down</w:t>
      </w:r>
      <w:r w:rsidRPr="007A6FE3">
        <w:t xml:space="preserve">? </w:t>
      </w:r>
      <w:r w:rsidR="00FE2018" w:rsidRPr="007A6FE3">
        <w:t xml:space="preserve"> </w:t>
      </w:r>
      <w:r w:rsidR="00C50BB4" w:rsidRPr="007A6FE3">
        <w:t xml:space="preserve">These </w:t>
      </w:r>
      <w:r w:rsidR="00135367" w:rsidRPr="007A6FE3">
        <w:t xml:space="preserve">questions </w:t>
      </w:r>
      <w:r w:rsidR="00C50BB4" w:rsidRPr="007A6FE3">
        <w:t>are</w:t>
      </w:r>
      <w:r w:rsidRPr="007A6FE3">
        <w:t xml:space="preserve"> not </w:t>
      </w:r>
      <w:r w:rsidR="00135367" w:rsidRPr="007A6FE3">
        <w:t>idle speculation</w:t>
      </w:r>
      <w:r w:rsidRPr="007A6FE3">
        <w:t xml:space="preserve">. </w:t>
      </w:r>
      <w:r w:rsidR="00FE2018" w:rsidRPr="007A6FE3">
        <w:t xml:space="preserve"> </w:t>
      </w:r>
      <w:r w:rsidRPr="007A6FE3">
        <w:t xml:space="preserve">For </w:t>
      </w:r>
      <w:r w:rsidR="00140D02" w:rsidRPr="007A6FE3">
        <w:t xml:space="preserve">example, for </w:t>
      </w:r>
      <w:r w:rsidRPr="007A6FE3">
        <w:t xml:space="preserve">all of the adoption of different forms of last-mile technology, </w:t>
      </w:r>
      <w:r w:rsidR="0047791F" w:rsidRPr="007A6FE3">
        <w:t xml:space="preserve">at the end of 2013, </w:t>
      </w:r>
      <w:r w:rsidRPr="007A6FE3">
        <w:t>there remain</w:t>
      </w:r>
      <w:r w:rsidR="0047791F" w:rsidRPr="007A6FE3">
        <w:t>ed</w:t>
      </w:r>
      <w:r w:rsidRPr="007A6FE3">
        <w:t xml:space="preserve"> some </w:t>
      </w:r>
      <w:r w:rsidR="0047791F" w:rsidRPr="007A6FE3">
        <w:t xml:space="preserve">38 </w:t>
      </w:r>
      <w:r w:rsidRPr="007A6FE3">
        <w:t xml:space="preserve">million </w:t>
      </w:r>
      <w:r w:rsidR="0047791F" w:rsidRPr="007A6FE3">
        <w:t>switched access lines in service to American households</w:t>
      </w:r>
      <w:r w:rsidRPr="007A6FE3">
        <w:t>.</w:t>
      </w:r>
      <w:r w:rsidRPr="007A6FE3">
        <w:rPr>
          <w:rStyle w:val="FootnoteReference"/>
        </w:rPr>
        <w:footnoteReference w:id="5"/>
      </w:r>
      <w:r w:rsidRPr="007A6FE3">
        <w:t xml:space="preserve">  We take forward-looking action to ensure that consumers have the information they need to make informed choices as technologies transition, and that IP-based and other new retail services meet consumers’ fundamental needs before the Commission allows a carrier to remove legacy services from the marketplace.</w:t>
      </w:r>
      <w:r w:rsidR="00D80C9F" w:rsidRPr="007A6FE3">
        <w:rPr>
          <w:rStyle w:val="FootnoteReference"/>
        </w:rPr>
        <w:footnoteReference w:id="6"/>
      </w:r>
      <w:r w:rsidRPr="007A6FE3">
        <w:t xml:space="preserve">  All stakeholders—including the Commission, industry, and consumers—gained valuable insights from the debate that ensued in 2013 when Verizon proposed to serve customers in parts of Fire Island with network facilities and services that differed in important ways from those available before Hurricane Sandy destroyed the legacy network.  While that debate occurred in the context of an isolated occurrence, it foreshadowed issues with which the Commission will have to contend as carriers reach a point at which they will rationally seek to retire network facilities and discontinue TDM services on a wide-scale basis across the Nation.  We have a duty to prepare for that day and provide guidance </w:t>
      </w:r>
      <w:r w:rsidR="0047791F" w:rsidRPr="007A6FE3">
        <w:t xml:space="preserve">for </w:t>
      </w:r>
      <w:r w:rsidRPr="007A6FE3">
        <w:t>consumers</w:t>
      </w:r>
      <w:r w:rsidR="0047791F" w:rsidRPr="007A6FE3">
        <w:t>, enterprise and anchor customers,</w:t>
      </w:r>
      <w:r w:rsidRPr="007A6FE3">
        <w:t xml:space="preserve"> and industry alike, rather than merely react to it when </w:t>
      </w:r>
      <w:r w:rsidR="0047791F" w:rsidRPr="007A6FE3">
        <w:t>large-scale plans to</w:t>
      </w:r>
      <w:r w:rsidRPr="007A6FE3">
        <w:t xml:space="preserve"> change </w:t>
      </w:r>
      <w:r w:rsidR="0047791F" w:rsidRPr="007A6FE3">
        <w:t xml:space="preserve">networks and discontinue services start to impact </w:t>
      </w:r>
      <w:r w:rsidR="00135367" w:rsidRPr="007A6FE3">
        <w:t>the public</w:t>
      </w:r>
      <w:r w:rsidR="00140D02" w:rsidRPr="007A6FE3">
        <w:t>.</w:t>
      </w:r>
      <w:r w:rsidRPr="007A6FE3">
        <w:rPr>
          <w:rStyle w:val="FootnoteReference"/>
        </w:rPr>
        <w:footnoteReference w:id="7"/>
      </w:r>
      <w:r w:rsidRPr="007A6FE3">
        <w:t xml:space="preserve"> </w:t>
      </w:r>
    </w:p>
    <w:p w14:paraId="3717C3A6" w14:textId="77777777" w:rsidR="00E85627" w:rsidRPr="007A6FE3" w:rsidRDefault="00E85627" w:rsidP="00E85627">
      <w:pPr>
        <w:pStyle w:val="ParaNum0"/>
      </w:pPr>
      <w:r w:rsidRPr="007A6FE3">
        <w:t xml:space="preserve">Preparing for wide-scale technology transitions that will </w:t>
      </w:r>
      <w:r w:rsidR="0047791F" w:rsidRPr="007A6FE3">
        <w:t xml:space="preserve">affect </w:t>
      </w:r>
      <w:r w:rsidRPr="007A6FE3">
        <w:t xml:space="preserve">consumers </w:t>
      </w:r>
      <w:r w:rsidR="0047791F" w:rsidRPr="007A6FE3">
        <w:t>requires us to consider</w:t>
      </w:r>
      <w:r w:rsidRPr="007A6FE3">
        <w:t xml:space="preserve"> two separate, but often related, parts of our rules:</w:t>
      </w:r>
      <w:r w:rsidR="00FE2018" w:rsidRPr="007A6FE3">
        <w:t xml:space="preserve"> </w:t>
      </w:r>
      <w:r w:rsidRPr="007A6FE3">
        <w:t xml:space="preserve"> </w:t>
      </w:r>
      <w:r w:rsidR="00135367" w:rsidRPr="007A6FE3">
        <w:t xml:space="preserve">(1) </w:t>
      </w:r>
      <w:r w:rsidRPr="007A6FE3">
        <w:t xml:space="preserve">those governing changes in network </w:t>
      </w:r>
      <w:r w:rsidRPr="007A6FE3">
        <w:rPr>
          <w:i/>
        </w:rPr>
        <w:t>facilities</w:t>
      </w:r>
      <w:r w:rsidR="00135367" w:rsidRPr="007A6FE3">
        <w:t xml:space="preserve">, </w:t>
      </w:r>
      <w:r w:rsidRPr="007A6FE3">
        <w:t>and in particular, retirement of copper facilities</w:t>
      </w:r>
      <w:r w:rsidR="0075123C" w:rsidRPr="007A6FE3">
        <w:t>;</w:t>
      </w:r>
      <w:r w:rsidRPr="007A6FE3">
        <w:t xml:space="preserve"> and </w:t>
      </w:r>
      <w:r w:rsidR="00135367" w:rsidRPr="007A6FE3">
        <w:t xml:space="preserve">(2) </w:t>
      </w:r>
      <w:r w:rsidR="0047791F" w:rsidRPr="007A6FE3">
        <w:t xml:space="preserve">those </w:t>
      </w:r>
      <w:r w:rsidRPr="007A6FE3">
        <w:t xml:space="preserve">governing the discontinuance, impairment, or reduction of legacy </w:t>
      </w:r>
      <w:r w:rsidRPr="007A6FE3">
        <w:rPr>
          <w:i/>
        </w:rPr>
        <w:t>services</w:t>
      </w:r>
      <w:r w:rsidRPr="007A6FE3">
        <w:t xml:space="preserve">, irrespective of the network facility used to deliver those services.   </w:t>
      </w:r>
    </w:p>
    <w:p w14:paraId="25B97952" w14:textId="77777777" w:rsidR="00E85627" w:rsidRPr="007A6FE3" w:rsidRDefault="00E85627" w:rsidP="008541C5">
      <w:pPr>
        <w:pStyle w:val="ParaNum0"/>
        <w:widowControl/>
        <w:numPr>
          <w:ilvl w:val="0"/>
          <w:numId w:val="9"/>
        </w:numPr>
      </w:pPr>
      <w:r w:rsidRPr="007A6FE3">
        <w:t xml:space="preserve">Our rules governing </w:t>
      </w:r>
      <w:r w:rsidRPr="007A6FE3">
        <w:rPr>
          <w:i/>
        </w:rPr>
        <w:t>network changes</w:t>
      </w:r>
      <w:r w:rsidRPr="007A6FE3">
        <w:t>—here, in particular, copper retirement—are triggered when a carrier makes a change</w:t>
      </w:r>
      <w:r w:rsidR="00F94043" w:rsidRPr="007A6FE3">
        <w:rPr>
          <w:rStyle w:val="FootnoteReference"/>
        </w:rPr>
        <w:footnoteReference w:id="8"/>
      </w:r>
      <w:r w:rsidRPr="007A6FE3">
        <w:t xml:space="preserve"> in network facilities, as occurs when a carrier retires its copper network to move to an all-fiber </w:t>
      </w:r>
      <w:r w:rsidR="00135367" w:rsidRPr="007A6FE3">
        <w:t>network</w:t>
      </w:r>
      <w:r w:rsidRPr="007A6FE3">
        <w:t>.  So long as no service is discontinued</w:t>
      </w:r>
      <w:r w:rsidR="00037E8D" w:rsidRPr="007A6FE3">
        <w:rPr>
          <w:rStyle w:val="FootnoteReference"/>
        </w:rPr>
        <w:footnoteReference w:id="9"/>
      </w:r>
      <w:r w:rsidRPr="007A6FE3">
        <w:t xml:space="preserve"> in this process (e.g., TDM basic voice), a carrier need only provide notice of its intent to retire the legacy facilities (e.g., copper loops).  We propose to retain the notice-only nature of the copper retirement process; we do not wish to impede carriers from transitioning to new networks, such as fiber-to-the-home.  That said, we are concerned that our current copper retirement rules do not take account of the needs of consumers still on the copper network for accurate information about the consequences of the change in facilities or their options in the wake of it.  We accordingly propose to update our copper retirement rules to provide </w:t>
      </w:r>
      <w:r w:rsidR="0047791F" w:rsidRPr="007A6FE3">
        <w:t>additional notice</w:t>
      </w:r>
      <w:r w:rsidR="00842EB1" w:rsidRPr="007A6FE3">
        <w:t xml:space="preserve"> of planned copper retirements to affected retail </w:t>
      </w:r>
      <w:r w:rsidR="00AA354D" w:rsidRPr="007A6FE3">
        <w:t>customers</w:t>
      </w:r>
      <w:r w:rsidR="00842EB1" w:rsidRPr="007A6FE3">
        <w:t>, along with particular consumer protection measures, and to provide a formal process for public comment on such plans.</w:t>
      </w:r>
      <w:r w:rsidRPr="007A6FE3">
        <w:t xml:space="preserve">  </w:t>
      </w:r>
      <w:r w:rsidR="00F94043" w:rsidRPr="007A6FE3">
        <w:t xml:space="preserve">We propose defining </w:t>
      </w:r>
      <w:r w:rsidR="008E1253" w:rsidRPr="007A6FE3">
        <w:t xml:space="preserve">“copper retirement” so that incumbent LECs know when these responsibilities are triggered.  </w:t>
      </w:r>
      <w:r w:rsidRPr="007A6FE3">
        <w:t xml:space="preserve">We also note allegations in the record that in some cases carriers are allowing copper networks to deteriorate prior to retirement and/or are not being clear with consumers about the options available to them as copper networks are retired.  We seek comment on how these allegations, if true, affect consumers, and we suggest rule changes—such as a definition of what constitutes </w:t>
      </w:r>
      <w:r w:rsidR="00F94043" w:rsidRPr="007A6FE3">
        <w:t>“</w:t>
      </w:r>
      <w:r w:rsidRPr="007A6FE3">
        <w:t xml:space="preserve">copper retirement”—that could make such practices less likely to occur.     </w:t>
      </w:r>
    </w:p>
    <w:p w14:paraId="576FF33D" w14:textId="77777777" w:rsidR="00E85627" w:rsidRPr="007A6FE3" w:rsidRDefault="00E85627" w:rsidP="00101FB4">
      <w:pPr>
        <w:pStyle w:val="ParaNum0"/>
        <w:widowControl/>
        <w:numPr>
          <w:ilvl w:val="0"/>
          <w:numId w:val="9"/>
        </w:numPr>
      </w:pPr>
      <w:r w:rsidRPr="007A6FE3">
        <w:t xml:space="preserve">Our rules governing </w:t>
      </w:r>
      <w:r w:rsidRPr="007A6FE3">
        <w:rPr>
          <w:i/>
        </w:rPr>
        <w:t>service</w:t>
      </w:r>
      <w:r w:rsidRPr="007A6FE3">
        <w:t xml:space="preserve"> discontinuances derive from </w:t>
      </w:r>
      <w:r w:rsidR="0047791F" w:rsidRPr="007A6FE3">
        <w:t>s</w:t>
      </w:r>
      <w:r w:rsidRPr="007A6FE3">
        <w:t xml:space="preserve">ection 214 of the Communications Act of 1934, as amended (the Act), which requires carriers to obtain our approval before they discontinue, reduce, or impair service to a community or part of a community.  Thus, under section 214, a carrier </w:t>
      </w:r>
      <w:r w:rsidR="008E1253" w:rsidRPr="007A6FE3">
        <w:t xml:space="preserve">typically </w:t>
      </w:r>
      <w:r w:rsidRPr="007A6FE3">
        <w:t xml:space="preserve">could not remove </w:t>
      </w:r>
      <w:r w:rsidR="00037E8D" w:rsidRPr="007A6FE3">
        <w:t xml:space="preserve">interstate or foreign </w:t>
      </w:r>
      <w:r w:rsidRPr="007A6FE3">
        <w:t xml:space="preserve">basic voice service from the marketplace without a public review process and affirmative Commission decision that the discontinuance will meet </w:t>
      </w:r>
      <w:r w:rsidR="00B72434" w:rsidRPr="007A6FE3">
        <w:t xml:space="preserve">the </w:t>
      </w:r>
      <w:r w:rsidRPr="007A6FE3">
        <w:t>statutory standard.</w:t>
      </w:r>
      <w:r w:rsidR="008E1253" w:rsidRPr="007A6FE3">
        <w:rPr>
          <w:rStyle w:val="FootnoteReference"/>
        </w:rPr>
        <w:footnoteReference w:id="10"/>
      </w:r>
      <w:r w:rsidRPr="007A6FE3">
        <w:t xml:space="preserve"> </w:t>
      </w:r>
      <w:r w:rsidR="008E1253" w:rsidRPr="007A6FE3">
        <w:t xml:space="preserve"> </w:t>
      </w:r>
      <w:r w:rsidRPr="007A6FE3">
        <w:t xml:space="preserve">This process allows the Commission </w:t>
      </w:r>
      <w:r w:rsidR="008E1253" w:rsidRPr="007A6FE3">
        <w:t xml:space="preserve">to satisfy its obligation under the Act to protect the public interest and </w:t>
      </w:r>
      <w:r w:rsidRPr="007A6FE3">
        <w:t>to minimize harm to consumers.</w:t>
      </w:r>
      <w:r w:rsidRPr="007A6FE3">
        <w:rPr>
          <w:rStyle w:val="FootnoteReference"/>
        </w:rPr>
        <w:footnoteReference w:id="11"/>
      </w:r>
      <w:r w:rsidRPr="007A6FE3">
        <w:t xml:space="preserve"> </w:t>
      </w:r>
      <w:r w:rsidR="00101FB4" w:rsidRPr="007A6FE3">
        <w:t xml:space="preserve"> </w:t>
      </w:r>
      <w:r w:rsidRPr="007A6FE3">
        <w:t xml:space="preserve">We take two steps to ensure that the Commission fulfills its critical role in overseeing service discontinuances under section 214 of the Act.  </w:t>
      </w:r>
    </w:p>
    <w:p w14:paraId="7CD34AB1" w14:textId="77777777" w:rsidR="00E85627" w:rsidRPr="007A6FE3" w:rsidRDefault="002C5BE2" w:rsidP="00A2098F">
      <w:pPr>
        <w:pStyle w:val="ParaNum0"/>
        <w:widowControl/>
        <w:numPr>
          <w:ilvl w:val="1"/>
          <w:numId w:val="9"/>
        </w:numPr>
      </w:pPr>
      <w:r w:rsidRPr="007A6FE3">
        <w:t>I</w:t>
      </w:r>
      <w:r w:rsidR="00E85627" w:rsidRPr="007A6FE3">
        <w:t xml:space="preserve">n the Declaratory </w:t>
      </w:r>
      <w:r w:rsidR="00842EB1" w:rsidRPr="007A6FE3">
        <w:t>Ruling</w:t>
      </w:r>
      <w:r w:rsidR="00E85627" w:rsidRPr="007A6FE3">
        <w:t>, we make clear that where a carrier offers a service to the public,</w:t>
      </w:r>
      <w:r w:rsidR="00B72434" w:rsidRPr="007A6FE3">
        <w:t xml:space="preserve"> its service is defined in a functional manner, and not exclusively by reference to how the service is described in its tariff.</w:t>
      </w:r>
      <w:r w:rsidR="007B08A8" w:rsidRPr="007A6FE3">
        <w:t xml:space="preserve">  </w:t>
      </w:r>
      <w:r w:rsidR="00140D02" w:rsidRPr="007A6FE3">
        <w:t xml:space="preserve">Where consumers may depend upon a service offered by a carrier, there should be a public process to evaluate a proposed discontinuance of that service </w:t>
      </w:r>
      <w:r w:rsidR="00140D02" w:rsidRPr="007A6FE3">
        <w:rPr>
          <w:i/>
        </w:rPr>
        <w:t xml:space="preserve">before </w:t>
      </w:r>
      <w:r w:rsidR="00140D02" w:rsidRPr="007A6FE3">
        <w:t xml:space="preserve">it happens, regardless of how the carrier has written its tariff.  </w:t>
      </w:r>
      <w:r w:rsidR="00E85627" w:rsidRPr="007A6FE3">
        <w:t xml:space="preserve">The touchstone of our analysis is this: </w:t>
      </w:r>
      <w:r w:rsidR="00842EB1" w:rsidRPr="007A6FE3">
        <w:t xml:space="preserve"> </w:t>
      </w:r>
      <w:r w:rsidR="00E85627" w:rsidRPr="007A6FE3">
        <w:t xml:space="preserve">When Congress instructed </w:t>
      </w:r>
      <w:r w:rsidR="004927D9" w:rsidRPr="007A6FE3">
        <w:t xml:space="preserve">carriers </w:t>
      </w:r>
      <w:r w:rsidR="00E85627" w:rsidRPr="007A6FE3">
        <w:t xml:space="preserve">to consider whether </w:t>
      </w:r>
      <w:r w:rsidR="004927D9" w:rsidRPr="007A6FE3">
        <w:t>they are</w:t>
      </w:r>
      <w:r w:rsidR="00E85627" w:rsidRPr="007A6FE3">
        <w:t xml:space="preserve"> discontinuing</w:t>
      </w:r>
      <w:r w:rsidR="004927D9" w:rsidRPr="007A6FE3">
        <w:t>, reducing, or impairing</w:t>
      </w:r>
      <w:r w:rsidR="00E85627" w:rsidRPr="007A6FE3">
        <w:t xml:space="preserve"> service to a community, it </w:t>
      </w:r>
      <w:r w:rsidR="00037E8D" w:rsidRPr="007A6FE3">
        <w:t xml:space="preserve">created a statutory provision that focuses </w:t>
      </w:r>
      <w:r w:rsidR="00E85627" w:rsidRPr="007A6FE3">
        <w:t xml:space="preserve">on the practical impact of the carrier action, not on the fine-print of an aging tariff filing. </w:t>
      </w:r>
    </w:p>
    <w:p w14:paraId="50E558D8" w14:textId="77777777" w:rsidR="00E85627" w:rsidRPr="007A6FE3" w:rsidRDefault="002C5BE2" w:rsidP="008541C5">
      <w:pPr>
        <w:pStyle w:val="ParaNum0"/>
        <w:numPr>
          <w:ilvl w:val="1"/>
          <w:numId w:val="9"/>
        </w:numPr>
      </w:pPr>
      <w:r w:rsidRPr="007A6FE3">
        <w:t xml:space="preserve">Recognizing </w:t>
      </w:r>
      <w:r w:rsidR="00E85627" w:rsidRPr="007A6FE3">
        <w:t xml:space="preserve">that consumers and industry alike benefit from predictability and certainty, we </w:t>
      </w:r>
      <w:r w:rsidR="004B5560">
        <w:t>seek comment on whether</w:t>
      </w:r>
      <w:r w:rsidR="00D031F2" w:rsidRPr="007A6FE3">
        <w:t xml:space="preserve"> we should</w:t>
      </w:r>
      <w:r w:rsidR="00E85627" w:rsidRPr="007A6FE3">
        <w:t xml:space="preserve"> establish criteria that the Commission will use in evaluating applications to discontinue retail services pursuant to section 214.  Initiating this process now will position the Commission to ensure that we </w:t>
      </w:r>
      <w:r w:rsidR="007A2E35" w:rsidRPr="007A6FE3">
        <w:t>can carry out our statutorily-mandated responsibilities</w:t>
      </w:r>
      <w:r w:rsidR="00E85627" w:rsidRPr="007A6FE3">
        <w:t xml:space="preserve"> in a technology-neutral manner at such time that carriers are ready to seek discontinuance of legacy services </w:t>
      </w:r>
      <w:r w:rsidR="00E85627" w:rsidRPr="007A6FE3">
        <w:rPr>
          <w:i/>
        </w:rPr>
        <w:t>en masse</w:t>
      </w:r>
      <w:r w:rsidR="00E85627" w:rsidRPr="007A6FE3">
        <w:t>.  Everyone concerned would be best served by the Commission’s articulation of criteria now, rather than wading through a complicated morass of applications.</w:t>
      </w:r>
    </w:p>
    <w:p w14:paraId="098E29B8" w14:textId="77777777" w:rsidR="00E85627" w:rsidRPr="007A6FE3" w:rsidRDefault="00E85627" w:rsidP="00E85627">
      <w:pPr>
        <w:pStyle w:val="ParaNum0"/>
      </w:pPr>
      <w:r w:rsidRPr="007A6FE3">
        <w:rPr>
          <w:i/>
        </w:rPr>
        <w:t>Preserving Competition by Maintaining Wholesale Access</w:t>
      </w:r>
      <w:r w:rsidRPr="007A6FE3">
        <w:t>.  Consumers are not the only customers with which the Commission is concerned.  Small- and medium-sized businesses and other institutions like schools, libraries</w:t>
      </w:r>
      <w:r w:rsidR="00B7372E" w:rsidRPr="007A6FE3">
        <w:t>,</w:t>
      </w:r>
      <w:r w:rsidRPr="007A6FE3">
        <w:t xml:space="preserve"> healthcare facilities</w:t>
      </w:r>
      <w:r w:rsidR="00B7372E" w:rsidRPr="007A6FE3">
        <w:t>, and governmental entities also</w:t>
      </w:r>
      <w:r w:rsidRPr="007A6FE3">
        <w:t xml:space="preserve"> rely on </w:t>
      </w:r>
      <w:r w:rsidR="00B7372E" w:rsidRPr="007A6FE3">
        <w:t xml:space="preserve">communications </w:t>
      </w:r>
      <w:r w:rsidRPr="007A6FE3">
        <w:t>services.</w:t>
      </w:r>
      <w:r w:rsidR="00CA0807" w:rsidRPr="007A6FE3">
        <w:rPr>
          <w:rStyle w:val="FootnoteReference"/>
        </w:rPr>
        <w:footnoteReference w:id="12"/>
      </w:r>
      <w:r w:rsidRPr="007A6FE3">
        <w:t xml:space="preserve">  Today, competition for </w:t>
      </w:r>
      <w:r w:rsidR="00B7372E" w:rsidRPr="007A6FE3">
        <w:t xml:space="preserve">enterprise communications </w:t>
      </w:r>
      <w:r w:rsidRPr="007A6FE3">
        <w:t>services is supplied by both incumbent carriers and competitive carriers.</w:t>
      </w:r>
      <w:r w:rsidR="00083949" w:rsidRPr="007A6FE3">
        <w:rPr>
          <w:rStyle w:val="FootnoteReference"/>
        </w:rPr>
        <w:footnoteReference w:id="13"/>
      </w:r>
      <w:r w:rsidRPr="007A6FE3">
        <w:t xml:space="preserve">  To provide choices to business and non-profit customers, competitive carriers </w:t>
      </w:r>
      <w:r w:rsidR="00B7372E" w:rsidRPr="007A6FE3">
        <w:t xml:space="preserve">often </w:t>
      </w:r>
      <w:r w:rsidRPr="007A6FE3">
        <w:t>rely on a combination of their own facilities and the purchase of last-mile facilities and services from the incumbent carriers</w:t>
      </w:r>
      <w:r w:rsidR="00842EB1" w:rsidRPr="007A6FE3">
        <w:t>,</w:t>
      </w:r>
      <w:r w:rsidRPr="007A6FE3">
        <w:t xml:space="preserve"> such as </w:t>
      </w:r>
      <w:r w:rsidR="00B7372E" w:rsidRPr="007A6FE3">
        <w:t xml:space="preserve">unbundled </w:t>
      </w:r>
      <w:r w:rsidRPr="007A6FE3">
        <w:t>copper loops and special access services.</w:t>
      </w:r>
      <w:r w:rsidR="00140D02" w:rsidRPr="007A6FE3">
        <w:rPr>
          <w:rStyle w:val="FootnoteReference"/>
        </w:rPr>
        <w:footnoteReference w:id="14"/>
      </w:r>
      <w:r w:rsidRPr="007A6FE3">
        <w:t xml:space="preserve">  </w:t>
      </w:r>
      <w:r w:rsidR="004D7A11" w:rsidRPr="007A6FE3">
        <w:t>W</w:t>
      </w:r>
      <w:r w:rsidRPr="007A6FE3">
        <w:t xml:space="preserve">hile we do not seek to impose any </w:t>
      </w:r>
      <w:r w:rsidRPr="007A6FE3">
        <w:rPr>
          <w:i/>
        </w:rPr>
        <w:t xml:space="preserve">new </w:t>
      </w:r>
      <w:r w:rsidRPr="007A6FE3">
        <w:t xml:space="preserve">wholesale access obligations on incumbent carriers, we are guided by the mantra that technology transitions should not be used </w:t>
      </w:r>
      <w:r w:rsidR="00584122" w:rsidRPr="007A6FE3">
        <w:t xml:space="preserve">as </w:t>
      </w:r>
      <w:r w:rsidRPr="007A6FE3">
        <w:t>an excuse to limit competition that exists.  As in the consumer context, we consider the relevance both of our copper retirement rules and our service discontinuance rules in fulfilling this vision of ensuring that wholesale access does not decline merely because te</w:t>
      </w:r>
      <w:r w:rsidR="00101FB4" w:rsidRPr="007A6FE3">
        <w:t>chnologies are in transition.</w:t>
      </w:r>
    </w:p>
    <w:p w14:paraId="2DE323C1" w14:textId="77777777" w:rsidR="00E85627" w:rsidRPr="007A6FE3" w:rsidRDefault="00E85627" w:rsidP="008541C5">
      <w:pPr>
        <w:pStyle w:val="ParaNum0"/>
        <w:numPr>
          <w:ilvl w:val="0"/>
          <w:numId w:val="10"/>
        </w:numPr>
      </w:pPr>
      <w:r w:rsidRPr="007A6FE3">
        <w:t xml:space="preserve">With respect to copper retirement, we </w:t>
      </w:r>
      <w:r w:rsidR="004D7A11" w:rsidRPr="007A6FE3">
        <w:t xml:space="preserve">reiterate that we </w:t>
      </w:r>
      <w:r w:rsidRPr="007A6FE3">
        <w:t>do not propose any change to the notion that an incumbent carrier has the right to cease operating its copper network.  However, it is important that copper retirement—particularly retirement on a wide scale—</w:t>
      </w:r>
      <w:r w:rsidR="00140D02" w:rsidRPr="007A6FE3">
        <w:t>entail</w:t>
      </w:r>
      <w:r w:rsidRPr="007A6FE3">
        <w:t xml:space="preserve"> adequate notice to all customers</w:t>
      </w:r>
      <w:r w:rsidR="00140D02" w:rsidRPr="007A6FE3">
        <w:t xml:space="preserve"> of the incumbent’s network, including competitive carriers.  </w:t>
      </w:r>
      <w:r w:rsidR="004D7A11" w:rsidRPr="007A6FE3">
        <w:t xml:space="preserve">Accordingly, in </w:t>
      </w:r>
      <w:r w:rsidRPr="007A6FE3">
        <w:t xml:space="preserve">the Notice we consider updates to the nature and process by which </w:t>
      </w:r>
      <w:r w:rsidR="00F20544" w:rsidRPr="007A6FE3">
        <w:t xml:space="preserve">incumbent LECs </w:t>
      </w:r>
      <w:r w:rsidRPr="007A6FE3">
        <w:t xml:space="preserve">notify interconnecting carriers of planned copper retirements.  We also seek comment on proposals by AT&amp;T and other parties to facilitate the sale or auction of copper facilities that an incumbent intends to retire. </w:t>
      </w:r>
    </w:p>
    <w:p w14:paraId="7DDF6785" w14:textId="77777777" w:rsidR="00E85627" w:rsidRPr="007A6FE3" w:rsidRDefault="00E85627" w:rsidP="008541C5">
      <w:pPr>
        <w:pStyle w:val="ParaNum0"/>
        <w:numPr>
          <w:ilvl w:val="0"/>
          <w:numId w:val="10"/>
        </w:numPr>
      </w:pPr>
      <w:r w:rsidRPr="007A6FE3">
        <w:t>We also look towards requests under section 214 of the Act for the eventual discontinuance of the TDM-based, last-mile services upon which competitive carriers rely as critical inputs to competition.  Our special access data collection is underway, and the deadline for submission is next month.</w:t>
      </w:r>
      <w:r w:rsidRPr="007A6FE3">
        <w:rPr>
          <w:vertAlign w:val="superscript"/>
        </w:rPr>
        <w:footnoteReference w:id="15"/>
      </w:r>
      <w:r w:rsidRPr="007A6FE3">
        <w:t xml:space="preserve">  Based on the data that we collect, we intend to conduct a comprehensive evaluation of access to last-mile services, which will enable us to address critical long-term questions about the state of competition and the role of regulation</w:t>
      </w:r>
      <w:r w:rsidR="004D7A11" w:rsidRPr="007A6FE3">
        <w:t xml:space="preserve"> in facilitating competitive markets</w:t>
      </w:r>
      <w:r w:rsidRPr="007A6FE3">
        <w:t>.</w:t>
      </w:r>
      <w:r w:rsidRPr="007A6FE3">
        <w:rPr>
          <w:vertAlign w:val="superscript"/>
        </w:rPr>
        <w:footnoteReference w:id="16"/>
      </w:r>
      <w:r w:rsidRPr="007A6FE3">
        <w:t xml:space="preserve">  With a foreseeable increase in technology transitions underway, however, and many of our </w:t>
      </w:r>
      <w:r w:rsidR="004D7A11" w:rsidRPr="007A6FE3">
        <w:t xml:space="preserve">specific requirements </w:t>
      </w:r>
      <w:r w:rsidRPr="007A6FE3">
        <w:t xml:space="preserve">tied to legacy technologies, we need to ensure that no harm is done to competition in the interim.  As incumbents move to turn off legacy services, competitive carriers face the prospect of having no access to critical inputs, at least not on reasonable terms and conditions—preventing them from continuing to provide competitive alternatives to small- and medium-sized businesses and other institutions like schools, libraries, and health care facilities.  We therefore tentatively conclude that </w:t>
      </w:r>
      <w:r w:rsidR="000D37D0" w:rsidRPr="007A6FE3">
        <w:t xml:space="preserve">to receive authority to </w:t>
      </w:r>
      <w:r w:rsidRPr="007A6FE3">
        <w:t>discontinue, reduce, or impair a legacy service that is used as a wholesale input by competitive providers</w:t>
      </w:r>
      <w:r w:rsidR="000D37D0" w:rsidRPr="007A6FE3">
        <w:t>, an incumbent LEC</w:t>
      </w:r>
      <w:r w:rsidRPr="007A6FE3">
        <w:t xml:space="preserve"> </w:t>
      </w:r>
      <w:r w:rsidR="000D37D0" w:rsidRPr="007A6FE3">
        <w:t xml:space="preserve">must </w:t>
      </w:r>
      <w:r w:rsidRPr="007A6FE3">
        <w:t xml:space="preserve">commit to providing competitive carriers equivalent wholesale access on equivalent rates, terms, and conditions.  </w:t>
      </w:r>
      <w:r w:rsidR="00140D02" w:rsidRPr="007A6FE3">
        <w:t xml:space="preserve">We </w:t>
      </w:r>
      <w:r w:rsidR="000D37D0" w:rsidRPr="007A6FE3">
        <w:t xml:space="preserve">also </w:t>
      </w:r>
      <w:r w:rsidR="00140D02" w:rsidRPr="007A6FE3">
        <w:t xml:space="preserve">seek comment on the </w:t>
      </w:r>
      <w:r w:rsidR="000D37D0" w:rsidRPr="007A6FE3">
        <w:t>extent to</w:t>
      </w:r>
      <w:r w:rsidR="00140D02" w:rsidRPr="007A6FE3">
        <w:t xml:space="preserve"> which this</w:t>
      </w:r>
      <w:r w:rsidRPr="007A6FE3">
        <w:t xml:space="preserve"> approach</w:t>
      </w:r>
      <w:r w:rsidR="000D37D0" w:rsidRPr="007A6FE3">
        <w:t>, if adopted,</w:t>
      </w:r>
      <w:r w:rsidRPr="007A6FE3">
        <w:t xml:space="preserve"> </w:t>
      </w:r>
      <w:r w:rsidR="00140D02" w:rsidRPr="007A6FE3">
        <w:t xml:space="preserve">should </w:t>
      </w:r>
      <w:r w:rsidRPr="007A6FE3">
        <w:t xml:space="preserve">be re-visited in the context of the overall special access proceeding. </w:t>
      </w:r>
    </w:p>
    <w:p w14:paraId="7E93534C" w14:textId="77777777" w:rsidR="00BB55C1" w:rsidRPr="007A6FE3" w:rsidRDefault="00BB55C1" w:rsidP="00BB55C1">
      <w:pPr>
        <w:pStyle w:val="Heading1"/>
      </w:pPr>
      <w:bookmarkStart w:id="27" w:name="_Toc399947703"/>
      <w:bookmarkStart w:id="28" w:name="_Toc400554013"/>
      <w:bookmarkStart w:id="29" w:name="_Toc400566822"/>
      <w:bookmarkStart w:id="30" w:name="_Toc400711691"/>
      <w:bookmarkStart w:id="31" w:name="_Toc400719643"/>
      <w:bookmarkStart w:id="32" w:name="_Toc401299413"/>
      <w:bookmarkStart w:id="33" w:name="_Toc401306978"/>
      <w:bookmarkStart w:id="34" w:name="_Toc401595619"/>
      <w:bookmarkStart w:id="35" w:name="_Toc401658176"/>
      <w:bookmarkStart w:id="36" w:name="_Toc401821678"/>
      <w:bookmarkStart w:id="37" w:name="_Toc401912145"/>
      <w:bookmarkStart w:id="38" w:name="_Toc402255399"/>
      <w:bookmarkStart w:id="39" w:name="_Toc402276182"/>
      <w:bookmarkStart w:id="40" w:name="_Toc402360424"/>
      <w:bookmarkStart w:id="41" w:name="_Toc402511486"/>
      <w:bookmarkStart w:id="42" w:name="_Toc403566395"/>
      <w:bookmarkStart w:id="43" w:name="_Toc404072106"/>
      <w:bookmarkStart w:id="44" w:name="_Toc404081302"/>
      <w:bookmarkStart w:id="45" w:name="_Toc404165781"/>
      <w:bookmarkStart w:id="46" w:name="_Toc404165859"/>
      <w:bookmarkStart w:id="47" w:name="_Toc404172417"/>
      <w:bookmarkStart w:id="48" w:name="_Toc404181470"/>
      <w:bookmarkStart w:id="49" w:name="_Toc404183063"/>
      <w:bookmarkStart w:id="50" w:name="_Toc404246608"/>
      <w:r w:rsidRPr="007A6FE3">
        <w:t>Background</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74EF7FB8" w14:textId="77777777" w:rsidR="00BB55C1" w:rsidRPr="007A6FE3" w:rsidRDefault="00BB55C1" w:rsidP="00135367">
      <w:pPr>
        <w:pStyle w:val="ParaNum0"/>
        <w:widowControl/>
      </w:pPr>
      <w:r w:rsidRPr="007A6FE3">
        <w:t>The Commission has recognized that our communications infrastructure is undergoing key technology transitions.</w:t>
      </w:r>
      <w:r w:rsidRPr="007A6FE3">
        <w:rPr>
          <w:rStyle w:val="FootnoteReference"/>
          <w:szCs w:val="22"/>
        </w:rPr>
        <w:footnoteReference w:id="17"/>
      </w:r>
      <w:r w:rsidRPr="007A6FE3">
        <w:t xml:space="preserve">  The network investment that is leading to these technology transitions has many benefits.  Modernizing communications networks can dramatically reduce network costs and lead to the development of new and innovative services, devices</w:t>
      </w:r>
      <w:r w:rsidR="00B96E1D" w:rsidRPr="007A6FE3">
        <w:t>,</w:t>
      </w:r>
      <w:r w:rsidRPr="007A6FE3">
        <w:t xml:space="preserve"> and applications, and can also result in improvements to existing product offerings and lower prices.</w:t>
      </w:r>
      <w:r w:rsidRPr="007A6FE3">
        <w:rPr>
          <w:rStyle w:val="FootnoteReference"/>
          <w:szCs w:val="22"/>
        </w:rPr>
        <w:footnoteReference w:id="18"/>
      </w:r>
      <w:r w:rsidRPr="007A6FE3">
        <w:t xml:space="preserve">  To date, these new technologies generally have </w:t>
      </w:r>
      <w:r w:rsidR="007A2E35" w:rsidRPr="007A6FE3">
        <w:t xml:space="preserve">enabled the creation of </w:t>
      </w:r>
      <w:r w:rsidRPr="007A6FE3">
        <w:t xml:space="preserve">additional choices for customers of voice, video, and broadband services.  In many cases, </w:t>
      </w:r>
      <w:r w:rsidR="00AA354D" w:rsidRPr="007A6FE3">
        <w:t xml:space="preserve">retail customers </w:t>
      </w:r>
      <w:r w:rsidRPr="007A6FE3">
        <w:t xml:space="preserve">may return to a legacy, copper-based service if the new services fail to meet their needs or expectations.  However, as the Commission unanimously recognized in the January </w:t>
      </w:r>
      <w:r w:rsidRPr="007A6FE3">
        <w:rPr>
          <w:i/>
        </w:rPr>
        <w:t>Technology Transitions Order</w:t>
      </w:r>
      <w:r w:rsidRPr="007A6FE3">
        <w:t>:</w:t>
      </w:r>
    </w:p>
    <w:p w14:paraId="2303B274" w14:textId="77777777" w:rsidR="00BB55C1" w:rsidRPr="007A6FE3" w:rsidRDefault="00BB55C1" w:rsidP="006A259D">
      <w:pPr>
        <w:spacing w:after="200"/>
        <w:ind w:left="1440" w:right="1440"/>
      </w:pPr>
      <w:r w:rsidRPr="007A6FE3">
        <w:t>[I]n the natural course of progress, we expect there will come a tipping point, a point where the adoption of new communications technologies reaches a critical mass and most providers wish to cease offering legacy services.  This is a reflection of technological innovation and in that respect is a good thing.  But it also removes a choice from the marketplace:  the choice that has been the source of the enduring values for generations and the service that Congress beyond question marked as essential to all Americans.  From this perspective, we stand today at the precipice of a very different technology transition – the turning off of the legacy suite of services that has served our nation well.</w:t>
      </w:r>
      <w:r w:rsidRPr="007A6FE3">
        <w:rPr>
          <w:rStyle w:val="FootnoteReference"/>
        </w:rPr>
        <w:footnoteReference w:id="19"/>
      </w:r>
    </w:p>
    <w:p w14:paraId="5FE1C250" w14:textId="77777777" w:rsidR="00D16900" w:rsidRPr="007A6FE3" w:rsidRDefault="00BB55C1" w:rsidP="00CA5E37">
      <w:pPr>
        <w:pStyle w:val="ParaNum0"/>
        <w:numPr>
          <w:ilvl w:val="0"/>
          <w:numId w:val="0"/>
        </w:numPr>
        <w:tabs>
          <w:tab w:val="left" w:pos="720"/>
        </w:tabs>
        <w:rPr>
          <w:szCs w:val="22"/>
        </w:rPr>
      </w:pPr>
      <w:r w:rsidRPr="007A6FE3">
        <w:rPr>
          <w:szCs w:val="22"/>
        </w:rPr>
        <w:t xml:space="preserve">The Commission in January went on to affirm that </w:t>
      </w:r>
      <w:r w:rsidR="00E6467D" w:rsidRPr="007A6FE3">
        <w:rPr>
          <w:szCs w:val="22"/>
        </w:rPr>
        <w:t>o</w:t>
      </w:r>
      <w:r w:rsidR="00D16900" w:rsidRPr="007A6FE3">
        <w:rPr>
          <w:szCs w:val="22"/>
        </w:rPr>
        <w:t>ur “mission and statutory responsibility are to ensure that the core statutory values endure as we embrace</w:t>
      </w:r>
      <w:r w:rsidR="00B96E1D" w:rsidRPr="007A6FE3">
        <w:rPr>
          <w:szCs w:val="22"/>
        </w:rPr>
        <w:t xml:space="preserve"> </w:t>
      </w:r>
      <w:r w:rsidR="00D16900" w:rsidRPr="007A6FE3">
        <w:rPr>
          <w:szCs w:val="22"/>
        </w:rPr>
        <w:t>modernized communications networks.”</w:t>
      </w:r>
      <w:r w:rsidR="00D16900" w:rsidRPr="007A6FE3">
        <w:rPr>
          <w:rStyle w:val="FootnoteReference"/>
          <w:szCs w:val="22"/>
        </w:rPr>
        <w:footnoteReference w:id="20"/>
      </w:r>
      <w:r w:rsidR="00D16900" w:rsidRPr="007A6FE3">
        <w:rPr>
          <w:szCs w:val="22"/>
        </w:rPr>
        <w:t xml:space="preserve"> </w:t>
      </w:r>
    </w:p>
    <w:p w14:paraId="72E85D69" w14:textId="77777777" w:rsidR="00D16900" w:rsidRPr="007A6FE3" w:rsidRDefault="00CF0E25" w:rsidP="000350B7">
      <w:pPr>
        <w:pStyle w:val="ParaNum0"/>
        <w:rPr>
          <w:szCs w:val="22"/>
        </w:rPr>
      </w:pPr>
      <w:r w:rsidRPr="007A6FE3">
        <w:rPr>
          <w:szCs w:val="22"/>
        </w:rPr>
        <w:t xml:space="preserve">Stakeholders from industry, government, and the public interest community previously have worked together to ensure a successful </w:t>
      </w:r>
      <w:r w:rsidRPr="007A6FE3">
        <w:t>transition</w:t>
      </w:r>
      <w:r w:rsidRPr="007A6FE3">
        <w:rPr>
          <w:szCs w:val="22"/>
        </w:rPr>
        <w:t xml:space="preserve"> of one technological platform to another—the most recent example being </w:t>
      </w:r>
      <w:r w:rsidR="00BB55C1" w:rsidRPr="007A6FE3">
        <w:rPr>
          <w:szCs w:val="22"/>
        </w:rPr>
        <w:t xml:space="preserve">the transition from analog to digital television (DTV), which took place over a decade </w:t>
      </w:r>
      <w:r w:rsidR="00215FDC" w:rsidRPr="007A6FE3">
        <w:rPr>
          <w:szCs w:val="22"/>
        </w:rPr>
        <w:t xml:space="preserve">beginning </w:t>
      </w:r>
      <w:r w:rsidR="00BB55C1" w:rsidRPr="007A6FE3">
        <w:rPr>
          <w:szCs w:val="22"/>
        </w:rPr>
        <w:t>in the 1990s and “ushere[d] in the end of analog broadcasting and the beginning of the digital age.”</w:t>
      </w:r>
      <w:r w:rsidR="00BB55C1" w:rsidRPr="007A6FE3">
        <w:rPr>
          <w:rStyle w:val="FootnoteReference"/>
          <w:sz w:val="22"/>
          <w:szCs w:val="22"/>
        </w:rPr>
        <w:footnoteReference w:id="21"/>
      </w:r>
      <w:r w:rsidR="00BB55C1" w:rsidRPr="007A6FE3">
        <w:rPr>
          <w:szCs w:val="22"/>
        </w:rPr>
        <w:t xml:space="preserve">  The DTV transition affected millions of American households</w:t>
      </w:r>
      <w:r w:rsidRPr="007A6FE3">
        <w:rPr>
          <w:szCs w:val="22"/>
        </w:rPr>
        <w:t xml:space="preserve">.  The benefits of that transition were clear, leading to new services for consumers, opportunities for broadcasters, and a freeing up </w:t>
      </w:r>
      <w:r w:rsidR="00BB55C1" w:rsidRPr="007A6FE3">
        <w:rPr>
          <w:szCs w:val="22"/>
        </w:rPr>
        <w:t>of 108 MHz of spectrum from television to other valuable uses</w:t>
      </w:r>
      <w:r w:rsidRPr="007A6FE3">
        <w:rPr>
          <w:szCs w:val="22"/>
        </w:rPr>
        <w:t xml:space="preserve">, including the spectrum on which </w:t>
      </w:r>
      <w:r w:rsidR="00F457FC" w:rsidRPr="007A6FE3">
        <w:rPr>
          <w:szCs w:val="22"/>
        </w:rPr>
        <w:t xml:space="preserve">some </w:t>
      </w:r>
      <w:r w:rsidRPr="007A6FE3">
        <w:rPr>
          <w:szCs w:val="22"/>
        </w:rPr>
        <w:t xml:space="preserve">mobile providers today are delivering 4G LTE services to the public.  But the Commission was clear throughout that process that the transition could not come at the expense of consumers who relied on the legacy platform, analog broadcasting, and it accordingly </w:t>
      </w:r>
      <w:r w:rsidR="00D51EB2" w:rsidRPr="007A6FE3">
        <w:rPr>
          <w:szCs w:val="22"/>
        </w:rPr>
        <w:t xml:space="preserve">developed and oversaw </w:t>
      </w:r>
      <w:r w:rsidR="00BB55C1" w:rsidRPr="007A6FE3">
        <w:rPr>
          <w:szCs w:val="22"/>
        </w:rPr>
        <w:t>extensive outreach and education</w:t>
      </w:r>
      <w:r w:rsidR="00491452" w:rsidRPr="007A6FE3">
        <w:rPr>
          <w:szCs w:val="22"/>
        </w:rPr>
        <w:t xml:space="preserve"> and other processes</w:t>
      </w:r>
      <w:r w:rsidR="00BB55C1" w:rsidRPr="007A6FE3">
        <w:rPr>
          <w:szCs w:val="22"/>
        </w:rPr>
        <w:t xml:space="preserve"> to protect those viewers who watched free, over-the-air television</w:t>
      </w:r>
      <w:r w:rsidR="00D51EB2" w:rsidRPr="007A6FE3">
        <w:rPr>
          <w:szCs w:val="22"/>
        </w:rPr>
        <w:t>, among other measures</w:t>
      </w:r>
      <w:r w:rsidR="00BB55C1" w:rsidRPr="007A6FE3">
        <w:rPr>
          <w:szCs w:val="22"/>
        </w:rPr>
        <w:t>.</w:t>
      </w:r>
      <w:r w:rsidR="00BB55C1" w:rsidRPr="007A6FE3">
        <w:rPr>
          <w:rStyle w:val="FootnoteReference"/>
          <w:sz w:val="22"/>
          <w:szCs w:val="22"/>
        </w:rPr>
        <w:footnoteReference w:id="22"/>
      </w:r>
      <w:r w:rsidR="00BB55C1" w:rsidRPr="007A6FE3">
        <w:rPr>
          <w:szCs w:val="22"/>
        </w:rPr>
        <w:t xml:space="preserve">  </w:t>
      </w:r>
    </w:p>
    <w:p w14:paraId="575489FE" w14:textId="77777777" w:rsidR="00BB55C1" w:rsidRPr="007A6FE3" w:rsidRDefault="00F06531" w:rsidP="004053BE">
      <w:pPr>
        <w:pStyle w:val="ParaNum0"/>
      </w:pPr>
      <w:r w:rsidRPr="007A6FE3">
        <w:rPr>
          <w:szCs w:val="22"/>
        </w:rPr>
        <w:t>M</w:t>
      </w:r>
      <w:r w:rsidR="00BA233D" w:rsidRPr="007A6FE3">
        <w:rPr>
          <w:szCs w:val="22"/>
        </w:rPr>
        <w:t xml:space="preserve">any consumers </w:t>
      </w:r>
      <w:r w:rsidRPr="007A6FE3">
        <w:rPr>
          <w:szCs w:val="22"/>
        </w:rPr>
        <w:t>have embraced new technologies.  For example, as of December 30, 201</w:t>
      </w:r>
      <w:r w:rsidR="00CE52B0" w:rsidRPr="007A6FE3">
        <w:rPr>
          <w:szCs w:val="22"/>
        </w:rPr>
        <w:t>3</w:t>
      </w:r>
      <w:r w:rsidRPr="007A6FE3">
        <w:rPr>
          <w:szCs w:val="22"/>
        </w:rPr>
        <w:t xml:space="preserve">, </w:t>
      </w:r>
      <w:r w:rsidRPr="007A6FE3">
        <w:t>there were a total of approximately 4</w:t>
      </w:r>
      <w:r w:rsidR="00CE52B0" w:rsidRPr="007A6FE3">
        <w:t>7</w:t>
      </w:r>
      <w:r w:rsidRPr="007A6FE3">
        <w:t>,9</w:t>
      </w:r>
      <w:r w:rsidR="00CE52B0" w:rsidRPr="007A6FE3">
        <w:t>53</w:t>
      </w:r>
      <w:r w:rsidRPr="007A6FE3">
        <w:t>,000 interconnected VoIP retail local telephone service connections, comprising over a third of all wireline retail local telephone service connections.</w:t>
      </w:r>
      <w:r w:rsidRPr="007A6FE3">
        <w:rPr>
          <w:rStyle w:val="FootnoteReference"/>
        </w:rPr>
        <w:footnoteReference w:id="23"/>
      </w:r>
      <w:r w:rsidRPr="007A6FE3">
        <w:t xml:space="preserve">  </w:t>
      </w:r>
      <w:r w:rsidR="00084E94" w:rsidRPr="007A6FE3">
        <w:t xml:space="preserve">And </w:t>
      </w:r>
      <w:r w:rsidR="000F5F55" w:rsidRPr="007A6FE3">
        <w:t>recent</w:t>
      </w:r>
      <w:r w:rsidR="00084E94" w:rsidRPr="007A6FE3">
        <w:t xml:space="preserve"> estimates suggest that 41</w:t>
      </w:r>
      <w:r w:rsidR="004E6BBF" w:rsidRPr="007A6FE3">
        <w:t xml:space="preserve"> </w:t>
      </w:r>
      <w:r w:rsidR="00084E94" w:rsidRPr="007A6FE3">
        <w:t xml:space="preserve">percent of American </w:t>
      </w:r>
      <w:r w:rsidR="004E6BBF" w:rsidRPr="007A6FE3">
        <w:t>households</w:t>
      </w:r>
      <w:r w:rsidR="00084E94" w:rsidRPr="007A6FE3">
        <w:t xml:space="preserve"> rely exclusively on </w:t>
      </w:r>
      <w:r w:rsidR="000F5F55" w:rsidRPr="007A6FE3">
        <w:t>wireless</w:t>
      </w:r>
      <w:r w:rsidR="00084E94" w:rsidRPr="007A6FE3">
        <w:t xml:space="preserve"> services.</w:t>
      </w:r>
      <w:r w:rsidR="00084E94" w:rsidRPr="007A6FE3">
        <w:rPr>
          <w:rStyle w:val="FootnoteReference"/>
        </w:rPr>
        <w:footnoteReference w:id="24"/>
      </w:r>
      <w:r w:rsidR="00084E94" w:rsidRPr="007A6FE3">
        <w:t xml:space="preserve">  </w:t>
      </w:r>
      <w:r w:rsidRPr="007A6FE3">
        <w:rPr>
          <w:szCs w:val="22"/>
        </w:rPr>
        <w:t xml:space="preserve">However, </w:t>
      </w:r>
      <w:r w:rsidR="00BA233D" w:rsidRPr="007A6FE3">
        <w:rPr>
          <w:szCs w:val="22"/>
        </w:rPr>
        <w:t>we recognize that many</w:t>
      </w:r>
      <w:r w:rsidR="00BB55C1" w:rsidRPr="007A6FE3">
        <w:t xml:space="preserve"> consumers </w:t>
      </w:r>
      <w:r w:rsidR="00084E94" w:rsidRPr="007A6FE3">
        <w:t>continue</w:t>
      </w:r>
      <w:r w:rsidR="00BB55C1" w:rsidRPr="007A6FE3">
        <w:t xml:space="preserve"> to rely on the features and functionalities of the </w:t>
      </w:r>
      <w:r w:rsidR="00D51EB2" w:rsidRPr="007A6FE3">
        <w:t>legacy</w:t>
      </w:r>
      <w:r w:rsidR="00BB55C1" w:rsidRPr="007A6FE3">
        <w:t xml:space="preserve"> </w:t>
      </w:r>
      <w:r w:rsidR="00337183" w:rsidRPr="007A6FE3">
        <w:t xml:space="preserve">wireline </w:t>
      </w:r>
      <w:r w:rsidR="00BB55C1" w:rsidRPr="007A6FE3">
        <w:t xml:space="preserve">networks, and the Commission must </w:t>
      </w:r>
      <w:r w:rsidR="007A2E35" w:rsidRPr="007A6FE3">
        <w:t>ensure that it can carry out its statutory mission</w:t>
      </w:r>
      <w:r w:rsidR="00BB55C1" w:rsidRPr="007A6FE3">
        <w:t xml:space="preserve"> as networks reach the “tipping point” in the transition </w:t>
      </w:r>
      <w:r w:rsidR="004E6BBF" w:rsidRPr="007A6FE3">
        <w:t>away from legacy facilities and services</w:t>
      </w:r>
      <w:r w:rsidR="00BB55C1" w:rsidRPr="007A6FE3">
        <w:t>.  Currently, consumers may expect certain familiar data-based services, such as credit card readers, home alarms,</w:t>
      </w:r>
      <w:r w:rsidR="00AA637F" w:rsidRPr="007A6FE3">
        <w:t xml:space="preserve"> and</w:t>
      </w:r>
      <w:r w:rsidR="00BB55C1" w:rsidRPr="007A6FE3">
        <w:t xml:space="preserve"> medical alert monitors</w:t>
      </w:r>
      <w:r w:rsidR="004C0BD6" w:rsidRPr="007A6FE3">
        <w:t xml:space="preserve"> </w:t>
      </w:r>
      <w:r w:rsidR="00BB55C1" w:rsidRPr="007A6FE3">
        <w:t xml:space="preserve">to function in a particular way.  Consumers </w:t>
      </w:r>
      <w:r w:rsidR="00215FDC" w:rsidRPr="007A6FE3">
        <w:t xml:space="preserve">of wireline telephony </w:t>
      </w:r>
      <w:r w:rsidR="00BB55C1" w:rsidRPr="007A6FE3">
        <w:t>may also expect their plug-in phones to work during a power outage without any action on their part.  However, networks other than copper and services not based on TDM may not support these functionalities, or not in the ways that consumers have come to expect.  Moreover, competitive LECs have come to rely on the incumbent LEC legacy facilities to provide broadband services to small</w:t>
      </w:r>
      <w:r w:rsidR="008A77F7" w:rsidRPr="007A6FE3">
        <w:t>-</w:t>
      </w:r>
      <w:r w:rsidR="00BB55C1" w:rsidRPr="007A6FE3">
        <w:t xml:space="preserve"> and medium</w:t>
      </w:r>
      <w:r w:rsidR="008A77F7" w:rsidRPr="007A6FE3">
        <w:t>-</w:t>
      </w:r>
      <w:r w:rsidR="00BB55C1" w:rsidRPr="007A6FE3">
        <w:t>sized businesses and other enterprise customers.</w:t>
      </w:r>
      <w:r w:rsidR="00BB55C1" w:rsidRPr="007A6FE3">
        <w:rPr>
          <w:rStyle w:val="FootnoteReference"/>
        </w:rPr>
        <w:footnoteReference w:id="25"/>
      </w:r>
      <w:r w:rsidR="00BB55C1" w:rsidRPr="007A6FE3">
        <w:t xml:space="preserve">  </w:t>
      </w:r>
      <w:r w:rsidR="002953F1" w:rsidRPr="007A6FE3">
        <w:t>A</w:t>
      </w:r>
      <w:r w:rsidR="00BB55C1" w:rsidRPr="007A6FE3">
        <w:t>nd some</w:t>
      </w:r>
      <w:r w:rsidR="004E6BBF" w:rsidRPr="007A6FE3">
        <w:t xml:space="preserve"> parties</w:t>
      </w:r>
      <w:r w:rsidR="00BB55C1" w:rsidRPr="007A6FE3">
        <w:t xml:space="preserve"> argue </w:t>
      </w:r>
      <w:r w:rsidR="004E6BBF" w:rsidRPr="007A6FE3">
        <w:t xml:space="preserve">that </w:t>
      </w:r>
      <w:r w:rsidR="00BB55C1" w:rsidRPr="007A6FE3">
        <w:t>certain copper retirements and transitions from TDM preclude their access to affordable last-mile facilities and ability to serve these retail customers.</w:t>
      </w:r>
      <w:r w:rsidR="00BB55C1" w:rsidRPr="007A6FE3">
        <w:rPr>
          <w:rStyle w:val="FootnoteReference"/>
        </w:rPr>
        <w:footnoteReference w:id="26"/>
      </w:r>
      <w:r w:rsidR="00F812DC" w:rsidRPr="007A6FE3">
        <w:t xml:space="preserve">  </w:t>
      </w:r>
      <w:r w:rsidR="00D16900" w:rsidRPr="007A6FE3">
        <w:t xml:space="preserve">As new facilities and services are introduced and adopted, the tipping point draws </w:t>
      </w:r>
      <w:r w:rsidR="00D16900" w:rsidRPr="007A6FE3">
        <w:rPr>
          <w:szCs w:val="22"/>
        </w:rPr>
        <w:t>closer</w:t>
      </w:r>
      <w:r w:rsidR="007A2E35" w:rsidRPr="007A6FE3">
        <w:rPr>
          <w:szCs w:val="22"/>
        </w:rPr>
        <w:t xml:space="preserve">.  </w:t>
      </w:r>
      <w:r w:rsidR="007A2E35" w:rsidRPr="007A6FE3">
        <w:t>T</w:t>
      </w:r>
      <w:r w:rsidR="00D16900" w:rsidRPr="007A6FE3">
        <w:t>he time to act is now</w:t>
      </w:r>
      <w:r w:rsidR="00513B61" w:rsidRPr="007A6FE3">
        <w:t xml:space="preserve"> to prevent harm to consumers</w:t>
      </w:r>
      <w:r w:rsidR="00215FDC" w:rsidRPr="007A6FE3">
        <w:t xml:space="preserve">, </w:t>
      </w:r>
      <w:r w:rsidR="00513B61" w:rsidRPr="007A6FE3">
        <w:t>competition</w:t>
      </w:r>
      <w:r w:rsidR="00215FDC" w:rsidRPr="007A6FE3">
        <w:t>, public safety, and national security</w:t>
      </w:r>
      <w:r w:rsidR="00513B61" w:rsidRPr="007A6FE3">
        <w:t xml:space="preserve"> that cannot be undone</w:t>
      </w:r>
      <w:r w:rsidR="00BB55C1" w:rsidRPr="007A6FE3">
        <w:t>.</w:t>
      </w:r>
    </w:p>
    <w:p w14:paraId="613EB10F" w14:textId="77777777" w:rsidR="00D014BD" w:rsidRPr="007A6FE3" w:rsidRDefault="00D014BD" w:rsidP="00D014BD">
      <w:pPr>
        <w:pStyle w:val="Heading1"/>
      </w:pPr>
      <w:bookmarkStart w:id="51" w:name="_Toc401299414"/>
      <w:bookmarkStart w:id="52" w:name="_Toc401306979"/>
      <w:bookmarkStart w:id="53" w:name="_Toc401595620"/>
      <w:bookmarkStart w:id="54" w:name="_Toc401658177"/>
      <w:bookmarkStart w:id="55" w:name="_Toc401821679"/>
      <w:bookmarkStart w:id="56" w:name="_Toc401912146"/>
      <w:bookmarkStart w:id="57" w:name="_Toc402255400"/>
      <w:bookmarkStart w:id="58" w:name="_Toc402276183"/>
      <w:bookmarkStart w:id="59" w:name="_Toc402360425"/>
      <w:bookmarkStart w:id="60" w:name="_Toc402511487"/>
      <w:bookmarkStart w:id="61" w:name="_Toc403566396"/>
      <w:bookmarkStart w:id="62" w:name="_Toc404072107"/>
      <w:bookmarkStart w:id="63" w:name="_Toc404081303"/>
      <w:bookmarkStart w:id="64" w:name="_Toc404165782"/>
      <w:bookmarkStart w:id="65" w:name="_Toc404165860"/>
      <w:bookmarkStart w:id="66" w:name="_Toc404172418"/>
      <w:bookmarkStart w:id="67" w:name="_Toc404181471"/>
      <w:bookmarkStart w:id="68" w:name="_Toc404183064"/>
      <w:bookmarkStart w:id="69" w:name="_Toc404246609"/>
      <w:r w:rsidRPr="007A6FE3">
        <w:t>NOTICE OF PROPOSED RULEMAKING</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sidRPr="007A6FE3">
        <w:t xml:space="preserve"> </w:t>
      </w:r>
    </w:p>
    <w:p w14:paraId="3D1B79D8" w14:textId="77777777" w:rsidR="002606FC" w:rsidRPr="007A6FE3" w:rsidRDefault="002606FC" w:rsidP="00B220E3">
      <w:pPr>
        <w:pStyle w:val="ParaNum0"/>
        <w:widowControl/>
      </w:pPr>
      <w:r w:rsidRPr="007A6FE3">
        <w:t xml:space="preserve">In this Notice, we advance our </w:t>
      </w:r>
      <w:r w:rsidR="002C5BE2" w:rsidRPr="007A6FE3">
        <w:t xml:space="preserve">public safety, </w:t>
      </w:r>
      <w:r w:rsidRPr="007A6FE3">
        <w:t>pro-consumer</w:t>
      </w:r>
      <w:r w:rsidR="006A6CCD">
        <w:t>,</w:t>
      </w:r>
      <w:r w:rsidRPr="007A6FE3">
        <w:t xml:space="preserve"> and pro-competition goals by proposing </w:t>
      </w:r>
      <w:r w:rsidR="002C5BE2" w:rsidRPr="007A6FE3">
        <w:t xml:space="preserve">and seeking comment on </w:t>
      </w:r>
      <w:r w:rsidRPr="007A6FE3">
        <w:t xml:space="preserve">revisions to our rules and policies </w:t>
      </w:r>
      <w:r w:rsidR="00AF7430" w:rsidRPr="007A6FE3">
        <w:t>concerning</w:t>
      </w:r>
      <w:r w:rsidRPr="007A6FE3">
        <w:t xml:space="preserve"> continuity of power, copper </w:t>
      </w:r>
      <w:r w:rsidR="002C5BE2" w:rsidRPr="007A6FE3">
        <w:t>retirement</w:t>
      </w:r>
      <w:r w:rsidRPr="007A6FE3">
        <w:t xml:space="preserve">, and service discontinuances governed by section 214.  First, we provide a background section for each of the three subject matter areas in which we propose to act.  Second, we </w:t>
      </w:r>
      <w:r w:rsidR="005B4A0A" w:rsidRPr="007A6FE3">
        <w:t xml:space="preserve">seek comment on the most effective and appropriate means to ensure </w:t>
      </w:r>
      <w:r w:rsidRPr="007A6FE3">
        <w:t xml:space="preserve">continuity of power </w:t>
      </w:r>
      <w:r w:rsidR="00AF7430" w:rsidRPr="007A6FE3">
        <w:t>for CPE</w:t>
      </w:r>
      <w:r w:rsidR="005B4A0A" w:rsidRPr="007A6FE3">
        <w:t xml:space="preserve"> on residential fixed networks</w:t>
      </w:r>
      <w:r w:rsidR="00AF7430" w:rsidRPr="007A6FE3">
        <w:t xml:space="preserve">.  Then, we </w:t>
      </w:r>
      <w:r w:rsidR="005B4A0A" w:rsidRPr="007A6FE3">
        <w:t xml:space="preserve">set forth a series of proposals and questions concerning an update of </w:t>
      </w:r>
      <w:r w:rsidRPr="007A6FE3">
        <w:t xml:space="preserve">our </w:t>
      </w:r>
      <w:r w:rsidR="00AF7430" w:rsidRPr="007A6FE3">
        <w:t xml:space="preserve">copper retirement </w:t>
      </w:r>
      <w:r w:rsidR="005B4A0A" w:rsidRPr="007A6FE3">
        <w:t xml:space="preserve">rules, both </w:t>
      </w:r>
      <w:r w:rsidRPr="007A6FE3">
        <w:t>to protect consumers and promote competition</w:t>
      </w:r>
      <w:r w:rsidR="00AF7430" w:rsidRPr="007A6FE3">
        <w:t xml:space="preserve"> </w:t>
      </w:r>
      <w:r w:rsidR="005B4A0A" w:rsidRPr="007A6FE3">
        <w:t>as incumbent LECs retire their copper networks</w:t>
      </w:r>
      <w:r w:rsidRPr="007A6FE3">
        <w:t xml:space="preserve">.  Finally, we </w:t>
      </w:r>
      <w:r w:rsidR="005B4A0A" w:rsidRPr="007A6FE3">
        <w:t>propose and seek comment on mechanisms to protect consumers and preserve competition in connection with the review of applications to discontinue, reduce, or impair legacy services</w:t>
      </w:r>
      <w:r w:rsidR="002C5BE2" w:rsidRPr="007A6FE3">
        <w:t>.</w:t>
      </w:r>
    </w:p>
    <w:p w14:paraId="621E34CD" w14:textId="77777777" w:rsidR="00D014BD" w:rsidRPr="007A6FE3" w:rsidRDefault="00D014BD" w:rsidP="006250E3">
      <w:pPr>
        <w:pStyle w:val="Heading2"/>
      </w:pPr>
      <w:bookmarkStart w:id="70" w:name="_Toc401299415"/>
      <w:bookmarkStart w:id="71" w:name="_Toc401306980"/>
      <w:bookmarkStart w:id="72" w:name="_Toc401595621"/>
      <w:bookmarkStart w:id="73" w:name="_Toc401658178"/>
      <w:bookmarkStart w:id="74" w:name="_Toc401821680"/>
      <w:bookmarkStart w:id="75" w:name="_Toc401912147"/>
      <w:bookmarkStart w:id="76" w:name="_Toc402255401"/>
      <w:bookmarkStart w:id="77" w:name="_Toc402276184"/>
      <w:bookmarkStart w:id="78" w:name="_Toc402360426"/>
      <w:bookmarkStart w:id="79" w:name="_Toc402511488"/>
      <w:bookmarkStart w:id="80" w:name="_Toc403566397"/>
      <w:bookmarkStart w:id="81" w:name="_Toc404072108"/>
      <w:bookmarkStart w:id="82" w:name="_Toc404081304"/>
      <w:bookmarkStart w:id="83" w:name="_Toc404165783"/>
      <w:bookmarkStart w:id="84" w:name="_Toc404165861"/>
      <w:bookmarkStart w:id="85" w:name="_Toc404172419"/>
      <w:bookmarkStart w:id="86" w:name="_Toc404181472"/>
      <w:bookmarkStart w:id="87" w:name="_Toc404183065"/>
      <w:bookmarkStart w:id="88" w:name="_Toc404246610"/>
      <w:r w:rsidRPr="007A6FE3">
        <w:t>Background</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14:paraId="3BDC7470" w14:textId="77777777" w:rsidR="00E93F87" w:rsidRPr="007A6FE3" w:rsidRDefault="00E93F87" w:rsidP="00E93F87">
      <w:pPr>
        <w:pStyle w:val="Heading3"/>
      </w:pPr>
      <w:bookmarkStart w:id="89" w:name="_Toc401299417"/>
      <w:bookmarkStart w:id="90" w:name="_Toc401306982"/>
      <w:bookmarkStart w:id="91" w:name="_Toc401595622"/>
      <w:bookmarkStart w:id="92" w:name="_Toc401658179"/>
      <w:bookmarkStart w:id="93" w:name="_Toc401821681"/>
      <w:bookmarkStart w:id="94" w:name="_Toc401912148"/>
      <w:bookmarkStart w:id="95" w:name="_Toc402255402"/>
      <w:bookmarkStart w:id="96" w:name="_Toc402276185"/>
      <w:bookmarkStart w:id="97" w:name="_Toc402360427"/>
      <w:bookmarkStart w:id="98" w:name="_Toc402511489"/>
      <w:bookmarkStart w:id="99" w:name="_Toc403566398"/>
      <w:bookmarkStart w:id="100" w:name="_Toc404072109"/>
      <w:bookmarkStart w:id="101" w:name="_Toc404081305"/>
      <w:bookmarkStart w:id="102" w:name="_Toc404165784"/>
      <w:bookmarkStart w:id="103" w:name="_Toc404165862"/>
      <w:bookmarkStart w:id="104" w:name="_Toc404172420"/>
      <w:bookmarkStart w:id="105" w:name="_Toc404181473"/>
      <w:bookmarkStart w:id="106" w:name="_Toc404183066"/>
      <w:bookmarkStart w:id="107" w:name="_Toc404246611"/>
      <w:bookmarkStart w:id="108" w:name="_Toc399947704"/>
      <w:bookmarkStart w:id="109" w:name="_Toc400554014"/>
      <w:bookmarkStart w:id="110" w:name="_Toc400566823"/>
      <w:bookmarkStart w:id="111" w:name="_Toc400711692"/>
      <w:bookmarkStart w:id="112" w:name="_Toc400719644"/>
      <w:bookmarkStart w:id="113" w:name="_Toc401299416"/>
      <w:bookmarkStart w:id="114" w:name="_Toc401306981"/>
      <w:r w:rsidRPr="007A6FE3">
        <w:t>CPE Backup Power</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136BCFF8" w14:textId="77777777" w:rsidR="00E93F87" w:rsidRPr="007A6FE3" w:rsidRDefault="00E93F87" w:rsidP="00135367">
      <w:pPr>
        <w:pStyle w:val="ParaNum0"/>
        <w:widowControl/>
      </w:pPr>
      <w:r w:rsidRPr="007A6FE3">
        <w:t xml:space="preserve">Consumers receiving voice telephone service over legacy copper networks have traditionally relied on power provided from the central office to sustain </w:t>
      </w:r>
      <w:r w:rsidRPr="007A6FE3">
        <w:rPr>
          <w:snapToGrid/>
          <w:szCs w:val="22"/>
        </w:rPr>
        <w:t>service</w:t>
      </w:r>
      <w:r w:rsidRPr="007A6FE3">
        <w:t xml:space="preserve"> during power outages.</w:t>
      </w:r>
      <w:r w:rsidRPr="007A6FE3">
        <w:rPr>
          <w:rStyle w:val="FootnoteReference"/>
        </w:rPr>
        <w:footnoteReference w:id="27"/>
      </w:r>
      <w:r w:rsidRPr="007A6FE3">
        <w:t xml:space="preserve">  Moreover, even in a prolonged outage lasting days or weeks, central offices typically have backup power capabilities that can ensure continuous voice service over copper to residences for the duration of the outage.  Hence, consumers have been able to count on the continued availability of telephone service in harsh weather conditions and other emergencies when they are most vulnerable.</w:t>
      </w:r>
    </w:p>
    <w:p w14:paraId="2A162A6C" w14:textId="77777777" w:rsidR="00E93F87" w:rsidRPr="007A6FE3" w:rsidRDefault="00E93F87" w:rsidP="00E93F87">
      <w:pPr>
        <w:pStyle w:val="ParaNum0"/>
      </w:pPr>
      <w:r w:rsidRPr="007A6FE3">
        <w:t xml:space="preserve">The availability of CPE backup power at the residence is therefore an important issue for consumers that may be faced with retirement of the copper networks in their communities.  Carriers planning to retire their copper networks can potentially use a variety of physical media on which to transmit their services, including fiber, coaxial cable, or wireless.  None of these network alternatives, however, will typically function in a power outage without </w:t>
      </w:r>
      <w:r w:rsidR="0058184F" w:rsidRPr="007A6FE3">
        <w:t>a</w:t>
      </w:r>
      <w:r w:rsidRPr="007A6FE3">
        <w:t xml:space="preserve"> backup power source for customer CPE.  In April 2014, the Public Safety and Homeland Security Bureau (PSHSB) hosted a workshop on the impact of technology transitions on public safety that illuminated the copper retirement issue and emphasized consumers’ need for continuity of communications, including the need for CPE backup power during power outages.</w:t>
      </w:r>
      <w:r w:rsidRPr="007A6FE3">
        <w:rPr>
          <w:rStyle w:val="FootnoteReference"/>
        </w:rPr>
        <w:footnoteReference w:id="28"/>
      </w:r>
      <w:r w:rsidRPr="007A6FE3">
        <w:t xml:space="preserve">  As consumers transition from legacy copper loops to new technologies, it is important they continue to have reasonable CPE backup power alternatives to support </w:t>
      </w:r>
      <w:r w:rsidR="0058184F" w:rsidRPr="007A6FE3">
        <w:t>minimally essential</w:t>
      </w:r>
      <w:r w:rsidRPr="007A6FE3">
        <w:t xml:space="preserve"> residential communications</w:t>
      </w:r>
      <w:r w:rsidR="0058184F" w:rsidRPr="007A6FE3">
        <w:t>, particularly access to emergency communications,</w:t>
      </w:r>
      <w:r w:rsidRPr="007A6FE3">
        <w:t xml:space="preserve"> during power outages.  </w:t>
      </w:r>
    </w:p>
    <w:p w14:paraId="2F663618" w14:textId="77777777" w:rsidR="00E93F87" w:rsidRPr="007A6FE3" w:rsidRDefault="00E93F87" w:rsidP="00E93F87">
      <w:pPr>
        <w:pStyle w:val="ParaNum0"/>
      </w:pPr>
      <w:r w:rsidRPr="007A6FE3">
        <w:t>CPE backup power is not solely a copper retirement issue, however.  Millions of consumers in communities where legacy copper networks continue to operate already rely on</w:t>
      </w:r>
      <w:r w:rsidR="00266146" w:rsidRPr="007A6FE3">
        <w:t xml:space="preserve"> other</w:t>
      </w:r>
      <w:r w:rsidRPr="007A6FE3">
        <w:t xml:space="preserve"> networks that do not provision line power to the customer premises. For example, as of December 31, 2013, more than 31,000,000 </w:t>
      </w:r>
      <w:r w:rsidR="00AA354D" w:rsidRPr="007A6FE3">
        <w:t xml:space="preserve">end users </w:t>
      </w:r>
      <w:r w:rsidRPr="007A6FE3">
        <w:t>were receiving voice service over coaxial cable, which, like fiber, depends on power supplied at the premises.</w:t>
      </w:r>
      <w:r w:rsidRPr="007A6FE3">
        <w:rPr>
          <w:rStyle w:val="FootnoteReference"/>
          <w:szCs w:val="22"/>
        </w:rPr>
        <w:footnoteReference w:id="29"/>
      </w:r>
      <w:r w:rsidRPr="007A6FE3">
        <w:t xml:space="preserve">  For these consumers as well, CPE backup power is a significant issue that must be addressed to ensure continuity of communications.  We therefore examine ways to promote access to CPE backup power </w:t>
      </w:r>
      <w:r w:rsidR="0058184F" w:rsidRPr="007A6FE3">
        <w:t>for residential voice services across different technologies</w:t>
      </w:r>
      <w:r w:rsidR="007A2E35" w:rsidRPr="007A6FE3">
        <w:t xml:space="preserve"> by proposing a framework that would establish reasonable expectations for when providers should</w:t>
      </w:r>
      <w:r w:rsidR="003958CD" w:rsidRPr="007A6FE3">
        <w:t xml:space="preserve"> bear </w:t>
      </w:r>
      <w:r w:rsidR="0058184F" w:rsidRPr="007A6FE3">
        <w:t>responsibility for the provision of CPE backup power during a power outage</w:t>
      </w:r>
      <w:r w:rsidRPr="007A6FE3">
        <w:t>.</w:t>
      </w:r>
    </w:p>
    <w:p w14:paraId="7F360DC8" w14:textId="77777777" w:rsidR="00BB55C1" w:rsidRPr="007A6FE3" w:rsidRDefault="00BB55C1" w:rsidP="006250E3">
      <w:pPr>
        <w:pStyle w:val="Heading3"/>
      </w:pPr>
      <w:bookmarkStart w:id="115" w:name="_Toc401595623"/>
      <w:bookmarkStart w:id="116" w:name="_Toc401658180"/>
      <w:bookmarkStart w:id="117" w:name="_Toc401821682"/>
      <w:bookmarkStart w:id="118" w:name="_Toc401912149"/>
      <w:bookmarkStart w:id="119" w:name="_Toc402255403"/>
      <w:bookmarkStart w:id="120" w:name="_Toc402276186"/>
      <w:bookmarkStart w:id="121" w:name="_Toc402360428"/>
      <w:bookmarkStart w:id="122" w:name="_Toc402511490"/>
      <w:bookmarkStart w:id="123" w:name="_Toc403566399"/>
      <w:bookmarkStart w:id="124" w:name="_Toc404072110"/>
      <w:bookmarkStart w:id="125" w:name="_Toc404081306"/>
      <w:bookmarkStart w:id="126" w:name="_Toc404165785"/>
      <w:bookmarkStart w:id="127" w:name="_Toc404165863"/>
      <w:bookmarkStart w:id="128" w:name="_Toc404172421"/>
      <w:bookmarkStart w:id="129" w:name="_Toc404181474"/>
      <w:bookmarkStart w:id="130" w:name="_Toc404183067"/>
      <w:bookmarkStart w:id="131" w:name="_Toc404246612"/>
      <w:r w:rsidRPr="007A6FE3">
        <w:t>Copper Retirement</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14:paraId="57BBB468" w14:textId="77777777" w:rsidR="000B6221" w:rsidRPr="007A6FE3" w:rsidRDefault="007E7D7C" w:rsidP="000B6221">
      <w:pPr>
        <w:pStyle w:val="ParaNum0"/>
      </w:pPr>
      <w:r w:rsidRPr="007A6FE3">
        <w:t xml:space="preserve">Considering the technology transitions currently underway, we find that the time is right to </w:t>
      </w:r>
      <w:r w:rsidR="00334A45" w:rsidRPr="007A6FE3">
        <w:t>review our</w:t>
      </w:r>
      <w:r w:rsidRPr="007A6FE3">
        <w:t xml:space="preserve"> current </w:t>
      </w:r>
      <w:r w:rsidR="00E6467D" w:rsidRPr="007A6FE3">
        <w:t xml:space="preserve">regulations governing </w:t>
      </w:r>
      <w:r w:rsidRPr="007A6FE3">
        <w:t>copper retirement</w:t>
      </w:r>
      <w:r w:rsidR="00762711" w:rsidRPr="007A6FE3">
        <w:t>.</w:t>
      </w:r>
      <w:r w:rsidRPr="007A6FE3">
        <w:t xml:space="preserve">  </w:t>
      </w:r>
      <w:r w:rsidR="000B6221" w:rsidRPr="007A6FE3">
        <w:rPr>
          <w:rFonts w:eastAsiaTheme="minorHAnsi"/>
          <w:snapToGrid/>
        </w:rPr>
        <w:t>We do not believe that our copper retirement process sufficient</w:t>
      </w:r>
      <w:r w:rsidR="00E6467D" w:rsidRPr="007A6FE3">
        <w:rPr>
          <w:rFonts w:eastAsiaTheme="minorHAnsi"/>
          <w:snapToGrid/>
        </w:rPr>
        <w:t>ly</w:t>
      </w:r>
      <w:r w:rsidR="000B6221" w:rsidRPr="007A6FE3">
        <w:rPr>
          <w:rFonts w:eastAsiaTheme="minorHAnsi"/>
          <w:snapToGrid/>
        </w:rPr>
        <w:t xml:space="preserve"> protect</w:t>
      </w:r>
      <w:r w:rsidR="00E6467D" w:rsidRPr="007A6FE3">
        <w:rPr>
          <w:rFonts w:eastAsiaTheme="minorHAnsi"/>
          <w:snapToGrid/>
        </w:rPr>
        <w:t>s</w:t>
      </w:r>
      <w:r w:rsidR="000B6221" w:rsidRPr="007A6FE3">
        <w:rPr>
          <w:rFonts w:eastAsiaTheme="minorHAnsi"/>
          <w:snapToGrid/>
        </w:rPr>
        <w:t xml:space="preserve"> our core values given the increase in frequency and volume of copper retirements and the conc</w:t>
      </w:r>
      <w:r w:rsidR="00824FE6" w:rsidRPr="007A6FE3">
        <w:rPr>
          <w:rFonts w:eastAsiaTheme="minorHAnsi"/>
          <w:snapToGrid/>
        </w:rPr>
        <w:t>urrently</w:t>
      </w:r>
      <w:r w:rsidR="000B6221" w:rsidRPr="007A6FE3">
        <w:rPr>
          <w:rFonts w:eastAsiaTheme="minorHAnsi"/>
          <w:snapToGrid/>
        </w:rPr>
        <w:t xml:space="preserve"> growing impact on consumers and competition.  This Notice</w:t>
      </w:r>
      <w:r w:rsidR="000B6221" w:rsidRPr="007A6FE3">
        <w:rPr>
          <w:rFonts w:eastAsiaTheme="minorHAnsi"/>
          <w:i/>
          <w:snapToGrid/>
        </w:rPr>
        <w:t xml:space="preserve"> </w:t>
      </w:r>
      <w:r w:rsidR="000B6221" w:rsidRPr="007A6FE3">
        <w:rPr>
          <w:rFonts w:eastAsiaTheme="minorHAnsi"/>
          <w:snapToGrid/>
        </w:rPr>
        <w:t>thus proposes revising our copper retirement process to better protect consumers and ensure that transitions to fiber do not undermine competition while at the same time maintaining the</w:t>
      </w:r>
      <w:r w:rsidR="000B6221" w:rsidRPr="007A6FE3">
        <w:t xml:space="preserve"> incentives for incumbent LECs to deploy fiber.  </w:t>
      </w:r>
    </w:p>
    <w:p w14:paraId="5704D245" w14:textId="77777777" w:rsidR="000B6221" w:rsidRPr="007A6FE3" w:rsidRDefault="00783CCD" w:rsidP="000B6221">
      <w:pPr>
        <w:pStyle w:val="ParaNum0"/>
      </w:pPr>
      <w:r w:rsidRPr="007A6FE3">
        <w:t xml:space="preserve">We recognize the many benefits of fiber-based service and the desirability for incumbent LECs of not having to operate both copper and fiber networks indefinitely, including the potential for more bandwidth and increased reliability in </w:t>
      </w:r>
      <w:r w:rsidR="00F457FC" w:rsidRPr="007A6FE3">
        <w:t>difficult weather conditions</w:t>
      </w:r>
      <w:r w:rsidR="000B6221" w:rsidRPr="007A6FE3">
        <w:t>.</w:t>
      </w:r>
      <w:r w:rsidR="00F457FC" w:rsidRPr="007A6FE3">
        <w:rPr>
          <w:rStyle w:val="FootnoteReference"/>
        </w:rPr>
        <w:footnoteReference w:id="30"/>
      </w:r>
      <w:r w:rsidR="000B6221" w:rsidRPr="007A6FE3">
        <w:t xml:space="preserve">  </w:t>
      </w:r>
      <w:r w:rsidR="007A1689" w:rsidRPr="007A6FE3">
        <w:t xml:space="preserve">Notable examples of all-fiber deployments by incumbent LECs include Verizon’s investment of over $23 billion in its fiber-to-the-home (FTTH) network, AT&amp;T’s </w:t>
      </w:r>
      <w:r w:rsidR="006D6182" w:rsidRPr="007A6FE3">
        <w:t xml:space="preserve">announced plans to </w:t>
      </w:r>
      <w:r w:rsidR="007A1689" w:rsidRPr="007A6FE3">
        <w:t xml:space="preserve">launch its GigaPower </w:t>
      </w:r>
      <w:r w:rsidR="00337183" w:rsidRPr="007A6FE3">
        <w:t>all-</w:t>
      </w:r>
      <w:r w:rsidR="007A1689" w:rsidRPr="007A6FE3">
        <w:t xml:space="preserve">fiber network in </w:t>
      </w:r>
      <w:r w:rsidR="008E098C" w:rsidRPr="007A6FE3">
        <w:t xml:space="preserve">up to </w:t>
      </w:r>
      <w:r w:rsidR="007A1689" w:rsidRPr="007A6FE3">
        <w:t xml:space="preserve">100 cities, and CenturyLink’s deployment of </w:t>
      </w:r>
      <w:r w:rsidR="00BB2EB3" w:rsidRPr="007A6FE3">
        <w:t xml:space="preserve">1 Gbps </w:t>
      </w:r>
      <w:r w:rsidR="007A1689" w:rsidRPr="007A6FE3">
        <w:t>fiber network</w:t>
      </w:r>
      <w:r w:rsidR="005E6395" w:rsidRPr="007A6FE3">
        <w:t>s</w:t>
      </w:r>
      <w:r w:rsidR="007A1689" w:rsidRPr="007A6FE3">
        <w:t xml:space="preserve"> in </w:t>
      </w:r>
      <w:r w:rsidR="00BB2EB3" w:rsidRPr="007A6FE3">
        <w:t xml:space="preserve">portions of </w:t>
      </w:r>
      <w:r w:rsidR="007A1689" w:rsidRPr="007A6FE3">
        <w:t>Omaha, Las Vegas</w:t>
      </w:r>
      <w:r w:rsidR="006A259D" w:rsidRPr="007A6FE3">
        <w:t>,</w:t>
      </w:r>
      <w:r w:rsidR="007A1689" w:rsidRPr="007A6FE3">
        <w:t xml:space="preserve"> and</w:t>
      </w:r>
      <w:r w:rsidR="00BB2EB3" w:rsidRPr="007A6FE3">
        <w:t xml:space="preserve"> Salt Lake City, and its planned deployment in</w:t>
      </w:r>
      <w:r w:rsidR="007A1689" w:rsidRPr="007A6FE3">
        <w:t xml:space="preserve"> 1</w:t>
      </w:r>
      <w:r w:rsidR="00BB2EB3" w:rsidRPr="007A6FE3">
        <w:t>3</w:t>
      </w:r>
      <w:r w:rsidR="007A1689" w:rsidRPr="007A6FE3">
        <w:t xml:space="preserve"> other cities.</w:t>
      </w:r>
      <w:r w:rsidR="007A1689" w:rsidRPr="007A6FE3">
        <w:rPr>
          <w:sz w:val="20"/>
          <w:vertAlign w:val="superscript"/>
        </w:rPr>
        <w:footnoteReference w:id="31"/>
      </w:r>
      <w:r w:rsidR="00215FDC" w:rsidRPr="007A6FE3">
        <w:t xml:space="preserve">  </w:t>
      </w:r>
      <w:r w:rsidR="000B6221" w:rsidRPr="007A6FE3">
        <w:t xml:space="preserve">We emphasize that we support and encourage </w:t>
      </w:r>
      <w:r w:rsidR="00215FDC" w:rsidRPr="007A6FE3">
        <w:t xml:space="preserve">these and other </w:t>
      </w:r>
      <w:r w:rsidR="000B6221" w:rsidRPr="007A6FE3">
        <w:t>fiber deployment</w:t>
      </w:r>
      <w:r w:rsidR="00215FDC" w:rsidRPr="007A6FE3">
        <w:t>s</w:t>
      </w:r>
      <w:r w:rsidR="000B6221" w:rsidRPr="007A6FE3">
        <w:t xml:space="preserve">, and </w:t>
      </w:r>
      <w:r w:rsidR="00215FDC" w:rsidRPr="007A6FE3">
        <w:t xml:space="preserve">are committed to maintaining </w:t>
      </w:r>
      <w:r w:rsidR="000B6221" w:rsidRPr="007A6FE3">
        <w:t>the incentives for providers to deploy fiber.</w:t>
      </w:r>
      <w:r w:rsidR="0095637F" w:rsidRPr="007A6FE3">
        <w:rPr>
          <w:rStyle w:val="FootnoteReference"/>
          <w:rFonts w:eastAsiaTheme="minorHAnsi"/>
          <w:snapToGrid/>
        </w:rPr>
        <w:footnoteReference w:id="32"/>
      </w:r>
      <w:r w:rsidR="0095637F" w:rsidRPr="007A6FE3">
        <w:rPr>
          <w:rFonts w:eastAsiaTheme="minorHAnsi"/>
          <w:snapToGrid/>
        </w:rPr>
        <w:t xml:space="preserve"> </w:t>
      </w:r>
      <w:r w:rsidR="000B6221" w:rsidRPr="007A6FE3">
        <w:rPr>
          <w:rFonts w:eastAsiaTheme="minorHAnsi"/>
          <w:snapToGrid/>
        </w:rPr>
        <w:t xml:space="preserve"> </w:t>
      </w:r>
      <w:r w:rsidR="000B6221" w:rsidRPr="007A6FE3">
        <w:t>The National Broadband Plan recognized that requiring incumbent LECs to maintain two networks—one copper and one fiber—“would be costly, possibly inefficient and reduce the incentive for incumbents to deploy fiber facilities.”</w:t>
      </w:r>
      <w:r w:rsidR="000B6221" w:rsidRPr="007A6FE3">
        <w:rPr>
          <w:rStyle w:val="FootnoteReference"/>
        </w:rPr>
        <w:footnoteReference w:id="33"/>
      </w:r>
      <w:r w:rsidR="000B6221" w:rsidRPr="007A6FE3">
        <w:t xml:space="preserve">  The Commission’s task is to protect consumers and promote competition while taking account of the need of incumbent LECs to manage their networks</w:t>
      </w:r>
      <w:r w:rsidR="004E6BBF" w:rsidRPr="007A6FE3">
        <w:t xml:space="preserve"> effectively and efficiently</w:t>
      </w:r>
      <w:r w:rsidR="000B6221" w:rsidRPr="007A6FE3">
        <w:t xml:space="preserve">.  </w:t>
      </w:r>
      <w:r w:rsidR="00E251DD" w:rsidRPr="007A6FE3">
        <w:t>P</w:t>
      </w:r>
      <w:r w:rsidR="000B6221" w:rsidRPr="007A6FE3">
        <w:t xml:space="preserve">rotecting consumers, promoting competition, and continuing to incentivize fiber deployment are fully compatible goals, and we seek to chart a course to achieve all of those goals in this proceeding.  </w:t>
      </w:r>
    </w:p>
    <w:p w14:paraId="6F038EC2" w14:textId="77777777" w:rsidR="00334A45" w:rsidRPr="007A6FE3" w:rsidRDefault="00263E1E" w:rsidP="000350B7">
      <w:pPr>
        <w:pStyle w:val="ParaNum0"/>
      </w:pPr>
      <w:r w:rsidRPr="007A6FE3">
        <w:rPr>
          <w:i/>
        </w:rPr>
        <w:t xml:space="preserve">Current Regulations.  </w:t>
      </w:r>
      <w:r w:rsidR="00334A45" w:rsidRPr="007A6FE3">
        <w:t xml:space="preserve">Our current regulations </w:t>
      </w:r>
      <w:r w:rsidR="00BA634C" w:rsidRPr="007A6FE3">
        <w:t xml:space="preserve">governing </w:t>
      </w:r>
      <w:r w:rsidR="00334A45" w:rsidRPr="007A6FE3">
        <w:t xml:space="preserve">copper retirement by incumbent LECs were issued a decade ago, when </w:t>
      </w:r>
      <w:r w:rsidR="00334A45" w:rsidRPr="007A6FE3">
        <w:rPr>
          <w:rFonts w:eastAsiaTheme="minorHAnsi"/>
          <w:snapToGrid/>
          <w:szCs w:val="22"/>
        </w:rPr>
        <w:t>fiber loop deployment was still in its infancy</w:t>
      </w:r>
      <w:r w:rsidR="00334A45" w:rsidRPr="007A6FE3">
        <w:rPr>
          <w:rFonts w:eastAsiaTheme="minorHAnsi"/>
          <w:snapToGrid/>
          <w:szCs w:val="22"/>
          <w:vertAlign w:val="superscript"/>
        </w:rPr>
        <w:footnoteReference w:id="34"/>
      </w:r>
      <w:r w:rsidR="00334A45" w:rsidRPr="007A6FE3">
        <w:rPr>
          <w:rFonts w:eastAsiaTheme="minorHAnsi"/>
          <w:snapToGrid/>
          <w:szCs w:val="22"/>
        </w:rPr>
        <w:t xml:space="preserve"> and large-scale retirement of copper networks was far in the future.  </w:t>
      </w:r>
      <w:r w:rsidR="007E7D7C" w:rsidRPr="007A6FE3">
        <w:t xml:space="preserve">Currently, </w:t>
      </w:r>
      <w:r w:rsidR="007E7D7C" w:rsidRPr="007A6FE3">
        <w:rPr>
          <w:snapToGrid/>
          <w:kern w:val="0"/>
          <w:szCs w:val="22"/>
        </w:rPr>
        <w:t>incumbent LEC</w:t>
      </w:r>
      <w:r w:rsidR="00334A45" w:rsidRPr="007A6FE3">
        <w:rPr>
          <w:snapToGrid/>
          <w:kern w:val="0"/>
          <w:szCs w:val="22"/>
        </w:rPr>
        <w:t xml:space="preserve">s that intend to </w:t>
      </w:r>
      <w:r w:rsidR="00BA3D03" w:rsidRPr="007A6FE3">
        <w:t xml:space="preserve">retire </w:t>
      </w:r>
      <w:r w:rsidR="00334A45" w:rsidRPr="007A6FE3">
        <w:t xml:space="preserve">loops or subloops that are being replaced with </w:t>
      </w:r>
      <w:r w:rsidR="004E6BBF" w:rsidRPr="007A6FE3">
        <w:t xml:space="preserve">FTTH </w:t>
      </w:r>
      <w:r w:rsidR="00334A45" w:rsidRPr="007A6FE3">
        <w:t>or Fiber-to-the-Curb (FTTC) loops</w:t>
      </w:r>
      <w:r w:rsidR="00334A45" w:rsidRPr="007A6FE3">
        <w:rPr>
          <w:snapToGrid/>
          <w:kern w:val="0"/>
          <w:szCs w:val="22"/>
        </w:rPr>
        <w:t xml:space="preserve"> </w:t>
      </w:r>
      <w:r w:rsidR="007E7D7C" w:rsidRPr="007A6FE3">
        <w:rPr>
          <w:snapToGrid/>
          <w:kern w:val="0"/>
          <w:szCs w:val="22"/>
        </w:rPr>
        <w:t xml:space="preserve">must provide notice </w:t>
      </w:r>
      <w:r w:rsidR="00334A45" w:rsidRPr="007A6FE3">
        <w:rPr>
          <w:snapToGrid/>
          <w:kern w:val="0"/>
          <w:szCs w:val="22"/>
        </w:rPr>
        <w:t>via our network change disclosure process</w:t>
      </w:r>
      <w:r w:rsidR="007E7D7C" w:rsidRPr="007A6FE3">
        <w:rPr>
          <w:snapToGrid/>
          <w:kern w:val="0"/>
          <w:szCs w:val="22"/>
        </w:rPr>
        <w:t>.</w:t>
      </w:r>
      <w:r w:rsidR="007E7D7C" w:rsidRPr="007A6FE3">
        <w:rPr>
          <w:snapToGrid/>
          <w:kern w:val="0"/>
          <w:szCs w:val="22"/>
          <w:vertAlign w:val="superscript"/>
        </w:rPr>
        <w:footnoteReference w:id="35"/>
      </w:r>
      <w:r w:rsidR="007E7D7C" w:rsidRPr="007A6FE3">
        <w:rPr>
          <w:snapToGrid/>
          <w:kern w:val="0"/>
          <w:szCs w:val="22"/>
        </w:rPr>
        <w:t xml:space="preserve">  </w:t>
      </w:r>
      <w:r w:rsidR="00334A45" w:rsidRPr="007A6FE3">
        <w:rPr>
          <w:rFonts w:eastAsiaTheme="minorHAnsi"/>
          <w:snapToGrid/>
          <w:szCs w:val="22"/>
        </w:rPr>
        <w:t>Interconnecting</w:t>
      </w:r>
      <w:r w:rsidR="007E7D7C" w:rsidRPr="007A6FE3">
        <w:rPr>
          <w:rFonts w:eastAsiaTheme="minorHAnsi"/>
          <w:snapToGrid/>
          <w:szCs w:val="22"/>
        </w:rPr>
        <w:t xml:space="preserve"> carriers can seek to delay but cannot prevent retirement,</w:t>
      </w:r>
      <w:r w:rsidR="00334A45" w:rsidRPr="007A6FE3">
        <w:rPr>
          <w:rStyle w:val="FootnoteReference"/>
          <w:rFonts w:eastAsiaTheme="minorHAnsi"/>
          <w:snapToGrid/>
          <w:szCs w:val="22"/>
        </w:rPr>
        <w:footnoteReference w:id="36"/>
      </w:r>
      <w:r w:rsidR="007E7D7C" w:rsidRPr="007A6FE3">
        <w:rPr>
          <w:rFonts w:eastAsiaTheme="minorHAnsi"/>
          <w:snapToGrid/>
          <w:szCs w:val="22"/>
        </w:rPr>
        <w:t xml:space="preserve"> nor do</w:t>
      </w:r>
      <w:r w:rsidR="00506739" w:rsidRPr="007A6FE3">
        <w:rPr>
          <w:rFonts w:eastAsiaTheme="minorHAnsi"/>
          <w:snapToGrid/>
          <w:szCs w:val="22"/>
        </w:rPr>
        <w:t xml:space="preserve"> our rules </w:t>
      </w:r>
      <w:r w:rsidR="00CA4973" w:rsidRPr="007A6FE3">
        <w:rPr>
          <w:rFonts w:eastAsiaTheme="minorHAnsi"/>
          <w:snapToGrid/>
          <w:szCs w:val="22"/>
        </w:rPr>
        <w:t>contemplate that we</w:t>
      </w:r>
      <w:r w:rsidR="007E7D7C" w:rsidRPr="007A6FE3">
        <w:rPr>
          <w:rFonts w:eastAsiaTheme="minorHAnsi"/>
          <w:snapToGrid/>
          <w:szCs w:val="22"/>
        </w:rPr>
        <w:t xml:space="preserve"> </w:t>
      </w:r>
      <w:r w:rsidR="003403A1" w:rsidRPr="007A6FE3">
        <w:rPr>
          <w:rFonts w:eastAsiaTheme="minorHAnsi"/>
          <w:snapToGrid/>
          <w:szCs w:val="22"/>
        </w:rPr>
        <w:t>approve or deny</w:t>
      </w:r>
      <w:r w:rsidR="007E7D7C" w:rsidRPr="007A6FE3">
        <w:rPr>
          <w:rFonts w:eastAsiaTheme="minorHAnsi"/>
          <w:snapToGrid/>
          <w:szCs w:val="22"/>
        </w:rPr>
        <w:t xml:space="preserve"> </w:t>
      </w:r>
      <w:r w:rsidR="00CA4973" w:rsidRPr="007A6FE3">
        <w:rPr>
          <w:rFonts w:eastAsiaTheme="minorHAnsi"/>
          <w:snapToGrid/>
          <w:szCs w:val="22"/>
        </w:rPr>
        <w:t>planned copper retirements for which incumbent LECs provide notice under Part 51</w:t>
      </w:r>
      <w:r w:rsidR="007E7D7C" w:rsidRPr="007A6FE3">
        <w:rPr>
          <w:rFonts w:eastAsiaTheme="minorHAnsi"/>
          <w:snapToGrid/>
          <w:szCs w:val="22"/>
        </w:rPr>
        <w:t>.</w:t>
      </w:r>
      <w:r w:rsidR="00334A45" w:rsidRPr="007A6FE3">
        <w:rPr>
          <w:rStyle w:val="FootnoteReference"/>
          <w:rFonts w:eastAsiaTheme="minorHAnsi"/>
          <w:snapToGrid/>
          <w:szCs w:val="22"/>
        </w:rPr>
        <w:footnoteReference w:id="37"/>
      </w:r>
      <w:r w:rsidR="007E7D7C" w:rsidRPr="007A6FE3">
        <w:rPr>
          <w:rFonts w:eastAsiaTheme="minorHAnsi"/>
          <w:snapToGrid/>
          <w:szCs w:val="22"/>
        </w:rPr>
        <w:t xml:space="preserve"> </w:t>
      </w:r>
      <w:r w:rsidR="003403A1" w:rsidRPr="007A6FE3">
        <w:rPr>
          <w:rFonts w:eastAsiaTheme="minorHAnsi"/>
          <w:snapToGrid/>
          <w:szCs w:val="22"/>
        </w:rPr>
        <w:t xml:space="preserve"> This reflects</w:t>
      </w:r>
      <w:r w:rsidR="007E7D7C" w:rsidRPr="007A6FE3">
        <w:rPr>
          <w:rFonts w:eastAsiaTheme="minorHAnsi"/>
          <w:snapToGrid/>
          <w:szCs w:val="22"/>
        </w:rPr>
        <w:t xml:space="preserve"> </w:t>
      </w:r>
      <w:r w:rsidR="003403A1" w:rsidRPr="007A6FE3">
        <w:t>the Commission’s decision a decade ago to decline to require affirmative regulatory approval before an incumbent LEC can retire any copper loop facilities and its finding that “such a requirement is not necessary at this time because our existing rules, with minor modifications, serve as adequate safeguards.”</w:t>
      </w:r>
      <w:r w:rsidR="003403A1" w:rsidRPr="007A6FE3">
        <w:rPr>
          <w:rStyle w:val="FootnoteReference"/>
        </w:rPr>
        <w:footnoteReference w:id="38"/>
      </w:r>
      <w:r w:rsidR="003403A1" w:rsidRPr="007A6FE3">
        <w:t xml:space="preserve">  </w:t>
      </w:r>
      <w:r w:rsidR="00D51EB2" w:rsidRPr="007A6FE3">
        <w:t xml:space="preserve">Our existing rules do not impose specific </w:t>
      </w:r>
      <w:r w:rsidR="00CA4973" w:rsidRPr="007A6FE3">
        <w:t xml:space="preserve">consumer </w:t>
      </w:r>
      <w:r w:rsidR="00D51EB2" w:rsidRPr="007A6FE3">
        <w:t>notice or consumer education requirements on carriers retiring copper facilities</w:t>
      </w:r>
      <w:r w:rsidR="00A92CE8" w:rsidRPr="007A6FE3">
        <w:rPr>
          <w:szCs w:val="22"/>
        </w:rPr>
        <w:t>.</w:t>
      </w:r>
      <w:r w:rsidR="00A92CE8" w:rsidRPr="007A6FE3">
        <w:rPr>
          <w:rStyle w:val="FootnoteReference"/>
          <w:szCs w:val="22"/>
        </w:rPr>
        <w:footnoteReference w:id="39"/>
      </w:r>
      <w:r w:rsidR="00A92CE8" w:rsidRPr="007A6FE3">
        <w:t xml:space="preserve"> </w:t>
      </w:r>
      <w:r w:rsidR="00A92CE8" w:rsidRPr="007A6FE3">
        <w:rPr>
          <w:szCs w:val="22"/>
        </w:rPr>
        <w:t xml:space="preserve"> </w:t>
      </w:r>
    </w:p>
    <w:p w14:paraId="7688A5AE" w14:textId="77777777" w:rsidR="006A42B6" w:rsidRPr="007A6FE3" w:rsidRDefault="00263E1E" w:rsidP="000350B7">
      <w:pPr>
        <w:pStyle w:val="ParaNum0"/>
      </w:pPr>
      <w:r w:rsidRPr="007A6FE3">
        <w:rPr>
          <w:i/>
        </w:rPr>
        <w:t xml:space="preserve">Increasing Scope and Frequency of Retirements.  </w:t>
      </w:r>
      <w:r w:rsidR="006A42B6" w:rsidRPr="007A6FE3">
        <w:t>Incumbent LECs are steadily transitioning wire centers from copper facilities to fiber and all-IP networks.  Indeed, the Commission has posted over 20 Public Notices for incumbent LEC proposed copper retirements since January 2014,</w:t>
      </w:r>
      <w:r w:rsidR="006A42B6" w:rsidRPr="007A6FE3">
        <w:rPr>
          <w:rStyle w:val="FootnoteReference"/>
        </w:rPr>
        <w:footnoteReference w:id="40"/>
      </w:r>
      <w:r w:rsidR="006A42B6" w:rsidRPr="007A6FE3">
        <w:t xml:space="preserve"> and we expect the notice of copper retirements to increase in volume and geographic scope.  </w:t>
      </w:r>
      <w:r w:rsidR="00E251DD" w:rsidRPr="007A6FE3">
        <w:t>For example</w:t>
      </w:r>
      <w:r w:rsidR="006A42B6" w:rsidRPr="007A6FE3">
        <w:t>, where Verizon has deployed its fiber network, it generally seeks to transition customers from the leg</w:t>
      </w:r>
      <w:r w:rsidR="004E6BBF" w:rsidRPr="007A6FE3">
        <w:t>acy copper network to the fiber</w:t>
      </w:r>
      <w:r w:rsidR="006A42B6" w:rsidRPr="007A6FE3">
        <w:t xml:space="preserve"> network.  Verizon already has transitioned two of its wire centers</w:t>
      </w:r>
      <w:r w:rsidR="00337183" w:rsidRPr="007A6FE3">
        <w:t xml:space="preserve"> completely</w:t>
      </w:r>
      <w:r w:rsidR="006A42B6" w:rsidRPr="007A6FE3">
        <w:t>, one in Florida and one in Texas.</w:t>
      </w:r>
      <w:r w:rsidR="006A42B6" w:rsidRPr="007A6FE3">
        <w:rPr>
          <w:rStyle w:val="FootnoteReference"/>
        </w:rPr>
        <w:footnoteReference w:id="41"/>
      </w:r>
      <w:r w:rsidR="006A42B6" w:rsidRPr="007A6FE3">
        <w:t xml:space="preserve">  Verizon also announced it plans to transition another six wire centers this year.</w:t>
      </w:r>
      <w:r w:rsidR="006A42B6" w:rsidRPr="007A6FE3">
        <w:rPr>
          <w:snapToGrid/>
          <w:kern w:val="0"/>
          <w:vertAlign w:val="superscript"/>
        </w:rPr>
        <w:footnoteReference w:id="42"/>
      </w:r>
      <w:r w:rsidR="006A42B6" w:rsidRPr="007A6FE3">
        <w:t xml:space="preserve">  </w:t>
      </w:r>
      <w:r w:rsidR="00E251DD" w:rsidRPr="007A6FE3">
        <w:t>As part of that plan</w:t>
      </w:r>
      <w:r w:rsidR="006A42B6" w:rsidRPr="007A6FE3">
        <w:t xml:space="preserve">, Verizon published on its website notices of network change announcing its intent to retire copper facilities (feeder, distribution, and loops) and switches in the Belle Harbor, New York, and Ocean View, Virginia wire centers and serve all customers </w:t>
      </w:r>
      <w:r w:rsidR="00F35081" w:rsidRPr="007A6FE3">
        <w:t xml:space="preserve">in those wire centers </w:t>
      </w:r>
      <w:r w:rsidR="006A42B6" w:rsidRPr="007A6FE3">
        <w:t>over fiber on or after November 1, 2014, noting the small percentage of addresses in each of these wire centers that are still served by copper.</w:t>
      </w:r>
      <w:r w:rsidR="006A42B6" w:rsidRPr="007A6FE3">
        <w:rPr>
          <w:snapToGrid/>
          <w:kern w:val="0"/>
          <w:vertAlign w:val="superscript"/>
        </w:rPr>
        <w:footnoteReference w:id="43"/>
      </w:r>
      <w:r w:rsidR="006A42B6" w:rsidRPr="007A6FE3">
        <w:rPr>
          <w:snapToGrid/>
          <w:kern w:val="0"/>
          <w:vertAlign w:val="superscript"/>
        </w:rPr>
        <w:t xml:space="preserve"> </w:t>
      </w:r>
      <w:r w:rsidR="006A42B6" w:rsidRPr="007A6FE3">
        <w:t xml:space="preserve"> </w:t>
      </w:r>
    </w:p>
    <w:p w14:paraId="7348F221" w14:textId="77777777" w:rsidR="006A42B6" w:rsidRPr="007A6FE3" w:rsidRDefault="006A42B6" w:rsidP="00A2098F">
      <w:pPr>
        <w:pStyle w:val="ParaNum0"/>
        <w:widowControl/>
      </w:pPr>
      <w:r w:rsidRPr="007A6FE3">
        <w:rPr>
          <w:szCs w:val="22"/>
        </w:rPr>
        <w:t xml:space="preserve">AT&amp;T has indicated that it intends to maintain its </w:t>
      </w:r>
      <w:r w:rsidRPr="007A6FE3">
        <w:rPr>
          <w:szCs w:val="22"/>
          <w:lang w:val="en"/>
        </w:rPr>
        <w:t>copper for some of its services, such as its fiber to the node (FTTN)-based U-verse service and other DSL and Ethernet over Copper (EoC) services</w:t>
      </w:r>
      <w:r w:rsidR="008A2012" w:rsidRPr="007A6FE3">
        <w:rPr>
          <w:szCs w:val="22"/>
          <w:lang w:val="en"/>
        </w:rPr>
        <w:t>.</w:t>
      </w:r>
      <w:r w:rsidRPr="007A6FE3">
        <w:rPr>
          <w:rStyle w:val="FootnoteReference"/>
          <w:sz w:val="22"/>
          <w:szCs w:val="22"/>
          <w:lang w:val="en"/>
        </w:rPr>
        <w:footnoteReference w:id="44"/>
      </w:r>
      <w:r w:rsidR="008A2012" w:rsidRPr="007A6FE3">
        <w:rPr>
          <w:rStyle w:val="CommentReference"/>
          <w:rFonts w:ascii="Calibri" w:eastAsia="Calibri" w:hAnsi="Calibri"/>
          <w:kern w:val="0"/>
        </w:rPr>
        <w:t xml:space="preserve"> </w:t>
      </w:r>
      <w:r w:rsidRPr="007A6FE3">
        <w:rPr>
          <w:szCs w:val="22"/>
        </w:rPr>
        <w:t xml:space="preserve"> Specifically, in response to comments on its Proposal for Trial Wire Centers, AT&amp;T stated “copper loops and/or subloops will likely continue for some time to be used to serve customers and to provide various types of services.”</w:t>
      </w:r>
      <w:r w:rsidR="00727F63" w:rsidRPr="007A6FE3">
        <w:rPr>
          <w:rStyle w:val="FootnoteReference"/>
          <w:szCs w:val="22"/>
        </w:rPr>
        <w:footnoteReference w:id="45"/>
      </w:r>
      <w:r w:rsidR="00D01448" w:rsidRPr="007A6FE3">
        <w:rPr>
          <w:szCs w:val="22"/>
        </w:rPr>
        <w:t xml:space="preserve"> </w:t>
      </w:r>
      <w:r w:rsidRPr="007A6FE3">
        <w:rPr>
          <w:szCs w:val="22"/>
        </w:rPr>
        <w:t xml:space="preserve"> However, “as that migration continues and accelerates . . . ILECs must be free to superintend their networks and to retire network elements that have been rendered anachronistic, that no longer perform optimally, or that are unduly costly to maintain.”</w:t>
      </w:r>
      <w:r w:rsidRPr="007A6FE3">
        <w:rPr>
          <w:rStyle w:val="FootnoteReference"/>
          <w:sz w:val="22"/>
          <w:szCs w:val="22"/>
        </w:rPr>
        <w:footnoteReference w:id="46"/>
      </w:r>
      <w:r w:rsidRPr="007A6FE3">
        <w:rPr>
          <w:szCs w:val="22"/>
        </w:rPr>
        <w:t xml:space="preserve">  AT&amp;T has announced plans to expand its </w:t>
      </w:r>
      <w:r w:rsidR="00BA233D" w:rsidRPr="007A6FE3">
        <w:rPr>
          <w:szCs w:val="22"/>
        </w:rPr>
        <w:t>FTTN</w:t>
      </w:r>
      <w:r w:rsidRPr="007A6FE3">
        <w:rPr>
          <w:szCs w:val="22"/>
        </w:rPr>
        <w:t xml:space="preserve"> U-verse with </w:t>
      </w:r>
      <w:r w:rsidR="004E6BBF" w:rsidRPr="007A6FE3">
        <w:rPr>
          <w:szCs w:val="22"/>
        </w:rPr>
        <w:t xml:space="preserve">FTTH </w:t>
      </w:r>
      <w:r w:rsidRPr="007A6FE3">
        <w:rPr>
          <w:szCs w:val="22"/>
        </w:rPr>
        <w:t>GigaPower in 100 cities.</w:t>
      </w:r>
      <w:bookmarkStart w:id="132" w:name="_Ref399920307"/>
      <w:r w:rsidRPr="007A6FE3">
        <w:rPr>
          <w:rStyle w:val="FootnoteReference"/>
          <w:sz w:val="22"/>
          <w:szCs w:val="22"/>
        </w:rPr>
        <w:footnoteReference w:id="47"/>
      </w:r>
      <w:bookmarkEnd w:id="132"/>
      <w:r w:rsidRPr="007A6FE3">
        <w:rPr>
          <w:szCs w:val="22"/>
        </w:rPr>
        <w:t xml:space="preserve">  CenturyLink has taken a similar position</w:t>
      </w:r>
      <w:r w:rsidR="00263E1E" w:rsidRPr="007A6FE3">
        <w:rPr>
          <w:szCs w:val="22"/>
        </w:rPr>
        <w:t xml:space="preserve"> to AT&amp;T in that it intends to </w:t>
      </w:r>
      <w:r w:rsidRPr="007A6FE3">
        <w:rPr>
          <w:szCs w:val="22"/>
        </w:rPr>
        <w:t>maintain some of its copper network</w:t>
      </w:r>
      <w:r w:rsidR="00593E29" w:rsidRPr="007A6FE3">
        <w:rPr>
          <w:szCs w:val="22"/>
        </w:rPr>
        <w:t xml:space="preserve"> but </w:t>
      </w:r>
      <w:r w:rsidR="0015564F" w:rsidRPr="007A6FE3">
        <w:rPr>
          <w:szCs w:val="22"/>
        </w:rPr>
        <w:t>desires</w:t>
      </w:r>
      <w:r w:rsidR="00593E29" w:rsidRPr="007A6FE3">
        <w:rPr>
          <w:szCs w:val="22"/>
          <w:lang w:val="en"/>
        </w:rPr>
        <w:t xml:space="preserve"> flexibility to retire copper and does not “want to be mandated to maintain two networks since the economics </w:t>
      </w:r>
      <w:r w:rsidR="00CA5F7C" w:rsidRPr="007A6FE3">
        <w:rPr>
          <w:szCs w:val="22"/>
          <w:lang w:val="en"/>
        </w:rPr>
        <w:t>don</w:t>
      </w:r>
      <w:r w:rsidR="00CA5F7C">
        <w:rPr>
          <w:szCs w:val="22"/>
          <w:lang w:val="en"/>
        </w:rPr>
        <w:t>’</w:t>
      </w:r>
      <w:r w:rsidR="00CA5F7C" w:rsidRPr="007A6FE3">
        <w:rPr>
          <w:szCs w:val="22"/>
          <w:lang w:val="en"/>
        </w:rPr>
        <w:t xml:space="preserve">t </w:t>
      </w:r>
      <w:r w:rsidR="00593E29" w:rsidRPr="007A6FE3">
        <w:rPr>
          <w:szCs w:val="22"/>
          <w:lang w:val="en"/>
        </w:rPr>
        <w:t>work.”</w:t>
      </w:r>
      <w:r w:rsidR="00593E29" w:rsidRPr="007A6FE3">
        <w:rPr>
          <w:rStyle w:val="FootnoteReference"/>
          <w:szCs w:val="22"/>
          <w:lang w:val="en"/>
        </w:rPr>
        <w:footnoteReference w:id="48"/>
      </w:r>
    </w:p>
    <w:p w14:paraId="507DC7CF" w14:textId="77777777" w:rsidR="008A7338" w:rsidRPr="007A6FE3" w:rsidRDefault="00171A8B" w:rsidP="003F0F7D">
      <w:pPr>
        <w:pStyle w:val="ParaNum0"/>
        <w:widowControl/>
      </w:pPr>
      <w:bookmarkStart w:id="133" w:name="_Ref401314044"/>
      <w:r w:rsidRPr="007A6FE3">
        <w:rPr>
          <w:i/>
        </w:rPr>
        <w:t>Consumer</w:t>
      </w:r>
      <w:r w:rsidR="00B70C9A" w:rsidRPr="007A6FE3">
        <w:rPr>
          <w:i/>
        </w:rPr>
        <w:t xml:space="preserve"> </w:t>
      </w:r>
      <w:r w:rsidR="00E251DD" w:rsidRPr="007A6FE3">
        <w:rPr>
          <w:i/>
        </w:rPr>
        <w:t>Protection Concerns</w:t>
      </w:r>
      <w:r w:rsidRPr="007A6FE3">
        <w:rPr>
          <w:i/>
        </w:rPr>
        <w:t>.</w:t>
      </w:r>
      <w:r w:rsidRPr="007A6FE3">
        <w:t xml:space="preserve">  </w:t>
      </w:r>
      <w:r w:rsidR="00F0608F" w:rsidRPr="007A6FE3">
        <w:t>Our reco</w:t>
      </w:r>
      <w:r w:rsidR="003A6213" w:rsidRPr="007A6FE3">
        <w:t>rd reflects concern</w:t>
      </w:r>
      <w:r w:rsidR="00BA4AA0" w:rsidRPr="007A6FE3">
        <w:t xml:space="preserve"> that incumbent LEC decisions related to copper retirement</w:t>
      </w:r>
      <w:r w:rsidR="00E251DD" w:rsidRPr="007A6FE3">
        <w:t xml:space="preserve"> can</w:t>
      </w:r>
      <w:r w:rsidR="00BA4AA0" w:rsidRPr="007A6FE3">
        <w:t xml:space="preserve"> have a significant impact on consumers, yet our </w:t>
      </w:r>
      <w:r w:rsidR="003A6213" w:rsidRPr="007A6FE3">
        <w:t xml:space="preserve">Part 51 </w:t>
      </w:r>
      <w:r w:rsidR="00BA4AA0" w:rsidRPr="007A6FE3">
        <w:t xml:space="preserve">rules </w:t>
      </w:r>
      <w:r w:rsidR="00F35081" w:rsidRPr="007A6FE3">
        <w:t xml:space="preserve">are </w:t>
      </w:r>
      <w:r w:rsidR="00BA4AA0" w:rsidRPr="007A6FE3">
        <w:t>silent on this important issue.</w:t>
      </w:r>
      <w:r w:rsidR="00EE4823" w:rsidRPr="007A6FE3">
        <w:rPr>
          <w:rStyle w:val="FootnoteReference"/>
        </w:rPr>
        <w:footnoteReference w:id="49"/>
      </w:r>
      <w:r w:rsidR="00EE4823" w:rsidRPr="007A6FE3">
        <w:t xml:space="preserve"> </w:t>
      </w:r>
      <w:r w:rsidR="00692CA9" w:rsidRPr="007A6FE3">
        <w:t xml:space="preserve"> </w:t>
      </w:r>
      <w:r w:rsidR="00EE4823" w:rsidRPr="007A6FE3">
        <w:t xml:space="preserve">For instance, </w:t>
      </w:r>
      <w:r w:rsidR="00D80D70" w:rsidRPr="007A6FE3">
        <w:t xml:space="preserve">Public Knowledge and other consumer advocacy groups </w:t>
      </w:r>
      <w:r w:rsidR="00C23CBB" w:rsidRPr="007A6FE3">
        <w:t xml:space="preserve">summarized and </w:t>
      </w:r>
      <w:r w:rsidR="00D80D70" w:rsidRPr="007A6FE3">
        <w:t xml:space="preserve">submitted multiple filings asking state public service commissions to </w:t>
      </w:r>
      <w:r w:rsidR="00E251DD" w:rsidRPr="007A6FE3">
        <w:t>pause</w:t>
      </w:r>
      <w:r w:rsidR="00D80D70" w:rsidRPr="007A6FE3">
        <w:t xml:space="preserve"> </w:t>
      </w:r>
      <w:r w:rsidR="00E251DD" w:rsidRPr="007A6FE3">
        <w:t>copper retirements</w:t>
      </w:r>
      <w:r w:rsidR="00D80D70" w:rsidRPr="007A6FE3">
        <w:t xml:space="preserve"> and to investigate service-related issues with existing copper networks.</w:t>
      </w:r>
      <w:r w:rsidR="00D80D70" w:rsidRPr="007A6FE3">
        <w:rPr>
          <w:rStyle w:val="FootnoteReference"/>
        </w:rPr>
        <w:footnoteReference w:id="50"/>
      </w:r>
      <w:r w:rsidR="00D80D70" w:rsidRPr="007A6FE3">
        <w:t xml:space="preserve">  </w:t>
      </w:r>
      <w:r w:rsidR="00E251DD" w:rsidRPr="007A6FE3">
        <w:t>These c</w:t>
      </w:r>
      <w:r w:rsidR="00EE4823" w:rsidRPr="007A6FE3">
        <w:t xml:space="preserve">onsumer advocates </w:t>
      </w:r>
      <w:r w:rsidR="004F79FF" w:rsidRPr="007A6FE3">
        <w:t xml:space="preserve">allege </w:t>
      </w:r>
      <w:r w:rsidR="00EE4823" w:rsidRPr="007A6FE3">
        <w:t>that “customers are being involuntarily moved to fiber or IP-based service (or some combination thereof), even if those new technologies fail to serve all of the user’s needs or will be more expensive.”</w:t>
      </w:r>
      <w:r w:rsidR="00EE4823" w:rsidRPr="007A6FE3">
        <w:rPr>
          <w:rStyle w:val="FootnoteReference"/>
        </w:rPr>
        <w:footnoteReference w:id="51"/>
      </w:r>
      <w:r w:rsidR="00EE4823" w:rsidRPr="007A6FE3">
        <w:t xml:space="preserve"> </w:t>
      </w:r>
      <w:r w:rsidR="00692CA9" w:rsidRPr="007A6FE3">
        <w:t xml:space="preserve"> These groups also allege that </w:t>
      </w:r>
      <w:r w:rsidR="00E251DD" w:rsidRPr="007A6FE3">
        <w:t xml:space="preserve">in some cases </w:t>
      </w:r>
      <w:r w:rsidR="003C3FDC" w:rsidRPr="007A6FE3">
        <w:t>incumbent LECs are failing to maintain their copper networks in an effort to push consumers off of copper and onto fiber or other technologies.</w:t>
      </w:r>
      <w:r w:rsidR="003C3FDC" w:rsidRPr="007A6FE3">
        <w:rPr>
          <w:rStyle w:val="FootnoteReference"/>
        </w:rPr>
        <w:footnoteReference w:id="52"/>
      </w:r>
      <w:r w:rsidR="003C3FDC" w:rsidRPr="007A6FE3">
        <w:t xml:space="preserve"> </w:t>
      </w:r>
      <w:r w:rsidR="00692CA9" w:rsidRPr="007A6FE3">
        <w:t xml:space="preserve"> Further, they claim that </w:t>
      </w:r>
      <w:r w:rsidR="00E251DD" w:rsidRPr="007A6FE3">
        <w:t xml:space="preserve">some </w:t>
      </w:r>
      <w:r w:rsidR="00692CA9" w:rsidRPr="007A6FE3">
        <w:t>incumbent LECs are misleading subscribers</w:t>
      </w:r>
      <w:r w:rsidR="00201B5E" w:rsidRPr="007A6FE3">
        <w:t xml:space="preserve"> </w:t>
      </w:r>
      <w:r w:rsidR="00692CA9" w:rsidRPr="007A6FE3">
        <w:t>into believing that they may no longer continue to receive legacy service (e.g., legacy voice-only service,</w:t>
      </w:r>
      <w:r w:rsidR="001A6021" w:rsidRPr="007A6FE3">
        <w:t xml:space="preserve"> known as </w:t>
      </w:r>
      <w:r w:rsidR="00692CA9" w:rsidRPr="007A6FE3">
        <w:t>POTS) or, at a minimum, that those carriers are failing to advise subscribers</w:t>
      </w:r>
      <w:r w:rsidR="00201B5E" w:rsidRPr="007A6FE3">
        <w:t xml:space="preserve"> </w:t>
      </w:r>
      <w:r w:rsidR="00692CA9" w:rsidRPr="007A6FE3">
        <w:t>that their legacy service remains available</w:t>
      </w:r>
      <w:r w:rsidR="004E6BBF" w:rsidRPr="007A6FE3">
        <w:t xml:space="preserve"> over new network facilities</w:t>
      </w:r>
      <w:r w:rsidR="00692CA9" w:rsidRPr="007A6FE3">
        <w:t>.</w:t>
      </w:r>
      <w:r w:rsidR="00692CA9" w:rsidRPr="007A6FE3">
        <w:rPr>
          <w:rStyle w:val="FootnoteReference"/>
        </w:rPr>
        <w:footnoteReference w:id="53"/>
      </w:r>
      <w:r w:rsidR="00692CA9" w:rsidRPr="007A6FE3">
        <w:t xml:space="preserve">  Incumbent LECs dispute these allegations.</w:t>
      </w:r>
      <w:r w:rsidR="00692CA9" w:rsidRPr="007A6FE3">
        <w:rPr>
          <w:rStyle w:val="FootnoteReference"/>
        </w:rPr>
        <w:footnoteReference w:id="54"/>
      </w:r>
      <w:r w:rsidR="00692CA9" w:rsidRPr="007A6FE3">
        <w:t xml:space="preserve">  </w:t>
      </w:r>
      <w:r w:rsidR="00290204" w:rsidRPr="007A6FE3">
        <w:t>For example, w</w:t>
      </w:r>
      <w:r w:rsidR="00D80D70" w:rsidRPr="007A6FE3">
        <w:t xml:space="preserve">ith respect to the claim consumers are forced off of legacy services during copper retirements, </w:t>
      </w:r>
      <w:r w:rsidR="00290204" w:rsidRPr="007A6FE3">
        <w:t>Verizon asserts</w:t>
      </w:r>
      <w:r w:rsidR="004F79FF" w:rsidRPr="007A6FE3">
        <w:rPr>
          <w:rFonts w:eastAsia="MS Mincho"/>
        </w:rPr>
        <w:t xml:space="preserve"> </w:t>
      </w:r>
      <w:r w:rsidR="004F79FF" w:rsidRPr="007A6FE3">
        <w:rPr>
          <w:rFonts w:eastAsia="MS Mincho"/>
          <w:bCs/>
          <w:lang w:eastAsia="ja-JP"/>
        </w:rPr>
        <w:t xml:space="preserve">that where </w:t>
      </w:r>
      <w:r w:rsidR="00290204" w:rsidRPr="007A6FE3">
        <w:rPr>
          <w:rFonts w:eastAsia="MS Mincho"/>
          <w:bCs/>
          <w:lang w:eastAsia="ja-JP"/>
        </w:rPr>
        <w:t>it</w:t>
      </w:r>
      <w:r w:rsidR="004F79FF" w:rsidRPr="007A6FE3">
        <w:rPr>
          <w:rFonts w:eastAsia="MS Mincho"/>
          <w:bCs/>
          <w:lang w:eastAsia="ja-JP"/>
        </w:rPr>
        <w:t xml:space="preserve"> retire</w:t>
      </w:r>
      <w:r w:rsidR="00290204" w:rsidRPr="007A6FE3">
        <w:rPr>
          <w:rFonts w:eastAsia="MS Mincho"/>
          <w:bCs/>
          <w:lang w:eastAsia="ja-JP"/>
        </w:rPr>
        <w:t>s</w:t>
      </w:r>
      <w:r w:rsidR="004F79FF" w:rsidRPr="007A6FE3">
        <w:rPr>
          <w:rFonts w:eastAsia="MS Mincho"/>
          <w:bCs/>
          <w:lang w:eastAsia="ja-JP"/>
        </w:rPr>
        <w:t xml:space="preserve"> copper facilities</w:t>
      </w:r>
      <w:r w:rsidR="004E6BBF" w:rsidRPr="007A6FE3">
        <w:rPr>
          <w:rFonts w:eastAsia="MS Mincho"/>
          <w:bCs/>
          <w:lang w:eastAsia="ja-JP"/>
        </w:rPr>
        <w:t xml:space="preserve">, </w:t>
      </w:r>
      <w:r w:rsidR="004F79FF" w:rsidRPr="007A6FE3">
        <w:rPr>
          <w:rFonts w:eastAsia="MS Mincho"/>
          <w:bCs/>
          <w:lang w:eastAsia="ja-JP"/>
        </w:rPr>
        <w:t xml:space="preserve">customers migrated to fiber </w:t>
      </w:r>
      <w:r w:rsidR="004F79FF" w:rsidRPr="007A6FE3">
        <w:rPr>
          <w:szCs w:val="22"/>
        </w:rPr>
        <w:t xml:space="preserve">“receive the same POTS service at the same price, unless they choose to </w:t>
      </w:r>
      <w:r w:rsidR="004F79FF" w:rsidRPr="007A6FE3">
        <w:rPr>
          <w:rFonts w:eastAsia="MS Mincho"/>
          <w:bCs/>
          <w:lang w:eastAsia="ja-JP"/>
        </w:rPr>
        <w:t>upgrade</w:t>
      </w:r>
      <w:r w:rsidR="004F79FF" w:rsidRPr="007A6FE3">
        <w:rPr>
          <w:szCs w:val="22"/>
        </w:rPr>
        <w:t>.”</w:t>
      </w:r>
      <w:r w:rsidR="004F79FF" w:rsidRPr="007A6FE3">
        <w:rPr>
          <w:rStyle w:val="FootnoteReference"/>
          <w:sz w:val="22"/>
          <w:szCs w:val="22"/>
        </w:rPr>
        <w:footnoteReference w:id="55"/>
      </w:r>
      <w:r w:rsidR="004F79FF" w:rsidRPr="007A6FE3">
        <w:rPr>
          <w:szCs w:val="22"/>
        </w:rPr>
        <w:t xml:space="preserve">  </w:t>
      </w:r>
      <w:r w:rsidR="000F1F53" w:rsidRPr="007A6FE3">
        <w:rPr>
          <w:szCs w:val="22"/>
        </w:rPr>
        <w:t xml:space="preserve">Consumer advocates </w:t>
      </w:r>
      <w:r w:rsidR="00E251DD" w:rsidRPr="007A6FE3">
        <w:rPr>
          <w:szCs w:val="22"/>
        </w:rPr>
        <w:t xml:space="preserve">also </w:t>
      </w:r>
      <w:r w:rsidR="000F1F53" w:rsidRPr="007A6FE3">
        <w:rPr>
          <w:szCs w:val="22"/>
        </w:rPr>
        <w:t>assert</w:t>
      </w:r>
      <w:r w:rsidR="008A7338" w:rsidRPr="007A6FE3">
        <w:rPr>
          <w:szCs w:val="22"/>
        </w:rPr>
        <w:t xml:space="preserve"> that an important step in protecting consumers is to ensure that they have</w:t>
      </w:r>
      <w:r w:rsidR="000F1F53" w:rsidRPr="007A6FE3">
        <w:rPr>
          <w:szCs w:val="22"/>
        </w:rPr>
        <w:t xml:space="preserve"> a voice in the retirement</w:t>
      </w:r>
      <w:r w:rsidR="008A7338" w:rsidRPr="007A6FE3">
        <w:rPr>
          <w:szCs w:val="22"/>
        </w:rPr>
        <w:t xml:space="preserve"> process.</w:t>
      </w:r>
      <w:r w:rsidR="008A7338" w:rsidRPr="007A6FE3">
        <w:rPr>
          <w:rStyle w:val="FootnoteReference"/>
          <w:szCs w:val="22"/>
        </w:rPr>
        <w:footnoteReference w:id="56"/>
      </w:r>
      <w:bookmarkEnd w:id="133"/>
      <w:r w:rsidR="00E6237A" w:rsidRPr="007A6FE3" w:rsidDel="00E6237A">
        <w:rPr>
          <w:szCs w:val="22"/>
        </w:rPr>
        <w:t xml:space="preserve"> </w:t>
      </w:r>
    </w:p>
    <w:p w14:paraId="046738BA" w14:textId="77777777" w:rsidR="001E7516" w:rsidRPr="007A6FE3" w:rsidRDefault="00B70C9A" w:rsidP="008F291C">
      <w:pPr>
        <w:pStyle w:val="ParaNum0"/>
      </w:pPr>
      <w:r w:rsidRPr="007A6FE3">
        <w:rPr>
          <w:i/>
        </w:rPr>
        <w:t xml:space="preserve">Competitive </w:t>
      </w:r>
      <w:r w:rsidR="00E251DD" w:rsidRPr="007A6FE3">
        <w:rPr>
          <w:i/>
        </w:rPr>
        <w:t>Concerns</w:t>
      </w:r>
      <w:r w:rsidRPr="007A6FE3">
        <w:rPr>
          <w:i/>
        </w:rPr>
        <w:t xml:space="preserve">.  </w:t>
      </w:r>
      <w:r w:rsidR="000F1F53" w:rsidRPr="007A6FE3">
        <w:t>We are committed to preserving the core statutory value of competition during the technology transitions that are underway.</w:t>
      </w:r>
      <w:r w:rsidR="000F1F53" w:rsidRPr="007A6FE3">
        <w:rPr>
          <w:rStyle w:val="FootnoteReference"/>
        </w:rPr>
        <w:footnoteReference w:id="57"/>
      </w:r>
      <w:r w:rsidR="000F1F53" w:rsidRPr="007A6FE3">
        <w:rPr>
          <w:rStyle w:val="FootnoteReference"/>
        </w:rPr>
        <w:t xml:space="preserve">  </w:t>
      </w:r>
      <w:r w:rsidRPr="007A6FE3">
        <w:t xml:space="preserve">Competitive LECs </w:t>
      </w:r>
      <w:r w:rsidR="00F328CA" w:rsidRPr="007A6FE3">
        <w:t xml:space="preserve">have expressed concern over copper retirements, </w:t>
      </w:r>
      <w:r w:rsidRPr="007A6FE3">
        <w:t>alleg</w:t>
      </w:r>
      <w:r w:rsidR="00F328CA" w:rsidRPr="007A6FE3">
        <w:t>ing, among other things,</w:t>
      </w:r>
      <w:r w:rsidRPr="007A6FE3">
        <w:t xml:space="preserve"> that incumbent LECs are retiring copper—and thereby wasting a valuable resource—merely to preclude potential broadband competitors from providing service.</w:t>
      </w:r>
      <w:r w:rsidRPr="007A6FE3">
        <w:rPr>
          <w:rStyle w:val="FootnoteReference"/>
        </w:rPr>
        <w:footnoteReference w:id="58"/>
      </w:r>
      <w:r w:rsidRPr="007A6FE3">
        <w:t xml:space="preserve">  </w:t>
      </w:r>
      <w:r w:rsidR="00B20F3B" w:rsidRPr="007A6FE3">
        <w:t>C</w:t>
      </w:r>
      <w:r w:rsidR="00EE4823" w:rsidRPr="007A6FE3">
        <w:t>ompetitive carriers use copper facilities to provide alternative broadband services to small- and medium-sized businesses.</w:t>
      </w:r>
      <w:r w:rsidR="00EE4823" w:rsidRPr="007A6FE3">
        <w:rPr>
          <w:rStyle w:val="FootnoteReference"/>
        </w:rPr>
        <w:footnoteReference w:id="59"/>
      </w:r>
      <w:r w:rsidR="00EE4823" w:rsidRPr="007A6FE3">
        <w:t xml:space="preserve">  </w:t>
      </w:r>
      <w:r w:rsidR="00141F3A" w:rsidRPr="007A6FE3">
        <w:t xml:space="preserve">As reflected in the various filings with the Commission, competitive LECs </w:t>
      </w:r>
      <w:r w:rsidR="00A15B34" w:rsidRPr="007A6FE3">
        <w:t xml:space="preserve">claim </w:t>
      </w:r>
      <w:r w:rsidR="00141F3A" w:rsidRPr="007A6FE3">
        <w:t>that the increased pace of copper retirement will lead to reduced availability of Ethernet-over-Copper services to small and medium businesses.</w:t>
      </w:r>
      <w:r w:rsidR="00141F3A" w:rsidRPr="007A6FE3">
        <w:rPr>
          <w:rStyle w:val="FootnoteReference"/>
          <w:sz w:val="22"/>
          <w:szCs w:val="22"/>
        </w:rPr>
        <w:footnoteReference w:id="60"/>
      </w:r>
      <w:r w:rsidR="00141F3A" w:rsidRPr="007A6FE3">
        <w:t xml:space="preserve">  </w:t>
      </w:r>
      <w:r w:rsidR="00EE4823" w:rsidRPr="007A6FE3">
        <w:t xml:space="preserve">Because of their concerns, certain competitive LECs have </w:t>
      </w:r>
      <w:r w:rsidRPr="007A6FE3">
        <w:t>request</w:t>
      </w:r>
      <w:r w:rsidR="00EE4823" w:rsidRPr="007A6FE3">
        <w:t>ed</w:t>
      </w:r>
      <w:r w:rsidR="00F10F0F" w:rsidRPr="007A6FE3">
        <w:t xml:space="preserve"> that</w:t>
      </w:r>
      <w:r w:rsidRPr="007A6FE3">
        <w:t xml:space="preserve"> the Commission permit incumbent LECs to retire or otherwise remove copper only in a narrow range of circumstances.</w:t>
      </w:r>
      <w:r w:rsidRPr="007A6FE3">
        <w:rPr>
          <w:rStyle w:val="FootnoteReference"/>
        </w:rPr>
        <w:footnoteReference w:id="61"/>
      </w:r>
      <w:r w:rsidRPr="007A6FE3">
        <w:t xml:space="preserve">  </w:t>
      </w:r>
      <w:r w:rsidR="003C3FDC" w:rsidRPr="007A6FE3">
        <w:t xml:space="preserve">Competitive LECs also recommended revisions to our copper retirement process.  </w:t>
      </w:r>
      <w:r w:rsidR="008F6A68" w:rsidRPr="007A6FE3">
        <w:t>Specifically, in 2007</w:t>
      </w:r>
      <w:r w:rsidR="004B491C" w:rsidRPr="007A6FE3">
        <w:t>,</w:t>
      </w:r>
      <w:r w:rsidR="008F6A68" w:rsidRPr="007A6FE3">
        <w:t xml:space="preserve"> BridgeCom et al. and XO et al</w:t>
      </w:r>
      <w:r w:rsidR="004B491C" w:rsidRPr="007A6FE3">
        <w:t>.</w:t>
      </w:r>
      <w:r w:rsidR="008F6A68" w:rsidRPr="007A6FE3">
        <w:t xml:space="preserve"> filed petitions for rulemaking to modify the Commission’s copper retirement regulations.</w:t>
      </w:r>
      <w:bookmarkStart w:id="134" w:name="_Ref401907062"/>
      <w:r w:rsidR="008F6A68" w:rsidRPr="007A6FE3">
        <w:rPr>
          <w:rStyle w:val="FootnoteReference"/>
        </w:rPr>
        <w:footnoteReference w:id="62"/>
      </w:r>
      <w:bookmarkEnd w:id="134"/>
      <w:r w:rsidR="008F6A68" w:rsidRPr="007A6FE3">
        <w:t xml:space="preserve">  </w:t>
      </w:r>
      <w:r w:rsidR="001B4D98" w:rsidRPr="007A6FE3">
        <w:t xml:space="preserve">In its petition, </w:t>
      </w:r>
      <w:r w:rsidR="003C3FDC" w:rsidRPr="007A6FE3">
        <w:t>BridgeCom recommend</w:t>
      </w:r>
      <w:r w:rsidR="001B4D98" w:rsidRPr="007A6FE3">
        <w:t>s</w:t>
      </w:r>
      <w:r w:rsidR="003C3FDC" w:rsidRPr="007A6FE3">
        <w:t xml:space="preserve"> applying copper retirement rules to the feeder portion of the copper loop and subloops.</w:t>
      </w:r>
      <w:r w:rsidR="003C3FDC" w:rsidRPr="007A6FE3">
        <w:rPr>
          <w:rStyle w:val="FootnoteReference"/>
        </w:rPr>
        <w:footnoteReference w:id="63"/>
      </w:r>
      <w:r w:rsidR="003C3FDC" w:rsidRPr="007A6FE3">
        <w:t xml:space="preserve">  XO recommends stronger notice requirements</w:t>
      </w:r>
      <w:r w:rsidR="00290204" w:rsidRPr="007A6FE3">
        <w:t>,</w:t>
      </w:r>
      <w:r w:rsidR="003C3FDC" w:rsidRPr="007A6FE3">
        <w:t xml:space="preserve"> such as </w:t>
      </w:r>
      <w:r w:rsidR="003C3FDC" w:rsidRPr="007A6FE3">
        <w:rPr>
          <w:rFonts w:eastAsia="MS Mincho"/>
          <w:bCs/>
          <w:lang w:eastAsia="ja-JP"/>
        </w:rPr>
        <w:t>requiring incumbent LECs to publish notice of a proposed copper retirement at least 12 months before implementation.</w:t>
      </w:r>
      <w:r w:rsidR="003C3FDC" w:rsidRPr="007A6FE3">
        <w:rPr>
          <w:rStyle w:val="FootnoteReference"/>
          <w:rFonts w:eastAsia="MS Mincho"/>
          <w:bCs/>
          <w:lang w:eastAsia="ja-JP"/>
        </w:rPr>
        <w:footnoteReference w:id="64"/>
      </w:r>
      <w:r w:rsidR="003C3FDC" w:rsidRPr="007A6FE3">
        <w:rPr>
          <w:rFonts w:eastAsia="MS Mincho"/>
          <w:bCs/>
          <w:lang w:eastAsia="ja-JP"/>
        </w:rPr>
        <w:t xml:space="preserve">  These competitive LECs also request that the Commission allow states to adopt copper loop requirements stronger than the Commission’s rules.</w:t>
      </w:r>
      <w:r w:rsidR="003C3FDC" w:rsidRPr="007A6FE3">
        <w:rPr>
          <w:vertAlign w:val="superscript"/>
        </w:rPr>
        <w:footnoteReference w:id="65"/>
      </w:r>
    </w:p>
    <w:p w14:paraId="06F7F9F6" w14:textId="77777777" w:rsidR="004F79FF" w:rsidRPr="007A6FE3" w:rsidRDefault="00F10F0F" w:rsidP="000350B7">
      <w:pPr>
        <w:pStyle w:val="ParaNum0"/>
        <w:rPr>
          <w:sz w:val="21"/>
          <w:szCs w:val="21"/>
        </w:rPr>
      </w:pPr>
      <w:r w:rsidRPr="007A6FE3">
        <w:t>In response, incumbent LECs argue there is no evidence that copper retirement has hurt competition for broadband.</w:t>
      </w:r>
      <w:r w:rsidRPr="007A6FE3">
        <w:rPr>
          <w:vertAlign w:val="superscript"/>
        </w:rPr>
        <w:footnoteReference w:id="66"/>
      </w:r>
      <w:r w:rsidRPr="007A6FE3">
        <w:t xml:space="preserve">  They also </w:t>
      </w:r>
      <w:r w:rsidR="005750F1" w:rsidRPr="007A6FE3">
        <w:t>state</w:t>
      </w:r>
      <w:r w:rsidRPr="007A6FE3">
        <w:t xml:space="preserve"> that forcing incumbent LECs to maintain redundant copper facilities prevents them from efficiently upgrading their networks, and discourages incumbent LEC and competitive LEC network investments in fiber.</w:t>
      </w:r>
      <w:r w:rsidRPr="007A6FE3">
        <w:rPr>
          <w:vertAlign w:val="superscript"/>
        </w:rPr>
        <w:footnoteReference w:id="67"/>
      </w:r>
      <w:r w:rsidR="001E7516" w:rsidRPr="007A6FE3">
        <w:t xml:space="preserve">  They claim consumers will ultimately be harmed by diminished investment in broadband technologies</w:t>
      </w:r>
      <w:r w:rsidR="00A15B34" w:rsidRPr="007A6FE3">
        <w:t xml:space="preserve"> if </w:t>
      </w:r>
      <w:r w:rsidR="009D69FF" w:rsidRPr="007A6FE3">
        <w:t xml:space="preserve">incumbent LECs </w:t>
      </w:r>
      <w:r w:rsidR="00A15B34" w:rsidRPr="007A6FE3">
        <w:t>are forced to retain copper facilities</w:t>
      </w:r>
      <w:r w:rsidR="001E7516" w:rsidRPr="007A6FE3">
        <w:t>.</w:t>
      </w:r>
      <w:r w:rsidR="001E7516" w:rsidRPr="007A6FE3">
        <w:rPr>
          <w:rStyle w:val="FootnoteReference"/>
          <w:sz w:val="22"/>
          <w:szCs w:val="22"/>
        </w:rPr>
        <w:footnoteReference w:id="68"/>
      </w:r>
      <w:r w:rsidR="003D4472" w:rsidRPr="007A6FE3" w:rsidDel="003D4472">
        <w:t xml:space="preserve"> </w:t>
      </w:r>
    </w:p>
    <w:p w14:paraId="723D034B" w14:textId="77777777" w:rsidR="00DB174C" w:rsidRPr="007A6FE3" w:rsidRDefault="00DB174C" w:rsidP="006A6CB5">
      <w:pPr>
        <w:pStyle w:val="ParaNum0"/>
        <w:rPr>
          <w:sz w:val="21"/>
        </w:rPr>
      </w:pPr>
      <w:bookmarkStart w:id="135" w:name="_Ref401313964"/>
      <w:r w:rsidRPr="007A6FE3">
        <w:rPr>
          <w:i/>
        </w:rPr>
        <w:t>Benefits of Copper.</w:t>
      </w:r>
      <w:r w:rsidRPr="007A6FE3">
        <w:t xml:space="preserve">  </w:t>
      </w:r>
      <w:r w:rsidR="00785E42" w:rsidRPr="007A6FE3">
        <w:t>C</w:t>
      </w:r>
      <w:r w:rsidR="009F020A" w:rsidRPr="007A6FE3">
        <w:t>onstruction of fiber and transitions to next-generation networks</w:t>
      </w:r>
      <w:r w:rsidR="00785E42" w:rsidRPr="007A6FE3">
        <w:t xml:space="preserve"> carry clear benefits</w:t>
      </w:r>
      <w:r w:rsidR="009F020A" w:rsidRPr="007A6FE3">
        <w:t xml:space="preserve">, </w:t>
      </w:r>
      <w:r w:rsidR="00785E42" w:rsidRPr="007A6FE3">
        <w:t>but this does not mean that copper networks are without value</w:t>
      </w:r>
      <w:r w:rsidR="009F020A" w:rsidRPr="007A6FE3">
        <w:t>.  In particular, t</w:t>
      </w:r>
      <w:r w:rsidRPr="007A6FE3">
        <w:t>he Commission recognizes the importance of copper facilities as a means for competitors to provide advanced telecommunications capability</w:t>
      </w:r>
      <w:r w:rsidRPr="007A6FE3" w:rsidDel="001B3A63">
        <w:t xml:space="preserve"> </w:t>
      </w:r>
      <w:r w:rsidRPr="007A6FE3">
        <w:t>to business</w:t>
      </w:r>
      <w:r w:rsidR="00427E17" w:rsidRPr="007A6FE3">
        <w:t>es</w:t>
      </w:r>
      <w:r w:rsidRPr="007A6FE3">
        <w:t>,</w:t>
      </w:r>
      <w:r w:rsidRPr="007A6FE3">
        <w:rPr>
          <w:bCs/>
        </w:rPr>
        <w:t xml:space="preserve"> schools, libraries, hospitals, other enterprise customers</w:t>
      </w:r>
      <w:r w:rsidR="00A276FD" w:rsidRPr="007A6FE3">
        <w:rPr>
          <w:bCs/>
        </w:rPr>
        <w:t>, and consumers with disabilities</w:t>
      </w:r>
      <w:r w:rsidRPr="007A6FE3">
        <w:t xml:space="preserve">.  </w:t>
      </w:r>
      <w:bookmarkStart w:id="136" w:name="_Ref400713134"/>
      <w:r w:rsidR="005B7296" w:rsidRPr="007A6FE3">
        <w:rPr>
          <w:snapToGrid/>
        </w:rPr>
        <w:t xml:space="preserve">Competitive LECs provide voice and broadband service to enterprise customers by leasing copper loops and connecting those loops to their own Digital Subscriber Line (DSL) or EoC equipment that is </w:t>
      </w:r>
      <w:r w:rsidR="005B7296" w:rsidRPr="007A6FE3">
        <w:rPr>
          <w:snapToGrid/>
          <w:szCs w:val="22"/>
        </w:rPr>
        <w:t>generally collocated in the incumbent LEC’s central office.</w:t>
      </w:r>
      <w:r w:rsidR="005B7296" w:rsidRPr="007A6FE3">
        <w:rPr>
          <w:rStyle w:val="FootnoteReference"/>
          <w:snapToGrid/>
          <w:kern w:val="0"/>
          <w:sz w:val="22"/>
          <w:szCs w:val="22"/>
        </w:rPr>
        <w:footnoteReference w:id="69"/>
      </w:r>
      <w:r w:rsidR="005B7296" w:rsidRPr="007A6FE3">
        <w:rPr>
          <w:snapToGrid/>
          <w:szCs w:val="22"/>
        </w:rPr>
        <w:t xml:space="preserve">  Competitive LECs can provide broadband with EoC at speeds from 3 to 30 Mbps,</w:t>
      </w:r>
      <w:r w:rsidR="005B7296" w:rsidRPr="007A6FE3">
        <w:rPr>
          <w:snapToGrid/>
          <w:szCs w:val="22"/>
          <w:vertAlign w:val="superscript"/>
        </w:rPr>
        <w:t xml:space="preserve"> </w:t>
      </w:r>
      <w:r w:rsidR="005B7296" w:rsidRPr="007A6FE3">
        <w:rPr>
          <w:snapToGrid/>
          <w:szCs w:val="22"/>
        </w:rPr>
        <w:t>and in some areas can reach 200 Mbps.</w:t>
      </w:r>
      <w:r w:rsidR="005B7296" w:rsidRPr="007A6FE3">
        <w:rPr>
          <w:snapToGrid/>
          <w:szCs w:val="22"/>
          <w:vertAlign w:val="superscript"/>
        </w:rPr>
        <w:footnoteReference w:id="70"/>
      </w:r>
      <w:r w:rsidR="005B7296" w:rsidRPr="007A6FE3">
        <w:rPr>
          <w:snapToGrid/>
          <w:szCs w:val="22"/>
        </w:rPr>
        <w:t xml:space="preserve">  Companies are testing technologies over copper that will provide speeds of 10 Gbps.</w:t>
      </w:r>
      <w:r w:rsidR="005B7296" w:rsidRPr="007A6FE3">
        <w:rPr>
          <w:rStyle w:val="FootnoteReference"/>
          <w:snapToGrid/>
          <w:kern w:val="0"/>
          <w:sz w:val="22"/>
          <w:szCs w:val="22"/>
        </w:rPr>
        <w:footnoteReference w:id="71"/>
      </w:r>
      <w:r w:rsidR="005B7296" w:rsidRPr="007A6FE3">
        <w:rPr>
          <w:snapToGrid/>
          <w:szCs w:val="22"/>
        </w:rPr>
        <w:t xml:space="preserve">  Further, the use of competitive carriers’ own equipment over leased copper enables these</w:t>
      </w:r>
      <w:r w:rsidR="005B7296" w:rsidRPr="007A6FE3">
        <w:rPr>
          <w:snapToGrid/>
        </w:rPr>
        <w:t xml:space="preserve"> carriers to design their own set of integrated broadband, voice, and even video services.</w:t>
      </w:r>
      <w:r w:rsidR="005B7296" w:rsidRPr="007A6FE3">
        <w:rPr>
          <w:snapToGrid/>
          <w:vertAlign w:val="superscript"/>
        </w:rPr>
        <w:footnoteReference w:id="72"/>
      </w:r>
      <w:r w:rsidR="005B7296" w:rsidRPr="007A6FE3">
        <w:rPr>
          <w:snapToGrid/>
        </w:rPr>
        <w:t xml:space="preserve">  </w:t>
      </w:r>
      <w:r w:rsidR="005B7296" w:rsidRPr="007A6FE3">
        <w:rPr>
          <w:szCs w:val="22"/>
        </w:rPr>
        <w:t>Another important feature of copper is that it carries an independent source of power that preserves service during emergencies when the electric power grid fails.</w:t>
      </w:r>
      <w:r w:rsidR="005B7296" w:rsidRPr="007A6FE3">
        <w:rPr>
          <w:rStyle w:val="FootnoteReference"/>
          <w:szCs w:val="22"/>
        </w:rPr>
        <w:footnoteReference w:id="73"/>
      </w:r>
      <w:r w:rsidR="005B7296" w:rsidRPr="007A6FE3">
        <w:rPr>
          <w:szCs w:val="22"/>
        </w:rPr>
        <w:t xml:space="preserve">  </w:t>
      </w:r>
      <w:r w:rsidR="005B7296" w:rsidRPr="007A6FE3">
        <w:t xml:space="preserve">Finally, copper is already deployed and financed by ratepayers and </w:t>
      </w:r>
      <w:bookmarkEnd w:id="136"/>
      <w:r w:rsidR="005B7296" w:rsidRPr="007A6FE3">
        <w:t>subsidies.</w:t>
      </w:r>
      <w:r w:rsidR="005B7296" w:rsidRPr="007A6FE3">
        <w:rPr>
          <w:rStyle w:val="FootnoteReference"/>
        </w:rPr>
        <w:footnoteReference w:id="74"/>
      </w:r>
      <w:bookmarkEnd w:id="135"/>
      <w:r w:rsidR="005B7296" w:rsidRPr="007A6FE3">
        <w:t xml:space="preserve">  </w:t>
      </w:r>
    </w:p>
    <w:p w14:paraId="29B4458A" w14:textId="77777777" w:rsidR="00BB55C1" w:rsidRPr="007A6FE3" w:rsidRDefault="00BB55C1" w:rsidP="006A6CB5">
      <w:pPr>
        <w:pStyle w:val="Heading3"/>
      </w:pPr>
      <w:bookmarkStart w:id="137" w:name="_Toc399947705"/>
      <w:bookmarkStart w:id="138" w:name="_Toc400554015"/>
      <w:bookmarkStart w:id="139" w:name="_Toc400566824"/>
      <w:bookmarkStart w:id="140" w:name="_Toc400711693"/>
      <w:bookmarkStart w:id="141" w:name="_Toc400719645"/>
      <w:bookmarkStart w:id="142" w:name="_Toc401299418"/>
      <w:bookmarkStart w:id="143" w:name="_Toc401306983"/>
      <w:bookmarkStart w:id="144" w:name="_Toc401595624"/>
      <w:bookmarkStart w:id="145" w:name="_Toc401658181"/>
      <w:bookmarkStart w:id="146" w:name="_Toc401821683"/>
      <w:bookmarkStart w:id="147" w:name="_Toc401912150"/>
      <w:bookmarkStart w:id="148" w:name="_Ref401922067"/>
      <w:bookmarkStart w:id="149" w:name="_Toc402255404"/>
      <w:bookmarkStart w:id="150" w:name="_Toc402276187"/>
      <w:bookmarkStart w:id="151" w:name="_Toc402360429"/>
      <w:bookmarkStart w:id="152" w:name="_Toc402511491"/>
      <w:bookmarkStart w:id="153" w:name="_Toc403566400"/>
      <w:bookmarkStart w:id="154" w:name="_Toc404072111"/>
      <w:bookmarkStart w:id="155" w:name="_Toc404081307"/>
      <w:bookmarkStart w:id="156" w:name="_Toc404165786"/>
      <w:bookmarkStart w:id="157" w:name="_Toc404165864"/>
      <w:bookmarkStart w:id="158" w:name="_Toc404172422"/>
      <w:bookmarkStart w:id="159" w:name="_Toc404181475"/>
      <w:bookmarkStart w:id="160" w:name="_Toc404183068"/>
      <w:bookmarkStart w:id="161" w:name="_Toc404246613"/>
      <w:r w:rsidRPr="007A6FE3">
        <w:t>Section 214 Discontinuance</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sidRPr="007A6FE3">
        <w:t xml:space="preserve">  </w:t>
      </w:r>
    </w:p>
    <w:p w14:paraId="03DC8B30" w14:textId="77777777" w:rsidR="005D03EA" w:rsidRPr="007A6FE3" w:rsidRDefault="004E33A2" w:rsidP="00135367">
      <w:pPr>
        <w:pStyle w:val="ParaNum0"/>
        <w:widowControl/>
        <w:rPr>
          <w:szCs w:val="22"/>
        </w:rPr>
      </w:pPr>
      <w:bookmarkStart w:id="162" w:name="_Ref401128243"/>
      <w:r w:rsidRPr="007A6FE3">
        <w:t xml:space="preserve">Pursuant to </w:t>
      </w:r>
      <w:r w:rsidR="00C51D1F" w:rsidRPr="007A6FE3">
        <w:t xml:space="preserve">our </w:t>
      </w:r>
      <w:r w:rsidR="003953C4" w:rsidRPr="007A6FE3">
        <w:t>s</w:t>
      </w:r>
      <w:r w:rsidR="00C51D1F" w:rsidRPr="007A6FE3">
        <w:t>ection 214(a) discontinuance</w:t>
      </w:r>
      <w:r w:rsidRPr="007A6FE3">
        <w:t xml:space="preserve"> process, telecommunications carriers</w:t>
      </w:r>
      <w:r w:rsidRPr="007A6FE3">
        <w:rPr>
          <w:rStyle w:val="FootnoteReference"/>
        </w:rPr>
        <w:footnoteReference w:id="75"/>
      </w:r>
      <w:r w:rsidRPr="007A6FE3">
        <w:t>—other than CMRS providers</w:t>
      </w:r>
      <w:r w:rsidRPr="007A6FE3">
        <w:rPr>
          <w:rStyle w:val="FootnoteReference"/>
        </w:rPr>
        <w:footnoteReference w:id="76"/>
      </w:r>
      <w:r w:rsidRPr="007A6FE3">
        <w:t xml:space="preserve">—and interconnected </w:t>
      </w:r>
      <w:r w:rsidR="007A46A5" w:rsidRPr="007A6FE3">
        <w:t>Voice over Internet Protocol (</w:t>
      </w:r>
      <w:r w:rsidRPr="007A6FE3">
        <w:t>VoIP</w:t>
      </w:r>
      <w:r w:rsidR="007A46A5" w:rsidRPr="007A6FE3">
        <w:t>)</w:t>
      </w:r>
      <w:r w:rsidRPr="007A6FE3">
        <w:t xml:space="preserve"> providers</w:t>
      </w:r>
      <w:bookmarkStart w:id="163" w:name="_Ref388623936"/>
      <w:r w:rsidRPr="007A6FE3">
        <w:rPr>
          <w:rStyle w:val="FootnoteReference"/>
        </w:rPr>
        <w:footnoteReference w:id="77"/>
      </w:r>
      <w:bookmarkEnd w:id="163"/>
      <w:r w:rsidRPr="007A6FE3">
        <w:t xml:space="preserve"> must obtain Commission authority to discontinue </w:t>
      </w:r>
      <w:r w:rsidR="00037E8D" w:rsidRPr="007A6FE3">
        <w:t xml:space="preserve">interstate or foreign </w:t>
      </w:r>
      <w:r w:rsidRPr="007A6FE3">
        <w:t>service</w:t>
      </w:r>
      <w:r w:rsidR="004D7FF1" w:rsidRPr="007A6FE3">
        <w:t xml:space="preserve"> to a community or part of a community</w:t>
      </w:r>
      <w:r w:rsidRPr="007A6FE3">
        <w:t>.</w:t>
      </w:r>
      <w:r w:rsidR="00BA3D03" w:rsidRPr="007A6FE3">
        <w:rPr>
          <w:rStyle w:val="FootnoteReference"/>
        </w:rPr>
        <w:footnoteReference w:id="78"/>
      </w:r>
      <w:r w:rsidRPr="007A6FE3">
        <w:t xml:space="preserve">  </w:t>
      </w:r>
      <w:r w:rsidRPr="007A6FE3">
        <w:rPr>
          <w:szCs w:val="22"/>
        </w:rPr>
        <w:t xml:space="preserve">The </w:t>
      </w:r>
      <w:r w:rsidRPr="007A6FE3">
        <w:t xml:space="preserve">discontinuance rules are designed to ensure that </w:t>
      </w:r>
      <w:r w:rsidR="0009162F" w:rsidRPr="007A6FE3">
        <w:t xml:space="preserve">customers </w:t>
      </w:r>
      <w:r w:rsidRPr="007A6FE3">
        <w:t xml:space="preserve">are fully informed of any proposed change </w:t>
      </w:r>
      <w:r w:rsidR="0077624E" w:rsidRPr="007A6FE3">
        <w:t>that will</w:t>
      </w:r>
      <w:r w:rsidRPr="007A6FE3">
        <w:t xml:space="preserve"> reduce or end service, to ensure appropriate oversight by the Commission of such changes, and to provide an orderly transition of service, as appropriate.</w:t>
      </w:r>
      <w:r w:rsidRPr="007A6FE3">
        <w:rPr>
          <w:rStyle w:val="FootnoteReference"/>
        </w:rPr>
        <w:footnoteReference w:id="79"/>
      </w:r>
      <w:r w:rsidRPr="007A6FE3">
        <w:t xml:space="preserve">  This process allows the Commission to minimize harm to </w:t>
      </w:r>
      <w:r w:rsidR="0009162F" w:rsidRPr="007A6FE3">
        <w:t xml:space="preserve">customers </w:t>
      </w:r>
      <w:r w:rsidRPr="007A6FE3">
        <w:t>and to satisfy its obligation under the Act to protect the public interest.</w:t>
      </w:r>
      <w:r w:rsidRPr="007A6FE3">
        <w:rPr>
          <w:rStyle w:val="FootnoteReference"/>
        </w:rPr>
        <w:footnoteReference w:id="80"/>
      </w:r>
      <w:r w:rsidRPr="007A6FE3">
        <w:t xml:space="preserve"> </w:t>
      </w:r>
      <w:r w:rsidR="00C51D1F" w:rsidRPr="007A6FE3">
        <w:rPr>
          <w:szCs w:val="22"/>
        </w:rPr>
        <w:t xml:space="preserve"> </w:t>
      </w:r>
      <w:r w:rsidR="00462725" w:rsidRPr="007A6FE3">
        <w:t>The Commission has discretion in determining whether to grant a provider authority to discontinue, reduce, or impair service pursuant to section 214.</w:t>
      </w:r>
      <w:r w:rsidR="00462725" w:rsidRPr="007A6FE3">
        <w:rPr>
          <w:rStyle w:val="FootnoteReference"/>
          <w:szCs w:val="22"/>
        </w:rPr>
        <w:footnoteReference w:id="81"/>
      </w:r>
      <w:r w:rsidR="00462725" w:rsidRPr="007A6FE3">
        <w:t xml:space="preserve">  </w:t>
      </w:r>
      <w:r w:rsidR="0077624E" w:rsidRPr="007A6FE3">
        <w:t>To be clear, the fact that a carri</w:t>
      </w:r>
      <w:r w:rsidR="008A7338" w:rsidRPr="007A6FE3">
        <w:t>er is statutorily obligated to seek</w:t>
      </w:r>
      <w:r w:rsidR="0077624E" w:rsidRPr="007A6FE3">
        <w:t xml:space="preserve"> discontinuance approval does not mean the carrier will </w:t>
      </w:r>
      <w:r w:rsidR="008A7338" w:rsidRPr="007A6FE3">
        <w:t>be prevented from discontinuing</w:t>
      </w:r>
      <w:r w:rsidR="0077624E" w:rsidRPr="007A6FE3">
        <w:t xml:space="preserve"> the service.  Rather, it means that the request must go through a public review process to en</w:t>
      </w:r>
      <w:r w:rsidR="005D03EA" w:rsidRPr="007A6FE3">
        <w:t>sure that the public interest—encompassing consumer protection,</w:t>
      </w:r>
      <w:r w:rsidR="0077624E" w:rsidRPr="007A6FE3">
        <w:t xml:space="preserve"> competition</w:t>
      </w:r>
      <w:r w:rsidR="005D03EA" w:rsidRPr="007A6FE3">
        <w:t xml:space="preserve">, public safety, and other </w:t>
      </w:r>
      <w:r w:rsidR="00427E17" w:rsidRPr="007A6FE3">
        <w:t>statutory responsibilities</w:t>
      </w:r>
      <w:r w:rsidR="005D03EA" w:rsidRPr="007A6FE3">
        <w:t>—is</w:t>
      </w:r>
      <w:r w:rsidR="0077624E" w:rsidRPr="007A6FE3">
        <w:t xml:space="preserve"> protected.</w:t>
      </w:r>
      <w:bookmarkEnd w:id="162"/>
      <w:r w:rsidR="0077624E" w:rsidRPr="007A6FE3">
        <w:t xml:space="preserve">  </w:t>
      </w:r>
      <w:r w:rsidR="00FC202C" w:rsidRPr="007A6FE3">
        <w:t>For instance, the Wireline Competition Bureau (Bureau) recently</w:t>
      </w:r>
      <w:r w:rsidR="00A85E54" w:rsidRPr="007A6FE3">
        <w:t xml:space="preserve"> reviewed and allowed automatic grant of</w:t>
      </w:r>
      <w:r w:rsidR="00FC202C" w:rsidRPr="007A6FE3">
        <w:t xml:space="preserve"> Verizon’s application to grandfather five legacy DS0 services in six wire centers.</w:t>
      </w:r>
      <w:r w:rsidR="00A85E54" w:rsidRPr="007A6FE3">
        <w:rPr>
          <w:rStyle w:val="FootnoteReference"/>
        </w:rPr>
        <w:footnoteReference w:id="82"/>
      </w:r>
      <w:r w:rsidR="00FC202C" w:rsidRPr="007A6FE3">
        <w:t xml:space="preserve">   </w:t>
      </w:r>
    </w:p>
    <w:p w14:paraId="3ED471ED" w14:textId="77777777" w:rsidR="004E33A2" w:rsidRPr="007A6FE3" w:rsidRDefault="00C51D1F" w:rsidP="007B536F">
      <w:pPr>
        <w:pStyle w:val="ParaNum0"/>
        <w:widowControl/>
        <w:rPr>
          <w:szCs w:val="22"/>
        </w:rPr>
      </w:pPr>
      <w:r w:rsidRPr="007A6FE3">
        <w:t>Up until now, we have only begun to address the role that our section 214 discontinuance process plays in technology transitions.</w:t>
      </w:r>
      <w:r w:rsidRPr="007A6FE3">
        <w:rPr>
          <w:rStyle w:val="FootnoteReference"/>
          <w:szCs w:val="22"/>
        </w:rPr>
        <w:footnoteReference w:id="83"/>
      </w:r>
      <w:r w:rsidRPr="007A6FE3">
        <w:t xml:space="preserve">  In this Notice, we focus on t</w:t>
      </w:r>
      <w:r w:rsidR="00903031" w:rsidRPr="007A6FE3">
        <w:t>hree</w:t>
      </w:r>
      <w:r w:rsidRPr="007A6FE3">
        <w:t xml:space="preserve"> key issues</w:t>
      </w:r>
      <w:r w:rsidR="00315147" w:rsidRPr="007A6FE3">
        <w:t xml:space="preserve"> in the context of service discontinuances</w:t>
      </w:r>
      <w:r w:rsidRPr="007A6FE3">
        <w:t xml:space="preserve">: </w:t>
      </w:r>
      <w:r w:rsidR="00596B55" w:rsidRPr="007A6FE3">
        <w:t xml:space="preserve"> </w:t>
      </w:r>
      <w:r w:rsidR="00903031" w:rsidRPr="007A6FE3">
        <w:t>(</w:t>
      </w:r>
      <w:r w:rsidR="00B37253" w:rsidRPr="007A6FE3">
        <w:t>1</w:t>
      </w:r>
      <w:r w:rsidR="00903031" w:rsidRPr="007A6FE3">
        <w:t xml:space="preserve">) </w:t>
      </w:r>
      <w:r w:rsidRPr="007A6FE3">
        <w:t>ensuring that consumer</w:t>
      </w:r>
      <w:r w:rsidR="00596B55" w:rsidRPr="007A6FE3">
        <w:t>s</w:t>
      </w:r>
      <w:r w:rsidR="0009162F" w:rsidRPr="007A6FE3">
        <w:t xml:space="preserve"> </w:t>
      </w:r>
      <w:r w:rsidRPr="007A6FE3">
        <w:t>receive adequate substitutes for discontinued services</w:t>
      </w:r>
      <w:r w:rsidR="00596B55" w:rsidRPr="007A6FE3">
        <w:t>;</w:t>
      </w:r>
      <w:r w:rsidRPr="007A6FE3">
        <w:t xml:space="preserve"> </w:t>
      </w:r>
      <w:r w:rsidR="00B37253" w:rsidRPr="007A6FE3">
        <w:t xml:space="preserve">(2) further defining the scope of our section 214(a) authority, focusing in particular on the context of wholesale services; </w:t>
      </w:r>
      <w:r w:rsidRPr="007A6FE3">
        <w:t>and (</w:t>
      </w:r>
      <w:r w:rsidR="00903031" w:rsidRPr="007A6FE3">
        <w:t>3</w:t>
      </w:r>
      <w:r w:rsidRPr="007A6FE3">
        <w:t>) ensuring competitive availa</w:t>
      </w:r>
      <w:r w:rsidR="005D03EA" w:rsidRPr="007A6FE3">
        <w:t xml:space="preserve">bility of wholesale inputs </w:t>
      </w:r>
      <w:r w:rsidR="00315147" w:rsidRPr="007A6FE3">
        <w:t>following discontinuance of incumbent LECs’ TDM services on which competitive LECs currently rely</w:t>
      </w:r>
      <w:r w:rsidRPr="007A6FE3">
        <w:t xml:space="preserve">. </w:t>
      </w:r>
    </w:p>
    <w:p w14:paraId="7723617E" w14:textId="77777777" w:rsidR="00826FAF" w:rsidRPr="007A6FE3" w:rsidRDefault="00C51D1F" w:rsidP="00705BDC">
      <w:pPr>
        <w:pStyle w:val="ParaNum0"/>
        <w:rPr>
          <w:szCs w:val="22"/>
        </w:rPr>
      </w:pPr>
      <w:r w:rsidRPr="007A6FE3">
        <w:rPr>
          <w:i/>
        </w:rPr>
        <w:t>Adequacy of Substitutes</w:t>
      </w:r>
      <w:r w:rsidR="00462725" w:rsidRPr="007A6FE3">
        <w:rPr>
          <w:i/>
        </w:rPr>
        <w:t xml:space="preserve"> for Retail Services</w:t>
      </w:r>
      <w:r w:rsidRPr="007A6FE3">
        <w:rPr>
          <w:i/>
        </w:rPr>
        <w:t xml:space="preserve">.  </w:t>
      </w:r>
      <w:r w:rsidR="005D03EA" w:rsidRPr="007A6FE3">
        <w:t>In evaluating</w:t>
      </w:r>
      <w:r w:rsidR="00462725" w:rsidRPr="007A6FE3">
        <w:t xml:space="preserve"> a section 214 discontinuance application</w:t>
      </w:r>
      <w:r w:rsidRPr="007A6FE3">
        <w:t>, the Commission generally considers a number of factors, including the existence, availability, and adequacy of alternatives.</w:t>
      </w:r>
      <w:r w:rsidRPr="007A6FE3">
        <w:rPr>
          <w:vertAlign w:val="superscript"/>
        </w:rPr>
        <w:footnoteReference w:id="84"/>
      </w:r>
      <w:r w:rsidRPr="007A6FE3">
        <w:t xml:space="preserve">  </w:t>
      </w:r>
      <w:r w:rsidR="00462725" w:rsidRPr="007A6FE3">
        <w:t xml:space="preserve">Through </w:t>
      </w:r>
      <w:r w:rsidR="005D03EA" w:rsidRPr="007A6FE3">
        <w:t>th</w:t>
      </w:r>
      <w:r w:rsidR="00BA233D" w:rsidRPr="007A6FE3">
        <w:t>ese</w:t>
      </w:r>
      <w:r w:rsidR="00462725" w:rsidRPr="007A6FE3">
        <w:t xml:space="preserve"> factor</w:t>
      </w:r>
      <w:r w:rsidR="00F96A06" w:rsidRPr="007A6FE3">
        <w:t>s</w:t>
      </w:r>
      <w:r w:rsidR="00462725" w:rsidRPr="007A6FE3">
        <w:t>, the Commission ensures that the removal of a choice from the marketplace occur</w:t>
      </w:r>
      <w:r w:rsidR="00596B55" w:rsidRPr="007A6FE3">
        <w:t>s</w:t>
      </w:r>
      <w:r w:rsidR="00462725" w:rsidRPr="007A6FE3">
        <w:t xml:space="preserve"> in a manner that respects consumer</w:t>
      </w:r>
      <w:r w:rsidR="0009162F" w:rsidRPr="007A6FE3">
        <w:t xml:space="preserve"> </w:t>
      </w:r>
      <w:r w:rsidR="00462725" w:rsidRPr="007A6FE3">
        <w:t>expectations and needs.  In an era of ubiquitous legacy services, identifying an ade</w:t>
      </w:r>
      <w:r w:rsidR="005D03EA" w:rsidRPr="007A6FE3">
        <w:t>quate like-for-like substitute wa</w:t>
      </w:r>
      <w:r w:rsidR="00462725" w:rsidRPr="007A6FE3">
        <w:t>s comparatively easy.  Today, that is not the case.  Building on this theme, P</w:t>
      </w:r>
      <w:r w:rsidRPr="007A6FE3">
        <w:t xml:space="preserve">ublic Knowledge states that “[b]efore policymakers can state with confidence that any new technology is comparable to or better than existing network technology, [they] must know the metrics by which to compare the two.  The Commission should therefore establish the metrics by which it </w:t>
      </w:r>
      <w:r w:rsidRPr="007A6FE3">
        <w:rPr>
          <w:szCs w:val="22"/>
        </w:rPr>
        <w:t>will evaluate new technologies, when, for example, a carrier files an application to change or retire its network under § 214(a).”</w:t>
      </w:r>
      <w:r w:rsidRPr="007A6FE3">
        <w:rPr>
          <w:rStyle w:val="FootnoteReference"/>
          <w:sz w:val="22"/>
          <w:szCs w:val="22"/>
        </w:rPr>
        <w:footnoteReference w:id="85"/>
      </w:r>
      <w:r w:rsidRPr="007A6FE3">
        <w:rPr>
          <w:szCs w:val="22"/>
        </w:rPr>
        <w:t xml:space="preserve">  </w:t>
      </w:r>
    </w:p>
    <w:p w14:paraId="23601B28" w14:textId="77777777" w:rsidR="002B39E9" w:rsidRPr="007A6FE3" w:rsidRDefault="009F77C0" w:rsidP="0068305D">
      <w:pPr>
        <w:pStyle w:val="ParaNum0"/>
        <w:rPr>
          <w:kern w:val="0"/>
          <w:sz w:val="24"/>
          <w:szCs w:val="24"/>
        </w:rPr>
      </w:pPr>
      <w:r w:rsidRPr="007A6FE3">
        <w:rPr>
          <w:i/>
          <w:szCs w:val="22"/>
        </w:rPr>
        <w:t>Network Security and Reliability.</w:t>
      </w:r>
      <w:r w:rsidRPr="007A6FE3">
        <w:rPr>
          <w:szCs w:val="22"/>
        </w:rPr>
        <w:t xml:space="preserve">  </w:t>
      </w:r>
      <w:r w:rsidR="005074DD" w:rsidRPr="007A6FE3">
        <w:rPr>
          <w:szCs w:val="22"/>
        </w:rPr>
        <w:t>I</w:t>
      </w:r>
      <w:r w:rsidRPr="007A6FE3">
        <w:rPr>
          <w:szCs w:val="22"/>
        </w:rPr>
        <w:t xml:space="preserve">mproved network security reduces risk to all interconnected </w:t>
      </w:r>
      <w:r w:rsidRPr="007A6FE3">
        <w:t>service</w:t>
      </w:r>
      <w:r w:rsidRPr="007A6FE3">
        <w:rPr>
          <w:szCs w:val="22"/>
        </w:rPr>
        <w:t xml:space="preserve"> </w:t>
      </w:r>
      <w:r w:rsidRPr="007A6FE3">
        <w:t>providers</w:t>
      </w:r>
      <w:r w:rsidRPr="007A6FE3">
        <w:rPr>
          <w:szCs w:val="22"/>
        </w:rPr>
        <w:t>, their customers, and the nation as a whole.</w:t>
      </w:r>
      <w:r w:rsidR="004E317D" w:rsidRPr="007A6FE3">
        <w:rPr>
          <w:rStyle w:val="FootnoteReference"/>
          <w:szCs w:val="22"/>
        </w:rPr>
        <w:footnoteReference w:id="86"/>
      </w:r>
      <w:r w:rsidRPr="007A6FE3">
        <w:rPr>
          <w:szCs w:val="22"/>
        </w:rPr>
        <w:t xml:space="preserve">  Careful attention to network security becomes particularly important when networks are in transition</w:t>
      </w:r>
      <w:r w:rsidR="00FB46E9" w:rsidRPr="007A6FE3">
        <w:rPr>
          <w:szCs w:val="22"/>
        </w:rPr>
        <w:t>,</w:t>
      </w:r>
      <w:r w:rsidRPr="007A6FE3">
        <w:rPr>
          <w:rStyle w:val="FootnoteReference"/>
          <w:sz w:val="22"/>
          <w:szCs w:val="22"/>
        </w:rPr>
        <w:footnoteReference w:id="87"/>
      </w:r>
      <w:r w:rsidR="00380801" w:rsidRPr="007A6FE3">
        <w:rPr>
          <w:szCs w:val="22"/>
        </w:rPr>
        <w:t xml:space="preserve"> a</w:t>
      </w:r>
      <w:r w:rsidR="00FB46E9" w:rsidRPr="007A6FE3">
        <w:rPr>
          <w:szCs w:val="22"/>
        </w:rPr>
        <w:t xml:space="preserve">nd </w:t>
      </w:r>
      <w:r w:rsidR="00A20ECF" w:rsidRPr="007A6FE3">
        <w:rPr>
          <w:szCs w:val="22"/>
        </w:rPr>
        <w:t xml:space="preserve">it </w:t>
      </w:r>
      <w:r w:rsidR="00FB46E9" w:rsidRPr="007A6FE3">
        <w:rPr>
          <w:szCs w:val="22"/>
        </w:rPr>
        <w:t>is relevant to whether proposed or available alternative services provide the same</w:t>
      </w:r>
      <w:r w:rsidRPr="007A6FE3">
        <w:rPr>
          <w:szCs w:val="22"/>
        </w:rPr>
        <w:t xml:space="preserve"> reliability and resiliency that consumers have come to expect from their home voice service. </w:t>
      </w:r>
      <w:bookmarkStart w:id="164" w:name="_Toc399947706"/>
    </w:p>
    <w:p w14:paraId="38FE9517" w14:textId="77777777" w:rsidR="00060615" w:rsidRPr="007A6FE3" w:rsidRDefault="0076128A" w:rsidP="0068305D">
      <w:pPr>
        <w:pStyle w:val="ParaNum0"/>
        <w:rPr>
          <w:kern w:val="0"/>
          <w:sz w:val="24"/>
          <w:szCs w:val="24"/>
        </w:rPr>
      </w:pPr>
      <w:bookmarkStart w:id="165" w:name="_Ref401917545"/>
      <w:r w:rsidRPr="007A6FE3">
        <w:rPr>
          <w:i/>
          <w:szCs w:val="22"/>
        </w:rPr>
        <w:t>Wholesale</w:t>
      </w:r>
      <w:r w:rsidRPr="007A6FE3">
        <w:rPr>
          <w:i/>
        </w:rPr>
        <w:t xml:space="preserve"> Access</w:t>
      </w:r>
      <w:r w:rsidR="00C50B06" w:rsidRPr="007A6FE3">
        <w:rPr>
          <w:i/>
        </w:rPr>
        <w:t xml:space="preserve"> to Last-Mile </w:t>
      </w:r>
      <w:r w:rsidR="00252D92" w:rsidRPr="007A6FE3">
        <w:rPr>
          <w:i/>
        </w:rPr>
        <w:t>Services</w:t>
      </w:r>
      <w:r w:rsidRPr="007A6FE3">
        <w:rPr>
          <w:i/>
        </w:rPr>
        <w:t>.</w:t>
      </w:r>
      <w:bookmarkEnd w:id="164"/>
      <w:r w:rsidRPr="007A6FE3">
        <w:rPr>
          <w:i/>
        </w:rPr>
        <w:t xml:space="preserve"> </w:t>
      </w:r>
      <w:r w:rsidR="001646EB">
        <w:t xml:space="preserve"> </w:t>
      </w:r>
      <w:r w:rsidR="00D70C94" w:rsidRPr="007A6FE3">
        <w:t xml:space="preserve">In the </w:t>
      </w:r>
      <w:r w:rsidR="00D70C94" w:rsidRPr="007A6FE3">
        <w:rPr>
          <w:i/>
        </w:rPr>
        <w:t>Technology Transitions Order</w:t>
      </w:r>
      <w:r w:rsidR="00D70C94" w:rsidRPr="007A6FE3">
        <w:t>,</w:t>
      </w:r>
      <w:r w:rsidR="00D70C94" w:rsidRPr="007A6FE3">
        <w:rPr>
          <w:i/>
        </w:rPr>
        <w:t xml:space="preserve"> </w:t>
      </w:r>
      <w:r w:rsidR="00D70C94" w:rsidRPr="007A6FE3">
        <w:t xml:space="preserve">the Commission noted the importance of maintaining wholesale access to protect the enduring value of competition embodied in our communications laws </w:t>
      </w:r>
      <w:r w:rsidR="00FB46E9" w:rsidRPr="007A6FE3">
        <w:t xml:space="preserve">during </w:t>
      </w:r>
      <w:r w:rsidR="00427E17" w:rsidRPr="007A6FE3">
        <w:t xml:space="preserve">and after </w:t>
      </w:r>
      <w:r w:rsidR="00FB46E9" w:rsidRPr="007A6FE3">
        <w:t>the technology transitions</w:t>
      </w:r>
      <w:r w:rsidR="00D70C94" w:rsidRPr="007A6FE3">
        <w:t>.</w:t>
      </w:r>
      <w:r w:rsidR="00D70C94" w:rsidRPr="007A6FE3">
        <w:rPr>
          <w:rStyle w:val="FootnoteReference"/>
          <w:sz w:val="22"/>
          <w:szCs w:val="22"/>
        </w:rPr>
        <w:footnoteReference w:id="88"/>
      </w:r>
      <w:r w:rsidR="00D70C94" w:rsidRPr="007A6FE3">
        <w:t xml:space="preserve">  </w:t>
      </w:r>
      <w:r w:rsidR="00060615" w:rsidRPr="007A6FE3">
        <w:t>One of the primary goals of this</w:t>
      </w:r>
      <w:r w:rsidR="00060615" w:rsidRPr="007A6FE3">
        <w:rPr>
          <w:szCs w:val="22"/>
        </w:rPr>
        <w:t xml:space="preserve"> Notice is to </w:t>
      </w:r>
      <w:r w:rsidR="00037E8D" w:rsidRPr="007A6FE3">
        <w:rPr>
          <w:szCs w:val="22"/>
        </w:rPr>
        <w:t xml:space="preserve">begin the process of </w:t>
      </w:r>
      <w:r w:rsidR="00037E8D" w:rsidRPr="007A6FE3">
        <w:t xml:space="preserve">ensuring </w:t>
      </w:r>
      <w:r w:rsidR="00060615" w:rsidRPr="007A6FE3">
        <w:t xml:space="preserve">that there is competition in serving every level of the enterprise market, from very small businesses to large enterprises.  </w:t>
      </w:r>
      <w:r w:rsidR="00473114" w:rsidRPr="007A6FE3">
        <w:t>As</w:t>
      </w:r>
      <w:r w:rsidR="00D70C94" w:rsidRPr="007A6FE3">
        <w:t xml:space="preserve"> explained in the </w:t>
      </w:r>
      <w:r w:rsidR="00D70C94" w:rsidRPr="007A6FE3">
        <w:rPr>
          <w:i/>
        </w:rPr>
        <w:t>National Broadband Plan</w:t>
      </w:r>
      <w:r w:rsidR="00D70C94" w:rsidRPr="007A6FE3">
        <w:t>, “[b]ecause of the economies of scale, scope, and density that characterize telecommunications networks . . . it is not economically or practically feasible for competitors to build facilities in all geographic areas.”</w:t>
      </w:r>
      <w:r w:rsidR="00D70C94" w:rsidRPr="007A6FE3">
        <w:rPr>
          <w:rStyle w:val="FootnoteReference"/>
          <w:sz w:val="22"/>
          <w:szCs w:val="22"/>
        </w:rPr>
        <w:footnoteReference w:id="89"/>
      </w:r>
      <w:r w:rsidR="00D70C94" w:rsidRPr="007A6FE3">
        <w:t xml:space="preserve">  This is especially true in those cases where the potential return on investment from serving the needs of low</w:t>
      </w:r>
      <w:r w:rsidR="00FB46E9" w:rsidRPr="007A6FE3">
        <w:t>er</w:t>
      </w:r>
      <w:r w:rsidR="00D70C94" w:rsidRPr="007A6FE3">
        <w:t xml:space="preserve"> demand users, such as residences and small businesses, does not justify the cost of overbuilding an incumbent.</w:t>
      </w:r>
      <w:r w:rsidR="00D70C94" w:rsidRPr="007A6FE3">
        <w:rPr>
          <w:rStyle w:val="FootnoteReference"/>
        </w:rPr>
        <w:footnoteReference w:id="90"/>
      </w:r>
      <w:r w:rsidR="00D70C94" w:rsidRPr="007A6FE3">
        <w:t xml:space="preserve">  </w:t>
      </w:r>
      <w:r w:rsidR="008F291C" w:rsidRPr="007A6FE3">
        <w:t xml:space="preserve">Faced with these economic realities, </w:t>
      </w:r>
      <w:r w:rsidR="00D70C94" w:rsidRPr="007A6FE3">
        <w:t>competitive LECs continue to rely significantly on wholesale access to the last-mile</w:t>
      </w:r>
      <w:r w:rsidR="00252D92" w:rsidRPr="007A6FE3">
        <w:t xml:space="preserve"> </w:t>
      </w:r>
      <w:r w:rsidR="00FB46E9" w:rsidRPr="007A6FE3">
        <w:t xml:space="preserve">facilities </w:t>
      </w:r>
      <w:r w:rsidR="00D70C94" w:rsidRPr="007A6FE3">
        <w:t>of incumbent LECs,</w:t>
      </w:r>
      <w:r w:rsidR="00F56C14" w:rsidRPr="007A6FE3">
        <w:rPr>
          <w:rStyle w:val="FootnoteReference"/>
        </w:rPr>
        <w:footnoteReference w:id="91"/>
      </w:r>
      <w:r w:rsidR="00D70C94" w:rsidRPr="007A6FE3">
        <w:t xml:space="preserve"> </w:t>
      </w:r>
      <w:r w:rsidR="00FB46E9" w:rsidRPr="007A6FE3">
        <w:t>and have expressed concern about the future of wholesale access to last-mile facilities and services as we undergo the technology transitions</w:t>
      </w:r>
      <w:r w:rsidR="00D70C94" w:rsidRPr="007A6FE3">
        <w:t>.</w:t>
      </w:r>
      <w:r w:rsidR="00F56C14" w:rsidRPr="007A6FE3">
        <w:rPr>
          <w:rStyle w:val="FootnoteReference"/>
        </w:rPr>
        <w:footnoteReference w:id="92"/>
      </w:r>
      <w:r w:rsidR="008F291C" w:rsidRPr="007A6FE3">
        <w:t xml:space="preserve"> </w:t>
      </w:r>
      <w:r w:rsidR="00BE65A7" w:rsidRPr="007A6FE3">
        <w:t xml:space="preserve"> </w:t>
      </w:r>
      <w:r w:rsidR="00060615" w:rsidRPr="007A6FE3">
        <w:t>Even incumbent LECs wanting to serve customers with operations outside of their service territory—as would happen with a retail business with multiple locations—depend on wholesale inputs and for that purpose have their own competitive LEC subsidiaries.</w:t>
      </w:r>
    </w:p>
    <w:p w14:paraId="19AA58BE" w14:textId="77777777" w:rsidR="009E3A49" w:rsidRPr="007A6FE3" w:rsidRDefault="004873E2" w:rsidP="003F0F7D">
      <w:pPr>
        <w:pStyle w:val="ParaNum0"/>
        <w:widowControl/>
        <w:rPr>
          <w:kern w:val="0"/>
          <w:sz w:val="24"/>
          <w:szCs w:val="24"/>
        </w:rPr>
      </w:pPr>
      <w:r w:rsidRPr="007A6FE3">
        <w:t xml:space="preserve">COMPTEL </w:t>
      </w:r>
      <w:r w:rsidR="007B6C9C" w:rsidRPr="007A6FE3">
        <w:t xml:space="preserve">has </w:t>
      </w:r>
      <w:r w:rsidRPr="007A6FE3">
        <w:t>proposed a framework to guide the IP</w:t>
      </w:r>
      <w:r w:rsidR="004E6BBF" w:rsidRPr="007A6FE3">
        <w:t xml:space="preserve"> </w:t>
      </w:r>
      <w:r w:rsidRPr="007A6FE3">
        <w:t xml:space="preserve">transition because “failure to adopt and enforce technology-neutral wholesale policies threatens the ability of competitive carriers to obtain last-mile </w:t>
      </w:r>
      <w:r w:rsidR="00BF19DE" w:rsidRPr="007A6FE3">
        <w:t>access . . .</w:t>
      </w:r>
      <w:r w:rsidRPr="007A6FE3">
        <w:t xml:space="preserve"> and thus jeopardizes competition in the business broadband market.”</w:t>
      </w:r>
      <w:r w:rsidRPr="007A6FE3">
        <w:rPr>
          <w:vertAlign w:val="superscript"/>
        </w:rPr>
        <w:footnoteReference w:id="93"/>
      </w:r>
      <w:r w:rsidR="00695850" w:rsidRPr="007A6FE3">
        <w:t xml:space="preserve">  </w:t>
      </w:r>
      <w:r w:rsidR="00F804AC" w:rsidRPr="007A6FE3">
        <w:t xml:space="preserve">As Chairman Wheeler noted </w:t>
      </w:r>
      <w:r w:rsidR="00F478CA" w:rsidRPr="007A6FE3">
        <w:t>recently</w:t>
      </w:r>
      <w:r w:rsidR="009E3A49" w:rsidRPr="007A6FE3">
        <w:t xml:space="preserve">, competitive providers “deliver important competitive alternatives to business and enterprise customers. </w:t>
      </w:r>
      <w:r w:rsidR="001646EB">
        <w:t xml:space="preserve"> </w:t>
      </w:r>
      <w:r w:rsidR="009E3A49" w:rsidRPr="007A6FE3">
        <w:t>This in turn helps those enterprises provide better, more affordable goods and services to members of the general public</w:t>
      </w:r>
      <w:r w:rsidR="00F56C14" w:rsidRPr="007A6FE3">
        <w:t>.</w:t>
      </w:r>
      <w:r w:rsidR="009E3A49" w:rsidRPr="007A6FE3">
        <w:t>”</w:t>
      </w:r>
      <w:r w:rsidR="009E3A49" w:rsidRPr="007A6FE3">
        <w:rPr>
          <w:rStyle w:val="FootnoteReference"/>
        </w:rPr>
        <w:footnoteReference w:id="94"/>
      </w:r>
      <w:r w:rsidR="009E3A49" w:rsidRPr="007A6FE3">
        <w:t xml:space="preserve">  Specifically</w:t>
      </w:r>
      <w:r w:rsidR="00F804AC" w:rsidRPr="007A6FE3">
        <w:t>,</w:t>
      </w:r>
      <w:r w:rsidR="009E3A49" w:rsidRPr="007A6FE3">
        <w:t xml:space="preserve"> these companies provide broadband services at competitive rates and “offer customized services for medium and small businesses, which larger incumbents often are unwilling to do.”</w:t>
      </w:r>
      <w:r w:rsidR="009E3A49" w:rsidRPr="007A6FE3">
        <w:rPr>
          <w:rStyle w:val="FootnoteReference"/>
        </w:rPr>
        <w:footnoteReference w:id="95"/>
      </w:r>
      <w:r w:rsidR="009E3A49" w:rsidRPr="007A6FE3">
        <w:t xml:space="preserve">  For example, as discussed above, competitive LECs can provide broadband with EoC to small- and medium-sized businesses at speeds that reach 200 Mbps.</w:t>
      </w:r>
      <w:r w:rsidR="009E3A49" w:rsidRPr="007A6FE3">
        <w:rPr>
          <w:rStyle w:val="FootnoteReference"/>
        </w:rPr>
        <w:footnoteReference w:id="96"/>
      </w:r>
      <w:r w:rsidR="00BE65A7" w:rsidRPr="007A6FE3">
        <w:t xml:space="preserve">  </w:t>
      </w:r>
      <w:r w:rsidR="00816F3B" w:rsidRPr="007A6FE3">
        <w:rPr>
          <w:szCs w:val="22"/>
        </w:rPr>
        <w:t>Moreover, in its</w:t>
      </w:r>
      <w:r w:rsidR="001053ED" w:rsidRPr="007A6FE3">
        <w:rPr>
          <w:szCs w:val="22"/>
        </w:rPr>
        <w:t xml:space="preserve"> 2009</w:t>
      </w:r>
      <w:r w:rsidR="00816F3B" w:rsidRPr="007A6FE3">
        <w:rPr>
          <w:szCs w:val="22"/>
        </w:rPr>
        <w:t xml:space="preserve"> petition</w:t>
      </w:r>
      <w:r w:rsidR="001053ED" w:rsidRPr="007A6FE3">
        <w:rPr>
          <w:szCs w:val="22"/>
        </w:rPr>
        <w:t xml:space="preserve">, Cbeyond </w:t>
      </w:r>
      <w:r w:rsidR="00816F3B" w:rsidRPr="007A6FE3">
        <w:rPr>
          <w:szCs w:val="22"/>
        </w:rPr>
        <w:t>sought</w:t>
      </w:r>
      <w:r w:rsidR="001053ED" w:rsidRPr="007A6FE3">
        <w:rPr>
          <w:szCs w:val="22"/>
        </w:rPr>
        <w:t xml:space="preserve"> expedited rulemaking concerning access by competitive providers to incumbent LEC fiber loops.</w:t>
      </w:r>
      <w:r w:rsidR="001053ED" w:rsidRPr="007A6FE3">
        <w:rPr>
          <w:rStyle w:val="FootnoteReference"/>
          <w:szCs w:val="22"/>
        </w:rPr>
        <w:footnoteReference w:id="97"/>
      </w:r>
      <w:r w:rsidR="0068305D" w:rsidRPr="007A6FE3">
        <w:rPr>
          <w:szCs w:val="22"/>
        </w:rPr>
        <w:t xml:space="preserve">  Cbeyond claimed</w:t>
      </w:r>
      <w:r w:rsidR="001053ED" w:rsidRPr="007A6FE3">
        <w:rPr>
          <w:szCs w:val="22"/>
        </w:rPr>
        <w:t xml:space="preserve"> that with access to high capacity fiber and hybrid loops, competitors can “</w:t>
      </w:r>
      <w:r w:rsidR="001053ED" w:rsidRPr="007A6FE3">
        <w:rPr>
          <w:kern w:val="0"/>
          <w:szCs w:val="22"/>
        </w:rPr>
        <w:t>aggressively market the next-generation applications that are the key to small businesses.”</w:t>
      </w:r>
      <w:r w:rsidR="001053ED" w:rsidRPr="007A6FE3">
        <w:rPr>
          <w:rStyle w:val="FootnoteReference"/>
          <w:kern w:val="0"/>
          <w:szCs w:val="22"/>
        </w:rPr>
        <w:footnoteReference w:id="98"/>
      </w:r>
      <w:r w:rsidR="001053ED" w:rsidRPr="007A6FE3">
        <w:rPr>
          <w:kern w:val="0"/>
          <w:szCs w:val="22"/>
        </w:rPr>
        <w:t xml:space="preserve">  </w:t>
      </w:r>
      <w:r w:rsidR="009E3A49" w:rsidRPr="007A6FE3">
        <w:t xml:space="preserve">Competitive LECs </w:t>
      </w:r>
      <w:r w:rsidR="00816F3B" w:rsidRPr="007A6FE3">
        <w:t xml:space="preserve">continue to </w:t>
      </w:r>
      <w:r w:rsidR="009E3A49" w:rsidRPr="007A6FE3">
        <w:t>serve an important part of the Nation’s enterprise market, and “as competitive LECs offer competitive service, it creates an incentive for incumbents to invest more in their networks and offer better services to win their share of business customers.”</w:t>
      </w:r>
      <w:r w:rsidR="009E3A49" w:rsidRPr="007A6FE3">
        <w:rPr>
          <w:rStyle w:val="FootnoteReference"/>
        </w:rPr>
        <w:footnoteReference w:id="99"/>
      </w:r>
      <w:bookmarkEnd w:id="165"/>
    </w:p>
    <w:p w14:paraId="371B2C25" w14:textId="77777777" w:rsidR="005B3198" w:rsidRPr="007A6FE3" w:rsidRDefault="000B6221" w:rsidP="000350B7">
      <w:pPr>
        <w:pStyle w:val="ParaNum0"/>
      </w:pPr>
      <w:r w:rsidRPr="007A6FE3">
        <w:t>I</w:t>
      </w:r>
      <w:r w:rsidR="00D70C94" w:rsidRPr="007A6FE3">
        <w:t xml:space="preserve">n the </w:t>
      </w:r>
      <w:bookmarkStart w:id="166" w:name="_Ref396728762"/>
      <w:r w:rsidR="00D70C94" w:rsidRPr="007A6FE3">
        <w:rPr>
          <w:i/>
        </w:rPr>
        <w:t>Triennial Review Order</w:t>
      </w:r>
      <w:r w:rsidR="00D70C94" w:rsidRPr="007A6FE3">
        <w:t xml:space="preserve">, the Commission emphasized the importance of incentivizing investment for the deployment of </w:t>
      </w:r>
      <w:r w:rsidR="005E6395" w:rsidRPr="007A6FE3">
        <w:t>new technolog</w:t>
      </w:r>
      <w:r w:rsidR="00645957" w:rsidRPr="007A6FE3">
        <w:t>ies</w:t>
      </w:r>
      <w:r w:rsidR="00D70C94" w:rsidRPr="007A6FE3">
        <w:t>.</w:t>
      </w:r>
      <w:r w:rsidR="00D70C94" w:rsidRPr="007A6FE3">
        <w:rPr>
          <w:vertAlign w:val="superscript"/>
        </w:rPr>
        <w:footnoteReference w:id="100"/>
      </w:r>
      <w:r w:rsidR="00D70C94" w:rsidRPr="007A6FE3">
        <w:t xml:space="preserve">  </w:t>
      </w:r>
      <w:r w:rsidR="00D70C94" w:rsidRPr="007A6FE3">
        <w:rPr>
          <w:szCs w:val="22"/>
        </w:rPr>
        <w:t>In doing so, the Commission limited unbundling requirements imposed on incumbent LEC</w:t>
      </w:r>
      <w:r w:rsidR="00584122" w:rsidRPr="007A6FE3">
        <w:rPr>
          <w:szCs w:val="22"/>
        </w:rPr>
        <w:t>s</w:t>
      </w:r>
      <w:r w:rsidR="00BF7526" w:rsidRPr="007A6FE3">
        <w:rPr>
          <w:szCs w:val="22"/>
        </w:rPr>
        <w:t>’</w:t>
      </w:r>
      <w:r w:rsidR="00584122" w:rsidRPr="007A6FE3">
        <w:rPr>
          <w:szCs w:val="22"/>
        </w:rPr>
        <w:t xml:space="preserve"> </w:t>
      </w:r>
      <w:r w:rsidR="00584122" w:rsidRPr="007A6FE3">
        <w:t>mass-market fiber loop deployments</w:t>
      </w:r>
      <w:r w:rsidR="005D7F88" w:rsidRPr="007A6FE3">
        <w:t xml:space="preserve"> </w:t>
      </w:r>
      <w:r w:rsidR="00D70C94" w:rsidRPr="007A6FE3">
        <w:rPr>
          <w:szCs w:val="22"/>
        </w:rPr>
        <w:t>to remove disincentives to the deployment of advanced telecommunications.</w:t>
      </w:r>
      <w:r w:rsidR="00D70C94" w:rsidRPr="007A6FE3">
        <w:rPr>
          <w:vertAlign w:val="superscript"/>
        </w:rPr>
        <w:footnoteReference w:id="101"/>
      </w:r>
      <w:r w:rsidR="00D70C94" w:rsidRPr="007A6FE3">
        <w:t xml:space="preserve">  </w:t>
      </w:r>
      <w:r w:rsidR="00E10208" w:rsidRPr="007A6FE3">
        <w:t>This decision did not, however, eliminate the requirement to provide special access services that serve as critical inputs to competition</w:t>
      </w:r>
      <w:r w:rsidR="00E37ACF" w:rsidRPr="007A6FE3">
        <w:t>—nor did it eliminate the requirement to unbundle DS1 and DS3 capacity loops</w:t>
      </w:r>
      <w:r w:rsidR="00E10208" w:rsidRPr="007A6FE3">
        <w:t>.</w:t>
      </w:r>
      <w:r w:rsidR="002427ED" w:rsidRPr="007A6FE3">
        <w:rPr>
          <w:rStyle w:val="FootnoteReference"/>
        </w:rPr>
        <w:footnoteReference w:id="102"/>
      </w:r>
      <w:r w:rsidR="00E10208" w:rsidRPr="007A6FE3">
        <w:t xml:space="preserve">  </w:t>
      </w:r>
      <w:r w:rsidR="00D70C94" w:rsidRPr="007A6FE3">
        <w:t xml:space="preserve">Today, with significant fiber deployment and the </w:t>
      </w:r>
      <w:bookmarkEnd w:id="166"/>
      <w:r w:rsidR="00D70C94" w:rsidRPr="007A6FE3">
        <w:t xml:space="preserve">current technological transition already underway, we must ensure the customers of both incumbent and competitive LECs who currently depend on legacy services </w:t>
      </w:r>
      <w:r w:rsidR="00496132" w:rsidRPr="007A6FE3">
        <w:t>continue to have appropriate</w:t>
      </w:r>
      <w:r w:rsidR="00F56C14" w:rsidRPr="007A6FE3">
        <w:t xml:space="preserve"> access to either </w:t>
      </w:r>
      <w:r w:rsidR="00D70C94" w:rsidRPr="007A6FE3">
        <w:t xml:space="preserve">adequate </w:t>
      </w:r>
      <w:r w:rsidR="00F56C14" w:rsidRPr="007A6FE3">
        <w:t xml:space="preserve">legacy or </w:t>
      </w:r>
      <w:r w:rsidR="00D70C94" w:rsidRPr="007A6FE3">
        <w:t xml:space="preserve">IP-based service alternatives.  The Commission’s discretion to grant a provider authority under section 214 to discontinue </w:t>
      </w:r>
      <w:r w:rsidR="00E10208" w:rsidRPr="007A6FE3">
        <w:t xml:space="preserve">special access </w:t>
      </w:r>
      <w:r w:rsidR="00D70C94" w:rsidRPr="007A6FE3">
        <w:t xml:space="preserve">service provides a mechanism to address these concerns.  In </w:t>
      </w:r>
      <w:r w:rsidR="00380801" w:rsidRPr="007A6FE3">
        <w:t>applying section 214, the Commission must fully understand the impact on competition and innovation of either granting or denying the application.</w:t>
      </w:r>
    </w:p>
    <w:p w14:paraId="287946FB" w14:textId="77777777" w:rsidR="00BE77E2" w:rsidRPr="007A6FE3" w:rsidRDefault="00BE77E2" w:rsidP="000350B7">
      <w:pPr>
        <w:pStyle w:val="ParaNum0"/>
      </w:pPr>
      <w:r w:rsidRPr="007A6FE3">
        <w:t>Separately, the Commission is seeking to</w:t>
      </w:r>
      <w:r w:rsidR="003C3FDC" w:rsidRPr="007A6FE3">
        <w:t xml:space="preserve"> bring comprehensive reform to its</w:t>
      </w:r>
      <w:r w:rsidRPr="007A6FE3">
        <w:t xml:space="preserve"> regulatory framework for special access </w:t>
      </w:r>
      <w:r w:rsidR="00252D92" w:rsidRPr="007A6FE3">
        <w:t>service</w:t>
      </w:r>
      <w:r w:rsidR="00F56C14" w:rsidRPr="007A6FE3">
        <w:t>s</w:t>
      </w:r>
      <w:r w:rsidR="00252D92" w:rsidRPr="007A6FE3">
        <w:t xml:space="preserve"> </w:t>
      </w:r>
      <w:r w:rsidRPr="007A6FE3">
        <w:t>and addre</w:t>
      </w:r>
      <w:r w:rsidR="00252D92" w:rsidRPr="007A6FE3">
        <w:t xml:space="preserve">ss problems identified by both incumbent LECs and competitive </w:t>
      </w:r>
      <w:r w:rsidRPr="007A6FE3">
        <w:t>LECs.</w:t>
      </w:r>
      <w:r w:rsidRPr="007A6FE3">
        <w:rPr>
          <w:rStyle w:val="FootnoteReference"/>
        </w:rPr>
        <w:footnoteReference w:id="103"/>
      </w:r>
      <w:r w:rsidRPr="007A6FE3">
        <w:t xml:space="preserve">  In the special access rulemaking proceeding, the Commission is in the process of collecting data on the legacy TDM and packet</w:t>
      </w:r>
      <w:r w:rsidR="00252D92" w:rsidRPr="007A6FE3">
        <w:t xml:space="preserve">-switched services provided by incumbent </w:t>
      </w:r>
      <w:r w:rsidRPr="007A6FE3">
        <w:t>LECs and competitors for a comprehensive, one-time, multi-faceted market analysis of the special access market.</w:t>
      </w:r>
      <w:r w:rsidRPr="007A6FE3">
        <w:rPr>
          <w:rStyle w:val="FootnoteReference"/>
        </w:rPr>
        <w:footnoteReference w:id="104"/>
      </w:r>
      <w:r w:rsidRPr="007A6FE3">
        <w:t xml:space="preserve">  The analysis will, among other things, evaluate “how the intensity of competition (or lack thereof), whether actual or potential [competition], affects prices, controlling for all other factors that affect prices” and help identify reliable indicators of competition.</w:t>
      </w:r>
      <w:r w:rsidRPr="007A6FE3">
        <w:rPr>
          <w:rStyle w:val="FootnoteReference"/>
        </w:rPr>
        <w:footnoteReference w:id="105"/>
      </w:r>
      <w:r w:rsidRPr="007A6FE3">
        <w:t xml:space="preserve">  </w:t>
      </w:r>
      <w:r w:rsidRPr="007A6FE3">
        <w:rPr>
          <w:szCs w:val="22"/>
        </w:rPr>
        <w:t xml:space="preserve">Once completed, the Commission can then evaluate changes to </w:t>
      </w:r>
      <w:r w:rsidRPr="007A6FE3">
        <w:t>its existing rules that apply to the speci</w:t>
      </w:r>
      <w:r w:rsidR="00252D92" w:rsidRPr="007A6FE3">
        <w:t xml:space="preserve">al access services provided by incumbent </w:t>
      </w:r>
      <w:r w:rsidRPr="007A6FE3">
        <w:t>LECs in price cap areas to better target regulatory relief where warranted.</w:t>
      </w:r>
      <w:r w:rsidRPr="007A6FE3">
        <w:rPr>
          <w:rStyle w:val="FootnoteReference"/>
        </w:rPr>
        <w:footnoteReference w:id="106"/>
      </w:r>
      <w:r w:rsidRPr="007A6FE3">
        <w:t xml:space="preserve">  Responses to the data collection are due by December 15, 2014, and the comment cycle </w:t>
      </w:r>
      <w:r w:rsidR="00496132" w:rsidRPr="007A6FE3">
        <w:t>regarding</w:t>
      </w:r>
      <w:r w:rsidRPr="007A6FE3">
        <w:t xml:space="preserve"> rule changes is currently scheduled to conclude on May 18, 2015.</w:t>
      </w:r>
      <w:r w:rsidRPr="007A6FE3">
        <w:rPr>
          <w:rStyle w:val="FootnoteReference"/>
        </w:rPr>
        <w:footnoteReference w:id="107"/>
      </w:r>
      <w:r w:rsidRPr="007A6FE3">
        <w:t xml:space="preserve"> </w:t>
      </w:r>
    </w:p>
    <w:p w14:paraId="4FA4E639" w14:textId="77777777" w:rsidR="00D014BD" w:rsidRPr="007A6FE3" w:rsidRDefault="00D014BD" w:rsidP="00FC7F4D">
      <w:pPr>
        <w:pStyle w:val="Heading2"/>
      </w:pPr>
      <w:bookmarkStart w:id="168" w:name="_Toc401299419"/>
      <w:bookmarkStart w:id="169" w:name="_Toc401306984"/>
      <w:bookmarkStart w:id="170" w:name="_Toc401595625"/>
      <w:bookmarkStart w:id="171" w:name="_Toc401658182"/>
      <w:bookmarkStart w:id="172" w:name="_Toc401821684"/>
      <w:bookmarkStart w:id="173" w:name="_Toc401912151"/>
      <w:bookmarkStart w:id="174" w:name="_Toc402255405"/>
      <w:bookmarkStart w:id="175" w:name="_Toc402276188"/>
      <w:bookmarkStart w:id="176" w:name="_Toc402360430"/>
      <w:bookmarkStart w:id="177" w:name="_Toc402511492"/>
      <w:bookmarkStart w:id="178" w:name="_Toc403566401"/>
      <w:bookmarkStart w:id="179" w:name="_Toc404072112"/>
      <w:bookmarkStart w:id="180" w:name="_Toc404081308"/>
      <w:bookmarkStart w:id="181" w:name="_Toc404165787"/>
      <w:bookmarkStart w:id="182" w:name="_Toc404165865"/>
      <w:bookmarkStart w:id="183" w:name="_Toc404172423"/>
      <w:bookmarkStart w:id="184" w:name="_Toc404181476"/>
      <w:bookmarkStart w:id="185" w:name="_Toc404183069"/>
      <w:bookmarkStart w:id="186" w:name="_Toc404246614"/>
      <w:bookmarkStart w:id="187" w:name="_Toc399947708"/>
      <w:bookmarkStart w:id="188" w:name="_Toc400554017"/>
      <w:bookmarkStart w:id="189" w:name="_Toc400566826"/>
      <w:bookmarkStart w:id="190" w:name="_Toc400711695"/>
      <w:bookmarkStart w:id="191" w:name="_Toc400719647"/>
      <w:r w:rsidRPr="007A6FE3">
        <w:t>Discussion</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14:paraId="0420E6C9" w14:textId="77777777" w:rsidR="00166577" w:rsidRPr="007A6FE3" w:rsidRDefault="00166577" w:rsidP="00166577">
      <w:pPr>
        <w:pStyle w:val="Heading3"/>
      </w:pPr>
      <w:bookmarkStart w:id="192" w:name="_Toc399947718"/>
      <w:bookmarkStart w:id="193" w:name="_Toc400554027"/>
      <w:bookmarkStart w:id="194" w:name="_Toc400566836"/>
      <w:bookmarkStart w:id="195" w:name="_Toc400711707"/>
      <w:bookmarkStart w:id="196" w:name="_Toc400719657"/>
      <w:bookmarkStart w:id="197" w:name="_Toc401299430"/>
      <w:bookmarkStart w:id="198" w:name="_Toc401306995"/>
      <w:bookmarkStart w:id="199" w:name="_Toc401595626"/>
      <w:bookmarkStart w:id="200" w:name="_Toc401658183"/>
      <w:bookmarkStart w:id="201" w:name="_Toc401821685"/>
      <w:bookmarkStart w:id="202" w:name="_Toc401912152"/>
      <w:bookmarkStart w:id="203" w:name="_Toc402255406"/>
      <w:bookmarkStart w:id="204" w:name="_Toc402276189"/>
      <w:bookmarkStart w:id="205" w:name="_Toc402360431"/>
      <w:bookmarkStart w:id="206" w:name="_Toc402511493"/>
      <w:bookmarkStart w:id="207" w:name="_Toc403566402"/>
      <w:bookmarkStart w:id="208" w:name="_Toc404072113"/>
      <w:bookmarkStart w:id="209" w:name="_Toc404081309"/>
      <w:bookmarkStart w:id="210" w:name="_Toc404165788"/>
      <w:bookmarkStart w:id="211" w:name="_Toc404165866"/>
      <w:bookmarkStart w:id="212" w:name="_Toc404172424"/>
      <w:bookmarkStart w:id="213" w:name="_Toc404181477"/>
      <w:bookmarkStart w:id="214" w:name="_Toc404183070"/>
      <w:bookmarkStart w:id="215" w:name="_Toc404246615"/>
      <w:bookmarkStart w:id="216" w:name="_Toc401299420"/>
      <w:bookmarkStart w:id="217" w:name="_Toc401306985"/>
      <w:r w:rsidRPr="007A6FE3">
        <w:t>Continuity of Power</w:t>
      </w:r>
      <w:bookmarkEnd w:id="192"/>
      <w:bookmarkEnd w:id="193"/>
      <w:bookmarkEnd w:id="194"/>
      <w:bookmarkEnd w:id="195"/>
      <w:bookmarkEnd w:id="196"/>
      <w:r w:rsidRPr="007A6FE3">
        <w:t xml:space="preserve"> for CPE</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14:paraId="7D426AD5" w14:textId="77777777" w:rsidR="0064506B" w:rsidRPr="007A6FE3" w:rsidRDefault="0064506B" w:rsidP="0064506B">
      <w:pPr>
        <w:pStyle w:val="ParaNum0"/>
      </w:pPr>
      <w:r w:rsidRPr="007A6FE3">
        <w:t xml:space="preserve">Retirement of copper networks highlights a broader challenge facing consumers of any service that depends upon access to a residential power supply.  The ability to communicate during </w:t>
      </w:r>
      <w:r w:rsidR="00C27020" w:rsidRPr="007A6FE3">
        <w:t xml:space="preserve">power </w:t>
      </w:r>
      <w:r w:rsidRPr="007A6FE3">
        <w:t>o</w:t>
      </w:r>
      <w:r w:rsidR="003958CD" w:rsidRPr="007A6FE3">
        <w:t>utages remains critical</w:t>
      </w:r>
      <w:r w:rsidRPr="007A6FE3">
        <w:t>, particularly during prolonged outages caused by catastrophic storms or other major disasters.  In such situations, consumers have a heightened need to be able to communicate with public safety officers, first responders and other response workers in order to convey or receive lifesaving information.  This need is felt not only by consumers being migrated from copper to fiber and other networks, but also those who have already made that transition by subscribing to facilities-based VoIP services or other IP-based solutions.  Moreover, not only is backup power for services delivered over fiber or other non-copper media typically limited, but individual communications providers use different technologies and apply different policies to the powering of end user devices, resulting in the potential for consumer confusion.</w:t>
      </w:r>
    </w:p>
    <w:p w14:paraId="780967F5" w14:textId="77777777" w:rsidR="0064506B" w:rsidRPr="007A6FE3" w:rsidRDefault="0064506B" w:rsidP="0064506B">
      <w:pPr>
        <w:pStyle w:val="ParaNum0"/>
      </w:pPr>
      <w:r w:rsidRPr="007A6FE3">
        <w:t xml:space="preserve">As technology transitions, it is important that lines of responsibility for provisioning CPE backup power are clearly delineated and understood by providers and consumers alike, so that performance can meet expectations and continuity of communications can be ensured.  Establishing clear expectations for both providers and customers as to their responsibilities throughout the course of an outage should minimize the potential for lapses in service to occur due to consumer confusion or undue reliance on the provider.  Accordingly, as part of our efforts to promote smooth technology transitions, we consider the adoption of baseline requirements for ensuring continuity of power for CPE during commercial power outages.  In the discussion below, we seek comment on </w:t>
      </w:r>
      <w:r w:rsidR="00FD4B6E" w:rsidRPr="007A6FE3">
        <w:t xml:space="preserve">a framework for establishing reasonable expectations regarding </w:t>
      </w:r>
      <w:r w:rsidRPr="007A6FE3">
        <w:t xml:space="preserve">provisioning CPE backup power in the event of an outage.  </w:t>
      </w:r>
    </w:p>
    <w:p w14:paraId="1BE62881" w14:textId="77777777" w:rsidR="0064506B" w:rsidRPr="007A6FE3" w:rsidRDefault="0064506B" w:rsidP="003F0F7D">
      <w:pPr>
        <w:pStyle w:val="ParaNum0"/>
        <w:widowControl/>
      </w:pPr>
      <w:r w:rsidRPr="007A6FE3">
        <w:t>As a threshold matter, we seek comment on the communications services we should include within the scope of any CPE backup power requirements we may adopt.  We observe that CPE backup power is not an issue that needed to be addressed with respect to legacy networks that provided line power to consumers, because consumers could rely on the availability of continuous power sufficient to operate basic telephone CPE indefinitely.  However, it is an issue that must be addressed in the context of providing CPE backup power for VoIP and potentially other residential IP-based services (as well as legacy services delivered over fiber), because CPE for these services typically will require a backup power source.</w:t>
      </w:r>
      <w:r w:rsidR="00534849" w:rsidRPr="007A6FE3">
        <w:rPr>
          <w:rStyle w:val="FootnoteReference"/>
        </w:rPr>
        <w:footnoteReference w:id="108"/>
      </w:r>
      <w:r w:rsidRPr="007A6FE3">
        <w:t xml:space="preserve">  We therefore propose that any potential requirements would apply to facilities-based </w:t>
      </w:r>
      <w:r w:rsidR="00342DC0" w:rsidRPr="007A6FE3">
        <w:t xml:space="preserve">fixed </w:t>
      </w:r>
      <w:r w:rsidRPr="007A6FE3">
        <w:t xml:space="preserve">voice services, such as </w:t>
      </w:r>
      <w:r w:rsidR="00342DC0" w:rsidRPr="007A6FE3">
        <w:t xml:space="preserve">interconnected </w:t>
      </w:r>
      <w:r w:rsidRPr="007A6FE3">
        <w:t>VoIP, that are not line-powered by the provider.  For this purpose, how should the Commission define a “fixed” wireless service?  Does it depend upon whether the service is primarily used from a fixed location and/or marketed for that purpose?  Is taking a functional approach to defining “fixed” wireless service appropriate, and if so how would that apply to services on the market today?</w:t>
      </w:r>
      <w:r w:rsidRPr="007A6FE3">
        <w:rPr>
          <w:rStyle w:val="FootnoteReference"/>
          <w:szCs w:val="22"/>
        </w:rPr>
        <w:footnoteReference w:id="109"/>
      </w:r>
      <w:r w:rsidRPr="007A6FE3">
        <w:rPr>
          <w:szCs w:val="22"/>
        </w:rPr>
        <w:t xml:space="preserve">  </w:t>
      </w:r>
      <w:r w:rsidR="0014756E">
        <w:rPr>
          <w:szCs w:val="22"/>
        </w:rPr>
        <w:t>How do we account for power outages affecting other CPE, such as cordless phones, or the network itself?</w:t>
      </w:r>
    </w:p>
    <w:p w14:paraId="67AC9223" w14:textId="77777777" w:rsidR="0064506B" w:rsidRPr="007A6FE3" w:rsidRDefault="0064506B" w:rsidP="0064506B">
      <w:pPr>
        <w:pStyle w:val="ParaNum0"/>
      </w:pPr>
      <w:r w:rsidRPr="007A6FE3">
        <w:rPr>
          <w:szCs w:val="22"/>
        </w:rPr>
        <w:t xml:space="preserve">While consumers generally may use residential communications services for a wide range of communications needs, power during an outage is a valuable and limited resource.  We therefore intend that any backup power requirements we propose today afford sufficient power for minimally essential communications, including 911 calls and the receipt of emergency alerts and warnings.  We seek comment on what services should be considered “minimally essential” for purposes of continuity of power.  While voice services historically have been the primary means of contacting 911, </w:t>
      </w:r>
      <w:r w:rsidR="003F37AE" w:rsidRPr="007A6FE3">
        <w:t>there are circumstances where other modes of communication, such as texting, may be more effective or energy-efficient; additionally, Next Generation 911 will begin to introduce images, video and other new data streams into Public Safety Answering Points (PSAPs)</w:t>
      </w:r>
      <w:r w:rsidRPr="007A6FE3">
        <w:rPr>
          <w:szCs w:val="22"/>
        </w:rPr>
        <w:t xml:space="preserve">.  In addition, we seek comment on the extent to which backup power can be prioritized or otherwise conserved for such minimally essential communications needs.  For example, </w:t>
      </w:r>
      <w:r w:rsidRPr="007A6FE3">
        <w:t xml:space="preserve">can service providers offer mechanisms for lowering power usage and conserving battery power, such as a default turnoff of all communication services when the device is operating on battery, so that the device does not drain backup power while a consumer is away from home or otherwise not using the device?  </w:t>
      </w:r>
      <w:r w:rsidR="00FD4B6E" w:rsidRPr="007A6FE3">
        <w:rPr>
          <w:szCs w:val="22"/>
        </w:rPr>
        <w:t xml:space="preserve">Can CPE be configured to only power on to receive emergency alerts?  If it is technically difficult to distinguish incoming emergency alert calls from other incoming calls, should only 911 calls be supported?  </w:t>
      </w:r>
      <w:r w:rsidRPr="007A6FE3">
        <w:rPr>
          <w:szCs w:val="22"/>
        </w:rPr>
        <w:t>What measures can providers take to rapidly load shed non-essential communications functions to extend the duration of available backup power to support minimally essential functions?  In this regard, we seek comment on the extent to which it is reasonable to place an obligation on the provider (versus place an expectation on the consumer) to take measures to conserve backup power for minimally essential communications.</w:t>
      </w:r>
      <w:r w:rsidR="0014756E">
        <w:rPr>
          <w:szCs w:val="22"/>
        </w:rPr>
        <w:t xml:space="preserve"> How should consumer preferences and community public safety interests inform our policymaking?</w:t>
      </w:r>
    </w:p>
    <w:p w14:paraId="626F282C" w14:textId="77777777" w:rsidR="0064506B" w:rsidRPr="007A6FE3" w:rsidRDefault="0064506B" w:rsidP="0064506B">
      <w:pPr>
        <w:pStyle w:val="ParaNum0"/>
      </w:pPr>
      <w:bookmarkStart w:id="218" w:name="_Ref404188123"/>
      <w:r w:rsidRPr="007A6FE3">
        <w:t xml:space="preserve">In the discussion that follows, we seek comment on </w:t>
      </w:r>
      <w:r w:rsidR="00646342" w:rsidRPr="007A6FE3">
        <w:t>a framework to establish expectations for when</w:t>
      </w:r>
      <w:r w:rsidRPr="007A6FE3">
        <w:t xml:space="preserve"> provider</w:t>
      </w:r>
      <w:r w:rsidR="00646342" w:rsidRPr="007A6FE3">
        <w:t>s</w:t>
      </w:r>
      <w:r w:rsidRPr="007A6FE3">
        <w:t xml:space="preserve"> </w:t>
      </w:r>
      <w:r w:rsidR="00646342" w:rsidRPr="007A6FE3">
        <w:t>must take steps</w:t>
      </w:r>
      <w:r w:rsidRPr="007A6FE3">
        <w:t xml:space="preserve"> to maintain continuity of power for CPE.</w:t>
      </w:r>
      <w:bookmarkStart w:id="219" w:name="_Ref404153099"/>
      <w:r w:rsidRPr="007A6FE3">
        <w:rPr>
          <w:rStyle w:val="FootnoteReference"/>
        </w:rPr>
        <w:footnoteReference w:id="110"/>
      </w:r>
      <w:bookmarkEnd w:id="219"/>
      <w:r w:rsidRPr="007A6FE3">
        <w:t xml:space="preserve">  In the past, consumers have relied upon service providers for backup power for their residential landline phones.  Is it reasonable for providers to continue to bear primary responsibility for CPE backup power, and if so, to what extent?  We propose that providers should assume responsibility for provisioning backup power that is capable of powering their customers’ CPE during the first eight hours of an outage.</w:t>
      </w:r>
      <w:r w:rsidRPr="007A6FE3">
        <w:rPr>
          <w:rStyle w:val="FootnoteReference"/>
        </w:rPr>
        <w:footnoteReference w:id="111"/>
      </w:r>
      <w:r w:rsidRPr="007A6FE3">
        <w:t xml:space="preserve">  Eight hours appears to be consistent with certain VoIP deployment models already in practice</w:t>
      </w:r>
      <w:r w:rsidR="00646342" w:rsidRPr="007A6FE3">
        <w:t>,</w:t>
      </w:r>
      <w:r w:rsidRPr="007A6FE3">
        <w:rPr>
          <w:rStyle w:val="FootnoteReference"/>
        </w:rPr>
        <w:footnoteReference w:id="112"/>
      </w:r>
      <w:r w:rsidR="00646342" w:rsidRPr="007A6FE3">
        <w:t xml:space="preserve"> though some providers have deployed backup power devices that are capable of providing power for up to twenty-four hours.</w:t>
      </w:r>
      <w:r w:rsidR="00646342" w:rsidRPr="007A6FE3">
        <w:rPr>
          <w:rStyle w:val="FootnoteReference"/>
        </w:rPr>
        <w:footnoteReference w:id="113"/>
      </w:r>
      <w:r w:rsidRPr="007A6FE3">
        <w:t xml:space="preserve">  </w:t>
      </w:r>
      <w:r w:rsidR="00646342" w:rsidRPr="007A6FE3">
        <w:t>P</w:t>
      </w:r>
      <w:r w:rsidRPr="007A6FE3">
        <w:t xml:space="preserve">roviding consumers with eight hours of backup power would accommodate circumstances where the power goes out in the middle of the work day or in the middle of the night, when consumers may be away from home or asleep and therefore would not reasonably be able to take measures on their own to ensure continuity of communications.  </w:t>
      </w:r>
      <w:r w:rsidR="00646342" w:rsidRPr="007A6FE3">
        <w:t>O</w:t>
      </w:r>
      <w:r w:rsidRPr="007A6FE3">
        <w:t xml:space="preserve">n the other hand, </w:t>
      </w:r>
      <w:r w:rsidR="00646342" w:rsidRPr="007A6FE3">
        <w:t>a longer time period</w:t>
      </w:r>
      <w:r w:rsidR="003F37AE" w:rsidRPr="007A6FE3">
        <w:t>—</w:t>
      </w:r>
      <w:r w:rsidR="00646342" w:rsidRPr="007A6FE3">
        <w:t>such as the twenty-four hours afforded by Verizon’s devices</w:t>
      </w:r>
      <w:r w:rsidR="003F37AE" w:rsidRPr="007A6FE3">
        <w:t>—</w:t>
      </w:r>
      <w:r w:rsidR="00646342" w:rsidRPr="007A6FE3">
        <w:t>c</w:t>
      </w:r>
      <w:r w:rsidRPr="007A6FE3">
        <w:t>ould provide consumers with sufficient time to attend to other time-sensitive matters that may arise during the course of a natural disaster or other emergency.  We seek comment on these options.</w:t>
      </w:r>
      <w:bookmarkEnd w:id="218"/>
      <w:r w:rsidRPr="007A6FE3">
        <w:t xml:space="preserve">  </w:t>
      </w:r>
    </w:p>
    <w:p w14:paraId="5D65098F" w14:textId="77777777" w:rsidR="0064506B" w:rsidRPr="007A6FE3" w:rsidRDefault="0064506B" w:rsidP="003F0F7D">
      <w:pPr>
        <w:pStyle w:val="ParaNum0"/>
        <w:widowControl/>
      </w:pPr>
      <w:bookmarkStart w:id="220" w:name="_Ref404165658"/>
      <w:r w:rsidRPr="007A6FE3">
        <w:t>To the extent we place the responsibility on providers to provide CPE backup power, we seek comment regarding solutions that are currently available to providers to meet this responsibility.  To the extent such solutions are available, could they be widely deployed at a reasonable cost?  If not, what technical hurdles or other issues must be addressed? The Communications Security, Reliability and Interoperability Council (CSRIC) recently issued recommendations for advancing the state of the art in CPE powering.</w:t>
      </w:r>
      <w:r w:rsidRPr="007A6FE3">
        <w:rPr>
          <w:rStyle w:val="FootnoteReference"/>
        </w:rPr>
        <w:footnoteReference w:id="114"/>
      </w:r>
      <w:r w:rsidRPr="007A6FE3">
        <w:t xml:space="preserve">  Could power-over-</w:t>
      </w:r>
      <w:r w:rsidR="008B05B6" w:rsidRPr="007A6FE3">
        <w:t>E</w:t>
      </w:r>
      <w:r w:rsidRPr="007A6FE3">
        <w:t>thernet (PoE) be used to power devices that lack a backup power supply but are connected to devices that are running on battery power?</w:t>
      </w:r>
      <w:r w:rsidRPr="007A6FE3">
        <w:rPr>
          <w:rStyle w:val="FootnoteReference"/>
        </w:rPr>
        <w:footnoteReference w:id="115"/>
      </w:r>
      <w:r w:rsidRPr="007A6FE3">
        <w:t xml:space="preserve">  CSRIC notes that PoE “is an established standard commonly used in hotels and other commercial applications,” and “could provide an easy to implement approach” in certain circumstances.</w:t>
      </w:r>
      <w:r w:rsidRPr="007A6FE3">
        <w:rPr>
          <w:rStyle w:val="FootnoteReference"/>
        </w:rPr>
        <w:footnoteReference w:id="116"/>
      </w:r>
      <w:r w:rsidRPr="007A6FE3">
        <w:t xml:space="preserve">  Could solar power, fuel cells, or other alternative energy sources be used to maintain a continuous CPE power supply that operates independently of the commercial power grid?</w:t>
      </w:r>
      <w:r w:rsidRPr="007A6FE3">
        <w:rPr>
          <w:rStyle w:val="FootnoteReference"/>
        </w:rPr>
        <w:footnoteReference w:id="117"/>
      </w:r>
      <w:bookmarkEnd w:id="220"/>
    </w:p>
    <w:p w14:paraId="082C8A2B" w14:textId="77777777" w:rsidR="0064506B" w:rsidRPr="007A6FE3" w:rsidRDefault="0064506B" w:rsidP="007B536F">
      <w:pPr>
        <w:pStyle w:val="ParaNum0"/>
        <w:widowControl/>
      </w:pPr>
      <w:r w:rsidRPr="007A6FE3">
        <w:t xml:space="preserve">We also seek comment on how the provider would meet its responsibility to provide backup power for a specific duration of time.  Would it be sufficient for the provider to initially install backup power technology at the customer’s residence, while leaving the consumer responsible for any associated maintenance of the power supply?  How are providers currently supporting CPE backup power today across different services and technology platforms?  How long does the backup power currently offered by providers last, and for what services?  In what form is the backup power provided?  Should the provider have any responsibility to monitor battery status and determine whether the battery has degraded and if so, how could this responsibility be carried out?  </w:t>
      </w:r>
      <w:r w:rsidR="00EE659A" w:rsidRPr="007A6FE3">
        <w:t xml:space="preserve">Should that responsibility change if the consumer self-installs the CPE, versus having the provider professionally install the CPE?  </w:t>
      </w:r>
      <w:r w:rsidR="0014756E">
        <w:t xml:space="preserve">Should consumers be able to opt out of backup power?  </w:t>
      </w:r>
      <w:r w:rsidR="00EE659A" w:rsidRPr="007A6FE3">
        <w:t>C</w:t>
      </w:r>
      <w:r w:rsidRPr="007A6FE3">
        <w:t xml:space="preserve">ould providers install CPE backup power sources that are located external to the customer’s residence and thus able to be monitored and maintained remotely?  Are there other methods that could be used to ensure the availability of CPE backup power immediately after a power outage? </w:t>
      </w:r>
      <w:r w:rsidR="008F5698" w:rsidRPr="007A6FE3">
        <w:t xml:space="preserve"> </w:t>
      </w:r>
      <w:r w:rsidR="00101FB4" w:rsidRPr="007A6FE3">
        <w:t>Our proposals</w:t>
      </w:r>
      <w:r w:rsidR="008F5698" w:rsidRPr="007A6FE3">
        <w:t xml:space="preserve"> </w:t>
      </w:r>
      <w:r w:rsidR="0090342A" w:rsidRPr="007A6FE3">
        <w:t>are stated</w:t>
      </w:r>
      <w:r w:rsidR="00101FB4" w:rsidRPr="007A6FE3">
        <w:t xml:space="preserve"> in terms of</w:t>
      </w:r>
      <w:r w:rsidR="0090342A" w:rsidRPr="007A6FE3">
        <w:t xml:space="preserve"> stand</w:t>
      </w:r>
      <w:r w:rsidR="008F5698" w:rsidRPr="007A6FE3">
        <w:t xml:space="preserve">by time, but is talk time the appropriate metric?  </w:t>
      </w:r>
    </w:p>
    <w:p w14:paraId="2FBD5795" w14:textId="77777777" w:rsidR="0064506B" w:rsidRPr="007A6FE3" w:rsidRDefault="0064506B" w:rsidP="003958CD">
      <w:pPr>
        <w:pStyle w:val="ParaNum0"/>
      </w:pPr>
      <w:r w:rsidRPr="007A6FE3">
        <w:t xml:space="preserve">We next seek comment on the extent to which consumers </w:t>
      </w:r>
      <w:r w:rsidR="00646342" w:rsidRPr="007A6FE3">
        <w:t xml:space="preserve">could </w:t>
      </w:r>
      <w:r w:rsidRPr="007A6FE3">
        <w:t xml:space="preserve">self-provision CPE backup power. </w:t>
      </w:r>
      <w:r w:rsidR="001C4516" w:rsidRPr="007A6FE3">
        <w:t xml:space="preserve"> </w:t>
      </w:r>
      <w:r w:rsidR="00646342" w:rsidRPr="007A6FE3">
        <w:t>Under our proposal, a</w:t>
      </w:r>
      <w:r w:rsidRPr="007A6FE3">
        <w:t xml:space="preserve">fter the first eight hours of an outage, the burden to maintain continuity of power for CPE </w:t>
      </w:r>
      <w:r w:rsidR="003958CD" w:rsidRPr="007A6FE3">
        <w:t xml:space="preserve">no longer would be on the provider under our rules, but would be allowed to </w:t>
      </w:r>
      <w:r w:rsidR="00646342" w:rsidRPr="007A6FE3">
        <w:t>would fall on</w:t>
      </w:r>
      <w:r w:rsidRPr="007A6FE3">
        <w:t xml:space="preserve"> the consumer.</w:t>
      </w:r>
      <w:r w:rsidR="003958CD" w:rsidRPr="007A6FE3">
        <w:rPr>
          <w:rStyle w:val="FootnoteReference"/>
        </w:rPr>
        <w:footnoteReference w:id="118"/>
      </w:r>
      <w:r w:rsidRPr="007A6FE3">
        <w:t xml:space="preserve"> </w:t>
      </w:r>
      <w:r w:rsidR="001C4516" w:rsidRPr="007A6FE3">
        <w:t xml:space="preserve"> </w:t>
      </w:r>
      <w:r w:rsidRPr="007A6FE3">
        <w:t xml:space="preserve">We seek comment on whether </w:t>
      </w:r>
      <w:r w:rsidR="00646342" w:rsidRPr="007A6FE3">
        <w:t>this</w:t>
      </w:r>
      <w:r w:rsidRPr="007A6FE3">
        <w:t xml:space="preserve"> is </w:t>
      </w:r>
      <w:r w:rsidR="00646342" w:rsidRPr="007A6FE3">
        <w:t xml:space="preserve">a </w:t>
      </w:r>
      <w:r w:rsidRPr="007A6FE3">
        <w:t>reasonable</w:t>
      </w:r>
      <w:r w:rsidR="00646342" w:rsidRPr="007A6FE3">
        <w:t xml:space="preserve"> expectation</w:t>
      </w:r>
      <w:r w:rsidRPr="007A6FE3">
        <w:t xml:space="preserve">. </w:t>
      </w:r>
      <w:r w:rsidR="001C4516" w:rsidRPr="007A6FE3">
        <w:t xml:space="preserve"> </w:t>
      </w:r>
      <w:r w:rsidRPr="007A6FE3">
        <w:t xml:space="preserve">Also, to the extent consumers self-provision CPE backup power, we seek comment on how best to ensure they equipped to do so.  We believe that </w:t>
      </w:r>
      <w:r w:rsidR="00646342" w:rsidRPr="007A6FE3">
        <w:t>expecting</w:t>
      </w:r>
      <w:r w:rsidRPr="007A6FE3">
        <w:t xml:space="preserve"> consumers to self-provision CPE backup power </w:t>
      </w:r>
      <w:r w:rsidR="00646342" w:rsidRPr="007A6FE3">
        <w:t xml:space="preserve">after certain amount of time </w:t>
      </w:r>
      <w:r w:rsidRPr="007A6FE3">
        <w:t>may be reasonable to the extent that consumers would have ready access, through standard commercial outlets, to replacement batteries or other backup power technology.  We seek comment on the commercial availability of such technologies.  We note that CSRIC has recommended that providers make affordable options for battery backup of CPE available to consumers.</w:t>
      </w:r>
      <w:r w:rsidRPr="007A6FE3">
        <w:rPr>
          <w:rStyle w:val="FootnoteReference"/>
        </w:rPr>
        <w:footnoteReference w:id="119"/>
      </w:r>
      <w:r w:rsidRPr="007A6FE3">
        <w:t xml:space="preserve">  For customers who choose battery backup, should service providers be required to offer spare batteries, at reasonable cost, to replace batteries when battery life falls below the eight-hour threshold or otherwise during times of extended power outages?  Should providers be expected to standardize CPE power supplies and connector interfaces across network devices and CPE, so that a common battery backup unit can be used in the home with multiple devices?</w:t>
      </w:r>
      <w:r w:rsidRPr="007A6FE3">
        <w:rPr>
          <w:rStyle w:val="FootnoteReference"/>
        </w:rPr>
        <w:footnoteReference w:id="120"/>
      </w:r>
      <w:r w:rsidRPr="007A6FE3">
        <w:t xml:space="preserve">  Are such efforts already under way? </w:t>
      </w:r>
      <w:r w:rsidR="00846D8C" w:rsidRPr="007A6FE3">
        <w:t xml:space="preserve"> We seek comment on the use of D-cell batteries and on the costs and benefits of requiring consumers to purchase a sufficient number of D-cell batteries to provide continuing backup power.</w:t>
      </w:r>
      <w:r w:rsidR="008B05B6" w:rsidRPr="007A6FE3">
        <w:t xml:space="preserve">  A</w:t>
      </w:r>
      <w:r w:rsidR="00052DC6" w:rsidRPr="007A6FE3">
        <w:t xml:space="preserve">nother option may be </w:t>
      </w:r>
      <w:r w:rsidR="008B05B6" w:rsidRPr="007A6FE3">
        <w:t>Lithium-Ion external battery packs</w:t>
      </w:r>
      <w:r w:rsidR="00052DC6" w:rsidRPr="007A6FE3">
        <w:t>, which</w:t>
      </w:r>
      <w:r w:rsidR="008B05B6" w:rsidRPr="007A6FE3">
        <w:t xml:space="preserve"> are widely used to provide reserve power to mobile phones and tablets, using a standardized so-called USB micro-B connector on the mobile device.</w:t>
      </w:r>
      <w:r w:rsidR="00F1662D" w:rsidRPr="007A6FE3">
        <w:rPr>
          <w:rStyle w:val="FootnoteReference"/>
        </w:rPr>
        <w:footnoteReference w:id="121"/>
      </w:r>
      <w:r w:rsidR="008B05B6" w:rsidRPr="007A6FE3">
        <w:t xml:space="preserve">  </w:t>
      </w:r>
      <w:r w:rsidR="00EE659A" w:rsidRPr="007A6FE3">
        <w:t>We seek comment on the variety of options available, today and in the foreseeable future, as well as the technical trade-offs inherent in the different options.</w:t>
      </w:r>
    </w:p>
    <w:p w14:paraId="0DD5BF4E" w14:textId="77777777" w:rsidR="0064506B" w:rsidRPr="007A6FE3" w:rsidRDefault="0064506B" w:rsidP="0064506B">
      <w:pPr>
        <w:pStyle w:val="ParaNum0"/>
      </w:pPr>
      <w:r w:rsidRPr="007A6FE3">
        <w:t xml:space="preserve">We believe that a comprehensive consumer education plan would be critical to consumers’ ability to successfully self-provision CPE backup power.  Are service providers already offering consumers necessary information regarding backup power options and on how to install and maintain backup power technologies?  Are providers offering consumers a sufficient explanation of a device’s emergency use capabilities, battery backup units, and how to access detailed information about battery backup?  We seek comment on whether we should require providers to develop and implement consumer education plans regarding the availability of CPE backup power.  We also seek comment on when providers should make such information available.  For example, </w:t>
      </w:r>
      <w:r w:rsidR="00EE659A" w:rsidRPr="007A6FE3">
        <w:t xml:space="preserve">when </w:t>
      </w:r>
      <w:r w:rsidRPr="007A6FE3">
        <w:t>would it be sufficient for service providers to make this information available</w:t>
      </w:r>
      <w:r w:rsidR="003F37AE" w:rsidRPr="007A6FE3">
        <w:t>—</w:t>
      </w:r>
      <w:r w:rsidR="00EE659A" w:rsidRPr="007A6FE3">
        <w:t xml:space="preserve">at the point-of-sale, </w:t>
      </w:r>
      <w:r w:rsidRPr="007A6FE3">
        <w:t>at the initial set up of CPE</w:t>
      </w:r>
      <w:r w:rsidR="00EE659A" w:rsidRPr="007A6FE3">
        <w:t>, or at some other point in the process</w:t>
      </w:r>
      <w:r w:rsidRPr="007A6FE3">
        <w:t>?  Should providers also provide detailed CPE backup power information immediately prior to a predicted extreme weather event or other anticipated emergency?  We seek comment generally on additional ways in which providers may facilitate consumers’ ability to self-provision CPE backup power.</w:t>
      </w:r>
    </w:p>
    <w:p w14:paraId="5C18D472" w14:textId="77777777" w:rsidR="0064506B" w:rsidRPr="007A6FE3" w:rsidRDefault="0064506B" w:rsidP="0064506B">
      <w:pPr>
        <w:pStyle w:val="ParaNum0"/>
      </w:pPr>
      <w:r w:rsidRPr="007A6FE3">
        <w:t xml:space="preserve">Finally, we seek comment on strategies for maintaining continuity of power for CPE during extended periods of commercial power failure. </w:t>
      </w:r>
      <w:r w:rsidR="00EE659A" w:rsidRPr="007A6FE3">
        <w:t xml:space="preserve"> </w:t>
      </w:r>
      <w:r w:rsidRPr="007A6FE3">
        <w:t xml:space="preserve">Power outages of such extended duration are comparatively rare, but they are likely to present additional challenges.  During prolonged outages, standard commercial supply chains that consumers would typically rely on for replacement batteries and other backup power technologies may be disrupted.  We seek comment on how service providers can best assist consumers to obtain access to backup power resources during long-term power outages.  </w:t>
      </w:r>
      <w:r w:rsidR="00EE659A" w:rsidRPr="007A6FE3">
        <w:t xml:space="preserve">What experiences have service providers had in these situations?  </w:t>
      </w:r>
      <w:r w:rsidR="00A07ADD" w:rsidRPr="007A6FE3">
        <w:t>W</w:t>
      </w:r>
      <w:r w:rsidRPr="007A6FE3">
        <w:t>e note the increasing popularity and proliferation of mobile cell phone charging stations among retail businesses.  Such charging stations have repeatedly proven their usefulness in emergencies where carriers have provided disaster relief vehicles for customers of any wireless carrier to place calls, charge a variety of phones, and connect to the Internet via Wi-Fi.</w:t>
      </w:r>
      <w:r w:rsidRPr="007A6FE3">
        <w:rPr>
          <w:rStyle w:val="FootnoteReference"/>
        </w:rPr>
        <w:footnoteReference w:id="122"/>
      </w:r>
      <w:r w:rsidRPr="007A6FE3">
        <w:t xml:space="preserve">  Would such solutions be feasible in more rural areas, or in areas with terrain that might be less accessible in the event of severe weather?  Is it feasible to establish similar charging stations for CPE </w:t>
      </w:r>
      <w:r w:rsidR="006139EC" w:rsidRPr="007A6FE3">
        <w:t xml:space="preserve">or their battery components </w:t>
      </w:r>
      <w:r w:rsidRPr="007A6FE3">
        <w:t>that support other IP-based service</w:t>
      </w:r>
      <w:r w:rsidR="006139EC" w:rsidRPr="007A6FE3">
        <w:t>s</w:t>
      </w:r>
      <w:r w:rsidRPr="007A6FE3">
        <w:t>?</w:t>
      </w:r>
    </w:p>
    <w:p w14:paraId="3F9B13B3" w14:textId="77777777" w:rsidR="00961539" w:rsidRPr="007A6FE3" w:rsidRDefault="009B1C7F" w:rsidP="003958CD">
      <w:pPr>
        <w:pStyle w:val="ParaNum0"/>
      </w:pPr>
      <w:r w:rsidRPr="007A6FE3">
        <w:t xml:space="preserve">We also seek detailed information regarding the costs and benefits of the CPE backup power requirements proposed in this Notice. </w:t>
      </w:r>
      <w:r w:rsidR="00961539" w:rsidRPr="007A6FE3">
        <w:t xml:space="preserve"> What would be the costs and benefits of industry compliance with mandates such as these?</w:t>
      </w:r>
      <w:r w:rsidR="00961539" w:rsidRPr="007A6FE3">
        <w:rPr>
          <w:rStyle w:val="FootnoteReference"/>
        </w:rPr>
        <w:footnoteReference w:id="123"/>
      </w:r>
      <w:r w:rsidR="00961539" w:rsidRPr="007A6FE3">
        <w:t xml:space="preserve">  What are the costs of developing affordable backup power solutions for any CPE that currently lack them?  With respect to backup power provided by batteries, we seek cost information for the entire battery lifecycle, including the costs of procuring, maintaining, and disposing of the batteries. </w:t>
      </w:r>
      <w:r w:rsidR="001646EB">
        <w:t xml:space="preserve"> </w:t>
      </w:r>
      <w:r w:rsidR="00961539" w:rsidRPr="007A6FE3">
        <w:t>We also seek comment on whether requiring providers to supply customers</w:t>
      </w:r>
      <w:r w:rsidR="003958CD" w:rsidRPr="007A6FE3">
        <w:t xml:space="preserve"> (or groups of customers)</w:t>
      </w:r>
      <w:r w:rsidR="00961539" w:rsidRPr="007A6FE3">
        <w:t xml:space="preserve"> with initial backup power capability would introduce economies of scale.  In addition, we seek comment on the costs to the consumer of self-provisioning CPE power during outages that exceed the initial window during which the backup power obligation is on the provider, and whether these costs are more or less than they otherwise would be in the absence of any backup power requirements.  In assessing the costs and benefits, how should we account for consumer usage patterns?</w:t>
      </w:r>
      <w:r w:rsidR="0014756E">
        <w:t xml:space="preserve">  Many consumers have already transitioned to fiber; what has been their experience, particularly with long duration or frequent power outages, and how should that inform our policymaking? </w:t>
      </w:r>
      <w:r w:rsidR="00A2098F">
        <w:t xml:space="preserve"> </w:t>
      </w:r>
      <w:r w:rsidR="0014756E">
        <w:t xml:space="preserve">Likewise, many consumers have mobile devices and many of those consumers have only wireless phones. </w:t>
      </w:r>
      <w:r w:rsidR="00A2098F">
        <w:t xml:space="preserve"> </w:t>
      </w:r>
      <w:r w:rsidR="0014756E">
        <w:t xml:space="preserve">How should that factor into our analysis? </w:t>
      </w:r>
      <w:r w:rsidR="0014756E" w:rsidRPr="007A6FE3">
        <w:t xml:space="preserve"> </w:t>
      </w:r>
    </w:p>
    <w:p w14:paraId="3B4F7E4A" w14:textId="77777777" w:rsidR="00961539" w:rsidRPr="007A6FE3" w:rsidRDefault="00961539" w:rsidP="00961539">
      <w:pPr>
        <w:pStyle w:val="ParaNum0"/>
      </w:pPr>
      <w:r w:rsidRPr="007A6FE3">
        <w:t>In the same vein, how can we minimize the costs of compliance while maximizing the benefits?  Would it be sufficient if every provider of facilities-based non-line-powered fixed voice services were to make available at least one piece of CPE that can be powered for at least 8 hours using commercially available batteries (such as D-cells)?</w:t>
      </w:r>
      <w:r w:rsidR="003958CD" w:rsidRPr="007A6FE3">
        <w:rPr>
          <w:rStyle w:val="FootnoteReference"/>
        </w:rPr>
        <w:footnoteReference w:id="124"/>
      </w:r>
      <w:r w:rsidRPr="007A6FE3">
        <w:t xml:space="preserve">  </w:t>
      </w:r>
    </w:p>
    <w:p w14:paraId="73ACA290" w14:textId="77777777" w:rsidR="0064506B" w:rsidRPr="007A6FE3" w:rsidRDefault="0064506B" w:rsidP="0064506B">
      <w:pPr>
        <w:pStyle w:val="ParaNum0"/>
      </w:pPr>
      <w:r w:rsidRPr="007A6FE3">
        <w:t>We next seek comment on the Commission’s legal authority to adopt any of the proposals described above.  Congress created the Commission, in part, “for the purpose of promoting safety of life and property through the use of wire and radio communications.”</w:t>
      </w:r>
      <w:r w:rsidRPr="007A6FE3">
        <w:rPr>
          <w:rStyle w:val="FootnoteReference"/>
        </w:rPr>
        <w:footnoteReference w:id="125"/>
      </w:r>
      <w:r w:rsidRPr="007A6FE3">
        <w:t xml:space="preserve">  As communications technologies increasingly operate on commercial power at the customer’s premises rather than power from a central office delivered over copper lines, the Commission must ensure that technology transitions do not diminish access to critical communications services, especially 911.  Congress has directed the Commission to “designate 911 as the universal emergency telephone number within the United States for reporting an emergency to appropriate authorities and requesting assistance,”</w:t>
      </w:r>
      <w:r w:rsidRPr="007A6FE3">
        <w:rPr>
          <w:rStyle w:val="FootnoteReference"/>
        </w:rPr>
        <w:footnoteReference w:id="126"/>
      </w:r>
      <w:r w:rsidRPr="007A6FE3">
        <w:t xml:space="preserve"> and to “promote and enhance public safety by facilitating the rapid deployment of IP-enabled 911 and E–911 services.”</w:t>
      </w:r>
      <w:r w:rsidRPr="007A6FE3">
        <w:rPr>
          <w:vertAlign w:val="superscript"/>
        </w:rPr>
        <w:footnoteReference w:id="127"/>
      </w:r>
      <w:r w:rsidRPr="007A6FE3">
        <w:t xml:space="preserve">  The Commission is also charged with promulgating “regulations, technical standards, protocols, and procedures as are necessary to achieve reliable, interoperable communication that ensures access by individuals with disabilities to an Internet protocol-enabled emergency network, where achievable and technically feasible.”</w:t>
      </w:r>
      <w:r w:rsidRPr="007A6FE3">
        <w:rPr>
          <w:rStyle w:val="FootnoteReference"/>
        </w:rPr>
        <w:footnoteReference w:id="128"/>
      </w:r>
      <w:r w:rsidRPr="007A6FE3">
        <w:t xml:space="preserve">  </w:t>
      </w:r>
      <w:r w:rsidR="0014756E">
        <w:t xml:space="preserve">We seek comment on whether </w:t>
      </w:r>
      <w:r w:rsidR="00EA737B" w:rsidRPr="007A6FE3">
        <w:t>requiring sufficient backup power to maintain 911 connectivity during power outages would be well within “[t]he broad public safety and 911 authority Congress has granted the FCC.”</w:t>
      </w:r>
      <w:r w:rsidR="00EA737B" w:rsidRPr="007A6FE3">
        <w:rPr>
          <w:rStyle w:val="FootnoteReference"/>
        </w:rPr>
        <w:footnoteReference w:id="129"/>
      </w:r>
      <w:r w:rsidR="00EA737B" w:rsidRPr="007A6FE3">
        <w:t xml:space="preserve">  </w:t>
      </w:r>
    </w:p>
    <w:p w14:paraId="40E56BAB" w14:textId="77777777" w:rsidR="0064506B" w:rsidRPr="007A6FE3" w:rsidRDefault="00EA737B" w:rsidP="0064506B">
      <w:pPr>
        <w:pStyle w:val="ParaNum0"/>
      </w:pPr>
      <w:r w:rsidRPr="007A6FE3">
        <w:t>Moreover</w:t>
      </w:r>
      <w:r w:rsidR="0064506B" w:rsidRPr="007A6FE3">
        <w:t>, section 201(b) the Communications Act requires the practices of common carriers to be “just and reasonable</w:t>
      </w:r>
      <w:r w:rsidR="00EE659A" w:rsidRPr="007A6FE3">
        <w:t>,</w:t>
      </w:r>
      <w:r w:rsidR="0064506B" w:rsidRPr="007A6FE3">
        <w:t>”</w:t>
      </w:r>
      <w:r w:rsidR="0064506B" w:rsidRPr="007A6FE3">
        <w:rPr>
          <w:rStyle w:val="FootnoteReference"/>
        </w:rPr>
        <w:footnoteReference w:id="130"/>
      </w:r>
      <w:r w:rsidR="0064506B" w:rsidRPr="007A6FE3">
        <w:t xml:space="preserve"> </w:t>
      </w:r>
      <w:r w:rsidR="00EE659A" w:rsidRPr="007A6FE3">
        <w:t>and</w:t>
      </w:r>
      <w:r w:rsidR="0064506B" w:rsidRPr="007A6FE3">
        <w:t xml:space="preserve"> authorizes the Commission to “prescribe rules and regulations as may be necessary in the public interest to carry out the provisions” of the Act.</w:t>
      </w:r>
      <w:r w:rsidR="0064506B" w:rsidRPr="007A6FE3">
        <w:rPr>
          <w:rStyle w:val="FootnoteReference"/>
        </w:rPr>
        <w:footnoteReference w:id="131"/>
      </w:r>
      <w:r w:rsidR="0064506B" w:rsidRPr="007A6FE3">
        <w:t xml:space="preserve">  </w:t>
      </w:r>
      <w:r w:rsidRPr="007A6FE3">
        <w:t>S</w:t>
      </w:r>
      <w:r w:rsidR="0064506B" w:rsidRPr="007A6FE3">
        <w:t>ection 214(d) of the Act authorizes the Commission to require a common carrier “to provide itself with adequate facilities for the expeditious and efficient performance of its service as a common carrier.”</w:t>
      </w:r>
      <w:r w:rsidR="0064506B" w:rsidRPr="007A6FE3">
        <w:rPr>
          <w:rStyle w:val="FootnoteReference"/>
        </w:rPr>
        <w:footnoteReference w:id="132"/>
      </w:r>
      <w:r w:rsidR="0064506B" w:rsidRPr="007A6FE3">
        <w:t xml:space="preserve">  </w:t>
      </w:r>
      <w:r w:rsidRPr="007A6FE3">
        <w:t>And</w:t>
      </w:r>
      <w:r w:rsidR="008A77F7" w:rsidRPr="007A6FE3">
        <w:t xml:space="preserve"> section 214(a) empowers the Commission to attach conditions t</w:t>
      </w:r>
      <w:r w:rsidR="003958CD" w:rsidRPr="007A6FE3">
        <w:t>o the discontinuance of common carrier</w:t>
      </w:r>
      <w:r w:rsidR="008A77F7" w:rsidRPr="007A6FE3">
        <w:t xml:space="preserve"> services to part or all of a community.</w:t>
      </w:r>
      <w:r w:rsidR="008A77F7" w:rsidRPr="007A6FE3">
        <w:rPr>
          <w:rStyle w:val="FootnoteReference"/>
        </w:rPr>
        <w:footnoteReference w:id="133"/>
      </w:r>
      <w:r w:rsidR="008A77F7" w:rsidRPr="007A6FE3">
        <w:t xml:space="preserve">  </w:t>
      </w:r>
      <w:r w:rsidR="00ED5781" w:rsidRPr="007A6FE3">
        <w:t>T</w:t>
      </w:r>
      <w:r w:rsidR="0064506B" w:rsidRPr="007A6FE3">
        <w:t>he Commission</w:t>
      </w:r>
      <w:r w:rsidRPr="007A6FE3">
        <w:t xml:space="preserve"> </w:t>
      </w:r>
      <w:r w:rsidR="00ED5781" w:rsidRPr="007A6FE3">
        <w:t xml:space="preserve">also </w:t>
      </w:r>
      <w:r w:rsidRPr="007A6FE3">
        <w:t>has general</w:t>
      </w:r>
      <w:r w:rsidR="0064506B" w:rsidRPr="007A6FE3">
        <w:t xml:space="preserve"> licensing authority under section 301 of the Act</w:t>
      </w:r>
      <w:r w:rsidRPr="007A6FE3">
        <w:t>, as well as</w:t>
      </w:r>
      <w:r w:rsidR="0064506B" w:rsidRPr="007A6FE3">
        <w:t xml:space="preserve"> authority under section 303(b) to “[p]rescribe the nature of the service to be rendered by each class of licensed stations and each station within any class” would provide an additional basis for Commission action.</w:t>
      </w:r>
      <w:r w:rsidR="0064506B" w:rsidRPr="007A6FE3">
        <w:rPr>
          <w:rStyle w:val="FootnoteReference"/>
        </w:rPr>
        <w:footnoteReference w:id="134"/>
      </w:r>
      <w:r w:rsidR="0064506B" w:rsidRPr="007A6FE3">
        <w:t xml:space="preserve">  </w:t>
      </w:r>
      <w:r w:rsidRPr="007A6FE3">
        <w:t>To the extent that our proposals apply to telecommunications carriers or fixed wireless service providers, we tentatively conclude that these provisions provide additional sources of authority for the proposals contained herein.  We seek comment on this tentative conclusion.</w:t>
      </w:r>
    </w:p>
    <w:p w14:paraId="3C60549D" w14:textId="77777777" w:rsidR="0064506B" w:rsidRPr="007A6FE3" w:rsidRDefault="00EA737B" w:rsidP="00101FB4">
      <w:pPr>
        <w:pStyle w:val="ParaNum0"/>
        <w:widowControl/>
      </w:pPr>
      <w:r w:rsidRPr="007A6FE3">
        <w:t>Finally, i</w:t>
      </w:r>
      <w:r w:rsidR="0064506B" w:rsidRPr="007A6FE3">
        <w:t xml:space="preserve">n light of these statutory mandates, </w:t>
      </w:r>
      <w:r w:rsidRPr="007A6FE3">
        <w:t xml:space="preserve">we </w:t>
      </w:r>
      <w:r w:rsidR="0014756E">
        <w:t>seek comment on whether</w:t>
      </w:r>
      <w:r w:rsidRPr="007A6FE3">
        <w:t xml:space="preserve"> </w:t>
      </w:r>
      <w:r w:rsidR="0064506B" w:rsidRPr="007A6FE3">
        <w:t>minimum backup power requirements to promote continuity of 911 and other communications services would be within Commission’s general jurisdictional grant under Title I of the Act</w:t>
      </w:r>
      <w:r w:rsidR="0064506B" w:rsidRPr="007A6FE3">
        <w:rPr>
          <w:rStyle w:val="FootnoteReference"/>
        </w:rPr>
        <w:footnoteReference w:id="135"/>
      </w:r>
      <w:r w:rsidR="0064506B" w:rsidRPr="007A6FE3">
        <w:t xml:space="preserve"> and “reasonably ancillary to the Commission’s effective performance of its statutorily mandated responsibilities.”</w:t>
      </w:r>
      <w:r w:rsidR="0064506B" w:rsidRPr="007A6FE3">
        <w:rPr>
          <w:rStyle w:val="FootnoteReference"/>
        </w:rPr>
        <w:footnoteReference w:id="136"/>
      </w:r>
      <w:r w:rsidR="0064506B" w:rsidRPr="007A6FE3">
        <w:t xml:space="preserve">  We </w:t>
      </w:r>
      <w:r w:rsidR="0014756E">
        <w:t>also</w:t>
      </w:r>
      <w:r w:rsidR="0014756E" w:rsidRPr="007A6FE3">
        <w:t xml:space="preserve"> </w:t>
      </w:r>
      <w:r w:rsidR="004D694B">
        <w:t xml:space="preserve">seek </w:t>
      </w:r>
      <w:r w:rsidR="0064506B" w:rsidRPr="007A6FE3">
        <w:t>comment on</w:t>
      </w:r>
      <w:r w:rsidR="009B1C7F" w:rsidRPr="007A6FE3">
        <w:t xml:space="preserve"> </w:t>
      </w:r>
      <w:r w:rsidR="0064506B" w:rsidRPr="007A6FE3">
        <w:t>any other sources of legal authority for the proposals set forth above.</w:t>
      </w:r>
    </w:p>
    <w:p w14:paraId="569AEE8A" w14:textId="77777777" w:rsidR="0064506B" w:rsidRPr="007A6FE3" w:rsidRDefault="0064506B" w:rsidP="0064506B">
      <w:pPr>
        <w:pStyle w:val="ParaNum0"/>
      </w:pPr>
      <w:r w:rsidRPr="007A6FE3">
        <w:t>Alternatively, should the Commission take steps, short of adopting rules, to promote the development and implementation of consumer CPE backup power solutions?  The CSRIC report observes that, due to the wide variety of backup power options and interfaces offered by individual service providers and CPE vendors, “some level of standardization is needed of . . . power systems and interfaces, if VoIP services are to meet the reliability that consumers expect in the United States.”</w:t>
      </w:r>
      <w:r w:rsidRPr="007A6FE3">
        <w:rPr>
          <w:rStyle w:val="FootnoteReference"/>
        </w:rPr>
        <w:footnoteReference w:id="137"/>
      </w:r>
      <w:r w:rsidRPr="007A6FE3">
        <w:t xml:space="preserve">  Should the Commission take steps to promote the standardization of systems and interfaces that CSRIC recommends</w:t>
      </w:r>
      <w:r w:rsidR="00874EAB" w:rsidRPr="007A6FE3">
        <w:t>, e.g., in cooperation with industry standards bodies such as CableLabs or the Broadband Forum</w:t>
      </w:r>
      <w:r w:rsidRPr="007A6FE3">
        <w:t>?  Should the Commission charge CSRIC or another of its advisory bodies with addressing this issue?  Do the best practices that CSRIC recommends in its recent report provide an adequate framework for ensuring that VoIP CPE maintain continuity of power in the event of commercial power failure?</w:t>
      </w:r>
      <w:r w:rsidRPr="007A6FE3">
        <w:rPr>
          <w:rStyle w:val="FootnoteReference"/>
        </w:rPr>
        <w:footnoteReference w:id="138"/>
      </w:r>
      <w:r w:rsidRPr="007A6FE3">
        <w:t xml:space="preserve">  Should the Commission monitor whether the CSRIC best practices or any additional measures are being followed, and if so, how should it measure the effectiveness of these practices?  While CSRIC’s recommendations specifically pertained to VoIP CPE, to what extent can CSRIC’s best practices be adapted to apply more broadly?  What additional measures, beyond CSRIC’s recommendations, should providers undertake to ensure continuity of service during extended power outages?  </w:t>
      </w:r>
    </w:p>
    <w:p w14:paraId="10BE065E" w14:textId="77777777" w:rsidR="0064506B" w:rsidRPr="007A6FE3" w:rsidRDefault="0064506B" w:rsidP="0064506B">
      <w:pPr>
        <w:pStyle w:val="ParaNum0"/>
      </w:pPr>
      <w:r w:rsidRPr="007A6FE3">
        <w:t xml:space="preserve">We also seek comment on whether market-based incentives alone could deliver backup power solutions that meet consumer needs and expectations.  To what extent do providers compete on the basis of their ability to provide reliable and continuous service during commercial power outages?  Do providers have incentives to educate their customers on the potential loss of service that occurs during power outages, and to help them make informed decisions about the backup power options available to them?  </w:t>
      </w:r>
      <w:r w:rsidR="00874EAB" w:rsidRPr="007A6FE3">
        <w:t>Is there evidence that backup capabilities for CPE have improved and will continue to improve?</w:t>
      </w:r>
    </w:p>
    <w:p w14:paraId="6506FCA4" w14:textId="77777777" w:rsidR="00166577" w:rsidRPr="007A6FE3" w:rsidRDefault="0064506B" w:rsidP="0064506B">
      <w:pPr>
        <w:pStyle w:val="ParaNum0"/>
      </w:pPr>
      <w:r w:rsidRPr="007A6FE3">
        <w:t>Finally, we seek comment on any alternative approaches to providing continuity of communications for consumers, in the event of a power outage.  In particular, we invite proposal</w:t>
      </w:r>
      <w:r w:rsidR="00E90EAE">
        <w:t>s</w:t>
      </w:r>
      <w:r w:rsidRPr="007A6FE3">
        <w:t xml:space="preserve"> that would address our concerns without the need to adopt regulatory requirements.</w:t>
      </w:r>
    </w:p>
    <w:p w14:paraId="58171E22" w14:textId="77777777" w:rsidR="00FC7F4D" w:rsidRPr="007A6FE3" w:rsidRDefault="00FC7F4D" w:rsidP="006C7F9F">
      <w:pPr>
        <w:pStyle w:val="Heading3"/>
      </w:pPr>
      <w:bookmarkStart w:id="221" w:name="_Toc401595627"/>
      <w:bookmarkStart w:id="222" w:name="_Toc401658184"/>
      <w:bookmarkStart w:id="223" w:name="_Toc401821686"/>
      <w:bookmarkStart w:id="224" w:name="_Toc401912153"/>
      <w:bookmarkStart w:id="225" w:name="_Toc402255407"/>
      <w:bookmarkStart w:id="226" w:name="_Toc402276190"/>
      <w:bookmarkStart w:id="227" w:name="_Toc402360432"/>
      <w:bookmarkStart w:id="228" w:name="_Toc402511494"/>
      <w:bookmarkStart w:id="229" w:name="_Toc403566403"/>
      <w:bookmarkStart w:id="230" w:name="_Toc404072114"/>
      <w:bookmarkStart w:id="231" w:name="_Toc404081310"/>
      <w:bookmarkStart w:id="232" w:name="_Toc404165789"/>
      <w:bookmarkStart w:id="233" w:name="_Toc404165867"/>
      <w:bookmarkStart w:id="234" w:name="_Toc404172425"/>
      <w:bookmarkStart w:id="235" w:name="_Toc404181478"/>
      <w:bookmarkStart w:id="236" w:name="_Toc404183071"/>
      <w:bookmarkStart w:id="237" w:name="_Toc404246616"/>
      <w:r w:rsidRPr="007A6FE3">
        <w:t>Copper Retirement</w:t>
      </w:r>
      <w:bookmarkEnd w:id="187"/>
      <w:bookmarkEnd w:id="188"/>
      <w:bookmarkEnd w:id="189"/>
      <w:bookmarkEnd w:id="190"/>
      <w:bookmarkEnd w:id="191"/>
      <w:bookmarkEnd w:id="216"/>
      <w:bookmarkEnd w:id="217"/>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14:paraId="09EBD02D" w14:textId="77777777" w:rsidR="006C4780" w:rsidRPr="007A6FE3" w:rsidRDefault="000F1F53" w:rsidP="000350B7">
      <w:pPr>
        <w:pStyle w:val="ParaNum0"/>
      </w:pPr>
      <w:r w:rsidRPr="007A6FE3">
        <w:t xml:space="preserve">We believe that the increasing frequency and scope of copper retirements </w:t>
      </w:r>
      <w:r w:rsidR="00662FAB" w:rsidRPr="007A6FE3">
        <w:t>call</w:t>
      </w:r>
      <w:r w:rsidR="003C10B7" w:rsidRPr="007A6FE3">
        <w:t xml:space="preserve"> into question </w:t>
      </w:r>
      <w:r w:rsidRPr="007A6FE3">
        <w:t xml:space="preserve">key assumptions that underpinned our existing copper retirement rules, and therefore changes are necessary to ensure that our copper retirement process protects </w:t>
      </w:r>
      <w:r w:rsidR="00683A4F" w:rsidRPr="007A6FE3">
        <w:t xml:space="preserve">retail </w:t>
      </w:r>
      <w:r w:rsidR="0009162F" w:rsidRPr="007A6FE3">
        <w:t xml:space="preserve">customers </w:t>
      </w:r>
      <w:r w:rsidRPr="007A6FE3">
        <w:t xml:space="preserve">and facilitates competition.  </w:t>
      </w:r>
      <w:r w:rsidR="006C4780" w:rsidRPr="007A6FE3">
        <w:t xml:space="preserve">In this Notice, we </w:t>
      </w:r>
      <w:r w:rsidR="007E1A69" w:rsidRPr="007A6FE3">
        <w:t>propose</w:t>
      </w:r>
      <w:r w:rsidR="006C4780" w:rsidRPr="007A6FE3">
        <w:t xml:space="preserve"> steps to maintain the vitality of our core values of consumer protection</w:t>
      </w:r>
      <w:r w:rsidR="00713B9D" w:rsidRPr="007A6FE3">
        <w:t>,</w:t>
      </w:r>
      <w:r w:rsidR="006C4780" w:rsidRPr="007A6FE3">
        <w:t xml:space="preserve"> </w:t>
      </w:r>
      <w:r w:rsidR="006C4780" w:rsidRPr="007A6FE3">
        <w:rPr>
          <w:szCs w:val="22"/>
        </w:rPr>
        <w:t>competition</w:t>
      </w:r>
      <w:r w:rsidR="00713B9D" w:rsidRPr="007A6FE3">
        <w:rPr>
          <w:szCs w:val="22"/>
        </w:rPr>
        <w:t>, public safety, and national security</w:t>
      </w:r>
      <w:r w:rsidR="006C4780" w:rsidRPr="007A6FE3">
        <w:t xml:space="preserve"> through the forthcoming technology transitions.  In particular, we propose revisions to our copper retirement rules that we believe will align the goals of consumer protection and competition with ongoing incentives to deploy advanced facilities and services. </w:t>
      </w:r>
      <w:r w:rsidR="003C63E5" w:rsidRPr="007A6FE3">
        <w:t xml:space="preserve"> </w:t>
      </w:r>
      <w:r w:rsidR="006C4780" w:rsidRPr="007A6FE3">
        <w:t xml:space="preserve">First, we propose defining “retirement” of copper—a term not currently defined in our rules—to </w:t>
      </w:r>
      <w:r w:rsidR="006C4780" w:rsidRPr="007A6FE3" w:rsidDel="005730F1">
        <w:t xml:space="preserve">include removing </w:t>
      </w:r>
      <w:r w:rsidR="006C4780" w:rsidRPr="007A6FE3">
        <w:t xml:space="preserve">and disabling of </w:t>
      </w:r>
      <w:r w:rsidR="006C4780" w:rsidRPr="007A6FE3" w:rsidDel="005730F1">
        <w:t>copper loops</w:t>
      </w:r>
      <w:r w:rsidR="006C4780" w:rsidRPr="007A6FE3">
        <w:t>,</w:t>
      </w:r>
      <w:r w:rsidR="006C4780" w:rsidRPr="007A6FE3" w:rsidDel="005730F1">
        <w:t xml:space="preserve"> subloops</w:t>
      </w:r>
      <w:r w:rsidR="006C4780" w:rsidRPr="007A6FE3">
        <w:t>, and the feeder portion of loops</w:t>
      </w:r>
      <w:r w:rsidR="006C4780" w:rsidRPr="007A6FE3" w:rsidDel="005730F1">
        <w:t>.</w:t>
      </w:r>
      <w:r w:rsidR="006C4780" w:rsidRPr="007A6FE3">
        <w:t xml:space="preserve">  Next, we seek comment on how to address allegations that </w:t>
      </w:r>
      <w:r w:rsidR="00BE65A7" w:rsidRPr="007A6FE3">
        <w:t xml:space="preserve">in some cases </w:t>
      </w:r>
      <w:r w:rsidR="006C4780" w:rsidRPr="007A6FE3">
        <w:t>incumbent LECs are not adequately maintaining their copper facilities</w:t>
      </w:r>
      <w:r w:rsidR="004A4668" w:rsidRPr="007A6FE3">
        <w:t xml:space="preserve"> that are not yet retired</w:t>
      </w:r>
      <w:r w:rsidR="006C4780" w:rsidRPr="007A6FE3">
        <w:t xml:space="preserve">.  We then explain </w:t>
      </w:r>
      <w:r w:rsidR="006A2A5D" w:rsidRPr="007A6FE3">
        <w:t>why we do not intend to</w:t>
      </w:r>
      <w:r w:rsidR="006C4780" w:rsidRPr="007A6FE3">
        <w:t xml:space="preserve"> establish an approval requirement for copper retirement.  We also propose and seek comment on improvements to our copper retirement process to better promote competition and protect consumers.  </w:t>
      </w:r>
      <w:r w:rsidR="007E1A69" w:rsidRPr="007A6FE3">
        <w:t>T</w:t>
      </w:r>
      <w:r w:rsidR="006C4780" w:rsidRPr="007A6FE3">
        <w:rPr>
          <w:szCs w:val="22"/>
        </w:rPr>
        <w:t>his Notice</w:t>
      </w:r>
      <w:r w:rsidR="007E1A69" w:rsidRPr="007A6FE3">
        <w:rPr>
          <w:szCs w:val="22"/>
        </w:rPr>
        <w:t xml:space="preserve"> then</w:t>
      </w:r>
      <w:r w:rsidR="006C4780" w:rsidRPr="007A6FE3">
        <w:rPr>
          <w:szCs w:val="22"/>
        </w:rPr>
        <w:t xml:space="preserve"> </w:t>
      </w:r>
      <w:r w:rsidR="006C4780" w:rsidRPr="007A6FE3">
        <w:t xml:space="preserve">seeks comment on whether and how we should take action to promote the sale or auction of copper prior to retirement.  </w:t>
      </w:r>
      <w:r w:rsidR="007E1A69" w:rsidRPr="007A6FE3">
        <w:t>Finally, it seeks comment on the adoption of best practices that can help address the need for reliable backup power.</w:t>
      </w:r>
    </w:p>
    <w:p w14:paraId="369E0F50" w14:textId="77777777" w:rsidR="00FC7F4D" w:rsidRPr="007A6FE3" w:rsidRDefault="00C428B7" w:rsidP="006C7F9F">
      <w:pPr>
        <w:pStyle w:val="Heading4"/>
      </w:pPr>
      <w:bookmarkStart w:id="238" w:name="_Toc399947709"/>
      <w:bookmarkStart w:id="239" w:name="_Toc400554018"/>
      <w:bookmarkStart w:id="240" w:name="_Toc400566827"/>
      <w:bookmarkStart w:id="241" w:name="_Toc400711696"/>
      <w:bookmarkStart w:id="242" w:name="_Toc400719648"/>
      <w:bookmarkStart w:id="243" w:name="_Toc401299421"/>
      <w:bookmarkStart w:id="244" w:name="_Toc401306986"/>
      <w:bookmarkStart w:id="245" w:name="_Toc401595628"/>
      <w:bookmarkStart w:id="246" w:name="_Toc401658185"/>
      <w:bookmarkStart w:id="247" w:name="_Toc401821687"/>
      <w:bookmarkStart w:id="248" w:name="_Toc401912154"/>
      <w:bookmarkStart w:id="249" w:name="_Toc402255408"/>
      <w:bookmarkStart w:id="250" w:name="_Toc402276191"/>
      <w:bookmarkStart w:id="251" w:name="_Toc402360433"/>
      <w:bookmarkStart w:id="252" w:name="_Toc402511495"/>
      <w:bookmarkStart w:id="253" w:name="_Toc403566404"/>
      <w:bookmarkStart w:id="254" w:name="_Toc404072115"/>
      <w:bookmarkStart w:id="255" w:name="_Toc404081311"/>
      <w:bookmarkStart w:id="256" w:name="_Toc404165790"/>
      <w:bookmarkStart w:id="257" w:name="_Toc404165868"/>
      <w:bookmarkStart w:id="258" w:name="_Toc404172426"/>
      <w:bookmarkStart w:id="259" w:name="_Toc404181479"/>
      <w:bookmarkStart w:id="260" w:name="_Toc404183072"/>
      <w:bookmarkStart w:id="261" w:name="_Toc404246617"/>
      <w:r w:rsidRPr="007A6FE3">
        <w:t xml:space="preserve">Definition of </w:t>
      </w:r>
      <w:r w:rsidR="00F06531" w:rsidRPr="007A6FE3">
        <w:t>“</w:t>
      </w:r>
      <w:r w:rsidR="003B0CB3" w:rsidRPr="007A6FE3">
        <w:t xml:space="preserve">Copper </w:t>
      </w:r>
      <w:r w:rsidR="00FC7F4D" w:rsidRPr="007A6FE3">
        <w:t>Retirement</w:t>
      </w:r>
      <w:bookmarkEnd w:id="238"/>
      <w:bookmarkEnd w:id="239"/>
      <w:bookmarkEnd w:id="240"/>
      <w:bookmarkEnd w:id="241"/>
      <w:bookmarkEnd w:id="242"/>
      <w:bookmarkEnd w:id="243"/>
      <w:bookmarkEnd w:id="244"/>
      <w:r w:rsidR="00F06531" w:rsidRPr="007A6FE3">
        <w:t>”</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14:paraId="68BE360B" w14:textId="77777777" w:rsidR="00355762" w:rsidRPr="007A6FE3" w:rsidRDefault="006162E0" w:rsidP="00B220E3">
      <w:pPr>
        <w:pStyle w:val="ParaNum0"/>
        <w:widowControl/>
      </w:pPr>
      <w:r w:rsidRPr="007A6FE3">
        <w:t>Although the Commission’s rules provide that incumbent LECs must comply with network change requirements before they retire any copper loops or subloops, the rules do not define “</w:t>
      </w:r>
      <w:r w:rsidR="00496132" w:rsidRPr="007A6FE3">
        <w:t xml:space="preserve">copper </w:t>
      </w:r>
      <w:r w:rsidRPr="007A6FE3">
        <w:t>retirement</w:t>
      </w:r>
      <w:r w:rsidR="00DE3782" w:rsidRPr="007A6FE3">
        <w:t>,</w:t>
      </w:r>
      <w:r w:rsidRPr="007A6FE3">
        <w:t>”</w:t>
      </w:r>
      <w:r w:rsidRPr="007A6FE3">
        <w:rPr>
          <w:rStyle w:val="FootnoteReference"/>
        </w:rPr>
        <w:footnoteReference w:id="139"/>
      </w:r>
      <w:r w:rsidRPr="007A6FE3">
        <w:t xml:space="preserve"> </w:t>
      </w:r>
      <w:r w:rsidR="00DE3782" w:rsidRPr="007A6FE3">
        <w:t xml:space="preserve">either with regard to the facilities or the actions involved. </w:t>
      </w:r>
      <w:r w:rsidRPr="007A6FE3">
        <w:t xml:space="preserve"> </w:t>
      </w:r>
      <w:r w:rsidR="00D16900" w:rsidRPr="007A6FE3">
        <w:t xml:space="preserve">We believe that it is necessary to </w:t>
      </w:r>
      <w:r w:rsidR="00BB55C1" w:rsidRPr="007A6FE3" w:rsidDel="005730F1">
        <w:t>propose a definition of copper retirement</w:t>
      </w:r>
      <w:r w:rsidRPr="007A6FE3">
        <w:t xml:space="preserve"> to provide parties with guidance on when a network change notification must be filed</w:t>
      </w:r>
      <w:r w:rsidR="00BB55C1" w:rsidRPr="007A6FE3" w:rsidDel="005730F1">
        <w:t>.</w:t>
      </w:r>
      <w:r w:rsidR="00355762" w:rsidRPr="007A6FE3">
        <w:t xml:space="preserve"> </w:t>
      </w:r>
    </w:p>
    <w:p w14:paraId="642C36DC" w14:textId="77777777" w:rsidR="00DF5ED1" w:rsidRPr="007A6FE3" w:rsidRDefault="00DF5ED1" w:rsidP="000350B7">
      <w:pPr>
        <w:pStyle w:val="ParaNum0"/>
      </w:pPr>
      <w:r w:rsidRPr="007A6FE3">
        <w:rPr>
          <w:i/>
        </w:rPr>
        <w:t xml:space="preserve">Copper Facilities to Be Included.  </w:t>
      </w:r>
      <w:r w:rsidRPr="007A6FE3">
        <w:t xml:space="preserve">We </w:t>
      </w:r>
      <w:r w:rsidR="00355762" w:rsidRPr="007A6FE3">
        <w:t>propose</w:t>
      </w:r>
      <w:r w:rsidRPr="007A6FE3">
        <w:t xml:space="preserve"> that copper facilities included within the concept of “retirement” should include copper loops, subloops, and the feeder portion of the loop.  Including copper loops and subloops is consistent with our existing rules.</w:t>
      </w:r>
      <w:r w:rsidR="003C63E5" w:rsidRPr="007A6FE3">
        <w:rPr>
          <w:rStyle w:val="FootnoteReference"/>
        </w:rPr>
        <w:footnoteReference w:id="140"/>
      </w:r>
      <w:r w:rsidRPr="007A6FE3">
        <w:t xml:space="preserve">  However, our current rules do not encompass the feeder portion of loops.  </w:t>
      </w:r>
      <w:r w:rsidR="00D10FBC" w:rsidRPr="007A6FE3">
        <w:t xml:space="preserve">In its 2007 Petition for Rulemaking, BridgeCom requested that the Commission </w:t>
      </w:r>
      <w:r w:rsidR="00496132" w:rsidRPr="007A6FE3">
        <w:t xml:space="preserve">initiate a rulemaking proceeding to </w:t>
      </w:r>
      <w:r w:rsidR="00D10FBC" w:rsidRPr="007A6FE3">
        <w:t>extend the copper retirement network change disclosure rules to the feeder portion of loops, noting that “if the feeder portion of the loop is unavailable for unbundled access, the practical difficulty of obtaining access to the remaining portion of the loop forecloses competitive access to the customer.”</w:t>
      </w:r>
      <w:r w:rsidR="00D10FBC" w:rsidRPr="007A6FE3">
        <w:rPr>
          <w:rStyle w:val="FootnoteReference"/>
        </w:rPr>
        <w:footnoteReference w:id="141"/>
      </w:r>
      <w:r w:rsidR="00D10FBC" w:rsidRPr="007A6FE3">
        <w:t xml:space="preserve">  </w:t>
      </w:r>
      <w:r w:rsidRPr="007A6FE3">
        <w:t xml:space="preserve">We </w:t>
      </w:r>
      <w:r w:rsidR="00D10FBC" w:rsidRPr="007A6FE3">
        <w:t>tentatively agree, and w</w:t>
      </w:r>
      <w:r w:rsidRPr="007A6FE3">
        <w:t>e</w:t>
      </w:r>
      <w:r w:rsidR="00D10FBC" w:rsidRPr="007A6FE3">
        <w:t xml:space="preserve"> propose including the feeder portion of the loop within our definition of copper retirement.  We</w:t>
      </w:r>
      <w:r w:rsidRPr="007A6FE3">
        <w:t xml:space="preserve"> seek comment on this proposal.  Are there any reasons that we should not</w:t>
      </w:r>
      <w:r w:rsidRPr="007A6FE3" w:rsidDel="005730F1">
        <w:t xml:space="preserve"> include copper feeder along with copper loops and subloops?  </w:t>
      </w:r>
      <w:r w:rsidRPr="007A6FE3">
        <w:t xml:space="preserve">Are there any other copper facilities that should be included?  </w:t>
      </w:r>
    </w:p>
    <w:p w14:paraId="0F418139" w14:textId="77777777" w:rsidR="004E317D" w:rsidRPr="007A6FE3" w:rsidRDefault="00DF5ED1" w:rsidP="000350B7">
      <w:pPr>
        <w:pStyle w:val="ParaNum0"/>
      </w:pPr>
      <w:r w:rsidRPr="007A6FE3">
        <w:rPr>
          <w:i/>
        </w:rPr>
        <w:t xml:space="preserve">Actions That Constitute Retirement.  </w:t>
      </w:r>
      <w:r w:rsidR="005C00FF" w:rsidRPr="007A6FE3">
        <w:t>W</w:t>
      </w:r>
      <w:r w:rsidR="00BB55C1" w:rsidRPr="007A6FE3" w:rsidDel="005730F1">
        <w:t xml:space="preserve">e </w:t>
      </w:r>
      <w:r w:rsidR="00496132" w:rsidRPr="007A6FE3">
        <w:t>seek comment on defining</w:t>
      </w:r>
      <w:r w:rsidR="000F1F53" w:rsidRPr="007A6FE3">
        <w:t xml:space="preserve"> “</w:t>
      </w:r>
      <w:r w:rsidR="00391B36" w:rsidRPr="007A6FE3">
        <w:t xml:space="preserve">copper </w:t>
      </w:r>
      <w:r w:rsidR="000F1F53" w:rsidRPr="007A6FE3">
        <w:t>retirement” as the “</w:t>
      </w:r>
      <w:r w:rsidR="00BB55C1" w:rsidRPr="007A6FE3" w:rsidDel="005730F1">
        <w:t xml:space="preserve">removing </w:t>
      </w:r>
      <w:r w:rsidR="000F1F53" w:rsidRPr="007A6FE3">
        <w:t xml:space="preserve">or </w:t>
      </w:r>
      <w:r w:rsidR="005C00FF" w:rsidRPr="007A6FE3">
        <w:t>disabling of</w:t>
      </w:r>
      <w:r w:rsidR="000F1F53" w:rsidRPr="007A6FE3">
        <w:t>”</w:t>
      </w:r>
      <w:r w:rsidR="005C00FF" w:rsidRPr="007A6FE3">
        <w:t xml:space="preserve"> </w:t>
      </w:r>
      <w:r w:rsidR="00BB55C1" w:rsidRPr="007A6FE3" w:rsidDel="005730F1">
        <w:t>copper loops</w:t>
      </w:r>
      <w:r w:rsidR="005C00FF" w:rsidRPr="007A6FE3">
        <w:t>,</w:t>
      </w:r>
      <w:r w:rsidR="00BB55C1" w:rsidRPr="007A6FE3" w:rsidDel="005730F1">
        <w:t xml:space="preserve"> subloops</w:t>
      </w:r>
      <w:r w:rsidR="005C00FF" w:rsidRPr="007A6FE3">
        <w:t>, and the feeder portion of loops</w:t>
      </w:r>
      <w:r w:rsidR="00BB55C1" w:rsidRPr="007A6FE3" w:rsidDel="005730F1">
        <w:t xml:space="preserve">.  </w:t>
      </w:r>
      <w:r w:rsidR="00F06531" w:rsidRPr="007A6FE3">
        <w:t xml:space="preserve">Should “removing” constitute the physical removal of copper?  </w:t>
      </w:r>
      <w:r w:rsidR="00EB7B9B" w:rsidRPr="007A6FE3">
        <w:t xml:space="preserve">Should </w:t>
      </w:r>
      <w:r w:rsidR="000F1F53" w:rsidRPr="007A6FE3">
        <w:t xml:space="preserve">“disabling” </w:t>
      </w:r>
      <w:r w:rsidR="00F06531" w:rsidRPr="007A6FE3">
        <w:t xml:space="preserve">mean rendering the copper inoperable?  Should “disabling” </w:t>
      </w:r>
      <w:r w:rsidR="000F1F53" w:rsidRPr="007A6FE3">
        <w:t xml:space="preserve">constitute retirement only if it is intended to be long-term or permanent?  </w:t>
      </w:r>
      <w:r w:rsidR="00F06531" w:rsidRPr="007A6FE3">
        <w:t xml:space="preserve">Should “removing” or “disabling” be defined in different ways?  </w:t>
      </w:r>
      <w:r w:rsidR="007A46A5" w:rsidRPr="007A6FE3">
        <w:t>Should we add</w:t>
      </w:r>
      <w:r w:rsidR="005C00FF" w:rsidRPr="007A6FE3">
        <w:t xml:space="preserve"> additional </w:t>
      </w:r>
      <w:r w:rsidRPr="007A6FE3">
        <w:t>forms of retirement</w:t>
      </w:r>
      <w:r w:rsidR="005C00FF" w:rsidRPr="007A6FE3">
        <w:t xml:space="preserve"> to this definition, and if so what should they be?  </w:t>
      </w:r>
      <w:r w:rsidR="000F1F53" w:rsidRPr="007A6FE3">
        <w:t xml:space="preserve">Should we employ different terminology than that proposed here?  </w:t>
      </w:r>
    </w:p>
    <w:p w14:paraId="5F071F61" w14:textId="77777777" w:rsidR="004E317D" w:rsidRPr="007A6FE3" w:rsidRDefault="00E83F50" w:rsidP="000350B7">
      <w:pPr>
        <w:pStyle w:val="ParaNum0"/>
      </w:pPr>
      <w:r w:rsidRPr="007A6FE3">
        <w:rPr>
          <w:i/>
        </w:rPr>
        <w:t>“De Facto” Retirement and Adequate Maintenance of Facilities</w:t>
      </w:r>
      <w:r w:rsidR="00EB7B9B" w:rsidRPr="007A6FE3">
        <w:rPr>
          <w:i/>
        </w:rPr>
        <w:t xml:space="preserve">.  </w:t>
      </w:r>
      <w:r w:rsidR="004E317D" w:rsidRPr="007A6FE3">
        <w:t>As stated above, there are numerous allegations that in some cases incumbent LECs are failing to maintain their copper networks that have not undergone the Commission’s existing copper retirement procedures.</w:t>
      </w:r>
      <w:r w:rsidR="004E317D" w:rsidRPr="007A6FE3">
        <w:rPr>
          <w:rStyle w:val="FootnoteReference"/>
        </w:rPr>
        <w:footnoteReference w:id="142"/>
      </w:r>
      <w:r w:rsidR="004E317D" w:rsidRPr="007A6FE3">
        <w:t xml:space="preserve">  Public Knowledge et al. express concern that consumers are losing access to basic phone service, and that “[d]enying basic phone service to people who have relied on the network for decades violates the network compact that has successfully guided our communications policy for one hundred years.”</w:t>
      </w:r>
      <w:r w:rsidR="004E317D" w:rsidRPr="007A6FE3">
        <w:rPr>
          <w:rStyle w:val="FootnoteReference"/>
        </w:rPr>
        <w:footnoteReference w:id="143"/>
      </w:r>
      <w:r w:rsidR="004E317D" w:rsidRPr="007A6FE3">
        <w:t xml:space="preserve">  First, to establish whether there is a factual basis for </w:t>
      </w:r>
      <w:r w:rsidR="001204F9" w:rsidRPr="007A6FE3">
        <w:t>new rules in this area</w:t>
      </w:r>
      <w:r w:rsidR="004E317D" w:rsidRPr="007A6FE3">
        <w:t xml:space="preserve">, are incumbent LECs in some circumstances neglecting copper to the point where it is no longer reliably usable?  We seek specific examples and facts </w:t>
      </w:r>
      <w:r w:rsidR="00BE65A7" w:rsidRPr="007A6FE3">
        <w:t xml:space="preserve">concerning </w:t>
      </w:r>
      <w:r w:rsidR="004E317D" w:rsidRPr="007A6FE3">
        <w:t>the consequences to consumers, competition, and public safety.</w:t>
      </w:r>
      <w:r w:rsidR="00BE65A7" w:rsidRPr="007A6FE3">
        <w:t xml:space="preserve">  </w:t>
      </w:r>
      <w:r w:rsidR="004E317D" w:rsidRPr="007A6FE3">
        <w:t xml:space="preserve">Next, we seek comment on whether and how we should revise our rules to address inadequate maintenance.  If we find that new rules are necessary, one option would be to define retirement to include </w:t>
      </w:r>
      <w:r w:rsidR="004E317D" w:rsidRPr="007A6FE3">
        <w:rPr>
          <w:i/>
          <w:iCs/>
        </w:rPr>
        <w:t>de facto</w:t>
      </w:r>
      <w:r w:rsidR="004E317D" w:rsidRPr="007A6FE3">
        <w:t xml:space="preserve"> retirement, i.e., failure to maintain copper that is the functional equivalent of removal or disabling.  We seek comment on this approach.  In particular, how would the Commission determine if an incumbent LEC’s treatment of its copper facilities fits the definition?  For example, should the Commission consider service complaints?  What would be the advantages and disadvantages of this approach to both consumers and competition?  </w:t>
      </w:r>
      <w:r w:rsidR="00B51105" w:rsidRPr="007A6FE3">
        <w:t>We seek comment on potential</w:t>
      </w:r>
      <w:r w:rsidR="00E46771" w:rsidRPr="007A6FE3">
        <w:t xml:space="preserve"> consequences </w:t>
      </w:r>
      <w:r w:rsidR="00B51105" w:rsidRPr="007A6FE3">
        <w:t>or enforcement</w:t>
      </w:r>
      <w:r w:rsidR="00E46771" w:rsidRPr="007A6FE3">
        <w:t xml:space="preserve"> if copper facilities are allowed to degrade in quality to the point of </w:t>
      </w:r>
      <w:r w:rsidR="00E46771" w:rsidRPr="007A6FE3">
        <w:rPr>
          <w:i/>
        </w:rPr>
        <w:t xml:space="preserve">de facto </w:t>
      </w:r>
      <w:r w:rsidR="00E46771" w:rsidRPr="007A6FE3">
        <w:t xml:space="preserve">retirement without notice to customers?  </w:t>
      </w:r>
      <w:r w:rsidR="0006238F" w:rsidRPr="007A6FE3">
        <w:t xml:space="preserve">Is there an objective standard, such as industry standards, by which we can determine if copper is </w:t>
      </w:r>
      <w:r w:rsidR="0006238F" w:rsidRPr="007A6FE3">
        <w:rPr>
          <w:i/>
        </w:rPr>
        <w:t xml:space="preserve">de facto </w:t>
      </w:r>
      <w:r w:rsidR="0006238F" w:rsidRPr="007A6FE3">
        <w:t xml:space="preserve">retired?  </w:t>
      </w:r>
      <w:r w:rsidR="004E317D" w:rsidRPr="007A6FE3">
        <w:t xml:space="preserve">Are there any other legal or regulatory considerations with creating a </w:t>
      </w:r>
      <w:r w:rsidR="004E317D" w:rsidRPr="007A6FE3">
        <w:rPr>
          <w:i/>
        </w:rPr>
        <w:t>de facto</w:t>
      </w:r>
      <w:r w:rsidR="004E317D" w:rsidRPr="007A6FE3">
        <w:t xml:space="preserve"> retirement standard?</w:t>
      </w:r>
    </w:p>
    <w:p w14:paraId="2F4BA481" w14:textId="77777777" w:rsidR="00FC7F4D" w:rsidRPr="007A6FE3" w:rsidRDefault="003B7D45" w:rsidP="00095224">
      <w:pPr>
        <w:pStyle w:val="ParaNum0"/>
      </w:pPr>
      <w:r w:rsidRPr="007A6FE3">
        <w:t xml:space="preserve">Historically, the States, localities, and Tribal Nations have played a vital role in overseeing carriers’ service quality and network maintenance.  Public Knowledge et al., however, suggest that some </w:t>
      </w:r>
      <w:r w:rsidR="006D4F47" w:rsidRPr="007A6FE3">
        <w:t xml:space="preserve">non-federal governmental </w:t>
      </w:r>
      <w:r w:rsidRPr="007A6FE3">
        <w:t>entities may be less able to provide such oversight because some state legislatures “have removed state-level authorities’ ability to ensure customers continue to have meaningful access to the basic communications service they have always relied on at affordable prices.”</w:t>
      </w:r>
      <w:r w:rsidRPr="007A6FE3">
        <w:rPr>
          <w:rStyle w:val="FootnoteReference"/>
        </w:rPr>
        <w:footnoteReference w:id="144"/>
      </w:r>
      <w:r w:rsidRPr="007A6FE3">
        <w:t xml:space="preserve">  We seek comment on the extent to which the States, localities, and Tribal Nations are able to address the consumer protection concerns raised by some incumbent LECs’ alleged failure to maintain copper facilities,</w:t>
      </w:r>
      <w:r w:rsidR="00D00753" w:rsidRPr="007A6FE3">
        <w:t xml:space="preserve"> and</w:t>
      </w:r>
      <w:r w:rsidRPr="007A6FE3">
        <w:t xml:space="preserve"> how that ability has changed over time.  </w:t>
      </w:r>
      <w:r w:rsidR="00D00753" w:rsidRPr="007A6FE3">
        <w:t xml:space="preserve">How should the trends in the regulatory capabilities of States, localities, and Tribal Nations inform our actions in this proceeding?  </w:t>
      </w:r>
      <w:r w:rsidR="00BE65A7" w:rsidRPr="007A6FE3">
        <w:t xml:space="preserve">We emphasize that in this Notice, we do not seek to revisit or alter the Commission’s determination in the </w:t>
      </w:r>
      <w:r w:rsidR="00BE65A7" w:rsidRPr="007A6FE3">
        <w:rPr>
          <w:i/>
        </w:rPr>
        <w:t>Triennial Review</w:t>
      </w:r>
      <w:r w:rsidR="00BE65A7" w:rsidRPr="007A6FE3">
        <w:t xml:space="preserve"> </w:t>
      </w:r>
      <w:r w:rsidR="00BE65A7" w:rsidRPr="007A6FE3">
        <w:rPr>
          <w:i/>
        </w:rPr>
        <w:t>Order</w:t>
      </w:r>
      <w:r w:rsidR="00BE65A7" w:rsidRPr="007A6FE3">
        <w:t xml:space="preserve"> to preserve state authority with respect to requirements for copper retirement.</w:t>
      </w:r>
      <w:r w:rsidR="00BE65A7" w:rsidRPr="007A6FE3">
        <w:rPr>
          <w:rStyle w:val="FootnoteReference"/>
        </w:rPr>
        <w:footnoteReference w:id="145"/>
      </w:r>
      <w:r w:rsidR="00BE65A7" w:rsidRPr="007A6FE3">
        <w:t xml:space="preserve"> </w:t>
      </w:r>
      <w:r w:rsidR="001204F9" w:rsidRPr="007A6FE3">
        <w:t xml:space="preserve"> </w:t>
      </w:r>
    </w:p>
    <w:p w14:paraId="03F2C1A8" w14:textId="77777777" w:rsidR="00FC7F4D" w:rsidRPr="007A6FE3" w:rsidRDefault="00E725D8" w:rsidP="003F0F7D">
      <w:pPr>
        <w:pStyle w:val="Heading4"/>
        <w:widowControl/>
      </w:pPr>
      <w:bookmarkStart w:id="262" w:name="_Toc399947711"/>
      <w:bookmarkStart w:id="263" w:name="_Toc400554020"/>
      <w:bookmarkStart w:id="264" w:name="_Toc400566829"/>
      <w:bookmarkStart w:id="265" w:name="_Toc400711698"/>
      <w:bookmarkStart w:id="266" w:name="_Toc400719650"/>
      <w:bookmarkStart w:id="267" w:name="_Toc401299423"/>
      <w:bookmarkStart w:id="268" w:name="_Toc401306988"/>
      <w:bookmarkStart w:id="269" w:name="_Toc401595629"/>
      <w:bookmarkStart w:id="270" w:name="_Toc401658186"/>
      <w:bookmarkStart w:id="271" w:name="_Toc401821688"/>
      <w:bookmarkStart w:id="272" w:name="_Toc401912155"/>
      <w:bookmarkStart w:id="273" w:name="_Toc402255409"/>
      <w:bookmarkStart w:id="274" w:name="_Toc402276192"/>
      <w:bookmarkStart w:id="275" w:name="_Toc402360434"/>
      <w:bookmarkStart w:id="276" w:name="_Toc402511496"/>
      <w:bookmarkStart w:id="277" w:name="_Toc403566405"/>
      <w:bookmarkStart w:id="278" w:name="_Toc404072116"/>
      <w:bookmarkStart w:id="279" w:name="_Toc404081312"/>
      <w:bookmarkStart w:id="280" w:name="_Toc404165791"/>
      <w:bookmarkStart w:id="281" w:name="_Toc404165869"/>
      <w:bookmarkStart w:id="282" w:name="_Toc404172427"/>
      <w:bookmarkStart w:id="283" w:name="_Toc404181480"/>
      <w:bookmarkStart w:id="284" w:name="_Toc404183073"/>
      <w:bookmarkStart w:id="285" w:name="_Toc404246618"/>
      <w:r w:rsidRPr="007A6FE3">
        <w:t>Revision of Copper Retirement Processes to Promote Competition and Protect Consumers</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14:paraId="12FC06E0" w14:textId="77777777" w:rsidR="00DB174C" w:rsidRPr="007A6FE3" w:rsidRDefault="003F010E" w:rsidP="007B536F">
      <w:pPr>
        <w:pStyle w:val="ParaNum0"/>
        <w:widowControl/>
      </w:pPr>
      <w:bookmarkStart w:id="286" w:name="_Ref401923930"/>
      <w:r w:rsidRPr="007A6FE3">
        <w:t>We tentatively conclude that the</w:t>
      </w:r>
      <w:r w:rsidR="00A32C66" w:rsidRPr="007A6FE3">
        <w:t xml:space="preserve"> </w:t>
      </w:r>
      <w:r w:rsidR="008966D4" w:rsidRPr="007A6FE3">
        <w:t>foreseeable and increasing</w:t>
      </w:r>
      <w:r w:rsidR="00A32C66" w:rsidRPr="007A6FE3">
        <w:t xml:space="preserve"> impact that copper retirement is having on </w:t>
      </w:r>
      <w:r w:rsidR="008966D4" w:rsidRPr="007A6FE3">
        <w:t>competit</w:t>
      </w:r>
      <w:r w:rsidR="00753F43" w:rsidRPr="007A6FE3">
        <w:t>ion</w:t>
      </w:r>
      <w:r w:rsidR="008966D4" w:rsidRPr="007A6FE3">
        <w:t xml:space="preserve"> and </w:t>
      </w:r>
      <w:r w:rsidR="00A32C66" w:rsidRPr="007A6FE3">
        <w:t>consumers warrants revisions to our network change disclosure rules to allow for greater transparency</w:t>
      </w:r>
      <w:r w:rsidR="008966D4" w:rsidRPr="007A6FE3">
        <w:t>, opportunities for participation,</w:t>
      </w:r>
      <w:r w:rsidR="00A32C66" w:rsidRPr="007A6FE3">
        <w:t xml:space="preserve"> and</w:t>
      </w:r>
      <w:r w:rsidR="008966D4" w:rsidRPr="007A6FE3">
        <w:t xml:space="preserve"> consumer</w:t>
      </w:r>
      <w:r w:rsidR="00A32C66" w:rsidRPr="007A6FE3">
        <w:t xml:space="preserve"> protection.</w:t>
      </w:r>
      <w:r w:rsidR="00C808C8" w:rsidRPr="007A6FE3">
        <w:t xml:space="preserve">  We </w:t>
      </w:r>
      <w:r w:rsidR="00753F43" w:rsidRPr="007A6FE3">
        <w:t>discuss specific</w:t>
      </w:r>
      <w:r w:rsidR="00C808C8" w:rsidRPr="007A6FE3">
        <w:t xml:space="preserve"> proposals and questions in this regard below.  </w:t>
      </w:r>
      <w:r w:rsidR="00EA6E65" w:rsidRPr="007A6FE3">
        <w:t>In connection with our proposed revisions to the copper retirement process, we propose</w:t>
      </w:r>
      <w:r w:rsidR="00373D4D" w:rsidRPr="007A6FE3">
        <w:t xml:space="preserve"> streamlining our rules by</w:t>
      </w:r>
      <w:r w:rsidR="00EA6E65" w:rsidRPr="007A6FE3">
        <w:t xml:space="preserve"> creating a new section 51.33</w:t>
      </w:r>
      <w:r w:rsidR="00373D4D" w:rsidRPr="007A6FE3">
        <w:t xml:space="preserve">2 in which we will consolidate </w:t>
      </w:r>
      <w:r w:rsidR="00EA6E65" w:rsidRPr="007A6FE3">
        <w:t>network change notification requirements specific</w:t>
      </w:r>
      <w:r w:rsidR="000F1F53" w:rsidRPr="007A6FE3">
        <w:t xml:space="preserve"> to</w:t>
      </w:r>
      <w:r w:rsidR="00EA6E65" w:rsidRPr="007A6FE3">
        <w:t xml:space="preserve"> copper retirement.</w:t>
      </w:r>
      <w:r w:rsidR="00AA721B" w:rsidRPr="007A6FE3">
        <w:rPr>
          <w:rStyle w:val="FootnoteReference"/>
        </w:rPr>
        <w:footnoteReference w:id="146"/>
      </w:r>
      <w:r w:rsidR="00373D4D" w:rsidRPr="007A6FE3">
        <w:t xml:space="preserve">  We seek comment on this proposal.</w:t>
      </w:r>
      <w:bookmarkEnd w:id="286"/>
      <w:r w:rsidR="00373D4D" w:rsidRPr="007A6FE3">
        <w:t xml:space="preserve"> </w:t>
      </w:r>
    </w:p>
    <w:p w14:paraId="69A085BB" w14:textId="77777777" w:rsidR="003403A1" w:rsidRPr="007A6FE3" w:rsidRDefault="00E83F50" w:rsidP="000350B7">
      <w:pPr>
        <w:pStyle w:val="ParaNum0"/>
      </w:pPr>
      <w:r w:rsidRPr="007A6FE3">
        <w:t>Because we expect that an approval requirement would undesirably harm incentives for fiber deployment and because we do not wish to impose a technological mandate, we</w:t>
      </w:r>
      <w:r w:rsidR="00DB174C" w:rsidRPr="007A6FE3">
        <w:t xml:space="preserve"> </w:t>
      </w:r>
      <w:r w:rsidR="00266D7E" w:rsidRPr="007A6FE3">
        <w:t xml:space="preserve">decline requests to revise </w:t>
      </w:r>
      <w:r w:rsidR="00DB174C" w:rsidRPr="007A6FE3">
        <w:t xml:space="preserve">our network change notification rules to require incumbent LECs to obtain our approval for copper retirement, as some have suggested.  </w:t>
      </w:r>
      <w:r w:rsidR="00183FFC" w:rsidRPr="007A6FE3">
        <w:t>In other words,</w:t>
      </w:r>
      <w:r w:rsidR="00266D7E" w:rsidRPr="007A6FE3">
        <w:t xml:space="preserve"> we believe that </w:t>
      </w:r>
      <w:r w:rsidR="00183FFC" w:rsidRPr="007A6FE3">
        <w:t xml:space="preserve">copper retirement should remain a notice-based process.  </w:t>
      </w:r>
      <w:r w:rsidR="00DB174C" w:rsidRPr="007A6FE3">
        <w:t>We note in this regard that we an</w:t>
      </w:r>
      <w:r w:rsidR="00BE65A7" w:rsidRPr="007A6FE3">
        <w:t xml:space="preserve">ticipate that our separate proposal to ensure continued access to wholesale services following TDM discontinuances </w:t>
      </w:r>
      <w:r w:rsidR="000220D8" w:rsidRPr="007A6FE3">
        <w:t xml:space="preserve">would </w:t>
      </w:r>
      <w:r w:rsidR="00DB174C" w:rsidRPr="007A6FE3">
        <w:t>address many of the concerns that have led certain competitive LECs to advocate an approval requirement.</w:t>
      </w:r>
      <w:r w:rsidR="00DB174C" w:rsidRPr="007A6FE3">
        <w:rPr>
          <w:vertAlign w:val="superscript"/>
        </w:rPr>
        <w:footnoteReference w:id="147"/>
      </w:r>
      <w:r w:rsidR="00DB174C" w:rsidRPr="007A6FE3">
        <w:t xml:space="preserve">  </w:t>
      </w:r>
    </w:p>
    <w:p w14:paraId="4E374647" w14:textId="77777777" w:rsidR="00A32C66" w:rsidRPr="007A6FE3" w:rsidRDefault="00A32C66" w:rsidP="00584E2B">
      <w:pPr>
        <w:pStyle w:val="Heading5"/>
      </w:pPr>
      <w:bookmarkStart w:id="287" w:name="_Toc399947712"/>
      <w:bookmarkStart w:id="288" w:name="_Toc400554021"/>
      <w:bookmarkStart w:id="289" w:name="_Toc400566830"/>
      <w:bookmarkStart w:id="290" w:name="_Toc400711699"/>
      <w:bookmarkStart w:id="291" w:name="_Toc400719651"/>
      <w:bookmarkStart w:id="292" w:name="_Toc401299424"/>
      <w:bookmarkStart w:id="293" w:name="_Toc401306989"/>
      <w:r w:rsidRPr="007A6FE3">
        <w:t>Competition</w:t>
      </w:r>
      <w:r w:rsidR="00851A6A" w:rsidRPr="007A6FE3">
        <w:t xml:space="preserve">:  </w:t>
      </w:r>
      <w:r w:rsidRPr="007A6FE3">
        <w:t>Expansion of Notice Requirements</w:t>
      </w:r>
      <w:bookmarkEnd w:id="287"/>
      <w:bookmarkEnd w:id="288"/>
      <w:bookmarkEnd w:id="289"/>
      <w:bookmarkEnd w:id="290"/>
      <w:bookmarkEnd w:id="291"/>
      <w:bookmarkEnd w:id="292"/>
      <w:bookmarkEnd w:id="293"/>
    </w:p>
    <w:p w14:paraId="398FE87C" w14:textId="77777777" w:rsidR="00530C3C" w:rsidRPr="007A6FE3" w:rsidRDefault="003C10B7" w:rsidP="003F0F7D">
      <w:pPr>
        <w:pStyle w:val="ParaNum0"/>
        <w:widowControl/>
      </w:pPr>
      <w:bookmarkStart w:id="294" w:name="_Ref400534449"/>
      <w:r w:rsidRPr="007A6FE3">
        <w:t>As</w:t>
      </w:r>
      <w:r w:rsidR="00C219FA" w:rsidRPr="007A6FE3">
        <w:t xml:space="preserve"> </w:t>
      </w:r>
      <w:r w:rsidR="001F343E" w:rsidRPr="007A6FE3">
        <w:t xml:space="preserve">incumbent </w:t>
      </w:r>
      <w:r w:rsidR="006069BA" w:rsidRPr="007A6FE3">
        <w:t>LECs continue with their technology transitions, competitive providers have become concerned that the in</w:t>
      </w:r>
      <w:r w:rsidR="0062240E" w:rsidRPr="007A6FE3">
        <w:t xml:space="preserve">cumbent LECs are retiring </w:t>
      </w:r>
      <w:r w:rsidR="006069BA" w:rsidRPr="007A6FE3">
        <w:t>copper networks in a</w:t>
      </w:r>
      <w:r w:rsidR="0062240E" w:rsidRPr="007A6FE3">
        <w:t xml:space="preserve"> manner that will harm their abilit</w:t>
      </w:r>
      <w:r w:rsidR="00B86561" w:rsidRPr="007A6FE3">
        <w:t>y</w:t>
      </w:r>
      <w:r w:rsidR="0062240E" w:rsidRPr="007A6FE3">
        <w:t xml:space="preserve"> to compete.  </w:t>
      </w:r>
      <w:bookmarkEnd w:id="294"/>
      <w:r w:rsidR="0062240E" w:rsidRPr="007A6FE3">
        <w:t>To ensure that competitive LECs are fully informed about the impact that copper retirements will have on their businesses, w</w:t>
      </w:r>
      <w:r w:rsidR="00E83D45" w:rsidRPr="007A6FE3">
        <w:t xml:space="preserve">e </w:t>
      </w:r>
      <w:r w:rsidR="00A32C66" w:rsidRPr="007A6FE3">
        <w:t>propose</w:t>
      </w:r>
      <w:r w:rsidR="00E83D45" w:rsidRPr="007A6FE3">
        <w:t xml:space="preserve"> revising</w:t>
      </w:r>
      <w:r w:rsidR="00A32C66" w:rsidRPr="007A6FE3">
        <w:t xml:space="preserve"> our rules to require </w:t>
      </w:r>
      <w:r w:rsidR="00EA6E65" w:rsidRPr="007A6FE3">
        <w:t xml:space="preserve">incumbent LECs to provide </w:t>
      </w:r>
      <w:r w:rsidR="00A7756F" w:rsidRPr="007A6FE3">
        <w:t xml:space="preserve">interconnecting </w:t>
      </w:r>
      <w:r w:rsidR="00EA6E65" w:rsidRPr="007A6FE3">
        <w:t xml:space="preserve">competitors with </w:t>
      </w:r>
      <w:r w:rsidR="00A32C66" w:rsidRPr="007A6FE3">
        <w:t>additional information about the potential impacts of proposed copper retirements.  Specifically, we propose requir</w:t>
      </w:r>
      <w:r w:rsidR="00436C14" w:rsidRPr="007A6FE3">
        <w:t>ing</w:t>
      </w:r>
      <w:r w:rsidR="00A32C66" w:rsidRPr="007A6FE3">
        <w:t xml:space="preserve"> that incumbent LECs</w:t>
      </w:r>
      <w:r w:rsidR="00EF5733" w:rsidRPr="007A6FE3">
        <w:t xml:space="preserve"> provide a description of the expected impact of the planned changes, including but not limited to any changes in prices, terms, or conditions that will accompany the planned changes.</w:t>
      </w:r>
      <w:r w:rsidR="00EF5733" w:rsidRPr="007A6FE3">
        <w:rPr>
          <w:rStyle w:val="FootnoteReference"/>
        </w:rPr>
        <w:footnoteReference w:id="148"/>
      </w:r>
      <w:r w:rsidR="00A32C66" w:rsidRPr="007A6FE3">
        <w:t xml:space="preserve">  </w:t>
      </w:r>
      <w:r w:rsidR="00EF5733" w:rsidRPr="007A6FE3">
        <w:t xml:space="preserve">We further propose clarifying that incumbent LECs must provide direct notification of planned copper retirements to </w:t>
      </w:r>
      <w:r w:rsidR="0034327B" w:rsidRPr="007A6FE3">
        <w:t>each telephone exchange service provider that interconnects with the incumbent LEC’s network</w:t>
      </w:r>
      <w:r w:rsidR="00EF5733" w:rsidRPr="007A6FE3">
        <w:t xml:space="preserve"> and must file a certificate of service to the Commission confirming the provision of such notice regardless of the timing of the retirement.</w:t>
      </w:r>
      <w:bookmarkStart w:id="295" w:name="_Ref400532234"/>
      <w:r w:rsidR="00EF5733" w:rsidRPr="007A6FE3">
        <w:rPr>
          <w:rStyle w:val="FootnoteReference"/>
        </w:rPr>
        <w:footnoteReference w:id="149"/>
      </w:r>
      <w:bookmarkEnd w:id="295"/>
      <w:r w:rsidR="00EF5733" w:rsidRPr="007A6FE3">
        <w:t xml:space="preserve">  </w:t>
      </w:r>
      <w:r w:rsidR="00A32C66" w:rsidRPr="007A6FE3">
        <w:t xml:space="preserve">We seek comment on these </w:t>
      </w:r>
      <w:r w:rsidR="0062240E" w:rsidRPr="007A6FE3">
        <w:t>proposals</w:t>
      </w:r>
      <w:r w:rsidR="00A32C66" w:rsidRPr="007A6FE3">
        <w:t xml:space="preserve">.  </w:t>
      </w:r>
      <w:r w:rsidR="00530C3C" w:rsidRPr="007A6FE3">
        <w:t>Commenters may wish to address questions such as:</w:t>
      </w:r>
    </w:p>
    <w:p w14:paraId="60D6BCF4" w14:textId="77777777" w:rsidR="00530C3C" w:rsidRPr="007A6FE3" w:rsidRDefault="00A32C66" w:rsidP="00BB40E1">
      <w:pPr>
        <w:pStyle w:val="ParaNum0"/>
        <w:numPr>
          <w:ilvl w:val="0"/>
          <w:numId w:val="12"/>
        </w:numPr>
        <w:spacing w:after="0"/>
        <w:ind w:left="1080"/>
      </w:pPr>
      <w:r w:rsidRPr="007A6FE3">
        <w:t>Will th</w:t>
      </w:r>
      <w:r w:rsidR="009A28BC" w:rsidRPr="007A6FE3">
        <w:t>e</w:t>
      </w:r>
      <w:r w:rsidRPr="007A6FE3">
        <w:t xml:space="preserve"> </w:t>
      </w:r>
      <w:r w:rsidR="009A28BC" w:rsidRPr="007A6FE3">
        <w:t xml:space="preserve">additional </w:t>
      </w:r>
      <w:r w:rsidRPr="007A6FE3">
        <w:t xml:space="preserve">information be useful to competitive providers?  </w:t>
      </w:r>
    </w:p>
    <w:p w14:paraId="291BC9AA" w14:textId="77777777" w:rsidR="00530C3C" w:rsidRPr="007A6FE3" w:rsidRDefault="00A32C66" w:rsidP="007B536F">
      <w:pPr>
        <w:pStyle w:val="ParaNum0"/>
        <w:widowControl/>
        <w:numPr>
          <w:ilvl w:val="0"/>
          <w:numId w:val="12"/>
        </w:numPr>
        <w:spacing w:after="0"/>
        <w:ind w:left="1080"/>
      </w:pPr>
      <w:r w:rsidRPr="007A6FE3">
        <w:t xml:space="preserve">Is there any reason why incumbent LECs should not be required to provide this additional information? </w:t>
      </w:r>
    </w:p>
    <w:p w14:paraId="2A143D40" w14:textId="77777777" w:rsidR="00530C3C" w:rsidRPr="007A6FE3" w:rsidRDefault="00A32C66" w:rsidP="00BB40E1">
      <w:pPr>
        <w:pStyle w:val="ParaNum0"/>
        <w:numPr>
          <w:ilvl w:val="0"/>
          <w:numId w:val="12"/>
        </w:numPr>
        <w:spacing w:after="0"/>
        <w:ind w:left="1080"/>
      </w:pPr>
      <w:r w:rsidRPr="007A6FE3">
        <w:t xml:space="preserve">Would providing this additional information impose an </w:t>
      </w:r>
      <w:r w:rsidR="009A28BC" w:rsidRPr="007A6FE3">
        <w:t xml:space="preserve">unreasonable </w:t>
      </w:r>
      <w:r w:rsidRPr="007A6FE3">
        <w:t xml:space="preserve">burden on incumbent LECs?  </w:t>
      </w:r>
    </w:p>
    <w:p w14:paraId="657E8675" w14:textId="77777777" w:rsidR="00530C3C" w:rsidRPr="007A6FE3" w:rsidRDefault="00A32C66" w:rsidP="00BB40E1">
      <w:pPr>
        <w:pStyle w:val="ParaNum0"/>
        <w:numPr>
          <w:ilvl w:val="0"/>
          <w:numId w:val="12"/>
        </w:numPr>
        <w:spacing w:after="0"/>
        <w:ind w:left="1080"/>
      </w:pPr>
      <w:r w:rsidRPr="007A6FE3">
        <w:t xml:space="preserve">Is there any additional information that interconnecting </w:t>
      </w:r>
      <w:r w:rsidR="00C42C5A" w:rsidRPr="007A6FE3">
        <w:t xml:space="preserve">telephone exchange service </w:t>
      </w:r>
      <w:r w:rsidRPr="007A6FE3">
        <w:t xml:space="preserve">providers might need in order to make an informed decision?  </w:t>
      </w:r>
    </w:p>
    <w:p w14:paraId="41F917E9" w14:textId="77777777" w:rsidR="00530C3C" w:rsidRPr="007A6FE3" w:rsidRDefault="009A28BC" w:rsidP="00BB40E1">
      <w:pPr>
        <w:pStyle w:val="ParaNum0"/>
        <w:numPr>
          <w:ilvl w:val="0"/>
          <w:numId w:val="12"/>
        </w:numPr>
        <w:spacing w:after="0"/>
        <w:ind w:left="1080"/>
      </w:pPr>
      <w:r w:rsidRPr="007A6FE3">
        <w:t xml:space="preserve">Would a narrower scope of information achieve the same goals as our proposal?  </w:t>
      </w:r>
    </w:p>
    <w:p w14:paraId="0C172495" w14:textId="77777777" w:rsidR="00530C3C" w:rsidRPr="007A6FE3" w:rsidRDefault="004B5FC9" w:rsidP="00BB40E1">
      <w:pPr>
        <w:pStyle w:val="ParaNum0"/>
        <w:numPr>
          <w:ilvl w:val="0"/>
          <w:numId w:val="12"/>
        </w:numPr>
        <w:spacing w:after="0"/>
        <w:ind w:left="1080"/>
      </w:pPr>
      <w:r w:rsidRPr="007A6FE3">
        <w:t xml:space="preserve">How should the notification requirement apply in the event of a natural or manmade disaster?  </w:t>
      </w:r>
    </w:p>
    <w:p w14:paraId="6EE320EC" w14:textId="77777777" w:rsidR="00530C3C" w:rsidRPr="007A6FE3" w:rsidRDefault="00A7756F" w:rsidP="00BB40E1">
      <w:pPr>
        <w:pStyle w:val="ParaNum0"/>
        <w:numPr>
          <w:ilvl w:val="0"/>
          <w:numId w:val="12"/>
        </w:numPr>
        <w:spacing w:after="0"/>
        <w:ind w:left="1080"/>
      </w:pPr>
      <w:r w:rsidRPr="007A6FE3">
        <w:t xml:space="preserve">Should we require provision of this notification to information service providers that directly interconnect with the incumbent LEC's network and/or to any other entities?  </w:t>
      </w:r>
    </w:p>
    <w:p w14:paraId="1A72F1CD" w14:textId="77777777" w:rsidR="00530C3C" w:rsidRPr="007A6FE3" w:rsidRDefault="00A7756F" w:rsidP="00BB40E1">
      <w:pPr>
        <w:pStyle w:val="ParaNum0"/>
        <w:numPr>
          <w:ilvl w:val="0"/>
          <w:numId w:val="12"/>
        </w:numPr>
        <w:spacing w:after="0"/>
        <w:ind w:left="1080"/>
      </w:pPr>
      <w:r w:rsidRPr="007A6FE3">
        <w:t>Should we take action to encourage incumbent LECs to meet with</w:t>
      </w:r>
      <w:r w:rsidR="004B5FC9" w:rsidRPr="007A6FE3">
        <w:t xml:space="preserve"> or more collaboratively communicate with</w:t>
      </w:r>
      <w:r w:rsidRPr="007A6FE3">
        <w:t xml:space="preserve"> entities to which they provide notice, and if so how?  </w:t>
      </w:r>
    </w:p>
    <w:p w14:paraId="46B306E3" w14:textId="77777777" w:rsidR="00530C3C" w:rsidRPr="007A6FE3" w:rsidRDefault="00EA737B" w:rsidP="00BB40E1">
      <w:pPr>
        <w:pStyle w:val="ParaNum0"/>
        <w:numPr>
          <w:ilvl w:val="0"/>
          <w:numId w:val="12"/>
        </w:numPr>
        <w:spacing w:after="0"/>
        <w:ind w:left="1080"/>
      </w:pPr>
      <w:r w:rsidRPr="007A6FE3">
        <w:t xml:space="preserve">Would it be helpful for </w:t>
      </w:r>
      <w:r w:rsidR="00A7756F" w:rsidRPr="007A6FE3">
        <w:t>incumbent LECs to provide annual forecasts of expected copper retirements or other network changes</w:t>
      </w:r>
      <w:r w:rsidRPr="007A6FE3">
        <w:t xml:space="preserve">; </w:t>
      </w:r>
      <w:r w:rsidR="00A7756F" w:rsidRPr="007A6FE3">
        <w:t>if so</w:t>
      </w:r>
      <w:r w:rsidRPr="007A6FE3">
        <w:t>,</w:t>
      </w:r>
      <w:r w:rsidR="00A7756F" w:rsidRPr="007A6FE3">
        <w:t xml:space="preserve"> to whom</w:t>
      </w:r>
      <w:r w:rsidRPr="007A6FE3">
        <w:t xml:space="preserve"> should they provide such forecasts</w:t>
      </w:r>
      <w:r w:rsidR="00A7756F" w:rsidRPr="007A6FE3">
        <w:t xml:space="preserve">?  </w:t>
      </w:r>
    </w:p>
    <w:p w14:paraId="5D1BFBE5" w14:textId="77777777" w:rsidR="00A32C66" w:rsidRPr="007A6FE3" w:rsidRDefault="00A7756F" w:rsidP="00BB40E1">
      <w:pPr>
        <w:pStyle w:val="ParaNum0"/>
        <w:widowControl/>
        <w:numPr>
          <w:ilvl w:val="0"/>
          <w:numId w:val="12"/>
        </w:numPr>
        <w:ind w:left="1080"/>
      </w:pPr>
      <w:r w:rsidRPr="007A6FE3">
        <w:t xml:space="preserve">Should </w:t>
      </w:r>
      <w:r w:rsidR="007A3E0C" w:rsidRPr="007A6FE3">
        <w:t xml:space="preserve">we act </w:t>
      </w:r>
      <w:r w:rsidRPr="007A6FE3">
        <w:t xml:space="preserve">to ensure that </w:t>
      </w:r>
      <w:r w:rsidR="007A3E0C" w:rsidRPr="007A6FE3">
        <w:t xml:space="preserve">the direct notifications proposed above—and/or </w:t>
      </w:r>
      <w:r w:rsidRPr="007A6FE3">
        <w:t>network change notifications</w:t>
      </w:r>
      <w:r w:rsidR="007A3E0C" w:rsidRPr="007A6FE3">
        <w:t xml:space="preserve"> generally—</w:t>
      </w:r>
      <w:r w:rsidRPr="007A6FE3">
        <w:t>are provided in a</w:t>
      </w:r>
      <w:r w:rsidR="007A3E0C" w:rsidRPr="007A6FE3">
        <w:t xml:space="preserve"> uniform format, and if so how can we best achieve that goal?</w:t>
      </w:r>
      <w:r w:rsidR="004B5FC9" w:rsidRPr="007A6FE3">
        <w:t xml:space="preserve">  </w:t>
      </w:r>
    </w:p>
    <w:p w14:paraId="159B5A55" w14:textId="77777777" w:rsidR="00C66F33" w:rsidRPr="007A6FE3" w:rsidRDefault="00A32C66" w:rsidP="00C66F33">
      <w:pPr>
        <w:pStyle w:val="ParaNum0"/>
      </w:pPr>
      <w:r w:rsidRPr="007A6FE3">
        <w:t>C</w:t>
      </w:r>
      <w:r w:rsidR="00C42C5A" w:rsidRPr="007A6FE3">
        <w:t>ompetitive providers</w:t>
      </w:r>
      <w:r w:rsidRPr="007A6FE3">
        <w:t xml:space="preserve"> require adequate notice in order to plan for the elimination of copper-based </w:t>
      </w:r>
      <w:r w:rsidR="00C42C5A" w:rsidRPr="007A6FE3">
        <w:t>facilities</w:t>
      </w:r>
      <w:r w:rsidRPr="007A6FE3">
        <w:t>.</w:t>
      </w:r>
      <w:r w:rsidRPr="007A6FE3">
        <w:rPr>
          <w:rStyle w:val="FootnoteReference"/>
        </w:rPr>
        <w:footnoteReference w:id="150"/>
      </w:r>
      <w:r w:rsidRPr="007A6FE3">
        <w:t xml:space="preserve">  </w:t>
      </w:r>
      <w:r w:rsidR="00CC2BEA" w:rsidRPr="007A6FE3">
        <w:t xml:space="preserve">Section 251(c)(5) requires </w:t>
      </w:r>
      <w:r w:rsidR="00C66F33" w:rsidRPr="007A6FE3">
        <w:t>“reasonable public notice of changes in the information necessary for the transmission and routing of services using that local exchange carrier’s facilities or networks</w:t>
      </w:r>
      <w:r w:rsidR="00F26DBC" w:rsidRPr="007A6FE3">
        <w:t>,</w:t>
      </w:r>
      <w:r w:rsidR="00C66F33" w:rsidRPr="007A6FE3">
        <w:t xml:space="preserve"> as well as of any other changes that would affect the interoperability of those facilities and networks</w:t>
      </w:r>
      <w:r w:rsidR="00CC2BEA" w:rsidRPr="007A6FE3">
        <w:t>.</w:t>
      </w:r>
      <w:r w:rsidR="00584E2B" w:rsidRPr="007A6FE3">
        <w:t>”</w:t>
      </w:r>
      <w:r w:rsidR="00CC2BEA" w:rsidRPr="007A6FE3">
        <w:rPr>
          <w:rStyle w:val="FootnoteReference"/>
        </w:rPr>
        <w:footnoteReference w:id="151"/>
      </w:r>
      <w:r w:rsidR="00CC2BEA" w:rsidRPr="007A6FE3">
        <w:t xml:space="preserve">  </w:t>
      </w:r>
      <w:r w:rsidR="00C66F33" w:rsidRPr="007A6FE3">
        <w:t xml:space="preserve">To what extent does our </w:t>
      </w:r>
      <w:r w:rsidR="00F26DBC" w:rsidRPr="007A6FE3">
        <w:t>s</w:t>
      </w:r>
      <w:r w:rsidR="00C66F33" w:rsidRPr="007A6FE3">
        <w:t xml:space="preserve">ection 251(c)(5) authority support our proposals? Are the proposals above reasonable?  To find that we have the necessary legal authority under </w:t>
      </w:r>
      <w:r w:rsidR="00F26DBC" w:rsidRPr="007A6FE3">
        <w:t>s</w:t>
      </w:r>
      <w:r w:rsidR="00C66F33" w:rsidRPr="007A6FE3">
        <w:t>ection 251(c)(5), is it necessary to conclude that the information that is subject to our proposal is either “necessary for the transmission and routing of services using that local exchange carrier’s facilities or networks” or that it would “affect the interoperability of those facilities and networks” and</w:t>
      </w:r>
      <w:r w:rsidR="00515700" w:rsidRPr="007A6FE3">
        <w:t>,</w:t>
      </w:r>
      <w:r w:rsidR="00C66F33" w:rsidRPr="007A6FE3">
        <w:t xml:space="preserve"> if so</w:t>
      </w:r>
      <w:r w:rsidR="00515700" w:rsidRPr="007A6FE3">
        <w:t>,</w:t>
      </w:r>
      <w:r w:rsidR="00C66F33" w:rsidRPr="007A6FE3">
        <w:t xml:space="preserve"> is one of those standards met?  Are there other sources of legal authority that would support the proposals </w:t>
      </w:r>
      <w:r w:rsidR="001204F9" w:rsidRPr="007A6FE3">
        <w:t xml:space="preserve">described </w:t>
      </w:r>
      <w:r w:rsidR="00C66F33" w:rsidRPr="007A6FE3">
        <w:t xml:space="preserve">above?  </w:t>
      </w:r>
    </w:p>
    <w:p w14:paraId="03E53611" w14:textId="77777777" w:rsidR="00A32C66" w:rsidRPr="007A6FE3" w:rsidRDefault="00584E2B" w:rsidP="003C2A4F">
      <w:pPr>
        <w:pStyle w:val="ParaNum0"/>
      </w:pPr>
      <w:r w:rsidRPr="007A6FE3">
        <w:t>U</w:t>
      </w:r>
      <w:r w:rsidR="00A32C66" w:rsidRPr="007A6FE3">
        <w:t>nder our current rules, incumbent LECs must give at least ninety days’ advance notice of planned copper retirements.</w:t>
      </w:r>
      <w:r w:rsidR="00A32C66" w:rsidRPr="007A6FE3">
        <w:rPr>
          <w:rStyle w:val="FootnoteReference"/>
        </w:rPr>
        <w:footnoteReference w:id="152"/>
      </w:r>
      <w:r w:rsidR="00A32C66" w:rsidRPr="007A6FE3">
        <w:t xml:space="preserve">  </w:t>
      </w:r>
      <w:r w:rsidR="00E83D45" w:rsidRPr="007A6FE3">
        <w:t xml:space="preserve">We seek comment on whether </w:t>
      </w:r>
      <w:r w:rsidR="00A32C66" w:rsidRPr="007A6FE3">
        <w:t>this amount of time</w:t>
      </w:r>
      <w:r w:rsidR="00E83D45" w:rsidRPr="007A6FE3">
        <w:t xml:space="preserve"> is sufficient or whether it should be extended.  </w:t>
      </w:r>
      <w:r w:rsidR="00A32C66" w:rsidRPr="007A6FE3">
        <w:t xml:space="preserve">If we do extend the time period, what is appropriate? </w:t>
      </w:r>
      <w:r w:rsidR="00DD46B5" w:rsidRPr="007A6FE3">
        <w:t xml:space="preserve"> </w:t>
      </w:r>
      <w:r w:rsidR="00E46771" w:rsidRPr="007A6FE3">
        <w:t>Is</w:t>
      </w:r>
      <w:r w:rsidR="002374CC" w:rsidRPr="007A6FE3">
        <w:t xml:space="preserve"> 180 days </w:t>
      </w:r>
      <w:r w:rsidR="00E46771" w:rsidRPr="007A6FE3">
        <w:t>appropriate</w:t>
      </w:r>
      <w:r w:rsidR="002374CC" w:rsidRPr="007A6FE3">
        <w:t xml:space="preserve">?  </w:t>
      </w:r>
      <w:r w:rsidR="00A32C66" w:rsidRPr="007A6FE3">
        <w:t xml:space="preserve">We note that the time period should provide sufficient notice for competitive LECs and for </w:t>
      </w:r>
      <w:r w:rsidR="002F29BD" w:rsidRPr="007A6FE3">
        <w:t>retail customers</w:t>
      </w:r>
      <w:r w:rsidR="001204F9" w:rsidRPr="007A6FE3">
        <w:t>.  W</w:t>
      </w:r>
      <w:r w:rsidR="00E144A7" w:rsidRPr="007A6FE3">
        <w:t>e seek comment on whether</w:t>
      </w:r>
      <w:r w:rsidR="00A32C66" w:rsidRPr="007A6FE3">
        <w:t xml:space="preserve"> a lengthier notice period</w:t>
      </w:r>
      <w:r w:rsidR="00266592" w:rsidRPr="007A6FE3">
        <w:t xml:space="preserve"> would</w:t>
      </w:r>
      <w:r w:rsidR="00A32C66" w:rsidRPr="007A6FE3">
        <w:t xml:space="preserve"> place too </w:t>
      </w:r>
      <w:r w:rsidR="001204F9" w:rsidRPr="007A6FE3">
        <w:t xml:space="preserve">high a burden on incumbent LECs and/or whether </w:t>
      </w:r>
      <w:r w:rsidR="00C853FB" w:rsidRPr="007A6FE3">
        <w:t xml:space="preserve">the time period should be shortened.  </w:t>
      </w:r>
    </w:p>
    <w:p w14:paraId="0B57CCB9" w14:textId="77777777" w:rsidR="00A32C66" w:rsidRPr="007A6FE3" w:rsidRDefault="00A32C66" w:rsidP="00584E2B">
      <w:pPr>
        <w:pStyle w:val="Heading5"/>
      </w:pPr>
      <w:bookmarkStart w:id="296" w:name="_Toc399947713"/>
      <w:bookmarkStart w:id="297" w:name="_Toc400554022"/>
      <w:bookmarkStart w:id="298" w:name="_Toc400566831"/>
      <w:bookmarkStart w:id="299" w:name="_Toc400711700"/>
      <w:bookmarkStart w:id="300" w:name="_Toc400719652"/>
      <w:bookmarkStart w:id="301" w:name="_Toc401299425"/>
      <w:bookmarkStart w:id="302" w:name="_Toc401306990"/>
      <w:r w:rsidRPr="007A6FE3">
        <w:t>Consumer Protection</w:t>
      </w:r>
      <w:bookmarkEnd w:id="296"/>
      <w:bookmarkEnd w:id="297"/>
      <w:bookmarkEnd w:id="298"/>
      <w:bookmarkEnd w:id="299"/>
      <w:bookmarkEnd w:id="300"/>
      <w:bookmarkEnd w:id="301"/>
      <w:bookmarkEnd w:id="302"/>
    </w:p>
    <w:p w14:paraId="42557E91" w14:textId="77777777" w:rsidR="00A32C66" w:rsidRPr="007A6FE3" w:rsidRDefault="001F343E" w:rsidP="007B536F">
      <w:pPr>
        <w:pStyle w:val="ParaNum0"/>
        <w:widowControl/>
      </w:pPr>
      <w:r w:rsidRPr="007A6FE3">
        <w:t>Consumers</w:t>
      </w:r>
      <w:r w:rsidR="002F29BD" w:rsidRPr="007A6FE3">
        <w:t xml:space="preserve"> </w:t>
      </w:r>
      <w:r w:rsidR="00683A4F" w:rsidRPr="007A6FE3">
        <w:t xml:space="preserve">and other retail customers </w:t>
      </w:r>
      <w:r w:rsidR="007606FF" w:rsidRPr="007A6FE3">
        <w:t xml:space="preserve">need </w:t>
      </w:r>
      <w:r w:rsidRPr="007A6FE3">
        <w:t xml:space="preserve">to understand what is and is not happening during a copper retirement, and they </w:t>
      </w:r>
      <w:r w:rsidR="007606FF" w:rsidRPr="007A6FE3">
        <w:t xml:space="preserve">need </w:t>
      </w:r>
      <w:r w:rsidRPr="007A6FE3">
        <w:t xml:space="preserve">to understand their choices about service.  Since our current </w:t>
      </w:r>
      <w:r w:rsidR="00611AF6" w:rsidRPr="007A6FE3">
        <w:t xml:space="preserve">Part 51 </w:t>
      </w:r>
      <w:r w:rsidRPr="007A6FE3">
        <w:t xml:space="preserve">rules make no provision at all for </w:t>
      </w:r>
      <w:r w:rsidR="002F29BD" w:rsidRPr="007A6FE3">
        <w:t>retail customers</w:t>
      </w:r>
      <w:r w:rsidRPr="007A6FE3">
        <w:t xml:space="preserve">, we fear that this is not currently the case.  </w:t>
      </w:r>
      <w:r w:rsidR="003F010E" w:rsidRPr="007A6FE3">
        <w:rPr>
          <w:szCs w:val="22"/>
        </w:rPr>
        <w:t>As stated above, c</w:t>
      </w:r>
      <w:r w:rsidR="00A32C66" w:rsidRPr="007A6FE3">
        <w:rPr>
          <w:szCs w:val="22"/>
        </w:rPr>
        <w:t xml:space="preserve">omplaints have surfaced from multiple sources that </w:t>
      </w:r>
      <w:r w:rsidR="00BE65A7" w:rsidRPr="007A6FE3">
        <w:rPr>
          <w:szCs w:val="22"/>
        </w:rPr>
        <w:t xml:space="preserve">in some cases </w:t>
      </w:r>
      <w:r w:rsidR="00A32C66" w:rsidRPr="007A6FE3">
        <w:rPr>
          <w:szCs w:val="22"/>
        </w:rPr>
        <w:t xml:space="preserve">incumbent LECs are </w:t>
      </w:r>
      <w:r w:rsidR="007C03A8" w:rsidRPr="007A6FE3">
        <w:rPr>
          <w:szCs w:val="22"/>
        </w:rPr>
        <w:t>mov</w:t>
      </w:r>
      <w:r w:rsidRPr="007A6FE3">
        <w:rPr>
          <w:szCs w:val="22"/>
        </w:rPr>
        <w:t>ing</w:t>
      </w:r>
      <w:r w:rsidR="00A32C66" w:rsidRPr="007A6FE3">
        <w:rPr>
          <w:szCs w:val="22"/>
        </w:rPr>
        <w:t xml:space="preserve"> customers of legacy services onto </w:t>
      </w:r>
      <w:r w:rsidRPr="007A6FE3">
        <w:rPr>
          <w:szCs w:val="22"/>
        </w:rPr>
        <w:t>IP-based and triple play services during copper retirements</w:t>
      </w:r>
      <w:r w:rsidR="009B56D4" w:rsidRPr="007A6FE3">
        <w:rPr>
          <w:szCs w:val="22"/>
        </w:rPr>
        <w:t>,</w:t>
      </w:r>
      <w:r w:rsidR="00A32C66" w:rsidRPr="007A6FE3">
        <w:rPr>
          <w:szCs w:val="22"/>
        </w:rPr>
        <w:t xml:space="preserve"> with </w:t>
      </w:r>
      <w:r w:rsidR="009B56D4" w:rsidRPr="007A6FE3">
        <w:rPr>
          <w:szCs w:val="22"/>
        </w:rPr>
        <w:t xml:space="preserve">no </w:t>
      </w:r>
      <w:r w:rsidR="00F47420" w:rsidRPr="007A6FE3">
        <w:rPr>
          <w:szCs w:val="22"/>
        </w:rPr>
        <w:t xml:space="preserve">procedures </w:t>
      </w:r>
      <w:r w:rsidR="009B56D4" w:rsidRPr="007A6FE3">
        <w:rPr>
          <w:szCs w:val="22"/>
        </w:rPr>
        <w:t xml:space="preserve">in place </w:t>
      </w:r>
      <w:r w:rsidR="00F47420" w:rsidRPr="007A6FE3">
        <w:rPr>
          <w:szCs w:val="22"/>
        </w:rPr>
        <w:t>for customer</w:t>
      </w:r>
      <w:r w:rsidR="00A32C66" w:rsidRPr="007A6FE3">
        <w:rPr>
          <w:szCs w:val="22"/>
        </w:rPr>
        <w:t xml:space="preserve"> </w:t>
      </w:r>
      <w:r w:rsidR="00F47420" w:rsidRPr="007A6FE3">
        <w:rPr>
          <w:szCs w:val="22"/>
        </w:rPr>
        <w:t>notice</w:t>
      </w:r>
      <w:r w:rsidR="007C03A8" w:rsidRPr="007A6FE3">
        <w:rPr>
          <w:szCs w:val="22"/>
        </w:rPr>
        <w:t xml:space="preserve"> or choice</w:t>
      </w:r>
      <w:r w:rsidR="00A32C66" w:rsidRPr="007A6FE3">
        <w:rPr>
          <w:szCs w:val="22"/>
        </w:rPr>
        <w:t>.</w:t>
      </w:r>
      <w:r w:rsidR="00A32C66" w:rsidRPr="007A6FE3">
        <w:rPr>
          <w:rStyle w:val="FootnoteReference"/>
          <w:szCs w:val="22"/>
        </w:rPr>
        <w:footnoteReference w:id="153"/>
      </w:r>
      <w:r w:rsidR="00A32C66" w:rsidRPr="007A6FE3">
        <w:rPr>
          <w:szCs w:val="22"/>
        </w:rPr>
        <w:t xml:space="preserve">  </w:t>
      </w:r>
      <w:r w:rsidR="009B56D4" w:rsidRPr="007A6FE3">
        <w:t>T</w:t>
      </w:r>
      <w:r w:rsidR="00A32C66" w:rsidRPr="007A6FE3">
        <w:t>hese</w:t>
      </w:r>
      <w:r w:rsidR="00A32C66" w:rsidRPr="007A6FE3">
        <w:rPr>
          <w:szCs w:val="22"/>
        </w:rPr>
        <w:t xml:space="preserve"> allegations</w:t>
      </w:r>
      <w:r w:rsidR="009B56D4" w:rsidRPr="007A6FE3">
        <w:rPr>
          <w:szCs w:val="22"/>
        </w:rPr>
        <w:t xml:space="preserve"> strengthen our belief that notice obligations should be extended to </w:t>
      </w:r>
      <w:r w:rsidR="002F29BD" w:rsidRPr="007A6FE3">
        <w:rPr>
          <w:szCs w:val="22"/>
        </w:rPr>
        <w:t>retail customers</w:t>
      </w:r>
      <w:r w:rsidR="00A32C66" w:rsidRPr="007A6FE3">
        <w:rPr>
          <w:szCs w:val="22"/>
        </w:rPr>
        <w:t xml:space="preserve">.  Because copper retirement </w:t>
      </w:r>
      <w:r w:rsidR="007606FF" w:rsidRPr="007A6FE3">
        <w:rPr>
          <w:szCs w:val="22"/>
        </w:rPr>
        <w:t>has the potential to reduce</w:t>
      </w:r>
      <w:r w:rsidR="00A32C66" w:rsidRPr="007A6FE3">
        <w:rPr>
          <w:szCs w:val="22"/>
        </w:rPr>
        <w:t xml:space="preserve"> a </w:t>
      </w:r>
      <w:r w:rsidR="002F29BD" w:rsidRPr="007A6FE3">
        <w:rPr>
          <w:szCs w:val="22"/>
        </w:rPr>
        <w:t xml:space="preserve">retail customer’s </w:t>
      </w:r>
      <w:r w:rsidR="00A32C66" w:rsidRPr="007A6FE3">
        <w:rPr>
          <w:szCs w:val="22"/>
        </w:rPr>
        <w:t xml:space="preserve">choice, we believe </w:t>
      </w:r>
      <w:r w:rsidR="00FC4F1B" w:rsidRPr="007A6FE3">
        <w:rPr>
          <w:szCs w:val="22"/>
        </w:rPr>
        <w:t xml:space="preserve">that </w:t>
      </w:r>
      <w:r w:rsidR="00A32C66" w:rsidRPr="007A6FE3">
        <w:rPr>
          <w:szCs w:val="22"/>
        </w:rPr>
        <w:t xml:space="preserve">it is appropriate to extend the notice obligations of our network change disclosure rules to </w:t>
      </w:r>
      <w:r w:rsidR="002F29BD" w:rsidRPr="007A6FE3">
        <w:rPr>
          <w:szCs w:val="22"/>
        </w:rPr>
        <w:t>retail customers</w:t>
      </w:r>
      <w:r w:rsidR="00A32C66" w:rsidRPr="007A6FE3">
        <w:rPr>
          <w:szCs w:val="22"/>
        </w:rPr>
        <w:t xml:space="preserve">.  </w:t>
      </w:r>
      <w:r w:rsidR="006069BA" w:rsidRPr="007A6FE3">
        <w:t xml:space="preserve">We </w:t>
      </w:r>
      <w:r w:rsidRPr="007A6FE3">
        <w:t xml:space="preserve">also </w:t>
      </w:r>
      <w:r w:rsidR="006069BA" w:rsidRPr="007A6FE3">
        <w:t xml:space="preserve">believe that it is important to give </w:t>
      </w:r>
      <w:r w:rsidR="002F29BD" w:rsidRPr="007A6FE3">
        <w:t xml:space="preserve">retail customers </w:t>
      </w:r>
      <w:r w:rsidR="006069BA" w:rsidRPr="007A6FE3">
        <w:t xml:space="preserve">a voice in the copper retirement process.  </w:t>
      </w:r>
      <w:r w:rsidR="001204F9" w:rsidRPr="007A6FE3">
        <w:t>The Bureau</w:t>
      </w:r>
      <w:r w:rsidR="00B428E0" w:rsidRPr="007A6FE3">
        <w:t xml:space="preserve"> </w:t>
      </w:r>
      <w:r w:rsidR="006069BA" w:rsidRPr="007A6FE3">
        <w:t>already ha</w:t>
      </w:r>
      <w:r w:rsidR="001204F9" w:rsidRPr="007A6FE3">
        <w:t>s</w:t>
      </w:r>
      <w:r w:rsidR="006069BA" w:rsidRPr="007A6FE3">
        <w:t xml:space="preserve"> created an e-mail address for public comment on copper retirement,</w:t>
      </w:r>
      <w:r w:rsidR="006069BA" w:rsidRPr="007A6FE3">
        <w:rPr>
          <w:rStyle w:val="FootnoteReference"/>
          <w:szCs w:val="22"/>
        </w:rPr>
        <w:footnoteReference w:id="154"/>
      </w:r>
      <w:r w:rsidR="006069BA" w:rsidRPr="007A6FE3">
        <w:t xml:space="preserve"> and this Notice seeks to expand </w:t>
      </w:r>
      <w:r w:rsidR="002F29BD" w:rsidRPr="007A6FE3">
        <w:t xml:space="preserve">retail customers’ </w:t>
      </w:r>
      <w:r w:rsidR="006069BA" w:rsidRPr="007A6FE3">
        <w:t xml:space="preserve">opportunities to participate in this important process.  </w:t>
      </w:r>
      <w:r w:rsidR="00A32C66" w:rsidRPr="007A6FE3">
        <w:t xml:space="preserve">We also </w:t>
      </w:r>
      <w:r w:rsidR="00C853FB" w:rsidRPr="007A6FE3">
        <w:t>anticipate</w:t>
      </w:r>
      <w:r w:rsidR="00FC4F1B" w:rsidRPr="007A6FE3">
        <w:t xml:space="preserve"> that</w:t>
      </w:r>
      <w:r w:rsidR="00A32C66" w:rsidRPr="007A6FE3">
        <w:t xml:space="preserve"> notice to </w:t>
      </w:r>
      <w:r w:rsidR="002F29BD" w:rsidRPr="007A6FE3">
        <w:t xml:space="preserve">retail customers </w:t>
      </w:r>
      <w:r w:rsidR="00A32C66" w:rsidRPr="007A6FE3">
        <w:t>must differ from notice to providers.  We therefore propose revis</w:t>
      </w:r>
      <w:r w:rsidR="00827D73" w:rsidRPr="007A6FE3">
        <w:t>ing</w:t>
      </w:r>
      <w:r w:rsidR="00A32C66" w:rsidRPr="007A6FE3">
        <w:t xml:space="preserve"> our network change disclosure rules to address the form, timing, and content of notice to </w:t>
      </w:r>
      <w:r w:rsidR="002F29BD" w:rsidRPr="007A6FE3">
        <w:t>retail customers</w:t>
      </w:r>
      <w:r w:rsidR="00FC4F1B" w:rsidRPr="007A6FE3">
        <w:t xml:space="preserve">, as </w:t>
      </w:r>
      <w:r w:rsidR="00676AC6" w:rsidRPr="007A6FE3">
        <w:t xml:space="preserve">well as to educate </w:t>
      </w:r>
      <w:r w:rsidR="002F29BD" w:rsidRPr="007A6FE3">
        <w:t xml:space="preserve">subscribers </w:t>
      </w:r>
      <w:r w:rsidR="00676AC6" w:rsidRPr="007A6FE3">
        <w:t xml:space="preserve">regarding copper retirements by which they may be affected, as </w:t>
      </w:r>
      <w:r w:rsidR="00FC4F1B" w:rsidRPr="007A6FE3">
        <w:t>detailed below</w:t>
      </w:r>
      <w:r w:rsidR="00A32C66" w:rsidRPr="007A6FE3">
        <w:t xml:space="preserve">.  </w:t>
      </w:r>
      <w:r w:rsidR="00CB39E6" w:rsidRPr="007A6FE3">
        <w:t>We seek comment on our legal authority to impose the requirements contemplated below.</w:t>
      </w:r>
    </w:p>
    <w:p w14:paraId="64E564B4" w14:textId="77777777" w:rsidR="00A32C66" w:rsidRPr="007A6FE3" w:rsidRDefault="00AF0809" w:rsidP="00B220E3">
      <w:pPr>
        <w:pStyle w:val="Heading6"/>
        <w:keepNext/>
      </w:pPr>
      <w:bookmarkStart w:id="303" w:name="_Toc400711701"/>
      <w:r w:rsidRPr="007A6FE3">
        <w:t xml:space="preserve">Notice to </w:t>
      </w:r>
      <w:r w:rsidR="00201B5E" w:rsidRPr="007A6FE3">
        <w:t>retail customers</w:t>
      </w:r>
      <w:r w:rsidRPr="007A6FE3">
        <w:t>.</w:t>
      </w:r>
      <w:bookmarkEnd w:id="303"/>
      <w:r w:rsidRPr="007A6FE3">
        <w:t xml:space="preserve">  </w:t>
      </w:r>
    </w:p>
    <w:p w14:paraId="4F553A09" w14:textId="77777777" w:rsidR="00A32C66" w:rsidRPr="007A6FE3" w:rsidRDefault="00AF0809" w:rsidP="00566068">
      <w:pPr>
        <w:pStyle w:val="ParaNum0"/>
      </w:pPr>
      <w:r w:rsidRPr="007A6FE3">
        <w:rPr>
          <w:i/>
        </w:rPr>
        <w:t xml:space="preserve">Recipients.  </w:t>
      </w:r>
      <w:r w:rsidR="00A90A93" w:rsidRPr="007A6FE3">
        <w:t>Retail customers</w:t>
      </w:r>
      <w:r w:rsidR="004E0884" w:rsidRPr="007A6FE3">
        <w:rPr>
          <w:rStyle w:val="FootnoteReference"/>
          <w:szCs w:val="22"/>
        </w:rPr>
        <w:footnoteReference w:id="155"/>
      </w:r>
      <w:r w:rsidR="00400695" w:rsidRPr="007A6FE3">
        <w:t xml:space="preserve"> who are directly impacted by copper retirement </w:t>
      </w:r>
      <w:r w:rsidR="00F76EBE" w:rsidRPr="007A6FE3">
        <w:t xml:space="preserve">need </w:t>
      </w:r>
      <w:r w:rsidR="00400695" w:rsidRPr="007A6FE3">
        <w:t xml:space="preserve">to know about it, and it simply is not realistic to expect </w:t>
      </w:r>
      <w:r w:rsidR="00B90AAB" w:rsidRPr="007A6FE3">
        <w:t>consumers and other</w:t>
      </w:r>
      <w:r w:rsidR="00A90A93" w:rsidRPr="007A6FE3">
        <w:t xml:space="preserve"> </w:t>
      </w:r>
      <w:r w:rsidR="00B90AAB" w:rsidRPr="007A6FE3">
        <w:t xml:space="preserve">retail </w:t>
      </w:r>
      <w:r w:rsidR="00A90A93" w:rsidRPr="007A6FE3">
        <w:t xml:space="preserve">customers </w:t>
      </w:r>
      <w:r w:rsidR="00400695" w:rsidRPr="007A6FE3">
        <w:t xml:space="preserve">to monitor </w:t>
      </w:r>
      <w:r w:rsidR="003C10B7" w:rsidRPr="007A6FE3">
        <w:t xml:space="preserve">individual </w:t>
      </w:r>
      <w:r w:rsidR="00400695" w:rsidRPr="007A6FE3">
        <w:t>pages on the website</w:t>
      </w:r>
      <w:r w:rsidR="00C853FB" w:rsidRPr="007A6FE3">
        <w:t>s</w:t>
      </w:r>
      <w:r w:rsidR="00400695" w:rsidRPr="007A6FE3">
        <w:t xml:space="preserve"> of carriers or the Commission.  </w:t>
      </w:r>
      <w:r w:rsidR="00FC4F1B" w:rsidRPr="007A6FE3">
        <w:t xml:space="preserve">We </w:t>
      </w:r>
      <w:r w:rsidR="00CB39E6" w:rsidRPr="007A6FE3">
        <w:t xml:space="preserve">therefore </w:t>
      </w:r>
      <w:r w:rsidR="00FC4F1B" w:rsidRPr="007A6FE3">
        <w:t xml:space="preserve">propose requiring incumbent LECs to provide notice of copper retirements to their </w:t>
      </w:r>
      <w:r w:rsidR="00201B5E" w:rsidRPr="007A6FE3">
        <w:t xml:space="preserve">retail customers </w:t>
      </w:r>
      <w:r w:rsidR="00FC4F1B" w:rsidRPr="007A6FE3">
        <w:t>who will be affected by the copper retirement.</w:t>
      </w:r>
      <w:r w:rsidR="00F22F4E" w:rsidRPr="007A6FE3">
        <w:rPr>
          <w:rStyle w:val="FootnoteReference"/>
        </w:rPr>
        <w:footnoteReference w:id="156"/>
      </w:r>
      <w:r w:rsidR="00C853FB" w:rsidRPr="007A6FE3">
        <w:t xml:space="preserve">  U</w:t>
      </w:r>
      <w:r w:rsidR="00F22F4E" w:rsidRPr="007A6FE3">
        <w:t xml:space="preserve">nder the proposed rule, an incumbent LEC </w:t>
      </w:r>
      <w:r w:rsidR="00C910B2" w:rsidRPr="007A6FE3">
        <w:t xml:space="preserve">would be </w:t>
      </w:r>
      <w:r w:rsidR="00201B5E" w:rsidRPr="007A6FE3">
        <w:t xml:space="preserve">required </w:t>
      </w:r>
      <w:r w:rsidR="00F22F4E" w:rsidRPr="007A6FE3">
        <w:t xml:space="preserve">to directly notify all retail </w:t>
      </w:r>
      <w:r w:rsidR="00201B5E" w:rsidRPr="007A6FE3">
        <w:t xml:space="preserve">customers </w:t>
      </w:r>
      <w:r w:rsidR="00F22F4E" w:rsidRPr="007A6FE3">
        <w:t xml:space="preserve">affected by the planned network change through electronic or </w:t>
      </w:r>
      <w:r w:rsidR="00566068" w:rsidRPr="007A6FE3">
        <w:t>postal mail unless the Commission authorizes in advance, for good cause shown, another form of notice</w:t>
      </w:r>
      <w:r w:rsidR="00F22F4E" w:rsidRPr="007A6FE3">
        <w:t>.</w:t>
      </w:r>
      <w:r w:rsidR="00F22F4E" w:rsidRPr="007A6FE3">
        <w:rPr>
          <w:rStyle w:val="FootnoteReference"/>
        </w:rPr>
        <w:footnoteReference w:id="157"/>
      </w:r>
      <w:r w:rsidR="00FC4F1B" w:rsidRPr="007A6FE3">
        <w:t xml:space="preserve">  We seek comment on this proposal.  Does it strike the correct balance between the benefits to </w:t>
      </w:r>
      <w:r w:rsidR="002F29BD" w:rsidRPr="007A6FE3">
        <w:t xml:space="preserve">retail customers </w:t>
      </w:r>
      <w:r w:rsidR="00FC4F1B" w:rsidRPr="007A6FE3">
        <w:t xml:space="preserve">of notification and the costs of providing the notification?  </w:t>
      </w:r>
      <w:r w:rsidR="00A32C66" w:rsidRPr="007A6FE3">
        <w:t xml:space="preserve">We also seek comment on the ways in which a </w:t>
      </w:r>
      <w:r w:rsidR="00201B5E" w:rsidRPr="007A6FE3">
        <w:t xml:space="preserve">retail customer </w:t>
      </w:r>
      <w:r w:rsidR="00A32C66" w:rsidRPr="007A6FE3">
        <w:t xml:space="preserve">might be </w:t>
      </w:r>
      <w:r w:rsidR="00827D73" w:rsidRPr="007A6FE3">
        <w:t>“</w:t>
      </w:r>
      <w:r w:rsidR="00A32C66" w:rsidRPr="007A6FE3">
        <w:t>affected</w:t>
      </w:r>
      <w:r w:rsidR="00827D73" w:rsidRPr="007A6FE3">
        <w:t>”</w:t>
      </w:r>
      <w:r w:rsidR="00A32C66" w:rsidRPr="007A6FE3">
        <w:t xml:space="preserve"> by a planned copper retirement.  </w:t>
      </w:r>
      <w:r w:rsidR="00B6173E" w:rsidRPr="007A6FE3">
        <w:t xml:space="preserve">We propose </w:t>
      </w:r>
      <w:r w:rsidR="00B6173E" w:rsidRPr="007A6FE3">
        <w:rPr>
          <w:szCs w:val="22"/>
        </w:rPr>
        <w:t xml:space="preserve">that affected customers who must receive notice are anyone who will need new or modified CPE or who will be negatively impacted by the planned network change.  We seek comment on this proposal.  </w:t>
      </w:r>
      <w:r w:rsidR="00B6173E" w:rsidRPr="007A6FE3">
        <w:t xml:space="preserve">Does this proposal capture the correct population?  In what circumstances other than needing new or modified CPE is a customer negatively impacted by a planned copper retirement?  How significant of a negative impact is necessary to trigger a notice requirement, and from whose perspective should the impact be evaluated?  </w:t>
      </w:r>
      <w:r w:rsidR="00B220E3" w:rsidRPr="007A6FE3">
        <w:t xml:space="preserve">Should we adopt different or more limited criteria?  </w:t>
      </w:r>
      <w:r w:rsidR="00A32C66" w:rsidRPr="007A6FE3">
        <w:t xml:space="preserve">Should </w:t>
      </w:r>
      <w:r w:rsidR="00827D73" w:rsidRPr="007A6FE3">
        <w:t xml:space="preserve">our proposed notice requirement apply only </w:t>
      </w:r>
      <w:r w:rsidR="00A32C66" w:rsidRPr="007A6FE3">
        <w:t xml:space="preserve">to instances in which a technician would need to obtain access to the customer’s premises?  </w:t>
      </w:r>
      <w:r w:rsidR="00F76EBE" w:rsidRPr="007A6FE3">
        <w:t>Should we deem any customer that will see a change in the electrical power arrangements for his or her service to be “affected”?</w:t>
      </w:r>
      <w:r w:rsidR="00C910B2" w:rsidRPr="007A6FE3">
        <w:rPr>
          <w:rStyle w:val="FootnoteReference"/>
          <w:szCs w:val="22"/>
        </w:rPr>
        <w:footnoteReference w:id="158"/>
      </w:r>
      <w:r w:rsidR="00F76EBE" w:rsidRPr="007A6FE3">
        <w:t xml:space="preserve">  </w:t>
      </w:r>
      <w:r w:rsidR="00A32C66" w:rsidRPr="007A6FE3">
        <w:t xml:space="preserve">Are there other circumstances or situations in which a </w:t>
      </w:r>
      <w:r w:rsidR="00201B5E" w:rsidRPr="007A6FE3">
        <w:t xml:space="preserve">retail customer </w:t>
      </w:r>
      <w:r w:rsidR="00A32C66" w:rsidRPr="007A6FE3">
        <w:t>could be affected by a planned copper retirement</w:t>
      </w:r>
      <w:r w:rsidR="00B90EFE" w:rsidRPr="007A6FE3">
        <w:t xml:space="preserve"> in a way that would warrant requiring direct notification of the planned changes</w:t>
      </w:r>
      <w:r w:rsidR="00A32C66" w:rsidRPr="007A6FE3">
        <w:t xml:space="preserve">?  Are there any reasons why </w:t>
      </w:r>
      <w:r w:rsidR="006C08B7" w:rsidRPr="007A6FE3">
        <w:t xml:space="preserve">retail customers </w:t>
      </w:r>
      <w:r w:rsidR="00A32C66" w:rsidRPr="007A6FE3">
        <w:t xml:space="preserve">should not be entitled to notice of copper retirements by which they are affected? </w:t>
      </w:r>
    </w:p>
    <w:p w14:paraId="13A053A6" w14:textId="77777777" w:rsidR="00827D73" w:rsidRPr="007A6FE3" w:rsidRDefault="00827D73" w:rsidP="00A2098F">
      <w:pPr>
        <w:pStyle w:val="ParaNum0"/>
        <w:widowControl/>
      </w:pPr>
      <w:r w:rsidRPr="007A6FE3">
        <w:t xml:space="preserve">We note that in some cases, </w:t>
      </w:r>
      <w:r w:rsidR="00D45AC6" w:rsidRPr="007A6FE3">
        <w:t xml:space="preserve">it is possible that </w:t>
      </w:r>
      <w:r w:rsidRPr="007A6FE3">
        <w:t xml:space="preserve">copper retirements </w:t>
      </w:r>
      <w:r w:rsidR="00D45AC6" w:rsidRPr="007A6FE3">
        <w:t xml:space="preserve">might </w:t>
      </w:r>
      <w:r w:rsidRPr="007A6FE3">
        <w:t xml:space="preserve">have </w:t>
      </w:r>
      <w:r w:rsidR="00584E2B" w:rsidRPr="007A6FE3">
        <w:t xml:space="preserve">little or </w:t>
      </w:r>
      <w:r w:rsidRPr="007A6FE3">
        <w:t>no</w:t>
      </w:r>
      <w:r w:rsidR="00CB03F7" w:rsidRPr="007A6FE3">
        <w:t xml:space="preserve"> practical impact on </w:t>
      </w:r>
      <w:r w:rsidR="00A90A93" w:rsidRPr="007A6FE3">
        <w:t>retail customers</w:t>
      </w:r>
      <w:r w:rsidR="00CB03F7" w:rsidRPr="007A6FE3">
        <w:t xml:space="preserve">. </w:t>
      </w:r>
      <w:r w:rsidR="00CB39E6" w:rsidRPr="007A6FE3">
        <w:t xml:space="preserve"> </w:t>
      </w:r>
      <w:r w:rsidR="00F76EBE" w:rsidRPr="007A6FE3">
        <w:t xml:space="preserve">For example, a copper retirement may not result in the need to replace or install CPE </w:t>
      </w:r>
      <w:r w:rsidR="0009162F" w:rsidRPr="007A6FE3">
        <w:t>o</w:t>
      </w:r>
      <w:r w:rsidR="00F76EBE" w:rsidRPr="007A6FE3">
        <w:t xml:space="preserve">n a </w:t>
      </w:r>
      <w:r w:rsidR="0009162F" w:rsidRPr="007A6FE3">
        <w:t>retail customer’s premises</w:t>
      </w:r>
      <w:r w:rsidR="00F76EBE" w:rsidRPr="007A6FE3">
        <w:t xml:space="preserve">, eliminate line power, or affect the functionality of or access to third-party devices or services.  </w:t>
      </w:r>
      <w:r w:rsidR="00CB03F7" w:rsidRPr="007A6FE3">
        <w:t xml:space="preserve">In </w:t>
      </w:r>
      <w:r w:rsidRPr="007A6FE3">
        <w:t>such circumstances</w:t>
      </w:r>
      <w:r w:rsidR="00CB03F7" w:rsidRPr="007A6FE3">
        <w:t>,</w:t>
      </w:r>
      <w:r w:rsidRPr="007A6FE3">
        <w:t xml:space="preserve"> </w:t>
      </w:r>
      <w:r w:rsidR="00A90A93" w:rsidRPr="007A6FE3">
        <w:t xml:space="preserve">retail subscribers </w:t>
      </w:r>
      <w:r w:rsidRPr="007A6FE3">
        <w:t xml:space="preserve">may find notice to be unnecessary or confusing.  However, </w:t>
      </w:r>
      <w:r w:rsidR="00A90A93" w:rsidRPr="007A6FE3">
        <w:t>retail customers</w:t>
      </w:r>
      <w:r w:rsidRPr="007A6FE3">
        <w:t xml:space="preserve"> are affected by certain planned network changes involving copper retirement, particularly those that require a technician to seek entry to </w:t>
      </w:r>
      <w:r w:rsidR="00A90A93" w:rsidRPr="007A6FE3">
        <w:t xml:space="preserve">a </w:t>
      </w:r>
      <w:r w:rsidR="0009162F" w:rsidRPr="007A6FE3">
        <w:t xml:space="preserve">retail customer’s premises </w:t>
      </w:r>
      <w:r w:rsidRPr="007A6FE3">
        <w:t xml:space="preserve">home.  In those circumstances, we believe that an incumbent LEC’s </w:t>
      </w:r>
      <w:r w:rsidR="006C08B7" w:rsidRPr="007A6FE3">
        <w:t xml:space="preserve">retail customers </w:t>
      </w:r>
      <w:r w:rsidRPr="007A6FE3">
        <w:t xml:space="preserve">should be part of the network change disclosure process, and in particular we propose that incumbent LECs should be required to provide such </w:t>
      </w:r>
      <w:r w:rsidR="00A90A93" w:rsidRPr="007A6FE3">
        <w:t xml:space="preserve">customers </w:t>
      </w:r>
      <w:r w:rsidRPr="007A6FE3">
        <w:t xml:space="preserve">notice of an impending copper retirement.  We seek comment on these issues.  </w:t>
      </w:r>
    </w:p>
    <w:p w14:paraId="08B5BBC2" w14:textId="77777777" w:rsidR="00A32C66" w:rsidRPr="007A6FE3" w:rsidRDefault="00AF0809" w:rsidP="000350B7">
      <w:pPr>
        <w:pStyle w:val="ParaNum0"/>
      </w:pPr>
      <w:r w:rsidRPr="007A6FE3">
        <w:rPr>
          <w:i/>
        </w:rPr>
        <w:t xml:space="preserve">Form.  </w:t>
      </w:r>
      <w:r w:rsidR="00400695" w:rsidRPr="007A6FE3">
        <w:t xml:space="preserve">The form of notice should be </w:t>
      </w:r>
      <w:r w:rsidR="00CB39E6" w:rsidRPr="007A6FE3">
        <w:t xml:space="preserve">both </w:t>
      </w:r>
      <w:r w:rsidR="00400695" w:rsidRPr="007A6FE3">
        <w:t xml:space="preserve">efficient for incumbent LECs to undertake and effective in </w:t>
      </w:r>
      <w:r w:rsidR="00C853FB" w:rsidRPr="007A6FE3">
        <w:t xml:space="preserve">educating </w:t>
      </w:r>
      <w:r w:rsidR="002F29BD" w:rsidRPr="007A6FE3">
        <w:t xml:space="preserve">retail customers </w:t>
      </w:r>
      <w:r w:rsidR="00C853FB" w:rsidRPr="007A6FE3">
        <w:t>about retirements</w:t>
      </w:r>
      <w:r w:rsidR="00400695" w:rsidRPr="007A6FE3">
        <w:t xml:space="preserve">.  </w:t>
      </w:r>
      <w:r w:rsidR="00A32C66" w:rsidRPr="007A6FE3">
        <w:t>We propose allow</w:t>
      </w:r>
      <w:r w:rsidR="00827D73" w:rsidRPr="007A6FE3">
        <w:t>ing</w:t>
      </w:r>
      <w:r w:rsidR="00A32C66" w:rsidRPr="007A6FE3">
        <w:t xml:space="preserve"> incumbent LECs to use written or electronic notice such as</w:t>
      </w:r>
      <w:r w:rsidR="009673FB" w:rsidRPr="007A6FE3">
        <w:t xml:space="preserve"> postal mail or</w:t>
      </w:r>
      <w:r w:rsidR="00A32C66" w:rsidRPr="007A6FE3">
        <w:t xml:space="preserve"> e-mail to provide notice to retail </w:t>
      </w:r>
      <w:r w:rsidR="006C08B7" w:rsidRPr="007A6FE3">
        <w:t xml:space="preserve">customers </w:t>
      </w:r>
      <w:r w:rsidR="00A32C66" w:rsidRPr="007A6FE3">
        <w:t>of a planned copper retirement.</w:t>
      </w:r>
      <w:r w:rsidR="00F22F4E" w:rsidRPr="007A6FE3">
        <w:rPr>
          <w:rStyle w:val="FootnoteReference"/>
        </w:rPr>
        <w:footnoteReference w:id="159"/>
      </w:r>
      <w:r w:rsidR="00A32C66" w:rsidRPr="007A6FE3">
        <w:t xml:space="preserve">  We seek comment on whether such types of notice adequately protect </w:t>
      </w:r>
      <w:r w:rsidR="002F29BD" w:rsidRPr="007A6FE3">
        <w:t xml:space="preserve">the </w:t>
      </w:r>
      <w:r w:rsidR="00A32C66" w:rsidRPr="007A6FE3">
        <w:t>interests</w:t>
      </w:r>
      <w:r w:rsidR="002F29BD" w:rsidRPr="007A6FE3">
        <w:t xml:space="preserve"> of retail customers</w:t>
      </w:r>
      <w:r w:rsidR="00A32C66" w:rsidRPr="007A6FE3">
        <w:t xml:space="preserve">.  For instance, in a 2002 order addressing notice procedures for solicitation of opt-in or opt-out approval regarding use of </w:t>
      </w:r>
      <w:r w:rsidR="00CB03F7" w:rsidRPr="007A6FE3">
        <w:t>customer proprietary network information (</w:t>
      </w:r>
      <w:r w:rsidR="00A32C66" w:rsidRPr="007A6FE3">
        <w:t>CPNI</w:t>
      </w:r>
      <w:r w:rsidR="00CB03F7" w:rsidRPr="007A6FE3">
        <w:t>)</w:t>
      </w:r>
      <w:r w:rsidR="00A32C66" w:rsidRPr="007A6FE3">
        <w:t xml:space="preserve">, </w:t>
      </w:r>
      <w:r w:rsidR="00C910B2" w:rsidRPr="007A6FE3">
        <w:t xml:space="preserve">the Commission </w:t>
      </w:r>
      <w:r w:rsidR="00A32C66" w:rsidRPr="007A6FE3">
        <w:t>stated:</w:t>
      </w:r>
    </w:p>
    <w:p w14:paraId="3EF0BAA6" w14:textId="77777777" w:rsidR="00A32C66" w:rsidRPr="007A6FE3" w:rsidRDefault="00A32C66" w:rsidP="00807083">
      <w:pPr>
        <w:pStyle w:val="ParaNum0"/>
        <w:numPr>
          <w:ilvl w:val="0"/>
          <w:numId w:val="0"/>
        </w:numPr>
        <w:ind w:left="1440" w:right="1440"/>
      </w:pPr>
      <w:r w:rsidRPr="007A6FE3">
        <w:t>[W]e recognize that consumers are deluged with unrequested or unwanted commercial e-mail (“spam”) and could easily overlook a notice provided via e-mail.  Accordingly, we require carriers to follow certain precautions to ensure that such notices will not be mistaken as spam.</w:t>
      </w:r>
      <w:r w:rsidRPr="007A6FE3">
        <w:rPr>
          <w:rStyle w:val="FootnoteReference"/>
        </w:rPr>
        <w:footnoteReference w:id="160"/>
      </w:r>
    </w:p>
    <w:p w14:paraId="34353C7C" w14:textId="77777777" w:rsidR="00A32C66" w:rsidRPr="007A6FE3" w:rsidRDefault="00A32C66" w:rsidP="001B4D98">
      <w:pPr>
        <w:pStyle w:val="ParaNum0"/>
        <w:numPr>
          <w:ilvl w:val="0"/>
          <w:numId w:val="0"/>
        </w:numPr>
      </w:pPr>
      <w:r w:rsidRPr="007A6FE3">
        <w:t xml:space="preserve">We seek comment on whether </w:t>
      </w:r>
      <w:r w:rsidR="00827D73" w:rsidRPr="007A6FE3">
        <w:t xml:space="preserve">the </w:t>
      </w:r>
      <w:r w:rsidRPr="007A6FE3">
        <w:t>notice</w:t>
      </w:r>
      <w:r w:rsidR="00827D73" w:rsidRPr="007A6FE3">
        <w:t xml:space="preserve"> procedure</w:t>
      </w:r>
      <w:r w:rsidRPr="007A6FE3">
        <w:t xml:space="preserve">s </w:t>
      </w:r>
      <w:r w:rsidR="003C10B7" w:rsidRPr="007A6FE3">
        <w:t xml:space="preserve">used in the CPNI context </w:t>
      </w:r>
      <w:r w:rsidRPr="007A6FE3">
        <w:t xml:space="preserve">are appropriate for </w:t>
      </w:r>
      <w:r w:rsidR="00E979F6" w:rsidRPr="007A6FE3">
        <w:t>adaptation to</w:t>
      </w:r>
      <w:r w:rsidRPr="007A6FE3">
        <w:t xml:space="preserve"> th</w:t>
      </w:r>
      <w:r w:rsidR="003C10B7" w:rsidRPr="007A6FE3">
        <w:t>e copper retirement</w:t>
      </w:r>
      <w:r w:rsidRPr="007A6FE3">
        <w:t xml:space="preserve"> context.  What types of precautions </w:t>
      </w:r>
      <w:r w:rsidR="00827D73" w:rsidRPr="007A6FE3">
        <w:t>sh</w:t>
      </w:r>
      <w:r w:rsidRPr="007A6FE3">
        <w:t xml:space="preserve">ould we require to ensure that </w:t>
      </w:r>
      <w:r w:rsidR="006C08B7" w:rsidRPr="007A6FE3">
        <w:t xml:space="preserve">retail customers </w:t>
      </w:r>
      <w:r w:rsidRPr="007A6FE3">
        <w:t xml:space="preserve">have the information necessary to make informed decisions regarding their choices for telephone service?  </w:t>
      </w:r>
      <w:r w:rsidR="00013629" w:rsidRPr="007A6FE3">
        <w:t xml:space="preserve">How can we ensure </w:t>
      </w:r>
      <w:r w:rsidR="002C08E5" w:rsidRPr="007A6FE3">
        <w:t>that notice to customers with disabilities is provided in accessible formats</w:t>
      </w:r>
      <w:r w:rsidR="00013629" w:rsidRPr="007A6FE3">
        <w:t>?</w:t>
      </w:r>
      <w:r w:rsidR="002C08E5" w:rsidRPr="007A6FE3">
        <w:t xml:space="preserve">  </w:t>
      </w:r>
      <w:r w:rsidRPr="007A6FE3">
        <w:t xml:space="preserve">With respect to notification via e-mail, we </w:t>
      </w:r>
      <w:r w:rsidR="00C910B2" w:rsidRPr="007A6FE3">
        <w:t xml:space="preserve">seek comment on </w:t>
      </w:r>
      <w:r w:rsidRPr="007A6FE3">
        <w:t>requir</w:t>
      </w:r>
      <w:r w:rsidR="00827D73" w:rsidRPr="007A6FE3">
        <w:t>ing</w:t>
      </w:r>
      <w:r w:rsidRPr="007A6FE3">
        <w:t xml:space="preserve"> that carriers establish a method by which </w:t>
      </w:r>
      <w:r w:rsidR="002F29BD" w:rsidRPr="007A6FE3">
        <w:t xml:space="preserve">retail customers </w:t>
      </w:r>
      <w:r w:rsidRPr="007A6FE3">
        <w:t xml:space="preserve">may choose the option to receive communications </w:t>
      </w:r>
      <w:r w:rsidR="00827D73" w:rsidRPr="007A6FE3">
        <w:t>via e-mail</w:t>
      </w:r>
      <w:r w:rsidRPr="007A6FE3">
        <w:t xml:space="preserve"> and provide the e-mail address to which the incumbent LEC should send such communications.</w:t>
      </w:r>
      <w:r w:rsidR="008E2B58" w:rsidRPr="007A6FE3">
        <w:rPr>
          <w:rStyle w:val="FootnoteReference"/>
        </w:rPr>
        <w:footnoteReference w:id="161"/>
      </w:r>
      <w:r w:rsidRPr="007A6FE3">
        <w:t xml:space="preserve">  </w:t>
      </w:r>
      <w:r w:rsidR="00C910B2" w:rsidRPr="007A6FE3">
        <w:t xml:space="preserve">Would the fact that a </w:t>
      </w:r>
      <w:r w:rsidR="00683A4F" w:rsidRPr="007A6FE3">
        <w:t>customer</w:t>
      </w:r>
      <w:r w:rsidR="002F29BD" w:rsidRPr="007A6FE3">
        <w:t xml:space="preserve"> </w:t>
      </w:r>
      <w:r w:rsidR="00A05268" w:rsidRPr="007A6FE3">
        <w:t xml:space="preserve">has </w:t>
      </w:r>
      <w:r w:rsidR="00C910B2" w:rsidRPr="007A6FE3">
        <w:t xml:space="preserve">already </w:t>
      </w:r>
      <w:r w:rsidR="00A05268" w:rsidRPr="007A6FE3">
        <w:t>agreed to receive</w:t>
      </w:r>
      <w:r w:rsidR="00C910B2" w:rsidRPr="007A6FE3">
        <w:t xml:space="preserve"> mont</w:t>
      </w:r>
      <w:r w:rsidR="00A05268" w:rsidRPr="007A6FE3">
        <w:t>h</w:t>
      </w:r>
      <w:r w:rsidR="00C910B2" w:rsidRPr="007A6FE3">
        <w:t xml:space="preserve">ly bills </w:t>
      </w:r>
      <w:r w:rsidR="00A05268" w:rsidRPr="007A6FE3">
        <w:t xml:space="preserve">or other communications </w:t>
      </w:r>
      <w:r w:rsidR="00C910B2" w:rsidRPr="007A6FE3">
        <w:t xml:space="preserve">by e-mail demonstrate that the </w:t>
      </w:r>
      <w:r w:rsidR="00683A4F" w:rsidRPr="007A6FE3">
        <w:t>customer</w:t>
      </w:r>
      <w:r w:rsidR="002F29BD" w:rsidRPr="007A6FE3">
        <w:t xml:space="preserve"> </w:t>
      </w:r>
      <w:r w:rsidR="00A05268" w:rsidRPr="007A6FE3">
        <w:t>can be expected to</w:t>
      </w:r>
      <w:r w:rsidR="00C910B2" w:rsidRPr="007A6FE3">
        <w:t xml:space="preserve"> receive adequate notice of network changes by e-mail?  Should we</w:t>
      </w:r>
      <w:r w:rsidRPr="007A6FE3">
        <w:t xml:space="preserve"> require carriers to obtain express, verifiable, prior approval from </w:t>
      </w:r>
      <w:r w:rsidR="006C08B7" w:rsidRPr="007A6FE3">
        <w:t xml:space="preserve">retail customers </w:t>
      </w:r>
      <w:r w:rsidR="00827D73" w:rsidRPr="007A6FE3">
        <w:t xml:space="preserve">before </w:t>
      </w:r>
      <w:r w:rsidRPr="007A6FE3">
        <w:t>send</w:t>
      </w:r>
      <w:r w:rsidR="00827D73" w:rsidRPr="007A6FE3">
        <w:t>ing</w:t>
      </w:r>
      <w:r w:rsidRPr="007A6FE3">
        <w:t xml:space="preserve"> notices </w:t>
      </w:r>
      <w:r w:rsidR="009673FB" w:rsidRPr="007A6FE3">
        <w:t>by e-mail</w:t>
      </w:r>
      <w:r w:rsidR="00C910B2" w:rsidRPr="007A6FE3">
        <w:t>?</w:t>
      </w:r>
      <w:r w:rsidRPr="007A6FE3">
        <w:rPr>
          <w:rStyle w:val="FootnoteReference"/>
        </w:rPr>
        <w:footnoteReference w:id="162"/>
      </w:r>
      <w:r w:rsidRPr="007A6FE3">
        <w:t xml:space="preserve">  We also propose requir</w:t>
      </w:r>
      <w:r w:rsidR="00A15CD4" w:rsidRPr="007A6FE3">
        <w:t>ing</w:t>
      </w:r>
      <w:r w:rsidRPr="007A6FE3">
        <w:t xml:space="preserve"> that carriers send direct written notification in instances when an e-mail notice of a planned copper retirement is returned to the carrier as undeliverable.</w:t>
      </w:r>
      <w:r w:rsidRPr="007A6FE3">
        <w:rPr>
          <w:rStyle w:val="FootnoteReference"/>
        </w:rPr>
        <w:footnoteReference w:id="163"/>
      </w:r>
      <w:r w:rsidRPr="007A6FE3">
        <w:t xml:space="preserve">  Would such procedures be adequate to ensure that </w:t>
      </w:r>
      <w:r w:rsidR="009673FB" w:rsidRPr="007A6FE3">
        <w:t>subscriber</w:t>
      </w:r>
      <w:r w:rsidRPr="007A6FE3">
        <w:t xml:space="preserve">s receive notifications of planned copper retirements from incumbent LECs in a timely manner?  Should we also permit oral notice or electronic notice other than by e-mail, such as by </w:t>
      </w:r>
      <w:r w:rsidR="00A15CD4" w:rsidRPr="007A6FE3">
        <w:t xml:space="preserve">telephone call or </w:t>
      </w:r>
      <w:r w:rsidRPr="007A6FE3">
        <w:t>publication on an incumbent LEC’s website?  Would oral notification present opportunity for abuse or confusion?  Should notice requirements differ depending upon the size of the carrier</w:t>
      </w:r>
      <w:r w:rsidR="009673FB" w:rsidRPr="007A6FE3">
        <w:t xml:space="preserve"> or other factors</w:t>
      </w:r>
      <w:r w:rsidRPr="007A6FE3">
        <w:t>?</w:t>
      </w:r>
    </w:p>
    <w:p w14:paraId="795E3424" w14:textId="77777777" w:rsidR="00A12A60" w:rsidRPr="007A6FE3" w:rsidRDefault="00D52045" w:rsidP="000350B7">
      <w:pPr>
        <w:pStyle w:val="ParaNum0"/>
      </w:pPr>
      <w:r w:rsidRPr="007A6FE3">
        <w:t>To ensure that sufficient information remains available to enable us to enforce our proposed rules, w</w:t>
      </w:r>
      <w:r w:rsidR="00A12A60" w:rsidRPr="007A6FE3">
        <w:t xml:space="preserve">e propose </w:t>
      </w:r>
      <w:r w:rsidRPr="007A6FE3">
        <w:t xml:space="preserve">requiring that </w:t>
      </w:r>
      <w:r w:rsidR="00A12A60" w:rsidRPr="007A6FE3">
        <w:t>incumbent LEC</w:t>
      </w:r>
      <w:r w:rsidRPr="007A6FE3">
        <w:t>s</w:t>
      </w:r>
      <w:r w:rsidR="00A12A60" w:rsidRPr="007A6FE3">
        <w:t xml:space="preserve"> maintain records of customer notifications, in whatever form provided, for </w:t>
      </w:r>
      <w:r w:rsidR="005E324F" w:rsidRPr="007A6FE3">
        <w:t>a minimum period of time</w:t>
      </w:r>
      <w:r w:rsidR="00A12A60" w:rsidRPr="007A6FE3">
        <w:t xml:space="preserve">.  </w:t>
      </w:r>
      <w:r w:rsidR="005E324F" w:rsidRPr="007A6FE3">
        <w:t xml:space="preserve">We seek comment on this proposal. </w:t>
      </w:r>
      <w:r w:rsidR="001646EB">
        <w:t xml:space="preserve"> </w:t>
      </w:r>
      <w:r w:rsidR="005E324F" w:rsidRPr="007A6FE3">
        <w:t>If we impose such a requirement, what minimum retention period should we prescribe?  In what circumstances, if any, would the</w:t>
      </w:r>
      <w:r w:rsidR="00AB6517" w:rsidRPr="007A6FE3">
        <w:t xml:space="preserve"> burden imposed on incumbent LECs</w:t>
      </w:r>
      <w:r w:rsidR="005E324F" w:rsidRPr="007A6FE3">
        <w:t xml:space="preserve"> outweigh</w:t>
      </w:r>
      <w:r w:rsidR="00AB6517" w:rsidRPr="007A6FE3">
        <w:t xml:space="preserve"> the Commission’s need to h</w:t>
      </w:r>
      <w:r w:rsidR="00C853FB" w:rsidRPr="007A6FE3">
        <w:t>ave available to it records to evaluate</w:t>
      </w:r>
      <w:r w:rsidR="00AB6517" w:rsidRPr="007A6FE3">
        <w:t xml:space="preserve"> a provider’s compliance with our rules</w:t>
      </w:r>
      <w:r w:rsidR="00D064D1" w:rsidRPr="007A6FE3">
        <w:t>?</w:t>
      </w:r>
      <w:r w:rsidR="005E324F" w:rsidRPr="007A6FE3">
        <w:t xml:space="preserve">  What specific records should we require incumbent LECs to maintain, and in what format?</w:t>
      </w:r>
    </w:p>
    <w:p w14:paraId="2E0333C7" w14:textId="77777777" w:rsidR="00400695" w:rsidRPr="007A6FE3" w:rsidRDefault="00AF0809" w:rsidP="000350B7">
      <w:pPr>
        <w:pStyle w:val="ParaNum0"/>
      </w:pPr>
      <w:r w:rsidRPr="007A6FE3">
        <w:rPr>
          <w:i/>
        </w:rPr>
        <w:t xml:space="preserve">Content.  </w:t>
      </w:r>
      <w:r w:rsidR="00C9292F" w:rsidRPr="007A6FE3">
        <w:t xml:space="preserve">We believe that </w:t>
      </w:r>
      <w:r w:rsidR="006C08B7" w:rsidRPr="007A6FE3">
        <w:t xml:space="preserve">retail customers </w:t>
      </w:r>
      <w:r w:rsidR="00C9292F" w:rsidRPr="007A6FE3">
        <w:t xml:space="preserve">are entitled to clarity regarding the services available to them.  We therefore propose creating a requirement that the notices to subscribers affected by copper retirements state clearly and prominently </w:t>
      </w:r>
      <w:r w:rsidR="008A77F7" w:rsidRPr="007A6FE3">
        <w:t>that a retail customer “will still be able to purchase the existing service(s) to which he or she subscribes with the same functionalities and features as the service he or she currently purchases” if that statement is accurate; if this statement would be inaccurate, then we propose requiring the incumbent LEC to include a statement identifying any changes to the service(s) and the functionality and features thereof.</w:t>
      </w:r>
      <w:r w:rsidR="008A77F7" w:rsidRPr="007A6FE3">
        <w:rPr>
          <w:rStyle w:val="FootnoteReference"/>
        </w:rPr>
        <w:footnoteReference w:id="164"/>
      </w:r>
      <w:r w:rsidR="00D736F5" w:rsidRPr="007A6FE3">
        <w:t xml:space="preserve">  </w:t>
      </w:r>
      <w:r w:rsidR="00C9292F" w:rsidRPr="007A6FE3">
        <w:t>We seek comment on this proposal.</w:t>
      </w:r>
      <w:r w:rsidR="00400695" w:rsidRPr="007A6FE3">
        <w:t xml:space="preserve">  </w:t>
      </w:r>
      <w:r w:rsidR="008A77F7" w:rsidRPr="007A6FE3">
        <w:t xml:space="preserve">If the incumbent LEC cannot state accurately that the service(s) available to consumers will be unchanged, we would expect it to consider carefully whether it is required to file a discontinuance application pursuant to section 63.71 of our rules.  </w:t>
      </w:r>
      <w:r w:rsidR="00C9292F" w:rsidRPr="007A6FE3">
        <w:t xml:space="preserve">In that regard, we also seek comment on the allegations that in some cases, incumbent LECs are misleading </w:t>
      </w:r>
      <w:r w:rsidR="006C08B7" w:rsidRPr="007A6FE3">
        <w:t xml:space="preserve">retail customers </w:t>
      </w:r>
      <w:r w:rsidR="00C9292F" w:rsidRPr="007A6FE3">
        <w:t xml:space="preserve">into believing that they may no longer continue to receive legacy services (e.g., POTS) or, at a minimum, that incumbent LECs are failing to advise </w:t>
      </w:r>
      <w:r w:rsidR="006C08B7" w:rsidRPr="007A6FE3">
        <w:t xml:space="preserve">retail customers </w:t>
      </w:r>
      <w:r w:rsidR="00C9292F" w:rsidRPr="007A6FE3">
        <w:t>that their legacy service remains available over fiber.</w:t>
      </w:r>
    </w:p>
    <w:p w14:paraId="4BE625F2" w14:textId="77777777" w:rsidR="00A32C66" w:rsidRPr="007A6FE3" w:rsidRDefault="00400695" w:rsidP="000350B7">
      <w:pPr>
        <w:pStyle w:val="ParaNum0"/>
      </w:pPr>
      <w:r w:rsidRPr="007A6FE3">
        <w:t xml:space="preserve">Further, to be effective, the notice must provide </w:t>
      </w:r>
      <w:r w:rsidR="006C08B7" w:rsidRPr="007A6FE3">
        <w:t xml:space="preserve">retail customers </w:t>
      </w:r>
      <w:r w:rsidRPr="007A6FE3">
        <w:t xml:space="preserve">with the information that they need to understand </w:t>
      </w:r>
      <w:r w:rsidR="003C10B7" w:rsidRPr="007A6FE3">
        <w:t>the practical consequences of copper retirement</w:t>
      </w:r>
      <w:r w:rsidRPr="007A6FE3">
        <w:t>.  To ensure that the notice is sufficient to serve its intended purpose, w</w:t>
      </w:r>
      <w:r w:rsidR="00A32C66" w:rsidRPr="007A6FE3">
        <w:t xml:space="preserve">e propose minimum requirements for the content of notices to </w:t>
      </w:r>
      <w:r w:rsidR="009673FB" w:rsidRPr="007A6FE3">
        <w:t>subscriber</w:t>
      </w:r>
      <w:r w:rsidR="00A32C66" w:rsidRPr="007A6FE3">
        <w:t>s.</w:t>
      </w:r>
      <w:r w:rsidR="00A32C66" w:rsidRPr="007A6FE3">
        <w:rPr>
          <w:rStyle w:val="FootnoteReference"/>
        </w:rPr>
        <w:footnoteReference w:id="165"/>
      </w:r>
      <w:r w:rsidR="00A32C66" w:rsidRPr="007A6FE3">
        <w:t xml:space="preserve">  </w:t>
      </w:r>
      <w:r w:rsidR="000E3628" w:rsidRPr="007A6FE3">
        <w:t>Specifically</w:t>
      </w:r>
      <w:r w:rsidR="00A32C66" w:rsidRPr="007A6FE3">
        <w:t>, we propose certain requirements similar to those required by</w:t>
      </w:r>
      <w:r w:rsidR="009673FB" w:rsidRPr="007A6FE3">
        <w:t xml:space="preserve"> </w:t>
      </w:r>
      <w:r w:rsidR="00A32C66" w:rsidRPr="007A6FE3">
        <w:t xml:space="preserve">section 64.2008 of our rules for use of </w:t>
      </w:r>
      <w:r w:rsidR="009673FB" w:rsidRPr="007A6FE3">
        <w:t xml:space="preserve">CPNI and by section 63.71 of our rules for notice to affected </w:t>
      </w:r>
      <w:r w:rsidR="006C08B7" w:rsidRPr="007A6FE3">
        <w:t xml:space="preserve">customers </w:t>
      </w:r>
      <w:r w:rsidR="009673FB" w:rsidRPr="007A6FE3">
        <w:t>of planned service discontinuances</w:t>
      </w:r>
      <w:r w:rsidR="00A32C66" w:rsidRPr="007A6FE3">
        <w:t xml:space="preserve">. </w:t>
      </w:r>
      <w:r w:rsidR="00233B4F" w:rsidRPr="007A6FE3">
        <w:t xml:space="preserve"> </w:t>
      </w:r>
      <w:r w:rsidR="000E3628" w:rsidRPr="007A6FE3">
        <w:t>Further</w:t>
      </w:r>
      <w:r w:rsidR="00A32C66" w:rsidRPr="007A6FE3">
        <w:t>, we propose requir</w:t>
      </w:r>
      <w:r w:rsidR="000E3628" w:rsidRPr="007A6FE3">
        <w:t>ing</w:t>
      </w:r>
      <w:r w:rsidR="00A32C66" w:rsidRPr="007A6FE3">
        <w:t xml:space="preserve"> that the notice </w:t>
      </w:r>
      <w:r w:rsidR="008E2B58" w:rsidRPr="007A6FE3">
        <w:t xml:space="preserve">provide sufficient information and </w:t>
      </w:r>
      <w:r w:rsidR="00A32C66" w:rsidRPr="007A6FE3">
        <w:t xml:space="preserve">that it contain a clear statement of the </w:t>
      </w:r>
      <w:r w:rsidR="006C08B7" w:rsidRPr="007A6FE3">
        <w:t xml:space="preserve">customer’s </w:t>
      </w:r>
      <w:r w:rsidR="00A32C66" w:rsidRPr="007A6FE3">
        <w:t xml:space="preserve">rights and the process by which the </w:t>
      </w:r>
      <w:r w:rsidR="006C08B7" w:rsidRPr="007A6FE3">
        <w:t xml:space="preserve">customer </w:t>
      </w:r>
      <w:r w:rsidR="00A32C66" w:rsidRPr="007A6FE3">
        <w:t xml:space="preserve">may </w:t>
      </w:r>
      <w:r w:rsidR="006D4C0B" w:rsidRPr="007A6FE3">
        <w:t>comment on</w:t>
      </w:r>
      <w:r w:rsidR="00A32C66" w:rsidRPr="007A6FE3">
        <w:t xml:space="preserve"> the planned copper retirement.</w:t>
      </w:r>
      <w:r w:rsidR="009673FB" w:rsidRPr="007A6FE3">
        <w:rPr>
          <w:rStyle w:val="FootnoteReference"/>
        </w:rPr>
        <w:footnoteReference w:id="166"/>
      </w:r>
      <w:r w:rsidR="006D4C0B" w:rsidRPr="007A6FE3">
        <w:t xml:space="preserve">  </w:t>
      </w:r>
      <w:r w:rsidR="00B6173E" w:rsidRPr="007A6FE3">
        <w:t xml:space="preserve">We seek comment on these proposals.  </w:t>
      </w:r>
    </w:p>
    <w:p w14:paraId="574A87C9" w14:textId="77777777" w:rsidR="00A32C66" w:rsidRPr="007A6FE3" w:rsidRDefault="00A32C66" w:rsidP="006B4FDC">
      <w:pPr>
        <w:pStyle w:val="ParaNum0"/>
        <w:widowControl/>
      </w:pPr>
      <w:r w:rsidRPr="007A6FE3">
        <w:t xml:space="preserve">We </w:t>
      </w:r>
      <w:r w:rsidR="00C853FB" w:rsidRPr="007A6FE3">
        <w:t xml:space="preserve">further </w:t>
      </w:r>
      <w:r w:rsidRPr="007A6FE3">
        <w:t xml:space="preserve">seek comment on whether these proposed minimum </w:t>
      </w:r>
      <w:r w:rsidR="00A12A60" w:rsidRPr="007A6FE3">
        <w:t xml:space="preserve">customer notice </w:t>
      </w:r>
      <w:r w:rsidRPr="007A6FE3">
        <w:t xml:space="preserve">requirements are adequate to protect consumer interests.  Should there be additional requirements?  </w:t>
      </w:r>
      <w:r w:rsidR="00300520" w:rsidRPr="007A6FE3">
        <w:t xml:space="preserve">Are any different or additional notice requirements necessary for certain populations, such as those who are not proficient in English or consumers with disabilities?  </w:t>
      </w:r>
      <w:r w:rsidRPr="007A6FE3">
        <w:t>Do these requirements place too onerous a burden on incumbent LECs?  We</w:t>
      </w:r>
      <w:r w:rsidRPr="007A6FE3">
        <w:rPr>
          <w:szCs w:val="22"/>
        </w:rPr>
        <w:t xml:space="preserve"> also seek comment on whether the incumbent LEC should be required to make additional efforts to contact </w:t>
      </w:r>
      <w:r w:rsidR="006C08B7" w:rsidRPr="007A6FE3">
        <w:rPr>
          <w:szCs w:val="22"/>
        </w:rPr>
        <w:t xml:space="preserve">retail customers </w:t>
      </w:r>
      <w:r w:rsidRPr="007A6FE3">
        <w:rPr>
          <w:szCs w:val="22"/>
        </w:rPr>
        <w:t>who do not contact the incumbent LEC to schedule a service call</w:t>
      </w:r>
      <w:r w:rsidR="009A0F3D" w:rsidRPr="007A6FE3">
        <w:rPr>
          <w:szCs w:val="22"/>
        </w:rPr>
        <w:t xml:space="preserve"> in instances when an incumbent LEC technician must visit the </w:t>
      </w:r>
      <w:r w:rsidR="006C08B7" w:rsidRPr="007A6FE3">
        <w:rPr>
          <w:szCs w:val="22"/>
        </w:rPr>
        <w:t xml:space="preserve">customers’ </w:t>
      </w:r>
      <w:r w:rsidR="009A0F3D" w:rsidRPr="007A6FE3">
        <w:rPr>
          <w:szCs w:val="22"/>
        </w:rPr>
        <w:t>premises to complete work to effectuate the copper retirement</w:t>
      </w:r>
      <w:r w:rsidRPr="007A6FE3">
        <w:rPr>
          <w:szCs w:val="22"/>
        </w:rPr>
        <w:t xml:space="preserve">.  </w:t>
      </w:r>
    </w:p>
    <w:p w14:paraId="6147FFD0" w14:textId="77777777" w:rsidR="00A32C66" w:rsidRPr="007A6FE3" w:rsidRDefault="00AF0809" w:rsidP="00752DC3">
      <w:pPr>
        <w:pStyle w:val="ParaNum0"/>
      </w:pPr>
      <w:r w:rsidRPr="007A6FE3">
        <w:rPr>
          <w:i/>
        </w:rPr>
        <w:t xml:space="preserve">Timing.  </w:t>
      </w:r>
      <w:r w:rsidR="006C08B7" w:rsidRPr="007A6FE3">
        <w:t xml:space="preserve">Retail customers </w:t>
      </w:r>
      <w:r w:rsidR="00400695" w:rsidRPr="007A6FE3">
        <w:t xml:space="preserve">will need an opportunity to educate themselves regarding the implications of the planned copper retirement.  </w:t>
      </w:r>
      <w:r w:rsidR="00A32C66" w:rsidRPr="007A6FE3">
        <w:t>We propose requir</w:t>
      </w:r>
      <w:r w:rsidR="009A0F3D" w:rsidRPr="007A6FE3">
        <w:t>ing</w:t>
      </w:r>
      <w:r w:rsidR="00A32C66" w:rsidRPr="007A6FE3">
        <w:t xml:space="preserve"> that </w:t>
      </w:r>
      <w:r w:rsidR="009A0F3D" w:rsidRPr="007A6FE3">
        <w:t xml:space="preserve">incumbent LECs give </w:t>
      </w:r>
      <w:r w:rsidR="009673FB" w:rsidRPr="007A6FE3">
        <w:t>subscriber</w:t>
      </w:r>
      <w:r w:rsidR="00A32C66" w:rsidRPr="007A6FE3">
        <w:t xml:space="preserve">s the same amount of notice </w:t>
      </w:r>
      <w:r w:rsidR="009A0F3D" w:rsidRPr="007A6FE3">
        <w:t xml:space="preserve">that they give to </w:t>
      </w:r>
      <w:r w:rsidR="00A32C66" w:rsidRPr="007A6FE3">
        <w:t>interconnected providers</w:t>
      </w:r>
      <w:r w:rsidR="00400695" w:rsidRPr="007A6FE3">
        <w:t xml:space="preserve">, which we believe provides sufficient time for </w:t>
      </w:r>
      <w:r w:rsidR="002F29BD" w:rsidRPr="007A6FE3">
        <w:t xml:space="preserve">subscribers </w:t>
      </w:r>
      <w:r w:rsidR="00400695" w:rsidRPr="007A6FE3">
        <w:t>to become educated about the proposal</w:t>
      </w:r>
      <w:r w:rsidR="00A32C66" w:rsidRPr="007A6FE3">
        <w:t>.</w:t>
      </w:r>
      <w:r w:rsidR="005B725C" w:rsidRPr="007A6FE3">
        <w:rPr>
          <w:rStyle w:val="FootnoteReference"/>
        </w:rPr>
        <w:footnoteReference w:id="167"/>
      </w:r>
      <w:r w:rsidR="00A32C66" w:rsidRPr="007A6FE3">
        <w:t xml:space="preserve">  We seek comment on this proposal and</w:t>
      </w:r>
      <w:r w:rsidR="00400695" w:rsidRPr="007A6FE3">
        <w:t>, in the alternative,</w:t>
      </w:r>
      <w:r w:rsidR="00A32C66" w:rsidRPr="007A6FE3">
        <w:t xml:space="preserve"> on </w:t>
      </w:r>
      <w:r w:rsidR="009A0F3D" w:rsidRPr="007A6FE3">
        <w:t xml:space="preserve">what </w:t>
      </w:r>
      <w:r w:rsidR="00A32C66" w:rsidRPr="007A6FE3">
        <w:t xml:space="preserve">the appropriate notice period </w:t>
      </w:r>
      <w:r w:rsidR="009A0F3D" w:rsidRPr="007A6FE3">
        <w:t>should be</w:t>
      </w:r>
      <w:r w:rsidR="00A32C66" w:rsidRPr="007A6FE3">
        <w:t>.  We also propose allow</w:t>
      </w:r>
      <w:r w:rsidR="000916E5" w:rsidRPr="007A6FE3">
        <w:t>ing</w:t>
      </w:r>
      <w:r w:rsidR="00A32C66" w:rsidRPr="007A6FE3">
        <w:t xml:space="preserve"> </w:t>
      </w:r>
      <w:r w:rsidR="006C08B7" w:rsidRPr="007A6FE3">
        <w:t xml:space="preserve">retail customers </w:t>
      </w:r>
      <w:r w:rsidR="00A363F5" w:rsidRPr="007A6FE3">
        <w:t xml:space="preserve">30 </w:t>
      </w:r>
      <w:r w:rsidR="00A32C66" w:rsidRPr="007A6FE3">
        <w:t xml:space="preserve">days in which to </w:t>
      </w:r>
      <w:r w:rsidR="0071352C" w:rsidRPr="007A6FE3">
        <w:t xml:space="preserve">comment on </w:t>
      </w:r>
      <w:r w:rsidR="00A32C66" w:rsidRPr="007A6FE3">
        <w:t>a proposed copper retirement</w:t>
      </w:r>
      <w:r w:rsidR="0071352C" w:rsidRPr="007A6FE3">
        <w:t xml:space="preserve"> from the date the </w:t>
      </w:r>
      <w:r w:rsidR="00481A1A" w:rsidRPr="007A6FE3">
        <w:t xml:space="preserve">Bureau </w:t>
      </w:r>
      <w:r w:rsidR="00857D75" w:rsidRPr="007A6FE3">
        <w:t>releases its Public Notice</w:t>
      </w:r>
      <w:r w:rsidR="00A32C66" w:rsidRPr="007A6FE3">
        <w:t>.</w:t>
      </w:r>
      <w:r w:rsidR="00D00784" w:rsidRPr="007A6FE3">
        <w:rPr>
          <w:rStyle w:val="FootnoteReference"/>
        </w:rPr>
        <w:footnoteReference w:id="168"/>
      </w:r>
      <w:r w:rsidR="00400695" w:rsidRPr="007A6FE3">
        <w:t xml:space="preserve">  This matches the amount of time that interconnecting carriers have to comment, and we believe it strikes the correct balance between providing </w:t>
      </w:r>
      <w:r w:rsidR="002F29BD" w:rsidRPr="007A6FE3">
        <w:t xml:space="preserve">retail customers </w:t>
      </w:r>
      <w:r w:rsidR="00400695" w:rsidRPr="007A6FE3">
        <w:t>with sufficient time to comment and ensuring certainty in our retirement process.</w:t>
      </w:r>
      <w:r w:rsidR="00A32C66" w:rsidRPr="007A6FE3">
        <w:t xml:space="preserve">  </w:t>
      </w:r>
      <w:r w:rsidR="00A363F5" w:rsidRPr="007A6FE3">
        <w:t>We seek comment on th</w:t>
      </w:r>
      <w:r w:rsidR="000916E5" w:rsidRPr="007A6FE3">
        <w:t>i</w:t>
      </w:r>
      <w:r w:rsidR="00A363F5" w:rsidRPr="007A6FE3">
        <w:t xml:space="preserve">s proposal. </w:t>
      </w:r>
    </w:p>
    <w:p w14:paraId="222DA794" w14:textId="77777777" w:rsidR="001E1581" w:rsidRPr="007A6FE3" w:rsidRDefault="001E1581" w:rsidP="006B4FDC">
      <w:pPr>
        <w:pStyle w:val="ParaNum0"/>
        <w:widowControl/>
      </w:pPr>
      <w:r w:rsidRPr="007A6FE3">
        <w:rPr>
          <w:i/>
        </w:rPr>
        <w:t>Statutory Authority.</w:t>
      </w:r>
      <w:r w:rsidRPr="007A6FE3">
        <w:t xml:space="preserve">  To what extent does our </w:t>
      </w:r>
      <w:r w:rsidR="00515700" w:rsidRPr="007A6FE3">
        <w:t>s</w:t>
      </w:r>
      <w:r w:rsidRPr="007A6FE3">
        <w:t xml:space="preserve">ection 251(c)(5) authority support our proposals?  Is there any reason that </w:t>
      </w:r>
      <w:r w:rsidR="002F29BD" w:rsidRPr="007A6FE3">
        <w:t xml:space="preserve">retail customers </w:t>
      </w:r>
      <w:r w:rsidRPr="007A6FE3">
        <w:t xml:space="preserve">should not be understood as persons entitled to receipt of “public notice”?  Are the proposals above “reasonable”?  </w:t>
      </w:r>
      <w:r w:rsidR="00C66F33" w:rsidRPr="007A6FE3">
        <w:t xml:space="preserve">To find that we have the necessary legal authority under </w:t>
      </w:r>
      <w:r w:rsidR="00515700" w:rsidRPr="007A6FE3">
        <w:t>s</w:t>
      </w:r>
      <w:r w:rsidR="00C66F33" w:rsidRPr="007A6FE3">
        <w:t xml:space="preserve">ection 251(c)(5), is it necessary to conclude that the information that is subject to our proposal is either “necessary for the transmission and routing of services using that local exchange carrier’s facilities or networks” or that it would “affect the interoperability of those facilities and networks,” and if so is one of those standards met?  Are there other sources of legal authority that would support the proposals above?  </w:t>
      </w:r>
      <w:r w:rsidR="008A77F7" w:rsidRPr="007A6FE3">
        <w:t>In addition,</w:t>
      </w:r>
      <w:r w:rsidR="00392B5F" w:rsidRPr="007A6FE3">
        <w:t xml:space="preserve"> we seek comment on whether our</w:t>
      </w:r>
      <w:r w:rsidR="008A77F7" w:rsidRPr="007A6FE3">
        <w:t xml:space="preserve"> proposal</w:t>
      </w:r>
      <w:r w:rsidR="00392B5F" w:rsidRPr="007A6FE3">
        <w:t>s advance</w:t>
      </w:r>
      <w:r w:rsidR="008A77F7" w:rsidRPr="007A6FE3">
        <w:t xml:space="preserve"> important government interests and on whether any other less restrictive approaches would accomplish our consumer protection goals. </w:t>
      </w:r>
    </w:p>
    <w:p w14:paraId="4C82AA83" w14:textId="77777777" w:rsidR="00E553D9" w:rsidRPr="007A6FE3" w:rsidRDefault="00E553D9" w:rsidP="00C66F33">
      <w:pPr>
        <w:pStyle w:val="ParaNum0"/>
      </w:pPr>
      <w:r w:rsidRPr="007A6FE3">
        <w:rPr>
          <w:i/>
        </w:rPr>
        <w:t xml:space="preserve">Section 68.110(b). </w:t>
      </w:r>
      <w:r w:rsidR="001646EB">
        <w:rPr>
          <w:i/>
        </w:rPr>
        <w:t xml:space="preserve"> </w:t>
      </w:r>
      <w:r w:rsidRPr="007A6FE3">
        <w:t>Section 68.110(b) of our rules provides that</w:t>
      </w:r>
      <w:r w:rsidR="006A6CCD">
        <w:t>:</w:t>
      </w:r>
    </w:p>
    <w:p w14:paraId="4BD443F2" w14:textId="77777777" w:rsidR="00E553D9" w:rsidRPr="007A6FE3" w:rsidRDefault="00E553D9" w:rsidP="003F0F7D">
      <w:pPr>
        <w:pStyle w:val="ParaNum0"/>
        <w:widowControl/>
        <w:numPr>
          <w:ilvl w:val="0"/>
          <w:numId w:val="0"/>
        </w:numPr>
        <w:ind w:left="1440" w:right="1440"/>
      </w:pPr>
      <w:r w:rsidRPr="007A6FE3">
        <w:t>A provider of wireline telecommunications may make changes in its communications facilities, equipment, operations or procedures, where such action is reasonably required in the operation of its business and is not inconsistent with the rules and regulations in this part.  If such changes can be reasonably expected to render any customer’s terminal equipment incompatible with the communications facilities of the provider of wireline telecommunications, or require modification or alteration of such terminal equipment, or otherwise materially affect its use or performance, the customer shall be given adequate notice in writing, to allow the customer an opportunity to maintain uninterrupted service.</w:t>
      </w:r>
      <w:r w:rsidRPr="007A6FE3">
        <w:rPr>
          <w:rStyle w:val="FootnoteReference"/>
        </w:rPr>
        <w:footnoteReference w:id="169"/>
      </w:r>
    </w:p>
    <w:p w14:paraId="293F8B62" w14:textId="77777777" w:rsidR="00E553D9" w:rsidRPr="007A6FE3" w:rsidRDefault="00E553D9" w:rsidP="008F291C">
      <w:pPr>
        <w:pStyle w:val="ParaNum0"/>
        <w:numPr>
          <w:ilvl w:val="0"/>
          <w:numId w:val="0"/>
        </w:numPr>
      </w:pPr>
      <w:r w:rsidRPr="007A6FE3">
        <w:t xml:space="preserve">What can we learn from section 68.110(b) in the context of our present customer notice proposal?  Has this provision benefitted </w:t>
      </w:r>
      <w:r w:rsidR="00C83BD2" w:rsidRPr="007A6FE3">
        <w:t>customers</w:t>
      </w:r>
      <w:r w:rsidRPr="007A6FE3">
        <w:t xml:space="preserve">?  To what extent does this provision </w:t>
      </w:r>
      <w:r w:rsidR="00037E8D" w:rsidRPr="007A6FE3">
        <w:t xml:space="preserve">authorize or otherwise </w:t>
      </w:r>
      <w:r w:rsidRPr="007A6FE3">
        <w:t xml:space="preserve">relate to or overlap with our proposed </w:t>
      </w:r>
      <w:r w:rsidR="00CE4DFC" w:rsidRPr="007A6FE3">
        <w:t>customer</w:t>
      </w:r>
      <w:r w:rsidRPr="007A6FE3">
        <w:t xml:space="preserve"> notice?  Is the overlap, if any, beneficial in ensuring </w:t>
      </w:r>
      <w:r w:rsidR="002F29BD" w:rsidRPr="007A6FE3">
        <w:t xml:space="preserve">customer </w:t>
      </w:r>
      <w:r w:rsidRPr="007A6FE3">
        <w:t xml:space="preserve">understanding of the impact of various technology transitions, or does it render any portion of our proposal superfluous?  Should section 68.110(b) serve as a model for </w:t>
      </w:r>
      <w:r w:rsidR="00CE4DFC" w:rsidRPr="007A6FE3">
        <w:t xml:space="preserve">customer </w:t>
      </w:r>
      <w:r w:rsidRPr="007A6FE3">
        <w:t xml:space="preserve">notice requirements in the copper retirement context, and if so how?  </w:t>
      </w:r>
    </w:p>
    <w:p w14:paraId="05D2FABC" w14:textId="77777777" w:rsidR="00676AC6" w:rsidRPr="007A6FE3" w:rsidRDefault="000916E5" w:rsidP="006B4FDC">
      <w:pPr>
        <w:pStyle w:val="Heading6"/>
        <w:keepNext/>
      </w:pPr>
      <w:bookmarkStart w:id="304" w:name="_Toc400711702"/>
      <w:r w:rsidRPr="007A6FE3">
        <w:t xml:space="preserve">Upselling and </w:t>
      </w:r>
      <w:r w:rsidR="000C278C" w:rsidRPr="007A6FE3">
        <w:t>c</w:t>
      </w:r>
      <w:r w:rsidRPr="007A6FE3">
        <w:t>onsumer</w:t>
      </w:r>
      <w:r w:rsidR="00684DB4" w:rsidRPr="007A6FE3">
        <w:t xml:space="preserve"> </w:t>
      </w:r>
      <w:r w:rsidR="000C278C" w:rsidRPr="007A6FE3">
        <w:t>e</w:t>
      </w:r>
      <w:r w:rsidR="00676AC6" w:rsidRPr="007A6FE3">
        <w:t>ducation</w:t>
      </w:r>
      <w:bookmarkEnd w:id="304"/>
    </w:p>
    <w:p w14:paraId="09E9A065" w14:textId="77777777" w:rsidR="00527CEA" w:rsidRPr="007A6FE3" w:rsidRDefault="003F010E" w:rsidP="0090552A">
      <w:pPr>
        <w:pStyle w:val="ParaNum0"/>
      </w:pPr>
      <w:r w:rsidRPr="007A6FE3">
        <w:t xml:space="preserve">As noted above, </w:t>
      </w:r>
      <w:r w:rsidR="000916E5" w:rsidRPr="007A6FE3">
        <w:t>Public Knowledge and NASUCA have expressed concerns that incumbent LECs may take advantage of copper retirements to “upsell” subscribers—i.e., try to convince customers to purchase more profitable bundles of services</w:t>
      </w:r>
      <w:r w:rsidR="001204F9" w:rsidRPr="007A6FE3">
        <w:t xml:space="preserve"> in interactions that ostensibly are intended to prepare the customer for a change in </w:t>
      </w:r>
      <w:r w:rsidR="001204F9" w:rsidRPr="007A6FE3">
        <w:rPr>
          <w:i/>
        </w:rPr>
        <w:t xml:space="preserve">facilities </w:t>
      </w:r>
      <w:r w:rsidR="001204F9" w:rsidRPr="007A6FE3">
        <w:t>only (e.g., copper to fiber)</w:t>
      </w:r>
      <w:r w:rsidR="000916E5" w:rsidRPr="007A6FE3">
        <w:t>.</w:t>
      </w:r>
      <w:r w:rsidR="000916E5" w:rsidRPr="007A6FE3">
        <w:rPr>
          <w:rStyle w:val="FootnoteReference"/>
        </w:rPr>
        <w:footnoteReference w:id="170"/>
      </w:r>
      <w:r w:rsidR="000916E5" w:rsidRPr="007A6FE3">
        <w:t xml:space="preserve">  </w:t>
      </w:r>
      <w:r w:rsidR="00CB39E6" w:rsidRPr="007A6FE3">
        <w:t xml:space="preserve">We </w:t>
      </w:r>
      <w:r w:rsidR="004C7371" w:rsidRPr="007A6FE3">
        <w:t xml:space="preserve">seek </w:t>
      </w:r>
      <w:r w:rsidR="00CB39E6" w:rsidRPr="007A6FE3">
        <w:t xml:space="preserve">comment on </w:t>
      </w:r>
      <w:r w:rsidR="004C7371" w:rsidRPr="007A6FE3">
        <w:t>whether</w:t>
      </w:r>
      <w:r w:rsidR="00CB39E6" w:rsidRPr="007A6FE3">
        <w:t xml:space="preserve"> </w:t>
      </w:r>
      <w:r w:rsidR="004C7371" w:rsidRPr="007A6FE3">
        <w:t xml:space="preserve">this </w:t>
      </w:r>
      <w:r w:rsidR="00CB39E6" w:rsidRPr="007A6FE3">
        <w:t>practice</w:t>
      </w:r>
      <w:r w:rsidR="004C7371" w:rsidRPr="007A6FE3">
        <w:t xml:space="preserve"> occurs or is reasonably foreseeable</w:t>
      </w:r>
      <w:r w:rsidR="00CB39E6" w:rsidRPr="007A6FE3">
        <w:t>, the circumstances in which it occurs</w:t>
      </w:r>
      <w:r w:rsidR="004C7371" w:rsidRPr="007A6FE3">
        <w:t xml:space="preserve"> or would be reasonably foreseeable</w:t>
      </w:r>
      <w:r w:rsidR="00CB39E6" w:rsidRPr="007A6FE3">
        <w:t>, and whether and how it harms</w:t>
      </w:r>
      <w:r w:rsidR="004C7371" w:rsidRPr="007A6FE3">
        <w:t xml:space="preserve"> or would harm</w:t>
      </w:r>
      <w:r w:rsidR="00CB39E6" w:rsidRPr="007A6FE3">
        <w:t xml:space="preserve"> consumers.  </w:t>
      </w:r>
      <w:r w:rsidR="00E74AD6" w:rsidRPr="007A6FE3">
        <w:t>Does</w:t>
      </w:r>
      <w:r w:rsidR="00CB39E6" w:rsidRPr="007A6FE3">
        <w:t xml:space="preserve"> u</w:t>
      </w:r>
      <w:r w:rsidR="000916E5" w:rsidRPr="007A6FE3">
        <w:t xml:space="preserve">pselling in such circumstances increase the likelihood of </w:t>
      </w:r>
      <w:r w:rsidR="006C08B7" w:rsidRPr="007A6FE3">
        <w:t xml:space="preserve">customer </w:t>
      </w:r>
      <w:r w:rsidR="000916E5" w:rsidRPr="007A6FE3">
        <w:t>confusion</w:t>
      </w:r>
      <w:r w:rsidR="00E74AD6" w:rsidRPr="007A6FE3">
        <w:t>?</w:t>
      </w:r>
      <w:r w:rsidR="000916E5" w:rsidRPr="007A6FE3">
        <w:t xml:space="preserve">  </w:t>
      </w:r>
      <w:r w:rsidR="00527CEA" w:rsidRPr="007A6FE3">
        <w:t xml:space="preserve">We are concerned </w:t>
      </w:r>
      <w:r w:rsidR="006F51C0" w:rsidRPr="007A6FE3">
        <w:t>by</w:t>
      </w:r>
      <w:r w:rsidR="00527CEA" w:rsidRPr="007A6FE3">
        <w:t xml:space="preserve"> a number of </w:t>
      </w:r>
      <w:r w:rsidR="00D165BE" w:rsidRPr="007A6FE3">
        <w:t>consumer</w:t>
      </w:r>
      <w:r w:rsidR="00527CEA" w:rsidRPr="007A6FE3">
        <w:t xml:space="preserve"> allegations that copper retirements have resulted in changes to their service may stem from aggressive or confusing upselling.  </w:t>
      </w:r>
    </w:p>
    <w:p w14:paraId="62BAE89A" w14:textId="77777777" w:rsidR="009A7127" w:rsidRPr="007A6FE3" w:rsidRDefault="008A77F7" w:rsidP="00750038">
      <w:pPr>
        <w:pStyle w:val="ParaNum0"/>
      </w:pPr>
      <w:r w:rsidRPr="007A6FE3">
        <w:t xml:space="preserve">We therefore propose requiring incumbent LECs to supply a neutral statement of the various choices that the LEC makes available to retail customers affected by the planned network change.  </w:t>
      </w:r>
      <w:r w:rsidR="00180A3E" w:rsidRPr="007A6FE3">
        <w:t xml:space="preserve">We seek comment on this proposal.  We anticipate that it would enable consumers to make informed choices and to have the tools to determine for themselves what services to purchase.  Should we require that this information be provided as a part of the consumer notice discussed above or separately from that notice?  Should we require that this information be communicated in writing, or should oral communication be permissible?  </w:t>
      </w:r>
      <w:r w:rsidR="00013629" w:rsidRPr="007A6FE3">
        <w:t>How can we ensure that such</w:t>
      </w:r>
      <w:r w:rsidR="006375C2" w:rsidRPr="007A6FE3">
        <w:t xml:space="preserve"> information </w:t>
      </w:r>
      <w:r w:rsidR="00013629" w:rsidRPr="007A6FE3">
        <w:t xml:space="preserve">is </w:t>
      </w:r>
      <w:r w:rsidR="006375C2" w:rsidRPr="007A6FE3">
        <w:t>accessible to people with disabilities</w:t>
      </w:r>
      <w:r w:rsidR="00013629" w:rsidRPr="007A6FE3">
        <w:t>?</w:t>
      </w:r>
      <w:r w:rsidR="006375C2" w:rsidRPr="007A6FE3">
        <w:t xml:space="preserve">  </w:t>
      </w:r>
    </w:p>
    <w:p w14:paraId="377A58B4" w14:textId="77777777" w:rsidR="00180A3E" w:rsidRPr="007A6FE3" w:rsidRDefault="00180A3E" w:rsidP="00750038">
      <w:pPr>
        <w:pStyle w:val="ParaNum0"/>
      </w:pPr>
      <w:r w:rsidRPr="007A6FE3">
        <w:t>What kinds of services should we require the incumbent LEC to identify?  Should it be required to identify services reasonably comparable to those to which the</w:t>
      </w:r>
      <w:r w:rsidR="006C08B7" w:rsidRPr="007A6FE3">
        <w:t xml:space="preserve"> retail customer </w:t>
      </w:r>
      <w:r w:rsidRPr="007A6FE3">
        <w:t xml:space="preserve">presently subscribes, or should a different standard apply?  For voice services, should it be required to identify both facilities-based interconnected VoIP and TDM-based services?  Should it ever be required to identify non-facilities-based services?  </w:t>
      </w:r>
      <w:r w:rsidR="006375C2" w:rsidRPr="007A6FE3">
        <w:t xml:space="preserve">Should it specifically be required to identify services designed for people with disabilities?  </w:t>
      </w:r>
      <w:r w:rsidRPr="007A6FE3">
        <w:t xml:space="preserve">We seek comment on whether the proposal would serve this purpose, whether it would address concerns about upselling, and whether it has any other benefits.  We also seek comment on its drawbacks.  </w:t>
      </w:r>
      <w:r w:rsidR="001204F9" w:rsidRPr="007A6FE3">
        <w:t>In addition, w</w:t>
      </w:r>
      <w:r w:rsidRPr="007A6FE3">
        <w:t xml:space="preserve">e seek comment on whether this proposal advances important government interests and on whether any other less restrictive approaches would accomplish our consumer protection goals.  </w:t>
      </w:r>
    </w:p>
    <w:p w14:paraId="6BA9B56C" w14:textId="77777777" w:rsidR="00435805" w:rsidRPr="007A6FE3" w:rsidRDefault="00676AC6" w:rsidP="0090552A">
      <w:pPr>
        <w:pStyle w:val="ParaNum0"/>
      </w:pPr>
      <w:r w:rsidRPr="007A6FE3">
        <w:t>We</w:t>
      </w:r>
      <w:r w:rsidR="00C853FB" w:rsidRPr="007A6FE3">
        <w:t xml:space="preserve"> further</w:t>
      </w:r>
      <w:r w:rsidRPr="007A6FE3">
        <w:t xml:space="preserve"> seek </w:t>
      </w:r>
      <w:r w:rsidR="004B2C7B" w:rsidRPr="007A6FE3">
        <w:t>comment</w:t>
      </w:r>
      <w:r w:rsidRPr="007A6FE3">
        <w:t xml:space="preserve"> </w:t>
      </w:r>
      <w:r w:rsidR="004B2C7B" w:rsidRPr="007A6FE3">
        <w:t>on whether we should require incumbent LECs to undertake additional measures beyond the notice described above</w:t>
      </w:r>
      <w:r w:rsidRPr="007A6FE3">
        <w:t xml:space="preserve"> to educate their </w:t>
      </w:r>
      <w:r w:rsidR="006C08B7" w:rsidRPr="007A6FE3">
        <w:t xml:space="preserve">retail customers </w:t>
      </w:r>
      <w:r w:rsidRPr="007A6FE3">
        <w:t>regarding planned copper retirements by which they may be affected</w:t>
      </w:r>
      <w:r w:rsidR="004B2C7B" w:rsidRPr="007A6FE3">
        <w:t>, and, if so, what measures should be required</w:t>
      </w:r>
      <w:r w:rsidRPr="007A6FE3">
        <w:t xml:space="preserve">.  The </w:t>
      </w:r>
      <w:r w:rsidR="004B2C7B" w:rsidRPr="007A6FE3">
        <w:t>Commission</w:t>
      </w:r>
      <w:r w:rsidRPr="007A6FE3">
        <w:t xml:space="preserve"> required broadcasters to undertake </w:t>
      </w:r>
      <w:r w:rsidR="004B2C7B" w:rsidRPr="007A6FE3">
        <w:t>consumer education initiatives</w:t>
      </w:r>
      <w:r w:rsidRPr="007A6FE3">
        <w:t xml:space="preserve"> in connection with the DTV transition in order “to ensure that consumers will receive the information they need to make proper preparations for the digital transition of the stations on which they rely for television service.”</w:t>
      </w:r>
      <w:r w:rsidRPr="007A6FE3">
        <w:rPr>
          <w:rStyle w:val="FootnoteReference"/>
        </w:rPr>
        <w:footnoteReference w:id="171"/>
      </w:r>
      <w:r w:rsidRPr="007A6FE3">
        <w:t xml:space="preserve">  Is a similar education initiative necessary in the context of transitioning consumers away from legacy copper-based services?  </w:t>
      </w:r>
      <w:r w:rsidR="004B2C7B" w:rsidRPr="007A6FE3">
        <w:t>If so, what information should we require that consumers receive, how should it be conveyed</w:t>
      </w:r>
      <w:r w:rsidR="00603415" w:rsidRPr="007A6FE3">
        <w:t>, and to which consumers must this information be provided</w:t>
      </w:r>
      <w:r w:rsidR="004B2C7B" w:rsidRPr="007A6FE3">
        <w:t>?</w:t>
      </w:r>
      <w:r w:rsidR="00953398" w:rsidRPr="007A6FE3">
        <w:t xml:space="preserve">  We seek comment on the following possibilities:</w:t>
      </w:r>
    </w:p>
    <w:p w14:paraId="68A1EDBD" w14:textId="77777777" w:rsidR="00953398" w:rsidRPr="007A6FE3" w:rsidRDefault="00953398" w:rsidP="0076592F">
      <w:pPr>
        <w:pStyle w:val="ListParagraph"/>
        <w:numPr>
          <w:ilvl w:val="0"/>
          <w:numId w:val="7"/>
        </w:numPr>
        <w:spacing w:after="120" w:line="240" w:lineRule="auto"/>
        <w:ind w:right="720"/>
        <w:rPr>
          <w:rFonts w:ascii="Times New Roman" w:hAnsi="Times New Roman"/>
        </w:rPr>
      </w:pPr>
      <w:r w:rsidRPr="007A6FE3">
        <w:rPr>
          <w:rFonts w:ascii="Times New Roman" w:hAnsi="Times New Roman"/>
          <w:szCs w:val="24"/>
        </w:rPr>
        <w:t xml:space="preserve">Direct mailing </w:t>
      </w:r>
      <w:r w:rsidRPr="007A6FE3">
        <w:rPr>
          <w:rFonts w:ascii="Times New Roman" w:hAnsi="Times New Roman"/>
        </w:rPr>
        <w:t>from the incumbent LEC to affected consumers containing clear explanations of any installation or modification of CPE;</w:t>
      </w:r>
    </w:p>
    <w:p w14:paraId="272A4F18" w14:textId="77777777" w:rsidR="00435805" w:rsidRPr="007A6FE3" w:rsidRDefault="00953398" w:rsidP="00807083">
      <w:pPr>
        <w:pStyle w:val="ListParagraph"/>
        <w:numPr>
          <w:ilvl w:val="0"/>
          <w:numId w:val="7"/>
        </w:numPr>
        <w:spacing w:after="120" w:line="240" w:lineRule="auto"/>
        <w:ind w:right="720"/>
        <w:rPr>
          <w:rFonts w:ascii="Times New Roman" w:hAnsi="Times New Roman"/>
        </w:rPr>
      </w:pPr>
      <w:r w:rsidRPr="007A6FE3">
        <w:rPr>
          <w:rFonts w:ascii="Times New Roman" w:hAnsi="Times New Roman"/>
        </w:rPr>
        <w:t>Minimum advance notice requirements for the scheduling of any service appointments and/or punctuality requirements for service appointments; and</w:t>
      </w:r>
    </w:p>
    <w:p w14:paraId="1D29009F" w14:textId="77777777" w:rsidR="00413D0E" w:rsidRPr="007A6FE3" w:rsidRDefault="00491554" w:rsidP="00135367">
      <w:pPr>
        <w:pStyle w:val="ParaNum0"/>
        <w:widowControl/>
        <w:tabs>
          <w:tab w:val="left" w:pos="720"/>
        </w:tabs>
      </w:pPr>
      <w:r w:rsidRPr="007A6FE3">
        <w:t xml:space="preserve">We </w:t>
      </w:r>
      <w:r w:rsidR="00953398" w:rsidRPr="007A6FE3">
        <w:t xml:space="preserve">also </w:t>
      </w:r>
      <w:r w:rsidRPr="007A6FE3">
        <w:t xml:space="preserve">seek comment on </w:t>
      </w:r>
      <w:r w:rsidR="00953398" w:rsidRPr="007A6FE3">
        <w:t>other possible consumer education requirements</w:t>
      </w:r>
      <w:r w:rsidRPr="007A6FE3">
        <w:t xml:space="preserve">.  Would the benefits of such requirements outweigh the burdens that they would impose on incumbent LECs? </w:t>
      </w:r>
      <w:r w:rsidR="00F23211" w:rsidRPr="007A6FE3">
        <w:t xml:space="preserve"> </w:t>
      </w:r>
      <w:r w:rsidR="009F77C0" w:rsidRPr="007A6FE3">
        <w:t xml:space="preserve">We seek comment on whether and how each consumer education requirement under consideration and any others suggested by commenters advance </w:t>
      </w:r>
      <w:r w:rsidR="00351DCD" w:rsidRPr="007A6FE3">
        <w:t>important government interests</w:t>
      </w:r>
      <w:r w:rsidR="009F77C0" w:rsidRPr="007A6FE3">
        <w:t xml:space="preserve"> and whether other, less restrictive measures would accomplish the same goals.  </w:t>
      </w:r>
      <w:r w:rsidR="001A13F8" w:rsidRPr="007A6FE3">
        <w:t xml:space="preserve">We also seek comment on our legal authority to impose any consumer education requirements. </w:t>
      </w:r>
    </w:p>
    <w:p w14:paraId="49099061" w14:textId="77777777" w:rsidR="00752DC3" w:rsidRPr="007A6FE3" w:rsidRDefault="00E46771" w:rsidP="00A2098F">
      <w:pPr>
        <w:pStyle w:val="ParaNum0"/>
        <w:widowControl/>
      </w:pPr>
      <w:r w:rsidRPr="007A6FE3">
        <w:t>In addition, we</w:t>
      </w:r>
      <w:r w:rsidR="00752DC3" w:rsidRPr="007A6FE3">
        <w:t xml:space="preserve"> seek comment on appropriate enforcement remedies in the event of failure to comply with </w:t>
      </w:r>
      <w:r w:rsidRPr="007A6FE3">
        <w:t>any new copper retirement customer notice, education, or upselling requirements</w:t>
      </w:r>
      <w:r w:rsidR="00752DC3" w:rsidRPr="007A6FE3">
        <w:t>.</w:t>
      </w:r>
      <w:r w:rsidRPr="007A6FE3">
        <w:rPr>
          <w:rStyle w:val="FootnoteReference"/>
        </w:rPr>
        <w:footnoteReference w:id="172"/>
      </w:r>
      <w:r w:rsidR="00752DC3" w:rsidRPr="007A6FE3">
        <w:t xml:space="preserve">  Would forfeiture be an appropriate remedy?  Should we consider requiring refunds to customers?   </w:t>
      </w:r>
    </w:p>
    <w:p w14:paraId="0EF4B10F" w14:textId="77777777" w:rsidR="00A32C66" w:rsidRPr="007A6FE3" w:rsidRDefault="00A32C66" w:rsidP="001A13F8">
      <w:pPr>
        <w:pStyle w:val="Heading5"/>
      </w:pPr>
      <w:bookmarkStart w:id="305" w:name="_Toc400554024"/>
      <w:bookmarkStart w:id="306" w:name="_Toc400566832"/>
      <w:bookmarkStart w:id="307" w:name="_Toc400711703"/>
      <w:bookmarkStart w:id="308" w:name="_Toc400719653"/>
      <w:bookmarkStart w:id="309" w:name="_Toc401299426"/>
      <w:bookmarkStart w:id="310" w:name="_Toc401306991"/>
      <w:bookmarkStart w:id="311" w:name="_Toc399947715"/>
      <w:r w:rsidRPr="007A6FE3">
        <w:t xml:space="preserve">Expansion of Right to </w:t>
      </w:r>
      <w:r w:rsidR="003648D3" w:rsidRPr="007A6FE3">
        <w:t>Comment</w:t>
      </w:r>
      <w:bookmarkEnd w:id="305"/>
      <w:bookmarkEnd w:id="306"/>
      <w:bookmarkEnd w:id="307"/>
      <w:bookmarkEnd w:id="308"/>
      <w:bookmarkEnd w:id="309"/>
      <w:bookmarkEnd w:id="310"/>
      <w:r w:rsidR="003648D3" w:rsidRPr="007A6FE3">
        <w:t xml:space="preserve"> </w:t>
      </w:r>
      <w:bookmarkEnd w:id="311"/>
    </w:p>
    <w:p w14:paraId="5C393B6E" w14:textId="77777777" w:rsidR="00226E63" w:rsidRPr="007A6FE3" w:rsidRDefault="00DE6845" w:rsidP="00135367">
      <w:pPr>
        <w:pStyle w:val="ParaNum0"/>
        <w:widowControl/>
      </w:pPr>
      <w:r w:rsidRPr="007A6FE3">
        <w:t xml:space="preserve">Under our current network change disclosure rules, only </w:t>
      </w:r>
      <w:r w:rsidR="00E87F0C" w:rsidRPr="007A6FE3">
        <w:t xml:space="preserve">information service providers and telecommunications service providers that directly </w:t>
      </w:r>
      <w:r w:rsidRPr="007A6FE3">
        <w:t xml:space="preserve">interconnect </w:t>
      </w:r>
      <w:r w:rsidR="00E87F0C" w:rsidRPr="007A6FE3">
        <w:t xml:space="preserve">with the incumbent LEC’s network </w:t>
      </w:r>
      <w:r w:rsidRPr="007A6FE3">
        <w:t>have the right to object to planned copper retirements, and the</w:t>
      </w:r>
      <w:r w:rsidR="00E87F0C" w:rsidRPr="007A6FE3">
        <w:t>y can only delay implementation for up to six months and seek technical assistance from the incumbent LEC.</w:t>
      </w:r>
      <w:r w:rsidR="00EA5F8B" w:rsidRPr="007A6FE3">
        <w:rPr>
          <w:rStyle w:val="FootnoteReference"/>
        </w:rPr>
        <w:footnoteReference w:id="173"/>
      </w:r>
      <w:r w:rsidR="0048281A" w:rsidRPr="007A6FE3">
        <w:t xml:space="preserve">  </w:t>
      </w:r>
      <w:r w:rsidR="00F956EA" w:rsidRPr="007A6FE3">
        <w:t xml:space="preserve">Since copper retirements may have significant impact on the public, members of the public should have the opportunity to comment publicly on such retirements.  And industry participants should not be restricted unduly in the issues that they may draw to our attention.  </w:t>
      </w:r>
      <w:r w:rsidRPr="007A6FE3">
        <w:t>While the Bureau has provided the public at large with the opportunity to comment on network change disclosures via a special email address,</w:t>
      </w:r>
      <w:r w:rsidRPr="007A6FE3">
        <w:rPr>
          <w:rStyle w:val="FootnoteReference"/>
          <w:szCs w:val="22"/>
        </w:rPr>
        <w:footnoteReference w:id="174"/>
      </w:r>
      <w:r w:rsidRPr="007A6FE3">
        <w:t xml:space="preserve"> we can do more to facilitate participation in this important process.  </w:t>
      </w:r>
    </w:p>
    <w:p w14:paraId="1AA9C088" w14:textId="77777777" w:rsidR="00A32C66" w:rsidRPr="007A6FE3" w:rsidRDefault="00DE6845" w:rsidP="0090552A">
      <w:pPr>
        <w:pStyle w:val="ParaNum0"/>
      </w:pPr>
      <w:r w:rsidRPr="007A6FE3">
        <w:t>We anticipate that these comments will assist us in many circumstances.  For instance, we expect that it would help call to our attention circumstances in which incumbent LECs are not complying with the</w:t>
      </w:r>
      <w:r w:rsidR="0089508B" w:rsidRPr="007A6FE3">
        <w:t>ir</w:t>
      </w:r>
      <w:r w:rsidRPr="007A6FE3">
        <w:t xml:space="preserve"> obligations.</w:t>
      </w:r>
      <w:r w:rsidRPr="007A6FE3">
        <w:rPr>
          <w:rStyle w:val="FootnoteReference"/>
          <w:szCs w:val="22"/>
        </w:rPr>
        <w:footnoteReference w:id="175"/>
      </w:r>
      <w:r w:rsidRPr="007A6FE3">
        <w:t xml:space="preserve">  Moreover, we will find value in hearing from the public about the potential benefits and/or harms that could come from the retirement of these copper facilities in our policymaking decisions going forward</w:t>
      </w:r>
      <w:r w:rsidRPr="007A6FE3">
        <w:rPr>
          <w:szCs w:val="22"/>
        </w:rPr>
        <w:t xml:space="preserve">. </w:t>
      </w:r>
      <w:r w:rsidR="006B5C05" w:rsidRPr="007A6FE3">
        <w:rPr>
          <w:szCs w:val="22"/>
        </w:rPr>
        <w:t xml:space="preserve"> </w:t>
      </w:r>
      <w:r w:rsidR="00BE7C8D" w:rsidRPr="007A6FE3">
        <w:rPr>
          <w:szCs w:val="22"/>
        </w:rPr>
        <w:t>Finally, we anticipate that we will be able to use the comments we receive to monitor for circumstances in which an incumbent LEC</w:t>
      </w:r>
      <w:r w:rsidR="00D013B1" w:rsidRPr="007A6FE3">
        <w:rPr>
          <w:szCs w:val="22"/>
        </w:rPr>
        <w:t>’s proposed copper retirement is accompanied by or is the cause of</w:t>
      </w:r>
      <w:r w:rsidR="00BE7C8D" w:rsidRPr="007A6FE3">
        <w:rPr>
          <w:szCs w:val="22"/>
        </w:rPr>
        <w:t xml:space="preserve"> a discontinuance, reduction, or impairment of service </w:t>
      </w:r>
      <w:r w:rsidR="001C44EA" w:rsidRPr="007A6FE3">
        <w:rPr>
          <w:szCs w:val="22"/>
        </w:rPr>
        <w:t>provided over that copper</w:t>
      </w:r>
      <w:r w:rsidR="001204F9" w:rsidRPr="007A6FE3">
        <w:rPr>
          <w:szCs w:val="22"/>
        </w:rPr>
        <w:t>—</w:t>
      </w:r>
      <w:r w:rsidR="00BE7C8D" w:rsidRPr="007A6FE3">
        <w:rPr>
          <w:szCs w:val="22"/>
        </w:rPr>
        <w:t xml:space="preserve">but </w:t>
      </w:r>
      <w:r w:rsidR="001C44EA" w:rsidRPr="007A6FE3">
        <w:rPr>
          <w:szCs w:val="22"/>
        </w:rPr>
        <w:t xml:space="preserve">the incumbent LEC </w:t>
      </w:r>
      <w:r w:rsidR="00BE7C8D" w:rsidRPr="007A6FE3">
        <w:rPr>
          <w:szCs w:val="22"/>
        </w:rPr>
        <w:t>has failed to seek the necessary authority</w:t>
      </w:r>
      <w:r w:rsidR="0081139B" w:rsidRPr="007A6FE3">
        <w:rPr>
          <w:szCs w:val="22"/>
        </w:rPr>
        <w:t>,</w:t>
      </w:r>
      <w:r w:rsidR="00BE7C8D" w:rsidRPr="007A6FE3">
        <w:rPr>
          <w:szCs w:val="22"/>
        </w:rPr>
        <w:t xml:space="preserve"> contrary to the requirements of section 214(a) and our rules thereunder.</w:t>
      </w:r>
      <w:r w:rsidR="00B33BF0" w:rsidRPr="007A6FE3">
        <w:rPr>
          <w:rStyle w:val="FootnoteReference"/>
          <w:szCs w:val="22"/>
        </w:rPr>
        <w:footnoteReference w:id="176"/>
      </w:r>
      <w:r w:rsidR="00BE7C8D" w:rsidRPr="007A6FE3">
        <w:rPr>
          <w:szCs w:val="22"/>
        </w:rPr>
        <w:t xml:space="preserve">  </w:t>
      </w:r>
      <w:r w:rsidRPr="007A6FE3">
        <w:t xml:space="preserve">We therefore propose revising our rules to provide </w:t>
      </w:r>
      <w:r w:rsidR="004154DB" w:rsidRPr="007A6FE3">
        <w:t>the public</w:t>
      </w:r>
      <w:r w:rsidR="004330C7" w:rsidRPr="007A6FE3">
        <w:t xml:space="preserve">, including </w:t>
      </w:r>
      <w:r w:rsidR="002F29BD" w:rsidRPr="007A6FE3">
        <w:t xml:space="preserve">retail customers </w:t>
      </w:r>
      <w:r w:rsidR="004330C7" w:rsidRPr="007A6FE3">
        <w:t>and industry participants,</w:t>
      </w:r>
      <w:r w:rsidRPr="007A6FE3">
        <w:t xml:space="preserve"> with the opportunity to comment publicly on planned </w:t>
      </w:r>
      <w:r w:rsidR="00AB33B7" w:rsidRPr="007A6FE3">
        <w:t>network changes</w:t>
      </w:r>
      <w:r w:rsidRPr="007A6FE3">
        <w:t>.  We seek comment on this proposal.</w:t>
      </w:r>
    </w:p>
    <w:p w14:paraId="7D4BE583" w14:textId="77777777" w:rsidR="00A32C66" w:rsidRPr="007A6FE3" w:rsidRDefault="00A32C66" w:rsidP="006A64EE">
      <w:pPr>
        <w:pStyle w:val="Heading5"/>
      </w:pPr>
      <w:bookmarkStart w:id="312" w:name="_Toc399947716"/>
      <w:bookmarkStart w:id="313" w:name="_Toc400554025"/>
      <w:bookmarkStart w:id="314" w:name="_Toc400566833"/>
      <w:bookmarkStart w:id="315" w:name="_Toc400711704"/>
      <w:bookmarkStart w:id="316" w:name="_Toc400719654"/>
      <w:bookmarkStart w:id="317" w:name="_Toc401299427"/>
      <w:bookmarkStart w:id="318" w:name="_Toc401306992"/>
      <w:r w:rsidRPr="007A6FE3">
        <w:t>Notice to States and the Department of Defense</w:t>
      </w:r>
      <w:bookmarkEnd w:id="312"/>
      <w:bookmarkEnd w:id="313"/>
      <w:bookmarkEnd w:id="314"/>
      <w:bookmarkEnd w:id="315"/>
      <w:bookmarkEnd w:id="316"/>
      <w:bookmarkEnd w:id="317"/>
      <w:bookmarkEnd w:id="318"/>
    </w:p>
    <w:p w14:paraId="63B0D710" w14:textId="77777777" w:rsidR="00C853FB" w:rsidRPr="007A6FE3" w:rsidRDefault="005A432C" w:rsidP="006B4FDC">
      <w:pPr>
        <w:pStyle w:val="ParaNum0"/>
        <w:widowControl/>
      </w:pPr>
      <w:r w:rsidRPr="007A6FE3">
        <w:t xml:space="preserve">We recognize that </w:t>
      </w:r>
      <w:r w:rsidR="006B5C05" w:rsidRPr="007A6FE3">
        <w:t xml:space="preserve">we are not the only governmental authority with important responsibilities </w:t>
      </w:r>
      <w:r w:rsidRPr="007A6FE3">
        <w:t>with respect to technology transitions.  In particular, States serve a vital function in safeguarding the values of the Network Compact.  As we have recognized on multiple occasions, both “State and federal enforcement tools are needed to protect consumers from fraudulent, deceptive, abusive, and unfair practices.”</w:t>
      </w:r>
      <w:r w:rsidRPr="007A6FE3">
        <w:rPr>
          <w:rStyle w:val="FootnoteReference"/>
        </w:rPr>
        <w:footnoteReference w:id="177"/>
      </w:r>
      <w:r w:rsidR="006B5C05" w:rsidRPr="007A6FE3">
        <w:t xml:space="preserve">  Further,</w:t>
      </w:r>
      <w:r w:rsidRPr="007A6FE3">
        <w:t xml:space="preserve"> the Department of Defense </w:t>
      </w:r>
      <w:r w:rsidR="006B5C05" w:rsidRPr="007A6FE3">
        <w:t>plays a key role in ensuring that telecommunications infrastructure remains secure and promotes public safety</w:t>
      </w:r>
      <w:r w:rsidRPr="007A6FE3">
        <w:t xml:space="preserve">.  We are cognizant that these authorities need information about transitions to fulfill their duties.  </w:t>
      </w:r>
      <w:r w:rsidR="00F956EA" w:rsidRPr="007A6FE3">
        <w:t>O</w:t>
      </w:r>
      <w:r w:rsidRPr="007A6FE3">
        <w:t>ur rules implementing section 214 already require applicants seeking discontinuance authority to provide copies of their applications</w:t>
      </w:r>
      <w:r w:rsidR="00A24AA9" w:rsidRPr="007A6FE3">
        <w:t xml:space="preserve"> to these entities</w:t>
      </w:r>
      <w:r w:rsidR="00F956EA" w:rsidRPr="007A6FE3">
        <w:t>,</w:t>
      </w:r>
      <w:r w:rsidRPr="007A6FE3">
        <w:rPr>
          <w:rStyle w:val="FootnoteReference"/>
        </w:rPr>
        <w:footnoteReference w:id="178"/>
      </w:r>
      <w:r w:rsidR="00F956EA" w:rsidRPr="007A6FE3">
        <w:t xml:space="preserve"> so our rules facilitate their ability to monitor some technology transitions.</w:t>
      </w:r>
      <w:r w:rsidRPr="007A6FE3">
        <w:t xml:space="preserve">  </w:t>
      </w:r>
      <w:r w:rsidR="00F956EA" w:rsidRPr="007A6FE3">
        <w:t>W</w:t>
      </w:r>
      <w:r w:rsidRPr="007A6FE3">
        <w:t xml:space="preserve">e believe that these authorities also need to remain </w:t>
      </w:r>
      <w:r w:rsidR="00A24AA9" w:rsidRPr="007A6FE3">
        <w:t>informed about copper retirements so that they can fulfill their respective missions</w:t>
      </w:r>
      <w:r w:rsidR="00F956EA" w:rsidRPr="007A6FE3">
        <w:t xml:space="preserve"> with respect to the ongoing technology transitions</w:t>
      </w:r>
      <w:r w:rsidR="00A24AA9" w:rsidRPr="007A6FE3">
        <w:t xml:space="preserve">.  </w:t>
      </w:r>
      <w:r w:rsidR="006A64EE" w:rsidRPr="007A6FE3">
        <w:t>We</w:t>
      </w:r>
      <w:r w:rsidR="00A24AA9" w:rsidRPr="007A6FE3">
        <w:t xml:space="preserve"> </w:t>
      </w:r>
      <w:r w:rsidR="00A32C66" w:rsidRPr="007A6FE3">
        <w:t>propose requir</w:t>
      </w:r>
      <w:r w:rsidR="00E87342" w:rsidRPr="007A6FE3">
        <w:t>ing</w:t>
      </w:r>
      <w:r w:rsidR="00A32C66" w:rsidRPr="007A6FE3">
        <w:t xml:space="preserve"> that incumbent LECs provide notice of </w:t>
      </w:r>
      <w:r w:rsidR="00E87342" w:rsidRPr="007A6FE3">
        <w:t xml:space="preserve">planned </w:t>
      </w:r>
      <w:r w:rsidR="00A32C66" w:rsidRPr="007A6FE3">
        <w:t>copper retirements to the public utility commission and to the Governor of the State</w:t>
      </w:r>
      <w:r w:rsidR="001B3A63" w:rsidRPr="007A6FE3">
        <w:t>(s)</w:t>
      </w:r>
      <w:r w:rsidR="00A32C66" w:rsidRPr="007A6FE3">
        <w:t xml:space="preserve"> in which the network change is proposed, and also to the Secretary of Defense.  </w:t>
      </w:r>
      <w:r w:rsidR="001A13F8" w:rsidRPr="007A6FE3">
        <w:t xml:space="preserve">We </w:t>
      </w:r>
      <w:r w:rsidR="00A24AA9" w:rsidRPr="007A6FE3">
        <w:t xml:space="preserve">expect that ensuring that State authorities receive notice of copper retirements will assist them in fulfilling their vital consumer protection role.  Similarly, </w:t>
      </w:r>
      <w:r w:rsidR="0048281A" w:rsidRPr="007A6FE3">
        <w:t xml:space="preserve">we expect that federal defense authorities will find this information useful in fulfilling their mission of ensuring the security of the Nation’s communications networks. </w:t>
      </w:r>
      <w:r w:rsidR="006B5C05" w:rsidRPr="007A6FE3">
        <w:t xml:space="preserve"> </w:t>
      </w:r>
      <w:r w:rsidR="00A32C66" w:rsidRPr="007A6FE3">
        <w:t xml:space="preserve">We seek comment on </w:t>
      </w:r>
      <w:r w:rsidR="006C4780" w:rsidRPr="007A6FE3">
        <w:t>this proposal</w:t>
      </w:r>
      <w:r w:rsidR="00F956EA" w:rsidRPr="007A6FE3">
        <w:t>, including its benefits and drawbacks</w:t>
      </w:r>
      <w:r w:rsidR="006C4780" w:rsidRPr="007A6FE3">
        <w:t>.  Further</w:t>
      </w:r>
      <w:r w:rsidR="00A32C66" w:rsidRPr="007A6FE3">
        <w:t>, w</w:t>
      </w:r>
      <w:r w:rsidR="001B3A63" w:rsidRPr="007A6FE3">
        <w:t>e</w:t>
      </w:r>
      <w:r w:rsidR="00A32C66" w:rsidRPr="007A6FE3">
        <w:t xml:space="preserve"> seek comment on whether the same requirements should apply to other forms of network change notifications.  Is there any reason</w:t>
      </w:r>
      <w:r w:rsidR="001B3A63" w:rsidRPr="007A6FE3">
        <w:t xml:space="preserve"> why</w:t>
      </w:r>
      <w:r w:rsidR="00A32C66" w:rsidRPr="007A6FE3">
        <w:t xml:space="preserve"> </w:t>
      </w:r>
      <w:r w:rsidR="00067C82" w:rsidRPr="007A6FE3">
        <w:t>S</w:t>
      </w:r>
      <w:r w:rsidR="00A32C66" w:rsidRPr="007A6FE3">
        <w:t xml:space="preserve">tate </w:t>
      </w:r>
      <w:r w:rsidR="00067C82" w:rsidRPr="007A6FE3">
        <w:t xml:space="preserve">authorities </w:t>
      </w:r>
      <w:r w:rsidR="00A32C66" w:rsidRPr="007A6FE3">
        <w:t>or the Department of Defense might need to receive notice of network changes that do not involve copper retirement?</w:t>
      </w:r>
      <w:r w:rsidR="00E1483E" w:rsidRPr="007A6FE3">
        <w:t xml:space="preserve">  </w:t>
      </w:r>
      <w:r w:rsidR="001072E8" w:rsidRPr="007A6FE3">
        <w:t xml:space="preserve">Are there other governmental entities that should also receive this direct notice, such as </w:t>
      </w:r>
      <w:r w:rsidR="00A67483" w:rsidRPr="007A6FE3">
        <w:t xml:space="preserve">the Federal Aviation Administration, </w:t>
      </w:r>
      <w:r w:rsidR="001072E8" w:rsidRPr="007A6FE3">
        <w:t>Tribal entities or municipalities</w:t>
      </w:r>
      <w:r w:rsidR="00530C3C" w:rsidRPr="007A6FE3">
        <w:t>, or should we rely on the expectation that any such other entity relying on the network will receive notice in the same manner as other customers</w:t>
      </w:r>
      <w:r w:rsidR="001072E8" w:rsidRPr="007A6FE3">
        <w:t xml:space="preserve">? </w:t>
      </w:r>
      <w:r w:rsidR="001A13F8" w:rsidRPr="007A6FE3">
        <w:t xml:space="preserve">We also seek comment on our authority under </w:t>
      </w:r>
      <w:r w:rsidR="00515700" w:rsidRPr="007A6FE3">
        <w:t>s</w:t>
      </w:r>
      <w:r w:rsidR="001A13F8" w:rsidRPr="007A6FE3">
        <w:t>ection 251(c)(5) and/or other statutory provisions to impose this requirement.</w:t>
      </w:r>
      <w:r w:rsidR="00E1483E" w:rsidRPr="007A6FE3">
        <w:t xml:space="preserve"> </w:t>
      </w:r>
    </w:p>
    <w:p w14:paraId="1237600D" w14:textId="77777777" w:rsidR="00C853FB" w:rsidRPr="007A6FE3" w:rsidRDefault="00C853FB" w:rsidP="006A64EE">
      <w:pPr>
        <w:pStyle w:val="Heading5"/>
      </w:pPr>
      <w:bookmarkStart w:id="324" w:name="_Toc400554023"/>
      <w:bookmarkStart w:id="325" w:name="_Toc400566834"/>
      <w:bookmarkStart w:id="326" w:name="_Toc400711705"/>
      <w:bookmarkStart w:id="327" w:name="_Toc400719655"/>
      <w:bookmarkStart w:id="328" w:name="_Toc401299428"/>
      <w:bookmarkStart w:id="329" w:name="_Toc401306993"/>
      <w:r w:rsidRPr="007A6FE3">
        <w:t>Certification</w:t>
      </w:r>
      <w:bookmarkEnd w:id="324"/>
      <w:bookmarkEnd w:id="325"/>
      <w:bookmarkEnd w:id="326"/>
      <w:bookmarkEnd w:id="327"/>
      <w:bookmarkEnd w:id="328"/>
      <w:bookmarkEnd w:id="329"/>
    </w:p>
    <w:p w14:paraId="716C8107" w14:textId="77777777" w:rsidR="00C853FB" w:rsidRPr="007A6FE3" w:rsidRDefault="00C853FB" w:rsidP="00807083">
      <w:pPr>
        <w:pStyle w:val="ParaNum0"/>
      </w:pPr>
      <w:r w:rsidRPr="007A6FE3">
        <w:t xml:space="preserve">To </w:t>
      </w:r>
      <w:r w:rsidR="00B37253" w:rsidRPr="007A6FE3">
        <w:t xml:space="preserve">enable effective </w:t>
      </w:r>
      <w:r w:rsidRPr="007A6FE3">
        <w:t>enforce</w:t>
      </w:r>
      <w:r w:rsidR="00B37253" w:rsidRPr="007A6FE3">
        <w:t>ment of</w:t>
      </w:r>
      <w:r w:rsidRPr="007A6FE3">
        <w:t xml:space="preserve"> </w:t>
      </w:r>
      <w:r w:rsidR="001204F9" w:rsidRPr="007A6FE3">
        <w:t>any new rules adopted pursuant to this Notice</w:t>
      </w:r>
      <w:r w:rsidRPr="007A6FE3">
        <w:t xml:space="preserve">, we </w:t>
      </w:r>
      <w:r w:rsidR="00FE0E75" w:rsidRPr="007A6FE3">
        <w:t xml:space="preserve">propose </w:t>
      </w:r>
      <w:r w:rsidR="00B37253" w:rsidRPr="007A6FE3">
        <w:t>requiring</w:t>
      </w:r>
      <w:r w:rsidRPr="007A6FE3">
        <w:t xml:space="preserve"> incumbent LECs to certify their compliance.  Certification requirements also serve to remind parties of their obligations.  Our existing </w:t>
      </w:r>
      <w:r w:rsidR="00F956EA" w:rsidRPr="007A6FE3">
        <w:t xml:space="preserve">network change rules </w:t>
      </w:r>
      <w:r w:rsidRPr="007A6FE3">
        <w:t>require incumbent LEC</w:t>
      </w:r>
      <w:r w:rsidR="00F956EA" w:rsidRPr="007A6FE3">
        <w:t xml:space="preserve">s to file in certain circumstances </w:t>
      </w:r>
      <w:r w:rsidRPr="007A6FE3">
        <w:t>a certificate of se</w:t>
      </w:r>
      <w:r w:rsidR="00F956EA" w:rsidRPr="007A6FE3">
        <w:t xml:space="preserve">rvice and/or a </w:t>
      </w:r>
      <w:r w:rsidRPr="007A6FE3">
        <w:t>certification</w:t>
      </w:r>
      <w:r w:rsidR="00F956EA" w:rsidRPr="007A6FE3">
        <w:t>, each confirming fulfillment of certain obligations under our rules</w:t>
      </w:r>
      <w:r w:rsidRPr="007A6FE3">
        <w:t>.</w:t>
      </w:r>
      <w:r w:rsidRPr="007A6FE3">
        <w:rPr>
          <w:rStyle w:val="FootnoteReference"/>
        </w:rPr>
        <w:footnoteReference w:id="179"/>
      </w:r>
      <w:r w:rsidRPr="007A6FE3">
        <w:t xml:space="preserve">  Because we propose creating one comprehensive rule containing all requirements applicable to copper retirements, it will be most efficient for</w:t>
      </w:r>
      <w:r w:rsidR="00F956EA" w:rsidRPr="007A6FE3">
        <w:t xml:space="preserve"> an incumbent LEC</w:t>
      </w:r>
      <w:r w:rsidRPr="007A6FE3">
        <w:t xml:space="preserve"> to provide us with a single certification confirming that it is has fulfilled its various responsibilities.  We seek comment on this proposal.  </w:t>
      </w:r>
    </w:p>
    <w:p w14:paraId="6A9ECD1F" w14:textId="77777777" w:rsidR="00807083" w:rsidRPr="007A6FE3" w:rsidRDefault="00C853FB" w:rsidP="00807083">
      <w:pPr>
        <w:pStyle w:val="ParaNum0"/>
      </w:pPr>
      <w:r w:rsidRPr="007A6FE3">
        <w:t>Under our existing rules, certifications, which must be filed when the incumbent LEC provides public notice other than by filing with the Commission, must include</w:t>
      </w:r>
      <w:r w:rsidR="00473114" w:rsidRPr="007A6FE3">
        <w:t xml:space="preserve"> a statement identifying</w:t>
      </w:r>
      <w:r w:rsidR="00F956EA" w:rsidRPr="007A6FE3">
        <w:t xml:space="preserve">: </w:t>
      </w:r>
      <w:r w:rsidRPr="007A6FE3">
        <w:t xml:space="preserve"> </w:t>
      </w:r>
      <w:r w:rsidR="00834C32" w:rsidRPr="007A6FE3">
        <w:t>(1) t</w:t>
      </w:r>
      <w:r w:rsidR="00473114" w:rsidRPr="007A6FE3">
        <w:t xml:space="preserve">he proposed changes; </w:t>
      </w:r>
      <w:r w:rsidR="00834C32" w:rsidRPr="007A6FE3">
        <w:t>(2) t</w:t>
      </w:r>
      <w:r w:rsidRPr="007A6FE3">
        <w:t>hat public notice has been given in complia</w:t>
      </w:r>
      <w:r w:rsidR="00473114" w:rsidRPr="007A6FE3">
        <w:t xml:space="preserve">nce with applicable rules; and </w:t>
      </w:r>
      <w:r w:rsidR="00834C32" w:rsidRPr="007A6FE3">
        <w:t>(3) t</w:t>
      </w:r>
      <w:r w:rsidRPr="007A6FE3">
        <w:t>he location of the change information and how it can be obtained.</w:t>
      </w:r>
      <w:r w:rsidRPr="007A6FE3">
        <w:rPr>
          <w:rStyle w:val="FootnoteReference"/>
        </w:rPr>
        <w:footnoteReference w:id="180"/>
      </w:r>
      <w:r w:rsidRPr="007A6FE3">
        <w:t xml:space="preserve">  </w:t>
      </w:r>
      <w:r w:rsidR="001204F9" w:rsidRPr="007A6FE3">
        <w:t>Furthermore, c</w:t>
      </w:r>
      <w:r w:rsidRPr="007A6FE3">
        <w:t>ertificates of service under our existing rules must include</w:t>
      </w:r>
      <w:r w:rsidR="00F956EA" w:rsidRPr="007A6FE3">
        <w:t xml:space="preserve">: </w:t>
      </w:r>
      <w:r w:rsidRPr="007A6FE3">
        <w:t xml:space="preserve"> </w:t>
      </w:r>
      <w:r w:rsidR="00834C32" w:rsidRPr="007A6FE3">
        <w:t>(1) a</w:t>
      </w:r>
      <w:r w:rsidRPr="007A6FE3">
        <w:t xml:space="preserve"> statement that, at least five business days in advance of its filing with the Commission, the incumbent LEC served a copy of its public notice upon each telephone exchange service provider that directly interconnects with the incumbent LEC’s network; and</w:t>
      </w:r>
      <w:r w:rsidR="00834C32" w:rsidRPr="007A6FE3">
        <w:t xml:space="preserve"> (2) t</w:t>
      </w:r>
      <w:r w:rsidR="00473114" w:rsidRPr="007A6FE3">
        <w:t>he</w:t>
      </w:r>
      <w:r w:rsidRPr="007A6FE3">
        <w:t xml:space="preserve"> name and address of each such telephone exchange service provider upon which the notice was served.</w:t>
      </w:r>
      <w:r w:rsidRPr="007A6FE3">
        <w:rPr>
          <w:rStyle w:val="FootnoteReference"/>
        </w:rPr>
        <w:footnoteReference w:id="181"/>
      </w:r>
      <w:r w:rsidRPr="007A6FE3">
        <w:rPr>
          <w:rStyle w:val="FootnoteReference"/>
        </w:rPr>
        <w:t xml:space="preserve">  </w:t>
      </w:r>
      <w:r w:rsidR="00807083" w:rsidRPr="007A6FE3">
        <w:t xml:space="preserve">We believe that </w:t>
      </w:r>
      <w:r w:rsidR="001204F9" w:rsidRPr="007A6FE3">
        <w:t>this</w:t>
      </w:r>
      <w:r w:rsidR="00807083" w:rsidRPr="007A6FE3">
        <w:t xml:space="preserve"> information </w:t>
      </w:r>
      <w:r w:rsidR="001204F9" w:rsidRPr="007A6FE3">
        <w:t xml:space="preserve">will provide important insights into </w:t>
      </w:r>
      <w:r w:rsidR="00807083" w:rsidRPr="007A6FE3">
        <w:t xml:space="preserve">copper retirements, so we </w:t>
      </w:r>
      <w:r w:rsidRPr="007A6FE3">
        <w:t xml:space="preserve">propose requiring incumbent LECs engaged in a copper retirement to file a unified </w:t>
      </w:r>
      <w:r w:rsidR="00F956EA" w:rsidRPr="007A6FE3">
        <w:t>certification</w:t>
      </w:r>
      <w:r w:rsidRPr="007A6FE3">
        <w:t xml:space="preserve"> containing all of the above infor</w:t>
      </w:r>
      <w:r w:rsidR="00F956EA" w:rsidRPr="007A6FE3">
        <w:t xml:space="preserve">mation.  </w:t>
      </w:r>
    </w:p>
    <w:p w14:paraId="69300789" w14:textId="77777777" w:rsidR="00473114" w:rsidRPr="007A6FE3" w:rsidRDefault="00F956EA" w:rsidP="00807083">
      <w:pPr>
        <w:pStyle w:val="ParaNum0"/>
        <w:spacing w:after="200"/>
      </w:pPr>
      <w:r w:rsidRPr="007A6FE3">
        <w:t xml:space="preserve">If we adopt our proposals to require incumbent LECs engaged in copper retirement </w:t>
      </w:r>
      <w:r w:rsidR="00C853FB" w:rsidRPr="007A6FE3">
        <w:t xml:space="preserve">to provide notice to customers as well as </w:t>
      </w:r>
      <w:r w:rsidR="00082852" w:rsidRPr="007A6FE3">
        <w:t>S</w:t>
      </w:r>
      <w:r w:rsidR="00C853FB" w:rsidRPr="007A6FE3">
        <w:t xml:space="preserve">tate and </w:t>
      </w:r>
      <w:r w:rsidRPr="007A6FE3">
        <w:t>Department of Defense</w:t>
      </w:r>
      <w:r w:rsidR="00C853FB" w:rsidRPr="007A6FE3">
        <w:t xml:space="preserve"> officials, we believe that it would be necessary for incumbent LECs to </w:t>
      </w:r>
      <w:r w:rsidR="00082852" w:rsidRPr="007A6FE3">
        <w:t xml:space="preserve">also </w:t>
      </w:r>
      <w:r w:rsidR="00C853FB" w:rsidRPr="007A6FE3">
        <w:t>certify their compliance with these proposed requirements to enable us to confirm their compliance.  We therefore propose requiring incumbent LECs’ certifications to include, in addition to the information required above</w:t>
      </w:r>
      <w:r w:rsidR="00473114" w:rsidRPr="007A6FE3">
        <w:t>:</w:t>
      </w:r>
      <w:r w:rsidR="00C853FB" w:rsidRPr="007A6FE3">
        <w:t xml:space="preserve"> </w:t>
      </w:r>
    </w:p>
    <w:p w14:paraId="729DF479" w14:textId="77777777" w:rsidR="00473114" w:rsidRPr="007A6FE3" w:rsidRDefault="00473114" w:rsidP="0076592F">
      <w:pPr>
        <w:pStyle w:val="ListParagraph"/>
        <w:numPr>
          <w:ilvl w:val="0"/>
          <w:numId w:val="7"/>
        </w:numPr>
        <w:spacing w:after="120" w:line="240" w:lineRule="auto"/>
        <w:ind w:right="720"/>
        <w:rPr>
          <w:rFonts w:ascii="Times New Roman" w:hAnsi="Times New Roman"/>
        </w:rPr>
      </w:pPr>
      <w:r w:rsidRPr="007A6FE3">
        <w:rPr>
          <w:rFonts w:ascii="Times New Roman" w:hAnsi="Times New Roman"/>
        </w:rPr>
        <w:t xml:space="preserve">A </w:t>
      </w:r>
      <w:r w:rsidR="00C853FB" w:rsidRPr="007A6FE3">
        <w:rPr>
          <w:rFonts w:ascii="Times New Roman" w:hAnsi="Times New Roman"/>
        </w:rPr>
        <w:t>statement that, at least five business days in advance of its filing with the Commission, the incumbent LEC served the required direct notice upon al</w:t>
      </w:r>
      <w:r w:rsidRPr="007A6FE3">
        <w:rPr>
          <w:rFonts w:ascii="Times New Roman" w:hAnsi="Times New Roman"/>
        </w:rPr>
        <w:t xml:space="preserve">l affected retail </w:t>
      </w:r>
      <w:r w:rsidR="006C08B7" w:rsidRPr="007A6FE3">
        <w:rPr>
          <w:rFonts w:ascii="Times New Roman" w:hAnsi="Times New Roman"/>
        </w:rPr>
        <w:t>customers</w:t>
      </w:r>
      <w:r w:rsidRPr="007A6FE3">
        <w:rPr>
          <w:rFonts w:ascii="Times New Roman" w:hAnsi="Times New Roman"/>
        </w:rPr>
        <w:t xml:space="preserve">; </w:t>
      </w:r>
    </w:p>
    <w:p w14:paraId="30B8C0C4" w14:textId="77777777" w:rsidR="00473114" w:rsidRPr="007A6FE3" w:rsidRDefault="00473114" w:rsidP="0076592F">
      <w:pPr>
        <w:pStyle w:val="ListParagraph"/>
        <w:numPr>
          <w:ilvl w:val="0"/>
          <w:numId w:val="7"/>
        </w:numPr>
        <w:spacing w:after="120" w:line="240" w:lineRule="auto"/>
        <w:ind w:right="720"/>
        <w:rPr>
          <w:rFonts w:ascii="Times New Roman" w:hAnsi="Times New Roman"/>
        </w:rPr>
      </w:pPr>
      <w:r w:rsidRPr="007A6FE3">
        <w:rPr>
          <w:rFonts w:ascii="Times New Roman" w:hAnsi="Times New Roman"/>
        </w:rPr>
        <w:t>A</w:t>
      </w:r>
      <w:r w:rsidR="00C853FB" w:rsidRPr="007A6FE3">
        <w:rPr>
          <w:rFonts w:ascii="Times New Roman" w:hAnsi="Times New Roman"/>
        </w:rPr>
        <w:t xml:space="preserve"> copy of the written notice provided to af</w:t>
      </w:r>
      <w:r w:rsidRPr="007A6FE3">
        <w:rPr>
          <w:rFonts w:ascii="Times New Roman" w:hAnsi="Times New Roman"/>
        </w:rPr>
        <w:t xml:space="preserve">fected retail </w:t>
      </w:r>
      <w:r w:rsidR="006C08B7" w:rsidRPr="007A6FE3">
        <w:rPr>
          <w:rFonts w:ascii="Times New Roman" w:hAnsi="Times New Roman"/>
        </w:rPr>
        <w:t>customers</w:t>
      </w:r>
      <w:r w:rsidRPr="007A6FE3">
        <w:rPr>
          <w:rFonts w:ascii="Times New Roman" w:hAnsi="Times New Roman"/>
        </w:rPr>
        <w:t xml:space="preserve">; and </w:t>
      </w:r>
    </w:p>
    <w:p w14:paraId="3AC7EDF4" w14:textId="77777777" w:rsidR="00473114" w:rsidRPr="007A6FE3" w:rsidRDefault="00473114" w:rsidP="00303DF0">
      <w:pPr>
        <w:pStyle w:val="ListParagraph"/>
        <w:numPr>
          <w:ilvl w:val="0"/>
          <w:numId w:val="7"/>
        </w:numPr>
        <w:spacing w:after="240" w:line="240" w:lineRule="auto"/>
        <w:ind w:right="720"/>
        <w:contextualSpacing w:val="0"/>
        <w:rPr>
          <w:rFonts w:ascii="Times New Roman" w:hAnsi="Times New Roman"/>
        </w:rPr>
      </w:pPr>
      <w:r w:rsidRPr="007A6FE3">
        <w:rPr>
          <w:rFonts w:ascii="Times New Roman" w:hAnsi="Times New Roman"/>
        </w:rPr>
        <w:t>A</w:t>
      </w:r>
      <w:r w:rsidR="00C853FB" w:rsidRPr="007A6FE3">
        <w:rPr>
          <w:rFonts w:ascii="Times New Roman" w:hAnsi="Times New Roman"/>
        </w:rPr>
        <w:t xml:space="preserve"> statement that the incumbent LEC notified and submitted a copy of its public notice to the public utility commission and to the Governor of the State in which the network change is proposed, and also to the Secretary of Defense.  </w:t>
      </w:r>
    </w:p>
    <w:p w14:paraId="23007FCF" w14:textId="77777777" w:rsidR="00FC7F4D" w:rsidRPr="007A6FE3" w:rsidRDefault="00C853FB" w:rsidP="00807083">
      <w:pPr>
        <w:pStyle w:val="ParaNum0"/>
        <w:spacing w:after="200"/>
      </w:pPr>
      <w:r w:rsidRPr="007A6FE3">
        <w:t xml:space="preserve">We seek comment on these </w:t>
      </w:r>
      <w:r w:rsidR="00807083" w:rsidRPr="007A6FE3">
        <w:t xml:space="preserve">certification </w:t>
      </w:r>
      <w:r w:rsidRPr="007A6FE3">
        <w:t>proposals</w:t>
      </w:r>
      <w:r w:rsidR="00F956EA" w:rsidRPr="007A6FE3">
        <w:t>, including on their benefits and drawbacks</w:t>
      </w:r>
      <w:r w:rsidRPr="007A6FE3">
        <w:t>.  Should we r</w:t>
      </w:r>
      <w:r w:rsidR="00F956EA" w:rsidRPr="007A6FE3">
        <w:t>equire incumbent LECs to include</w:t>
      </w:r>
      <w:r w:rsidRPr="007A6FE3">
        <w:t xml:space="preserve"> any additional information</w:t>
      </w:r>
      <w:r w:rsidR="00F956EA" w:rsidRPr="007A6FE3">
        <w:t xml:space="preserve"> in the certifications that they file</w:t>
      </w:r>
      <w:r w:rsidRPr="007A6FE3">
        <w:t xml:space="preserve">?  Could we achieve our goals while requiring incumbent LECs to </w:t>
      </w:r>
      <w:r w:rsidR="00F956EA" w:rsidRPr="007A6FE3">
        <w:t xml:space="preserve">include </w:t>
      </w:r>
      <w:r w:rsidRPr="007A6FE3">
        <w:t>less information</w:t>
      </w:r>
      <w:r w:rsidR="00F956EA" w:rsidRPr="007A6FE3">
        <w:t xml:space="preserve"> in their certifications</w:t>
      </w:r>
      <w:r w:rsidRPr="007A6FE3">
        <w:t xml:space="preserve">?  What should be the deadline for filing a certification?  </w:t>
      </w:r>
      <w:r w:rsidR="00D30F7A" w:rsidRPr="007A6FE3">
        <w:t xml:space="preserve">Should we require either an officer of the incumbent LEC or an individual authorized by the incumbent LEC </w:t>
      </w:r>
      <w:r w:rsidR="00EB7720" w:rsidRPr="007A6FE3">
        <w:t>to sign the certification and attest to the truth and accuracy of the representations therein under penalty of perjury</w:t>
      </w:r>
      <w:r w:rsidR="00D30F7A" w:rsidRPr="007A6FE3">
        <w:t xml:space="preserve">? </w:t>
      </w:r>
      <w:r w:rsidR="00151782" w:rsidRPr="007A6FE3">
        <w:t xml:space="preserve"> </w:t>
      </w:r>
      <w:r w:rsidR="001A13F8" w:rsidRPr="007A6FE3">
        <w:t xml:space="preserve">We also seek comment on our authority under </w:t>
      </w:r>
      <w:r w:rsidR="00400A4E" w:rsidRPr="007A6FE3">
        <w:t>s</w:t>
      </w:r>
      <w:r w:rsidR="001A13F8" w:rsidRPr="007A6FE3">
        <w:t xml:space="preserve">ection 251(c)(5) and/or other statutory provisions to impose </w:t>
      </w:r>
      <w:r w:rsidR="001204F9" w:rsidRPr="007A6FE3">
        <w:t>these</w:t>
      </w:r>
      <w:r w:rsidR="001A13F8" w:rsidRPr="007A6FE3">
        <w:t xml:space="preserve"> certification requirement</w:t>
      </w:r>
      <w:r w:rsidR="001204F9" w:rsidRPr="007A6FE3">
        <w:t>s</w:t>
      </w:r>
      <w:r w:rsidR="001A13F8" w:rsidRPr="007A6FE3">
        <w:t>.</w:t>
      </w:r>
    </w:p>
    <w:p w14:paraId="6533FDB1" w14:textId="77777777" w:rsidR="00FC7F4D" w:rsidRPr="007A6FE3" w:rsidRDefault="00FC7F4D" w:rsidP="001A13F8">
      <w:pPr>
        <w:pStyle w:val="Heading4"/>
      </w:pPr>
      <w:bookmarkStart w:id="330" w:name="_Toc399947717"/>
      <w:bookmarkStart w:id="331" w:name="_Toc400554026"/>
      <w:bookmarkStart w:id="332" w:name="_Toc400566835"/>
      <w:bookmarkStart w:id="333" w:name="_Toc400711706"/>
      <w:bookmarkStart w:id="334" w:name="_Toc400719656"/>
      <w:bookmarkStart w:id="335" w:name="_Toc401299429"/>
      <w:bookmarkStart w:id="336" w:name="_Toc401306994"/>
      <w:bookmarkStart w:id="337" w:name="_Toc401595630"/>
      <w:bookmarkStart w:id="338" w:name="_Toc401658187"/>
      <w:bookmarkStart w:id="339" w:name="_Toc401821689"/>
      <w:bookmarkStart w:id="340" w:name="_Toc401912156"/>
      <w:bookmarkStart w:id="341" w:name="_Toc402255410"/>
      <w:bookmarkStart w:id="342" w:name="_Toc402276193"/>
      <w:bookmarkStart w:id="343" w:name="_Toc402360435"/>
      <w:bookmarkStart w:id="344" w:name="_Toc402511497"/>
      <w:bookmarkStart w:id="345" w:name="_Toc403566406"/>
      <w:bookmarkStart w:id="346" w:name="_Toc404072117"/>
      <w:bookmarkStart w:id="347" w:name="_Toc404081313"/>
      <w:bookmarkStart w:id="348" w:name="_Toc404165792"/>
      <w:bookmarkStart w:id="349" w:name="_Toc404165870"/>
      <w:bookmarkStart w:id="350" w:name="_Toc404172428"/>
      <w:bookmarkStart w:id="351" w:name="_Toc404181481"/>
      <w:bookmarkStart w:id="352" w:name="_Toc404183074"/>
      <w:bookmarkStart w:id="353" w:name="_Toc404246619"/>
      <w:r w:rsidRPr="007A6FE3">
        <w:t>Sale</w:t>
      </w:r>
      <w:r w:rsidR="00C428B7" w:rsidRPr="007A6FE3">
        <w:t xml:space="preserve"> of</w:t>
      </w:r>
      <w:r w:rsidRPr="007A6FE3">
        <w:t xml:space="preserve"> Copper</w:t>
      </w:r>
      <w:r w:rsidR="00C428B7" w:rsidRPr="007A6FE3">
        <w:t xml:space="preserve"> Facilities That Would Otherwise Be Retired</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14:paraId="169852CF" w14:textId="77777777" w:rsidR="00355762" w:rsidRPr="007A6FE3" w:rsidRDefault="00355762" w:rsidP="0090552A">
      <w:pPr>
        <w:pStyle w:val="ParaNum0"/>
      </w:pPr>
      <w:r w:rsidRPr="007A6FE3">
        <w:t xml:space="preserve">One potential way to maintain valued parts of the copper network while allowing incumbent LECs to continue their technology transition plans would be for incumbent LECs to sell or auction copper facilities that they intend to retire, on reasonable terms and conditions.  Incumbent LECs </w:t>
      </w:r>
      <w:r w:rsidRPr="007A6FE3">
        <w:rPr>
          <w:szCs w:val="22"/>
        </w:rPr>
        <w:t>could</w:t>
      </w:r>
      <w:r w:rsidRPr="007A6FE3">
        <w:t xml:space="preserve"> </w:t>
      </w:r>
      <w:r w:rsidR="00434DE8" w:rsidRPr="007A6FE3">
        <w:t>offload</w:t>
      </w:r>
      <w:r w:rsidRPr="007A6FE3">
        <w:t xml:space="preserve"> unwanted copper while competitors or other entities could continue to use the facilities to provide copper-based services.  Consumers would continue to reap the benefits of their collective investment in our Nation’s copper networks by retaining more competitive alternatives than would otherwise be available.  </w:t>
      </w:r>
    </w:p>
    <w:p w14:paraId="6CAD8B11" w14:textId="77777777" w:rsidR="00355762" w:rsidRPr="007A6FE3" w:rsidRDefault="00355762" w:rsidP="0090552A">
      <w:pPr>
        <w:pStyle w:val="ParaNum0"/>
        <w:rPr>
          <w:szCs w:val="22"/>
        </w:rPr>
      </w:pPr>
      <w:r w:rsidRPr="007A6FE3">
        <w:t>Competitive LECs have demonstrated at least some interest in purchasing retired copper facilities.  For example, in their petition for a copper retirement rulemaking, BridgeCom et al. request that the Commission consider requiring or aut</w:t>
      </w:r>
      <w:r w:rsidRPr="007A6FE3">
        <w:rPr>
          <w:szCs w:val="22"/>
        </w:rPr>
        <w:t>horizing incumbent LECs to sell or auction copper “pursuant to some public and fair process.”</w:t>
      </w:r>
      <w:r w:rsidRPr="007A6FE3">
        <w:rPr>
          <w:rStyle w:val="FootnoteReference"/>
        </w:rPr>
        <w:footnoteReference w:id="182"/>
      </w:r>
      <w:r w:rsidRPr="007A6FE3">
        <w:rPr>
          <w:rStyle w:val="FootnoteReference"/>
        </w:rPr>
        <w:t xml:space="preserve"> </w:t>
      </w:r>
      <w:r w:rsidRPr="007A6FE3">
        <w:rPr>
          <w:szCs w:val="22"/>
        </w:rPr>
        <w:t xml:space="preserve"> These competitive LECs claim a sale or auction would allow incumbent LECs to “terminate ownership and most responsibility for unwanted loops while also preserving the potential benefits of use of spare copper loops for provision of competitive services.”</w:t>
      </w:r>
      <w:r w:rsidRPr="007A6FE3">
        <w:rPr>
          <w:rStyle w:val="FootnoteReference"/>
        </w:rPr>
        <w:footnoteReference w:id="183"/>
      </w:r>
      <w:r w:rsidRPr="007A6FE3">
        <w:rPr>
          <w:szCs w:val="22"/>
        </w:rPr>
        <w:t xml:space="preserve">  WorldNet, a competitive LEC serving small</w:t>
      </w:r>
      <w:r w:rsidR="008D6374" w:rsidRPr="007A6FE3">
        <w:rPr>
          <w:szCs w:val="22"/>
        </w:rPr>
        <w:t>-</w:t>
      </w:r>
      <w:r w:rsidRPr="007A6FE3">
        <w:rPr>
          <w:szCs w:val="22"/>
        </w:rPr>
        <w:t xml:space="preserve"> and </w:t>
      </w:r>
      <w:r w:rsidRPr="007A6FE3">
        <w:t>medium-sized business in Puerto Rico, also recommends requiring incumbent LECs to offer copper facilities for sale as a condition to retirement.</w:t>
      </w:r>
      <w:r w:rsidRPr="007A6FE3">
        <w:rPr>
          <w:rStyle w:val="FootnoteReference"/>
        </w:rPr>
        <w:footnoteReference w:id="184"/>
      </w:r>
      <w:r w:rsidRPr="007A6FE3">
        <w:rPr>
          <w:sz w:val="21"/>
          <w:szCs w:val="21"/>
        </w:rPr>
        <w:t xml:space="preserve">  </w:t>
      </w:r>
    </w:p>
    <w:p w14:paraId="58BCEA09" w14:textId="77777777" w:rsidR="00355762" w:rsidRPr="007A6FE3" w:rsidRDefault="00355762" w:rsidP="003F0F7D">
      <w:pPr>
        <w:pStyle w:val="ParaNum0"/>
        <w:widowControl/>
        <w:rPr>
          <w:kern w:val="0"/>
        </w:rPr>
      </w:pPr>
      <w:r w:rsidRPr="007A6FE3">
        <w:rPr>
          <w:szCs w:val="22"/>
        </w:rPr>
        <w:t>AT&amp;T has stated as part of its technology transition proposal that it would consider selling retired copper facilities to competitive carriers that wish to use those facilities to provide service to their customers.</w:t>
      </w:r>
      <w:r w:rsidRPr="007A6FE3">
        <w:rPr>
          <w:rStyle w:val="FootnoteReference"/>
          <w:szCs w:val="22"/>
        </w:rPr>
        <w:footnoteReference w:id="185"/>
      </w:r>
      <w:r w:rsidRPr="007A6FE3">
        <w:rPr>
          <w:szCs w:val="22"/>
        </w:rPr>
        <w:t xml:space="preserve">  In May, AT&amp;T submitted a general proposal to offer copper loops that are retired under the </w:t>
      </w:r>
      <w:r w:rsidR="002C5BE2" w:rsidRPr="007A6FE3">
        <w:rPr>
          <w:szCs w:val="22"/>
        </w:rPr>
        <w:t xml:space="preserve">network change disclosure </w:t>
      </w:r>
      <w:r w:rsidRPr="007A6FE3">
        <w:rPr>
          <w:szCs w:val="22"/>
        </w:rPr>
        <w:t xml:space="preserve">rules for sale on commercial terms to competitive </w:t>
      </w:r>
      <w:r w:rsidRPr="007A6FE3">
        <w:t>carriers</w:t>
      </w:r>
      <w:r w:rsidRPr="007A6FE3">
        <w:rPr>
          <w:szCs w:val="22"/>
        </w:rPr>
        <w:t>.</w:t>
      </w:r>
      <w:r w:rsidRPr="007A6FE3">
        <w:rPr>
          <w:rStyle w:val="FootnoteReference"/>
          <w:sz w:val="22"/>
          <w:szCs w:val="22"/>
        </w:rPr>
        <w:footnoteReference w:id="186"/>
      </w:r>
      <w:r w:rsidR="00A05268" w:rsidRPr="007A6FE3">
        <w:rPr>
          <w:szCs w:val="22"/>
        </w:rPr>
        <w:t xml:space="preserve">  U</w:t>
      </w:r>
      <w:r w:rsidRPr="007A6FE3">
        <w:rPr>
          <w:szCs w:val="22"/>
        </w:rPr>
        <w:t xml:space="preserve">nder AT&amp;T’s proposal, the parties would establish two agreements.  The first agreement would be the general terms and conditions of the copper sale, including obligations of the purchaser.  The terms state that the </w:t>
      </w:r>
      <w:r w:rsidRPr="007A6FE3">
        <w:t>purchaser</w:t>
      </w:r>
      <w:r w:rsidRPr="007A6FE3">
        <w:rPr>
          <w:szCs w:val="22"/>
        </w:rPr>
        <w:t xml:space="preserve"> is responsible for any costs associated with re-terminating the cable at </w:t>
      </w:r>
      <w:r w:rsidRPr="007A6FE3">
        <w:rPr>
          <w:kern w:val="0"/>
          <w:szCs w:val="22"/>
        </w:rPr>
        <w:t>the frame and service area interface.  In addition, the copper will be provided in “as-is” condition, and the purchaser is responsible for all maintenance and liabilities.</w:t>
      </w:r>
      <w:r w:rsidRPr="007A6FE3">
        <w:rPr>
          <w:rStyle w:val="FootnoteReference"/>
          <w:sz w:val="22"/>
          <w:szCs w:val="22"/>
        </w:rPr>
        <w:footnoteReference w:id="187"/>
      </w:r>
      <w:r w:rsidRPr="007A6FE3">
        <w:rPr>
          <w:kern w:val="0"/>
          <w:szCs w:val="22"/>
        </w:rPr>
        <w:t xml:space="preserve">  This agreement also provides for a 90-day transition period and establishes the responsibilities of both parties during the transition.  The second agreement provides for access to poles and/or conduit either by sale or lease.</w:t>
      </w:r>
      <w:r w:rsidRPr="007A6FE3">
        <w:rPr>
          <w:rStyle w:val="FootnoteReference"/>
          <w:szCs w:val="22"/>
        </w:rPr>
        <w:footnoteReference w:id="188"/>
      </w:r>
      <w:r w:rsidRPr="007A6FE3">
        <w:rPr>
          <w:kern w:val="0"/>
          <w:szCs w:val="22"/>
        </w:rPr>
        <w:t xml:space="preserve">  With respect to timing of the sale, </w:t>
      </w:r>
      <w:r w:rsidRPr="007A6FE3">
        <w:rPr>
          <w:szCs w:val="22"/>
        </w:rPr>
        <w:t>AT&amp;T’s proposal provides for a 150-day process:  30-day notice period, 30-day proposal or bid review period, and 90-day negotiation period to complete the sale.</w:t>
      </w:r>
      <w:r w:rsidRPr="007A6FE3">
        <w:rPr>
          <w:rStyle w:val="FootnoteReference"/>
          <w:szCs w:val="22"/>
        </w:rPr>
        <w:t xml:space="preserve"> </w:t>
      </w:r>
      <w:r w:rsidRPr="007A6FE3">
        <w:rPr>
          <w:rStyle w:val="FootnoteReference"/>
          <w:szCs w:val="22"/>
        </w:rPr>
        <w:footnoteReference w:id="189"/>
      </w:r>
    </w:p>
    <w:p w14:paraId="626B339C" w14:textId="77777777" w:rsidR="00762711" w:rsidRPr="007A6FE3" w:rsidRDefault="00762711" w:rsidP="00F44DC9">
      <w:pPr>
        <w:pStyle w:val="ParaNum0"/>
      </w:pPr>
      <w:r w:rsidRPr="007A6FE3">
        <w:t>We</w:t>
      </w:r>
      <w:r w:rsidR="0089508B" w:rsidRPr="007A6FE3">
        <w:t xml:space="preserve"> believe that sale of copper facilities </w:t>
      </w:r>
      <w:r w:rsidR="00C7550F" w:rsidRPr="007A6FE3">
        <w:t>c</w:t>
      </w:r>
      <w:r w:rsidR="003C10B7" w:rsidRPr="007A6FE3">
        <w:t xml:space="preserve">ould be </w:t>
      </w:r>
      <w:r w:rsidR="0089508B" w:rsidRPr="007A6FE3">
        <w:t xml:space="preserve">a win-win </w:t>
      </w:r>
      <w:r w:rsidR="008D6374" w:rsidRPr="007A6FE3">
        <w:t xml:space="preserve">proposition </w:t>
      </w:r>
      <w:r w:rsidR="0089508B" w:rsidRPr="007A6FE3">
        <w:t xml:space="preserve">that permits incumbent LECs to manage their </w:t>
      </w:r>
      <w:r w:rsidR="0089508B" w:rsidRPr="007A6FE3">
        <w:rPr>
          <w:szCs w:val="22"/>
        </w:rPr>
        <w:t>networks</w:t>
      </w:r>
      <w:r w:rsidR="0089508B" w:rsidRPr="007A6FE3">
        <w:t xml:space="preserve"> as they see fit while ensuring that copper remains available as a vehicle for competition.  We therefore</w:t>
      </w:r>
      <w:r w:rsidRPr="007A6FE3">
        <w:t xml:space="preserve"> seek comment on whether and how we should take action to promote the sale or auction of copper prior to retirement.  </w:t>
      </w:r>
      <w:r w:rsidR="009F020A" w:rsidRPr="007A6FE3">
        <w:t xml:space="preserve">We intend to develop a record to gauge the level of interest by competitive providers </w:t>
      </w:r>
      <w:r w:rsidR="00C7550F" w:rsidRPr="007A6FE3">
        <w:t xml:space="preserve">or others </w:t>
      </w:r>
      <w:r w:rsidR="009F020A" w:rsidRPr="007A6FE3">
        <w:t xml:space="preserve">to purchase retired copper facilities and address some of the issues involved in a sale or auction.  We further intend to determine what role, if any, the Commission should play in </w:t>
      </w:r>
      <w:r w:rsidR="00BF1194" w:rsidRPr="007A6FE3">
        <w:t xml:space="preserve">any </w:t>
      </w:r>
      <w:r w:rsidR="009F020A" w:rsidRPr="007A6FE3">
        <w:t>sale or auction of copper, including whether the Commission should establish rules requiring incumbent LECs to make a good faith effort to sell their copper networks before retiring the facilities.</w:t>
      </w:r>
    </w:p>
    <w:p w14:paraId="45A7C76E" w14:textId="77777777" w:rsidR="00BB55C1" w:rsidRPr="007A6FE3" w:rsidRDefault="00BB55C1" w:rsidP="003F0F7D">
      <w:pPr>
        <w:pStyle w:val="ParaNum0"/>
        <w:widowControl/>
      </w:pPr>
      <w:r w:rsidRPr="007A6FE3">
        <w:rPr>
          <w:i/>
        </w:rPr>
        <w:t xml:space="preserve">Interest in Purchase.  </w:t>
      </w:r>
      <w:r w:rsidR="009F020A" w:rsidRPr="007A6FE3">
        <w:t>First, w</w:t>
      </w:r>
      <w:r w:rsidRPr="007A6FE3">
        <w:t>e seek to gauge the level of interest by competitive providers and others in purchasing copper facilities that incumbents intend to retire.  Under what terms and in what circumstances would competitive providers or others be interested in purchasing copper facilities?  Although we have noted above the importance of copper and expressions of interest in the purchase of such facilities, do stakeholders feel purchasing retired copper is a valid or plausible method to address the competitive concerns raised by incumbent LEC copper retirement?  What are the benefits and drawbacks</w:t>
      </w:r>
      <w:r w:rsidR="006B16FA" w:rsidRPr="007A6FE3">
        <w:t xml:space="preserve"> to continued use of copper</w:t>
      </w:r>
      <w:r w:rsidRPr="007A6FE3">
        <w:t xml:space="preserve"> where fiber has been built-out?</w:t>
      </w:r>
    </w:p>
    <w:p w14:paraId="509AA60B" w14:textId="77777777" w:rsidR="00981CA1" w:rsidRPr="007A6FE3" w:rsidRDefault="00BA00D9" w:rsidP="00166577">
      <w:pPr>
        <w:pStyle w:val="ParaNum0"/>
        <w:rPr>
          <w:kern w:val="0"/>
          <w:szCs w:val="22"/>
        </w:rPr>
      </w:pPr>
      <w:r w:rsidRPr="007A6FE3">
        <w:rPr>
          <w:i/>
          <w:kern w:val="0"/>
          <w:szCs w:val="22"/>
        </w:rPr>
        <w:t>Means of Facilitating Sale or Action</w:t>
      </w:r>
      <w:r w:rsidR="00BB55C1" w:rsidRPr="007A6FE3">
        <w:rPr>
          <w:kern w:val="0"/>
          <w:szCs w:val="22"/>
        </w:rPr>
        <w:t xml:space="preserve">.  </w:t>
      </w:r>
      <w:r w:rsidR="00BB55C1" w:rsidRPr="007A6FE3">
        <w:t xml:space="preserve">We seek comment on </w:t>
      </w:r>
      <w:r w:rsidRPr="007A6FE3">
        <w:t>how the Commission can most effectively facilitate sale or auction of copper facilities than an incumbent LEC intends to retire</w:t>
      </w:r>
      <w:r w:rsidR="00E93F87" w:rsidRPr="007A6FE3">
        <w:t xml:space="preserve">.  We tentatively conclude that the Commission should pursue a voluntary approach, rather than impose a requirement for sale or auction of copper facilities, as proposed by parties such as WorldNet.  </w:t>
      </w:r>
      <w:r w:rsidR="00166577" w:rsidRPr="007A6FE3">
        <w:t>To that end, we</w:t>
      </w:r>
      <w:r w:rsidR="00981CA1" w:rsidRPr="007A6FE3">
        <w:t xml:space="preserve"> seek comment on whether and how the Commission could facilitate the voluntary sale or auction of copper.  What would be the role of the Commission, if any?  Are there any existing rules or procedures the Commission may use to encourage the sale or auction of copper?  Are there any regulatory barriers to the sale or auction of copper the Commission should remove?  Is there a role for state public service commissions in encouraging sale or auction of copper that </w:t>
      </w:r>
      <w:r w:rsidR="002C71EF" w:rsidRPr="007A6FE3">
        <w:t>an incumbent LEC intends to retire</w:t>
      </w:r>
      <w:r w:rsidR="00981CA1" w:rsidRPr="007A6FE3">
        <w:t>?</w:t>
      </w:r>
    </w:p>
    <w:p w14:paraId="57E0E117" w14:textId="77777777" w:rsidR="00BB55C1" w:rsidRPr="007A6FE3" w:rsidRDefault="00BB55C1" w:rsidP="0040000E">
      <w:pPr>
        <w:pStyle w:val="ParaNum0"/>
      </w:pPr>
      <w:r w:rsidRPr="007A6FE3">
        <w:rPr>
          <w:i/>
        </w:rPr>
        <w:t>Structure of Sale or Auction</w:t>
      </w:r>
      <w:r w:rsidRPr="007A6FE3">
        <w:t xml:space="preserve">.  We seek comment on the </w:t>
      </w:r>
      <w:r w:rsidR="00BA00D9" w:rsidRPr="007A6FE3">
        <w:t xml:space="preserve">ideal </w:t>
      </w:r>
      <w:r w:rsidRPr="007A6FE3">
        <w:t>structure of</w:t>
      </w:r>
      <w:r w:rsidR="00BA00D9" w:rsidRPr="007A6FE3">
        <w:t xml:space="preserve"> any sale or auction, regardless of whether the sale or auction occurs voluntarily</w:t>
      </w:r>
      <w:r w:rsidR="00166577" w:rsidRPr="007A6FE3">
        <w:t>, as we propose,</w:t>
      </w:r>
      <w:r w:rsidR="00BA00D9" w:rsidRPr="007A6FE3">
        <w:t xml:space="preserve"> or</w:t>
      </w:r>
      <w:r w:rsidR="00981CA1" w:rsidRPr="007A6FE3">
        <w:t xml:space="preserve"> </w:t>
      </w:r>
      <w:r w:rsidR="00BA00D9" w:rsidRPr="007A6FE3">
        <w:t>pursuant to a regulatory requirement</w:t>
      </w:r>
      <w:r w:rsidRPr="007A6FE3">
        <w:t xml:space="preserve">.  </w:t>
      </w:r>
      <w:r w:rsidR="00BA00D9" w:rsidRPr="007A6FE3">
        <w:t xml:space="preserve">We seek comment on AT&amp;T’s proposed structure, as well as on </w:t>
      </w:r>
      <w:r w:rsidRPr="007A6FE3">
        <w:t xml:space="preserve">alternative sale </w:t>
      </w:r>
      <w:r w:rsidR="002A6AB6" w:rsidRPr="007A6FE3">
        <w:t xml:space="preserve">and auction </w:t>
      </w:r>
      <w:r w:rsidRPr="007A6FE3">
        <w:t xml:space="preserve">structures.  </w:t>
      </w:r>
      <w:r w:rsidR="00BA00D9" w:rsidRPr="007A6FE3">
        <w:t xml:space="preserve">If an auction </w:t>
      </w:r>
      <w:r w:rsidR="00BA00D9" w:rsidRPr="007A6FE3">
        <w:rPr>
          <w:szCs w:val="22"/>
        </w:rPr>
        <w:t>mechanism</w:t>
      </w:r>
      <w:r w:rsidR="00BA00D9" w:rsidRPr="007A6FE3">
        <w:t xml:space="preserve"> were used</w:t>
      </w:r>
      <w:r w:rsidR="00980E66" w:rsidRPr="007A6FE3">
        <w:t>, w</w:t>
      </w:r>
      <w:r w:rsidRPr="007A6FE3">
        <w:t xml:space="preserve">hat form of auction </w:t>
      </w:r>
      <w:r w:rsidR="00BA00D9" w:rsidRPr="007A6FE3">
        <w:t>would be most effective</w:t>
      </w:r>
      <w:r w:rsidRPr="007A6FE3">
        <w:t xml:space="preserve">?  How would a sale or auction work?  For example, should a third-party be established to process the sale or act as clearinghouse for an auction?  What are the advantages and disadvantages of each structure?  Does one structure better promote the technology transition and our core values?  </w:t>
      </w:r>
      <w:r w:rsidR="00BA00D9" w:rsidRPr="007A6FE3">
        <w:t>To be effective, what is the minimum amount of time during which an incumbent LEC would need to offer the copper for sale or auction prior to retiring the network</w:t>
      </w:r>
      <w:r w:rsidR="005E656E" w:rsidRPr="007A6FE3">
        <w:t>?</w:t>
      </w:r>
      <w:r w:rsidRPr="007A6FE3">
        <w:rPr>
          <w:rStyle w:val="FootnoteReference"/>
        </w:rPr>
        <w:footnoteReference w:id="190"/>
      </w:r>
    </w:p>
    <w:p w14:paraId="69281B2D" w14:textId="77777777" w:rsidR="00BB55C1" w:rsidRPr="007A6FE3" w:rsidRDefault="00BB55C1" w:rsidP="00F44DC9">
      <w:pPr>
        <w:pStyle w:val="ParaNum0"/>
        <w:rPr>
          <w:kern w:val="0"/>
        </w:rPr>
      </w:pPr>
      <w:r w:rsidRPr="007A6FE3">
        <w:rPr>
          <w:i/>
          <w:kern w:val="0"/>
          <w:szCs w:val="22"/>
        </w:rPr>
        <w:t>Price and Terms of Sale or Auction</w:t>
      </w:r>
      <w:r w:rsidRPr="007A6FE3">
        <w:rPr>
          <w:kern w:val="0"/>
          <w:szCs w:val="22"/>
        </w:rPr>
        <w:t>.  We assume that price and terms of sale for copper facilities will be a driving factor in any transaction</w:t>
      </w:r>
      <w:r w:rsidR="001C6CE2" w:rsidRPr="007A6FE3">
        <w:rPr>
          <w:kern w:val="0"/>
          <w:szCs w:val="22"/>
        </w:rPr>
        <w:t xml:space="preserve">.  We further assume that in any </w:t>
      </w:r>
      <w:r w:rsidR="00AF7430" w:rsidRPr="007A6FE3">
        <w:rPr>
          <w:kern w:val="0"/>
          <w:szCs w:val="22"/>
        </w:rPr>
        <w:t xml:space="preserve">regulatory </w:t>
      </w:r>
      <w:r w:rsidR="001C6CE2" w:rsidRPr="007A6FE3">
        <w:rPr>
          <w:kern w:val="0"/>
          <w:szCs w:val="22"/>
        </w:rPr>
        <w:t xml:space="preserve">mechanism, </w:t>
      </w:r>
      <w:r w:rsidR="002768B5" w:rsidRPr="007A6FE3">
        <w:t xml:space="preserve">incumbent LECs would be </w:t>
      </w:r>
      <w:r w:rsidR="00AF7430" w:rsidRPr="007A6FE3">
        <w:t xml:space="preserve">able </w:t>
      </w:r>
      <w:r w:rsidR="002768B5" w:rsidRPr="007A6FE3">
        <w:t xml:space="preserve">to reject </w:t>
      </w:r>
      <w:r w:rsidR="002768B5" w:rsidRPr="007A6FE3">
        <w:rPr>
          <w:szCs w:val="22"/>
        </w:rPr>
        <w:t>offers</w:t>
      </w:r>
      <w:r w:rsidR="002768B5" w:rsidRPr="007A6FE3">
        <w:t xml:space="preserve"> or bids that do not meet minimum thresholds on price and other terms.  </w:t>
      </w:r>
      <w:r w:rsidRPr="007A6FE3">
        <w:rPr>
          <w:kern w:val="0"/>
          <w:szCs w:val="22"/>
        </w:rPr>
        <w:t xml:space="preserve">What </w:t>
      </w:r>
      <w:r w:rsidR="001C6CE2" w:rsidRPr="007A6FE3">
        <w:rPr>
          <w:kern w:val="0"/>
          <w:szCs w:val="22"/>
        </w:rPr>
        <w:t xml:space="preserve">would parties expect such </w:t>
      </w:r>
      <w:r w:rsidR="002768B5" w:rsidRPr="007A6FE3">
        <w:rPr>
          <w:kern w:val="0"/>
          <w:szCs w:val="22"/>
        </w:rPr>
        <w:t>minimum</w:t>
      </w:r>
      <w:r w:rsidRPr="007A6FE3">
        <w:rPr>
          <w:kern w:val="0"/>
          <w:szCs w:val="22"/>
        </w:rPr>
        <w:t xml:space="preserve"> standards </w:t>
      </w:r>
      <w:r w:rsidR="001C6CE2" w:rsidRPr="007A6FE3">
        <w:rPr>
          <w:kern w:val="0"/>
          <w:szCs w:val="22"/>
        </w:rPr>
        <w:t xml:space="preserve">to </w:t>
      </w:r>
      <w:r w:rsidR="00101FB4" w:rsidRPr="007A6FE3">
        <w:rPr>
          <w:kern w:val="0"/>
          <w:szCs w:val="22"/>
        </w:rPr>
        <w:t>be?</w:t>
      </w:r>
    </w:p>
    <w:p w14:paraId="42A775CC" w14:textId="77777777" w:rsidR="00124351" w:rsidRPr="007A6FE3" w:rsidRDefault="00124351" w:rsidP="001A13F8">
      <w:pPr>
        <w:pStyle w:val="Heading3"/>
      </w:pPr>
      <w:bookmarkStart w:id="354" w:name="_Toc399947719"/>
      <w:bookmarkStart w:id="355" w:name="_Toc400554028"/>
      <w:bookmarkStart w:id="356" w:name="_Toc400566837"/>
      <w:bookmarkStart w:id="357" w:name="_Toc400711708"/>
      <w:bookmarkStart w:id="358" w:name="_Toc400719658"/>
      <w:bookmarkStart w:id="359" w:name="_Toc401299431"/>
      <w:bookmarkStart w:id="360" w:name="_Toc401306996"/>
      <w:bookmarkStart w:id="361" w:name="_Toc401595631"/>
      <w:bookmarkStart w:id="362" w:name="_Toc401658188"/>
      <w:bookmarkStart w:id="363" w:name="_Toc401821690"/>
      <w:bookmarkStart w:id="364" w:name="_Toc401912158"/>
      <w:bookmarkStart w:id="365" w:name="_Toc402255412"/>
      <w:bookmarkStart w:id="366" w:name="_Toc402276195"/>
      <w:bookmarkStart w:id="367" w:name="_Toc402360437"/>
      <w:bookmarkStart w:id="368" w:name="_Toc402511499"/>
      <w:bookmarkStart w:id="369" w:name="_Toc403566408"/>
      <w:bookmarkStart w:id="370" w:name="_Toc404072119"/>
      <w:bookmarkStart w:id="371" w:name="_Toc404081315"/>
      <w:bookmarkStart w:id="372" w:name="_Toc404165794"/>
      <w:bookmarkStart w:id="373" w:name="_Toc404165872"/>
      <w:bookmarkStart w:id="374" w:name="_Toc404172429"/>
      <w:bookmarkStart w:id="375" w:name="_Toc404181483"/>
      <w:bookmarkStart w:id="376" w:name="_Toc404183076"/>
      <w:bookmarkStart w:id="377" w:name="_Toc404246620"/>
      <w:r w:rsidRPr="007A6FE3">
        <w:t xml:space="preserve">Section 214 </w:t>
      </w:r>
      <w:bookmarkEnd w:id="354"/>
      <w:bookmarkEnd w:id="355"/>
      <w:bookmarkEnd w:id="356"/>
      <w:bookmarkEnd w:id="357"/>
      <w:bookmarkEnd w:id="358"/>
      <w:bookmarkEnd w:id="359"/>
      <w:bookmarkEnd w:id="360"/>
      <w:r w:rsidR="00EE3BBF" w:rsidRPr="007A6FE3">
        <w:t>Discontinuances</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14:paraId="2D5EF4E4" w14:textId="77777777" w:rsidR="00124351" w:rsidRPr="007A6FE3" w:rsidRDefault="0049291D" w:rsidP="00227F28">
      <w:pPr>
        <w:pStyle w:val="ParaNum0"/>
      </w:pPr>
      <w:r w:rsidRPr="007A6FE3">
        <w:rPr>
          <w:szCs w:val="22"/>
        </w:rPr>
        <w:t xml:space="preserve">Our fundamental values </w:t>
      </w:r>
      <w:r w:rsidR="009A7127" w:rsidRPr="007A6FE3">
        <w:rPr>
          <w:szCs w:val="22"/>
        </w:rPr>
        <w:t>and the Commission’s statutory obligations are not</w:t>
      </w:r>
      <w:r w:rsidRPr="007A6FE3">
        <w:rPr>
          <w:szCs w:val="22"/>
        </w:rPr>
        <w:t xml:space="preserve"> </w:t>
      </w:r>
      <w:r w:rsidR="00F956EA" w:rsidRPr="007A6FE3">
        <w:rPr>
          <w:szCs w:val="22"/>
        </w:rPr>
        <w:t xml:space="preserve">lost </w:t>
      </w:r>
      <w:r w:rsidR="009A7127" w:rsidRPr="007A6FE3">
        <w:rPr>
          <w:szCs w:val="22"/>
        </w:rPr>
        <w:t xml:space="preserve">or mooted </w:t>
      </w:r>
      <w:r w:rsidR="00F956EA" w:rsidRPr="007A6FE3">
        <w:rPr>
          <w:szCs w:val="22"/>
        </w:rPr>
        <w:t>merely because</w:t>
      </w:r>
      <w:r w:rsidRPr="007A6FE3">
        <w:rPr>
          <w:szCs w:val="22"/>
        </w:rPr>
        <w:t xml:space="preserve"> legacy services</w:t>
      </w:r>
      <w:r w:rsidR="00F956EA" w:rsidRPr="007A6FE3">
        <w:rPr>
          <w:szCs w:val="22"/>
        </w:rPr>
        <w:t xml:space="preserve"> are discontinued</w:t>
      </w:r>
      <w:r w:rsidRPr="007A6FE3">
        <w:rPr>
          <w:szCs w:val="22"/>
        </w:rPr>
        <w:t>.  Therefore</w:t>
      </w:r>
      <w:r w:rsidR="0058226E" w:rsidRPr="007A6FE3">
        <w:rPr>
          <w:szCs w:val="22"/>
        </w:rPr>
        <w:t xml:space="preserve">, it is critical for us to define </w:t>
      </w:r>
      <w:r w:rsidRPr="007A6FE3">
        <w:rPr>
          <w:szCs w:val="22"/>
        </w:rPr>
        <w:t xml:space="preserve">carriers’ responsibilities when discontinuing legacy services to ensure that we carry our values forward without regard to the particular technology used.  In this Notice, we advance this goal in </w:t>
      </w:r>
      <w:r w:rsidR="00E8420A" w:rsidRPr="007A6FE3">
        <w:rPr>
          <w:szCs w:val="22"/>
        </w:rPr>
        <w:t>three</w:t>
      </w:r>
      <w:r w:rsidRPr="007A6FE3">
        <w:rPr>
          <w:szCs w:val="22"/>
        </w:rPr>
        <w:t xml:space="preserve"> ways.  </w:t>
      </w:r>
      <w:r w:rsidR="007856B6" w:rsidRPr="007A6FE3">
        <w:rPr>
          <w:szCs w:val="22"/>
        </w:rPr>
        <w:t>First</w:t>
      </w:r>
      <w:r w:rsidRPr="007A6FE3">
        <w:rPr>
          <w:szCs w:val="22"/>
        </w:rPr>
        <w:t>, to ensure that we protect consumers, competition, and public safety, we seek comment</w:t>
      </w:r>
      <w:r w:rsidR="00124351" w:rsidRPr="007A6FE3">
        <w:rPr>
          <w:szCs w:val="22"/>
        </w:rPr>
        <w:t xml:space="preserve"> </w:t>
      </w:r>
      <w:r w:rsidRPr="007A6FE3">
        <w:rPr>
          <w:szCs w:val="22"/>
        </w:rPr>
        <w:t xml:space="preserve">on what </w:t>
      </w:r>
      <w:r w:rsidR="00124351" w:rsidRPr="007A6FE3">
        <w:rPr>
          <w:szCs w:val="22"/>
        </w:rPr>
        <w:t xml:space="preserve">constitutes an adequate substitute for </w:t>
      </w:r>
      <w:r w:rsidRPr="007A6FE3">
        <w:rPr>
          <w:szCs w:val="22"/>
        </w:rPr>
        <w:t>a retail</w:t>
      </w:r>
      <w:r w:rsidR="00124351" w:rsidRPr="007A6FE3">
        <w:rPr>
          <w:szCs w:val="22"/>
        </w:rPr>
        <w:t xml:space="preserve"> service being discontinued, reduced, or impaired</w:t>
      </w:r>
      <w:r w:rsidRPr="007A6FE3">
        <w:rPr>
          <w:szCs w:val="22"/>
        </w:rPr>
        <w:t>.</w:t>
      </w:r>
      <w:r w:rsidR="00124351" w:rsidRPr="007A6FE3">
        <w:rPr>
          <w:szCs w:val="22"/>
        </w:rPr>
        <w:t xml:space="preserve">  </w:t>
      </w:r>
      <w:r w:rsidR="007856B6" w:rsidRPr="007A6FE3">
        <w:rPr>
          <w:szCs w:val="22"/>
        </w:rPr>
        <w:t xml:space="preserve">Second, </w:t>
      </w:r>
      <w:r w:rsidR="007856B6" w:rsidRPr="007A6FE3">
        <w:t xml:space="preserve">we </w:t>
      </w:r>
      <w:r w:rsidR="004B5560">
        <w:t>seek comment on</w:t>
      </w:r>
      <w:r w:rsidR="004B5560" w:rsidRPr="007A6FE3">
        <w:t xml:space="preserve"> </w:t>
      </w:r>
      <w:r w:rsidR="007856B6" w:rsidRPr="007A6FE3">
        <w:t>better defining the scope of our section 214(a) authority, focusing in particular on the context of wholesale services</w:t>
      </w:r>
      <w:r w:rsidR="007856B6" w:rsidRPr="007A6FE3">
        <w:rPr>
          <w:szCs w:val="22"/>
        </w:rPr>
        <w:t xml:space="preserve">.  </w:t>
      </w:r>
      <w:r w:rsidR="00E8420A" w:rsidRPr="007A6FE3">
        <w:rPr>
          <w:szCs w:val="22"/>
        </w:rPr>
        <w:t>Third</w:t>
      </w:r>
      <w:r w:rsidR="00714916" w:rsidRPr="007A6FE3">
        <w:rPr>
          <w:szCs w:val="22"/>
        </w:rPr>
        <w:t xml:space="preserve">, we recognize the critical importance of ensuring that technology transitions do </w:t>
      </w:r>
      <w:r w:rsidRPr="007A6FE3">
        <w:rPr>
          <w:szCs w:val="22"/>
        </w:rPr>
        <w:t>no harm to the</w:t>
      </w:r>
      <w:r w:rsidR="00714916" w:rsidRPr="007A6FE3">
        <w:rPr>
          <w:szCs w:val="22"/>
        </w:rPr>
        <w:t xml:space="preserve"> benefits of competitive access</w:t>
      </w:r>
      <w:r w:rsidR="00E55B88" w:rsidRPr="007A6FE3">
        <w:rPr>
          <w:szCs w:val="22"/>
        </w:rPr>
        <w:t>, particularly in the period</w:t>
      </w:r>
      <w:r w:rsidRPr="007A6FE3">
        <w:rPr>
          <w:szCs w:val="22"/>
        </w:rPr>
        <w:t xml:space="preserve"> prior to </w:t>
      </w:r>
      <w:r w:rsidR="00E55B88" w:rsidRPr="007A6FE3">
        <w:rPr>
          <w:szCs w:val="22"/>
        </w:rPr>
        <w:t>ultimate action</w:t>
      </w:r>
      <w:r w:rsidR="002A3EDF" w:rsidRPr="007A6FE3">
        <w:rPr>
          <w:szCs w:val="22"/>
        </w:rPr>
        <w:t xml:space="preserve"> in our </w:t>
      </w:r>
      <w:r w:rsidRPr="007A6FE3">
        <w:rPr>
          <w:szCs w:val="22"/>
        </w:rPr>
        <w:t>special access proceeding</w:t>
      </w:r>
      <w:r w:rsidR="00714916" w:rsidRPr="007A6FE3">
        <w:rPr>
          <w:szCs w:val="22"/>
        </w:rPr>
        <w:t xml:space="preserve">.  Accordingly, </w:t>
      </w:r>
      <w:r w:rsidRPr="007A6FE3">
        <w:t xml:space="preserve">we tentatively conclude that we </w:t>
      </w:r>
      <w:r w:rsidR="00252D92" w:rsidRPr="007A6FE3">
        <w:t>should require incumbent LECs that seek section 214 authority to discontinue, reduce, or impair a legacy service used as a wholesale</w:t>
      </w:r>
      <w:r w:rsidR="00F956EA" w:rsidRPr="007A6FE3">
        <w:t xml:space="preserve"> input by competitive providers</w:t>
      </w:r>
      <w:r w:rsidR="00252D92" w:rsidRPr="007A6FE3">
        <w:t xml:space="preserve"> to commit to providing equivalent wholesale access on equivalent rates, terms, and conditions.</w:t>
      </w:r>
      <w:r w:rsidR="00236187" w:rsidRPr="007A6FE3">
        <w:t xml:space="preserve">  We also seek comment on the relationship between the duration of this </w:t>
      </w:r>
      <w:r w:rsidR="00292FED" w:rsidRPr="007A6FE3">
        <w:t>requirement</w:t>
      </w:r>
      <w:r w:rsidR="00236187" w:rsidRPr="007A6FE3">
        <w:t xml:space="preserve">, which would </w:t>
      </w:r>
      <w:r w:rsidR="00292FED" w:rsidRPr="007A6FE3">
        <w:t>take the form of a condition</w:t>
      </w:r>
      <w:r w:rsidR="00236187" w:rsidRPr="007A6FE3">
        <w:t xml:space="preserve"> imposed </w:t>
      </w:r>
      <w:r w:rsidR="00292FED" w:rsidRPr="007A6FE3">
        <w:t>on</w:t>
      </w:r>
      <w:r w:rsidR="00236187" w:rsidRPr="007A6FE3">
        <w:t xml:space="preserve"> a grant of discontinuance authority for TDM services on which competitive carriers depend, and the ultimate outcome of our special access proceeding.</w:t>
      </w:r>
    </w:p>
    <w:p w14:paraId="2EE5AA3E" w14:textId="77777777" w:rsidR="00124351" w:rsidRPr="007A6FE3" w:rsidRDefault="00124351" w:rsidP="00750431">
      <w:pPr>
        <w:pStyle w:val="Heading4"/>
      </w:pPr>
      <w:bookmarkStart w:id="378" w:name="_Toc399947721"/>
      <w:bookmarkStart w:id="379" w:name="_Toc400554029"/>
      <w:bookmarkStart w:id="380" w:name="_Toc400566838"/>
      <w:bookmarkStart w:id="381" w:name="_Toc400711709"/>
      <w:bookmarkStart w:id="382" w:name="_Toc400719659"/>
      <w:bookmarkStart w:id="383" w:name="_Toc401299434"/>
      <w:bookmarkStart w:id="384" w:name="_Toc401306999"/>
      <w:bookmarkStart w:id="385" w:name="_Toc401595632"/>
      <w:bookmarkStart w:id="386" w:name="_Toc401658189"/>
      <w:bookmarkStart w:id="387" w:name="_Toc401821691"/>
      <w:bookmarkStart w:id="388" w:name="_Toc401912159"/>
      <w:bookmarkStart w:id="389" w:name="_Toc402255413"/>
      <w:bookmarkStart w:id="390" w:name="_Toc402276196"/>
      <w:bookmarkStart w:id="391" w:name="_Toc402360438"/>
      <w:bookmarkStart w:id="392" w:name="_Toc402511500"/>
      <w:bookmarkStart w:id="393" w:name="_Toc403566409"/>
      <w:bookmarkStart w:id="394" w:name="_Toc404072120"/>
      <w:bookmarkStart w:id="395" w:name="_Toc404081316"/>
      <w:bookmarkStart w:id="396" w:name="_Toc404165795"/>
      <w:bookmarkStart w:id="397" w:name="_Toc404165873"/>
      <w:bookmarkStart w:id="398" w:name="_Toc404172430"/>
      <w:bookmarkStart w:id="399" w:name="_Toc404181484"/>
      <w:bookmarkStart w:id="400" w:name="_Toc404183077"/>
      <w:bookmarkStart w:id="401" w:name="_Toc404246621"/>
      <w:r w:rsidRPr="007A6FE3">
        <w:t>What Constitutes an Adequate Substitute for a</w:t>
      </w:r>
      <w:r w:rsidR="00832678" w:rsidRPr="007A6FE3">
        <w:t xml:space="preserve"> Retail</w:t>
      </w:r>
      <w:r w:rsidRPr="007A6FE3">
        <w:t xml:space="preserve"> Service a Carrier Seeks to Discontinue, Reduce, or Impair?</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14:paraId="3BC0D714" w14:textId="77777777" w:rsidR="00124351" w:rsidRPr="007A6FE3" w:rsidRDefault="00832678" w:rsidP="00227F28">
      <w:pPr>
        <w:pStyle w:val="ParaNum0"/>
      </w:pPr>
      <w:r w:rsidRPr="007A6FE3">
        <w:t xml:space="preserve">We agree with Public Knowledge that </w:t>
      </w:r>
      <w:r w:rsidR="004347F0" w:rsidRPr="007A6FE3">
        <w:t xml:space="preserve">the public and industry alike would benefit from establishment of criteria to </w:t>
      </w:r>
      <w:r w:rsidRPr="007A6FE3">
        <w:t xml:space="preserve">evaluate </w:t>
      </w:r>
      <w:r w:rsidR="004347F0" w:rsidRPr="007A6FE3">
        <w:t xml:space="preserve">replacement </w:t>
      </w:r>
      <w:r w:rsidRPr="007A6FE3">
        <w:t xml:space="preserve">technologies when a carrier files an application to discontinue a retail service pursuant to section 214(a).  </w:t>
      </w:r>
      <w:r w:rsidR="000754D5" w:rsidRPr="007A6FE3">
        <w:t xml:space="preserve">We </w:t>
      </w:r>
      <w:r w:rsidR="00750431" w:rsidRPr="007A6FE3">
        <w:t xml:space="preserve">focus this inquiry, in particular, on consumer products.  </w:t>
      </w:r>
      <w:r w:rsidRPr="007A6FE3">
        <w:t>Industry and the public will benefit from articulation of clear, technologically neutral principles that define what constitutes an adequate substitute for consumers for a discontinued</w:t>
      </w:r>
      <w:r w:rsidR="00462725" w:rsidRPr="007A6FE3">
        <w:t xml:space="preserve"> retail</w:t>
      </w:r>
      <w:r w:rsidRPr="007A6FE3">
        <w:t xml:space="preserve"> service.  </w:t>
      </w:r>
      <w:r w:rsidR="00124351" w:rsidRPr="007A6FE3">
        <w:t>We</w:t>
      </w:r>
      <w:r w:rsidR="007D0C75" w:rsidRPr="007A6FE3">
        <w:t xml:space="preserve"> therefore</w:t>
      </w:r>
      <w:r w:rsidR="00124351" w:rsidRPr="007A6FE3">
        <w:t xml:space="preserve"> </w:t>
      </w:r>
      <w:r w:rsidR="002F0C5B">
        <w:t>seek comment on whether</w:t>
      </w:r>
      <w:r w:rsidR="00124351" w:rsidRPr="007A6FE3">
        <w:t xml:space="preserve"> the Commission should update its rules to define what would constitute an adequate substitute for </w:t>
      </w:r>
      <w:r w:rsidR="00462725" w:rsidRPr="007A6FE3">
        <w:t xml:space="preserve">retail </w:t>
      </w:r>
      <w:r w:rsidR="00124351" w:rsidRPr="007A6FE3">
        <w:t xml:space="preserve">services that a carrier seeks to discontinue, reduce, or impair in connection with a technology transition (e.g., TDM to IP, wireline to wireless).  We </w:t>
      </w:r>
      <w:r w:rsidR="00AC01B2" w:rsidRPr="007A6FE3">
        <w:t>will also look to</w:t>
      </w:r>
      <w:r w:rsidR="00CC4A8F" w:rsidRPr="007A6FE3">
        <w:t xml:space="preserve"> any service-based experiments and other data collection activities that occur pursuant to the January </w:t>
      </w:r>
      <w:r w:rsidR="00CC4A8F" w:rsidRPr="007A6FE3">
        <w:rPr>
          <w:i/>
        </w:rPr>
        <w:t>Technology Transitions Order</w:t>
      </w:r>
      <w:r w:rsidR="00CC4A8F" w:rsidRPr="007A6FE3">
        <w:t xml:space="preserve"> </w:t>
      </w:r>
      <w:r w:rsidR="00AC01B2" w:rsidRPr="007A6FE3">
        <w:t>to inform</w:t>
      </w:r>
      <w:r w:rsidR="00CC4A8F" w:rsidRPr="007A6FE3">
        <w:t xml:space="preserve"> th</w:t>
      </w:r>
      <w:r w:rsidR="00AC01B2" w:rsidRPr="007A6FE3">
        <w:t>ese questions</w:t>
      </w:r>
      <w:r w:rsidR="00CC4A8F" w:rsidRPr="007A6FE3">
        <w:t>.</w:t>
      </w:r>
      <w:r w:rsidR="008135A3" w:rsidRPr="007A6FE3">
        <w:t xml:space="preserve">  We undertake this inquiry, in part, to ensure that the transition to IP-supported technologies does not impair the security, integrity and reliability of our nation’s communications infrastructure.</w:t>
      </w:r>
    </w:p>
    <w:p w14:paraId="7007E9D6" w14:textId="77777777" w:rsidR="00E20BDB" w:rsidRPr="007A6FE3" w:rsidRDefault="00124351" w:rsidP="00AD7E49">
      <w:pPr>
        <w:pStyle w:val="ParaNum0"/>
      </w:pPr>
      <w:r w:rsidRPr="007A6FE3">
        <w:t xml:space="preserve">What </w:t>
      </w:r>
      <w:r w:rsidRPr="007A6FE3">
        <w:rPr>
          <w:szCs w:val="22"/>
        </w:rPr>
        <w:t>factors</w:t>
      </w:r>
      <w:r w:rsidRPr="007A6FE3">
        <w:t xml:space="preserve"> should we consider</w:t>
      </w:r>
      <w:r w:rsidR="00AC01B2" w:rsidRPr="007A6FE3">
        <w:t xml:space="preserve"> in evaluating section 214 filings concerning discontinuance of retail services</w:t>
      </w:r>
      <w:r w:rsidRPr="007A6FE3">
        <w:t xml:space="preserve">?  </w:t>
      </w:r>
      <w:r w:rsidR="00AC01B2" w:rsidRPr="007A6FE3">
        <w:t>S</w:t>
      </w:r>
      <w:r w:rsidRPr="007A6FE3">
        <w:t xml:space="preserve">hould </w:t>
      </w:r>
      <w:r w:rsidR="00AC01B2" w:rsidRPr="007A6FE3">
        <w:t>certain factors be</w:t>
      </w:r>
      <w:r w:rsidRPr="007A6FE3">
        <w:t xml:space="preserve"> </w:t>
      </w:r>
      <w:r w:rsidR="00AC01B2" w:rsidRPr="007A6FE3">
        <w:t xml:space="preserve">given greater </w:t>
      </w:r>
      <w:r w:rsidRPr="007A6FE3">
        <w:t xml:space="preserve">weight </w:t>
      </w:r>
      <w:r w:rsidR="00AC01B2" w:rsidRPr="007A6FE3">
        <w:t>than others</w:t>
      </w:r>
      <w:r w:rsidRPr="007A6FE3">
        <w:t>?</w:t>
      </w:r>
      <w:r w:rsidR="008F291C" w:rsidRPr="007A6FE3">
        <w:t xml:space="preserve">  </w:t>
      </w:r>
      <w:r w:rsidR="00B6173E" w:rsidRPr="007A6FE3">
        <w:t xml:space="preserve">In particular, how much weight should we give to the adequacy of available substitutes?  </w:t>
      </w:r>
      <w:r w:rsidR="00306676" w:rsidRPr="007A6FE3">
        <w:rPr>
          <w:szCs w:val="22"/>
        </w:rPr>
        <w:t>In</w:t>
      </w:r>
      <w:r w:rsidR="00306676" w:rsidRPr="007A6FE3">
        <w:t xml:space="preserve"> the context of AT&amp;T’s proposed service-based experiments, Public Knowledge identified ten attributes it believes require particular evaluation:  “(1) Network capacity, (2) Call quality, (3) Device interoperability, (4) Service for the deaf and disabled, (5) System availability, (6) PSAP and 9-1-1 service, (7) Cybersecurity, (8) Call persistence, (9) Call functionality, and (10) Wireline coverage.”</w:t>
      </w:r>
      <w:r w:rsidR="00306676" w:rsidRPr="007A6FE3">
        <w:rPr>
          <w:rStyle w:val="FootnoteReference"/>
        </w:rPr>
        <w:footnoteReference w:id="191"/>
      </w:r>
      <w:r w:rsidR="00306676" w:rsidRPr="007A6FE3">
        <w:t xml:space="preserve">  We seek comment on whether and how the Commission should consider these </w:t>
      </w:r>
      <w:r w:rsidR="00E57998" w:rsidRPr="007A6FE3">
        <w:t xml:space="preserve">and/or other </w:t>
      </w:r>
      <w:r w:rsidR="00306676" w:rsidRPr="007A6FE3">
        <w:t>attributes</w:t>
      </w:r>
      <w:r w:rsidR="004D3686" w:rsidRPr="007A6FE3">
        <w:t xml:space="preserve"> and on the costs and benefits of articulating specific attributes</w:t>
      </w:r>
      <w:r w:rsidR="00306676" w:rsidRPr="007A6FE3">
        <w:t xml:space="preserve">.  </w:t>
      </w:r>
      <w:r w:rsidR="00F20DDB" w:rsidRPr="007A6FE3">
        <w:t>And w</w:t>
      </w:r>
      <w:r w:rsidR="008E445A" w:rsidRPr="007A6FE3">
        <w:t>e seek comment on what law enforcement capabilities the Commission should seek to preserve as the underlying communications technology changes.</w:t>
      </w:r>
      <w:r w:rsidR="008E445A" w:rsidRPr="007A6FE3">
        <w:rPr>
          <w:rStyle w:val="FootnoteReference"/>
        </w:rPr>
        <w:footnoteReference w:id="192"/>
      </w:r>
      <w:r w:rsidR="008E445A" w:rsidRPr="007A6FE3">
        <w:t xml:space="preserve">  </w:t>
      </w:r>
      <w:r w:rsidR="00306676" w:rsidRPr="007A6FE3">
        <w:t>We also seek comment on whether it s</w:t>
      </w:r>
      <w:r w:rsidRPr="007A6FE3">
        <w:t xml:space="preserve">hould be necessary to meet all of the criteria to obtain streamlined treatment and/or approval or </w:t>
      </w:r>
      <w:r w:rsidR="00306676" w:rsidRPr="007A6FE3">
        <w:t>whether</w:t>
      </w:r>
      <w:r w:rsidR="00E83F50" w:rsidRPr="007A6FE3">
        <w:t xml:space="preserve"> </w:t>
      </w:r>
      <w:r w:rsidRPr="007A6FE3">
        <w:t xml:space="preserve">some criteria </w:t>
      </w:r>
      <w:r w:rsidR="00306676" w:rsidRPr="007A6FE3">
        <w:t xml:space="preserve">should </w:t>
      </w:r>
      <w:r w:rsidR="00AC01B2" w:rsidRPr="007A6FE3">
        <w:t xml:space="preserve">be considered </w:t>
      </w:r>
      <w:r w:rsidRPr="007A6FE3">
        <w:t>more important than others</w:t>
      </w:r>
      <w:r w:rsidR="00306676" w:rsidRPr="007A6FE3">
        <w:t>.</w:t>
      </w:r>
      <w:r w:rsidRPr="007A6FE3">
        <w:t xml:space="preserve">  </w:t>
      </w:r>
      <w:r w:rsidR="00306676" w:rsidRPr="007A6FE3">
        <w:t xml:space="preserve">And </w:t>
      </w:r>
      <w:r w:rsidRPr="007A6FE3">
        <w:t xml:space="preserve">what should </w:t>
      </w:r>
      <w:r w:rsidR="00306676" w:rsidRPr="007A6FE3">
        <w:t xml:space="preserve">the Commission </w:t>
      </w:r>
      <w:r w:rsidRPr="007A6FE3">
        <w:t>look for in evaluating each of the</w:t>
      </w:r>
      <w:r w:rsidR="00AC01B2" w:rsidRPr="007A6FE3">
        <w:t xml:space="preserve"> factors commenters may suggest</w:t>
      </w:r>
      <w:r w:rsidR="00306676" w:rsidRPr="007A6FE3">
        <w:t>?</w:t>
      </w:r>
      <w:r w:rsidRPr="007A6FE3">
        <w:t xml:space="preserve">  </w:t>
      </w:r>
      <w:r w:rsidR="004D3686" w:rsidRPr="007A6FE3">
        <w:t xml:space="preserve">What enforcement remedies are appropriate for a carrier that obtains discontinuance authority predicated on meeting certain adequacy standards but fails to abide by those commitments?  </w:t>
      </w:r>
      <w:r w:rsidRPr="007A6FE3">
        <w:t>Should an applicant that seeks to</w:t>
      </w:r>
      <w:r w:rsidR="00462725" w:rsidRPr="007A6FE3">
        <w:t xml:space="preserve"> discontinue </w:t>
      </w:r>
      <w:r w:rsidRPr="007A6FE3">
        <w:t xml:space="preserve">a </w:t>
      </w:r>
      <w:r w:rsidR="00462725" w:rsidRPr="007A6FE3">
        <w:t xml:space="preserve">retail </w:t>
      </w:r>
      <w:r w:rsidRPr="007A6FE3">
        <w:t xml:space="preserve">service be entitled to streamlined treatment and/or approval if a competitor offers a service that meets the criteria that we identify for an adequate substitute?  </w:t>
      </w:r>
      <w:r w:rsidR="00092A0F" w:rsidRPr="007A6FE3">
        <w:t xml:space="preserve">What are the costs and benefits </w:t>
      </w:r>
      <w:r w:rsidR="004D3686" w:rsidRPr="007A6FE3">
        <w:t>of</w:t>
      </w:r>
      <w:r w:rsidR="00092A0F" w:rsidRPr="007A6FE3">
        <w:t xml:space="preserve"> this and other approaches to </w:t>
      </w:r>
      <w:r w:rsidR="004D3686" w:rsidRPr="007A6FE3">
        <w:t xml:space="preserve">implementing criteria for adequacy of substitutes?  </w:t>
      </w:r>
      <w:r w:rsidRPr="007A6FE3">
        <w:t>We emphasize that we seek to develop technology-neutral criteria and do not wish to issue any technology ma</w:t>
      </w:r>
      <w:r w:rsidR="00030A74" w:rsidRPr="007A6FE3">
        <w:t>ndates.</w:t>
      </w:r>
      <w:r w:rsidRPr="007A6FE3">
        <w:t xml:space="preserve">  </w:t>
      </w:r>
      <w:r w:rsidR="00E20BDB" w:rsidRPr="007A6FE3">
        <w:t>We also seek comment on whether consumer</w:t>
      </w:r>
      <w:r w:rsidR="00FA1B03" w:rsidRPr="007A6FE3">
        <w:t>s</w:t>
      </w:r>
      <w:r w:rsidR="00E20BDB" w:rsidRPr="007A6FE3">
        <w:t xml:space="preserve"> expect, or should be entitled to expect, the same or equivalent functionalities from new </w:t>
      </w:r>
      <w:r w:rsidR="00FA1B03" w:rsidRPr="007A6FE3">
        <w:t>services</w:t>
      </w:r>
      <w:r w:rsidR="00E20BDB" w:rsidRPr="007A6FE3">
        <w:t xml:space="preserve">, or whether there are benefits from new services (e.g., more choice, lower cost, better features) that would compensate for any differences.  </w:t>
      </w:r>
    </w:p>
    <w:p w14:paraId="7AA2B332" w14:textId="77777777" w:rsidR="00DE0797" w:rsidRPr="007A6FE3" w:rsidRDefault="00A16814" w:rsidP="00AD7E49">
      <w:pPr>
        <w:pStyle w:val="ParaNum0"/>
      </w:pPr>
      <w:r w:rsidRPr="007A6FE3">
        <w:t xml:space="preserve">Below we </w:t>
      </w:r>
      <w:r w:rsidR="00E11CB8" w:rsidRPr="007A6FE3">
        <w:t>discuss</w:t>
      </w:r>
      <w:r w:rsidRPr="007A6FE3">
        <w:t xml:space="preserve"> several of the </w:t>
      </w:r>
      <w:r w:rsidR="00AF79B5" w:rsidRPr="007A6FE3">
        <w:t>attributes identified above</w:t>
      </w:r>
      <w:r w:rsidR="00E11CB8" w:rsidRPr="007A6FE3">
        <w:t>, but we emphasize that we are interested broadly in identification and discussion</w:t>
      </w:r>
      <w:r w:rsidR="004D3686" w:rsidRPr="007A6FE3">
        <w:t xml:space="preserve"> (including weighing of costs and benefits)</w:t>
      </w:r>
      <w:r w:rsidR="00E11CB8" w:rsidRPr="007A6FE3">
        <w:t xml:space="preserve"> of possible attributes that the Commission should consider in evaluating section 214 filings concerning discontinuance of retail services</w:t>
      </w:r>
      <w:r w:rsidRPr="007A6FE3">
        <w:t>.</w:t>
      </w:r>
    </w:p>
    <w:p w14:paraId="4EC17A20" w14:textId="77777777" w:rsidR="00737F12" w:rsidRPr="007A6FE3" w:rsidRDefault="00737F12" w:rsidP="00AD7E49">
      <w:pPr>
        <w:pStyle w:val="ParaNum0"/>
      </w:pPr>
      <w:r w:rsidRPr="007A6FE3">
        <w:t>With respect to services for consumers with disabilities, we seek comment on the extent to which an applicant that seeks to discontinue support for analog services must ensure that its services are compatible with assistive devices used by people with disabilities, and provide notice to people with disabilities regarding the potential for disruption in service.</w:t>
      </w:r>
      <w:r w:rsidR="001E6C4D" w:rsidRPr="007A6FE3">
        <w:rPr>
          <w:rStyle w:val="FootnoteReference"/>
        </w:rPr>
        <w:footnoteReference w:id="193"/>
      </w:r>
      <w:r w:rsidRPr="007A6FE3">
        <w:t xml:space="preserve">  For example, to what extent will the applicant be required to identify the services that might be disrupted</w:t>
      </w:r>
      <w:r w:rsidR="00FC5071" w:rsidRPr="007A6FE3">
        <w:t>–</w:t>
      </w:r>
      <w:r w:rsidRPr="007A6FE3">
        <w:t>e.g., home health monitoring, TTY-based communications</w:t>
      </w:r>
      <w:r w:rsidR="00FC5071" w:rsidRPr="007A6FE3">
        <w:t>–</w:t>
      </w:r>
      <w:r w:rsidRPr="007A6FE3">
        <w:t xml:space="preserve">and the extent to which loss of support for each such service might have an adverse impact on people with disabilities, as well as its plans for acceptable replacements?  </w:t>
      </w:r>
      <w:r w:rsidR="00802868">
        <w:t xml:space="preserve">How should we account for consumer trends in determining adequate substitutes?  </w:t>
      </w:r>
      <w:r w:rsidRPr="007A6FE3">
        <w:t>What factors affecting access by people with disabilities should we consider in defining what would constitute an adequate substitute for retail services that a carrier seeks to discontinue, reduce, or impair in connection with a technology transition?</w:t>
      </w:r>
    </w:p>
    <w:p w14:paraId="6F770C4B" w14:textId="77777777" w:rsidR="005D7EB0" w:rsidRPr="007A6FE3" w:rsidRDefault="00A16814" w:rsidP="00A2098F">
      <w:pPr>
        <w:pStyle w:val="ParaNum0"/>
        <w:widowControl/>
      </w:pPr>
      <w:r w:rsidRPr="007A6FE3">
        <w:t>W</w:t>
      </w:r>
      <w:r w:rsidR="00EA276B" w:rsidRPr="007A6FE3">
        <w:t>ith re</w:t>
      </w:r>
      <w:r w:rsidR="005D7EB0" w:rsidRPr="007A6FE3">
        <w:t>spect</w:t>
      </w:r>
      <w:r w:rsidR="00EA276B" w:rsidRPr="007A6FE3">
        <w:t xml:space="preserve"> to call functionality, </w:t>
      </w:r>
      <w:r w:rsidR="00037285" w:rsidRPr="007A6FE3">
        <w:t>what functionality is rel</w:t>
      </w:r>
      <w:r w:rsidR="00D1207E" w:rsidRPr="007A6FE3">
        <w:t>evant?  Should we consider</w:t>
      </w:r>
      <w:r w:rsidR="005D7EB0" w:rsidRPr="007A6FE3">
        <w:t xml:space="preserve"> only functionality related to voice</w:t>
      </w:r>
      <w:r w:rsidR="00D1207E" w:rsidRPr="007A6FE3">
        <w:t xml:space="preserve"> call</w:t>
      </w:r>
      <w:r w:rsidR="005D7EB0" w:rsidRPr="007A6FE3">
        <w:t>s</w:t>
      </w:r>
      <w:r w:rsidR="00D1207E" w:rsidRPr="007A6FE3">
        <w:t xml:space="preserve"> (e.g., ability to use caller ID), or should we consider non-call functions </w:t>
      </w:r>
      <w:r w:rsidR="00E859C7" w:rsidRPr="007A6FE3">
        <w:t>as well</w:t>
      </w:r>
      <w:r w:rsidR="00D1207E" w:rsidRPr="007A6FE3">
        <w:t xml:space="preserve">?  With regard to </w:t>
      </w:r>
      <w:r w:rsidR="005D7EB0" w:rsidRPr="007A6FE3">
        <w:t>non-call functionality, should</w:t>
      </w:r>
      <w:r w:rsidR="00D1207E" w:rsidRPr="007A6FE3">
        <w:t xml:space="preserve"> we consider, for instance, the functionality of third-party CPE and/or services such as </w:t>
      </w:r>
      <w:r w:rsidR="00E11CB8" w:rsidRPr="007A6FE3">
        <w:t xml:space="preserve">home alarms, </w:t>
      </w:r>
      <w:r w:rsidR="00D1207E" w:rsidRPr="007A6FE3">
        <w:t xml:space="preserve">fax machines and medical alert monitors?  Should we apply general principles or more specific technical </w:t>
      </w:r>
      <w:r w:rsidR="00E859C7" w:rsidRPr="007A6FE3">
        <w:t>standards</w:t>
      </w:r>
      <w:r w:rsidR="00D1207E" w:rsidRPr="007A6FE3">
        <w:t>, and i</w:t>
      </w:r>
      <w:r w:rsidR="00E859C7" w:rsidRPr="007A6FE3">
        <w:t>n each case what principles or standards</w:t>
      </w:r>
      <w:r w:rsidR="00D1207E" w:rsidRPr="007A6FE3">
        <w:t xml:space="preserve"> should we apply?  How can we ensure that our evaluation of functionality is </w:t>
      </w:r>
      <w:r w:rsidR="00BD7D96" w:rsidRPr="007A6FE3">
        <w:t xml:space="preserve">technology </w:t>
      </w:r>
      <w:r w:rsidR="00D1207E" w:rsidRPr="007A6FE3">
        <w:t xml:space="preserve">neutral? </w:t>
      </w:r>
    </w:p>
    <w:p w14:paraId="451F7DF3" w14:textId="77777777" w:rsidR="00EA276B" w:rsidRPr="007A6FE3" w:rsidRDefault="005D7EB0" w:rsidP="008135A3">
      <w:pPr>
        <w:pStyle w:val="ParaNum0"/>
      </w:pPr>
      <w:r w:rsidRPr="007A6FE3">
        <w:t xml:space="preserve">With regard to call persistence, what factors should we consider?  </w:t>
      </w:r>
      <w:r w:rsidR="00560E2A" w:rsidRPr="007A6FE3">
        <w:t xml:space="preserve">Should we consider only voice calls or other forms of communication as well? </w:t>
      </w:r>
      <w:r w:rsidRPr="007A6FE3">
        <w:t>Should we evaluate the likelihood of improperly dropping calls or other forms of communication?  Should we consider whether there is risk of blocking, choking, reducing, or restricting traffic?</w:t>
      </w:r>
      <w:r w:rsidRPr="007A6FE3">
        <w:rPr>
          <w:rStyle w:val="FootnoteReference"/>
        </w:rPr>
        <w:footnoteReference w:id="194"/>
      </w:r>
      <w:r w:rsidRPr="007A6FE3">
        <w:t xml:space="preserve">  Are other criteria relevant?  What metrics should we apply?  </w:t>
      </w:r>
      <w:r w:rsidR="00560E2A" w:rsidRPr="007A6FE3">
        <w:t xml:space="preserve">Should we apply a minimum performance threshold?  How can we ensure that call persistence will be sustained after a section 214 application is approved?  </w:t>
      </w:r>
    </w:p>
    <w:p w14:paraId="642FB1E9" w14:textId="77777777" w:rsidR="008135A3" w:rsidRPr="007A6FE3" w:rsidRDefault="008135A3" w:rsidP="008135A3">
      <w:pPr>
        <w:pStyle w:val="ParaNum0"/>
      </w:pPr>
      <w:r w:rsidRPr="007A6FE3">
        <w:t>With respect to communications security, while IP technologies can produce cost efficiencies, they also can create the potential for network security risks through the exposure of network monitoring and control systems to end users.</w:t>
      </w:r>
      <w:r w:rsidRPr="007A6FE3">
        <w:rPr>
          <w:rStyle w:val="FootnoteReference"/>
        </w:rPr>
        <w:footnoteReference w:id="195"/>
      </w:r>
      <w:r w:rsidRPr="007A6FE3">
        <w:t xml:space="preserve">  Communications network owners and operators have expressed a broad consensus that risk management measures are necessary to address these risks</w:t>
      </w:r>
      <w:r w:rsidRPr="007A6FE3">
        <w:rPr>
          <w:bCs/>
        </w:rPr>
        <w:t>.</w:t>
      </w:r>
      <w:r w:rsidRPr="007A6FE3">
        <w:rPr>
          <w:rStyle w:val="FootnoteReference"/>
          <w:bCs/>
        </w:rPr>
        <w:footnoteReference w:id="196"/>
      </w:r>
      <w:r w:rsidRPr="007A6FE3">
        <w:rPr>
          <w:i/>
          <w:iCs/>
        </w:rPr>
        <w:t xml:space="preserve">  </w:t>
      </w:r>
      <w:r w:rsidRPr="007A6FE3">
        <w:t>Providers should implement security plans that can be communicated internally and externally with providers for which security interdependencies exist.  We seek comment on the extent to which providers have implemented such measures; whether such implementation has been effective; and whether various providers possess understanding of other providers’ risk management measures sufficient to address collective risks in an interconnected IP-network environment.  We also seek comment on whether the Commission should require demonstration, as part of the section 214 discontinuance process, that any IP-supported networks or network components offer comparable communications security, integrity, and reliability.  If so, we seek comment on what factors would be relevant to making such a determination.</w:t>
      </w:r>
    </w:p>
    <w:p w14:paraId="14C9214C" w14:textId="77777777" w:rsidR="008135A3" w:rsidRPr="007A6FE3" w:rsidRDefault="008135A3" w:rsidP="008135A3">
      <w:pPr>
        <w:pStyle w:val="ParaNum0"/>
      </w:pPr>
      <w:r w:rsidRPr="007A6FE3">
        <w:rPr>
          <w:iCs/>
        </w:rPr>
        <w:t>With respect to PSAP and 911 service, is it sufficient that a provider demonstrate that a substitute retail service available to its customers will offer 911 capabilities that comport with Commission rules?  Should providers further affirm that the transition to such substitute retail service will not result in any reduction in 911 capability relative to that offered by the discontinued service?  For example, i</w:t>
      </w:r>
      <w:r w:rsidR="008A191D" w:rsidRPr="007A6FE3">
        <w:rPr>
          <w:iCs/>
        </w:rPr>
        <w:t>f a provider supplie</w:t>
      </w:r>
      <w:r w:rsidRPr="007A6FE3">
        <w:rPr>
          <w:iCs/>
        </w:rPr>
        <w:t>s latitude and longitude (“x,y”) coordinates for fixed and portable wireless home phones and femtocells that may replace in-home wire-based solutions</w:t>
      </w:r>
      <w:r w:rsidR="008A191D" w:rsidRPr="007A6FE3">
        <w:rPr>
          <w:iCs/>
        </w:rPr>
        <w:t>, is that</w:t>
      </w:r>
      <w:r w:rsidRPr="007A6FE3">
        <w:rPr>
          <w:iCs/>
        </w:rPr>
        <w:t xml:space="preserve"> equivalent to the provision of a validated civic address Automatic Location Identification (ALI)?  What is the impact on PSAPs if providers take different approaches in providing civic address ALI or just x,y whereas previously PSAPs have been expecting specific information from such providers?  Do the issues raised in the </w:t>
      </w:r>
      <w:r w:rsidRPr="007A6FE3">
        <w:rPr>
          <w:i/>
          <w:iCs/>
        </w:rPr>
        <w:t>911 Policy Statement and NPRM</w:t>
      </w:r>
      <w:r w:rsidRPr="007A6FE3">
        <w:rPr>
          <w:iCs/>
        </w:rPr>
        <w:t>, also adopted today, have any bearing on these questions?</w:t>
      </w:r>
      <w:r w:rsidRPr="007A6FE3">
        <w:rPr>
          <w:rStyle w:val="FootnoteReference"/>
          <w:iCs/>
        </w:rPr>
        <w:footnoteReference w:id="197"/>
      </w:r>
      <w:r w:rsidR="00AB6963" w:rsidRPr="007A6FE3">
        <w:rPr>
          <w:iCs/>
        </w:rPr>
        <w:t xml:space="preserve">  </w:t>
      </w:r>
      <w:r w:rsidR="00AB6963" w:rsidRPr="007A6FE3">
        <w:t xml:space="preserve">Although our primary focus is on consumer products, we also seek comment on what criteria we should apply for carriers that seek under section 214 to discontinue 911 service to PSAPs.  We also seek comment on the relationship between consideration of PSAP and 911 service pursuant to section 214(a) and the </w:t>
      </w:r>
      <w:r w:rsidR="00AB6963" w:rsidRPr="007A6FE3">
        <w:rPr>
          <w:i/>
        </w:rPr>
        <w:t>911 Policy Statement and Notice of Proposed Rulemaking</w:t>
      </w:r>
      <w:r w:rsidR="00AB6963" w:rsidRPr="007A6FE3">
        <w:t xml:space="preserve"> also adopted today.</w:t>
      </w:r>
    </w:p>
    <w:p w14:paraId="030F186F" w14:textId="77777777" w:rsidR="00DE0797" w:rsidRPr="007A6FE3" w:rsidRDefault="0090648C" w:rsidP="00DE0797">
      <w:pPr>
        <w:pStyle w:val="ParaNum0"/>
      </w:pPr>
      <w:r w:rsidRPr="007A6FE3">
        <w:t>In addition to developing factors to guide evaluation of section 214 discontinuance filings, we</w:t>
      </w:r>
      <w:r w:rsidR="00DE0797" w:rsidRPr="007A6FE3">
        <w:t xml:space="preserve"> are interested in learning about means by which carriers and other industry segments can work collaboratively to ensure that new services meet the expectations and needs of consumers before any discontinuance occurs.  For example, ADT Security Services reports that “the alarm industry is working with IP communications service providers to develop technical agreements that base their communications on Managed Facilities-Based Voice Network (MFVN) standards” to ensure that alarm monitoring systems </w:t>
      </w:r>
      <w:r w:rsidRPr="007A6FE3">
        <w:t xml:space="preserve">already </w:t>
      </w:r>
      <w:r w:rsidR="00DE0797" w:rsidRPr="007A6FE3">
        <w:t xml:space="preserve">in consumers’ homes </w:t>
      </w:r>
      <w:r w:rsidRPr="007A6FE3">
        <w:t>can transmit alarm signals</w:t>
      </w:r>
      <w:r w:rsidR="00DE0797" w:rsidRPr="007A6FE3">
        <w:t xml:space="preserve"> properly during emergency situations.</w:t>
      </w:r>
      <w:r w:rsidR="00DE0797" w:rsidRPr="007A6FE3">
        <w:rPr>
          <w:rStyle w:val="FootnoteReference"/>
        </w:rPr>
        <w:footnoteReference w:id="198"/>
      </w:r>
      <w:r w:rsidR="00DE0797" w:rsidRPr="007A6FE3">
        <w:t xml:space="preserve">  </w:t>
      </w:r>
      <w:r w:rsidRPr="007A6FE3">
        <w:t xml:space="preserve">We seek comment on progress in developing and implementing the MFVN standards and other standards or initiatives that may ease consumers’ transition to new services.  </w:t>
      </w:r>
      <w:r w:rsidR="00AB33B7" w:rsidRPr="007A6FE3">
        <w:t>Also, is there anything the Commission can or should do to facilitate the development and implementation of such solutions?</w:t>
      </w:r>
    </w:p>
    <w:p w14:paraId="75291A29" w14:textId="77777777" w:rsidR="007856B6" w:rsidRPr="007A6FE3" w:rsidRDefault="007856B6" w:rsidP="007856B6">
      <w:pPr>
        <w:pStyle w:val="Heading4"/>
      </w:pPr>
      <w:bookmarkStart w:id="402" w:name="_Toc401299432"/>
      <w:bookmarkStart w:id="403" w:name="_Toc401306997"/>
      <w:bookmarkStart w:id="404" w:name="_Toc401595633"/>
      <w:bookmarkStart w:id="405" w:name="_Toc401658190"/>
      <w:bookmarkStart w:id="406" w:name="_Toc401821692"/>
      <w:bookmarkStart w:id="407" w:name="_Toc401912160"/>
      <w:bookmarkStart w:id="408" w:name="_Toc402255414"/>
      <w:bookmarkStart w:id="409" w:name="_Toc402276197"/>
      <w:bookmarkStart w:id="410" w:name="_Toc402360439"/>
      <w:bookmarkStart w:id="411" w:name="_Toc402511501"/>
      <w:bookmarkStart w:id="412" w:name="_Toc403566410"/>
      <w:bookmarkStart w:id="413" w:name="_Toc404072121"/>
      <w:bookmarkStart w:id="414" w:name="_Toc404081317"/>
      <w:bookmarkStart w:id="415" w:name="_Toc404165796"/>
      <w:bookmarkStart w:id="416" w:name="_Toc404165874"/>
      <w:bookmarkStart w:id="417" w:name="_Toc404172431"/>
      <w:bookmarkStart w:id="418" w:name="_Toc404181485"/>
      <w:bookmarkStart w:id="419" w:name="_Toc404183078"/>
      <w:bookmarkStart w:id="420" w:name="_Toc404246622"/>
      <w:bookmarkStart w:id="421" w:name="_Toc399947722"/>
      <w:bookmarkStart w:id="422" w:name="_Toc400554030"/>
      <w:bookmarkStart w:id="423" w:name="_Toc400566839"/>
      <w:bookmarkStart w:id="424" w:name="_Toc400711710"/>
      <w:bookmarkStart w:id="425" w:name="_Toc400719660"/>
      <w:r w:rsidRPr="007A6FE3">
        <w:t xml:space="preserve">Scope of </w:t>
      </w:r>
      <w:bookmarkStart w:id="426" w:name="_Toc401299433"/>
      <w:bookmarkStart w:id="427" w:name="_Toc401306998"/>
      <w:bookmarkEnd w:id="402"/>
      <w:bookmarkEnd w:id="403"/>
      <w:r w:rsidRPr="007A6FE3">
        <w:t>Section 214(a) Discontinuance Authority and Wholesale</w:t>
      </w:r>
      <w:bookmarkEnd w:id="426"/>
      <w:bookmarkEnd w:id="427"/>
      <w:r w:rsidR="001204F9" w:rsidRPr="007A6FE3">
        <w:t xml:space="preserve"> Services</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14:paraId="44DD8DCF" w14:textId="77777777" w:rsidR="0047457E" w:rsidRPr="007A6FE3" w:rsidRDefault="007856B6" w:rsidP="003F0F7D">
      <w:pPr>
        <w:pStyle w:val="ParaNum0"/>
        <w:widowControl/>
      </w:pPr>
      <w:bookmarkStart w:id="428" w:name="_Ref404354180"/>
      <w:r w:rsidRPr="007A6FE3">
        <w:rPr>
          <w:i/>
        </w:rPr>
        <w:t xml:space="preserve">Rebuttable Presumption.  </w:t>
      </w:r>
      <w:r w:rsidRPr="007A6FE3">
        <w:t>Under our precedent, a carrier need not seek Commission approval when discontinuing service to carrier customers if there is no discontinuance, reduction, or impairment of service to retail end-users.</w:t>
      </w:r>
      <w:r w:rsidRPr="007A6FE3">
        <w:rPr>
          <w:rStyle w:val="FootnoteReference"/>
        </w:rPr>
        <w:footnoteReference w:id="199"/>
      </w:r>
      <w:r w:rsidRPr="007A6FE3">
        <w:t xml:space="preserve">  We do not propose to change course from this precedent.  However, section 214 and our implementing rules were designed to protect retail customers from adverse impacts associated with discontinuances, reductions, or impairments of service.</w:t>
      </w:r>
      <w:r w:rsidRPr="007A6FE3">
        <w:rPr>
          <w:rStyle w:val="FootnoteReference"/>
        </w:rPr>
        <w:footnoteReference w:id="200"/>
      </w:r>
      <w:r w:rsidRPr="007A6FE3">
        <w:t xml:space="preserve">  </w:t>
      </w:r>
      <w:r w:rsidR="00351DCD" w:rsidRPr="007A6FE3">
        <w:t>As described above, competitive LECs play a vital role in serving the enterprise market.</w:t>
      </w:r>
      <w:r w:rsidR="00351DCD" w:rsidRPr="007A6FE3">
        <w:rPr>
          <w:rStyle w:val="FootnoteReference"/>
        </w:rPr>
        <w:footnoteReference w:id="201"/>
      </w:r>
      <w:r w:rsidR="00351DCD" w:rsidRPr="007A6FE3">
        <w:t xml:space="preserve">  </w:t>
      </w:r>
      <w:r w:rsidRPr="007A6FE3">
        <w:t xml:space="preserve">Where an incumbent LEC discontinues, reduces, or impairs a service offering used by competitive LECs to provide end users with service, </w:t>
      </w:r>
      <w:r w:rsidR="008B7080" w:rsidRPr="007A6FE3">
        <w:t>this can also be expected to affect the competitive LECs’ retail customers</w:t>
      </w:r>
      <w:r w:rsidR="0047457E" w:rsidRPr="007A6FE3">
        <w:t>.</w:t>
      </w:r>
      <w:r w:rsidR="00351DCD" w:rsidRPr="007A6FE3">
        <w:t xml:space="preserve"> </w:t>
      </w:r>
      <w:r w:rsidR="0047457E" w:rsidRPr="007A6FE3">
        <w:t xml:space="preserve"> </w:t>
      </w:r>
      <w:r w:rsidR="00351DCD" w:rsidRPr="007A6FE3">
        <w:t xml:space="preserve">We seek comment on whether this is the case.  We </w:t>
      </w:r>
      <w:r w:rsidR="00EE3BBF" w:rsidRPr="007A6FE3">
        <w:t>are concerned</w:t>
      </w:r>
      <w:r w:rsidR="00351DCD" w:rsidRPr="007A6FE3">
        <w:t xml:space="preserve"> that in the absence of further guidance, </w:t>
      </w:r>
      <w:r w:rsidR="00EE3BBF" w:rsidRPr="007A6FE3">
        <w:t xml:space="preserve">some carriers will mistakenly assume that their wholesale services are not relied upon by competitive LECs </w:t>
      </w:r>
      <w:r w:rsidR="0047457E" w:rsidRPr="007A6FE3">
        <w:t xml:space="preserve">in serving retail customers, and thus will discontinue, reduce, or impair those services without following the process mandated by the Act.  We </w:t>
      </w:r>
      <w:r w:rsidR="00351DCD" w:rsidRPr="007A6FE3">
        <w:t xml:space="preserve">seek comment on whether this </w:t>
      </w:r>
      <w:r w:rsidR="001204F9" w:rsidRPr="007A6FE3">
        <w:t>concern</w:t>
      </w:r>
      <w:r w:rsidR="00351DCD" w:rsidRPr="007A6FE3">
        <w:t xml:space="preserve"> is justified.</w:t>
      </w:r>
      <w:bookmarkEnd w:id="428"/>
      <w:r w:rsidR="00351DCD" w:rsidRPr="007A6FE3">
        <w:t xml:space="preserve">  </w:t>
      </w:r>
    </w:p>
    <w:p w14:paraId="029612CC" w14:textId="77777777" w:rsidR="007856B6" w:rsidRPr="007A6FE3" w:rsidRDefault="00351DCD" w:rsidP="00FF0988">
      <w:pPr>
        <w:pStyle w:val="ParaNum0"/>
      </w:pPr>
      <w:r w:rsidRPr="007A6FE3">
        <w:t xml:space="preserve">To address this potential issue, we </w:t>
      </w:r>
      <w:r w:rsidR="002F0C5B">
        <w:t>seek comment on</w:t>
      </w:r>
      <w:r w:rsidR="002F0C5B" w:rsidRPr="007A6FE3">
        <w:t xml:space="preserve"> </w:t>
      </w:r>
      <w:r w:rsidRPr="007A6FE3">
        <w:t xml:space="preserve">adopting a rebuttable presumption that where a carrier seeks to discontinue, reduce, or impair a wholesale service, that action will discontinue, reduce, or impair service to a community or part of a community such that approval is necessary pursuant to section 214(a).  </w:t>
      </w:r>
      <w:r w:rsidR="007856B6" w:rsidRPr="007A6FE3">
        <w:t>This presumption would be rebutted where it could be shown that either:  (i) discontinuance, reduction, or impairment of the wholesale service would not discontinue, reduce, or impair service to a community or part of a community; or (ii) discontinuance, reduction, or impairment of the wholesale service would not impair the adequacy or quality of service provided to end users by either the incumbent LEC or competitive LECs in the market.  We seek comment on this proposal</w:t>
      </w:r>
      <w:r w:rsidR="004D3686" w:rsidRPr="007A6FE3">
        <w:t>, including on its costs and benefits</w:t>
      </w:r>
      <w:r w:rsidR="007856B6" w:rsidRPr="007A6FE3">
        <w:t>.  Is there any reason why we should not adopt this proposal?  Should we modify it in any way?  Should we evaluate the quality of service provided to end users with reference to service by competitive LECs in the market that use the wholesale service in question, or should we consider a different denominator of service providers?  Is such a presumption consistent with section 214(a)?</w:t>
      </w:r>
      <w:r w:rsidR="00FF0988" w:rsidRPr="007A6FE3">
        <w:t xml:space="preserve">  How should we confirm that an incumbent LEC that discontinues a wholesale service and declines to file an application has properly rebutted the presumption?  Should we require the incumbent LEC to file a certification with the Commission identifying and providing the basis for its conclusion?  Should the incumbent LEC be required to </w:t>
      </w:r>
      <w:r w:rsidR="008A694F" w:rsidRPr="007A6FE3">
        <w:t>send a copy of</w:t>
      </w:r>
      <w:r w:rsidR="00FF0988" w:rsidRPr="007A6FE3">
        <w:t xml:space="preserve"> this certification </w:t>
      </w:r>
      <w:r w:rsidR="008A694F" w:rsidRPr="007A6FE3">
        <w:t>to</w:t>
      </w:r>
      <w:r w:rsidR="00FF0988" w:rsidRPr="007A6FE3">
        <w:t xml:space="preserve"> its competitive LEC </w:t>
      </w:r>
      <w:r w:rsidR="006C0FCD" w:rsidRPr="007A6FE3">
        <w:t xml:space="preserve">wholesale </w:t>
      </w:r>
      <w:r w:rsidR="00FF0988" w:rsidRPr="007A6FE3">
        <w:t xml:space="preserve">customers and/or make the certification public?  What should be the </w:t>
      </w:r>
      <w:r w:rsidR="008A694F" w:rsidRPr="007A6FE3">
        <w:t>format and</w:t>
      </w:r>
      <w:r w:rsidR="00FF0988" w:rsidRPr="007A6FE3">
        <w:t xml:space="preserve"> timing of this certification?  In the alternative, should the incumbent LEC be required to maintain a record of the facts and analysis it relied on to determine the presumption was rebutted for a set period of time, and if so what period of time?  Should we instead allow the incumbent LEC to </w:t>
      </w:r>
      <w:r w:rsidR="005660E6" w:rsidRPr="007A6FE3">
        <w:t xml:space="preserve">determine </w:t>
      </w:r>
      <w:r w:rsidR="00FF0988" w:rsidRPr="007A6FE3">
        <w:t>for itself what records to</w:t>
      </w:r>
      <w:r w:rsidR="008A694F" w:rsidRPr="007A6FE3">
        <w:t xml:space="preserve"> retain</w:t>
      </w:r>
      <w:r w:rsidR="00FF0988" w:rsidRPr="007A6FE3">
        <w:t>?</w:t>
      </w:r>
    </w:p>
    <w:p w14:paraId="525BD25B" w14:textId="77777777" w:rsidR="00974DAC" w:rsidRPr="007A6FE3" w:rsidRDefault="007856B6" w:rsidP="00462357">
      <w:pPr>
        <w:pStyle w:val="ParaNum0"/>
      </w:pPr>
      <w:r w:rsidRPr="007A6FE3">
        <w:rPr>
          <w:i/>
        </w:rPr>
        <w:t xml:space="preserve">Term Discount Plans.  </w:t>
      </w:r>
      <w:r w:rsidRPr="007A6FE3">
        <w:t xml:space="preserve">A discrete but related issue concerns whether a section 214(a) discontinuance application is required when certain term discount plans are discontinued.  For example, many TDM-based services are provided pursuant to various term plans for specific periods of time, such as one-year, three-year, five-year and seven-year commitment periods.  In transitioning from TDM-based services to IP-based services, questions </w:t>
      </w:r>
      <w:r w:rsidR="0047457E" w:rsidRPr="007A6FE3">
        <w:t>arise as to</w:t>
      </w:r>
      <w:r w:rsidRPr="007A6FE3">
        <w:t xml:space="preserve"> whether a section 214 application is required with individual incremental changes, such as the elimination of a subset of the available service plans that reduce options for customers by eliminating longer term plans with associated higher discounts (lower prices) prior to elimination of shorter term plans.  In such situations, the carrier may claim at each incremental change that, because there are other term plans available, the service is still available and thus no section 214 application </w:t>
      </w:r>
      <w:r w:rsidR="001204F9" w:rsidRPr="007A6FE3">
        <w:t xml:space="preserve">to discontinue, reduce, or impair service </w:t>
      </w:r>
      <w:r w:rsidRPr="007A6FE3">
        <w:t>is required.  Accordingly, we seek comment on this situation.  When a carrier is transitioning from TDM-based services to IP-based services, at what point in the process is the carrier required to file a section 214 application?  Although the Commission previously has held that a change in rates does not constitute a discontinuance of a service under section 214,</w:t>
      </w:r>
      <w:r w:rsidRPr="007A6FE3">
        <w:rPr>
          <w:rStyle w:val="FootnoteReference"/>
        </w:rPr>
        <w:footnoteReference w:id="202"/>
      </w:r>
      <w:r w:rsidRPr="007A6FE3">
        <w:t xml:space="preserve"> </w:t>
      </w:r>
      <w:r w:rsidR="00462357" w:rsidRPr="007A6FE3">
        <w:t xml:space="preserve">are there any rate changes that might fall outside the logic of those decisions, and </w:t>
      </w:r>
      <w:r w:rsidRPr="007A6FE3">
        <w:t>should the Commission change course in this situation and conclude that an elimination of certain rate options can constitute an impairment of service if it is part of a longer term transition?  For instance, in many of the</w:t>
      </w:r>
      <w:r w:rsidR="006A2A5D" w:rsidRPr="007A6FE3">
        <w:t xml:space="preserve"> sets of</w:t>
      </w:r>
      <w:r w:rsidRPr="007A6FE3">
        <w:t xml:space="preserve"> term plans</w:t>
      </w:r>
      <w:r w:rsidR="006A2A5D" w:rsidRPr="007A6FE3">
        <w:t xml:space="preserve"> applicable to an individual service</w:t>
      </w:r>
      <w:r w:rsidRPr="007A6FE3">
        <w:t xml:space="preserve">, the largest discounts are provided to customers that purchase term plans longer than five years.  </w:t>
      </w:r>
      <w:r w:rsidR="006A2A5D" w:rsidRPr="007A6FE3">
        <w:t>If a carrier pursues elimination of the term plans individually, eliminating the longer term plans first</w:t>
      </w:r>
      <w:r w:rsidRPr="007A6FE3">
        <w:t>, customers</w:t>
      </w:r>
      <w:r w:rsidR="006A2A5D" w:rsidRPr="007A6FE3">
        <w:t>’ only</w:t>
      </w:r>
      <w:r w:rsidRPr="007A6FE3">
        <w:t xml:space="preserve"> purchase</w:t>
      </w:r>
      <w:r w:rsidR="006A2A5D" w:rsidRPr="007A6FE3">
        <w:t xml:space="preserve"> options would be</w:t>
      </w:r>
      <w:r w:rsidRPr="007A6FE3">
        <w:t xml:space="preserve"> shorter length term plans at much higher rates</w:t>
      </w:r>
      <w:r w:rsidR="006A2A5D" w:rsidRPr="007A6FE3">
        <w:t>, an effective rate increase</w:t>
      </w:r>
      <w:r w:rsidRPr="007A6FE3">
        <w:t>.  Does</w:t>
      </w:r>
      <w:r w:rsidR="006A2A5D" w:rsidRPr="007A6FE3">
        <w:t xml:space="preserve"> such a rate increase</w:t>
      </w:r>
      <w:r w:rsidRPr="007A6FE3">
        <w:t xml:space="preserve"> constitute a reduction or impairment of service under section 214</w:t>
      </w:r>
      <w:r w:rsidR="006A2A5D" w:rsidRPr="007A6FE3">
        <w:t>, and what criteria may be helpful in this analysis</w:t>
      </w:r>
      <w:r w:rsidRPr="007A6FE3">
        <w:t>?  If not, at what point</w:t>
      </w:r>
      <w:r w:rsidR="00B6173E" w:rsidRPr="007A6FE3">
        <w:t>, if any,</w:t>
      </w:r>
      <w:r w:rsidRPr="007A6FE3">
        <w:t xml:space="preserve"> </w:t>
      </w:r>
      <w:r w:rsidR="006A2A5D" w:rsidRPr="007A6FE3">
        <w:t xml:space="preserve">in the course of eliminating individual rate options for the same service </w:t>
      </w:r>
      <w:r w:rsidRPr="007A6FE3">
        <w:t xml:space="preserve">is the service reduced or impaired, such that the carrier is required to seek authority pursuant to section 214? </w:t>
      </w:r>
      <w:r w:rsidRPr="007A6FE3" w:rsidDel="008637B5">
        <w:t xml:space="preserve"> </w:t>
      </w:r>
      <w:r w:rsidRPr="007A6FE3">
        <w:t xml:space="preserve">We seek comment on this question and </w:t>
      </w:r>
      <w:r w:rsidR="00662FAB" w:rsidRPr="007A6FE3">
        <w:t xml:space="preserve">on the point </w:t>
      </w:r>
      <w:r w:rsidRPr="007A6FE3">
        <w:t xml:space="preserve">in the transition </w:t>
      </w:r>
      <w:r w:rsidR="00662FAB" w:rsidRPr="007A6FE3">
        <w:t xml:space="preserve">at which </w:t>
      </w:r>
      <w:r w:rsidRPr="007A6FE3">
        <w:t xml:space="preserve">incumbent LECs should be required to obtain section 214 authority. </w:t>
      </w:r>
      <w:r w:rsidR="00974DAC" w:rsidRPr="007A6FE3">
        <w:t xml:space="preserve"> </w:t>
      </w:r>
      <w:r w:rsidR="004D3686" w:rsidRPr="007A6FE3">
        <w:t>What are the costs and benefits of various approaches to these questions?</w:t>
      </w:r>
    </w:p>
    <w:p w14:paraId="27A1DA62" w14:textId="77777777" w:rsidR="00C02862" w:rsidRPr="007A6FE3" w:rsidRDefault="00C02862" w:rsidP="007856B6">
      <w:pPr>
        <w:pStyle w:val="ParaNum0"/>
      </w:pPr>
      <w:r w:rsidRPr="007A6FE3">
        <w:rPr>
          <w:i/>
        </w:rPr>
        <w:t xml:space="preserve">Tariffed and Non-Tariffed Services. </w:t>
      </w:r>
      <w:r w:rsidR="001646EB">
        <w:rPr>
          <w:i/>
        </w:rPr>
        <w:t xml:space="preserve"> </w:t>
      </w:r>
      <w:r w:rsidRPr="007A6FE3">
        <w:t>We note that there may be a question regarding whether a carrier is required to file a section 214 application if a non-tariffed service still being offered is functionally very similar to a tariffed service being discontinued.  Indeed, in the past carriers have argued that no section 214 application is required when discontinuing a tariffed service if they currently offer a non-tariffed service that is similar to the tariffed service being discontinued.</w:t>
      </w:r>
      <w:r w:rsidR="00662FAB" w:rsidRPr="007A6FE3">
        <w:rPr>
          <w:rStyle w:val="FootnoteReference"/>
        </w:rPr>
        <w:footnoteReference w:id="203"/>
      </w:r>
      <w:r w:rsidRPr="007A6FE3">
        <w:t xml:space="preserve">  We </w:t>
      </w:r>
      <w:r w:rsidR="00116F5F" w:rsidRPr="007A6FE3">
        <w:t>seek comment on whether</w:t>
      </w:r>
      <w:r w:rsidRPr="007A6FE3">
        <w:t xml:space="preserve"> in such situations, a section 214 application </w:t>
      </w:r>
      <w:r w:rsidR="00116F5F" w:rsidRPr="007A6FE3">
        <w:t>should be</w:t>
      </w:r>
      <w:r w:rsidRPr="007A6FE3">
        <w:t xml:space="preserve"> required, because there is a service being removed from the tariff</w:t>
      </w:r>
      <w:r w:rsidR="00116F5F" w:rsidRPr="007A6FE3">
        <w:t xml:space="preserve"> and whether that</w:t>
      </w:r>
      <w:r w:rsidRPr="007A6FE3">
        <w:t xml:space="preserve"> constitutes a discontinuance, impairment or reduction of service</w:t>
      </w:r>
      <w:r w:rsidR="00901645">
        <w:t>, and on the costs and benefits of possible approaches</w:t>
      </w:r>
      <w:r w:rsidRPr="007A6FE3">
        <w:t>.</w:t>
      </w:r>
    </w:p>
    <w:p w14:paraId="0743AC9C" w14:textId="77777777" w:rsidR="00FD1C83" w:rsidRPr="007A6FE3" w:rsidRDefault="00A122B3" w:rsidP="00750431">
      <w:pPr>
        <w:pStyle w:val="Heading4"/>
      </w:pPr>
      <w:bookmarkStart w:id="429" w:name="_Toc401299435"/>
      <w:bookmarkStart w:id="430" w:name="_Toc401307000"/>
      <w:bookmarkStart w:id="431" w:name="_Toc401595634"/>
      <w:bookmarkStart w:id="432" w:name="_Toc401658191"/>
      <w:bookmarkStart w:id="433" w:name="_Toc401821693"/>
      <w:bookmarkStart w:id="434" w:name="_Toc401912161"/>
      <w:bookmarkStart w:id="435" w:name="_Toc402255415"/>
      <w:bookmarkStart w:id="436" w:name="_Toc402276198"/>
      <w:bookmarkStart w:id="437" w:name="_Toc402360440"/>
      <w:bookmarkStart w:id="438" w:name="_Toc402511502"/>
      <w:bookmarkStart w:id="439" w:name="_Toc403566411"/>
      <w:bookmarkStart w:id="440" w:name="_Toc404072122"/>
      <w:bookmarkStart w:id="441" w:name="_Toc404081318"/>
      <w:bookmarkStart w:id="442" w:name="_Toc404165797"/>
      <w:bookmarkStart w:id="443" w:name="_Toc404165875"/>
      <w:bookmarkStart w:id="444" w:name="_Toc404172432"/>
      <w:bookmarkStart w:id="445" w:name="_Toc404181486"/>
      <w:bookmarkStart w:id="446" w:name="_Toc404183079"/>
      <w:bookmarkStart w:id="447" w:name="_Toc404246623"/>
      <w:r w:rsidRPr="007A6FE3">
        <w:t xml:space="preserve">Maintaining </w:t>
      </w:r>
      <w:r w:rsidR="00FC7F4D" w:rsidRPr="007A6FE3">
        <w:t xml:space="preserve">Wholesale Access to Last-Mile </w:t>
      </w:r>
      <w:bookmarkEnd w:id="421"/>
      <w:r w:rsidR="00252D92" w:rsidRPr="007A6FE3">
        <w:t>Services</w:t>
      </w:r>
      <w:bookmarkEnd w:id="422"/>
      <w:bookmarkEnd w:id="423"/>
      <w:bookmarkEnd w:id="424"/>
      <w:bookmarkEnd w:id="425"/>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14:paraId="4A418954" w14:textId="77777777" w:rsidR="00D70C94" w:rsidRPr="007A6FE3" w:rsidRDefault="00D70C94" w:rsidP="00227F28">
      <w:pPr>
        <w:pStyle w:val="ParaNum0"/>
      </w:pPr>
      <w:r w:rsidRPr="007A6FE3">
        <w:t>Competitive</w:t>
      </w:r>
      <w:r w:rsidRPr="007A6FE3">
        <w:rPr>
          <w:szCs w:val="22"/>
        </w:rPr>
        <w:t xml:space="preserve"> LECs are concerned that, if incumbent LECs discontinue </w:t>
      </w:r>
      <w:r w:rsidR="00252D92" w:rsidRPr="007A6FE3">
        <w:rPr>
          <w:szCs w:val="22"/>
        </w:rPr>
        <w:t>TDM</w:t>
      </w:r>
      <w:r w:rsidRPr="007A6FE3">
        <w:rPr>
          <w:szCs w:val="22"/>
        </w:rPr>
        <w:t xml:space="preserve">-based services in the transition from TDM to IP-based </w:t>
      </w:r>
      <w:r w:rsidR="00252D92" w:rsidRPr="007A6FE3">
        <w:rPr>
          <w:szCs w:val="22"/>
        </w:rPr>
        <w:t>services</w:t>
      </w:r>
      <w:r w:rsidRPr="007A6FE3">
        <w:rPr>
          <w:szCs w:val="22"/>
        </w:rPr>
        <w:t>, competitive LECs will lose the ability to access last-mile facilities</w:t>
      </w:r>
      <w:r w:rsidR="00252D92" w:rsidRPr="007A6FE3">
        <w:rPr>
          <w:szCs w:val="22"/>
        </w:rPr>
        <w:t xml:space="preserve"> necessary</w:t>
      </w:r>
      <w:r w:rsidRPr="007A6FE3">
        <w:rPr>
          <w:szCs w:val="22"/>
        </w:rPr>
        <w:t xml:space="preserve"> to serve their customers, such as DS1 and DS3 special access lines.</w:t>
      </w:r>
      <w:r w:rsidRPr="007A6FE3">
        <w:rPr>
          <w:rStyle w:val="FootnoteReference"/>
          <w:szCs w:val="22"/>
        </w:rPr>
        <w:footnoteReference w:id="204"/>
      </w:r>
      <w:r w:rsidR="005B79EF" w:rsidRPr="007A6FE3">
        <w:rPr>
          <w:szCs w:val="22"/>
        </w:rPr>
        <w:t xml:space="preserve">  As noted above, </w:t>
      </w:r>
      <w:r w:rsidRPr="007A6FE3">
        <w:rPr>
          <w:szCs w:val="22"/>
        </w:rPr>
        <w:t>competitive LECs use</w:t>
      </w:r>
      <w:r w:rsidRPr="007A6FE3">
        <w:t xml:space="preserve"> these facilities to serve retail customers, including </w:t>
      </w:r>
      <w:r w:rsidR="00C076F4" w:rsidRPr="007A6FE3">
        <w:t>providing</w:t>
      </w:r>
      <w:r w:rsidRPr="007A6FE3">
        <w:t xml:space="preserve"> packet-based broadband services to hundreds of thousands of American businesses at competitive prices.</w:t>
      </w:r>
      <w:r w:rsidRPr="007A6FE3">
        <w:rPr>
          <w:rStyle w:val="FootnoteReference"/>
        </w:rPr>
        <w:footnoteReference w:id="205"/>
      </w:r>
      <w:r w:rsidRPr="007A6FE3">
        <w:t xml:space="preserve">  COMPTEL asserts that “the overwhelming majority of competition in the business broadband market comes from competitive carriers that rely substantially on last-mile inputs from the incumbent LEC.”</w:t>
      </w:r>
      <w:r w:rsidRPr="007A6FE3">
        <w:rPr>
          <w:rStyle w:val="FootnoteReference"/>
        </w:rPr>
        <w:footnoteReference w:id="206"/>
      </w:r>
      <w:r w:rsidRPr="007A6FE3">
        <w:t xml:space="preserve">  Competitive LECs, like the incumbents, want to transition customers to next generation services and desire a transition without disruptions in service and on comparable terms and conditions.</w:t>
      </w:r>
      <w:r w:rsidRPr="007A6FE3">
        <w:rPr>
          <w:rStyle w:val="FootnoteReference"/>
        </w:rPr>
        <w:footnoteReference w:id="207"/>
      </w:r>
      <w:r w:rsidRPr="007A6FE3">
        <w:t xml:space="preserve"> </w:t>
      </w:r>
    </w:p>
    <w:p w14:paraId="4F3E3F3F" w14:textId="77777777" w:rsidR="00D70C94" w:rsidRPr="007A6FE3" w:rsidRDefault="00D70C94" w:rsidP="006B4FDC">
      <w:pPr>
        <w:pStyle w:val="ParaNum0"/>
        <w:widowControl/>
        <w:rPr>
          <w:szCs w:val="22"/>
        </w:rPr>
      </w:pPr>
      <w:r w:rsidRPr="007A6FE3">
        <w:t xml:space="preserve">According </w:t>
      </w:r>
      <w:r w:rsidRPr="007A6FE3">
        <w:rPr>
          <w:szCs w:val="22"/>
        </w:rPr>
        <w:t xml:space="preserve">to the competitive LECs, the uncertainty associated with the possible discontinuance </w:t>
      </w:r>
      <w:r w:rsidRPr="007A6FE3">
        <w:t xml:space="preserve">of incumbent LECs’ </w:t>
      </w:r>
      <w:r w:rsidR="00252D92" w:rsidRPr="007A6FE3">
        <w:t xml:space="preserve">legacy services </w:t>
      </w:r>
      <w:r w:rsidRPr="007A6FE3">
        <w:t xml:space="preserve">and replacement with packet-based </w:t>
      </w:r>
      <w:r w:rsidR="00252D92" w:rsidRPr="007A6FE3">
        <w:t>services</w:t>
      </w:r>
      <w:r w:rsidRPr="007A6FE3">
        <w:t xml:space="preserve"> </w:t>
      </w:r>
      <w:r w:rsidRPr="007A6FE3">
        <w:rPr>
          <w:szCs w:val="22"/>
        </w:rPr>
        <w:t xml:space="preserve">creates competitive disadvantages and major concerns about the ability to </w:t>
      </w:r>
      <w:r w:rsidRPr="007A6FE3">
        <w:t>serve present and new customers.</w:t>
      </w:r>
      <w:r w:rsidRPr="007A6FE3">
        <w:rPr>
          <w:rStyle w:val="FootnoteReference"/>
        </w:rPr>
        <w:footnoteReference w:id="208"/>
      </w:r>
      <w:r w:rsidRPr="007A6FE3">
        <w:t xml:space="preserve">  Windstream, for example, a</w:t>
      </w:r>
      <w:r w:rsidRPr="007A6FE3">
        <w:rPr>
          <w:szCs w:val="22"/>
        </w:rPr>
        <w:t>rgues competitive LECs “face the prospect of entering into long-term contracts on the assumption that they will continue to be able to purchase equivalent services at equivalent rates, terms, and conditions after the transition, or attempting to price those future unknown input services, rates, terms and conditions into their contracts.”</w:t>
      </w:r>
      <w:r w:rsidRPr="007A6FE3">
        <w:rPr>
          <w:rStyle w:val="FootnoteReference"/>
          <w:szCs w:val="22"/>
        </w:rPr>
        <w:footnoteReference w:id="209"/>
      </w:r>
      <w:r w:rsidRPr="007A6FE3">
        <w:rPr>
          <w:szCs w:val="22"/>
        </w:rPr>
        <w:t xml:space="preserve">  While competitive LECs request that the Commission protect their access rights to these last-mile </w:t>
      </w:r>
      <w:r w:rsidR="00252D92" w:rsidRPr="007A6FE3">
        <w:rPr>
          <w:szCs w:val="22"/>
        </w:rPr>
        <w:t>services</w:t>
      </w:r>
      <w:r w:rsidR="001204F9" w:rsidRPr="007A6FE3">
        <w:rPr>
          <w:szCs w:val="22"/>
        </w:rPr>
        <w:t xml:space="preserve"> amidst</w:t>
      </w:r>
      <w:r w:rsidRPr="007A6FE3">
        <w:rPr>
          <w:szCs w:val="22"/>
        </w:rPr>
        <w:t xml:space="preserve"> technology transition</w:t>
      </w:r>
      <w:r w:rsidR="001204F9" w:rsidRPr="007A6FE3">
        <w:rPr>
          <w:szCs w:val="22"/>
        </w:rPr>
        <w:t>s</w:t>
      </w:r>
      <w:r w:rsidRPr="007A6FE3">
        <w:rPr>
          <w:szCs w:val="22"/>
        </w:rPr>
        <w:t>, incumbent LECs are concerned that being required to offer long-term TDM arrangements may impede their plans to move to IP-based services.</w:t>
      </w:r>
      <w:r w:rsidRPr="007A6FE3">
        <w:rPr>
          <w:rStyle w:val="FootnoteReference"/>
          <w:szCs w:val="22"/>
        </w:rPr>
        <w:footnoteReference w:id="210"/>
      </w:r>
      <w:r w:rsidRPr="007A6FE3">
        <w:rPr>
          <w:szCs w:val="22"/>
        </w:rPr>
        <w:t xml:space="preserve">  </w:t>
      </w:r>
    </w:p>
    <w:p w14:paraId="220D24A9" w14:textId="77777777" w:rsidR="00D70C94" w:rsidRPr="007A6FE3" w:rsidRDefault="00D70C94" w:rsidP="00227F28">
      <w:pPr>
        <w:pStyle w:val="ParaNum0"/>
        <w:rPr>
          <w:szCs w:val="22"/>
        </w:rPr>
      </w:pPr>
      <w:r w:rsidRPr="007A6FE3">
        <w:t>In this rulemaking proceeding, we examine the role of section 214 of the Act as incumbent LECs seek to discontinue TDM-based</w:t>
      </w:r>
      <w:r w:rsidR="000D69F8" w:rsidRPr="007A6FE3">
        <w:t xml:space="preserve"> service used as</w:t>
      </w:r>
      <w:r w:rsidRPr="007A6FE3">
        <w:t xml:space="preserve"> wholesale inputs.  As guidance, the </w:t>
      </w:r>
      <w:r w:rsidRPr="007A6FE3">
        <w:rPr>
          <w:i/>
        </w:rPr>
        <w:t>National</w:t>
      </w:r>
      <w:r w:rsidR="00252D92" w:rsidRPr="007A6FE3">
        <w:rPr>
          <w:i/>
        </w:rPr>
        <w:t xml:space="preserve"> Broadband Plan</w:t>
      </w:r>
      <w:r w:rsidR="00252D92" w:rsidRPr="007A6FE3">
        <w:t xml:space="preserve"> recommends</w:t>
      </w:r>
      <w:r w:rsidRPr="007A6FE3">
        <w:t xml:space="preserve"> that the Commission adopt wholesale access frameworks to “</w:t>
      </w:r>
      <w:r w:rsidRPr="007A6FE3">
        <w:rPr>
          <w:szCs w:val="22"/>
        </w:rPr>
        <w:t>ensure</w:t>
      </w:r>
      <w:r w:rsidRPr="007A6FE3">
        <w:t xml:space="preserve"> widespread availability of inputs for broadband services.”</w:t>
      </w:r>
      <w:r w:rsidRPr="007A6FE3">
        <w:rPr>
          <w:vertAlign w:val="superscript"/>
        </w:rPr>
        <w:footnoteReference w:id="211"/>
      </w:r>
      <w:r w:rsidRPr="007A6FE3">
        <w:t xml:space="preserve">  </w:t>
      </w:r>
    </w:p>
    <w:p w14:paraId="6D4439E3" w14:textId="77777777" w:rsidR="00D70C94" w:rsidRPr="007A6FE3" w:rsidRDefault="00D70C94" w:rsidP="003F0F7D">
      <w:pPr>
        <w:pStyle w:val="ParaNum0"/>
        <w:widowControl/>
      </w:pPr>
      <w:r w:rsidRPr="007A6FE3">
        <w:rPr>
          <w:szCs w:val="22"/>
        </w:rPr>
        <w:t xml:space="preserve">The section 214 </w:t>
      </w:r>
      <w:r w:rsidRPr="007A6FE3">
        <w:t>discontinuance</w:t>
      </w:r>
      <w:r w:rsidRPr="007A6FE3">
        <w:rPr>
          <w:szCs w:val="22"/>
        </w:rPr>
        <w:t xml:space="preserve"> process provides for Commission oversight to ensure that consumers are fully informed </w:t>
      </w:r>
      <w:r w:rsidR="00CA5A32" w:rsidRPr="007A6FE3">
        <w:rPr>
          <w:szCs w:val="22"/>
        </w:rPr>
        <w:t xml:space="preserve">of </w:t>
      </w:r>
      <w:r w:rsidRPr="007A6FE3">
        <w:rPr>
          <w:szCs w:val="22"/>
        </w:rPr>
        <w:t>any proposed change to reduce or end service</w:t>
      </w:r>
      <w:r w:rsidR="00562F92" w:rsidRPr="007A6FE3">
        <w:rPr>
          <w:szCs w:val="22"/>
        </w:rPr>
        <w:t>, and that adequate alternative services are available to them</w:t>
      </w:r>
      <w:r w:rsidRPr="007A6FE3">
        <w:rPr>
          <w:szCs w:val="22"/>
        </w:rPr>
        <w:t>.</w:t>
      </w:r>
      <w:r w:rsidRPr="007A6FE3">
        <w:rPr>
          <w:rStyle w:val="FootnoteReference"/>
          <w:sz w:val="22"/>
        </w:rPr>
        <w:footnoteReference w:id="212"/>
      </w:r>
      <w:r w:rsidRPr="007A6FE3">
        <w:rPr>
          <w:szCs w:val="22"/>
        </w:rPr>
        <w:t xml:space="preserve">  Related to that, section 63.71 of the Commission’s rules establishes the procedures that carriers </w:t>
      </w:r>
      <w:r w:rsidR="00CA5A32" w:rsidRPr="007A6FE3">
        <w:rPr>
          <w:szCs w:val="22"/>
        </w:rPr>
        <w:t xml:space="preserve">must </w:t>
      </w:r>
      <w:r w:rsidRPr="007A6FE3">
        <w:rPr>
          <w:szCs w:val="22"/>
        </w:rPr>
        <w:t>follow to obtain such Commission approval, including notification of affected customers and the filing of an application for approval of the proposed discontinuance.</w:t>
      </w:r>
      <w:r w:rsidRPr="007A6FE3">
        <w:rPr>
          <w:rStyle w:val="FootnoteReference"/>
          <w:sz w:val="22"/>
        </w:rPr>
        <w:footnoteReference w:id="213"/>
      </w:r>
      <w:r w:rsidRPr="007A6FE3">
        <w:rPr>
          <w:szCs w:val="22"/>
        </w:rPr>
        <w:t xml:space="preserve">  As incumbent LECs announce plans and deadlines to transition away</w:t>
      </w:r>
      <w:r w:rsidR="00252D92" w:rsidRPr="007A6FE3">
        <w:rPr>
          <w:szCs w:val="22"/>
        </w:rPr>
        <w:t xml:space="preserve"> from TDM-based services to IP-based services</w:t>
      </w:r>
      <w:r w:rsidRPr="007A6FE3">
        <w:rPr>
          <w:szCs w:val="22"/>
        </w:rPr>
        <w:t>, the Commission will be called upon to strike the appropriate balance between facilitating a viable migration path to IP</w:t>
      </w:r>
      <w:r w:rsidR="00252D92" w:rsidRPr="007A6FE3">
        <w:rPr>
          <w:szCs w:val="22"/>
        </w:rPr>
        <w:t>-based services</w:t>
      </w:r>
      <w:r w:rsidRPr="007A6FE3">
        <w:rPr>
          <w:szCs w:val="22"/>
        </w:rPr>
        <w:t xml:space="preserve"> for incumbent and competitive LECs, </w:t>
      </w:r>
      <w:r w:rsidR="00584122" w:rsidRPr="007A6FE3">
        <w:rPr>
          <w:szCs w:val="22"/>
        </w:rPr>
        <w:t xml:space="preserve">and </w:t>
      </w:r>
      <w:r w:rsidRPr="007A6FE3">
        <w:rPr>
          <w:szCs w:val="22"/>
        </w:rPr>
        <w:t>promoting competition and the public interest within the meaning of section 214</w:t>
      </w:r>
      <w:r w:rsidR="004927D9" w:rsidRPr="007A6FE3">
        <w:rPr>
          <w:szCs w:val="22"/>
        </w:rPr>
        <w:t xml:space="preserve">. </w:t>
      </w:r>
      <w:r w:rsidR="004927D9" w:rsidRPr="007A6FE3">
        <w:t xml:space="preserve"> We also take this opportunity to point out that s</w:t>
      </w:r>
      <w:r w:rsidR="004927D9" w:rsidRPr="007A6FE3">
        <w:rPr>
          <w:szCs w:val="22"/>
        </w:rPr>
        <w:t>ince section 214(a) and the Commission’s discontinuance rules apply to common carrier and interconnected VoIP services, the mere fact that a carrier obtains discontinuance authorization under section 214(a) for such services has no legal bearing on its obligation to provide UNEs under section 51.319 of our rules.  The Commission has held that “the provision of an unbundled network element is not the provision of a telecommunications service.”</w:t>
      </w:r>
      <w:r w:rsidR="0047457E" w:rsidRPr="007A6FE3">
        <w:rPr>
          <w:rStyle w:val="FootnoteReference"/>
          <w:szCs w:val="22"/>
        </w:rPr>
        <w:footnoteReference w:id="214"/>
      </w:r>
      <w:r w:rsidR="004927D9" w:rsidRPr="007A6FE3">
        <w:t xml:space="preserve"> </w:t>
      </w:r>
    </w:p>
    <w:p w14:paraId="6D6DB924" w14:textId="77777777" w:rsidR="00D70C94" w:rsidRPr="007A6FE3" w:rsidRDefault="00FD784C" w:rsidP="00B63A63">
      <w:pPr>
        <w:pStyle w:val="ParaNum0"/>
      </w:pPr>
      <w:r w:rsidRPr="007A6FE3">
        <w:t xml:space="preserve">Technology </w:t>
      </w:r>
      <w:r w:rsidRPr="007A6FE3">
        <w:rPr>
          <w:szCs w:val="22"/>
        </w:rPr>
        <w:t>transitions</w:t>
      </w:r>
      <w:r w:rsidRPr="007A6FE3">
        <w:t xml:space="preserve"> must not harm or undermine competition.  </w:t>
      </w:r>
      <w:r w:rsidR="00D70C94" w:rsidRPr="007A6FE3">
        <w:t xml:space="preserve">Our present goal is to maintain established rules and decisions </w:t>
      </w:r>
      <w:r w:rsidR="000D69F8" w:rsidRPr="007A6FE3">
        <w:t xml:space="preserve">that provide for wholesale access to critical inputs </w:t>
      </w:r>
      <w:r w:rsidR="00D70C94" w:rsidRPr="007A6FE3">
        <w:t xml:space="preserve">as we </w:t>
      </w:r>
      <w:r w:rsidR="00435B09" w:rsidRPr="007A6FE3">
        <w:t>continue our special access rulemaking proceeding</w:t>
      </w:r>
      <w:r w:rsidRPr="007A6FE3">
        <w:t xml:space="preserve">, along with other initiatives such as </w:t>
      </w:r>
      <w:r w:rsidR="00D70C94" w:rsidRPr="007A6FE3">
        <w:t>technology trials</w:t>
      </w:r>
      <w:r w:rsidRPr="007A6FE3">
        <w:t>,</w:t>
      </w:r>
      <w:r w:rsidR="00D70C94" w:rsidRPr="007A6FE3">
        <w:t xml:space="preserve"> </w:t>
      </w:r>
      <w:r w:rsidRPr="007A6FE3">
        <w:t>to</w:t>
      </w:r>
      <w:r w:rsidR="00D70C94" w:rsidRPr="007A6FE3">
        <w:t xml:space="preserve"> determine how customers are affected and whether rules and policies need to be modified in the future.</w:t>
      </w:r>
      <w:r w:rsidR="00D70C94" w:rsidRPr="007A6FE3">
        <w:rPr>
          <w:rStyle w:val="FootnoteReference"/>
        </w:rPr>
        <w:footnoteReference w:id="215"/>
      </w:r>
      <w:r w:rsidR="00D70C94" w:rsidRPr="007A6FE3">
        <w:t xml:space="preserve">  Given the </w:t>
      </w:r>
      <w:r w:rsidR="000D69F8" w:rsidRPr="007A6FE3">
        <w:t xml:space="preserve">vital </w:t>
      </w:r>
      <w:r w:rsidR="00D70C94" w:rsidRPr="007A6FE3">
        <w:t>role that wholesale access</w:t>
      </w:r>
      <w:r w:rsidR="001174FA" w:rsidRPr="007A6FE3">
        <w:t xml:space="preserve"> to critical inputs</w:t>
      </w:r>
      <w:r w:rsidR="00D70C94" w:rsidRPr="007A6FE3">
        <w:t xml:space="preserve"> plays in promoting competition, we seek to ensure </w:t>
      </w:r>
      <w:r w:rsidRPr="007A6FE3">
        <w:t xml:space="preserve">on an interim basis </w:t>
      </w:r>
      <w:r w:rsidR="00D70C94" w:rsidRPr="007A6FE3">
        <w:t xml:space="preserve">the availability of last-mile </w:t>
      </w:r>
      <w:r w:rsidR="001174FA" w:rsidRPr="007A6FE3">
        <w:t>services</w:t>
      </w:r>
      <w:r w:rsidR="00D70C94" w:rsidRPr="007A6FE3">
        <w:t xml:space="preserve"> to competitive LECs as incumbent LECs begin to discontinue their legacy networks in the transition to IP technology.  As a result, </w:t>
      </w:r>
      <w:r w:rsidR="001174FA" w:rsidRPr="007A6FE3">
        <w:t>w</w:t>
      </w:r>
      <w:r w:rsidR="00252D92" w:rsidRPr="007A6FE3">
        <w:t xml:space="preserve">e tentatively conclude that we should require incumbent LECs that seek section 214 authority to discontinue, reduce, or impair a legacy service that is used as a wholesale input by competitive </w:t>
      </w:r>
      <w:r w:rsidR="00783696" w:rsidRPr="007A6FE3">
        <w:t xml:space="preserve">carriers </w:t>
      </w:r>
      <w:r w:rsidR="00252D92" w:rsidRPr="007A6FE3">
        <w:t xml:space="preserve">to commit to providing competitive carriers equivalent wholesale access on equivalent rates, terms, and conditions.  </w:t>
      </w:r>
      <w:r w:rsidR="00D70C94" w:rsidRPr="007A6FE3">
        <w:t>We seek comment on this tentative conclusion and how or whether it will promote the benefits of competition</w:t>
      </w:r>
      <w:r w:rsidR="0037795B" w:rsidRPr="007A6FE3">
        <w:t>—</w:t>
      </w:r>
      <w:r w:rsidR="00D70C94" w:rsidRPr="007A6FE3">
        <w:t xml:space="preserve">innovation, investment, economic growth for the nation, and competitive prices and services for consumers.  </w:t>
      </w:r>
      <w:r w:rsidR="0003042C">
        <w:t xml:space="preserve">To what services should this apply?  </w:t>
      </w:r>
      <w:r w:rsidR="00A97F18" w:rsidRPr="007A6FE3">
        <w:t xml:space="preserve">We also seek comment on the costs </w:t>
      </w:r>
      <w:r w:rsidR="0083131C" w:rsidRPr="007A6FE3">
        <w:t xml:space="preserve">and benefits </w:t>
      </w:r>
      <w:r w:rsidR="00A97F18" w:rsidRPr="007A6FE3">
        <w:t xml:space="preserve">of such a conclusion—for example, </w:t>
      </w:r>
      <w:r w:rsidR="0083131C" w:rsidRPr="007A6FE3">
        <w:t>how would it affect the</w:t>
      </w:r>
      <w:r w:rsidR="00A97F18" w:rsidRPr="007A6FE3">
        <w:t xml:space="preserve"> incentive</w:t>
      </w:r>
      <w:r w:rsidR="0083131C" w:rsidRPr="007A6FE3">
        <w:t>s</w:t>
      </w:r>
      <w:r w:rsidR="00A97F18" w:rsidRPr="007A6FE3">
        <w:t xml:space="preserve"> for incumbent LECs to upgrade their facilities?  </w:t>
      </w:r>
      <w:r w:rsidR="0083131C" w:rsidRPr="007A6FE3">
        <w:t>S</w:t>
      </w:r>
      <w:r w:rsidR="0006238F" w:rsidRPr="007A6FE3">
        <w:t xml:space="preserve">hould </w:t>
      </w:r>
      <w:r w:rsidR="0083131C" w:rsidRPr="007A6FE3">
        <w:t xml:space="preserve">we </w:t>
      </w:r>
      <w:r w:rsidR="0006238F" w:rsidRPr="007A6FE3">
        <w:t xml:space="preserve">require incumbent LECs to commit to a different standard, such as </w:t>
      </w:r>
      <w:r w:rsidR="0083131C" w:rsidRPr="007A6FE3">
        <w:t xml:space="preserve">a </w:t>
      </w:r>
      <w:r w:rsidR="0006238F" w:rsidRPr="007A6FE3">
        <w:t>“reasonably comparable”</w:t>
      </w:r>
      <w:r w:rsidR="0083131C" w:rsidRPr="007A6FE3">
        <w:t xml:space="preserve"> standard?</w:t>
      </w:r>
      <w:r w:rsidR="0006238F" w:rsidRPr="007A6FE3">
        <w:t xml:space="preserve">  </w:t>
      </w:r>
      <w:r w:rsidR="00D1550D" w:rsidRPr="007A6FE3">
        <w:t xml:space="preserve">We also seek comment on whether we should apply </w:t>
      </w:r>
      <w:r w:rsidR="0006238F" w:rsidRPr="007A6FE3">
        <w:t xml:space="preserve">any </w:t>
      </w:r>
      <w:r w:rsidR="00D1550D" w:rsidRPr="007A6FE3">
        <w:t>standard</w:t>
      </w:r>
      <w:r w:rsidR="0006238F" w:rsidRPr="007A6FE3">
        <w:t xml:space="preserve"> that we establish</w:t>
      </w:r>
      <w:r w:rsidR="00D1550D" w:rsidRPr="007A6FE3">
        <w:t xml:space="preserve"> as a condition on the grant of section 214 discontinuance authority to preserve competition as we transition to an all-IP world or as a guide when considering applications.  If applied as a condition on the grant, then we seek comment on the appropriate term.</w:t>
      </w:r>
      <w:r w:rsidR="002003E5" w:rsidRPr="007A6FE3">
        <w:t xml:space="preserve">  For example, should its duration be indefinite, or should it be dependent upon the outcome of our special access proceeding?</w:t>
      </w:r>
      <w:r w:rsidR="00D81F55" w:rsidRPr="007A6FE3">
        <w:t xml:space="preserve">  And we seek comment on</w:t>
      </w:r>
      <w:r w:rsidR="002A37F0" w:rsidRPr="007A6FE3">
        <w:t xml:space="preserve"> appropriate</w:t>
      </w:r>
      <w:r w:rsidR="00D81F55" w:rsidRPr="007A6FE3">
        <w:t xml:space="preserve"> enforcement remedies for failure to comply with this proposed obligation.</w:t>
      </w:r>
    </w:p>
    <w:p w14:paraId="256487B3" w14:textId="77777777" w:rsidR="00E10368" w:rsidRPr="007A6FE3" w:rsidRDefault="00D70C94" w:rsidP="00E10368">
      <w:pPr>
        <w:pStyle w:val="ParaNum0"/>
      </w:pPr>
      <w:r w:rsidRPr="007A6FE3">
        <w:t xml:space="preserve">Furthermore, through seeking comment in this rulemaking, we seek to establish important ground rules that </w:t>
      </w:r>
      <w:r w:rsidRPr="007A6FE3">
        <w:rPr>
          <w:szCs w:val="22"/>
        </w:rPr>
        <w:t>would</w:t>
      </w:r>
      <w:r w:rsidRPr="007A6FE3">
        <w:t xml:space="preserve"> facilitate the IP</w:t>
      </w:r>
      <w:r w:rsidR="00597B01" w:rsidRPr="007A6FE3">
        <w:t xml:space="preserve"> </w:t>
      </w:r>
      <w:r w:rsidRPr="007A6FE3">
        <w:t xml:space="preserve">transition by establishing objective standards and clear criteria for applying the standard set forth above in advance of section 214 applications and narrowing the range of time-consuming individual disputes.  For example, Windstream has suggested that when </w:t>
      </w:r>
      <w:r w:rsidR="00502EB6" w:rsidRPr="007A6FE3">
        <w:t xml:space="preserve">an incumbent LEC is </w:t>
      </w:r>
      <w:r w:rsidRPr="007A6FE3">
        <w:t xml:space="preserve">discontinuing legacy services offered at speeds of 50 Mbps or less that the Commission </w:t>
      </w:r>
      <w:r w:rsidR="0009028E" w:rsidRPr="007A6FE3">
        <w:t>apply six principles</w:t>
      </w:r>
      <w:r w:rsidRPr="007A6FE3">
        <w:t xml:space="preserve"> to evaluate replacement offerings as </w:t>
      </w:r>
      <w:r w:rsidR="00E10368" w:rsidRPr="007A6FE3">
        <w:t xml:space="preserve">follows:  </w:t>
      </w:r>
    </w:p>
    <w:p w14:paraId="1CB6ADFA" w14:textId="77777777" w:rsidR="0009028E" w:rsidRPr="007A6FE3" w:rsidRDefault="0009028E" w:rsidP="007B536F">
      <w:pPr>
        <w:pStyle w:val="ParaNum0"/>
        <w:numPr>
          <w:ilvl w:val="0"/>
          <w:numId w:val="47"/>
        </w:numPr>
        <w:ind w:right="1440"/>
      </w:pPr>
      <w:r w:rsidRPr="007A6FE3">
        <w:rPr>
          <w:i/>
        </w:rPr>
        <w:t>Price per Mbps Shall Not Increase.</w:t>
      </w:r>
      <w:r w:rsidRPr="007A6FE3">
        <w:t xml:space="preserve"> </w:t>
      </w:r>
      <w:r w:rsidR="001646EB">
        <w:t xml:space="preserve"> </w:t>
      </w:r>
      <w:r w:rsidRPr="007A6FE3">
        <w:t>The price per Mbps of the IP replacement product shall not exceed the price per Mbps of the TDM product that otherwise would have been used to provide comparable special access service at 50 Mbps or below.</w:t>
      </w:r>
    </w:p>
    <w:p w14:paraId="273D2265" w14:textId="77777777" w:rsidR="0009028E" w:rsidRPr="007A6FE3" w:rsidRDefault="0009028E" w:rsidP="007B536F">
      <w:pPr>
        <w:pStyle w:val="ParaNum0"/>
        <w:numPr>
          <w:ilvl w:val="0"/>
          <w:numId w:val="47"/>
        </w:numPr>
        <w:ind w:right="1440"/>
      </w:pPr>
      <w:r w:rsidRPr="007A6FE3">
        <w:rPr>
          <w:i/>
        </w:rPr>
        <w:t>A Provider’s Wholesale Rates Shall Not Exceed Its Retail Rates.</w:t>
      </w:r>
      <w:r w:rsidRPr="007A6FE3">
        <w:t xml:space="preserve"> </w:t>
      </w:r>
      <w:r w:rsidR="001646EB">
        <w:t xml:space="preserve"> </w:t>
      </w:r>
      <w:r w:rsidRPr="007A6FE3">
        <w:t>An incumbent’s wholesale charges for the IP replacement product shall not exceed its retail rates for the equivalent offering.</w:t>
      </w:r>
    </w:p>
    <w:p w14:paraId="6F5D369C" w14:textId="77777777" w:rsidR="0009028E" w:rsidRPr="007A6FE3" w:rsidRDefault="0009028E" w:rsidP="007B536F">
      <w:pPr>
        <w:pStyle w:val="ParaNum0"/>
        <w:numPr>
          <w:ilvl w:val="0"/>
          <w:numId w:val="47"/>
        </w:numPr>
        <w:ind w:right="1440"/>
      </w:pPr>
      <w:r w:rsidRPr="007A6FE3">
        <w:rPr>
          <w:i/>
        </w:rPr>
        <w:t xml:space="preserve">Basic Service Pricing Shall Not Increase. </w:t>
      </w:r>
      <w:r w:rsidR="001646EB">
        <w:rPr>
          <w:i/>
        </w:rPr>
        <w:t xml:space="preserve"> </w:t>
      </w:r>
      <w:r w:rsidRPr="007A6FE3">
        <w:t xml:space="preserve">The wholesale price of the lowest capacity level of special access service at or above the DS1 level shall not increase (e.g., 2 Mbps Ethernet price shall not exceed the DS1 price when 2 Mbps is the lowest Ethernet option available). </w:t>
      </w:r>
    </w:p>
    <w:p w14:paraId="6604E82B" w14:textId="77777777" w:rsidR="0009028E" w:rsidRPr="007A6FE3" w:rsidRDefault="0009028E" w:rsidP="007B536F">
      <w:pPr>
        <w:pStyle w:val="ParaNum0"/>
        <w:numPr>
          <w:ilvl w:val="0"/>
          <w:numId w:val="47"/>
        </w:numPr>
        <w:ind w:right="1440"/>
      </w:pPr>
      <w:r w:rsidRPr="007A6FE3">
        <w:rPr>
          <w:i/>
        </w:rPr>
        <w:t>Bandwidth Options Shall Not Be Reduced:</w:t>
      </w:r>
      <w:r w:rsidRPr="007A6FE3">
        <w:t xml:space="preserve"> </w:t>
      </w:r>
      <w:r w:rsidR="001646EB">
        <w:t xml:space="preserve"> </w:t>
      </w:r>
      <w:r w:rsidRPr="007A6FE3">
        <w:t>Wholesale bandwidth options must, at a minimum, include the options that the incumbent offers to its retail business service customers.</w:t>
      </w:r>
    </w:p>
    <w:p w14:paraId="654BB03B" w14:textId="77777777" w:rsidR="0009028E" w:rsidRPr="007A6FE3" w:rsidRDefault="0009028E" w:rsidP="007B536F">
      <w:pPr>
        <w:pStyle w:val="ParaNum0"/>
        <w:numPr>
          <w:ilvl w:val="0"/>
          <w:numId w:val="47"/>
        </w:numPr>
        <w:ind w:right="1440"/>
      </w:pPr>
      <w:r w:rsidRPr="007A6FE3">
        <w:rPr>
          <w:i/>
        </w:rPr>
        <w:t>No Backdoor Price Increases:</w:t>
      </w:r>
      <w:r w:rsidRPr="007A6FE3">
        <w:t xml:space="preserve"> </w:t>
      </w:r>
      <w:r w:rsidR="001646EB">
        <w:t xml:space="preserve"> </w:t>
      </w:r>
      <w:r w:rsidRPr="007A6FE3">
        <w:t>Price hikes shall not be effectuated via significant changes to charges for NNI or any other rate elements, lock-up provisions, ETFs, special construction charges, or any other measure.</w:t>
      </w:r>
    </w:p>
    <w:p w14:paraId="23B4B5E1" w14:textId="77777777" w:rsidR="00E10368" w:rsidRPr="007A6FE3" w:rsidRDefault="0009028E" w:rsidP="00A2098F">
      <w:pPr>
        <w:pStyle w:val="ParaNum0"/>
        <w:widowControl/>
        <w:numPr>
          <w:ilvl w:val="0"/>
          <w:numId w:val="47"/>
        </w:numPr>
        <w:ind w:right="1440"/>
      </w:pPr>
      <w:r w:rsidRPr="007A6FE3">
        <w:rPr>
          <w:i/>
        </w:rPr>
        <w:t>No Impairment of Service Delivery or Quality:</w:t>
      </w:r>
      <w:r w:rsidRPr="007A6FE3">
        <w:t xml:space="preserve"> </w:t>
      </w:r>
      <w:r w:rsidR="001646EB">
        <w:t xml:space="preserve"> </w:t>
      </w:r>
      <w:r w:rsidRPr="007A6FE3">
        <w:t>Service functionality and quality, OSS efficiency, and other elements affecting service quality shall be equivalent to, if not better than, what is provided for TDM inputs today.  Installation intervals and other elements affecting service delivery shall be equivalent to, if not better than, what the incumbent delivers for its own or its affiliates’ operations.</w:t>
      </w:r>
      <w:r w:rsidRPr="007A6FE3">
        <w:rPr>
          <w:rStyle w:val="FootnoteReference"/>
        </w:rPr>
        <w:footnoteReference w:id="216"/>
      </w:r>
    </w:p>
    <w:p w14:paraId="66B24889" w14:textId="77777777" w:rsidR="00D70C94" w:rsidRPr="007A6FE3" w:rsidRDefault="00E10368" w:rsidP="0075123C">
      <w:pPr>
        <w:pStyle w:val="ParaNum0"/>
        <w:numPr>
          <w:ilvl w:val="0"/>
          <w:numId w:val="0"/>
        </w:numPr>
      </w:pPr>
      <w:r w:rsidRPr="007A6FE3">
        <w:t xml:space="preserve">We </w:t>
      </w:r>
      <w:r w:rsidR="00D70C94" w:rsidRPr="007A6FE3">
        <w:t xml:space="preserve">seek comment on </w:t>
      </w:r>
      <w:r w:rsidR="00BD085E" w:rsidRPr="007A6FE3">
        <w:t xml:space="preserve">each of </w:t>
      </w:r>
      <w:r w:rsidR="00D70C94" w:rsidRPr="007A6FE3">
        <w:t>Windstream’s propos</w:t>
      </w:r>
      <w:r w:rsidR="00BD085E" w:rsidRPr="007A6FE3">
        <w:t>ed principles</w:t>
      </w:r>
      <w:r w:rsidR="005676AC" w:rsidRPr="007A6FE3">
        <w:t xml:space="preserve"> </w:t>
      </w:r>
      <w:r w:rsidR="00D70C94" w:rsidRPr="007A6FE3">
        <w:t>and other principles the Commission could use to guide its determinations of a functionally equivalent service with equivalent rates, terms, and conditions.</w:t>
      </w:r>
      <w:r w:rsidR="00BD085E" w:rsidRPr="007A6FE3">
        <w:t xml:space="preserve">  </w:t>
      </w:r>
      <w:r w:rsidR="00584122" w:rsidRPr="007A6FE3">
        <w:t xml:space="preserve">Are </w:t>
      </w:r>
      <w:r w:rsidR="00BD085E" w:rsidRPr="007A6FE3">
        <w:t>some of Windstream’s proposed principles more appropriate for adoption in this proceeding than others?  For each principle, should its duration be indefinite, or should it be dependent upon the outcome of our special access proceeding?</w:t>
      </w:r>
    </w:p>
    <w:p w14:paraId="60959AC4" w14:textId="77777777" w:rsidR="00D70C94" w:rsidRPr="007A6FE3" w:rsidRDefault="00D70C94" w:rsidP="00227F28">
      <w:pPr>
        <w:pStyle w:val="ParaNum0"/>
      </w:pPr>
      <w:r w:rsidRPr="007A6FE3">
        <w:t>We note that the Commission, in evaluating section 214 applications, is</w:t>
      </w:r>
      <w:r w:rsidR="00597B01" w:rsidRPr="007A6FE3">
        <w:t xml:space="preserve"> called upon to examine </w:t>
      </w:r>
      <w:r w:rsidR="00807083" w:rsidRPr="007A6FE3">
        <w:t>a number of factors.</w:t>
      </w:r>
      <w:r w:rsidRPr="007A6FE3">
        <w:rPr>
          <w:rStyle w:val="FootnoteReference"/>
        </w:rPr>
        <w:footnoteReference w:id="217"/>
      </w:r>
      <w:r w:rsidRPr="007A6FE3">
        <w:t xml:space="preserve">  To accomplish the underlying goal of ensuring that </w:t>
      </w:r>
      <w:r w:rsidR="00CE5100" w:rsidRPr="007A6FE3">
        <w:t>competition is</w:t>
      </w:r>
      <w:r w:rsidR="001174FA" w:rsidRPr="007A6FE3">
        <w:t xml:space="preserve"> not adversely affected as</w:t>
      </w:r>
      <w:r w:rsidRPr="007A6FE3">
        <w:t xml:space="preserve"> incumbent LECs discontinue their TDM </w:t>
      </w:r>
      <w:r w:rsidR="001174FA" w:rsidRPr="007A6FE3">
        <w:t>services</w:t>
      </w:r>
      <w:r w:rsidR="00CE5100" w:rsidRPr="007A6FE3">
        <w:t xml:space="preserve"> in the IP </w:t>
      </w:r>
      <w:r w:rsidRPr="007A6FE3">
        <w:t>transition, which the tentative conclusion is intended to address, we seek comment on whether the Commission should evaluate any other factors in the reasonabl</w:t>
      </w:r>
      <w:r w:rsidR="00CE5100" w:rsidRPr="007A6FE3">
        <w:t>e interpretation of section 214.  S</w:t>
      </w:r>
      <w:r w:rsidRPr="007A6FE3">
        <w:t>hould we consider revising our rules in the way we apply this provision?  We note that many of the services that the incumbent LECs are claiming would replace TDM offerings currently are not offered pursuant to tariffs and therefore, lack the transparency and section 203 protections that purchasing a tariffed service provides.</w:t>
      </w:r>
      <w:r w:rsidRPr="007A6FE3">
        <w:rPr>
          <w:rStyle w:val="FootnoteReference"/>
        </w:rPr>
        <w:footnoteReference w:id="218"/>
      </w:r>
      <w:r w:rsidRPr="007A6FE3">
        <w:t xml:space="preserve">  </w:t>
      </w:r>
      <w:r w:rsidR="007C0CC4" w:rsidRPr="007A6FE3">
        <w:t xml:space="preserve">How should the Commission take these differences into account in considering whether these services are adequate </w:t>
      </w:r>
      <w:r w:rsidR="00C02862" w:rsidRPr="007A6FE3">
        <w:t>substitutes</w:t>
      </w:r>
      <w:r w:rsidR="007C0CC4" w:rsidRPr="007A6FE3">
        <w:t>?</w:t>
      </w:r>
      <w:r w:rsidR="00A3395A" w:rsidRPr="007A6FE3">
        <w:t xml:space="preserve">  </w:t>
      </w:r>
    </w:p>
    <w:p w14:paraId="665F39BA" w14:textId="77777777" w:rsidR="008637B5" w:rsidRPr="007A6FE3" w:rsidRDefault="00D70C94" w:rsidP="0004442C">
      <w:pPr>
        <w:pStyle w:val="ParaNum0"/>
      </w:pPr>
      <w:r w:rsidRPr="007A6FE3">
        <w:t>In addition, we seek comment on whether we should consider revising section 63.71 of the Commission’s rules that establish the procedures that carriers should follow to obtain section 214 approval, including notification of affected customers.</w:t>
      </w:r>
      <w:r w:rsidRPr="007A6FE3">
        <w:rPr>
          <w:rStyle w:val="FootnoteReference"/>
        </w:rPr>
        <w:footnoteReference w:id="219"/>
      </w:r>
      <w:r w:rsidRPr="007A6FE3">
        <w:t xml:space="preserve">  We recognize that incumbent LECs and wholesale customers may be at different stages of moving to IP-based services.  Incumbent LECs argue that without the ability to</w:t>
      </w:r>
      <w:r w:rsidR="001174FA" w:rsidRPr="007A6FE3">
        <w:t xml:space="preserve"> discontinue long-term</w:t>
      </w:r>
      <w:r w:rsidRPr="007A6FE3">
        <w:t xml:space="preserve"> TDM-based offerings, their transition plans to IP </w:t>
      </w:r>
      <w:r w:rsidR="001174FA" w:rsidRPr="007A6FE3">
        <w:t xml:space="preserve">services </w:t>
      </w:r>
      <w:r w:rsidRPr="007A6FE3">
        <w:t>may be impeded.</w:t>
      </w:r>
      <w:r w:rsidRPr="007A6FE3">
        <w:rPr>
          <w:rStyle w:val="FootnoteReference"/>
        </w:rPr>
        <w:footnoteReference w:id="220"/>
      </w:r>
      <w:r w:rsidRPr="007A6FE3">
        <w:t xml:space="preserve">  Meanwhile, competitive LECs express concerns that “wholesale customers need significant lead time so that they can both plan for the necessary changes to their products as well as prepare their customers for changes to offerings dependent upon ILEC last-mile facilities.”</w:t>
      </w:r>
      <w:r w:rsidRPr="007A6FE3">
        <w:rPr>
          <w:rStyle w:val="FootnoteReference"/>
        </w:rPr>
        <w:footnoteReference w:id="221"/>
      </w:r>
      <w:r w:rsidRPr="007A6FE3">
        <w:t xml:space="preserve">  </w:t>
      </w:r>
      <w:r w:rsidR="008637B5" w:rsidRPr="007A6FE3">
        <w:t>Therefore, we seek comment on what is sufficient notice for competitive LECs when there is a discontinuance, reduction, or impairment of service in a transitioning market.  In particular, how much lead time is needed for a competitive LEC to move its customers to alternative service arrangements absent disruptions in service while not unduly impeding the incumbent LEC’s ability to transition?  Additionally, many competitive LECs currently purchase wh</w:t>
      </w:r>
      <w:r w:rsidR="0047457E" w:rsidRPr="007A6FE3">
        <w:t>olesale inputs pursuant to long-</w:t>
      </w:r>
      <w:r w:rsidR="008637B5" w:rsidRPr="007A6FE3">
        <w:t xml:space="preserve">term tariffs and other </w:t>
      </w:r>
      <w:r w:rsidR="00662FAB" w:rsidRPr="007A6FE3">
        <w:t>agreements</w:t>
      </w:r>
      <w:r w:rsidR="008637B5" w:rsidRPr="007A6FE3">
        <w:t xml:space="preserve"> that contain early termination penalties.  How should such terms be treated when the provisioning carrier is seeking to end provisioning a service and the purchasing carrier needs to move to alternative services and/or providers in order to continue providing its retail offering?  We seek comment on both the timing and form of notice.  Does the sufficiency of the notice depend on how many of the competitive LEC(s) customers will have to be moved as a result of the discontinued, reduced, or impaired service? </w:t>
      </w:r>
      <w:r w:rsidR="001174FA" w:rsidRPr="007A6FE3">
        <w:t xml:space="preserve">  </w:t>
      </w:r>
    </w:p>
    <w:p w14:paraId="6E367D51" w14:textId="77777777" w:rsidR="00FC7F4D" w:rsidRPr="007A6FE3" w:rsidRDefault="00FC7F4D" w:rsidP="00FC7F4D">
      <w:pPr>
        <w:pStyle w:val="Heading1"/>
      </w:pPr>
      <w:bookmarkStart w:id="448" w:name="_Toc399947724"/>
      <w:bookmarkStart w:id="449" w:name="_Toc400554032"/>
      <w:bookmarkStart w:id="450" w:name="_Toc400566841"/>
      <w:bookmarkStart w:id="451" w:name="_Toc400711711"/>
      <w:bookmarkStart w:id="452" w:name="_Toc400719661"/>
      <w:bookmarkStart w:id="453" w:name="_Toc401299436"/>
      <w:bookmarkStart w:id="454" w:name="_Toc401307001"/>
      <w:bookmarkStart w:id="455" w:name="_Toc401595635"/>
      <w:bookmarkStart w:id="456" w:name="_Toc401658192"/>
      <w:bookmarkStart w:id="457" w:name="_Toc401821694"/>
      <w:bookmarkStart w:id="458" w:name="_Toc401912162"/>
      <w:bookmarkStart w:id="459" w:name="_Toc402255416"/>
      <w:bookmarkStart w:id="460" w:name="_Toc402276199"/>
      <w:bookmarkStart w:id="461" w:name="_Toc402360441"/>
      <w:bookmarkStart w:id="462" w:name="_Toc402511503"/>
      <w:bookmarkStart w:id="463" w:name="_Toc403566412"/>
      <w:bookmarkStart w:id="464" w:name="_Toc404072123"/>
      <w:bookmarkStart w:id="465" w:name="_Toc404081319"/>
      <w:bookmarkStart w:id="466" w:name="_Toc404165798"/>
      <w:bookmarkStart w:id="467" w:name="_Toc404165876"/>
      <w:bookmarkStart w:id="468" w:name="_Toc404172433"/>
      <w:bookmarkStart w:id="469" w:name="_Toc404181487"/>
      <w:bookmarkStart w:id="470" w:name="_Toc404183080"/>
      <w:bookmarkStart w:id="471" w:name="_Toc404246624"/>
      <w:r w:rsidRPr="007A6FE3">
        <w:t xml:space="preserve">Declaratory </w:t>
      </w:r>
      <w:r w:rsidR="00CA5454" w:rsidRPr="007A6FE3">
        <w:t>RULING</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 w14:paraId="3B728A15" w14:textId="77777777" w:rsidR="002F0E91" w:rsidRPr="007A6FE3" w:rsidRDefault="002F0E91" w:rsidP="00227F28">
      <w:pPr>
        <w:pStyle w:val="ParaNum0"/>
      </w:pPr>
      <w:r w:rsidRPr="007A6FE3">
        <w:t>In this Declaratory Ruling, we clarify that the analysis under section 214 of whether a change constitutes a discontinuance, reduction, or impairment of service is a functional test</w:t>
      </w:r>
      <w:r w:rsidR="0019468E" w:rsidRPr="007A6FE3">
        <w:t>.</w:t>
      </w:r>
      <w:r w:rsidRPr="007A6FE3">
        <w:t xml:space="preserve">  The Commission may issue a declaratory ruling in response to a motion or on its own motion “terminating a controversy or removing uncertainty.”</w:t>
      </w:r>
      <w:r w:rsidRPr="007A6FE3">
        <w:rPr>
          <w:rStyle w:val="FootnoteReference"/>
        </w:rPr>
        <w:footnoteReference w:id="222"/>
      </w:r>
      <w:r w:rsidRPr="007A6FE3">
        <w:t xml:space="preserve">  At least one carrier has taken the position that “certain third party services or devices that were designed specifically to work with traditional voice services offered over copper facilities” but that “may not be compatible with” a wireless alternative service are not offered “as a ‘POTS feature or service capability’ of its telecommunications service.”</w:t>
      </w:r>
      <w:r w:rsidRPr="007A6FE3">
        <w:rPr>
          <w:rStyle w:val="FootnoteReference"/>
          <w:szCs w:val="22"/>
        </w:rPr>
        <w:footnoteReference w:id="223"/>
      </w:r>
      <w:r w:rsidRPr="007A6FE3">
        <w:t xml:space="preserve">  The assumption appears to be that where </w:t>
      </w:r>
      <w:r w:rsidR="007A70A2" w:rsidRPr="007A6FE3">
        <w:t xml:space="preserve">access to </w:t>
      </w:r>
      <w:r w:rsidRPr="007A6FE3">
        <w:t>third-party services and devices</w:t>
      </w:r>
      <w:r w:rsidR="0019468E" w:rsidRPr="007A6FE3">
        <w:t xml:space="preserve"> </w:t>
      </w:r>
      <w:r w:rsidRPr="007A6FE3">
        <w:t>are not defined by the tariff as a part of the service offering, a move from a legacy-based service to an alternative service that does not support such third-party services or devices does not constitute a discontinuance, reduction, or impairment of a service.  We disagree.</w:t>
      </w:r>
    </w:p>
    <w:p w14:paraId="342812A2" w14:textId="77777777" w:rsidR="002F0E91" w:rsidRPr="007A6FE3" w:rsidRDefault="002F0E91" w:rsidP="003F0F7D">
      <w:pPr>
        <w:pStyle w:val="ParaNum0"/>
        <w:widowControl/>
      </w:pPr>
      <w:r w:rsidRPr="007A6FE3">
        <w:t>The purpose of a tariff is not to define the full scope of the service provided.  Rather, it is to provide “schedules showing all charges for itself and its connecting carriers … and showing the classifications, practices, and regulations affecting such charges.”</w:t>
      </w:r>
      <w:r w:rsidRPr="007A6FE3">
        <w:rPr>
          <w:rStyle w:val="FootnoteReference"/>
          <w:szCs w:val="22"/>
        </w:rPr>
        <w:footnoteReference w:id="224"/>
      </w:r>
      <w:r w:rsidRPr="007A6FE3">
        <w:t xml:space="preserve"> </w:t>
      </w:r>
      <w:r w:rsidR="000811A5" w:rsidRPr="007A6FE3">
        <w:t xml:space="preserve"> </w:t>
      </w:r>
      <w:r w:rsidR="0019468E" w:rsidRPr="007A6FE3">
        <w:t>Indeed, tariffs cannot define the reach of section 214, because</w:t>
      </w:r>
      <w:r w:rsidRPr="007A6FE3">
        <w:t xml:space="preserve"> the Commission has forborne from the tariffing requirement in certain instances,</w:t>
      </w:r>
      <w:r w:rsidRPr="007A6FE3">
        <w:rPr>
          <w:rStyle w:val="FootnoteReference"/>
          <w:szCs w:val="22"/>
        </w:rPr>
        <w:footnoteReference w:id="225"/>
      </w:r>
      <w:r w:rsidRPr="007A6FE3">
        <w:t xml:space="preserve"> </w:t>
      </w:r>
      <w:r w:rsidR="0019468E" w:rsidRPr="007A6FE3">
        <w:t xml:space="preserve">but </w:t>
      </w:r>
      <w:r w:rsidRPr="007A6FE3">
        <w:t xml:space="preserve">the services at issue remain subject to the requirements </w:t>
      </w:r>
      <w:r w:rsidR="00182B8C" w:rsidRPr="007A6FE3">
        <w:t xml:space="preserve">of </w:t>
      </w:r>
      <w:r w:rsidRPr="007A6FE3">
        <w:t>section 214.</w:t>
      </w:r>
      <w:r w:rsidR="00E635FC" w:rsidRPr="007A6FE3">
        <w:rPr>
          <w:rStyle w:val="FootnoteReference"/>
          <w:szCs w:val="22"/>
        </w:rPr>
        <w:footnoteReference w:id="226"/>
      </w:r>
      <w:r w:rsidR="006E285F" w:rsidRPr="007A6FE3">
        <w:t xml:space="preserve">  </w:t>
      </w:r>
      <w:r w:rsidRPr="007A6FE3">
        <w:t xml:space="preserve">Section 214(a) </w:t>
      </w:r>
      <w:r w:rsidR="00850788" w:rsidRPr="007A6FE3">
        <w:t>p</w:t>
      </w:r>
      <w:r w:rsidR="008929A9" w:rsidRPr="007A6FE3">
        <w:t xml:space="preserve">rohibits a </w:t>
      </w:r>
      <w:r w:rsidRPr="007A6FE3">
        <w:t xml:space="preserve">carrier </w:t>
      </w:r>
      <w:r w:rsidR="008929A9" w:rsidRPr="007A6FE3">
        <w:t>from</w:t>
      </w:r>
      <w:r w:rsidRPr="007A6FE3">
        <w:t xml:space="preserve"> discontinu</w:t>
      </w:r>
      <w:r w:rsidR="008929A9" w:rsidRPr="007A6FE3">
        <w:t>ing</w:t>
      </w:r>
      <w:r w:rsidRPr="007A6FE3">
        <w:t>, reduc</w:t>
      </w:r>
      <w:r w:rsidR="008929A9" w:rsidRPr="007A6FE3">
        <w:t>ing</w:t>
      </w:r>
      <w:r w:rsidRPr="007A6FE3">
        <w:t>, or impair</w:t>
      </w:r>
      <w:r w:rsidR="008929A9" w:rsidRPr="007A6FE3">
        <w:t>ing</w:t>
      </w:r>
      <w:r w:rsidRPr="007A6FE3">
        <w:t xml:space="preserve"> service to </w:t>
      </w:r>
      <w:r w:rsidR="008929A9" w:rsidRPr="007A6FE3">
        <w:t>“</w:t>
      </w:r>
      <w:r w:rsidRPr="007A6FE3">
        <w:t>a community, or part of a community</w:t>
      </w:r>
      <w:r w:rsidR="008929A9" w:rsidRPr="007A6FE3">
        <w:t>” without prior</w:t>
      </w:r>
      <w:r w:rsidRPr="007A6FE3">
        <w:t xml:space="preserve"> Commission authorization.</w:t>
      </w:r>
      <w:r w:rsidRPr="007A6FE3">
        <w:rPr>
          <w:rStyle w:val="FootnoteReference"/>
        </w:rPr>
        <w:footnoteReference w:id="227"/>
      </w:r>
      <w:r w:rsidR="008929A9" w:rsidRPr="007A6FE3">
        <w:t xml:space="preserve">  </w:t>
      </w:r>
      <w:r w:rsidRPr="007A6FE3">
        <w:t xml:space="preserve">There is no indication in the language of section 214(a) that Congress intended to allow the carrier to define the scope of “service” via its tariff.  We have repeatedly stated:  “In determining the need for prior authority to discontinue, reduce, or impair service under </w:t>
      </w:r>
      <w:r w:rsidR="003953C4" w:rsidRPr="007A6FE3">
        <w:t>s</w:t>
      </w:r>
      <w:r w:rsidRPr="007A6FE3">
        <w:t xml:space="preserve">ection 214(a), the primary focus should be on the end service provided by a carrier to a community or part of a community, </w:t>
      </w:r>
      <w:r w:rsidRPr="007A6FE3">
        <w:rPr>
          <w:i/>
          <w:iCs/>
        </w:rPr>
        <w:t>i.e.</w:t>
      </w:r>
      <w:r w:rsidRPr="007A6FE3">
        <w:t>, the using public.”</w:t>
      </w:r>
      <w:r w:rsidRPr="007A6FE3">
        <w:rPr>
          <w:rStyle w:val="FootnoteReference"/>
          <w:szCs w:val="22"/>
        </w:rPr>
        <w:footnoteReference w:id="228"/>
      </w:r>
      <w:r w:rsidRPr="007A6FE3">
        <w:t xml:space="preserve">  Thus, while a carrier’s tariff definition of its own service is important evidence of the “service provided,</w:t>
      </w:r>
      <w:r w:rsidR="00736576" w:rsidRPr="007A6FE3">
        <w:t>”</w:t>
      </w:r>
      <w:r w:rsidRPr="007A6FE3">
        <w:t xml:space="preserve"> we clarify that it is not dispositive.</w:t>
      </w:r>
      <w:r w:rsidRPr="007A6FE3">
        <w:rPr>
          <w:rStyle w:val="FootnoteReference"/>
          <w:szCs w:val="22"/>
        </w:rPr>
        <w:footnoteReference w:id="229"/>
      </w:r>
      <w:r w:rsidRPr="007A6FE3">
        <w:t xml:space="preserve">  Also relevant is what the “community or part of a community” reasonably </w:t>
      </w:r>
      <w:r w:rsidR="00030A74" w:rsidRPr="007A6FE3">
        <w:t xml:space="preserve">would </w:t>
      </w:r>
      <w:r w:rsidRPr="007A6FE3">
        <w:t xml:space="preserve">view as the service </w:t>
      </w:r>
      <w:r w:rsidR="00736576" w:rsidRPr="007A6FE3">
        <w:t>provided by the carrier</w:t>
      </w:r>
      <w:r w:rsidRPr="007A6FE3">
        <w:t xml:space="preserve">.  The relevant task thus is to identify the service the carrier actually provides to end users.  In doing so, the </w:t>
      </w:r>
      <w:r w:rsidR="005676AC" w:rsidRPr="007A6FE3">
        <w:t xml:space="preserve">Commission </w:t>
      </w:r>
      <w:r w:rsidRPr="007A6FE3">
        <w:t xml:space="preserve">takes a functional approach that evaluates the totality of the circumstances.    </w:t>
      </w:r>
    </w:p>
    <w:p w14:paraId="005FA3E0" w14:textId="77777777" w:rsidR="0047457E" w:rsidRPr="007A6FE3" w:rsidRDefault="00736576" w:rsidP="00227F28">
      <w:pPr>
        <w:pStyle w:val="ParaNum0"/>
        <w:rPr>
          <w:szCs w:val="22"/>
        </w:rPr>
      </w:pPr>
      <w:r w:rsidRPr="007A6FE3">
        <w:t>The value of communications networks derives in significant part from the ability of customers to use these networks as inputs for a wide range of productive activities.</w:t>
      </w:r>
      <w:r w:rsidRPr="007A6FE3">
        <w:rPr>
          <w:rStyle w:val="FootnoteReference"/>
        </w:rPr>
        <w:footnoteReference w:id="230"/>
      </w:r>
      <w:r w:rsidRPr="007A6FE3">
        <w:t xml:space="preserve">  Taking such factors into account when determining whether a service change amounts to a discontinuance, reduction, or impairment helps ensure that the Commission’s discontinuance process fulfills the statutory purpose of section 214, including protecting public safety and consumers.  This is not a new idea.  For example, after Hurricane Sandy substantially destroyed Verizon’s circuit-switched copper telephone network in parts of Fire Island, New York and the New Jersey barrier islands, Verizon proposed to replace the destroyed network with a wireless alternative (i.e., a product called Voice Link).</w:t>
      </w:r>
      <w:r w:rsidRPr="007A6FE3">
        <w:rPr>
          <w:rStyle w:val="FootnoteReference"/>
        </w:rPr>
        <w:footnoteReference w:id="231"/>
      </w:r>
      <w:r w:rsidRPr="007A6FE3">
        <w:t xml:space="preserve">  Verizon filed a section 214 discontinuance application to discontinue its wireline offering in the affected areas.</w:t>
      </w:r>
      <w:r w:rsidRPr="007A6FE3">
        <w:rPr>
          <w:rStyle w:val="FootnoteReference"/>
          <w:szCs w:val="22"/>
        </w:rPr>
        <w:footnoteReference w:id="232"/>
      </w:r>
      <w:r w:rsidRPr="007A6FE3">
        <w:t xml:space="preserve">  Many consumers raised concerns about the loss of “</w:t>
      </w:r>
      <w:r w:rsidRPr="007A6FE3">
        <w:rPr>
          <w:szCs w:val="22"/>
        </w:rPr>
        <w:t>certain third-party services or devices that were designed specifically to work with traditional voice services offered over copper facilities [that] may not be compatible with Voice Link.  This includes fax machines, DVR services, credit card machines, some medical alert devices, and some (but not all) other monitoring systems like alarm systems.”</w:t>
      </w:r>
      <w:r w:rsidRPr="007A6FE3">
        <w:rPr>
          <w:rStyle w:val="FootnoteReference"/>
          <w:szCs w:val="22"/>
        </w:rPr>
        <w:footnoteReference w:id="233"/>
      </w:r>
      <w:r w:rsidRPr="007A6FE3">
        <w:rPr>
          <w:szCs w:val="22"/>
        </w:rPr>
        <w:t xml:space="preserve">  </w:t>
      </w:r>
      <w:r w:rsidRPr="007A6FE3">
        <w:t>Even if the carrier’s tariffs and other materials did not mention such functionalities,</w:t>
      </w:r>
      <w:r w:rsidRPr="007A6FE3">
        <w:rPr>
          <w:rStyle w:val="FootnoteReference"/>
          <w:szCs w:val="22"/>
        </w:rPr>
        <w:footnoteReference w:id="234"/>
      </w:r>
      <w:r w:rsidRPr="007A6FE3">
        <w:t xml:space="preserve"> the practical impact of the proposed service change in Fire Island and the New Jersey barrier islands is relevant to the analysis of Verizon’s section 214 discontinuance application.</w:t>
      </w:r>
      <w:r w:rsidRPr="007A6FE3">
        <w:rPr>
          <w:rStyle w:val="FootnoteReference"/>
          <w:szCs w:val="22"/>
        </w:rPr>
        <w:footnoteReference w:id="235"/>
      </w:r>
      <w:r w:rsidRPr="007A6FE3">
        <w:t xml:space="preserve">  O</w:t>
      </w:r>
      <w:r w:rsidRPr="007A6FE3">
        <w:rPr>
          <w:szCs w:val="22"/>
        </w:rPr>
        <w:t>thers have acknowledged that t</w:t>
      </w:r>
      <w:r w:rsidRPr="007A6FE3">
        <w:t>he ability to use terminal equipment such as fax machines and alarm monitoring systems remain important to many consumers.</w:t>
      </w:r>
      <w:r w:rsidRPr="007A6FE3">
        <w:rPr>
          <w:rStyle w:val="FootnoteReference"/>
          <w:szCs w:val="22"/>
        </w:rPr>
        <w:footnoteReference w:id="236"/>
      </w:r>
      <w:r w:rsidRPr="007A6FE3">
        <w:t xml:space="preserve">  </w:t>
      </w:r>
    </w:p>
    <w:p w14:paraId="701E85BD" w14:textId="77777777" w:rsidR="00E81E44" w:rsidRPr="007A6FE3" w:rsidRDefault="0047457E" w:rsidP="00101FB4">
      <w:pPr>
        <w:pStyle w:val="ParaNum0"/>
        <w:widowControl/>
        <w:rPr>
          <w:szCs w:val="22"/>
        </w:rPr>
      </w:pPr>
      <w:r w:rsidRPr="007A6FE3">
        <w:rPr>
          <w:szCs w:val="22"/>
        </w:rPr>
        <w:t>Indeed, since</w:t>
      </w:r>
      <w:r w:rsidR="00736576" w:rsidRPr="007A6FE3">
        <w:t xml:space="preserve"> its </w:t>
      </w:r>
      <w:r w:rsidR="00736576" w:rsidRPr="007A6FE3">
        <w:rPr>
          <w:i/>
        </w:rPr>
        <w:t>Carterfone</w:t>
      </w:r>
      <w:r w:rsidR="00736576" w:rsidRPr="007A6FE3">
        <w:t xml:space="preserve"> decision, the Commission has acknowledged and supported the ability of consumers to use carriers’ services for purposes beyond those marketed by the carrier—such as </w:t>
      </w:r>
      <w:r w:rsidR="00736576" w:rsidRPr="007A6FE3">
        <w:rPr>
          <w:szCs w:val="22"/>
        </w:rPr>
        <w:t>attaching legal devices to the telephone network unless that equipment would damage the network—and in more recent times has extended this same principle to broadband services and networks.</w:t>
      </w:r>
      <w:r w:rsidR="00736576" w:rsidRPr="007A6FE3">
        <w:rPr>
          <w:rStyle w:val="FootnoteReference"/>
        </w:rPr>
        <w:footnoteReference w:id="237"/>
      </w:r>
      <w:r w:rsidR="00736576" w:rsidRPr="007A6FE3">
        <w:t xml:space="preserve">  </w:t>
      </w:r>
      <w:r w:rsidR="001F43C1" w:rsidRPr="007A6FE3">
        <w:t>An obvious assumption from this principle is that the network would continue its traditional role of permitting such devices to be used.</w:t>
      </w:r>
      <w:r w:rsidR="00182B8C" w:rsidRPr="007A6FE3" w:rsidDel="00182B8C">
        <w:rPr>
          <w:szCs w:val="22"/>
        </w:rPr>
        <w:t xml:space="preserve"> </w:t>
      </w:r>
      <w:r w:rsidR="00CE0027">
        <w:rPr>
          <w:szCs w:val="22"/>
        </w:rPr>
        <w:t xml:space="preserve"> </w:t>
      </w:r>
      <w:r w:rsidR="002F0E91" w:rsidRPr="007A6FE3">
        <w:t xml:space="preserve">If relevant evidence indicates that the “service” provided includes features outside of the tariff definition, the Commission must under section 214(a) treat those features as part of the “service” for which prior approval </w:t>
      </w:r>
      <w:r w:rsidR="00736576" w:rsidRPr="007A6FE3">
        <w:t xml:space="preserve">to discontinue </w:t>
      </w:r>
      <w:r w:rsidR="002F0E91" w:rsidRPr="007A6FE3">
        <w:t>must be sought.  Such an interpretation of “service” under section 214 is supported by the Commission’s approach to common carrier services in other contexts, which has looked beyond the scope of the service as defined by the carrier to other possible uses.</w:t>
      </w:r>
      <w:r w:rsidR="002F0E91" w:rsidRPr="007A6FE3">
        <w:rPr>
          <w:rStyle w:val="FootnoteReference"/>
        </w:rPr>
        <w:footnoteReference w:id="238"/>
      </w:r>
      <w:r w:rsidR="002F0E91" w:rsidRPr="007A6FE3">
        <w:t xml:space="preserve">  </w:t>
      </w:r>
      <w:r w:rsidR="002F0E91" w:rsidRPr="007A6FE3">
        <w:rPr>
          <w:szCs w:val="22"/>
        </w:rPr>
        <w:t xml:space="preserve">In sum, we clarify and reiterate that the </w:t>
      </w:r>
      <w:r w:rsidR="00030A74" w:rsidRPr="007A6FE3">
        <w:rPr>
          <w:szCs w:val="22"/>
        </w:rPr>
        <w:t xml:space="preserve">Commission </w:t>
      </w:r>
      <w:r w:rsidR="002F0E91" w:rsidRPr="007A6FE3">
        <w:rPr>
          <w:szCs w:val="22"/>
        </w:rPr>
        <w:t xml:space="preserve">looks beyond the terms of a carrier’s tariff, and instead </w:t>
      </w:r>
      <w:r w:rsidR="00030A74" w:rsidRPr="007A6FE3">
        <w:rPr>
          <w:szCs w:val="22"/>
        </w:rPr>
        <w:t xml:space="preserve">it </w:t>
      </w:r>
      <w:r w:rsidR="002F0E91" w:rsidRPr="007A6FE3">
        <w:rPr>
          <w:szCs w:val="22"/>
        </w:rPr>
        <w:t>applies a functional test that takes into account the totality of the circumstances</w:t>
      </w:r>
      <w:r w:rsidR="00B6173E" w:rsidRPr="007A6FE3">
        <w:rPr>
          <w:szCs w:val="22"/>
        </w:rPr>
        <w:t xml:space="preserve"> </w:t>
      </w:r>
      <w:r w:rsidR="00B6173E" w:rsidRPr="007A6FE3">
        <w:t>from the perspective of the relevant community or part of a community</w:t>
      </w:r>
      <w:r w:rsidR="002F0E91" w:rsidRPr="007A6FE3">
        <w:rPr>
          <w:szCs w:val="22"/>
        </w:rPr>
        <w:t>, when analyzing whether a service is discontinued, reduced, or impaired under section 214.</w:t>
      </w:r>
      <w:r w:rsidR="00471715" w:rsidRPr="007A6FE3">
        <w:rPr>
          <w:szCs w:val="22"/>
        </w:rPr>
        <w:t xml:space="preserve">  </w:t>
      </w:r>
      <w:r w:rsidR="00736576" w:rsidRPr="007A6FE3">
        <w:rPr>
          <w:szCs w:val="22"/>
        </w:rPr>
        <w:t xml:space="preserve">We also point </w:t>
      </w:r>
      <w:r w:rsidR="00182B8C" w:rsidRPr="007A6FE3">
        <w:rPr>
          <w:szCs w:val="22"/>
        </w:rPr>
        <w:t xml:space="preserve">wireline </w:t>
      </w:r>
      <w:r w:rsidR="00736576" w:rsidRPr="007A6FE3">
        <w:rPr>
          <w:szCs w:val="22"/>
        </w:rPr>
        <w:t>carriers to their obligations under section 68.110(b) of our rules</w:t>
      </w:r>
      <w:r w:rsidR="00182B8C" w:rsidRPr="007A6FE3">
        <w:rPr>
          <w:szCs w:val="22"/>
        </w:rPr>
        <w:t xml:space="preserve"> requiring notice to customers when changes in the provider’s facilities, equipment, operations or procedures “[i]f such changes can be reasonably expected to render any customer’s terminal equipment incompatible with the communications facilities of the provider … or require modification or alteration of such terminal equipment, or otherwise materially affect its use or performance.”</w:t>
      </w:r>
      <w:r w:rsidR="00182B8C" w:rsidRPr="007A6FE3">
        <w:rPr>
          <w:rStyle w:val="FootnoteReference"/>
          <w:szCs w:val="22"/>
        </w:rPr>
        <w:footnoteReference w:id="239"/>
      </w:r>
    </w:p>
    <w:p w14:paraId="5DFD9ACC" w14:textId="111B349F" w:rsidR="002F0E91" w:rsidRPr="007A6FE3" w:rsidRDefault="00E81E44" w:rsidP="00227F28">
      <w:pPr>
        <w:pStyle w:val="ParaNum0"/>
        <w:rPr>
          <w:szCs w:val="22"/>
        </w:rPr>
      </w:pPr>
      <w:r w:rsidRPr="007A6FE3">
        <w:t>One additional point deserves emphasis.  To say that section 214 applies does not mean that section 214 approval will be withheld.  In other words, our interpretation emphatically does not mean that every prior feature no matter how little-used or old-fashioned, must be maintained in perpetuity</w:t>
      </w:r>
      <w:r w:rsidR="005916B4">
        <w:t xml:space="preserve"> </w:t>
      </w:r>
      <w:r w:rsidR="005916B4" w:rsidRPr="00ED79BC">
        <w:t xml:space="preserve">(nor are we saying that section 214(a) always will be triggered by proposed changes to such </w:t>
      </w:r>
      <w:r w:rsidR="005916B4">
        <w:t>prior features, as stated below)</w:t>
      </w:r>
      <w:r w:rsidRPr="007A6FE3">
        <w:t>.  All we are ruling is this:  Congress has written a statute that applies to the practical functionality provided by the</w:t>
      </w:r>
      <w:r w:rsidR="00750431" w:rsidRPr="007A6FE3">
        <w:t xml:space="preserve"> </w:t>
      </w:r>
      <w:r w:rsidRPr="007A6FE3">
        <w:t>network on which consumers have come to rely.  Our obligation is to apply that statute.  But Congress went on to say that the Commission has the power to approve discontinuance of services and, where the statutory standards are met, the Commission will, of course, faithfully discharge that statutory obligation as well.  In this Declaratory Ruling, we simply provide a transparent and</w:t>
      </w:r>
      <w:r w:rsidR="00471715" w:rsidRPr="007A6FE3">
        <w:rPr>
          <w:szCs w:val="22"/>
        </w:rPr>
        <w:t xml:space="preserve"> public process to ensure that the public interest is not harmed by that discontinuance.</w:t>
      </w:r>
    </w:p>
    <w:p w14:paraId="652864FD" w14:textId="77777777" w:rsidR="009A7127" w:rsidRPr="007A6FE3" w:rsidRDefault="007B536F" w:rsidP="00DF7AAE">
      <w:pPr>
        <w:pStyle w:val="ParaNum0"/>
        <w:widowControl/>
        <w:rPr>
          <w:szCs w:val="22"/>
        </w:rPr>
      </w:pPr>
      <w:r w:rsidRPr="007A6FE3">
        <w:rPr>
          <w:szCs w:val="22"/>
        </w:rPr>
        <w:t>Moreover,</w:t>
      </w:r>
      <w:r w:rsidR="0006238F" w:rsidRPr="007A6FE3">
        <w:rPr>
          <w:szCs w:val="22"/>
        </w:rPr>
        <w:t xml:space="preserve"> in clarifying that we take functional approach in this area, we do not mean to suggest that the scope of the term “service” under section 214(a) is limitless. </w:t>
      </w:r>
      <w:r w:rsidRPr="007A6FE3">
        <w:rPr>
          <w:szCs w:val="22"/>
        </w:rPr>
        <w:t xml:space="preserve"> </w:t>
      </w:r>
      <w:r w:rsidR="0006238F" w:rsidRPr="007A6FE3">
        <w:rPr>
          <w:szCs w:val="22"/>
        </w:rPr>
        <w:t xml:space="preserve">Not every functionality supported by a network is de facto </w:t>
      </w:r>
      <w:r w:rsidRPr="007A6FE3">
        <w:rPr>
          <w:szCs w:val="22"/>
        </w:rPr>
        <w:t xml:space="preserve">a part of a carrier’s “service.” </w:t>
      </w:r>
      <w:r w:rsidR="0006238F" w:rsidRPr="007A6FE3">
        <w:rPr>
          <w:szCs w:val="22"/>
        </w:rPr>
        <w:t xml:space="preserve"> An important factor in this analysis is the extent to which the functionality traditionally has been relied upon by the community.</w:t>
      </w:r>
    </w:p>
    <w:p w14:paraId="59B738CB" w14:textId="77777777" w:rsidR="00BE6E64" w:rsidRPr="007A6FE3" w:rsidRDefault="00BE6E64" w:rsidP="00BE6E64">
      <w:pPr>
        <w:pStyle w:val="Heading1"/>
      </w:pPr>
      <w:bookmarkStart w:id="472" w:name="_Toc399947726"/>
      <w:bookmarkStart w:id="473" w:name="_Toc400554034"/>
      <w:bookmarkStart w:id="474" w:name="_Toc400566843"/>
      <w:bookmarkStart w:id="475" w:name="_Toc400711713"/>
      <w:bookmarkStart w:id="476" w:name="_Toc400719663"/>
      <w:bookmarkStart w:id="477" w:name="_Toc401299438"/>
      <w:bookmarkStart w:id="478" w:name="_Toc401307003"/>
      <w:bookmarkStart w:id="479" w:name="_Toc401595637"/>
      <w:bookmarkStart w:id="480" w:name="_Toc401658194"/>
      <w:bookmarkStart w:id="481" w:name="_Toc401821696"/>
      <w:bookmarkStart w:id="482" w:name="_Toc401912164"/>
      <w:bookmarkStart w:id="483" w:name="_Toc402255418"/>
      <w:bookmarkStart w:id="484" w:name="_Toc402276201"/>
      <w:bookmarkStart w:id="485" w:name="_Toc402360443"/>
      <w:bookmarkStart w:id="486" w:name="_Toc402511505"/>
      <w:bookmarkStart w:id="487" w:name="_Toc403566414"/>
      <w:bookmarkStart w:id="488" w:name="_Toc404072125"/>
      <w:bookmarkStart w:id="489" w:name="_Toc404081321"/>
      <w:bookmarkStart w:id="490" w:name="_Toc404165800"/>
      <w:bookmarkStart w:id="491" w:name="_Toc404165878"/>
      <w:bookmarkStart w:id="492" w:name="_Toc404172434"/>
      <w:bookmarkStart w:id="493" w:name="_Toc404181488"/>
      <w:bookmarkStart w:id="494" w:name="_Toc404183081"/>
      <w:bookmarkStart w:id="495" w:name="_Toc404246626"/>
      <w:r w:rsidRPr="007A6FE3">
        <w:t>PROCEDURAL MATTERS</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14:paraId="650A9963" w14:textId="77777777" w:rsidR="00BE6E64" w:rsidRPr="007A6FE3" w:rsidRDefault="00BE6E64" w:rsidP="00BE6E64">
      <w:pPr>
        <w:pStyle w:val="Heading2"/>
      </w:pPr>
      <w:bookmarkStart w:id="496" w:name="_Toc399947727"/>
      <w:bookmarkStart w:id="497" w:name="_Toc400554035"/>
      <w:bookmarkStart w:id="498" w:name="_Toc400566844"/>
      <w:bookmarkStart w:id="499" w:name="_Toc400711714"/>
      <w:bookmarkStart w:id="500" w:name="_Toc400719664"/>
      <w:bookmarkStart w:id="501" w:name="_Toc401299439"/>
      <w:bookmarkStart w:id="502" w:name="_Toc401307004"/>
      <w:bookmarkStart w:id="503" w:name="_Toc401329835"/>
      <w:bookmarkStart w:id="504" w:name="_Toc401595638"/>
      <w:bookmarkStart w:id="505" w:name="_Toc401658195"/>
      <w:bookmarkStart w:id="506" w:name="_Toc401821697"/>
      <w:bookmarkStart w:id="507" w:name="_Toc401912165"/>
      <w:bookmarkStart w:id="508" w:name="_Toc402255419"/>
      <w:bookmarkStart w:id="509" w:name="_Toc402276202"/>
      <w:bookmarkStart w:id="510" w:name="_Toc402360444"/>
      <w:bookmarkStart w:id="511" w:name="_Toc402511506"/>
      <w:bookmarkStart w:id="512" w:name="_Toc403566415"/>
      <w:bookmarkStart w:id="513" w:name="_Toc404072126"/>
      <w:bookmarkStart w:id="514" w:name="_Toc404081322"/>
      <w:bookmarkStart w:id="515" w:name="_Toc404165801"/>
      <w:bookmarkStart w:id="516" w:name="_Toc404165879"/>
      <w:bookmarkStart w:id="517" w:name="_Toc404172435"/>
      <w:bookmarkStart w:id="518" w:name="_Toc404181489"/>
      <w:bookmarkStart w:id="519" w:name="_Toc404183082"/>
      <w:bookmarkStart w:id="520" w:name="_Toc404246627"/>
      <w:r w:rsidRPr="007A6FE3">
        <w:rPr>
          <w:i/>
        </w:rPr>
        <w:t>Ex Parte</w:t>
      </w:r>
      <w:r w:rsidRPr="007A6FE3">
        <w:t xml:space="preserve"> Presentations</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 w14:paraId="62AB5C68" w14:textId="77777777" w:rsidR="00A926F6" w:rsidRPr="007A6FE3" w:rsidRDefault="00A926F6" w:rsidP="0038375E">
      <w:pPr>
        <w:pStyle w:val="ParaNum0"/>
        <w:widowControl/>
        <w:rPr>
          <w:szCs w:val="22"/>
        </w:rPr>
      </w:pPr>
      <w:bookmarkStart w:id="521" w:name="_Ref378852213"/>
      <w:r w:rsidRPr="007A6FE3">
        <w:rPr>
          <w:szCs w:val="22"/>
        </w:rPr>
        <w:t xml:space="preserve">The proceeding this Notice initiates shall be treated as a “permit-but-disclose” proceeding in accordance with the Commission’s </w:t>
      </w:r>
      <w:r w:rsidRPr="007A6FE3">
        <w:rPr>
          <w:i/>
          <w:iCs/>
          <w:szCs w:val="22"/>
        </w:rPr>
        <w:t xml:space="preserve">ex parte </w:t>
      </w:r>
      <w:r w:rsidRPr="007A6FE3">
        <w:rPr>
          <w:szCs w:val="22"/>
        </w:rPr>
        <w:t>rules.</w:t>
      </w:r>
      <w:r w:rsidRPr="007A6FE3">
        <w:rPr>
          <w:rStyle w:val="FootnoteReference"/>
          <w:szCs w:val="22"/>
        </w:rPr>
        <w:footnoteReference w:id="240"/>
      </w:r>
      <w:r w:rsidRPr="007A6FE3">
        <w:rPr>
          <w:szCs w:val="22"/>
        </w:rPr>
        <w:t xml:space="preserve">  Persons making </w:t>
      </w:r>
      <w:r w:rsidRPr="007A6FE3">
        <w:rPr>
          <w:i/>
          <w:szCs w:val="22"/>
        </w:rPr>
        <w:t xml:space="preserve">ex parte </w:t>
      </w:r>
      <w:r w:rsidRPr="007A6FE3">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7A6FE3">
        <w:rPr>
          <w:i/>
          <w:iCs/>
          <w:szCs w:val="22"/>
        </w:rPr>
        <w:t xml:space="preserve">ex parte </w:t>
      </w:r>
      <w:r w:rsidRPr="007A6FE3">
        <w:rPr>
          <w:szCs w:val="22"/>
        </w:rPr>
        <w:t xml:space="preserve">presentations are reminded that memoranda summarizing the presentation must (1) list all persons attending or otherwise participating in the meeting at which the </w:t>
      </w:r>
      <w:r w:rsidRPr="007A6FE3">
        <w:rPr>
          <w:i/>
          <w:iCs/>
          <w:szCs w:val="22"/>
        </w:rPr>
        <w:t xml:space="preserve">ex parte </w:t>
      </w:r>
      <w:r w:rsidRPr="007A6FE3">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w:t>
      </w:r>
      <w:r w:rsidRPr="007A6FE3">
        <w:t>data</w:t>
      </w:r>
      <w:r w:rsidRPr="007A6FE3">
        <w:rPr>
          <w:szCs w:val="22"/>
        </w:rPr>
        <w:t xml:space="preserve">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7A6FE3">
        <w:rPr>
          <w:i/>
          <w:iCs/>
          <w:szCs w:val="22"/>
        </w:rPr>
        <w:t xml:space="preserve">ex parte </w:t>
      </w:r>
      <w:r w:rsidRPr="007A6FE3">
        <w:rPr>
          <w:szCs w:val="22"/>
        </w:rPr>
        <w:t xml:space="preserve">meetings are deemed to be written </w:t>
      </w:r>
      <w:r w:rsidRPr="007A6FE3">
        <w:rPr>
          <w:i/>
          <w:iCs/>
          <w:szCs w:val="22"/>
        </w:rPr>
        <w:t>ex parte</w:t>
      </w:r>
      <w:r w:rsidRPr="007A6FE3">
        <w:rPr>
          <w:szCs w:val="22"/>
        </w:rPr>
        <w:t xml:space="preserve"> presentations and must be filed consistent with rule 1.1206(b).  In proceedings governed by rule 1.49(f) or for which the Commission has made available a method of electronic filing, written </w:t>
      </w:r>
      <w:r w:rsidRPr="007A6FE3">
        <w:rPr>
          <w:i/>
          <w:iCs/>
          <w:szCs w:val="22"/>
        </w:rPr>
        <w:t xml:space="preserve">ex parte </w:t>
      </w:r>
      <w:r w:rsidRPr="007A6FE3">
        <w:rPr>
          <w:szCs w:val="22"/>
        </w:rPr>
        <w:t xml:space="preserve">presentations and memoranda summarizing oral </w:t>
      </w:r>
      <w:r w:rsidRPr="007A6FE3">
        <w:rPr>
          <w:i/>
          <w:iCs/>
          <w:szCs w:val="22"/>
        </w:rPr>
        <w:t xml:space="preserve">ex parte </w:t>
      </w:r>
      <w:r w:rsidRPr="007A6FE3">
        <w:rPr>
          <w:szCs w:val="22"/>
        </w:rPr>
        <w:t>presentations, and all attachments thereto, must be filed through the electronic comment filing system available for that proceeding, and must be filed in their native format (</w:t>
      </w:r>
      <w:r w:rsidR="00B63419" w:rsidRPr="007A6FE3">
        <w:rPr>
          <w:iCs/>
          <w:szCs w:val="22"/>
        </w:rPr>
        <w:t>e.g.</w:t>
      </w:r>
      <w:r w:rsidRPr="007A6FE3">
        <w:rPr>
          <w:szCs w:val="22"/>
        </w:rPr>
        <w:t xml:space="preserve">, .doc, .xml, .ppt, searchable .pdf).  Participants in this proceeding should familiarize themselves with the Commission’s </w:t>
      </w:r>
      <w:r w:rsidRPr="007A6FE3">
        <w:rPr>
          <w:i/>
          <w:iCs/>
          <w:szCs w:val="22"/>
        </w:rPr>
        <w:t xml:space="preserve">ex parte </w:t>
      </w:r>
      <w:r w:rsidRPr="007A6FE3">
        <w:rPr>
          <w:szCs w:val="22"/>
        </w:rPr>
        <w:t>rules.</w:t>
      </w:r>
      <w:bookmarkEnd w:id="521"/>
    </w:p>
    <w:p w14:paraId="6304DBC5" w14:textId="77777777" w:rsidR="00A926F6" w:rsidRPr="007A6FE3" w:rsidRDefault="00A926F6" w:rsidP="00A926F6">
      <w:pPr>
        <w:pStyle w:val="Heading2"/>
        <w:rPr>
          <w:szCs w:val="22"/>
        </w:rPr>
      </w:pPr>
      <w:bookmarkStart w:id="522" w:name="_Toc378924175"/>
      <w:bookmarkStart w:id="523" w:name="_Toc378927763"/>
      <w:bookmarkStart w:id="524" w:name="_Toc378928508"/>
      <w:bookmarkStart w:id="525" w:name="_Toc399947728"/>
      <w:bookmarkStart w:id="526" w:name="_Toc400554036"/>
      <w:bookmarkStart w:id="527" w:name="_Toc400566845"/>
      <w:bookmarkStart w:id="528" w:name="_Toc400711715"/>
      <w:bookmarkStart w:id="529" w:name="_Toc400719665"/>
      <w:bookmarkStart w:id="530" w:name="_Toc401299440"/>
      <w:bookmarkStart w:id="531" w:name="_Toc401307005"/>
      <w:bookmarkStart w:id="532" w:name="_Toc401329836"/>
      <w:bookmarkStart w:id="533" w:name="_Toc401595639"/>
      <w:bookmarkStart w:id="534" w:name="_Toc401658196"/>
      <w:bookmarkStart w:id="535" w:name="_Toc401821698"/>
      <w:bookmarkStart w:id="536" w:name="_Toc401912166"/>
      <w:bookmarkStart w:id="537" w:name="_Toc402255420"/>
      <w:bookmarkStart w:id="538" w:name="_Toc402276203"/>
      <w:bookmarkStart w:id="539" w:name="_Toc402360445"/>
      <w:bookmarkStart w:id="540" w:name="_Toc402511507"/>
      <w:bookmarkStart w:id="541" w:name="_Toc403566416"/>
      <w:bookmarkStart w:id="542" w:name="_Toc404072127"/>
      <w:bookmarkStart w:id="543" w:name="_Toc404081323"/>
      <w:bookmarkStart w:id="544" w:name="_Toc404165802"/>
      <w:bookmarkStart w:id="545" w:name="_Toc404165880"/>
      <w:bookmarkStart w:id="546" w:name="_Toc404172436"/>
      <w:bookmarkStart w:id="547" w:name="_Toc404181490"/>
      <w:bookmarkStart w:id="548" w:name="_Toc404183083"/>
      <w:bookmarkStart w:id="549" w:name="_Toc404246628"/>
      <w:r w:rsidRPr="007A6FE3">
        <w:rPr>
          <w:szCs w:val="22"/>
        </w:rPr>
        <w:t xml:space="preserve">Filing </w:t>
      </w:r>
      <w:r w:rsidRPr="007A6FE3">
        <w:t>Instructions</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p w14:paraId="4C6FF42D" w14:textId="4D9774FB" w:rsidR="00A926F6" w:rsidRPr="007A6FE3" w:rsidRDefault="00A926F6" w:rsidP="00227F28">
      <w:pPr>
        <w:pStyle w:val="ParaNum0"/>
        <w:rPr>
          <w:szCs w:val="22"/>
        </w:rPr>
      </w:pPr>
      <w:r w:rsidRPr="007A6FE3">
        <w:rPr>
          <w:szCs w:val="22"/>
        </w:rPr>
        <w:t>Pursuant to sections 1.415 and 1.419 of the Commission’s rules,</w:t>
      </w:r>
      <w:r w:rsidR="00DF7AAE">
        <w:rPr>
          <w:rStyle w:val="FootnoteReference"/>
          <w:szCs w:val="22"/>
        </w:rPr>
        <w:footnoteReference w:id="241"/>
      </w:r>
      <w:r w:rsidRPr="007A6FE3">
        <w:rPr>
          <w:szCs w:val="22"/>
        </w:rPr>
        <w:t xml:space="preserve"> interested parties may file comments and reply comments on or before the dates indicated on the first page of this document.  Comments may be filed </w:t>
      </w:r>
      <w:r w:rsidR="00DF7AAE">
        <w:rPr>
          <w:szCs w:val="22"/>
        </w:rPr>
        <w:t xml:space="preserve">by paper or by </w:t>
      </w:r>
      <w:r w:rsidRPr="007A6FE3">
        <w:rPr>
          <w:szCs w:val="22"/>
        </w:rPr>
        <w:t>using the Commission’s Electronic Comment Filing System (ECFS).</w:t>
      </w:r>
      <w:r w:rsidR="00DF7AAE">
        <w:rPr>
          <w:rStyle w:val="FootnoteReference"/>
          <w:szCs w:val="22"/>
        </w:rPr>
        <w:footnoteReference w:id="242"/>
      </w:r>
      <w:r w:rsidRPr="007A6FE3">
        <w:rPr>
          <w:szCs w:val="22"/>
        </w:rPr>
        <w:t xml:space="preserve">  </w:t>
      </w:r>
    </w:p>
    <w:p w14:paraId="7DF7337E" w14:textId="6B3F247D" w:rsidR="00A926F6" w:rsidRPr="007A6FE3" w:rsidRDefault="00A926F6" w:rsidP="00A926F6">
      <w:pPr>
        <w:numPr>
          <w:ilvl w:val="0"/>
          <w:numId w:val="6"/>
        </w:numPr>
        <w:spacing w:after="200"/>
        <w:rPr>
          <w:szCs w:val="22"/>
        </w:rPr>
      </w:pPr>
      <w:r w:rsidRPr="007A6FE3">
        <w:rPr>
          <w:szCs w:val="22"/>
        </w:rPr>
        <w:t xml:space="preserve">Electronic Filers:  Comments may be filed electronically using the Internet by accessing the ECFS:  </w:t>
      </w:r>
      <w:hyperlink r:id="rId8" w:history="1">
        <w:r w:rsidRPr="007A6FE3">
          <w:rPr>
            <w:rStyle w:val="Hyperlink"/>
            <w:szCs w:val="22"/>
          </w:rPr>
          <w:t>http://fjallfoss.fcc.gov/ecfs2/</w:t>
        </w:r>
      </w:hyperlink>
      <w:r w:rsidRPr="007A6FE3">
        <w:rPr>
          <w:szCs w:val="22"/>
        </w:rPr>
        <w:t xml:space="preserve">.  </w:t>
      </w:r>
    </w:p>
    <w:p w14:paraId="244A4365" w14:textId="4FF65321" w:rsidR="00A926F6" w:rsidRPr="00DF7AAE" w:rsidRDefault="00A926F6" w:rsidP="00A926F6">
      <w:pPr>
        <w:numPr>
          <w:ilvl w:val="0"/>
          <w:numId w:val="4"/>
        </w:numPr>
        <w:spacing w:after="200"/>
        <w:rPr>
          <w:szCs w:val="22"/>
        </w:rPr>
      </w:pPr>
      <w:r w:rsidRPr="00DF7AAE">
        <w:rPr>
          <w:szCs w:val="22"/>
        </w:rPr>
        <w:t xml:space="preserve">Paper Filers:  Parties who choose to file by paper must file an original and one copy of each filing.  </w:t>
      </w:r>
      <w:r w:rsidR="00DF7AAE" w:rsidRPr="00DF7AAE">
        <w:rPr>
          <w:szCs w:val="22"/>
        </w:rPr>
        <w:t>Because</w:t>
      </w:r>
      <w:r w:rsidRPr="00DF7AAE">
        <w:rPr>
          <w:szCs w:val="22"/>
        </w:rPr>
        <w:t xml:space="preserve"> more than one docket or rulemaking number appears in the caption of this proceeding, filers must submit two additional copies for each additional docket or rulemaking number.</w:t>
      </w:r>
      <w:r w:rsidR="00DF7AAE" w:rsidRPr="00DF7AAE">
        <w:rPr>
          <w:szCs w:val="22"/>
        </w:rPr>
        <w:t xml:space="preserve">  </w:t>
      </w:r>
      <w:r w:rsidRPr="00DF7AAE">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14:paraId="500850C2" w14:textId="77777777" w:rsidR="00A926F6" w:rsidRPr="007A6FE3" w:rsidRDefault="00A926F6" w:rsidP="00135367">
      <w:pPr>
        <w:widowControl/>
        <w:numPr>
          <w:ilvl w:val="0"/>
          <w:numId w:val="5"/>
        </w:numPr>
        <w:spacing w:after="200"/>
        <w:rPr>
          <w:szCs w:val="22"/>
        </w:rPr>
      </w:pPr>
      <w:r w:rsidRPr="007A6FE3">
        <w:rPr>
          <w:szCs w:val="22"/>
        </w:rPr>
        <w:t>All hand-delivered or messenger-delivered paper filings for the Commission’s Secretary must be delivered to FCC Headquarters at 445 12</w:t>
      </w:r>
      <w:r w:rsidRPr="007A6FE3">
        <w:rPr>
          <w:szCs w:val="22"/>
          <w:vertAlign w:val="superscript"/>
        </w:rPr>
        <w:t>th</w:t>
      </w:r>
      <w:r w:rsidRPr="007A6FE3">
        <w:rPr>
          <w:szCs w:val="22"/>
        </w:rPr>
        <w:t xml:space="preserve"> St., SW, Room TW-A325, Washington, DC 20554.  The filing hours are 8:00 a.m. to 7:00 p.m.  All hand deliveries must be held together with rubber bands or fasteners.  Any envelopes and boxes must be disposed of </w:t>
      </w:r>
      <w:r w:rsidRPr="007A6FE3">
        <w:rPr>
          <w:szCs w:val="22"/>
          <w:u w:val="single"/>
        </w:rPr>
        <w:t>before</w:t>
      </w:r>
      <w:r w:rsidRPr="007A6FE3">
        <w:rPr>
          <w:szCs w:val="22"/>
        </w:rPr>
        <w:t xml:space="preserve"> entering the building.  </w:t>
      </w:r>
    </w:p>
    <w:p w14:paraId="6A0EFEDC" w14:textId="77777777" w:rsidR="00A926F6" w:rsidRPr="007A6FE3" w:rsidRDefault="00A926F6" w:rsidP="00A926F6">
      <w:pPr>
        <w:numPr>
          <w:ilvl w:val="0"/>
          <w:numId w:val="5"/>
        </w:numPr>
        <w:spacing w:after="200"/>
        <w:rPr>
          <w:szCs w:val="22"/>
        </w:rPr>
      </w:pPr>
      <w:r w:rsidRPr="007A6FE3">
        <w:rPr>
          <w:szCs w:val="22"/>
        </w:rPr>
        <w:t>Commercial overnight mail (other than U.S. Postal Service Express Mail and Priority Mail) must be sent to 9300 East Hampton Drive, Capitol Heights, MD  20743.</w:t>
      </w:r>
    </w:p>
    <w:p w14:paraId="5C543CB3" w14:textId="77777777" w:rsidR="00A926F6" w:rsidRPr="007A6FE3" w:rsidRDefault="00A926F6" w:rsidP="00A926F6">
      <w:pPr>
        <w:numPr>
          <w:ilvl w:val="0"/>
          <w:numId w:val="5"/>
        </w:numPr>
        <w:spacing w:after="200"/>
        <w:rPr>
          <w:szCs w:val="22"/>
        </w:rPr>
      </w:pPr>
      <w:r w:rsidRPr="007A6FE3">
        <w:rPr>
          <w:szCs w:val="22"/>
        </w:rPr>
        <w:t>U.S. Postal Service first-class, Express, and Priority mail must be addressed to 445 12</w:t>
      </w:r>
      <w:r w:rsidRPr="007A6FE3">
        <w:rPr>
          <w:szCs w:val="22"/>
          <w:vertAlign w:val="superscript"/>
        </w:rPr>
        <w:t>th</w:t>
      </w:r>
      <w:r w:rsidRPr="007A6FE3">
        <w:rPr>
          <w:szCs w:val="22"/>
        </w:rPr>
        <w:t xml:space="preserve"> Street, SW, Washington DC  20554.</w:t>
      </w:r>
    </w:p>
    <w:p w14:paraId="26A985C2" w14:textId="77777777" w:rsidR="00A926F6" w:rsidRPr="007A6FE3" w:rsidRDefault="00A926F6" w:rsidP="00A926F6">
      <w:pPr>
        <w:spacing w:after="200"/>
        <w:rPr>
          <w:szCs w:val="22"/>
        </w:rPr>
      </w:pPr>
      <w:r w:rsidRPr="007A6FE3">
        <w:rPr>
          <w:szCs w:val="22"/>
        </w:rPr>
        <w:t>People with Disabilities:  To request materials in accessible formats for people with disabilities (braille, large print, electronic files, audio format), send an e-mail to fcc504@fcc.gov or call the Consumer &amp; Governmental Affairs Bureau at 202-418-0530 (voice), 202-418-0432 (tty).</w:t>
      </w:r>
    </w:p>
    <w:p w14:paraId="507D1813" w14:textId="77777777" w:rsidR="00A926F6" w:rsidRPr="007A6FE3" w:rsidRDefault="00A926F6" w:rsidP="00A926F6">
      <w:pPr>
        <w:pStyle w:val="Heading2"/>
        <w:rPr>
          <w:szCs w:val="22"/>
        </w:rPr>
      </w:pPr>
      <w:bookmarkStart w:id="550" w:name="_Toc399947729"/>
      <w:bookmarkStart w:id="551" w:name="_Toc400554037"/>
      <w:bookmarkStart w:id="552" w:name="_Toc400566846"/>
      <w:bookmarkStart w:id="553" w:name="_Toc400711716"/>
      <w:bookmarkStart w:id="554" w:name="_Toc400719666"/>
      <w:bookmarkStart w:id="555" w:name="_Toc401299441"/>
      <w:bookmarkStart w:id="556" w:name="_Toc401307006"/>
      <w:bookmarkStart w:id="557" w:name="_Toc401329837"/>
      <w:bookmarkStart w:id="558" w:name="_Toc401595640"/>
      <w:bookmarkStart w:id="559" w:name="_Toc401658197"/>
      <w:bookmarkStart w:id="560" w:name="_Toc401821699"/>
      <w:bookmarkStart w:id="561" w:name="_Toc401912167"/>
      <w:bookmarkStart w:id="562" w:name="_Toc402255421"/>
      <w:bookmarkStart w:id="563" w:name="_Toc402276204"/>
      <w:bookmarkStart w:id="564" w:name="_Toc402360446"/>
      <w:bookmarkStart w:id="565" w:name="_Toc402511508"/>
      <w:bookmarkStart w:id="566" w:name="_Toc403566417"/>
      <w:bookmarkStart w:id="567" w:name="_Toc404072128"/>
      <w:bookmarkStart w:id="568" w:name="_Toc404081324"/>
      <w:bookmarkStart w:id="569" w:name="_Toc404165803"/>
      <w:bookmarkStart w:id="570" w:name="_Toc404165881"/>
      <w:bookmarkStart w:id="571" w:name="_Toc404172437"/>
      <w:bookmarkStart w:id="572" w:name="_Toc404181491"/>
      <w:bookmarkStart w:id="573" w:name="_Toc404183084"/>
      <w:bookmarkStart w:id="574" w:name="_Toc404246629"/>
      <w:r w:rsidRPr="007A6FE3">
        <w:rPr>
          <w:szCs w:val="22"/>
        </w:rPr>
        <w:t>Paperwork Reduction Act</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p>
    <w:p w14:paraId="6A117E5F" w14:textId="77777777" w:rsidR="00203C1F" w:rsidRPr="007A6FE3" w:rsidRDefault="00A926F6" w:rsidP="00227F28">
      <w:pPr>
        <w:pStyle w:val="ParaNum0"/>
        <w:rPr>
          <w:szCs w:val="22"/>
        </w:rPr>
      </w:pPr>
      <w:r w:rsidRPr="007A6FE3">
        <w:t xml:space="preserve">This document contains proposed new </w:t>
      </w:r>
      <w:r w:rsidR="00FB27CE" w:rsidRPr="007A6FE3">
        <w:t>and</w:t>
      </w:r>
      <w:r w:rsidRPr="007A6FE3">
        <w:t xml:space="preserve"> modified information collection requirements. </w:t>
      </w:r>
      <w:r w:rsidR="00CE0027">
        <w:t xml:space="preserve"> </w:t>
      </w:r>
      <w:r w:rsidRPr="007A6FE3">
        <w:t xml:space="preserve">The Commission, as part of </w:t>
      </w:r>
      <w:r w:rsidRPr="007A6FE3">
        <w:rPr>
          <w:szCs w:val="22"/>
        </w:rPr>
        <w:t>its</w:t>
      </w:r>
      <w:r w:rsidRPr="007A6FE3">
        <w:t xml:space="preserve"> continuing effort to reduce paperwork burdens, invites the general public and the Office of </w:t>
      </w:r>
      <w:r w:rsidRPr="007A6FE3">
        <w:rPr>
          <w:szCs w:val="22"/>
        </w:rPr>
        <w:t>Management</w:t>
      </w:r>
      <w:r w:rsidRPr="007A6FE3">
        <w:t xml:space="preserve"> and Budget (OMB) to comment on the information collection requirements contained in this document, as required by the Paperwork Reduction Act of 1995, Public Law 104-13</w:t>
      </w:r>
      <w:r w:rsidR="00203C1F" w:rsidRPr="007A6FE3">
        <w:t xml:space="preserve"> (the PRA)</w:t>
      </w:r>
      <w:r w:rsidRPr="007A6FE3">
        <w:t xml:space="preserve">. In addition, pursuant to the Small Business </w:t>
      </w:r>
      <w:r w:rsidRPr="007A6FE3">
        <w:rPr>
          <w:szCs w:val="22"/>
        </w:rPr>
        <w:t>Paperwork</w:t>
      </w:r>
      <w:r w:rsidRPr="007A6FE3">
        <w:t xml:space="preserve"> Relief Act of 2002, Public Law 107-198, </w:t>
      </w:r>
      <w:r w:rsidRPr="007A6FE3">
        <w:rPr>
          <w:i/>
          <w:iCs/>
        </w:rPr>
        <w:t>see</w:t>
      </w:r>
      <w:r w:rsidRPr="007A6FE3">
        <w:t xml:space="preserve"> 44 U.S.C. 3506(c)(4), we seek specific comment on how we might further reduce the information collection burden for small business concerns with fewer than 25 employees."</w:t>
      </w:r>
      <w:r w:rsidR="00C50B1F" w:rsidRPr="007A6FE3">
        <w:t xml:space="preserve">  </w:t>
      </w:r>
    </w:p>
    <w:p w14:paraId="3C29EAD0" w14:textId="77777777" w:rsidR="00A926F6" w:rsidRPr="007A6FE3" w:rsidRDefault="00A926F6" w:rsidP="00A926F6">
      <w:pPr>
        <w:pStyle w:val="Heading2"/>
      </w:pPr>
      <w:bookmarkStart w:id="575" w:name="_Toc399947731"/>
      <w:bookmarkStart w:id="576" w:name="_Toc400554039"/>
      <w:bookmarkStart w:id="577" w:name="_Toc400566848"/>
      <w:bookmarkStart w:id="578" w:name="_Toc400711718"/>
      <w:bookmarkStart w:id="579" w:name="_Toc400719668"/>
      <w:bookmarkStart w:id="580" w:name="_Toc401299443"/>
      <w:bookmarkStart w:id="581" w:name="_Toc401307008"/>
      <w:bookmarkStart w:id="582" w:name="_Toc401329839"/>
      <w:bookmarkStart w:id="583" w:name="_Toc401595642"/>
      <w:bookmarkStart w:id="584" w:name="_Toc401658199"/>
      <w:bookmarkStart w:id="585" w:name="_Toc401821701"/>
      <w:bookmarkStart w:id="586" w:name="_Toc401912169"/>
      <w:bookmarkStart w:id="587" w:name="_Toc402255423"/>
      <w:bookmarkStart w:id="588" w:name="_Toc402276206"/>
      <w:bookmarkStart w:id="589" w:name="_Toc402360448"/>
      <w:bookmarkStart w:id="590" w:name="_Toc402511510"/>
      <w:bookmarkStart w:id="591" w:name="_Toc403566419"/>
      <w:bookmarkStart w:id="592" w:name="_Toc404072130"/>
      <w:bookmarkStart w:id="593" w:name="_Toc404081326"/>
      <w:bookmarkStart w:id="594" w:name="_Toc404165805"/>
      <w:bookmarkStart w:id="595" w:name="_Toc404165883"/>
      <w:bookmarkStart w:id="596" w:name="_Toc404172438"/>
      <w:bookmarkStart w:id="597" w:name="_Toc404181492"/>
      <w:bookmarkStart w:id="598" w:name="_Toc404183085"/>
      <w:bookmarkStart w:id="599" w:name="_Toc404246631"/>
      <w:r w:rsidRPr="007A6FE3">
        <w:rPr>
          <w:szCs w:val="22"/>
        </w:rPr>
        <w:t>Regulatory Flexibility</w:t>
      </w:r>
      <w:r w:rsidRPr="007A6FE3">
        <w:t xml:space="preserve"> Act</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14:paraId="2F220169" w14:textId="1717A24F" w:rsidR="00BE6E64" w:rsidRPr="007A6FE3" w:rsidRDefault="00BC130A" w:rsidP="00227F28">
      <w:pPr>
        <w:pStyle w:val="ParaNum0"/>
      </w:pPr>
      <w:r w:rsidRPr="007A6FE3">
        <w:t>As required by the Regulatory Flexibility Act of 1980 (RFA),</w:t>
      </w:r>
      <w:r w:rsidRPr="007A6FE3">
        <w:rPr>
          <w:vertAlign w:val="superscript"/>
        </w:rPr>
        <w:footnoteReference w:id="243"/>
      </w:r>
      <w:r w:rsidRPr="007A6FE3">
        <w:rPr>
          <w:vertAlign w:val="superscript"/>
        </w:rPr>
        <w:t xml:space="preserve"> </w:t>
      </w:r>
      <w:r w:rsidRPr="007A6FE3">
        <w:t xml:space="preserve">the Commission has prepared an Initial Regulatory Flexibility Analysis (IRFA) of the possible significant economic impact on small entities of the policies and rules proposed in the Notice.  The analysis is found in Appendix </w:t>
      </w:r>
      <w:r w:rsidR="00103499" w:rsidRPr="007A6FE3">
        <w:t>B</w:t>
      </w:r>
      <w:r w:rsidRPr="007A6FE3">
        <w:t xml:space="preserve">.  We request written public comment on the analysis.  Comments must be filed in accordance with the same deadlines as comments filed in response </w:t>
      </w:r>
      <w:r w:rsidRPr="007A6FE3">
        <w:rPr>
          <w:szCs w:val="22"/>
        </w:rPr>
        <w:t>to</w:t>
      </w:r>
      <w:r w:rsidRPr="007A6FE3">
        <w:t xml:space="preserve"> the Notice and must have a separate and distinct heading designating them as responses to the IRFA.  The Commission’s Consumer and Governmental Affairs Bureau, Reference Information Center, will send a copy of this Notice of Proposed Rulemaking</w:t>
      </w:r>
      <w:r w:rsidR="00644CB2">
        <w:t xml:space="preserve"> and</w:t>
      </w:r>
      <w:r w:rsidRPr="007A6FE3">
        <w:t xml:space="preserve"> Declaratory Ruling, including the IRFA, to the Chief Counsel for Advocacy of the Small Business Administration.</w:t>
      </w:r>
    </w:p>
    <w:p w14:paraId="469CD670" w14:textId="77777777" w:rsidR="002C00E8" w:rsidRPr="007A6FE3" w:rsidRDefault="00BE6E64" w:rsidP="00557578">
      <w:pPr>
        <w:pStyle w:val="Heading1"/>
      </w:pPr>
      <w:bookmarkStart w:id="600" w:name="_Toc399947732"/>
      <w:bookmarkStart w:id="601" w:name="_Toc400554040"/>
      <w:bookmarkStart w:id="602" w:name="_Toc400566849"/>
      <w:bookmarkStart w:id="603" w:name="_Toc400711719"/>
      <w:bookmarkStart w:id="604" w:name="_Toc400719669"/>
      <w:bookmarkStart w:id="605" w:name="_Toc401299444"/>
      <w:bookmarkStart w:id="606" w:name="_Toc401307009"/>
      <w:bookmarkStart w:id="607" w:name="_Toc401595643"/>
      <w:bookmarkStart w:id="608" w:name="_Toc401658200"/>
      <w:bookmarkStart w:id="609" w:name="_Toc401821702"/>
      <w:bookmarkStart w:id="610" w:name="_Toc401912170"/>
      <w:bookmarkStart w:id="611" w:name="_Toc402255424"/>
      <w:bookmarkStart w:id="612" w:name="_Toc402276207"/>
      <w:bookmarkStart w:id="613" w:name="_Toc402360449"/>
      <w:bookmarkStart w:id="614" w:name="_Toc402511511"/>
      <w:bookmarkStart w:id="615" w:name="_Toc403566420"/>
      <w:bookmarkStart w:id="616" w:name="_Toc404072131"/>
      <w:bookmarkStart w:id="617" w:name="_Toc404081327"/>
      <w:bookmarkStart w:id="618" w:name="_Toc404165806"/>
      <w:bookmarkStart w:id="619" w:name="_Toc404165884"/>
      <w:bookmarkStart w:id="620" w:name="_Toc404172439"/>
      <w:bookmarkStart w:id="621" w:name="_Toc404181493"/>
      <w:bookmarkStart w:id="622" w:name="_Toc404183086"/>
      <w:bookmarkStart w:id="623" w:name="_Toc404246632"/>
      <w:r w:rsidRPr="007A6FE3">
        <w:t>ORDERING CLAUSES</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p>
    <w:p w14:paraId="09DB507F" w14:textId="77777777" w:rsidR="008450BE" w:rsidRPr="008450BE" w:rsidRDefault="00557578" w:rsidP="00F20387">
      <w:pPr>
        <w:pStyle w:val="ParaNum0"/>
        <w:rPr>
          <w:szCs w:val="22"/>
        </w:rPr>
      </w:pPr>
      <w:r w:rsidRPr="007A6FE3">
        <w:t xml:space="preserve">Accordingly, IT IS ORDERED, pursuant to the authority contained in sections 1-4, </w:t>
      </w:r>
      <w:r w:rsidR="005E74B4" w:rsidRPr="007A6FE3">
        <w:t xml:space="preserve">201, </w:t>
      </w:r>
      <w:r w:rsidRPr="007A6FE3">
        <w:t xml:space="preserve">214, </w:t>
      </w:r>
      <w:r w:rsidR="00FC3D36" w:rsidRPr="007A6FE3">
        <w:t xml:space="preserve">and </w:t>
      </w:r>
      <w:r w:rsidRPr="007A6FE3">
        <w:t>251 of the Communications Act of 1934, as amended</w:t>
      </w:r>
      <w:r w:rsidR="005E74B4" w:rsidRPr="007A6FE3">
        <w:t xml:space="preserve">; </w:t>
      </w:r>
      <w:r w:rsidRPr="007A6FE3">
        <w:t xml:space="preserve">47 U.S.C. §§ 151-154, </w:t>
      </w:r>
      <w:r w:rsidR="005E74B4" w:rsidRPr="007A6FE3">
        <w:t xml:space="preserve">201, </w:t>
      </w:r>
      <w:r w:rsidRPr="007A6FE3">
        <w:t>214, 251, and 157(a)</w:t>
      </w:r>
      <w:r w:rsidR="00347C64" w:rsidRPr="007A6FE3">
        <w:t>,</w:t>
      </w:r>
      <w:r w:rsidRPr="007A6FE3">
        <w:t xml:space="preserve"> and section 1.1 of the Commission’s rules, 47 C.F.R. § 1.1</w:t>
      </w:r>
      <w:r w:rsidR="00347C64" w:rsidRPr="007A6FE3">
        <w:t>,</w:t>
      </w:r>
      <w:r w:rsidRPr="007A6FE3">
        <w:t xml:space="preserve"> that this Notice of Proposed Rulemaking IS ADOPTED. </w:t>
      </w:r>
    </w:p>
    <w:p w14:paraId="13787849" w14:textId="2A2CA3BF" w:rsidR="00557578" w:rsidRPr="004E0ADB" w:rsidRDefault="00557578" w:rsidP="004E0ADB">
      <w:pPr>
        <w:pStyle w:val="ParaNum0"/>
        <w:rPr>
          <w:szCs w:val="22"/>
        </w:rPr>
      </w:pPr>
      <w:r w:rsidRPr="007A6FE3">
        <w:rPr>
          <w:szCs w:val="22"/>
        </w:rPr>
        <w:t>IT IS FURTHER ORDERED that, pursuant to the authority contained in sections 1-4 and 214 of the Communications Act of 1934, as amended, 47 U.S.C. §§ 151-154 and 214</w:t>
      </w:r>
      <w:r w:rsidR="00347C64" w:rsidRPr="007A6FE3">
        <w:rPr>
          <w:szCs w:val="22"/>
        </w:rPr>
        <w:t>,</w:t>
      </w:r>
      <w:r w:rsidRPr="007A6FE3">
        <w:rPr>
          <w:szCs w:val="22"/>
        </w:rPr>
        <w:t xml:space="preserve"> and sections 1.2, </w:t>
      </w:r>
      <w:r w:rsidR="007F1865">
        <w:rPr>
          <w:szCs w:val="22"/>
        </w:rPr>
        <w:t xml:space="preserve">1.103(a), </w:t>
      </w:r>
      <w:r w:rsidRPr="007A6FE3">
        <w:rPr>
          <w:szCs w:val="22"/>
        </w:rPr>
        <w:t>63.71</w:t>
      </w:r>
      <w:r w:rsidR="00347C64" w:rsidRPr="007A6FE3">
        <w:rPr>
          <w:szCs w:val="22"/>
        </w:rPr>
        <w:t>,</w:t>
      </w:r>
      <w:r w:rsidRPr="007A6FE3">
        <w:rPr>
          <w:szCs w:val="22"/>
        </w:rPr>
        <w:t xml:space="preserve"> and 63.90</w:t>
      </w:r>
      <w:r w:rsidR="007F1865">
        <w:rPr>
          <w:szCs w:val="22"/>
        </w:rPr>
        <w:t xml:space="preserve"> of the Commission’s rules</w:t>
      </w:r>
      <w:r w:rsidRPr="007A6FE3">
        <w:rPr>
          <w:szCs w:val="22"/>
        </w:rPr>
        <w:t xml:space="preserve">, 47 C.F.R. §§ 1.2, </w:t>
      </w:r>
      <w:r w:rsidR="007F1865">
        <w:rPr>
          <w:szCs w:val="22"/>
        </w:rPr>
        <w:t xml:space="preserve">1.103(a), </w:t>
      </w:r>
      <w:r w:rsidRPr="007A6FE3">
        <w:rPr>
          <w:szCs w:val="22"/>
        </w:rPr>
        <w:t>63.71</w:t>
      </w:r>
      <w:r w:rsidR="00347C64" w:rsidRPr="007A6FE3">
        <w:rPr>
          <w:szCs w:val="22"/>
        </w:rPr>
        <w:t>,</w:t>
      </w:r>
      <w:r w:rsidRPr="007A6FE3">
        <w:rPr>
          <w:szCs w:val="22"/>
        </w:rPr>
        <w:t xml:space="preserve"> and 63.90, this Declaratory Ruling IS ADOPTED and </w:t>
      </w:r>
      <w:r w:rsidR="007F1865">
        <w:rPr>
          <w:szCs w:val="22"/>
        </w:rPr>
        <w:t>SHALL BE EFFECTIVE</w:t>
      </w:r>
      <w:r w:rsidRPr="007A6FE3">
        <w:rPr>
          <w:szCs w:val="22"/>
        </w:rPr>
        <w:t xml:space="preserve"> upon release.</w:t>
      </w:r>
    </w:p>
    <w:p w14:paraId="02337D46" w14:textId="77777777" w:rsidR="00557578" w:rsidRPr="007A6FE3" w:rsidRDefault="00557578" w:rsidP="007F1865">
      <w:pPr>
        <w:pStyle w:val="ParaNum0"/>
        <w:spacing w:after="360"/>
      </w:pPr>
      <w:r w:rsidRPr="007A6FE3">
        <w:rPr>
          <w:rFonts w:cs="Verdana"/>
        </w:rPr>
        <w:t xml:space="preserve">IT </w:t>
      </w:r>
      <w:r w:rsidRPr="007A6FE3">
        <w:t>IS</w:t>
      </w:r>
      <w:r w:rsidRPr="007A6FE3">
        <w:rPr>
          <w:rFonts w:cs="Verdana"/>
        </w:rPr>
        <w:t xml:space="preserve"> </w:t>
      </w:r>
      <w:r w:rsidRPr="007A6FE3">
        <w:t>FURTHER</w:t>
      </w:r>
      <w:r w:rsidRPr="007A6FE3">
        <w:rPr>
          <w:rFonts w:cs="Verdana"/>
        </w:rPr>
        <w:t xml:space="preserve"> ORDERED that the Commission’s Consumer and Governmental Affairs Bureau, Reference </w:t>
      </w:r>
      <w:r w:rsidRPr="007A6FE3">
        <w:t>Information</w:t>
      </w:r>
      <w:r w:rsidRPr="007A6FE3">
        <w:rPr>
          <w:rFonts w:cs="Verdana"/>
        </w:rPr>
        <w:t xml:space="preserve"> Center, SHALL SEND a copy of this Notice, including the Initial Regulatory Flexibility Analysis, to the Chief Counsel for Advocacy of the Small Business </w:t>
      </w:r>
      <w:r w:rsidRPr="007A6FE3">
        <w:t>Administration</w:t>
      </w:r>
      <w:r w:rsidRPr="007A6FE3">
        <w:rPr>
          <w:rFonts w:cs="Verdana"/>
        </w:rPr>
        <w:t>.</w:t>
      </w:r>
    </w:p>
    <w:p w14:paraId="0C598AD9" w14:textId="77777777" w:rsidR="00790CBD" w:rsidRDefault="00790CBD" w:rsidP="00790CBD">
      <w:r>
        <w:tab/>
      </w:r>
      <w:r>
        <w:tab/>
      </w:r>
      <w:r>
        <w:tab/>
      </w:r>
      <w:r>
        <w:tab/>
      </w:r>
      <w:r>
        <w:tab/>
      </w:r>
      <w:r>
        <w:tab/>
        <w:t>FEDERAL COMMUNICATIONS COMMISSION</w:t>
      </w:r>
    </w:p>
    <w:p w14:paraId="623064F3" w14:textId="77777777" w:rsidR="00790CBD" w:rsidRDefault="00790CBD" w:rsidP="00790CBD"/>
    <w:p w14:paraId="759D9EFF" w14:textId="77777777" w:rsidR="00790CBD" w:rsidRDefault="00790CBD" w:rsidP="00790CBD"/>
    <w:p w14:paraId="3AE9A0A9" w14:textId="77777777" w:rsidR="00790CBD" w:rsidRDefault="00790CBD" w:rsidP="00790CBD"/>
    <w:p w14:paraId="2FC54F55" w14:textId="77777777" w:rsidR="00790CBD" w:rsidRDefault="00790CBD" w:rsidP="00790CBD"/>
    <w:p w14:paraId="3F8144D9" w14:textId="77777777" w:rsidR="00790CBD" w:rsidRDefault="00790CBD" w:rsidP="00790CBD">
      <w:r>
        <w:tab/>
      </w:r>
      <w:r>
        <w:tab/>
      </w:r>
      <w:r>
        <w:tab/>
      </w:r>
      <w:r>
        <w:tab/>
      </w:r>
      <w:r>
        <w:tab/>
      </w:r>
      <w:r>
        <w:tab/>
        <w:t>Marlene H. Dortch</w:t>
      </w:r>
    </w:p>
    <w:p w14:paraId="5D3B11EC" w14:textId="77777777" w:rsidR="00790CBD" w:rsidRDefault="00790CBD" w:rsidP="003F0F7D">
      <w:r>
        <w:tab/>
      </w:r>
      <w:r>
        <w:tab/>
      </w:r>
      <w:r>
        <w:tab/>
      </w:r>
      <w:r>
        <w:tab/>
      </w:r>
      <w:r>
        <w:tab/>
      </w:r>
      <w:r>
        <w:tab/>
        <w:t>Secretary</w:t>
      </w:r>
    </w:p>
    <w:p w14:paraId="3E2B6373" w14:textId="77777777" w:rsidR="00C1719C" w:rsidRPr="007A6FE3" w:rsidRDefault="00C1719C">
      <w:pPr>
        <w:widowControl/>
      </w:pPr>
      <w:r w:rsidRPr="007A6FE3">
        <w:br w:type="page"/>
      </w:r>
    </w:p>
    <w:p w14:paraId="21930F04" w14:textId="330DD5DE" w:rsidR="00557578" w:rsidRDefault="00AB126A" w:rsidP="00BB40E1">
      <w:pPr>
        <w:jc w:val="center"/>
        <w:rPr>
          <w:b/>
        </w:rPr>
      </w:pPr>
      <w:r w:rsidRPr="007A6FE3">
        <w:rPr>
          <w:b/>
        </w:rPr>
        <w:t>A</w:t>
      </w:r>
      <w:r w:rsidR="00790CBD" w:rsidRPr="00790CBD">
        <w:rPr>
          <w:b/>
        </w:rPr>
        <w:t>PPENDIX</w:t>
      </w:r>
      <w:r w:rsidRPr="007A6FE3">
        <w:rPr>
          <w:b/>
        </w:rPr>
        <w:t xml:space="preserve"> A</w:t>
      </w:r>
    </w:p>
    <w:p w14:paraId="21B3D6EF" w14:textId="77777777" w:rsidR="00790CBD" w:rsidRPr="007A6FE3" w:rsidRDefault="00790CBD" w:rsidP="00BB40E1">
      <w:pPr>
        <w:jc w:val="center"/>
        <w:rPr>
          <w:b/>
        </w:rPr>
      </w:pPr>
    </w:p>
    <w:p w14:paraId="0B49576F" w14:textId="77777777" w:rsidR="005E477F" w:rsidRPr="007A6FE3" w:rsidRDefault="00790CBD" w:rsidP="003F0F7D">
      <w:pPr>
        <w:spacing w:after="360"/>
        <w:jc w:val="center"/>
        <w:rPr>
          <w:b/>
        </w:rPr>
      </w:pPr>
      <w:r w:rsidRPr="007A6FE3">
        <w:rPr>
          <w:b/>
        </w:rPr>
        <w:t>Proposed Rules</w:t>
      </w:r>
    </w:p>
    <w:p w14:paraId="17ABF12D" w14:textId="77777777" w:rsidR="0038375E" w:rsidRPr="007A6FE3" w:rsidRDefault="00236562" w:rsidP="0038375E">
      <w:pPr>
        <w:spacing w:before="120" w:after="200"/>
        <w:rPr>
          <w:b/>
        </w:rPr>
      </w:pPr>
      <w:r w:rsidRPr="007A6FE3">
        <w:rPr>
          <w:b/>
        </w:rPr>
        <w:t xml:space="preserve">For the reasons set forth above, </w:t>
      </w:r>
      <w:r w:rsidR="0038375E" w:rsidRPr="007A6FE3">
        <w:rPr>
          <w:b/>
        </w:rPr>
        <w:t>Part 51 of Title 47 of the Code of Federal Regulations is amended as follows:</w:t>
      </w:r>
    </w:p>
    <w:p w14:paraId="3A501980" w14:textId="77777777" w:rsidR="00E303C5" w:rsidRPr="007A6FE3" w:rsidRDefault="00E303C5" w:rsidP="00E303C5">
      <w:pPr>
        <w:autoSpaceDE w:val="0"/>
        <w:autoSpaceDN w:val="0"/>
        <w:adjustRightInd w:val="0"/>
        <w:spacing w:after="120"/>
        <w:rPr>
          <w:b/>
        </w:rPr>
      </w:pPr>
      <w:r w:rsidRPr="007A6FE3">
        <w:rPr>
          <w:b/>
        </w:rPr>
        <w:t>PART 51 – INTERCONNECTION</w:t>
      </w:r>
    </w:p>
    <w:p w14:paraId="2DEF0849" w14:textId="4CF06443" w:rsidR="00E303C5" w:rsidRPr="007A6FE3" w:rsidRDefault="00E303C5" w:rsidP="00E303C5">
      <w:pPr>
        <w:spacing w:after="120"/>
      </w:pPr>
      <w:r w:rsidRPr="007A6FE3">
        <w:t xml:space="preserve">1. </w:t>
      </w:r>
      <w:r w:rsidR="009127D8">
        <w:t xml:space="preserve">Amend </w:t>
      </w:r>
      <w:r w:rsidR="009127D8" w:rsidRPr="007A6FE3">
        <w:t>§</w:t>
      </w:r>
      <w:r w:rsidR="009127D8">
        <w:t xml:space="preserve"> </w:t>
      </w:r>
      <w:r w:rsidR="009127D8" w:rsidRPr="007A6FE3">
        <w:t>51.325 by revising paragraph (a)(4), redesignating paragraphs (c) and (d) as (</w:t>
      </w:r>
      <w:r w:rsidR="009127D8">
        <w:t>d</w:t>
      </w:r>
      <w:r w:rsidR="009127D8" w:rsidRPr="007A6FE3">
        <w:t>) and (</w:t>
      </w:r>
      <w:r w:rsidR="009127D8">
        <w:t>e</w:t>
      </w:r>
      <w:r w:rsidR="009127D8" w:rsidRPr="007A6FE3">
        <w:t>)</w:t>
      </w:r>
      <w:r w:rsidR="009127D8">
        <w:t xml:space="preserve">, and </w:t>
      </w:r>
      <w:r w:rsidR="009127D8" w:rsidRPr="007A6FE3">
        <w:t>adding new paragraphs (c) and (f)</w:t>
      </w:r>
      <w:r w:rsidR="009127D8">
        <w:t>,</w:t>
      </w:r>
      <w:r w:rsidR="009127D8" w:rsidRPr="007A6FE3">
        <w:t xml:space="preserve"> </w:t>
      </w:r>
      <w:r w:rsidR="009127D8">
        <w:t xml:space="preserve">to read </w:t>
      </w:r>
      <w:r w:rsidR="009127D8" w:rsidRPr="007A6FE3">
        <w:t>as follows:</w:t>
      </w:r>
    </w:p>
    <w:p w14:paraId="461DA89E" w14:textId="77777777" w:rsidR="00E303C5" w:rsidRPr="007A6FE3" w:rsidRDefault="00E303C5" w:rsidP="00E303C5">
      <w:pPr>
        <w:pStyle w:val="ListParagraph"/>
        <w:autoSpaceDE w:val="0"/>
        <w:autoSpaceDN w:val="0"/>
        <w:adjustRightInd w:val="0"/>
        <w:spacing w:after="120" w:line="240" w:lineRule="auto"/>
        <w:ind w:left="0"/>
        <w:rPr>
          <w:rFonts w:ascii="Times New Roman" w:hAnsi="Times New Roman"/>
          <w:b/>
        </w:rPr>
      </w:pPr>
      <w:r w:rsidRPr="007A6FE3">
        <w:rPr>
          <w:rFonts w:ascii="Times New Roman" w:hAnsi="Times New Roman"/>
          <w:b/>
        </w:rPr>
        <w:t>§ 51.325 Notice of network changes: Public notice requirement.</w:t>
      </w:r>
    </w:p>
    <w:p w14:paraId="7ADA95E7" w14:textId="77777777" w:rsidR="00E303C5" w:rsidRPr="007A6FE3" w:rsidRDefault="00E303C5" w:rsidP="00E303C5">
      <w:pPr>
        <w:autoSpaceDE w:val="0"/>
        <w:autoSpaceDN w:val="0"/>
        <w:adjustRightInd w:val="0"/>
        <w:spacing w:after="120"/>
      </w:pPr>
      <w:bookmarkStart w:id="624" w:name="co_pp_8b3b0000958a4_1"/>
      <w:bookmarkEnd w:id="624"/>
      <w:r w:rsidRPr="007A6FE3">
        <w:t>(a) * * * *</w:t>
      </w:r>
      <w:r w:rsidR="00C0043B" w:rsidRPr="007A6FE3">
        <w:t xml:space="preserve"> *</w:t>
      </w:r>
    </w:p>
    <w:p w14:paraId="2EB5BD53" w14:textId="77777777" w:rsidR="00E303C5" w:rsidRPr="007A6FE3" w:rsidRDefault="00E303C5" w:rsidP="00E303C5">
      <w:pPr>
        <w:autoSpaceDE w:val="0"/>
        <w:autoSpaceDN w:val="0"/>
        <w:adjustRightInd w:val="0"/>
        <w:spacing w:after="120"/>
      </w:pPr>
      <w:bookmarkStart w:id="625" w:name="co_anchor_I8016F98243F611E0BD55882394839"/>
      <w:bookmarkStart w:id="626" w:name="co_pp_7b9b000044381_1"/>
      <w:bookmarkEnd w:id="625"/>
      <w:bookmarkEnd w:id="626"/>
      <w:r w:rsidRPr="007A6FE3">
        <w:t>* * * *</w:t>
      </w:r>
      <w:r w:rsidR="00C0043B" w:rsidRPr="007A6FE3">
        <w:t xml:space="preserve"> *</w:t>
      </w:r>
    </w:p>
    <w:p w14:paraId="0D2CDD1E" w14:textId="77777777" w:rsidR="00E303C5" w:rsidRPr="007A6FE3" w:rsidRDefault="00E303C5" w:rsidP="00135367">
      <w:pPr>
        <w:autoSpaceDE w:val="0"/>
        <w:autoSpaceDN w:val="0"/>
        <w:adjustRightInd w:val="0"/>
        <w:spacing w:after="120"/>
        <w:ind w:left="720"/>
      </w:pPr>
      <w:r w:rsidRPr="007A6FE3">
        <w:t>(4) Will result in the retirement of copper, as defined in § 51.332.</w:t>
      </w:r>
    </w:p>
    <w:p w14:paraId="0D2B71B6" w14:textId="77777777" w:rsidR="00E303C5" w:rsidRPr="007A6FE3" w:rsidRDefault="00E303C5" w:rsidP="00E303C5">
      <w:pPr>
        <w:autoSpaceDE w:val="0"/>
        <w:autoSpaceDN w:val="0"/>
        <w:adjustRightInd w:val="0"/>
        <w:spacing w:after="120"/>
      </w:pPr>
      <w:bookmarkStart w:id="627" w:name="co_anchor_I8016F98643F611E0BD55882394839"/>
      <w:bookmarkStart w:id="628" w:name="co_pp_a83b000018c76_1"/>
      <w:bookmarkEnd w:id="627"/>
      <w:bookmarkEnd w:id="628"/>
      <w:r w:rsidRPr="007A6FE3">
        <w:t>* * * *</w:t>
      </w:r>
      <w:r w:rsidR="00C0043B" w:rsidRPr="007A6FE3">
        <w:t xml:space="preserve"> *</w:t>
      </w:r>
    </w:p>
    <w:p w14:paraId="56B6143B" w14:textId="77777777" w:rsidR="00E303C5" w:rsidRPr="007A6FE3" w:rsidRDefault="00E303C5" w:rsidP="00E303C5">
      <w:pPr>
        <w:autoSpaceDE w:val="0"/>
        <w:autoSpaceDN w:val="0"/>
        <w:adjustRightInd w:val="0"/>
        <w:spacing w:after="120"/>
      </w:pPr>
      <w:r w:rsidRPr="007A6FE3">
        <w:t xml:space="preserve">(c) In addition to providing the public notice required by subparagraph (a) of this rule, the incumbent LEC shall notify and submit a copy of its public notice to the public utility commission and to the Governor of the State in which the network change is proposed, and also to the Secretary of Defense, Attn. Special Assistant for Telecommunications, Pentagon, Washington, DC 20301. </w:t>
      </w:r>
    </w:p>
    <w:p w14:paraId="2232EF5B" w14:textId="77777777" w:rsidR="00E303C5" w:rsidRPr="007A6FE3" w:rsidRDefault="00E303C5" w:rsidP="00E303C5">
      <w:pPr>
        <w:autoSpaceDE w:val="0"/>
        <w:autoSpaceDN w:val="0"/>
        <w:adjustRightInd w:val="0"/>
        <w:spacing w:after="120"/>
      </w:pPr>
      <w:bookmarkStart w:id="629" w:name="co_anchor_I8016F98743F611E0BD55882394839"/>
      <w:bookmarkStart w:id="630" w:name="co_pp_4b24000003ba5_1"/>
      <w:bookmarkEnd w:id="629"/>
      <w:bookmarkEnd w:id="630"/>
      <w:r w:rsidRPr="007A6FE3">
        <w:t>* * * *</w:t>
      </w:r>
      <w:r w:rsidR="00C0043B" w:rsidRPr="007A6FE3">
        <w:t xml:space="preserve"> *</w:t>
      </w:r>
    </w:p>
    <w:p w14:paraId="17153A52" w14:textId="77777777" w:rsidR="00E303C5" w:rsidRPr="007A6FE3" w:rsidRDefault="00E303C5" w:rsidP="00E303C5">
      <w:pPr>
        <w:autoSpaceDE w:val="0"/>
        <w:autoSpaceDN w:val="0"/>
        <w:adjustRightInd w:val="0"/>
        <w:spacing w:after="120"/>
      </w:pPr>
      <w:r w:rsidRPr="007A6FE3">
        <w:t xml:space="preserve">(f) Notices of network changes involving the retirement of copper, as defined in § 51.332, are subject only to the requirements set forth in this section and §§ </w:t>
      </w:r>
      <w:r w:rsidR="001E21B1" w:rsidRPr="007A6FE3">
        <w:t>51.329(c)</w:t>
      </w:r>
      <w:r w:rsidR="00DF676B" w:rsidRPr="007A6FE3">
        <w:t>-(d)</w:t>
      </w:r>
      <w:r w:rsidR="001E21B1" w:rsidRPr="007A6FE3">
        <w:t xml:space="preserve">, </w:t>
      </w:r>
      <w:r w:rsidRPr="007A6FE3">
        <w:t xml:space="preserve">51.332 and 51.335. </w:t>
      </w:r>
    </w:p>
    <w:p w14:paraId="246B2179" w14:textId="77777777" w:rsidR="00E303C5" w:rsidRPr="007A6FE3" w:rsidRDefault="00E303C5" w:rsidP="00B35A5F">
      <w:pPr>
        <w:spacing w:after="120"/>
      </w:pPr>
      <w:r w:rsidRPr="007A6FE3">
        <w:t xml:space="preserve">2. </w:t>
      </w:r>
      <w:bookmarkStart w:id="631" w:name="co_anchor_I801F36E243F611E091ECB52EA80D7"/>
      <w:bookmarkStart w:id="632" w:name="co_pp_1496000051ed7_1"/>
      <w:bookmarkStart w:id="633" w:name="co_anchor_I801F36E343F611E091ECB52EA80D7"/>
      <w:bookmarkEnd w:id="631"/>
      <w:bookmarkEnd w:id="632"/>
      <w:bookmarkEnd w:id="633"/>
      <w:r w:rsidRPr="007A6FE3">
        <w:t xml:space="preserve">Amend § 51.329 by </w:t>
      </w:r>
      <w:r w:rsidR="00FA35BC" w:rsidRPr="007A6FE3">
        <w:t xml:space="preserve">redesignating paragraph (c) as </w:t>
      </w:r>
      <w:r w:rsidRPr="007A6FE3">
        <w:t xml:space="preserve"> paragraph (</w:t>
      </w:r>
      <w:r w:rsidR="00FA35BC" w:rsidRPr="007A6FE3">
        <w:t>d</w:t>
      </w:r>
      <w:r w:rsidRPr="007A6FE3">
        <w:t xml:space="preserve">) </w:t>
      </w:r>
      <w:r w:rsidR="00FA35BC" w:rsidRPr="007A6FE3">
        <w:t xml:space="preserve">and inserting new paragraph (c) </w:t>
      </w:r>
      <w:r w:rsidRPr="007A6FE3">
        <w:t>to read as follows:</w:t>
      </w:r>
    </w:p>
    <w:p w14:paraId="3CEFF5F3" w14:textId="77777777" w:rsidR="00E303C5" w:rsidRPr="007A6FE3" w:rsidRDefault="00E303C5" w:rsidP="00E303C5">
      <w:pPr>
        <w:autoSpaceDE w:val="0"/>
        <w:autoSpaceDN w:val="0"/>
        <w:adjustRightInd w:val="0"/>
        <w:spacing w:after="120"/>
        <w:rPr>
          <w:b/>
        </w:rPr>
      </w:pPr>
      <w:r w:rsidRPr="007A6FE3">
        <w:rPr>
          <w:b/>
        </w:rPr>
        <w:t>§ 51.329 Notice of network changes: Methods for providing notice</w:t>
      </w:r>
      <w:r w:rsidR="009115A3" w:rsidRPr="007A6FE3">
        <w:rPr>
          <w:b/>
        </w:rPr>
        <w:t>; public comment</w:t>
      </w:r>
      <w:r w:rsidRPr="007A6FE3">
        <w:rPr>
          <w:b/>
        </w:rPr>
        <w:t>.</w:t>
      </w:r>
    </w:p>
    <w:p w14:paraId="5CBB40B2" w14:textId="77777777" w:rsidR="00E303C5" w:rsidRPr="007A6FE3" w:rsidRDefault="00E303C5" w:rsidP="00E303C5">
      <w:pPr>
        <w:autoSpaceDE w:val="0"/>
        <w:autoSpaceDN w:val="0"/>
        <w:adjustRightInd w:val="0"/>
        <w:spacing w:after="120"/>
      </w:pPr>
      <w:bookmarkStart w:id="634" w:name="coid_effectiveDateBlock_1"/>
      <w:bookmarkStart w:id="635" w:name="co_anchor_I800DD1C043F611E091ECB52EA80D7"/>
      <w:bookmarkStart w:id="636" w:name="co_anchor_I800DF8D143F611E091ECB52EA80D7"/>
      <w:bookmarkEnd w:id="634"/>
      <w:bookmarkEnd w:id="635"/>
      <w:bookmarkEnd w:id="636"/>
      <w:r w:rsidRPr="007A6FE3">
        <w:t>* * * *</w:t>
      </w:r>
      <w:r w:rsidR="00C0043B" w:rsidRPr="007A6FE3">
        <w:t xml:space="preserve"> *</w:t>
      </w:r>
    </w:p>
    <w:p w14:paraId="16ADC934" w14:textId="77777777" w:rsidR="00E303C5" w:rsidRPr="007A6FE3" w:rsidRDefault="00E303C5" w:rsidP="00E303C5">
      <w:pPr>
        <w:autoSpaceDE w:val="0"/>
        <w:autoSpaceDN w:val="0"/>
        <w:adjustRightInd w:val="0"/>
        <w:spacing w:after="120"/>
      </w:pPr>
      <w:bookmarkStart w:id="637" w:name="co_anchor_I800E1FE243F611E091ECB52EA80D7"/>
      <w:bookmarkEnd w:id="637"/>
      <w:r w:rsidRPr="007A6FE3">
        <w:t xml:space="preserve">(c) </w:t>
      </w:r>
      <w:r w:rsidR="00FA35BC" w:rsidRPr="007A6FE3">
        <w:t xml:space="preserve">The public may file comments on an incumbent LEC’s notice of planned network change.  </w:t>
      </w:r>
      <w:r w:rsidR="008039D0" w:rsidRPr="007A6FE3">
        <w:t>In the context of copper retirement, s</w:t>
      </w:r>
      <w:r w:rsidR="00FA35BC" w:rsidRPr="007A6FE3">
        <w:t>uch comments must be filed with the Commission no later than the twenty-ninth day following the release of the Commission’s public notice.</w:t>
      </w:r>
      <w:r w:rsidR="008039D0" w:rsidRPr="007A6FE3">
        <w:t xml:space="preserve">  In all other instances, such comments may be filed with the Commission until the effective date of the planned network changes. </w:t>
      </w:r>
    </w:p>
    <w:p w14:paraId="240C8FE2" w14:textId="77777777" w:rsidR="00E303C5" w:rsidRPr="007A6FE3" w:rsidRDefault="00B35A5F" w:rsidP="00E303C5">
      <w:pPr>
        <w:spacing w:after="120"/>
      </w:pPr>
      <w:bookmarkStart w:id="638" w:name="co_anchor_I800E1FE343F611E091ECB52EA80D7"/>
      <w:bookmarkStart w:id="639" w:name="co_pp_10c0000001331_1"/>
      <w:bookmarkStart w:id="640" w:name="co_anchor_I800E1FE443F611E091ECB52EA80D7"/>
      <w:bookmarkStart w:id="641" w:name="co_pp_fcf30000ea9c4_1"/>
      <w:bookmarkEnd w:id="638"/>
      <w:bookmarkEnd w:id="639"/>
      <w:bookmarkEnd w:id="640"/>
      <w:bookmarkEnd w:id="641"/>
      <w:r w:rsidRPr="007A6FE3">
        <w:t>3</w:t>
      </w:r>
      <w:r w:rsidR="00E303C5" w:rsidRPr="007A6FE3">
        <w:t>. Amend § 51.331 by deleting subparagraph (c).</w:t>
      </w:r>
    </w:p>
    <w:p w14:paraId="10F8893A" w14:textId="77777777" w:rsidR="00E303C5" w:rsidRPr="007A6FE3" w:rsidRDefault="00B35A5F" w:rsidP="00E303C5">
      <w:pPr>
        <w:spacing w:after="120"/>
      </w:pPr>
      <w:r w:rsidRPr="007A6FE3">
        <w:t>4</w:t>
      </w:r>
      <w:r w:rsidR="00E303C5" w:rsidRPr="007A6FE3">
        <w:t>. Add new § 51.332 to read as follows</w:t>
      </w:r>
      <w:r w:rsidR="00C0043B" w:rsidRPr="007A6FE3">
        <w:t>:</w:t>
      </w:r>
    </w:p>
    <w:p w14:paraId="29B52B6C" w14:textId="77777777" w:rsidR="00E303C5" w:rsidRPr="007A6FE3" w:rsidRDefault="00E303C5" w:rsidP="00E303C5">
      <w:pPr>
        <w:autoSpaceDE w:val="0"/>
        <w:autoSpaceDN w:val="0"/>
        <w:adjustRightInd w:val="0"/>
        <w:spacing w:after="120"/>
        <w:rPr>
          <w:b/>
        </w:rPr>
      </w:pPr>
      <w:r w:rsidRPr="007A6FE3">
        <w:rPr>
          <w:b/>
        </w:rPr>
        <w:t>§ 51.332 Notice of network changes: Copper retirement.</w:t>
      </w:r>
    </w:p>
    <w:p w14:paraId="264F8E4D" w14:textId="77777777" w:rsidR="00E303C5" w:rsidRPr="007A6FE3" w:rsidRDefault="00E303C5" w:rsidP="00E303C5">
      <w:pPr>
        <w:autoSpaceDE w:val="0"/>
        <w:autoSpaceDN w:val="0"/>
        <w:adjustRightInd w:val="0"/>
        <w:spacing w:after="120"/>
      </w:pPr>
      <w:r w:rsidRPr="007A6FE3">
        <w:t xml:space="preserve">(a) </w:t>
      </w:r>
      <w:r w:rsidRPr="007A6FE3">
        <w:rPr>
          <w:i/>
        </w:rPr>
        <w:t>Definition</w:t>
      </w:r>
      <w:r w:rsidRPr="007A6FE3">
        <w:t xml:space="preserve">.  For purposes of this section, copper retirement is defined as removal or disabling of copper loops, subloops, or the feeder portion of such loops or subloops, </w:t>
      </w:r>
      <w:r w:rsidR="00B6173E" w:rsidRPr="007A6FE3">
        <w:t xml:space="preserve">or </w:t>
      </w:r>
      <w:r w:rsidRPr="007A6FE3">
        <w:t>the replacement of such loops with fiber-to-the-home loops or fiber-to-the-curb loops, as those terms are defined in § 51.319(a)(3).</w:t>
      </w:r>
    </w:p>
    <w:p w14:paraId="5512DF10" w14:textId="77777777" w:rsidR="00E303C5" w:rsidRPr="007A6FE3" w:rsidRDefault="00E303C5" w:rsidP="00E303C5">
      <w:pPr>
        <w:spacing w:after="120"/>
      </w:pPr>
      <w:r w:rsidRPr="007A6FE3">
        <w:t xml:space="preserve">(b) </w:t>
      </w:r>
      <w:r w:rsidRPr="007A6FE3">
        <w:rPr>
          <w:i/>
        </w:rPr>
        <w:t>Methods for Providing Notice</w:t>
      </w:r>
      <w:r w:rsidRPr="007A6FE3">
        <w:t xml:space="preserve">.  </w:t>
      </w:r>
    </w:p>
    <w:p w14:paraId="50044067" w14:textId="77777777" w:rsidR="00E303C5" w:rsidRPr="007A6FE3" w:rsidRDefault="00E303C5" w:rsidP="00E303C5">
      <w:pPr>
        <w:autoSpaceDE w:val="0"/>
        <w:autoSpaceDN w:val="0"/>
        <w:adjustRightInd w:val="0"/>
        <w:spacing w:after="120"/>
        <w:ind w:left="720"/>
      </w:pPr>
      <w:r w:rsidRPr="007A6FE3">
        <w:t xml:space="preserve">(1) In providing the required notice to the public of network changes, an incumbent LEC </w:t>
      </w:r>
      <w:r w:rsidR="00B6173E" w:rsidRPr="007A6FE3">
        <w:t xml:space="preserve">must </w:t>
      </w:r>
      <w:r w:rsidRPr="007A6FE3">
        <w:t>use one of the following methods:</w:t>
      </w:r>
    </w:p>
    <w:p w14:paraId="4E279638" w14:textId="77777777" w:rsidR="00E303C5" w:rsidRPr="007A6FE3" w:rsidRDefault="00E303C5" w:rsidP="00E303C5">
      <w:pPr>
        <w:autoSpaceDE w:val="0"/>
        <w:autoSpaceDN w:val="0"/>
        <w:adjustRightInd w:val="0"/>
        <w:spacing w:after="120"/>
        <w:ind w:left="1440"/>
      </w:pPr>
      <w:r w:rsidRPr="007A6FE3">
        <w:t>(i) Filing a public notice with the Commission; or</w:t>
      </w:r>
    </w:p>
    <w:p w14:paraId="5FBAC446" w14:textId="77777777" w:rsidR="00E303C5" w:rsidRPr="007A6FE3" w:rsidRDefault="00E303C5" w:rsidP="00E303C5">
      <w:pPr>
        <w:autoSpaceDE w:val="0"/>
        <w:autoSpaceDN w:val="0"/>
        <w:adjustRightInd w:val="0"/>
        <w:spacing w:after="120"/>
        <w:ind w:left="1440"/>
      </w:pPr>
      <w:r w:rsidRPr="007A6FE3">
        <w:t xml:space="preserve">(ii) Providing </w:t>
      </w:r>
      <w:r w:rsidR="00B6173E" w:rsidRPr="007A6FE3">
        <w:t xml:space="preserve">written </w:t>
      </w:r>
      <w:r w:rsidRPr="007A6FE3">
        <w:t>public notice through industry fora, industry publications, or the carrier’s publicly accessible Internet site.</w:t>
      </w:r>
    </w:p>
    <w:p w14:paraId="1B089AC8" w14:textId="77777777" w:rsidR="00E303C5" w:rsidRPr="007A6FE3" w:rsidRDefault="00E303C5" w:rsidP="00E303C5">
      <w:pPr>
        <w:autoSpaceDE w:val="0"/>
        <w:autoSpaceDN w:val="0"/>
        <w:adjustRightInd w:val="0"/>
        <w:spacing w:after="120"/>
        <w:ind w:left="720"/>
      </w:pPr>
      <w:r w:rsidRPr="007A6FE3">
        <w:t>(2) An incumbent LEC must provide each information service provider and telephone exchange service provider that directly interconnects with the incumbent LEC's network with a copy of the public notice.</w:t>
      </w:r>
    </w:p>
    <w:p w14:paraId="3426ACF8" w14:textId="77777777" w:rsidR="00E303C5" w:rsidRPr="007A6FE3" w:rsidRDefault="00E303C5" w:rsidP="00E303C5">
      <w:pPr>
        <w:autoSpaceDE w:val="0"/>
        <w:autoSpaceDN w:val="0"/>
        <w:adjustRightInd w:val="0"/>
        <w:spacing w:after="120"/>
        <w:ind w:left="720"/>
      </w:pPr>
      <w:r w:rsidRPr="007A6FE3">
        <w:t xml:space="preserve">(3) An incumbent LEC also must directly provide notice through electronic mail or postal mail </w:t>
      </w:r>
      <w:r w:rsidR="00B6173E" w:rsidRPr="007A6FE3">
        <w:t xml:space="preserve">to </w:t>
      </w:r>
      <w:r w:rsidRPr="007A6FE3">
        <w:t xml:space="preserve">all retail </w:t>
      </w:r>
      <w:r w:rsidR="006C08B7" w:rsidRPr="007A6FE3">
        <w:t xml:space="preserve">customers </w:t>
      </w:r>
      <w:r w:rsidRPr="007A6FE3">
        <w:t>affected by the planned copper retirement.</w:t>
      </w:r>
    </w:p>
    <w:p w14:paraId="4AC6766B" w14:textId="77777777" w:rsidR="00E303C5" w:rsidRPr="007A6FE3" w:rsidRDefault="00E303C5" w:rsidP="00E303C5">
      <w:pPr>
        <w:autoSpaceDE w:val="0"/>
        <w:autoSpaceDN w:val="0"/>
        <w:adjustRightInd w:val="0"/>
        <w:spacing w:after="120"/>
        <w:ind w:left="1440"/>
      </w:pPr>
      <w:r w:rsidRPr="007A6FE3">
        <w:t xml:space="preserve">(i) For purpose of this section, an affected </w:t>
      </w:r>
      <w:r w:rsidR="006C08B7" w:rsidRPr="007A6FE3">
        <w:t xml:space="preserve">retail customer </w:t>
      </w:r>
      <w:r w:rsidRPr="007A6FE3">
        <w:t xml:space="preserve">is anyone who will need new or modified customer premise equipment or who will be negatively impacted by the planned network change.  The contents of any such notification must comply with the requirements of paragraph (c) of this section.  </w:t>
      </w:r>
    </w:p>
    <w:p w14:paraId="3AB9B5EC" w14:textId="77777777" w:rsidR="00E303C5" w:rsidRPr="007A6FE3" w:rsidRDefault="00E303C5" w:rsidP="00E303C5">
      <w:pPr>
        <w:autoSpaceDE w:val="0"/>
        <w:autoSpaceDN w:val="0"/>
        <w:adjustRightInd w:val="0"/>
        <w:spacing w:after="120"/>
        <w:ind w:left="1440"/>
      </w:pPr>
      <w:r w:rsidRPr="007A6FE3">
        <w:t xml:space="preserve">(ii) Notice to each affected retail </w:t>
      </w:r>
      <w:r w:rsidR="006C08B7" w:rsidRPr="007A6FE3">
        <w:t xml:space="preserve">customer </w:t>
      </w:r>
      <w:r w:rsidRPr="007A6FE3">
        <w:t>shall be in writing unless the Commission authorizes in advance, for good cause shown, another form of notice.</w:t>
      </w:r>
      <w:r w:rsidR="00DD711E" w:rsidRPr="007A6FE3">
        <w:t xml:space="preserve">  </w:t>
      </w:r>
      <w:r w:rsidRPr="007A6FE3">
        <w:t xml:space="preserve">If an incumbent LEC uses e-mail to provide notice to </w:t>
      </w:r>
      <w:r w:rsidR="006C08B7" w:rsidRPr="007A6FE3">
        <w:t>retail customers</w:t>
      </w:r>
      <w:r w:rsidRPr="007A6FE3">
        <w:t>, it must comply with the following requirements in addition to the requirements generally applicable to notification:</w:t>
      </w:r>
    </w:p>
    <w:p w14:paraId="0184EA6B" w14:textId="77777777" w:rsidR="00E303C5" w:rsidRPr="007A6FE3" w:rsidRDefault="00E303C5" w:rsidP="00E303C5">
      <w:pPr>
        <w:autoSpaceDE w:val="0"/>
        <w:autoSpaceDN w:val="0"/>
        <w:adjustRightInd w:val="0"/>
        <w:spacing w:after="120"/>
        <w:ind w:left="2160"/>
      </w:pPr>
      <w:r w:rsidRPr="007A6FE3">
        <w:t xml:space="preserve">(A) an incumbent LEC must obtain express, verifiable, prior approval from </w:t>
      </w:r>
      <w:r w:rsidR="002257AF" w:rsidRPr="007A6FE3">
        <w:t xml:space="preserve">retail customers </w:t>
      </w:r>
      <w:r w:rsidRPr="007A6FE3">
        <w:t>to send notices via e-mail regarding their service in general, or planned network changes in particular;</w:t>
      </w:r>
    </w:p>
    <w:p w14:paraId="6321A984" w14:textId="77777777" w:rsidR="00E303C5" w:rsidRPr="007A6FE3" w:rsidRDefault="00E303C5" w:rsidP="00E303C5">
      <w:pPr>
        <w:autoSpaceDE w:val="0"/>
        <w:autoSpaceDN w:val="0"/>
        <w:adjustRightInd w:val="0"/>
        <w:spacing w:after="120"/>
        <w:ind w:left="2160"/>
      </w:pPr>
      <w:r w:rsidRPr="007A6FE3">
        <w:t>(B) an incumbent LEC must allow customers to reply directly to the e-mail notice;</w:t>
      </w:r>
    </w:p>
    <w:p w14:paraId="1D7111F6" w14:textId="77777777" w:rsidR="00E303C5" w:rsidRPr="007A6FE3" w:rsidRDefault="00E303C5" w:rsidP="00E303C5">
      <w:pPr>
        <w:autoSpaceDE w:val="0"/>
        <w:autoSpaceDN w:val="0"/>
        <w:adjustRightInd w:val="0"/>
        <w:spacing w:after="120"/>
        <w:ind w:left="2160"/>
      </w:pPr>
      <w:r w:rsidRPr="007A6FE3">
        <w:t xml:space="preserve">(C) e-mail notices that are returned to the carrier as undeliverable must be sent to the </w:t>
      </w:r>
      <w:r w:rsidR="006C08B7" w:rsidRPr="007A6FE3">
        <w:t xml:space="preserve">retail customer </w:t>
      </w:r>
      <w:r w:rsidRPr="007A6FE3">
        <w:t xml:space="preserve">in another form before carriers may consider the </w:t>
      </w:r>
      <w:r w:rsidR="006C08B7" w:rsidRPr="007A6FE3">
        <w:t xml:space="preserve">retail customer </w:t>
      </w:r>
      <w:r w:rsidRPr="007A6FE3">
        <w:t>to have received notice; and</w:t>
      </w:r>
    </w:p>
    <w:p w14:paraId="15CAC39E" w14:textId="77777777" w:rsidR="00E303C5" w:rsidRPr="007A6FE3" w:rsidRDefault="00E303C5" w:rsidP="00E303C5">
      <w:pPr>
        <w:autoSpaceDE w:val="0"/>
        <w:autoSpaceDN w:val="0"/>
        <w:adjustRightInd w:val="0"/>
        <w:spacing w:after="120"/>
        <w:ind w:left="2160"/>
      </w:pPr>
      <w:r w:rsidRPr="007A6FE3">
        <w:t>(D) an incumbent LEC must ensure that the subject line of the message clearly and accurately identifies the subject matter of the e-mail.</w:t>
      </w:r>
    </w:p>
    <w:p w14:paraId="1EBF2F2F" w14:textId="77777777" w:rsidR="00E303C5" w:rsidRPr="007A6FE3" w:rsidRDefault="00E303C5" w:rsidP="00E303C5">
      <w:pPr>
        <w:autoSpaceDE w:val="0"/>
        <w:autoSpaceDN w:val="0"/>
        <w:adjustRightInd w:val="0"/>
        <w:spacing w:after="120"/>
      </w:pPr>
      <w:r w:rsidRPr="007A6FE3">
        <w:t xml:space="preserve">(c) </w:t>
      </w:r>
      <w:r w:rsidRPr="007A6FE3">
        <w:rPr>
          <w:i/>
        </w:rPr>
        <w:t>Content of Notice</w:t>
      </w:r>
      <w:r w:rsidRPr="007A6FE3">
        <w:t xml:space="preserve">.  </w:t>
      </w:r>
    </w:p>
    <w:p w14:paraId="2781ED0D" w14:textId="77777777" w:rsidR="00E303C5" w:rsidRPr="007A6FE3" w:rsidRDefault="00E303C5" w:rsidP="00E303C5">
      <w:pPr>
        <w:autoSpaceDE w:val="0"/>
        <w:autoSpaceDN w:val="0"/>
        <w:adjustRightInd w:val="0"/>
        <w:spacing w:after="120"/>
        <w:ind w:left="720"/>
      </w:pPr>
      <w:r w:rsidRPr="007A6FE3">
        <w:t xml:space="preserve">(1) </w:t>
      </w:r>
      <w:r w:rsidRPr="007A6FE3">
        <w:rPr>
          <w:i/>
        </w:rPr>
        <w:t>Public Notice</w:t>
      </w:r>
      <w:r w:rsidRPr="007A6FE3">
        <w:t xml:space="preserve">.  Public notice must set forth the information required by § 51.327. </w:t>
      </w:r>
      <w:r w:rsidR="00B35A5F" w:rsidRPr="007A6FE3">
        <w:t xml:space="preserve"> In addition, the public notice must include a description of any changes in prices, terms, or conditions that will accompany the planned changes.</w:t>
      </w:r>
    </w:p>
    <w:p w14:paraId="3E6FD06F" w14:textId="77777777" w:rsidR="00E303C5" w:rsidRPr="007A6FE3" w:rsidRDefault="00E303C5" w:rsidP="00E303C5">
      <w:pPr>
        <w:autoSpaceDE w:val="0"/>
        <w:autoSpaceDN w:val="0"/>
        <w:adjustRightInd w:val="0"/>
        <w:spacing w:after="120"/>
        <w:ind w:left="720"/>
      </w:pPr>
      <w:r w:rsidRPr="007A6FE3">
        <w:t xml:space="preserve">(2) </w:t>
      </w:r>
      <w:r w:rsidRPr="007A6FE3">
        <w:rPr>
          <w:i/>
        </w:rPr>
        <w:t xml:space="preserve">Retail </w:t>
      </w:r>
      <w:r w:rsidR="006C08B7" w:rsidRPr="007A6FE3">
        <w:rPr>
          <w:i/>
        </w:rPr>
        <w:t>Customers</w:t>
      </w:r>
      <w:r w:rsidRPr="007A6FE3">
        <w:t xml:space="preserve">.  Notification to retail </w:t>
      </w:r>
      <w:r w:rsidR="006C08B7" w:rsidRPr="007A6FE3">
        <w:t xml:space="preserve">customers </w:t>
      </w:r>
      <w:r w:rsidRPr="007A6FE3">
        <w:t xml:space="preserve">must provide sufficient information to enable the </w:t>
      </w:r>
      <w:r w:rsidR="006C08B7" w:rsidRPr="007A6FE3">
        <w:t xml:space="preserve">retail customer </w:t>
      </w:r>
      <w:r w:rsidRPr="007A6FE3">
        <w:t>to make an informed decision as to whether to continue subscribing to the service to be affected by the planned network changes, including but not limited to the following:</w:t>
      </w:r>
    </w:p>
    <w:p w14:paraId="629BFB74" w14:textId="77777777" w:rsidR="00E303C5" w:rsidRPr="007A6FE3" w:rsidRDefault="00E303C5" w:rsidP="00E303C5">
      <w:pPr>
        <w:autoSpaceDE w:val="0"/>
        <w:autoSpaceDN w:val="0"/>
        <w:adjustRightInd w:val="0"/>
        <w:spacing w:after="120"/>
        <w:ind w:left="1440"/>
      </w:pPr>
      <w:r w:rsidRPr="007A6FE3">
        <w:t>(i) the information required by § 51.327;</w:t>
      </w:r>
    </w:p>
    <w:p w14:paraId="150A75C6" w14:textId="77777777" w:rsidR="00E303C5" w:rsidRPr="007A6FE3" w:rsidRDefault="00E303C5" w:rsidP="00E303C5">
      <w:pPr>
        <w:autoSpaceDE w:val="0"/>
        <w:autoSpaceDN w:val="0"/>
        <w:adjustRightInd w:val="0"/>
        <w:spacing w:after="120"/>
        <w:ind w:left="1440"/>
      </w:pPr>
      <w:r w:rsidRPr="007A6FE3">
        <w:t xml:space="preserve">(ii) a statement that the </w:t>
      </w:r>
      <w:r w:rsidR="006C08B7" w:rsidRPr="007A6FE3">
        <w:t xml:space="preserve">retail customer </w:t>
      </w:r>
      <w:r w:rsidRPr="007A6FE3">
        <w:t xml:space="preserve">will still be able to purchase the existing service(s) to which he or she subscribes with the same functionalities and features as the service he or she currently purchases from the incumbent LEC, </w:t>
      </w:r>
      <w:r w:rsidRPr="007A6FE3">
        <w:rPr>
          <w:i/>
        </w:rPr>
        <w:t>except that</w:t>
      </w:r>
      <w:r w:rsidRPr="007A6FE3">
        <w:t xml:space="preserve"> if </w:t>
      </w:r>
      <w:r w:rsidR="006A64EE" w:rsidRPr="007A6FE3">
        <w:t>this statement would be inaccurate</w:t>
      </w:r>
      <w:r w:rsidRPr="007A6FE3">
        <w:t xml:space="preserve">, the </w:t>
      </w:r>
      <w:r w:rsidR="006A64EE" w:rsidRPr="007A6FE3">
        <w:t xml:space="preserve">incumbent LEC must include a statement identifying </w:t>
      </w:r>
      <w:r w:rsidR="001E1581" w:rsidRPr="007A6FE3">
        <w:t>any changes to the service(s) and the functionality and features thereof</w:t>
      </w:r>
      <w:r w:rsidRPr="007A6FE3">
        <w:t>;</w:t>
      </w:r>
    </w:p>
    <w:p w14:paraId="4D54DE3B" w14:textId="77777777" w:rsidR="00E303C5" w:rsidRPr="007A6FE3" w:rsidRDefault="00E303C5" w:rsidP="00E303C5">
      <w:pPr>
        <w:autoSpaceDE w:val="0"/>
        <w:autoSpaceDN w:val="0"/>
        <w:adjustRightInd w:val="0"/>
        <w:spacing w:after="120"/>
        <w:ind w:left="1440"/>
      </w:pPr>
      <w:r w:rsidRPr="007A6FE3">
        <w:t xml:space="preserve">(iii) a statement that the </w:t>
      </w:r>
      <w:r w:rsidR="006C08B7" w:rsidRPr="007A6FE3">
        <w:t xml:space="preserve">retail customer </w:t>
      </w:r>
      <w:r w:rsidRPr="007A6FE3">
        <w:t xml:space="preserve">has the right to comment on the planned network changes; and </w:t>
      </w:r>
    </w:p>
    <w:p w14:paraId="4BDE6B34" w14:textId="77777777" w:rsidR="00E303C5" w:rsidRPr="007A6FE3" w:rsidRDefault="00E303C5" w:rsidP="00E303C5">
      <w:pPr>
        <w:autoSpaceDE w:val="0"/>
        <w:autoSpaceDN w:val="0"/>
        <w:adjustRightInd w:val="0"/>
        <w:spacing w:after="120"/>
        <w:ind w:left="1440"/>
      </w:pPr>
      <w:r w:rsidRPr="007A6FE3">
        <w:t>(iv) The following statement:  “This notice of planned network change will become effective ninety days after the Federal Communications Commission (FCC) releases a public notice of the planned change on its website.  If you wish to comment on the planned network change, you should file your comments as soon as possible, but no later than thirty calendar days after the FCC releases public notice of the planned network change.  You may file your comments electronically on the Commission’s website at [insert URL for ECFS], or you may file them by mail.  If you wish to file by mail, address your comments to the Federal Communications Commission, Wireline Competition Bureau, Competition Policy Division, Washington, DC 20554, and include in your comments the statement ’Network Change’ and a reference to [insert name of ILEC and affected geographic region].  Comments should include specific information about the impact of this planned network change upon you, including any potential loss of functionalities or interference with third-party devices or services.”</w:t>
      </w:r>
    </w:p>
    <w:p w14:paraId="2EC387B4" w14:textId="77777777" w:rsidR="00E303C5" w:rsidRPr="007A6FE3" w:rsidRDefault="00E303C5" w:rsidP="00E303C5">
      <w:pPr>
        <w:autoSpaceDE w:val="0"/>
        <w:autoSpaceDN w:val="0"/>
        <w:adjustRightInd w:val="0"/>
        <w:spacing w:after="120"/>
        <w:ind w:left="720"/>
      </w:pPr>
      <w:r w:rsidRPr="007A6FE3">
        <w:t>(3) If any portion of a notification is translated into another language, then all portions of the notification must be translated into that language.</w:t>
      </w:r>
    </w:p>
    <w:p w14:paraId="1E39C7C1" w14:textId="77777777" w:rsidR="00E303C5" w:rsidRPr="007A6FE3" w:rsidRDefault="00E303C5" w:rsidP="00E303C5">
      <w:pPr>
        <w:autoSpaceDE w:val="0"/>
        <w:autoSpaceDN w:val="0"/>
        <w:adjustRightInd w:val="0"/>
        <w:spacing w:after="120"/>
        <w:ind w:left="720"/>
      </w:pPr>
      <w:r w:rsidRPr="007A6FE3">
        <w:t>(4) An incumbent LEC may not include in the notification or any other communication to a customer related to copper retirement any statement attempting to encourage a customer to purchase a service other than the service to which the customer currently subscribes.</w:t>
      </w:r>
    </w:p>
    <w:p w14:paraId="29B0F5E8" w14:textId="77777777" w:rsidR="00E303C5" w:rsidRPr="007A6FE3" w:rsidRDefault="00E303C5" w:rsidP="00E303C5">
      <w:pPr>
        <w:autoSpaceDE w:val="0"/>
        <w:autoSpaceDN w:val="0"/>
        <w:adjustRightInd w:val="0"/>
        <w:spacing w:after="120"/>
        <w:jc w:val="both"/>
      </w:pPr>
      <w:r w:rsidRPr="007A6FE3">
        <w:t xml:space="preserve">(d) </w:t>
      </w:r>
      <w:r w:rsidRPr="007A6FE3">
        <w:rPr>
          <w:i/>
        </w:rPr>
        <w:t>Certification</w:t>
      </w:r>
      <w:r w:rsidRPr="007A6FE3">
        <w:t>.  An incumbent LEC must file a certification with the Commission that shall include: </w:t>
      </w:r>
    </w:p>
    <w:p w14:paraId="04D68101" w14:textId="77777777" w:rsidR="00E303C5" w:rsidRPr="007A6FE3" w:rsidRDefault="00E303C5" w:rsidP="00E303C5">
      <w:pPr>
        <w:autoSpaceDE w:val="0"/>
        <w:autoSpaceDN w:val="0"/>
        <w:adjustRightInd w:val="0"/>
        <w:spacing w:after="120"/>
        <w:ind w:left="720"/>
      </w:pPr>
      <w:r w:rsidRPr="007A6FE3">
        <w:t>(1) A statement that identifies the proposed changes;</w:t>
      </w:r>
    </w:p>
    <w:p w14:paraId="341FADEC" w14:textId="77777777" w:rsidR="00E303C5" w:rsidRPr="007A6FE3" w:rsidRDefault="00E303C5" w:rsidP="00E303C5">
      <w:pPr>
        <w:autoSpaceDE w:val="0"/>
        <w:autoSpaceDN w:val="0"/>
        <w:adjustRightInd w:val="0"/>
        <w:spacing w:after="120"/>
        <w:ind w:left="720"/>
      </w:pPr>
      <w:r w:rsidRPr="007A6FE3">
        <w:t>(2) A statement that public notice has been given in compliance with subparagraph (b)(1);</w:t>
      </w:r>
    </w:p>
    <w:p w14:paraId="3E60172B" w14:textId="77777777" w:rsidR="00E303C5" w:rsidRPr="007A6FE3" w:rsidRDefault="00E303C5" w:rsidP="00E303C5">
      <w:pPr>
        <w:autoSpaceDE w:val="0"/>
        <w:autoSpaceDN w:val="0"/>
        <w:adjustRightInd w:val="0"/>
        <w:spacing w:after="120"/>
        <w:ind w:left="720"/>
      </w:pPr>
      <w:r w:rsidRPr="007A6FE3">
        <w:t>(3) If an incumbent LEC provides public notice by any of the methods specified in paragraph (b)(1)(ii) of this section, a statement identifying the location of the change information and describing how this information can be obtained.</w:t>
      </w:r>
    </w:p>
    <w:p w14:paraId="07659DB3" w14:textId="77777777" w:rsidR="00E303C5" w:rsidRPr="007A6FE3" w:rsidRDefault="00E303C5" w:rsidP="00E303C5">
      <w:pPr>
        <w:autoSpaceDE w:val="0"/>
        <w:autoSpaceDN w:val="0"/>
        <w:adjustRightInd w:val="0"/>
        <w:spacing w:after="120"/>
        <w:ind w:left="720"/>
      </w:pPr>
      <w:r w:rsidRPr="007A6FE3">
        <w:t>(4) A statement that, at least five business days in advance of its filing with the Commission, the incumbent LEC served a copy of its public notice upon each information service provider and telecommunications service provider that directly interconnects with the incumbent LEC’s network;</w:t>
      </w:r>
    </w:p>
    <w:p w14:paraId="605F7DAB" w14:textId="77777777" w:rsidR="00E303C5" w:rsidRPr="007A6FE3" w:rsidRDefault="00E303C5" w:rsidP="00E303C5">
      <w:pPr>
        <w:autoSpaceDE w:val="0"/>
        <w:autoSpaceDN w:val="0"/>
        <w:adjustRightInd w:val="0"/>
        <w:spacing w:after="120"/>
        <w:ind w:left="720"/>
      </w:pPr>
      <w:r w:rsidRPr="007A6FE3">
        <w:t xml:space="preserve">(5) The name and address of each such information service provider and telecommunications service provider upon which written notification was served; </w:t>
      </w:r>
    </w:p>
    <w:p w14:paraId="4A64F850" w14:textId="77777777" w:rsidR="00E303C5" w:rsidRPr="007A6FE3" w:rsidRDefault="00E303C5" w:rsidP="00E303C5">
      <w:pPr>
        <w:autoSpaceDE w:val="0"/>
        <w:autoSpaceDN w:val="0"/>
        <w:adjustRightInd w:val="0"/>
        <w:spacing w:after="120"/>
        <w:ind w:left="720"/>
      </w:pPr>
      <w:r w:rsidRPr="007A6FE3">
        <w:t xml:space="preserve">(6) A statement that, at least five business days in advance of its filing with the Commission, the incumbent LEC served the direct notice required by subparagraph (c)(3) upon all affected retail </w:t>
      </w:r>
      <w:r w:rsidR="0009162F" w:rsidRPr="007A6FE3">
        <w:t>customers</w:t>
      </w:r>
      <w:r w:rsidRPr="007A6FE3">
        <w:t>;</w:t>
      </w:r>
    </w:p>
    <w:p w14:paraId="1E97042F" w14:textId="77777777" w:rsidR="00E303C5" w:rsidRPr="007A6FE3" w:rsidRDefault="00E303C5" w:rsidP="00E303C5">
      <w:pPr>
        <w:autoSpaceDE w:val="0"/>
        <w:autoSpaceDN w:val="0"/>
        <w:adjustRightInd w:val="0"/>
        <w:spacing w:after="120"/>
        <w:ind w:left="720"/>
      </w:pPr>
      <w:r w:rsidRPr="007A6FE3">
        <w:t xml:space="preserve">(7) A copy of the written notice provided to affected retail </w:t>
      </w:r>
      <w:r w:rsidR="0009162F" w:rsidRPr="007A6FE3">
        <w:t>customers</w:t>
      </w:r>
      <w:r w:rsidRPr="007A6FE3">
        <w:t>; and</w:t>
      </w:r>
    </w:p>
    <w:p w14:paraId="228840DD" w14:textId="77777777" w:rsidR="00E303C5" w:rsidRPr="007A6FE3" w:rsidRDefault="00E303C5" w:rsidP="00E303C5">
      <w:pPr>
        <w:autoSpaceDE w:val="0"/>
        <w:autoSpaceDN w:val="0"/>
        <w:adjustRightInd w:val="0"/>
        <w:spacing w:after="120"/>
        <w:ind w:left="720"/>
      </w:pPr>
      <w:r w:rsidRPr="007A6FE3">
        <w:t>(8) A statement that the incumbent LEC notified and submitted a copy of its public notice to the public utility commission and to the Governor of the State in which the network change is proposed, and also to the Secretary of Defense in compliance with section 51.325(c).</w:t>
      </w:r>
    </w:p>
    <w:p w14:paraId="602D2431" w14:textId="77777777" w:rsidR="00E303C5" w:rsidRPr="007A6FE3" w:rsidRDefault="00E303C5" w:rsidP="00E303C5">
      <w:pPr>
        <w:autoSpaceDE w:val="0"/>
        <w:autoSpaceDN w:val="0"/>
        <w:adjustRightInd w:val="0"/>
        <w:spacing w:after="120"/>
      </w:pPr>
      <w:r w:rsidRPr="007A6FE3">
        <w:t xml:space="preserve">(e) </w:t>
      </w:r>
      <w:r w:rsidRPr="007A6FE3">
        <w:rPr>
          <w:i/>
        </w:rPr>
        <w:t>Timing of Notice</w:t>
      </w:r>
      <w:r w:rsidRPr="007A6FE3">
        <w:t>.  An incumbent LEC must provide public notice of copper retirement at least ninety days before implementation pursuant to the procedures provided in subparagraph (b).</w:t>
      </w:r>
    </w:p>
    <w:p w14:paraId="3ED257B3" w14:textId="77777777" w:rsidR="00E303C5" w:rsidRPr="007A6FE3" w:rsidRDefault="00E303C5" w:rsidP="00E303C5">
      <w:pPr>
        <w:autoSpaceDE w:val="0"/>
        <w:autoSpaceDN w:val="0"/>
        <w:adjustRightInd w:val="0"/>
        <w:spacing w:after="120"/>
      </w:pPr>
      <w:r w:rsidRPr="007A6FE3">
        <w:t xml:space="preserve">(f) </w:t>
      </w:r>
      <w:r w:rsidRPr="007A6FE3">
        <w:rPr>
          <w:i/>
        </w:rPr>
        <w:t>Implementation Date</w:t>
      </w:r>
      <w:r w:rsidRPr="007A6FE3">
        <w:t xml:space="preserve">.  The Commission will release a public notice of filings of such notices of copper retirement.  The public notice will set forth the docket number and NCD number assigned by the Commission to the incumbent LEC’s notice.  Notices of copper retirement shall be deemed approved on the 90th day after the release of the Commission’s public notice of the filing, unless an objection is filed pursuant to paragraph (h) of this section or the Commission takes action pursuant to paragraph (l) of this section. </w:t>
      </w:r>
    </w:p>
    <w:p w14:paraId="267B3716" w14:textId="77777777" w:rsidR="00DD711E" w:rsidRPr="007A6FE3" w:rsidRDefault="00E303C5" w:rsidP="00101FB4">
      <w:pPr>
        <w:widowControl/>
        <w:autoSpaceDE w:val="0"/>
        <w:autoSpaceDN w:val="0"/>
        <w:adjustRightInd w:val="0"/>
        <w:spacing w:after="120"/>
      </w:pPr>
      <w:r w:rsidRPr="007A6FE3">
        <w:t xml:space="preserve">(g) </w:t>
      </w:r>
      <w:r w:rsidRPr="007A6FE3">
        <w:rPr>
          <w:i/>
        </w:rPr>
        <w:t>Interconnecting LEC Objection Procedures</w:t>
      </w:r>
      <w:r w:rsidRPr="007A6FE3">
        <w:t>.  An objection to an incumbent LEC’s notice that it intends to retire copper may be filed by an information service provider or telecommunications service provider that directly interconnects with the incumbent LEC’s network.  Such objections must be filed with the Commission, and served on the incumbent LEC, no later than the twenty-ninth day following the release of the Commission’s public notice.  All objections filed under this section must</w:t>
      </w:r>
      <w:r w:rsidR="00DD711E" w:rsidRPr="007A6FE3">
        <w:t>:</w:t>
      </w:r>
    </w:p>
    <w:p w14:paraId="5FFCFE4A" w14:textId="77777777" w:rsidR="00E303C5" w:rsidRPr="007A6FE3" w:rsidRDefault="00DD711E" w:rsidP="00750431">
      <w:pPr>
        <w:autoSpaceDE w:val="0"/>
        <w:autoSpaceDN w:val="0"/>
        <w:adjustRightInd w:val="0"/>
        <w:spacing w:after="120"/>
        <w:ind w:left="720"/>
      </w:pPr>
      <w:r w:rsidRPr="007A6FE3">
        <w:t>(1)</w:t>
      </w:r>
      <w:r w:rsidR="00E303C5" w:rsidRPr="007A6FE3">
        <w:t xml:space="preserve"> </w:t>
      </w:r>
      <w:r w:rsidRPr="007A6FE3">
        <w:t>S</w:t>
      </w:r>
      <w:r w:rsidR="00E303C5" w:rsidRPr="007A6FE3">
        <w:t>tate specific reasons why the objector cannot accommodate the incumbent LEC’s changes by the date stated in the incumbent LEC’s public notice and must indicate any specific technical information or other assistance required that would enable the objector to accommodate those changes;</w:t>
      </w:r>
    </w:p>
    <w:p w14:paraId="07B438AC" w14:textId="77777777" w:rsidR="00E303C5" w:rsidRPr="007A6FE3" w:rsidRDefault="00E303C5" w:rsidP="00E303C5">
      <w:pPr>
        <w:autoSpaceDE w:val="0"/>
        <w:autoSpaceDN w:val="0"/>
        <w:adjustRightInd w:val="0"/>
        <w:spacing w:after="120"/>
        <w:ind w:left="720"/>
      </w:pPr>
      <w:r w:rsidRPr="007A6FE3">
        <w:t>(</w:t>
      </w:r>
      <w:r w:rsidR="00DD711E" w:rsidRPr="007A6FE3">
        <w:t>2</w:t>
      </w:r>
      <w:r w:rsidRPr="007A6FE3">
        <w:t xml:space="preserve">) </w:t>
      </w:r>
      <w:r w:rsidR="00DD711E" w:rsidRPr="007A6FE3">
        <w:t>L</w:t>
      </w:r>
      <w:r w:rsidRPr="007A6FE3">
        <w:t>ist steps the objector is taking to accommodate the incumbent LEC’s changes on an expedited basis;</w:t>
      </w:r>
    </w:p>
    <w:p w14:paraId="27EEE585" w14:textId="77777777" w:rsidR="00E303C5" w:rsidRPr="007A6FE3" w:rsidRDefault="00E303C5" w:rsidP="00E303C5">
      <w:pPr>
        <w:autoSpaceDE w:val="0"/>
        <w:autoSpaceDN w:val="0"/>
        <w:adjustRightInd w:val="0"/>
        <w:spacing w:after="120"/>
        <w:ind w:left="720"/>
      </w:pPr>
      <w:r w:rsidRPr="007A6FE3">
        <w:t>(</w:t>
      </w:r>
      <w:r w:rsidR="00DD711E" w:rsidRPr="007A6FE3">
        <w:t>3</w:t>
      </w:r>
      <w:r w:rsidRPr="007A6FE3">
        <w:t xml:space="preserve">) </w:t>
      </w:r>
      <w:r w:rsidR="00DD711E" w:rsidRPr="007A6FE3">
        <w:t>S</w:t>
      </w:r>
      <w:r w:rsidRPr="007A6FE3">
        <w:t xml:space="preserve">tate the earliest possible date (not to exceed six months from the date the incumbent LEC gave its original public notice under this section) by which the objector anticipates that it can accommodate the incumbent LEC’s changes, assuming it receives the technical information or other assistance requested under paragraph (h) of this section; </w:t>
      </w:r>
    </w:p>
    <w:p w14:paraId="12E7DA4A" w14:textId="77777777" w:rsidR="00E303C5" w:rsidRPr="007A6FE3" w:rsidRDefault="00E303C5" w:rsidP="00E303C5">
      <w:pPr>
        <w:autoSpaceDE w:val="0"/>
        <w:autoSpaceDN w:val="0"/>
        <w:adjustRightInd w:val="0"/>
        <w:spacing w:after="120"/>
        <w:ind w:left="720"/>
      </w:pPr>
      <w:r w:rsidRPr="007A6FE3">
        <w:t>(</w:t>
      </w:r>
      <w:r w:rsidR="00DD711E" w:rsidRPr="007A6FE3">
        <w:t>4</w:t>
      </w:r>
      <w:r w:rsidRPr="007A6FE3">
        <w:t xml:space="preserve">) </w:t>
      </w:r>
      <w:r w:rsidR="00DD711E" w:rsidRPr="007A6FE3">
        <w:t>P</w:t>
      </w:r>
      <w:r w:rsidRPr="007A6FE3">
        <w:t>rovide any other information relevant to the objection; and</w:t>
      </w:r>
    </w:p>
    <w:p w14:paraId="63ADFA7C" w14:textId="77777777" w:rsidR="00E303C5" w:rsidRPr="007A6FE3" w:rsidRDefault="00E303C5" w:rsidP="00E303C5">
      <w:pPr>
        <w:autoSpaceDE w:val="0"/>
        <w:autoSpaceDN w:val="0"/>
        <w:adjustRightInd w:val="0"/>
        <w:spacing w:after="120"/>
        <w:ind w:left="720"/>
      </w:pPr>
      <w:r w:rsidRPr="007A6FE3">
        <w:t>(</w:t>
      </w:r>
      <w:r w:rsidR="00DD711E" w:rsidRPr="007A6FE3">
        <w:t>5</w:t>
      </w:r>
      <w:r w:rsidRPr="007A6FE3">
        <w:t>) Provide the following affidavit, executed by the objector’s president, chief executive officer, or other corporate officer or official, who has appropriate authority to bind the corporation, and knowledge of the details of the objector’s inability to adjust its network on a timely basis: </w:t>
      </w:r>
    </w:p>
    <w:p w14:paraId="246F4A54" w14:textId="77777777" w:rsidR="00E303C5" w:rsidRPr="007A6FE3" w:rsidRDefault="00E303C5" w:rsidP="00E303C5">
      <w:pPr>
        <w:autoSpaceDE w:val="0"/>
        <w:autoSpaceDN w:val="0"/>
        <w:adjustRightInd w:val="0"/>
        <w:spacing w:after="120"/>
        <w:ind w:left="1440"/>
      </w:pPr>
      <w:r w:rsidRPr="007A6FE3">
        <w:t xml:space="preserve">“I, (name and title), under oath and subject to penalty for perjury, certify that I have read this objection, that the statements contained in it are true, that there is good ground to support the objection, and that it is not interposed for purposes of delay. </w:t>
      </w:r>
      <w:r w:rsidR="00CE0027">
        <w:t xml:space="preserve"> </w:t>
      </w:r>
      <w:r w:rsidRPr="007A6FE3">
        <w:t>I have appropriate authority to make this certification on behalf of (objector) and I agree to provide any information the Commission may request to allow the Commission to evaluate the truthfulness and validity of the statements contained in this objection.”</w:t>
      </w:r>
    </w:p>
    <w:p w14:paraId="5C8345D7" w14:textId="77777777" w:rsidR="00E303C5" w:rsidRPr="007A6FE3" w:rsidRDefault="00E303C5" w:rsidP="00E303C5">
      <w:pPr>
        <w:autoSpaceDE w:val="0"/>
        <w:autoSpaceDN w:val="0"/>
        <w:adjustRightInd w:val="0"/>
        <w:spacing w:after="120"/>
      </w:pPr>
      <w:r w:rsidRPr="007A6FE3">
        <w:t xml:space="preserve">(h) </w:t>
      </w:r>
      <w:r w:rsidRPr="007A6FE3">
        <w:rPr>
          <w:i/>
        </w:rPr>
        <w:t>Responses to Objections</w:t>
      </w:r>
      <w:r w:rsidRPr="007A6FE3">
        <w:t xml:space="preserve">.  If an objection is filed, an incumbent LEC shall have until no later than the sixtieth business day following the release of the Commission’s public notice to file with the Commission a response to the objection and to serve the response on all parties that filed objections. </w:t>
      </w:r>
      <w:r w:rsidR="00CE0027">
        <w:t xml:space="preserve"> </w:t>
      </w:r>
      <w:r w:rsidRPr="007A6FE3">
        <w:t xml:space="preserve">An incumbent LEC’s response must: </w:t>
      </w:r>
    </w:p>
    <w:p w14:paraId="331B3454" w14:textId="77777777" w:rsidR="00E303C5" w:rsidRPr="007A6FE3" w:rsidRDefault="00E303C5" w:rsidP="00E303C5">
      <w:pPr>
        <w:autoSpaceDE w:val="0"/>
        <w:autoSpaceDN w:val="0"/>
        <w:adjustRightInd w:val="0"/>
        <w:spacing w:after="120"/>
        <w:ind w:left="720"/>
      </w:pPr>
      <w:r w:rsidRPr="007A6FE3">
        <w:t>(1) Provide information responsive to the allegations and concerns identified by the objectors;</w:t>
      </w:r>
    </w:p>
    <w:p w14:paraId="35B35195" w14:textId="77777777" w:rsidR="00E303C5" w:rsidRPr="007A6FE3" w:rsidRDefault="00E303C5" w:rsidP="00E303C5">
      <w:pPr>
        <w:autoSpaceDE w:val="0"/>
        <w:autoSpaceDN w:val="0"/>
        <w:adjustRightInd w:val="0"/>
        <w:spacing w:after="120"/>
        <w:ind w:left="720"/>
      </w:pPr>
      <w:r w:rsidRPr="007A6FE3">
        <w:t>(2) State whether any implementation date(s) proposed by the objector(s) are acceptable;</w:t>
      </w:r>
    </w:p>
    <w:p w14:paraId="3B4D9D84" w14:textId="77777777" w:rsidR="00E303C5" w:rsidRPr="007A6FE3" w:rsidRDefault="00E303C5" w:rsidP="00E303C5">
      <w:pPr>
        <w:autoSpaceDE w:val="0"/>
        <w:autoSpaceDN w:val="0"/>
        <w:adjustRightInd w:val="0"/>
        <w:spacing w:after="120"/>
        <w:ind w:left="720"/>
      </w:pPr>
      <w:r w:rsidRPr="007A6FE3">
        <w:t>(3) Indicate any specific technical assistance that the incumbent LEC is willing to give to the objectors; and</w:t>
      </w:r>
    </w:p>
    <w:p w14:paraId="2BA0A95F" w14:textId="77777777" w:rsidR="00E303C5" w:rsidRPr="007A6FE3" w:rsidRDefault="00E303C5" w:rsidP="00E303C5">
      <w:pPr>
        <w:autoSpaceDE w:val="0"/>
        <w:autoSpaceDN w:val="0"/>
        <w:adjustRightInd w:val="0"/>
        <w:spacing w:after="120"/>
        <w:ind w:left="720"/>
      </w:pPr>
      <w:r w:rsidRPr="007A6FE3">
        <w:t>(4) Provide any other relevant information.</w:t>
      </w:r>
    </w:p>
    <w:p w14:paraId="4D8E61E0" w14:textId="77777777" w:rsidR="00E303C5" w:rsidRPr="007A6FE3" w:rsidRDefault="00E303C5" w:rsidP="00E303C5">
      <w:pPr>
        <w:autoSpaceDE w:val="0"/>
        <w:autoSpaceDN w:val="0"/>
        <w:adjustRightInd w:val="0"/>
        <w:spacing w:after="120"/>
      </w:pPr>
      <w:r w:rsidRPr="007A6FE3">
        <w:t xml:space="preserve">(i) </w:t>
      </w:r>
      <w:r w:rsidRPr="007A6FE3">
        <w:rPr>
          <w:i/>
        </w:rPr>
        <w:t>Resolution of Objections to Timing</w:t>
      </w:r>
      <w:r w:rsidRPr="007A6FE3">
        <w:t xml:space="preserve">. </w:t>
      </w:r>
      <w:r w:rsidR="00CE0027">
        <w:t xml:space="preserve"> </w:t>
      </w:r>
      <w:r w:rsidRPr="007A6FE3">
        <w:t xml:space="preserve">If an objection based on timing is filed pursuant to paragraph (h) of this section, then the Chief, Wireline Competition Bureau, will issue an order determining a reasonable public notice period, provided however, that if an incumbent LEC does not file a response within the time period allotted, or if the incumbent LEC’s response accepts the latest implementation date stated by an objector, then the incumbent LEC’s public notice shall be deemed amended to specify the implementation date requested by the objector, without further Commission action. </w:t>
      </w:r>
      <w:r w:rsidR="00CE0027">
        <w:t xml:space="preserve"> </w:t>
      </w:r>
      <w:r w:rsidRPr="007A6FE3">
        <w:t xml:space="preserve">An incumbent LEC must amend its public notice to reflect any change in the applicable implementation date pursuant to subparagraph (b). </w:t>
      </w:r>
    </w:p>
    <w:p w14:paraId="6A4DA956" w14:textId="77777777" w:rsidR="00E303C5" w:rsidRPr="007A6FE3" w:rsidRDefault="00B07B94" w:rsidP="00101FB4">
      <w:pPr>
        <w:keepNext/>
        <w:autoSpaceDE w:val="0"/>
        <w:autoSpaceDN w:val="0"/>
        <w:adjustRightInd w:val="0"/>
        <w:spacing w:after="120"/>
      </w:pPr>
      <w:r w:rsidRPr="007A6FE3">
        <w:t>5</w:t>
      </w:r>
      <w:r w:rsidR="00E303C5" w:rsidRPr="007A6FE3">
        <w:t>.  Amend § 51.333 by revising the heading and paragraphs (</w:t>
      </w:r>
      <w:r w:rsidR="00D53434" w:rsidRPr="007A6FE3">
        <w:t>b</w:t>
      </w:r>
      <w:r w:rsidR="00E303C5" w:rsidRPr="007A6FE3">
        <w:t>)-(c) to read as follows and deleting paragraph (f).</w:t>
      </w:r>
    </w:p>
    <w:p w14:paraId="406635B6" w14:textId="77777777" w:rsidR="00E303C5" w:rsidRPr="007A6FE3" w:rsidRDefault="00E303C5" w:rsidP="00E303C5">
      <w:pPr>
        <w:autoSpaceDE w:val="0"/>
        <w:autoSpaceDN w:val="0"/>
        <w:adjustRightInd w:val="0"/>
        <w:spacing w:after="120"/>
        <w:rPr>
          <w:b/>
        </w:rPr>
      </w:pPr>
      <w:r w:rsidRPr="007A6FE3">
        <w:rPr>
          <w:b/>
        </w:rPr>
        <w:t>§ 51.333 Notice of network changes: Short term notice, objections thereto.</w:t>
      </w:r>
    </w:p>
    <w:p w14:paraId="2C276F6B" w14:textId="77777777" w:rsidR="00E303C5" w:rsidRPr="007A6FE3" w:rsidRDefault="0052088A" w:rsidP="00135367">
      <w:pPr>
        <w:autoSpaceDE w:val="0"/>
        <w:autoSpaceDN w:val="0"/>
        <w:adjustRightInd w:val="0"/>
        <w:spacing w:after="120"/>
        <w:jc w:val="both"/>
      </w:pPr>
      <w:r w:rsidRPr="007A6FE3">
        <w:t>* * * * *</w:t>
      </w:r>
      <w:bookmarkStart w:id="642" w:name="co_anchor_I8017209243F611E083E0CD9471F91"/>
      <w:bookmarkStart w:id="643" w:name="co_anchor_I8017209343F611E083E0CD9471F91"/>
      <w:bookmarkStart w:id="644" w:name="co_anchor_I8017209443F611E083E0CD9471F91"/>
      <w:bookmarkEnd w:id="642"/>
      <w:bookmarkEnd w:id="643"/>
      <w:bookmarkEnd w:id="644"/>
    </w:p>
    <w:p w14:paraId="7FEA2FB6" w14:textId="77777777" w:rsidR="00E303C5" w:rsidRPr="007A6FE3" w:rsidRDefault="00E303C5" w:rsidP="00E303C5">
      <w:pPr>
        <w:autoSpaceDE w:val="0"/>
        <w:autoSpaceDN w:val="0"/>
        <w:adjustRightInd w:val="0"/>
        <w:spacing w:after="120"/>
        <w:jc w:val="both"/>
      </w:pPr>
      <w:r w:rsidRPr="007A6FE3">
        <w:t xml:space="preserve">(b) Implementation date. </w:t>
      </w:r>
      <w:r w:rsidR="00CE0027">
        <w:t xml:space="preserve"> </w:t>
      </w:r>
      <w:r w:rsidRPr="007A6FE3">
        <w:t xml:space="preserve">The Commission will release a public notice of filings of such short term notices. </w:t>
      </w:r>
      <w:r w:rsidR="00CE0027">
        <w:t xml:space="preserve"> </w:t>
      </w:r>
      <w:r w:rsidRPr="007A6FE3">
        <w:t xml:space="preserve">The public notice will set forth the docket number assigned by the Commission to the incumbent LEC’s notice. </w:t>
      </w:r>
      <w:r w:rsidR="00CE0027">
        <w:t xml:space="preserve"> </w:t>
      </w:r>
      <w:r w:rsidRPr="007A6FE3">
        <w:t xml:space="preserve">The effective date of the network changes referenced in those filings shall be </w:t>
      </w:r>
      <w:bookmarkStart w:id="645" w:name="co_anchor_I8017209543F611E083E0CD9471F91"/>
      <w:bookmarkEnd w:id="645"/>
      <w:r w:rsidRPr="007A6FE3">
        <w:t>deemed final on the tenth business day after the release of the Commission’s public notice, unless an objection is filed pursuant to paragraph (c) of this section.</w:t>
      </w:r>
      <w:bookmarkStart w:id="646" w:name="co_anchor_I8017209643F611E083E0CD9471F91"/>
      <w:bookmarkEnd w:id="646"/>
    </w:p>
    <w:p w14:paraId="56356322" w14:textId="77777777" w:rsidR="00E303C5" w:rsidRPr="007A6FE3" w:rsidRDefault="00E303C5" w:rsidP="00E303C5">
      <w:pPr>
        <w:autoSpaceDE w:val="0"/>
        <w:autoSpaceDN w:val="0"/>
        <w:adjustRightInd w:val="0"/>
        <w:spacing w:after="120"/>
        <w:jc w:val="both"/>
      </w:pPr>
      <w:bookmarkStart w:id="647" w:name="co_anchor_I8017209743F611E083E0CD9471F91"/>
      <w:bookmarkEnd w:id="647"/>
      <w:r w:rsidRPr="007A6FE3">
        <w:t xml:space="preserve">(c) Objection procedures for short term notice. </w:t>
      </w:r>
      <w:r w:rsidR="00CE0027">
        <w:t xml:space="preserve"> </w:t>
      </w:r>
      <w:r w:rsidRPr="007A6FE3">
        <w:t xml:space="preserve">An objection to an incumbent LEC’s short term notice may be filed by an information service provider or telecommunications service provider that directly interconnects with the incumbent LEC’s network. </w:t>
      </w:r>
      <w:r w:rsidR="00CE0027">
        <w:t xml:space="preserve"> </w:t>
      </w:r>
      <w:r w:rsidRPr="007A6FE3">
        <w:t xml:space="preserve">Such objections must be filed with the Commission, and served on the incumbent LEC, no later than the ninth business day following the release of the Commission’s public notice. </w:t>
      </w:r>
      <w:r w:rsidR="00CE0027">
        <w:t xml:space="preserve"> </w:t>
      </w:r>
      <w:r w:rsidRPr="007A6FE3">
        <w:t>All objections filed under this section must:</w:t>
      </w:r>
      <w:bookmarkStart w:id="648" w:name="co_anchor_I8017209843F611E083E0CD9471F91"/>
      <w:bookmarkEnd w:id="648"/>
    </w:p>
    <w:p w14:paraId="5928FFAB" w14:textId="77777777" w:rsidR="00E303C5" w:rsidRPr="007A6FE3" w:rsidRDefault="00E303C5" w:rsidP="00E303C5">
      <w:pPr>
        <w:autoSpaceDE w:val="0"/>
        <w:autoSpaceDN w:val="0"/>
        <w:adjustRightInd w:val="0"/>
        <w:spacing w:after="120"/>
        <w:ind w:left="720"/>
        <w:jc w:val="both"/>
      </w:pPr>
      <w:r w:rsidRPr="007A6FE3">
        <w:t>(1) State specific reasons why the objector cannot accommodate the incumbent LEC’s changes by the date stated in the incumbent LEC’s public notice and must indicate any specific technical information or other assistance required that would enable the objector to accommodate those changes;</w:t>
      </w:r>
      <w:bookmarkStart w:id="649" w:name="co_anchor_I8017209943F611E083E0CD9471F91"/>
      <w:bookmarkEnd w:id="649"/>
    </w:p>
    <w:p w14:paraId="14E527AE" w14:textId="77777777" w:rsidR="00780259" w:rsidRPr="007A6FE3" w:rsidRDefault="00E303C5" w:rsidP="00E303C5">
      <w:pPr>
        <w:autoSpaceDE w:val="0"/>
        <w:autoSpaceDN w:val="0"/>
        <w:adjustRightInd w:val="0"/>
        <w:spacing w:after="120"/>
        <w:ind w:left="720"/>
        <w:jc w:val="both"/>
      </w:pPr>
      <w:r w:rsidRPr="007A6FE3">
        <w:t>(2) List steps the objector is taking to accommodate the incumbent LEC’s changes on an expedited basis;</w:t>
      </w:r>
      <w:bookmarkStart w:id="650" w:name="co_anchor_I8017209A43F611E083E0CD9471F91"/>
      <w:bookmarkStart w:id="651" w:name="co_pp_b1b5000051ac5_1"/>
      <w:bookmarkEnd w:id="650"/>
      <w:bookmarkEnd w:id="651"/>
    </w:p>
    <w:p w14:paraId="362FE88C" w14:textId="77777777" w:rsidR="00780259" w:rsidRPr="007A6FE3" w:rsidRDefault="00E303C5" w:rsidP="00E303C5">
      <w:pPr>
        <w:autoSpaceDE w:val="0"/>
        <w:autoSpaceDN w:val="0"/>
        <w:adjustRightInd w:val="0"/>
        <w:spacing w:after="120"/>
        <w:ind w:left="720"/>
        <w:jc w:val="both"/>
      </w:pPr>
      <w:r w:rsidRPr="007A6FE3">
        <w:t>(3) State the earliest possible date (not to exceed six months from the date the incumbent LEC gave its original public notice under this section) by which the objector anticipates that it can accommodate the incumbent LEC’s changes, assuming it receives the technical information or other assistance requested under paragraph (c)(1) of this section;</w:t>
      </w:r>
      <w:bookmarkStart w:id="652" w:name="co_anchor_I8017209B43F611E083E0CD9471F91"/>
      <w:bookmarkStart w:id="653" w:name="co_pp_0c120000563a1_1"/>
      <w:bookmarkEnd w:id="652"/>
      <w:bookmarkEnd w:id="653"/>
    </w:p>
    <w:p w14:paraId="66F90E63" w14:textId="77777777" w:rsidR="007E6B1A" w:rsidRPr="007A6FE3" w:rsidRDefault="00E303C5" w:rsidP="00E303C5">
      <w:pPr>
        <w:autoSpaceDE w:val="0"/>
        <w:autoSpaceDN w:val="0"/>
        <w:adjustRightInd w:val="0"/>
        <w:spacing w:after="120"/>
        <w:ind w:left="720"/>
        <w:jc w:val="both"/>
      </w:pPr>
      <w:r w:rsidRPr="007A6FE3">
        <w:t>(4) Provide any other information relevant to the objection; and</w:t>
      </w:r>
      <w:bookmarkStart w:id="654" w:name="co_anchor_I8017209C43F611E083E0CD9471F91"/>
      <w:bookmarkStart w:id="655" w:name="co_pp_a83c0000180e0_1"/>
      <w:bookmarkEnd w:id="654"/>
      <w:bookmarkEnd w:id="655"/>
    </w:p>
    <w:p w14:paraId="7BA9C966" w14:textId="77777777" w:rsidR="00E303C5" w:rsidRPr="007A6FE3" w:rsidRDefault="00E303C5" w:rsidP="00E303C5">
      <w:pPr>
        <w:autoSpaceDE w:val="0"/>
        <w:autoSpaceDN w:val="0"/>
        <w:adjustRightInd w:val="0"/>
        <w:spacing w:after="120"/>
        <w:ind w:left="720"/>
        <w:jc w:val="both"/>
      </w:pPr>
      <w:r w:rsidRPr="007A6FE3">
        <w:t>(5) Provide the following affidavit, executed by the objector’s president, chief executive officer, or other corporate officer or official, who has appropriate authority to bind the corporation, and knowledge of the details of the objector’s inability to adjust its network on a timely basis: </w:t>
      </w:r>
      <w:bookmarkStart w:id="656" w:name="co_anchor_I8017209D43F611E083E0CD9471F91"/>
      <w:bookmarkEnd w:id="656"/>
    </w:p>
    <w:p w14:paraId="3BA03B4D" w14:textId="77777777" w:rsidR="00E303C5" w:rsidRPr="007A6FE3" w:rsidRDefault="00E303C5" w:rsidP="00E303C5">
      <w:pPr>
        <w:autoSpaceDE w:val="0"/>
        <w:autoSpaceDN w:val="0"/>
        <w:adjustRightInd w:val="0"/>
        <w:spacing w:after="120"/>
        <w:ind w:left="1440" w:right="720"/>
      </w:pPr>
      <w:r w:rsidRPr="007A6FE3">
        <w:t xml:space="preserve">“I, (name and title), under oath and subject to penalty for perjury, certify that I have read this objection, that the statements contained in it are true, that there is good ground to support the objection, and that it is not interposed for purposes of delay. </w:t>
      </w:r>
      <w:r w:rsidR="00CE0027">
        <w:t xml:space="preserve"> </w:t>
      </w:r>
      <w:r w:rsidRPr="007A6FE3">
        <w:t>I have appropriate authority to make this certification on behalf of (objector) and I agree to provide any information the Commission may request to allow the Commission to evaluate the truthfulness and validity of the statements contained in this objection.”</w:t>
      </w:r>
      <w:bookmarkStart w:id="657" w:name="co_anchor_I801747A043F611E083E0CD9471F91"/>
      <w:bookmarkStart w:id="658" w:name="co_anchor_I8017209143F611E083E0CD9471F91"/>
      <w:bookmarkEnd w:id="657"/>
      <w:bookmarkEnd w:id="658"/>
    </w:p>
    <w:p w14:paraId="0D0FCC85" w14:textId="77777777" w:rsidR="002B4437" w:rsidRPr="007A6FE3" w:rsidRDefault="00E303C5" w:rsidP="007B536F">
      <w:pPr>
        <w:autoSpaceDE w:val="0"/>
        <w:autoSpaceDN w:val="0"/>
        <w:adjustRightInd w:val="0"/>
        <w:spacing w:after="120"/>
        <w:ind w:right="720"/>
      </w:pPr>
      <w:r w:rsidRPr="007A6FE3">
        <w:t>* * * *</w:t>
      </w:r>
      <w:r w:rsidR="00C0043B" w:rsidRPr="007A6FE3">
        <w:t xml:space="preserve"> *</w:t>
      </w:r>
    </w:p>
    <w:p w14:paraId="3225D219" w14:textId="77777777" w:rsidR="00AF41C2" w:rsidRPr="007A6FE3" w:rsidRDefault="00AF41C2" w:rsidP="00135367">
      <w:pPr>
        <w:autoSpaceDE w:val="0"/>
        <w:autoSpaceDN w:val="0"/>
        <w:adjustRightInd w:val="0"/>
        <w:spacing w:after="120"/>
        <w:ind w:left="720"/>
        <w:jc w:val="both"/>
        <w:rPr>
          <w:rFonts w:asciiTheme="minorHAnsi" w:eastAsiaTheme="minorHAnsi" w:hAnsiTheme="minorHAnsi" w:cstheme="minorBidi"/>
          <w:snapToGrid/>
          <w:kern w:val="0"/>
          <w:szCs w:val="22"/>
        </w:rPr>
      </w:pPr>
      <w:bookmarkStart w:id="659" w:name="f_2_i"/>
      <w:bookmarkEnd w:id="659"/>
    </w:p>
    <w:p w14:paraId="6FF9E35E" w14:textId="77777777" w:rsidR="00994EB4" w:rsidRPr="007A6FE3" w:rsidRDefault="00994EB4">
      <w:pPr>
        <w:rPr>
          <w:szCs w:val="22"/>
        </w:rPr>
        <w:sectPr w:rsidR="00994EB4" w:rsidRPr="007A6FE3" w:rsidSect="00BD7D96">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pPr>
    </w:p>
    <w:p w14:paraId="609488A1" w14:textId="09917A2C" w:rsidR="00AB126A" w:rsidRPr="007A6FE3" w:rsidRDefault="006B6124" w:rsidP="00AB126A">
      <w:pPr>
        <w:jc w:val="center"/>
        <w:rPr>
          <w:b/>
        </w:rPr>
      </w:pPr>
      <w:r w:rsidRPr="007A6FE3">
        <w:rPr>
          <w:b/>
        </w:rPr>
        <w:t>A</w:t>
      </w:r>
      <w:r w:rsidR="00790CBD" w:rsidRPr="007A6FE3">
        <w:rPr>
          <w:b/>
        </w:rPr>
        <w:t>PPENDIX</w:t>
      </w:r>
      <w:r w:rsidRPr="007A6FE3">
        <w:rPr>
          <w:b/>
        </w:rPr>
        <w:t xml:space="preserve"> </w:t>
      </w:r>
      <w:r w:rsidR="00103499" w:rsidRPr="007A6FE3">
        <w:rPr>
          <w:b/>
        </w:rPr>
        <w:t>B</w:t>
      </w:r>
    </w:p>
    <w:p w14:paraId="3D4A6F84" w14:textId="77777777" w:rsidR="00790CBD" w:rsidRPr="007A6FE3" w:rsidRDefault="00790CBD" w:rsidP="00AB126A">
      <w:pPr>
        <w:jc w:val="center"/>
        <w:rPr>
          <w:b/>
        </w:rPr>
      </w:pPr>
    </w:p>
    <w:p w14:paraId="6BA4EB6C" w14:textId="77777777" w:rsidR="00AB126A" w:rsidRPr="007A6FE3" w:rsidRDefault="00AB126A" w:rsidP="003F0F7D">
      <w:pPr>
        <w:spacing w:after="360"/>
        <w:jc w:val="center"/>
        <w:rPr>
          <w:b/>
        </w:rPr>
      </w:pPr>
      <w:r w:rsidRPr="007A6FE3">
        <w:rPr>
          <w:b/>
        </w:rPr>
        <w:t>Initial Regulatory Flexibility Analysis</w:t>
      </w:r>
    </w:p>
    <w:p w14:paraId="30E89196" w14:textId="77777777" w:rsidR="000F6490" w:rsidRPr="007A6FE3" w:rsidRDefault="000F6490" w:rsidP="003F0F7D">
      <w:pPr>
        <w:pStyle w:val="ParaNum0"/>
        <w:numPr>
          <w:ilvl w:val="0"/>
          <w:numId w:val="20"/>
        </w:numPr>
        <w:tabs>
          <w:tab w:val="num" w:pos="1440"/>
        </w:tabs>
        <w:rPr>
          <w:spacing w:val="-3"/>
        </w:rPr>
      </w:pPr>
      <w:r w:rsidRPr="007A6FE3">
        <w:rPr>
          <w:spacing w:val="-3"/>
        </w:rPr>
        <w:t>As required by the Regulatory Flexibility Act (RFA),</w:t>
      </w:r>
      <w:r w:rsidRPr="007A6FE3">
        <w:rPr>
          <w:rStyle w:val="FootnoteReference"/>
          <w:spacing w:val="-3"/>
        </w:rPr>
        <w:footnoteReference w:id="244"/>
      </w:r>
      <w:r w:rsidRPr="007A6FE3">
        <w:rPr>
          <w:spacing w:val="-3"/>
        </w:rPr>
        <w:t xml:space="preserve"> the Commission has prepared this present Initial Regulatory Flexibility Analysis (IRFA) of the possible significant economic impact on small entities by the policies and rules proposed in this Notice of Proposed Rule Making (Notice).  Written public comments are requested on this IRFA.  Comments must be identified as responses to the IRFA and must be filed by the deadlines for comments provided in paragraph [insert] of this Notice.  The Commission will send a copy of this Notice, including this IRFA, to the Chief Counsel for Advocacy of the Small Business Administration (SBA).</w:t>
      </w:r>
      <w:r w:rsidRPr="007A6FE3">
        <w:rPr>
          <w:rStyle w:val="FootnoteReference"/>
          <w:spacing w:val="-3"/>
        </w:rPr>
        <w:footnoteReference w:id="245"/>
      </w:r>
      <w:r w:rsidRPr="007A6FE3">
        <w:rPr>
          <w:spacing w:val="-3"/>
        </w:rPr>
        <w:t xml:space="preserve">  In addition, the Notice and IRFA (or summaries thereof) will be published in the Federal Register.</w:t>
      </w:r>
      <w:r w:rsidRPr="007A6FE3">
        <w:rPr>
          <w:rStyle w:val="FootnoteReference"/>
          <w:spacing w:val="-3"/>
        </w:rPr>
        <w:footnoteReference w:id="246"/>
      </w:r>
    </w:p>
    <w:p w14:paraId="6525EB00" w14:textId="77777777" w:rsidR="000F6490" w:rsidRPr="007A6FE3" w:rsidRDefault="000F6490" w:rsidP="00B52F96">
      <w:pPr>
        <w:pStyle w:val="Heading2"/>
        <w:rPr>
          <w:spacing w:val="-3"/>
        </w:rPr>
      </w:pPr>
      <w:bookmarkStart w:id="660" w:name="_Toc399947733"/>
      <w:bookmarkStart w:id="661" w:name="_Toc400554041"/>
      <w:bookmarkStart w:id="662" w:name="_Toc400566850"/>
      <w:bookmarkStart w:id="663" w:name="_Toc400711720"/>
      <w:bookmarkStart w:id="664" w:name="_Toc400719670"/>
      <w:bookmarkStart w:id="665" w:name="_Toc401299445"/>
      <w:bookmarkStart w:id="666" w:name="_Toc401307010"/>
      <w:bookmarkStart w:id="667" w:name="_Toc401314174"/>
      <w:bookmarkStart w:id="668" w:name="_Toc401314323"/>
      <w:bookmarkStart w:id="669" w:name="_Toc401329841"/>
      <w:bookmarkStart w:id="670" w:name="_Toc401595644"/>
      <w:bookmarkStart w:id="671" w:name="_Toc401658201"/>
      <w:bookmarkStart w:id="672" w:name="_Toc401821703"/>
      <w:bookmarkStart w:id="673" w:name="_Toc401912171"/>
      <w:bookmarkStart w:id="674" w:name="_Toc402255425"/>
      <w:bookmarkStart w:id="675" w:name="_Toc402276208"/>
      <w:bookmarkStart w:id="676" w:name="_Toc402360450"/>
      <w:bookmarkStart w:id="677" w:name="_Toc402511512"/>
      <w:bookmarkStart w:id="678" w:name="_Toc403566421"/>
      <w:bookmarkStart w:id="679" w:name="_Toc404072132"/>
      <w:bookmarkStart w:id="680" w:name="_Toc404081328"/>
      <w:bookmarkStart w:id="681" w:name="_Toc404165807"/>
      <w:bookmarkStart w:id="682" w:name="_Toc404165885"/>
      <w:bookmarkStart w:id="683" w:name="_Toc404172440"/>
      <w:bookmarkStart w:id="684" w:name="_Toc404181494"/>
      <w:bookmarkStart w:id="685" w:name="_Toc404183087"/>
      <w:bookmarkStart w:id="686" w:name="_Toc404246633"/>
      <w:r w:rsidRPr="007A6FE3">
        <w:rPr>
          <w:szCs w:val="22"/>
        </w:rPr>
        <w:t>Need</w:t>
      </w:r>
      <w:r w:rsidRPr="007A6FE3">
        <w:t xml:space="preserve"> </w:t>
      </w:r>
      <w:r w:rsidRPr="007A6FE3">
        <w:rPr>
          <w:szCs w:val="22"/>
        </w:rPr>
        <w:t>for</w:t>
      </w:r>
      <w:r w:rsidRPr="007A6FE3">
        <w:t>, and Objectives of, the Proposed Rules</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p>
    <w:p w14:paraId="7AB55216" w14:textId="77777777" w:rsidR="000F6490" w:rsidRPr="007A6FE3" w:rsidRDefault="000F6490" w:rsidP="00AD7E49">
      <w:pPr>
        <w:pStyle w:val="ParaNum0"/>
      </w:pPr>
      <w:r w:rsidRPr="007A6FE3">
        <w:t xml:space="preserve">The Notice proposes new steps to address competition and consumer protection issues in connection with copper </w:t>
      </w:r>
      <w:r w:rsidRPr="007A6FE3">
        <w:rPr>
          <w:spacing w:val="-3"/>
        </w:rPr>
        <w:t>retirement</w:t>
      </w:r>
      <w:r w:rsidRPr="007A6FE3">
        <w:t>, service transitions, and related issues.  The Commission has recognized that the Nation’s communications networks are in the midst of a technological revolution involving the transition from a network based on time-division multiplexed (TDM) circuit-switched voice services running on copper loops to an all-Internet Protocol (IP) multi-media network using copper, co-axial cable, wireless, and fiber as physical infrastructure.  The Commission has also recognized the need to ensure our core values as we move further toward the tipping point of the technology transition.  Thus, the Commission seeks comment on a variety of issues in the following areas.</w:t>
      </w:r>
    </w:p>
    <w:p w14:paraId="191B1632" w14:textId="77777777" w:rsidR="00CE4D2B" w:rsidRPr="007A6FE3" w:rsidRDefault="00CE4D2B" w:rsidP="007B536F">
      <w:pPr>
        <w:pStyle w:val="ParaNum0"/>
      </w:pPr>
      <w:r w:rsidRPr="007A6FE3">
        <w:t xml:space="preserve">First, the Notice </w:t>
      </w:r>
      <w:r w:rsidR="007B536F" w:rsidRPr="007A6FE3">
        <w:t>proposes and seeks comment on steps the Commission could take to safeguard continuity of communications throughout a power outage, including the possible adoption of new rules in this area</w:t>
      </w:r>
      <w:r w:rsidRPr="007A6FE3">
        <w:t>.</w:t>
      </w:r>
      <w:r w:rsidRPr="007A6FE3">
        <w:rPr>
          <w:rStyle w:val="FootnoteReference"/>
          <w:szCs w:val="22"/>
        </w:rPr>
        <w:footnoteReference w:id="247"/>
      </w:r>
      <w:r w:rsidR="00431A34" w:rsidRPr="007A6FE3">
        <w:t xml:space="preserve">  </w:t>
      </w:r>
    </w:p>
    <w:p w14:paraId="3F2F4DE9" w14:textId="77777777" w:rsidR="000F6490" w:rsidRPr="007A6FE3" w:rsidRDefault="00CE4D2B" w:rsidP="00AD7E49">
      <w:pPr>
        <w:pStyle w:val="ParaNum0"/>
      </w:pPr>
      <w:r w:rsidRPr="007A6FE3">
        <w:t>Second</w:t>
      </w:r>
      <w:r w:rsidR="000F6490" w:rsidRPr="007A6FE3">
        <w:t xml:space="preserve">, the Notice seeks comment on a proposed definition of copper retirement that includes within its purview copper loops, </w:t>
      </w:r>
      <w:r w:rsidR="000F6490" w:rsidRPr="007A6FE3">
        <w:rPr>
          <w:spacing w:val="-3"/>
        </w:rPr>
        <w:t>subloops</w:t>
      </w:r>
      <w:r w:rsidR="000F6490" w:rsidRPr="007A6FE3">
        <w:t>, and the feeder portion of the loop, and the removing and disabling of those loops, subloops and feeder portion of the loops.</w:t>
      </w:r>
      <w:r w:rsidR="000F6490" w:rsidRPr="007A6FE3">
        <w:rPr>
          <w:rStyle w:val="FootnoteReference"/>
        </w:rPr>
        <w:footnoteReference w:id="248"/>
      </w:r>
      <w:r w:rsidR="000F6490" w:rsidRPr="007A6FE3">
        <w:t xml:space="preserve">  </w:t>
      </w:r>
    </w:p>
    <w:p w14:paraId="14CCC401" w14:textId="77777777" w:rsidR="000F6490" w:rsidRPr="007A6FE3" w:rsidRDefault="00CD56F1" w:rsidP="00AD7E49">
      <w:pPr>
        <w:pStyle w:val="ParaNum0"/>
      </w:pPr>
      <w:r w:rsidRPr="007A6FE3">
        <w:t>Third</w:t>
      </w:r>
      <w:r w:rsidR="000F6490" w:rsidRPr="007A6FE3">
        <w:t>, the Notice seeks comment on whether and how the Commission’s rules should ensure that incumbent LECs maintain copper facilities for which they have not undergone the retirement process.</w:t>
      </w:r>
      <w:r w:rsidR="008541C5" w:rsidRPr="007A6FE3">
        <w:rPr>
          <w:rStyle w:val="FootnoteReference"/>
        </w:rPr>
        <w:footnoteReference w:id="249"/>
      </w:r>
      <w:r w:rsidR="000F6490" w:rsidRPr="007A6FE3">
        <w:t xml:space="preserve">  The Notice also seeks comment on whether and how the Commission should revise its rules to address inadequate maintenance, including whether to define retirement to include </w:t>
      </w:r>
      <w:r w:rsidR="000F6490" w:rsidRPr="007A6FE3">
        <w:rPr>
          <w:i/>
        </w:rPr>
        <w:t>de facto</w:t>
      </w:r>
      <w:r w:rsidR="000F6490" w:rsidRPr="007A6FE3">
        <w:t xml:space="preserve"> retirement, i.e., failure to maintain copper that is the functional equivalent of removal or disabling.  </w:t>
      </w:r>
    </w:p>
    <w:p w14:paraId="0E882479" w14:textId="77777777" w:rsidR="000F6490" w:rsidRPr="007A6FE3" w:rsidRDefault="00CD56F1" w:rsidP="00AD7E49">
      <w:pPr>
        <w:pStyle w:val="ParaNum0"/>
      </w:pPr>
      <w:r w:rsidRPr="007A6FE3">
        <w:t>Fourth</w:t>
      </w:r>
      <w:r w:rsidR="000F6490" w:rsidRPr="007A6FE3">
        <w:t xml:space="preserve">, the Notice </w:t>
      </w:r>
      <w:r w:rsidR="000F6490" w:rsidRPr="007A6FE3">
        <w:rPr>
          <w:spacing w:val="-3"/>
        </w:rPr>
        <w:t>seeks</w:t>
      </w:r>
      <w:r w:rsidR="000F6490" w:rsidRPr="007A6FE3">
        <w:t xml:space="preserve"> comment on modifications to the Commission’s existing network change disclosure rules.</w:t>
      </w:r>
      <w:r w:rsidR="000F6490" w:rsidRPr="007A6FE3">
        <w:rPr>
          <w:rStyle w:val="FootnoteReference"/>
        </w:rPr>
        <w:footnoteReference w:id="250"/>
      </w:r>
      <w:r w:rsidR="000F6490" w:rsidRPr="007A6FE3">
        <w:t xml:space="preserve">  These rule revisions would expand notice, comment, and objection requirements for notices of network change.  Specifically, the Notice seeks comment on whether to:  (1) encompass the feeder portion of copper loops and subloops in the rules; (2) require direct notification to all interconnecting carriers plus a public no</w:t>
      </w:r>
      <w:r w:rsidR="0071640A" w:rsidRPr="007A6FE3">
        <w:t>tice filed with the Commission;</w:t>
      </w:r>
      <w:r w:rsidR="000F6490" w:rsidRPr="007A6FE3">
        <w:t xml:space="preserve"> (3) extend the minimum time for providing notice of copper retirements; (4) expand the notice requirement </w:t>
      </w:r>
      <w:r w:rsidR="000F6490" w:rsidRPr="007A6FE3">
        <w:rPr>
          <w:szCs w:val="22"/>
        </w:rPr>
        <w:t xml:space="preserve">to </w:t>
      </w:r>
      <w:r w:rsidR="0009162F" w:rsidRPr="007A6FE3">
        <w:rPr>
          <w:szCs w:val="22"/>
        </w:rPr>
        <w:t>retail customers</w:t>
      </w:r>
      <w:r w:rsidR="000F6490" w:rsidRPr="007A6FE3">
        <w:rPr>
          <w:szCs w:val="22"/>
        </w:rPr>
        <w:t xml:space="preserve">; (5) </w:t>
      </w:r>
      <w:r w:rsidR="000F6490" w:rsidRPr="007A6FE3">
        <w:t xml:space="preserve">allow incumbent LECs to use written or electronic notice such as e-mail to provide notice to retail </w:t>
      </w:r>
      <w:r w:rsidR="0009162F" w:rsidRPr="007A6FE3">
        <w:t xml:space="preserve">customers </w:t>
      </w:r>
      <w:r w:rsidR="000F6490" w:rsidRPr="007A6FE3">
        <w:t>of a planned copper retirement</w:t>
      </w:r>
      <w:r w:rsidR="000F6490" w:rsidRPr="007A6FE3">
        <w:rPr>
          <w:szCs w:val="22"/>
        </w:rPr>
        <w:t xml:space="preserve">; (6) impose </w:t>
      </w:r>
      <w:r w:rsidR="000F6490" w:rsidRPr="007A6FE3">
        <w:t xml:space="preserve">minimum requirements for the content of notices to </w:t>
      </w:r>
      <w:r w:rsidR="0009162F" w:rsidRPr="007A6FE3">
        <w:t>retail customers</w:t>
      </w:r>
      <w:r w:rsidR="000F6490" w:rsidRPr="007A6FE3">
        <w:t xml:space="preserve">; (7) require incumbent LEC to maintain records of customer notifications for </w:t>
      </w:r>
      <w:r w:rsidR="00D736F5" w:rsidRPr="007A6FE3">
        <w:t>some period of time</w:t>
      </w:r>
      <w:r w:rsidR="000F6490" w:rsidRPr="007A6FE3">
        <w:t xml:space="preserve">; (8) prohibit incumbent LECs from including in notice to </w:t>
      </w:r>
      <w:r w:rsidR="0009162F" w:rsidRPr="007A6FE3">
        <w:t xml:space="preserve">retail customers </w:t>
      </w:r>
      <w:r w:rsidR="000F6490" w:rsidRPr="007A6FE3">
        <w:t>any statement attempting to encourage the purchase of a service other than the service to which the customer currently subscribes; (</w:t>
      </w:r>
      <w:r w:rsidR="00F35743" w:rsidRPr="007A6FE3">
        <w:t>8</w:t>
      </w:r>
      <w:r w:rsidR="000F6490" w:rsidRPr="007A6FE3">
        <w:t xml:space="preserve">) require that </w:t>
      </w:r>
      <w:r w:rsidR="0009162F" w:rsidRPr="007A6FE3">
        <w:t xml:space="preserve">retail customers </w:t>
      </w:r>
      <w:r w:rsidR="000F6490" w:rsidRPr="007A6FE3">
        <w:t>be given the same amount of notice as we propose to provide to interconnected providers in connection with copper retirement notices; (</w:t>
      </w:r>
      <w:r w:rsidR="00F35743" w:rsidRPr="007A6FE3">
        <w:t>9</w:t>
      </w:r>
      <w:r w:rsidR="000F6490" w:rsidRPr="007A6FE3">
        <w:t>) require that the incumbent LEC file a certificate of service with the Commission that includes all of the following:  (i) a statement that identifies the proposed changes; (ii) a statement that public notice has been given in compliance with the rule; (iii) if an incumbent LEC provides public notice other than by filing with the Commission, a statement identifying the location of the change information and describing how this information can be obtained; (iv) a statement that, at least five business days in advance of its filing with the Commission, the incumbent LEC served a copy of its public notice upon</w:t>
      </w:r>
      <w:r w:rsidR="00D736F5" w:rsidRPr="007A6FE3">
        <w:t xml:space="preserve"> each</w:t>
      </w:r>
      <w:r w:rsidR="000F6490" w:rsidRPr="007A6FE3">
        <w:t xml:space="preserve"> interconnecting </w:t>
      </w:r>
      <w:r w:rsidR="00D736F5" w:rsidRPr="007A6FE3">
        <w:t xml:space="preserve">telephone exchange service </w:t>
      </w:r>
      <w:r w:rsidR="000F6490" w:rsidRPr="007A6FE3">
        <w:t xml:space="preserve">provider; (v) the name and address of each interconnecting provider upon which written notification was served; (vi) a statement that, at least five business days in advance of its filing with the Commission, the incumbent LEC served the required direct notice upon all affected retail </w:t>
      </w:r>
      <w:r w:rsidR="0009162F" w:rsidRPr="007A6FE3">
        <w:t>customers</w:t>
      </w:r>
      <w:r w:rsidR="000F6490" w:rsidRPr="007A6FE3">
        <w:t xml:space="preserve">; (vii) a copy of the written notice provided to affected retail </w:t>
      </w:r>
      <w:r w:rsidR="0009162F" w:rsidRPr="007A6FE3">
        <w:t>customers</w:t>
      </w:r>
      <w:r w:rsidR="000F6490" w:rsidRPr="007A6FE3">
        <w:t>; and (viii) a statement that the incumbent LEC notified and submitted a copy of its public notice to the public utility commission and to the Governor of the State in which the network change is proposed, and also to the Secretary of Defense; and (1</w:t>
      </w:r>
      <w:r w:rsidR="00F35743" w:rsidRPr="007A6FE3">
        <w:t>0</w:t>
      </w:r>
      <w:r w:rsidR="000F6490" w:rsidRPr="007A6FE3">
        <w:t xml:space="preserve">) </w:t>
      </w:r>
      <w:r w:rsidR="000F6490" w:rsidRPr="007A6FE3">
        <w:rPr>
          <w:szCs w:val="22"/>
        </w:rPr>
        <w:t xml:space="preserve">allow </w:t>
      </w:r>
      <w:r w:rsidR="002257AF" w:rsidRPr="007A6FE3">
        <w:rPr>
          <w:szCs w:val="22"/>
        </w:rPr>
        <w:t xml:space="preserve">retail customers </w:t>
      </w:r>
      <w:r w:rsidR="000F6490" w:rsidRPr="007A6FE3">
        <w:rPr>
          <w:szCs w:val="22"/>
        </w:rPr>
        <w:t>the opportunity to publicly comment on copper retirement notices.</w:t>
      </w:r>
    </w:p>
    <w:p w14:paraId="17EBDBB9" w14:textId="77777777" w:rsidR="00083F9D" w:rsidRPr="007A6FE3" w:rsidRDefault="00CD56F1" w:rsidP="00AD7E49">
      <w:pPr>
        <w:pStyle w:val="ParaNum0"/>
      </w:pPr>
      <w:r w:rsidRPr="007A6FE3">
        <w:rPr>
          <w:szCs w:val="22"/>
        </w:rPr>
        <w:t>Fifth</w:t>
      </w:r>
      <w:r w:rsidR="000F6490" w:rsidRPr="007A6FE3">
        <w:rPr>
          <w:szCs w:val="22"/>
        </w:rPr>
        <w:t>, the Notice seeks comment on whether and how the Commission should take action to promote the sale or auction of copper prior to retirement.</w:t>
      </w:r>
      <w:r w:rsidR="000F6490" w:rsidRPr="007A6FE3">
        <w:rPr>
          <w:rStyle w:val="FootnoteReference"/>
        </w:rPr>
        <w:footnoteReference w:id="251"/>
      </w:r>
      <w:r w:rsidR="000F6490" w:rsidRPr="007A6FE3">
        <w:rPr>
          <w:szCs w:val="22"/>
        </w:rPr>
        <w:t xml:space="preserve">  The Notice seeks to gauge the level of interest by competitive providers and others in purchasing copper facilities that incumbents intend to retire, including under what terms and in what circumstances would they be interested in purchasing copper facilities.  The Notice also seeks </w:t>
      </w:r>
      <w:r w:rsidR="000F6490" w:rsidRPr="007A6FE3">
        <w:rPr>
          <w:spacing w:val="-3"/>
        </w:rPr>
        <w:t>comment</w:t>
      </w:r>
      <w:r w:rsidR="000F6490" w:rsidRPr="007A6FE3">
        <w:rPr>
          <w:szCs w:val="22"/>
        </w:rPr>
        <w:t xml:space="preserve"> on</w:t>
      </w:r>
      <w:r w:rsidR="007B536F" w:rsidRPr="007A6FE3">
        <w:rPr>
          <w:szCs w:val="22"/>
        </w:rPr>
        <w:t xml:space="preserve"> </w:t>
      </w:r>
      <w:r w:rsidR="000F6490" w:rsidRPr="007A6FE3">
        <w:rPr>
          <w:szCs w:val="22"/>
        </w:rPr>
        <w:t>whether and how the Commission should encourage the voluntary sale or auction of copper.</w:t>
      </w:r>
      <w:r w:rsidR="00083F9D" w:rsidRPr="007A6FE3">
        <w:rPr>
          <w:szCs w:val="22"/>
        </w:rPr>
        <w:t xml:space="preserve"> </w:t>
      </w:r>
    </w:p>
    <w:p w14:paraId="4E5910AA" w14:textId="77777777" w:rsidR="000F6490" w:rsidRPr="007A6FE3" w:rsidRDefault="00E01464" w:rsidP="00101FB4">
      <w:pPr>
        <w:pStyle w:val="ParaNum0"/>
        <w:widowControl/>
      </w:pPr>
      <w:r w:rsidRPr="007A6FE3">
        <w:t>Sixth</w:t>
      </w:r>
      <w:r w:rsidR="000F6490" w:rsidRPr="007A6FE3">
        <w:t xml:space="preserve">, </w:t>
      </w:r>
      <w:r w:rsidR="004B5560">
        <w:t>seeks comment on whether</w:t>
      </w:r>
      <w:r w:rsidR="000F6490" w:rsidRPr="007A6FE3">
        <w:t xml:space="preserve"> the Commission should update its rules to define what would constitute an adequate </w:t>
      </w:r>
      <w:r w:rsidR="000F6490" w:rsidRPr="007A6FE3">
        <w:rPr>
          <w:spacing w:val="-3"/>
        </w:rPr>
        <w:t>substitute</w:t>
      </w:r>
      <w:r w:rsidR="000F6490" w:rsidRPr="007A6FE3">
        <w:t xml:space="preserve"> for</w:t>
      </w:r>
      <w:r w:rsidRPr="007A6FE3">
        <w:t xml:space="preserve"> a retail service</w:t>
      </w:r>
      <w:r w:rsidR="000F6490" w:rsidRPr="007A6FE3">
        <w:t xml:space="preserve"> that a carrier seeks to discontinue, reduce, or impair.</w:t>
      </w:r>
      <w:r w:rsidR="000F6490" w:rsidRPr="007A6FE3">
        <w:rPr>
          <w:rStyle w:val="FootnoteReference"/>
        </w:rPr>
        <w:footnoteReference w:id="252"/>
      </w:r>
    </w:p>
    <w:p w14:paraId="49E11609" w14:textId="77777777" w:rsidR="00CE4D2B" w:rsidRPr="007A6FE3" w:rsidRDefault="00E01464" w:rsidP="00AD7E49">
      <w:pPr>
        <w:pStyle w:val="ParaNum0"/>
      </w:pPr>
      <w:r w:rsidRPr="007A6FE3">
        <w:t>Seventh</w:t>
      </w:r>
      <w:r w:rsidR="00CE4D2B" w:rsidRPr="007A6FE3">
        <w:t>, the Notice seeks comment on establishing a rebuttable presumption that where a carrier seeks to discontinue, reduce, or impair a wholesale service, that action will discontinue, reduce, or impair service to a community or part</w:t>
      </w:r>
      <w:r w:rsidR="00A26D61" w:rsidRPr="007A6FE3">
        <w:t xml:space="preserve"> </w:t>
      </w:r>
      <w:r w:rsidR="00CE4D2B" w:rsidRPr="007A6FE3">
        <w:t>of a community such that approval is necessary pursuant to section 214(a).</w:t>
      </w:r>
      <w:r w:rsidR="00CE4D2B" w:rsidRPr="007A6FE3">
        <w:rPr>
          <w:rStyle w:val="FootnoteReference"/>
        </w:rPr>
        <w:footnoteReference w:id="253"/>
      </w:r>
      <w:r w:rsidR="008571C9" w:rsidRPr="007A6FE3">
        <w:t xml:space="preserve">  The Notice also seeks comment on whether a section 214(a) discontinuance application is required when certain term discount plans are discontinued.</w:t>
      </w:r>
      <w:r w:rsidR="004A32E6" w:rsidRPr="007A6FE3">
        <w:rPr>
          <w:rStyle w:val="FootnoteReference"/>
        </w:rPr>
        <w:footnoteReference w:id="254"/>
      </w:r>
      <w:r w:rsidR="008571C9" w:rsidRPr="007A6FE3">
        <w:t xml:space="preserve">  And the Notice seeks comment on whether a carrier is required to file a section 214 application if a non-tariffed service still being offered is functionally very similar to a tariffed service being discontinued.</w:t>
      </w:r>
      <w:r w:rsidR="004A32E6" w:rsidRPr="007A6FE3">
        <w:rPr>
          <w:rStyle w:val="FootnoteReference"/>
        </w:rPr>
        <w:footnoteReference w:id="255"/>
      </w:r>
    </w:p>
    <w:p w14:paraId="5B172DA9" w14:textId="77777777" w:rsidR="000F6490" w:rsidRPr="007A6FE3" w:rsidRDefault="000F6490" w:rsidP="00AD7E49">
      <w:pPr>
        <w:pStyle w:val="ParaNum0"/>
      </w:pPr>
      <w:r w:rsidRPr="007A6FE3">
        <w:t xml:space="preserve">Finally, with respect to competitive access to wholesale last-mile </w:t>
      </w:r>
      <w:r w:rsidR="00252D92" w:rsidRPr="007A6FE3">
        <w:t>services</w:t>
      </w:r>
      <w:r w:rsidRPr="007A6FE3">
        <w:t xml:space="preserve">, </w:t>
      </w:r>
      <w:r w:rsidR="00252D92" w:rsidRPr="007A6FE3">
        <w:t>this Notice tentatively concludes that we should require incumbent LECs that seek section 214 authority to discontinue, reduce, or impair a legacy service that is used as a wholesale input by competitive providers  to commit to providing competitive carriers equivalent wholesale access on equivalent rates, terms, and conditions</w:t>
      </w:r>
      <w:r w:rsidRPr="007A6FE3">
        <w:t>.</w:t>
      </w:r>
      <w:r w:rsidRPr="007A6FE3">
        <w:rPr>
          <w:rStyle w:val="FootnoteReference"/>
        </w:rPr>
        <w:footnoteReference w:id="256"/>
      </w:r>
    </w:p>
    <w:p w14:paraId="233F96CB" w14:textId="77777777" w:rsidR="000F6490" w:rsidRPr="007A6FE3" w:rsidRDefault="000F6490" w:rsidP="00B52F96">
      <w:pPr>
        <w:pStyle w:val="Heading2"/>
      </w:pPr>
      <w:bookmarkStart w:id="687" w:name="_Toc399947734"/>
      <w:bookmarkStart w:id="688" w:name="_Toc400554042"/>
      <w:bookmarkStart w:id="689" w:name="_Toc400566851"/>
      <w:bookmarkStart w:id="690" w:name="_Toc400711721"/>
      <w:bookmarkStart w:id="691" w:name="_Toc400719671"/>
      <w:bookmarkStart w:id="692" w:name="_Toc401299446"/>
      <w:bookmarkStart w:id="693" w:name="_Toc401307011"/>
      <w:bookmarkStart w:id="694" w:name="_Toc401314175"/>
      <w:bookmarkStart w:id="695" w:name="_Toc401314324"/>
      <w:bookmarkStart w:id="696" w:name="_Toc401329842"/>
      <w:bookmarkStart w:id="697" w:name="_Toc401595645"/>
      <w:bookmarkStart w:id="698" w:name="_Toc401658202"/>
      <w:bookmarkStart w:id="699" w:name="_Toc401821704"/>
      <w:bookmarkStart w:id="700" w:name="_Toc401912172"/>
      <w:bookmarkStart w:id="701" w:name="_Toc402255426"/>
      <w:bookmarkStart w:id="702" w:name="_Toc402276209"/>
      <w:bookmarkStart w:id="703" w:name="_Toc402360451"/>
      <w:bookmarkStart w:id="704" w:name="_Toc402511513"/>
      <w:bookmarkStart w:id="705" w:name="_Toc403566422"/>
      <w:bookmarkStart w:id="706" w:name="_Toc404072133"/>
      <w:bookmarkStart w:id="707" w:name="_Toc404081329"/>
      <w:bookmarkStart w:id="708" w:name="_Toc404165808"/>
      <w:bookmarkStart w:id="709" w:name="_Toc404165886"/>
      <w:bookmarkStart w:id="710" w:name="_Toc404172441"/>
      <w:bookmarkStart w:id="711" w:name="_Toc404181495"/>
      <w:bookmarkStart w:id="712" w:name="_Toc404183088"/>
      <w:bookmarkStart w:id="713" w:name="_Toc404246634"/>
      <w:r w:rsidRPr="007A6FE3">
        <w:t>Legal Basis</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p>
    <w:p w14:paraId="5988C0E3" w14:textId="77777777" w:rsidR="000F6490" w:rsidRPr="007A6FE3" w:rsidRDefault="000F6490" w:rsidP="00AD7E49">
      <w:pPr>
        <w:pStyle w:val="ParaNum0"/>
        <w:rPr>
          <w:spacing w:val="-3"/>
        </w:rPr>
      </w:pPr>
      <w:r w:rsidRPr="007A6FE3">
        <w:rPr>
          <w:spacing w:val="-3"/>
        </w:rPr>
        <w:t xml:space="preserve">The </w:t>
      </w:r>
      <w:r w:rsidRPr="007A6FE3">
        <w:t>proposed</w:t>
      </w:r>
      <w:r w:rsidRPr="007A6FE3">
        <w:rPr>
          <w:spacing w:val="-3"/>
        </w:rPr>
        <w:t xml:space="preserve"> action </w:t>
      </w:r>
      <w:r w:rsidRPr="007A6FE3">
        <w:t>is</w:t>
      </w:r>
      <w:r w:rsidRPr="007A6FE3">
        <w:rPr>
          <w:spacing w:val="-3"/>
        </w:rPr>
        <w:t xml:space="preserve"> authorized under Sections 1, 2, 4(i), 214, </w:t>
      </w:r>
      <w:r w:rsidR="00AC440F" w:rsidRPr="007A6FE3">
        <w:rPr>
          <w:spacing w:val="-3"/>
        </w:rPr>
        <w:t xml:space="preserve">and </w:t>
      </w:r>
      <w:r w:rsidRPr="007A6FE3">
        <w:rPr>
          <w:spacing w:val="-3"/>
        </w:rPr>
        <w:t>251</w:t>
      </w:r>
      <w:r w:rsidR="00AC440F" w:rsidRPr="007A6FE3">
        <w:rPr>
          <w:spacing w:val="-3"/>
        </w:rPr>
        <w:t xml:space="preserve"> </w:t>
      </w:r>
      <w:r w:rsidRPr="007A6FE3">
        <w:rPr>
          <w:spacing w:val="-3"/>
        </w:rPr>
        <w:t xml:space="preserve">of the Communications </w:t>
      </w:r>
      <w:r w:rsidRPr="007A6FE3">
        <w:t>Act</w:t>
      </w:r>
      <w:r w:rsidRPr="007A6FE3">
        <w:rPr>
          <w:spacing w:val="-3"/>
        </w:rPr>
        <w:t xml:space="preserve"> of 1934, as amended</w:t>
      </w:r>
      <w:r w:rsidR="00FC3D36" w:rsidRPr="007A6FE3">
        <w:rPr>
          <w:spacing w:val="-3"/>
        </w:rPr>
        <w:t>;</w:t>
      </w:r>
      <w:r w:rsidRPr="007A6FE3">
        <w:rPr>
          <w:spacing w:val="-3"/>
        </w:rPr>
        <w:t xml:space="preserve"> 47 U.S.C. Sections 151, 152, 154(i), 214, </w:t>
      </w:r>
      <w:r w:rsidR="003C6419" w:rsidRPr="007A6FE3">
        <w:rPr>
          <w:spacing w:val="-3"/>
        </w:rPr>
        <w:t xml:space="preserve">and </w:t>
      </w:r>
      <w:r w:rsidRPr="007A6FE3">
        <w:rPr>
          <w:spacing w:val="-3"/>
        </w:rPr>
        <w:t>251.</w:t>
      </w:r>
    </w:p>
    <w:p w14:paraId="6E5CA7D1" w14:textId="77777777" w:rsidR="000F6490" w:rsidRPr="007A6FE3" w:rsidRDefault="000F6490" w:rsidP="00C86AFD">
      <w:pPr>
        <w:pStyle w:val="Heading2"/>
      </w:pPr>
      <w:bookmarkStart w:id="714" w:name="_Toc399947735"/>
      <w:bookmarkStart w:id="715" w:name="_Toc400554043"/>
      <w:bookmarkStart w:id="716" w:name="_Toc400566852"/>
      <w:bookmarkStart w:id="717" w:name="_Toc400711722"/>
      <w:bookmarkStart w:id="718" w:name="_Toc400719672"/>
      <w:bookmarkStart w:id="719" w:name="_Toc401299447"/>
      <w:bookmarkStart w:id="720" w:name="_Toc401307012"/>
      <w:bookmarkStart w:id="721" w:name="_Toc401314176"/>
      <w:bookmarkStart w:id="722" w:name="_Toc401314325"/>
      <w:bookmarkStart w:id="723" w:name="_Toc401329843"/>
      <w:bookmarkStart w:id="724" w:name="_Toc401595646"/>
      <w:bookmarkStart w:id="725" w:name="_Toc401658203"/>
      <w:bookmarkStart w:id="726" w:name="_Toc401821705"/>
      <w:bookmarkStart w:id="727" w:name="_Toc401912173"/>
      <w:bookmarkStart w:id="728" w:name="_Toc402255427"/>
      <w:bookmarkStart w:id="729" w:name="_Toc402276210"/>
      <w:bookmarkStart w:id="730" w:name="_Toc402360452"/>
      <w:bookmarkStart w:id="731" w:name="_Toc402511514"/>
      <w:bookmarkStart w:id="732" w:name="_Toc403566423"/>
      <w:bookmarkStart w:id="733" w:name="_Toc404072134"/>
      <w:bookmarkStart w:id="734" w:name="_Toc404081330"/>
      <w:bookmarkStart w:id="735" w:name="_Toc404165809"/>
      <w:bookmarkStart w:id="736" w:name="_Toc404165887"/>
      <w:bookmarkStart w:id="737" w:name="_Toc404172442"/>
      <w:bookmarkStart w:id="738" w:name="_Toc404181496"/>
      <w:bookmarkStart w:id="739" w:name="_Toc404183089"/>
      <w:bookmarkStart w:id="740" w:name="_Toc404246635"/>
      <w:r w:rsidRPr="007A6FE3">
        <w:t>Description and Estimate of the Number of Small Entities To Which the Proposed Rules Will Apply</w:t>
      </w:r>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p>
    <w:p w14:paraId="739EF795" w14:textId="77777777" w:rsidR="000F6490" w:rsidRPr="007A6FE3" w:rsidRDefault="000F6490" w:rsidP="00AD7E49">
      <w:pPr>
        <w:pStyle w:val="ParaNum0"/>
      </w:pPr>
      <w:r w:rsidRPr="007A6FE3">
        <w:rPr>
          <w:szCs w:val="22"/>
        </w:rPr>
        <w:t xml:space="preserve">The RFA </w:t>
      </w:r>
      <w:r w:rsidRPr="007A6FE3">
        <w:t>directs</w:t>
      </w:r>
      <w:r w:rsidRPr="007A6FE3">
        <w:rPr>
          <w:szCs w:val="22"/>
        </w:rPr>
        <w:t xml:space="preserve"> agencies to provide a description and, where feasible, an estimate of the number of </w:t>
      </w:r>
      <w:r w:rsidRPr="007A6FE3">
        <w:t>small</w:t>
      </w:r>
      <w:r w:rsidRPr="007A6FE3">
        <w:rPr>
          <w:szCs w:val="22"/>
        </w:rPr>
        <w:t xml:space="preserve"> entities that may be affected by the proposed rules, if adopted.</w:t>
      </w:r>
      <w:r w:rsidRPr="007A6FE3">
        <w:rPr>
          <w:rStyle w:val="FootnoteReference"/>
          <w:szCs w:val="22"/>
        </w:rPr>
        <w:footnoteReference w:id="257"/>
      </w:r>
      <w:r w:rsidRPr="007A6FE3">
        <w:rPr>
          <w:szCs w:val="22"/>
        </w:rPr>
        <w:t xml:space="preserve">  The RFA generally defines the term “small entity” as having the same meaning as the terms “small business,” “</w:t>
      </w:r>
      <w:r w:rsidRPr="007A6FE3">
        <w:rPr>
          <w:spacing w:val="-3"/>
        </w:rPr>
        <w:t>small</w:t>
      </w:r>
      <w:r w:rsidRPr="007A6FE3">
        <w:rPr>
          <w:szCs w:val="22"/>
        </w:rPr>
        <w:t xml:space="preserve"> organization,” and “small governmental jurisdiction.”</w:t>
      </w:r>
      <w:r w:rsidRPr="007A6FE3">
        <w:rPr>
          <w:rStyle w:val="FootnoteReference"/>
          <w:szCs w:val="22"/>
        </w:rPr>
        <w:footnoteReference w:id="258"/>
      </w:r>
      <w:r w:rsidRPr="007A6FE3">
        <w:rPr>
          <w:szCs w:val="22"/>
        </w:rPr>
        <w:t xml:space="preserve">  In addition, the term “small business” has the same meaning as the term “small-business concern” under the Small Business Act.</w:t>
      </w:r>
      <w:r w:rsidRPr="007A6FE3">
        <w:rPr>
          <w:rStyle w:val="FootnoteReference"/>
          <w:szCs w:val="22"/>
        </w:rPr>
        <w:footnoteReference w:id="259"/>
      </w:r>
      <w:r w:rsidRPr="007A6FE3">
        <w:rPr>
          <w:szCs w:val="22"/>
        </w:rPr>
        <w:t xml:space="preserve">  A “small-business concern” is one which:  (1) is </w:t>
      </w:r>
      <w:r w:rsidRPr="007A6FE3">
        <w:t>independently</w:t>
      </w:r>
      <w:r w:rsidRPr="007A6FE3">
        <w:rPr>
          <w:szCs w:val="22"/>
        </w:rPr>
        <w:t xml:space="preserve"> owned and operated; (2) is not dominant in its field of operation; and (3) satisfies any additional criteria established by the SBA.</w:t>
      </w:r>
      <w:r w:rsidRPr="007A6FE3">
        <w:rPr>
          <w:rStyle w:val="FootnoteReference"/>
          <w:szCs w:val="22"/>
        </w:rPr>
        <w:footnoteReference w:id="260"/>
      </w:r>
    </w:p>
    <w:p w14:paraId="348CF64E" w14:textId="77777777" w:rsidR="000F6490" w:rsidRPr="007A6FE3" w:rsidRDefault="000F6490" w:rsidP="00AD7E49">
      <w:pPr>
        <w:pStyle w:val="ParaNum0"/>
        <w:rPr>
          <w:szCs w:val="22"/>
        </w:rPr>
      </w:pPr>
      <w:r w:rsidRPr="007A6FE3">
        <w:rPr>
          <w:szCs w:val="22"/>
        </w:rPr>
        <w:t xml:space="preserve">The majority of our proposals in the Notice will affect obligations on incumbent LECs.  Other entities, </w:t>
      </w:r>
      <w:r w:rsidRPr="007A6FE3">
        <w:t>however</w:t>
      </w:r>
      <w:r w:rsidRPr="007A6FE3">
        <w:rPr>
          <w:szCs w:val="22"/>
        </w:rPr>
        <w:t xml:space="preserve">, that choose to </w:t>
      </w:r>
      <w:r w:rsidRPr="007A6FE3">
        <w:t>object</w:t>
      </w:r>
      <w:r w:rsidRPr="007A6FE3">
        <w:rPr>
          <w:szCs w:val="22"/>
        </w:rPr>
        <w:t xml:space="preserve"> to network change notification for copper retirement under our new proposed rules may be economically impacted by the proposals in this Notice.  </w:t>
      </w:r>
    </w:p>
    <w:p w14:paraId="1ED1ECD3" w14:textId="77777777" w:rsidR="000F6490" w:rsidRPr="007A6FE3" w:rsidRDefault="000F6490" w:rsidP="00AD7E49">
      <w:pPr>
        <w:pStyle w:val="ParaNum0"/>
        <w:rPr>
          <w:szCs w:val="22"/>
        </w:rPr>
      </w:pPr>
      <w:r w:rsidRPr="007A6FE3">
        <w:rPr>
          <w:b/>
          <w:szCs w:val="22"/>
        </w:rPr>
        <w:t>Small Businesses</w:t>
      </w:r>
      <w:r w:rsidRPr="007A6FE3">
        <w:rPr>
          <w:szCs w:val="22"/>
        </w:rPr>
        <w:t xml:space="preserve">.  </w:t>
      </w:r>
      <w:r w:rsidRPr="007A6FE3">
        <w:t>Nationwide</w:t>
      </w:r>
      <w:r w:rsidRPr="007A6FE3">
        <w:rPr>
          <w:szCs w:val="22"/>
        </w:rPr>
        <w:t xml:space="preserve">, there </w:t>
      </w:r>
      <w:r w:rsidRPr="007A6FE3">
        <w:rPr>
          <w:spacing w:val="-3"/>
        </w:rPr>
        <w:t>are</w:t>
      </w:r>
      <w:r w:rsidRPr="007A6FE3">
        <w:rPr>
          <w:szCs w:val="22"/>
        </w:rPr>
        <w:t xml:space="preserve"> a total of approximately </w:t>
      </w:r>
      <w:r w:rsidR="00CD56F1" w:rsidRPr="007A6FE3">
        <w:rPr>
          <w:szCs w:val="22"/>
        </w:rPr>
        <w:t>28.2</w:t>
      </w:r>
      <w:r w:rsidRPr="007A6FE3">
        <w:rPr>
          <w:szCs w:val="22"/>
        </w:rPr>
        <w:t xml:space="preserve"> million small businesses, according to the SBA.</w:t>
      </w:r>
      <w:r w:rsidRPr="007A6FE3">
        <w:rPr>
          <w:rStyle w:val="FootnoteReference"/>
          <w:szCs w:val="22"/>
        </w:rPr>
        <w:footnoteReference w:id="261"/>
      </w:r>
      <w:r w:rsidRPr="007A6FE3">
        <w:rPr>
          <w:szCs w:val="22"/>
        </w:rPr>
        <w:t xml:space="preserve">  </w:t>
      </w:r>
    </w:p>
    <w:p w14:paraId="76771000" w14:textId="77777777" w:rsidR="000F6490" w:rsidRPr="007A6FE3" w:rsidRDefault="000F6490" w:rsidP="00AD7E49">
      <w:pPr>
        <w:pStyle w:val="ParaNum0"/>
        <w:rPr>
          <w:szCs w:val="22"/>
        </w:rPr>
      </w:pPr>
      <w:r w:rsidRPr="007A6FE3">
        <w:rPr>
          <w:b/>
          <w:szCs w:val="22"/>
        </w:rPr>
        <w:t>Wired Telecommunications Carriers</w:t>
      </w:r>
      <w:r w:rsidRPr="007A6FE3">
        <w:rPr>
          <w:szCs w:val="22"/>
        </w:rPr>
        <w:t xml:space="preserve">.  The SBA has developed a small business size standard for Wired Telecommunications Carriers, which consists of all such companies having 1,500 or fewer employees Census data for 2007 shows that </w:t>
      </w:r>
      <w:r w:rsidRPr="007A6FE3">
        <w:rPr>
          <w:spacing w:val="-3"/>
        </w:rPr>
        <w:t>there</w:t>
      </w:r>
      <w:r w:rsidRPr="007A6FE3">
        <w:rPr>
          <w:szCs w:val="22"/>
        </w:rPr>
        <w:t xml:space="preserve"> were 31,996 establishments that operated that year.  Of those 31,996, 1,818 operated with </w:t>
      </w:r>
      <w:r w:rsidRPr="007A6FE3">
        <w:t>more</w:t>
      </w:r>
      <w:r w:rsidRPr="007A6FE3">
        <w:rPr>
          <w:szCs w:val="22"/>
        </w:rPr>
        <w:t xml:space="preserve"> than </w:t>
      </w:r>
      <w:r w:rsidRPr="007A6FE3">
        <w:t>100</w:t>
      </w:r>
      <w:r w:rsidRPr="007A6FE3">
        <w:rPr>
          <w:szCs w:val="22"/>
        </w:rPr>
        <w:t xml:space="preserve"> employees, and 30,178 operated with fewer than 100 employees.</w:t>
      </w:r>
      <w:r w:rsidRPr="007A6FE3">
        <w:rPr>
          <w:rStyle w:val="FootnoteReference"/>
          <w:szCs w:val="22"/>
        </w:rPr>
        <w:footnoteReference w:id="262"/>
      </w:r>
      <w:r w:rsidRPr="007A6FE3">
        <w:rPr>
          <w:szCs w:val="22"/>
        </w:rPr>
        <w:t xml:space="preserve">  Thus, under this size standard, the majority of firms can be considered small.</w:t>
      </w:r>
    </w:p>
    <w:p w14:paraId="50ADB66D" w14:textId="77777777" w:rsidR="000F6490" w:rsidRPr="007A6FE3" w:rsidRDefault="000F6490" w:rsidP="00AD7E49">
      <w:pPr>
        <w:pStyle w:val="ParaNum0"/>
        <w:rPr>
          <w:szCs w:val="22"/>
        </w:rPr>
      </w:pPr>
      <w:r w:rsidRPr="007A6FE3">
        <w:rPr>
          <w:b/>
          <w:szCs w:val="22"/>
        </w:rPr>
        <w:t>Local Exchange Carriers (LECs)</w:t>
      </w:r>
      <w:r w:rsidRPr="007A6FE3">
        <w:rPr>
          <w:szCs w:val="22"/>
        </w:rPr>
        <w:t xml:space="preserve">.  Neither the Commission nor the SBA has developed a size standard for small businesses specifically applicable to local exchange services.  The closest applicable size standard under SBA rules is for </w:t>
      </w:r>
      <w:r w:rsidRPr="007A6FE3">
        <w:t>Wired</w:t>
      </w:r>
      <w:r w:rsidRPr="007A6FE3">
        <w:rPr>
          <w:szCs w:val="22"/>
        </w:rPr>
        <w:t xml:space="preserve"> Telecommunications Carriers.  Under that size standard, such a business is small if it has 1,500 or fewer employees.</w:t>
      </w:r>
      <w:r w:rsidRPr="007A6FE3">
        <w:rPr>
          <w:rStyle w:val="FootnoteReference"/>
          <w:szCs w:val="22"/>
        </w:rPr>
        <w:footnoteReference w:id="263"/>
      </w:r>
      <w:r w:rsidRPr="007A6FE3">
        <w:rPr>
          <w:szCs w:val="22"/>
        </w:rPr>
        <w:t xml:space="preserve">  According to Commission data, </w:t>
      </w:r>
      <w:r w:rsidRPr="007A6FE3">
        <w:rPr>
          <w:spacing w:val="-3"/>
        </w:rPr>
        <w:t>Census</w:t>
      </w:r>
      <w:r w:rsidRPr="007A6FE3">
        <w:rPr>
          <w:szCs w:val="22"/>
        </w:rPr>
        <w:t xml:space="preserve"> data for 2007 shows that there were 31,996 establishments that operated that year.  Of those 31,996, 1,818 operated with more than 100 employees, and 30,178 operated with fewer than 100 employees.</w:t>
      </w:r>
      <w:r w:rsidRPr="007A6FE3">
        <w:rPr>
          <w:rStyle w:val="FootnoteReference"/>
          <w:szCs w:val="22"/>
        </w:rPr>
        <w:footnoteReference w:id="264"/>
      </w:r>
      <w:r w:rsidRPr="007A6FE3">
        <w:rPr>
          <w:szCs w:val="22"/>
        </w:rPr>
        <w:t xml:space="preserve">  Consequently, the Commission estimates that most providers of local exchange service are small entities that may be affected by the rules and policies proposed in the Notice.</w:t>
      </w:r>
    </w:p>
    <w:p w14:paraId="333C5920" w14:textId="77777777" w:rsidR="000F6490" w:rsidRPr="007A6FE3" w:rsidRDefault="000F6490" w:rsidP="00AD7E49">
      <w:pPr>
        <w:pStyle w:val="ParaNum0"/>
      </w:pPr>
      <w:r w:rsidRPr="007A6FE3">
        <w:rPr>
          <w:b/>
        </w:rPr>
        <w:t>Incumbent Local Exchange Carriers (incumbent LECs)</w:t>
      </w:r>
      <w:r w:rsidRPr="007A6FE3">
        <w:t>.</w:t>
      </w:r>
      <w:r w:rsidRPr="007A6FE3">
        <w:rPr>
          <w:b/>
        </w:rPr>
        <w:t xml:space="preserve">  </w:t>
      </w:r>
      <w:r w:rsidRPr="007A6FE3">
        <w:t xml:space="preserve">Neither the Commission nor the SBA has developed a size standard for small businesses specifically applicable to incumbent local exchange services.  The closest applicable size standard under SBA rules is for Wired Telecommunications </w:t>
      </w:r>
      <w:r w:rsidRPr="007A6FE3">
        <w:rPr>
          <w:szCs w:val="22"/>
        </w:rPr>
        <w:t>Carriers</w:t>
      </w:r>
      <w:r w:rsidRPr="007A6FE3">
        <w:t>.  Under that size standard, such a business is small if it has 1,500 or fewer employees.</w:t>
      </w:r>
      <w:r w:rsidRPr="007A6FE3">
        <w:rPr>
          <w:vertAlign w:val="superscript"/>
        </w:rPr>
        <w:footnoteReference w:id="265"/>
      </w:r>
      <w:r w:rsidRPr="007A6FE3">
        <w:t xml:space="preserve">  According to Commission data, 1,307 carriers reported that they were incumbent local exchange service providers.</w:t>
      </w:r>
      <w:r w:rsidRPr="007A6FE3">
        <w:rPr>
          <w:vertAlign w:val="superscript"/>
        </w:rPr>
        <w:footnoteReference w:id="266"/>
      </w:r>
      <w:r w:rsidRPr="007A6FE3">
        <w:t xml:space="preserve">  Of these 1,307 carriers, an estimated 1,006 have 1,500 or fewer </w:t>
      </w:r>
      <w:r w:rsidRPr="007A6FE3">
        <w:rPr>
          <w:spacing w:val="-3"/>
        </w:rPr>
        <w:t>employees</w:t>
      </w:r>
      <w:r w:rsidRPr="007A6FE3">
        <w:t xml:space="preserve"> and 301 have more than 1,500 employees.</w:t>
      </w:r>
      <w:r w:rsidRPr="007A6FE3">
        <w:rPr>
          <w:rStyle w:val="FootnoteReference"/>
          <w:szCs w:val="22"/>
        </w:rPr>
        <w:footnoteReference w:id="267"/>
      </w:r>
      <w:r w:rsidRPr="007A6FE3">
        <w:t xml:space="preserve">  Consequently, the Commission estimates that most providers of incumbent local exchange service are small businesses that may be affected by rules adopted pursuant to the Notice.  </w:t>
      </w:r>
    </w:p>
    <w:p w14:paraId="2D33FF30" w14:textId="77777777" w:rsidR="000F6490" w:rsidRPr="007A6FE3" w:rsidRDefault="000F6490" w:rsidP="00101FB4">
      <w:pPr>
        <w:pStyle w:val="ParaNum0"/>
        <w:widowControl/>
        <w:rPr>
          <w:szCs w:val="22"/>
        </w:rPr>
      </w:pPr>
      <w:r w:rsidRPr="007A6FE3">
        <w:rPr>
          <w:szCs w:val="22"/>
        </w:rPr>
        <w:t xml:space="preserve">We have included small incumbent LECs in this present RFA analysis.  As noted above, a “small business” under the </w:t>
      </w:r>
      <w:r w:rsidRPr="007A6FE3">
        <w:rPr>
          <w:spacing w:val="-3"/>
        </w:rPr>
        <w:t>RFA</w:t>
      </w:r>
      <w:r w:rsidRPr="007A6FE3">
        <w:rPr>
          <w:szCs w:val="22"/>
        </w:rPr>
        <w:t xml:space="preserve"> is one that, </w:t>
      </w:r>
      <w:r w:rsidRPr="007A6FE3">
        <w:rPr>
          <w:i/>
          <w:iCs/>
          <w:szCs w:val="22"/>
        </w:rPr>
        <w:t>inter alia</w:t>
      </w:r>
      <w:r w:rsidRPr="007A6FE3">
        <w:rPr>
          <w:szCs w:val="22"/>
        </w:rPr>
        <w:t>, meets the pertinent small business size standard (</w:t>
      </w:r>
      <w:r w:rsidRPr="007A6FE3">
        <w:rPr>
          <w:iCs/>
          <w:szCs w:val="22"/>
        </w:rPr>
        <w:t>e.g</w:t>
      </w:r>
      <w:r w:rsidRPr="007A6FE3">
        <w:rPr>
          <w:i/>
          <w:iCs/>
          <w:szCs w:val="22"/>
        </w:rPr>
        <w:t>.</w:t>
      </w:r>
      <w:r w:rsidRPr="007A6FE3">
        <w:rPr>
          <w:szCs w:val="22"/>
        </w:rPr>
        <w:t>, a telephone communications business having 1,500 or fewer employees), and “is not dominant in its field of operation.”</w:t>
      </w:r>
      <w:r w:rsidRPr="007A6FE3">
        <w:rPr>
          <w:szCs w:val="22"/>
          <w:vertAlign w:val="superscript"/>
        </w:rPr>
        <w:footnoteReference w:id="268"/>
      </w:r>
      <w:r w:rsidRPr="007A6FE3">
        <w:rPr>
          <w:szCs w:val="22"/>
        </w:rPr>
        <w:t xml:space="preserve">  The SBA’s Office of </w:t>
      </w:r>
      <w:r w:rsidRPr="007A6FE3">
        <w:t>Advocacy</w:t>
      </w:r>
      <w:r w:rsidRPr="007A6FE3">
        <w:rPr>
          <w:szCs w:val="22"/>
        </w:rPr>
        <w:t xml:space="preserve"> contends that, for RFA purposes, small incumbent </w:t>
      </w:r>
      <w:r w:rsidRPr="007A6FE3">
        <w:t>LECs</w:t>
      </w:r>
      <w:r w:rsidRPr="007A6FE3">
        <w:rPr>
          <w:szCs w:val="22"/>
        </w:rPr>
        <w:t xml:space="preserve"> are not dominant in their field of operation because any such dominance is not “national” in scope.</w:t>
      </w:r>
      <w:r w:rsidRPr="007A6FE3">
        <w:rPr>
          <w:szCs w:val="22"/>
          <w:vertAlign w:val="superscript"/>
        </w:rPr>
        <w:footnoteReference w:id="269"/>
      </w:r>
      <w:r w:rsidRPr="007A6FE3">
        <w:rPr>
          <w:szCs w:val="22"/>
        </w:rPr>
        <w:t xml:space="preserve">  We have therefore included small incumbent LECs in this RFA analysis, although we emphasize that this RFA action has no effect on Commission analyses and determinations in other, non-RFA contexts.</w:t>
      </w:r>
    </w:p>
    <w:p w14:paraId="3ED190C1" w14:textId="77777777" w:rsidR="000F6490" w:rsidRPr="007A6FE3" w:rsidRDefault="000F6490" w:rsidP="00AD7E49">
      <w:pPr>
        <w:pStyle w:val="ParaNum0"/>
        <w:rPr>
          <w:szCs w:val="22"/>
        </w:rPr>
      </w:pPr>
      <w:r w:rsidRPr="007A6FE3">
        <w:rPr>
          <w:b/>
          <w:szCs w:val="22"/>
        </w:rPr>
        <w:t>Competitive Local Exchange Carriers (competitive LECs), Competitive Access Providers (CAPs), Shared-Tenant Service Providers, and Other Local Service Providers.</w:t>
      </w:r>
      <w:r w:rsidRPr="007A6FE3">
        <w:rPr>
          <w:szCs w:val="22"/>
        </w:rPr>
        <w:t xml:space="preserve">  Neither the Commission nor the SBA has developed a small business size standard specifically for these service providers.  The ap</w:t>
      </w:r>
      <w:r w:rsidRPr="007A6FE3">
        <w:t>propriate size standard under SBA rules is for the category Wired Telecommunications Carriers.</w:t>
      </w:r>
      <w:r w:rsidRPr="007A6FE3">
        <w:rPr>
          <w:szCs w:val="22"/>
        </w:rPr>
        <w:t xml:space="preserve">  Under that size standard, such a business is small if it has 1,500 or fewer employees.</w:t>
      </w:r>
      <w:r w:rsidRPr="007A6FE3">
        <w:rPr>
          <w:szCs w:val="22"/>
          <w:vertAlign w:val="superscript"/>
        </w:rPr>
        <w:footnoteReference w:id="270"/>
      </w:r>
      <w:r w:rsidRPr="007A6FE3">
        <w:rPr>
          <w:szCs w:val="22"/>
        </w:rPr>
        <w:t xml:space="preserve">  </w:t>
      </w:r>
      <w:r w:rsidRPr="007A6FE3">
        <w:t>According</w:t>
      </w:r>
      <w:r w:rsidRPr="007A6FE3">
        <w:rPr>
          <w:szCs w:val="22"/>
        </w:rPr>
        <w:t xml:space="preserve"> to Commission data, 1,442 carriers reported that they were engaged in the provision of either competitive local exchange services or competitive access provider services.</w:t>
      </w:r>
      <w:r w:rsidRPr="007A6FE3">
        <w:rPr>
          <w:szCs w:val="22"/>
          <w:vertAlign w:val="superscript"/>
        </w:rPr>
        <w:footnoteReference w:id="271"/>
      </w:r>
      <w:r w:rsidRPr="007A6FE3">
        <w:rPr>
          <w:szCs w:val="22"/>
        </w:rPr>
        <w:t xml:space="preserve">  Of these 1,442 carriers, an estimated 1,256 have 1,500 or fewer employees and 186 have more than 1,500 employees.</w:t>
      </w:r>
      <w:r w:rsidRPr="007A6FE3">
        <w:rPr>
          <w:szCs w:val="22"/>
          <w:vertAlign w:val="superscript"/>
        </w:rPr>
        <w:footnoteReference w:id="272"/>
      </w:r>
      <w:r w:rsidRPr="007A6FE3">
        <w:rPr>
          <w:szCs w:val="22"/>
        </w:rPr>
        <w:t xml:space="preserve">  In addition, 17 carriers have reported that they are Shared-Tenant Service Providers, and all 17 are estimated to have 1,500 or fewer employees.</w:t>
      </w:r>
      <w:r w:rsidRPr="007A6FE3">
        <w:rPr>
          <w:rStyle w:val="FootnoteReference"/>
          <w:szCs w:val="22"/>
        </w:rPr>
        <w:footnoteReference w:id="273"/>
      </w:r>
      <w:r w:rsidRPr="007A6FE3">
        <w:rPr>
          <w:szCs w:val="22"/>
        </w:rPr>
        <w:t xml:space="preserve">  In addition, 72 carriers have reported that they are Other Local Service Providers.</w:t>
      </w:r>
      <w:r w:rsidRPr="007A6FE3">
        <w:rPr>
          <w:rStyle w:val="FootnoteReference"/>
          <w:szCs w:val="22"/>
        </w:rPr>
        <w:footnoteReference w:id="274"/>
      </w:r>
      <w:r w:rsidRPr="007A6FE3">
        <w:rPr>
          <w:szCs w:val="22"/>
        </w:rPr>
        <w:t xml:space="preserve">  Of the 72, seventy have 1,500 or fewer employees and two have more than 1,500 employees.</w:t>
      </w:r>
      <w:r w:rsidRPr="007A6FE3">
        <w:rPr>
          <w:rStyle w:val="FootnoteReference"/>
          <w:szCs w:val="22"/>
        </w:rPr>
        <w:footnoteReference w:id="275"/>
      </w:r>
      <w:r w:rsidRPr="007A6FE3">
        <w:rPr>
          <w:szCs w:val="22"/>
        </w:rPr>
        <w:t xml:space="preserve">  Consequently, the Commission estimates that most providers of competitive local exchange service, competitive access providers, Shared-Tenant Service Providers, and Other Local Service Providers are small entities that may be affected by rules adopted pursuant to the Notice. </w:t>
      </w:r>
    </w:p>
    <w:p w14:paraId="08AB1E6C" w14:textId="77777777" w:rsidR="000F6490" w:rsidRPr="007A6FE3" w:rsidRDefault="000F6490" w:rsidP="00AD7E49">
      <w:pPr>
        <w:pStyle w:val="ParaNum0"/>
        <w:rPr>
          <w:spacing w:val="-3"/>
        </w:rPr>
      </w:pPr>
      <w:r w:rsidRPr="007A6FE3">
        <w:rPr>
          <w:b/>
          <w:szCs w:val="22"/>
        </w:rPr>
        <w:t>Interexchange Carriers (IXCs)</w:t>
      </w:r>
      <w:r w:rsidRPr="007A6FE3">
        <w:rPr>
          <w:szCs w:val="22"/>
        </w:rPr>
        <w:t xml:space="preserve">.  Neither the Commission nor the SBA has developed a size standard for small businesses specifically applicable to interexchange services.  The closest applicable size standard under SBA rules is for Wired Telecommunications Carriers.  Under that size standard, </w:t>
      </w:r>
      <w:r w:rsidRPr="007A6FE3">
        <w:t>such</w:t>
      </w:r>
      <w:r w:rsidRPr="007A6FE3">
        <w:rPr>
          <w:szCs w:val="22"/>
        </w:rPr>
        <w:t xml:space="preserve"> a business is small if it has 1,500 or fewer employees.</w:t>
      </w:r>
      <w:r w:rsidRPr="007A6FE3">
        <w:rPr>
          <w:szCs w:val="22"/>
          <w:vertAlign w:val="superscript"/>
        </w:rPr>
        <w:footnoteReference w:id="276"/>
      </w:r>
      <w:r w:rsidRPr="007A6FE3">
        <w:rPr>
          <w:szCs w:val="22"/>
        </w:rPr>
        <w:t xml:space="preserve">  According to Commission </w:t>
      </w:r>
      <w:r w:rsidRPr="007A6FE3">
        <w:rPr>
          <w:spacing w:val="-3"/>
        </w:rPr>
        <w:t>data</w:t>
      </w:r>
      <w:r w:rsidRPr="007A6FE3">
        <w:rPr>
          <w:szCs w:val="22"/>
        </w:rPr>
        <w:t>, 359 companies reported that their primary telecommunications service activity was the</w:t>
      </w:r>
      <w:r w:rsidRPr="007A6FE3">
        <w:rPr>
          <w:b/>
          <w:szCs w:val="22"/>
        </w:rPr>
        <w:t xml:space="preserve"> </w:t>
      </w:r>
      <w:r w:rsidRPr="007A6FE3">
        <w:rPr>
          <w:szCs w:val="22"/>
        </w:rPr>
        <w:t>provision of interexchange services.</w:t>
      </w:r>
      <w:r w:rsidRPr="007A6FE3">
        <w:rPr>
          <w:szCs w:val="22"/>
          <w:vertAlign w:val="superscript"/>
        </w:rPr>
        <w:footnoteReference w:id="277"/>
      </w:r>
      <w:r w:rsidRPr="007A6FE3">
        <w:rPr>
          <w:szCs w:val="22"/>
        </w:rPr>
        <w:t xml:space="preserve">  Of these 359 companies, an estimated 317 have 1,500 or fewer employees and 42 have more than 1,500 employees.</w:t>
      </w:r>
      <w:r w:rsidRPr="007A6FE3">
        <w:rPr>
          <w:szCs w:val="22"/>
          <w:vertAlign w:val="superscript"/>
        </w:rPr>
        <w:footnoteReference w:id="278"/>
      </w:r>
      <w:r w:rsidRPr="007A6FE3">
        <w:rPr>
          <w:szCs w:val="22"/>
        </w:rPr>
        <w:t xml:space="preserve">  Consequently, the Commission estimates that the majority of interexchange service providers are small entities that may be affected by rules adopted pursuant to the Notice.</w:t>
      </w:r>
    </w:p>
    <w:p w14:paraId="27BAD4B3" w14:textId="2D08AB8C" w:rsidR="000F6490" w:rsidRPr="007A6FE3" w:rsidRDefault="000F6490" w:rsidP="00AD7E49">
      <w:pPr>
        <w:pStyle w:val="ParaNum0"/>
      </w:pPr>
      <w:r w:rsidRPr="007A6FE3">
        <w:rPr>
          <w:b/>
        </w:rPr>
        <w:t>Other Toll Carriers</w:t>
      </w:r>
      <w:r w:rsidRPr="007A6FE3">
        <w:t xml:space="preserve">.  Neither the Commission nor the SBA has developed a size standard for small businesses specifically applicable to Other Toll Carriers.  This category includes toll carriers that do not fall within the categories of interexchange carriers, operator service providers, prepaid calling card providers, satellite service carriers, or toll resellers.  The closest applicable size standard under SBA rules is for Wired </w:t>
      </w:r>
      <w:r w:rsidRPr="007A6FE3">
        <w:rPr>
          <w:szCs w:val="22"/>
        </w:rPr>
        <w:t>Telecommunications</w:t>
      </w:r>
      <w:r w:rsidRPr="007A6FE3">
        <w:t xml:space="preserve"> Carriers.  Under that size standard, such a business is small if it has 1,500 or fewer employees.</w:t>
      </w:r>
      <w:r w:rsidRPr="007A6FE3">
        <w:rPr>
          <w:rStyle w:val="FootnoteReference"/>
          <w:szCs w:val="22"/>
        </w:rPr>
        <w:footnoteReference w:id="279"/>
      </w:r>
      <w:r w:rsidRPr="007A6FE3">
        <w:t xml:space="preserve">  Census data for 2007 shows that there were 31,996 establishments that operated that year.  Of those 31,996, 1,818 operated with more than 100 employees, and 30,178 operated with fewer than 100 employees.</w:t>
      </w:r>
      <w:r w:rsidRPr="007A6FE3">
        <w:rPr>
          <w:rStyle w:val="FootnoteReference"/>
          <w:szCs w:val="22"/>
        </w:rPr>
        <w:footnoteReference w:id="280"/>
      </w:r>
      <w:r w:rsidRPr="007A6FE3">
        <w:t xml:space="preserve">  Thus, under this category and the associated small business size standard, the majority of Other Toll Carriers can be considered small.  According to Commission data, 284 companies reported that their primary telecommunications service activity was the provision of other toll carriage.</w:t>
      </w:r>
      <w:r w:rsidRPr="007A6FE3">
        <w:rPr>
          <w:rStyle w:val="FootnoteReference"/>
          <w:szCs w:val="22"/>
        </w:rPr>
        <w:footnoteReference w:id="281"/>
      </w:r>
      <w:r w:rsidRPr="007A6FE3">
        <w:t xml:space="preserve">  Of these, an estimated 279 have 1,500 or fewer employees and five have more than 1,500 employees.</w:t>
      </w:r>
      <w:r w:rsidRPr="007A6FE3">
        <w:rPr>
          <w:rStyle w:val="FootnoteReference"/>
          <w:szCs w:val="22"/>
        </w:rPr>
        <w:footnoteReference w:id="282"/>
      </w:r>
      <w:r w:rsidRPr="007A6FE3">
        <w:t xml:space="preserve">  Consequently, the Commission estimates that most Other Toll Carriers are small entities that may be affected by the rules and policies adopted pursuant to the Notice.</w:t>
      </w:r>
    </w:p>
    <w:p w14:paraId="457EAB19" w14:textId="77777777" w:rsidR="000F6490" w:rsidRPr="007A6FE3" w:rsidRDefault="000F6490" w:rsidP="00AD7E49">
      <w:pPr>
        <w:pStyle w:val="ParaNum0"/>
      </w:pPr>
      <w:r w:rsidRPr="007A6FE3">
        <w:rPr>
          <w:b/>
        </w:rPr>
        <w:t>Wireless Telecommunications Carriers (except Satellite)</w:t>
      </w:r>
      <w:r w:rsidRPr="007A6FE3">
        <w:t>.  Since 2007, the SBA has recognized wireless firms within this new, broad, economic census category.</w:t>
      </w:r>
      <w:r w:rsidRPr="007A6FE3">
        <w:rPr>
          <w:vertAlign w:val="superscript"/>
        </w:rPr>
        <w:footnoteReference w:id="283"/>
      </w:r>
      <w:r w:rsidRPr="007A6FE3">
        <w:t xml:space="preserve">  Prior to that time, such firms were within the now-superseded categories of Paging and Cellular and Other Wireless Telecommunications.</w:t>
      </w:r>
      <w:r w:rsidRPr="007A6FE3">
        <w:rPr>
          <w:vertAlign w:val="superscript"/>
        </w:rPr>
        <w:footnoteReference w:id="284"/>
      </w:r>
      <w:r w:rsidRPr="007A6FE3">
        <w:t xml:space="preserve">  Under the present and prior categories, the SBA has deemed a wireless business to be small if it has 1,500 or fewer employees.</w:t>
      </w:r>
      <w:r w:rsidRPr="007A6FE3">
        <w:rPr>
          <w:rStyle w:val="FootnoteReference"/>
          <w:szCs w:val="22"/>
        </w:rPr>
        <w:footnoteReference w:id="285"/>
      </w:r>
      <w:r w:rsidRPr="007A6FE3">
        <w:t xml:space="preserve">  For this category, census data for 2007 show that there were 11,163 </w:t>
      </w:r>
      <w:r w:rsidRPr="007A6FE3">
        <w:rPr>
          <w:szCs w:val="22"/>
        </w:rPr>
        <w:t>establishments</w:t>
      </w:r>
      <w:r w:rsidRPr="007A6FE3">
        <w:t xml:space="preserve"> that operated for the entire year.</w:t>
      </w:r>
      <w:r w:rsidRPr="007A6FE3">
        <w:rPr>
          <w:rStyle w:val="FootnoteReference"/>
          <w:szCs w:val="22"/>
        </w:rPr>
        <w:footnoteReference w:id="286"/>
      </w:r>
      <w:r w:rsidRPr="007A6FE3">
        <w:t xml:space="preserve">  Of this total, 10,791 establishments had employment of 999 or fewer employees and 372 had employment of 1000 employees or more.</w:t>
      </w:r>
      <w:r w:rsidRPr="007A6FE3">
        <w:rPr>
          <w:rStyle w:val="FootnoteReference"/>
          <w:szCs w:val="22"/>
        </w:rPr>
        <w:footnoteReference w:id="287"/>
      </w:r>
      <w:r w:rsidRPr="007A6FE3">
        <w:t xml:space="preserve">  Thus, under this category and the associated small business size standard, the Commission estimates that the majority of wireless telecommunications carriers (except satellite) are small entities that may be affected by our proposed action.</w:t>
      </w:r>
    </w:p>
    <w:p w14:paraId="2776B048" w14:textId="77777777" w:rsidR="000F6490" w:rsidRPr="007A6FE3" w:rsidRDefault="000F6490" w:rsidP="00AD7E49">
      <w:pPr>
        <w:pStyle w:val="ParaNum0"/>
      </w:pPr>
      <w:r w:rsidRPr="007A6FE3">
        <w:t>Similarly, according to Commission data, 413 carriers reported that they were engaged in the provision of wireless telephony, including cellular service, Personal Communications Service (PCS), and Specialized Mobile Radio (SMR) Telephony services.</w:t>
      </w:r>
      <w:r w:rsidRPr="007A6FE3">
        <w:rPr>
          <w:rStyle w:val="FootnoteReference"/>
          <w:szCs w:val="22"/>
        </w:rPr>
        <w:footnoteReference w:id="288"/>
      </w:r>
      <w:r w:rsidRPr="007A6FE3">
        <w:t xml:space="preserve">  Of these, an estimated 261 have 1,500 or fewer employees and 152 have more than 1,500 employees.</w:t>
      </w:r>
      <w:r w:rsidRPr="007A6FE3">
        <w:rPr>
          <w:rStyle w:val="FootnoteReference"/>
          <w:szCs w:val="22"/>
        </w:rPr>
        <w:footnoteReference w:id="289"/>
      </w:r>
      <w:r w:rsidRPr="007A6FE3">
        <w:t xml:space="preserve">  Consequently, the Commission estimates that approximately half or more of these firms can be considered small.  Thus, using available data, we estimate that the majority of wireless firms can be considered small.  </w:t>
      </w:r>
    </w:p>
    <w:p w14:paraId="0F55779A" w14:textId="77777777" w:rsidR="000F6490" w:rsidRPr="007A6FE3" w:rsidRDefault="000F6490" w:rsidP="00AD7E49">
      <w:pPr>
        <w:pStyle w:val="ParaNum0"/>
      </w:pPr>
      <w:r w:rsidRPr="007A6FE3">
        <w:rPr>
          <w:b/>
        </w:rPr>
        <w:t>Cable and Other Program Distribution.</w:t>
      </w:r>
      <w:r w:rsidRPr="007A6FE3">
        <w:rPr>
          <w:i/>
        </w:rPr>
        <w:t xml:space="preserve"> </w:t>
      </w:r>
      <w:r w:rsidRPr="007A6FE3">
        <w:rPr>
          <w:b/>
        </w:rPr>
        <w:t xml:space="preserve"> </w:t>
      </w:r>
      <w:r w:rsidRPr="007A6FE3">
        <w:t xml:space="preserve">Since 2007, these services have been defined within the broad economic census category of Wired Telecommunications Carriers; that category is defined as follows: “This industry comprises establishments primarily engaged in operating and/or providing access to transmission facilities and infrastructure that they own and/or lease for the transmission of voice, data, text, sound, and video using wired telecommunications networks. </w:t>
      </w:r>
      <w:r w:rsidR="00CE0027">
        <w:t xml:space="preserve"> </w:t>
      </w:r>
      <w:r w:rsidRPr="007A6FE3">
        <w:t>Transmission facilities may be based on a single technology or a combination of technologies.”</w:t>
      </w:r>
      <w:r w:rsidRPr="007A6FE3">
        <w:rPr>
          <w:rStyle w:val="FootnoteReference"/>
          <w:szCs w:val="22"/>
        </w:rPr>
        <w:footnoteReference w:id="290"/>
      </w:r>
      <w:r w:rsidRPr="007A6FE3">
        <w:t xml:space="preserve">  The SBA has developed a small business size standard for this category, which is: all such firms having 1,500 or fewer employees.</w:t>
      </w:r>
      <w:r w:rsidRPr="007A6FE3">
        <w:rPr>
          <w:rStyle w:val="FootnoteReference"/>
          <w:szCs w:val="22"/>
        </w:rPr>
        <w:footnoteReference w:id="291"/>
      </w:r>
      <w:r w:rsidRPr="007A6FE3">
        <w:t xml:space="preserve">  Census data for 2007 shows that there were 31,996 establishments that operated that year.  Of those 31,996, 1,818 operated with more than 100 employees, and 30,178 operated with fewer than 100 employees.  Thus, under this size standard, the majority of firms offering cable and other program distribution services can be considered small and may be affected by rules adopted pursuant to the</w:t>
      </w:r>
      <w:r w:rsidRPr="007A6FE3">
        <w:rPr>
          <w:i/>
        </w:rPr>
        <w:t xml:space="preserve"> </w:t>
      </w:r>
      <w:r w:rsidRPr="007A6FE3">
        <w:t xml:space="preserve">Notice.  </w:t>
      </w:r>
    </w:p>
    <w:p w14:paraId="5CDA0052" w14:textId="77777777" w:rsidR="000F6490" w:rsidRPr="007A6FE3" w:rsidRDefault="000F6490" w:rsidP="00AD7E49">
      <w:pPr>
        <w:pStyle w:val="ParaNum0"/>
      </w:pPr>
      <w:r w:rsidRPr="007A6FE3">
        <w:rPr>
          <w:b/>
        </w:rPr>
        <w:t>Cable Companies and Systems</w:t>
      </w:r>
      <w:r w:rsidRPr="007A6FE3">
        <w:rPr>
          <w:i/>
        </w:rPr>
        <w:t>.</w:t>
      </w:r>
      <w:r w:rsidRPr="007A6FE3">
        <w:t xml:space="preserve">  The Commission has developed its own small business size standards, for the purpose of cable rate regulation.  Under the Commission’s rules, a “small cable company” is one serving 400,000 or fewer subscribers, nationwide.</w:t>
      </w:r>
      <w:r w:rsidRPr="007A6FE3">
        <w:rPr>
          <w:rStyle w:val="FootnoteReference"/>
          <w:szCs w:val="22"/>
        </w:rPr>
        <w:footnoteReference w:id="292"/>
      </w:r>
      <w:r w:rsidRPr="007A6FE3">
        <w:t xml:space="preserve">  Industry data indicate that, of 1,076 cable operators nationwide, all but eleven are small under this size standard.</w:t>
      </w:r>
      <w:r w:rsidRPr="007A6FE3">
        <w:rPr>
          <w:rStyle w:val="FootnoteReference"/>
          <w:szCs w:val="22"/>
        </w:rPr>
        <w:footnoteReference w:id="293"/>
      </w:r>
      <w:r w:rsidRPr="007A6FE3">
        <w:t xml:space="preserve">  In addition, under the Commission’s rules, a “small system” is a cable system serving 15,000 or fewer subscribers.</w:t>
      </w:r>
      <w:r w:rsidRPr="007A6FE3">
        <w:rPr>
          <w:rStyle w:val="FootnoteReference"/>
          <w:szCs w:val="22"/>
        </w:rPr>
        <w:footnoteReference w:id="294"/>
      </w:r>
      <w:r w:rsidRPr="007A6FE3">
        <w:t xml:space="preserve">  Industry data indicate that, of 6,635 systems nationwide, 5,802 systems have under 10,000 subscribers, and an additional 302 systems have 10,000-19,999 subscribers.</w:t>
      </w:r>
      <w:r w:rsidRPr="007A6FE3">
        <w:rPr>
          <w:rStyle w:val="FootnoteReference"/>
          <w:szCs w:val="22"/>
        </w:rPr>
        <w:footnoteReference w:id="295"/>
      </w:r>
      <w:r w:rsidRPr="007A6FE3">
        <w:t xml:space="preserve">  Thus, under this second size standard, most cable systems are small and may be affected by rules adopted pursuant to the Notice. </w:t>
      </w:r>
    </w:p>
    <w:p w14:paraId="324B3E87" w14:textId="77777777" w:rsidR="000F6490" w:rsidRPr="007A6FE3" w:rsidRDefault="000F6490" w:rsidP="00AD7E49">
      <w:pPr>
        <w:pStyle w:val="ParaNum0"/>
        <w:rPr>
          <w:spacing w:val="-3"/>
        </w:rPr>
      </w:pPr>
      <w:r w:rsidRPr="007A6FE3">
        <w:rPr>
          <w:b/>
        </w:rPr>
        <w:t>All Other Telecommunications</w:t>
      </w:r>
      <w:r w:rsidRPr="007A6FE3">
        <w:t>.  The Census Bureau defines this industry as including “establishments primarily engaged in providing specialized telecommunications services, such as satellite tracking, communications telemetry, and radar station operation.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Establishments providing Internet services or Voice over Internet Protocol (VoIP) services via client-supplied telecommunications connections are also included in this industry.”</w:t>
      </w:r>
      <w:r w:rsidRPr="007A6FE3">
        <w:rPr>
          <w:rStyle w:val="FootnoteReference"/>
          <w:szCs w:val="22"/>
        </w:rPr>
        <w:footnoteReference w:id="296"/>
      </w:r>
      <w:r w:rsidRPr="007A6FE3">
        <w:t xml:space="preserve">  The SBA has developed a small business size standard for this category; that size standard is $30.0 million or less in average annual receipts.</w:t>
      </w:r>
      <w:r w:rsidRPr="007A6FE3">
        <w:rPr>
          <w:rStyle w:val="FootnoteReference"/>
          <w:szCs w:val="22"/>
        </w:rPr>
        <w:footnoteReference w:id="297"/>
      </w:r>
      <w:r w:rsidRPr="007A6FE3">
        <w:t xml:space="preserve">  According to Census Bureau data for 2007, there were 2,623 firms in this category that operated for the entire year.</w:t>
      </w:r>
      <w:r w:rsidRPr="007A6FE3">
        <w:rPr>
          <w:rStyle w:val="FootnoteReference"/>
          <w:szCs w:val="22"/>
        </w:rPr>
        <w:footnoteReference w:id="298"/>
      </w:r>
      <w:r w:rsidRPr="007A6FE3">
        <w:t xml:space="preserve">  Of these, 2478 establishments had annual receipts of under $10 million and 145 establishments had annual receipts of $10 million or more.</w:t>
      </w:r>
      <w:r w:rsidRPr="007A6FE3">
        <w:rPr>
          <w:rStyle w:val="FootnoteReference"/>
          <w:szCs w:val="22"/>
        </w:rPr>
        <w:footnoteReference w:id="299"/>
      </w:r>
      <w:r w:rsidRPr="007A6FE3">
        <w:t xml:space="preserve">  Consequently, we estimate that the majority of these firms are small entities that may be affected by our action.</w:t>
      </w:r>
    </w:p>
    <w:p w14:paraId="0BAA9ABC" w14:textId="77777777" w:rsidR="000F6490" w:rsidRPr="007A6FE3" w:rsidRDefault="000F6490" w:rsidP="000F6490">
      <w:pPr>
        <w:pStyle w:val="Heading2"/>
      </w:pPr>
      <w:bookmarkStart w:id="741" w:name="_Toc399947736"/>
      <w:bookmarkStart w:id="742" w:name="_Toc400554044"/>
      <w:bookmarkStart w:id="743" w:name="_Toc400566853"/>
      <w:bookmarkStart w:id="744" w:name="_Toc400711723"/>
      <w:bookmarkStart w:id="745" w:name="_Toc400719673"/>
      <w:bookmarkStart w:id="746" w:name="_Toc401299448"/>
      <w:bookmarkStart w:id="747" w:name="_Toc401307013"/>
      <w:bookmarkStart w:id="748" w:name="_Toc401314177"/>
      <w:bookmarkStart w:id="749" w:name="_Toc401314326"/>
      <w:bookmarkStart w:id="750" w:name="_Toc401329844"/>
      <w:bookmarkStart w:id="751" w:name="_Toc401595647"/>
      <w:bookmarkStart w:id="752" w:name="_Toc401658204"/>
      <w:bookmarkStart w:id="753" w:name="_Toc401821706"/>
      <w:bookmarkStart w:id="754" w:name="_Toc401912174"/>
      <w:bookmarkStart w:id="755" w:name="_Toc402255428"/>
      <w:bookmarkStart w:id="756" w:name="_Toc402276211"/>
      <w:bookmarkStart w:id="757" w:name="_Toc402360453"/>
      <w:bookmarkStart w:id="758" w:name="_Toc402511515"/>
      <w:bookmarkStart w:id="759" w:name="_Toc403566424"/>
      <w:bookmarkStart w:id="760" w:name="_Toc404072135"/>
      <w:bookmarkStart w:id="761" w:name="_Toc404081331"/>
      <w:bookmarkStart w:id="762" w:name="_Toc404165810"/>
      <w:bookmarkStart w:id="763" w:name="_Toc404165888"/>
      <w:bookmarkStart w:id="764" w:name="_Toc404172443"/>
      <w:bookmarkStart w:id="765" w:name="_Toc404181497"/>
      <w:bookmarkStart w:id="766" w:name="_Toc404183090"/>
      <w:bookmarkStart w:id="767" w:name="_Toc404246636"/>
      <w:r w:rsidRPr="007A6FE3">
        <w:t xml:space="preserve">Description of </w:t>
      </w:r>
      <w:r w:rsidRPr="007A6FE3">
        <w:rPr>
          <w:spacing w:val="-3"/>
        </w:rPr>
        <w:t>Projected</w:t>
      </w:r>
      <w:r w:rsidRPr="007A6FE3">
        <w:t xml:space="preserve"> Reporting, Recordkeeping, and Other Compliance Requirements</w:t>
      </w:r>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p>
    <w:p w14:paraId="2AFEE209" w14:textId="77777777" w:rsidR="000F6490" w:rsidRPr="007A6FE3" w:rsidRDefault="000F6490" w:rsidP="00AD7E49">
      <w:pPr>
        <w:pStyle w:val="ParaNum0"/>
        <w:rPr>
          <w:spacing w:val="-3"/>
        </w:rPr>
      </w:pPr>
      <w:r w:rsidRPr="007A6FE3">
        <w:t xml:space="preserve">The Notice proposes a number of rule changes that will affect reporting, recordkeeping, and other compliance requirements. </w:t>
      </w:r>
      <w:r w:rsidR="00CE0027">
        <w:t xml:space="preserve"> </w:t>
      </w:r>
      <w:r w:rsidRPr="007A6FE3">
        <w:t>Each of these changes is described below.</w:t>
      </w:r>
    </w:p>
    <w:p w14:paraId="0F322E8B" w14:textId="77777777" w:rsidR="000F6490" w:rsidRPr="007A6FE3" w:rsidRDefault="000F6490" w:rsidP="00AD7E49">
      <w:pPr>
        <w:pStyle w:val="ParaNum0"/>
        <w:rPr>
          <w:spacing w:val="-3"/>
        </w:rPr>
      </w:pPr>
      <w:r w:rsidRPr="007A6FE3">
        <w:rPr>
          <w:spacing w:val="-3"/>
        </w:rPr>
        <w:t>The Notice proposes to require incumbent LECs to provide</w:t>
      </w:r>
      <w:r w:rsidRPr="007A6FE3">
        <w:t xml:space="preserve"> direct notification to all interconnecting carriers and affected </w:t>
      </w:r>
      <w:r w:rsidR="0009162F" w:rsidRPr="007A6FE3">
        <w:t xml:space="preserve">retail customers </w:t>
      </w:r>
      <w:r w:rsidRPr="007A6FE3">
        <w:t xml:space="preserve">of a network change involving copper retirement plus a public notice filed with the Commission.  The </w:t>
      </w:r>
      <w:r w:rsidRPr="007A6FE3">
        <w:rPr>
          <w:i/>
        </w:rPr>
        <w:t>Notice</w:t>
      </w:r>
      <w:r w:rsidRPr="007A6FE3">
        <w:t xml:space="preserve"> also proposes to require incumbent LECs to provide </w:t>
      </w:r>
      <w:r w:rsidRPr="007A6FE3">
        <w:rPr>
          <w:spacing w:val="-3"/>
        </w:rPr>
        <w:t>additional</w:t>
      </w:r>
      <w:r w:rsidRPr="007A6FE3">
        <w:t xml:space="preserve"> information about the potential impacts of proposed copper retirements in their notices.  In addition, the Notice proposes to require incumbent LECs to file a certification with the Commission that includes the proposed network change, the notification to interconnecting carriers, and a copy of the written notice provided to affected retail </w:t>
      </w:r>
      <w:r w:rsidR="0009162F" w:rsidRPr="007A6FE3">
        <w:t>customers</w:t>
      </w:r>
      <w:r w:rsidRPr="007A6FE3">
        <w:t>.</w:t>
      </w:r>
      <w:r w:rsidRPr="007A6FE3">
        <w:rPr>
          <w:spacing w:val="-3"/>
        </w:rPr>
        <w:t xml:space="preserve">  </w:t>
      </w:r>
      <w:r w:rsidRPr="007A6FE3">
        <w:t>For other entities that wish to object to a proposed network change involving copper retirement, they may</w:t>
      </w:r>
      <w:r w:rsidRPr="007A6FE3">
        <w:rPr>
          <w:szCs w:val="22"/>
        </w:rPr>
        <w:t xml:space="preserve"> file objections to and comments on copper retirement notices.</w:t>
      </w:r>
    </w:p>
    <w:p w14:paraId="1330319D" w14:textId="77777777" w:rsidR="000F6490" w:rsidRPr="007A6FE3" w:rsidRDefault="000F6490" w:rsidP="000F6490">
      <w:pPr>
        <w:pStyle w:val="Heading2"/>
        <w:rPr>
          <w:b w:val="0"/>
        </w:rPr>
      </w:pPr>
      <w:bookmarkStart w:id="768" w:name="_Toc399947737"/>
      <w:bookmarkStart w:id="769" w:name="_Toc400554045"/>
      <w:bookmarkStart w:id="770" w:name="_Toc400566854"/>
      <w:bookmarkStart w:id="771" w:name="_Toc400711724"/>
      <w:bookmarkStart w:id="772" w:name="_Toc400719674"/>
      <w:bookmarkStart w:id="773" w:name="_Toc401299449"/>
      <w:bookmarkStart w:id="774" w:name="_Toc401307014"/>
      <w:bookmarkStart w:id="775" w:name="_Toc401314178"/>
      <w:bookmarkStart w:id="776" w:name="_Toc401314327"/>
      <w:bookmarkStart w:id="777" w:name="_Toc401329845"/>
      <w:bookmarkStart w:id="778" w:name="_Toc401595648"/>
      <w:bookmarkStart w:id="779" w:name="_Toc401658205"/>
      <w:bookmarkStart w:id="780" w:name="_Toc401821707"/>
      <w:bookmarkStart w:id="781" w:name="_Toc401912175"/>
      <w:bookmarkStart w:id="782" w:name="_Toc402255429"/>
      <w:bookmarkStart w:id="783" w:name="_Toc402276212"/>
      <w:bookmarkStart w:id="784" w:name="_Toc402360454"/>
      <w:bookmarkStart w:id="785" w:name="_Toc402511516"/>
      <w:bookmarkStart w:id="786" w:name="_Toc403566425"/>
      <w:bookmarkStart w:id="787" w:name="_Toc404072136"/>
      <w:bookmarkStart w:id="788" w:name="_Toc404081332"/>
      <w:bookmarkStart w:id="789" w:name="_Toc404165811"/>
      <w:bookmarkStart w:id="790" w:name="_Toc404165889"/>
      <w:bookmarkStart w:id="791" w:name="_Toc404172444"/>
      <w:bookmarkStart w:id="792" w:name="_Toc404181498"/>
      <w:bookmarkStart w:id="793" w:name="_Toc404183091"/>
      <w:bookmarkStart w:id="794" w:name="_Toc404246637"/>
      <w:r w:rsidRPr="007A6FE3">
        <w:t>Steps Taken to Minimize Significant Economic Impact on Small Entities, and Significant Alternatives Considered</w:t>
      </w:r>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p>
    <w:p w14:paraId="3AEC0078" w14:textId="77777777" w:rsidR="000F6490" w:rsidRPr="007A6FE3" w:rsidRDefault="000F6490" w:rsidP="00A2098F">
      <w:pPr>
        <w:pStyle w:val="ParaNum0"/>
        <w:widowControl/>
      </w:pPr>
      <w:r w:rsidRPr="007A6FE3">
        <w:t xml:space="preserve">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w:t>
      </w:r>
      <w:r w:rsidRPr="007A6FE3">
        <w:rPr>
          <w:spacing w:val="-3"/>
        </w:rPr>
        <w:t>resources</w:t>
      </w:r>
      <w:r w:rsidRPr="007A6FE3">
        <w:t xml:space="preserve">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sidRPr="007A6FE3">
        <w:rPr>
          <w:rStyle w:val="FootnoteReference"/>
        </w:rPr>
        <w:footnoteReference w:id="300"/>
      </w:r>
    </w:p>
    <w:p w14:paraId="0ADACA6C" w14:textId="77777777" w:rsidR="000F6490" w:rsidRPr="007A6FE3" w:rsidRDefault="000F6490" w:rsidP="00AD7E49">
      <w:pPr>
        <w:pStyle w:val="ParaNum0"/>
      </w:pPr>
      <w:r w:rsidRPr="007A6FE3">
        <w:t xml:space="preserve">The proposals require notifications and information regarding copper retirements as well as certifications.  Paragraph </w:t>
      </w:r>
      <w:r w:rsidR="00247CD2" w:rsidRPr="007A6FE3">
        <w:fldChar w:fldCharType="begin"/>
      </w:r>
      <w:r w:rsidR="00247CD2" w:rsidRPr="007A6FE3">
        <w:instrText xml:space="preserve"> REF _Ref401923930 \r \h </w:instrText>
      </w:r>
      <w:r w:rsidR="007A6FE3">
        <w:instrText xml:space="preserve"> \* MERGEFORMAT </w:instrText>
      </w:r>
      <w:r w:rsidR="00247CD2" w:rsidRPr="007A6FE3">
        <w:fldChar w:fldCharType="separate"/>
      </w:r>
      <w:r w:rsidR="008A38E8">
        <w:t>55</w:t>
      </w:r>
      <w:r w:rsidR="00247CD2" w:rsidRPr="007A6FE3">
        <w:fldChar w:fldCharType="end"/>
      </w:r>
      <w:r w:rsidRPr="007A6FE3">
        <w:t xml:space="preserve"> in the primary item discusses the need to revise the requirements of our network change disclosure r</w:t>
      </w:r>
      <w:r w:rsidRPr="007A6FE3">
        <w:rPr>
          <w:rStyle w:val="ParaNumChar"/>
        </w:rPr>
        <w:t>u</w:t>
      </w:r>
      <w:r w:rsidRPr="007A6FE3">
        <w:t xml:space="preserve">les to promote competition and safeguard against copper retirements for discriminatory and anticompetitive purposes.  The Notice seeks comment on the proposed notification requirements and alternative methods of communication such as email and company websites.  </w:t>
      </w:r>
    </w:p>
    <w:p w14:paraId="06944803" w14:textId="77777777" w:rsidR="000F6490" w:rsidRPr="007A6FE3" w:rsidRDefault="000F6490" w:rsidP="00AD7E49">
      <w:pPr>
        <w:pStyle w:val="ParaNum0"/>
      </w:pPr>
      <w:r w:rsidRPr="007A6FE3">
        <w:t xml:space="preserve">The proposal also seeks to require incumbent LECs to maintain records of customer notifications, in whatever form provided, for </w:t>
      </w:r>
      <w:r w:rsidR="005E324F" w:rsidRPr="007A6FE3">
        <w:t>a fixed period of time</w:t>
      </w:r>
      <w:r w:rsidRPr="007A6FE3">
        <w:t xml:space="preserve">.  The Notice seeks comment on </w:t>
      </w:r>
      <w:r w:rsidR="005E324F" w:rsidRPr="007A6FE3">
        <w:t xml:space="preserve">the proposal.  It also seeks comment on the appropriate retention period and on </w:t>
      </w:r>
      <w:r w:rsidRPr="007A6FE3">
        <w:t>whether the benefits of such a record retention requirement outweigh any associated burden on incumbent LECs.  The Commission seeks the same cost/benefit analysis of its proposed certification requirement.</w:t>
      </w:r>
    </w:p>
    <w:p w14:paraId="019B461A" w14:textId="77777777" w:rsidR="000F6490" w:rsidRPr="007A6FE3" w:rsidRDefault="000F6490" w:rsidP="000F6490">
      <w:pPr>
        <w:pStyle w:val="Heading2"/>
        <w:rPr>
          <w:b w:val="0"/>
        </w:rPr>
      </w:pPr>
      <w:bookmarkStart w:id="795" w:name="_Toc399947738"/>
      <w:bookmarkStart w:id="796" w:name="_Toc400554046"/>
      <w:bookmarkStart w:id="797" w:name="_Toc400566855"/>
      <w:bookmarkStart w:id="798" w:name="_Toc400711725"/>
      <w:bookmarkStart w:id="799" w:name="_Toc400719675"/>
      <w:bookmarkStart w:id="800" w:name="_Toc401299450"/>
      <w:bookmarkStart w:id="801" w:name="_Toc401307015"/>
      <w:bookmarkStart w:id="802" w:name="_Toc401314179"/>
      <w:bookmarkStart w:id="803" w:name="_Toc401314328"/>
      <w:bookmarkStart w:id="804" w:name="_Toc401329846"/>
      <w:bookmarkStart w:id="805" w:name="_Toc401595649"/>
      <w:bookmarkStart w:id="806" w:name="_Toc401658206"/>
      <w:bookmarkStart w:id="807" w:name="_Toc401821708"/>
      <w:bookmarkStart w:id="808" w:name="_Toc401912176"/>
      <w:bookmarkStart w:id="809" w:name="_Toc402255430"/>
      <w:bookmarkStart w:id="810" w:name="_Toc402276213"/>
      <w:bookmarkStart w:id="811" w:name="_Toc402360455"/>
      <w:bookmarkStart w:id="812" w:name="_Toc402511517"/>
      <w:bookmarkStart w:id="813" w:name="_Toc403566426"/>
      <w:bookmarkStart w:id="814" w:name="_Toc404072137"/>
      <w:bookmarkStart w:id="815" w:name="_Toc404081333"/>
      <w:bookmarkStart w:id="816" w:name="_Toc404165812"/>
      <w:bookmarkStart w:id="817" w:name="_Toc404165890"/>
      <w:bookmarkStart w:id="818" w:name="_Toc404172445"/>
      <w:bookmarkStart w:id="819" w:name="_Toc404181499"/>
      <w:bookmarkStart w:id="820" w:name="_Toc404183092"/>
      <w:bookmarkStart w:id="821" w:name="_Toc404246638"/>
      <w:r w:rsidRPr="007A6FE3">
        <w:t>Federal Rules that May Duplicate, Overlap, or Conflict With the Proposed Rule</w:t>
      </w:r>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p>
    <w:p w14:paraId="3CDD10F6" w14:textId="77777777" w:rsidR="000F6490" w:rsidRPr="007A6FE3" w:rsidRDefault="000F6490" w:rsidP="00AD7E49">
      <w:pPr>
        <w:pStyle w:val="ParaNum0"/>
        <w:rPr>
          <w:spacing w:val="-3"/>
        </w:rPr>
      </w:pPr>
      <w:r w:rsidRPr="007A6FE3">
        <w:t>None</w:t>
      </w:r>
      <w:r w:rsidRPr="007A6FE3">
        <w:rPr>
          <w:spacing w:val="-3"/>
        </w:rPr>
        <w:t>.</w:t>
      </w:r>
    </w:p>
    <w:p w14:paraId="07E08C15" w14:textId="77777777" w:rsidR="004F67FF" w:rsidRDefault="004F67FF" w:rsidP="00557578">
      <w:pPr>
        <w:spacing w:before="120" w:after="200"/>
        <w:sectPr w:rsidR="004F67FF" w:rsidSect="00EA487D">
          <w:footerReference w:type="first" r:id="rId15"/>
          <w:footnotePr>
            <w:numRestart w:val="eachSect"/>
          </w:footnotePr>
          <w:endnotePr>
            <w:numFmt w:val="decimal"/>
          </w:endnotePr>
          <w:pgSz w:w="12240" w:h="15840"/>
          <w:pgMar w:top="1440" w:right="1440" w:bottom="720" w:left="1440" w:header="720" w:footer="720" w:gutter="0"/>
          <w:cols w:space="720"/>
          <w:noEndnote/>
          <w:docGrid w:linePitch="299"/>
        </w:sectPr>
      </w:pPr>
    </w:p>
    <w:p w14:paraId="4C6AB0FC" w14:textId="77777777" w:rsidR="004F67FF" w:rsidRPr="00A474B0" w:rsidRDefault="004F67FF" w:rsidP="004F67FF">
      <w:pPr>
        <w:widowControl/>
        <w:jc w:val="center"/>
        <w:rPr>
          <w:rFonts w:eastAsiaTheme="minorHAnsi"/>
          <w:b/>
          <w:snapToGrid/>
          <w:kern w:val="0"/>
          <w:szCs w:val="22"/>
        </w:rPr>
      </w:pPr>
      <w:r w:rsidRPr="00A474B0">
        <w:rPr>
          <w:rFonts w:eastAsiaTheme="minorHAnsi"/>
          <w:b/>
          <w:snapToGrid/>
          <w:kern w:val="0"/>
          <w:szCs w:val="22"/>
        </w:rPr>
        <w:t>STATEMENT OF</w:t>
      </w:r>
    </w:p>
    <w:p w14:paraId="34148598" w14:textId="77777777" w:rsidR="004F67FF" w:rsidRPr="00A474B0" w:rsidRDefault="004F67FF" w:rsidP="004F67FF">
      <w:pPr>
        <w:widowControl/>
        <w:jc w:val="center"/>
        <w:rPr>
          <w:rFonts w:eastAsiaTheme="minorHAnsi"/>
          <w:b/>
          <w:snapToGrid/>
          <w:kern w:val="0"/>
          <w:szCs w:val="22"/>
        </w:rPr>
      </w:pPr>
      <w:r w:rsidRPr="00A474B0">
        <w:rPr>
          <w:rFonts w:eastAsiaTheme="minorHAnsi"/>
          <w:b/>
          <w:snapToGrid/>
          <w:kern w:val="0"/>
          <w:szCs w:val="22"/>
        </w:rPr>
        <w:t>CHAIRMAN TOM WHEELER</w:t>
      </w:r>
    </w:p>
    <w:p w14:paraId="1255EE17" w14:textId="77777777" w:rsidR="004F67FF" w:rsidRPr="00A474B0" w:rsidRDefault="004F67FF" w:rsidP="004F67FF">
      <w:pPr>
        <w:widowControl/>
        <w:rPr>
          <w:rFonts w:eastAsiaTheme="minorHAnsi"/>
          <w:snapToGrid/>
          <w:kern w:val="0"/>
          <w:szCs w:val="22"/>
        </w:rPr>
      </w:pPr>
    </w:p>
    <w:p w14:paraId="059BA1FB" w14:textId="77777777" w:rsidR="004F67FF" w:rsidRPr="00A474B0" w:rsidRDefault="004F67FF" w:rsidP="004F67FF">
      <w:pPr>
        <w:widowControl/>
        <w:ind w:left="720" w:hanging="720"/>
        <w:rPr>
          <w:rFonts w:eastAsiaTheme="minorHAnsi"/>
          <w:i/>
          <w:snapToGrid/>
          <w:kern w:val="0"/>
          <w:szCs w:val="22"/>
        </w:rPr>
      </w:pPr>
      <w:r w:rsidRPr="00A474B0">
        <w:rPr>
          <w:rFonts w:eastAsiaTheme="minorHAnsi"/>
          <w:snapToGrid/>
          <w:kern w:val="0"/>
          <w:szCs w:val="22"/>
        </w:rPr>
        <w:t>Re:</w:t>
      </w:r>
      <w:r w:rsidRPr="00A474B0">
        <w:rPr>
          <w:rFonts w:eastAsiaTheme="minorHAnsi"/>
          <w:snapToGrid/>
          <w:kern w:val="0"/>
          <w:szCs w:val="22"/>
        </w:rPr>
        <w:tab/>
      </w:r>
      <w:r w:rsidRPr="00A474B0">
        <w:rPr>
          <w:rFonts w:eastAsiaTheme="minorHAnsi"/>
          <w:i/>
          <w:snapToGrid/>
          <w:kern w:val="0"/>
          <w:szCs w:val="22"/>
        </w:rPr>
        <w:t>Ensuring Customer Premises Equipment Backup Power for Continuity of Communications</w:t>
      </w:r>
      <w:r w:rsidRPr="00A474B0">
        <w:rPr>
          <w:rFonts w:eastAsiaTheme="minorHAnsi"/>
          <w:snapToGrid/>
          <w:kern w:val="0"/>
          <w:szCs w:val="22"/>
        </w:rPr>
        <w:t>,</w:t>
      </w:r>
      <w:r w:rsidRPr="00A474B0">
        <w:rPr>
          <w:rFonts w:eastAsiaTheme="minorHAnsi"/>
          <w:i/>
          <w:snapToGrid/>
          <w:kern w:val="0"/>
          <w:szCs w:val="22"/>
        </w:rPr>
        <w:t xml:space="preserve"> </w:t>
      </w:r>
      <w:r w:rsidRPr="00A474B0">
        <w:rPr>
          <w:rFonts w:eastAsiaTheme="minorHAnsi"/>
          <w:snapToGrid/>
          <w:kern w:val="0"/>
          <w:szCs w:val="22"/>
        </w:rPr>
        <w:t>PS Docket No, 14-174,</w:t>
      </w:r>
      <w:r w:rsidRPr="00A474B0">
        <w:rPr>
          <w:rFonts w:eastAsiaTheme="minorHAnsi"/>
          <w:i/>
          <w:snapToGrid/>
          <w:kern w:val="0"/>
          <w:szCs w:val="22"/>
        </w:rPr>
        <w:t xml:space="preserve"> Technology Transitions</w:t>
      </w:r>
      <w:r w:rsidRPr="00A474B0">
        <w:rPr>
          <w:rFonts w:eastAsiaTheme="minorHAnsi"/>
          <w:snapToGrid/>
          <w:kern w:val="0"/>
          <w:szCs w:val="22"/>
        </w:rPr>
        <w:t>, GN Docket No. 13-5,</w:t>
      </w:r>
      <w:r w:rsidRPr="00A474B0">
        <w:rPr>
          <w:rFonts w:eastAsiaTheme="minorHAnsi"/>
          <w:i/>
          <w:snapToGrid/>
          <w:kern w:val="0"/>
          <w:szCs w:val="22"/>
        </w:rPr>
        <w:t xml:space="preserve"> Policies and Rules Governing Retirement Of Copper Loops by Incumbent Local Exchange Carriers</w:t>
      </w:r>
      <w:r w:rsidRPr="00A474B0">
        <w:rPr>
          <w:rFonts w:eastAsiaTheme="minorHAnsi"/>
          <w:snapToGrid/>
          <w:kern w:val="0"/>
          <w:szCs w:val="22"/>
        </w:rPr>
        <w:t>, RM-11358,</w:t>
      </w:r>
      <w:r w:rsidRPr="00A474B0">
        <w:rPr>
          <w:rFonts w:eastAsiaTheme="minorHAnsi"/>
          <w:i/>
          <w:snapToGrid/>
          <w:kern w:val="0"/>
          <w:szCs w:val="22"/>
        </w:rPr>
        <w:t xml:space="preserve"> Special Access for Price Cap Local Exchange Carriers</w:t>
      </w:r>
      <w:r w:rsidRPr="00A474B0">
        <w:rPr>
          <w:rFonts w:eastAsiaTheme="minorHAnsi"/>
          <w:snapToGrid/>
          <w:kern w:val="0"/>
          <w:szCs w:val="22"/>
        </w:rPr>
        <w:t>, WC Docket No. 05-25,</w:t>
      </w:r>
      <w:r w:rsidRPr="00A474B0">
        <w:rPr>
          <w:rFonts w:eastAsiaTheme="minorHAnsi"/>
          <w:i/>
          <w:snapToGrid/>
          <w:kern w:val="0"/>
          <w:szCs w:val="22"/>
        </w:rPr>
        <w:t xml:space="preserve"> AT&amp;T Corporation Petition for Rulemaking to Reform Regulation of Incumbent Local Exchange Carrier Rates for Interstate Special Access Services</w:t>
      </w:r>
      <w:r w:rsidRPr="00A474B0">
        <w:rPr>
          <w:rFonts w:eastAsiaTheme="minorHAnsi"/>
          <w:snapToGrid/>
          <w:kern w:val="0"/>
          <w:szCs w:val="22"/>
        </w:rPr>
        <w:t>, RM-10593.</w:t>
      </w:r>
    </w:p>
    <w:p w14:paraId="3EA1C172" w14:textId="77777777" w:rsidR="004F67FF" w:rsidRPr="00A474B0" w:rsidRDefault="004F67FF" w:rsidP="004F67FF">
      <w:pPr>
        <w:widowControl/>
        <w:rPr>
          <w:rFonts w:eastAsiaTheme="minorHAnsi"/>
          <w:snapToGrid/>
          <w:kern w:val="0"/>
          <w:szCs w:val="22"/>
        </w:rPr>
      </w:pPr>
    </w:p>
    <w:p w14:paraId="5E871325" w14:textId="77777777" w:rsidR="004F67FF" w:rsidRPr="00A474B0" w:rsidRDefault="004F67FF" w:rsidP="004F67FF">
      <w:pPr>
        <w:widowControl/>
        <w:spacing w:after="120"/>
        <w:ind w:firstLine="720"/>
        <w:rPr>
          <w:rFonts w:eastAsiaTheme="minorHAnsi"/>
          <w:snapToGrid/>
          <w:kern w:val="0"/>
          <w:szCs w:val="22"/>
        </w:rPr>
      </w:pPr>
      <w:r w:rsidRPr="00A474B0">
        <w:rPr>
          <w:rFonts w:eastAsiaTheme="minorHAnsi"/>
          <w:snapToGrid/>
          <w:kern w:val="0"/>
          <w:szCs w:val="22"/>
        </w:rPr>
        <w:t>As technology evolves, the networks we use to communicate with each other are changing. New technology has sparked tremendous innovation, and that is a good thing. Today, the Commission takes important steps to facilitate the transitions to next generation networks by proposing some common-sense, technology-neutral rules designed to protect public safety, consumers, and competition as the transitions move forward.</w:t>
      </w:r>
    </w:p>
    <w:p w14:paraId="7EF65F62" w14:textId="77777777" w:rsidR="004F67FF" w:rsidRPr="00A474B0" w:rsidRDefault="004F67FF" w:rsidP="004F67FF">
      <w:pPr>
        <w:widowControl/>
        <w:spacing w:after="120"/>
        <w:ind w:firstLine="720"/>
        <w:rPr>
          <w:rFonts w:eastAsiaTheme="minorHAnsi"/>
          <w:snapToGrid/>
          <w:kern w:val="0"/>
          <w:szCs w:val="22"/>
        </w:rPr>
      </w:pPr>
      <w:r w:rsidRPr="00A474B0">
        <w:rPr>
          <w:rFonts w:eastAsiaTheme="minorHAnsi"/>
          <w:snapToGrid/>
          <w:kern w:val="0"/>
          <w:szCs w:val="22"/>
        </w:rPr>
        <w:t>In particular, the item we adopt today tackles some of the most important policy questions posed by the transitions. For example:</w:t>
      </w:r>
    </w:p>
    <w:p w14:paraId="4CB636D9" w14:textId="77777777" w:rsidR="004F67FF" w:rsidRPr="00A474B0" w:rsidRDefault="004F67FF" w:rsidP="004F67FF">
      <w:pPr>
        <w:widowControl/>
        <w:numPr>
          <w:ilvl w:val="1"/>
          <w:numId w:val="56"/>
        </w:numPr>
        <w:spacing w:after="120" w:line="276" w:lineRule="auto"/>
        <w:rPr>
          <w:rFonts w:eastAsiaTheme="minorHAnsi"/>
          <w:snapToGrid/>
          <w:kern w:val="0"/>
          <w:szCs w:val="22"/>
        </w:rPr>
      </w:pPr>
      <w:r w:rsidRPr="00A474B0">
        <w:rPr>
          <w:rFonts w:eastAsiaTheme="minorHAnsi"/>
          <w:snapToGrid/>
          <w:kern w:val="0"/>
          <w:szCs w:val="22"/>
        </w:rPr>
        <w:t>How do we protect consumers’ access to emergency communications during power outages?</w:t>
      </w:r>
    </w:p>
    <w:p w14:paraId="0563139A" w14:textId="77777777" w:rsidR="004F67FF" w:rsidRPr="00A474B0" w:rsidRDefault="004F67FF" w:rsidP="004F67FF">
      <w:pPr>
        <w:widowControl/>
        <w:numPr>
          <w:ilvl w:val="1"/>
          <w:numId w:val="56"/>
        </w:numPr>
        <w:spacing w:after="120" w:line="276" w:lineRule="auto"/>
        <w:rPr>
          <w:rFonts w:eastAsiaTheme="minorHAnsi"/>
          <w:snapToGrid/>
          <w:kern w:val="0"/>
          <w:szCs w:val="22"/>
        </w:rPr>
      </w:pPr>
      <w:r w:rsidRPr="00A474B0">
        <w:rPr>
          <w:rFonts w:eastAsiaTheme="minorHAnsi"/>
          <w:snapToGrid/>
          <w:kern w:val="0"/>
          <w:szCs w:val="22"/>
        </w:rPr>
        <w:t>How do we promote greater transparency to the public regarding these transitions, so consumers are sufficiently informed and can make the best decisions for themselves?</w:t>
      </w:r>
    </w:p>
    <w:p w14:paraId="44F3BC95" w14:textId="77777777" w:rsidR="004F67FF" w:rsidRPr="00A474B0" w:rsidRDefault="004F67FF" w:rsidP="004F67FF">
      <w:pPr>
        <w:widowControl/>
        <w:numPr>
          <w:ilvl w:val="1"/>
          <w:numId w:val="56"/>
        </w:numPr>
        <w:spacing w:after="120" w:line="276" w:lineRule="auto"/>
        <w:rPr>
          <w:rFonts w:eastAsiaTheme="minorHAnsi"/>
          <w:snapToGrid/>
          <w:kern w:val="0"/>
          <w:szCs w:val="22"/>
        </w:rPr>
      </w:pPr>
      <w:r w:rsidRPr="00A474B0">
        <w:rPr>
          <w:rFonts w:eastAsiaTheme="minorHAnsi"/>
          <w:snapToGrid/>
          <w:kern w:val="0"/>
          <w:szCs w:val="22"/>
        </w:rPr>
        <w:t>How do we preserve competitive choices in communications services?</w:t>
      </w:r>
    </w:p>
    <w:p w14:paraId="55967E76" w14:textId="77777777" w:rsidR="004F67FF" w:rsidRPr="00A474B0" w:rsidRDefault="004F67FF" w:rsidP="004F67FF">
      <w:pPr>
        <w:widowControl/>
        <w:spacing w:after="120"/>
        <w:ind w:firstLine="720"/>
        <w:rPr>
          <w:rFonts w:eastAsiaTheme="minorHAnsi"/>
          <w:snapToGrid/>
          <w:kern w:val="0"/>
          <w:szCs w:val="22"/>
        </w:rPr>
      </w:pPr>
      <w:r w:rsidRPr="00A474B0">
        <w:rPr>
          <w:rFonts w:eastAsiaTheme="minorHAnsi"/>
          <w:snapToGrid/>
          <w:kern w:val="0"/>
          <w:szCs w:val="22"/>
        </w:rPr>
        <w:t>The Commission has no higher priority than its public safety responsibilities. We must ensure Americans are confident that the services they rely on to reach first responders are resilient, and that they have reliable access to communications services when they need it most – whether it’s during a natural disaster, a power outage or a life-threatening emergency. The proposals we adopt in today’s item would establish an “expectations” framework for supplying backup power – consumers need to know what they can expect from their providers, and when they have to step up. This framework is designed to encourage innovative solutions – not mandate specific technologies.</w:t>
      </w:r>
    </w:p>
    <w:p w14:paraId="097E6902" w14:textId="77777777" w:rsidR="004F67FF" w:rsidRPr="00A474B0" w:rsidRDefault="004F67FF" w:rsidP="004F67FF">
      <w:pPr>
        <w:widowControl/>
        <w:spacing w:after="120"/>
        <w:ind w:firstLine="720"/>
        <w:rPr>
          <w:rFonts w:eastAsiaTheme="minorHAnsi"/>
          <w:snapToGrid/>
          <w:kern w:val="0"/>
          <w:szCs w:val="22"/>
        </w:rPr>
      </w:pPr>
      <w:r w:rsidRPr="00A474B0">
        <w:rPr>
          <w:rFonts w:eastAsiaTheme="minorHAnsi"/>
          <w:snapToGrid/>
          <w:kern w:val="0"/>
          <w:szCs w:val="22"/>
        </w:rPr>
        <w:t>One of the easiest ways for these transitions to falter is if consumers are not adequately informed. Consumers need to have access to accurate information about the choices available to them, as carriers transition to next generation networks. We have seen what happens when consumers are ill-informed and new services do not meet consumers’ fundamental needs. The proposals in today’s item would ensure that consumers are armed with the information they need to make the best decisions for them.</w:t>
      </w:r>
    </w:p>
    <w:p w14:paraId="518F3A08" w14:textId="77777777" w:rsidR="004F67FF" w:rsidRPr="00A474B0" w:rsidRDefault="004F67FF" w:rsidP="004F67FF">
      <w:pPr>
        <w:widowControl/>
        <w:spacing w:after="120"/>
        <w:ind w:firstLine="720"/>
        <w:rPr>
          <w:rFonts w:eastAsiaTheme="minorHAnsi"/>
          <w:snapToGrid/>
          <w:kern w:val="0"/>
          <w:szCs w:val="22"/>
        </w:rPr>
      </w:pPr>
      <w:r w:rsidRPr="00A474B0">
        <w:rPr>
          <w:rFonts w:eastAsiaTheme="minorHAnsi"/>
          <w:snapToGrid/>
          <w:kern w:val="0"/>
          <w:szCs w:val="22"/>
        </w:rPr>
        <w:t>Finally, promoting and protecting competition through the tech transitions is also critical to ensuring that our nation’s networks continue to facilitate economic growth and investment. When service providers compete, customers and businesses large and small win through better prices and improved services. The proposals in today’s item would ensure that the competition consumers and businesses enjoy today continue through the transitions.</w:t>
      </w:r>
    </w:p>
    <w:p w14:paraId="7EB2299B" w14:textId="77777777" w:rsidR="004F67FF" w:rsidRPr="00A474B0" w:rsidRDefault="004F67FF" w:rsidP="004F67FF">
      <w:pPr>
        <w:widowControl/>
        <w:spacing w:after="120"/>
        <w:ind w:firstLine="720"/>
        <w:rPr>
          <w:rFonts w:eastAsiaTheme="minorHAnsi"/>
          <w:snapToGrid/>
          <w:kern w:val="0"/>
          <w:szCs w:val="22"/>
        </w:rPr>
      </w:pPr>
      <w:r w:rsidRPr="00A474B0">
        <w:rPr>
          <w:rFonts w:eastAsiaTheme="minorHAnsi"/>
          <w:snapToGrid/>
          <w:kern w:val="0"/>
          <w:szCs w:val="22"/>
        </w:rPr>
        <w:t>This is not a matter of old vs. new technologies. Rather, it concerns a simple question: as we reach the tipping point at which the older networks and services are turned off, will the transitions to the next generation networks benefit all Americans or will we allow some to fall through the cracks? I firmly believe that we can facilitate the transitions, even while ensuring that the benefits accrue to everyone.</w:t>
      </w:r>
    </w:p>
    <w:p w14:paraId="13F3244F" w14:textId="77777777" w:rsidR="004F67FF" w:rsidRDefault="004F67FF" w:rsidP="004F67FF">
      <w:pPr>
        <w:spacing w:before="120" w:after="200"/>
        <w:sectPr w:rsidR="004F67FF" w:rsidSect="00FE1B54">
          <w:pgSz w:w="12240" w:h="15840"/>
          <w:pgMar w:top="1260" w:right="1440" w:bottom="1440" w:left="1440" w:header="720" w:footer="720" w:gutter="0"/>
          <w:cols w:space="720"/>
          <w:docGrid w:linePitch="360"/>
        </w:sectPr>
      </w:pPr>
    </w:p>
    <w:p w14:paraId="71C4AE0F" w14:textId="77777777" w:rsidR="004F67FF" w:rsidRPr="00A474B0" w:rsidRDefault="004F67FF" w:rsidP="004F67FF">
      <w:pPr>
        <w:jc w:val="center"/>
        <w:rPr>
          <w:b/>
          <w:szCs w:val="22"/>
        </w:rPr>
      </w:pPr>
      <w:r w:rsidRPr="00A474B0">
        <w:rPr>
          <w:b/>
          <w:szCs w:val="22"/>
        </w:rPr>
        <w:t>STATEMENT OF</w:t>
      </w:r>
    </w:p>
    <w:p w14:paraId="21565A9B" w14:textId="77777777" w:rsidR="004F67FF" w:rsidRPr="00A474B0" w:rsidRDefault="004F67FF" w:rsidP="004F67FF">
      <w:pPr>
        <w:jc w:val="center"/>
        <w:rPr>
          <w:b/>
          <w:szCs w:val="22"/>
        </w:rPr>
      </w:pPr>
      <w:r w:rsidRPr="00A474B0">
        <w:rPr>
          <w:b/>
          <w:szCs w:val="22"/>
        </w:rPr>
        <w:t>COMMISSIONER MIGNON CLYBURN</w:t>
      </w:r>
    </w:p>
    <w:p w14:paraId="08DEA82E" w14:textId="77777777" w:rsidR="004F67FF" w:rsidRPr="00A474B0" w:rsidRDefault="004F67FF" w:rsidP="004F67FF">
      <w:pPr>
        <w:rPr>
          <w:szCs w:val="22"/>
        </w:rPr>
      </w:pPr>
    </w:p>
    <w:p w14:paraId="60E6A535" w14:textId="77777777" w:rsidR="004F67FF" w:rsidRPr="00A474B0" w:rsidRDefault="004F67FF" w:rsidP="004F67FF">
      <w:pPr>
        <w:ind w:left="720" w:hanging="720"/>
        <w:rPr>
          <w:i/>
          <w:szCs w:val="22"/>
        </w:rPr>
      </w:pPr>
      <w:r w:rsidRPr="00A474B0">
        <w:rPr>
          <w:szCs w:val="22"/>
        </w:rPr>
        <w:t>Re:</w:t>
      </w:r>
      <w:r w:rsidRPr="00A474B0">
        <w:rPr>
          <w:szCs w:val="22"/>
        </w:rPr>
        <w:tab/>
      </w:r>
      <w:r w:rsidRPr="00A474B0">
        <w:rPr>
          <w:i/>
          <w:szCs w:val="22"/>
        </w:rPr>
        <w:t>Ensuring Customer Premises Equipment Backup Power for Continuity of Communications</w:t>
      </w:r>
      <w:r w:rsidRPr="00A474B0">
        <w:rPr>
          <w:szCs w:val="22"/>
        </w:rPr>
        <w:t>,</w:t>
      </w:r>
      <w:r w:rsidRPr="00A474B0">
        <w:rPr>
          <w:i/>
          <w:szCs w:val="22"/>
        </w:rPr>
        <w:t xml:space="preserve"> </w:t>
      </w:r>
      <w:r w:rsidRPr="00A474B0">
        <w:rPr>
          <w:szCs w:val="22"/>
        </w:rPr>
        <w:t>PS Docket No, 14-174,</w:t>
      </w:r>
      <w:r w:rsidRPr="00A474B0">
        <w:rPr>
          <w:i/>
          <w:szCs w:val="22"/>
        </w:rPr>
        <w:t xml:space="preserve"> Technology Transitions</w:t>
      </w:r>
      <w:r w:rsidRPr="00A474B0">
        <w:rPr>
          <w:szCs w:val="22"/>
        </w:rPr>
        <w:t>, GN Docket No. 13-5,</w:t>
      </w:r>
      <w:r w:rsidRPr="00A474B0">
        <w:rPr>
          <w:i/>
          <w:szCs w:val="22"/>
        </w:rPr>
        <w:t xml:space="preserve"> Policies and Rules Governing Retirement Of Copper Loops by Incumbent Local Exchange Carriers</w:t>
      </w:r>
      <w:r w:rsidRPr="00A474B0">
        <w:rPr>
          <w:szCs w:val="22"/>
        </w:rPr>
        <w:t>, RM-11358,</w:t>
      </w:r>
      <w:r w:rsidRPr="00A474B0">
        <w:rPr>
          <w:i/>
          <w:szCs w:val="22"/>
        </w:rPr>
        <w:t xml:space="preserve"> Special Access for Price Cap Local Exchange Carriers</w:t>
      </w:r>
      <w:r w:rsidRPr="00A474B0">
        <w:rPr>
          <w:szCs w:val="22"/>
        </w:rPr>
        <w:t>, WC Docket No. 05-25,</w:t>
      </w:r>
      <w:r w:rsidRPr="00A474B0">
        <w:rPr>
          <w:i/>
          <w:szCs w:val="22"/>
        </w:rPr>
        <w:t xml:space="preserve"> AT&amp;T Corporation Petition for Rulemaking to Reform Regulation of Incumbent Local Exchange Carrier Rates for Interstate Special Access Services</w:t>
      </w:r>
      <w:r w:rsidRPr="00A474B0">
        <w:rPr>
          <w:szCs w:val="22"/>
        </w:rPr>
        <w:t>, RM-10593.</w:t>
      </w:r>
    </w:p>
    <w:p w14:paraId="0B5CBA73" w14:textId="77777777" w:rsidR="004F67FF" w:rsidRPr="00A474B0" w:rsidRDefault="004F67FF" w:rsidP="004F67FF">
      <w:pPr>
        <w:tabs>
          <w:tab w:val="center" w:pos="4680"/>
        </w:tabs>
        <w:suppressAutoHyphens/>
        <w:rPr>
          <w:snapToGrid/>
          <w:kern w:val="0"/>
          <w:szCs w:val="22"/>
        </w:rPr>
      </w:pPr>
    </w:p>
    <w:p w14:paraId="7F69793B" w14:textId="77777777" w:rsidR="004F67FF" w:rsidRPr="00A474B0" w:rsidRDefault="004F67FF" w:rsidP="004F67FF">
      <w:pPr>
        <w:spacing w:after="120"/>
        <w:ind w:firstLine="720"/>
        <w:rPr>
          <w:szCs w:val="22"/>
        </w:rPr>
      </w:pPr>
      <w:r w:rsidRPr="00A474B0">
        <w:rPr>
          <w:szCs w:val="22"/>
        </w:rPr>
        <w:t xml:space="preserve">Technological advancements are enabling communications networks to evolve and offer innovative, higher quality services to consumers. The introduction of next generation 9-1-1, with features such as video call and more reliability and redundancy, is providing tremendous benefits including new and innovative options for all, most notably for those with disabilities. Such promises, however, may bring the risk of unintended consequences for consumers, public safety, and competition if policies are not updated and carefully calibrated.  So, I was pleased that, earlier this year, the Commission recognized that core values embodied in the Communications Act – competition, consumer protection, universal service and public safety—continue to guide the Commission’s process as technologies evolve. </w:t>
      </w:r>
    </w:p>
    <w:p w14:paraId="0C5CDA20" w14:textId="77777777" w:rsidR="004F67FF" w:rsidRPr="00A474B0" w:rsidRDefault="004F67FF" w:rsidP="004F67FF">
      <w:pPr>
        <w:spacing w:after="120"/>
        <w:ind w:firstLine="720"/>
        <w:rPr>
          <w:szCs w:val="22"/>
        </w:rPr>
      </w:pPr>
      <w:r w:rsidRPr="00A474B0">
        <w:rPr>
          <w:szCs w:val="22"/>
        </w:rPr>
        <w:t>Today’s item continues this sound approach, by asking how best to ensure consumers are protected and competition is promoted as carriers transition their networks from copper to fiber and TDM to IP.  Many of us have witnessed the unfortunate experience of being disconnected during natural disasters, so the item asks appropriate questions about how best to minimize service lapses when consumers need it most.  In addition, our current service discontinuance and copper retirement rules may not provide consumers and wholesale customers with the information and notice they need, to understand and successfully plan for technology transitions. So, it is appropriate to ask whether our policies need to be updated to ensure that competition is not negatively impacted during these transitions.</w:t>
      </w:r>
    </w:p>
    <w:p w14:paraId="6128C3AE" w14:textId="77777777" w:rsidR="004F67FF" w:rsidRPr="00A474B0" w:rsidRDefault="004F67FF" w:rsidP="004F67FF">
      <w:pPr>
        <w:spacing w:after="120"/>
        <w:rPr>
          <w:szCs w:val="22"/>
        </w:rPr>
      </w:pPr>
      <w:r w:rsidRPr="00A474B0">
        <w:rPr>
          <w:szCs w:val="22"/>
        </w:rPr>
        <w:tab/>
        <w:t xml:space="preserve">Almost five years ago, the National Broadband Plan recommended that the FCC evaluate its copper retirement policies to ensure that they strike the appropriate balance when it comes to developing a framework for wholesale access policies generally.  With this item, the FCC is finally acting on that recommendation.  Since my arrival at the Commission in 2009, I have been advocating for resolution of longstanding wholesale access issues, in particular, special access. Businesses need certainty to plan and make investments. This is true both for incumbent as well as competitive carriers.  The lack of certainty, due in part to the FCC’s inaction, impacts the very companies that could provide more robust and desirable competitive choices for small and medium-sized businesses throughout this country.  So I applaud the Chairman for tackling this issue, and am hopeful that it is a sign of things to come.  </w:t>
      </w:r>
    </w:p>
    <w:p w14:paraId="73E7E40B" w14:textId="77777777" w:rsidR="004F67FF" w:rsidRPr="00A474B0" w:rsidRDefault="004F67FF" w:rsidP="004F67FF">
      <w:pPr>
        <w:spacing w:after="120"/>
        <w:rPr>
          <w:szCs w:val="22"/>
        </w:rPr>
      </w:pPr>
      <w:r w:rsidRPr="00A474B0">
        <w:rPr>
          <w:szCs w:val="22"/>
        </w:rPr>
        <w:tab/>
        <w:t>With regard to consumer protection, there is evidence that some do not necessarily grasp the impact of technology transitions.  The item seeks to address this by proposing to notify retail customers and better educate consumers.  These changes are appropriate and should be coupled with strong enforcement, to ensure that changes are not just rules on the books but come with the teeth needed for a meaningful impact.</w:t>
      </w:r>
    </w:p>
    <w:p w14:paraId="2224612D" w14:textId="77777777" w:rsidR="004F67FF" w:rsidRPr="00A474B0" w:rsidRDefault="004F67FF" w:rsidP="004F67FF">
      <w:pPr>
        <w:spacing w:after="120"/>
        <w:rPr>
          <w:szCs w:val="22"/>
        </w:rPr>
      </w:pPr>
      <w:r w:rsidRPr="00A474B0">
        <w:rPr>
          <w:szCs w:val="22"/>
        </w:rPr>
        <w:tab/>
        <w:t>It is also important that we explore policies to ensure consumers have sufficient backup power for their consumer premises equipment, or CPE, at their homes.  Those with voice service over copper have traditionally relied on power from the central office to their residences.  But, this is not just a copper retirement issue.  According to FCC data, more than 37 million consumers already receive wireline voice service over Internet Protocol or VoIP, which depends on power supplied at the customer’s premises.  So the availability of backup power at the home is critical for these consumers.  So it is appropriate that we take a broad approach to ensure, in case of an outage, that consumers have the power they need at home for essential communications such as calls or texts to 9-1-1 services irrespective of the platform they choose.</w:t>
      </w:r>
    </w:p>
    <w:p w14:paraId="68B0B377" w14:textId="77777777" w:rsidR="004F67FF" w:rsidRPr="00A474B0" w:rsidRDefault="004F67FF" w:rsidP="004F67FF">
      <w:pPr>
        <w:widowControl/>
        <w:ind w:firstLine="720"/>
        <w:rPr>
          <w:szCs w:val="22"/>
        </w:rPr>
      </w:pPr>
      <w:r w:rsidRPr="00A474B0">
        <w:rPr>
          <w:szCs w:val="22"/>
        </w:rPr>
        <w:t>In sum, this item seeks to fortify our policies and protections when it comes to consumers, public safety and competition, and I would like to thank the dedicated staff of the Wireline Competition and Public Safety and Homeland Security Bureaus for crafting a series of steps to that end.</w:t>
      </w:r>
    </w:p>
    <w:p w14:paraId="5DE1DE4E" w14:textId="77777777" w:rsidR="004F67FF" w:rsidRDefault="004F67FF" w:rsidP="004F67FF">
      <w:pPr>
        <w:spacing w:before="120" w:after="200"/>
        <w:sectPr w:rsidR="004F67FF" w:rsidSect="00EA487D">
          <w:footerReference w:type="default" r:id="rId16"/>
          <w:pgSz w:w="12240" w:h="15840"/>
          <w:pgMar w:top="1440" w:right="1440" w:bottom="720" w:left="1440" w:header="720" w:footer="720" w:gutter="0"/>
          <w:cols w:space="720"/>
          <w:docGrid w:linePitch="360"/>
        </w:sectPr>
      </w:pPr>
    </w:p>
    <w:p w14:paraId="3D1A3CC3" w14:textId="77777777" w:rsidR="004F67FF" w:rsidRPr="00A474B0" w:rsidRDefault="004F67FF" w:rsidP="004F67FF">
      <w:pPr>
        <w:widowControl/>
        <w:jc w:val="center"/>
        <w:rPr>
          <w:rFonts w:eastAsiaTheme="minorHAnsi"/>
          <w:b/>
          <w:snapToGrid/>
          <w:kern w:val="0"/>
          <w:sz w:val="24"/>
          <w:szCs w:val="24"/>
        </w:rPr>
      </w:pPr>
      <w:r w:rsidRPr="00A474B0">
        <w:rPr>
          <w:rFonts w:eastAsiaTheme="minorHAnsi"/>
          <w:b/>
          <w:snapToGrid/>
          <w:kern w:val="0"/>
          <w:sz w:val="24"/>
          <w:szCs w:val="24"/>
        </w:rPr>
        <w:t>STATEMENT OF</w:t>
      </w:r>
      <w:r w:rsidRPr="00A474B0">
        <w:rPr>
          <w:rFonts w:eastAsiaTheme="minorHAnsi"/>
          <w:b/>
          <w:snapToGrid/>
          <w:kern w:val="0"/>
          <w:sz w:val="24"/>
          <w:szCs w:val="24"/>
        </w:rPr>
        <w:br/>
        <w:t>COMMISSIONER JESSICA ROSENWORCEL</w:t>
      </w:r>
    </w:p>
    <w:p w14:paraId="3299EA4B" w14:textId="77777777" w:rsidR="004F67FF" w:rsidRPr="00A474B0" w:rsidRDefault="004F67FF" w:rsidP="004F67FF">
      <w:pPr>
        <w:widowControl/>
        <w:jc w:val="center"/>
        <w:rPr>
          <w:rFonts w:eastAsiaTheme="minorHAnsi"/>
          <w:b/>
          <w:snapToGrid/>
          <w:kern w:val="0"/>
          <w:sz w:val="24"/>
          <w:szCs w:val="24"/>
        </w:rPr>
      </w:pPr>
    </w:p>
    <w:p w14:paraId="55BE16D6" w14:textId="77777777" w:rsidR="004F67FF" w:rsidRPr="0060753C" w:rsidRDefault="004F67FF" w:rsidP="004F67FF">
      <w:pPr>
        <w:widowControl/>
        <w:ind w:left="720" w:hanging="720"/>
        <w:rPr>
          <w:rFonts w:eastAsiaTheme="minorHAnsi"/>
          <w:i/>
          <w:snapToGrid/>
          <w:kern w:val="0"/>
          <w:szCs w:val="22"/>
        </w:rPr>
      </w:pPr>
      <w:r w:rsidRPr="00A474B0">
        <w:rPr>
          <w:rFonts w:eastAsiaTheme="minorHAnsi"/>
          <w:snapToGrid/>
          <w:kern w:val="0"/>
          <w:szCs w:val="22"/>
        </w:rPr>
        <w:t>Re:</w:t>
      </w:r>
      <w:r w:rsidRPr="00A474B0">
        <w:rPr>
          <w:rFonts w:eastAsiaTheme="minorHAnsi"/>
          <w:snapToGrid/>
          <w:kern w:val="0"/>
          <w:szCs w:val="22"/>
        </w:rPr>
        <w:tab/>
      </w:r>
      <w:r w:rsidRPr="00A474B0">
        <w:rPr>
          <w:rFonts w:eastAsiaTheme="minorHAnsi"/>
          <w:i/>
          <w:snapToGrid/>
          <w:kern w:val="0"/>
          <w:szCs w:val="22"/>
        </w:rPr>
        <w:t>Ensuring Customer Premises Equipment Backup Power for Continuity of Communications</w:t>
      </w:r>
      <w:r w:rsidRPr="00A474B0">
        <w:rPr>
          <w:rFonts w:eastAsiaTheme="minorHAnsi"/>
          <w:snapToGrid/>
          <w:kern w:val="0"/>
          <w:szCs w:val="22"/>
        </w:rPr>
        <w:t>,</w:t>
      </w:r>
      <w:r w:rsidRPr="00A474B0">
        <w:rPr>
          <w:rFonts w:eastAsiaTheme="minorHAnsi"/>
          <w:i/>
          <w:snapToGrid/>
          <w:kern w:val="0"/>
          <w:szCs w:val="22"/>
        </w:rPr>
        <w:t xml:space="preserve"> </w:t>
      </w:r>
      <w:r w:rsidRPr="00A474B0">
        <w:rPr>
          <w:rFonts w:eastAsiaTheme="minorHAnsi"/>
          <w:snapToGrid/>
          <w:kern w:val="0"/>
          <w:szCs w:val="22"/>
        </w:rPr>
        <w:t>PS Docket No, 14-174,</w:t>
      </w:r>
      <w:r w:rsidRPr="004A4C10">
        <w:rPr>
          <w:rFonts w:eastAsiaTheme="minorHAnsi"/>
          <w:i/>
          <w:snapToGrid/>
          <w:kern w:val="0"/>
          <w:szCs w:val="22"/>
        </w:rPr>
        <w:t xml:space="preserve"> Technology Transitions</w:t>
      </w:r>
      <w:r w:rsidRPr="004A4C10">
        <w:rPr>
          <w:rFonts w:eastAsiaTheme="minorHAnsi"/>
          <w:snapToGrid/>
          <w:kern w:val="0"/>
          <w:szCs w:val="22"/>
        </w:rPr>
        <w:t>, GN Docket No. 13-5,</w:t>
      </w:r>
      <w:r w:rsidRPr="004A4C10">
        <w:rPr>
          <w:rFonts w:eastAsiaTheme="minorHAnsi"/>
          <w:i/>
          <w:snapToGrid/>
          <w:kern w:val="0"/>
          <w:szCs w:val="22"/>
        </w:rPr>
        <w:t xml:space="preserve"> Policies and Rules Governing Retirement Of Copper </w:t>
      </w:r>
      <w:r w:rsidRPr="0060753C">
        <w:rPr>
          <w:rFonts w:eastAsiaTheme="minorHAnsi"/>
          <w:i/>
          <w:snapToGrid/>
          <w:kern w:val="0"/>
          <w:szCs w:val="22"/>
        </w:rPr>
        <w:t>Loops by Incumbent Local Exchange Carriers</w:t>
      </w:r>
      <w:r w:rsidRPr="0060753C">
        <w:rPr>
          <w:rFonts w:eastAsiaTheme="minorHAnsi"/>
          <w:snapToGrid/>
          <w:kern w:val="0"/>
          <w:szCs w:val="22"/>
        </w:rPr>
        <w:t>, RM-11358,</w:t>
      </w:r>
      <w:r w:rsidRPr="0060753C">
        <w:rPr>
          <w:rFonts w:eastAsiaTheme="minorHAnsi"/>
          <w:i/>
          <w:snapToGrid/>
          <w:kern w:val="0"/>
          <w:szCs w:val="22"/>
        </w:rPr>
        <w:t xml:space="preserve"> Special Access for Price Cap Local Exchange Carriers</w:t>
      </w:r>
      <w:r w:rsidRPr="0060753C">
        <w:rPr>
          <w:rFonts w:eastAsiaTheme="minorHAnsi"/>
          <w:snapToGrid/>
          <w:kern w:val="0"/>
          <w:szCs w:val="22"/>
        </w:rPr>
        <w:t>, WC Docket No. 05-25,</w:t>
      </w:r>
      <w:r w:rsidRPr="0060753C">
        <w:rPr>
          <w:rFonts w:eastAsiaTheme="minorHAnsi"/>
          <w:i/>
          <w:snapToGrid/>
          <w:kern w:val="0"/>
          <w:szCs w:val="22"/>
        </w:rPr>
        <w:t xml:space="preserve"> AT&amp;T Corporation Petition for Rulemaking to Reform Regulation of Incumbent Local Exchange Carrier Rates for Interstate Special Access Services</w:t>
      </w:r>
      <w:r w:rsidRPr="0060753C">
        <w:rPr>
          <w:rFonts w:eastAsiaTheme="minorHAnsi"/>
          <w:snapToGrid/>
          <w:kern w:val="0"/>
          <w:szCs w:val="22"/>
        </w:rPr>
        <w:t>, RM-10593.</w:t>
      </w:r>
    </w:p>
    <w:p w14:paraId="787EF68A" w14:textId="77777777" w:rsidR="004F67FF" w:rsidRPr="00214C80" w:rsidRDefault="004F67FF" w:rsidP="004F67FF">
      <w:pPr>
        <w:widowControl/>
        <w:rPr>
          <w:rFonts w:eastAsiaTheme="minorHAnsi"/>
          <w:snapToGrid/>
          <w:kern w:val="0"/>
          <w:szCs w:val="22"/>
        </w:rPr>
      </w:pPr>
    </w:p>
    <w:p w14:paraId="39C5146E" w14:textId="77777777" w:rsidR="004F67FF" w:rsidRPr="00214C80" w:rsidRDefault="004F67FF" w:rsidP="004F67FF">
      <w:pPr>
        <w:widowControl/>
        <w:spacing w:after="120"/>
        <w:rPr>
          <w:rFonts w:eastAsiaTheme="minorHAnsi"/>
          <w:snapToGrid/>
          <w:kern w:val="0"/>
          <w:szCs w:val="22"/>
        </w:rPr>
      </w:pPr>
      <w:r w:rsidRPr="00214C80">
        <w:rPr>
          <w:rFonts w:eastAsiaTheme="minorHAnsi"/>
          <w:snapToGrid/>
          <w:kern w:val="0"/>
          <w:szCs w:val="22"/>
        </w:rPr>
        <w:tab/>
        <w:t xml:space="preserve">Our world is changing.  The digitization of our networks, our content, our commerce, and our lives is well underway.  The ways we connect, create, educate, entertain, and govern ourselves will never be the same.  </w:t>
      </w:r>
    </w:p>
    <w:p w14:paraId="58AD8305" w14:textId="77777777" w:rsidR="004F67FF" w:rsidRPr="00214C80" w:rsidRDefault="004F67FF" w:rsidP="004F67FF">
      <w:pPr>
        <w:widowControl/>
        <w:spacing w:after="120"/>
        <w:rPr>
          <w:rFonts w:eastAsiaTheme="minorHAnsi"/>
          <w:snapToGrid/>
          <w:kern w:val="0"/>
          <w:szCs w:val="22"/>
        </w:rPr>
      </w:pPr>
      <w:r w:rsidRPr="00214C80">
        <w:rPr>
          <w:rFonts w:eastAsiaTheme="minorHAnsi"/>
          <w:snapToGrid/>
          <w:kern w:val="0"/>
          <w:szCs w:val="22"/>
        </w:rPr>
        <w:tab/>
        <w:t xml:space="preserve">This is exciting.  But on the way to this future we are going to need new communications architecture and new communications policies.  That does not mean that we discard on the scrap heap what has come before.  After all, the enduring values in our law that have shaped our success in the past can also shape our success going forward.  So as we contemplate big, bold, and historic changes in our infrastructure, our work must be informed by the four basic values that have always been at the core of communications policy—public safety, universal access, competition, and consumer protection.  They must be the guideposts for everything we do.  </w:t>
      </w:r>
    </w:p>
    <w:p w14:paraId="13884676" w14:textId="77777777" w:rsidR="004F67FF" w:rsidRPr="00214C80" w:rsidRDefault="004F67FF" w:rsidP="004F67FF">
      <w:pPr>
        <w:widowControl/>
        <w:spacing w:after="120"/>
        <w:rPr>
          <w:rFonts w:eastAsiaTheme="minorHAnsi"/>
          <w:snapToGrid/>
          <w:kern w:val="0"/>
          <w:szCs w:val="22"/>
        </w:rPr>
      </w:pPr>
      <w:r w:rsidRPr="00214C80">
        <w:rPr>
          <w:rFonts w:eastAsiaTheme="minorHAnsi"/>
          <w:snapToGrid/>
          <w:kern w:val="0"/>
          <w:szCs w:val="22"/>
        </w:rPr>
        <w:tab/>
        <w:t xml:space="preserve">These values inform our work today.  So I am pleased to support the Notice of Proposed Rulemaking and Declaratory Ruling before us and commend the focus in the text on the essential values of public safety, competition, and consumer protection.  </w:t>
      </w:r>
    </w:p>
    <w:p w14:paraId="6E03E911" w14:textId="77777777" w:rsidR="004F67FF" w:rsidRPr="00214C80" w:rsidRDefault="004F67FF" w:rsidP="004F67FF">
      <w:pPr>
        <w:widowControl/>
        <w:spacing w:after="120"/>
        <w:rPr>
          <w:rFonts w:eastAsiaTheme="minorHAnsi"/>
          <w:snapToGrid/>
          <w:kern w:val="0"/>
          <w:szCs w:val="22"/>
        </w:rPr>
      </w:pPr>
      <w:r w:rsidRPr="00214C80">
        <w:rPr>
          <w:rFonts w:eastAsiaTheme="minorHAnsi"/>
          <w:snapToGrid/>
          <w:kern w:val="0"/>
          <w:szCs w:val="22"/>
        </w:rPr>
        <w:tab/>
        <w:t xml:space="preserve">First, public safety.  Technology evolves but our need to stay connected to emergency services does not.  As consumers migrate away from traditional copper telephony to newer technologies, we seek comment on how to sustain backup power during outages and emergencies.  This is important.  </w:t>
      </w:r>
    </w:p>
    <w:p w14:paraId="271126F7" w14:textId="77777777" w:rsidR="004F67FF" w:rsidRPr="00214C80" w:rsidRDefault="004F67FF" w:rsidP="004F67FF">
      <w:pPr>
        <w:widowControl/>
        <w:spacing w:after="120"/>
        <w:rPr>
          <w:rFonts w:eastAsiaTheme="minorHAnsi"/>
          <w:snapToGrid/>
          <w:kern w:val="0"/>
          <w:szCs w:val="22"/>
        </w:rPr>
      </w:pPr>
      <w:r w:rsidRPr="00214C80">
        <w:rPr>
          <w:rFonts w:eastAsiaTheme="minorHAnsi"/>
          <w:snapToGrid/>
          <w:kern w:val="0"/>
          <w:szCs w:val="22"/>
        </w:rPr>
        <w:tab/>
        <w:t xml:space="preserve">Second, competition.  The competitive markets that have spurred so much technological innovation in the past will be the most effective means of making sure consumers reap the benefits of network transition in the future.  So today we seek comment on copper retirement practices and service discontinuance rules.  I hope the record that develops helps us understand how we can continue to foster competition as infrastructure is upgraded.  </w:t>
      </w:r>
    </w:p>
    <w:p w14:paraId="581099E3" w14:textId="77777777" w:rsidR="004F67FF" w:rsidRPr="00214C80" w:rsidRDefault="004F67FF" w:rsidP="004F67FF">
      <w:pPr>
        <w:widowControl/>
        <w:spacing w:after="120"/>
        <w:rPr>
          <w:rFonts w:eastAsiaTheme="minorHAnsi"/>
          <w:snapToGrid/>
          <w:kern w:val="0"/>
          <w:szCs w:val="22"/>
        </w:rPr>
      </w:pPr>
      <w:r w:rsidRPr="00214C80">
        <w:rPr>
          <w:rFonts w:eastAsiaTheme="minorHAnsi"/>
          <w:snapToGrid/>
          <w:kern w:val="0"/>
          <w:szCs w:val="22"/>
        </w:rPr>
        <w:tab/>
        <w:t xml:space="preserve">Last but not least, consumer protection.  Consumers need to understand what is happening as old copper networks are retired and new services come on the market.  So I am pleased we seek comment on how to provide notice to consumers when infrastructure is retired and how to do a better job with consumer education.  </w:t>
      </w:r>
    </w:p>
    <w:p w14:paraId="0FEC703C" w14:textId="77777777" w:rsidR="004F67FF" w:rsidRPr="00214C80" w:rsidRDefault="004F67FF" w:rsidP="004F67FF">
      <w:pPr>
        <w:widowControl/>
        <w:spacing w:after="120"/>
        <w:rPr>
          <w:rFonts w:eastAsiaTheme="minorHAnsi"/>
          <w:snapToGrid/>
          <w:kern w:val="0"/>
          <w:szCs w:val="22"/>
        </w:rPr>
      </w:pPr>
      <w:r w:rsidRPr="00214C80">
        <w:rPr>
          <w:rFonts w:eastAsiaTheme="minorHAnsi"/>
          <w:snapToGrid/>
          <w:kern w:val="0"/>
          <w:szCs w:val="22"/>
        </w:rPr>
        <w:tab/>
        <w:t xml:space="preserve">In short, we ask a lot of questions.  We explore a lot of complicated issues.  This is the right thing to do—because big change is underway.  So I look forward to working with my colleagues on these issues and look forward to making sure our new networks yield new possibilities and new opportunities for everyone.  </w:t>
      </w:r>
    </w:p>
    <w:p w14:paraId="7C9A6E4F" w14:textId="77777777" w:rsidR="004F67FF" w:rsidRDefault="004F67FF" w:rsidP="004F67FF">
      <w:pPr>
        <w:spacing w:before="120" w:after="200"/>
        <w:sectPr w:rsidR="004F67FF" w:rsidSect="00FE1B54">
          <w:pgSz w:w="12240" w:h="15840"/>
          <w:pgMar w:top="1440" w:right="1440" w:bottom="720" w:left="1440" w:header="720" w:footer="720" w:gutter="0"/>
          <w:cols w:space="720"/>
          <w:docGrid w:linePitch="360"/>
        </w:sectPr>
      </w:pPr>
    </w:p>
    <w:p w14:paraId="4B86B599" w14:textId="77777777" w:rsidR="004F67FF" w:rsidRPr="00A474B0" w:rsidRDefault="004F67FF" w:rsidP="004F67FF">
      <w:pPr>
        <w:widowControl/>
        <w:jc w:val="center"/>
        <w:rPr>
          <w:rFonts w:eastAsiaTheme="minorHAnsi" w:cstheme="minorBidi"/>
          <w:b/>
          <w:snapToGrid/>
          <w:kern w:val="0"/>
          <w:szCs w:val="22"/>
        </w:rPr>
      </w:pPr>
      <w:r w:rsidRPr="00A474B0">
        <w:rPr>
          <w:rFonts w:eastAsiaTheme="minorHAnsi" w:cstheme="minorBidi"/>
          <w:b/>
          <w:snapToGrid/>
          <w:kern w:val="0"/>
          <w:szCs w:val="22"/>
        </w:rPr>
        <w:t xml:space="preserve">STATEMENT OF </w:t>
      </w:r>
    </w:p>
    <w:p w14:paraId="09F193D0" w14:textId="77777777" w:rsidR="004F67FF" w:rsidRPr="00A474B0" w:rsidRDefault="004F67FF" w:rsidP="004F67FF">
      <w:pPr>
        <w:widowControl/>
        <w:spacing w:after="240"/>
        <w:jc w:val="center"/>
        <w:rPr>
          <w:rFonts w:eastAsiaTheme="minorHAnsi" w:cstheme="minorBidi"/>
          <w:b/>
          <w:snapToGrid/>
          <w:kern w:val="0"/>
          <w:szCs w:val="22"/>
        </w:rPr>
      </w:pPr>
      <w:r w:rsidRPr="00A474B0">
        <w:rPr>
          <w:rFonts w:eastAsiaTheme="minorHAnsi" w:cstheme="minorBidi"/>
          <w:b/>
          <w:snapToGrid/>
          <w:kern w:val="0"/>
          <w:szCs w:val="22"/>
        </w:rPr>
        <w:t>COMMISSIONER AJIT PAI,</w:t>
      </w:r>
      <w:r w:rsidRPr="00A474B0">
        <w:rPr>
          <w:rFonts w:eastAsiaTheme="minorHAnsi" w:cstheme="minorBidi"/>
          <w:b/>
          <w:snapToGrid/>
          <w:kern w:val="0"/>
          <w:szCs w:val="22"/>
        </w:rPr>
        <w:br/>
        <w:t>CONCURRING IN PART AND DISSENTING IN PART</w:t>
      </w:r>
    </w:p>
    <w:p w14:paraId="13C05540" w14:textId="77777777" w:rsidR="004F67FF" w:rsidRPr="00A474B0" w:rsidRDefault="004F67FF" w:rsidP="004F67FF">
      <w:pPr>
        <w:widowControl/>
        <w:ind w:left="720" w:hanging="720"/>
        <w:rPr>
          <w:rFonts w:eastAsiaTheme="minorHAnsi"/>
          <w:snapToGrid/>
          <w:kern w:val="0"/>
          <w:szCs w:val="22"/>
        </w:rPr>
      </w:pPr>
      <w:r w:rsidRPr="00A474B0">
        <w:rPr>
          <w:rFonts w:eastAsiaTheme="minorHAnsi"/>
          <w:snapToGrid/>
          <w:kern w:val="0"/>
          <w:szCs w:val="22"/>
        </w:rPr>
        <w:t>Re:</w:t>
      </w:r>
      <w:r w:rsidRPr="00A474B0">
        <w:rPr>
          <w:rFonts w:eastAsiaTheme="minorHAnsi"/>
          <w:snapToGrid/>
          <w:kern w:val="0"/>
          <w:szCs w:val="22"/>
        </w:rPr>
        <w:tab/>
      </w:r>
      <w:r w:rsidRPr="00A474B0">
        <w:rPr>
          <w:rFonts w:eastAsiaTheme="minorHAnsi"/>
          <w:i/>
          <w:snapToGrid/>
          <w:kern w:val="0"/>
          <w:szCs w:val="22"/>
        </w:rPr>
        <w:t>Ensuring Customer Premises Equipment Backup Power for Continuity of Communications</w:t>
      </w:r>
      <w:r w:rsidRPr="00A474B0">
        <w:rPr>
          <w:rFonts w:eastAsiaTheme="minorHAnsi"/>
          <w:snapToGrid/>
          <w:kern w:val="0"/>
          <w:szCs w:val="22"/>
        </w:rPr>
        <w:t>,</w:t>
      </w:r>
      <w:r w:rsidRPr="00A474B0">
        <w:rPr>
          <w:rFonts w:eastAsiaTheme="minorHAnsi"/>
          <w:i/>
          <w:snapToGrid/>
          <w:kern w:val="0"/>
          <w:szCs w:val="22"/>
        </w:rPr>
        <w:t xml:space="preserve"> </w:t>
      </w:r>
      <w:r w:rsidRPr="00A474B0">
        <w:rPr>
          <w:rFonts w:eastAsiaTheme="minorHAnsi"/>
          <w:snapToGrid/>
          <w:kern w:val="0"/>
          <w:szCs w:val="22"/>
        </w:rPr>
        <w:t>PS Docket No, 14-174,</w:t>
      </w:r>
      <w:r w:rsidRPr="00A474B0">
        <w:rPr>
          <w:rFonts w:eastAsiaTheme="minorHAnsi"/>
          <w:i/>
          <w:snapToGrid/>
          <w:kern w:val="0"/>
          <w:szCs w:val="22"/>
        </w:rPr>
        <w:t xml:space="preserve"> Technology Transitions</w:t>
      </w:r>
      <w:r w:rsidRPr="00A474B0">
        <w:rPr>
          <w:rFonts w:eastAsiaTheme="minorHAnsi"/>
          <w:snapToGrid/>
          <w:kern w:val="0"/>
          <w:szCs w:val="22"/>
        </w:rPr>
        <w:t>, GN Docket No. 13-5,</w:t>
      </w:r>
      <w:r w:rsidRPr="00A474B0">
        <w:rPr>
          <w:rFonts w:eastAsiaTheme="minorHAnsi"/>
          <w:i/>
          <w:snapToGrid/>
          <w:kern w:val="0"/>
          <w:szCs w:val="22"/>
        </w:rPr>
        <w:t xml:space="preserve"> Policies and Rules Governing Retirement Of Copper Loops by Incumbent Local Exchange Carriers</w:t>
      </w:r>
      <w:r w:rsidRPr="00A474B0">
        <w:rPr>
          <w:rFonts w:eastAsiaTheme="minorHAnsi"/>
          <w:snapToGrid/>
          <w:kern w:val="0"/>
          <w:szCs w:val="22"/>
        </w:rPr>
        <w:t>, RM-11358,</w:t>
      </w:r>
      <w:r w:rsidRPr="00A474B0">
        <w:rPr>
          <w:rFonts w:eastAsiaTheme="minorHAnsi"/>
          <w:i/>
          <w:snapToGrid/>
          <w:kern w:val="0"/>
          <w:szCs w:val="22"/>
        </w:rPr>
        <w:t xml:space="preserve"> Special Access for Price Cap Local Exchange Carriers</w:t>
      </w:r>
      <w:r w:rsidRPr="00A474B0">
        <w:rPr>
          <w:rFonts w:eastAsiaTheme="minorHAnsi"/>
          <w:snapToGrid/>
          <w:kern w:val="0"/>
          <w:szCs w:val="22"/>
        </w:rPr>
        <w:t>, WC Docket No. 05-25,</w:t>
      </w:r>
      <w:r w:rsidRPr="00A474B0">
        <w:rPr>
          <w:rFonts w:eastAsiaTheme="minorHAnsi"/>
          <w:i/>
          <w:snapToGrid/>
          <w:kern w:val="0"/>
          <w:szCs w:val="22"/>
        </w:rPr>
        <w:t xml:space="preserve"> AT&amp;T Corporation Petition for Rulemaking to Reform Regulation of Incumbent Local Exchange Carrier Rates for Interstate Special Access Services</w:t>
      </w:r>
      <w:r w:rsidRPr="00A474B0">
        <w:rPr>
          <w:rFonts w:eastAsiaTheme="minorHAnsi"/>
          <w:snapToGrid/>
          <w:kern w:val="0"/>
          <w:szCs w:val="22"/>
        </w:rPr>
        <w:t>, RM-10593.</w:t>
      </w:r>
    </w:p>
    <w:p w14:paraId="5493450D" w14:textId="77777777" w:rsidR="004F67FF" w:rsidRPr="00A474B0" w:rsidRDefault="004F67FF" w:rsidP="004F67FF">
      <w:pPr>
        <w:widowControl/>
        <w:ind w:left="720" w:hanging="720"/>
        <w:rPr>
          <w:rFonts w:eastAsiaTheme="minorHAnsi"/>
          <w:i/>
          <w:snapToGrid/>
          <w:kern w:val="0"/>
          <w:szCs w:val="22"/>
        </w:rPr>
      </w:pPr>
    </w:p>
    <w:p w14:paraId="1EBE7718" w14:textId="77777777" w:rsidR="008100F2" w:rsidRDefault="008100F2" w:rsidP="003F0F7D">
      <w:pPr>
        <w:spacing w:after="120"/>
        <w:ind w:firstLine="720"/>
      </w:pPr>
      <w:r>
        <w:t>In the story of Chicken Little, an acorn falls on a young hen’s head, and she becomes convinced that the sky is falling.  Some in Washington have had that same reaction to the IP Transition.  They evidently believe that the replacement of aging twisted pairs of copper with fiber and IP-based services presages disaster.</w:t>
      </w:r>
    </w:p>
    <w:p w14:paraId="0BEB8E64" w14:textId="77777777" w:rsidR="008100F2" w:rsidRDefault="008100F2" w:rsidP="003F0F7D">
      <w:pPr>
        <w:spacing w:after="120"/>
        <w:ind w:firstLine="720"/>
      </w:pPr>
      <w:r>
        <w:t>But I believe we must act on concrete evidence, not hypothetical harms.  And the fact is that the IP Transition promises all Americans a brighter future.  Fiber provides better service quality and increased network capacity.  IP networks hold the promise of more effective emergency response through Next Generation 911, better healthcare through telemedicine, and improved educational outcomes through distance learning.  Judging from the 40 million residential landlines shed in the last five years, consumers prefer these new services because they offer more bang for fewer bucks.  Indeed, more residential consumers now subscribe to interconnected VoIP than plain old telephone service.</w:t>
      </w:r>
      <w:r>
        <w:rPr>
          <w:rStyle w:val="FootnoteReference"/>
        </w:rPr>
        <w:footnoteReference w:id="301"/>
      </w:r>
    </w:p>
    <w:p w14:paraId="66C24E6B" w14:textId="77777777" w:rsidR="008100F2" w:rsidRDefault="008100F2" w:rsidP="003F0F7D">
      <w:pPr>
        <w:spacing w:after="120"/>
        <w:ind w:firstLine="720"/>
      </w:pPr>
      <w:r>
        <w:t>Given this context, I have serious reservations about today’s item.  I worry that we are well on our way to becoming like Ducky Lucky, Goosey Loosey, and the other characters who join in Chicken Little’s hysteria.  All too much ink is spilled in this item discussing every conceivable harm that might come with the IP Transition.  Not enough mention is made of its benefits or of ways to incentivize companies to upgrade their networks and roll out new services.  I am therefore concerned that the end result of this proceeding will be rules that frustrate rather than further the IP Transition, regulations that deter rather than promote fiber deployment, and requirements that slow rather than expedite the availability of high-speed broadband throughout our nation.</w:t>
      </w:r>
    </w:p>
    <w:p w14:paraId="474752A3" w14:textId="77777777" w:rsidR="008100F2" w:rsidRDefault="008100F2" w:rsidP="003F0F7D">
      <w:pPr>
        <w:spacing w:after="120"/>
        <w:ind w:firstLine="720"/>
      </w:pPr>
      <w:r>
        <w:t xml:space="preserve">Nonetheless, some of the questions asked here are questions that must be asked—so I am glad that we are asking them.  I also appreciate my colleagues’ willingness to temper the harsher edges of the </w:t>
      </w:r>
      <w:r w:rsidRPr="00EC6523">
        <w:rPr>
          <w:i/>
        </w:rPr>
        <w:t>Notice</w:t>
      </w:r>
      <w:r>
        <w:t xml:space="preserve"> and include questions I suggested.  For example, I am grateful that the item now includes my simple alternative to more invasive battery backup mandates: a straightforward requirement that all telephone companies make available at least one phone that can use commercially available batteries in case of power outages.</w:t>
      </w:r>
      <w:r>
        <w:rPr>
          <w:rStyle w:val="FootnoteReference"/>
        </w:rPr>
        <w:footnoteReference w:id="302"/>
      </w:r>
      <w:r>
        <w:t xml:space="preserve">  Similarly, I am pleased that we ask about the costs of compliance and the benefits of mandates given consumer usage patterns.</w:t>
      </w:r>
      <w:r>
        <w:rPr>
          <w:rStyle w:val="FootnoteReference"/>
        </w:rPr>
        <w:footnoteReference w:id="303"/>
      </w:r>
      <w:r>
        <w:t xml:space="preserve">  For instance, now that most consumers have mobile phones, I doubt all of them will want to pay the cost of a new carrier-installed battery backup for their landline.  And Commissioner O’Rielly deserves credit for leading the charge against a proposal for carriers to supply batteries to Walmarts and 7-Elevens in disaster-stricken areas.  For all of these reasons, I will vote, with some trepidation, to concur with the </w:t>
      </w:r>
      <w:r w:rsidRPr="00DD440D">
        <w:rPr>
          <w:i/>
        </w:rPr>
        <w:t>Notice</w:t>
      </w:r>
      <w:r>
        <w:t>.</w:t>
      </w:r>
    </w:p>
    <w:p w14:paraId="163A030C" w14:textId="77777777" w:rsidR="008100F2" w:rsidRDefault="008100F2" w:rsidP="003F0F7D">
      <w:pPr>
        <w:spacing w:after="120"/>
        <w:ind w:firstLine="720"/>
      </w:pPr>
      <w:r>
        <w:t xml:space="preserve">But I must dissent from today’s </w:t>
      </w:r>
      <w:r w:rsidRPr="00DD440D">
        <w:rPr>
          <w:i/>
        </w:rPr>
        <w:t>Declaratory Ruling</w:t>
      </w:r>
      <w:r>
        <w:t>, which expands the scope of section 214 of the Communications Act.  For those not steeped in telecom arcana, section 214 is the mother-may-I provision of Title II.  If a carrier wants to sell its lines, discontinue a legacy service that’s no longer of use to most consumers, or exit the business entirely, it must first ask the FCC for permission.  It isn’t a speedy process.  The FCC sometimes sits on these requests for months or even years.</w:t>
      </w:r>
    </w:p>
    <w:p w14:paraId="4A938FF1" w14:textId="77777777" w:rsidR="008100F2" w:rsidRDefault="008100F2" w:rsidP="003F0F7D">
      <w:pPr>
        <w:spacing w:after="120"/>
        <w:ind w:firstLine="720"/>
      </w:pPr>
      <w:r>
        <w:t>By its very nature, Section 214 is about as close to governmental central planning as you can get in free-market America.  Perhaps for this reason, the FCC until today interpreted it judiciously.  For example, it’s been hornbook law for 35 years that “</w:t>
      </w:r>
      <w:r w:rsidRPr="00A91CFC">
        <w:t>use of the Section 214 discontinuance process to challenge changes in rates, terms, and conditions of</w:t>
      </w:r>
      <w:r>
        <w:t xml:space="preserve"> service would be inappropriate.”</w:t>
      </w:r>
      <w:r>
        <w:rPr>
          <w:rStyle w:val="FootnoteReference"/>
        </w:rPr>
        <w:footnoteReference w:id="304"/>
      </w:r>
      <w:r>
        <w:t xml:space="preserve">  Similarly, even if a network change means someone “will </w:t>
      </w:r>
      <w:r w:rsidRPr="00664A81">
        <w:t xml:space="preserve">no longer be able to use </w:t>
      </w:r>
      <w:r>
        <w:t>[certain]</w:t>
      </w:r>
      <w:r w:rsidRPr="00664A81">
        <w:t xml:space="preserve"> equipment</w:t>
      </w:r>
      <w:r>
        <w:t>”—say, a fax machine—that does “</w:t>
      </w:r>
      <w:r w:rsidRPr="00664A81">
        <w:t>not present a Section 214 question</w:t>
      </w:r>
      <w:r>
        <w:t>.”</w:t>
      </w:r>
      <w:r>
        <w:rPr>
          <w:rStyle w:val="FootnoteReference"/>
        </w:rPr>
        <w:footnoteReference w:id="305"/>
      </w:r>
      <w:r>
        <w:t xml:space="preserve">  In other words, it’s only necessary for a carrier to invoke the section 214 process when it seeks to discontinue entirely a particular service—not changes to the features of that service.</w:t>
      </w:r>
      <w:r>
        <w:rPr>
          <w:rStyle w:val="FootnoteReference"/>
        </w:rPr>
        <w:footnoteReference w:id="306"/>
      </w:r>
    </w:p>
    <w:p w14:paraId="1A05ED51" w14:textId="77777777" w:rsidR="008100F2" w:rsidRDefault="008100F2" w:rsidP="007F1865">
      <w:pPr>
        <w:widowControl/>
        <w:spacing w:after="120"/>
        <w:ind w:firstLine="720"/>
      </w:pPr>
      <w:r>
        <w:t>But the Commission now decides to require carriers to seek permission from the FCC before discontinuing almost “every [network] feature no matter how little-used or old-fashioned.”</w:t>
      </w:r>
      <w:r>
        <w:rPr>
          <w:rStyle w:val="FootnoteReference"/>
        </w:rPr>
        <w:footnoteReference w:id="307"/>
      </w:r>
      <w:r>
        <w:t xml:space="preserve">  This abrupt reversal of decades-old policy is unnecessary and counterproductive.</w:t>
      </w:r>
      <w:r>
        <w:rPr>
          <w:rStyle w:val="FootnoteReference"/>
        </w:rPr>
        <w:footnoteReference w:id="308"/>
      </w:r>
      <w:r>
        <w:t xml:space="preserve">  The Commission has no business micromanaging each and every change that a carrier makes to its network.</w:t>
      </w:r>
    </w:p>
    <w:p w14:paraId="706DEAF4" w14:textId="77777777" w:rsidR="008100F2" w:rsidRDefault="008100F2" w:rsidP="007F1865">
      <w:pPr>
        <w:widowControl/>
        <w:spacing w:after="120"/>
        <w:ind w:firstLine="720"/>
      </w:pPr>
      <w:r>
        <w:t>To get a sense of how intrusive this decision is, consider these comparisons from the application layer.  Imagine if Google had to seek regulatory permission to change features on Gmail or transition to Google Inbox.  Or if Facebook had to beg permission before changing the layout of users’ NewsFeeds.  Or if Twitter couldn’t make its mobile platform more user-friendly without the FCC’s say-so.  Currently, nobody would countenance that level of government intrusion into technology companies’ business decisions (although watch out if the Commission heads down the Title II path).  But that’s exactly what the Commission does today with respect to transmission services.</w:t>
      </w:r>
    </w:p>
    <w:p w14:paraId="43DB8B20" w14:textId="77777777" w:rsidR="008100F2" w:rsidRDefault="008100F2" w:rsidP="003F0F7D">
      <w:pPr>
        <w:spacing w:after="120"/>
        <w:ind w:firstLine="720"/>
      </w:pPr>
      <w:r>
        <w:t xml:space="preserve">Dramatically expanding the scope of the section 214 permission-seeking process means that carriers will have to keep investing in legacy copper networks to support service features that may be used by few if any actual consumers.  This </w:t>
      </w:r>
      <w:r w:rsidRPr="0063234F">
        <w:rPr>
          <w:i/>
        </w:rPr>
        <w:t>Hotel California</w:t>
      </w:r>
      <w:r>
        <w:t>-style regulatory approach condemns carriers to checking out of copper any time they like, but never being able to leave.</w:t>
      </w:r>
    </w:p>
    <w:p w14:paraId="58752776" w14:textId="77777777" w:rsidR="008100F2" w:rsidRDefault="008100F2" w:rsidP="003F0F7D">
      <w:pPr>
        <w:spacing w:after="120"/>
        <w:ind w:firstLine="720"/>
      </w:pPr>
      <w:r>
        <w:t>And ultimately, this will be very bad for the American consumer.  Every dollar wasted maintaining last century’s fading technology is by definition a dollar that cannot go to next-generation networks.  You can’t have it both ways, making carriers connect using copper but then decrying their failure to invest in fiber.  You can’t complain about the alleged broadband bottleneck held by one part of the industry when you prevent a would-be competitor from transitioning fully to IP-based networks.  All this means that areas with the lowest profit margins—low-income areas, rural areas, and others—must wait that much longer for 21</w:t>
      </w:r>
      <w:r w:rsidRPr="007803ED">
        <w:rPr>
          <w:vertAlign w:val="superscript"/>
        </w:rPr>
        <w:t>st</w:t>
      </w:r>
      <w:r>
        <w:t xml:space="preserve"> century service.</w:t>
      </w:r>
    </w:p>
    <w:p w14:paraId="2177B5BB" w14:textId="77777777" w:rsidR="008100F2" w:rsidRDefault="008100F2" w:rsidP="003F0F7D">
      <w:pPr>
        <w:spacing w:after="120"/>
        <w:ind w:firstLine="720"/>
      </w:pPr>
      <w:r>
        <w:t xml:space="preserve">There’s another problem here:  We never asked the public to weigh in on this issue.  That’s not how we are supposed to operate.  Usually, if there’s a matter of substantial public concern, we solicit public comment so that all stakeholders—from consumers to carriers—have an opportunity to let us know what they think.  But when I asked to transform these conclusions into questions as part of today’s </w:t>
      </w:r>
      <w:r w:rsidRPr="00EC6523">
        <w:rPr>
          <w:i/>
        </w:rPr>
        <w:t>Notice</w:t>
      </w:r>
      <w:r>
        <w:t>, I was told that the sky was falling, that carriers might upgrade their networks without FCC permission, and those upgrades might affect someone somewhere.  Such hypothetical harms on the horizon are no reason to disregard the well-established process for getting public input.</w:t>
      </w:r>
    </w:p>
    <w:p w14:paraId="2EFD099B" w14:textId="7FEA47AD" w:rsidR="004F67FF" w:rsidRPr="00A474B0" w:rsidRDefault="008100F2" w:rsidP="008100F2">
      <w:pPr>
        <w:widowControl/>
        <w:spacing w:after="120"/>
        <w:ind w:firstLine="720"/>
        <w:rPr>
          <w:rFonts w:eastAsiaTheme="minorHAnsi" w:cstheme="minorBidi"/>
          <w:snapToGrid/>
          <w:kern w:val="0"/>
          <w:szCs w:val="22"/>
        </w:rPr>
      </w:pPr>
      <w:r>
        <w:t>At the end of the most common version of Chicken Little, a fox lures the title character and her friends into his lair and eats them.  The moral of the story, of course, is to make decisions logically and not to succumb to panic and hysteria.  The Commission would do well to heed that lesson as we move forward in this proceeding and others impacting the IP Transition.  For if we don’t, it will be the Commission that is standing in the way of progress that would benefit the American people.</w:t>
      </w:r>
    </w:p>
    <w:p w14:paraId="3C665E78" w14:textId="77777777" w:rsidR="004F67FF" w:rsidRDefault="004F67FF" w:rsidP="004F67FF">
      <w:pPr>
        <w:spacing w:before="120" w:after="200"/>
        <w:sectPr w:rsidR="004F67FF" w:rsidSect="008100F2">
          <w:footerReference w:type="default" r:id="rId17"/>
          <w:footnotePr>
            <w:numRestart w:val="eachSect"/>
          </w:footnotePr>
          <w:pgSz w:w="12240" w:h="15840"/>
          <w:pgMar w:top="1440" w:right="1440" w:bottom="720" w:left="1440" w:header="720" w:footer="720" w:gutter="0"/>
          <w:cols w:space="720"/>
          <w:titlePg/>
          <w:docGrid w:linePitch="360"/>
        </w:sectPr>
      </w:pPr>
    </w:p>
    <w:p w14:paraId="3E42EF4B" w14:textId="77777777" w:rsidR="004F67FF" w:rsidRPr="00A474B0" w:rsidRDefault="004F67FF" w:rsidP="004F67FF">
      <w:pPr>
        <w:widowControl/>
        <w:jc w:val="center"/>
        <w:rPr>
          <w:rFonts w:eastAsiaTheme="minorHAnsi"/>
          <w:b/>
          <w:snapToGrid/>
          <w:kern w:val="0"/>
          <w:szCs w:val="22"/>
        </w:rPr>
      </w:pPr>
      <w:r w:rsidRPr="00A474B0">
        <w:rPr>
          <w:rFonts w:eastAsiaTheme="minorHAnsi"/>
          <w:b/>
          <w:snapToGrid/>
          <w:kern w:val="0"/>
          <w:szCs w:val="22"/>
        </w:rPr>
        <w:t>STATEMENT OF</w:t>
      </w:r>
    </w:p>
    <w:p w14:paraId="28E2F7F3" w14:textId="77777777" w:rsidR="004F67FF" w:rsidRPr="00A474B0" w:rsidRDefault="004F67FF" w:rsidP="004F67FF">
      <w:pPr>
        <w:widowControl/>
        <w:jc w:val="center"/>
        <w:rPr>
          <w:rFonts w:eastAsiaTheme="minorHAnsi"/>
          <w:b/>
          <w:snapToGrid/>
          <w:kern w:val="0"/>
          <w:szCs w:val="22"/>
        </w:rPr>
      </w:pPr>
      <w:r w:rsidRPr="00A474B0">
        <w:rPr>
          <w:rFonts w:eastAsiaTheme="minorHAnsi"/>
          <w:b/>
          <w:snapToGrid/>
          <w:kern w:val="0"/>
          <w:szCs w:val="22"/>
        </w:rPr>
        <w:t>COMMISSIONER MICHAEL O’RIELLY,</w:t>
      </w:r>
    </w:p>
    <w:p w14:paraId="264EE7BE" w14:textId="77777777" w:rsidR="004F67FF" w:rsidRPr="00A474B0" w:rsidRDefault="004F67FF" w:rsidP="004F67FF">
      <w:pPr>
        <w:widowControl/>
        <w:jc w:val="center"/>
        <w:rPr>
          <w:rFonts w:eastAsiaTheme="minorHAnsi"/>
          <w:b/>
          <w:snapToGrid/>
          <w:kern w:val="0"/>
          <w:szCs w:val="22"/>
        </w:rPr>
      </w:pPr>
      <w:r w:rsidRPr="00A474B0">
        <w:rPr>
          <w:rFonts w:eastAsiaTheme="minorHAnsi"/>
          <w:b/>
          <w:snapToGrid/>
          <w:kern w:val="0"/>
          <w:szCs w:val="22"/>
        </w:rPr>
        <w:t>CONCURRING IN PART AND DISSENTING IN PART</w:t>
      </w:r>
    </w:p>
    <w:p w14:paraId="3C1D1BEC" w14:textId="77777777" w:rsidR="004F67FF" w:rsidRPr="00A474B0" w:rsidRDefault="004F67FF" w:rsidP="004F67FF">
      <w:pPr>
        <w:widowControl/>
        <w:rPr>
          <w:rFonts w:eastAsiaTheme="minorHAnsi"/>
          <w:snapToGrid/>
          <w:kern w:val="0"/>
          <w:szCs w:val="22"/>
        </w:rPr>
      </w:pPr>
    </w:p>
    <w:p w14:paraId="43C4F38B" w14:textId="77777777" w:rsidR="004F67FF" w:rsidRPr="00A474B0" w:rsidRDefault="004F67FF" w:rsidP="004F67FF">
      <w:pPr>
        <w:widowControl/>
        <w:ind w:left="720" w:hanging="720"/>
        <w:rPr>
          <w:rFonts w:eastAsiaTheme="minorHAnsi"/>
          <w:i/>
          <w:snapToGrid/>
          <w:kern w:val="0"/>
          <w:szCs w:val="22"/>
        </w:rPr>
      </w:pPr>
      <w:r w:rsidRPr="00A474B0">
        <w:rPr>
          <w:rFonts w:eastAsiaTheme="minorHAnsi"/>
          <w:snapToGrid/>
          <w:kern w:val="0"/>
          <w:szCs w:val="22"/>
        </w:rPr>
        <w:t>Re:</w:t>
      </w:r>
      <w:r w:rsidRPr="00A474B0">
        <w:rPr>
          <w:rFonts w:eastAsiaTheme="minorHAnsi"/>
          <w:snapToGrid/>
          <w:kern w:val="0"/>
          <w:szCs w:val="22"/>
        </w:rPr>
        <w:tab/>
      </w:r>
      <w:r w:rsidRPr="00A474B0">
        <w:rPr>
          <w:rFonts w:eastAsiaTheme="minorHAnsi"/>
          <w:i/>
          <w:snapToGrid/>
          <w:kern w:val="0"/>
          <w:szCs w:val="22"/>
        </w:rPr>
        <w:t>Ensuring Customer Premises Equipment Backup Power for Continuity of Communications</w:t>
      </w:r>
      <w:r w:rsidRPr="00A474B0">
        <w:rPr>
          <w:rFonts w:eastAsiaTheme="minorHAnsi"/>
          <w:snapToGrid/>
          <w:kern w:val="0"/>
          <w:szCs w:val="22"/>
        </w:rPr>
        <w:t>,</w:t>
      </w:r>
      <w:r w:rsidRPr="00A474B0">
        <w:rPr>
          <w:rFonts w:eastAsiaTheme="minorHAnsi"/>
          <w:i/>
          <w:snapToGrid/>
          <w:kern w:val="0"/>
          <w:szCs w:val="22"/>
        </w:rPr>
        <w:t xml:space="preserve"> </w:t>
      </w:r>
      <w:r w:rsidRPr="00A474B0">
        <w:rPr>
          <w:rFonts w:eastAsiaTheme="minorHAnsi"/>
          <w:snapToGrid/>
          <w:kern w:val="0"/>
          <w:szCs w:val="22"/>
        </w:rPr>
        <w:t>PS Docket No, 14-174,</w:t>
      </w:r>
      <w:r w:rsidRPr="00A474B0">
        <w:rPr>
          <w:rFonts w:eastAsiaTheme="minorHAnsi"/>
          <w:i/>
          <w:snapToGrid/>
          <w:kern w:val="0"/>
          <w:szCs w:val="22"/>
        </w:rPr>
        <w:t xml:space="preserve"> Technology Transitions</w:t>
      </w:r>
      <w:r w:rsidRPr="00A474B0">
        <w:rPr>
          <w:rFonts w:eastAsiaTheme="minorHAnsi"/>
          <w:snapToGrid/>
          <w:kern w:val="0"/>
          <w:szCs w:val="22"/>
        </w:rPr>
        <w:t>, GN Docket No. 13-5,</w:t>
      </w:r>
      <w:r w:rsidRPr="00A474B0">
        <w:rPr>
          <w:rFonts w:eastAsiaTheme="minorHAnsi"/>
          <w:i/>
          <w:snapToGrid/>
          <w:kern w:val="0"/>
          <w:szCs w:val="22"/>
        </w:rPr>
        <w:t xml:space="preserve"> Policies and Rules Governing Retirement Of Copper Loops by Incumbent Local Exchange Carriers</w:t>
      </w:r>
      <w:r w:rsidRPr="00A474B0">
        <w:rPr>
          <w:rFonts w:eastAsiaTheme="minorHAnsi"/>
          <w:snapToGrid/>
          <w:kern w:val="0"/>
          <w:szCs w:val="22"/>
        </w:rPr>
        <w:t>, RM-11358,</w:t>
      </w:r>
      <w:r w:rsidRPr="00A474B0">
        <w:rPr>
          <w:rFonts w:eastAsiaTheme="minorHAnsi"/>
          <w:i/>
          <w:snapToGrid/>
          <w:kern w:val="0"/>
          <w:szCs w:val="22"/>
        </w:rPr>
        <w:t xml:space="preserve"> Special Access for Price Cap Local Exchange Carriers</w:t>
      </w:r>
      <w:r w:rsidRPr="00A474B0">
        <w:rPr>
          <w:rFonts w:eastAsiaTheme="minorHAnsi"/>
          <w:snapToGrid/>
          <w:kern w:val="0"/>
          <w:szCs w:val="22"/>
        </w:rPr>
        <w:t>, WC Docket No. 05-25,</w:t>
      </w:r>
      <w:r w:rsidRPr="00A474B0">
        <w:rPr>
          <w:rFonts w:eastAsiaTheme="minorHAnsi"/>
          <w:i/>
          <w:snapToGrid/>
          <w:kern w:val="0"/>
          <w:szCs w:val="22"/>
        </w:rPr>
        <w:t xml:space="preserve"> AT&amp;T Corporation Petition for Rulemaking to Reform Regulation of Incumbent Local Exchange Carrier Rates for Interstate Special Access Services</w:t>
      </w:r>
      <w:r w:rsidRPr="00A474B0">
        <w:rPr>
          <w:rFonts w:eastAsiaTheme="minorHAnsi"/>
          <w:snapToGrid/>
          <w:kern w:val="0"/>
          <w:szCs w:val="22"/>
        </w:rPr>
        <w:t>, RM-10593.</w:t>
      </w:r>
    </w:p>
    <w:p w14:paraId="75BFE7EC" w14:textId="77777777" w:rsidR="004F67FF" w:rsidRPr="00A474B0" w:rsidRDefault="004F67FF" w:rsidP="004F67FF">
      <w:pPr>
        <w:widowControl/>
        <w:rPr>
          <w:rFonts w:eastAsiaTheme="minorHAnsi"/>
          <w:snapToGrid/>
          <w:kern w:val="0"/>
          <w:szCs w:val="22"/>
        </w:rPr>
      </w:pPr>
    </w:p>
    <w:p w14:paraId="5E312D10" w14:textId="77777777" w:rsidR="004F67FF" w:rsidRPr="00A474B0" w:rsidRDefault="004F67FF" w:rsidP="004F67FF">
      <w:pPr>
        <w:widowControl/>
        <w:spacing w:after="120"/>
        <w:rPr>
          <w:rFonts w:eastAsiaTheme="minorHAnsi"/>
          <w:snapToGrid/>
          <w:kern w:val="0"/>
          <w:szCs w:val="22"/>
        </w:rPr>
      </w:pPr>
      <w:r w:rsidRPr="00A474B0">
        <w:rPr>
          <w:rFonts w:eastAsiaTheme="minorHAnsi"/>
          <w:snapToGrid/>
          <w:kern w:val="0"/>
          <w:szCs w:val="22"/>
        </w:rPr>
        <w:tab/>
        <w:t xml:space="preserve">I want to be clear about something that all too often gets lost in discussions about technology transitions: they are positive advances that ought to be encouraged.  Innovation generally leads to more choices, lower costs, and better functionalities.  Many consumers have recognized these benefits and have already transitioned to new technologies, services, and apps.  As I have said before, every day and in every market, consumers are moving to IP-technologies all without the heavy-handed creation of new Commission rules.   </w:t>
      </w:r>
    </w:p>
    <w:p w14:paraId="1F9AA10C" w14:textId="77777777" w:rsidR="004F67FF" w:rsidRPr="00A474B0" w:rsidRDefault="004F67FF" w:rsidP="004F67FF">
      <w:pPr>
        <w:widowControl/>
        <w:spacing w:after="120"/>
        <w:rPr>
          <w:rFonts w:eastAsiaTheme="minorHAnsi"/>
          <w:snapToGrid/>
          <w:kern w:val="0"/>
          <w:szCs w:val="22"/>
        </w:rPr>
      </w:pPr>
      <w:r w:rsidRPr="00A474B0">
        <w:rPr>
          <w:rFonts w:eastAsiaTheme="minorHAnsi"/>
          <w:snapToGrid/>
          <w:kern w:val="0"/>
          <w:szCs w:val="22"/>
        </w:rPr>
        <w:tab/>
        <w:t>I thank the Chairman and staff for their willingness to work with me on parts of this item.  The changes enable us to seek comment on issues without heading down regulatory rabbit holes, such as requiring providers to check battery inventories at commercial retail outlets or obligating carriers to provide their customers with information about their competitors’ services.  While I continue to have significant concerns about where this proceeding is ultimately headed, the current Notice is now somewhat balanced so that all parties can have a productive dialogue on the issues.  In addition, the Notice seeks comment on the costs and benefits of the various proposals, and I encourage interested parties to provide data on these points.  As a result of these changes, I am able to concur on this portion of the item.</w:t>
      </w:r>
    </w:p>
    <w:p w14:paraId="0A2101DC" w14:textId="77777777" w:rsidR="004F67FF" w:rsidRPr="00A474B0" w:rsidRDefault="004F67FF" w:rsidP="004F67FF">
      <w:pPr>
        <w:widowControl/>
        <w:spacing w:after="120"/>
        <w:rPr>
          <w:rFonts w:eastAsiaTheme="minorHAnsi"/>
          <w:snapToGrid/>
          <w:kern w:val="0"/>
          <w:szCs w:val="22"/>
        </w:rPr>
      </w:pPr>
      <w:r w:rsidRPr="00A474B0">
        <w:rPr>
          <w:rFonts w:eastAsiaTheme="minorHAnsi"/>
          <w:snapToGrid/>
          <w:kern w:val="0"/>
          <w:szCs w:val="22"/>
        </w:rPr>
        <w:tab/>
        <w:t xml:space="preserve">On the other hand, I cannot support the unbounded Declaratory Ruling, which appears to require carriers to file section 214 discontinuance applications for services they don’t even know they are offering.  Instead of defining a service based on the terms of a carrier’s tariff, the Commission will take into account “the totality of the circumstances from the perspective of the relevant community or part of a community, when analyzing whether a service is discontinued, reduced, or impaired under section 214.”  In other words, a carrier has to guess how the service is being used, what the community thinks about such uses, and whether the FCC would require a filing in such instances. Moreover, it has to figure out what a “part of a community” means.  Such a nebulous standard appears nowhere in the Act and has no basis in wireline precedent, and for good reason: it provides no guidance whatsoever.  It is telling that staff was unable to provide me with a single scenario that would not require a filing.  Moreover, this is another example of the Commission regulating to seemingly avoid hypothetical harms.  </w:t>
      </w:r>
    </w:p>
    <w:p w14:paraId="2F5106C0" w14:textId="77777777" w:rsidR="004F67FF" w:rsidRPr="00A474B0" w:rsidRDefault="004F67FF" w:rsidP="004F67FF">
      <w:pPr>
        <w:widowControl/>
        <w:spacing w:after="120"/>
        <w:ind w:firstLine="720"/>
        <w:rPr>
          <w:rFonts w:eastAsiaTheme="minorHAnsi"/>
          <w:snapToGrid/>
          <w:kern w:val="0"/>
          <w:szCs w:val="22"/>
        </w:rPr>
      </w:pPr>
      <w:r w:rsidRPr="00A474B0">
        <w:rPr>
          <w:rFonts w:eastAsiaTheme="minorHAnsi"/>
          <w:snapToGrid/>
          <w:kern w:val="0"/>
          <w:szCs w:val="22"/>
        </w:rPr>
        <w:t xml:space="preserve">The entire Declaratory Ruling sets a stage to force providers to either maintain their legacy networks and every last service, or file applications only to see them bogged down in a subjective review process.  In the end, I suspect that providers will probably continue to migrate willing customers to advanced communications platforms and services separate from this scheme and do just enough to maintain their existing copper network.  What a waste.  Instead of embracing new technologies we are telling providers that they are subject to the whims of a regulatory body operating behind the times.  And consumers will pay higher rates in the end for “protections” that many do not want or need.      </w:t>
      </w:r>
    </w:p>
    <w:p w14:paraId="527CC592" w14:textId="77777777" w:rsidR="00AB126A" w:rsidRPr="00EA5333" w:rsidRDefault="00AB126A" w:rsidP="00557578">
      <w:pPr>
        <w:spacing w:before="120" w:after="200"/>
      </w:pPr>
    </w:p>
    <w:sectPr w:rsidR="00AB126A" w:rsidRPr="00EA5333" w:rsidSect="007F3B49">
      <w:footnotePr>
        <w:numRestart w:val="eachSect"/>
      </w:footnotePr>
      <w:endnotePr>
        <w:numFmt w:val="decimal"/>
      </w:endnotePr>
      <w:pgSz w:w="12240" w:h="15840"/>
      <w:pgMar w:top="1440" w:right="1440" w:bottom="720" w:left="144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8DB270" w14:textId="77777777" w:rsidR="004011BC" w:rsidRDefault="004011BC">
      <w:pPr>
        <w:spacing w:line="20" w:lineRule="exact"/>
      </w:pPr>
    </w:p>
  </w:endnote>
  <w:endnote w:type="continuationSeparator" w:id="0">
    <w:p w14:paraId="5061A8C5" w14:textId="77777777" w:rsidR="004011BC" w:rsidRDefault="004011BC">
      <w:r>
        <w:t xml:space="preserve"> </w:t>
      </w:r>
    </w:p>
  </w:endnote>
  <w:endnote w:type="continuationNotice" w:id="1">
    <w:p w14:paraId="53ED9452" w14:textId="77777777" w:rsidR="004011BC" w:rsidRDefault="004011B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EF" w:usb1="C0007841"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8A0DF" w14:textId="77777777" w:rsidR="00FE1B54" w:rsidRDefault="00FE1B54" w:rsidP="0055614C">
    <w:pPr>
      <w:pStyle w:val="Footer"/>
      <w:framePr w:wrap="around" w:vAnchor="text" w:hAnchor="margin" w:xAlign="center" w:y="1"/>
    </w:pPr>
    <w:r>
      <w:fldChar w:fldCharType="begin"/>
    </w:r>
    <w:r>
      <w:instrText xml:space="preserve">PAGE  </w:instrText>
    </w:r>
    <w:r>
      <w:fldChar w:fldCharType="end"/>
    </w:r>
  </w:p>
  <w:p w14:paraId="227056FE" w14:textId="77777777" w:rsidR="00FE1B54" w:rsidRDefault="00FE1B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C2844" w14:textId="77777777" w:rsidR="00FE1B54" w:rsidRDefault="00FE1B54" w:rsidP="0055614C">
    <w:pPr>
      <w:pStyle w:val="Footer"/>
      <w:framePr w:wrap="around" w:vAnchor="text" w:hAnchor="margin" w:xAlign="center" w:y="1"/>
    </w:pPr>
    <w:r>
      <w:fldChar w:fldCharType="begin"/>
    </w:r>
    <w:r>
      <w:instrText xml:space="preserve">PAGE  </w:instrText>
    </w:r>
    <w:r>
      <w:fldChar w:fldCharType="separate"/>
    </w:r>
    <w:r w:rsidR="009127D8">
      <w:rPr>
        <w:noProof/>
      </w:rPr>
      <w:t>54</w:t>
    </w:r>
    <w:r>
      <w:fldChar w:fldCharType="end"/>
    </w:r>
  </w:p>
  <w:p w14:paraId="46B18E59" w14:textId="77777777" w:rsidR="00FE1B54" w:rsidRDefault="00FE1B54">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A7411" w14:textId="77777777" w:rsidR="00F45378" w:rsidRDefault="00F4537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7681792"/>
      <w:docPartObj>
        <w:docPartGallery w:val="Page Numbers (Bottom of Page)"/>
        <w:docPartUnique/>
      </w:docPartObj>
    </w:sdtPr>
    <w:sdtEndPr>
      <w:rPr>
        <w:noProof/>
      </w:rPr>
    </w:sdtEndPr>
    <w:sdtContent>
      <w:p w14:paraId="568B59E5" w14:textId="38A4AE13" w:rsidR="004D4278" w:rsidRDefault="004D4278">
        <w:pPr>
          <w:pStyle w:val="Footer"/>
          <w:jc w:val="center"/>
        </w:pPr>
        <w:r>
          <w:fldChar w:fldCharType="begin"/>
        </w:r>
        <w:r>
          <w:instrText xml:space="preserve"> PAGE   \* MERGEFORMAT </w:instrText>
        </w:r>
        <w:r>
          <w:fldChar w:fldCharType="separate"/>
        </w:r>
        <w:r w:rsidR="009127D8">
          <w:rPr>
            <w:noProof/>
          </w:rPr>
          <w:t>74</w:t>
        </w:r>
        <w:r>
          <w:rPr>
            <w:noProof/>
          </w:rPr>
          <w:fldChar w:fldCharType="end"/>
        </w:r>
      </w:p>
    </w:sdtContent>
  </w:sdt>
  <w:p w14:paraId="467A10ED" w14:textId="1A47FB96" w:rsidR="008602E1" w:rsidRDefault="008602E1" w:rsidP="003F0F7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1242534"/>
      <w:docPartObj>
        <w:docPartGallery w:val="Page Numbers (Bottom of Page)"/>
        <w:docPartUnique/>
      </w:docPartObj>
    </w:sdtPr>
    <w:sdtEndPr>
      <w:rPr>
        <w:noProof/>
      </w:rPr>
    </w:sdtEndPr>
    <w:sdtContent>
      <w:p w14:paraId="53E83F52" w14:textId="77777777" w:rsidR="00FE1B54" w:rsidRDefault="00FE1B54">
        <w:pPr>
          <w:pStyle w:val="Footer"/>
          <w:jc w:val="center"/>
        </w:pPr>
        <w:r>
          <w:fldChar w:fldCharType="begin"/>
        </w:r>
        <w:r>
          <w:instrText xml:space="preserve"> PAGE   \* MERGEFORMAT </w:instrText>
        </w:r>
        <w:r>
          <w:fldChar w:fldCharType="separate"/>
        </w:r>
        <w:r w:rsidR="009127D8">
          <w:rPr>
            <w:noProof/>
          </w:rPr>
          <w:t>70</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3583281"/>
      <w:docPartObj>
        <w:docPartGallery w:val="Page Numbers (Bottom of Page)"/>
        <w:docPartUnique/>
      </w:docPartObj>
    </w:sdtPr>
    <w:sdtEndPr>
      <w:rPr>
        <w:noProof/>
      </w:rPr>
    </w:sdtEndPr>
    <w:sdtContent>
      <w:p w14:paraId="06EAC4F3" w14:textId="77777777" w:rsidR="00FE1B54" w:rsidRDefault="00FE1B54" w:rsidP="003F0F7D">
        <w:pPr>
          <w:pStyle w:val="Footer"/>
          <w:jc w:val="center"/>
        </w:pPr>
        <w:r>
          <w:fldChar w:fldCharType="begin"/>
        </w:r>
        <w:r>
          <w:instrText xml:space="preserve"> PAGE   \* MERGEFORMAT </w:instrText>
        </w:r>
        <w:r>
          <w:fldChar w:fldCharType="separate"/>
        </w:r>
        <w:r w:rsidR="009127D8">
          <w:rPr>
            <w:noProof/>
          </w:rPr>
          <w:t>73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89D28D" w14:textId="77777777" w:rsidR="004011BC" w:rsidRDefault="004011BC">
      <w:r>
        <w:separator/>
      </w:r>
    </w:p>
  </w:footnote>
  <w:footnote w:type="continuationSeparator" w:id="0">
    <w:p w14:paraId="7272BFBE" w14:textId="77777777" w:rsidR="004011BC" w:rsidRDefault="004011BC" w:rsidP="00C721AC">
      <w:pPr>
        <w:spacing w:before="120"/>
        <w:rPr>
          <w:sz w:val="20"/>
        </w:rPr>
      </w:pPr>
      <w:r>
        <w:rPr>
          <w:sz w:val="20"/>
        </w:rPr>
        <w:t xml:space="preserve">(Continued from previous page)  </w:t>
      </w:r>
      <w:r>
        <w:rPr>
          <w:sz w:val="20"/>
        </w:rPr>
        <w:separator/>
      </w:r>
    </w:p>
  </w:footnote>
  <w:footnote w:type="continuationNotice" w:id="1">
    <w:p w14:paraId="3617A4BB" w14:textId="77777777" w:rsidR="004011BC" w:rsidRDefault="004011BC" w:rsidP="00C721AC">
      <w:pPr>
        <w:jc w:val="right"/>
        <w:rPr>
          <w:sz w:val="20"/>
        </w:rPr>
      </w:pPr>
      <w:r>
        <w:rPr>
          <w:sz w:val="20"/>
        </w:rPr>
        <w:t>(continued…)</w:t>
      </w:r>
    </w:p>
  </w:footnote>
  <w:footnote w:id="2">
    <w:p w14:paraId="17B4595E" w14:textId="77777777" w:rsidR="00FE1B54" w:rsidRPr="007A6FE3" w:rsidRDefault="00FE1B54" w:rsidP="00E85627">
      <w:pPr>
        <w:pStyle w:val="FootnoteText"/>
      </w:pPr>
      <w:r w:rsidRPr="007A6FE3">
        <w:rPr>
          <w:rStyle w:val="FootnoteReference"/>
        </w:rPr>
        <w:footnoteRef/>
      </w:r>
      <w:r w:rsidRPr="007A6FE3">
        <w:rPr>
          <w:i/>
          <w:iCs/>
        </w:rPr>
        <w:t xml:space="preserve"> Technology Transitions, et al.</w:t>
      </w:r>
      <w:r w:rsidRPr="007A6FE3">
        <w:t>, GN Docket No. 13-5, et al., Order, Report and Order and Further Notice of Proposed Rulemaking, Report and Order, Order and Further Notice of Proposed Rulemaking, Proposal for Ongoing Data Initiative, 29 FCC Rcd 1433, 1435, paras. 1 (2014) (</w:t>
      </w:r>
      <w:r w:rsidRPr="007A6FE3">
        <w:rPr>
          <w:i/>
          <w:iCs/>
        </w:rPr>
        <w:t>Technology Transitions Order</w:t>
      </w:r>
      <w:r w:rsidRPr="007A6FE3">
        <w:t>).</w:t>
      </w:r>
    </w:p>
  </w:footnote>
  <w:footnote w:id="3">
    <w:p w14:paraId="7CD53121" w14:textId="77777777" w:rsidR="00FE1B54" w:rsidRPr="007A6FE3" w:rsidRDefault="00FE1B54" w:rsidP="00E85627">
      <w:pPr>
        <w:pStyle w:val="FootnoteText"/>
      </w:pPr>
      <w:r w:rsidRPr="007A6FE3">
        <w:rPr>
          <w:rStyle w:val="FootnoteReference"/>
        </w:rPr>
        <w:footnoteRef/>
      </w:r>
      <w:r w:rsidRPr="007A6FE3">
        <w:t xml:space="preserve"> </w:t>
      </w:r>
      <w:r w:rsidRPr="007A6FE3">
        <w:rPr>
          <w:i/>
          <w:iCs/>
        </w:rPr>
        <w:t>Technology Transitions Order</w:t>
      </w:r>
      <w:r w:rsidRPr="007A6FE3">
        <w:t xml:space="preserve">, 29 FCC Rcd at 1440, paras. 16-18; </w:t>
      </w:r>
      <w:r w:rsidRPr="007A6FE3">
        <w:rPr>
          <w:i/>
        </w:rPr>
        <w:t>see also</w:t>
      </w:r>
      <w:r w:rsidRPr="007A6FE3">
        <w:t xml:space="preserve"> 47 U.S.C. §§ 151, 160, 201, 225, 251, 254, 255.</w:t>
      </w:r>
    </w:p>
  </w:footnote>
  <w:footnote w:id="4">
    <w:p w14:paraId="19CAB1DB" w14:textId="77777777" w:rsidR="00FE1B54" w:rsidRPr="007A6FE3" w:rsidRDefault="00FE1B54" w:rsidP="00E85627">
      <w:pPr>
        <w:pStyle w:val="FootnoteText"/>
      </w:pPr>
      <w:r w:rsidRPr="007A6FE3">
        <w:rPr>
          <w:rStyle w:val="FootnoteReference"/>
        </w:rPr>
        <w:footnoteRef/>
      </w:r>
      <w:r w:rsidRPr="007A6FE3">
        <w:t xml:space="preserve"> </w:t>
      </w:r>
      <w:r w:rsidRPr="007A6FE3">
        <w:rPr>
          <w:i/>
        </w:rPr>
        <w:t>See Technology Transitions Order</w:t>
      </w:r>
      <w:r w:rsidRPr="007A6FE3">
        <w:t>, 29 FCC Rcd</w:t>
      </w:r>
      <w:r w:rsidRPr="007A6FE3">
        <w:rPr>
          <w:i/>
        </w:rPr>
        <w:t xml:space="preserve"> </w:t>
      </w:r>
      <w:r w:rsidRPr="007A6FE3">
        <w:t>at</w:t>
      </w:r>
      <w:r w:rsidRPr="007A6FE3">
        <w:rPr>
          <w:i/>
        </w:rPr>
        <w:t xml:space="preserve"> </w:t>
      </w:r>
      <w:r w:rsidRPr="007A6FE3">
        <w:t>1435-36, paras. 2-4.</w:t>
      </w:r>
    </w:p>
  </w:footnote>
  <w:footnote w:id="5">
    <w:p w14:paraId="1015E392" w14:textId="4559854F" w:rsidR="00FE1B54" w:rsidRPr="007A6FE3" w:rsidRDefault="00FE1B54" w:rsidP="00E85627">
      <w:pPr>
        <w:pStyle w:val="FootnoteText"/>
      </w:pPr>
      <w:r w:rsidRPr="007A6FE3">
        <w:rPr>
          <w:rStyle w:val="FootnoteReference"/>
        </w:rPr>
        <w:footnoteRef/>
      </w:r>
      <w:r w:rsidRPr="007A6FE3">
        <w:t xml:space="preserve"> </w:t>
      </w:r>
      <w:r w:rsidRPr="007A6FE3">
        <w:rPr>
          <w:i/>
        </w:rPr>
        <w:t>See</w:t>
      </w:r>
      <w:r w:rsidRPr="007A6FE3">
        <w:t xml:space="preserve"> Local Telephone Competition:  Status as of December 31, 2013, FCC, Wireline Competition Bureau, Industry Analysis and Technology Division, at 3, Fig. 2 (Oct. 16, 2014), </w:t>
      </w:r>
      <w:hyperlink r:id="rId1" w:history="1">
        <w:r w:rsidRPr="007A6FE3">
          <w:rPr>
            <w:rStyle w:val="Hyperlink"/>
          </w:rPr>
          <w:t>http://transition.fcc.gov/Daily_Releases/Daily_Business/2014/db1016/DOC-329975A1.pdf</w:t>
        </w:r>
      </w:hyperlink>
      <w:r w:rsidRPr="007A6FE3">
        <w:t xml:space="preserve"> (Local Telephone Competition Report).</w:t>
      </w:r>
    </w:p>
  </w:footnote>
  <w:footnote w:id="6">
    <w:p w14:paraId="32C816AE" w14:textId="77777777" w:rsidR="00FE1B54" w:rsidRPr="007A6FE3" w:rsidRDefault="00FE1B54">
      <w:pPr>
        <w:pStyle w:val="FootnoteText"/>
      </w:pPr>
      <w:r w:rsidRPr="007A6FE3">
        <w:rPr>
          <w:rStyle w:val="FootnoteReference"/>
        </w:rPr>
        <w:footnoteRef/>
      </w:r>
      <w:r w:rsidRPr="007A6FE3">
        <w:t xml:space="preserve"> For example, we note that individuals with disabilities who use text telephone devices (TTYs), including people who are deaf, deaf-blind, and those who have speech disabilities, may still be reliant on such legacy services.  In addition, analog lines are often used to effectively convey closed captions for television programming.  Consumers have raised concerns about these and other accessibility features during and after the migration to IP-based services and new network facilities.  </w:t>
      </w:r>
      <w:r w:rsidRPr="007A6FE3">
        <w:rPr>
          <w:i/>
        </w:rPr>
        <w:t>See, e.g.,</w:t>
      </w:r>
      <w:r w:rsidRPr="007A6FE3">
        <w:t xml:space="preserve"> Comments of Telecommunications for the Deaf and Hard of Hearing, Inc. et al., GN Docket No. 12-353, at 4-9 (filed Jan. 28, 2013).</w:t>
      </w:r>
    </w:p>
  </w:footnote>
  <w:footnote w:id="7">
    <w:p w14:paraId="411AE55B" w14:textId="16F24571" w:rsidR="00FE1B54" w:rsidRPr="007A6FE3" w:rsidRDefault="00FE1B54" w:rsidP="00E85627">
      <w:pPr>
        <w:pStyle w:val="FootnoteText"/>
      </w:pPr>
      <w:r w:rsidRPr="007A6FE3">
        <w:rPr>
          <w:rStyle w:val="FootnoteReference"/>
        </w:rPr>
        <w:footnoteRef/>
      </w:r>
      <w:r w:rsidRPr="007A6FE3">
        <w:t xml:space="preserve"> </w:t>
      </w:r>
      <w:r w:rsidRPr="007A6FE3">
        <w:rPr>
          <w:i/>
        </w:rPr>
        <w:t>See,</w:t>
      </w:r>
      <w:r w:rsidRPr="007A6FE3">
        <w:t xml:space="preserve"> </w:t>
      </w:r>
      <w:r w:rsidRPr="007A6FE3">
        <w:rPr>
          <w:i/>
        </w:rPr>
        <w:t>e.g.</w:t>
      </w:r>
      <w:r w:rsidRPr="007A6FE3">
        <w:t xml:space="preserve">, Public Knowledge, </w:t>
      </w:r>
      <w:r w:rsidRPr="007A6FE3">
        <w:rPr>
          <w:i/>
        </w:rPr>
        <w:t>The Phone Network Transition:  Lessons from Fire Island</w:t>
      </w:r>
      <w:r w:rsidRPr="007A6FE3">
        <w:t xml:space="preserve"> (Mar. 7, 2014), </w:t>
      </w:r>
      <w:hyperlink r:id="rId2" w:history="1">
        <w:r w:rsidRPr="009D07C3">
          <w:rPr>
            <w:rStyle w:val="Hyperlink"/>
          </w:rPr>
          <w:t>https://www.publicknowledge.org/news-blog/blogs/the-phone-network-transition-lessons-from-fire-island</w:t>
        </w:r>
      </w:hyperlink>
      <w:r w:rsidRPr="007A6FE3">
        <w:t xml:space="preserve">; Jennifer Waters, Prepare to Hang up the Phone, Forever (Mar. 29, 2014), </w:t>
      </w:r>
      <w:hyperlink r:id="rId3" w:history="1">
        <w:r w:rsidRPr="007A6FE3">
          <w:rPr>
            <w:rStyle w:val="Hyperlink"/>
          </w:rPr>
          <w:t>http://online.wsj.com/articles/SB10001424052702303325204579465321638954500</w:t>
        </w:r>
      </w:hyperlink>
      <w:r w:rsidRPr="007A6FE3">
        <w:t xml:space="preserve">.  </w:t>
      </w:r>
    </w:p>
  </w:footnote>
  <w:footnote w:id="8">
    <w:p w14:paraId="3FDDAD39" w14:textId="77777777" w:rsidR="00FE1B54" w:rsidRPr="007A6FE3" w:rsidRDefault="00FE1B54" w:rsidP="00F94043">
      <w:pPr>
        <w:pStyle w:val="FootnoteText"/>
      </w:pPr>
      <w:r w:rsidRPr="007A6FE3">
        <w:rPr>
          <w:rStyle w:val="FootnoteReference"/>
        </w:rPr>
        <w:footnoteRef/>
      </w:r>
      <w:r w:rsidRPr="007A6FE3">
        <w:t xml:space="preserve"> Changes that trigger our network change rules are specified in 47 C.F.R. § 51.325.</w:t>
      </w:r>
    </w:p>
  </w:footnote>
  <w:footnote w:id="9">
    <w:p w14:paraId="364B4364" w14:textId="77777777" w:rsidR="00FE1B54" w:rsidRPr="007A6FE3" w:rsidRDefault="00FE1B54" w:rsidP="00037E8D">
      <w:pPr>
        <w:pStyle w:val="FootnoteText"/>
      </w:pPr>
      <w:r w:rsidRPr="007A6FE3">
        <w:rPr>
          <w:rStyle w:val="FootnoteReference"/>
        </w:rPr>
        <w:footnoteRef/>
      </w:r>
      <w:r w:rsidRPr="007A6FE3">
        <w:t xml:space="preserve"> For convenience, in certain circumstances this Notice uses “discontinue” (or “discontinued,” etc.) as a shorthand that encompasses the statutory terms “discontinue, reduce, or impair” unless the context indicates otherwise.</w:t>
      </w:r>
    </w:p>
  </w:footnote>
  <w:footnote w:id="10">
    <w:p w14:paraId="00652B73" w14:textId="77777777" w:rsidR="00FE1B54" w:rsidRPr="007A6FE3" w:rsidRDefault="00FE1B54">
      <w:pPr>
        <w:pStyle w:val="FootnoteText"/>
      </w:pPr>
      <w:r w:rsidRPr="007A6FE3">
        <w:rPr>
          <w:rStyle w:val="FootnoteReference"/>
        </w:rPr>
        <w:footnoteRef/>
      </w:r>
      <w:r w:rsidRPr="007A6FE3">
        <w:t xml:space="preserve"> The final proviso of section 214(a) states that no authorization is required for “any installation, replacement, or other changes in plant, operation, or equipment, other than new construction, which will not impair the adequacy or quality of service provided.”  47 U.S.C. § 214(a). </w:t>
      </w:r>
    </w:p>
  </w:footnote>
  <w:footnote w:id="11">
    <w:p w14:paraId="44407F44" w14:textId="77777777" w:rsidR="00FE1B54" w:rsidRPr="007A6FE3" w:rsidRDefault="00FE1B54" w:rsidP="00E85627">
      <w:pPr>
        <w:pStyle w:val="FootnoteText"/>
      </w:pPr>
      <w:r w:rsidRPr="007A6FE3">
        <w:rPr>
          <w:rStyle w:val="FootnoteReference"/>
        </w:rPr>
        <w:footnoteRef/>
      </w:r>
      <w:r w:rsidRPr="007A6FE3">
        <w:t xml:space="preserve"> </w:t>
      </w:r>
      <w:r w:rsidRPr="007A6FE3">
        <w:rPr>
          <w:i/>
        </w:rPr>
        <w:t>See</w:t>
      </w:r>
      <w:r w:rsidRPr="007A6FE3">
        <w:t xml:space="preserve"> 47 U.S.C. § 201.  </w:t>
      </w:r>
    </w:p>
  </w:footnote>
  <w:footnote w:id="12">
    <w:p w14:paraId="795F3F26" w14:textId="77777777" w:rsidR="00FE1B54" w:rsidRPr="007A6FE3" w:rsidRDefault="00FE1B54" w:rsidP="005758EA">
      <w:pPr>
        <w:pStyle w:val="FootnoteText"/>
        <w:rPr>
          <w:snapToGrid w:val="0"/>
          <w:kern w:val="28"/>
          <w:sz w:val="22"/>
        </w:rPr>
      </w:pPr>
      <w:r w:rsidRPr="007A6FE3">
        <w:rPr>
          <w:rStyle w:val="FootnoteReference"/>
        </w:rPr>
        <w:footnoteRef/>
      </w:r>
      <w:r w:rsidRPr="007A6FE3">
        <w:t xml:space="preserve"> </w:t>
      </w:r>
      <w:r w:rsidRPr="007A6FE3">
        <w:rPr>
          <w:i/>
        </w:rPr>
        <w:t>See, e.g.</w:t>
      </w:r>
      <w:r w:rsidRPr="007A6FE3">
        <w:t>,</w:t>
      </w:r>
      <w:r w:rsidRPr="007A6FE3">
        <w:rPr>
          <w:i/>
        </w:rPr>
        <w:t xml:space="preserve"> </w:t>
      </w:r>
      <w:r w:rsidRPr="007A6FE3">
        <w:t>Omnibus Broadband Initiative, Connecting America: The National Broadband Plan, GN Docket No. 09-51, at 10 (2010) (</w:t>
      </w:r>
      <w:r w:rsidRPr="007A6FE3">
        <w:rPr>
          <w:i/>
        </w:rPr>
        <w:t>National Broadband Plan</w:t>
      </w:r>
      <w:r w:rsidRPr="007A6FE3">
        <w:t xml:space="preserve">) (“Schools, libraries and health care facilities must all have the connectivity they need to achieve their purposes.  This connectivity can unleash innovation that improves the way we learn, stay healthy and interact with government.”); </w:t>
      </w:r>
      <w:r w:rsidRPr="007A6FE3">
        <w:rPr>
          <w:i/>
        </w:rPr>
        <w:t xml:space="preserve">see also </w:t>
      </w:r>
      <w:r w:rsidRPr="007A6FE3">
        <w:rPr>
          <w:i/>
          <w:iCs/>
        </w:rPr>
        <w:t>Connect America Fund, et al.</w:t>
      </w:r>
      <w:r w:rsidRPr="007A6FE3">
        <w:t>, WC Docket No. 10-90, et al., Report and Order and Further Notice of Proposed Rulemaking, 26 FCC Rcd 17663, 17667, para. 3 (2011),</w:t>
      </w:r>
      <w:r w:rsidRPr="007A6FE3">
        <w:rPr>
          <w:i/>
          <w:iCs/>
        </w:rPr>
        <w:t xml:space="preserve"> pets. for review pending sub nom. In re: FCC</w:t>
      </w:r>
      <w:r w:rsidRPr="007A6FE3">
        <w:t>, No. 11-9900 (10th Cir. filed Dec. 8, 2011) (“Broadband also helps lower the costs and improve the quality of health care, and enables people with disabilities and Americans of all income levels to participate more fully in society.  Community anchor institutions, including schools and libraries, cannot achieve their critical purposes without access to robust broadband.”);</w:t>
      </w:r>
      <w:r w:rsidRPr="007A6FE3">
        <w:rPr>
          <w:i/>
        </w:rPr>
        <w:t xml:space="preserve"> infra</w:t>
      </w:r>
      <w:r w:rsidRPr="007A6FE3">
        <w:t xml:space="preserve"> para. </w:t>
      </w:r>
      <w:r w:rsidRPr="007A6FE3">
        <w:fldChar w:fldCharType="begin"/>
      </w:r>
      <w:r w:rsidRPr="007A6FE3">
        <w:instrText xml:space="preserve"> REF _Ref401313964 \r \h  \* MERGEFORMAT </w:instrText>
      </w:r>
      <w:r w:rsidRPr="007A6FE3">
        <w:fldChar w:fldCharType="separate"/>
      </w:r>
      <w:r w:rsidR="008A38E8">
        <w:t>22</w:t>
      </w:r>
      <w:r w:rsidRPr="007A6FE3">
        <w:fldChar w:fldCharType="end"/>
      </w:r>
      <w:r w:rsidRPr="007A6FE3">
        <w:t>.</w:t>
      </w:r>
    </w:p>
  </w:footnote>
  <w:footnote w:id="13">
    <w:p w14:paraId="56068F29" w14:textId="77777777" w:rsidR="00FE1B54" w:rsidRPr="007A6FE3" w:rsidRDefault="00FE1B54" w:rsidP="009B0982">
      <w:pPr>
        <w:pStyle w:val="FootnoteText"/>
      </w:pPr>
      <w:r w:rsidRPr="007A6FE3">
        <w:rPr>
          <w:rStyle w:val="FootnoteReference"/>
        </w:rPr>
        <w:footnoteRef/>
      </w:r>
      <w:r w:rsidRPr="007A6FE3">
        <w:t xml:space="preserve"> </w:t>
      </w:r>
      <w:r w:rsidRPr="007A6FE3">
        <w:rPr>
          <w:i/>
        </w:rPr>
        <w:t xml:space="preserve">See </w:t>
      </w:r>
      <w:r w:rsidRPr="007A6FE3">
        <w:t>Letter from Jennie B. Chandra, Vice President</w:t>
      </w:r>
      <w:r w:rsidRPr="007A6FE3">
        <w:rPr>
          <w:szCs w:val="22"/>
        </w:rPr>
        <w:t>—</w:t>
      </w:r>
      <w:r w:rsidRPr="007A6FE3">
        <w:t xml:space="preserve">Public Policy and Strategy, Windstream, to Marlene H. Dortch, Secretary, FCC, GN Docket Nos. 13-5, 12-353 at 6 (filed Aug. 7, 2014) (Windstream Aug. 7, 2014 </w:t>
      </w:r>
      <w:r w:rsidRPr="007A6FE3">
        <w:rPr>
          <w:i/>
        </w:rPr>
        <w:t xml:space="preserve">Ex Parte </w:t>
      </w:r>
      <w:r w:rsidRPr="007A6FE3">
        <w:t xml:space="preserve">Letter) (providing a chart based on data compiled by an independent market research firm estimating that competitive LECs accounted for 26% of non-residential customer expenditures on wireline communications during the second quarter of 2014).  </w:t>
      </w:r>
      <w:r w:rsidRPr="007A6FE3">
        <w:rPr>
          <w:i/>
        </w:rPr>
        <w:t xml:space="preserve">See also </w:t>
      </w:r>
      <w:r w:rsidRPr="007A6FE3">
        <w:t>Letter from Suzin Bartley, Executive Director, Children’s Trust, to Thomas Wheeler, Chairman, FCC, GN Docket Nos. 13-5 and 12-353 (filed Oct. 31, 2014) (“We are a customer that uses a competitive carrier for our voice and data services.  As a competitor in the Massachusetts market, our carrier is able to provide us with the individualized services and support, and the best overall value.  It is critical to our nonprofit firm, and, presumably, to other nonprofits similar to us . . . that competitive carriers continue to provide us with a choice we otherwise might not have or might not be suitable to our needs.”)</w:t>
      </w:r>
    </w:p>
  </w:footnote>
  <w:footnote w:id="14">
    <w:p w14:paraId="54AF098F" w14:textId="77777777" w:rsidR="00FE1B54" w:rsidRPr="007A6FE3" w:rsidRDefault="00FE1B54" w:rsidP="00140D02">
      <w:pPr>
        <w:pStyle w:val="FootnoteText"/>
      </w:pPr>
      <w:r w:rsidRPr="007A6FE3">
        <w:rPr>
          <w:rStyle w:val="FootnoteReference"/>
        </w:rPr>
        <w:footnoteRef/>
      </w:r>
      <w:r w:rsidRPr="007A6FE3">
        <w:t xml:space="preserve"> </w:t>
      </w:r>
      <w:r w:rsidRPr="007A6FE3">
        <w:rPr>
          <w:i/>
        </w:rPr>
        <w:t>See Technology Transitions Order</w:t>
      </w:r>
      <w:r w:rsidRPr="007A6FE3">
        <w:t xml:space="preserve">, 29 FCC Rcd at 1453, para. 59 (“Competitive LECs often serve customers by relying significantly on incumbent LECs’ last-mile networks, including by leasing a variety of copper-based UNEs and TDM-based DS1 and DS3 special access services.”); </w:t>
      </w:r>
      <w:r w:rsidRPr="007A6FE3">
        <w:rPr>
          <w:i/>
        </w:rPr>
        <w:t>see also infra</w:t>
      </w:r>
      <w:r w:rsidRPr="007A6FE3">
        <w:t xml:space="preserve"> para. </w:t>
      </w:r>
      <w:r w:rsidRPr="007A6FE3">
        <w:fldChar w:fldCharType="begin"/>
      </w:r>
      <w:r w:rsidRPr="007A6FE3">
        <w:instrText xml:space="preserve"> REF _Ref401917545 \r \h </w:instrText>
      </w:r>
      <w:r>
        <w:instrText xml:space="preserve"> \* MERGEFORMAT </w:instrText>
      </w:r>
      <w:r w:rsidRPr="007A6FE3">
        <w:fldChar w:fldCharType="separate"/>
      </w:r>
      <w:r w:rsidR="008A38E8">
        <w:t>27</w:t>
      </w:r>
      <w:r w:rsidRPr="007A6FE3">
        <w:fldChar w:fldCharType="end"/>
      </w:r>
      <w:r w:rsidRPr="007A6FE3">
        <w:t>.</w:t>
      </w:r>
    </w:p>
  </w:footnote>
  <w:footnote w:id="15">
    <w:p w14:paraId="5A0EA1D8" w14:textId="77777777" w:rsidR="00FE1B54" w:rsidRPr="007A6FE3" w:rsidRDefault="00FE1B54" w:rsidP="00E85627">
      <w:pPr>
        <w:pStyle w:val="FootnoteText"/>
      </w:pPr>
      <w:r w:rsidRPr="007A6FE3">
        <w:rPr>
          <w:rStyle w:val="FootnoteReference"/>
        </w:rPr>
        <w:footnoteRef/>
      </w:r>
      <w:r w:rsidRPr="007A6FE3">
        <w:t xml:space="preserve"> </w:t>
      </w:r>
      <w:r w:rsidRPr="007A6FE3">
        <w:rPr>
          <w:i/>
        </w:rPr>
        <w:t>See</w:t>
      </w:r>
      <w:r w:rsidRPr="007A6FE3">
        <w:t xml:space="preserve"> </w:t>
      </w:r>
      <w:r w:rsidRPr="007A6FE3">
        <w:rPr>
          <w:i/>
        </w:rPr>
        <w:t>Special Access for Price Cap Local Exchange Carriers; AT&amp;T Corporation Petition for Rulemaking to Reform Regulation of Incumbent Local Exchange Carrier Rates for Interstate Special Access Services</w:t>
      </w:r>
      <w:r w:rsidRPr="007A6FE3">
        <w:t>, WC Docket No. 05-25, RM-10593, Order on Reconsideration, DA 14-1327 (Wireline Comp. Bur. rel. Sept. 15, 2014) (</w:t>
      </w:r>
      <w:r w:rsidRPr="007A6FE3">
        <w:rPr>
          <w:i/>
        </w:rPr>
        <w:t>Data Collection Reconsideration Order</w:t>
      </w:r>
      <w:r w:rsidRPr="007A6FE3">
        <w:t>).</w:t>
      </w:r>
    </w:p>
  </w:footnote>
  <w:footnote w:id="16">
    <w:p w14:paraId="7E63AEB6" w14:textId="710E92CA" w:rsidR="00FE1B54" w:rsidRPr="007A6FE3" w:rsidRDefault="00FE1B54" w:rsidP="00E85627">
      <w:pPr>
        <w:pStyle w:val="FootnoteText"/>
      </w:pPr>
      <w:r w:rsidRPr="007A6FE3">
        <w:rPr>
          <w:rStyle w:val="FootnoteReference"/>
        </w:rPr>
        <w:footnoteRef/>
      </w:r>
      <w:r w:rsidRPr="007A6FE3">
        <w:t xml:space="preserve"> </w:t>
      </w:r>
      <w:r w:rsidRPr="007A6FE3">
        <w:rPr>
          <w:i/>
        </w:rPr>
        <w:t xml:space="preserve">See </w:t>
      </w:r>
      <w:r w:rsidRPr="007A6FE3">
        <w:t xml:space="preserve">Chairman Tom Wheeler, Speech at COMPTEL Fall Convention &amp; Expo, at 3 (Oct. 6, 2014), </w:t>
      </w:r>
      <w:hyperlink r:id="rId4" w:history="1">
        <w:r w:rsidRPr="007A6FE3">
          <w:rPr>
            <w:rStyle w:val="Hyperlink"/>
          </w:rPr>
          <w:t>http://www.fcc.gov/document/chairman-wheeler-comptel-fall-convention-expo-dallas-tx</w:t>
        </w:r>
      </w:hyperlink>
      <w:r w:rsidRPr="007A6FE3">
        <w:t xml:space="preserve"> (Chairman Wheeler COMPTEL Speech) (“After a long struggle, we have, at last, launched our collection of data that will support a comprehensive market analysis of wholesale access to last-mile services.  The deadline for submitting this data is December.  That means in 2015 we can dig deeply into critical questions. </w:t>
      </w:r>
      <w:r>
        <w:t xml:space="preserve"> </w:t>
      </w:r>
      <w:r w:rsidRPr="007A6FE3">
        <w:t xml:space="preserve">Where is competition working to encourage broadband deployment so that you can bring the power of high-speed broadband to your customers?  Is regulation needed to constrain market power and, if so, where? And where should regulation be removed to incent innovation in a competitive market?”). </w:t>
      </w:r>
    </w:p>
  </w:footnote>
  <w:footnote w:id="17">
    <w:p w14:paraId="513274C0" w14:textId="77777777" w:rsidR="00FE1B54" w:rsidRPr="007A6FE3" w:rsidRDefault="00FE1B54" w:rsidP="00BB55C1">
      <w:pPr>
        <w:pStyle w:val="FootnoteText"/>
      </w:pPr>
      <w:r w:rsidRPr="007A6FE3">
        <w:rPr>
          <w:rStyle w:val="FootnoteReference"/>
        </w:rPr>
        <w:footnoteRef/>
      </w:r>
      <w:r w:rsidRPr="007A6FE3">
        <w:t xml:space="preserve"> The Commission has identified three key technology transitions that significantly affect customers:  (1) the transition of switched voiced services from legacy TDM and Signaling System No. 7 (SS7) networks to Session Initiation Protocol (SIP)/IP networks; (2) the transition of TDM-based switched voice services to interconnected VoIP services that rely on SIP/IP networks, and relatedly the advent of Voice over LTE (VoLTE) services that will soon be widely available on LTE wireless networks, and (3) the change in the physical layer of last-mile technology, in particular from twisted pairs of copper wire to fiber optics cable, co-axial cable, and wireless technologies.  </w:t>
      </w:r>
      <w:r w:rsidRPr="007A6FE3">
        <w:rPr>
          <w:i/>
        </w:rPr>
        <w:t>See</w:t>
      </w:r>
      <w:r w:rsidRPr="007A6FE3">
        <w:t xml:space="preserve"> </w:t>
      </w:r>
      <w:r w:rsidRPr="007A6FE3">
        <w:rPr>
          <w:i/>
          <w:iCs/>
        </w:rPr>
        <w:t>Technology Transitions</w:t>
      </w:r>
      <w:r w:rsidRPr="007A6FE3">
        <w:rPr>
          <w:i/>
        </w:rPr>
        <w:t xml:space="preserve"> Order, </w:t>
      </w:r>
      <w:r w:rsidRPr="007A6FE3">
        <w:rPr>
          <w:iCs/>
        </w:rPr>
        <w:t>29 FCC Rcd at 1440, paras. 16-18.</w:t>
      </w:r>
    </w:p>
  </w:footnote>
  <w:footnote w:id="18">
    <w:p w14:paraId="17B5D4AD" w14:textId="77777777" w:rsidR="00FE1B54" w:rsidRPr="007A6FE3" w:rsidRDefault="00FE1B54" w:rsidP="00BB55C1">
      <w:pPr>
        <w:pStyle w:val="FootnoteText"/>
      </w:pPr>
      <w:r w:rsidRPr="007A6FE3">
        <w:rPr>
          <w:rStyle w:val="FootnoteReference"/>
        </w:rPr>
        <w:footnoteRef/>
      </w:r>
      <w:r w:rsidRPr="007A6FE3">
        <w:t xml:space="preserve"> </w:t>
      </w:r>
      <w:r w:rsidRPr="007A6FE3">
        <w:rPr>
          <w:i/>
        </w:rPr>
        <w:t>Id</w:t>
      </w:r>
      <w:r w:rsidRPr="007A6FE3">
        <w:t xml:space="preserve">. at 1435, para. 2.  </w:t>
      </w:r>
    </w:p>
  </w:footnote>
  <w:footnote w:id="19">
    <w:p w14:paraId="35ACAC0B" w14:textId="77777777" w:rsidR="00FE1B54" w:rsidRPr="007A6FE3" w:rsidRDefault="00FE1B54" w:rsidP="00BB55C1">
      <w:pPr>
        <w:pStyle w:val="FootnoteText"/>
      </w:pPr>
      <w:r w:rsidRPr="007A6FE3">
        <w:rPr>
          <w:rStyle w:val="FootnoteReference"/>
        </w:rPr>
        <w:footnoteRef/>
      </w:r>
      <w:r w:rsidRPr="007A6FE3">
        <w:t xml:space="preserve"> </w:t>
      </w:r>
      <w:r w:rsidRPr="007A6FE3">
        <w:rPr>
          <w:i/>
        </w:rPr>
        <w:t>Id.</w:t>
      </w:r>
      <w:r w:rsidRPr="007A6FE3">
        <w:t xml:space="preserve"> at 1436, para. 3.</w:t>
      </w:r>
    </w:p>
  </w:footnote>
  <w:footnote w:id="20">
    <w:p w14:paraId="3C50E881" w14:textId="77777777" w:rsidR="00FE1B54" w:rsidRPr="007A6FE3" w:rsidRDefault="00FE1B54" w:rsidP="00D16900">
      <w:pPr>
        <w:pStyle w:val="FootnoteText"/>
      </w:pPr>
      <w:r w:rsidRPr="007A6FE3">
        <w:rPr>
          <w:rStyle w:val="FootnoteReference"/>
        </w:rPr>
        <w:footnoteRef/>
      </w:r>
      <w:r w:rsidRPr="007A6FE3">
        <w:t xml:space="preserve"> </w:t>
      </w:r>
      <w:r w:rsidRPr="007A6FE3">
        <w:rPr>
          <w:i/>
        </w:rPr>
        <w:t>Id.</w:t>
      </w:r>
      <w:r w:rsidRPr="007A6FE3">
        <w:t xml:space="preserve"> at 1436, para. 4.</w:t>
      </w:r>
    </w:p>
  </w:footnote>
  <w:footnote w:id="21">
    <w:p w14:paraId="06F473C9" w14:textId="49CB53F4" w:rsidR="00FE1B54" w:rsidRPr="007A6FE3" w:rsidRDefault="00FE1B54" w:rsidP="00BB55C1">
      <w:pPr>
        <w:pStyle w:val="FootnoteText"/>
      </w:pPr>
      <w:r w:rsidRPr="007A6FE3">
        <w:rPr>
          <w:rStyle w:val="FootnoteReference"/>
        </w:rPr>
        <w:footnoteRef/>
      </w:r>
      <w:r w:rsidRPr="007A6FE3">
        <w:t xml:space="preserve"> </w:t>
      </w:r>
      <w:r w:rsidRPr="007A6FE3">
        <w:rPr>
          <w:i/>
        </w:rPr>
        <w:t>See Statement of Commissioner Jonathan S. Adelstein on the Digital Television Transition</w:t>
      </w:r>
      <w:r w:rsidRPr="007A6FE3">
        <w:t xml:space="preserve">, June 13, 2009, </w:t>
      </w:r>
      <w:hyperlink r:id="rId5" w:history="1">
        <w:r w:rsidRPr="009D07C3">
          <w:rPr>
            <w:rStyle w:val="Hyperlink"/>
          </w:rPr>
          <w:t>https://apps.fcc.gov/edocs_public/attachmatch/DOC-291389A1.pdf</w:t>
        </w:r>
      </w:hyperlink>
      <w:r w:rsidRPr="007A6FE3">
        <w:t>.</w:t>
      </w:r>
    </w:p>
  </w:footnote>
  <w:footnote w:id="22">
    <w:p w14:paraId="6B0A8E1B" w14:textId="2B01C53D" w:rsidR="00FE1B54" w:rsidRPr="007A6FE3" w:rsidRDefault="00FE1B54" w:rsidP="00BB55C1">
      <w:pPr>
        <w:pStyle w:val="FootnoteText"/>
      </w:pPr>
      <w:r w:rsidRPr="007A6FE3">
        <w:rPr>
          <w:rStyle w:val="FootnoteReference"/>
        </w:rPr>
        <w:footnoteRef/>
      </w:r>
      <w:r w:rsidRPr="007A6FE3">
        <w:t xml:space="preserve"> </w:t>
      </w:r>
      <w:r w:rsidRPr="007A6FE3">
        <w:rPr>
          <w:i/>
        </w:rPr>
        <w:t>See The Information Needs of Communities, The Changing Media Landscape in the Broadband Age</w:t>
      </w:r>
      <w:r w:rsidRPr="007A6FE3">
        <w:t xml:space="preserve">, Steven Waldman and the Working Group on Information Needs of Communities, FCC, at 276 (rel. June 9, 2011), </w:t>
      </w:r>
      <w:hyperlink r:id="rId6" w:history="1">
        <w:r w:rsidRPr="007A6FE3">
          <w:rPr>
            <w:rStyle w:val="Hyperlink"/>
          </w:rPr>
          <w:t>http://www.fcc.gov/info-needs-communities</w:t>
        </w:r>
      </w:hyperlink>
      <w:r w:rsidRPr="007A6FE3">
        <w:t xml:space="preserve">; </w:t>
      </w:r>
      <w:r w:rsidRPr="007A6FE3">
        <w:rPr>
          <w:i/>
        </w:rPr>
        <w:t xml:space="preserve">see also </w:t>
      </w:r>
      <w:r w:rsidRPr="007A6FE3">
        <w:t xml:space="preserve">Chairman Julius Genachowski Prepared Remarks on the Digital Television Transition, FCC Open Meeting, July 2, 2009, </w:t>
      </w:r>
      <w:hyperlink r:id="rId7" w:history="1">
        <w:r w:rsidRPr="007A6FE3">
          <w:rPr>
            <w:rStyle w:val="Hyperlink"/>
          </w:rPr>
          <w:t>http://www.fcc.gov/document/chairman-julius-genachowski-prepared-remarks-digital-television-transition-fcc-open-meeting</w:t>
        </w:r>
      </w:hyperlink>
      <w:r w:rsidRPr="007A6FE3">
        <w:t>.</w:t>
      </w:r>
    </w:p>
  </w:footnote>
  <w:footnote w:id="23">
    <w:p w14:paraId="0EFA8278" w14:textId="77777777" w:rsidR="00FE1B54" w:rsidRPr="007A6FE3" w:rsidRDefault="00FE1B54">
      <w:pPr>
        <w:pStyle w:val="FootnoteText"/>
      </w:pPr>
      <w:r w:rsidRPr="007A6FE3">
        <w:rPr>
          <w:rStyle w:val="FootnoteReference"/>
        </w:rPr>
        <w:footnoteRef/>
      </w:r>
      <w:r w:rsidRPr="007A6FE3">
        <w:t xml:space="preserve"> Local Telephone Competition Report at 3, Fig. 2.</w:t>
      </w:r>
    </w:p>
  </w:footnote>
  <w:footnote w:id="24">
    <w:p w14:paraId="3B6BF55C" w14:textId="5FE27797" w:rsidR="00FE1B54" w:rsidRPr="007A6FE3" w:rsidRDefault="00FE1B54">
      <w:pPr>
        <w:pStyle w:val="FootnoteText"/>
      </w:pPr>
      <w:r w:rsidRPr="007A6FE3">
        <w:rPr>
          <w:rStyle w:val="FootnoteReference"/>
        </w:rPr>
        <w:footnoteRef/>
      </w:r>
      <w:r w:rsidRPr="007A6FE3">
        <w:t xml:space="preserve"> </w:t>
      </w:r>
      <w:r w:rsidRPr="007A6FE3">
        <w:rPr>
          <w:i/>
        </w:rPr>
        <w:t xml:space="preserve">See </w:t>
      </w:r>
      <w:r w:rsidRPr="007A6FE3">
        <w:t xml:space="preserve">Drew Desilver, </w:t>
      </w:r>
      <w:r w:rsidRPr="007A6FE3">
        <w:rPr>
          <w:i/>
        </w:rPr>
        <w:t>CDC: Two of Every Five U.S. Households Have Only Wireless Phones</w:t>
      </w:r>
      <w:r w:rsidRPr="007A6FE3">
        <w:t xml:space="preserve"> (July 8, 2014), </w:t>
      </w:r>
      <w:hyperlink r:id="rId8" w:history="1">
        <w:r w:rsidRPr="007A6FE3">
          <w:rPr>
            <w:rStyle w:val="Hyperlink"/>
          </w:rPr>
          <w:t>http://www.pewresearch.org/fact-tank/2014/07/08/two-of-every-five-u-s-households-have-only-wireless-phones/</w:t>
        </w:r>
      </w:hyperlink>
      <w:r w:rsidRPr="007A6FE3">
        <w:t xml:space="preserve">. </w:t>
      </w:r>
    </w:p>
  </w:footnote>
  <w:footnote w:id="25">
    <w:p w14:paraId="37B09401" w14:textId="77777777" w:rsidR="00FE1B54" w:rsidRPr="007A6FE3" w:rsidRDefault="00FE1B54" w:rsidP="00BB55C1">
      <w:pPr>
        <w:pStyle w:val="FootnoteText"/>
      </w:pPr>
      <w:r w:rsidRPr="007A6FE3">
        <w:rPr>
          <w:rStyle w:val="FootnoteReference"/>
        </w:rPr>
        <w:footnoteRef/>
      </w:r>
      <w:r w:rsidRPr="007A6FE3">
        <w:t xml:space="preserve"> National Broadband Plan at 48.</w:t>
      </w:r>
    </w:p>
  </w:footnote>
  <w:footnote w:id="26">
    <w:p w14:paraId="0C2AAC14" w14:textId="77777777" w:rsidR="00FE1B54" w:rsidRPr="007A6FE3" w:rsidRDefault="00FE1B54" w:rsidP="00BB55C1">
      <w:pPr>
        <w:pStyle w:val="FootnoteText"/>
      </w:pPr>
      <w:r w:rsidRPr="007A6FE3">
        <w:rPr>
          <w:rStyle w:val="FootnoteReference"/>
        </w:rPr>
        <w:footnoteRef/>
      </w:r>
      <w:r w:rsidRPr="007A6FE3">
        <w:t xml:space="preserve"> </w:t>
      </w:r>
      <w:r w:rsidRPr="007A6FE3">
        <w:rPr>
          <w:i/>
        </w:rPr>
        <w:t>See</w:t>
      </w:r>
      <w:r w:rsidRPr="007A6FE3">
        <w:t xml:space="preserve"> Section II.C.</w:t>
      </w:r>
    </w:p>
  </w:footnote>
  <w:footnote w:id="27">
    <w:p w14:paraId="5C183A34" w14:textId="77777777" w:rsidR="00FE1B54" w:rsidRPr="007A6FE3" w:rsidRDefault="00FE1B54" w:rsidP="00E93F87">
      <w:pPr>
        <w:pStyle w:val="FootnoteText"/>
      </w:pPr>
      <w:r w:rsidRPr="007A6FE3">
        <w:rPr>
          <w:rStyle w:val="FootnoteReference"/>
        </w:rPr>
        <w:footnoteRef/>
      </w:r>
      <w:r w:rsidRPr="007A6FE3">
        <w:t xml:space="preserve"> Loops provided over Digital Loop Carrier (DLC) are an exception.  For DLC loops, backup power (if provided) is provided by the DLC remote terminal.  Remote terminals, however, are less likely to provide backup power than central offices.</w:t>
      </w:r>
    </w:p>
  </w:footnote>
  <w:footnote w:id="28">
    <w:p w14:paraId="287DCCE9" w14:textId="24652351" w:rsidR="00FE1B54" w:rsidRPr="007A6FE3" w:rsidRDefault="00FE1B54" w:rsidP="00E93F87">
      <w:pPr>
        <w:pStyle w:val="FootnoteText"/>
      </w:pPr>
      <w:r w:rsidRPr="007A6FE3">
        <w:rPr>
          <w:rStyle w:val="FootnoteReference"/>
        </w:rPr>
        <w:footnoteRef/>
      </w:r>
      <w:r w:rsidRPr="007A6FE3">
        <w:t xml:space="preserve"> </w:t>
      </w:r>
      <w:r w:rsidRPr="007A6FE3">
        <w:rPr>
          <w:i/>
        </w:rPr>
        <w:t>See</w:t>
      </w:r>
      <w:r w:rsidRPr="007A6FE3">
        <w:t xml:space="preserve"> </w:t>
      </w:r>
      <w:r w:rsidRPr="007A6FE3">
        <w:rPr>
          <w:i/>
        </w:rPr>
        <w:t>FCC Announces Final Agenda for April 17-18 Workshop on Technology Transitions and Public Safety</w:t>
      </w:r>
      <w:r w:rsidRPr="007A6FE3">
        <w:t xml:space="preserve">, GN Docket No. 13-5, Public Notice, DA 14-514 (Pub. Safety Homeland Sec. Bur. Apr. 16, 2014).  Participants in the workshop included public safety agencies and organizations, service providers, technology vendors, and other stakeholders.  A webcast of the Technology Transitions and Public Safety workshop is available at  </w:t>
      </w:r>
      <w:hyperlink r:id="rId9" w:history="1">
        <w:r w:rsidRPr="007A6FE3">
          <w:rPr>
            <w:rStyle w:val="Hyperlink"/>
          </w:rPr>
          <w:t>http://www.fcc.gov/events/technology-transitions-and-public-safety</w:t>
        </w:r>
      </w:hyperlink>
      <w:r w:rsidRPr="007A6FE3">
        <w:t xml:space="preserve">.  In particular, the workshop included a discussion on disaster preparation and responses in an IP-supported environment that discussed the need for backup power support.  </w:t>
      </w:r>
      <w:r w:rsidRPr="007A6FE3">
        <w:rPr>
          <w:i/>
        </w:rPr>
        <w:t>See id</w:t>
      </w:r>
      <w:r w:rsidRPr="007A6FE3">
        <w:t xml:space="preserve">., Session 3: </w:t>
      </w:r>
      <w:r>
        <w:t xml:space="preserve"> </w:t>
      </w:r>
      <w:r w:rsidRPr="007A6FE3">
        <w:t>“Disaster Preparedness and Response During and After the Technology Transition”.</w:t>
      </w:r>
    </w:p>
  </w:footnote>
  <w:footnote w:id="29">
    <w:p w14:paraId="7D2ACF52" w14:textId="77777777" w:rsidR="00FE1B54" w:rsidRPr="007A6FE3" w:rsidRDefault="00FE1B54" w:rsidP="00E93F87">
      <w:pPr>
        <w:pStyle w:val="FootnoteText"/>
      </w:pPr>
      <w:r w:rsidRPr="007A6FE3">
        <w:rPr>
          <w:rStyle w:val="FootnoteReference"/>
        </w:rPr>
        <w:footnoteRef/>
      </w:r>
      <w:r w:rsidRPr="007A6FE3">
        <w:t xml:space="preserve"> Local Telephone Competition Report at 17, Table 6 (stating that 30,882,000 switched access and interconnected VoIP lines are provided using coaxial cable for non-incumbent LECs); </w:t>
      </w:r>
      <w:r w:rsidRPr="007A6FE3">
        <w:rPr>
          <w:i/>
        </w:rPr>
        <w:t>id</w:t>
      </w:r>
      <w:r w:rsidRPr="007A6FE3">
        <w:t>. at 9, Fig. 7 (stating that incumbent LECs are providing 162,000 switched access lines over coaxial cable).</w:t>
      </w:r>
    </w:p>
  </w:footnote>
  <w:footnote w:id="30">
    <w:p w14:paraId="6E608455" w14:textId="64ADA561" w:rsidR="00FE1B54" w:rsidRPr="007A6FE3" w:rsidRDefault="00FE1B54">
      <w:pPr>
        <w:pStyle w:val="FootnoteText"/>
      </w:pPr>
      <w:r w:rsidRPr="007A6FE3">
        <w:rPr>
          <w:rStyle w:val="FootnoteReference"/>
        </w:rPr>
        <w:footnoteRef/>
      </w:r>
      <w:r w:rsidRPr="007A6FE3">
        <w:t xml:space="preserve"> </w:t>
      </w:r>
      <w:r w:rsidRPr="007A6FE3">
        <w:rPr>
          <w:i/>
        </w:rPr>
        <w:t>See, e.g.</w:t>
      </w:r>
      <w:r w:rsidRPr="007A6FE3">
        <w:t xml:space="preserve">, </w:t>
      </w:r>
      <w:r w:rsidRPr="007A6FE3">
        <w:rPr>
          <w:i/>
        </w:rPr>
        <w:t>Verizon Responds to the FCC: Fiber is Better, Even for POTS</w:t>
      </w:r>
      <w:r w:rsidRPr="007A6FE3">
        <w:t xml:space="preserve">, (May 28, 2014), </w:t>
      </w:r>
      <w:hyperlink r:id="rId10" w:history="1">
        <w:r w:rsidRPr="007A6FE3">
          <w:rPr>
            <w:rStyle w:val="Hyperlink"/>
          </w:rPr>
          <w:t>http://publicpolicy.verizon.com/blog/entry/verizon-responds-to-the-fcc-fiber-is-better-even-for-pots</w:t>
        </w:r>
      </w:hyperlink>
      <w:r w:rsidRPr="007A6FE3">
        <w:t>.</w:t>
      </w:r>
    </w:p>
  </w:footnote>
  <w:footnote w:id="31">
    <w:p w14:paraId="07C1A15A" w14:textId="1001A555" w:rsidR="00FE1B54" w:rsidRPr="007A6FE3" w:rsidRDefault="00FE1B54" w:rsidP="007A1689">
      <w:pPr>
        <w:pStyle w:val="FootnoteText"/>
      </w:pPr>
      <w:r w:rsidRPr="007A6FE3">
        <w:rPr>
          <w:rStyle w:val="FootnoteReference"/>
        </w:rPr>
        <w:footnoteRef/>
      </w:r>
      <w:r w:rsidRPr="007A6FE3">
        <w:t xml:space="preserve"> </w:t>
      </w:r>
      <w:r w:rsidRPr="007A6FE3">
        <w:rPr>
          <w:i/>
        </w:rPr>
        <w:t>See, e.g</w:t>
      </w:r>
      <w:r w:rsidRPr="007A6FE3">
        <w:t xml:space="preserve">., Thomas Gryta, </w:t>
      </w:r>
      <w:r w:rsidRPr="007A6FE3">
        <w:rPr>
          <w:i/>
        </w:rPr>
        <w:t>Verizon Raises FiOS Prices, Speed</w:t>
      </w:r>
      <w:r w:rsidRPr="007A6FE3">
        <w:t xml:space="preserve">, (June 18, 2012), </w:t>
      </w:r>
      <w:hyperlink r:id="rId11" w:history="1">
        <w:r w:rsidRPr="007A6FE3">
          <w:rPr>
            <w:rStyle w:val="Hyperlink"/>
          </w:rPr>
          <w:t>http://online.wsj.com/news/articles/SB10001424052702303703004577474491608119330</w:t>
        </w:r>
      </w:hyperlink>
      <w:r w:rsidRPr="007A6FE3">
        <w:t xml:space="preserve">; </w:t>
      </w:r>
      <w:r w:rsidRPr="007A6FE3">
        <w:rPr>
          <w:i/>
        </w:rPr>
        <w:t xml:space="preserve">see also </w:t>
      </w:r>
      <w:r w:rsidRPr="007A6FE3">
        <w:t xml:space="preserve">Press Release, AT&amp;T Eyes 100 U.S. Cities and Municipalities for its Ultra-Fast Fiber Network (Apr. 21, 2014), </w:t>
      </w:r>
      <w:hyperlink r:id="rId12" w:history="1">
        <w:r w:rsidRPr="007A6FE3">
          <w:rPr>
            <w:rStyle w:val="Hyperlink"/>
          </w:rPr>
          <w:t>http://about.att.com/story/att_eyes_100_u_s_cities_and_municipalities_for_its_ultra_fast_fiber_network.html</w:t>
        </w:r>
      </w:hyperlink>
      <w:r>
        <w:rPr>
          <w:rStyle w:val="Hyperlink"/>
        </w:rPr>
        <w:t xml:space="preserve"> (AT&amp;T Apr. 21, 2014 Press Release)</w:t>
      </w:r>
      <w:r w:rsidRPr="007A6FE3">
        <w:t xml:space="preserve">; Press Release, CenturyLink expands its gigabit services to 16 cities, delivering broadband speeds up to 1 gigabit per second, (Aug. 15 2014), </w:t>
      </w:r>
      <w:hyperlink r:id="rId13" w:history="1">
        <w:r w:rsidRPr="007A6FE3">
          <w:rPr>
            <w:rStyle w:val="Hyperlink"/>
          </w:rPr>
          <w:t>http://news.centurylink.com/news/centurylink-expands-its-gigabit-service-to-16-cities-delivering-broadband-speeds-up-to-1-gigabit-per-second</w:t>
        </w:r>
      </w:hyperlink>
      <w:r w:rsidRPr="007A6FE3">
        <w:t xml:space="preserve"> (stating that residential and business customers will have access to 1 gigabit speeds in 16 cities over the next 12 months).</w:t>
      </w:r>
    </w:p>
  </w:footnote>
  <w:footnote w:id="32">
    <w:p w14:paraId="2A579F89" w14:textId="77777777" w:rsidR="00FE1B54" w:rsidRPr="007A6FE3" w:rsidRDefault="00FE1B54">
      <w:pPr>
        <w:pStyle w:val="FootnoteText"/>
      </w:pPr>
      <w:r w:rsidRPr="007A6FE3">
        <w:rPr>
          <w:rStyle w:val="FootnoteReference"/>
        </w:rPr>
        <w:footnoteRef/>
      </w:r>
      <w:r w:rsidRPr="007A6FE3">
        <w:t xml:space="preserve"> </w:t>
      </w:r>
      <w:r w:rsidRPr="007A6FE3">
        <w:rPr>
          <w:i/>
        </w:rPr>
        <w:t>See, e.g.</w:t>
      </w:r>
      <w:r w:rsidRPr="007A6FE3">
        <w:t>,</w:t>
      </w:r>
      <w:r w:rsidRPr="007A6FE3">
        <w:rPr>
          <w:i/>
        </w:rPr>
        <w:t xml:space="preserve"> Technology Transitions Order</w:t>
      </w:r>
      <w:r w:rsidRPr="007A6FE3">
        <w:t>, 29 FCC Rcd at 1435, para. 2 (stating the “ongoing transitions have brought new and improved communications services to the marketplace”).</w:t>
      </w:r>
      <w:r w:rsidRPr="007A6FE3" w:rsidDel="00BA1B13">
        <w:t xml:space="preserve"> </w:t>
      </w:r>
    </w:p>
  </w:footnote>
  <w:footnote w:id="33">
    <w:p w14:paraId="7E901A31" w14:textId="77777777" w:rsidR="00FE1B54" w:rsidRPr="007A6FE3" w:rsidRDefault="00FE1B54" w:rsidP="00A2098F">
      <w:pPr>
        <w:pStyle w:val="FootnoteText"/>
        <w:tabs>
          <w:tab w:val="left" w:pos="720"/>
        </w:tabs>
      </w:pPr>
      <w:r w:rsidRPr="007A6FE3">
        <w:rPr>
          <w:rStyle w:val="FootnoteReference"/>
        </w:rPr>
        <w:footnoteRef/>
      </w:r>
      <w:r w:rsidRPr="007A6FE3">
        <w:t xml:space="preserve"> </w:t>
      </w:r>
      <w:r w:rsidRPr="007A6FE3">
        <w:rPr>
          <w:i/>
        </w:rPr>
        <w:t>National Broadband Plan</w:t>
      </w:r>
      <w:r w:rsidRPr="007A6FE3">
        <w:t xml:space="preserve"> at 48.</w:t>
      </w:r>
    </w:p>
  </w:footnote>
  <w:footnote w:id="34">
    <w:p w14:paraId="7949B851" w14:textId="77777777" w:rsidR="00FE1B54" w:rsidRPr="007A6FE3" w:rsidRDefault="00FE1B54" w:rsidP="00334A45">
      <w:pPr>
        <w:pStyle w:val="FootnoteText"/>
      </w:pPr>
      <w:r w:rsidRPr="007A6FE3">
        <w:rPr>
          <w:rStyle w:val="FootnoteReference"/>
        </w:rPr>
        <w:footnoteRef/>
      </w:r>
      <w:r w:rsidRPr="007A6FE3">
        <w:t xml:space="preserve"> </w:t>
      </w:r>
      <w:r w:rsidRPr="007A6FE3">
        <w:rPr>
          <w:i/>
        </w:rPr>
        <w:t xml:space="preserve">Review of the Section 251 Unbundling Obligations of Incumbent Local Exchange Carriers, </w:t>
      </w:r>
      <w:r w:rsidRPr="007A6FE3">
        <w:t xml:space="preserve">et al., CC Docket No. 01-338, et al., Report and Order and Order on Remand and Further Notice of Proposed Rulemaking, 18 FCC Rcd 16978, </w:t>
      </w:r>
      <w:r w:rsidRPr="007A6FE3">
        <w:rPr>
          <w:iCs/>
        </w:rPr>
        <w:t>17142, paras. 274</w:t>
      </w:r>
      <w:r w:rsidRPr="007A6FE3">
        <w:t xml:space="preserve"> (2003) (</w:t>
      </w:r>
      <w:r w:rsidRPr="007A6FE3">
        <w:rPr>
          <w:i/>
        </w:rPr>
        <w:t>Triennial Review Order</w:t>
      </w:r>
      <w:r w:rsidRPr="007A6FE3">
        <w:t xml:space="preserve">), </w:t>
      </w:r>
      <w:r w:rsidRPr="007A6FE3">
        <w:rPr>
          <w:i/>
        </w:rPr>
        <w:t>corrected by Triennial Review Order Errata</w:t>
      </w:r>
      <w:r w:rsidRPr="007A6FE3">
        <w:t xml:space="preserve">, 18 FCC Rcd 19020, </w:t>
      </w:r>
      <w:r w:rsidRPr="007A6FE3">
        <w:rPr>
          <w:i/>
        </w:rPr>
        <w:t>aff’d in part, remanded in</w:t>
      </w:r>
      <w:r w:rsidRPr="007A6FE3">
        <w:rPr>
          <w:i/>
          <w:sz w:val="28"/>
          <w:szCs w:val="28"/>
        </w:rPr>
        <w:t xml:space="preserve"> </w:t>
      </w:r>
      <w:r w:rsidRPr="007A6FE3">
        <w:rPr>
          <w:i/>
        </w:rPr>
        <w:t>part, vacated in part</w:t>
      </w:r>
      <w:r w:rsidRPr="007A6FE3">
        <w:t xml:space="preserve">, </w:t>
      </w:r>
      <w:r w:rsidRPr="007A6FE3">
        <w:rPr>
          <w:i/>
        </w:rPr>
        <w:t>United States Telecom Ass’n v. FCC</w:t>
      </w:r>
      <w:r w:rsidRPr="007A6FE3">
        <w:t>, 359 F.3d 554, 564-93 (D.C. Cir. 2004) (</w:t>
      </w:r>
      <w:r w:rsidRPr="007A6FE3">
        <w:rPr>
          <w:i/>
        </w:rPr>
        <w:t>USTA II</w:t>
      </w:r>
      <w:r w:rsidRPr="007A6FE3">
        <w:t xml:space="preserve">), </w:t>
      </w:r>
      <w:r w:rsidRPr="007A6FE3">
        <w:rPr>
          <w:i/>
        </w:rPr>
        <w:t>cert. denied</w:t>
      </w:r>
      <w:r w:rsidRPr="007A6FE3">
        <w:t xml:space="preserve">, 543 U.S. 925 (2004), </w:t>
      </w:r>
      <w:r w:rsidRPr="007A6FE3">
        <w:rPr>
          <w:i/>
        </w:rPr>
        <w:t>on remand</w:t>
      </w:r>
      <w:r w:rsidRPr="007A6FE3">
        <w:t xml:space="preserve">, </w:t>
      </w:r>
      <w:r w:rsidRPr="007A6FE3">
        <w:rPr>
          <w:i/>
        </w:rPr>
        <w:t>Unbundled Access to Network Elements</w:t>
      </w:r>
      <w:r w:rsidRPr="007A6FE3">
        <w:t xml:space="preserve">, </w:t>
      </w:r>
      <w:r w:rsidRPr="007A6FE3">
        <w:rPr>
          <w:i/>
        </w:rPr>
        <w:t>et al.</w:t>
      </w:r>
      <w:r w:rsidRPr="007A6FE3">
        <w:t>, WC Docket No. 04-313, et al., Order on Remand, 20 FCC Rcd 2533, 2541, para. 12 (2004) (</w:t>
      </w:r>
      <w:r w:rsidRPr="007A6FE3">
        <w:rPr>
          <w:i/>
        </w:rPr>
        <w:t>Triennial Review Remand Order</w:t>
      </w:r>
      <w:r w:rsidRPr="007A6FE3">
        <w:t xml:space="preserve">), </w:t>
      </w:r>
      <w:r w:rsidRPr="007A6FE3">
        <w:rPr>
          <w:i/>
        </w:rPr>
        <w:t>aff’d</w:t>
      </w:r>
      <w:r w:rsidRPr="007A6FE3">
        <w:t>,</w:t>
      </w:r>
      <w:r w:rsidRPr="007A6FE3">
        <w:rPr>
          <w:i/>
        </w:rPr>
        <w:t xml:space="preserve"> Covad Commc’ns Co. v. FCC</w:t>
      </w:r>
      <w:r w:rsidRPr="007A6FE3">
        <w:t>, 450 F.3d 528 (D.C. Cir. 2006).</w:t>
      </w:r>
    </w:p>
  </w:footnote>
  <w:footnote w:id="35">
    <w:p w14:paraId="1C30F8A2" w14:textId="77777777" w:rsidR="00FE1B54" w:rsidRPr="007A6FE3" w:rsidRDefault="00FE1B54" w:rsidP="007E7D7C">
      <w:pPr>
        <w:pStyle w:val="FootnoteText"/>
        <w:rPr>
          <w:szCs w:val="22"/>
        </w:rPr>
      </w:pPr>
      <w:r w:rsidRPr="007A6FE3">
        <w:rPr>
          <w:rStyle w:val="FootnoteReference"/>
        </w:rPr>
        <w:footnoteRef/>
      </w:r>
      <w:r w:rsidRPr="007A6FE3">
        <w:t xml:space="preserve"> 47 C.F.R. § 51.325(a) (requiring notice also be provided for network changes that “will affect the incumbent LEC’s interoperability with other service providers,” and that “will affect the manner in which customer premises equipment is attached to the interstate network”) and 51.333(a) (requiring a certificate of service stating that the incumbent LEC provided a copy of its public notice to interconnecting telephone exchange service providers at least five business days in advance of its filing with the Commission).  This item uses “network change disclosure” and “network change notification” interchangeably.</w:t>
      </w:r>
      <w:r w:rsidRPr="007A6FE3">
        <w:rPr>
          <w:szCs w:val="22"/>
        </w:rPr>
        <w:t xml:space="preserve"> </w:t>
      </w:r>
    </w:p>
  </w:footnote>
  <w:footnote w:id="36">
    <w:p w14:paraId="1DBF2669" w14:textId="77777777" w:rsidR="00FE1B54" w:rsidRPr="007A6FE3" w:rsidRDefault="00FE1B54">
      <w:pPr>
        <w:pStyle w:val="FootnoteText"/>
      </w:pPr>
      <w:r w:rsidRPr="007A6FE3">
        <w:rPr>
          <w:rStyle w:val="FootnoteReference"/>
        </w:rPr>
        <w:footnoteRef/>
      </w:r>
      <w:r w:rsidRPr="007A6FE3">
        <w:t xml:space="preserve"> </w:t>
      </w:r>
      <w:r w:rsidRPr="007A6FE3">
        <w:rPr>
          <w:i/>
        </w:rPr>
        <w:t xml:space="preserve">See </w:t>
      </w:r>
      <w:r w:rsidRPr="007A6FE3">
        <w:t xml:space="preserve">47 C.F.R § 51.333(c); </w:t>
      </w:r>
      <w:r w:rsidRPr="007A6FE3">
        <w:rPr>
          <w:i/>
        </w:rPr>
        <w:t>Triennial Review Order</w:t>
      </w:r>
      <w:r w:rsidRPr="007A6FE3">
        <w:t xml:space="preserve">, 18 FCC Rcd at 17147, para. 283 n.829 </w:t>
      </w:r>
      <w:r w:rsidRPr="007A6FE3">
        <w:rPr>
          <w:snapToGrid w:val="0"/>
        </w:rPr>
        <w:t>(“These modified network notification requirements apply only to the retirement of copper loops and copper subloops, but not to the retirement of copper feeder plant.”)</w:t>
      </w:r>
      <w:r w:rsidRPr="007A6FE3">
        <w:t xml:space="preserve">; </w:t>
      </w:r>
      <w:r w:rsidRPr="007A6FE3">
        <w:rPr>
          <w:i/>
        </w:rPr>
        <w:t>see also</w:t>
      </w:r>
      <w:r w:rsidRPr="007A6FE3">
        <w:t xml:space="preserve"> 47 C.F.R. § 51.319(a)(3)(i)(B).  </w:t>
      </w:r>
      <w:r w:rsidRPr="007A6FE3">
        <w:rPr>
          <w:szCs w:val="22"/>
        </w:rPr>
        <w:t>If the incumbent LEC does not respond to an objection, or if its response accepts the date requested by the objector, the incumbent LEC’s original public notice will be deemed amended to specify the implementation date requested by the objector, without further Commission action.  If no objection is filed, or if the incumbent LEC responds to all objections within 14 days and the Commission does not rule otherwise, a notice of copper retirement will be deemed approved on the 90th day after the public notice.</w:t>
      </w:r>
      <w:r w:rsidRPr="007A6FE3">
        <w:t xml:space="preserve">  47 C.F.R. § 51.333(b)(2), (d), (f).</w:t>
      </w:r>
    </w:p>
  </w:footnote>
  <w:footnote w:id="37">
    <w:p w14:paraId="49314F87" w14:textId="77777777" w:rsidR="00FE1B54" w:rsidRPr="007A6FE3" w:rsidRDefault="00FE1B54">
      <w:pPr>
        <w:pStyle w:val="FootnoteText"/>
      </w:pPr>
      <w:r w:rsidRPr="007A6FE3">
        <w:rPr>
          <w:rStyle w:val="FootnoteReference"/>
        </w:rPr>
        <w:footnoteRef/>
      </w:r>
      <w:r w:rsidRPr="007A6FE3">
        <w:t xml:space="preserve"> </w:t>
      </w:r>
      <w:r w:rsidRPr="007A6FE3">
        <w:rPr>
          <w:rFonts w:eastAsiaTheme="minorHAnsi"/>
          <w:szCs w:val="22"/>
        </w:rPr>
        <w:t xml:space="preserve">In the </w:t>
      </w:r>
      <w:r w:rsidRPr="007A6FE3">
        <w:rPr>
          <w:rFonts w:eastAsiaTheme="minorHAnsi"/>
          <w:i/>
          <w:szCs w:val="22"/>
        </w:rPr>
        <w:t>Triennial Review Order</w:t>
      </w:r>
      <w:r w:rsidRPr="007A6FE3">
        <w:rPr>
          <w:rFonts w:eastAsiaTheme="minorHAnsi"/>
          <w:szCs w:val="22"/>
        </w:rPr>
        <w:t>, the Commission declined to impose any “affirmative regulatory approval” prior to the retirement of copper loop facilities.</w:t>
      </w:r>
      <w:r w:rsidRPr="007A6FE3">
        <w:rPr>
          <w:rFonts w:eastAsiaTheme="minorHAnsi"/>
        </w:rPr>
        <w:t xml:space="preserve"> </w:t>
      </w:r>
      <w:r w:rsidRPr="007A6FE3">
        <w:rPr>
          <w:i/>
        </w:rPr>
        <w:t xml:space="preserve"> Triennial Review Order</w:t>
      </w:r>
      <w:r w:rsidRPr="007A6FE3">
        <w:t>, 18 FCC Rcd at 17146, para. 281.</w:t>
      </w:r>
    </w:p>
  </w:footnote>
  <w:footnote w:id="38">
    <w:p w14:paraId="03C4CF87" w14:textId="77777777" w:rsidR="00FE1B54" w:rsidRPr="007A6FE3" w:rsidRDefault="00FE1B54" w:rsidP="003403A1">
      <w:pPr>
        <w:pStyle w:val="FootnoteText"/>
      </w:pPr>
      <w:r w:rsidRPr="007A6FE3">
        <w:rPr>
          <w:rStyle w:val="FootnoteReference"/>
        </w:rPr>
        <w:footnoteRef/>
      </w:r>
      <w:r w:rsidRPr="007A6FE3">
        <w:t xml:space="preserve"> </w:t>
      </w:r>
      <w:r w:rsidRPr="007A6FE3">
        <w:rPr>
          <w:i/>
        </w:rPr>
        <w:t>Id</w:t>
      </w:r>
      <w:r w:rsidRPr="007A6FE3">
        <w:t>.</w:t>
      </w:r>
    </w:p>
  </w:footnote>
  <w:footnote w:id="39">
    <w:p w14:paraId="305A2D95" w14:textId="77777777" w:rsidR="00FE1B54" w:rsidRPr="007A6FE3" w:rsidRDefault="00FE1B54" w:rsidP="00A92CE8">
      <w:pPr>
        <w:pStyle w:val="FootnoteText"/>
      </w:pPr>
      <w:r w:rsidRPr="007A6FE3">
        <w:rPr>
          <w:rStyle w:val="FootnoteReference"/>
        </w:rPr>
        <w:footnoteRef/>
      </w:r>
      <w:r w:rsidRPr="007A6FE3">
        <w:t xml:space="preserve"> </w:t>
      </w:r>
      <w:r w:rsidRPr="007A6FE3">
        <w:rPr>
          <w:i/>
        </w:rPr>
        <w:t>See</w:t>
      </w:r>
      <w:r w:rsidRPr="007A6FE3">
        <w:t xml:space="preserve"> Renewed and Revised Motion of the National Association of State Utility Consumer Advocates for Stay and to Suspend 47 C.F.R. § 51.333, GN Docket No. 09-51, et al., Report No. NCD-2351, et al., at 3 (NASUCA Motion) (“[T]he Commission’s rules mention objections to the network change only from information service providers and telecommunications service providers, as if end-use consumers might not have objections to changes with these implications.”). </w:t>
      </w:r>
    </w:p>
  </w:footnote>
  <w:footnote w:id="40">
    <w:p w14:paraId="0E93882C" w14:textId="65E30F19" w:rsidR="00FE1B54" w:rsidRPr="007A6FE3" w:rsidRDefault="00FE1B54" w:rsidP="006A42B6">
      <w:pPr>
        <w:pStyle w:val="FootnoteText"/>
      </w:pPr>
      <w:r w:rsidRPr="007A6FE3">
        <w:rPr>
          <w:rStyle w:val="FootnoteReference"/>
        </w:rPr>
        <w:footnoteRef/>
      </w:r>
      <w:r w:rsidRPr="007A6FE3">
        <w:t xml:space="preserve"> </w:t>
      </w:r>
      <w:r w:rsidRPr="007A6FE3">
        <w:rPr>
          <w:i/>
        </w:rPr>
        <w:t>See</w:t>
      </w:r>
      <w:r w:rsidRPr="007A6FE3">
        <w:t xml:space="preserve"> Section 251 Wireline Network Change Public Notices, </w:t>
      </w:r>
      <w:hyperlink r:id="rId14" w:history="1">
        <w:r w:rsidRPr="007A6FE3">
          <w:rPr>
            <w:rStyle w:val="Hyperlink"/>
          </w:rPr>
          <w:t>http://www.fcc.gov/encyclopedia/section-251-wireline-network-changes</w:t>
        </w:r>
      </w:hyperlink>
      <w:r w:rsidRPr="007A6FE3">
        <w:t xml:space="preserve">. </w:t>
      </w:r>
    </w:p>
  </w:footnote>
  <w:footnote w:id="41">
    <w:p w14:paraId="4CDBA7B2" w14:textId="55F313DC" w:rsidR="00FE1B54" w:rsidRPr="007A6FE3" w:rsidRDefault="00FE1B54" w:rsidP="006A42B6">
      <w:pPr>
        <w:pStyle w:val="FootnoteText"/>
      </w:pPr>
      <w:r w:rsidRPr="007A6FE3">
        <w:rPr>
          <w:rStyle w:val="FootnoteReference"/>
        </w:rPr>
        <w:footnoteRef/>
      </w:r>
      <w:r w:rsidRPr="007A6FE3">
        <w:t xml:space="preserve"> </w:t>
      </w:r>
      <w:r w:rsidRPr="007A6FE3">
        <w:rPr>
          <w:i/>
        </w:rPr>
        <w:t>See, e.g</w:t>
      </w:r>
      <w:r w:rsidRPr="007A6FE3">
        <w:t xml:space="preserve">., Wireline Competition Bureau Short Term Network Change Notification Filed by GTS Southwest Incorporated d/b/a Verizon Southwest, </w:t>
      </w:r>
      <w:r w:rsidRPr="007A6FE3">
        <w:rPr>
          <w:i/>
        </w:rPr>
        <w:t>Public Notice</w:t>
      </w:r>
      <w:r w:rsidRPr="007A6FE3">
        <w:t xml:space="preserve">, Report No. NCD 1990 (Wireline Comp. Bur. Apr. 29, 2011), </w:t>
      </w:r>
      <w:hyperlink r:id="rId15" w:history="1">
        <w:r w:rsidRPr="009D07C3">
          <w:rPr>
            <w:rStyle w:val="Hyperlink"/>
          </w:rPr>
          <w:t>https://apps.fcc.gov/edocs_public/attachmatch/DOC-306258A1.pdf</w:t>
        </w:r>
      </w:hyperlink>
      <w:r w:rsidRPr="007A6FE3">
        <w:t xml:space="preserve">; Wireline Competition Bureau Short Term Network Change Notification Filed by Verizon Florida, LLC, </w:t>
      </w:r>
      <w:r w:rsidRPr="007A6FE3">
        <w:rPr>
          <w:i/>
        </w:rPr>
        <w:t>Public Notice</w:t>
      </w:r>
      <w:r w:rsidRPr="007A6FE3">
        <w:t xml:space="preserve">, Report No. NCD-2182 (Wireline Comp. Bur. July 20, 2012), </w:t>
      </w:r>
      <w:hyperlink r:id="rId16" w:history="1">
        <w:r w:rsidRPr="00DE0F9D">
          <w:rPr>
            <w:rStyle w:val="Hyperlink"/>
          </w:rPr>
          <w:t>https://apps.fcc.gov/edocs_public/attachmatch/DOC-315325A1.pdf</w:t>
        </w:r>
      </w:hyperlink>
      <w:r w:rsidRPr="007A6FE3">
        <w:t xml:space="preserve">; Wireline Competition Bureau Short Term Network Change Notification Filed by Verizon Florida, LLC, </w:t>
      </w:r>
      <w:r w:rsidRPr="007A6FE3">
        <w:rPr>
          <w:i/>
        </w:rPr>
        <w:t>Public Notice</w:t>
      </w:r>
      <w:r w:rsidRPr="007A6FE3">
        <w:t xml:space="preserve">, Report No. NCD-2207 (Wireline Comp. Bur. Aug. 31, 2012), </w:t>
      </w:r>
      <w:hyperlink r:id="rId17" w:history="1">
        <w:r w:rsidRPr="009D07C3">
          <w:rPr>
            <w:rStyle w:val="Hyperlink"/>
          </w:rPr>
          <w:t>https://apps.fcc.gov/edocs_public/attachmatch/DOC-316063A1.pdf</w:t>
        </w:r>
      </w:hyperlink>
      <w:r w:rsidRPr="007A6FE3">
        <w:t xml:space="preserve">; </w:t>
      </w:r>
      <w:r w:rsidRPr="007A6FE3">
        <w:rPr>
          <w:i/>
        </w:rPr>
        <w:t xml:space="preserve">see also </w:t>
      </w:r>
      <w:r w:rsidRPr="007A6FE3">
        <w:t xml:space="preserve">Ryan Knutson, </w:t>
      </w:r>
      <w:r w:rsidRPr="007A6FE3">
        <w:rPr>
          <w:i/>
          <w:iCs/>
        </w:rPr>
        <w:t>Verizon Wireless Gets a Boost From Home Phones – Yes, Home Phones</w:t>
      </w:r>
      <w:r w:rsidRPr="007A6FE3">
        <w:t xml:space="preserve">, (Apr. 24, 2014) (Knutson Article), </w:t>
      </w:r>
      <w:hyperlink r:id="rId18" w:history="1">
        <w:r w:rsidRPr="007A6FE3">
          <w:rPr>
            <w:rStyle w:val="Hyperlink"/>
          </w:rPr>
          <w:t>http://blogs.wsj.com/corporate-intelligence/2014/04/24/verizon-wireless-gets-a-boost-from-home-phones-yes-home-phones</w:t>
        </w:r>
      </w:hyperlink>
      <w:r w:rsidRPr="007A6FE3">
        <w:t xml:space="preserve"> (reporting on an interview with Verizon Chief Financial Officer that the company “has completely transitioned two wire centers, in Texas and Florida, and has plans to transition another six this year throughout the country”).</w:t>
      </w:r>
    </w:p>
  </w:footnote>
  <w:footnote w:id="42">
    <w:p w14:paraId="21BD3BD8" w14:textId="77777777" w:rsidR="00FE1B54" w:rsidRPr="007A6FE3" w:rsidRDefault="00FE1B54" w:rsidP="006A42B6">
      <w:pPr>
        <w:pStyle w:val="FootnoteText"/>
      </w:pPr>
      <w:r w:rsidRPr="007A6FE3">
        <w:rPr>
          <w:rStyle w:val="FootnoteReference"/>
        </w:rPr>
        <w:footnoteRef/>
      </w:r>
      <w:r w:rsidRPr="007A6FE3">
        <w:rPr>
          <w:rStyle w:val="FootnoteReference"/>
        </w:rPr>
        <w:t xml:space="preserve"> </w:t>
      </w:r>
      <w:r w:rsidRPr="007A6FE3">
        <w:rPr>
          <w:i/>
        </w:rPr>
        <w:t>See</w:t>
      </w:r>
      <w:r w:rsidRPr="007A6FE3">
        <w:t xml:space="preserve"> Knutson Article.  </w:t>
      </w:r>
    </w:p>
  </w:footnote>
  <w:footnote w:id="43">
    <w:p w14:paraId="73ADA1AF" w14:textId="3409BDCC" w:rsidR="00FE1B54" w:rsidRPr="007A6FE3" w:rsidRDefault="00FE1B54" w:rsidP="006A42B6">
      <w:pPr>
        <w:pStyle w:val="FootnoteText"/>
      </w:pPr>
      <w:r w:rsidRPr="007A6FE3">
        <w:rPr>
          <w:rStyle w:val="FootnoteReference"/>
        </w:rPr>
        <w:footnoteRef/>
      </w:r>
      <w:r w:rsidRPr="007A6FE3">
        <w:t xml:space="preserve"> </w:t>
      </w:r>
      <w:r w:rsidRPr="007A6FE3">
        <w:rPr>
          <w:i/>
        </w:rPr>
        <w:t>See, e.g.,</w:t>
      </w:r>
      <w:r w:rsidRPr="007A6FE3">
        <w:t xml:space="preserve"> Wireline Competition Bureau Short Term Network Change Notification Filed by Verizon New York, Inc., </w:t>
      </w:r>
      <w:r w:rsidRPr="007A6FE3">
        <w:rPr>
          <w:i/>
        </w:rPr>
        <w:t>Public Notice</w:t>
      </w:r>
      <w:r w:rsidRPr="007A6FE3">
        <w:t xml:space="preserve">, Report No. NCD-2353 (Wireline Comp. Bur. May 7, 2014), </w:t>
      </w:r>
      <w:hyperlink r:id="rId19" w:history="1">
        <w:r w:rsidRPr="009D07C3">
          <w:rPr>
            <w:rStyle w:val="Hyperlink"/>
          </w:rPr>
          <w:t>https://apps.fcc.gov/edocs_public/attachmatch/DOC-326960A1.pdf</w:t>
        </w:r>
      </w:hyperlink>
      <w:r w:rsidRPr="007A6FE3">
        <w:t xml:space="preserve">; Wireline Competition Bureau Short Term Network Change Notification Filed by Verizon Virginia, LLC, </w:t>
      </w:r>
      <w:r w:rsidRPr="007A6FE3">
        <w:rPr>
          <w:i/>
        </w:rPr>
        <w:t>Public Notice</w:t>
      </w:r>
      <w:r w:rsidRPr="007A6FE3">
        <w:t xml:space="preserve">, Report No. NCD-2354 (Wireline Comp. Bur. May 7, 2014), </w:t>
      </w:r>
      <w:hyperlink r:id="rId20" w:history="1">
        <w:r w:rsidRPr="009D07C3">
          <w:rPr>
            <w:rStyle w:val="Hyperlink"/>
          </w:rPr>
          <w:t>https://apps.fcc.gov/edocs_public/attachmatch/DOC-326961A1.pdf</w:t>
        </w:r>
      </w:hyperlink>
      <w:r w:rsidRPr="007A6FE3">
        <w:t>.</w:t>
      </w:r>
    </w:p>
  </w:footnote>
  <w:footnote w:id="44">
    <w:p w14:paraId="6720BD12" w14:textId="4E1BF7EB" w:rsidR="00FE1B54" w:rsidRPr="007A6FE3" w:rsidRDefault="00FE1B54" w:rsidP="006A42B6">
      <w:pPr>
        <w:pStyle w:val="FootnoteText"/>
      </w:pPr>
      <w:r w:rsidRPr="007A6FE3">
        <w:rPr>
          <w:rStyle w:val="FootnoteReference"/>
        </w:rPr>
        <w:footnoteRef/>
      </w:r>
      <w:r w:rsidRPr="007A6FE3">
        <w:t xml:space="preserve"> </w:t>
      </w:r>
      <w:r w:rsidRPr="007A6FE3">
        <w:rPr>
          <w:i/>
        </w:rPr>
        <w:t>See</w:t>
      </w:r>
      <w:r w:rsidRPr="007A6FE3">
        <w:t xml:space="preserve"> Sean Buckley, </w:t>
      </w:r>
      <w:r w:rsidRPr="007A6FE3">
        <w:rPr>
          <w:i/>
        </w:rPr>
        <w:t>AT&amp;T, CenturyLink, Frontier See Utility with Copper but Want Flexibility in Technology Transition</w:t>
      </w:r>
      <w:r w:rsidRPr="007A6FE3">
        <w:t xml:space="preserve"> (Mar. 18, 2014), </w:t>
      </w:r>
      <w:hyperlink r:id="rId21" w:history="1">
        <w:r w:rsidRPr="007A6FE3">
          <w:rPr>
            <w:rStyle w:val="Hyperlink"/>
          </w:rPr>
          <w:t>http://www.fiercetelecom.com/story/att-centurylink-frontier-see-utility-copper-want-flexibility-technology-tra/2014-03-18</w:t>
        </w:r>
      </w:hyperlink>
      <w:r w:rsidRPr="007A6FE3">
        <w:t xml:space="preserve"> (Buckley Article).</w:t>
      </w:r>
    </w:p>
  </w:footnote>
  <w:footnote w:id="45">
    <w:p w14:paraId="6E02372D" w14:textId="77777777" w:rsidR="00FE1B54" w:rsidRPr="007A6FE3" w:rsidRDefault="00FE1B54">
      <w:pPr>
        <w:pStyle w:val="FootnoteText"/>
      </w:pPr>
      <w:r w:rsidRPr="007A6FE3">
        <w:rPr>
          <w:rStyle w:val="FootnoteReference"/>
        </w:rPr>
        <w:footnoteRef/>
      </w:r>
      <w:r w:rsidRPr="007A6FE3">
        <w:t xml:space="preserve"> Reply Comments of AT&amp;T, GN Docket Nos. 13-5 and 12-353, at 42-43 (filed Apr. 10, 2014)</w:t>
      </w:r>
    </w:p>
  </w:footnote>
  <w:footnote w:id="46">
    <w:p w14:paraId="660B98CE" w14:textId="77777777" w:rsidR="00FE1B54" w:rsidRPr="007A6FE3" w:rsidRDefault="00FE1B54" w:rsidP="006A42B6">
      <w:pPr>
        <w:pStyle w:val="FootnoteText"/>
      </w:pPr>
      <w:r w:rsidRPr="007A6FE3">
        <w:rPr>
          <w:rStyle w:val="FootnoteReference"/>
        </w:rPr>
        <w:footnoteRef/>
      </w:r>
      <w:r w:rsidRPr="007A6FE3">
        <w:t xml:space="preserve"> </w:t>
      </w:r>
      <w:r w:rsidRPr="007A6FE3">
        <w:rPr>
          <w:i/>
        </w:rPr>
        <w:t>Id</w:t>
      </w:r>
      <w:r w:rsidRPr="007A6FE3">
        <w:t>.</w:t>
      </w:r>
    </w:p>
  </w:footnote>
  <w:footnote w:id="47">
    <w:p w14:paraId="65F2008F" w14:textId="77777777" w:rsidR="00FE1B54" w:rsidRPr="007A6FE3" w:rsidRDefault="00FE1B54" w:rsidP="006A42B6">
      <w:pPr>
        <w:pStyle w:val="FootnoteText"/>
      </w:pPr>
      <w:r w:rsidRPr="007A6FE3">
        <w:rPr>
          <w:rStyle w:val="FootnoteReference"/>
        </w:rPr>
        <w:footnoteRef/>
      </w:r>
      <w:r w:rsidRPr="007A6FE3">
        <w:t xml:space="preserve"> </w:t>
      </w:r>
      <w:r w:rsidRPr="007A6FE3">
        <w:rPr>
          <w:i/>
        </w:rPr>
        <w:t>See, e.g</w:t>
      </w:r>
      <w:r w:rsidRPr="007A6FE3">
        <w:t xml:space="preserve">., </w:t>
      </w:r>
      <w:r w:rsidRPr="004B5560">
        <w:t>AT&amp;T Apr. 21, 2014 Press Release.</w:t>
      </w:r>
    </w:p>
  </w:footnote>
  <w:footnote w:id="48">
    <w:p w14:paraId="100C531B" w14:textId="71CD5E00" w:rsidR="00FE1B54" w:rsidRPr="007A6FE3" w:rsidRDefault="00FE1B54" w:rsidP="00593E29">
      <w:pPr>
        <w:pStyle w:val="FootnoteText"/>
      </w:pPr>
      <w:r w:rsidRPr="007A6FE3">
        <w:rPr>
          <w:rStyle w:val="FootnoteReference"/>
        </w:rPr>
        <w:footnoteRef/>
      </w:r>
      <w:r w:rsidRPr="007A6FE3">
        <w:t xml:space="preserve"> </w:t>
      </w:r>
      <w:r w:rsidRPr="007A6FE3">
        <w:rPr>
          <w:i/>
        </w:rPr>
        <w:t>See</w:t>
      </w:r>
      <w:r w:rsidRPr="007A6FE3">
        <w:t xml:space="preserve"> Buckley Article.  CenturyLink has filed notices of network disclosure to retire copper in certain states in its territory. </w:t>
      </w:r>
      <w:r w:rsidRPr="007A6FE3">
        <w:rPr>
          <w:i/>
        </w:rPr>
        <w:t xml:space="preserve"> See</w:t>
      </w:r>
      <w:r w:rsidRPr="007A6FE3">
        <w:t xml:space="preserve"> Wireline Competition Bureau Short Term Network Change Notification Filed by CenturyLink (QWEST), Public Notice, Report No. NCD-2341 (Wireline Comp. Bur. Apr. 30, 2014) (Colorado, Idaho and Minnesota), </w:t>
      </w:r>
      <w:hyperlink r:id="rId22" w:history="1">
        <w:r w:rsidRPr="009D07C3">
          <w:rPr>
            <w:rStyle w:val="Hyperlink"/>
          </w:rPr>
          <w:t>https://apps.fcc.gov/edocs_public/attachmatch/DOC-326838A1.pdf</w:t>
        </w:r>
      </w:hyperlink>
      <w:r w:rsidRPr="007A6FE3">
        <w:t xml:space="preserve">; Wireline Competition Bureau Short Term Network Change Notification Filed by CenturyLink (QWEST), Public Notice, Report No. NCD-2342 (Wireline Comp. Bur. Apr. 30, 2014) (Arkansas, Ohio, and Texas), </w:t>
      </w:r>
      <w:hyperlink r:id="rId23" w:history="1">
        <w:r w:rsidRPr="009D07C3">
          <w:rPr>
            <w:rStyle w:val="Hyperlink"/>
          </w:rPr>
          <w:t>https://apps.fcc.gov/edocs_public/attachmatch/DOC-326839A1.pdf</w:t>
        </w:r>
      </w:hyperlink>
      <w:r w:rsidRPr="007A6FE3">
        <w:t>.</w:t>
      </w:r>
    </w:p>
  </w:footnote>
  <w:footnote w:id="49">
    <w:p w14:paraId="43DCEE87" w14:textId="77777777" w:rsidR="00FE1B54" w:rsidRPr="007A6FE3" w:rsidRDefault="00FE1B54" w:rsidP="00EE4823">
      <w:pPr>
        <w:pStyle w:val="FootnoteText"/>
      </w:pPr>
      <w:r w:rsidRPr="007A6FE3">
        <w:rPr>
          <w:rStyle w:val="FootnoteReference"/>
        </w:rPr>
        <w:footnoteRef/>
      </w:r>
      <w:r w:rsidRPr="007A6FE3">
        <w:t xml:space="preserve"> </w:t>
      </w:r>
      <w:r w:rsidRPr="007A6FE3">
        <w:rPr>
          <w:i/>
        </w:rPr>
        <w:t>See,</w:t>
      </w:r>
      <w:r w:rsidRPr="007A6FE3">
        <w:t xml:space="preserve"> </w:t>
      </w:r>
      <w:r w:rsidRPr="007A6FE3">
        <w:rPr>
          <w:i/>
        </w:rPr>
        <w:t>e.g.</w:t>
      </w:r>
      <w:r w:rsidRPr="007A6FE3">
        <w:t>, Letter from Public Knowledge, et al., to Julie A. Veach, Chief, Wireline Competition Bureau, FCC, GN Docket No. 09-51, et al., at 2-3 (filed May 12, 2014) (Public Knowledge et al. May 12, 2014 Letter); NASUCA Motion at 2-3.</w:t>
      </w:r>
    </w:p>
  </w:footnote>
  <w:footnote w:id="50">
    <w:p w14:paraId="0DB781F8" w14:textId="77777777" w:rsidR="00FE1B54" w:rsidRPr="007A6FE3" w:rsidRDefault="00FE1B54" w:rsidP="00D80D70">
      <w:pPr>
        <w:pStyle w:val="FootnoteText"/>
      </w:pPr>
      <w:r w:rsidRPr="007A6FE3">
        <w:rPr>
          <w:rStyle w:val="FootnoteReference"/>
        </w:rPr>
        <w:footnoteRef/>
      </w:r>
      <w:r w:rsidRPr="007A6FE3">
        <w:t xml:space="preserve"> </w:t>
      </w:r>
      <w:r w:rsidRPr="007A6FE3">
        <w:rPr>
          <w:i/>
        </w:rPr>
        <w:t xml:space="preserve">See </w:t>
      </w:r>
      <w:r w:rsidRPr="007A6FE3">
        <w:t>NASUCA Motion at 2-6.</w:t>
      </w:r>
    </w:p>
  </w:footnote>
  <w:footnote w:id="51">
    <w:p w14:paraId="5401C12A" w14:textId="77777777" w:rsidR="00FE1B54" w:rsidRPr="007A6FE3" w:rsidRDefault="00FE1B54" w:rsidP="00EE4823">
      <w:pPr>
        <w:pStyle w:val="FootnoteText"/>
        <w:rPr>
          <w:sz w:val="24"/>
          <w:szCs w:val="24"/>
        </w:rPr>
      </w:pPr>
      <w:r w:rsidRPr="007A6FE3">
        <w:rPr>
          <w:rStyle w:val="FootnoteReference"/>
        </w:rPr>
        <w:footnoteRef/>
      </w:r>
      <w:r w:rsidRPr="007A6FE3">
        <w:t xml:space="preserve"> Public Knowledge et al. May 12, 2014 Letter at 1.  </w:t>
      </w:r>
    </w:p>
  </w:footnote>
  <w:footnote w:id="52">
    <w:p w14:paraId="625C3954" w14:textId="77777777" w:rsidR="00FE1B54" w:rsidRPr="007A6FE3" w:rsidRDefault="00FE1B54" w:rsidP="003C3FDC">
      <w:pPr>
        <w:pStyle w:val="FootnoteText"/>
        <w:rPr>
          <w:rFonts w:ascii="TimesNewRomanPSMT" w:hAnsi="TimesNewRomanPSMT" w:cs="TimesNewRomanPSMT"/>
          <w:sz w:val="24"/>
          <w:szCs w:val="24"/>
        </w:rPr>
      </w:pPr>
      <w:r w:rsidRPr="007A6FE3">
        <w:rPr>
          <w:rStyle w:val="FootnoteReference"/>
        </w:rPr>
        <w:footnoteRef/>
      </w:r>
      <w:r w:rsidRPr="007A6FE3">
        <w:t xml:space="preserve"> </w:t>
      </w:r>
      <w:r w:rsidRPr="007A6FE3">
        <w:rPr>
          <w:i/>
        </w:rPr>
        <w:t>Id.</w:t>
      </w:r>
      <w:r w:rsidRPr="007A6FE3">
        <w:t xml:space="preserve"> at 2; </w:t>
      </w:r>
      <w:r w:rsidRPr="007A6FE3">
        <w:rPr>
          <w:i/>
        </w:rPr>
        <w:t>see also</w:t>
      </w:r>
      <w:r w:rsidRPr="007A6FE3">
        <w:t xml:space="preserve"> </w:t>
      </w:r>
      <w:r w:rsidRPr="007A6FE3">
        <w:rPr>
          <w:i/>
        </w:rPr>
        <w:t>id</w:t>
      </w:r>
      <w:r w:rsidRPr="007A6FE3">
        <w:t xml:space="preserve">., Attach. A, Emergency Motion of the Utility Reform Network (TURN) Urging the California Commission to Take Immediate Action to Protect Verizon Customers and Prevent Further Deterioration of Verizon’s Landline Network at 1 (claiming “Verizon is deliberately neglecting the repair and maintenance of its copper network with the explicit goal of migrating basic telephone service customers who experience service problems. </w:t>
      </w:r>
      <w:r>
        <w:t xml:space="preserve"> </w:t>
      </w:r>
      <w:r w:rsidRPr="007A6FE3">
        <w:t>These migrations are often without the customers’ knowledge or consent.”).</w:t>
      </w:r>
    </w:p>
  </w:footnote>
  <w:footnote w:id="53">
    <w:p w14:paraId="071039E4" w14:textId="77777777" w:rsidR="00FE1B54" w:rsidRPr="007A6FE3" w:rsidRDefault="00FE1B54" w:rsidP="00692CA9">
      <w:pPr>
        <w:pStyle w:val="FootnoteText"/>
      </w:pPr>
      <w:r w:rsidRPr="007A6FE3">
        <w:rPr>
          <w:rStyle w:val="FootnoteReference"/>
        </w:rPr>
        <w:footnoteRef/>
      </w:r>
      <w:r w:rsidRPr="007A6FE3">
        <w:t xml:space="preserve"> </w:t>
      </w:r>
      <w:r w:rsidRPr="007A6FE3">
        <w:rPr>
          <w:i/>
        </w:rPr>
        <w:t>See</w:t>
      </w:r>
      <w:r w:rsidRPr="007A6FE3">
        <w:t xml:space="preserve"> Public Knowledge et al. May 12, 2014 Letter at 5 (“Complaints in Illinois also indicated customers have been told they could not purchase standalone basic phone service, and marketing efforts from the carriers to consumers indicated they had no choice but to move onto new networks.”); </w:t>
      </w:r>
      <w:r w:rsidRPr="007A6FE3">
        <w:rPr>
          <w:i/>
        </w:rPr>
        <w:t>see also</w:t>
      </w:r>
      <w:r w:rsidRPr="007A6FE3">
        <w:t xml:space="preserve">, </w:t>
      </w:r>
      <w:r w:rsidRPr="007A6FE3">
        <w:rPr>
          <w:i/>
        </w:rPr>
        <w:t>e.g.</w:t>
      </w:r>
      <w:r w:rsidRPr="007A6FE3">
        <w:t xml:space="preserve">, NASUCA Motion at 2-3. </w:t>
      </w:r>
    </w:p>
  </w:footnote>
  <w:footnote w:id="54">
    <w:p w14:paraId="1489824C" w14:textId="77777777" w:rsidR="00FE1B54" w:rsidRPr="007A6FE3" w:rsidRDefault="00FE1B54">
      <w:pPr>
        <w:pStyle w:val="FootnoteText"/>
      </w:pPr>
      <w:r w:rsidRPr="007A6FE3">
        <w:rPr>
          <w:rStyle w:val="FootnoteReference"/>
        </w:rPr>
        <w:footnoteRef/>
      </w:r>
      <w:r w:rsidRPr="007A6FE3">
        <w:t xml:space="preserve"> </w:t>
      </w:r>
      <w:r w:rsidRPr="007A6FE3">
        <w:rPr>
          <w:i/>
        </w:rPr>
        <w:t>See, e.g.</w:t>
      </w:r>
      <w:r w:rsidRPr="007A6FE3">
        <w:t xml:space="preserve">, Letter from Maggie McCready, Vice President, Federal Regulatory Affairs, Verizon, to Julie A. Veach, Chief, Wireline Competition Bureau, FCC, GN Docket No. 13-5, at 2, 4 (filed June 2, 2014) (Verizon June 2, 2014 </w:t>
      </w:r>
      <w:r w:rsidRPr="007A6FE3">
        <w:rPr>
          <w:i/>
        </w:rPr>
        <w:t>Ex Parte</w:t>
      </w:r>
      <w:r w:rsidRPr="007A6FE3">
        <w:t xml:space="preserve"> Letter).</w:t>
      </w:r>
    </w:p>
  </w:footnote>
  <w:footnote w:id="55">
    <w:p w14:paraId="7A58665D" w14:textId="77777777" w:rsidR="00FE1B54" w:rsidRPr="007A6FE3" w:rsidRDefault="00FE1B54" w:rsidP="004F79FF">
      <w:pPr>
        <w:pStyle w:val="FootnoteText"/>
      </w:pPr>
      <w:r w:rsidRPr="007A6FE3">
        <w:rPr>
          <w:rStyle w:val="FootnoteReference"/>
        </w:rPr>
        <w:footnoteRef/>
      </w:r>
      <w:r w:rsidRPr="007A6FE3">
        <w:t xml:space="preserve"> </w:t>
      </w:r>
      <w:r w:rsidRPr="007A6FE3">
        <w:rPr>
          <w:i/>
        </w:rPr>
        <w:t>Id.</w:t>
      </w:r>
      <w:r w:rsidRPr="007A6FE3">
        <w:t xml:space="preserve"> at 2.</w:t>
      </w:r>
    </w:p>
  </w:footnote>
  <w:footnote w:id="56">
    <w:p w14:paraId="2C5BE5F0" w14:textId="77777777" w:rsidR="00FE1B54" w:rsidRPr="007A6FE3" w:rsidRDefault="00FE1B54" w:rsidP="008A7338">
      <w:pPr>
        <w:pStyle w:val="FootnoteText"/>
      </w:pPr>
      <w:r w:rsidRPr="007A6FE3">
        <w:rPr>
          <w:rStyle w:val="FootnoteReference"/>
        </w:rPr>
        <w:footnoteRef/>
      </w:r>
      <w:r w:rsidRPr="007A6FE3">
        <w:t xml:space="preserve"> </w:t>
      </w:r>
      <w:r w:rsidRPr="007A6FE3">
        <w:rPr>
          <w:i/>
        </w:rPr>
        <w:t>See,</w:t>
      </w:r>
      <w:r w:rsidRPr="007A6FE3">
        <w:t xml:space="preserve"> </w:t>
      </w:r>
      <w:r w:rsidRPr="007A6FE3">
        <w:rPr>
          <w:i/>
        </w:rPr>
        <w:t>e.g.</w:t>
      </w:r>
      <w:r w:rsidRPr="007A6FE3">
        <w:t xml:space="preserve">, NASUCA Motion at 4; </w:t>
      </w:r>
      <w:r w:rsidRPr="007A6FE3">
        <w:rPr>
          <w:i/>
        </w:rPr>
        <w:t>see also</w:t>
      </w:r>
      <w:r w:rsidRPr="007A6FE3">
        <w:t xml:space="preserve"> Public Knowledge et al. May 12, 2014 Letter at 1-2.</w:t>
      </w:r>
    </w:p>
  </w:footnote>
  <w:footnote w:id="57">
    <w:p w14:paraId="5C90EE3E" w14:textId="77777777" w:rsidR="00FE1B54" w:rsidRPr="007A6FE3" w:rsidRDefault="00FE1B54" w:rsidP="000F1F53">
      <w:pPr>
        <w:pStyle w:val="FootnoteText"/>
      </w:pPr>
      <w:r w:rsidRPr="007A6FE3">
        <w:rPr>
          <w:rStyle w:val="FootnoteReference"/>
        </w:rPr>
        <w:footnoteRef/>
      </w:r>
      <w:r w:rsidRPr="007A6FE3">
        <w:t xml:space="preserve"> </w:t>
      </w:r>
      <w:r w:rsidRPr="007A6FE3">
        <w:rPr>
          <w:i/>
        </w:rPr>
        <w:t>See,</w:t>
      </w:r>
      <w:r w:rsidRPr="007A6FE3">
        <w:t xml:space="preserve"> </w:t>
      </w:r>
      <w:r w:rsidRPr="007A6FE3">
        <w:rPr>
          <w:i/>
        </w:rPr>
        <w:t>e.g.</w:t>
      </w:r>
      <w:r w:rsidRPr="007A6FE3">
        <w:t xml:space="preserve">, </w:t>
      </w:r>
      <w:r w:rsidRPr="007A6FE3">
        <w:rPr>
          <w:i/>
        </w:rPr>
        <w:t>Technology Transitions Order</w:t>
      </w:r>
      <w:r w:rsidRPr="007A6FE3">
        <w:t>, 29 FCC Rcd at 1437, para. 9.</w:t>
      </w:r>
    </w:p>
  </w:footnote>
  <w:footnote w:id="58">
    <w:p w14:paraId="3F10BA5B" w14:textId="77777777" w:rsidR="00FE1B54" w:rsidRPr="007A6FE3" w:rsidRDefault="00FE1B54" w:rsidP="00B70C9A">
      <w:pPr>
        <w:pStyle w:val="FootnoteText"/>
      </w:pPr>
      <w:r w:rsidRPr="007A6FE3">
        <w:rPr>
          <w:rStyle w:val="FootnoteReference"/>
        </w:rPr>
        <w:footnoteRef/>
      </w:r>
      <w:r w:rsidRPr="007A6FE3">
        <w:t xml:space="preserve"> </w:t>
      </w:r>
      <w:r w:rsidRPr="007A6FE3">
        <w:rPr>
          <w:i/>
        </w:rPr>
        <w:t>See</w:t>
      </w:r>
      <w:r w:rsidRPr="007A6FE3">
        <w:t xml:space="preserve"> Petition of BridgeCom Int’l, Inc., et al. for Rulemaking and Clarification of the Policies and Rules Governing Retirement of Copper Loops by Incumbent Local Exchange Carriers, RM-11358, at 1 (filed Jan 18, 2007) (BridgeCom Petition) (“Incumbent LECs must not be permitted to deprive consumers of the benefits that this legacy copper network will continue to provide, </w:t>
      </w:r>
      <w:r w:rsidRPr="007A6FE3">
        <w:rPr>
          <w:rFonts w:eastAsiaTheme="minorHAnsi"/>
        </w:rPr>
        <w:t>simply</w:t>
      </w:r>
      <w:r w:rsidRPr="007A6FE3">
        <w:t xml:space="preserve">, as a means to raise competitive barriers in the information delivery market.”); </w:t>
      </w:r>
      <w:r w:rsidRPr="007A6FE3">
        <w:rPr>
          <w:i/>
        </w:rPr>
        <w:t>see also</w:t>
      </w:r>
      <w:r w:rsidRPr="007A6FE3">
        <w:t xml:space="preserve"> Letter from Joshua M. Bobeck, Bingham McCutchen LLP, on behalf of TelePacific Commc’ns Corp. et al., to Marlene H. Dortch, Secretary, FCC, WC Docket No. 10-188, et al., at 12 (filed Jan. 25, 2013) (TelePacific et al. Request to Refresh Record) (“Allowing an ILEC to remove copper infrastructure where it has deployed fiber would further entrench the ILEC’s already dominant position in the marketplace with an effective monopoly for serving the area where fiber is deployed.”).  </w:t>
      </w:r>
    </w:p>
  </w:footnote>
  <w:footnote w:id="59">
    <w:p w14:paraId="7FCA1C3B" w14:textId="77777777" w:rsidR="00FE1B54" w:rsidRPr="007A6FE3" w:rsidRDefault="00FE1B54" w:rsidP="003C3FDC">
      <w:pPr>
        <w:pStyle w:val="FootnoteText"/>
      </w:pPr>
      <w:r w:rsidRPr="007A6FE3">
        <w:rPr>
          <w:rStyle w:val="FootnoteReference"/>
        </w:rPr>
        <w:footnoteRef/>
      </w:r>
      <w:r w:rsidRPr="007A6FE3">
        <w:t xml:space="preserve"> </w:t>
      </w:r>
      <w:r w:rsidRPr="007A6FE3">
        <w:rPr>
          <w:i/>
        </w:rPr>
        <w:t>National Broadband Plan</w:t>
      </w:r>
      <w:r w:rsidRPr="007A6FE3">
        <w:t xml:space="preserve"> at 48.</w:t>
      </w:r>
    </w:p>
  </w:footnote>
  <w:footnote w:id="60">
    <w:p w14:paraId="07AA0836" w14:textId="77777777" w:rsidR="00FE1B54" w:rsidRPr="007A6FE3" w:rsidRDefault="00FE1B54" w:rsidP="00A26575">
      <w:pPr>
        <w:pStyle w:val="FootnoteText"/>
        <w:rPr>
          <w:rFonts w:ascii="TimesNewRoman" w:hAnsi="TimesNewRoman" w:cs="TimesNewRoman"/>
        </w:rPr>
      </w:pPr>
      <w:r w:rsidRPr="007A6FE3">
        <w:rPr>
          <w:rStyle w:val="FootnoteReference"/>
        </w:rPr>
        <w:footnoteRef/>
      </w:r>
      <w:r w:rsidRPr="007A6FE3">
        <w:t xml:space="preserve"> </w:t>
      </w:r>
      <w:r w:rsidRPr="007A6FE3">
        <w:rPr>
          <w:i/>
        </w:rPr>
        <w:t>See, e.g.</w:t>
      </w:r>
      <w:r w:rsidRPr="007A6FE3">
        <w:t xml:space="preserve">, TelePacific et al. Request to Refresh Record at 1 (“The uncertainty created by AT&amp;T and Verizon statements </w:t>
      </w:r>
      <w:r w:rsidRPr="007A6FE3">
        <w:rPr>
          <w:rFonts w:eastAsiaTheme="minorHAnsi"/>
        </w:rPr>
        <w:t>that</w:t>
      </w:r>
      <w:r w:rsidRPr="007A6FE3">
        <w:t xml:space="preserve"> they intend to ‘kill the copper’ hinders investment in technologies such as Ethernet over Copper, which many small and medium businesses rely on today for affordable, high-speed broadband access.”); </w:t>
      </w:r>
      <w:r w:rsidRPr="007A6FE3">
        <w:rPr>
          <w:i/>
        </w:rPr>
        <w:t>see also</w:t>
      </w:r>
      <w:r w:rsidRPr="007A6FE3">
        <w:t xml:space="preserve"> Petition of XO Commc’ns LLC for a Rulemaking to Amend Certain Part 51 Rules Applicable to Incumbent LEC Retirement of Copper Loops and Copper Subloops, RM-11358, at 5 (filed Jan 18, 2007) (XO et al. Petition) (“As a result of incumbent LEC gaming of the Commission's existing copper loop retirement rules, consumers and businesses also are being denied broadband alternatives that could be offered over copper loop facilities, including Ethernet over copper.”); BridgeCom et al. Petition at 4.</w:t>
      </w:r>
    </w:p>
  </w:footnote>
  <w:footnote w:id="61">
    <w:p w14:paraId="2109AE00" w14:textId="77777777" w:rsidR="00FE1B54" w:rsidRPr="007A6FE3" w:rsidRDefault="00FE1B54" w:rsidP="00B70C9A">
      <w:pPr>
        <w:pStyle w:val="FootnoteText"/>
        <w:rPr>
          <w:sz w:val="24"/>
          <w:szCs w:val="24"/>
        </w:rPr>
      </w:pPr>
      <w:r w:rsidRPr="007A6FE3">
        <w:rPr>
          <w:rStyle w:val="FootnoteReference"/>
        </w:rPr>
        <w:footnoteRef/>
      </w:r>
      <w:r w:rsidRPr="007A6FE3">
        <w:t xml:space="preserve"> </w:t>
      </w:r>
      <w:r w:rsidRPr="007A6FE3">
        <w:rPr>
          <w:i/>
        </w:rPr>
        <w:t>See</w:t>
      </w:r>
      <w:r w:rsidRPr="007A6FE3">
        <w:t xml:space="preserve"> BridgeCom et al. Petition at 10-11 (“The Commission should clarify that retirement refers to the physical removal of copper, and that any action short of that does not terminate the ILEC's obligation to provide unbundled access to loop elements over copper.”); </w:t>
      </w:r>
      <w:r w:rsidRPr="007A6FE3">
        <w:rPr>
          <w:i/>
        </w:rPr>
        <w:t>see also id</w:t>
      </w:r>
      <w:r w:rsidRPr="007A6FE3">
        <w:t xml:space="preserve">. at 11-12 (“[T]he Commission should provide that the retirement will not be permitted unless the retirement is necessitated by undue hardship that would be caused to the ILEC if retirement does not go forward, or if the retirement is caused by factors outside of the control of the ILEC such as natural events or accidents.”).  </w:t>
      </w:r>
      <w:r w:rsidRPr="007A6FE3">
        <w:rPr>
          <w:szCs w:val="22"/>
        </w:rPr>
        <w:t xml:space="preserve">COMPTEL argues that the Commission should </w:t>
      </w:r>
      <w:r w:rsidRPr="007A6FE3">
        <w:t xml:space="preserve">prohibit incumbent LECs from “removing, disabling, or failing to maintain copper” unless the Commission </w:t>
      </w:r>
      <w:r w:rsidRPr="007A6FE3">
        <w:rPr>
          <w:rFonts w:eastAsiaTheme="minorHAnsi"/>
        </w:rPr>
        <w:t>makes</w:t>
      </w:r>
      <w:r w:rsidRPr="007A6FE3">
        <w:t xml:space="preserve"> a finding that such request is in the public interest, and the public service standard should “ensure the availability of functionally equivalent comparable wholesale services at equivalent prices, terms and conditions.”</w:t>
      </w:r>
      <w:r w:rsidRPr="007A6FE3">
        <w:rPr>
          <w:i/>
        </w:rPr>
        <w:t xml:space="preserve"> </w:t>
      </w:r>
      <w:r w:rsidRPr="007A6FE3">
        <w:t xml:space="preserve">Letter from Angela Kronenberg, COMPTEL, to Marlene H. Dortch, Secretary, FCC, GN Docket No. 13-5, et al., at 10-11 (filed Apr. 2, 2014) (COMPTEL Managerial Framework </w:t>
      </w:r>
      <w:r w:rsidRPr="007A6FE3">
        <w:rPr>
          <w:i/>
        </w:rPr>
        <w:t>Ex Parte</w:t>
      </w:r>
      <w:r w:rsidRPr="007A6FE3">
        <w:t xml:space="preserve"> Letter).  </w:t>
      </w:r>
      <w:r w:rsidRPr="007A6FE3">
        <w:rPr>
          <w:rFonts w:eastAsiaTheme="minorHAnsi"/>
        </w:rPr>
        <w:t xml:space="preserve">TelePacific, CAN, Level 3, TDS Metrocom, and </w:t>
      </w:r>
      <w:r w:rsidRPr="007A6FE3">
        <w:rPr>
          <w:rFonts w:eastAsiaTheme="minorHAnsi"/>
          <w:szCs w:val="22"/>
        </w:rPr>
        <w:t xml:space="preserve">Telecommunications for the Deaf and Hard of Hearing, Inc., </w:t>
      </w:r>
      <w:r w:rsidRPr="007A6FE3">
        <w:rPr>
          <w:rFonts w:eastAsiaTheme="minorHAnsi"/>
        </w:rPr>
        <w:t xml:space="preserve">argue that AT&amp;T and Verizon have accelerated their plans to retire copper and as such, the Commission should clarify that copper retirement only allows incumbent LECs to retire copper loops for their own use and they must continue to provide access to copper loops that remain in place in the network. </w:t>
      </w:r>
      <w:r w:rsidRPr="007A6FE3">
        <w:t xml:space="preserve"> TelePacific et al. Request to Refresh Record; </w:t>
      </w:r>
      <w:r w:rsidRPr="007A6FE3">
        <w:rPr>
          <w:i/>
        </w:rPr>
        <w:t>see also Wireline Competition Bureau Seeks Comment on Request to Refresh Record and Amend the Commission’s Copper Retirement Rules</w:t>
      </w:r>
      <w:r w:rsidRPr="007A6FE3">
        <w:t>, Public Notice, GN Docket No. 12-353, RM-11358, 28 FCC Rcd 986 (Wireline Comp. Bur. Feb. 4, 2013).</w:t>
      </w:r>
    </w:p>
  </w:footnote>
  <w:footnote w:id="62">
    <w:p w14:paraId="0B64FA30" w14:textId="77777777" w:rsidR="00FE1B54" w:rsidRPr="007A6FE3" w:rsidRDefault="00FE1B54">
      <w:pPr>
        <w:pStyle w:val="FootnoteText"/>
        <w:rPr>
          <w:i/>
        </w:rPr>
      </w:pPr>
      <w:r w:rsidRPr="007A6FE3">
        <w:rPr>
          <w:rStyle w:val="FootnoteReference"/>
        </w:rPr>
        <w:footnoteRef/>
      </w:r>
      <w:r w:rsidRPr="007A6FE3">
        <w:t xml:space="preserve"> </w:t>
      </w:r>
      <w:r w:rsidRPr="007A6FE3">
        <w:rPr>
          <w:rFonts w:eastAsia="MS Mincho"/>
          <w:bCs/>
          <w:lang w:eastAsia="ja-JP"/>
        </w:rPr>
        <w:t xml:space="preserve">BridgeCom et al. and XO et al. recommend a number of suggestions that would delay copper retirements or make them more difficult to obtain, including:  (1) permitting copper loop retirements only if the incumbent LEC offers an unbundled, comparable service over the FTTH/FTTC loops or demonstrates to the Commission that retention of the copper plant would be unreasonably costly and contrary to the public interest; (2) permitting copper retirement only if necessitated by natural events, accidents, or to avoid undue hardship to the incumbent LEC; (3) requiring express Commission approval before copper may be retired; (4) permitting states to adopt copper loop requirements stronger than the Commission’s rules; (5) requiring incumbent LECs to sell copper loops that they retire; (6) requiring incumbent LECs to publish notice of a proposed copper retirement at least 12 months before implementation; and (7) extending regulations to the cooper feeder portion of the loop.  </w:t>
      </w:r>
      <w:r w:rsidRPr="007A6FE3">
        <w:rPr>
          <w:rFonts w:eastAsia="MS Mincho"/>
          <w:bCs/>
          <w:i/>
          <w:lang w:eastAsia="ja-JP"/>
        </w:rPr>
        <w:t xml:space="preserve">See </w:t>
      </w:r>
      <w:r w:rsidRPr="007A6FE3">
        <w:t xml:space="preserve">BridgeCom et al. Petition at 10-16; XO et al. Petition at 19-23.  The Commission sought comment collectively on the BridgeCom et al. and XO et al. Petitions.  </w:t>
      </w:r>
      <w:r w:rsidRPr="007A6FE3">
        <w:rPr>
          <w:i/>
        </w:rPr>
        <w:t>See</w:t>
      </w:r>
      <w:r w:rsidRPr="007A6FE3">
        <w:t xml:space="preserve"> </w:t>
      </w:r>
      <w:r w:rsidRPr="007A6FE3">
        <w:rPr>
          <w:i/>
        </w:rPr>
        <w:t>Pleading Cycle Established for Comments on Petitions for Rulemaking and Clarification Regarding the Commission’s Rules Applicable to Retirement of Copper Loop and Copper Subloops</w:t>
      </w:r>
      <w:r w:rsidRPr="007A6FE3">
        <w:t>, RM-11358, Public Notice, 22 FCC Rcd 1056 (Wireline Comp. Bur. Jan. 30, 2007).</w:t>
      </w:r>
    </w:p>
  </w:footnote>
  <w:footnote w:id="63">
    <w:p w14:paraId="3BDEC227" w14:textId="77777777" w:rsidR="00FE1B54" w:rsidRPr="007A6FE3" w:rsidRDefault="00FE1B54" w:rsidP="003C3FDC">
      <w:pPr>
        <w:pStyle w:val="FootnoteText"/>
      </w:pPr>
      <w:r w:rsidRPr="007A6FE3">
        <w:rPr>
          <w:rStyle w:val="FootnoteReference"/>
        </w:rPr>
        <w:footnoteRef/>
      </w:r>
      <w:r w:rsidRPr="007A6FE3">
        <w:t xml:space="preserve"> BridgeCom et al. Petition at 12; </w:t>
      </w:r>
      <w:r w:rsidRPr="007A6FE3">
        <w:rPr>
          <w:i/>
        </w:rPr>
        <w:t xml:space="preserve">see also </w:t>
      </w:r>
      <w:r w:rsidRPr="007A6FE3">
        <w:t>TelePacific et al. Request at 22.</w:t>
      </w:r>
    </w:p>
  </w:footnote>
  <w:footnote w:id="64">
    <w:p w14:paraId="6BCB2D47" w14:textId="77777777" w:rsidR="00FE1B54" w:rsidRPr="007A6FE3" w:rsidRDefault="00FE1B54" w:rsidP="003C3FDC">
      <w:pPr>
        <w:pStyle w:val="FootnoteText"/>
      </w:pPr>
      <w:r w:rsidRPr="007A6FE3">
        <w:rPr>
          <w:rStyle w:val="FootnoteReference"/>
        </w:rPr>
        <w:footnoteRef/>
      </w:r>
      <w:r w:rsidRPr="007A6FE3">
        <w:t xml:space="preserve"> XO et al. Petition, Exh. A at 7.</w:t>
      </w:r>
    </w:p>
  </w:footnote>
  <w:footnote w:id="65">
    <w:p w14:paraId="6C94F833" w14:textId="77777777" w:rsidR="00FE1B54" w:rsidRPr="007A6FE3" w:rsidRDefault="00FE1B54" w:rsidP="003C3FDC">
      <w:pPr>
        <w:pStyle w:val="FootnoteText"/>
      </w:pPr>
      <w:r w:rsidRPr="007A6FE3">
        <w:rPr>
          <w:rStyle w:val="FootnoteReference"/>
        </w:rPr>
        <w:footnoteRef/>
      </w:r>
      <w:r w:rsidRPr="007A6FE3">
        <w:t xml:space="preserve"> </w:t>
      </w:r>
      <w:r w:rsidRPr="007A6FE3">
        <w:rPr>
          <w:i/>
        </w:rPr>
        <w:t>See</w:t>
      </w:r>
      <w:r w:rsidRPr="007A6FE3">
        <w:t xml:space="preserve"> BridgeCom et al. Petition at 13-14; </w:t>
      </w:r>
      <w:r w:rsidRPr="007A6FE3">
        <w:rPr>
          <w:i/>
        </w:rPr>
        <w:t>see also</w:t>
      </w:r>
      <w:r w:rsidRPr="007A6FE3">
        <w:t xml:space="preserve"> TelePacific Request at 22.</w:t>
      </w:r>
    </w:p>
  </w:footnote>
  <w:footnote w:id="66">
    <w:p w14:paraId="2A029CA9" w14:textId="77777777" w:rsidR="00FE1B54" w:rsidRPr="007A6FE3" w:rsidRDefault="00FE1B54" w:rsidP="003C3FDC">
      <w:pPr>
        <w:pStyle w:val="FootnoteText"/>
      </w:pPr>
      <w:r w:rsidRPr="007A6FE3">
        <w:rPr>
          <w:rStyle w:val="FootnoteReference"/>
        </w:rPr>
        <w:footnoteRef/>
      </w:r>
      <w:r w:rsidRPr="007A6FE3">
        <w:t xml:space="preserve"> Reply Comments of AT&amp;T, WC Docket No. 10-188, at 37 (filed Nov. 4, 2010); Reply Comments of Verizon and Verizon Wireless, WC Docket No. 10-188, at 18-20 (filed Nov. 4, 2010).</w:t>
      </w:r>
    </w:p>
  </w:footnote>
  <w:footnote w:id="67">
    <w:p w14:paraId="4140DB08" w14:textId="77777777" w:rsidR="00FE1B54" w:rsidRPr="007A6FE3" w:rsidRDefault="00FE1B54" w:rsidP="003C3FDC">
      <w:pPr>
        <w:pStyle w:val="FootnoteText"/>
      </w:pPr>
      <w:r w:rsidRPr="007A6FE3">
        <w:rPr>
          <w:rStyle w:val="FootnoteReference"/>
        </w:rPr>
        <w:footnoteRef/>
      </w:r>
      <w:r w:rsidRPr="007A6FE3">
        <w:t xml:space="preserve"> </w:t>
      </w:r>
      <w:r w:rsidRPr="007A6FE3">
        <w:rPr>
          <w:i/>
        </w:rPr>
        <w:t xml:space="preserve">See </w:t>
      </w:r>
      <w:r w:rsidRPr="007A6FE3">
        <w:t xml:space="preserve">Reply Comments of AT&amp;T, WC Docket No. 10-188, at 37 (filed Nov. 4, 2010); </w:t>
      </w:r>
      <w:r w:rsidRPr="007A6FE3">
        <w:rPr>
          <w:i/>
        </w:rPr>
        <w:t>see also</w:t>
      </w:r>
      <w:r w:rsidRPr="007A6FE3">
        <w:t xml:space="preserve"> Comments of CenturyLink, GN Docket No. 12-353 and RM-11358, at 5 (filed Mar. 5, 2013) (stating that “</w:t>
      </w:r>
      <w:r w:rsidRPr="007A6FE3">
        <w:rPr>
          <w:rFonts w:eastAsiaTheme="minorHAnsi"/>
        </w:rPr>
        <w:t>by constraining the incumbent LECs’ ability to retire duplicative network plant when they deploy next generation facilities, the Request would thwart these pro-investment policies at the heart of the Commission’s unbundling policies for next-generation networks”); Comments of FTTH Council</w:t>
      </w:r>
      <w:r w:rsidRPr="007A6FE3">
        <w:t xml:space="preserve">, GN Docket No. 12-353 and RM-11358, </w:t>
      </w:r>
      <w:r w:rsidRPr="007A6FE3">
        <w:rPr>
          <w:rFonts w:eastAsiaTheme="minorHAnsi"/>
        </w:rPr>
        <w:t xml:space="preserve">at 10 (filed </w:t>
      </w:r>
      <w:r w:rsidRPr="007A6FE3">
        <w:t>Mar. 5, 2013</w:t>
      </w:r>
      <w:r>
        <w:rPr>
          <w:rFonts w:eastAsiaTheme="minorHAnsi"/>
        </w:rPr>
        <w:t>) (claiming that</w:t>
      </w:r>
      <w:r w:rsidRPr="007A6FE3">
        <w:rPr>
          <w:rFonts w:eastAsiaTheme="minorHAnsi"/>
        </w:rPr>
        <w:t xml:space="preserve"> “the Commission would turn back the clock if it were to adopt the proposals of the competitive providers and set back the objective to re-wire our country</w:t>
      </w:r>
      <w:r w:rsidRPr="007A6FE3">
        <w:t>”); Reply Comments of AT&amp;T, GN Docket No. 12-353 and RM-11358, at 14 (filed Mar. 20, 2013) (arguing that the record is devoid of evidence of an actual harm to consumers absent copper retirement restrictions, much less a level of harm that would justify the intrusive and burdensome regulations sought by petitioners).</w:t>
      </w:r>
    </w:p>
  </w:footnote>
  <w:footnote w:id="68">
    <w:p w14:paraId="701FA15D" w14:textId="77777777" w:rsidR="00FE1B54" w:rsidRPr="007A6FE3" w:rsidRDefault="00FE1B54" w:rsidP="001E7516">
      <w:pPr>
        <w:pStyle w:val="FootnoteText"/>
      </w:pPr>
      <w:r w:rsidRPr="007A6FE3">
        <w:rPr>
          <w:rStyle w:val="FootnoteReference"/>
        </w:rPr>
        <w:footnoteRef/>
      </w:r>
      <w:r w:rsidRPr="007A6FE3">
        <w:t xml:space="preserve"> </w:t>
      </w:r>
      <w:r w:rsidRPr="007A6FE3">
        <w:rPr>
          <w:i/>
        </w:rPr>
        <w:t>See, e.g</w:t>
      </w:r>
      <w:r w:rsidRPr="007A6FE3">
        <w:t>., Letter from Maggie McCready, Vice President, Federal Regulatory Affairs, Verizon, to Marlene H. Dortch, Secretary, Federal Communications, Commission, GN Docket No. 13-5, et al., at 1-2 (filed May 27, 2014).</w:t>
      </w:r>
    </w:p>
  </w:footnote>
  <w:footnote w:id="69">
    <w:p w14:paraId="087E565D" w14:textId="77777777" w:rsidR="00FE1B54" w:rsidRPr="007A6FE3" w:rsidRDefault="00FE1B54" w:rsidP="005B7296">
      <w:pPr>
        <w:pStyle w:val="FootnoteText"/>
      </w:pPr>
      <w:r w:rsidRPr="007A6FE3">
        <w:rPr>
          <w:rStyle w:val="FootnoteReference"/>
        </w:rPr>
        <w:footnoteRef/>
      </w:r>
      <w:r w:rsidRPr="007A6FE3">
        <w:t xml:space="preserve"> TelePacific et al. Request to Refresh Record at 5; </w:t>
      </w:r>
      <w:r w:rsidRPr="007A6FE3">
        <w:rPr>
          <w:i/>
        </w:rPr>
        <w:t>see also</w:t>
      </w:r>
      <w:r w:rsidRPr="007A6FE3">
        <w:t xml:space="preserve"> Comments of Overture Networks, Docket No. RM-11358, at 5 (filed Mar. 5, 2013).</w:t>
      </w:r>
    </w:p>
  </w:footnote>
  <w:footnote w:id="70">
    <w:p w14:paraId="71C3DEB6" w14:textId="77777777" w:rsidR="00FE1B54" w:rsidRPr="007A6FE3" w:rsidRDefault="00FE1B54" w:rsidP="005B7296">
      <w:pPr>
        <w:pStyle w:val="FootnoteText"/>
      </w:pPr>
      <w:r w:rsidRPr="007A6FE3">
        <w:rPr>
          <w:rStyle w:val="FootnoteReference"/>
        </w:rPr>
        <w:footnoteRef/>
      </w:r>
      <w:r w:rsidRPr="007A6FE3">
        <w:t xml:space="preserve"> </w:t>
      </w:r>
      <w:r w:rsidRPr="007A6FE3">
        <w:rPr>
          <w:i/>
        </w:rPr>
        <w:t>See id.</w:t>
      </w:r>
    </w:p>
  </w:footnote>
  <w:footnote w:id="71">
    <w:p w14:paraId="0243DD6A" w14:textId="708A5E82" w:rsidR="00FE1B54" w:rsidRPr="007A6FE3" w:rsidRDefault="00FE1B54" w:rsidP="005B7296">
      <w:pPr>
        <w:pStyle w:val="FootnoteText"/>
      </w:pPr>
      <w:r w:rsidRPr="007A6FE3">
        <w:rPr>
          <w:rStyle w:val="FootnoteReference"/>
        </w:rPr>
        <w:footnoteRef/>
      </w:r>
      <w:r w:rsidRPr="007A6FE3">
        <w:t xml:space="preserve"> </w:t>
      </w:r>
      <w:r w:rsidRPr="007A6FE3">
        <w:rPr>
          <w:i/>
        </w:rPr>
        <w:t>See</w:t>
      </w:r>
      <w:r w:rsidRPr="007A6FE3">
        <w:t xml:space="preserve"> Steven J. Vaughan</w:t>
      </w:r>
      <w:r>
        <w:t>-Nicholas</w:t>
      </w:r>
      <w:r w:rsidRPr="007A6FE3">
        <w:t xml:space="preserve">, G.fast: 1 Gigabit per second DSL, ZDNet, July 14, 2014, </w:t>
      </w:r>
      <w:hyperlink r:id="rId24" w:history="1">
        <w:r w:rsidRPr="007A6FE3">
          <w:rPr>
            <w:rStyle w:val="Hyperlink"/>
          </w:rPr>
          <w:t>http://www.zdnet.com/g-fast-1-gigabit-per-second-dsl-7000031575/</w:t>
        </w:r>
      </w:hyperlink>
      <w:r w:rsidRPr="007A6FE3">
        <w:t xml:space="preserve"> (explaining ITU-sponsored development of G.fast that “drastically increases speed over copper by using wider frequency profiles than earlier versions of DSL. </w:t>
      </w:r>
      <w:r>
        <w:t xml:space="preserve"> </w:t>
      </w:r>
      <w:r w:rsidRPr="007A6FE3">
        <w:t xml:space="preserve">While VDSL2 uses 17 or 30MHz, G.fast will work on 106MHz and eventually at 212MHz.”); </w:t>
      </w:r>
      <w:r w:rsidRPr="007A6FE3">
        <w:rPr>
          <w:i/>
        </w:rPr>
        <w:t>see also</w:t>
      </w:r>
      <w:r w:rsidRPr="007A6FE3">
        <w:t xml:space="preserve"> Press Release, Alcatel-Lucent, Alcatel-Lucent sets new world broadband speed of 10 Gbps transmission of data over traditional copper telephone lines, Press Release, July 9, 2014, </w:t>
      </w:r>
      <w:hyperlink r:id="rId25" w:history="1">
        <w:r w:rsidRPr="007A6FE3">
          <w:rPr>
            <w:rStyle w:val="Hyperlink"/>
          </w:rPr>
          <w:t>http://www.alcatel-lucent.com/press/2014/alcatel-lucent-sets-new-world-record-broadband-speed-10-gbps-transmission-data-over-traditional</w:t>
        </w:r>
      </w:hyperlink>
      <w:r w:rsidRPr="007A6FE3">
        <w:t xml:space="preserve"> (announcing XG.FAST, an extension of G.fast, that uses an increased frequency range up to 500 MHz to achieve higher speeds, 10 Gbps, but over shorter distances).</w:t>
      </w:r>
    </w:p>
  </w:footnote>
  <w:footnote w:id="72">
    <w:p w14:paraId="0091D133" w14:textId="77777777" w:rsidR="00FE1B54" w:rsidRPr="007A6FE3" w:rsidRDefault="00FE1B54" w:rsidP="005B7296">
      <w:pPr>
        <w:pStyle w:val="FootnoteText"/>
      </w:pPr>
      <w:r w:rsidRPr="007A6FE3">
        <w:rPr>
          <w:rStyle w:val="FootnoteReference"/>
        </w:rPr>
        <w:footnoteRef/>
      </w:r>
      <w:r w:rsidRPr="007A6FE3">
        <w:t xml:space="preserve"> </w:t>
      </w:r>
      <w:r w:rsidRPr="007A6FE3">
        <w:rPr>
          <w:i/>
        </w:rPr>
        <w:t>National Broadband Plan</w:t>
      </w:r>
      <w:r w:rsidRPr="007A6FE3">
        <w:t xml:space="preserve"> at 48.  According to TelePacific, a large California competitive LEC, the average price for 10 Mbps EoC is $550, compared to $350 for DS1 (1.54 Mbps) or $3,000 for DS3 (45 Mbps).  </w:t>
      </w:r>
      <w:r w:rsidRPr="007A6FE3">
        <w:rPr>
          <w:i/>
        </w:rPr>
        <w:t>See</w:t>
      </w:r>
      <w:r w:rsidRPr="007A6FE3">
        <w:t xml:space="preserve"> Letter from Tamara E. Finn, Counsel to U.S. TelePacific, Corp. d/b/a TelePacific Communications, to Marlene H. Dortch, Secretary, FCC, WC Docket No. 10-188, et al., Attachs. 6-7 (filed Feb. 15, 2013).  TelePacific also conducted a survey of nine competitive LECs in California and stated that they can reach two-thirds of the 371,887 small businesses in California to offer alternative broadband service.  </w:t>
      </w:r>
      <w:r w:rsidRPr="007A6FE3">
        <w:rPr>
          <w:i/>
        </w:rPr>
        <w:t>See id</w:t>
      </w:r>
      <w:r w:rsidRPr="007A6FE3">
        <w:t>.</w:t>
      </w:r>
    </w:p>
  </w:footnote>
  <w:footnote w:id="73">
    <w:p w14:paraId="75135304" w14:textId="77777777" w:rsidR="00FE1B54" w:rsidRPr="007A6FE3" w:rsidRDefault="00FE1B54" w:rsidP="005B7296">
      <w:pPr>
        <w:pStyle w:val="FootnoteText"/>
      </w:pPr>
      <w:r w:rsidRPr="007A6FE3">
        <w:rPr>
          <w:rStyle w:val="FootnoteReference"/>
        </w:rPr>
        <w:footnoteRef/>
      </w:r>
      <w:r w:rsidRPr="007A6FE3">
        <w:t xml:space="preserve"> </w:t>
      </w:r>
      <w:r w:rsidRPr="007A6FE3">
        <w:rPr>
          <w:i/>
        </w:rPr>
        <w:t>See Technology Transitions Order</w:t>
      </w:r>
      <w:r w:rsidRPr="007A6FE3">
        <w:t xml:space="preserve">, </w:t>
      </w:r>
      <w:r>
        <w:t xml:space="preserve">29 FCC Rcd at 1448, para. 44.  </w:t>
      </w:r>
    </w:p>
  </w:footnote>
  <w:footnote w:id="74">
    <w:p w14:paraId="0164A7DA" w14:textId="77777777" w:rsidR="00FE1B54" w:rsidRPr="007A6FE3" w:rsidRDefault="00FE1B54" w:rsidP="005B7296">
      <w:pPr>
        <w:pStyle w:val="FootnoteText"/>
      </w:pPr>
      <w:r w:rsidRPr="007A6FE3">
        <w:rPr>
          <w:rStyle w:val="FootnoteReference"/>
        </w:rPr>
        <w:footnoteRef/>
      </w:r>
      <w:r w:rsidRPr="007A6FE3">
        <w:t xml:space="preserve"> </w:t>
      </w:r>
      <w:r w:rsidRPr="007A6FE3">
        <w:rPr>
          <w:i/>
        </w:rPr>
        <w:t>See</w:t>
      </w:r>
      <w:r w:rsidRPr="007A6FE3">
        <w:t xml:space="preserve"> BridgeCom et al. Petition at 1 (“The legacy copper network is a valuable asset, which has been installed and maintained at ratepayer expense.”); </w:t>
      </w:r>
      <w:r w:rsidRPr="007A6FE3">
        <w:rPr>
          <w:i/>
        </w:rPr>
        <w:t>see also id</w:t>
      </w:r>
      <w:r w:rsidRPr="007A6FE3">
        <w:t>. at 4 n.8 (“In fact, given the depreciation rates that many BOCs have applied to copper facilities since the mid-1980s, it is likely that consumers have paid much more than the original investment in copper plant.”).</w:t>
      </w:r>
    </w:p>
  </w:footnote>
  <w:footnote w:id="75">
    <w:p w14:paraId="0D88101E" w14:textId="77777777" w:rsidR="00FE1B54" w:rsidRPr="007A6FE3" w:rsidRDefault="00FE1B54" w:rsidP="004E33A2">
      <w:pPr>
        <w:pStyle w:val="FootnoteText"/>
      </w:pPr>
      <w:r w:rsidRPr="007A6FE3">
        <w:rPr>
          <w:rStyle w:val="FootnoteReference"/>
        </w:rPr>
        <w:footnoteRef/>
      </w:r>
      <w:r w:rsidRPr="007A6FE3">
        <w:t xml:space="preserve"> </w:t>
      </w:r>
      <w:r w:rsidRPr="007A6FE3">
        <w:rPr>
          <w:i/>
        </w:rPr>
        <w:t>See</w:t>
      </w:r>
      <w:r w:rsidRPr="007A6FE3">
        <w:t xml:space="preserve"> 47 U.S.C. § 214(a); </w:t>
      </w:r>
      <w:r w:rsidRPr="007A6FE3">
        <w:rPr>
          <w:i/>
        </w:rPr>
        <w:t>see also</w:t>
      </w:r>
      <w:r w:rsidRPr="007A6FE3">
        <w:t xml:space="preserve"> 47 C.F.R. § 63.61 (“Any carrier subject to the provisions of section 214 of the Communications Act of 1934, as amended, proposing to discontinue, reduce or impair interstate or foreign telephone or telegraph service to a community, or a part of a community, shall request authority therefor by formal application or informal request as specified in the pertinent sections of this part . . . .”); </w:t>
      </w:r>
      <w:r w:rsidRPr="007A6FE3">
        <w:rPr>
          <w:i/>
        </w:rPr>
        <w:t>IP Enabled Services</w:t>
      </w:r>
      <w:r w:rsidRPr="007A6FE3">
        <w:t>, WC Docket No. 04-36, Report and Order,</w:t>
      </w:r>
      <w:r w:rsidRPr="007A6FE3">
        <w:rPr>
          <w:i/>
        </w:rPr>
        <w:t xml:space="preserve"> </w:t>
      </w:r>
      <w:r w:rsidRPr="007A6FE3">
        <w:t>24 FCC Rcd 6039, 6045-46, para. 11 (2009) (</w:t>
      </w:r>
      <w:r w:rsidRPr="007A6FE3">
        <w:rPr>
          <w:i/>
        </w:rPr>
        <w:t>VoIP Discontinuance Order</w:t>
      </w:r>
      <w:r w:rsidRPr="007A6FE3">
        <w:t>) (deciding to “extend[] the Commission’s domestic discontinuance requirements to interconnected VoIP providers” in order to “safeguard[] the public interest in continuity of such services”).</w:t>
      </w:r>
    </w:p>
  </w:footnote>
  <w:footnote w:id="76">
    <w:p w14:paraId="37DF1209" w14:textId="77777777" w:rsidR="00FE1B54" w:rsidRPr="007A6FE3" w:rsidRDefault="00FE1B54" w:rsidP="004E33A2">
      <w:pPr>
        <w:pStyle w:val="FootnoteText"/>
      </w:pPr>
      <w:r w:rsidRPr="007A6FE3">
        <w:rPr>
          <w:rStyle w:val="FootnoteReference"/>
        </w:rPr>
        <w:footnoteRef/>
      </w:r>
      <w:r w:rsidRPr="007A6FE3">
        <w:t xml:space="preserve"> The Commission relieved CMRS providers of this obligation in 1994.  </w:t>
      </w:r>
      <w:r w:rsidRPr="007A6FE3">
        <w:rPr>
          <w:i/>
        </w:rPr>
        <w:t>Implementation of Sections 3(n) and 332 of the Communications Act, Regulatory Treatment of Mobile Services</w:t>
      </w:r>
      <w:r w:rsidRPr="007A6FE3">
        <w:t xml:space="preserve">, GN Docket No. 93-252, Second Report and Order, 9 FCC Rcd 1411, 1481, para. 182 (1994); </w:t>
      </w:r>
      <w:r w:rsidRPr="007A6FE3">
        <w:rPr>
          <w:i/>
        </w:rPr>
        <w:t>see also</w:t>
      </w:r>
      <w:r w:rsidRPr="007A6FE3">
        <w:t xml:space="preserve"> 47 C.F.R. §§ 20.15(b)(3), 63.19(c) (exempting CMRS providers from section 214 discontinuance requirements).</w:t>
      </w:r>
    </w:p>
  </w:footnote>
  <w:footnote w:id="77">
    <w:p w14:paraId="03C3BF06" w14:textId="77777777" w:rsidR="00FE1B54" w:rsidRPr="007A6FE3" w:rsidRDefault="00FE1B54" w:rsidP="004E33A2">
      <w:pPr>
        <w:pStyle w:val="FootnoteText"/>
      </w:pPr>
      <w:r w:rsidRPr="007A6FE3">
        <w:rPr>
          <w:rStyle w:val="FootnoteReference"/>
        </w:rPr>
        <w:footnoteRef/>
      </w:r>
      <w:r w:rsidRPr="007A6FE3">
        <w:rPr>
          <w:i/>
        </w:rPr>
        <w:t xml:space="preserve"> VoIP Discontinuance Order</w:t>
      </w:r>
      <w:r w:rsidRPr="007A6FE3">
        <w:t>, 24 FCC Rcd at 6045-46, para. 11 (extending “the Commission’s domestic discontinuance requirements to interconnected VoIP providers” in order to “safeguard[] the public interest in continuity of such services” without classifying interconnected VoIP services as either telecommunications services or information services).</w:t>
      </w:r>
    </w:p>
  </w:footnote>
  <w:footnote w:id="78">
    <w:p w14:paraId="0783F996" w14:textId="77777777" w:rsidR="00FE1B54" w:rsidRPr="007A6FE3" w:rsidRDefault="00FE1B54">
      <w:pPr>
        <w:pStyle w:val="FootnoteText"/>
      </w:pPr>
      <w:r w:rsidRPr="007A6FE3">
        <w:rPr>
          <w:rStyle w:val="FootnoteReference"/>
        </w:rPr>
        <w:footnoteRef/>
      </w:r>
      <w:r w:rsidRPr="007A6FE3">
        <w:t xml:space="preserve"> 47 U.S.C. § 214(a). </w:t>
      </w:r>
    </w:p>
  </w:footnote>
  <w:footnote w:id="79">
    <w:p w14:paraId="6D0AB001" w14:textId="77777777" w:rsidR="00FE1B54" w:rsidRPr="007A6FE3" w:rsidRDefault="00FE1B54" w:rsidP="004E33A2">
      <w:pPr>
        <w:pStyle w:val="FootnoteText"/>
      </w:pPr>
      <w:r w:rsidRPr="007A6FE3">
        <w:rPr>
          <w:rStyle w:val="FootnoteReference"/>
        </w:rPr>
        <w:footnoteRef/>
      </w:r>
      <w:r w:rsidRPr="007A6FE3">
        <w:t xml:space="preserve"> </w:t>
      </w:r>
      <w:r w:rsidRPr="007A6FE3">
        <w:rPr>
          <w:i/>
        </w:rPr>
        <w:t>See Petition of USTelecom for Forbearance Under 47 U.S.C. § 160(c) from Enforcement of Certain Legacy Telecommunications Regulations</w:t>
      </w:r>
      <w:r w:rsidRPr="007A6FE3">
        <w:t>, WC Docket No. 12-61, et al., Memorandum Opinion and Order and Report and Order and Further Notice of Proposed Rulemaking and Second Further Notice of Proposed Rulemaking</w:t>
      </w:r>
      <w:r w:rsidRPr="007A6FE3">
        <w:rPr>
          <w:i/>
        </w:rPr>
        <w:t>,</w:t>
      </w:r>
      <w:r w:rsidRPr="007A6FE3">
        <w:t xml:space="preserve"> 28 FCC Rcd 7626, 7685, para. 131 (2013).</w:t>
      </w:r>
    </w:p>
  </w:footnote>
  <w:footnote w:id="80">
    <w:p w14:paraId="4E0EFF43" w14:textId="77777777" w:rsidR="00FE1B54" w:rsidRPr="007A6FE3" w:rsidRDefault="00FE1B54" w:rsidP="004E33A2">
      <w:pPr>
        <w:pStyle w:val="FootnoteText"/>
      </w:pPr>
      <w:r w:rsidRPr="007A6FE3">
        <w:rPr>
          <w:rStyle w:val="FootnoteReference"/>
        </w:rPr>
        <w:footnoteRef/>
      </w:r>
      <w:r w:rsidRPr="007A6FE3">
        <w:t xml:space="preserve"> </w:t>
      </w:r>
      <w:r w:rsidRPr="007A6FE3">
        <w:rPr>
          <w:i/>
        </w:rPr>
        <w:t>See</w:t>
      </w:r>
      <w:r w:rsidRPr="007A6FE3">
        <w:t xml:space="preserve"> 47 U.S.C. § 201.  The Commission normally will authorize proposed discontinuances of service unless it is shown that customers or other end users would be unable to receive service or a reasonable substitute from another carrier, or that the public convenience and necessity would be otherwise adversely affected.  Where there is question as to whether a service has reasonable substitutes or whether the present or future public convenience and necessity will be adversely affected, the Commission will scrutinize the discontinuance application, consistent with its statutory obligations.  </w:t>
      </w:r>
      <w:r w:rsidRPr="007A6FE3">
        <w:rPr>
          <w:i/>
          <w:iCs/>
        </w:rPr>
        <w:t>See</w:t>
      </w:r>
      <w:r w:rsidRPr="007A6FE3">
        <w:t xml:space="preserve"> 47 U.S.C. § 214(a); 47 C.F.R. § 63.71; </w:t>
      </w:r>
      <w:r w:rsidRPr="007A6FE3">
        <w:rPr>
          <w:i/>
          <w:iCs/>
        </w:rPr>
        <w:t>see also Policy and Rules Concerning Rates for Competitive Common Carrier Services and Facilities Authorizations Therefor</w:t>
      </w:r>
      <w:r w:rsidRPr="007A6FE3">
        <w:t>, CC Docket No. 79-252, First Report and Order, 85 FCC 2d 1, 49 (1980) (</w:t>
      </w:r>
      <w:r w:rsidRPr="007A6FE3">
        <w:rPr>
          <w:i/>
        </w:rPr>
        <w:t>Competitive Carrier First Report and Order</w:t>
      </w:r>
      <w:r w:rsidRPr="007A6FE3">
        <w:t xml:space="preserve">) (“[W]e have retained the right to delay grant of a discontinuance authorization if we believe an unreasonable degree of customer hardship would result.”); </w:t>
      </w:r>
      <w:r w:rsidRPr="007A6FE3">
        <w:rPr>
          <w:i/>
          <w:iCs/>
        </w:rPr>
        <w:t>Federal Communications Commission v. RCA Commc’ns, Inc.</w:t>
      </w:r>
      <w:r w:rsidRPr="007A6FE3">
        <w:t>, 346 U.S. 86, 90 (1953) (</w:t>
      </w:r>
      <w:r w:rsidRPr="007A6FE3">
        <w:rPr>
          <w:i/>
        </w:rPr>
        <w:t>FCC v. RCA</w:t>
      </w:r>
      <w:r w:rsidRPr="007A6FE3">
        <w:t xml:space="preserve">); </w:t>
      </w:r>
      <w:r w:rsidRPr="007A6FE3">
        <w:rPr>
          <w:i/>
          <w:iCs/>
        </w:rPr>
        <w:t>AT&amp;T Application to Discontinue Interstate Sent-Paid Coin Service Not Automatically Granted</w:t>
      </w:r>
      <w:r w:rsidRPr="007A6FE3">
        <w:t>, NSD File No. W-P-D-497, Public Notice, 16 FCC Rcd 14935 (Common Carrier Bur. Aug. 3, 2001).</w:t>
      </w:r>
    </w:p>
  </w:footnote>
  <w:footnote w:id="81">
    <w:p w14:paraId="30639292" w14:textId="77777777" w:rsidR="00FE1B54" w:rsidRPr="007A6FE3" w:rsidRDefault="00FE1B54" w:rsidP="009F1668">
      <w:pPr>
        <w:pStyle w:val="FootnoteText"/>
      </w:pPr>
      <w:r w:rsidRPr="007A6FE3">
        <w:rPr>
          <w:rStyle w:val="FootnoteReference"/>
        </w:rPr>
        <w:footnoteRef/>
      </w:r>
      <w:r w:rsidRPr="007A6FE3">
        <w:t xml:space="preserve"> 47 U.S.C. § 214(c) (stating that the Commission may grant or deny a section 214 discontinuance application in whole or in part, and may attach “such terms and conditions as in its judgment the public convenience and necessity may require”); </w:t>
      </w:r>
      <w:r w:rsidRPr="007A6FE3">
        <w:rPr>
          <w:i/>
        </w:rPr>
        <w:t>see also</w:t>
      </w:r>
      <w:r w:rsidRPr="007A6FE3">
        <w:t xml:space="preserve"> </w:t>
      </w:r>
      <w:r w:rsidRPr="007A6FE3">
        <w:rPr>
          <w:i/>
        </w:rPr>
        <w:t>Verizon Tel. Cos., Section 63.71 Application to Discontinue Expanded Interconnection Service Through Physical Collocation</w:t>
      </w:r>
      <w:r w:rsidRPr="007A6FE3">
        <w:t>, WC Docket No. 02-237, Order, 18 FCC Rcd 22737, 22742, para. 8 (2003) (</w:t>
      </w:r>
      <w:r w:rsidRPr="007A6FE3">
        <w:rPr>
          <w:i/>
        </w:rPr>
        <w:t>Verizon Expanded Interconnection Discontinuance Order)</w:t>
      </w:r>
      <w:r w:rsidRPr="007A6FE3">
        <w:t xml:space="preserve">; </w:t>
      </w:r>
      <w:r w:rsidRPr="007A6FE3">
        <w:rPr>
          <w:i/>
        </w:rPr>
        <w:t>FCC v. RCA</w:t>
      </w:r>
      <w:r w:rsidRPr="007A6FE3">
        <w:t xml:space="preserve">, 346 U.S. at 90-91 (ruling that the Commission has considerable discretion in deciding how to make its section 214 public interest finding). </w:t>
      </w:r>
    </w:p>
  </w:footnote>
  <w:footnote w:id="82">
    <w:p w14:paraId="76FAADB9" w14:textId="61149446" w:rsidR="00FE1B54" w:rsidRPr="007A6FE3" w:rsidRDefault="00FE1B54" w:rsidP="00A85E54">
      <w:pPr>
        <w:pStyle w:val="FootnoteText"/>
      </w:pPr>
      <w:r w:rsidRPr="007A6FE3">
        <w:rPr>
          <w:rStyle w:val="FootnoteReference"/>
        </w:rPr>
        <w:footnoteRef/>
      </w:r>
      <w:r w:rsidRPr="007A6FE3">
        <w:t xml:space="preserve"> Specifically, Verizon obtained authority to grandfather legacy voice and low-speed data services in Lynnfield, Massachusetts; Farmingdale, New Jersey; Belle Harbor, New York; Orchard Park, New York; Hummelstown, Pennsylvania; and Ocean View, Virginia.  </w:t>
      </w:r>
      <w:r w:rsidRPr="007A6FE3">
        <w:rPr>
          <w:i/>
          <w:iCs/>
        </w:rPr>
        <w:t xml:space="preserve">See </w:t>
      </w:r>
      <w:r w:rsidRPr="007A6FE3">
        <w:t xml:space="preserve">Verizon, Section 63.71 Application of Verizon New England Inc., </w:t>
      </w:r>
      <w:r w:rsidRPr="007A6FE3">
        <w:rPr>
          <w:iCs/>
        </w:rPr>
        <w:t>et al</w:t>
      </w:r>
      <w:r w:rsidRPr="007A6FE3">
        <w:t xml:space="preserve">., WC Docket No. 14-136 (Aug. 14, 2014).  </w:t>
      </w:r>
    </w:p>
  </w:footnote>
  <w:footnote w:id="83">
    <w:p w14:paraId="09E78560" w14:textId="77777777" w:rsidR="00FE1B54" w:rsidRPr="007A6FE3" w:rsidRDefault="00FE1B54" w:rsidP="00C51D1F">
      <w:pPr>
        <w:pStyle w:val="FootnoteText"/>
      </w:pPr>
      <w:r w:rsidRPr="007A6FE3">
        <w:rPr>
          <w:rStyle w:val="FootnoteReference"/>
        </w:rPr>
        <w:footnoteRef/>
      </w:r>
      <w:r w:rsidRPr="007A6FE3">
        <w:t xml:space="preserve"> </w:t>
      </w:r>
      <w:r w:rsidRPr="007A6FE3">
        <w:rPr>
          <w:i/>
        </w:rPr>
        <w:t>Technology Transitions Order</w:t>
      </w:r>
      <w:r w:rsidRPr="007A6FE3">
        <w:t>, 29 FCC Rcd at 1444-45, para. 33.</w:t>
      </w:r>
    </w:p>
  </w:footnote>
  <w:footnote w:id="84">
    <w:p w14:paraId="11F46E66" w14:textId="77777777" w:rsidR="00FE1B54" w:rsidRPr="007A6FE3" w:rsidRDefault="00FE1B54" w:rsidP="00C51D1F">
      <w:pPr>
        <w:pStyle w:val="FootnoteText"/>
      </w:pPr>
      <w:r w:rsidRPr="007A6FE3">
        <w:rPr>
          <w:rStyle w:val="FootnoteReference"/>
        </w:rPr>
        <w:footnoteRef/>
      </w:r>
      <w:r w:rsidRPr="007A6FE3">
        <w:t xml:space="preserve"> </w:t>
      </w:r>
      <w:r w:rsidRPr="007A6FE3">
        <w:rPr>
          <w:i/>
        </w:rPr>
        <w:t>Southwestern Bell Tel. Co., US West Commc’ns, Bell Atlantic Tel. Cos., Bellsouth Tel. Cos. Applications for Authority Pursuant to Section 214 of the Communications Act of 1934 to Cease Providing Dark Fiber Service</w:t>
      </w:r>
      <w:r w:rsidRPr="007A6FE3">
        <w:t>, File Nos. W–P–C–6670, W–P–D–364, Memorandum Opinion and Order, 8 FCC Rcd 2589, 2600, para. 54 (1993) (</w:t>
      </w:r>
      <w:r w:rsidRPr="007A6FE3">
        <w:rPr>
          <w:i/>
        </w:rPr>
        <w:t>Dark Fiber Order)</w:t>
      </w:r>
      <w:r w:rsidRPr="007A6FE3">
        <w:t xml:space="preserve">; </w:t>
      </w:r>
      <w:r w:rsidRPr="007A6FE3">
        <w:rPr>
          <w:i/>
        </w:rPr>
        <w:t>see also Verizon Expanded Interconnection Discontinuance Order</w:t>
      </w:r>
      <w:r w:rsidRPr="007A6FE3">
        <w:t>, 18 FCC Rcd at 22742, para. 8.</w:t>
      </w:r>
    </w:p>
  </w:footnote>
  <w:footnote w:id="85">
    <w:p w14:paraId="693BED35" w14:textId="77777777" w:rsidR="00FE1B54" w:rsidRPr="007A6FE3" w:rsidRDefault="00FE1B54" w:rsidP="00C51D1F">
      <w:pPr>
        <w:pStyle w:val="FootnoteText"/>
      </w:pPr>
      <w:r w:rsidRPr="007A6FE3">
        <w:rPr>
          <w:rStyle w:val="FootnoteReference"/>
        </w:rPr>
        <w:footnoteRef/>
      </w:r>
      <w:r w:rsidRPr="007A6FE3">
        <w:t xml:space="preserve"> Letter from Jodie Griffin, Senior Staff Attorney, Public Knowledge, to Marlene H. Dortch, Secretary, FCC, GN Docket No. 12-353, et al., at 1 (filed Sept. 17, 2014) (Public Knowledge Sept. 17, 2014 </w:t>
      </w:r>
      <w:r w:rsidRPr="007A6FE3">
        <w:rPr>
          <w:i/>
        </w:rPr>
        <w:t>Ex Parte</w:t>
      </w:r>
      <w:r w:rsidRPr="007A6FE3">
        <w:t xml:space="preserve"> Letter).</w:t>
      </w:r>
    </w:p>
  </w:footnote>
  <w:footnote w:id="86">
    <w:p w14:paraId="3B080643" w14:textId="77777777" w:rsidR="00FE1B54" w:rsidRPr="007A6FE3" w:rsidRDefault="00FE1B54">
      <w:pPr>
        <w:pStyle w:val="FootnoteText"/>
      </w:pPr>
      <w:r w:rsidRPr="007A6FE3">
        <w:rPr>
          <w:rStyle w:val="FootnoteReference"/>
        </w:rPr>
        <w:footnoteRef/>
      </w:r>
      <w:r w:rsidRPr="007A6FE3">
        <w:t xml:space="preserve"> </w:t>
      </w:r>
      <w:r w:rsidRPr="007A6FE3">
        <w:rPr>
          <w:i/>
        </w:rPr>
        <w:t>See generally Reliability and Continuity of Communications Networks, Including Broadband Technologies; Effects on Broadband Communications Networks of Damage or Failure of Network Equipment or Severe Overload; Independent Panel Reviewing the Impact of Hurricane Katrina on Communications Networks</w:t>
      </w:r>
      <w:r w:rsidRPr="007A6FE3">
        <w:t>, PS Docket Nos. 11-60, 10-92, EB Docket No. 06-119, Notice of Inquiry, 26 FCC Rcd 5614, 5620, para. 15 (2011) (stating that “[i]t is critical that our Nation have access to reliable and resilient communications networks”)</w:t>
      </w:r>
    </w:p>
  </w:footnote>
  <w:footnote w:id="87">
    <w:p w14:paraId="3DE5036B" w14:textId="77777777" w:rsidR="00FE1B54" w:rsidRPr="007A6FE3" w:rsidRDefault="00FE1B54" w:rsidP="009F77C0">
      <w:pPr>
        <w:pStyle w:val="FootnoteText"/>
      </w:pPr>
      <w:r w:rsidRPr="007A6FE3">
        <w:rPr>
          <w:rStyle w:val="FootnoteReference"/>
        </w:rPr>
        <w:footnoteRef/>
      </w:r>
      <w:r w:rsidRPr="007A6FE3">
        <w:t xml:space="preserve"> As the </w:t>
      </w:r>
      <w:r w:rsidRPr="007A6FE3">
        <w:rPr>
          <w:i/>
        </w:rPr>
        <w:t>Technology Transitions Order</w:t>
      </w:r>
      <w:r w:rsidRPr="007A6FE3">
        <w:t xml:space="preserve"> emphasized, network security is an imperative in technology transitions</w:t>
      </w:r>
      <w:r w:rsidRPr="007A6FE3">
        <w:rPr>
          <w:i/>
        </w:rPr>
        <w:t>.  See Technology Transitions Order,</w:t>
      </w:r>
      <w:r w:rsidRPr="007A6FE3">
        <w:t xml:space="preserve"> 29 FCC Rcd at 1448, para. 43 (observing that “[n]etwork security must be maintained</w:t>
      </w:r>
      <w:r>
        <w:t xml:space="preserve"> </w:t>
      </w:r>
      <w:r w:rsidRPr="007A6FE3">
        <w:t xml:space="preserve"> . . . as technologies evolve”). </w:t>
      </w:r>
    </w:p>
  </w:footnote>
  <w:footnote w:id="88">
    <w:p w14:paraId="15C0F9DD" w14:textId="77777777" w:rsidR="00FE1B54" w:rsidRPr="007A6FE3" w:rsidRDefault="00FE1B54" w:rsidP="006751E9">
      <w:pPr>
        <w:pStyle w:val="FootnoteText"/>
      </w:pPr>
      <w:r w:rsidRPr="007A6FE3">
        <w:rPr>
          <w:rStyle w:val="FootnoteReference"/>
        </w:rPr>
        <w:footnoteRef/>
      </w:r>
      <w:r w:rsidRPr="007A6FE3">
        <w:t xml:space="preserve"> </w:t>
      </w:r>
      <w:r w:rsidRPr="007A6FE3">
        <w:rPr>
          <w:i/>
        </w:rPr>
        <w:t>Id.</w:t>
      </w:r>
      <w:r w:rsidRPr="007A6FE3">
        <w:t xml:space="preserve"> at 1453, para. 59 (identifying the need to “maintain wholesale access” as a condition of preserving the core value of competition as carriers conduct service-based trials and experiments that will allow the Commission and the public to evaluate how customers are affected by the technology transition).  </w:t>
      </w:r>
    </w:p>
  </w:footnote>
  <w:footnote w:id="89">
    <w:p w14:paraId="273E4C88" w14:textId="77777777" w:rsidR="00FE1B54" w:rsidRPr="007A6FE3" w:rsidRDefault="00FE1B54" w:rsidP="008B6701">
      <w:pPr>
        <w:pStyle w:val="FootnoteText"/>
      </w:pPr>
      <w:r w:rsidRPr="007A6FE3">
        <w:rPr>
          <w:rStyle w:val="FootnoteReference"/>
        </w:rPr>
        <w:footnoteRef/>
      </w:r>
      <w:r w:rsidRPr="007A6FE3">
        <w:t xml:space="preserve"> </w:t>
      </w:r>
      <w:r w:rsidRPr="007A6FE3">
        <w:rPr>
          <w:i/>
        </w:rPr>
        <w:t>National Broadband Plan</w:t>
      </w:r>
      <w:r w:rsidRPr="007A6FE3">
        <w:t xml:space="preserve"> at 47; </w:t>
      </w:r>
      <w:r w:rsidRPr="007A6FE3">
        <w:rPr>
          <w:i/>
        </w:rPr>
        <w:t xml:space="preserve">Petition of </w:t>
      </w:r>
      <w:r w:rsidRPr="007A6FE3">
        <w:rPr>
          <w:i/>
          <w:iCs/>
        </w:rPr>
        <w:t>Qwest Corp. for Forbearance Pursuant to 47 U.S.C. § 160(c) in the Phoenix, Arizona Metropolitan Statistical Area</w:t>
      </w:r>
      <w:r w:rsidRPr="007A6FE3">
        <w:t>, WC Docket No. 09-135, Memorandum Opinion and Order, 25 FCC Rcd 8622, 8666-67 and 8670, paras. 84, 90 (2010) (finding that competitive carriers continue to face economic and operational barriers to the construction of last-mile facilities) (</w:t>
      </w:r>
      <w:r w:rsidRPr="007A6FE3">
        <w:rPr>
          <w:i/>
          <w:iCs/>
        </w:rPr>
        <w:t>Qwest Phoenix Forbearance Order</w:t>
      </w:r>
      <w:r w:rsidRPr="007A6FE3">
        <w:t xml:space="preserve">); </w:t>
      </w:r>
      <w:r w:rsidRPr="007A6FE3">
        <w:rPr>
          <w:i/>
        </w:rPr>
        <w:t>see also</w:t>
      </w:r>
      <w:r w:rsidRPr="007A6FE3">
        <w:t xml:space="preserve"> </w:t>
      </w:r>
      <w:r w:rsidRPr="007A6FE3">
        <w:rPr>
          <w:i/>
        </w:rPr>
        <w:t>Triennial Review Remand Order</w:t>
      </w:r>
      <w:r w:rsidRPr="007A6FE3">
        <w:t>, 20 FCC Rcd at 2616, para. 150 (stating that “competitive LECs face large fixed and sunk costs in deploying competitive fiber, as well as substantial operational barriers”).</w:t>
      </w:r>
    </w:p>
  </w:footnote>
  <w:footnote w:id="90">
    <w:p w14:paraId="1C0ACE8E" w14:textId="076C5B16" w:rsidR="00FE1B54" w:rsidRPr="007A6FE3" w:rsidRDefault="00FE1B54" w:rsidP="00D70C94">
      <w:pPr>
        <w:pStyle w:val="FootnoteText"/>
      </w:pPr>
      <w:r w:rsidRPr="007A6FE3">
        <w:rPr>
          <w:rStyle w:val="FootnoteReference"/>
        </w:rPr>
        <w:footnoteRef/>
      </w:r>
      <w:r w:rsidRPr="007A6FE3">
        <w:t xml:space="preserve"> </w:t>
      </w:r>
      <w:r w:rsidRPr="007A6FE3">
        <w:rPr>
          <w:i/>
        </w:rPr>
        <w:t>See, e.g.</w:t>
      </w:r>
      <w:r w:rsidRPr="007A6FE3">
        <w:t>, Letter from Eric Einhorn</w:t>
      </w:r>
      <w:r w:rsidR="00BF56C0">
        <w:t xml:space="preserve"> et al.</w:t>
      </w:r>
      <w:r w:rsidRPr="007A6FE3">
        <w:t xml:space="preserve">, Windstream, to Jonathan Sallet and Julie Veach, FCC, GN Docket Nos. 13-5 and 12-353, at 7 (filed Apr. 28, 2014) (Windstream April 28, 2014 </w:t>
      </w:r>
      <w:r w:rsidRPr="007A6FE3">
        <w:rPr>
          <w:i/>
        </w:rPr>
        <w:t xml:space="preserve">Ex Parte </w:t>
      </w:r>
      <w:r w:rsidRPr="007A6FE3">
        <w:t>Letter).</w:t>
      </w:r>
    </w:p>
  </w:footnote>
  <w:footnote w:id="91">
    <w:p w14:paraId="65A2EC8F" w14:textId="77777777" w:rsidR="00FE1B54" w:rsidRPr="007A6FE3" w:rsidRDefault="00FE1B54" w:rsidP="00F56C14">
      <w:pPr>
        <w:pStyle w:val="FootnoteText"/>
      </w:pPr>
      <w:r w:rsidRPr="007A6FE3">
        <w:rPr>
          <w:rStyle w:val="FootnoteReference"/>
        </w:rPr>
        <w:footnoteRef/>
      </w:r>
      <w:r w:rsidRPr="007A6FE3">
        <w:t xml:space="preserve"> </w:t>
      </w:r>
      <w:r w:rsidRPr="007A6FE3">
        <w:rPr>
          <w:i/>
        </w:rPr>
        <w:t>See, e.g.</w:t>
      </w:r>
      <w:r w:rsidRPr="007A6FE3">
        <w:t>,</w:t>
      </w:r>
      <w:r w:rsidRPr="007A6FE3">
        <w:rPr>
          <w:i/>
        </w:rPr>
        <w:t xml:space="preserve"> Technology Transitions Order</w:t>
      </w:r>
      <w:r w:rsidRPr="007A6FE3">
        <w:t xml:space="preserve">, 29 FCC Rcd at 1453, para. 59.  Windstream notes that it purchases large quantities of last-mile access from AT&amp;T under special access tariffs rather than DS1 and DS3 unbundled (UNE) loops in large part because of limitations with regard to obtaining UNE loops in many urban areas under the </w:t>
      </w:r>
      <w:r w:rsidRPr="007A6FE3">
        <w:rPr>
          <w:i/>
        </w:rPr>
        <w:t>Triennial Review Remand Order.  See Ameritech Operating Cos. Transmittal No. 1803</w:t>
      </w:r>
      <w:r w:rsidRPr="007A6FE3">
        <w:t xml:space="preserve">, Petition of Windstream Corporation to Suspend and Investigate, Transmittal No. 1803 (filed Dec. 2, 2013). </w:t>
      </w:r>
    </w:p>
  </w:footnote>
  <w:footnote w:id="92">
    <w:p w14:paraId="365A1506" w14:textId="281328E9" w:rsidR="00FE1B54" w:rsidRPr="007A6FE3" w:rsidRDefault="00FE1B54" w:rsidP="00F56C14">
      <w:pPr>
        <w:pStyle w:val="FootnoteText"/>
      </w:pPr>
      <w:r w:rsidRPr="007A6FE3">
        <w:rPr>
          <w:rStyle w:val="FootnoteReference"/>
        </w:rPr>
        <w:footnoteRef/>
      </w:r>
      <w:r w:rsidRPr="007A6FE3">
        <w:t xml:space="preserve"> Some competitive LECs point out that the Commission based its decisions to grant forbearance from dominant carrier regulation on the availability of regulated “TDM-based, DS1 and DS3 special access services . . . in addition to section 251 UNEs.”  </w:t>
      </w:r>
      <w:r w:rsidRPr="007A6FE3">
        <w:rPr>
          <w:i/>
        </w:rPr>
        <w:t>See, e.g.</w:t>
      </w:r>
      <w:r w:rsidRPr="007A6FE3">
        <w:t>,</w:t>
      </w:r>
      <w:r w:rsidR="006751E9">
        <w:t xml:space="preserve"> </w:t>
      </w:r>
      <w:r w:rsidRPr="007A6FE3">
        <w:t xml:space="preserve">Windstream April 28, 2014 </w:t>
      </w:r>
      <w:r w:rsidRPr="007A6FE3">
        <w:rPr>
          <w:i/>
        </w:rPr>
        <w:t xml:space="preserve">Ex Parte </w:t>
      </w:r>
      <w:r w:rsidRPr="007A6FE3">
        <w:t xml:space="preserve">Letter at 10 n.41 (citing </w:t>
      </w:r>
      <w:r w:rsidRPr="007A6FE3">
        <w:rPr>
          <w:i/>
          <w:iCs/>
        </w:rPr>
        <w:t>Petition of AT&amp;T Inc. for Forbearance Under 47 U.S.C. § 160(c) from Title II and Computer Inquiry Rules with Respect to Its Broadband Services, et al.</w:t>
      </w:r>
      <w:r w:rsidRPr="007A6FE3">
        <w:t>, WC Docket No. 06-125, Memorandum Opinion and Order, 22 FCC Rcd 18705, 18717, para. 20 n.86 (2007) (</w:t>
      </w:r>
      <w:r w:rsidRPr="007A6FE3">
        <w:rPr>
          <w:i/>
        </w:rPr>
        <w:t>AT&amp;T Forbearance Order</w:t>
      </w:r>
      <w:r w:rsidRPr="007A6FE3">
        <w:t>)).</w:t>
      </w:r>
    </w:p>
  </w:footnote>
  <w:footnote w:id="93">
    <w:p w14:paraId="38E5504F" w14:textId="77777777" w:rsidR="00FE1B54" w:rsidRPr="007A6FE3" w:rsidRDefault="00FE1B54" w:rsidP="004873E2">
      <w:pPr>
        <w:pStyle w:val="FootnoteText"/>
      </w:pPr>
      <w:r w:rsidRPr="007A6FE3">
        <w:rPr>
          <w:rStyle w:val="FootnoteReference"/>
        </w:rPr>
        <w:footnoteRef/>
      </w:r>
      <w:r w:rsidRPr="007A6FE3">
        <w:t xml:space="preserve"> COMPTEL Managerial Framework </w:t>
      </w:r>
      <w:r w:rsidRPr="007A6FE3">
        <w:rPr>
          <w:i/>
        </w:rPr>
        <w:t>Ex Parte</w:t>
      </w:r>
      <w:r w:rsidRPr="007A6FE3">
        <w:t xml:space="preserve"> Letter at 2.</w:t>
      </w:r>
    </w:p>
  </w:footnote>
  <w:footnote w:id="94">
    <w:p w14:paraId="5046CB54" w14:textId="77777777" w:rsidR="00FE1B54" w:rsidRPr="007A6FE3" w:rsidRDefault="00FE1B54" w:rsidP="009E3A49">
      <w:pPr>
        <w:pStyle w:val="FootnoteText"/>
      </w:pPr>
      <w:r w:rsidRPr="007A6FE3">
        <w:rPr>
          <w:rStyle w:val="FootnoteReference"/>
        </w:rPr>
        <w:footnoteRef/>
      </w:r>
      <w:r w:rsidRPr="007A6FE3">
        <w:t xml:space="preserve"> Chairman Wheeler COMPTEL Speech at 1.</w:t>
      </w:r>
    </w:p>
  </w:footnote>
  <w:footnote w:id="95">
    <w:p w14:paraId="46F32D2E" w14:textId="77777777" w:rsidR="00FE1B54" w:rsidRPr="007A6FE3" w:rsidRDefault="00FE1B54" w:rsidP="009E3A49">
      <w:pPr>
        <w:pStyle w:val="FootnoteText"/>
      </w:pPr>
      <w:r w:rsidRPr="007A6FE3">
        <w:rPr>
          <w:rStyle w:val="FootnoteReference"/>
        </w:rPr>
        <w:footnoteRef/>
      </w:r>
      <w:r w:rsidRPr="007A6FE3">
        <w:t xml:space="preserve"> </w:t>
      </w:r>
      <w:r w:rsidRPr="007A6FE3">
        <w:rPr>
          <w:i/>
        </w:rPr>
        <w:t>Id</w:t>
      </w:r>
      <w:r w:rsidRPr="007A6FE3">
        <w:t>. at 2.</w:t>
      </w:r>
    </w:p>
  </w:footnote>
  <w:footnote w:id="96">
    <w:p w14:paraId="7A192B7A" w14:textId="77777777" w:rsidR="00FE1B54" w:rsidRPr="007A6FE3" w:rsidRDefault="00FE1B54" w:rsidP="009E3A49">
      <w:pPr>
        <w:pStyle w:val="FootnoteText"/>
      </w:pPr>
      <w:r w:rsidRPr="007A6FE3">
        <w:rPr>
          <w:rStyle w:val="FootnoteReference"/>
        </w:rPr>
        <w:footnoteRef/>
      </w:r>
      <w:r w:rsidRPr="007A6FE3">
        <w:t xml:space="preserve"> </w:t>
      </w:r>
      <w:r w:rsidRPr="007A6FE3">
        <w:rPr>
          <w:i/>
        </w:rPr>
        <w:t>See supra</w:t>
      </w:r>
      <w:r w:rsidRPr="007A6FE3">
        <w:t xml:space="preserve"> para. </w:t>
      </w:r>
      <w:r w:rsidRPr="007A6FE3">
        <w:fldChar w:fldCharType="begin"/>
      </w:r>
      <w:r w:rsidRPr="007A6FE3">
        <w:instrText xml:space="preserve"> REF _Ref401313964 \r \h </w:instrText>
      </w:r>
      <w:r>
        <w:instrText xml:space="preserve"> \* MERGEFORMAT </w:instrText>
      </w:r>
      <w:r w:rsidRPr="007A6FE3">
        <w:fldChar w:fldCharType="separate"/>
      </w:r>
      <w:r w:rsidR="008A38E8">
        <w:t>22</w:t>
      </w:r>
      <w:r w:rsidRPr="007A6FE3">
        <w:fldChar w:fldCharType="end"/>
      </w:r>
      <w:r w:rsidRPr="007A6FE3">
        <w:t xml:space="preserve">.  For example, Windstream states that it “provides advanced communications and technology solutions, including managed services and cloud computing, to more than 600,000 businesses nationwide.” Windstream April 28, 2014 </w:t>
      </w:r>
      <w:r w:rsidRPr="007A6FE3">
        <w:rPr>
          <w:i/>
        </w:rPr>
        <w:t xml:space="preserve">Ex Parte </w:t>
      </w:r>
      <w:r w:rsidRPr="007A6FE3">
        <w:t xml:space="preserve">Letter at 2; </w:t>
      </w:r>
      <w:r w:rsidRPr="007A6FE3">
        <w:rPr>
          <w:i/>
        </w:rPr>
        <w:t xml:space="preserve">see also </w:t>
      </w:r>
      <w:r w:rsidRPr="007A6FE3">
        <w:t>Letter from Michael B. Galvin, General Counsel, Granite Telecommunications, to Marlene H. Dortch, Secretary, FCC, GN Docket Nos. 13-5 and 12-353, at 2 (filed May 23, 2014) (stating that Granite “provides voice and data communications to national companies across the entire United States that need a small number of voice lines (typically 3 to 15 lines) at a significant number of locations”).</w:t>
      </w:r>
    </w:p>
  </w:footnote>
  <w:footnote w:id="97">
    <w:p w14:paraId="32A5EB7F" w14:textId="77777777" w:rsidR="00FE1B54" w:rsidRPr="007A6FE3" w:rsidRDefault="00FE1B54" w:rsidP="001053ED">
      <w:pPr>
        <w:pStyle w:val="FootnoteText"/>
      </w:pPr>
      <w:r w:rsidRPr="007A6FE3">
        <w:rPr>
          <w:rStyle w:val="FootnoteReference"/>
        </w:rPr>
        <w:footnoteRef/>
      </w:r>
      <w:r w:rsidRPr="007A6FE3">
        <w:t xml:space="preserve"> </w:t>
      </w:r>
      <w:r w:rsidRPr="007A6FE3">
        <w:rPr>
          <w:i/>
        </w:rPr>
        <w:t>See</w:t>
      </w:r>
      <w:r w:rsidRPr="007A6FE3">
        <w:t xml:space="preserve"> Cbeyond, Inc. Petition for Expedited Rulemaking to Require Unbundling of Hybrid, FTTH, and FTTC Loops Pursuant to 47 U.S.C. § 251(c)(3) of the Act, WC Docket No. 09-223 (filed Nov. 16, 2009) (Cbeyond Petition</w:t>
      </w:r>
      <w:r w:rsidRPr="00A2098F">
        <w:t>)</w:t>
      </w:r>
      <w:r w:rsidRPr="007A6FE3">
        <w:rPr>
          <w:i/>
        </w:rPr>
        <w:t xml:space="preserve">. </w:t>
      </w:r>
      <w:r>
        <w:rPr>
          <w:i/>
        </w:rPr>
        <w:t xml:space="preserve"> </w:t>
      </w:r>
      <w:r w:rsidRPr="007A6FE3">
        <w:t xml:space="preserve">Specifically, Cbeyond seeks adoption of rules that would require incumbent LECs to provide unbundled access, pursuant to section 251(c)(3) of the Act, to packetized bandwidth of hybrid fiber-copper loops, FTTH loops and FTTC loops at the same rates that incumbent LECs charge their own retail customers, for the purpose of serving small business customers, </w:t>
      </w:r>
      <w:r w:rsidRPr="007A6FE3">
        <w:rPr>
          <w:i/>
        </w:rPr>
        <w:t>see id</w:t>
      </w:r>
      <w:r w:rsidRPr="007A6FE3">
        <w:t>. at 3;</w:t>
      </w:r>
      <w:r w:rsidRPr="007A6FE3">
        <w:rPr>
          <w:i/>
        </w:rPr>
        <w:t xml:space="preserve"> see also Pleading Cycle Established for Comments on Petition for Expedited Rulemaking Filed by Cbeyond, Inc</w:t>
      </w:r>
      <w:r w:rsidRPr="007A6FE3">
        <w:t>., WC Docket No. 09-223, Public Notice, 24 FCC Rcd 14517 (Wireline Comp. Bur. Dec. 14, 2009).</w:t>
      </w:r>
    </w:p>
  </w:footnote>
  <w:footnote w:id="98">
    <w:p w14:paraId="22482A80" w14:textId="77777777" w:rsidR="00FE1B54" w:rsidRPr="007A6FE3" w:rsidRDefault="00FE1B54" w:rsidP="001053ED">
      <w:pPr>
        <w:pStyle w:val="FootnoteText"/>
      </w:pPr>
      <w:r w:rsidRPr="007A6FE3">
        <w:rPr>
          <w:rStyle w:val="FootnoteReference"/>
        </w:rPr>
        <w:footnoteRef/>
      </w:r>
      <w:r w:rsidRPr="007A6FE3">
        <w:t xml:space="preserve"> Cbeyond Petition at 13.</w:t>
      </w:r>
    </w:p>
  </w:footnote>
  <w:footnote w:id="99">
    <w:p w14:paraId="45932F4A" w14:textId="77777777" w:rsidR="00FE1B54" w:rsidRPr="007A6FE3" w:rsidRDefault="00FE1B54" w:rsidP="009E3A49">
      <w:pPr>
        <w:pStyle w:val="FootnoteText"/>
      </w:pPr>
      <w:r w:rsidRPr="007A6FE3">
        <w:rPr>
          <w:rStyle w:val="FootnoteReference"/>
        </w:rPr>
        <w:footnoteRef/>
      </w:r>
      <w:r w:rsidRPr="007A6FE3">
        <w:t xml:space="preserve"> Chairman Wheeler COMPTEL Speech at 2.</w:t>
      </w:r>
    </w:p>
  </w:footnote>
  <w:footnote w:id="100">
    <w:p w14:paraId="3A8A0BF7" w14:textId="77777777" w:rsidR="00FE1B54" w:rsidRPr="007A6FE3" w:rsidRDefault="00FE1B54" w:rsidP="00D70C94">
      <w:pPr>
        <w:pStyle w:val="FootnoteText"/>
      </w:pPr>
      <w:r w:rsidRPr="007A6FE3">
        <w:rPr>
          <w:rStyle w:val="FootnoteReference"/>
        </w:rPr>
        <w:footnoteRef/>
      </w:r>
      <w:r w:rsidRPr="007A6FE3">
        <w:t xml:space="preserve"> </w:t>
      </w:r>
      <w:r w:rsidRPr="007A6FE3">
        <w:rPr>
          <w:i/>
        </w:rPr>
        <w:t>Triennial Review Order</w:t>
      </w:r>
      <w:r w:rsidRPr="007A6FE3">
        <w:t xml:space="preserve">, 18 FCC Rcd at </w:t>
      </w:r>
      <w:r w:rsidRPr="007A6FE3">
        <w:rPr>
          <w:iCs/>
        </w:rPr>
        <w:t>17111, para. 213.</w:t>
      </w:r>
    </w:p>
  </w:footnote>
  <w:footnote w:id="101">
    <w:p w14:paraId="5CF9D3A7" w14:textId="77777777" w:rsidR="00FE1B54" w:rsidRPr="007A6FE3" w:rsidRDefault="00FE1B54" w:rsidP="00D70C94">
      <w:pPr>
        <w:pStyle w:val="FootnoteText"/>
      </w:pPr>
      <w:r w:rsidRPr="007A6FE3">
        <w:rPr>
          <w:rStyle w:val="FootnoteReference"/>
        </w:rPr>
        <w:footnoteRef/>
      </w:r>
      <w:r w:rsidRPr="007A6FE3">
        <w:t xml:space="preserve"> </w:t>
      </w:r>
      <w:r w:rsidRPr="007A6FE3">
        <w:rPr>
          <w:i/>
        </w:rPr>
        <w:t>Id.</w:t>
      </w:r>
      <w:r w:rsidRPr="007A6FE3">
        <w:t xml:space="preserve"> at 17121, para. 234; </w:t>
      </w:r>
      <w:r w:rsidRPr="007A6FE3">
        <w:rPr>
          <w:i/>
        </w:rPr>
        <w:t>see also Review of the Section 251 Unbundling Obligations of Incumbent Local Exchange Carriers; Implementation of the Local Competition Provisions of the Telecommunications Act of 1996; Deployment of Wireline Services Offering Advanced Telecommunications Capability</w:t>
      </w:r>
      <w:r w:rsidRPr="007A6FE3">
        <w:t>, CC Docket Nos. 01-338, 96-98, 98-147, Order on Reconsideration, 19 FCC Rcd 20293, 20293, para. 2 (2004).</w:t>
      </w:r>
    </w:p>
  </w:footnote>
  <w:footnote w:id="102">
    <w:p w14:paraId="77398E19" w14:textId="77777777" w:rsidR="00FE1B54" w:rsidRPr="007A6FE3" w:rsidRDefault="00FE1B54">
      <w:pPr>
        <w:pStyle w:val="FootnoteText"/>
      </w:pPr>
      <w:r w:rsidRPr="007A6FE3">
        <w:rPr>
          <w:rStyle w:val="FootnoteReference"/>
        </w:rPr>
        <w:footnoteRef/>
      </w:r>
      <w:r w:rsidRPr="007A6FE3">
        <w:t xml:space="preserve"> </w:t>
      </w:r>
      <w:r w:rsidRPr="007A6FE3">
        <w:rPr>
          <w:i/>
          <w:iCs/>
        </w:rPr>
        <w:t>See, e.g.,</w:t>
      </w:r>
      <w:r w:rsidRPr="007A6FE3">
        <w:t xml:space="preserve"> </w:t>
      </w:r>
      <w:r w:rsidRPr="007A6FE3">
        <w:rPr>
          <w:i/>
          <w:iCs/>
        </w:rPr>
        <w:t>Triennial Review Remand Order</w:t>
      </w:r>
      <w:r w:rsidRPr="007A6FE3">
        <w:t>,</w:t>
      </w:r>
      <w:r w:rsidRPr="007A6FE3">
        <w:rPr>
          <w:i/>
          <w:iCs/>
        </w:rPr>
        <w:t xml:space="preserve"> </w:t>
      </w:r>
      <w:r w:rsidRPr="007A6FE3">
        <w:t xml:space="preserve">20 FCC Rcd at 2536, para. 5 (holding that the availability of special access does not preclude impairment); </w:t>
      </w:r>
      <w:r w:rsidRPr="007A6FE3">
        <w:rPr>
          <w:i/>
          <w:iCs/>
        </w:rPr>
        <w:t>see also Triennial Review Order</w:t>
      </w:r>
      <w:r w:rsidRPr="007A6FE3">
        <w:rPr>
          <w:iCs/>
        </w:rPr>
        <w:t>, 18 FCC Rcd</w:t>
      </w:r>
      <w:r w:rsidRPr="007A6FE3">
        <w:t xml:space="preserve"> at 17346, para. 582, n.1796 (providing an example that a competitive LEC connecting a UNE loop to </w:t>
      </w:r>
      <w:bookmarkStart w:id="167" w:name="SR;265086"/>
      <w:bookmarkEnd w:id="167"/>
      <w:r w:rsidRPr="007A6FE3">
        <w:t xml:space="preserve">special access interoffice transport facilities would pay UNE rates for the unbundled loops and tariffed rates for the special access service).  </w:t>
      </w:r>
      <w:r w:rsidRPr="007A6FE3">
        <w:rPr>
          <w:i/>
        </w:rPr>
        <w:t xml:space="preserve">See also </w:t>
      </w:r>
      <w:r w:rsidRPr="007A6FE3">
        <w:t xml:space="preserve">47 C.F.R. § 51.319(a)(4), (5).  </w:t>
      </w:r>
    </w:p>
  </w:footnote>
  <w:footnote w:id="103">
    <w:p w14:paraId="760D4C84" w14:textId="77777777" w:rsidR="00FE1B54" w:rsidRPr="007A6FE3" w:rsidRDefault="00FE1B54" w:rsidP="00BE77E2">
      <w:pPr>
        <w:pStyle w:val="FootnoteText"/>
      </w:pPr>
      <w:r w:rsidRPr="007A6FE3">
        <w:rPr>
          <w:rStyle w:val="FootnoteReference"/>
        </w:rPr>
        <w:footnoteRef/>
      </w:r>
      <w:r w:rsidRPr="007A6FE3">
        <w:t xml:space="preserve"> In 2012, the Commission suspended certain special access rules because it found that the competitive showings it adopted in 1999 as a proxy for competition “are not working as predicted.”  </w:t>
      </w:r>
      <w:r w:rsidRPr="007A6FE3">
        <w:rPr>
          <w:i/>
        </w:rPr>
        <w:t>Special Access for Price Cap Local Exchange Carriers; AT&amp;T Corporation Petition for Rulemaking to Reform Regulation of Incumbent Local Exchange Carrier Rates for Interstate Special Access Services</w:t>
      </w:r>
      <w:r w:rsidRPr="007A6FE3">
        <w:t>, WC Docket No. 05-25, RM-10593, Report and Order, 27 FCC Rcd 10557, 10560, para. 3 (2012) (</w:t>
      </w:r>
      <w:r w:rsidRPr="007A6FE3">
        <w:rPr>
          <w:i/>
        </w:rPr>
        <w:t>Pricing Flexibility Suspension Order</w:t>
      </w:r>
      <w:r w:rsidRPr="007A6FE3">
        <w:t xml:space="preserve">).  </w:t>
      </w:r>
    </w:p>
  </w:footnote>
  <w:footnote w:id="104">
    <w:p w14:paraId="773D5278" w14:textId="77777777" w:rsidR="00FE1B54" w:rsidRPr="007A6FE3" w:rsidRDefault="00FE1B54" w:rsidP="00BE77E2">
      <w:pPr>
        <w:pStyle w:val="FootnoteText"/>
      </w:pPr>
      <w:r w:rsidRPr="007A6FE3">
        <w:rPr>
          <w:rStyle w:val="FootnoteReference"/>
        </w:rPr>
        <w:footnoteRef/>
      </w:r>
      <w:r w:rsidRPr="007A6FE3">
        <w:t xml:space="preserve"> </w:t>
      </w:r>
      <w:r w:rsidRPr="007A6FE3">
        <w:rPr>
          <w:i/>
        </w:rPr>
        <w:t>See</w:t>
      </w:r>
      <w:r w:rsidRPr="007A6FE3">
        <w:t xml:space="preserve"> </w:t>
      </w:r>
      <w:r w:rsidRPr="007A6FE3">
        <w:rPr>
          <w:i/>
        </w:rPr>
        <w:t>Special Access for Price Cap Local Exchange Carriers; AT&amp;T Corp. Petition for Rulemaking to Reform Regulation of Incumbent Local Exchange Carrier Rates for Interstate Special Access Services</w:t>
      </w:r>
      <w:r w:rsidRPr="007A6FE3">
        <w:t>, WC Docket No. 05-25, RM-10593, Report and Order and Further Notice of Proposed Rulemaking, 27 FCC Rcd 16318, 16343-49, paras. 66-71 (2012) (</w:t>
      </w:r>
      <w:r w:rsidRPr="007A6FE3">
        <w:rPr>
          <w:i/>
        </w:rPr>
        <w:t xml:space="preserve">Data Collection </w:t>
      </w:r>
      <w:r w:rsidRPr="007A6FE3">
        <w:rPr>
          <w:i/>
          <w:iCs/>
        </w:rPr>
        <w:t>Order and FNPRM</w:t>
      </w:r>
      <w:r w:rsidRPr="007A6FE3">
        <w:t xml:space="preserve">).  </w:t>
      </w:r>
    </w:p>
  </w:footnote>
  <w:footnote w:id="105">
    <w:p w14:paraId="0691C2CE" w14:textId="77777777" w:rsidR="00FE1B54" w:rsidRPr="007A6FE3" w:rsidRDefault="00FE1B54" w:rsidP="00BE77E2">
      <w:pPr>
        <w:pStyle w:val="FootnoteText"/>
      </w:pPr>
      <w:r w:rsidRPr="007A6FE3">
        <w:rPr>
          <w:rStyle w:val="FootnoteReference"/>
        </w:rPr>
        <w:footnoteRef/>
      </w:r>
      <w:r w:rsidRPr="007A6FE3">
        <w:rPr>
          <w:i/>
        </w:rPr>
        <w:t xml:space="preserve"> Id</w:t>
      </w:r>
      <w:r w:rsidRPr="007A6FE3">
        <w:t>. at 16346-47, paras. 68-69.</w:t>
      </w:r>
    </w:p>
  </w:footnote>
  <w:footnote w:id="106">
    <w:p w14:paraId="20EAFA08" w14:textId="77777777" w:rsidR="00FE1B54" w:rsidRPr="007A6FE3" w:rsidRDefault="00FE1B54" w:rsidP="00BE77E2">
      <w:pPr>
        <w:pStyle w:val="FootnoteText"/>
      </w:pPr>
      <w:r w:rsidRPr="007A6FE3">
        <w:rPr>
          <w:rStyle w:val="FootnoteReference"/>
        </w:rPr>
        <w:footnoteRef/>
      </w:r>
      <w:r w:rsidRPr="007A6FE3">
        <w:t xml:space="preserve"> </w:t>
      </w:r>
      <w:r w:rsidRPr="007A6FE3">
        <w:rPr>
          <w:i/>
        </w:rPr>
        <w:t>Id.</w:t>
      </w:r>
      <w:r w:rsidRPr="007A6FE3">
        <w:t xml:space="preserve"> at 16346, para. 69.  Included in the special access rulemaking docket is a petition filed by the Ad Hoc Telecommunications Users Committee et al. requesting that the Commission reverse the forbearance relief previously granted to ILECs for certain packet-switched and optical carrier-based special access services in light of changes in the special access market.  </w:t>
      </w:r>
      <w:r w:rsidRPr="007A6FE3">
        <w:rPr>
          <w:i/>
        </w:rPr>
        <w:t>See Wireline Competition Bureau Seeks Comment on Petition to Reverse Forbearance from Dominant Carrier Regulations of Incumbent LEC’s Non-TDM-Based Special Access Services</w:t>
      </w:r>
      <w:r w:rsidRPr="007A6FE3">
        <w:t>, WC Docket No. 05-25, RM-10593, Public Notice, 28 FCC Rcd 1280 (Wireline Comp. Bur. Feb. 15, 2013).</w:t>
      </w:r>
    </w:p>
  </w:footnote>
  <w:footnote w:id="107">
    <w:p w14:paraId="7186CA4A" w14:textId="77777777" w:rsidR="00FE1B54" w:rsidRPr="007A6FE3" w:rsidRDefault="00FE1B54" w:rsidP="00BE77E2">
      <w:pPr>
        <w:pStyle w:val="FootnoteText"/>
      </w:pPr>
      <w:r w:rsidRPr="007A6FE3">
        <w:rPr>
          <w:rStyle w:val="FootnoteReference"/>
        </w:rPr>
        <w:footnoteRef/>
      </w:r>
      <w:r w:rsidRPr="007A6FE3">
        <w:t xml:space="preserve"> </w:t>
      </w:r>
      <w:r w:rsidRPr="007A6FE3">
        <w:rPr>
          <w:i/>
        </w:rPr>
        <w:t>See</w:t>
      </w:r>
      <w:r w:rsidRPr="007A6FE3">
        <w:t xml:space="preserve"> </w:t>
      </w:r>
      <w:r w:rsidRPr="007A6FE3">
        <w:rPr>
          <w:i/>
        </w:rPr>
        <w:t>Data Collection Reconsideration Order</w:t>
      </w:r>
      <w:r w:rsidRPr="007A6FE3">
        <w:t xml:space="preserve">; </w:t>
      </w:r>
      <w:r w:rsidRPr="007A6FE3">
        <w:rPr>
          <w:i/>
        </w:rPr>
        <w:t>Comment Deadlines Extended in Special Access Proceeding</w:t>
      </w:r>
      <w:r w:rsidRPr="007A6FE3">
        <w:t>, WC Docket No. 05-25, RM-10593, Public Notice (Sept. 15, 2014).</w:t>
      </w:r>
    </w:p>
  </w:footnote>
  <w:footnote w:id="108">
    <w:p w14:paraId="5B0B5A5D" w14:textId="77777777" w:rsidR="00FE1B54" w:rsidRPr="007A6FE3" w:rsidRDefault="00FE1B54">
      <w:pPr>
        <w:pStyle w:val="FootnoteText"/>
      </w:pPr>
      <w:r w:rsidRPr="007A6FE3">
        <w:rPr>
          <w:rStyle w:val="FootnoteReference"/>
        </w:rPr>
        <w:footnoteRef/>
      </w:r>
      <w:r w:rsidRPr="007A6FE3">
        <w:t xml:space="preserve"> </w:t>
      </w:r>
      <w:r w:rsidRPr="007A6FE3">
        <w:rPr>
          <w:i/>
        </w:rPr>
        <w:t>See</w:t>
      </w:r>
      <w:r w:rsidRPr="007A6FE3">
        <w:t xml:space="preserve"> Letter from Jodie Griffin, Senior Staff Attorney, Public Knowledge, to Marlene H. Dortch, Secretary, FCC, GN Docket No. 13-5, Attach. at 2, 7 (Nov. 2014) (stating that 45% of consumers surveyed keep their landline in addition to thei</w:t>
      </w:r>
      <w:r w:rsidRPr="007A6FE3">
        <w:rPr>
          <w:iCs/>
          <w:snapToGrid w:val="0"/>
        </w:rPr>
        <w:t>r cell phone because their landline continues to function during power outages</w:t>
      </w:r>
      <w:r w:rsidRPr="007A6FE3">
        <w:t>) (PK Consumer Survey).</w:t>
      </w:r>
    </w:p>
  </w:footnote>
  <w:footnote w:id="109">
    <w:p w14:paraId="5D9687C3" w14:textId="4670EEB0" w:rsidR="00FE1B54" w:rsidRPr="007A6FE3" w:rsidRDefault="00FE1B54" w:rsidP="0064506B">
      <w:pPr>
        <w:pStyle w:val="FootnoteText"/>
      </w:pPr>
      <w:r w:rsidRPr="007A6FE3">
        <w:rPr>
          <w:rStyle w:val="FootnoteReference"/>
        </w:rPr>
        <w:footnoteRef/>
      </w:r>
      <w:r w:rsidRPr="007A6FE3">
        <w:t xml:space="preserve"> We note that </w:t>
      </w:r>
      <w:r w:rsidRPr="007A6FE3">
        <w:rPr>
          <w:szCs w:val="22"/>
        </w:rPr>
        <w:t xml:space="preserve">some major CMRS providers now market wireless service as a replacement for traditional landline service in the home.  </w:t>
      </w:r>
      <w:r w:rsidRPr="007A6FE3">
        <w:rPr>
          <w:i/>
        </w:rPr>
        <w:t>See, e.g.</w:t>
      </w:r>
      <w:r w:rsidRPr="007A6FE3">
        <w:t>,</w:t>
      </w:r>
      <w:r w:rsidRPr="007A6FE3">
        <w:rPr>
          <w:i/>
        </w:rPr>
        <w:t xml:space="preserve"> </w:t>
      </w:r>
      <w:r w:rsidRPr="007A6FE3">
        <w:rPr>
          <w:snapToGrid w:val="0"/>
        </w:rPr>
        <w:t xml:space="preserve">Deidre Hart, </w:t>
      </w:r>
      <w:r w:rsidRPr="007A6FE3">
        <w:rPr>
          <w:i/>
          <w:iCs/>
          <w:snapToGrid w:val="0"/>
        </w:rPr>
        <w:t>Verizon Keeps Western Fire Island Residents, Business Connected as the Sumer Vacation Season Ramps Up</w:t>
      </w:r>
      <w:r w:rsidRPr="007A6FE3">
        <w:rPr>
          <w:snapToGrid w:val="0"/>
        </w:rPr>
        <w:t xml:space="preserve">, (June 12, 2013), </w:t>
      </w:r>
      <w:hyperlink r:id="rId26" w:history="1">
        <w:r w:rsidRPr="007A6FE3">
          <w:rPr>
            <w:rStyle w:val="Hyperlink"/>
          </w:rPr>
          <w:t>http://www.verizon.com/about/news/verizon-keeps-western-fire-island-residents-businesses-connected-summer-vacation-season-ramps-0/</w:t>
        </w:r>
      </w:hyperlink>
      <w:r w:rsidRPr="007A6FE3">
        <w:rPr>
          <w:snapToGrid w:val="0"/>
        </w:rPr>
        <w:t xml:space="preserve"> (“</w:t>
      </w:r>
      <w:r w:rsidRPr="007A6FE3">
        <w:rPr>
          <w:lang w:val="en"/>
        </w:rPr>
        <w:t>An efficient and effective solution to restore telephone service, Verizon’s Voice Link uses wireless technology, rather than copper lines, to deliver voice service to customers.  It works seamlessly with customers’ current telephones and wall jacks, and provides unlimited local and domestic long-distance calling, enhanced 911 service, and popular calling features such as Caller ID with Name and Call Waiting.  Customers pay the same or a lower price compared with what they currently pay.</w:t>
      </w:r>
      <w:r w:rsidRPr="007A6FE3">
        <w:rPr>
          <w:snapToGrid w:val="0"/>
        </w:rPr>
        <w:t>”)</w:t>
      </w:r>
      <w:r w:rsidRPr="007A6FE3">
        <w:t>.</w:t>
      </w:r>
    </w:p>
  </w:footnote>
  <w:footnote w:id="110">
    <w:p w14:paraId="72E325D8" w14:textId="77777777" w:rsidR="00FE1B54" w:rsidRPr="007A6FE3" w:rsidRDefault="00FE1B54" w:rsidP="0064506B">
      <w:pPr>
        <w:pStyle w:val="FootnoteText"/>
      </w:pPr>
      <w:r w:rsidRPr="007A6FE3">
        <w:rPr>
          <w:rStyle w:val="FootnoteReference"/>
        </w:rPr>
        <w:footnoteRef/>
      </w:r>
      <w:r w:rsidRPr="007A6FE3">
        <w:t xml:space="preserve"> In the event we were to adopt a requirement that providers must provision CPE backup power, we expect that providers would be entitled to commercially reasonable compensation in exchange for providing this service.  </w:t>
      </w:r>
    </w:p>
  </w:footnote>
  <w:footnote w:id="111">
    <w:p w14:paraId="0F2FBFCA" w14:textId="77777777" w:rsidR="00FE1B54" w:rsidRPr="007A6FE3" w:rsidRDefault="00FE1B54" w:rsidP="0064506B">
      <w:pPr>
        <w:pStyle w:val="FootnoteText"/>
      </w:pPr>
      <w:r w:rsidRPr="007A6FE3">
        <w:rPr>
          <w:rStyle w:val="FootnoteReference"/>
        </w:rPr>
        <w:footnoteRef/>
      </w:r>
      <w:r w:rsidRPr="007A6FE3">
        <w:t xml:space="preserve"> In this context, unless otherwise stated we use the term “backup power” to refer to the availability of standby backup power, not actual talk time.</w:t>
      </w:r>
    </w:p>
  </w:footnote>
  <w:footnote w:id="112">
    <w:p w14:paraId="35DD66A6" w14:textId="3B2BE233" w:rsidR="00FE1B54" w:rsidRPr="007A6FE3" w:rsidRDefault="00FE1B54" w:rsidP="0064506B">
      <w:pPr>
        <w:pStyle w:val="FootnoteText"/>
      </w:pPr>
      <w:r w:rsidRPr="007A6FE3">
        <w:rPr>
          <w:rStyle w:val="FootnoteReference"/>
        </w:rPr>
        <w:footnoteRef/>
      </w:r>
      <w:r w:rsidRPr="007A6FE3">
        <w:t xml:space="preserve"> We note that CSRIC’s report indicates that while backup time across different use cases may vary, several current deployments support up to eight hours of standby battery backup</w:t>
      </w:r>
      <w:r w:rsidRPr="007A6FE3">
        <w:rPr>
          <w:i/>
        </w:rPr>
        <w:t xml:space="preserve">.  See </w:t>
      </w:r>
      <w:r w:rsidRPr="007A6FE3">
        <w:t xml:space="preserve">CSRIC IV Working Group 10B, CPE Powering – Best Practices; Final Report – CPE Powering, at 9-11 (September 2014), </w:t>
      </w:r>
      <w:hyperlink r:id="rId27" w:history="1">
        <w:r w:rsidRPr="007A6FE3">
          <w:rPr>
            <w:rStyle w:val="Hyperlink"/>
          </w:rPr>
          <w:t>http://transition.fcc.gov/pshs/advisory/csric4/CSRIC%20WG10%20CPE%20Powering%20Best%20Practices%20Final%20Draft%20v2%20082014.pdf</w:t>
        </w:r>
      </w:hyperlink>
      <w:r w:rsidRPr="007A6FE3">
        <w:t xml:space="preserve"> (</w:t>
      </w:r>
      <w:r w:rsidRPr="007A6FE3">
        <w:rPr>
          <w:i/>
        </w:rPr>
        <w:t>CSRIC CPE Powering Report</w:t>
      </w:r>
      <w:r w:rsidRPr="007A6FE3">
        <w:t xml:space="preserve">) (describing battery backup power duration of up to eight hours for different use cases).  </w:t>
      </w:r>
    </w:p>
  </w:footnote>
  <w:footnote w:id="113">
    <w:p w14:paraId="09B7C5F9" w14:textId="0D42134D" w:rsidR="00FE1B54" w:rsidRPr="007A6FE3" w:rsidRDefault="00FE1B54">
      <w:pPr>
        <w:pStyle w:val="FootnoteText"/>
      </w:pPr>
      <w:r w:rsidRPr="007A6FE3">
        <w:rPr>
          <w:rStyle w:val="FootnoteReference"/>
        </w:rPr>
        <w:footnoteRef/>
      </w:r>
      <w:r w:rsidRPr="007A6FE3">
        <w:t xml:space="preserve"> </w:t>
      </w:r>
      <w:r w:rsidRPr="007A6FE3">
        <w:rPr>
          <w:i/>
        </w:rPr>
        <w:t xml:space="preserve">See </w:t>
      </w:r>
      <w:r w:rsidRPr="007A6FE3">
        <w:t xml:space="preserve">Verizon, Order, Replace, Install and Dispose of ONT Batteries, </w:t>
      </w:r>
      <w:hyperlink r:id="rId28" w:history="1">
        <w:r w:rsidRPr="007A6FE3">
          <w:rPr>
            <w:rStyle w:val="Hyperlink"/>
          </w:rPr>
          <w:t>http://www.verizon.com/battery</w:t>
        </w:r>
      </w:hyperlink>
      <w:r w:rsidRPr="007A6FE3">
        <w:t xml:space="preserve"> (last visited Nov. 21, 2014).</w:t>
      </w:r>
    </w:p>
  </w:footnote>
  <w:footnote w:id="114">
    <w:p w14:paraId="6A32A8DD" w14:textId="6EFCAADD" w:rsidR="00FE1B54" w:rsidRPr="007A6FE3" w:rsidRDefault="00FE1B54" w:rsidP="0064506B">
      <w:pPr>
        <w:pStyle w:val="FootnoteText"/>
      </w:pPr>
      <w:r w:rsidRPr="007A6FE3">
        <w:rPr>
          <w:rStyle w:val="FootnoteReference"/>
        </w:rPr>
        <w:footnoteRef/>
      </w:r>
      <w:r w:rsidRPr="007A6FE3">
        <w:t xml:space="preserve"> </w:t>
      </w:r>
      <w:r w:rsidRPr="007A6FE3">
        <w:rPr>
          <w:i/>
        </w:rPr>
        <w:t>See id</w:t>
      </w:r>
      <w:r w:rsidRPr="007A6FE3">
        <w:t xml:space="preserve">.  CSRIC is a federal advisory committee chartered under the Federal Advisory Committee Act.  </w:t>
      </w:r>
      <w:r w:rsidRPr="007A6FE3">
        <w:rPr>
          <w:i/>
        </w:rPr>
        <w:t>See</w:t>
      </w:r>
      <w:r w:rsidRPr="007A6FE3">
        <w:t xml:space="preserve"> CSRIC Charter, </w:t>
      </w:r>
      <w:hyperlink r:id="rId29" w:history="1">
        <w:r w:rsidRPr="007A6FE3">
          <w:rPr>
            <w:rStyle w:val="Hyperlink"/>
          </w:rPr>
          <w:t>http://transition.fcc.gov/bureaus/pshs/advisory/csric4/CSRIC%20Charter%20Renewal%202013.pdf</w:t>
        </w:r>
      </w:hyperlink>
      <w:r w:rsidRPr="007A6FE3">
        <w:t>.</w:t>
      </w:r>
    </w:p>
  </w:footnote>
  <w:footnote w:id="115">
    <w:p w14:paraId="34850419" w14:textId="77777777" w:rsidR="00FE1B54" w:rsidRPr="007A6FE3" w:rsidRDefault="00FE1B54" w:rsidP="0064506B">
      <w:pPr>
        <w:pStyle w:val="FootnoteText"/>
      </w:pPr>
      <w:r w:rsidRPr="007A6FE3">
        <w:rPr>
          <w:rStyle w:val="FootnoteReference"/>
        </w:rPr>
        <w:footnoteRef/>
      </w:r>
      <w:r w:rsidRPr="007A6FE3">
        <w:t xml:space="preserve"> </w:t>
      </w:r>
      <w:r w:rsidRPr="007A6FE3">
        <w:rPr>
          <w:i/>
        </w:rPr>
        <w:t>See CSRIC CPE Powering Report</w:t>
      </w:r>
      <w:r w:rsidRPr="007A6FE3">
        <w:t xml:space="preserve"> at 19.</w:t>
      </w:r>
    </w:p>
  </w:footnote>
  <w:footnote w:id="116">
    <w:p w14:paraId="6DFAF671" w14:textId="77777777" w:rsidR="00FE1B54" w:rsidRPr="007A6FE3" w:rsidRDefault="00FE1B54" w:rsidP="0064506B">
      <w:pPr>
        <w:pStyle w:val="FootnoteText"/>
      </w:pPr>
      <w:r w:rsidRPr="007A6FE3">
        <w:rPr>
          <w:rStyle w:val="FootnoteReference"/>
        </w:rPr>
        <w:footnoteRef/>
      </w:r>
      <w:r w:rsidRPr="007A6FE3">
        <w:t xml:space="preserve"> </w:t>
      </w:r>
      <w:r w:rsidRPr="007A6FE3">
        <w:rPr>
          <w:i/>
        </w:rPr>
        <w:t>See id.</w:t>
      </w:r>
    </w:p>
  </w:footnote>
  <w:footnote w:id="117">
    <w:p w14:paraId="4FCD3234" w14:textId="77777777" w:rsidR="00FE1B54" w:rsidRPr="007A6FE3" w:rsidRDefault="00FE1B54" w:rsidP="0064506B">
      <w:pPr>
        <w:pStyle w:val="FootnoteText"/>
      </w:pPr>
      <w:r w:rsidRPr="007A6FE3">
        <w:rPr>
          <w:rStyle w:val="FootnoteReference"/>
        </w:rPr>
        <w:footnoteRef/>
      </w:r>
      <w:r w:rsidRPr="007A6FE3">
        <w:t xml:space="preserve"> </w:t>
      </w:r>
      <w:r w:rsidRPr="007A6FE3">
        <w:rPr>
          <w:i/>
        </w:rPr>
        <w:t>See id</w:t>
      </w:r>
      <w:r w:rsidRPr="007A6FE3">
        <w:t xml:space="preserve">.   </w:t>
      </w:r>
    </w:p>
  </w:footnote>
  <w:footnote w:id="118">
    <w:p w14:paraId="0E0BD720" w14:textId="77777777" w:rsidR="00FE1B54" w:rsidRPr="007A6FE3" w:rsidRDefault="00FE1B54">
      <w:pPr>
        <w:pStyle w:val="FootnoteText"/>
      </w:pPr>
      <w:r w:rsidRPr="007A6FE3">
        <w:rPr>
          <w:rStyle w:val="FootnoteReference"/>
        </w:rPr>
        <w:footnoteRef/>
      </w:r>
      <w:r w:rsidRPr="007A6FE3">
        <w:t xml:space="preserve"> Where we refer to the ‘burden’ or the like falling or shifting to the consumer, we mean the practical need to provide for backup power and do not propose imposing any legal duty or obligation on consumers.</w:t>
      </w:r>
    </w:p>
  </w:footnote>
  <w:footnote w:id="119">
    <w:p w14:paraId="77489F1E" w14:textId="77777777" w:rsidR="00FE1B54" w:rsidRPr="007A6FE3" w:rsidRDefault="00FE1B54" w:rsidP="0064506B">
      <w:pPr>
        <w:pStyle w:val="FootnoteText"/>
      </w:pPr>
      <w:r w:rsidRPr="007A6FE3">
        <w:rPr>
          <w:rStyle w:val="FootnoteReference"/>
        </w:rPr>
        <w:footnoteRef/>
      </w:r>
      <w:r w:rsidRPr="007A6FE3">
        <w:t xml:space="preserve"> </w:t>
      </w:r>
      <w:r w:rsidRPr="007A6FE3">
        <w:rPr>
          <w:i/>
        </w:rPr>
        <w:t xml:space="preserve">Id. </w:t>
      </w:r>
      <w:r w:rsidRPr="007A6FE3">
        <w:t>at 20-21 (Appendix).</w:t>
      </w:r>
    </w:p>
  </w:footnote>
  <w:footnote w:id="120">
    <w:p w14:paraId="380D4074" w14:textId="77777777" w:rsidR="00FE1B54" w:rsidRPr="007A6FE3" w:rsidRDefault="00FE1B54" w:rsidP="0064506B">
      <w:pPr>
        <w:pStyle w:val="FootnoteText"/>
      </w:pPr>
      <w:r w:rsidRPr="007A6FE3">
        <w:rPr>
          <w:rStyle w:val="FootnoteReference"/>
        </w:rPr>
        <w:footnoteRef/>
      </w:r>
      <w:r w:rsidRPr="007A6FE3">
        <w:t xml:space="preserve"> For example, service providers may require their equipment developers to provision CPE that uses a power source of a type that consumers can easily replace, e.g., D-cell batteries.  CSRIC states that “[i]mprovements in battery technology are . . . allowing [D-cell batteries] to approach the backup times of lead acid batteries on single charge discharges.”  </w:t>
      </w:r>
      <w:r w:rsidRPr="007A6FE3">
        <w:rPr>
          <w:i/>
        </w:rPr>
        <w:t>Id.</w:t>
      </w:r>
      <w:r w:rsidRPr="007A6FE3">
        <w:t xml:space="preserve"> at 19.  </w:t>
      </w:r>
    </w:p>
  </w:footnote>
  <w:footnote w:id="121">
    <w:p w14:paraId="6F6E7409" w14:textId="635F3E53" w:rsidR="00FE1B54" w:rsidRPr="007A6FE3" w:rsidRDefault="00FE1B54">
      <w:pPr>
        <w:pStyle w:val="FootnoteText"/>
      </w:pPr>
      <w:r w:rsidRPr="007A6FE3">
        <w:rPr>
          <w:rStyle w:val="FootnoteReference"/>
        </w:rPr>
        <w:footnoteRef/>
      </w:r>
      <w:r w:rsidRPr="007A6FE3">
        <w:t xml:space="preserve"> </w:t>
      </w:r>
      <w:r w:rsidRPr="007A6FE3">
        <w:rPr>
          <w:i/>
        </w:rPr>
        <w:t>See, e.g.</w:t>
      </w:r>
      <w:r w:rsidRPr="007A6FE3">
        <w:t xml:space="preserve">, Noam Kedem, Six Things to Know About Smartphone Batteries, CNET (May 29, 2012), </w:t>
      </w:r>
      <w:hyperlink r:id="rId30" w:history="1">
        <w:r w:rsidRPr="007A6FE3">
          <w:rPr>
            <w:rStyle w:val="Hyperlink"/>
          </w:rPr>
          <w:t>http://www.cnet.com/news/six-things-to-know-about-smartphone-batteries</w:t>
        </w:r>
      </w:hyperlink>
      <w:r w:rsidRPr="007A6FE3">
        <w:t xml:space="preserve"> (describing aspects of Lithium-Ion batteries in smartphones).</w:t>
      </w:r>
    </w:p>
  </w:footnote>
  <w:footnote w:id="122">
    <w:p w14:paraId="7B666B90" w14:textId="7433376F" w:rsidR="00FE1B54" w:rsidRPr="007A6FE3" w:rsidRDefault="00FE1B54" w:rsidP="0064506B">
      <w:pPr>
        <w:pStyle w:val="FootnoteText"/>
      </w:pPr>
      <w:r w:rsidRPr="007A6FE3">
        <w:rPr>
          <w:rStyle w:val="FootnoteReference"/>
        </w:rPr>
        <w:footnoteRef/>
      </w:r>
      <w:r w:rsidRPr="007A6FE3">
        <w:t xml:space="preserve"> </w:t>
      </w:r>
      <w:r w:rsidRPr="007A6FE3">
        <w:rPr>
          <w:i/>
        </w:rPr>
        <w:t xml:space="preserve">See </w:t>
      </w:r>
      <w:r w:rsidRPr="007A6FE3">
        <w:t>ArkansasMatters.com,</w:t>
      </w:r>
      <w:r w:rsidRPr="007A6FE3">
        <w:rPr>
          <w:i/>
        </w:rPr>
        <w:t xml:space="preserve"> </w:t>
      </w:r>
      <w:r w:rsidRPr="007A6FE3">
        <w:t xml:space="preserve">“Verizon Opens Charging Stations to Help in Central AR,” </w:t>
      </w:r>
      <w:hyperlink r:id="rId31" w:history="1">
        <w:r w:rsidRPr="007A6FE3">
          <w:rPr>
            <w:rStyle w:val="Hyperlink"/>
          </w:rPr>
          <w:t>http://www.arkansasmatters.com/story/d/story/verizon-opens-charging-stations-to-help-in-central/51574/iuj83EGVZku5tFfIPnAe1g</w:t>
        </w:r>
      </w:hyperlink>
      <w:r w:rsidRPr="007A6FE3" w:rsidDel="00FC31D9">
        <w:rPr>
          <w:i/>
        </w:rPr>
        <w:t xml:space="preserve"> </w:t>
      </w:r>
      <w:r w:rsidRPr="007A6FE3">
        <w:t>(Apr. 29, 2014) (describing deployment of disaster relief vehicles to support communities in Arkansas affected by tornadoes).  We are also aware of efforts to provide fixed solar powered charging stations for people to charge their cell phones and laptop computers in several cities.  We note that some of the charging stations used outside of the United States work very much like vending machines.</w:t>
      </w:r>
    </w:p>
  </w:footnote>
  <w:footnote w:id="123">
    <w:p w14:paraId="23395B8A" w14:textId="77777777" w:rsidR="00FE1B54" w:rsidRPr="007A6FE3" w:rsidRDefault="00FE1B54" w:rsidP="00961539">
      <w:pPr>
        <w:pStyle w:val="FootnoteText"/>
      </w:pPr>
      <w:r w:rsidRPr="007A6FE3">
        <w:rPr>
          <w:rStyle w:val="FootnoteReference"/>
        </w:rPr>
        <w:footnoteRef/>
      </w:r>
      <w:r w:rsidRPr="007A6FE3">
        <w:t xml:space="preserve"> We observe that the proposed rules would permit providers to charge commercially reasonable fees for any provision of backup power required under the rules.  </w:t>
      </w:r>
      <w:r w:rsidRPr="007A6FE3">
        <w:rPr>
          <w:i/>
          <w:iCs/>
        </w:rPr>
        <w:t>See supra</w:t>
      </w:r>
      <w:r w:rsidRPr="007A6FE3">
        <w:t xml:space="preserve"> note </w:t>
      </w:r>
      <w:r w:rsidRPr="007A6FE3">
        <w:fldChar w:fldCharType="begin"/>
      </w:r>
      <w:r w:rsidRPr="007A6FE3">
        <w:instrText xml:space="preserve"> NOTEREF _Ref404153099 \h  \* MERGEFORMAT </w:instrText>
      </w:r>
      <w:r w:rsidRPr="007A6FE3">
        <w:fldChar w:fldCharType="separate"/>
      </w:r>
      <w:r w:rsidR="008A38E8">
        <w:t>109</w:t>
      </w:r>
      <w:r w:rsidRPr="007A6FE3">
        <w:fldChar w:fldCharType="end"/>
      </w:r>
      <w:r w:rsidRPr="007A6FE3">
        <w:t>.</w:t>
      </w:r>
    </w:p>
  </w:footnote>
  <w:footnote w:id="124">
    <w:p w14:paraId="6A798A15" w14:textId="77777777" w:rsidR="00FE1B54" w:rsidRPr="007A6FE3" w:rsidRDefault="00FE1B54">
      <w:pPr>
        <w:pStyle w:val="FootnoteText"/>
      </w:pPr>
      <w:r w:rsidRPr="007A6FE3">
        <w:rPr>
          <w:rStyle w:val="FootnoteReference"/>
        </w:rPr>
        <w:footnoteRef/>
      </w:r>
      <w:r w:rsidRPr="007A6FE3">
        <w:t xml:space="preserve"> We note that some providers have deployed devices that are capable of providing back-up power for twenty-four hours.  </w:t>
      </w:r>
      <w:r w:rsidRPr="007A6FE3">
        <w:rPr>
          <w:i/>
        </w:rPr>
        <w:t>See supra</w:t>
      </w:r>
      <w:r w:rsidRPr="007A6FE3">
        <w:t xml:space="preserve"> para. </w:t>
      </w:r>
      <w:r w:rsidRPr="007A6FE3">
        <w:fldChar w:fldCharType="begin"/>
      </w:r>
      <w:r w:rsidRPr="007A6FE3">
        <w:instrText xml:space="preserve"> REF _Ref404188123 \r \h </w:instrText>
      </w:r>
      <w:r>
        <w:instrText xml:space="preserve"> \* MERGEFORMAT </w:instrText>
      </w:r>
      <w:r w:rsidRPr="007A6FE3">
        <w:fldChar w:fldCharType="separate"/>
      </w:r>
      <w:r w:rsidR="008A38E8">
        <w:t>35</w:t>
      </w:r>
      <w:r w:rsidRPr="007A6FE3">
        <w:fldChar w:fldCharType="end"/>
      </w:r>
      <w:r w:rsidRPr="007A6FE3">
        <w:t>.</w:t>
      </w:r>
    </w:p>
  </w:footnote>
  <w:footnote w:id="125">
    <w:p w14:paraId="53B3365F" w14:textId="77777777" w:rsidR="00FE1B54" w:rsidRPr="008100F2" w:rsidRDefault="00FE1B54" w:rsidP="003F0F7D">
      <w:pPr>
        <w:pStyle w:val="FootnoteText"/>
      </w:pPr>
      <w:r w:rsidRPr="007A6FE3">
        <w:rPr>
          <w:rStyle w:val="FootnoteReference"/>
        </w:rPr>
        <w:footnoteRef/>
      </w:r>
      <w:r w:rsidRPr="00327DFB">
        <w:t xml:space="preserve"> 47 U.S</w:t>
      </w:r>
      <w:r w:rsidRPr="008100F2">
        <w:t>.C. § 151.</w:t>
      </w:r>
    </w:p>
  </w:footnote>
  <w:footnote w:id="126">
    <w:p w14:paraId="1D39C630" w14:textId="77777777" w:rsidR="00FE1B54" w:rsidRPr="007A6FE3" w:rsidRDefault="00FE1B54" w:rsidP="0064506B">
      <w:pPr>
        <w:pStyle w:val="FootnoteText"/>
      </w:pPr>
      <w:r w:rsidRPr="007A6FE3">
        <w:rPr>
          <w:rStyle w:val="FootnoteReference"/>
        </w:rPr>
        <w:footnoteRef/>
      </w:r>
      <w:r w:rsidRPr="007A6FE3">
        <w:t xml:space="preserve"> Wireless Communications and Public Safety Act of 1999, PL 106–81, 113 Stat 1286 § 3(a) (1999) (codified at 47 U.S.C. § 251(e)(3)).</w:t>
      </w:r>
    </w:p>
  </w:footnote>
  <w:footnote w:id="127">
    <w:p w14:paraId="4C74D396" w14:textId="77777777" w:rsidR="00FE1B54" w:rsidRPr="007A6FE3" w:rsidRDefault="00FE1B54" w:rsidP="0064506B">
      <w:pPr>
        <w:pStyle w:val="FootnoteText"/>
      </w:pPr>
      <w:r w:rsidRPr="007A6FE3">
        <w:rPr>
          <w:rStyle w:val="FootnoteReference"/>
        </w:rPr>
        <w:footnoteRef/>
      </w:r>
      <w:r w:rsidRPr="007A6FE3">
        <w:t xml:space="preserve"> New and Emerging Technologies 911 Improvement Act of 2008 (NET 911 Act), PL 110–283, 122 Stat 2620 (2008); </w:t>
      </w:r>
      <w:r w:rsidRPr="007A6FE3">
        <w:rPr>
          <w:i/>
        </w:rPr>
        <w:t>see also</w:t>
      </w:r>
      <w:r w:rsidRPr="007A6FE3">
        <w:t xml:space="preserve"> 47 U.S.C. § 615a-1(a), (c)(1)(B) (requiring “each IP-enabled voice service provider to provide 9-1-1 service and enhanced 9-1-1 service to its subscribers in accordance with the requirements of the Federal Communications Commission” and directing the Commission to “take into account any technical, network security, or information privacy requirements that are specific to IP-enabled voice services” when promulgating regulations under the NET 911 Act).    </w:t>
      </w:r>
    </w:p>
  </w:footnote>
  <w:footnote w:id="128">
    <w:p w14:paraId="38E60B84" w14:textId="77777777" w:rsidR="00FE1B54" w:rsidRPr="007A6FE3" w:rsidRDefault="00FE1B54" w:rsidP="0064506B">
      <w:pPr>
        <w:pStyle w:val="FootnoteText"/>
      </w:pPr>
      <w:r w:rsidRPr="007A6FE3">
        <w:rPr>
          <w:rStyle w:val="FootnoteReference"/>
        </w:rPr>
        <w:footnoteRef/>
      </w:r>
      <w:r w:rsidRPr="007A6FE3">
        <w:t xml:space="preserve"> </w:t>
      </w:r>
      <w:r w:rsidRPr="007A6FE3">
        <w:rPr>
          <w:i/>
        </w:rPr>
        <w:t>See</w:t>
      </w:r>
      <w:r w:rsidRPr="007A6FE3">
        <w:t xml:space="preserve"> Twenty-First Century Communications and Video Accessibility Act of 2010, PL 111-260, 124 Stat 2751 § 106(g) (2010) (CVAA) (codified at 47 U.S.C. § 615c(g)).  </w:t>
      </w:r>
    </w:p>
  </w:footnote>
  <w:footnote w:id="129">
    <w:p w14:paraId="6C54A19D" w14:textId="77777777" w:rsidR="00FE1B54" w:rsidRPr="004D4278" w:rsidRDefault="00FE1B54" w:rsidP="003F0F7D">
      <w:pPr>
        <w:pStyle w:val="FootnoteText"/>
      </w:pPr>
      <w:r w:rsidRPr="007A6FE3">
        <w:rPr>
          <w:rStyle w:val="FootnoteReference"/>
        </w:rPr>
        <w:footnoteRef/>
      </w:r>
      <w:r w:rsidRPr="00327DFB">
        <w:t xml:space="preserve"> </w:t>
      </w:r>
      <w:r w:rsidRPr="008100F2">
        <w:rPr>
          <w:rStyle w:val="FootnoteTextChar"/>
          <w:i/>
        </w:rPr>
        <w:t>Nuvio Corp. v. FCC</w:t>
      </w:r>
      <w:r w:rsidRPr="008100F2">
        <w:rPr>
          <w:rStyle w:val="FootnoteTextChar"/>
        </w:rPr>
        <w:t>, 473 F.3d 302, 312 (D.C. Cir. 2006) (Kavanaugh, J., concurring).</w:t>
      </w:r>
    </w:p>
  </w:footnote>
  <w:footnote w:id="130">
    <w:p w14:paraId="05C8FC00" w14:textId="77777777" w:rsidR="00FE1B54" w:rsidRPr="007A6FE3" w:rsidRDefault="00FE1B54" w:rsidP="0064506B">
      <w:pPr>
        <w:pStyle w:val="FootnoteText"/>
      </w:pPr>
      <w:r w:rsidRPr="007A6FE3">
        <w:rPr>
          <w:rStyle w:val="FootnoteReference"/>
        </w:rPr>
        <w:footnoteRef/>
      </w:r>
      <w:r w:rsidRPr="007A6FE3">
        <w:t xml:space="preserve"> </w:t>
      </w:r>
      <w:r w:rsidRPr="007A6FE3">
        <w:rPr>
          <w:i/>
          <w:iCs/>
        </w:rPr>
        <w:t xml:space="preserve">See </w:t>
      </w:r>
      <w:r w:rsidRPr="007A6FE3">
        <w:t>47 U.S.C. § 201(b).</w:t>
      </w:r>
    </w:p>
  </w:footnote>
  <w:footnote w:id="131">
    <w:p w14:paraId="0A783823" w14:textId="77777777" w:rsidR="00FE1B54" w:rsidRPr="007A6FE3" w:rsidRDefault="00FE1B54" w:rsidP="0064506B">
      <w:pPr>
        <w:pStyle w:val="FootnoteText"/>
      </w:pPr>
      <w:r w:rsidRPr="007A6FE3">
        <w:rPr>
          <w:rStyle w:val="FootnoteReference"/>
        </w:rPr>
        <w:footnoteRef/>
      </w:r>
      <w:r w:rsidRPr="007A6FE3">
        <w:t xml:space="preserve"> </w:t>
      </w:r>
      <w:r w:rsidRPr="007A6FE3">
        <w:rPr>
          <w:i/>
        </w:rPr>
        <w:t>Id.</w:t>
      </w:r>
    </w:p>
  </w:footnote>
  <w:footnote w:id="132">
    <w:p w14:paraId="410E49AB" w14:textId="77777777" w:rsidR="00FE1B54" w:rsidRPr="007A6FE3" w:rsidRDefault="00FE1B54" w:rsidP="0064506B">
      <w:pPr>
        <w:pStyle w:val="FootnoteText"/>
      </w:pPr>
      <w:r w:rsidRPr="007A6FE3">
        <w:rPr>
          <w:rStyle w:val="FootnoteReference"/>
        </w:rPr>
        <w:footnoteRef/>
      </w:r>
      <w:r w:rsidRPr="007A6FE3">
        <w:t xml:space="preserve"> </w:t>
      </w:r>
      <w:r w:rsidRPr="007A6FE3">
        <w:rPr>
          <w:i/>
        </w:rPr>
        <w:t>Id</w:t>
      </w:r>
      <w:r w:rsidRPr="007A6FE3">
        <w:t>., § 214(d).</w:t>
      </w:r>
    </w:p>
  </w:footnote>
  <w:footnote w:id="133">
    <w:p w14:paraId="5C2CEC60" w14:textId="77777777" w:rsidR="00FE1B54" w:rsidRPr="007A6FE3" w:rsidRDefault="00FE1B54" w:rsidP="008A77F7">
      <w:pPr>
        <w:pStyle w:val="FootnoteText"/>
      </w:pPr>
      <w:r w:rsidRPr="007A6FE3">
        <w:rPr>
          <w:rStyle w:val="FootnoteReference"/>
        </w:rPr>
        <w:footnoteRef/>
      </w:r>
      <w:r w:rsidRPr="007A6FE3">
        <w:t xml:space="preserve"> </w:t>
      </w:r>
      <w:r w:rsidRPr="007A6FE3">
        <w:rPr>
          <w:i/>
        </w:rPr>
        <w:t>Id</w:t>
      </w:r>
      <w:r w:rsidRPr="007A6FE3">
        <w:t>., § 214(a).</w:t>
      </w:r>
    </w:p>
  </w:footnote>
  <w:footnote w:id="134">
    <w:p w14:paraId="4275151D" w14:textId="77777777" w:rsidR="00FE1B54" w:rsidRPr="007A6FE3" w:rsidRDefault="00FE1B54" w:rsidP="0064506B">
      <w:pPr>
        <w:pStyle w:val="FootnoteText"/>
      </w:pPr>
      <w:r w:rsidRPr="007A6FE3">
        <w:rPr>
          <w:rStyle w:val="FootnoteReference"/>
        </w:rPr>
        <w:footnoteRef/>
      </w:r>
      <w:r w:rsidRPr="007A6FE3">
        <w:t xml:space="preserve"> </w:t>
      </w:r>
      <w:r w:rsidRPr="007A6FE3">
        <w:rPr>
          <w:i/>
        </w:rPr>
        <w:t>Id.</w:t>
      </w:r>
      <w:r w:rsidRPr="007A6FE3">
        <w:t>, §§ 301, 303(b), 316.</w:t>
      </w:r>
    </w:p>
  </w:footnote>
  <w:footnote w:id="135">
    <w:p w14:paraId="20B7C524" w14:textId="77777777" w:rsidR="00FE1B54" w:rsidRPr="007A6FE3" w:rsidRDefault="00FE1B54" w:rsidP="0064506B">
      <w:pPr>
        <w:pStyle w:val="FootnoteText"/>
      </w:pPr>
      <w:r w:rsidRPr="007A6FE3">
        <w:rPr>
          <w:rStyle w:val="FootnoteReference"/>
        </w:rPr>
        <w:footnoteRef/>
      </w:r>
      <w:r w:rsidRPr="007A6FE3">
        <w:t xml:space="preserve"> </w:t>
      </w:r>
      <w:r w:rsidRPr="007A6FE3">
        <w:rPr>
          <w:i/>
        </w:rPr>
        <w:t>See, e.g.</w:t>
      </w:r>
      <w:r w:rsidRPr="007A6FE3">
        <w:t>,</w:t>
      </w:r>
      <w:r w:rsidRPr="007A6FE3">
        <w:rPr>
          <w:i/>
        </w:rPr>
        <w:t xml:space="preserve"> </w:t>
      </w:r>
      <w:r w:rsidRPr="007A6FE3">
        <w:t>47 U.S.C. § 151 (directing the Commission to “promot[e] safety of life and property through the use of wire and radio communications” and “to make available, so far as possible, to all the people of the United States . . . a rapid, efficient, Nation-wide, and world-wide wire and radio communication service with adequate facilities at reasonable charges”).</w:t>
      </w:r>
    </w:p>
  </w:footnote>
  <w:footnote w:id="136">
    <w:p w14:paraId="4512B41E" w14:textId="77777777" w:rsidR="00FE1B54" w:rsidRPr="007A6FE3" w:rsidRDefault="00FE1B54" w:rsidP="0064506B">
      <w:pPr>
        <w:pStyle w:val="FootnoteText"/>
      </w:pPr>
      <w:r w:rsidRPr="007A6FE3">
        <w:rPr>
          <w:rStyle w:val="FootnoteReference"/>
        </w:rPr>
        <w:footnoteRef/>
      </w:r>
      <w:r w:rsidRPr="007A6FE3">
        <w:t xml:space="preserve"> </w:t>
      </w:r>
      <w:r w:rsidRPr="007A6FE3">
        <w:rPr>
          <w:i/>
        </w:rPr>
        <w:t>See American Library Ass’n. v. FCC</w:t>
      </w:r>
      <w:r w:rsidRPr="007A6FE3">
        <w:t>, 406 F.3d 689, 691-92 (D.C. Cir. 2005) (“The Commission . . . may exercise ancillary jurisdiction only when two conditions are satisfied: (1) the Commission’s general jurisdictional grant under Title I covers the regulated subject and (2) the regulations are reasonably ancillary to the Commission’s effective performance of its statutorily mandated responsibilities.”); 47 U.S.C. § 154(i) (“The Commission may perform any and all acts, make such rules and regulations, and issue such orders, not inconsistent with this chapter, as may be necessary in the execution of its functions.”).</w:t>
      </w:r>
    </w:p>
  </w:footnote>
  <w:footnote w:id="137">
    <w:p w14:paraId="7994CC05" w14:textId="77777777" w:rsidR="00FE1B54" w:rsidRPr="007A6FE3" w:rsidRDefault="00FE1B54" w:rsidP="0064506B">
      <w:pPr>
        <w:pStyle w:val="FootnoteText"/>
      </w:pPr>
      <w:r w:rsidRPr="007A6FE3">
        <w:rPr>
          <w:rStyle w:val="FootnoteReference"/>
        </w:rPr>
        <w:footnoteRef/>
      </w:r>
      <w:r w:rsidRPr="007A6FE3">
        <w:t xml:space="preserve"> </w:t>
      </w:r>
      <w:r w:rsidRPr="007A6FE3">
        <w:rPr>
          <w:i/>
        </w:rPr>
        <w:t>Id</w:t>
      </w:r>
      <w:r w:rsidRPr="007A6FE3">
        <w:t>. at 3.</w:t>
      </w:r>
    </w:p>
  </w:footnote>
  <w:footnote w:id="138">
    <w:p w14:paraId="5C63D5F3" w14:textId="77777777" w:rsidR="00FE1B54" w:rsidRPr="007A6FE3" w:rsidRDefault="00FE1B54" w:rsidP="0064506B">
      <w:pPr>
        <w:pStyle w:val="FootnoteText"/>
      </w:pPr>
      <w:r w:rsidRPr="007A6FE3">
        <w:rPr>
          <w:rStyle w:val="FootnoteReference"/>
        </w:rPr>
        <w:footnoteRef/>
      </w:r>
      <w:r w:rsidRPr="007A6FE3">
        <w:t xml:space="preserve"> </w:t>
      </w:r>
      <w:r w:rsidRPr="007A6FE3">
        <w:rPr>
          <w:i/>
        </w:rPr>
        <w:t>CSRIC CPE Powering Report</w:t>
      </w:r>
      <w:r w:rsidRPr="007A6FE3">
        <w:t xml:space="preserve"> at 20-21.</w:t>
      </w:r>
    </w:p>
  </w:footnote>
  <w:footnote w:id="139">
    <w:p w14:paraId="7D13A81C" w14:textId="77777777" w:rsidR="00FE1B54" w:rsidRPr="007A6FE3" w:rsidRDefault="00FE1B54" w:rsidP="006162E0">
      <w:pPr>
        <w:pStyle w:val="FootnoteText"/>
      </w:pPr>
      <w:r w:rsidRPr="007A6FE3">
        <w:rPr>
          <w:rStyle w:val="FootnoteReference"/>
        </w:rPr>
        <w:footnoteRef/>
      </w:r>
      <w:r w:rsidRPr="007A6FE3">
        <w:t xml:space="preserve"> </w:t>
      </w:r>
      <w:r w:rsidRPr="007A6FE3">
        <w:rPr>
          <w:i/>
        </w:rPr>
        <w:t>See</w:t>
      </w:r>
      <w:r w:rsidRPr="007A6FE3">
        <w:t xml:space="preserve"> 47 C.F.R. § 51.333(b)(2); </w:t>
      </w:r>
      <w:r w:rsidRPr="007A6FE3">
        <w:rPr>
          <w:i/>
        </w:rPr>
        <w:t>see also id</w:t>
      </w:r>
      <w:r w:rsidRPr="007A6FE3">
        <w:t>., § 51.319(a)(iv) (regarding unbundling requirements for copper loops).</w:t>
      </w:r>
    </w:p>
  </w:footnote>
  <w:footnote w:id="140">
    <w:p w14:paraId="76253C65" w14:textId="77777777" w:rsidR="00FE1B54" w:rsidRPr="007A6FE3" w:rsidRDefault="00FE1B54">
      <w:pPr>
        <w:pStyle w:val="FootnoteText"/>
      </w:pPr>
      <w:r w:rsidRPr="007A6FE3">
        <w:rPr>
          <w:rStyle w:val="FootnoteReference"/>
        </w:rPr>
        <w:footnoteRef/>
      </w:r>
      <w:r w:rsidRPr="007A6FE3">
        <w:t xml:space="preserve"> </w:t>
      </w:r>
      <w:r w:rsidRPr="007A6FE3">
        <w:rPr>
          <w:i/>
        </w:rPr>
        <w:t>See,</w:t>
      </w:r>
      <w:r w:rsidRPr="007A6FE3">
        <w:t xml:space="preserve"> </w:t>
      </w:r>
      <w:r w:rsidRPr="007A6FE3">
        <w:rPr>
          <w:i/>
        </w:rPr>
        <w:t>e.g.</w:t>
      </w:r>
      <w:r w:rsidRPr="007A6FE3">
        <w:t xml:space="preserve">, </w:t>
      </w:r>
      <w:r w:rsidRPr="007A6FE3">
        <w:rPr>
          <w:i/>
        </w:rPr>
        <w:t>id</w:t>
      </w:r>
      <w:r w:rsidRPr="007A6FE3">
        <w:t>., § 51.325(a)(4).</w:t>
      </w:r>
    </w:p>
  </w:footnote>
  <w:footnote w:id="141">
    <w:p w14:paraId="0D8AE335" w14:textId="77777777" w:rsidR="00FE1B54" w:rsidRPr="007A6FE3" w:rsidRDefault="00FE1B54" w:rsidP="00D10FBC">
      <w:pPr>
        <w:pStyle w:val="FootnoteText"/>
      </w:pPr>
      <w:r w:rsidRPr="007A6FE3">
        <w:rPr>
          <w:rStyle w:val="FootnoteReference"/>
        </w:rPr>
        <w:footnoteRef/>
      </w:r>
      <w:r w:rsidRPr="007A6FE3">
        <w:t xml:space="preserve"> BridgeCom et al. Petition at 12; </w:t>
      </w:r>
      <w:r w:rsidRPr="007A6FE3">
        <w:rPr>
          <w:i/>
        </w:rPr>
        <w:t>see also</w:t>
      </w:r>
      <w:r w:rsidRPr="007A6FE3">
        <w:t xml:space="preserve"> TelePacific et al. Request to Refresh Record at 22.  Indeed, BridgeCom pointed to “Bellsouth’s rush to unnecessarily retire the feeder portion of copper loops.”  BridgeCom et al. Petition at 6.</w:t>
      </w:r>
    </w:p>
  </w:footnote>
  <w:footnote w:id="142">
    <w:p w14:paraId="243B2D1D" w14:textId="77777777" w:rsidR="00FE1B54" w:rsidRPr="007A6FE3" w:rsidRDefault="00FE1B54" w:rsidP="004E317D">
      <w:pPr>
        <w:pStyle w:val="FootnoteText"/>
        <w:rPr>
          <w:rFonts w:ascii="TimesNewRomanPSMT" w:hAnsi="TimesNewRomanPSMT" w:cs="TimesNewRomanPSMT"/>
          <w:sz w:val="24"/>
          <w:szCs w:val="24"/>
        </w:rPr>
      </w:pPr>
      <w:r w:rsidRPr="007A6FE3">
        <w:rPr>
          <w:rStyle w:val="FootnoteReference"/>
        </w:rPr>
        <w:footnoteRef/>
      </w:r>
      <w:r w:rsidRPr="007A6FE3">
        <w:t xml:space="preserve"> </w:t>
      </w:r>
      <w:r w:rsidRPr="007A6FE3">
        <w:rPr>
          <w:i/>
        </w:rPr>
        <w:t>See</w:t>
      </w:r>
      <w:r w:rsidRPr="007A6FE3">
        <w:t xml:space="preserve"> </w:t>
      </w:r>
      <w:r w:rsidRPr="007A6FE3">
        <w:rPr>
          <w:i/>
        </w:rPr>
        <w:t>supra</w:t>
      </w:r>
      <w:r w:rsidRPr="007A6FE3">
        <w:t xml:space="preserve"> para. </w:t>
      </w:r>
      <w:r w:rsidRPr="007A6FE3">
        <w:fldChar w:fldCharType="begin"/>
      </w:r>
      <w:r w:rsidRPr="007A6FE3">
        <w:instrText xml:space="preserve"> REF _Ref401314044 \r \h </w:instrText>
      </w:r>
      <w:r>
        <w:instrText xml:space="preserve"> \* MERGEFORMAT </w:instrText>
      </w:r>
      <w:r w:rsidRPr="007A6FE3">
        <w:fldChar w:fldCharType="separate"/>
      </w:r>
      <w:r w:rsidR="008A38E8">
        <w:t>19</w:t>
      </w:r>
      <w:r w:rsidRPr="007A6FE3">
        <w:fldChar w:fldCharType="end"/>
      </w:r>
      <w:r w:rsidRPr="007A6FE3">
        <w:t>.</w:t>
      </w:r>
      <w:r w:rsidRPr="007A6FE3">
        <w:rPr>
          <w:i/>
        </w:rPr>
        <w:t xml:space="preserve"> </w:t>
      </w:r>
    </w:p>
  </w:footnote>
  <w:footnote w:id="143">
    <w:p w14:paraId="0D3E889B" w14:textId="77777777" w:rsidR="00FE1B54" w:rsidRPr="007A6FE3" w:rsidRDefault="00FE1B54" w:rsidP="004E317D">
      <w:pPr>
        <w:pStyle w:val="FootnoteText"/>
      </w:pPr>
      <w:r w:rsidRPr="007A6FE3">
        <w:rPr>
          <w:rStyle w:val="FootnoteReference"/>
        </w:rPr>
        <w:footnoteRef/>
      </w:r>
      <w:r w:rsidRPr="007A6FE3">
        <w:t xml:space="preserve"> Public Knowledge et al. May 12, 2014 Letter at 1.</w:t>
      </w:r>
    </w:p>
  </w:footnote>
  <w:footnote w:id="144">
    <w:p w14:paraId="330B5855" w14:textId="77777777" w:rsidR="00FE1B54" w:rsidRPr="007A6FE3" w:rsidRDefault="00FE1B54" w:rsidP="003B7D45">
      <w:pPr>
        <w:pStyle w:val="FootnoteText"/>
      </w:pPr>
      <w:r w:rsidRPr="007A6FE3">
        <w:rPr>
          <w:rStyle w:val="FootnoteReference"/>
        </w:rPr>
        <w:footnoteRef/>
      </w:r>
      <w:r w:rsidRPr="007A6FE3">
        <w:t xml:space="preserve"> </w:t>
      </w:r>
      <w:r w:rsidRPr="007A6FE3">
        <w:rPr>
          <w:i/>
        </w:rPr>
        <w:t>Id</w:t>
      </w:r>
      <w:r w:rsidRPr="007A6FE3">
        <w:t>. at 2.</w:t>
      </w:r>
    </w:p>
  </w:footnote>
  <w:footnote w:id="145">
    <w:p w14:paraId="55488D4B" w14:textId="77777777" w:rsidR="00FE1B54" w:rsidRPr="007A6FE3" w:rsidRDefault="00FE1B54" w:rsidP="00BE65A7">
      <w:pPr>
        <w:pStyle w:val="FootnoteText"/>
      </w:pPr>
      <w:r w:rsidRPr="007A6FE3">
        <w:rPr>
          <w:rStyle w:val="FootnoteReference"/>
        </w:rPr>
        <w:footnoteRef/>
      </w:r>
      <w:r w:rsidRPr="007A6FE3">
        <w:t xml:space="preserve"> </w:t>
      </w:r>
      <w:r w:rsidRPr="007A6FE3">
        <w:rPr>
          <w:i/>
        </w:rPr>
        <w:t>See Triennial Review Order</w:t>
      </w:r>
      <w:r w:rsidRPr="007A6FE3">
        <w:t>, 18 FCC Rcd at 17148, para. 284 (“[W]e stress that we are not preempting the ability of any state commission to evaluate an incumbent LEC's retirement of its copper loops to ensure such retirement complies with any applicable state legal or regulatory requirements.”).</w:t>
      </w:r>
    </w:p>
  </w:footnote>
  <w:footnote w:id="146">
    <w:p w14:paraId="5B615CF9" w14:textId="77777777" w:rsidR="00FE1B54" w:rsidRPr="007A6FE3" w:rsidRDefault="00FE1B54">
      <w:pPr>
        <w:pStyle w:val="FootnoteText"/>
      </w:pPr>
      <w:r w:rsidRPr="007A6FE3">
        <w:rPr>
          <w:rStyle w:val="FootnoteReference"/>
        </w:rPr>
        <w:footnoteRef/>
      </w:r>
      <w:r w:rsidRPr="007A6FE3">
        <w:t xml:space="preserve"> </w:t>
      </w:r>
      <w:r w:rsidRPr="007A6FE3">
        <w:rPr>
          <w:i/>
        </w:rPr>
        <w:t>See</w:t>
      </w:r>
      <w:r w:rsidRPr="007A6FE3">
        <w:t xml:space="preserve"> Appendix A to this Notice.</w:t>
      </w:r>
    </w:p>
  </w:footnote>
  <w:footnote w:id="147">
    <w:p w14:paraId="4138976C" w14:textId="77777777" w:rsidR="00FE1B54" w:rsidRPr="007A6FE3" w:rsidRDefault="00FE1B54" w:rsidP="00DB174C">
      <w:pPr>
        <w:pStyle w:val="FootnoteText"/>
      </w:pPr>
      <w:r w:rsidRPr="007A6FE3">
        <w:rPr>
          <w:rStyle w:val="FootnoteReference"/>
        </w:rPr>
        <w:footnoteRef/>
      </w:r>
      <w:r w:rsidRPr="007A6FE3">
        <w:t xml:space="preserve"> </w:t>
      </w:r>
      <w:r w:rsidRPr="007A6FE3">
        <w:rPr>
          <w:i/>
        </w:rPr>
        <w:t>See,</w:t>
      </w:r>
      <w:r w:rsidRPr="007A6FE3">
        <w:t xml:space="preserve"> </w:t>
      </w:r>
      <w:r w:rsidRPr="007A6FE3">
        <w:rPr>
          <w:i/>
        </w:rPr>
        <w:t>e.g.</w:t>
      </w:r>
      <w:r w:rsidRPr="007A6FE3">
        <w:t xml:space="preserve">, XO et al. Petition at 19-20; </w:t>
      </w:r>
      <w:r w:rsidRPr="007A6FE3">
        <w:rPr>
          <w:i/>
        </w:rPr>
        <w:t>see also</w:t>
      </w:r>
      <w:r w:rsidRPr="007A6FE3">
        <w:t xml:space="preserve"> BridgeCom et al. Petition at 1-12 (asserting that copper retirement should only be allowed in limited circumstances).</w:t>
      </w:r>
    </w:p>
  </w:footnote>
  <w:footnote w:id="148">
    <w:p w14:paraId="3315D158" w14:textId="77777777" w:rsidR="00FE1B54" w:rsidRPr="007A6FE3" w:rsidRDefault="00FE1B54" w:rsidP="00EF5733">
      <w:pPr>
        <w:pStyle w:val="FootnoteText"/>
      </w:pPr>
      <w:r w:rsidRPr="007A6FE3">
        <w:rPr>
          <w:rStyle w:val="FootnoteReference"/>
        </w:rPr>
        <w:footnoteRef/>
      </w:r>
      <w:r w:rsidRPr="007A6FE3">
        <w:t xml:space="preserve"> </w:t>
      </w:r>
      <w:r w:rsidRPr="007A6FE3">
        <w:rPr>
          <w:i/>
        </w:rPr>
        <w:t xml:space="preserve">See </w:t>
      </w:r>
      <w:r w:rsidRPr="007A6FE3">
        <w:t xml:space="preserve">Appendix A, proposed revisions to sections 51.327(a)(6) and 51.332(c)(1).  We emphasize that we do not seek through this proposal to provide an exemption from the statutory requirement pursuant to section 214(a) to obtain authorization to discontinue, reduce, or impair service to a community or part of a community.   </w:t>
      </w:r>
    </w:p>
  </w:footnote>
  <w:footnote w:id="149">
    <w:p w14:paraId="670CDEE7" w14:textId="77777777" w:rsidR="00FE1B54" w:rsidRPr="007A6FE3" w:rsidRDefault="00FE1B54" w:rsidP="00EF5733">
      <w:pPr>
        <w:pStyle w:val="FootnoteText"/>
      </w:pPr>
      <w:r w:rsidRPr="007A6FE3">
        <w:rPr>
          <w:rStyle w:val="FootnoteReference"/>
        </w:rPr>
        <w:footnoteRef/>
      </w:r>
      <w:r w:rsidRPr="007A6FE3">
        <w:t xml:space="preserve"> </w:t>
      </w:r>
      <w:r w:rsidRPr="007A6FE3">
        <w:rPr>
          <w:i/>
        </w:rPr>
        <w:t>See</w:t>
      </w:r>
      <w:r w:rsidRPr="007A6FE3">
        <w:t xml:space="preserve"> </w:t>
      </w:r>
      <w:r w:rsidRPr="007A6FE3">
        <w:rPr>
          <w:i/>
        </w:rPr>
        <w:t>id</w:t>
      </w:r>
      <w:r w:rsidRPr="007A6FE3">
        <w:t>., proposed section 51.332(d);</w:t>
      </w:r>
      <w:r w:rsidRPr="007A6FE3">
        <w:rPr>
          <w:i/>
        </w:rPr>
        <w:t xml:space="preserve"> see also </w:t>
      </w:r>
      <w:r w:rsidRPr="007A6FE3">
        <w:t xml:space="preserve">47 C.F.R. § 51.333(a).  The short term notice provisions of our network change notification rules, which apply “[i]f an incumbent LEC wishes to provide less than six months notice of planned network changes,” require the incumbent LEC to file a certification with the Commission stating that “at least five business days in advance of its filing with the Commission, the incumbent LEC served a copy of its public notice upon each telephone exchange service provider that directly interconnects with the incumbent LEC's network.”  47 C.F.R. § 51.333(a)(1).  Our network change notification rules state that “[i]ncumbent LEC notice of intent to [retire copper] shall be subject to the short term notice provisions of this section . . . .”  </w:t>
      </w:r>
      <w:r w:rsidRPr="007A6FE3">
        <w:rPr>
          <w:i/>
        </w:rPr>
        <w:t>Id</w:t>
      </w:r>
      <w:r w:rsidRPr="007A6FE3">
        <w:t xml:space="preserve">. § 51.333(b)(2).  We have not addressed the question of whether under our current rules an incumbent LEC must comply with the short term notice provisions for a copper retirement if it wishes to provide six months or more of advanced notice. </w:t>
      </w:r>
    </w:p>
  </w:footnote>
  <w:footnote w:id="150">
    <w:p w14:paraId="73D03E20" w14:textId="77777777" w:rsidR="00FE1B54" w:rsidRPr="007A6FE3" w:rsidRDefault="00FE1B54" w:rsidP="003F0F7D">
      <w:pPr>
        <w:pStyle w:val="FootnoteText"/>
      </w:pPr>
      <w:r w:rsidRPr="007A6FE3">
        <w:rPr>
          <w:rStyle w:val="FootnoteReference"/>
        </w:rPr>
        <w:footnoteRef/>
      </w:r>
      <w:r w:rsidRPr="00327DFB">
        <w:t xml:space="preserve"> </w:t>
      </w:r>
      <w:r w:rsidRPr="00327DFB">
        <w:rPr>
          <w:rStyle w:val="FootnoteTextChar"/>
          <w:i/>
        </w:rPr>
        <w:t>See</w:t>
      </w:r>
      <w:r w:rsidRPr="008100F2">
        <w:rPr>
          <w:rStyle w:val="FootnoteTextChar"/>
        </w:rPr>
        <w:t xml:space="preserve"> Letter from Thomas Jones, Willkie Farr &amp; Gallagher LLP, to Marlene H. Dortch, Secretary, FCC, Docket Nos. 13-5 and 12-353, Attach. at 3 (dated May 14, 2014) (“</w:t>
      </w:r>
      <w:r w:rsidRPr="008100F2">
        <w:rPr>
          <w:rStyle w:val="FootnoteTextChar"/>
          <w:rFonts w:eastAsiaTheme="minorHAnsi"/>
        </w:rPr>
        <w:t xml:space="preserve">CLECs know that they must plan ahead and begin buying packet-based </w:t>
      </w:r>
      <w:r w:rsidRPr="004D4278">
        <w:rPr>
          <w:rStyle w:val="FootnoteTextChar"/>
        </w:rPr>
        <w:t>services</w:t>
      </w:r>
      <w:r w:rsidRPr="004D4278">
        <w:rPr>
          <w:rStyle w:val="FootnoteTextChar"/>
          <w:rFonts w:eastAsiaTheme="minorHAnsi"/>
        </w:rPr>
        <w:t xml:space="preserve"> now in an area in which regulated DS1 and DS3 inputs might well be eliminated.  Customers are far more efficiently transitioned at the beginning of a contract, rather than in the middle . . . .</w:t>
      </w:r>
      <w:r w:rsidRPr="003F0F7D">
        <w:rPr>
          <w:rStyle w:val="FootnoteTextChar"/>
        </w:rPr>
        <w:t xml:space="preserve">”); Windstream Apr. 28 </w:t>
      </w:r>
      <w:r w:rsidRPr="003F0F7D">
        <w:rPr>
          <w:rStyle w:val="FootnoteTextChar"/>
          <w:i/>
        </w:rPr>
        <w:t>Ex Parte</w:t>
      </w:r>
      <w:r w:rsidRPr="003F0F7D">
        <w:rPr>
          <w:rStyle w:val="FootnoteTextChar"/>
        </w:rPr>
        <w:t xml:space="preserve"> Letter at 11 (“Given the importance of the competitive issues raised, wholesale customers need significant lead time so that they can both plan for the necessary changes to their products as well as prepare their customers for changes to offerings dependent upon ILEC last-mile facilities.”).</w:t>
      </w:r>
    </w:p>
  </w:footnote>
  <w:footnote w:id="151">
    <w:p w14:paraId="16EC3548" w14:textId="77777777" w:rsidR="00FE1B54" w:rsidRPr="007A6FE3" w:rsidRDefault="00FE1B54">
      <w:pPr>
        <w:pStyle w:val="FootnoteText"/>
      </w:pPr>
      <w:r w:rsidRPr="007A6FE3">
        <w:rPr>
          <w:rStyle w:val="FootnoteReference"/>
        </w:rPr>
        <w:footnoteRef/>
      </w:r>
      <w:r w:rsidRPr="007A6FE3">
        <w:t xml:space="preserve"> 47 U.S.C. § 251(c)(5).</w:t>
      </w:r>
    </w:p>
  </w:footnote>
  <w:footnote w:id="152">
    <w:p w14:paraId="7EC4D51B" w14:textId="77777777" w:rsidR="00FE1B54" w:rsidRPr="007A6FE3" w:rsidRDefault="00FE1B54" w:rsidP="00A32C66">
      <w:pPr>
        <w:pStyle w:val="FootnoteText"/>
      </w:pPr>
      <w:r w:rsidRPr="007A6FE3">
        <w:rPr>
          <w:rStyle w:val="FootnoteReference"/>
        </w:rPr>
        <w:footnoteRef/>
      </w:r>
      <w:r w:rsidRPr="007A6FE3">
        <w:t xml:space="preserve"> 47 C.F.R. § 51.333(c).  </w:t>
      </w:r>
    </w:p>
  </w:footnote>
  <w:footnote w:id="153">
    <w:p w14:paraId="603077B9" w14:textId="2B8D4178" w:rsidR="00FE1B54" w:rsidRPr="007A6FE3" w:rsidRDefault="00FE1B54" w:rsidP="00A32C66">
      <w:pPr>
        <w:pStyle w:val="FootnoteText"/>
      </w:pPr>
      <w:r w:rsidRPr="007A6FE3">
        <w:rPr>
          <w:rStyle w:val="FootnoteReference"/>
        </w:rPr>
        <w:footnoteRef/>
      </w:r>
      <w:r w:rsidRPr="007A6FE3">
        <w:t xml:space="preserve"> </w:t>
      </w:r>
      <w:r w:rsidRPr="007A6FE3">
        <w:rPr>
          <w:i/>
        </w:rPr>
        <w:t>See,</w:t>
      </w:r>
      <w:r w:rsidRPr="007A6FE3">
        <w:t xml:space="preserve"> </w:t>
      </w:r>
      <w:r w:rsidRPr="007A6FE3">
        <w:rPr>
          <w:i/>
        </w:rPr>
        <w:t>e.g.</w:t>
      </w:r>
      <w:r w:rsidRPr="007A6FE3">
        <w:t xml:space="preserve">, Public Knowledge et al. May 12, 2014 Letter at 3 (“The Maryland Office of People’s Counsel … has also previously testified [in a proceeding before the Maryland Public Service Commission] that Verizon routinely migrates customers from the copper network to unregulated services with inadequate procedures for customer notice and consent.”).  Verizon has denied these allegations, asserting that “[w]hile millions of customers have elected to switch to Verizon’s best-in-class FiOS service – provisioned over fiber-optic cable – many others, including those who so choose in these two wire centers [where copper has been retired], receive the same traditional phone service, with the same features and at the same or better price, over Verizon’s advanced fiber network.”  </w:t>
      </w:r>
      <w:r w:rsidRPr="007A6FE3">
        <w:rPr>
          <w:i/>
        </w:rPr>
        <w:t>See Verizon Responds to the FCC: Fiber is Better, Even for POTS</w:t>
      </w:r>
      <w:r w:rsidRPr="007A6FE3">
        <w:t xml:space="preserve"> (May 2</w:t>
      </w:r>
      <w:r>
        <w:t>9</w:t>
      </w:r>
      <w:r w:rsidRPr="007A6FE3">
        <w:t xml:space="preserve">, 2014),  </w:t>
      </w:r>
      <w:hyperlink r:id="rId32" w:history="1">
        <w:r w:rsidRPr="007A6FE3">
          <w:rPr>
            <w:rStyle w:val="Hyperlink"/>
          </w:rPr>
          <w:t>http://publicpolicy.verizon.com/blog/entry/verizon-responds-to-the-fcc-fiber-is-better-even-for-pots</w:t>
        </w:r>
      </w:hyperlink>
      <w:r w:rsidRPr="007A6FE3">
        <w:t>.</w:t>
      </w:r>
    </w:p>
  </w:footnote>
  <w:footnote w:id="154">
    <w:p w14:paraId="3E6DEB6B" w14:textId="4E020050" w:rsidR="00FE1B54" w:rsidRPr="007A6FE3" w:rsidRDefault="00FE1B54" w:rsidP="006069BA">
      <w:pPr>
        <w:pStyle w:val="FootnoteText"/>
      </w:pPr>
      <w:r w:rsidRPr="007A6FE3">
        <w:rPr>
          <w:rStyle w:val="FootnoteReference"/>
        </w:rPr>
        <w:footnoteRef/>
      </w:r>
      <w:r w:rsidRPr="007A6FE3">
        <w:t xml:space="preserve"> </w:t>
      </w:r>
      <w:r w:rsidRPr="007A6FE3">
        <w:rPr>
          <w:i/>
        </w:rPr>
        <w:t xml:space="preserve">See </w:t>
      </w:r>
      <w:r w:rsidRPr="007A6FE3">
        <w:t xml:space="preserve">Julie Veach, Chief, Wireline Competition Bureau, FCC, Protecting Consumers in the Transition from Copper Networks (May 17, 2014), </w:t>
      </w:r>
      <w:hyperlink r:id="rId33" w:history="1">
        <w:r w:rsidRPr="007A6FE3">
          <w:rPr>
            <w:rStyle w:val="Hyperlink"/>
          </w:rPr>
          <w:t>http://www.fcc.gov/blog/protecting-consumers-transition-copper-networks</w:t>
        </w:r>
      </w:hyperlink>
      <w:r w:rsidRPr="007A6FE3">
        <w:t xml:space="preserve"> (Commission Copper Retirement Blog Post.</w:t>
      </w:r>
    </w:p>
  </w:footnote>
  <w:footnote w:id="155">
    <w:p w14:paraId="19ED4157" w14:textId="77777777" w:rsidR="00FE1B54" w:rsidRPr="007A6FE3" w:rsidRDefault="00FE1B54">
      <w:pPr>
        <w:pStyle w:val="FootnoteText"/>
      </w:pPr>
      <w:r w:rsidRPr="007A6FE3">
        <w:rPr>
          <w:rStyle w:val="FootnoteReference"/>
        </w:rPr>
        <w:footnoteRef/>
      </w:r>
      <w:r w:rsidRPr="007A6FE3">
        <w:t xml:space="preserve"> We do not limit this proposal to residential consumers.  Rather, references to “retail customers” and “subscribers” include non-residential users such as businesses and anchor institutions.</w:t>
      </w:r>
    </w:p>
  </w:footnote>
  <w:footnote w:id="156">
    <w:p w14:paraId="3DF05570" w14:textId="77777777" w:rsidR="00FE1B54" w:rsidRPr="007A6FE3" w:rsidRDefault="00FE1B54" w:rsidP="00F22F4E">
      <w:pPr>
        <w:pStyle w:val="FootnoteText"/>
      </w:pPr>
      <w:r w:rsidRPr="007A6FE3">
        <w:rPr>
          <w:rStyle w:val="FootnoteReference"/>
        </w:rPr>
        <w:footnoteRef/>
      </w:r>
      <w:r w:rsidRPr="007A6FE3">
        <w:t xml:space="preserve"> </w:t>
      </w:r>
      <w:r w:rsidRPr="007A6FE3">
        <w:rPr>
          <w:i/>
        </w:rPr>
        <w:t>See</w:t>
      </w:r>
      <w:r w:rsidRPr="007A6FE3">
        <w:t xml:space="preserve"> Appendix A, proposed section 51.332(b).</w:t>
      </w:r>
    </w:p>
  </w:footnote>
  <w:footnote w:id="157">
    <w:p w14:paraId="480A7152" w14:textId="77777777" w:rsidR="00FE1B54" w:rsidRPr="007A6FE3" w:rsidRDefault="00FE1B54" w:rsidP="00F22F4E">
      <w:pPr>
        <w:pStyle w:val="FootnoteText"/>
      </w:pPr>
      <w:r w:rsidRPr="007A6FE3">
        <w:rPr>
          <w:rStyle w:val="FootnoteReference"/>
        </w:rPr>
        <w:footnoteRef/>
      </w:r>
      <w:r w:rsidRPr="007A6FE3">
        <w:t xml:space="preserve"> </w:t>
      </w:r>
      <w:r w:rsidRPr="007A6FE3">
        <w:rPr>
          <w:i/>
        </w:rPr>
        <w:t>See id</w:t>
      </w:r>
      <w:r w:rsidRPr="007A6FE3">
        <w:t>., proposed section 51.332(b)(3).</w:t>
      </w:r>
    </w:p>
  </w:footnote>
  <w:footnote w:id="158">
    <w:p w14:paraId="53AA2324" w14:textId="77777777" w:rsidR="00FE1B54" w:rsidRPr="007A6FE3" w:rsidRDefault="00FE1B54">
      <w:pPr>
        <w:pStyle w:val="FootnoteText"/>
      </w:pPr>
      <w:r w:rsidRPr="007A6FE3">
        <w:rPr>
          <w:rStyle w:val="FootnoteReference"/>
        </w:rPr>
        <w:footnoteRef/>
      </w:r>
      <w:r w:rsidRPr="007A6FE3">
        <w:t xml:space="preserve"> </w:t>
      </w:r>
      <w:r w:rsidRPr="007A6FE3">
        <w:rPr>
          <w:i/>
        </w:rPr>
        <w:t xml:space="preserve">See infra </w:t>
      </w:r>
      <w:r w:rsidRPr="007A6FE3">
        <w:t>Section III.B.1 (seeking comment on the issue of backup power).</w:t>
      </w:r>
    </w:p>
  </w:footnote>
  <w:footnote w:id="159">
    <w:p w14:paraId="4112F970" w14:textId="77777777" w:rsidR="00FE1B54" w:rsidRPr="007A6FE3" w:rsidRDefault="00FE1B54" w:rsidP="00F22F4E">
      <w:pPr>
        <w:pStyle w:val="FootnoteText"/>
      </w:pPr>
      <w:r w:rsidRPr="007A6FE3">
        <w:rPr>
          <w:rStyle w:val="FootnoteReference"/>
        </w:rPr>
        <w:footnoteRef/>
      </w:r>
      <w:r w:rsidRPr="007A6FE3">
        <w:t xml:space="preserve"> </w:t>
      </w:r>
      <w:r w:rsidRPr="007A6FE3">
        <w:rPr>
          <w:i/>
        </w:rPr>
        <w:t>See id</w:t>
      </w:r>
      <w:r w:rsidRPr="007A6FE3">
        <w:t>.</w:t>
      </w:r>
    </w:p>
  </w:footnote>
  <w:footnote w:id="160">
    <w:p w14:paraId="0FF823F8" w14:textId="77777777" w:rsidR="00FE1B54" w:rsidRPr="007A6FE3" w:rsidRDefault="00FE1B54" w:rsidP="00A32C66">
      <w:pPr>
        <w:pStyle w:val="FootnoteText"/>
      </w:pPr>
      <w:r w:rsidRPr="007A6FE3">
        <w:rPr>
          <w:rStyle w:val="FootnoteReference"/>
        </w:rPr>
        <w:footnoteRef/>
      </w:r>
      <w:r w:rsidRPr="007A6FE3">
        <w:t xml:space="preserve"> </w:t>
      </w:r>
      <w:r w:rsidRPr="007A6FE3">
        <w:rPr>
          <w:i/>
        </w:rPr>
        <w:t>Implementation of the Telecommunications Act of 1996: Telecommunications Carriers’ Use of Customer Proprietary Network Information and Other Customer Information, et al</w:t>
      </w:r>
      <w:r w:rsidRPr="007A6FE3">
        <w:t>., CC Docket No. 96-115, et al., Third Report and Order and Third Further Notice of Proposed Rulemaking, 17 FCC Rcd 14860, 14901, para. 92 (2002) (</w:t>
      </w:r>
      <w:r w:rsidRPr="007A6FE3">
        <w:rPr>
          <w:i/>
        </w:rPr>
        <w:t>2002 CPNI Order</w:t>
      </w:r>
      <w:r w:rsidRPr="007A6FE3">
        <w:t>).</w:t>
      </w:r>
    </w:p>
  </w:footnote>
  <w:footnote w:id="161">
    <w:p w14:paraId="3D88923F" w14:textId="77777777" w:rsidR="00FE1B54" w:rsidRPr="007A6FE3" w:rsidRDefault="00FE1B54" w:rsidP="008E2B58">
      <w:pPr>
        <w:pStyle w:val="FootnoteText"/>
      </w:pPr>
      <w:r w:rsidRPr="007A6FE3">
        <w:rPr>
          <w:rStyle w:val="FootnoteReference"/>
        </w:rPr>
        <w:footnoteRef/>
      </w:r>
      <w:r w:rsidRPr="007A6FE3">
        <w:t xml:space="preserve"> </w:t>
      </w:r>
      <w:r w:rsidRPr="007A6FE3">
        <w:rPr>
          <w:i/>
        </w:rPr>
        <w:t xml:space="preserve">See </w:t>
      </w:r>
      <w:r w:rsidRPr="007A6FE3">
        <w:t>Appendix A, proposed new section 51.332(b)(3)(ii).</w:t>
      </w:r>
    </w:p>
  </w:footnote>
  <w:footnote w:id="162">
    <w:p w14:paraId="3B5F5AB8" w14:textId="77777777" w:rsidR="00FE1B54" w:rsidRPr="007A6FE3" w:rsidRDefault="00FE1B54" w:rsidP="00A32C66">
      <w:pPr>
        <w:pStyle w:val="FootnoteText"/>
      </w:pPr>
      <w:r w:rsidRPr="007A6FE3">
        <w:rPr>
          <w:rStyle w:val="FootnoteReference"/>
        </w:rPr>
        <w:footnoteRef/>
      </w:r>
      <w:r w:rsidRPr="007A6FE3">
        <w:t xml:space="preserve"> </w:t>
      </w:r>
      <w:r w:rsidRPr="007A6FE3">
        <w:rPr>
          <w:i/>
        </w:rPr>
        <w:t>See,</w:t>
      </w:r>
      <w:r w:rsidRPr="007A6FE3">
        <w:t xml:space="preserve"> </w:t>
      </w:r>
      <w:r w:rsidRPr="007A6FE3">
        <w:rPr>
          <w:i/>
        </w:rPr>
        <w:t>e.g.</w:t>
      </w:r>
      <w:r w:rsidRPr="007A6FE3">
        <w:t>, 47 C.F.R. § 64.2008(d)(3)(i) (pertaining to CPNI opt-out notices).</w:t>
      </w:r>
    </w:p>
  </w:footnote>
  <w:footnote w:id="163">
    <w:p w14:paraId="54282AE5" w14:textId="2C21A781" w:rsidR="00FE1B54" w:rsidRPr="007A6FE3" w:rsidRDefault="00FE1B54" w:rsidP="00A32C66">
      <w:pPr>
        <w:pStyle w:val="FootnoteText"/>
      </w:pPr>
      <w:r w:rsidRPr="007A6FE3">
        <w:rPr>
          <w:rStyle w:val="FootnoteReference"/>
        </w:rPr>
        <w:footnoteRef/>
      </w:r>
      <w:r w:rsidRPr="007A6FE3">
        <w:t xml:space="preserve"> </w:t>
      </w:r>
      <w:r w:rsidRPr="007A6FE3">
        <w:rPr>
          <w:i/>
        </w:rPr>
        <w:t>See,</w:t>
      </w:r>
      <w:r w:rsidRPr="007A6FE3">
        <w:t xml:space="preserve"> </w:t>
      </w:r>
      <w:r w:rsidRPr="007A6FE3">
        <w:rPr>
          <w:i/>
        </w:rPr>
        <w:t>e.g.</w:t>
      </w:r>
      <w:r w:rsidRPr="007A6FE3">
        <w:t xml:space="preserve">, </w:t>
      </w:r>
      <w:r w:rsidR="00BA2783">
        <w:t>47 C.F.R.</w:t>
      </w:r>
      <w:r w:rsidRPr="007A6FE3">
        <w:t xml:space="preserve"> § 64.2008(d)(3)(iii) (pertaining to CPNI opt-out notices).</w:t>
      </w:r>
    </w:p>
  </w:footnote>
  <w:footnote w:id="164">
    <w:p w14:paraId="24027C2B" w14:textId="77777777" w:rsidR="00FE1B54" w:rsidRPr="007A6FE3" w:rsidRDefault="00FE1B54" w:rsidP="008A77F7">
      <w:pPr>
        <w:pStyle w:val="FootnoteText"/>
      </w:pPr>
      <w:r w:rsidRPr="007A6FE3">
        <w:rPr>
          <w:rStyle w:val="FootnoteReference"/>
        </w:rPr>
        <w:footnoteRef/>
      </w:r>
      <w:r w:rsidRPr="007A6FE3">
        <w:t xml:space="preserve"> </w:t>
      </w:r>
      <w:r w:rsidRPr="007A6FE3">
        <w:rPr>
          <w:i/>
        </w:rPr>
        <w:t xml:space="preserve">See </w:t>
      </w:r>
      <w:r w:rsidRPr="007A6FE3">
        <w:t>Appendix A, proposed section 51.332(c)(2)(ii).</w:t>
      </w:r>
    </w:p>
  </w:footnote>
  <w:footnote w:id="165">
    <w:p w14:paraId="0E624375" w14:textId="77777777" w:rsidR="00FE1B54" w:rsidRPr="007A6FE3" w:rsidRDefault="00FE1B54" w:rsidP="00A32C66">
      <w:pPr>
        <w:pStyle w:val="FootnoteText"/>
      </w:pPr>
      <w:r w:rsidRPr="007A6FE3">
        <w:rPr>
          <w:rStyle w:val="FootnoteReference"/>
        </w:rPr>
        <w:footnoteRef/>
      </w:r>
      <w:r w:rsidRPr="007A6FE3">
        <w:t xml:space="preserve"> As we noted in the 1998 CPNI Order, “[p]rescribing minimum content requirements will reduce the potential for customer confusion and misunderstanding, as well as the potential for carrier abuses.”  </w:t>
      </w:r>
      <w:r w:rsidRPr="007A6FE3">
        <w:rPr>
          <w:i/>
        </w:rPr>
        <w:t>Implementation of the Telecommunications Act of 1996: Telecommunications Carriers’ Use of Customer Proprietary network Information and Other Customer Information, Implementation of the Non-Accounting Safeguards of Sections 271 and 272 of the Communications Act of 1934</w:t>
      </w:r>
      <w:r w:rsidRPr="007A6FE3">
        <w:t xml:space="preserve">, CC Docket Nos. 96-115 and 96-149, Second Report and Order and Further Notice of Proposed Rulemaking, 13 FCC Rcd 8061, 8161, para. 135 (1998), vacated in part by </w:t>
      </w:r>
      <w:r w:rsidRPr="007A6FE3">
        <w:rPr>
          <w:i/>
        </w:rPr>
        <w:t>U.S. West, Inc. v. FCC</w:t>
      </w:r>
      <w:r w:rsidRPr="007A6FE3">
        <w:t>, 182 F.3d 1224 (10</w:t>
      </w:r>
      <w:r w:rsidRPr="007A6FE3">
        <w:rPr>
          <w:vertAlign w:val="superscript"/>
        </w:rPr>
        <w:t>th</w:t>
      </w:r>
      <w:r w:rsidRPr="007A6FE3">
        <w:t xml:space="preserve"> Cir. 1999).</w:t>
      </w:r>
    </w:p>
  </w:footnote>
  <w:footnote w:id="166">
    <w:p w14:paraId="6AC29E11" w14:textId="77777777" w:rsidR="00FE1B54" w:rsidRPr="007A6FE3" w:rsidRDefault="00FE1B54" w:rsidP="009673FB">
      <w:pPr>
        <w:pStyle w:val="FootnoteText"/>
      </w:pPr>
      <w:r w:rsidRPr="007A6FE3">
        <w:rPr>
          <w:rStyle w:val="FootnoteReference"/>
        </w:rPr>
        <w:footnoteRef/>
      </w:r>
      <w:r w:rsidRPr="007A6FE3">
        <w:t xml:space="preserve"> </w:t>
      </w:r>
      <w:r w:rsidRPr="007A6FE3">
        <w:rPr>
          <w:i/>
        </w:rPr>
        <w:t>See</w:t>
      </w:r>
      <w:r w:rsidRPr="007A6FE3">
        <w:t xml:space="preserve"> Appendix A, proposed new section 51.332, for a full recitation of the proposed requirements for the content of notice to consumers.</w:t>
      </w:r>
    </w:p>
  </w:footnote>
  <w:footnote w:id="167">
    <w:p w14:paraId="4736E5B7" w14:textId="77777777" w:rsidR="00FE1B54" w:rsidRPr="007A6FE3" w:rsidRDefault="00FE1B54" w:rsidP="005B725C">
      <w:pPr>
        <w:pStyle w:val="FootnoteText"/>
      </w:pPr>
      <w:r w:rsidRPr="007A6FE3">
        <w:rPr>
          <w:rStyle w:val="FootnoteReference"/>
        </w:rPr>
        <w:footnoteRef/>
      </w:r>
      <w:r w:rsidRPr="007A6FE3">
        <w:t xml:space="preserve"> </w:t>
      </w:r>
      <w:r w:rsidRPr="007A6FE3">
        <w:rPr>
          <w:i/>
        </w:rPr>
        <w:t>See id</w:t>
      </w:r>
      <w:r w:rsidRPr="007A6FE3">
        <w:t>., proposed section 51.332(e).</w:t>
      </w:r>
    </w:p>
  </w:footnote>
  <w:footnote w:id="168">
    <w:p w14:paraId="20177AC5" w14:textId="77777777" w:rsidR="00FE1B54" w:rsidRPr="007A6FE3" w:rsidRDefault="00FE1B54" w:rsidP="00D00784">
      <w:pPr>
        <w:pStyle w:val="FootnoteText"/>
      </w:pPr>
      <w:r w:rsidRPr="007A6FE3">
        <w:rPr>
          <w:rStyle w:val="FootnoteReference"/>
        </w:rPr>
        <w:footnoteRef/>
      </w:r>
      <w:r w:rsidRPr="007A6FE3">
        <w:t xml:space="preserve"> </w:t>
      </w:r>
      <w:r w:rsidRPr="007A6FE3">
        <w:rPr>
          <w:i/>
        </w:rPr>
        <w:t>See id</w:t>
      </w:r>
      <w:r w:rsidRPr="007A6FE3">
        <w:t>., proposed section 51.329(c).</w:t>
      </w:r>
    </w:p>
  </w:footnote>
  <w:footnote w:id="169">
    <w:p w14:paraId="3FCD9083" w14:textId="77777777" w:rsidR="00FE1B54" w:rsidRPr="007A6FE3" w:rsidRDefault="00FE1B54">
      <w:pPr>
        <w:pStyle w:val="FootnoteText"/>
      </w:pPr>
      <w:r w:rsidRPr="007A6FE3">
        <w:rPr>
          <w:rStyle w:val="FootnoteReference"/>
        </w:rPr>
        <w:footnoteRef/>
      </w:r>
      <w:r w:rsidRPr="007A6FE3">
        <w:t xml:space="preserve"> 47 C.F.R. § 68.110(b).  </w:t>
      </w:r>
    </w:p>
  </w:footnote>
  <w:footnote w:id="170">
    <w:p w14:paraId="4C2DCD3A" w14:textId="77777777" w:rsidR="00FE1B54" w:rsidRPr="007A6FE3" w:rsidRDefault="00FE1B54" w:rsidP="000916E5">
      <w:pPr>
        <w:pStyle w:val="FootnoteText"/>
      </w:pPr>
      <w:r w:rsidRPr="007A6FE3">
        <w:rPr>
          <w:rStyle w:val="FootnoteReference"/>
        </w:rPr>
        <w:footnoteRef/>
      </w:r>
      <w:r w:rsidRPr="007A6FE3">
        <w:t xml:space="preserve"> </w:t>
      </w:r>
      <w:r w:rsidRPr="007A6FE3">
        <w:rPr>
          <w:i/>
        </w:rPr>
        <w:t>See,</w:t>
      </w:r>
      <w:r w:rsidRPr="007A6FE3">
        <w:t xml:space="preserve"> </w:t>
      </w:r>
      <w:r w:rsidRPr="007A6FE3">
        <w:rPr>
          <w:i/>
        </w:rPr>
        <w:t>e.g.</w:t>
      </w:r>
      <w:r w:rsidRPr="007A6FE3">
        <w:t>, NASUCA Motion at 4; Public Knowledge et al. May 12, 2014 Letter at 2.</w:t>
      </w:r>
    </w:p>
  </w:footnote>
  <w:footnote w:id="171">
    <w:p w14:paraId="14270988" w14:textId="77777777" w:rsidR="00FE1B54" w:rsidRPr="007A6FE3" w:rsidRDefault="00FE1B54" w:rsidP="00640252">
      <w:pPr>
        <w:pStyle w:val="FootnoteText"/>
      </w:pPr>
      <w:r w:rsidRPr="007A6FE3">
        <w:rPr>
          <w:rStyle w:val="FootnoteReference"/>
        </w:rPr>
        <w:footnoteRef/>
      </w:r>
      <w:r w:rsidRPr="007A6FE3">
        <w:rPr>
          <w:i/>
        </w:rPr>
        <w:t xml:space="preserve"> Implementation of the DTV Delay Act DTV Consumer Education Initiative; Third Periodic Review Of The Commission’s Rules And Policies Affecting The Conversion To Digital Television Digital Television Distributed Transmission System Technologies</w:t>
      </w:r>
      <w:r w:rsidRPr="007A6FE3">
        <w:t>, MB Docket No. 09-17, et al., Third Report and Order and Order on Reconsideration, 24 FCC Rcd 3399, 3417, para. 33 (2009).</w:t>
      </w:r>
    </w:p>
  </w:footnote>
  <w:footnote w:id="172">
    <w:p w14:paraId="38A5699E" w14:textId="77777777" w:rsidR="00FE1B54" w:rsidRPr="007A6FE3" w:rsidRDefault="00FE1B54" w:rsidP="00E46771">
      <w:pPr>
        <w:pStyle w:val="FootnoteText"/>
      </w:pPr>
      <w:r w:rsidRPr="007A6FE3">
        <w:rPr>
          <w:rStyle w:val="FootnoteReference"/>
        </w:rPr>
        <w:footnoteRef/>
      </w:r>
      <w:r w:rsidRPr="007A6FE3">
        <w:rPr>
          <w:i/>
        </w:rPr>
        <w:t xml:space="preserve"> See supra </w:t>
      </w:r>
      <w:r w:rsidRPr="007A6FE3">
        <w:t>Section III.B.2.b.ii.</w:t>
      </w:r>
    </w:p>
  </w:footnote>
  <w:footnote w:id="173">
    <w:p w14:paraId="3CD1A99E" w14:textId="77777777" w:rsidR="00FE1B54" w:rsidRPr="007A6FE3" w:rsidRDefault="00FE1B54">
      <w:pPr>
        <w:pStyle w:val="FootnoteText"/>
      </w:pPr>
      <w:r w:rsidRPr="007A6FE3">
        <w:rPr>
          <w:rStyle w:val="FootnoteReference"/>
        </w:rPr>
        <w:footnoteRef/>
      </w:r>
      <w:r w:rsidRPr="007A6FE3">
        <w:t xml:space="preserve"> </w:t>
      </w:r>
      <w:r w:rsidRPr="007A6FE3">
        <w:rPr>
          <w:i/>
        </w:rPr>
        <w:t>See</w:t>
      </w:r>
      <w:r w:rsidRPr="007A6FE3">
        <w:t xml:space="preserve"> 47 C.F.R. § 51.333(c)-(e).</w:t>
      </w:r>
    </w:p>
  </w:footnote>
  <w:footnote w:id="174">
    <w:p w14:paraId="5264D65C" w14:textId="161E775A" w:rsidR="00FE1B54" w:rsidRPr="007A6FE3" w:rsidRDefault="00FE1B54" w:rsidP="00DE6845">
      <w:pPr>
        <w:pStyle w:val="FootnoteText"/>
      </w:pPr>
      <w:r w:rsidRPr="007A6FE3">
        <w:rPr>
          <w:rStyle w:val="FootnoteReference"/>
        </w:rPr>
        <w:footnoteRef/>
      </w:r>
      <w:r w:rsidRPr="007A6FE3">
        <w:t xml:space="preserve"> </w:t>
      </w:r>
      <w:r w:rsidRPr="007A6FE3">
        <w:rPr>
          <w:i/>
        </w:rPr>
        <w:t>See</w:t>
      </w:r>
      <w:r w:rsidRPr="007A6FE3">
        <w:t xml:space="preserve"> </w:t>
      </w:r>
      <w:hyperlink r:id="rId34" w:history="1">
        <w:r w:rsidRPr="007A6FE3">
          <w:rPr>
            <w:rStyle w:val="Hyperlink"/>
          </w:rPr>
          <w:t>http://www.fcc.gov/encyclopedia/section-251-wireline-network-changes</w:t>
        </w:r>
      </w:hyperlink>
      <w:r w:rsidRPr="007A6FE3">
        <w:t xml:space="preserve">; </w:t>
      </w:r>
      <w:r w:rsidRPr="007A6FE3">
        <w:rPr>
          <w:i/>
        </w:rPr>
        <w:t>see also</w:t>
      </w:r>
      <w:r w:rsidRPr="007A6FE3">
        <w:t xml:space="preserve"> Commission Copper Retirement Blog Post.</w:t>
      </w:r>
    </w:p>
  </w:footnote>
  <w:footnote w:id="175">
    <w:p w14:paraId="01805799" w14:textId="343D13A8" w:rsidR="00FE1B54" w:rsidRPr="007A6FE3" w:rsidRDefault="00FE1B54" w:rsidP="00DE6845">
      <w:pPr>
        <w:pStyle w:val="FootnoteText"/>
      </w:pPr>
      <w:r w:rsidRPr="007A6FE3">
        <w:rPr>
          <w:rStyle w:val="FootnoteReference"/>
        </w:rPr>
        <w:footnoteRef/>
      </w:r>
      <w:r w:rsidRPr="007A6FE3">
        <w:t xml:space="preserve"> Consumers who have concerns about any particular situation also can contact our Consumer &amp; Governmental Affairs Bureau to file complaints—either by calling 1-800-CALL-FCC or by filing a complaint online at </w:t>
      </w:r>
      <w:hyperlink r:id="rId35" w:history="1">
        <w:r w:rsidRPr="007A6FE3">
          <w:rPr>
            <w:rStyle w:val="Hyperlink"/>
          </w:rPr>
          <w:t>http://www.fcc.gov/complaints</w:t>
        </w:r>
      </w:hyperlink>
      <w:r w:rsidRPr="007A6FE3">
        <w:t>.  We carefully monitor our consumer complaints to stay informed about any concerns with how technology transitions are being managed, including transitions away from copper-based networks.</w:t>
      </w:r>
    </w:p>
  </w:footnote>
  <w:footnote w:id="176">
    <w:p w14:paraId="33AD49B2" w14:textId="77777777" w:rsidR="00FE1B54" w:rsidRPr="007A6FE3" w:rsidRDefault="00FE1B54">
      <w:pPr>
        <w:pStyle w:val="FootnoteText"/>
      </w:pPr>
      <w:r w:rsidRPr="007A6FE3">
        <w:rPr>
          <w:rStyle w:val="FootnoteReference"/>
        </w:rPr>
        <w:footnoteRef/>
      </w:r>
      <w:r w:rsidRPr="007A6FE3">
        <w:t xml:space="preserve"> </w:t>
      </w:r>
      <w:r w:rsidRPr="007A6FE3">
        <w:rPr>
          <w:i/>
          <w:iCs/>
        </w:rPr>
        <w:t>See, e.g.</w:t>
      </w:r>
      <w:r w:rsidRPr="007A6FE3">
        <w:rPr>
          <w:iCs/>
        </w:rPr>
        <w:t>,</w:t>
      </w:r>
      <w:r w:rsidRPr="007A6FE3">
        <w:t xml:space="preserve"> Letter from Harold Feld, Senior Vice President, Public Knowledge, to Marlene H. Dortch, Secretary, FCC, GN Docket Nos. 12-353, et al., at 1 (filed June 22, 2014) (discussing “efforts by some providers to force migration from services still subject to Section 214(a) in violation of their obligations under the statute”); </w:t>
      </w:r>
      <w:r w:rsidRPr="007A6FE3">
        <w:rPr>
          <w:i/>
          <w:iCs/>
        </w:rPr>
        <w:t>see also</w:t>
      </w:r>
      <w:r w:rsidRPr="007A6FE3">
        <w:t xml:space="preserve"> Windstream Aug. 7, 2014 </w:t>
      </w:r>
      <w:r w:rsidRPr="007A6FE3">
        <w:rPr>
          <w:i/>
        </w:rPr>
        <w:t xml:space="preserve">Ex Parte </w:t>
      </w:r>
      <w:r w:rsidRPr="007A6FE3">
        <w:t>Letter at 2 (urging the Commission to “clarify the circumstances that would implicate the Section 214 discontinuance process, and those that would not”).</w:t>
      </w:r>
    </w:p>
  </w:footnote>
  <w:footnote w:id="177">
    <w:p w14:paraId="19F10596" w14:textId="77777777" w:rsidR="00FE1B54" w:rsidRPr="007A6FE3" w:rsidRDefault="00FE1B54" w:rsidP="003F0F7D">
      <w:pPr>
        <w:pStyle w:val="FootnoteText"/>
      </w:pPr>
      <w:r w:rsidRPr="007A6FE3">
        <w:rPr>
          <w:rStyle w:val="FootnoteReference"/>
        </w:rPr>
        <w:footnoteRef/>
      </w:r>
      <w:r w:rsidRPr="007A6FE3">
        <w:t xml:space="preserve"> </w:t>
      </w:r>
      <w:r w:rsidRPr="00327DFB">
        <w:rPr>
          <w:rStyle w:val="FootnoteTextChar"/>
          <w:i/>
        </w:rPr>
        <w:t>Technology Transitions Order</w:t>
      </w:r>
      <w:r w:rsidRPr="008100F2">
        <w:rPr>
          <w:rStyle w:val="FootnoteTextChar"/>
        </w:rPr>
        <w:t xml:space="preserve">, 29 FCC Rcd at 1456, para. 67; </w:t>
      </w:r>
      <w:r w:rsidRPr="008100F2">
        <w:rPr>
          <w:rStyle w:val="FootnoteTextChar"/>
          <w:i/>
        </w:rPr>
        <w:t xml:space="preserve">see also </w:t>
      </w:r>
      <w:r w:rsidRPr="004D4278">
        <w:rPr>
          <w:rStyle w:val="FootnoteTextChar"/>
          <w:i/>
        </w:rPr>
        <w:t>Implementation of the Subscriber Carrier Selection Changes Provisions of the Telecommunications Act of 1996; Policies and Rules Concerning Unauthorized Changes of Consumers’ Long Distance Carriers</w:t>
      </w:r>
      <w:r w:rsidRPr="003F0F7D">
        <w:rPr>
          <w:rStyle w:val="FootnoteTextChar"/>
        </w:rPr>
        <w:t>, CC Docket No. 94-129, Second Report and Order and Further Notice of Proposed Rulemaking, 14 FCC Rcd 1508, 1564, para. 90 (1998) (“We conclude that state</w:t>
      </w:r>
      <w:bookmarkStart w:id="319" w:name="SearchTerm"/>
      <w:r w:rsidRPr="003F0F7D">
        <w:rPr>
          <w:rStyle w:val="FootnoteTextChar"/>
        </w:rPr>
        <w:t xml:space="preserve"> regulation of carrier changes in the intrastate market that is compatible with our rules, along with </w:t>
      </w:r>
      <w:bookmarkStart w:id="320" w:name="SR;19704"/>
      <w:bookmarkEnd w:id="319"/>
      <w:bookmarkEnd w:id="320"/>
      <w:r w:rsidRPr="003F0F7D">
        <w:rPr>
          <w:rStyle w:val="FootnoteTextChar"/>
        </w:rPr>
        <w:t xml:space="preserve">state enforcement of our rules regarding carrier changes in the intrastate market, will enable </w:t>
      </w:r>
      <w:bookmarkStart w:id="321" w:name="SR;19718"/>
      <w:bookmarkEnd w:id="321"/>
      <w:r w:rsidRPr="003F0F7D">
        <w:rPr>
          <w:rStyle w:val="FootnoteTextChar"/>
        </w:rPr>
        <w:t xml:space="preserve">states to play a valuable and essential </w:t>
      </w:r>
      <w:bookmarkStart w:id="322" w:name="SR;19725"/>
      <w:bookmarkEnd w:id="322"/>
      <w:r w:rsidRPr="003F0F7D">
        <w:rPr>
          <w:rStyle w:val="FootnoteTextChar"/>
        </w:rPr>
        <w:t xml:space="preserve">role in the partnership with the Commission to combat slamming and </w:t>
      </w:r>
      <w:bookmarkStart w:id="323" w:name="SR;19736"/>
      <w:bookmarkEnd w:id="323"/>
      <w:r w:rsidRPr="003F0F7D">
        <w:rPr>
          <w:rStyle w:val="FootnoteTextChar"/>
        </w:rPr>
        <w:t>protect consumers.”).</w:t>
      </w:r>
    </w:p>
  </w:footnote>
  <w:footnote w:id="178">
    <w:p w14:paraId="4E701B41" w14:textId="77777777" w:rsidR="00FE1B54" w:rsidRPr="007A6FE3" w:rsidRDefault="00FE1B54" w:rsidP="005A432C">
      <w:pPr>
        <w:pStyle w:val="FootnoteText"/>
      </w:pPr>
      <w:r w:rsidRPr="007A6FE3">
        <w:rPr>
          <w:rStyle w:val="FootnoteReference"/>
        </w:rPr>
        <w:footnoteRef/>
      </w:r>
      <w:r w:rsidRPr="007A6FE3">
        <w:t xml:space="preserve"> </w:t>
      </w:r>
      <w:r w:rsidRPr="007A6FE3">
        <w:rPr>
          <w:i/>
        </w:rPr>
        <w:t>See</w:t>
      </w:r>
      <w:r w:rsidRPr="007A6FE3">
        <w:t xml:space="preserve"> 47 C.F.R. § 63.71(a).</w:t>
      </w:r>
    </w:p>
  </w:footnote>
  <w:footnote w:id="179">
    <w:p w14:paraId="3DD260F2" w14:textId="7E833EDB" w:rsidR="00FE1B54" w:rsidRPr="007A6FE3" w:rsidRDefault="00FE1B54" w:rsidP="00C853FB">
      <w:pPr>
        <w:pStyle w:val="FootnoteText"/>
      </w:pPr>
      <w:r w:rsidRPr="007A6FE3">
        <w:rPr>
          <w:rStyle w:val="FootnoteReference"/>
        </w:rPr>
        <w:footnoteRef/>
      </w:r>
      <w:r w:rsidRPr="007A6FE3">
        <w:t xml:space="preserve"> </w:t>
      </w:r>
      <w:r w:rsidR="008D1236" w:rsidRPr="007A6FE3">
        <w:t>47 C.F.R.</w:t>
      </w:r>
      <w:r w:rsidRPr="007A6FE3">
        <w:t xml:space="preserve"> §§ 51.329(a)(2), 51.333(a).  That certification must include:  (1) a statement identifying the proposed changes; (2) a statement that public notice has been given in compliance with applicable rules; and (3) a statement identifying the location of the change information and how it can be obtained.  </w:t>
      </w:r>
      <w:r w:rsidRPr="007A6FE3">
        <w:rPr>
          <w:i/>
        </w:rPr>
        <w:t>Id.</w:t>
      </w:r>
      <w:r w:rsidRPr="007A6FE3">
        <w:t xml:space="preserve"> § 51.329(a)(2).</w:t>
      </w:r>
    </w:p>
  </w:footnote>
  <w:footnote w:id="180">
    <w:p w14:paraId="4ADDFB48" w14:textId="44811BC2" w:rsidR="00FE1B54" w:rsidRPr="007A6FE3" w:rsidRDefault="00FE1B54" w:rsidP="00C853FB">
      <w:pPr>
        <w:pStyle w:val="FootnoteText"/>
      </w:pPr>
      <w:r w:rsidRPr="007A6FE3">
        <w:rPr>
          <w:rStyle w:val="FootnoteReference"/>
        </w:rPr>
        <w:footnoteRef/>
      </w:r>
      <w:r w:rsidRPr="007A6FE3">
        <w:t xml:space="preserve"> </w:t>
      </w:r>
      <w:r w:rsidR="008D1236" w:rsidRPr="007A6FE3">
        <w:t>47 C.F.R.</w:t>
      </w:r>
      <w:r w:rsidRPr="007A6FE3">
        <w:t xml:space="preserve"> § 51.329(a)(2).</w:t>
      </w:r>
    </w:p>
  </w:footnote>
  <w:footnote w:id="181">
    <w:p w14:paraId="40FDCB0E" w14:textId="71B183B5" w:rsidR="00FE1B54" w:rsidRPr="007A6FE3" w:rsidRDefault="00FE1B54" w:rsidP="00C853FB">
      <w:pPr>
        <w:pStyle w:val="FootnoteText"/>
      </w:pPr>
      <w:r w:rsidRPr="007A6FE3">
        <w:rPr>
          <w:rStyle w:val="FootnoteReference"/>
        </w:rPr>
        <w:footnoteRef/>
      </w:r>
      <w:r w:rsidRPr="007A6FE3">
        <w:t xml:space="preserve"> </w:t>
      </w:r>
      <w:r w:rsidR="008D1236" w:rsidRPr="007A6FE3">
        <w:t>47 C.F.R.</w:t>
      </w:r>
      <w:r w:rsidRPr="007A6FE3">
        <w:t xml:space="preserve"> § 51.333(a).  </w:t>
      </w:r>
    </w:p>
  </w:footnote>
  <w:footnote w:id="182">
    <w:p w14:paraId="6363A004" w14:textId="77777777" w:rsidR="00FE1B54" w:rsidRPr="007A6FE3" w:rsidRDefault="00FE1B54" w:rsidP="00355762">
      <w:pPr>
        <w:pStyle w:val="FootnoteText"/>
      </w:pPr>
      <w:r w:rsidRPr="007A6FE3">
        <w:rPr>
          <w:rStyle w:val="FootnoteReference"/>
        </w:rPr>
        <w:footnoteRef/>
      </w:r>
      <w:r w:rsidRPr="007A6FE3">
        <w:t xml:space="preserve"> BridgeCom et al. Petition at 14.</w:t>
      </w:r>
    </w:p>
  </w:footnote>
  <w:footnote w:id="183">
    <w:p w14:paraId="7FFEA1AD" w14:textId="77777777" w:rsidR="00FE1B54" w:rsidRPr="007A6FE3" w:rsidRDefault="00FE1B54" w:rsidP="00355762">
      <w:pPr>
        <w:pStyle w:val="FootnoteText"/>
      </w:pPr>
      <w:r w:rsidRPr="007A6FE3">
        <w:rPr>
          <w:rStyle w:val="FootnoteReference"/>
        </w:rPr>
        <w:footnoteRef/>
      </w:r>
      <w:r w:rsidRPr="007A6FE3">
        <w:t xml:space="preserve"> </w:t>
      </w:r>
      <w:r w:rsidRPr="007A6FE3">
        <w:rPr>
          <w:i/>
        </w:rPr>
        <w:t>Id</w:t>
      </w:r>
      <w:r w:rsidRPr="007A6FE3">
        <w:t>.</w:t>
      </w:r>
    </w:p>
  </w:footnote>
  <w:footnote w:id="184">
    <w:p w14:paraId="668D5D16" w14:textId="77777777" w:rsidR="00FE1B54" w:rsidRPr="007A6FE3" w:rsidRDefault="00FE1B54" w:rsidP="00355762">
      <w:pPr>
        <w:pStyle w:val="FootnoteText"/>
      </w:pPr>
      <w:r w:rsidRPr="007A6FE3">
        <w:rPr>
          <w:rStyle w:val="FootnoteReference"/>
        </w:rPr>
        <w:footnoteRef/>
      </w:r>
      <w:r w:rsidRPr="007A6FE3">
        <w:t xml:space="preserve"> Reply Comments of WorldNet, GN Docket No. 13-5, at 8 (Aug. 7, 2013).</w:t>
      </w:r>
    </w:p>
  </w:footnote>
  <w:footnote w:id="185">
    <w:p w14:paraId="5838FCEB" w14:textId="2943A4AE" w:rsidR="00FE1B54" w:rsidRPr="007A6FE3" w:rsidRDefault="00FE1B54" w:rsidP="00355762">
      <w:pPr>
        <w:pStyle w:val="FootnoteText"/>
      </w:pPr>
      <w:r w:rsidRPr="007A6FE3">
        <w:rPr>
          <w:rStyle w:val="FootnoteReference"/>
        </w:rPr>
        <w:footnoteRef/>
      </w:r>
      <w:r w:rsidRPr="007A6FE3">
        <w:rPr>
          <w:rFonts w:cs="Calibri"/>
          <w:sz w:val="24"/>
          <w:szCs w:val="24"/>
        </w:rPr>
        <w:t xml:space="preserve"> </w:t>
      </w:r>
      <w:r w:rsidRPr="007A6FE3">
        <w:rPr>
          <w:rFonts w:cs="Calibri"/>
        </w:rPr>
        <w:t xml:space="preserve">Reply Comments of </w:t>
      </w:r>
      <w:r w:rsidRPr="007A6FE3">
        <w:t xml:space="preserve">AT&amp;T, GN Docket No. 13-5, at 38 n.96 (Apr. 10, 2014) (“[T]o the extent AT&amp;T eventually retires any copper loops or subloops as part of the transition, it will offer to sell or otherwise transfer such facilities to CLECs, who then would be responsible for maintaining them.”).  AT&amp;T has also posted notices of retired copper cable for sale on its website.  </w:t>
      </w:r>
      <w:r w:rsidRPr="007A6FE3">
        <w:rPr>
          <w:i/>
        </w:rPr>
        <w:t>See</w:t>
      </w:r>
      <w:r w:rsidRPr="007A6FE3">
        <w:t xml:space="preserve"> </w:t>
      </w:r>
      <w:hyperlink r:id="rId36" w:history="1">
        <w:r w:rsidRPr="009D07C3">
          <w:rPr>
            <w:rStyle w:val="Hyperlink"/>
          </w:rPr>
          <w:t>https://ebiznet.att.com/networkreg/</w:t>
        </w:r>
      </w:hyperlink>
      <w:r w:rsidRPr="007A6FE3">
        <w:t>.</w:t>
      </w:r>
    </w:p>
  </w:footnote>
  <w:footnote w:id="186">
    <w:p w14:paraId="1D4B9ABD" w14:textId="77777777" w:rsidR="00FE1B54" w:rsidRPr="007A6FE3" w:rsidRDefault="00FE1B54" w:rsidP="00355762">
      <w:pPr>
        <w:pStyle w:val="FootnoteText"/>
      </w:pPr>
      <w:r w:rsidRPr="007A6FE3">
        <w:rPr>
          <w:rStyle w:val="FootnoteReference"/>
        </w:rPr>
        <w:footnoteRef/>
      </w:r>
      <w:r w:rsidRPr="007A6FE3">
        <w:t xml:space="preserve"> </w:t>
      </w:r>
      <w:r w:rsidRPr="007A6FE3">
        <w:rPr>
          <w:i/>
        </w:rPr>
        <w:t>See</w:t>
      </w:r>
      <w:r w:rsidRPr="007A6FE3">
        <w:t xml:space="preserve"> Letter from Robert C. Barber, Attorney, AT&amp;T, to Marlene H. Dortch, Secretary, FCC, GN Docket No. 12-253, et al., at 14 (filed May 30, 2014).</w:t>
      </w:r>
    </w:p>
  </w:footnote>
  <w:footnote w:id="187">
    <w:p w14:paraId="787C168E" w14:textId="77777777" w:rsidR="00FE1B54" w:rsidRPr="007A6FE3" w:rsidRDefault="00FE1B54" w:rsidP="00355762">
      <w:pPr>
        <w:pStyle w:val="FootnoteText"/>
      </w:pPr>
      <w:r w:rsidRPr="007A6FE3">
        <w:rPr>
          <w:rStyle w:val="FootnoteReference"/>
        </w:rPr>
        <w:footnoteRef/>
      </w:r>
      <w:r w:rsidRPr="007A6FE3">
        <w:t xml:space="preserve"> </w:t>
      </w:r>
      <w:r w:rsidRPr="007A6FE3">
        <w:rPr>
          <w:i/>
        </w:rPr>
        <w:t>Id</w:t>
      </w:r>
      <w:r w:rsidRPr="007A6FE3">
        <w:t>.</w:t>
      </w:r>
    </w:p>
  </w:footnote>
  <w:footnote w:id="188">
    <w:p w14:paraId="4B7A33E1" w14:textId="77777777" w:rsidR="00FE1B54" w:rsidRPr="007A6FE3" w:rsidRDefault="00FE1B54" w:rsidP="00355762">
      <w:pPr>
        <w:pStyle w:val="FootnoteText"/>
      </w:pPr>
      <w:r w:rsidRPr="007A6FE3">
        <w:rPr>
          <w:rStyle w:val="FootnoteReference"/>
        </w:rPr>
        <w:footnoteRef/>
      </w:r>
      <w:r w:rsidRPr="007A6FE3">
        <w:t xml:space="preserve"> </w:t>
      </w:r>
      <w:r w:rsidRPr="007A6FE3">
        <w:rPr>
          <w:i/>
        </w:rPr>
        <w:t>Id</w:t>
      </w:r>
      <w:r w:rsidRPr="007A6FE3">
        <w:t>.</w:t>
      </w:r>
    </w:p>
  </w:footnote>
  <w:footnote w:id="189">
    <w:p w14:paraId="2A2526F7" w14:textId="77777777" w:rsidR="00FE1B54" w:rsidRPr="007A6FE3" w:rsidRDefault="00FE1B54" w:rsidP="00355762">
      <w:pPr>
        <w:pStyle w:val="FootnoteText"/>
      </w:pPr>
      <w:r w:rsidRPr="007A6FE3">
        <w:rPr>
          <w:rStyle w:val="FootnoteReference"/>
        </w:rPr>
        <w:footnoteRef/>
      </w:r>
      <w:r w:rsidRPr="007A6FE3">
        <w:t xml:space="preserve"> </w:t>
      </w:r>
      <w:r w:rsidRPr="007A6FE3">
        <w:rPr>
          <w:i/>
        </w:rPr>
        <w:t>See id</w:t>
      </w:r>
      <w:r w:rsidRPr="007A6FE3">
        <w:t xml:space="preserve">.  If the parties do not sign the agreement at the end of the 90 days, the offer is rescinded.  </w:t>
      </w:r>
      <w:r w:rsidRPr="007A6FE3">
        <w:rPr>
          <w:i/>
        </w:rPr>
        <w:t>See id</w:t>
      </w:r>
      <w:r w:rsidRPr="007A6FE3">
        <w:t>.</w:t>
      </w:r>
    </w:p>
  </w:footnote>
  <w:footnote w:id="190">
    <w:p w14:paraId="6E549E9B" w14:textId="77777777" w:rsidR="00FE1B54" w:rsidRPr="007A6FE3" w:rsidRDefault="00FE1B54" w:rsidP="00BB55C1">
      <w:pPr>
        <w:pStyle w:val="FootnoteText"/>
      </w:pPr>
      <w:r w:rsidRPr="007A6FE3">
        <w:rPr>
          <w:rStyle w:val="FootnoteReference"/>
        </w:rPr>
        <w:footnoteRef/>
      </w:r>
      <w:r w:rsidRPr="007A6FE3">
        <w:t xml:space="preserve"> AT&amp;T proposes a 150-day process.  </w:t>
      </w:r>
      <w:r w:rsidRPr="007A6FE3">
        <w:rPr>
          <w:i/>
        </w:rPr>
        <w:t>See</w:t>
      </w:r>
      <w:r w:rsidRPr="007A6FE3">
        <w:t xml:space="preserve"> </w:t>
      </w:r>
      <w:r w:rsidRPr="007A6FE3">
        <w:rPr>
          <w:i/>
        </w:rPr>
        <w:t>id</w:t>
      </w:r>
      <w:r w:rsidRPr="007A6FE3">
        <w:t>., Attach. at 14.</w:t>
      </w:r>
    </w:p>
  </w:footnote>
  <w:footnote w:id="191">
    <w:p w14:paraId="3F558816" w14:textId="1C32235D" w:rsidR="00FE1B54" w:rsidRPr="007A6FE3" w:rsidRDefault="00FE1B54" w:rsidP="00306676">
      <w:pPr>
        <w:pStyle w:val="FootnoteText"/>
      </w:pPr>
      <w:r w:rsidRPr="007A6FE3">
        <w:rPr>
          <w:rStyle w:val="FootnoteReference"/>
        </w:rPr>
        <w:footnoteRef/>
      </w:r>
      <w:r w:rsidRPr="007A6FE3">
        <w:t xml:space="preserve"> Letter from Harold Feld et al., Public Knowledge, to Tom Wheeler, Chairman, FCC, GN Docket Nos. 12-353 and 13-5, at 3 (filed Jan. 13, 2014).</w:t>
      </w:r>
    </w:p>
  </w:footnote>
  <w:footnote w:id="192">
    <w:p w14:paraId="4F527D7F" w14:textId="3CF07A72" w:rsidR="00FE1B54" w:rsidRPr="007A6FE3" w:rsidRDefault="00FE1B54">
      <w:pPr>
        <w:pStyle w:val="FootnoteText"/>
      </w:pPr>
      <w:r w:rsidRPr="007A6FE3">
        <w:rPr>
          <w:rStyle w:val="FootnoteReference"/>
        </w:rPr>
        <w:footnoteRef/>
      </w:r>
      <w:r w:rsidRPr="007A6FE3">
        <w:t xml:space="preserve"> We are committed to ensuring that law enforcement capabilities are maintained throughout the technology transitions.  </w:t>
      </w:r>
      <w:r w:rsidRPr="009D07C3">
        <w:rPr>
          <w:i/>
        </w:rPr>
        <w:t>See, e.g.</w:t>
      </w:r>
      <w:r w:rsidRPr="007A6FE3">
        <w:t xml:space="preserve">, Communications Assistance for Law Enforcement Act (CALEA), Pub. L. No. 103-414, 108 Stat. 4279 (1994) (codified as amended in </w:t>
      </w:r>
      <w:r w:rsidR="003620B7">
        <w:t>Titles</w:t>
      </w:r>
      <w:r w:rsidRPr="007A6FE3">
        <w:t xml:space="preserve"> 18 and 47 </w:t>
      </w:r>
      <w:r w:rsidR="003620B7">
        <w:t>of the United States Code</w:t>
      </w:r>
      <w:r w:rsidRPr="007A6FE3">
        <w:t>).</w:t>
      </w:r>
    </w:p>
  </w:footnote>
  <w:footnote w:id="193">
    <w:p w14:paraId="2AA5523F" w14:textId="77777777" w:rsidR="00FE1B54" w:rsidRPr="007A6FE3" w:rsidRDefault="00FE1B54" w:rsidP="001E6C4D">
      <w:pPr>
        <w:pStyle w:val="FootnoteText"/>
      </w:pPr>
      <w:r w:rsidRPr="007A6FE3">
        <w:rPr>
          <w:rStyle w:val="FootnoteReference"/>
        </w:rPr>
        <w:footnoteRef/>
      </w:r>
      <w:r w:rsidRPr="007A6FE3">
        <w:t xml:space="preserve"> Consumers with disabilities ask the Commission to make sure that accessible features are built into the design of new networks and services from the outset, and that various currently accessible technologies are made widely available and affordable during and after the retirement process.  </w:t>
      </w:r>
      <w:r w:rsidRPr="007A6FE3">
        <w:rPr>
          <w:i/>
        </w:rPr>
        <w:t>See,</w:t>
      </w:r>
      <w:r w:rsidRPr="007A6FE3">
        <w:t xml:space="preserve"> </w:t>
      </w:r>
      <w:r w:rsidRPr="007A6FE3">
        <w:rPr>
          <w:i/>
        </w:rPr>
        <w:t>e.g.</w:t>
      </w:r>
      <w:r w:rsidRPr="007A6FE3">
        <w:t xml:space="preserve">, Reply Comments of Telecommunications for the Deaf and Hard of Hearing, Inc. et al., GN Docket No. 12-353, at 2-3 (filed Feb. 25, 2013); </w:t>
      </w:r>
      <w:r w:rsidRPr="007A6FE3">
        <w:rPr>
          <w:i/>
        </w:rPr>
        <w:t>see also</w:t>
      </w:r>
      <w:r w:rsidRPr="007A6FE3">
        <w:t xml:space="preserve"> Letter from Claude L. Stout, Executive Director, Telecommunications for the Deaf and Hard of Hearing, Inc., to Marlene H. Dortch, Secretary, FCC, WC Docket No. 10-188, et al. (filed Mar. 29, 2013).    </w:t>
      </w:r>
    </w:p>
  </w:footnote>
  <w:footnote w:id="194">
    <w:p w14:paraId="2350FDF3" w14:textId="6F6436B5" w:rsidR="00FE1B54" w:rsidRPr="007A6FE3" w:rsidRDefault="00FE1B54" w:rsidP="005D7EB0">
      <w:pPr>
        <w:pStyle w:val="FootnoteText"/>
      </w:pPr>
      <w:r w:rsidRPr="007A6FE3">
        <w:rPr>
          <w:rStyle w:val="FootnoteReference"/>
        </w:rPr>
        <w:footnoteRef/>
      </w:r>
      <w:r w:rsidRPr="007A6FE3">
        <w:t xml:space="preserve"> We note that the Bureau has </w:t>
      </w:r>
      <w:r w:rsidRPr="007A6FE3">
        <w:rPr>
          <w:szCs w:val="22"/>
        </w:rPr>
        <w:t>issued two Declaratory Rulings clarifying that carriers are prohibited from blocking, choking, reducing, or restricting traffic in any way, including to avoid termination charges;</w:t>
      </w:r>
      <w:r w:rsidRPr="007A6FE3">
        <w:rPr>
          <w:rStyle w:val="FootnoteReference"/>
          <w:sz w:val="22"/>
          <w:szCs w:val="22"/>
          <w:vertAlign w:val="baseline"/>
        </w:rPr>
        <w:t xml:space="preserve"> </w:t>
      </w:r>
      <w:r w:rsidRPr="007A6FE3">
        <w:rPr>
          <w:szCs w:val="22"/>
        </w:rPr>
        <w:t xml:space="preserve">and clarifying the scope of the Commission’s prohibition on blocking, choking, reducing, or restricting telephone traffic which may violate section 201 or 202 of the Act.  </w:t>
      </w:r>
      <w:r w:rsidRPr="007A6FE3">
        <w:rPr>
          <w:i/>
          <w:szCs w:val="22"/>
        </w:rPr>
        <w:t>See Establishing Just and Reasonable Rates for Local Exchange Carriers; Call Blocking by Carriers</w:t>
      </w:r>
      <w:r w:rsidRPr="007A6FE3">
        <w:rPr>
          <w:szCs w:val="22"/>
        </w:rPr>
        <w:t xml:space="preserve">, WC Docket No. 07-135, Declaratory Ruling and Order, 22 FCC Rcd 11629 (Wireline Comp. Bur. 2007); </w:t>
      </w:r>
      <w:r w:rsidRPr="007A6FE3">
        <w:rPr>
          <w:i/>
        </w:rPr>
        <w:t>Developing a Unified Intercarrier Compensation Regime</w:t>
      </w:r>
      <w:r w:rsidR="0044637A">
        <w:rPr>
          <w:i/>
        </w:rPr>
        <w:t>;</w:t>
      </w:r>
      <w:r w:rsidRPr="007A6FE3">
        <w:rPr>
          <w:i/>
        </w:rPr>
        <w:t xml:space="preserve"> Establishing Just and Reasonable Rates for Local Exchange Carriers</w:t>
      </w:r>
      <w:r w:rsidRPr="007A6FE3">
        <w:t>, CC Docket No. 01-92, WC Docket No. 07-135, Declaratory Ruling, 27 FCC Rcd 1351, 1356 (Wireline Comp. Bur. 2012)</w:t>
      </w:r>
      <w:r w:rsidRPr="007A6FE3">
        <w:rPr>
          <w:szCs w:val="22"/>
        </w:rPr>
        <w:t xml:space="preserve">.  </w:t>
      </w:r>
      <w:r w:rsidRPr="007A6FE3">
        <w:t xml:space="preserve">The </w:t>
      </w:r>
      <w:r w:rsidRPr="007A6FE3">
        <w:rPr>
          <w:i/>
        </w:rPr>
        <w:t>USF/ICC Transformation Order</w:t>
      </w:r>
      <w:r w:rsidRPr="007A6FE3">
        <w:t xml:space="preserve">, among other things, reaffirmed the prohibition on call blocking; made clear that carriers’ blocking of VoIP-PSTN traffic is prohibited; and clarified that interconnected and one-way VoIP providers are prohibited from blocking voice traffic to or from the PSTN.  </w:t>
      </w:r>
      <w:r w:rsidRPr="007A6FE3">
        <w:rPr>
          <w:i/>
        </w:rPr>
        <w:t>See</w:t>
      </w:r>
      <w:r w:rsidRPr="007A6FE3">
        <w:t xml:space="preserve"> </w:t>
      </w:r>
      <w:r w:rsidRPr="007A6FE3">
        <w:rPr>
          <w:i/>
        </w:rPr>
        <w:t>Connect America Fund</w:t>
      </w:r>
      <w:r w:rsidRPr="007A6FE3">
        <w:rPr>
          <w:i/>
          <w:iCs/>
        </w:rPr>
        <w:t>, A National Broadband Plan for Our Future, Establishing Just and Reasonable Rates for Local Exchange Carriers, High-Cost Universal Service Support, Developing an Unified Intercarrier Compensation Regime, Federal-State Joint Board on Universal Service, Lifeline and Link-Up, Universal Service Reform-Mobility Fund</w:t>
      </w:r>
      <w:r w:rsidRPr="007A6FE3">
        <w:t>, WC Docket Nos. 10-90, 07-135, 05-337, 03-109, CC Docket Nos. 01-32, 96-45, GN Docket No. 09-51, WT Docket No. 10-208, Report and Order and Further Notice of Proposed Rulemaking, 26 FCC Rcd 17663 (2011) (</w:t>
      </w:r>
      <w:r w:rsidRPr="007A6FE3">
        <w:rPr>
          <w:i/>
        </w:rPr>
        <w:t>USF/ICC Transformation Order</w:t>
      </w:r>
      <w:r w:rsidRPr="007A6FE3">
        <w:t>).</w:t>
      </w:r>
    </w:p>
  </w:footnote>
  <w:footnote w:id="195">
    <w:p w14:paraId="752B1C8E" w14:textId="77777777" w:rsidR="00FE1B54" w:rsidRPr="007A6FE3" w:rsidRDefault="00FE1B54" w:rsidP="008135A3">
      <w:pPr>
        <w:pStyle w:val="FootnoteText"/>
      </w:pPr>
      <w:r w:rsidRPr="007A6FE3">
        <w:rPr>
          <w:rStyle w:val="FootnoteReference"/>
        </w:rPr>
        <w:footnoteRef/>
      </w:r>
      <w:r w:rsidRPr="007A6FE3">
        <w:t xml:space="preserve"> </w:t>
      </w:r>
      <w:r w:rsidRPr="007A6FE3">
        <w:rPr>
          <w:i/>
          <w:iCs/>
        </w:rPr>
        <w:t>See</w:t>
      </w:r>
      <w:r w:rsidRPr="007A6FE3">
        <w:t xml:space="preserve"> Gregg Schudel &amp; David Smith,</w:t>
      </w:r>
      <w:r w:rsidRPr="007A6FE3">
        <w:rPr>
          <w:b/>
          <w:bCs/>
        </w:rPr>
        <w:t xml:space="preserve"> </w:t>
      </w:r>
      <w:r w:rsidRPr="007A6FE3">
        <w:t xml:space="preserve">Router Security Strategies: Securing IP Network Traffic Planes (Cisco Press 2008).  Traditional control mechanisms for managing circuit-switched telecommunications equipment required specialized network hardware and software and was inaccessible to end users.  </w:t>
      </w:r>
      <w:r w:rsidRPr="007A6FE3">
        <w:rPr>
          <w:i/>
          <w:iCs/>
        </w:rPr>
        <w:t>See</w:t>
      </w:r>
      <w:r w:rsidRPr="007A6FE3">
        <w:t xml:space="preserve"> Anders Olsson, Understanding Changing Telecommunications:  Building a Successful Telecom Business (Wiley 2005).  </w:t>
      </w:r>
    </w:p>
  </w:footnote>
  <w:footnote w:id="196">
    <w:p w14:paraId="11F36628" w14:textId="593B1ABC" w:rsidR="00FE1B54" w:rsidRPr="007A6FE3" w:rsidRDefault="00FE1B54" w:rsidP="008135A3">
      <w:pPr>
        <w:pStyle w:val="FootnoteText"/>
      </w:pPr>
      <w:r w:rsidRPr="007A6FE3">
        <w:rPr>
          <w:rStyle w:val="FootnoteReference"/>
        </w:rPr>
        <w:footnoteRef/>
      </w:r>
      <w:r w:rsidRPr="007A6FE3">
        <w:t xml:space="preserve"> </w:t>
      </w:r>
      <w:r w:rsidRPr="007A6FE3">
        <w:rPr>
          <w:i/>
          <w:iCs/>
        </w:rPr>
        <w:t>See, e.g.</w:t>
      </w:r>
      <w:r w:rsidRPr="007A6FE3">
        <w:t xml:space="preserve">, Comments of CTIA on National Institute of Standards and Technology Request for Information on Experience With the Framework for Improving Critical Infrastructure Cybersecurity (NIST RFI), Docket No. 140721609-4609-01 (Oct. 10, 2014),  </w:t>
      </w:r>
      <w:hyperlink r:id="rId37" w:history="1">
        <w:r w:rsidRPr="007A6FE3">
          <w:rPr>
            <w:rStyle w:val="Hyperlink"/>
          </w:rPr>
          <w:t>http://csrc.nist.gov/cyberframework/rfi_comment_october_2014/20141010_ctia_marinho.pdf</w:t>
        </w:r>
      </w:hyperlink>
      <w:r w:rsidRPr="007A6FE3">
        <w:t>; Comments of National Cable &amp; Telecommunications Association on NIST RFI, Docket No. 140721609-4609-01 (Oct. 10, 2014),</w:t>
      </w:r>
      <w:r>
        <w:t xml:space="preserve"> </w:t>
      </w:r>
      <w:hyperlink r:id="rId38" w:history="1">
        <w:r w:rsidRPr="007A6FE3">
          <w:rPr>
            <w:rStyle w:val="Hyperlink"/>
          </w:rPr>
          <w:t>http://csrc.nist.gov/cyberframework/rfi_comment_october_2014/20141010_nationalcableandtelecommunicationsassociation_lohman.pdf</w:t>
        </w:r>
      </w:hyperlink>
      <w:r w:rsidRPr="007A6FE3">
        <w:t>; Comments of US Telecom Association on NIST RFI, Docket No. 140721609-4609-01 (Oct. 10, 2014),</w:t>
      </w:r>
      <w:r>
        <w:t xml:space="preserve"> </w:t>
      </w:r>
      <w:hyperlink r:id="rId39" w:history="1">
        <w:r w:rsidRPr="007A6FE3">
          <w:rPr>
            <w:rStyle w:val="Hyperlink"/>
          </w:rPr>
          <w:t>http://csrc.nist.gov/cyberframework/rfi_comment_october_2014/20141010_ustelecom_scott.pdf</w:t>
        </w:r>
      </w:hyperlink>
      <w:r w:rsidRPr="007A6FE3">
        <w:t>.</w:t>
      </w:r>
    </w:p>
  </w:footnote>
  <w:footnote w:id="197">
    <w:p w14:paraId="41A2B5AB" w14:textId="3C5A9413" w:rsidR="00FE1B54" w:rsidRPr="007A6FE3" w:rsidRDefault="00FE1B54" w:rsidP="008135A3">
      <w:pPr>
        <w:pStyle w:val="FootnoteText"/>
      </w:pPr>
      <w:r w:rsidRPr="007A6FE3">
        <w:rPr>
          <w:rStyle w:val="FootnoteReference"/>
        </w:rPr>
        <w:footnoteRef/>
      </w:r>
      <w:r w:rsidRPr="007A6FE3">
        <w:t xml:space="preserve"> </w:t>
      </w:r>
      <w:r w:rsidRPr="007A6FE3">
        <w:rPr>
          <w:i/>
        </w:rPr>
        <w:t>911 Governance and Accountability; Improving 911 Reliability</w:t>
      </w:r>
      <w:r w:rsidRPr="007A6FE3">
        <w:t>, PS Docket Nos. 14-1</w:t>
      </w:r>
      <w:r>
        <w:t>93</w:t>
      </w:r>
      <w:r w:rsidRPr="007A6FE3">
        <w:t xml:space="preserve"> and 13-75, Policy Statement and Notice of Proposed Rulemaking, FCC 14-</w:t>
      </w:r>
      <w:r>
        <w:t>186</w:t>
      </w:r>
      <w:r w:rsidRPr="007A6FE3">
        <w:t xml:space="preserve"> (rel. Nov. 21, 2014).</w:t>
      </w:r>
    </w:p>
  </w:footnote>
  <w:footnote w:id="198">
    <w:p w14:paraId="1A20303F" w14:textId="77777777" w:rsidR="00FE1B54" w:rsidRPr="007A6FE3" w:rsidRDefault="00FE1B54">
      <w:pPr>
        <w:pStyle w:val="FootnoteText"/>
      </w:pPr>
      <w:r w:rsidRPr="007A6FE3">
        <w:rPr>
          <w:rStyle w:val="FootnoteReference"/>
        </w:rPr>
        <w:footnoteRef/>
      </w:r>
      <w:r w:rsidRPr="007A6FE3">
        <w:t xml:space="preserve"> </w:t>
      </w:r>
      <w:r w:rsidRPr="007A6FE3">
        <w:rPr>
          <w:i/>
        </w:rPr>
        <w:t>See, e.g.</w:t>
      </w:r>
      <w:r w:rsidRPr="007A6FE3">
        <w:t xml:space="preserve">, Letter from Rachel Sanford, ML Strategies, on behalf of ADT Security Services, to Marlene H. Dortch, Secretary, FCC, GN Docket Nos. 13-5 and 12-353 (filed June 6, 2014).  </w:t>
      </w:r>
    </w:p>
  </w:footnote>
  <w:footnote w:id="199">
    <w:p w14:paraId="5FE7B388" w14:textId="77777777" w:rsidR="00FE1B54" w:rsidRPr="007A6FE3" w:rsidRDefault="00FE1B54" w:rsidP="007856B6">
      <w:pPr>
        <w:pStyle w:val="FootnoteText"/>
      </w:pPr>
      <w:r w:rsidRPr="007A6FE3">
        <w:rPr>
          <w:rStyle w:val="FootnoteReference"/>
        </w:rPr>
        <w:footnoteRef/>
      </w:r>
      <w:r w:rsidRPr="007A6FE3">
        <w:t xml:space="preserve"> </w:t>
      </w:r>
      <w:r w:rsidRPr="007A6FE3">
        <w:rPr>
          <w:i/>
        </w:rPr>
        <w:t xml:space="preserve">See </w:t>
      </w:r>
      <w:r w:rsidRPr="007A6FE3">
        <w:rPr>
          <w:i/>
          <w:snapToGrid w:val="0"/>
        </w:rPr>
        <w:t>Western Union Tel. Co. Petition for Order to Require the Bell System to Continue to Provide Group/Supergroup Facilities</w:t>
      </w:r>
      <w:r w:rsidRPr="007A6FE3">
        <w:rPr>
          <w:snapToGrid w:val="0"/>
        </w:rPr>
        <w:t xml:space="preserve">, FCC 79–726, Memorandum Opinion and Order, 74 FCC 2d 293, 296, para. 7 (1979) </w:t>
      </w:r>
      <w:r w:rsidRPr="007A6FE3">
        <w:rPr>
          <w:snapToGrid w:val="0"/>
          <w:szCs w:val="22"/>
        </w:rPr>
        <w:t>(In the carrier-to-carrier context, “the primary focus should be on the end service provided by a carrier to a community or part of a community, i.e., the using public,” and not on “any technical or financial impact on the carrier [customer] itself.”) (</w:t>
      </w:r>
      <w:r w:rsidRPr="007A6FE3">
        <w:rPr>
          <w:i/>
          <w:snapToGrid w:val="0"/>
          <w:szCs w:val="22"/>
        </w:rPr>
        <w:t>Western Union Order</w:t>
      </w:r>
      <w:r w:rsidRPr="007A6FE3">
        <w:rPr>
          <w:snapToGrid w:val="0"/>
          <w:szCs w:val="22"/>
        </w:rPr>
        <w:t xml:space="preserve">); </w:t>
      </w:r>
      <w:r w:rsidRPr="007A6FE3">
        <w:rPr>
          <w:i/>
          <w:snapToGrid w:val="0"/>
        </w:rPr>
        <w:t>Lincoln County Tel. Sys., Inc. v. Mountain States Tel. and Tel. Co.</w:t>
      </w:r>
      <w:r w:rsidRPr="007A6FE3">
        <w:rPr>
          <w:snapToGrid w:val="0"/>
        </w:rPr>
        <w:t>, Memorandum Opinion and Order, 81 FCC2d 328, paras. 13-14, 22 (1980).</w:t>
      </w:r>
    </w:p>
  </w:footnote>
  <w:footnote w:id="200">
    <w:p w14:paraId="56DF4FA8" w14:textId="77777777" w:rsidR="00FE1B54" w:rsidRPr="007A6FE3" w:rsidRDefault="00FE1B54" w:rsidP="007856B6">
      <w:pPr>
        <w:pStyle w:val="FootnoteText"/>
      </w:pPr>
      <w:r w:rsidRPr="007A6FE3">
        <w:rPr>
          <w:rStyle w:val="FootnoteReference"/>
        </w:rPr>
        <w:footnoteRef/>
      </w:r>
      <w:r w:rsidRPr="007A6FE3">
        <w:t xml:space="preserve"> </w:t>
      </w:r>
      <w:r w:rsidRPr="007A6FE3">
        <w:rPr>
          <w:i/>
        </w:rPr>
        <w:t>See</w:t>
      </w:r>
      <w:r w:rsidRPr="007A6FE3">
        <w:t xml:space="preserve"> 47 C.F.R. § 214(a) (“No carrier shall discontinue, reduce, or impair service to a community, or part of a community, unless and until there shall first have been obtained from the Commission a certificate that neither the present nor future public convenience and necessity will be adversely affected thereby.”); </w:t>
      </w:r>
      <w:r w:rsidRPr="007A6FE3">
        <w:rPr>
          <w:i/>
        </w:rPr>
        <w:t>see also</w:t>
      </w:r>
      <w:r w:rsidRPr="007A6FE3">
        <w:t xml:space="preserve"> 47 C.F.R. § 63.60, </w:t>
      </w:r>
      <w:r w:rsidRPr="007A6FE3">
        <w:rPr>
          <w:i/>
        </w:rPr>
        <w:t>et seq</w:t>
      </w:r>
      <w:r w:rsidRPr="007A6FE3">
        <w:t>.</w:t>
      </w:r>
    </w:p>
  </w:footnote>
  <w:footnote w:id="201">
    <w:p w14:paraId="4FFFC569" w14:textId="77777777" w:rsidR="00FE1B54" w:rsidRPr="007A6FE3" w:rsidRDefault="00FE1B54" w:rsidP="00351DCD">
      <w:pPr>
        <w:pStyle w:val="FootnoteText"/>
      </w:pPr>
      <w:r w:rsidRPr="007A6FE3">
        <w:rPr>
          <w:rStyle w:val="FootnoteReference"/>
        </w:rPr>
        <w:footnoteRef/>
      </w:r>
      <w:r w:rsidRPr="007A6FE3">
        <w:t xml:space="preserve"> </w:t>
      </w:r>
      <w:r w:rsidRPr="007A6FE3">
        <w:rPr>
          <w:i/>
        </w:rPr>
        <w:t xml:space="preserve">See supra </w:t>
      </w:r>
      <w:r w:rsidRPr="007A6FE3">
        <w:t xml:space="preserve">para. </w:t>
      </w:r>
      <w:r w:rsidRPr="007A6FE3">
        <w:fldChar w:fldCharType="begin"/>
      </w:r>
      <w:r w:rsidRPr="007A6FE3">
        <w:instrText xml:space="preserve"> REF _Ref401313964 \r \h </w:instrText>
      </w:r>
      <w:r>
        <w:instrText xml:space="preserve"> \* MERGEFORMAT </w:instrText>
      </w:r>
      <w:r w:rsidRPr="007A6FE3">
        <w:fldChar w:fldCharType="separate"/>
      </w:r>
      <w:r w:rsidR="008A38E8">
        <w:t>22</w:t>
      </w:r>
      <w:r w:rsidRPr="007A6FE3">
        <w:fldChar w:fldCharType="end"/>
      </w:r>
      <w:r w:rsidRPr="007A6FE3">
        <w:t xml:space="preserve">.  </w:t>
      </w:r>
    </w:p>
  </w:footnote>
  <w:footnote w:id="202">
    <w:p w14:paraId="22451DC5" w14:textId="4B15E478" w:rsidR="00FE1B54" w:rsidRPr="007A6FE3" w:rsidRDefault="00FE1B54" w:rsidP="007856B6">
      <w:pPr>
        <w:pStyle w:val="FootnoteText"/>
      </w:pPr>
      <w:r w:rsidRPr="007A6FE3">
        <w:rPr>
          <w:rStyle w:val="FootnoteReference"/>
        </w:rPr>
        <w:footnoteRef/>
      </w:r>
      <w:r w:rsidRPr="007A6FE3">
        <w:t xml:space="preserve"> </w:t>
      </w:r>
      <w:r w:rsidRPr="007A6FE3">
        <w:rPr>
          <w:i/>
        </w:rPr>
        <w:t>See, e.g.</w:t>
      </w:r>
      <w:r w:rsidRPr="007A6FE3">
        <w:t xml:space="preserve">, </w:t>
      </w:r>
      <w:r w:rsidRPr="007A6FE3">
        <w:rPr>
          <w:i/>
        </w:rPr>
        <w:t>American Tel. and Tel. Co., Long Lines Department, Revisions to Tariff FCC Nos. 258 and 260 (Series 5000) – Termination of TelPak Service, Transmittal No. 12714</w:t>
      </w:r>
      <w:r w:rsidRPr="007A6FE3">
        <w:t xml:space="preserve">, Memorandum Opinion and Order, 64 FCC 2d 959, 965 (1977) (holding that because AT&amp;T was still offering “like” services, the elimination of a discount did not constitute a discontinuance).  Some courts have also adopted the same holding.  </w:t>
      </w:r>
      <w:r w:rsidRPr="007A6FE3">
        <w:rPr>
          <w:i/>
        </w:rPr>
        <w:t>See, e.g.,</w:t>
      </w:r>
      <w:r w:rsidRPr="007A6FE3">
        <w:t xml:space="preserve"> </w:t>
      </w:r>
      <w:r w:rsidRPr="007A6FE3">
        <w:rPr>
          <w:i/>
          <w:iCs/>
        </w:rPr>
        <w:t>Aeronautical Radio v. FCC</w:t>
      </w:r>
      <w:r w:rsidRPr="007A6FE3">
        <w:t xml:space="preserve">, 642 F.2d 1221, 1233 (D.C. Cir. 1980) (“We agree with the FCC's holding that s 214(a) did not apply in this case. </w:t>
      </w:r>
      <w:r>
        <w:t xml:space="preserve"> </w:t>
      </w:r>
      <w:r w:rsidRPr="007A6FE3">
        <w:t>The termination of the TELPAK ‘service’ did not in fact discontinue, reduce, or impair any service at all; all it did was eliminate a rate discount, thereby effectuating a rate increase.”).  We note that the court, rather than independently reaching a decision, affirmed the Commission’s view.</w:t>
      </w:r>
    </w:p>
  </w:footnote>
  <w:footnote w:id="203">
    <w:p w14:paraId="5093D320" w14:textId="77777777" w:rsidR="00FE1B54" w:rsidRPr="007A6FE3" w:rsidRDefault="00FE1B54" w:rsidP="001E29AF">
      <w:pPr>
        <w:pStyle w:val="FootnoteText"/>
        <w:tabs>
          <w:tab w:val="left" w:pos="1350"/>
        </w:tabs>
      </w:pPr>
      <w:r w:rsidRPr="007A6FE3">
        <w:rPr>
          <w:rStyle w:val="FootnoteReference"/>
        </w:rPr>
        <w:footnoteRef/>
      </w:r>
      <w:r w:rsidRPr="007A6FE3">
        <w:t xml:space="preserve"> </w:t>
      </w:r>
      <w:r w:rsidRPr="007A6FE3">
        <w:rPr>
          <w:i/>
          <w:iCs/>
        </w:rPr>
        <w:t>See, e.g.</w:t>
      </w:r>
      <w:r w:rsidRPr="007A6FE3">
        <w:rPr>
          <w:iCs/>
        </w:rPr>
        <w:t>,</w:t>
      </w:r>
      <w:r w:rsidRPr="007A6FE3">
        <w:t xml:space="preserve"> Letter from Patrick Doherty, Director, Access Regulatory Affairs, to Marlene H. Dortch, Secretary, FCC, Southern New England Co. Tariff F.C.C. No. 39, Transmittal No. 1052 (filed July 19, 2013) (claiming that a section 214 was not required to discontinue the SNET SONET Network Service because SNET was continuing to offer its OCN Point-to-Point service offering, which was a service that had received forbearance and was therefore, not offered pursuant to the tariff).</w:t>
      </w:r>
    </w:p>
  </w:footnote>
  <w:footnote w:id="204">
    <w:p w14:paraId="5217542E" w14:textId="77777777" w:rsidR="00FE1B54" w:rsidRPr="007A6FE3" w:rsidRDefault="00FE1B54" w:rsidP="00D70C94">
      <w:pPr>
        <w:pStyle w:val="FootnoteText"/>
      </w:pPr>
      <w:r w:rsidRPr="007A6FE3">
        <w:rPr>
          <w:rStyle w:val="FootnoteReference"/>
        </w:rPr>
        <w:footnoteRef/>
      </w:r>
      <w:r w:rsidRPr="007A6FE3">
        <w:t xml:space="preserve"> </w:t>
      </w:r>
      <w:r w:rsidRPr="007A6FE3">
        <w:rPr>
          <w:i/>
        </w:rPr>
        <w:t>See, e.g.</w:t>
      </w:r>
      <w:r w:rsidRPr="007A6FE3">
        <w:t xml:space="preserve">,Windstream April 28, 2014 </w:t>
      </w:r>
      <w:r w:rsidRPr="007A6FE3">
        <w:rPr>
          <w:i/>
        </w:rPr>
        <w:t xml:space="preserve">Ex Parte </w:t>
      </w:r>
      <w:r w:rsidRPr="007A6FE3">
        <w:t xml:space="preserve">Letter at 2-8.  No discontinuance would affect an incumbent LEC’s obligations to provide unbundled access to loops under </w:t>
      </w:r>
      <w:r w:rsidRPr="007A6FE3">
        <w:rPr>
          <w:szCs w:val="22"/>
        </w:rPr>
        <w:t xml:space="preserve">section 51.319(a)(4) of our rules.  47 C.F.R. </w:t>
      </w:r>
      <w:r w:rsidRPr="007A6FE3">
        <w:t>§ 51.319(a)(4).</w:t>
      </w:r>
    </w:p>
  </w:footnote>
  <w:footnote w:id="205">
    <w:p w14:paraId="64055594" w14:textId="77777777" w:rsidR="00FE1B54" w:rsidRPr="007A6FE3" w:rsidRDefault="00FE1B54" w:rsidP="00D70C94">
      <w:pPr>
        <w:pStyle w:val="FootnoteText"/>
      </w:pPr>
      <w:r w:rsidRPr="007A6FE3">
        <w:rPr>
          <w:rStyle w:val="FootnoteReference"/>
        </w:rPr>
        <w:footnoteRef/>
      </w:r>
      <w:r w:rsidRPr="007A6FE3">
        <w:t xml:space="preserve"> </w:t>
      </w:r>
      <w:r w:rsidRPr="007A6FE3">
        <w:rPr>
          <w:i/>
        </w:rPr>
        <w:t>See Pricing Flexibility Suspension Order</w:t>
      </w:r>
      <w:r w:rsidRPr="007A6FE3">
        <w:t>, 27 FCC Rcd at 10559, para. 2;</w:t>
      </w:r>
      <w:r w:rsidRPr="007A6FE3">
        <w:rPr>
          <w:i/>
        </w:rPr>
        <w:t xml:space="preserve"> </w:t>
      </w:r>
      <w:r w:rsidRPr="007A6FE3">
        <w:t xml:space="preserve">COMPTEL Managerial Framework </w:t>
      </w:r>
      <w:r w:rsidRPr="007A6FE3">
        <w:rPr>
          <w:i/>
        </w:rPr>
        <w:t xml:space="preserve">Ex Parte </w:t>
      </w:r>
      <w:r w:rsidRPr="007A6FE3">
        <w:t>Letter at 5.</w:t>
      </w:r>
    </w:p>
  </w:footnote>
  <w:footnote w:id="206">
    <w:p w14:paraId="3BB10C0C" w14:textId="77777777" w:rsidR="00FE1B54" w:rsidRPr="007A6FE3" w:rsidRDefault="00FE1B54" w:rsidP="00D70C94">
      <w:pPr>
        <w:pStyle w:val="FootnoteText"/>
      </w:pPr>
      <w:r w:rsidRPr="007A6FE3">
        <w:rPr>
          <w:rStyle w:val="FootnoteReference"/>
        </w:rPr>
        <w:footnoteRef/>
      </w:r>
      <w:r w:rsidRPr="007A6FE3">
        <w:t xml:space="preserve"> COMPTEL Managerial Framework </w:t>
      </w:r>
      <w:r w:rsidRPr="007A6FE3">
        <w:rPr>
          <w:i/>
        </w:rPr>
        <w:t xml:space="preserve">Ex Parte </w:t>
      </w:r>
      <w:r w:rsidRPr="007A6FE3">
        <w:t>Letter at 5.</w:t>
      </w:r>
    </w:p>
  </w:footnote>
  <w:footnote w:id="207">
    <w:p w14:paraId="1227F6D0" w14:textId="77777777" w:rsidR="00FE1B54" w:rsidRPr="007A6FE3" w:rsidRDefault="00FE1B54" w:rsidP="00D70C94">
      <w:pPr>
        <w:pStyle w:val="FootnoteText"/>
      </w:pPr>
      <w:r w:rsidRPr="007A6FE3">
        <w:rPr>
          <w:rStyle w:val="FootnoteReference"/>
        </w:rPr>
        <w:footnoteRef/>
      </w:r>
      <w:r w:rsidRPr="007A6FE3">
        <w:t xml:space="preserve"> </w:t>
      </w:r>
      <w:r w:rsidRPr="007A6FE3">
        <w:rPr>
          <w:i/>
        </w:rPr>
        <w:t>See, e.g.</w:t>
      </w:r>
      <w:r w:rsidRPr="007A6FE3">
        <w:t>,</w:t>
      </w:r>
      <w:r w:rsidRPr="007A6FE3">
        <w:rPr>
          <w:i/>
        </w:rPr>
        <w:t xml:space="preserve"> id.</w:t>
      </w:r>
      <w:r w:rsidRPr="007A6FE3">
        <w:t xml:space="preserve"> at 5-6. </w:t>
      </w:r>
    </w:p>
  </w:footnote>
  <w:footnote w:id="208">
    <w:p w14:paraId="223443DC" w14:textId="3F12B0D0" w:rsidR="00FE1B54" w:rsidRPr="007A6FE3" w:rsidRDefault="00FE1B54" w:rsidP="00D70C94">
      <w:pPr>
        <w:pStyle w:val="FootnoteText"/>
      </w:pPr>
      <w:r w:rsidRPr="007A6FE3">
        <w:rPr>
          <w:rStyle w:val="FootnoteReference"/>
        </w:rPr>
        <w:footnoteRef/>
      </w:r>
      <w:r w:rsidRPr="007A6FE3">
        <w:t xml:space="preserve"> </w:t>
      </w:r>
      <w:r w:rsidRPr="007A6FE3">
        <w:rPr>
          <w:i/>
        </w:rPr>
        <w:t>See, e.g.</w:t>
      </w:r>
      <w:r w:rsidRPr="007A6FE3">
        <w:t>,</w:t>
      </w:r>
      <w:r w:rsidR="00DF7AAE">
        <w:t xml:space="preserve"> </w:t>
      </w:r>
      <w:r w:rsidRPr="007A6FE3">
        <w:t xml:space="preserve">Windstream April 28, 2014 </w:t>
      </w:r>
      <w:r w:rsidRPr="007A6FE3">
        <w:rPr>
          <w:i/>
        </w:rPr>
        <w:t xml:space="preserve">Ex Parte </w:t>
      </w:r>
      <w:r w:rsidRPr="007A6FE3">
        <w:t>Letter at 7.</w:t>
      </w:r>
    </w:p>
  </w:footnote>
  <w:footnote w:id="209">
    <w:p w14:paraId="4A1C0E89" w14:textId="77777777" w:rsidR="00FE1B54" w:rsidRPr="007A6FE3" w:rsidRDefault="00FE1B54" w:rsidP="00D70C94">
      <w:pPr>
        <w:pStyle w:val="FootnoteText"/>
      </w:pPr>
      <w:r w:rsidRPr="007A6FE3">
        <w:rPr>
          <w:rStyle w:val="FootnoteReference"/>
        </w:rPr>
        <w:footnoteRef/>
      </w:r>
      <w:r w:rsidRPr="007A6FE3">
        <w:t xml:space="preserve"> </w:t>
      </w:r>
      <w:r w:rsidRPr="007A6FE3">
        <w:rPr>
          <w:i/>
        </w:rPr>
        <w:t>Id</w:t>
      </w:r>
      <w:r w:rsidRPr="007A6FE3">
        <w:t>.</w:t>
      </w:r>
    </w:p>
  </w:footnote>
  <w:footnote w:id="210">
    <w:p w14:paraId="31667FC7" w14:textId="77777777" w:rsidR="00FE1B54" w:rsidRPr="007A6FE3" w:rsidRDefault="00FE1B54" w:rsidP="00D70C94">
      <w:pPr>
        <w:pStyle w:val="FootnoteText"/>
        <w:rPr>
          <w:i/>
        </w:rPr>
      </w:pPr>
      <w:r w:rsidRPr="007A6FE3">
        <w:rPr>
          <w:rStyle w:val="FootnoteReference"/>
        </w:rPr>
        <w:footnoteRef/>
      </w:r>
      <w:r w:rsidRPr="007A6FE3">
        <w:t xml:space="preserve"> </w:t>
      </w:r>
      <w:r w:rsidRPr="007A6FE3">
        <w:rPr>
          <w:i/>
        </w:rPr>
        <w:t xml:space="preserve">See, e.g., </w:t>
      </w:r>
      <w:r w:rsidRPr="007A6FE3">
        <w:t xml:space="preserve">COMPTEL Managerial Framework </w:t>
      </w:r>
      <w:r w:rsidRPr="007A6FE3">
        <w:rPr>
          <w:i/>
        </w:rPr>
        <w:t xml:space="preserve">Ex Parte </w:t>
      </w:r>
      <w:r w:rsidRPr="007A6FE3">
        <w:t xml:space="preserve">Letter at 2, 5; Ameritech Operating Cos. Tariff F.C.C. No. 2 </w:t>
      </w:r>
      <w:r w:rsidRPr="007A6FE3">
        <w:rPr>
          <w:i/>
        </w:rPr>
        <w:t>et al.</w:t>
      </w:r>
      <w:r w:rsidRPr="007A6FE3">
        <w:t>, Reply of AT&amp;T Services Inc. to Petitions to Suspend and Investigate, Transmittal Nos. 1803, 71, 254, 498, 1061, and 3383 at 2-3 (filed Dec. 6, 2013).</w:t>
      </w:r>
    </w:p>
  </w:footnote>
  <w:footnote w:id="211">
    <w:p w14:paraId="4440BF3F" w14:textId="77777777" w:rsidR="00FE1B54" w:rsidRPr="007A6FE3" w:rsidRDefault="00FE1B54" w:rsidP="00D70C94">
      <w:pPr>
        <w:pStyle w:val="FootnoteText"/>
      </w:pPr>
      <w:r w:rsidRPr="007A6FE3">
        <w:rPr>
          <w:rStyle w:val="FootnoteReference"/>
        </w:rPr>
        <w:footnoteRef/>
      </w:r>
      <w:r w:rsidRPr="007A6FE3">
        <w:t xml:space="preserve"> </w:t>
      </w:r>
      <w:r w:rsidRPr="007A6FE3">
        <w:rPr>
          <w:i/>
        </w:rPr>
        <w:t>National Broadband Plan</w:t>
      </w:r>
      <w:r w:rsidRPr="007A6FE3">
        <w:t xml:space="preserve"> at 36; </w:t>
      </w:r>
      <w:r w:rsidRPr="007A6FE3">
        <w:rPr>
          <w:i/>
        </w:rPr>
        <w:t xml:space="preserve">see also </w:t>
      </w:r>
      <w:r w:rsidRPr="007A6FE3">
        <w:t>47 U.S.C. §§ 251-261 (Development of Competitive Markets).</w:t>
      </w:r>
    </w:p>
  </w:footnote>
  <w:footnote w:id="212">
    <w:p w14:paraId="02F5B872" w14:textId="77777777" w:rsidR="00FE1B54" w:rsidRPr="007A6FE3" w:rsidRDefault="00FE1B54" w:rsidP="00D70C94">
      <w:pPr>
        <w:pStyle w:val="FootnoteText"/>
        <w:rPr>
          <w:lang w:val="es-US"/>
        </w:rPr>
      </w:pPr>
      <w:r w:rsidRPr="007A6FE3">
        <w:rPr>
          <w:rStyle w:val="FootnoteReference"/>
        </w:rPr>
        <w:footnoteRef/>
      </w:r>
      <w:r w:rsidRPr="007A6FE3">
        <w:rPr>
          <w:lang w:val="es-US"/>
        </w:rPr>
        <w:t xml:space="preserve"> </w:t>
      </w:r>
      <w:r w:rsidRPr="007A6FE3">
        <w:rPr>
          <w:i/>
          <w:lang w:val="es-US"/>
        </w:rPr>
        <w:t xml:space="preserve">See supra </w:t>
      </w:r>
      <w:r w:rsidRPr="007A6FE3">
        <w:rPr>
          <w:lang w:val="es-US"/>
        </w:rPr>
        <w:t xml:space="preserve">para. </w:t>
      </w:r>
      <w:r w:rsidRPr="007A6FE3">
        <w:fldChar w:fldCharType="begin"/>
      </w:r>
      <w:r w:rsidRPr="007A6FE3">
        <w:rPr>
          <w:lang w:val="es-US"/>
        </w:rPr>
        <w:instrText xml:space="preserve"> REF _Ref401128243 \r \h </w:instrText>
      </w:r>
      <w:r>
        <w:instrText xml:space="preserve"> \* MERGEFORMAT </w:instrText>
      </w:r>
      <w:r w:rsidRPr="007A6FE3">
        <w:fldChar w:fldCharType="separate"/>
      </w:r>
      <w:r w:rsidR="008A38E8">
        <w:rPr>
          <w:lang w:val="es-US"/>
        </w:rPr>
        <w:t>23</w:t>
      </w:r>
      <w:r w:rsidRPr="007A6FE3">
        <w:fldChar w:fldCharType="end"/>
      </w:r>
      <w:r w:rsidRPr="007A6FE3">
        <w:rPr>
          <w:lang w:val="es-US"/>
        </w:rPr>
        <w:t>.</w:t>
      </w:r>
    </w:p>
  </w:footnote>
  <w:footnote w:id="213">
    <w:p w14:paraId="27B197C0" w14:textId="77777777" w:rsidR="00FE1B54" w:rsidRPr="007A6FE3" w:rsidRDefault="00FE1B54" w:rsidP="00D70C94">
      <w:pPr>
        <w:pStyle w:val="FootnoteText"/>
        <w:rPr>
          <w:lang w:val="es-US"/>
        </w:rPr>
      </w:pPr>
      <w:r w:rsidRPr="007A6FE3">
        <w:rPr>
          <w:rStyle w:val="FootnoteReference"/>
        </w:rPr>
        <w:footnoteRef/>
      </w:r>
      <w:r w:rsidRPr="007A6FE3">
        <w:rPr>
          <w:lang w:val="es-US"/>
        </w:rPr>
        <w:t xml:space="preserve"> 47 C.F.R. § 63.71.</w:t>
      </w:r>
    </w:p>
  </w:footnote>
  <w:footnote w:id="214">
    <w:p w14:paraId="63176C47" w14:textId="77777777" w:rsidR="00FE1B54" w:rsidRPr="007A6FE3" w:rsidRDefault="00FE1B54">
      <w:pPr>
        <w:pStyle w:val="FootnoteText"/>
      </w:pPr>
      <w:r w:rsidRPr="007A6FE3">
        <w:rPr>
          <w:rStyle w:val="FootnoteReference"/>
        </w:rPr>
        <w:footnoteRef/>
      </w:r>
      <w:r w:rsidRPr="007A6FE3">
        <w:t xml:space="preserve"> </w:t>
      </w:r>
      <w:r w:rsidRPr="007A6FE3">
        <w:rPr>
          <w:i/>
          <w:iCs/>
          <w:szCs w:val="22"/>
        </w:rPr>
        <w:t>Application of Ameritech Michigan Pursuant to Section 271 of the Communications Act of 1934, as Amended, to Provide In-Region, InterLATA Services in Michigan</w:t>
      </w:r>
      <w:r w:rsidRPr="007A6FE3">
        <w:rPr>
          <w:szCs w:val="22"/>
        </w:rPr>
        <w:t xml:space="preserve">, 12 FCC Rcd 20543, 20595, para. 95 (1997). </w:t>
      </w:r>
      <w:r>
        <w:rPr>
          <w:szCs w:val="22"/>
        </w:rPr>
        <w:t xml:space="preserve"> </w:t>
      </w:r>
    </w:p>
  </w:footnote>
  <w:footnote w:id="215">
    <w:p w14:paraId="14A1D43C" w14:textId="77777777" w:rsidR="00FE1B54" w:rsidRPr="007A6FE3" w:rsidRDefault="00FE1B54" w:rsidP="00D70C94">
      <w:pPr>
        <w:pStyle w:val="FootnoteText"/>
      </w:pPr>
      <w:r w:rsidRPr="007A6FE3">
        <w:rPr>
          <w:rStyle w:val="FootnoteReference"/>
        </w:rPr>
        <w:footnoteRef/>
      </w:r>
      <w:r w:rsidRPr="007A6FE3">
        <w:t xml:space="preserve"> The technology experiments and trials “will collect data that will permit service providers and their customers, and independent analysts and commentators—as well as federal, State, local, and Tribal officials charged with oversight—to make data-driven decisions about these technology transitions.”  </w:t>
      </w:r>
      <w:r w:rsidRPr="007A6FE3">
        <w:rPr>
          <w:i/>
        </w:rPr>
        <w:t>Technology Transitions Order</w:t>
      </w:r>
      <w:r w:rsidRPr="007A6FE3">
        <w:t xml:space="preserve">, 29 FCC Rcd at 1435, para. 1.  The Commission is also conducting a comprehensive data collection to evaluate competition in the special access market.  </w:t>
      </w:r>
      <w:r w:rsidRPr="007A6FE3">
        <w:rPr>
          <w:i/>
        </w:rPr>
        <w:t xml:space="preserve">See Pricing Flexibility Suspension Order, </w:t>
      </w:r>
      <w:r w:rsidRPr="007A6FE3">
        <w:t>27 FCC Rcd at 10558-59, para. 1;</w:t>
      </w:r>
      <w:r w:rsidRPr="007A6FE3">
        <w:rPr>
          <w:i/>
        </w:rPr>
        <w:t xml:space="preserve"> Data Collection Reconsideration Order</w:t>
      </w:r>
      <w:r w:rsidRPr="007A6FE3">
        <w:t xml:space="preserve">.  While, for example, an ultimate decision of whether to revise our special access rules requires an analysis of competitive market conditions, preserving the status quo does not.   </w:t>
      </w:r>
    </w:p>
  </w:footnote>
  <w:footnote w:id="216">
    <w:p w14:paraId="1F57BF9D" w14:textId="77777777" w:rsidR="00FE1B54" w:rsidRPr="007A6FE3" w:rsidRDefault="00FE1B54" w:rsidP="0009028E">
      <w:pPr>
        <w:pStyle w:val="FootnoteText"/>
      </w:pPr>
      <w:r w:rsidRPr="007A6FE3">
        <w:rPr>
          <w:rStyle w:val="FootnoteReference"/>
        </w:rPr>
        <w:footnoteRef/>
      </w:r>
      <w:r w:rsidRPr="007A6FE3">
        <w:t xml:space="preserve"> Letter from Jennie B. Chandra, Windstream Commc’ns, Inc., to Marlene H. Dortch, Secretary, FCC, GN Docket Nos. 13-5 and 12-353, WC Docket No. 05-25, RM-10593, at 10 (filed Sept. 26, 2014).  As to the first principle, Windstream suggests that “[s]pecifically, the per-Mbps price for the IP replacement product shall not exceed the DS1 per-Mbps rate for service at/below 12 Mbps, or the DS3 per-Mbps rate for service above 12 Mbps.  It is not technologically feasible to bond DS1 special access circuits to provide more than 12 Mbps in capacity, so if a wholesale purchaser seeks to deliver more than 12 Mbps service to a customer location, the only viable TDM special access option is DS3 service.”  </w:t>
      </w:r>
      <w:r w:rsidRPr="007A6FE3">
        <w:rPr>
          <w:i/>
        </w:rPr>
        <w:t>Id.</w:t>
      </w:r>
    </w:p>
  </w:footnote>
  <w:footnote w:id="217">
    <w:p w14:paraId="045EBE42" w14:textId="77777777" w:rsidR="00FE1B54" w:rsidRPr="007A6FE3" w:rsidRDefault="00FE1B54" w:rsidP="00D70C94">
      <w:pPr>
        <w:pStyle w:val="FootnoteText"/>
      </w:pPr>
      <w:r w:rsidRPr="007A6FE3">
        <w:rPr>
          <w:rStyle w:val="FootnoteReference"/>
        </w:rPr>
        <w:footnoteRef/>
      </w:r>
      <w:r w:rsidRPr="007A6FE3">
        <w:t xml:space="preserve"> </w:t>
      </w:r>
      <w:r w:rsidRPr="007A6FE3">
        <w:rPr>
          <w:i/>
        </w:rPr>
        <w:t xml:space="preserve">See </w:t>
      </w:r>
      <w:r w:rsidRPr="007A6FE3">
        <w:t xml:space="preserve">47 U.S.C. § 214(a); 47 C.F.R. § 63.71.  Those factors include (1) the financial impact on the provider of continuing to provide the service; (2) the need for the service in general;  (3) the need for the particular facilities in question; (4) the existence, availability, and adequacy of alternatives; and (5) increased charges for alternative services, although this factor may be outweighed by other considerations.  </w:t>
      </w:r>
      <w:r w:rsidRPr="007A6FE3">
        <w:rPr>
          <w:i/>
        </w:rPr>
        <w:t>Dark Fiber Order</w:t>
      </w:r>
      <w:r w:rsidRPr="007A6FE3">
        <w:t xml:space="preserve">,, 8 FCC Rcd at 2600, para. 54; </w:t>
      </w:r>
      <w:r w:rsidRPr="007A6FE3">
        <w:rPr>
          <w:i/>
        </w:rPr>
        <w:t>see also Verizon Expanded Interconnection Discontinuance Order</w:t>
      </w:r>
      <w:r w:rsidRPr="007A6FE3">
        <w:t>, 18 FCC Rcd at 22742, para. 8.</w:t>
      </w:r>
    </w:p>
  </w:footnote>
  <w:footnote w:id="218">
    <w:p w14:paraId="41B5A3BF" w14:textId="77777777" w:rsidR="00FE1B54" w:rsidRPr="007A6FE3" w:rsidRDefault="00FE1B54" w:rsidP="00D70C94">
      <w:pPr>
        <w:pStyle w:val="FootnoteText"/>
      </w:pPr>
      <w:r w:rsidRPr="007A6FE3">
        <w:rPr>
          <w:rStyle w:val="FootnoteReference"/>
        </w:rPr>
        <w:footnoteRef/>
      </w:r>
      <w:r w:rsidRPr="007A6FE3">
        <w:t xml:space="preserve"> </w:t>
      </w:r>
      <w:r w:rsidRPr="007A6FE3">
        <w:rPr>
          <w:i/>
        </w:rPr>
        <w:t xml:space="preserve">See generally AT&amp;T  Forbearance Order, </w:t>
      </w:r>
      <w:r w:rsidRPr="007A6FE3">
        <w:t xml:space="preserve">22 FCC Rcd 18705; </w:t>
      </w:r>
      <w:r w:rsidRPr="007A6FE3">
        <w:rPr>
          <w:i/>
        </w:rPr>
        <w:t>Petition of Qwest for Forbearance Under 47 U.S.C. § 160(c) from Title II and Computer Inquiry Rules with Respect to its Broadband Services</w:t>
      </w:r>
      <w:r w:rsidRPr="007A6FE3">
        <w:t xml:space="preserve">, WC Docket No. 06-125, Memorandum Opinion and Order, 23 FCC Rcd 12260 (2008); </w:t>
      </w:r>
      <w:r w:rsidRPr="007A6FE3">
        <w:rPr>
          <w:i/>
        </w:rPr>
        <w:t>Petition of Embarq Local Operating Companies for Forbearance Under 47 U.S.C. § 160(c) from Title II and Computer Inquiry Rules with Respect to its Broadband Services; Petition of the Frontier and Citizens ILECs for Forbearance Under 47 U.S.C. § 160(c) from Title II and Computer Inquiry Rules with Respect to its Broadband Services</w:t>
      </w:r>
      <w:r w:rsidRPr="007A6FE3">
        <w:t>, WC Docket No. 06-147, Memorandum Opinion and Order, 22 FCC Rcd 19478 (2007) (</w:t>
      </w:r>
      <w:r w:rsidRPr="007A6FE3">
        <w:rPr>
          <w:i/>
        </w:rPr>
        <w:t>Embarq and Frontier Forbearance Order</w:t>
      </w:r>
      <w:r w:rsidRPr="007A6FE3">
        <w:t>).</w:t>
      </w:r>
    </w:p>
  </w:footnote>
  <w:footnote w:id="219">
    <w:p w14:paraId="7057B1F2" w14:textId="77777777" w:rsidR="00FE1B54" w:rsidRPr="007A6FE3" w:rsidRDefault="00FE1B54" w:rsidP="00D70C94">
      <w:pPr>
        <w:pStyle w:val="FootnoteText"/>
      </w:pPr>
      <w:r w:rsidRPr="007A6FE3">
        <w:rPr>
          <w:rStyle w:val="FootnoteReference"/>
        </w:rPr>
        <w:footnoteRef/>
      </w:r>
      <w:r w:rsidRPr="007A6FE3">
        <w:t xml:space="preserve"> 47 C.F.R. § 63.71.</w:t>
      </w:r>
    </w:p>
  </w:footnote>
  <w:footnote w:id="220">
    <w:p w14:paraId="6F528FC4" w14:textId="77777777" w:rsidR="00FE1B54" w:rsidRPr="007A6FE3" w:rsidRDefault="00FE1B54" w:rsidP="00D70C94">
      <w:pPr>
        <w:pStyle w:val="FootnoteText"/>
        <w:rPr>
          <w:b/>
        </w:rPr>
      </w:pPr>
      <w:r w:rsidRPr="007A6FE3">
        <w:rPr>
          <w:rStyle w:val="FootnoteReference"/>
        </w:rPr>
        <w:footnoteRef/>
      </w:r>
      <w:r w:rsidRPr="007A6FE3">
        <w:t xml:space="preserve"> </w:t>
      </w:r>
      <w:r w:rsidRPr="007A6FE3">
        <w:rPr>
          <w:i/>
        </w:rPr>
        <w:t>See, e.g.</w:t>
      </w:r>
      <w:r w:rsidRPr="007A6FE3">
        <w:t>,</w:t>
      </w:r>
      <w:r w:rsidRPr="007A6FE3">
        <w:rPr>
          <w:i/>
        </w:rPr>
        <w:t xml:space="preserve"> </w:t>
      </w:r>
      <w:r w:rsidRPr="007A6FE3">
        <w:t xml:space="preserve">Letter from Robert C. Barber, General Attorney, AT&amp;T Services, Inc., to Marlene H. Dortch, Secretary, FCC, WC Docket No. 13-299, at 1 (dated Dec. 18, 2013).  </w:t>
      </w:r>
    </w:p>
  </w:footnote>
  <w:footnote w:id="221">
    <w:p w14:paraId="4D623FF9" w14:textId="22F4F34D" w:rsidR="00FE1B54" w:rsidRPr="007A6FE3" w:rsidRDefault="00FE1B54" w:rsidP="00D70C94">
      <w:pPr>
        <w:pStyle w:val="FootnoteText"/>
      </w:pPr>
      <w:r w:rsidRPr="007A6FE3">
        <w:rPr>
          <w:rStyle w:val="FootnoteReference"/>
        </w:rPr>
        <w:footnoteRef/>
      </w:r>
      <w:r w:rsidRPr="007A6FE3">
        <w:t xml:space="preserve"> Windstream April 28, 2014 </w:t>
      </w:r>
      <w:r w:rsidRPr="007A6FE3">
        <w:rPr>
          <w:i/>
        </w:rPr>
        <w:t xml:space="preserve">Ex Parte </w:t>
      </w:r>
      <w:r w:rsidRPr="007A6FE3">
        <w:t xml:space="preserve">Letter at 11; </w:t>
      </w:r>
      <w:r w:rsidRPr="007A6FE3">
        <w:rPr>
          <w:i/>
        </w:rPr>
        <w:t xml:space="preserve">see also </w:t>
      </w:r>
      <w:r w:rsidRPr="007A6FE3">
        <w:t>Letter from Thomas Jones, Counsel for Cbeyond, et al., to Marlene H. Dortch, Secretary, FCC, GN Docket Nos. 13-5 and 12-353, at 23 (filed Mar. 31, 2014) (“It often takes time for wholesalers to transition existing retail business customers from legacy TDM-based inputs to packet-based inputs.  Such a transition requires careful planning and cooperation from the incumbent LEC in order to avoid extensive service outages or service degradation.  Wholesale customers must therefore begin the process of cutting over existing customers as soon as possible</w:t>
      </w:r>
      <w:r w:rsidR="004E0ADB">
        <w:t>.</w:t>
      </w:r>
      <w:r w:rsidRPr="007A6FE3">
        <w:t>”).</w:t>
      </w:r>
    </w:p>
  </w:footnote>
  <w:footnote w:id="222">
    <w:p w14:paraId="4D3D1157" w14:textId="77777777" w:rsidR="00FE1B54" w:rsidRPr="007A6FE3" w:rsidRDefault="00FE1B54" w:rsidP="002F0E91">
      <w:pPr>
        <w:pStyle w:val="FootnoteText"/>
      </w:pPr>
      <w:r w:rsidRPr="007A6FE3">
        <w:rPr>
          <w:rStyle w:val="FootnoteReference"/>
        </w:rPr>
        <w:footnoteRef/>
      </w:r>
      <w:r w:rsidRPr="007A6FE3">
        <w:t xml:space="preserve"> 47 C.F.R. § 1.2.</w:t>
      </w:r>
    </w:p>
  </w:footnote>
  <w:footnote w:id="223">
    <w:p w14:paraId="3ACF274C" w14:textId="6BD02987" w:rsidR="00FE1B54" w:rsidRPr="007A6FE3" w:rsidRDefault="00FE1B54" w:rsidP="002F0E91">
      <w:pPr>
        <w:pStyle w:val="FootnoteText"/>
      </w:pPr>
      <w:r w:rsidRPr="007A6FE3">
        <w:rPr>
          <w:rStyle w:val="FootnoteReference"/>
        </w:rPr>
        <w:footnoteRef/>
      </w:r>
      <w:r w:rsidRPr="007A6FE3">
        <w:t xml:space="preserve"> Verizon New York Inc. and Verizon New Jersey Inc., </w:t>
      </w:r>
      <w:r w:rsidRPr="007A6FE3">
        <w:rPr>
          <w:i/>
        </w:rPr>
        <w:t>Section 63.71 Application of Verizon New York Inc. and Verizon New Jersey Inc. for Authority Pursuant to Section 214 of the Communications Act of 1934, as Amended, to Discontinue the Provision of Service</w:t>
      </w:r>
      <w:r w:rsidRPr="007A6FE3">
        <w:t xml:space="preserve">, WC Docket No. 13-150, Second Response to Information, Data and Document Request, at 11 (filed Sept. 4, 2013), </w:t>
      </w:r>
      <w:hyperlink r:id="rId40" w:history="1">
        <w:r w:rsidRPr="007A6FE3">
          <w:rPr>
            <w:rStyle w:val="Hyperlink"/>
          </w:rPr>
          <w:t>http://apps.fcc.gov/ecfs/document/view?id=7520942191</w:t>
        </w:r>
      </w:hyperlink>
      <w:r w:rsidRPr="007A6FE3">
        <w:t xml:space="preserve"> (VZ Second Response to Information Request).</w:t>
      </w:r>
    </w:p>
  </w:footnote>
  <w:footnote w:id="224">
    <w:p w14:paraId="38236FA4" w14:textId="77777777" w:rsidR="00FE1B54" w:rsidRPr="007A6FE3" w:rsidRDefault="00FE1B54" w:rsidP="002F0E91">
      <w:pPr>
        <w:pStyle w:val="FootnoteText"/>
      </w:pPr>
      <w:r w:rsidRPr="007A6FE3">
        <w:rPr>
          <w:rStyle w:val="FootnoteReference"/>
        </w:rPr>
        <w:footnoteRef/>
      </w:r>
      <w:r w:rsidRPr="007A6FE3">
        <w:t xml:space="preserve"> 47 U.S.C. § 203(a).</w:t>
      </w:r>
    </w:p>
  </w:footnote>
  <w:footnote w:id="225">
    <w:p w14:paraId="427EC909" w14:textId="77777777" w:rsidR="00FE1B54" w:rsidRPr="007A6FE3" w:rsidRDefault="00FE1B54" w:rsidP="002F0E91">
      <w:pPr>
        <w:pStyle w:val="FootnoteText"/>
      </w:pPr>
      <w:r w:rsidRPr="007A6FE3">
        <w:rPr>
          <w:rStyle w:val="FootnoteReference"/>
        </w:rPr>
        <w:footnoteRef/>
      </w:r>
      <w:r w:rsidRPr="007A6FE3">
        <w:t xml:space="preserve"> </w:t>
      </w:r>
      <w:r w:rsidRPr="007A6FE3">
        <w:rPr>
          <w:i/>
        </w:rPr>
        <w:t>See</w:t>
      </w:r>
      <w:r w:rsidRPr="007A6FE3">
        <w:t xml:space="preserve"> </w:t>
      </w:r>
      <w:r w:rsidRPr="007A6FE3">
        <w:rPr>
          <w:i/>
        </w:rPr>
        <w:t>AT&amp;T Forbearance Order</w:t>
      </w:r>
      <w:r w:rsidRPr="007A6FE3">
        <w:t xml:space="preserve">, 22 FCC Rcd at 18713, para. 11; </w:t>
      </w:r>
      <w:r w:rsidRPr="007A6FE3">
        <w:rPr>
          <w:i/>
        </w:rPr>
        <w:t>Embarq and Frontier Forbearance Order</w:t>
      </w:r>
      <w:r w:rsidRPr="007A6FE3">
        <w:t xml:space="preserve">, 22 FCC Rcd at 19485-86, para. 12. </w:t>
      </w:r>
    </w:p>
  </w:footnote>
  <w:footnote w:id="226">
    <w:p w14:paraId="14F32BAC" w14:textId="77777777" w:rsidR="00FE1B54" w:rsidRPr="007A6FE3" w:rsidRDefault="00FE1B54">
      <w:pPr>
        <w:pStyle w:val="FootnoteText"/>
      </w:pPr>
      <w:r w:rsidRPr="007A6FE3">
        <w:rPr>
          <w:rStyle w:val="FootnoteReference"/>
        </w:rPr>
        <w:footnoteRef/>
      </w:r>
      <w:r w:rsidRPr="007A6FE3">
        <w:t xml:space="preserve"> </w:t>
      </w:r>
      <w:r w:rsidRPr="007A6FE3">
        <w:rPr>
          <w:i/>
        </w:rPr>
        <w:t>See AT&amp;T Forbearance Order</w:t>
      </w:r>
      <w:r w:rsidRPr="007A6FE3">
        <w:t xml:space="preserve">, 22 FCC Rcd at 18727, para. 39; </w:t>
      </w:r>
      <w:r w:rsidRPr="007A6FE3">
        <w:rPr>
          <w:i/>
        </w:rPr>
        <w:t>Embarq and Frontier Forbearance Order</w:t>
      </w:r>
      <w:r w:rsidRPr="007A6FE3">
        <w:t>, 22 FCC Rcd at 19500, para. 38.</w:t>
      </w:r>
    </w:p>
  </w:footnote>
  <w:footnote w:id="227">
    <w:p w14:paraId="4FDF3150" w14:textId="77777777" w:rsidR="00FE1B54" w:rsidRPr="007A6FE3" w:rsidRDefault="00FE1B54" w:rsidP="002F0E91">
      <w:pPr>
        <w:pStyle w:val="FootnoteText"/>
        <w:rPr>
          <w:i/>
        </w:rPr>
      </w:pPr>
      <w:r w:rsidRPr="007A6FE3">
        <w:rPr>
          <w:rStyle w:val="FootnoteReference"/>
        </w:rPr>
        <w:footnoteRef/>
      </w:r>
      <w:r w:rsidRPr="007A6FE3">
        <w:t xml:space="preserve"> 47 U.S.C. § 214(a).  The final proviso of section 214(a) states that no authorization is required for “any installation, replacement, or other changes in plant, operation, or equipment, other than new construction, which will not impair the adequacy or quality of service provided.”  </w:t>
      </w:r>
      <w:r w:rsidRPr="007A6FE3">
        <w:rPr>
          <w:i/>
        </w:rPr>
        <w:t>Id.</w:t>
      </w:r>
    </w:p>
  </w:footnote>
  <w:footnote w:id="228">
    <w:p w14:paraId="40739D02" w14:textId="4E4620D7" w:rsidR="00FE1B54" w:rsidRPr="00327DFB" w:rsidRDefault="00FE1B54" w:rsidP="003F0F7D">
      <w:pPr>
        <w:pStyle w:val="FootnoteText"/>
      </w:pPr>
      <w:r w:rsidRPr="007A6FE3">
        <w:rPr>
          <w:rStyle w:val="FootnoteReference"/>
        </w:rPr>
        <w:footnoteRef/>
      </w:r>
      <w:r w:rsidRPr="007A6FE3">
        <w:t xml:space="preserve"> </w:t>
      </w:r>
      <w:r w:rsidRPr="00327DFB">
        <w:rPr>
          <w:rStyle w:val="FootnoteTextChar"/>
          <w:i/>
        </w:rPr>
        <w:t>Graphnet, Inc. v. AT&amp;T Corp</w:t>
      </w:r>
      <w:r w:rsidRPr="00327DFB">
        <w:rPr>
          <w:rStyle w:val="FootnoteTextChar"/>
        </w:rPr>
        <w:t xml:space="preserve">., File No. E-94-41, Memorandum Opinion and Order, 17 FCC Rcd 1131, 1140, </w:t>
      </w:r>
      <w:r w:rsidRPr="008100F2">
        <w:rPr>
          <w:rStyle w:val="FootnoteTextChar"/>
        </w:rPr>
        <w:t xml:space="preserve">para. 29 (2002); </w:t>
      </w:r>
      <w:r w:rsidRPr="008100F2">
        <w:rPr>
          <w:rStyle w:val="FootnoteTextChar"/>
          <w:i/>
        </w:rPr>
        <w:t>Dark Fiber Order</w:t>
      </w:r>
      <w:r w:rsidRPr="008100F2">
        <w:rPr>
          <w:rStyle w:val="FootnoteTextChar"/>
        </w:rPr>
        <w:t xml:space="preserve">, 8 FCC Rcd at 2597, para. 42; </w:t>
      </w:r>
      <w:r w:rsidRPr="004D4278">
        <w:rPr>
          <w:rStyle w:val="FootnoteTextChar"/>
          <w:i/>
        </w:rPr>
        <w:t>Western Union Order</w:t>
      </w:r>
      <w:r w:rsidRPr="004D4278">
        <w:rPr>
          <w:rStyle w:val="FootnoteTextChar"/>
        </w:rPr>
        <w:t>, 74 FCC 2d at 296, para. 7</w:t>
      </w:r>
      <w:r w:rsidRPr="007A6FE3">
        <w:rPr>
          <w:rStyle w:val="FootnoteTextChar"/>
        </w:rPr>
        <w:t>.</w:t>
      </w:r>
      <w:r>
        <w:rPr>
          <w:rStyle w:val="FootnoteTextChar"/>
        </w:rPr>
        <w:t xml:space="preserve">  </w:t>
      </w:r>
      <w:r w:rsidRPr="00FE1B54">
        <w:rPr>
          <w:rStyle w:val="FootnoteTextChar"/>
        </w:rPr>
        <w:t xml:space="preserve">We disagree with the suggestion, </w:t>
      </w:r>
      <w:r>
        <w:rPr>
          <w:rStyle w:val="FootnoteTextChar"/>
          <w:i/>
        </w:rPr>
        <w:t>see</w:t>
      </w:r>
      <w:r w:rsidR="00480F79">
        <w:rPr>
          <w:rStyle w:val="FootnoteTextChar"/>
        </w:rPr>
        <w:t xml:space="preserve"> Concurring in Part and Dissenting in Part Statement of Commissioner Ajit Pai</w:t>
      </w:r>
      <w:r w:rsidR="00480F79">
        <w:rPr>
          <w:rStyle w:val="FootnoteTextChar"/>
          <w:i/>
        </w:rPr>
        <w:t xml:space="preserve"> </w:t>
      </w:r>
      <w:r w:rsidR="00480F79">
        <w:rPr>
          <w:rStyle w:val="FootnoteTextChar"/>
        </w:rPr>
        <w:t xml:space="preserve">at </w:t>
      </w:r>
      <w:r w:rsidR="00480F79">
        <w:rPr>
          <w:rStyle w:val="FootnoteTextChar"/>
        </w:rPr>
        <w:fldChar w:fldCharType="begin"/>
      </w:r>
      <w:r w:rsidR="00480F79">
        <w:rPr>
          <w:rStyle w:val="FootnoteTextChar"/>
        </w:rPr>
        <w:instrText xml:space="preserve"> PAGEREF _Ref404354463 \h </w:instrText>
      </w:r>
      <w:r w:rsidR="00480F79">
        <w:rPr>
          <w:rStyle w:val="FootnoteTextChar"/>
        </w:rPr>
      </w:r>
      <w:r w:rsidR="00480F79">
        <w:rPr>
          <w:rStyle w:val="FootnoteTextChar"/>
        </w:rPr>
        <w:fldChar w:fldCharType="separate"/>
      </w:r>
      <w:r w:rsidR="00480F79">
        <w:rPr>
          <w:rStyle w:val="FootnoteTextChar"/>
          <w:noProof/>
        </w:rPr>
        <w:t>7</w:t>
      </w:r>
      <w:r w:rsidR="00480F79">
        <w:rPr>
          <w:rStyle w:val="FootnoteTextChar"/>
        </w:rPr>
        <w:fldChar w:fldCharType="end"/>
      </w:r>
      <w:r w:rsidR="004E0ADB">
        <w:rPr>
          <w:rStyle w:val="FootnoteTextChar"/>
        </w:rPr>
        <w:t>2</w:t>
      </w:r>
      <w:r w:rsidRPr="00FE1B54">
        <w:rPr>
          <w:rStyle w:val="FootnoteTextChar"/>
        </w:rPr>
        <w:t xml:space="preserve">, that our decision here is a departure from </w:t>
      </w:r>
      <w:r w:rsidRPr="00480F79">
        <w:rPr>
          <w:rStyle w:val="FootnoteTextChar"/>
          <w:i/>
        </w:rPr>
        <w:t>Western Union</w:t>
      </w:r>
      <w:r w:rsidRPr="00FE1B54">
        <w:rPr>
          <w:rStyle w:val="FootnoteTextChar"/>
        </w:rPr>
        <w:t>.  In pertinent part</w:t>
      </w:r>
      <w:r w:rsidR="004D4278">
        <w:rPr>
          <w:rStyle w:val="FootnoteTextChar"/>
        </w:rPr>
        <w:t>,</w:t>
      </w:r>
      <w:r w:rsidRPr="00FE1B54">
        <w:rPr>
          <w:rStyle w:val="FootnoteTextChar"/>
        </w:rPr>
        <w:t xml:space="preserve"> </w:t>
      </w:r>
      <w:r w:rsidR="004D4278">
        <w:rPr>
          <w:rStyle w:val="FootnoteTextChar"/>
        </w:rPr>
        <w:t>Commissioner Pai’s</w:t>
      </w:r>
      <w:r w:rsidRPr="00FE1B54">
        <w:rPr>
          <w:rStyle w:val="FootnoteTextChar"/>
        </w:rPr>
        <w:t xml:space="preserve"> dissent cites discussion and analysis that is specific to the carrier-to-carrier context of the dispute there, which the Commission historically has evaluated differently under section 214(a) than circumstances involving service provided to end-users.  </w:t>
      </w:r>
      <w:r w:rsidRPr="00480F79">
        <w:rPr>
          <w:rStyle w:val="FootnoteTextChar"/>
          <w:i/>
        </w:rPr>
        <w:t>See supra para.</w:t>
      </w:r>
      <w:r>
        <w:rPr>
          <w:rStyle w:val="FootnoteTextChar"/>
        </w:rPr>
        <w:t xml:space="preserve"> </w:t>
      </w:r>
      <w:r>
        <w:rPr>
          <w:rStyle w:val="FootnoteTextChar"/>
        </w:rPr>
        <w:fldChar w:fldCharType="begin"/>
      </w:r>
      <w:r>
        <w:rPr>
          <w:rStyle w:val="FootnoteTextChar"/>
        </w:rPr>
        <w:instrText xml:space="preserve"> REF _Ref404354180 \r \h </w:instrText>
      </w:r>
      <w:r>
        <w:rPr>
          <w:rStyle w:val="FootnoteTextChar"/>
        </w:rPr>
      </w:r>
      <w:r>
        <w:rPr>
          <w:rStyle w:val="FootnoteTextChar"/>
        </w:rPr>
        <w:fldChar w:fldCharType="separate"/>
      </w:r>
      <w:r w:rsidR="008A38E8">
        <w:rPr>
          <w:rStyle w:val="FootnoteTextChar"/>
        </w:rPr>
        <w:t>102</w:t>
      </w:r>
      <w:r>
        <w:rPr>
          <w:rStyle w:val="FootnoteTextChar"/>
        </w:rPr>
        <w:fldChar w:fldCharType="end"/>
      </w:r>
      <w:r w:rsidRPr="00FE1B54">
        <w:rPr>
          <w:rStyle w:val="FootnoteTextChar"/>
        </w:rPr>
        <w:t xml:space="preserve"> (discussing the Commission’s historical section 214 analysis under </w:t>
      </w:r>
      <w:r w:rsidRPr="00480F79">
        <w:rPr>
          <w:rStyle w:val="FootnoteTextChar"/>
          <w:i/>
        </w:rPr>
        <w:t>Western Union</w:t>
      </w:r>
      <w:r w:rsidRPr="00FE1B54">
        <w:rPr>
          <w:rStyle w:val="FootnoteTextChar"/>
        </w:rPr>
        <w:t xml:space="preserve"> and other decisions in the specific context of services provided to carrier customers).</w:t>
      </w:r>
    </w:p>
  </w:footnote>
  <w:footnote w:id="229">
    <w:p w14:paraId="2E5B327D" w14:textId="77777777" w:rsidR="00FE1B54" w:rsidRPr="007A6FE3" w:rsidRDefault="00FE1B54" w:rsidP="003F0F7D">
      <w:pPr>
        <w:pStyle w:val="FootnoteText"/>
      </w:pPr>
      <w:r w:rsidRPr="007A6FE3">
        <w:rPr>
          <w:rStyle w:val="FootnoteReference"/>
        </w:rPr>
        <w:footnoteRef/>
      </w:r>
      <w:r w:rsidRPr="007A6FE3">
        <w:t xml:space="preserve"> </w:t>
      </w:r>
      <w:r w:rsidRPr="00327DFB">
        <w:rPr>
          <w:rStyle w:val="FootnoteTextChar"/>
        </w:rPr>
        <w:t>If it were, presumably every change to a contract or tariff would require prior approval under section 214, which would impede providers’ ability to respond to market conditions and would hamper competition.  The Commission’s functional approach results in a more streamlined regulato</w:t>
      </w:r>
      <w:r w:rsidRPr="008100F2">
        <w:rPr>
          <w:rStyle w:val="FootnoteTextChar"/>
        </w:rPr>
        <w:t xml:space="preserve">ry process in which only service changes that potentially could be deemed to affect the present or future public convenience and necessity are subject to the requirements of section 214(a).  </w:t>
      </w:r>
      <w:r w:rsidRPr="008100F2">
        <w:rPr>
          <w:rStyle w:val="FootnoteTextChar"/>
          <w:i/>
        </w:rPr>
        <w:t>See, e.g., Appropriate Framework for Broadband Access to Internet over Wireline Facilities Universal Service Obligations of Broadband Providers</w:t>
      </w:r>
      <w:r w:rsidRPr="004D4278">
        <w:rPr>
          <w:rStyle w:val="FootnoteTextChar"/>
        </w:rPr>
        <w:t>, Notice of Proposed Rulemaking, CC Docket No. 02-33, et al., 17 FCC Rcd 3019, 3023, para. 7 (2002) (“We recognize that because these legacy networks have historically been regulated differently, the migration to digital broadband systems may raise different questions for different platforms.  We believe that the statute and our precedent suggest a functional approach, focu</w:t>
      </w:r>
      <w:r w:rsidRPr="003F0F7D">
        <w:rPr>
          <w:rStyle w:val="FootnoteTextChar"/>
        </w:rPr>
        <w:t xml:space="preserve">sing on the nature of the service provided to consumers, rather than one that focuses on the technical attributes of the underlying architecture.”); </w:t>
      </w:r>
      <w:r w:rsidRPr="003F0F7D">
        <w:rPr>
          <w:rStyle w:val="FootnoteTextChar"/>
          <w:i/>
        </w:rPr>
        <w:t>see also id</w:t>
      </w:r>
      <w:r w:rsidRPr="003F0F7D">
        <w:rPr>
          <w:rStyle w:val="FootnoteTextChar"/>
        </w:rPr>
        <w:t>. at n.10 (explaining that the “functional regulatory approach is embodied in the Act's classification of distinct service categories, such as ‘information services,’ ‘cable service,’ and ‘telecommunications services.’”).</w:t>
      </w:r>
    </w:p>
  </w:footnote>
  <w:footnote w:id="230">
    <w:p w14:paraId="7BACBA4D" w14:textId="77777777" w:rsidR="00FE1B54" w:rsidRPr="007A6FE3" w:rsidRDefault="00FE1B54" w:rsidP="003F0F7D">
      <w:pPr>
        <w:pStyle w:val="FootnoteText"/>
      </w:pPr>
      <w:r w:rsidRPr="007A6FE3">
        <w:rPr>
          <w:rStyle w:val="FootnoteReference"/>
        </w:rPr>
        <w:footnoteRef/>
      </w:r>
      <w:r w:rsidRPr="00327DFB">
        <w:t xml:space="preserve"> </w:t>
      </w:r>
      <w:r w:rsidRPr="00327DFB">
        <w:rPr>
          <w:rStyle w:val="FootnoteTextChar"/>
          <w:i/>
        </w:rPr>
        <w:t>See, e.g</w:t>
      </w:r>
      <w:r w:rsidRPr="008100F2">
        <w:rPr>
          <w:rStyle w:val="FootnoteTextChar"/>
        </w:rPr>
        <w:t>., Comments of Eric T. Schneiderman, Attorney General of New York, Case 3-C-0197, Tariff filing by Verizon New York, Inc. to introduce language under which Verizon could discontinue its current wireline service offerings in a specified area and instead offer a wireless service as its sole service offering in the area, filed with the NY Pub Serv. Comm’n, at 5 (dated July 2</w:t>
      </w:r>
      <w:r w:rsidRPr="004D4278">
        <w:rPr>
          <w:rStyle w:val="FootnoteTextChar"/>
        </w:rPr>
        <w:t>, 2013), filed with the FCC July 12, 2013 in Docket No. WC 13-150; Comments of Paul Brincat, WC Docket No. 13-150, at 1-2 (filed July 12, 2013); Letter from Jim Rosenthal to Marlene H. Dortch, Secretary, FCC, et al., WC Docket No. 13-150, at 5 (filed July 17, 2013).</w:t>
      </w:r>
    </w:p>
  </w:footnote>
  <w:footnote w:id="231">
    <w:p w14:paraId="2C741475" w14:textId="741B7DD9" w:rsidR="00FE1B54" w:rsidRPr="007A6FE3" w:rsidRDefault="00FE1B54" w:rsidP="00736576">
      <w:pPr>
        <w:pStyle w:val="FootnoteText"/>
      </w:pPr>
      <w:r w:rsidRPr="007A6FE3">
        <w:rPr>
          <w:rStyle w:val="FootnoteReference"/>
        </w:rPr>
        <w:footnoteRef/>
      </w:r>
      <w:r w:rsidRPr="007A6FE3">
        <w:t xml:space="preserve"> Verizon subsequently decided to rebuild its network in Fire Island, New York with fiber.  Verizon’s discontinuance application relating to the NJ barrier islands currently is pending.  </w:t>
      </w:r>
      <w:r w:rsidRPr="007A6FE3">
        <w:rPr>
          <w:i/>
        </w:rPr>
        <w:t>See</w:t>
      </w:r>
      <w:r w:rsidRPr="007A6FE3">
        <w:t xml:space="preserve"> Letter from Frederick E. Moacdieh, Executive Director</w:t>
      </w:r>
      <w:r>
        <w:t>—</w:t>
      </w:r>
      <w:r w:rsidRPr="007A6FE3">
        <w:t xml:space="preserve">Federal Regulatory Affairs, Verizon, to Ms. Marlene H. Dortch, Secretary, FCC, Attach. (filed June 7, 2013), </w:t>
      </w:r>
      <w:hyperlink r:id="rId41" w:history="1">
        <w:r w:rsidRPr="007A6FE3">
          <w:rPr>
            <w:rStyle w:val="Hyperlink"/>
          </w:rPr>
          <w:t>http://apps.fcc.gov/ecfs/document/view?id=7022424983</w:t>
        </w:r>
      </w:hyperlink>
      <w:r w:rsidRPr="007A6FE3">
        <w:t xml:space="preserve">. </w:t>
      </w:r>
    </w:p>
  </w:footnote>
  <w:footnote w:id="232">
    <w:p w14:paraId="7C41A956" w14:textId="77777777" w:rsidR="00FE1B54" w:rsidRPr="007A6FE3" w:rsidRDefault="00FE1B54" w:rsidP="00736576">
      <w:pPr>
        <w:pStyle w:val="FootnoteText"/>
      </w:pPr>
      <w:r w:rsidRPr="007A6FE3">
        <w:rPr>
          <w:rStyle w:val="FootnoteReference"/>
        </w:rPr>
        <w:footnoteRef/>
      </w:r>
      <w:r w:rsidRPr="007A6FE3">
        <w:t xml:space="preserve"> </w:t>
      </w:r>
      <w:r w:rsidRPr="007A6FE3">
        <w:rPr>
          <w:i/>
        </w:rPr>
        <w:t>See</w:t>
      </w:r>
      <w:r w:rsidRPr="007A6FE3">
        <w:t xml:space="preserve"> </w:t>
      </w:r>
      <w:r w:rsidRPr="007A6FE3">
        <w:rPr>
          <w:i/>
        </w:rPr>
        <w:t>id</w:t>
      </w:r>
      <w:r w:rsidRPr="007A6FE3">
        <w:t>. at 1.</w:t>
      </w:r>
    </w:p>
  </w:footnote>
  <w:footnote w:id="233">
    <w:p w14:paraId="7E0A4A77" w14:textId="77777777" w:rsidR="00FE1B54" w:rsidRPr="004D4278" w:rsidRDefault="00FE1B54" w:rsidP="003F0F7D">
      <w:pPr>
        <w:pStyle w:val="FootnoteText"/>
      </w:pPr>
      <w:r w:rsidRPr="007A6FE3">
        <w:rPr>
          <w:rStyle w:val="FootnoteReference"/>
        </w:rPr>
        <w:footnoteRef/>
      </w:r>
      <w:r w:rsidRPr="00327DFB">
        <w:t xml:space="preserve"> </w:t>
      </w:r>
      <w:r w:rsidRPr="00327DFB">
        <w:rPr>
          <w:rStyle w:val="FootnoteTextChar"/>
        </w:rPr>
        <w:t xml:space="preserve">VZ Second Response to Information Request at 11; see also, e.g., Comments of AARP, WC Docket No. 13-150, at 15-16 (filed July 29, 2013) (stating that the substitution of Voice Link eliminates a common carrier network that has supported a wide variety of technologies and services of benefit to consumers, and jeopardizes </w:t>
      </w:r>
      <w:r w:rsidRPr="008100F2">
        <w:rPr>
          <w:rStyle w:val="FootnoteTextChar"/>
        </w:rPr>
        <w:t xml:space="preserve">public safety because it is incompatible with Life Alert systems and security systems); Comments of Public Knowledge, WC Docket No. 13-150, at 7-12 (filed July 29, 2013) (asserting that Voice Link is a downgrade from wireline telecommunications); Comments of New Jersey Div. of Rate Counsel, et al., WC Docket Nos. 13-149 and 13-150, at 14 (filed July 29, 2013) (stating that even if alternatives to these services are available, “consumers would bear </w:t>
      </w:r>
      <w:r w:rsidRPr="004D4278">
        <w:rPr>
          <w:rStyle w:val="FootnoteTextChar"/>
        </w:rPr>
        <w:t>the additional cost”).</w:t>
      </w:r>
      <w:r w:rsidRPr="004D4278">
        <w:t xml:space="preserve"> </w:t>
      </w:r>
    </w:p>
  </w:footnote>
  <w:footnote w:id="234">
    <w:p w14:paraId="6BD7ABBE" w14:textId="77777777" w:rsidR="00FE1B54" w:rsidRPr="007A6FE3" w:rsidRDefault="00FE1B54" w:rsidP="00736576">
      <w:pPr>
        <w:pStyle w:val="FootnoteText"/>
      </w:pPr>
      <w:r w:rsidRPr="007A6FE3">
        <w:rPr>
          <w:rStyle w:val="FootnoteReference"/>
        </w:rPr>
        <w:footnoteRef/>
      </w:r>
      <w:r w:rsidRPr="007A6FE3">
        <w:t xml:space="preserve"> Verizon points out that “[s]uch devices and services were not, however, offered by Verizon as a ‘POTS feature or service capability’ of its telecommunications services.”  VZ Second Response to Information Request at 11.  In response a statement by Verizon position that the third-party services such as alarm systems are not telecommunications services, Public Knowledge asserted that “[a]n alarm system or a fax machine or a credit card reader are all uses of telecommunications, not telecommunications themselves. * * * Telecommunication is a function of the network, ‘transmission, between or among points specified by the user, of information of the user’s choosing, without change in the form or content of the information as sent and received.’  It is absurd to claim that the ‘information of the user’s choosing’ must somehow be telecommunications as well.”  Comments of Public Knowledge, WC Docket No. 13-150, at 8-9 (dated July 29, 2013).</w:t>
      </w:r>
    </w:p>
  </w:footnote>
  <w:footnote w:id="235">
    <w:p w14:paraId="4BE4833F" w14:textId="77777777" w:rsidR="00FE1B54" w:rsidRPr="007A6FE3" w:rsidRDefault="00FE1B54" w:rsidP="00736576">
      <w:pPr>
        <w:pStyle w:val="FootnoteText"/>
      </w:pPr>
      <w:r w:rsidRPr="007A6FE3">
        <w:rPr>
          <w:rStyle w:val="FootnoteReference"/>
        </w:rPr>
        <w:footnoteRef/>
      </w:r>
      <w:r w:rsidRPr="007A6FE3">
        <w:t xml:space="preserve"> The Bureau accordingly sought detailed information from the carrier in that case about the proposed replacement services, including “each POTS feature or service capability—</w:t>
      </w:r>
      <w:r w:rsidRPr="007A6FE3">
        <w:rPr>
          <w:i/>
        </w:rPr>
        <w:t>e.g.</w:t>
      </w:r>
      <w:r w:rsidRPr="007A6FE3">
        <w:t xml:space="preserve">, alarm services, fax capability—that was supported by POTS but would not be supported by Voice Link.”  </w:t>
      </w:r>
      <w:r w:rsidRPr="007A6FE3">
        <w:rPr>
          <w:i/>
        </w:rPr>
        <w:t>See</w:t>
      </w:r>
      <w:r w:rsidRPr="007A6FE3">
        <w:t xml:space="preserve"> Letter from Julie A. Veach, Chief, Wireline Competition Bureau, FCC, to Kathleen Grillo, Senior Vice President – Federal Regulatory Affairs, Verizon, WC Docket No. 13-150, at Attach. at 5 (Wireline Comp. Bur. rel. Aug. 14, 2013).</w:t>
      </w:r>
      <w:r>
        <w:t xml:space="preserve">  </w:t>
      </w:r>
    </w:p>
  </w:footnote>
  <w:footnote w:id="236">
    <w:p w14:paraId="188BDF08" w14:textId="77777777" w:rsidR="00FE1B54" w:rsidRPr="007A6FE3" w:rsidRDefault="00FE1B54" w:rsidP="00736576">
      <w:pPr>
        <w:pStyle w:val="FootnoteText"/>
      </w:pPr>
      <w:r w:rsidRPr="007A6FE3">
        <w:rPr>
          <w:rStyle w:val="FootnoteReference"/>
        </w:rPr>
        <w:footnoteRef/>
      </w:r>
      <w:r w:rsidRPr="007A6FE3">
        <w:t xml:space="preserve"> </w:t>
      </w:r>
      <w:r w:rsidRPr="007A6FE3">
        <w:rPr>
          <w:szCs w:val="22"/>
        </w:rPr>
        <w:t xml:space="preserve">AT&amp;T acknowledged these services and devices as “vitally important to its customers” in the proposal for service-based experiments it submitted in response to the </w:t>
      </w:r>
      <w:r w:rsidRPr="007A6FE3">
        <w:rPr>
          <w:i/>
          <w:szCs w:val="22"/>
        </w:rPr>
        <w:t>Technology Transitions Order</w:t>
      </w:r>
      <w:r w:rsidRPr="007A6FE3">
        <w:rPr>
          <w:szCs w:val="22"/>
        </w:rPr>
        <w:t>.</w:t>
      </w:r>
      <w:r w:rsidRPr="007A6FE3">
        <w:t xml:space="preserve">  Letter from Christopher M. Heimann, General Attorney, AT&amp;T Services, Inc., to Marlene H. Dortch, Secretary, FCC, GN Docket Nos. 13-5, 12-353, Operating Plan at 15 (filed Feb. 27, 2014); </w:t>
      </w:r>
      <w:r w:rsidRPr="007A6FE3">
        <w:rPr>
          <w:i/>
        </w:rPr>
        <w:t>see also</w:t>
      </w:r>
      <w:r w:rsidRPr="007A6FE3">
        <w:t xml:space="preserve"> PK Consumer Survey at 3, 7 (stating that 26% of consumers surveyed keep their landline for use with a fax machine, 24% keep it for use with a medical alert device, and 17% keep it for use in connection with a home security system). </w:t>
      </w:r>
    </w:p>
  </w:footnote>
  <w:footnote w:id="237">
    <w:p w14:paraId="48F7F2E6" w14:textId="77777777" w:rsidR="00FE1B54" w:rsidRPr="007A6FE3" w:rsidRDefault="00FE1B54" w:rsidP="00736576">
      <w:pPr>
        <w:pStyle w:val="FootnoteText"/>
        <w:rPr>
          <w:b/>
        </w:rPr>
      </w:pPr>
      <w:r w:rsidRPr="007A6FE3">
        <w:rPr>
          <w:rStyle w:val="FootnoteReference"/>
        </w:rPr>
        <w:footnoteRef/>
      </w:r>
      <w:r w:rsidRPr="007A6FE3">
        <w:t xml:space="preserve"> </w:t>
      </w:r>
      <w:r w:rsidRPr="007A6FE3">
        <w:rPr>
          <w:i/>
          <w:iCs/>
        </w:rPr>
        <w:t>See, e.g.</w:t>
      </w:r>
      <w:r w:rsidRPr="007A6FE3">
        <w:rPr>
          <w:iCs/>
        </w:rPr>
        <w:t>,</w:t>
      </w:r>
      <w:r w:rsidRPr="007A6FE3">
        <w:rPr>
          <w:i/>
          <w:iCs/>
        </w:rPr>
        <w:t xml:space="preserve"> Appropriate Framework for Broadband Access to the Internet over Wireline Facilities</w:t>
      </w:r>
      <w:r w:rsidRPr="007A6FE3">
        <w:rPr>
          <w:iCs/>
        </w:rPr>
        <w:t>,</w:t>
      </w:r>
      <w:r w:rsidRPr="007A6FE3">
        <w:rPr>
          <w:i/>
          <w:iCs/>
        </w:rPr>
        <w:t xml:space="preserve"> et al.</w:t>
      </w:r>
      <w:r w:rsidRPr="007A6FE3">
        <w:t xml:space="preserve">, GN Docket No. 00-185, et al., Policy Statement, 20 FCC Rcd 14986 (2005); </w:t>
      </w:r>
      <w:r w:rsidRPr="007A6FE3">
        <w:rPr>
          <w:i/>
        </w:rPr>
        <w:t>see also</w:t>
      </w:r>
      <w:r w:rsidRPr="007A6FE3">
        <w:rPr>
          <w:b/>
        </w:rPr>
        <w:t xml:space="preserve"> </w:t>
      </w:r>
      <w:r w:rsidRPr="007A6FE3">
        <w:rPr>
          <w:i/>
        </w:rPr>
        <w:t>Preserving the Open Internet; Broadband Industry Practices</w:t>
      </w:r>
      <w:r w:rsidRPr="007A6FE3">
        <w:t xml:space="preserve">, GN Docket No. 09-191, WC Docket No. 07-52, Report and Order, 25 FCC Rcd 17905 (2010), vacated and remanded, </w:t>
      </w:r>
      <w:r w:rsidRPr="007A6FE3">
        <w:rPr>
          <w:i/>
        </w:rPr>
        <w:t>Verizon v. FCC</w:t>
      </w:r>
      <w:r w:rsidRPr="007A6FE3">
        <w:t xml:space="preserve">, 740 F.3d 623 (D.C. Cir. 2014); </w:t>
      </w:r>
      <w:r w:rsidRPr="007A6FE3">
        <w:rPr>
          <w:i/>
        </w:rPr>
        <w:t>Protecting and Promoting the Open Internet</w:t>
      </w:r>
      <w:r w:rsidRPr="007A6FE3">
        <w:t xml:space="preserve">, GN Docket No. 14-28, Notice of Proposed Rulemaking, 29 FCC Rcd 5561 (2014).  </w:t>
      </w:r>
      <w:r w:rsidRPr="007A6FE3">
        <w:rPr>
          <w:i/>
        </w:rPr>
        <w:t>See also Use of the Carterfone Device in Message Toll Telephone Service</w:t>
      </w:r>
      <w:r w:rsidRPr="007A6FE3">
        <w:t xml:space="preserve">, </w:t>
      </w:r>
      <w:r w:rsidRPr="007A6FE3">
        <w:rPr>
          <w:i/>
        </w:rPr>
        <w:t>et al</w:t>
      </w:r>
      <w:r w:rsidRPr="007A6FE3">
        <w:t>., Docket No. 16942, et al., Decision, 13 FCC 2d 420, recon. denied, 14 FCC 2d 571 (1968).</w:t>
      </w:r>
    </w:p>
  </w:footnote>
  <w:footnote w:id="238">
    <w:p w14:paraId="6B2E35D9" w14:textId="77777777" w:rsidR="00FE1B54" w:rsidRPr="007A6FE3" w:rsidRDefault="00FE1B54" w:rsidP="002F0E91">
      <w:pPr>
        <w:pStyle w:val="FootnoteText"/>
      </w:pPr>
      <w:r w:rsidRPr="007A6FE3">
        <w:rPr>
          <w:rStyle w:val="FootnoteReference"/>
        </w:rPr>
        <w:footnoteRef/>
      </w:r>
      <w:r w:rsidRPr="007A6FE3">
        <w:t xml:space="preserve"> </w:t>
      </w:r>
      <w:r w:rsidRPr="007A6FE3">
        <w:rPr>
          <w:i/>
        </w:rPr>
        <w:t>See,</w:t>
      </w:r>
      <w:r w:rsidRPr="007A6FE3">
        <w:t xml:space="preserve"> </w:t>
      </w:r>
      <w:r w:rsidRPr="007A6FE3">
        <w:rPr>
          <w:i/>
        </w:rPr>
        <w:t>e.g.</w:t>
      </w:r>
      <w:r w:rsidRPr="007A6FE3">
        <w:t xml:space="preserve">, </w:t>
      </w:r>
      <w:r w:rsidRPr="007A6FE3">
        <w:rPr>
          <w:i/>
        </w:rPr>
        <w:t>Preserving the Open Internet; Broadband Industry Practices</w:t>
      </w:r>
      <w:r w:rsidRPr="007A6FE3">
        <w:t xml:space="preserve">, GN Docket No. 09-191, WC Docket No. 07-52, Notice of Proposed Rulemaking, 24 FCC Rcd 13064, 13073-74, paras. 26-27 (2009) (The Commission, through “the </w:t>
      </w:r>
      <w:r w:rsidRPr="007A6FE3">
        <w:rPr>
          <w:i/>
        </w:rPr>
        <w:t>Computer Inquiries</w:t>
      </w:r>
      <w:r w:rsidRPr="007A6FE3">
        <w:t xml:space="preserve"> [proceedings] ensured an open telecommunications platform that would support the rapidly evolving computer market” by “creat[ing] a dichotomy between basic and enhanced services” where, because “basic services were the platforms upon which enhanced services would be built, the Commission sought to ensure that they would be provided in an open and transparent manner.”); </w:t>
      </w:r>
      <w:r w:rsidRPr="007A6FE3">
        <w:rPr>
          <w:i/>
        </w:rPr>
        <w:t>Hush-A-Phone Corp. v. U.S.</w:t>
      </w:r>
      <w:r w:rsidRPr="007A6FE3">
        <w:t xml:space="preserve">, 238 F.2d 266, 269 (D.C. Cir. 1956) (reversing a Commission decision dismissing a complaint against carriers for disallowing use of a “hush-a-phone” device, holding that the tariff restrictions “are in unwarranted interference with the telephone subscriber’s right reasonably to use his telephone in ways which are privately beneficial without being publicly detrimental.”). </w:t>
      </w:r>
    </w:p>
  </w:footnote>
  <w:footnote w:id="239">
    <w:p w14:paraId="66D4ACEE" w14:textId="77777777" w:rsidR="00FE1B54" w:rsidRPr="007A6FE3" w:rsidRDefault="00FE1B54">
      <w:pPr>
        <w:pStyle w:val="FootnoteText"/>
      </w:pPr>
      <w:r w:rsidRPr="007A6FE3">
        <w:rPr>
          <w:rStyle w:val="FootnoteReference"/>
        </w:rPr>
        <w:footnoteRef/>
      </w:r>
      <w:r w:rsidRPr="007A6FE3">
        <w:t xml:space="preserve"> 47 C.F.R. § 68.110(b).</w:t>
      </w:r>
    </w:p>
  </w:footnote>
  <w:footnote w:id="240">
    <w:p w14:paraId="07FB2445" w14:textId="00C4291B" w:rsidR="00FE1B54" w:rsidRPr="007A6FE3" w:rsidRDefault="00FE1B54" w:rsidP="00A926F6">
      <w:pPr>
        <w:pStyle w:val="FootnoteText"/>
        <w:rPr>
          <w:i/>
          <w:iCs/>
        </w:rPr>
      </w:pPr>
      <w:r w:rsidRPr="007A6FE3">
        <w:rPr>
          <w:rStyle w:val="FootnoteReference"/>
        </w:rPr>
        <w:footnoteRef/>
      </w:r>
      <w:r w:rsidRPr="007A6FE3">
        <w:t xml:space="preserve"> 47 C.F.R. § 1.1200 </w:t>
      </w:r>
      <w:r w:rsidRPr="007A6FE3">
        <w:rPr>
          <w:i/>
          <w:iCs/>
        </w:rPr>
        <w:t>et seq.</w:t>
      </w:r>
    </w:p>
  </w:footnote>
  <w:footnote w:id="241">
    <w:p w14:paraId="74DF1EC0" w14:textId="3A814E50" w:rsidR="00DF7AAE" w:rsidRDefault="00DF7AAE">
      <w:pPr>
        <w:pStyle w:val="FootnoteText"/>
      </w:pPr>
      <w:r>
        <w:rPr>
          <w:rStyle w:val="FootnoteReference"/>
        </w:rPr>
        <w:footnoteRef/>
      </w:r>
      <w:r>
        <w:t xml:space="preserve"> </w:t>
      </w:r>
      <w:r w:rsidRPr="007A6FE3">
        <w:rPr>
          <w:szCs w:val="22"/>
        </w:rPr>
        <w:t>47 C</w:t>
      </w:r>
      <w:r>
        <w:rPr>
          <w:szCs w:val="22"/>
        </w:rPr>
        <w:t>.</w:t>
      </w:r>
      <w:r w:rsidRPr="007A6FE3">
        <w:rPr>
          <w:szCs w:val="22"/>
        </w:rPr>
        <w:t>F</w:t>
      </w:r>
      <w:r>
        <w:rPr>
          <w:szCs w:val="22"/>
        </w:rPr>
        <w:t>.</w:t>
      </w:r>
      <w:r w:rsidRPr="007A6FE3">
        <w:rPr>
          <w:szCs w:val="22"/>
        </w:rPr>
        <w:t>R</w:t>
      </w:r>
      <w:r>
        <w:rPr>
          <w:szCs w:val="22"/>
        </w:rPr>
        <w:t>. §§ 1.415, 1.419.</w:t>
      </w:r>
    </w:p>
  </w:footnote>
  <w:footnote w:id="242">
    <w:p w14:paraId="41EDC966" w14:textId="519C09FA" w:rsidR="00DF7AAE" w:rsidRDefault="00DF7AAE">
      <w:pPr>
        <w:pStyle w:val="FootnoteText"/>
      </w:pPr>
      <w:r>
        <w:rPr>
          <w:rStyle w:val="FootnoteReference"/>
        </w:rPr>
        <w:footnoteRef/>
      </w:r>
      <w:r>
        <w:t xml:space="preserve"> </w:t>
      </w:r>
      <w:r w:rsidRPr="007A6FE3">
        <w:rPr>
          <w:i/>
          <w:szCs w:val="22"/>
        </w:rPr>
        <w:t>See Electronic Filing of Documents in Rulemaking Proceedings</w:t>
      </w:r>
      <w:r w:rsidRPr="007A6FE3">
        <w:rPr>
          <w:szCs w:val="22"/>
        </w:rPr>
        <w:t>, 63 FR 24121 (1998).</w:t>
      </w:r>
    </w:p>
  </w:footnote>
  <w:footnote w:id="243">
    <w:p w14:paraId="48AB1D91" w14:textId="77777777" w:rsidR="00FE1B54" w:rsidRPr="007A6FE3" w:rsidRDefault="00FE1B54" w:rsidP="00BC130A">
      <w:pPr>
        <w:pStyle w:val="FootnoteText"/>
      </w:pPr>
      <w:r w:rsidRPr="007A6FE3">
        <w:rPr>
          <w:rStyle w:val="FootnoteReference"/>
        </w:rPr>
        <w:footnoteRef/>
      </w:r>
      <w:r w:rsidRPr="007A6FE3">
        <w:t xml:space="preserve"> </w:t>
      </w:r>
      <w:r w:rsidRPr="007A6FE3">
        <w:rPr>
          <w:i/>
        </w:rPr>
        <w:t>See</w:t>
      </w:r>
      <w:r w:rsidRPr="007A6FE3">
        <w:t xml:space="preserve"> 5 U.S.C. § 603.</w:t>
      </w:r>
    </w:p>
  </w:footnote>
  <w:footnote w:id="244">
    <w:p w14:paraId="679A2DD9" w14:textId="77777777" w:rsidR="00FE1B54" w:rsidRPr="007A6FE3" w:rsidRDefault="00FE1B54" w:rsidP="000F6490">
      <w:pPr>
        <w:pStyle w:val="FootnoteText"/>
        <w:tabs>
          <w:tab w:val="left" w:pos="-720"/>
        </w:tabs>
        <w:rPr>
          <w:spacing w:val="-2"/>
        </w:rPr>
      </w:pPr>
      <w:r w:rsidRPr="007A6FE3">
        <w:rPr>
          <w:rStyle w:val="FootnoteReference"/>
          <w:spacing w:val="-2"/>
        </w:rPr>
        <w:footnoteRef/>
      </w:r>
      <w:r w:rsidRPr="007A6FE3">
        <w:rPr>
          <w:spacing w:val="-2"/>
        </w:rPr>
        <w:t xml:space="preserve"> </w:t>
      </w:r>
      <w:r w:rsidRPr="007A6FE3">
        <w:rPr>
          <w:i/>
          <w:spacing w:val="-2"/>
        </w:rPr>
        <w:t>See</w:t>
      </w:r>
      <w:r w:rsidRPr="007A6FE3">
        <w:rPr>
          <w:spacing w:val="-2"/>
        </w:rPr>
        <w:t xml:space="preserve"> 5 U.S.C. § 603.  The RFA, </w:t>
      </w:r>
      <w:r w:rsidRPr="007A6FE3">
        <w:rPr>
          <w:i/>
          <w:spacing w:val="-2"/>
        </w:rPr>
        <w:t>see</w:t>
      </w:r>
      <w:r w:rsidRPr="007A6FE3">
        <w:rPr>
          <w:spacing w:val="-2"/>
        </w:rPr>
        <w:t xml:space="preserve"> 5 U.S.C. § 601 </w:t>
      </w:r>
      <w:r w:rsidRPr="007A6FE3">
        <w:rPr>
          <w:i/>
          <w:spacing w:val="-2"/>
        </w:rPr>
        <w:t>et. seq.</w:t>
      </w:r>
      <w:r w:rsidRPr="007A6FE3">
        <w:rPr>
          <w:spacing w:val="-2"/>
        </w:rPr>
        <w:t>, has been amended by the Contract With America Advancement Act of 1996, Pub. L. No. 104-121, 110 Stat. 847 (1996) (CWAAA).  Title II of the CWAAA is the Small Business Regulatory Enforcement Fairness Act of 1996 (SBREFA).</w:t>
      </w:r>
    </w:p>
  </w:footnote>
  <w:footnote w:id="245">
    <w:p w14:paraId="20DDC66F" w14:textId="77777777" w:rsidR="00FE1B54" w:rsidRPr="007A6FE3" w:rsidRDefault="00FE1B54" w:rsidP="000F6490">
      <w:pPr>
        <w:pStyle w:val="FootnoteText"/>
      </w:pPr>
      <w:r w:rsidRPr="007A6FE3">
        <w:rPr>
          <w:rStyle w:val="FootnoteReference"/>
        </w:rPr>
        <w:footnoteRef/>
      </w:r>
      <w:r w:rsidRPr="007A6FE3">
        <w:t xml:space="preserve"> </w:t>
      </w:r>
      <w:r w:rsidRPr="007A6FE3">
        <w:rPr>
          <w:i/>
          <w:spacing w:val="-3"/>
        </w:rPr>
        <w:t>See</w:t>
      </w:r>
      <w:r w:rsidRPr="007A6FE3">
        <w:rPr>
          <w:spacing w:val="-3"/>
        </w:rPr>
        <w:t xml:space="preserve"> 5 U.S.C. § 603(a).</w:t>
      </w:r>
    </w:p>
  </w:footnote>
  <w:footnote w:id="246">
    <w:p w14:paraId="771259AD" w14:textId="77777777" w:rsidR="00FE1B54" w:rsidRPr="007A6FE3" w:rsidRDefault="00FE1B54" w:rsidP="000F6490">
      <w:pPr>
        <w:pStyle w:val="FootnoteText"/>
      </w:pPr>
      <w:r w:rsidRPr="007A6FE3">
        <w:rPr>
          <w:rStyle w:val="FootnoteReference"/>
        </w:rPr>
        <w:footnoteRef/>
      </w:r>
      <w:r w:rsidRPr="007A6FE3">
        <w:t xml:space="preserve"> </w:t>
      </w:r>
      <w:r w:rsidRPr="007A6FE3">
        <w:rPr>
          <w:i/>
          <w:spacing w:val="-3"/>
        </w:rPr>
        <w:t>See id.</w:t>
      </w:r>
    </w:p>
  </w:footnote>
  <w:footnote w:id="247">
    <w:p w14:paraId="16073B62" w14:textId="77777777" w:rsidR="00FE1B54" w:rsidRPr="007A6FE3" w:rsidRDefault="00FE1B54" w:rsidP="00CE4D2B">
      <w:pPr>
        <w:pStyle w:val="FootnoteText"/>
      </w:pPr>
      <w:r w:rsidRPr="007A6FE3">
        <w:rPr>
          <w:rStyle w:val="FootnoteReference"/>
        </w:rPr>
        <w:footnoteRef/>
      </w:r>
      <w:r w:rsidRPr="007A6FE3">
        <w:t xml:space="preserve"> </w:t>
      </w:r>
      <w:r w:rsidRPr="007A6FE3">
        <w:rPr>
          <w:i/>
        </w:rPr>
        <w:t>See</w:t>
      </w:r>
      <w:r w:rsidRPr="007A6FE3">
        <w:t xml:space="preserve"> Notice Section III.A.5.</w:t>
      </w:r>
    </w:p>
  </w:footnote>
  <w:footnote w:id="248">
    <w:p w14:paraId="2E7DEA0E" w14:textId="77777777" w:rsidR="00FE1B54" w:rsidRPr="007A6FE3" w:rsidRDefault="00FE1B54" w:rsidP="000F6490">
      <w:pPr>
        <w:pStyle w:val="FootnoteText"/>
      </w:pPr>
      <w:r w:rsidRPr="007A6FE3">
        <w:rPr>
          <w:rStyle w:val="FootnoteReference"/>
        </w:rPr>
        <w:footnoteRef/>
      </w:r>
      <w:r w:rsidRPr="007A6FE3">
        <w:t xml:space="preserve"> </w:t>
      </w:r>
      <w:r w:rsidRPr="007A6FE3">
        <w:rPr>
          <w:i/>
        </w:rPr>
        <w:t xml:space="preserve">See </w:t>
      </w:r>
      <w:r w:rsidRPr="007A6FE3">
        <w:t>Notice Section IIIB.2.a.</w:t>
      </w:r>
    </w:p>
  </w:footnote>
  <w:footnote w:id="249">
    <w:p w14:paraId="2F88F18E" w14:textId="77777777" w:rsidR="00FE1B54" w:rsidRPr="007A6FE3" w:rsidRDefault="00FE1B54">
      <w:pPr>
        <w:pStyle w:val="FootnoteText"/>
      </w:pPr>
      <w:r w:rsidRPr="007A6FE3">
        <w:rPr>
          <w:rStyle w:val="FootnoteReference"/>
        </w:rPr>
        <w:footnoteRef/>
      </w:r>
      <w:r w:rsidRPr="007A6FE3">
        <w:t xml:space="preserve"> </w:t>
      </w:r>
      <w:r w:rsidRPr="007A6FE3">
        <w:rPr>
          <w:i/>
        </w:rPr>
        <w:t>See id.</w:t>
      </w:r>
    </w:p>
  </w:footnote>
  <w:footnote w:id="250">
    <w:p w14:paraId="33A79F97" w14:textId="77777777" w:rsidR="00FE1B54" w:rsidRPr="007A6FE3" w:rsidRDefault="00FE1B54" w:rsidP="000F6490">
      <w:pPr>
        <w:pStyle w:val="FootnoteText"/>
      </w:pPr>
      <w:r w:rsidRPr="007A6FE3">
        <w:rPr>
          <w:rStyle w:val="FootnoteReference"/>
        </w:rPr>
        <w:footnoteRef/>
      </w:r>
      <w:r w:rsidRPr="007A6FE3">
        <w:t xml:space="preserve"> </w:t>
      </w:r>
      <w:r w:rsidRPr="007A6FE3">
        <w:rPr>
          <w:i/>
        </w:rPr>
        <w:t xml:space="preserve">See </w:t>
      </w:r>
      <w:r w:rsidRPr="007A6FE3">
        <w:t xml:space="preserve">Notice Section III.B.2.b; </w:t>
      </w:r>
      <w:r w:rsidRPr="007A6FE3">
        <w:rPr>
          <w:i/>
        </w:rPr>
        <w:t>see also</w:t>
      </w:r>
      <w:r w:rsidRPr="007A6FE3">
        <w:t xml:space="preserve"> </w:t>
      </w:r>
      <w:r w:rsidRPr="007A6FE3">
        <w:rPr>
          <w:i/>
        </w:rPr>
        <w:t>id</w:t>
      </w:r>
      <w:r w:rsidRPr="007A6FE3">
        <w:t xml:space="preserve">., Appendix A; Network Change Disclosure Rules, </w:t>
      </w:r>
      <w:r w:rsidRPr="007A6FE3">
        <w:rPr>
          <w:szCs w:val="22"/>
        </w:rPr>
        <w:t>47 C.F.R. §§ 51.325-51.335</w:t>
      </w:r>
      <w:r w:rsidRPr="007A6FE3">
        <w:t>.</w:t>
      </w:r>
    </w:p>
  </w:footnote>
  <w:footnote w:id="251">
    <w:p w14:paraId="40A236E0" w14:textId="77777777" w:rsidR="00FE1B54" w:rsidRPr="007A6FE3" w:rsidRDefault="00FE1B54" w:rsidP="000F6490">
      <w:pPr>
        <w:pStyle w:val="FootnoteText"/>
      </w:pPr>
      <w:r w:rsidRPr="007A6FE3">
        <w:rPr>
          <w:rStyle w:val="FootnoteReference"/>
        </w:rPr>
        <w:footnoteRef/>
      </w:r>
      <w:r w:rsidRPr="007A6FE3">
        <w:t xml:space="preserve"> </w:t>
      </w:r>
      <w:r w:rsidRPr="007A6FE3">
        <w:rPr>
          <w:i/>
        </w:rPr>
        <w:t xml:space="preserve">See </w:t>
      </w:r>
      <w:r w:rsidRPr="007A6FE3">
        <w:t>Notice Section III.B.2.c.</w:t>
      </w:r>
    </w:p>
  </w:footnote>
  <w:footnote w:id="252">
    <w:p w14:paraId="2A20131B" w14:textId="77777777" w:rsidR="00FE1B54" w:rsidRPr="007A6FE3" w:rsidRDefault="00FE1B54" w:rsidP="000F6490">
      <w:pPr>
        <w:pStyle w:val="FootnoteText"/>
      </w:pPr>
      <w:r w:rsidRPr="007A6FE3">
        <w:rPr>
          <w:rStyle w:val="FootnoteReference"/>
        </w:rPr>
        <w:footnoteRef/>
      </w:r>
      <w:r w:rsidRPr="007A6FE3">
        <w:t xml:space="preserve"> </w:t>
      </w:r>
      <w:r w:rsidRPr="007A6FE3">
        <w:rPr>
          <w:i/>
        </w:rPr>
        <w:t>See id.</w:t>
      </w:r>
      <w:r w:rsidRPr="007A6FE3">
        <w:t xml:space="preserve"> Section III B.3.a; </w:t>
      </w:r>
      <w:r w:rsidRPr="007A6FE3">
        <w:rPr>
          <w:i/>
        </w:rPr>
        <w:t>see also</w:t>
      </w:r>
      <w:r w:rsidRPr="007A6FE3">
        <w:t xml:space="preserve"> 47 U.S.C. § 214(a); 47 C.F.R. § 63.61.</w:t>
      </w:r>
    </w:p>
  </w:footnote>
  <w:footnote w:id="253">
    <w:p w14:paraId="2B89C395" w14:textId="77777777" w:rsidR="00FE1B54" w:rsidRPr="007A6FE3" w:rsidRDefault="00FE1B54">
      <w:pPr>
        <w:pStyle w:val="FootnoteText"/>
      </w:pPr>
      <w:r w:rsidRPr="007A6FE3">
        <w:rPr>
          <w:rStyle w:val="FootnoteReference"/>
        </w:rPr>
        <w:footnoteRef/>
      </w:r>
      <w:r w:rsidRPr="007A6FE3">
        <w:t xml:space="preserve"> </w:t>
      </w:r>
      <w:r w:rsidRPr="007A6FE3">
        <w:rPr>
          <w:i/>
        </w:rPr>
        <w:t xml:space="preserve">See </w:t>
      </w:r>
      <w:r w:rsidRPr="007A6FE3">
        <w:t>Notice Section III.B.3.b.</w:t>
      </w:r>
    </w:p>
  </w:footnote>
  <w:footnote w:id="254">
    <w:p w14:paraId="5F20FDA0" w14:textId="77777777" w:rsidR="00FE1B54" w:rsidRPr="007A6FE3" w:rsidRDefault="00FE1B54">
      <w:pPr>
        <w:pStyle w:val="FootnoteText"/>
      </w:pPr>
      <w:r w:rsidRPr="007A6FE3">
        <w:rPr>
          <w:rStyle w:val="FootnoteReference"/>
        </w:rPr>
        <w:footnoteRef/>
      </w:r>
      <w:r w:rsidRPr="007A6FE3">
        <w:t xml:space="preserve"> </w:t>
      </w:r>
      <w:r w:rsidRPr="007A6FE3">
        <w:rPr>
          <w:i/>
        </w:rPr>
        <w:t>Id</w:t>
      </w:r>
      <w:r w:rsidRPr="007A6FE3">
        <w:t>.</w:t>
      </w:r>
    </w:p>
  </w:footnote>
  <w:footnote w:id="255">
    <w:p w14:paraId="0FAEBC71" w14:textId="77777777" w:rsidR="00FE1B54" w:rsidRPr="007A6FE3" w:rsidRDefault="00FE1B54" w:rsidP="004A32E6">
      <w:pPr>
        <w:pStyle w:val="FootnoteText"/>
      </w:pPr>
      <w:r w:rsidRPr="007A6FE3">
        <w:rPr>
          <w:rStyle w:val="FootnoteReference"/>
        </w:rPr>
        <w:footnoteRef/>
      </w:r>
      <w:r w:rsidRPr="007A6FE3">
        <w:t xml:space="preserve"> </w:t>
      </w:r>
      <w:r w:rsidRPr="007A6FE3">
        <w:rPr>
          <w:i/>
        </w:rPr>
        <w:t>Id</w:t>
      </w:r>
      <w:r w:rsidRPr="007A6FE3">
        <w:t>.</w:t>
      </w:r>
    </w:p>
  </w:footnote>
  <w:footnote w:id="256">
    <w:p w14:paraId="3D80024F" w14:textId="77777777" w:rsidR="00FE1B54" w:rsidRPr="007A6FE3" w:rsidRDefault="00FE1B54" w:rsidP="000F6490">
      <w:pPr>
        <w:pStyle w:val="FootnoteText"/>
      </w:pPr>
      <w:r w:rsidRPr="007A6FE3">
        <w:rPr>
          <w:rStyle w:val="FootnoteReference"/>
        </w:rPr>
        <w:footnoteRef/>
      </w:r>
      <w:r w:rsidRPr="007A6FE3">
        <w:t xml:space="preserve"> </w:t>
      </w:r>
      <w:r w:rsidRPr="007A6FE3">
        <w:rPr>
          <w:i/>
        </w:rPr>
        <w:t>See id</w:t>
      </w:r>
      <w:r w:rsidRPr="007A6FE3">
        <w:t>. Section III B.3.c.</w:t>
      </w:r>
    </w:p>
  </w:footnote>
  <w:footnote w:id="257">
    <w:p w14:paraId="72E56092" w14:textId="77777777" w:rsidR="00FE1B54" w:rsidRPr="007A6FE3" w:rsidRDefault="00FE1B54" w:rsidP="000F6490">
      <w:pPr>
        <w:pStyle w:val="FootnoteText"/>
      </w:pPr>
      <w:r w:rsidRPr="007A6FE3">
        <w:rPr>
          <w:rStyle w:val="FootnoteReference"/>
        </w:rPr>
        <w:footnoteRef/>
      </w:r>
      <w:r w:rsidRPr="007A6FE3">
        <w:t xml:space="preserve"> </w:t>
      </w:r>
      <w:r w:rsidRPr="007A6FE3">
        <w:rPr>
          <w:i/>
        </w:rPr>
        <w:t>See</w:t>
      </w:r>
      <w:r w:rsidRPr="007A6FE3">
        <w:t xml:space="preserve"> 5 U.S.C. § 603(b)(3).</w:t>
      </w:r>
    </w:p>
  </w:footnote>
  <w:footnote w:id="258">
    <w:p w14:paraId="64B6B301" w14:textId="77777777" w:rsidR="00FE1B54" w:rsidRPr="007A6FE3" w:rsidRDefault="00FE1B54" w:rsidP="000F6490">
      <w:pPr>
        <w:pStyle w:val="FootnoteText"/>
      </w:pPr>
      <w:r w:rsidRPr="007A6FE3">
        <w:rPr>
          <w:rStyle w:val="FootnoteReference"/>
        </w:rPr>
        <w:footnoteRef/>
      </w:r>
      <w:r w:rsidRPr="007A6FE3">
        <w:t xml:space="preserve"> </w:t>
      </w:r>
      <w:r w:rsidRPr="007A6FE3">
        <w:rPr>
          <w:i/>
        </w:rPr>
        <w:t>See</w:t>
      </w:r>
      <w:r w:rsidRPr="007A6FE3">
        <w:t xml:space="preserve"> 5 U.S.C. § 601(6).</w:t>
      </w:r>
    </w:p>
  </w:footnote>
  <w:footnote w:id="259">
    <w:p w14:paraId="4FFE11D7" w14:textId="77777777" w:rsidR="00FE1B54" w:rsidRPr="007A6FE3" w:rsidRDefault="00FE1B54" w:rsidP="000F6490">
      <w:pPr>
        <w:pStyle w:val="FootnoteText"/>
      </w:pPr>
      <w:r w:rsidRPr="007A6FE3">
        <w:rPr>
          <w:rStyle w:val="FootnoteReference"/>
        </w:rPr>
        <w:footnoteRef/>
      </w:r>
      <w:r w:rsidRPr="007A6FE3">
        <w:t xml:space="preserve"> </w:t>
      </w:r>
      <w:r w:rsidRPr="007A6FE3">
        <w:rPr>
          <w:i/>
        </w:rPr>
        <w:t>See</w:t>
      </w:r>
      <w:r w:rsidRPr="007A6FE3">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260">
    <w:p w14:paraId="60FF5532" w14:textId="77777777" w:rsidR="00FE1B54" w:rsidRPr="007A6FE3" w:rsidRDefault="00FE1B54" w:rsidP="000F6490">
      <w:pPr>
        <w:pStyle w:val="FootnoteText"/>
      </w:pPr>
      <w:r w:rsidRPr="007A6FE3">
        <w:rPr>
          <w:rStyle w:val="FootnoteReference"/>
        </w:rPr>
        <w:footnoteRef/>
      </w:r>
      <w:r w:rsidRPr="007A6FE3">
        <w:t xml:space="preserve"> </w:t>
      </w:r>
      <w:r w:rsidRPr="007A6FE3">
        <w:rPr>
          <w:i/>
        </w:rPr>
        <w:t>See</w:t>
      </w:r>
      <w:r w:rsidRPr="007A6FE3">
        <w:t xml:space="preserve"> 15 U.S.C. § 632.</w:t>
      </w:r>
    </w:p>
  </w:footnote>
  <w:footnote w:id="261">
    <w:p w14:paraId="3E74552D" w14:textId="35D013A1" w:rsidR="00FE1B54" w:rsidRPr="007A6FE3" w:rsidRDefault="00FE1B54" w:rsidP="000F6490">
      <w:pPr>
        <w:pStyle w:val="FootnoteText"/>
      </w:pPr>
      <w:r w:rsidRPr="007A6FE3">
        <w:rPr>
          <w:rStyle w:val="FootnoteReference"/>
        </w:rPr>
        <w:footnoteRef/>
      </w:r>
      <w:r w:rsidRPr="007A6FE3">
        <w:t xml:space="preserve"> </w:t>
      </w:r>
      <w:r w:rsidRPr="007A6FE3">
        <w:rPr>
          <w:i/>
        </w:rPr>
        <w:t>See</w:t>
      </w:r>
      <w:r w:rsidRPr="007A6FE3">
        <w:t xml:space="preserve"> SBA, Office of Advocacy, “Frequently Asked Questions,” </w:t>
      </w:r>
      <w:hyperlink r:id="rId42" w:history="1">
        <w:r w:rsidRPr="007A6FE3">
          <w:rPr>
            <w:rStyle w:val="Hyperlink"/>
          </w:rPr>
          <w:t>http://www.sba.gov/sites/default/files/FAQ_Sept_2012.pdf</w:t>
        </w:r>
      </w:hyperlink>
      <w:r w:rsidRPr="007A6FE3">
        <w:t xml:space="preserve"> (last accessed Nov. 20, 2014).</w:t>
      </w:r>
    </w:p>
  </w:footnote>
  <w:footnote w:id="262">
    <w:p w14:paraId="0FF47C69" w14:textId="77777777" w:rsidR="00FE1B54" w:rsidRPr="007A6FE3" w:rsidRDefault="00FE1B54" w:rsidP="000F6490">
      <w:pPr>
        <w:pStyle w:val="FootnoteText"/>
      </w:pPr>
      <w:r w:rsidRPr="007A6FE3">
        <w:rPr>
          <w:rStyle w:val="FootnoteReference"/>
        </w:rPr>
        <w:footnoteRef/>
      </w:r>
      <w:r w:rsidRPr="007A6FE3">
        <w:t xml:space="preserve"> </w:t>
      </w:r>
      <w:r w:rsidRPr="007A6FE3">
        <w:rPr>
          <w:i/>
        </w:rPr>
        <w:t>See id.</w:t>
      </w:r>
    </w:p>
  </w:footnote>
  <w:footnote w:id="263">
    <w:p w14:paraId="3155928D" w14:textId="77777777" w:rsidR="00FE1B54" w:rsidRPr="007A6FE3" w:rsidRDefault="00FE1B54" w:rsidP="000F6490">
      <w:pPr>
        <w:pStyle w:val="FootnoteText"/>
        <w:rPr>
          <w:lang w:val="pt-BR"/>
        </w:rPr>
      </w:pPr>
      <w:r w:rsidRPr="007A6FE3">
        <w:rPr>
          <w:rStyle w:val="FootnoteReference"/>
        </w:rPr>
        <w:footnoteRef/>
      </w:r>
      <w:r w:rsidRPr="007A6FE3">
        <w:rPr>
          <w:lang w:val="pt-BR"/>
        </w:rPr>
        <w:t xml:space="preserve"> </w:t>
      </w:r>
      <w:r w:rsidRPr="007A6FE3">
        <w:rPr>
          <w:i/>
          <w:lang w:val="pt-BR"/>
        </w:rPr>
        <w:t xml:space="preserve">See </w:t>
      </w:r>
      <w:r w:rsidRPr="007A6FE3">
        <w:rPr>
          <w:lang w:val="pt-BR"/>
        </w:rPr>
        <w:t>13 C.F.R. § 121.201, NAICS code 517110.</w:t>
      </w:r>
    </w:p>
  </w:footnote>
  <w:footnote w:id="264">
    <w:p w14:paraId="3AE3ECDC" w14:textId="77777777" w:rsidR="00FE1B54" w:rsidRPr="007A6FE3" w:rsidRDefault="00FE1B54" w:rsidP="000F6490">
      <w:pPr>
        <w:pStyle w:val="FootnoteText"/>
      </w:pPr>
      <w:r w:rsidRPr="007A6FE3">
        <w:rPr>
          <w:rStyle w:val="FootnoteReference"/>
        </w:rPr>
        <w:footnoteRef/>
      </w:r>
      <w:r w:rsidRPr="007A6FE3">
        <w:t xml:space="preserve"> </w:t>
      </w:r>
      <w:r w:rsidRPr="007A6FE3">
        <w:rPr>
          <w:i/>
          <w:lang w:val="pt-BR"/>
        </w:rPr>
        <w:t>See id.</w:t>
      </w:r>
    </w:p>
  </w:footnote>
  <w:footnote w:id="265">
    <w:p w14:paraId="55029241" w14:textId="77777777" w:rsidR="00FE1B54" w:rsidRPr="007A6FE3" w:rsidRDefault="00FE1B54" w:rsidP="000F6490">
      <w:pPr>
        <w:pStyle w:val="FootnoteText"/>
      </w:pPr>
      <w:r w:rsidRPr="007A6FE3">
        <w:rPr>
          <w:rStyle w:val="FootnoteReference"/>
        </w:rPr>
        <w:footnoteRef/>
      </w:r>
      <w:r w:rsidRPr="007A6FE3">
        <w:t xml:space="preserve"> </w:t>
      </w:r>
      <w:r w:rsidRPr="007A6FE3">
        <w:rPr>
          <w:i/>
        </w:rPr>
        <w:t>See</w:t>
      </w:r>
      <w:r w:rsidRPr="007A6FE3">
        <w:t xml:space="preserve"> 13 C.F.R. § 121.201, NAICS code 517110.</w:t>
      </w:r>
    </w:p>
  </w:footnote>
  <w:footnote w:id="266">
    <w:p w14:paraId="5EB1BBC0" w14:textId="77777777" w:rsidR="00FE1B54" w:rsidRPr="007A6FE3" w:rsidRDefault="00FE1B54" w:rsidP="000F6490">
      <w:pPr>
        <w:pStyle w:val="FootnoteText"/>
      </w:pPr>
      <w:r w:rsidRPr="007A6FE3">
        <w:rPr>
          <w:rStyle w:val="FootnoteReference"/>
        </w:rPr>
        <w:footnoteRef/>
      </w:r>
      <w:r w:rsidRPr="007A6FE3">
        <w:t xml:space="preserve"> </w:t>
      </w:r>
      <w:r w:rsidRPr="007A6FE3">
        <w:rPr>
          <w:i/>
        </w:rPr>
        <w:t>See Trends in Telephone Service</w:t>
      </w:r>
      <w:r w:rsidRPr="007A6FE3">
        <w:t>, FCC, Wireline Competition Bureau, Industry Analysis and Technology Division at Table 5.3 (Sept. 2010) (</w:t>
      </w:r>
      <w:r w:rsidRPr="007A6FE3">
        <w:rPr>
          <w:i/>
        </w:rPr>
        <w:t>Trends in Telephone Service</w:t>
      </w:r>
      <w:r w:rsidRPr="007A6FE3">
        <w:t xml:space="preserve">). </w:t>
      </w:r>
    </w:p>
  </w:footnote>
  <w:footnote w:id="267">
    <w:p w14:paraId="637CA36B" w14:textId="77777777" w:rsidR="00FE1B54" w:rsidRPr="007A6FE3" w:rsidRDefault="00FE1B54" w:rsidP="000F6490">
      <w:pPr>
        <w:pStyle w:val="FootnoteText"/>
      </w:pPr>
      <w:r w:rsidRPr="007A6FE3">
        <w:rPr>
          <w:rStyle w:val="FootnoteReference"/>
        </w:rPr>
        <w:footnoteRef/>
      </w:r>
      <w:r w:rsidRPr="007A6FE3">
        <w:t xml:space="preserve"> </w:t>
      </w:r>
      <w:r w:rsidRPr="007A6FE3">
        <w:rPr>
          <w:i/>
        </w:rPr>
        <w:t>See id</w:t>
      </w:r>
      <w:r w:rsidRPr="007A6FE3">
        <w:t>.</w:t>
      </w:r>
    </w:p>
  </w:footnote>
  <w:footnote w:id="268">
    <w:p w14:paraId="3F962493" w14:textId="77777777" w:rsidR="00FE1B54" w:rsidRPr="008100F2" w:rsidRDefault="00FE1B54" w:rsidP="003F0F7D">
      <w:pPr>
        <w:pStyle w:val="FootnoteText"/>
      </w:pPr>
      <w:r w:rsidRPr="007A6FE3">
        <w:rPr>
          <w:rStyle w:val="FootnoteReference"/>
        </w:rPr>
        <w:footnoteRef/>
      </w:r>
      <w:r w:rsidRPr="00327DFB">
        <w:t xml:space="preserve"> </w:t>
      </w:r>
      <w:r w:rsidRPr="00327DFB">
        <w:rPr>
          <w:rStyle w:val="FootnoteTextChar"/>
        </w:rPr>
        <w:t>5 U.S.C. § 601(3).</w:t>
      </w:r>
      <w:r w:rsidRPr="00327DFB">
        <w:t xml:space="preserve"> </w:t>
      </w:r>
    </w:p>
  </w:footnote>
  <w:footnote w:id="269">
    <w:p w14:paraId="7E05FA09" w14:textId="77777777" w:rsidR="00FE1B54" w:rsidRPr="007A6FE3" w:rsidRDefault="00FE1B54" w:rsidP="000F6490">
      <w:pPr>
        <w:pStyle w:val="FootnoteText"/>
      </w:pPr>
      <w:r w:rsidRPr="007A6FE3">
        <w:rPr>
          <w:rStyle w:val="FootnoteReference"/>
        </w:rPr>
        <w:footnoteRef/>
      </w:r>
      <w:r w:rsidRPr="007A6FE3">
        <w:t xml:space="preserve"> </w:t>
      </w:r>
      <w:r w:rsidRPr="007A6FE3">
        <w:rPr>
          <w:i/>
        </w:rPr>
        <w:t xml:space="preserve">See </w:t>
      </w:r>
      <w:r w:rsidRPr="007A6FE3">
        <w:t xml:space="preserve">Letter from Jere W. Glover, Chief Counsel for Advocacy, SBA, to William E. Kennard, Chairman, FCC (May 27, 1999).  The Small Business Act contains a definition of “small business concern,” which the RFA incorporates into its own definition of “small business.”  </w:t>
      </w:r>
      <w:r w:rsidRPr="007A6FE3">
        <w:rPr>
          <w:i/>
        </w:rPr>
        <w:t>See</w:t>
      </w:r>
      <w:r w:rsidRPr="007A6FE3">
        <w:t xml:space="preserve"> 15 U.S.C. § 632(a); </w:t>
      </w:r>
      <w:r w:rsidRPr="007A6FE3">
        <w:rPr>
          <w:i/>
        </w:rPr>
        <w:t xml:space="preserve">see also </w:t>
      </w:r>
      <w:r w:rsidRPr="007A6FE3">
        <w:t xml:space="preserve">5 U.S.C. § 601(3).  SBA regulations interpret “small business concern” to include the concept of dominance on a national basis.  </w:t>
      </w:r>
      <w:r w:rsidRPr="007A6FE3">
        <w:rPr>
          <w:i/>
        </w:rPr>
        <w:t xml:space="preserve">See </w:t>
      </w:r>
      <w:r w:rsidRPr="007A6FE3">
        <w:t>13 C.F.R. § 121.102(b).</w:t>
      </w:r>
    </w:p>
  </w:footnote>
  <w:footnote w:id="270">
    <w:p w14:paraId="465614EB" w14:textId="77777777" w:rsidR="00FE1B54" w:rsidRPr="007A6FE3" w:rsidRDefault="00FE1B54" w:rsidP="000F6490">
      <w:pPr>
        <w:pStyle w:val="FootnoteText"/>
      </w:pPr>
      <w:r w:rsidRPr="007A6FE3">
        <w:rPr>
          <w:rStyle w:val="FootnoteReference"/>
        </w:rPr>
        <w:footnoteRef/>
      </w:r>
      <w:r w:rsidRPr="007A6FE3">
        <w:t xml:space="preserve"> </w:t>
      </w:r>
      <w:r w:rsidRPr="007A6FE3">
        <w:rPr>
          <w:i/>
        </w:rPr>
        <w:t xml:space="preserve">See </w:t>
      </w:r>
      <w:r w:rsidRPr="007A6FE3">
        <w:t>13 C.F.R. § 121.201, NAICS code 517110.</w:t>
      </w:r>
    </w:p>
  </w:footnote>
  <w:footnote w:id="271">
    <w:p w14:paraId="6F6D59B4" w14:textId="77777777" w:rsidR="00FE1B54" w:rsidRPr="007A6FE3" w:rsidRDefault="00FE1B54" w:rsidP="000F6490">
      <w:pPr>
        <w:pStyle w:val="FootnoteText"/>
      </w:pPr>
      <w:r w:rsidRPr="007A6FE3">
        <w:rPr>
          <w:rStyle w:val="FootnoteReference"/>
        </w:rPr>
        <w:footnoteRef/>
      </w:r>
      <w:r w:rsidRPr="007A6FE3">
        <w:t xml:space="preserve"> </w:t>
      </w:r>
      <w:r w:rsidRPr="007A6FE3">
        <w:rPr>
          <w:i/>
        </w:rPr>
        <w:t>See Trends in Telephone Service</w:t>
      </w:r>
      <w:r w:rsidRPr="007A6FE3">
        <w:t xml:space="preserve"> at Table 5.3.</w:t>
      </w:r>
    </w:p>
  </w:footnote>
  <w:footnote w:id="272">
    <w:p w14:paraId="51174287" w14:textId="77777777" w:rsidR="00FE1B54" w:rsidRPr="007A6FE3" w:rsidRDefault="00FE1B54" w:rsidP="000F6490">
      <w:pPr>
        <w:pStyle w:val="FootnoteText"/>
      </w:pPr>
      <w:r w:rsidRPr="007A6FE3">
        <w:rPr>
          <w:rStyle w:val="FootnoteReference"/>
        </w:rPr>
        <w:footnoteRef/>
      </w:r>
      <w:r w:rsidRPr="007A6FE3">
        <w:t xml:space="preserve"> </w:t>
      </w:r>
      <w:r w:rsidRPr="007A6FE3">
        <w:rPr>
          <w:i/>
        </w:rPr>
        <w:t>See id.</w:t>
      </w:r>
    </w:p>
  </w:footnote>
  <w:footnote w:id="273">
    <w:p w14:paraId="046023DE" w14:textId="77777777" w:rsidR="00FE1B54" w:rsidRPr="007A6FE3" w:rsidRDefault="00FE1B54" w:rsidP="000F6490">
      <w:pPr>
        <w:pStyle w:val="FootnoteText"/>
      </w:pPr>
      <w:r w:rsidRPr="007A6FE3">
        <w:rPr>
          <w:rStyle w:val="FootnoteReference"/>
        </w:rPr>
        <w:footnoteRef/>
      </w:r>
      <w:r w:rsidRPr="007A6FE3">
        <w:t xml:space="preserve"> </w:t>
      </w:r>
      <w:r w:rsidRPr="007A6FE3">
        <w:rPr>
          <w:i/>
        </w:rPr>
        <w:t>See id</w:t>
      </w:r>
      <w:r w:rsidRPr="007A6FE3">
        <w:t>.</w:t>
      </w:r>
    </w:p>
  </w:footnote>
  <w:footnote w:id="274">
    <w:p w14:paraId="774CA18F" w14:textId="77777777" w:rsidR="00FE1B54" w:rsidRPr="007A6FE3" w:rsidRDefault="00FE1B54" w:rsidP="000F6490">
      <w:pPr>
        <w:pStyle w:val="FootnoteText"/>
      </w:pPr>
      <w:r w:rsidRPr="007A6FE3">
        <w:rPr>
          <w:rStyle w:val="FootnoteReference"/>
        </w:rPr>
        <w:footnoteRef/>
      </w:r>
      <w:r w:rsidRPr="007A6FE3">
        <w:t xml:space="preserve"> </w:t>
      </w:r>
      <w:r w:rsidRPr="007A6FE3">
        <w:rPr>
          <w:i/>
        </w:rPr>
        <w:t>See id</w:t>
      </w:r>
      <w:r w:rsidRPr="007A6FE3">
        <w:t>.</w:t>
      </w:r>
    </w:p>
  </w:footnote>
  <w:footnote w:id="275">
    <w:p w14:paraId="51DEE7B4" w14:textId="77777777" w:rsidR="00FE1B54" w:rsidRPr="007A6FE3" w:rsidRDefault="00FE1B54" w:rsidP="000F6490">
      <w:pPr>
        <w:pStyle w:val="FootnoteText"/>
      </w:pPr>
      <w:r w:rsidRPr="007A6FE3">
        <w:rPr>
          <w:rStyle w:val="FootnoteReference"/>
        </w:rPr>
        <w:footnoteRef/>
      </w:r>
      <w:r w:rsidRPr="007A6FE3">
        <w:t xml:space="preserve"> </w:t>
      </w:r>
      <w:r w:rsidRPr="007A6FE3">
        <w:rPr>
          <w:i/>
        </w:rPr>
        <w:t>See id</w:t>
      </w:r>
      <w:r w:rsidRPr="007A6FE3">
        <w:t>.</w:t>
      </w:r>
    </w:p>
  </w:footnote>
  <w:footnote w:id="276">
    <w:p w14:paraId="6F6BCEDC" w14:textId="77777777" w:rsidR="00FE1B54" w:rsidRPr="007A6FE3" w:rsidRDefault="00FE1B54" w:rsidP="000F6490">
      <w:pPr>
        <w:pStyle w:val="FootnoteText"/>
      </w:pPr>
      <w:r w:rsidRPr="007A6FE3">
        <w:rPr>
          <w:rStyle w:val="FootnoteReference"/>
        </w:rPr>
        <w:footnoteRef/>
      </w:r>
      <w:r w:rsidRPr="007A6FE3">
        <w:t xml:space="preserve"> </w:t>
      </w:r>
      <w:r w:rsidRPr="007A6FE3">
        <w:rPr>
          <w:i/>
        </w:rPr>
        <w:t xml:space="preserve">See </w:t>
      </w:r>
      <w:r w:rsidRPr="007A6FE3">
        <w:t>13 C.F.R. § 121.201, NAICS code 517110.</w:t>
      </w:r>
    </w:p>
  </w:footnote>
  <w:footnote w:id="277">
    <w:p w14:paraId="15EBD266" w14:textId="77777777" w:rsidR="00FE1B54" w:rsidRPr="007A6FE3" w:rsidRDefault="00FE1B54" w:rsidP="000F6490">
      <w:pPr>
        <w:pStyle w:val="FootnoteText"/>
      </w:pPr>
      <w:r w:rsidRPr="007A6FE3">
        <w:rPr>
          <w:rStyle w:val="FootnoteReference"/>
        </w:rPr>
        <w:footnoteRef/>
      </w:r>
      <w:r w:rsidRPr="007A6FE3">
        <w:t xml:space="preserve"> </w:t>
      </w:r>
      <w:r w:rsidRPr="007A6FE3">
        <w:rPr>
          <w:i/>
        </w:rPr>
        <w:t>See Trends in Telephone Service</w:t>
      </w:r>
      <w:r w:rsidRPr="007A6FE3">
        <w:t xml:space="preserve"> at Table 5.3.</w:t>
      </w:r>
    </w:p>
  </w:footnote>
  <w:footnote w:id="278">
    <w:p w14:paraId="12F34BEE" w14:textId="77777777" w:rsidR="00FE1B54" w:rsidRPr="007A6FE3" w:rsidRDefault="00FE1B54" w:rsidP="000F6490">
      <w:pPr>
        <w:pStyle w:val="FootnoteText"/>
      </w:pPr>
      <w:r w:rsidRPr="007A6FE3">
        <w:rPr>
          <w:rStyle w:val="FootnoteReference"/>
        </w:rPr>
        <w:footnoteRef/>
      </w:r>
      <w:r w:rsidRPr="007A6FE3">
        <w:t xml:space="preserve"> </w:t>
      </w:r>
      <w:r w:rsidRPr="007A6FE3">
        <w:rPr>
          <w:i/>
        </w:rPr>
        <w:t>See id.</w:t>
      </w:r>
    </w:p>
  </w:footnote>
  <w:footnote w:id="279">
    <w:p w14:paraId="1AB497C5" w14:textId="77777777" w:rsidR="00FE1B54" w:rsidRPr="007A6FE3" w:rsidRDefault="00FE1B54" w:rsidP="000F6490">
      <w:pPr>
        <w:pStyle w:val="FootnoteText"/>
      </w:pPr>
      <w:r w:rsidRPr="007A6FE3">
        <w:rPr>
          <w:rStyle w:val="FootnoteReference"/>
        </w:rPr>
        <w:footnoteRef/>
      </w:r>
      <w:r w:rsidRPr="007A6FE3">
        <w:t xml:space="preserve"> </w:t>
      </w:r>
      <w:r w:rsidRPr="007A6FE3">
        <w:rPr>
          <w:i/>
        </w:rPr>
        <w:t xml:space="preserve">See </w:t>
      </w:r>
      <w:r w:rsidRPr="007A6FE3">
        <w:t>13 C.F.R. § 121.201, NAICS code 517110.</w:t>
      </w:r>
    </w:p>
  </w:footnote>
  <w:footnote w:id="280">
    <w:p w14:paraId="1D2F1DC9" w14:textId="77777777" w:rsidR="00FE1B54" w:rsidRPr="007A6FE3" w:rsidRDefault="00FE1B54" w:rsidP="000F6490">
      <w:pPr>
        <w:pStyle w:val="FootnoteText"/>
      </w:pPr>
      <w:r w:rsidRPr="007A6FE3">
        <w:rPr>
          <w:rStyle w:val="FootnoteReference"/>
        </w:rPr>
        <w:footnoteRef/>
      </w:r>
      <w:r w:rsidRPr="007A6FE3">
        <w:t xml:space="preserve"> </w:t>
      </w:r>
      <w:r w:rsidRPr="007A6FE3">
        <w:rPr>
          <w:i/>
        </w:rPr>
        <w:t>See id.</w:t>
      </w:r>
    </w:p>
  </w:footnote>
  <w:footnote w:id="281">
    <w:p w14:paraId="33966ADB" w14:textId="77777777" w:rsidR="00FE1B54" w:rsidRPr="007A6FE3" w:rsidRDefault="00FE1B54" w:rsidP="000F6490">
      <w:pPr>
        <w:pStyle w:val="FootnoteText"/>
      </w:pPr>
      <w:r w:rsidRPr="007A6FE3">
        <w:rPr>
          <w:rStyle w:val="FootnoteReference"/>
        </w:rPr>
        <w:footnoteRef/>
      </w:r>
      <w:r w:rsidRPr="007A6FE3">
        <w:t xml:space="preserve"> </w:t>
      </w:r>
      <w:r w:rsidRPr="007A6FE3">
        <w:rPr>
          <w:i/>
        </w:rPr>
        <w:t>See Trends in Telephone Service</w:t>
      </w:r>
      <w:r w:rsidRPr="007A6FE3">
        <w:t xml:space="preserve"> at Table 5.3.</w:t>
      </w:r>
    </w:p>
  </w:footnote>
  <w:footnote w:id="282">
    <w:p w14:paraId="2C8E2E4C" w14:textId="77777777" w:rsidR="00FE1B54" w:rsidRPr="007A6FE3" w:rsidRDefault="00FE1B54" w:rsidP="000F6490">
      <w:pPr>
        <w:pStyle w:val="FootnoteText"/>
      </w:pPr>
      <w:r w:rsidRPr="007A6FE3">
        <w:rPr>
          <w:rStyle w:val="FootnoteReference"/>
        </w:rPr>
        <w:footnoteRef/>
      </w:r>
      <w:r w:rsidRPr="007A6FE3">
        <w:t xml:space="preserve"> </w:t>
      </w:r>
      <w:r w:rsidRPr="007A6FE3">
        <w:rPr>
          <w:i/>
        </w:rPr>
        <w:t>See id</w:t>
      </w:r>
      <w:r w:rsidRPr="007A6FE3">
        <w:t>.</w:t>
      </w:r>
    </w:p>
  </w:footnote>
  <w:footnote w:id="283">
    <w:p w14:paraId="6592F22C" w14:textId="77777777" w:rsidR="00FE1B54" w:rsidRPr="007A6FE3" w:rsidRDefault="00FE1B54" w:rsidP="000F6490">
      <w:pPr>
        <w:pStyle w:val="FootnoteText"/>
      </w:pPr>
      <w:r w:rsidRPr="007A6FE3">
        <w:rPr>
          <w:rStyle w:val="FootnoteReference"/>
        </w:rPr>
        <w:footnoteRef/>
      </w:r>
      <w:r w:rsidRPr="007A6FE3">
        <w:t xml:space="preserve"> </w:t>
      </w:r>
      <w:r w:rsidRPr="007A6FE3">
        <w:rPr>
          <w:i/>
        </w:rPr>
        <w:t xml:space="preserve">See </w:t>
      </w:r>
      <w:r w:rsidRPr="007A6FE3">
        <w:t xml:space="preserve">13 C.F.R. § 121.201, NAICS code 517210.  </w:t>
      </w:r>
    </w:p>
  </w:footnote>
  <w:footnote w:id="284">
    <w:p w14:paraId="516176A6" w14:textId="100460AF" w:rsidR="00FE1B54" w:rsidRPr="007A6FE3" w:rsidRDefault="00FE1B54" w:rsidP="000F6490">
      <w:pPr>
        <w:pStyle w:val="FootnoteText"/>
      </w:pPr>
      <w:r w:rsidRPr="007A6FE3">
        <w:rPr>
          <w:rStyle w:val="FootnoteReference"/>
        </w:rPr>
        <w:footnoteRef/>
      </w:r>
      <w:r w:rsidRPr="007A6FE3">
        <w:t xml:space="preserve"> U.S. Census Bureau, 2002 NAICS Definitions, “</w:t>
      </w:r>
      <w:r w:rsidRPr="007A6FE3">
        <w:rPr>
          <w:bCs/>
        </w:rPr>
        <w:t xml:space="preserve">517211 Paging,” </w:t>
      </w:r>
      <w:hyperlink r:id="rId43" w:history="1">
        <w:r w:rsidRPr="007A6FE3">
          <w:rPr>
            <w:rStyle w:val="Hyperlink"/>
          </w:rPr>
          <w:t>http://www.census.gov/cgi-bin/sssd/naics/naicsrch?code=517211&amp;search=2002%20NAICS%20Search</w:t>
        </w:r>
      </w:hyperlink>
      <w:r w:rsidRPr="007A6FE3">
        <w:t xml:space="preserve"> (last accessed Nov. 20, 2014); U.S. Census Bureau, 2002 NAICS Definitions, “517212 Cellular and Other Wireless Telecommunications,” </w:t>
      </w:r>
      <w:hyperlink r:id="rId44" w:history="1">
        <w:r w:rsidRPr="007A6FE3">
          <w:rPr>
            <w:rStyle w:val="Hyperlink"/>
          </w:rPr>
          <w:t>http://www.census.gov/cgi-bin/sssd/naics/naicsrch?code=517212&amp;search=2002%20NAICS%20Search</w:t>
        </w:r>
      </w:hyperlink>
      <w:r w:rsidRPr="007A6FE3">
        <w:t xml:space="preserve"> (last accessed Nov. 20, 2014).</w:t>
      </w:r>
    </w:p>
  </w:footnote>
  <w:footnote w:id="285">
    <w:p w14:paraId="23119107" w14:textId="77777777" w:rsidR="00FE1B54" w:rsidRPr="007A6FE3" w:rsidRDefault="00FE1B54" w:rsidP="000F6490">
      <w:pPr>
        <w:pStyle w:val="FootnoteText"/>
      </w:pPr>
      <w:r w:rsidRPr="007A6FE3">
        <w:rPr>
          <w:rStyle w:val="FootnoteReference"/>
        </w:rPr>
        <w:footnoteRef/>
      </w:r>
      <w:r w:rsidRPr="007A6FE3">
        <w:t xml:space="preserve"> 13 C.F.R. § 121.201, NAICS code 517210.  The now-superseded, pre-2007 C.F.R. citations were 13 C.F.R. § 121.201, NAICS codes 517211 and 517212 (referring to the 2002 NAICS).</w:t>
      </w:r>
    </w:p>
  </w:footnote>
  <w:footnote w:id="286">
    <w:p w14:paraId="73F58165" w14:textId="77777777" w:rsidR="00FE1B54" w:rsidRPr="007A6FE3" w:rsidRDefault="00FE1B54" w:rsidP="000F6490">
      <w:pPr>
        <w:pStyle w:val="FootnoteText"/>
      </w:pPr>
      <w:r w:rsidRPr="007A6FE3">
        <w:rPr>
          <w:rStyle w:val="FootnoteReference"/>
        </w:rPr>
        <w:footnoteRef/>
      </w:r>
      <w:r w:rsidRPr="007A6FE3">
        <w:t xml:space="preserve"> U.S. Census Bureau, Subject Series: Information, Table 5, “Establishment and Firm Size: Employment Size of Firms for the United States: 2007 NAICS Code 517210” (issued Nov. 2010).</w:t>
      </w:r>
    </w:p>
  </w:footnote>
  <w:footnote w:id="287">
    <w:p w14:paraId="2C720750" w14:textId="77777777" w:rsidR="00FE1B54" w:rsidRPr="007A6FE3" w:rsidRDefault="00FE1B54" w:rsidP="000F6490">
      <w:pPr>
        <w:pStyle w:val="FootnoteText"/>
      </w:pPr>
      <w:r w:rsidRPr="007A6FE3">
        <w:rPr>
          <w:rStyle w:val="FootnoteReference"/>
        </w:rPr>
        <w:footnoteRef/>
      </w:r>
      <w:r w:rsidRPr="007A6FE3">
        <w:t xml:space="preserve"> </w:t>
      </w:r>
      <w:r w:rsidRPr="007A6FE3">
        <w:rPr>
          <w:i/>
        </w:rPr>
        <w:t>Id</w:t>
      </w:r>
      <w:r w:rsidRPr="007A6FE3">
        <w:t>.  Available census data do not provide a more precise estimate of the number of firms that have employment of 1,500 or fewer employees; the largest category provided is for firms with “100 employees or more.”</w:t>
      </w:r>
    </w:p>
  </w:footnote>
  <w:footnote w:id="288">
    <w:p w14:paraId="2D8F5936" w14:textId="77777777" w:rsidR="00FE1B54" w:rsidRPr="007A6FE3" w:rsidRDefault="00FE1B54" w:rsidP="000F6490">
      <w:pPr>
        <w:pStyle w:val="FootnoteText"/>
      </w:pPr>
      <w:r w:rsidRPr="007A6FE3">
        <w:rPr>
          <w:rStyle w:val="FootnoteReference"/>
        </w:rPr>
        <w:footnoteRef/>
      </w:r>
      <w:r w:rsidRPr="007A6FE3">
        <w:t xml:space="preserve"> </w:t>
      </w:r>
      <w:r w:rsidRPr="007A6FE3">
        <w:rPr>
          <w:i/>
        </w:rPr>
        <w:t>See Trends in Telephone Service</w:t>
      </w:r>
      <w:r w:rsidRPr="007A6FE3">
        <w:t xml:space="preserve"> at Table 5.3.</w:t>
      </w:r>
    </w:p>
  </w:footnote>
  <w:footnote w:id="289">
    <w:p w14:paraId="6F5E3B97" w14:textId="77777777" w:rsidR="00FE1B54" w:rsidRPr="007A6FE3" w:rsidRDefault="00FE1B54" w:rsidP="000F6490">
      <w:pPr>
        <w:pStyle w:val="FootnoteText"/>
      </w:pPr>
      <w:r w:rsidRPr="007A6FE3">
        <w:rPr>
          <w:rStyle w:val="FootnoteReference"/>
        </w:rPr>
        <w:footnoteRef/>
      </w:r>
      <w:r w:rsidRPr="007A6FE3">
        <w:t xml:space="preserve"> </w:t>
      </w:r>
      <w:r w:rsidRPr="007A6FE3">
        <w:rPr>
          <w:i/>
        </w:rPr>
        <w:t>See id</w:t>
      </w:r>
      <w:r w:rsidRPr="007A6FE3">
        <w:t>.</w:t>
      </w:r>
    </w:p>
  </w:footnote>
  <w:footnote w:id="290">
    <w:p w14:paraId="0D20FAEE" w14:textId="2BFC4C8E" w:rsidR="00FE1B54" w:rsidRPr="008100F2" w:rsidRDefault="00FE1B54" w:rsidP="003F0F7D">
      <w:pPr>
        <w:pStyle w:val="FootnoteText"/>
      </w:pPr>
      <w:r w:rsidRPr="007A6FE3">
        <w:rPr>
          <w:rStyle w:val="FootnoteReference"/>
        </w:rPr>
        <w:footnoteRef/>
      </w:r>
      <w:r w:rsidRPr="00327DFB">
        <w:t xml:space="preserve"> </w:t>
      </w:r>
      <w:r w:rsidRPr="00327DFB">
        <w:rPr>
          <w:rStyle w:val="FootnoteTextChar"/>
        </w:rPr>
        <w:t xml:space="preserve">U.S. Census Bureau, 2007 NAICS Definitions, “517110 Wired Telecommunications Carriers” (partial definition), </w:t>
      </w:r>
      <w:hyperlink r:id="rId45" w:history="1">
        <w:r w:rsidRPr="00327DFB">
          <w:rPr>
            <w:rStyle w:val="Hyperlink"/>
          </w:rPr>
          <w:t>http://www.census.gov/cgi-bin/sssd/naics/naicsrch?code=517110&amp;search=2007%20NAICS%20Search</w:t>
        </w:r>
      </w:hyperlink>
      <w:r w:rsidRPr="00327DFB">
        <w:rPr>
          <w:rStyle w:val="FootnoteTextChar"/>
        </w:rPr>
        <w:t xml:space="preserve">  (last accessed Nov. 20, 2014).</w:t>
      </w:r>
      <w:r w:rsidRPr="008100F2">
        <w:t xml:space="preserve"> </w:t>
      </w:r>
    </w:p>
  </w:footnote>
  <w:footnote w:id="291">
    <w:p w14:paraId="454745AA" w14:textId="77777777" w:rsidR="00FE1B54" w:rsidRPr="007A6FE3" w:rsidRDefault="00FE1B54" w:rsidP="000F6490">
      <w:pPr>
        <w:pStyle w:val="FootnoteText"/>
      </w:pPr>
      <w:r w:rsidRPr="007A6FE3">
        <w:rPr>
          <w:rStyle w:val="FootnoteReference"/>
        </w:rPr>
        <w:footnoteRef/>
      </w:r>
      <w:r w:rsidRPr="007A6FE3">
        <w:t xml:space="preserve"> </w:t>
      </w:r>
      <w:r w:rsidRPr="007A6FE3">
        <w:rPr>
          <w:i/>
        </w:rPr>
        <w:t>See</w:t>
      </w:r>
      <w:r w:rsidRPr="007A6FE3">
        <w:t xml:space="preserve"> 13 C.F.R § 121.201, NAICS code 517110.</w:t>
      </w:r>
    </w:p>
  </w:footnote>
  <w:footnote w:id="292">
    <w:p w14:paraId="5A48765B" w14:textId="77777777" w:rsidR="00FE1B54" w:rsidRPr="007A6FE3" w:rsidRDefault="00FE1B54" w:rsidP="000F6490">
      <w:pPr>
        <w:pStyle w:val="FootnoteText"/>
      </w:pPr>
      <w:r w:rsidRPr="007A6FE3">
        <w:rPr>
          <w:rStyle w:val="FootnoteReference"/>
        </w:rPr>
        <w:footnoteRef/>
      </w:r>
      <w:r w:rsidRPr="007A6FE3">
        <w:t xml:space="preserve"> </w:t>
      </w:r>
      <w:r w:rsidRPr="007A6FE3">
        <w:rPr>
          <w:i/>
        </w:rPr>
        <w:t xml:space="preserve">See </w:t>
      </w:r>
      <w:r w:rsidRPr="007A6FE3">
        <w:t xml:space="preserve">47 C.F.R. § 76.901(e).  The Commission determined that this size standard equates approximately to a size standard of $100 million or less in annual revenues.  </w:t>
      </w:r>
      <w:r w:rsidRPr="007A6FE3">
        <w:rPr>
          <w:i/>
        </w:rPr>
        <w:t>See Implementation of Sections of the 1992 Cable Television Consumer Protection and Competition Act: Rate Regulation</w:t>
      </w:r>
      <w:r w:rsidRPr="007A6FE3">
        <w:t>, MM Docket Nos. 92-266, 93-215,</w:t>
      </w:r>
      <w:r w:rsidRPr="007A6FE3">
        <w:rPr>
          <w:i/>
        </w:rPr>
        <w:t xml:space="preserve"> </w:t>
      </w:r>
      <w:r w:rsidRPr="007A6FE3">
        <w:t>Sixth Report and Order and Eleventh Order on Reconsideration, 10 FCC Rcd 7393, 7408 para. 28 (1995).</w:t>
      </w:r>
    </w:p>
  </w:footnote>
  <w:footnote w:id="293">
    <w:p w14:paraId="28F1549B" w14:textId="77777777" w:rsidR="00FE1B54" w:rsidRPr="007A6FE3" w:rsidRDefault="00FE1B54" w:rsidP="000F6490">
      <w:pPr>
        <w:pStyle w:val="FootnoteText"/>
      </w:pPr>
      <w:r w:rsidRPr="007A6FE3">
        <w:rPr>
          <w:rStyle w:val="FootnoteReference"/>
        </w:rPr>
        <w:footnoteRef/>
      </w:r>
      <w:r w:rsidRPr="007A6FE3">
        <w:t xml:space="preserve"> These data are derived from </w:t>
      </w:r>
      <w:r w:rsidRPr="007A6FE3">
        <w:rPr>
          <w:smallCaps/>
        </w:rPr>
        <w:t>R.R. Bowker, Broadcasting &amp; Cable Yearbook 2006</w:t>
      </w:r>
      <w:r w:rsidRPr="007A6FE3">
        <w:t xml:space="preserve">, “Top 25 Cable/Satellite Operators,” pages A-8 &amp; C-2 (data current as of June 30, 2005); </w:t>
      </w:r>
      <w:r w:rsidRPr="007A6FE3">
        <w:rPr>
          <w:smallCaps/>
        </w:rPr>
        <w:t>Warren Communications News, Television &amp; Cable Factbook 2006</w:t>
      </w:r>
      <w:r w:rsidRPr="007A6FE3">
        <w:t>, “Ownership of Cable Systems in the United States,” pages D-1805 to D-1857.</w:t>
      </w:r>
    </w:p>
  </w:footnote>
  <w:footnote w:id="294">
    <w:p w14:paraId="4D478617" w14:textId="77777777" w:rsidR="00FE1B54" w:rsidRPr="007A6FE3" w:rsidRDefault="00FE1B54" w:rsidP="000F6490">
      <w:pPr>
        <w:pStyle w:val="FootnoteText"/>
      </w:pPr>
      <w:r w:rsidRPr="007A6FE3">
        <w:rPr>
          <w:rStyle w:val="FootnoteReference"/>
        </w:rPr>
        <w:footnoteRef/>
      </w:r>
      <w:r w:rsidRPr="007A6FE3">
        <w:t xml:space="preserve"> </w:t>
      </w:r>
      <w:r w:rsidRPr="007A6FE3">
        <w:rPr>
          <w:i/>
        </w:rPr>
        <w:t xml:space="preserve">See </w:t>
      </w:r>
      <w:r w:rsidRPr="007A6FE3">
        <w:t xml:space="preserve">47 C.F.R. § 76.901(c).  </w:t>
      </w:r>
    </w:p>
  </w:footnote>
  <w:footnote w:id="295">
    <w:p w14:paraId="4BEFFAA5" w14:textId="77777777" w:rsidR="00FE1B54" w:rsidRPr="007A6FE3" w:rsidRDefault="00FE1B54" w:rsidP="000F6490">
      <w:pPr>
        <w:pStyle w:val="FootnoteText"/>
      </w:pPr>
      <w:r w:rsidRPr="007A6FE3">
        <w:rPr>
          <w:rStyle w:val="FootnoteReference"/>
        </w:rPr>
        <w:footnoteRef/>
      </w:r>
      <w:r w:rsidRPr="007A6FE3">
        <w:t xml:space="preserve"> </w:t>
      </w:r>
      <w:r w:rsidRPr="007A6FE3">
        <w:rPr>
          <w:smallCaps/>
        </w:rPr>
        <w:t>Warren Communications News, Television &amp; Cable Factbook 2006</w:t>
      </w:r>
      <w:r w:rsidRPr="007A6FE3">
        <w:t>, “U.S. Cable Systems by Subscriber Size,” page F-2 (data current as of Oct. 2007).  The data do not include 851 systems for which classifying data were not available.</w:t>
      </w:r>
    </w:p>
  </w:footnote>
  <w:footnote w:id="296">
    <w:p w14:paraId="506F610F" w14:textId="0627881D" w:rsidR="00FE1B54" w:rsidRPr="007A6FE3" w:rsidRDefault="00FE1B54" w:rsidP="000F6490">
      <w:pPr>
        <w:pStyle w:val="FootnoteText"/>
      </w:pPr>
      <w:r w:rsidRPr="007A6FE3">
        <w:rPr>
          <w:rStyle w:val="FootnoteReference"/>
        </w:rPr>
        <w:footnoteRef/>
      </w:r>
      <w:r w:rsidRPr="007A6FE3">
        <w:t xml:space="preserve"> U.S. Census Bureau, “2007 NAICS Definitions:  517919 All Other Telecommunications,” </w:t>
      </w:r>
      <w:hyperlink r:id="rId46" w:history="1">
        <w:r w:rsidRPr="007A6FE3">
          <w:rPr>
            <w:rStyle w:val="Hyperlink"/>
          </w:rPr>
          <w:t>http://www.census.gov/cgi-bin/sssd/naics/naicsrch?code=517919&amp;search=2007%20NAICS%20Search</w:t>
        </w:r>
      </w:hyperlink>
      <w:r w:rsidRPr="007A6FE3">
        <w:t xml:space="preserve"> (last accessed Nov. 20, 2014).</w:t>
      </w:r>
    </w:p>
  </w:footnote>
  <w:footnote w:id="297">
    <w:p w14:paraId="5BEB6379" w14:textId="77777777" w:rsidR="00FE1B54" w:rsidRPr="007A6FE3" w:rsidRDefault="00FE1B54" w:rsidP="000F6490">
      <w:pPr>
        <w:pStyle w:val="FootnoteText"/>
      </w:pPr>
      <w:r w:rsidRPr="007A6FE3">
        <w:rPr>
          <w:rStyle w:val="FootnoteReference"/>
        </w:rPr>
        <w:footnoteRef/>
      </w:r>
      <w:r w:rsidRPr="007A6FE3">
        <w:t xml:space="preserve"> </w:t>
      </w:r>
      <w:r w:rsidRPr="007A6FE3">
        <w:rPr>
          <w:i/>
        </w:rPr>
        <w:t xml:space="preserve">See </w:t>
      </w:r>
      <w:r w:rsidRPr="007A6FE3">
        <w:t>13 C.F.R. § 121.201, NAICS code 517919.</w:t>
      </w:r>
    </w:p>
  </w:footnote>
  <w:footnote w:id="298">
    <w:p w14:paraId="70540FCA" w14:textId="77777777" w:rsidR="00FE1B54" w:rsidRPr="007A6FE3" w:rsidRDefault="00FE1B54" w:rsidP="000F6490">
      <w:pPr>
        <w:pStyle w:val="FootnoteText"/>
      </w:pPr>
      <w:r w:rsidRPr="007A6FE3">
        <w:rPr>
          <w:rStyle w:val="FootnoteReference"/>
        </w:rPr>
        <w:footnoteRef/>
      </w:r>
      <w:r w:rsidRPr="007A6FE3">
        <w:t xml:space="preserve"> U.S. Census Bureau, 2007 Economic Census, Subject Series: Information, Table 4, “Establishment and Firm Size: Receipts Size of Firms for the United States: 2007 NAICS Code 517919” (issued Nov. 2010).</w:t>
      </w:r>
    </w:p>
  </w:footnote>
  <w:footnote w:id="299">
    <w:p w14:paraId="63EEBBBB" w14:textId="77777777" w:rsidR="00FE1B54" w:rsidRPr="007A6FE3" w:rsidRDefault="00FE1B54" w:rsidP="000F6490">
      <w:pPr>
        <w:pStyle w:val="FootnoteText"/>
      </w:pPr>
      <w:r w:rsidRPr="007A6FE3">
        <w:rPr>
          <w:rStyle w:val="FootnoteReference"/>
        </w:rPr>
        <w:footnoteRef/>
      </w:r>
      <w:r w:rsidRPr="007A6FE3">
        <w:t xml:space="preserve"> </w:t>
      </w:r>
      <w:r w:rsidRPr="007A6FE3">
        <w:rPr>
          <w:i/>
        </w:rPr>
        <w:t>See id.</w:t>
      </w:r>
    </w:p>
  </w:footnote>
  <w:footnote w:id="300">
    <w:p w14:paraId="58A4DECE" w14:textId="77777777" w:rsidR="00FE1B54" w:rsidRPr="00EA5333" w:rsidRDefault="00FE1B54" w:rsidP="000F6490">
      <w:pPr>
        <w:pStyle w:val="FootnoteText"/>
      </w:pPr>
      <w:r w:rsidRPr="007A6FE3">
        <w:rPr>
          <w:rStyle w:val="FootnoteReference"/>
        </w:rPr>
        <w:footnoteRef/>
      </w:r>
      <w:r w:rsidRPr="007A6FE3">
        <w:t xml:space="preserve"> </w:t>
      </w:r>
      <w:r w:rsidRPr="007A6FE3">
        <w:rPr>
          <w:i/>
        </w:rPr>
        <w:t>See</w:t>
      </w:r>
      <w:r w:rsidRPr="007A6FE3">
        <w:t xml:space="preserve"> 5 U.S.C. § 603(c).</w:t>
      </w:r>
    </w:p>
  </w:footnote>
  <w:footnote w:id="301">
    <w:p w14:paraId="3AF57209" w14:textId="77777777" w:rsidR="008100F2" w:rsidRDefault="008100F2" w:rsidP="008100F2">
      <w:pPr>
        <w:pStyle w:val="FootnoteText"/>
      </w:pPr>
      <w:r>
        <w:rPr>
          <w:rStyle w:val="FootnoteReference"/>
        </w:rPr>
        <w:footnoteRef/>
      </w:r>
      <w:r>
        <w:t xml:space="preserve"> </w:t>
      </w:r>
      <w:r w:rsidRPr="00065325">
        <w:rPr>
          <w:i/>
        </w:rPr>
        <w:t>See</w:t>
      </w:r>
      <w:r>
        <w:t xml:space="preserve"> </w:t>
      </w:r>
      <w:r w:rsidRPr="00065325">
        <w:t>FCC</w:t>
      </w:r>
      <w:r>
        <w:t xml:space="preserve">, Local Telephone Competition: Status as of December 31, 2013, at Figure 2 (Wireline Comp. Bur. Oct. 2014) (noting 37,683,000 residential interconnected VoIP lines versus 37,572,000 residential switched access lines in 2013); </w:t>
      </w:r>
      <w:r w:rsidRPr="00065325">
        <w:t>FCC</w:t>
      </w:r>
      <w:r>
        <w:t>, Local Telephone Competition: Status as of December 31, 2008, at Figure 1 (Wireline Comp. Bur. June 2010) (noting there were 78,174,000 residential switched access lines in 2008).</w:t>
      </w:r>
    </w:p>
  </w:footnote>
  <w:footnote w:id="302">
    <w:p w14:paraId="75249B9B" w14:textId="77777777" w:rsidR="008100F2" w:rsidRPr="000B1DD1" w:rsidRDefault="008100F2" w:rsidP="008100F2">
      <w:pPr>
        <w:pStyle w:val="FootnoteText"/>
      </w:pPr>
      <w:r>
        <w:rPr>
          <w:rStyle w:val="FootnoteReference"/>
        </w:rPr>
        <w:footnoteRef/>
      </w:r>
      <w:r>
        <w:t xml:space="preserve"> </w:t>
      </w:r>
      <w:r>
        <w:rPr>
          <w:i/>
        </w:rPr>
        <w:t>Notice</w:t>
      </w:r>
      <w:r>
        <w:t xml:space="preserve"> at para. 42.</w:t>
      </w:r>
    </w:p>
  </w:footnote>
  <w:footnote w:id="303">
    <w:p w14:paraId="18728F6F" w14:textId="77777777" w:rsidR="008100F2" w:rsidRPr="000B1DD1" w:rsidRDefault="008100F2" w:rsidP="008100F2">
      <w:pPr>
        <w:pStyle w:val="FootnoteText"/>
      </w:pPr>
      <w:r>
        <w:rPr>
          <w:rStyle w:val="FootnoteReference"/>
        </w:rPr>
        <w:footnoteRef/>
      </w:r>
      <w:r>
        <w:t xml:space="preserve"> </w:t>
      </w:r>
      <w:r>
        <w:rPr>
          <w:i/>
        </w:rPr>
        <w:t>Notice</w:t>
      </w:r>
      <w:r>
        <w:t xml:space="preserve"> at para. 41.</w:t>
      </w:r>
    </w:p>
  </w:footnote>
  <w:footnote w:id="304">
    <w:p w14:paraId="7DF54E31" w14:textId="77777777" w:rsidR="008100F2" w:rsidRDefault="008100F2" w:rsidP="008100F2">
      <w:pPr>
        <w:pStyle w:val="FootnoteText"/>
      </w:pPr>
      <w:r>
        <w:rPr>
          <w:rStyle w:val="FootnoteReference"/>
        </w:rPr>
        <w:footnoteRef/>
      </w:r>
      <w:r>
        <w:t xml:space="preserve"> </w:t>
      </w:r>
      <w:r w:rsidRPr="00664A81">
        <w:rPr>
          <w:i/>
        </w:rPr>
        <w:t>Western Union Telegraph Company Petition for Order to Require the Bell System to Continue to Provide Group/Supergroup Facilities</w:t>
      </w:r>
      <w:r>
        <w:t>, Memorandum Opinion and Order, 74 FCC.2d 293, 295, para. 6 (1979) (</w:t>
      </w:r>
      <w:r>
        <w:rPr>
          <w:i/>
        </w:rPr>
        <w:t>Western Union</w:t>
      </w:r>
      <w:r>
        <w:t>).</w:t>
      </w:r>
    </w:p>
  </w:footnote>
  <w:footnote w:id="305">
    <w:p w14:paraId="46C5A8D5" w14:textId="77777777" w:rsidR="008100F2" w:rsidRPr="00664A81" w:rsidRDefault="008100F2" w:rsidP="008100F2">
      <w:pPr>
        <w:pStyle w:val="FootnoteText"/>
      </w:pPr>
      <w:r>
        <w:rPr>
          <w:rStyle w:val="FootnoteReference"/>
        </w:rPr>
        <w:footnoteRef/>
      </w:r>
      <w:r>
        <w:t xml:space="preserve"> </w:t>
      </w:r>
      <w:r>
        <w:rPr>
          <w:i/>
        </w:rPr>
        <w:t>Id.</w:t>
      </w:r>
      <w:r>
        <w:t xml:space="preserve"> at 297, para. 9.</w:t>
      </w:r>
    </w:p>
  </w:footnote>
  <w:footnote w:id="306">
    <w:p w14:paraId="27EAD71C" w14:textId="77777777" w:rsidR="008100F2" w:rsidRPr="00664A81" w:rsidRDefault="008100F2" w:rsidP="008100F2">
      <w:pPr>
        <w:pStyle w:val="FootnoteText"/>
      </w:pPr>
      <w:r>
        <w:rPr>
          <w:rStyle w:val="FootnoteReference"/>
        </w:rPr>
        <w:footnoteRef/>
      </w:r>
      <w:r>
        <w:t xml:space="preserve"> </w:t>
      </w:r>
      <w:r>
        <w:rPr>
          <w:i/>
        </w:rPr>
        <w:t>Id.</w:t>
      </w:r>
      <w:r>
        <w:t xml:space="preserve"> at 295, n.4 (noting that Congress’s main concern in passing section 214 was loss of service during wartime, such as “</w:t>
      </w:r>
      <w:r w:rsidRPr="00664A81">
        <w:t>abandonment of existing telegraph offices</w:t>
      </w:r>
      <w:r>
        <w:t>” or “</w:t>
      </w:r>
      <w:r w:rsidRPr="00664A81">
        <w:t>discontinuance of service to military establishments and industries</w:t>
      </w:r>
      <w:r>
        <w:t>”).  Instead, the features, terms, and conditions of service are supposed to be “</w:t>
      </w:r>
      <w:r w:rsidRPr="00664A81">
        <w:t>established through the tariffing process</w:t>
      </w:r>
      <w:r>
        <w:t xml:space="preserve">.”  </w:t>
      </w:r>
      <w:r>
        <w:rPr>
          <w:i/>
        </w:rPr>
        <w:t>Id.</w:t>
      </w:r>
      <w:r>
        <w:t xml:space="preserve"> at 295, para. 6.</w:t>
      </w:r>
    </w:p>
  </w:footnote>
  <w:footnote w:id="307">
    <w:p w14:paraId="774B1DF1" w14:textId="77777777" w:rsidR="008100F2" w:rsidRPr="000B1DD1" w:rsidRDefault="008100F2" w:rsidP="008100F2">
      <w:pPr>
        <w:pStyle w:val="FootnoteText"/>
      </w:pPr>
      <w:r>
        <w:rPr>
          <w:rStyle w:val="FootnoteReference"/>
        </w:rPr>
        <w:footnoteRef/>
      </w:r>
      <w:r>
        <w:t xml:space="preserve"> </w:t>
      </w:r>
      <w:r>
        <w:rPr>
          <w:i/>
        </w:rPr>
        <w:t>Declaratory Ruling</w:t>
      </w:r>
      <w:r>
        <w:t xml:space="preserve"> at para. 118.  This may be the test.  But it’s hard to say for sure since it’s restated several different ways throughout:  “The relevant task . . . is </w:t>
      </w:r>
      <w:r w:rsidRPr="003B7BD2">
        <w:t xml:space="preserve">to </w:t>
      </w:r>
      <w:r>
        <w:t>identify</w:t>
      </w:r>
      <w:r w:rsidRPr="003B7BD2">
        <w:t xml:space="preserve"> the service </w:t>
      </w:r>
      <w:r>
        <w:t xml:space="preserve">the carrier </w:t>
      </w:r>
      <w:r w:rsidRPr="003B7BD2">
        <w:t xml:space="preserve">actually </w:t>
      </w:r>
      <w:r>
        <w:t>provides</w:t>
      </w:r>
      <w:r w:rsidRPr="003B7BD2">
        <w:t xml:space="preserve"> to end users</w:t>
      </w:r>
      <w:r>
        <w:t xml:space="preserve">.  In doing so, </w:t>
      </w:r>
      <w:r w:rsidRPr="00515113">
        <w:t xml:space="preserve">the </w:t>
      </w:r>
      <w:r>
        <w:t>Commission</w:t>
      </w:r>
      <w:r w:rsidRPr="00515113">
        <w:t xml:space="preserve"> takes a functional approach that evaluates the totality of the circumstances</w:t>
      </w:r>
      <w:r>
        <w:t>.”  “[A]</w:t>
      </w:r>
      <w:r w:rsidRPr="003B7BD2">
        <w:t xml:space="preserve"> carrier’s </w:t>
      </w:r>
      <w:r>
        <w:t>tariff definition . . . is important</w:t>
      </w:r>
      <w:r w:rsidRPr="003B7BD2">
        <w:t xml:space="preserve"> evidence</w:t>
      </w:r>
      <w:r>
        <w:t>.”  “</w:t>
      </w:r>
      <w:r w:rsidRPr="00515113">
        <w:t xml:space="preserve">Also relevant is what the </w:t>
      </w:r>
      <w:r>
        <w:t>‘</w:t>
      </w:r>
      <w:r w:rsidRPr="00515113">
        <w:t>community or part of a community</w:t>
      </w:r>
      <w:r>
        <w:t>’</w:t>
      </w:r>
      <w:r w:rsidRPr="00515113">
        <w:t xml:space="preserve"> reasonably </w:t>
      </w:r>
      <w:r>
        <w:t xml:space="preserve">would </w:t>
      </w:r>
      <w:r w:rsidRPr="00515113">
        <w:t xml:space="preserve">view as the service </w:t>
      </w:r>
      <w:r>
        <w:t>provided by the carrier.”  “An important factor in this analysis is the extent to which the functionality traditionally has been relied upon by the community.”  “</w:t>
      </w:r>
      <w:r w:rsidRPr="003B7BD2">
        <w:t xml:space="preserve">If relevant evidence indicates that the </w:t>
      </w:r>
      <w:r>
        <w:t>‘</w:t>
      </w:r>
      <w:r w:rsidRPr="003B7BD2">
        <w:t>service</w:t>
      </w:r>
      <w:r>
        <w:t>’</w:t>
      </w:r>
      <w:r w:rsidRPr="003B7BD2">
        <w:t xml:space="preserve"> provided includes features outside of the </w:t>
      </w:r>
      <w:r>
        <w:t>tariff</w:t>
      </w:r>
      <w:r w:rsidRPr="003B7BD2">
        <w:t xml:space="preserve"> definition, the Commission </w:t>
      </w:r>
      <w:r>
        <w:t>must</w:t>
      </w:r>
      <w:r w:rsidRPr="003B7BD2">
        <w:t xml:space="preserve"> under section 214(a) treat those features as part of the </w:t>
      </w:r>
      <w:r>
        <w:t>‘</w:t>
      </w:r>
      <w:r w:rsidRPr="003B7BD2">
        <w:t>service</w:t>
      </w:r>
      <w:r>
        <w:t>’</w:t>
      </w:r>
      <w:r w:rsidRPr="003B7BD2">
        <w:t xml:space="preserve"> for which prior approval </w:t>
      </w:r>
      <w:r>
        <w:t xml:space="preserve">to discontinue </w:t>
      </w:r>
      <w:r w:rsidRPr="003B7BD2">
        <w:t>must be sought</w:t>
      </w:r>
      <w:r>
        <w:t>.”  The Commission “</w:t>
      </w:r>
      <w:r w:rsidRPr="007A6FE3">
        <w:rPr>
          <w:szCs w:val="22"/>
        </w:rPr>
        <w:t xml:space="preserve">applies a functional test that takes into account the totality of the circumstances </w:t>
      </w:r>
      <w:r w:rsidRPr="007A6FE3">
        <w:t>from the perspective of the relevant community or part of a community</w:t>
      </w:r>
      <w:r>
        <w:t xml:space="preserve">.”  “[N]or are we saying that section 214(a) always will be triggered by proposed changes to . . . prior features.”  </w:t>
      </w:r>
      <w:r>
        <w:rPr>
          <w:i/>
        </w:rPr>
        <w:t>Declaratory Ruling</w:t>
      </w:r>
      <w:r>
        <w:t xml:space="preserve">, </w:t>
      </w:r>
      <w:r w:rsidRPr="008D032B">
        <w:rPr>
          <w:i/>
        </w:rPr>
        <w:t>passim</w:t>
      </w:r>
      <w:r>
        <w:t>.</w:t>
      </w:r>
    </w:p>
  </w:footnote>
  <w:footnote w:id="308">
    <w:p w14:paraId="17C89F6A" w14:textId="77777777" w:rsidR="008100F2" w:rsidRPr="00D2761B" w:rsidRDefault="008100F2" w:rsidP="008100F2">
      <w:pPr>
        <w:pStyle w:val="FootnoteText"/>
      </w:pPr>
      <w:r>
        <w:rPr>
          <w:rStyle w:val="FootnoteReference"/>
        </w:rPr>
        <w:footnoteRef/>
      </w:r>
      <w:r>
        <w:t xml:space="preserve"> The Declaratory Ruling asserts that the “decision here is [not] a departure from </w:t>
      </w:r>
      <w:r>
        <w:rPr>
          <w:i/>
        </w:rPr>
        <w:t>Western Union</w:t>
      </w:r>
      <w:r>
        <w:t xml:space="preserve">” because the “discussion and analysis [cited above] is specific to the carrier-to-carrier context.”  </w:t>
      </w:r>
      <w:r>
        <w:rPr>
          <w:i/>
        </w:rPr>
        <w:t>Declaratory Ruling</w:t>
      </w:r>
      <w:r>
        <w:t xml:space="preserve"> at note 227.  This is a rather odd charge given that all three citations offered by the ruling in that same footnote are specifically from the carrier-to-carrier context.  </w:t>
      </w:r>
      <w:r>
        <w:rPr>
          <w:i/>
        </w:rPr>
        <w:t>See</w:t>
      </w:r>
      <w:r>
        <w:t xml:space="preserve"> </w:t>
      </w:r>
      <w:r>
        <w:rPr>
          <w:i/>
        </w:rPr>
        <w:t>id.</w:t>
      </w:r>
      <w:r>
        <w:t xml:space="preserve"> (citing </w:t>
      </w:r>
      <w:r w:rsidRPr="000C1F5E">
        <w:rPr>
          <w:i/>
        </w:rPr>
        <w:t>Graphnet, Inc. v. AT&amp;T Corp.</w:t>
      </w:r>
      <w:r w:rsidRPr="000C1F5E">
        <w:t>, File No. E-94-41, Memorandum Opi</w:t>
      </w:r>
      <w:r>
        <w:t>nion and Order, 17 FCC Rcd 1131</w:t>
      </w:r>
      <w:r w:rsidRPr="000C1F5E">
        <w:t xml:space="preserve"> (2002)</w:t>
      </w:r>
      <w:r>
        <w:t xml:space="preserve"> (adjudicating a dispute between two carriers)</w:t>
      </w:r>
      <w:r w:rsidRPr="000C1F5E">
        <w:t xml:space="preserve">; </w:t>
      </w:r>
      <w:r>
        <w:rPr>
          <w:i/>
        </w:rPr>
        <w:t>Southwestern Bell Telephone Company et al. Applications for Authority Pursuant to Section 214 of the Communications Act to Cease Providing Dark Fiber Service</w:t>
      </w:r>
      <w:r>
        <w:t>, File Nos. W-P-C-6670, W-P-D-364, Memorandum Opinion and Order</w:t>
      </w:r>
      <w:r w:rsidRPr="000C1F5E">
        <w:t xml:space="preserve">, 8 FCC Rcd </w:t>
      </w:r>
      <w:r>
        <w:t xml:space="preserve">2589, </w:t>
      </w:r>
      <w:r w:rsidRPr="000C1F5E">
        <w:t>2597, para. 42</w:t>
      </w:r>
      <w:r>
        <w:t xml:space="preserve"> (1993) (discussing “carrier-to-carrier interconnection relationships”)</w:t>
      </w:r>
      <w:r w:rsidRPr="000C1F5E">
        <w:t xml:space="preserve">; </w:t>
      </w:r>
      <w:r w:rsidRPr="00D2761B">
        <w:rPr>
          <w:i/>
        </w:rPr>
        <w:t>Western Union</w:t>
      </w:r>
      <w:r>
        <w:t>, 74 FCC.</w:t>
      </w:r>
      <w:r w:rsidRPr="000C1F5E">
        <w:t>2d at 296, para. 7</w:t>
      </w:r>
      <w:r>
        <w:t xml:space="preserve"> (discussing “carrier-to-carrier service offerings”)).  And it falls flat for anyone who actually reads </w:t>
      </w:r>
      <w:r>
        <w:rPr>
          <w:i/>
        </w:rPr>
        <w:t>Western Union</w:t>
      </w:r>
      <w:r>
        <w:t xml:space="preserve"> given that the language I cite discusses the “relationship between Sections 201–205 and Section 214(a) of the Act” generally (and applies that relationship to the facts at hand), whereas the discussion of “carrier-to-carrier service offerings” is “[a]nother matter.”  </w:t>
      </w:r>
      <w:r>
        <w:rPr>
          <w:i/>
        </w:rPr>
        <w:t>Compare</w:t>
      </w:r>
      <w:r>
        <w:t xml:space="preserve"> </w:t>
      </w:r>
      <w:r>
        <w:rPr>
          <w:i/>
        </w:rPr>
        <w:t>Western Union</w:t>
      </w:r>
      <w:r>
        <w:t>, 74 FCC.</w:t>
      </w:r>
      <w:r w:rsidRPr="000C1F5E">
        <w:t>2d at 296</w:t>
      </w:r>
      <w:r>
        <w:t xml:space="preserve">–97, paras. 6, 9 &amp; n.4, </w:t>
      </w:r>
      <w:r>
        <w:rPr>
          <w:i/>
        </w:rPr>
        <w:t>with</w:t>
      </w:r>
      <w:r>
        <w:t xml:space="preserve"> </w:t>
      </w:r>
      <w:r>
        <w:rPr>
          <w:i/>
        </w:rPr>
        <w:t>id.</w:t>
      </w:r>
      <w:r>
        <w:t xml:space="preserve"> at 296, para. 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E6C1C" w14:textId="77777777" w:rsidR="00F45378" w:rsidRDefault="00F453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7A66D" w14:textId="59CCAAC9" w:rsidR="00FE1B54" w:rsidRDefault="00FE1B54" w:rsidP="00810B6F">
    <w:pPr>
      <w:pStyle w:val="Header"/>
      <w:rPr>
        <w:b w:val="0"/>
      </w:rPr>
    </w:pPr>
    <w:r>
      <w:tab/>
      <w:t>Federal Communications Commission</w:t>
    </w:r>
    <w:r>
      <w:tab/>
      <w:t>FCC 14-185</w:t>
    </w:r>
  </w:p>
  <w:p w14:paraId="68E84EE7" w14:textId="77777777" w:rsidR="00FE1B54" w:rsidRDefault="00FE1B54">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18CB8D29" wp14:editId="53F325AD">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3327F3AC" w14:textId="77777777" w:rsidR="00FE1B54" w:rsidRDefault="00FE1B54">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F1122" w14:textId="1BC0D370" w:rsidR="00FE1B54" w:rsidRDefault="00FE1B54" w:rsidP="00810B6F">
    <w:pPr>
      <w:pStyle w:val="Header"/>
      <w:rPr>
        <w:b w:val="0"/>
      </w:rPr>
    </w:pPr>
    <w:r>
      <w:rPr>
        <w:noProof/>
        <w:snapToGrid/>
      </w:rPr>
      <mc:AlternateContent>
        <mc:Choice Requires="wps">
          <w:drawing>
            <wp:anchor distT="0" distB="0" distL="114300" distR="114300" simplePos="0" relativeHeight="251658240" behindDoc="1" locked="0" layoutInCell="0" allowOverlap="1" wp14:anchorId="0F8351AB" wp14:editId="3BE0CE76">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FCC 14-185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00D"/>
    <w:multiLevelType w:val="hybridMultilevel"/>
    <w:tmpl w:val="CA001C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0970510D"/>
    <w:multiLevelType w:val="hybridMultilevel"/>
    <w:tmpl w:val="2DF68462"/>
    <w:lvl w:ilvl="0" w:tplc="398ABA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5E69B7"/>
    <w:multiLevelType w:val="hybridMultilevel"/>
    <w:tmpl w:val="C5D4D3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C9D0755"/>
    <w:multiLevelType w:val="hybridMultilevel"/>
    <w:tmpl w:val="FB440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1">
    <w:nsid w:val="472646A3"/>
    <w:multiLevelType w:val="hybridMultilevel"/>
    <w:tmpl w:val="4EB4D2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C534415"/>
    <w:multiLevelType w:val="hybridMultilevel"/>
    <w:tmpl w:val="5D6462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nsid w:val="61182925"/>
    <w:multiLevelType w:val="singleLevel"/>
    <w:tmpl w:val="A9EE9842"/>
    <w:lvl w:ilvl="0">
      <w:start w:val="1"/>
      <w:numFmt w:val="decimal"/>
      <w:pStyle w:val="ParaNum0"/>
      <w:lvlText w:val="%1."/>
      <w:lvlJc w:val="left"/>
      <w:pPr>
        <w:tabs>
          <w:tab w:val="num" w:pos="1080"/>
        </w:tabs>
        <w:ind w:left="0" w:firstLine="720"/>
      </w:pPr>
    </w:lvl>
  </w:abstractNum>
  <w:abstractNum w:abstractNumId="15">
    <w:nsid w:val="65A366DA"/>
    <w:multiLevelType w:val="hybridMultilevel"/>
    <w:tmpl w:val="F98AE3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Aria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Arial"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Arial" w:hint="default"/>
      </w:rPr>
    </w:lvl>
    <w:lvl w:ilvl="8" w:tplc="04090005">
      <w:start w:val="1"/>
      <w:numFmt w:val="bullet"/>
      <w:lvlText w:val=""/>
      <w:lvlJc w:val="left"/>
      <w:pPr>
        <w:ind w:left="7200" w:hanging="360"/>
      </w:pPr>
      <w:rPr>
        <w:rFonts w:ascii="Wingdings" w:hAnsi="Wingdings" w:hint="default"/>
      </w:rPr>
    </w:lvl>
  </w:abstractNum>
  <w:abstractNum w:abstractNumId="16">
    <w:nsid w:val="74180A77"/>
    <w:multiLevelType w:val="hybridMultilevel"/>
    <w:tmpl w:val="6C683086"/>
    <w:lvl w:ilvl="0" w:tplc="2F8C687A">
      <w:start w:val="1"/>
      <w:numFmt w:val="decimal"/>
      <w:lvlText w:val="(%1)"/>
      <w:lvlJc w:val="left"/>
      <w:pPr>
        <w:ind w:left="2160" w:hanging="360"/>
      </w:pPr>
      <w:rPr>
        <w:rFonts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14"/>
  </w:num>
  <w:num w:numId="2">
    <w:abstractNumId w:val="7"/>
  </w:num>
  <w:num w:numId="3">
    <w:abstractNumId w:val="10"/>
  </w:num>
  <w:num w:numId="4">
    <w:abstractNumId w:val="1"/>
  </w:num>
  <w:num w:numId="5">
    <w:abstractNumId w:val="17"/>
  </w:num>
  <w:num w:numId="6">
    <w:abstractNumId w:val="8"/>
  </w:num>
  <w:num w:numId="7">
    <w:abstractNumId w:val="15"/>
  </w:num>
  <w:num w:numId="8">
    <w:abstractNumId w:val="3"/>
  </w:num>
  <w:num w:numId="9">
    <w:abstractNumId w:val="0"/>
  </w:num>
  <w:num w:numId="10">
    <w:abstractNumId w:val="5"/>
  </w:num>
  <w:num w:numId="11">
    <w:abstractNumId w:val="12"/>
  </w:num>
  <w:num w:numId="12">
    <w:abstractNumId w:val="9"/>
  </w:num>
  <w:num w:numId="13">
    <w:abstractNumId w:val="14"/>
    <w:lvlOverride w:ilvl="0">
      <w:startOverride w:val="1"/>
    </w:lvlOverride>
  </w:num>
  <w:num w:numId="14">
    <w:abstractNumId w:val="14"/>
  </w:num>
  <w:num w:numId="15">
    <w:abstractNumId w:val="14"/>
  </w:num>
  <w:num w:numId="16">
    <w:abstractNumId w:val="4"/>
  </w:num>
  <w:num w:numId="17">
    <w:abstractNumId w:val="13"/>
  </w:num>
  <w:num w:numId="18">
    <w:abstractNumId w:val="6"/>
  </w:num>
  <w:num w:numId="19">
    <w:abstractNumId w:val="2"/>
  </w:num>
  <w:num w:numId="20">
    <w:abstractNumId w:val="14"/>
    <w:lvlOverride w:ilvl="0">
      <w:startOverride w:val="1"/>
    </w:lvlOverride>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4"/>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 w:numId="46">
    <w:abstractNumId w:val="14"/>
  </w:num>
  <w:num w:numId="47">
    <w:abstractNumId w:val="16"/>
  </w:num>
  <w:num w:numId="48">
    <w:abstractNumId w:val="14"/>
  </w:num>
  <w:num w:numId="49">
    <w:abstractNumId w:val="14"/>
  </w:num>
  <w:num w:numId="50">
    <w:abstractNumId w:val="14"/>
  </w:num>
  <w:num w:numId="51">
    <w:abstractNumId w:val="14"/>
  </w:num>
  <w:num w:numId="52">
    <w:abstractNumId w:val="14"/>
  </w:num>
  <w:num w:numId="53">
    <w:abstractNumId w:val="14"/>
  </w:num>
  <w:num w:numId="54">
    <w:abstractNumId w:val="14"/>
  </w:num>
  <w:num w:numId="55">
    <w:abstractNumId w:val="14"/>
  </w:num>
  <w:num w:numId="56">
    <w:abstractNumId w:val="1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F4D"/>
    <w:rsid w:val="00000031"/>
    <w:rsid w:val="00001761"/>
    <w:rsid w:val="000041A8"/>
    <w:rsid w:val="00004F91"/>
    <w:rsid w:val="00005A0D"/>
    <w:rsid w:val="000079B5"/>
    <w:rsid w:val="00010808"/>
    <w:rsid w:val="000112E6"/>
    <w:rsid w:val="00013458"/>
    <w:rsid w:val="00013629"/>
    <w:rsid w:val="00014CF9"/>
    <w:rsid w:val="00014F46"/>
    <w:rsid w:val="000220D8"/>
    <w:rsid w:val="0002348C"/>
    <w:rsid w:val="00025814"/>
    <w:rsid w:val="000278B6"/>
    <w:rsid w:val="0003042C"/>
    <w:rsid w:val="00030A74"/>
    <w:rsid w:val="000350B7"/>
    <w:rsid w:val="00036039"/>
    <w:rsid w:val="00037285"/>
    <w:rsid w:val="00037E8D"/>
    <w:rsid w:val="00037F90"/>
    <w:rsid w:val="0004442C"/>
    <w:rsid w:val="000476F5"/>
    <w:rsid w:val="0005014C"/>
    <w:rsid w:val="0005106C"/>
    <w:rsid w:val="00052DC6"/>
    <w:rsid w:val="00057A77"/>
    <w:rsid w:val="0006028F"/>
    <w:rsid w:val="00060615"/>
    <w:rsid w:val="00060DBD"/>
    <w:rsid w:val="0006238F"/>
    <w:rsid w:val="00062CC4"/>
    <w:rsid w:val="00064D11"/>
    <w:rsid w:val="00067C82"/>
    <w:rsid w:val="00070AA5"/>
    <w:rsid w:val="00071118"/>
    <w:rsid w:val="00071468"/>
    <w:rsid w:val="00072B2F"/>
    <w:rsid w:val="00073F1D"/>
    <w:rsid w:val="000741A0"/>
    <w:rsid w:val="000754D5"/>
    <w:rsid w:val="000757D8"/>
    <w:rsid w:val="000811A5"/>
    <w:rsid w:val="00082852"/>
    <w:rsid w:val="00083949"/>
    <w:rsid w:val="00083EE7"/>
    <w:rsid w:val="00083F9D"/>
    <w:rsid w:val="00084E94"/>
    <w:rsid w:val="000875BF"/>
    <w:rsid w:val="00087864"/>
    <w:rsid w:val="0009028E"/>
    <w:rsid w:val="00090F89"/>
    <w:rsid w:val="000911C4"/>
    <w:rsid w:val="0009162F"/>
    <w:rsid w:val="000916E5"/>
    <w:rsid w:val="00092A0F"/>
    <w:rsid w:val="00094944"/>
    <w:rsid w:val="00095210"/>
    <w:rsid w:val="00095224"/>
    <w:rsid w:val="00095CCA"/>
    <w:rsid w:val="00095E25"/>
    <w:rsid w:val="00096D8C"/>
    <w:rsid w:val="00096E62"/>
    <w:rsid w:val="000A001A"/>
    <w:rsid w:val="000A0335"/>
    <w:rsid w:val="000A25C8"/>
    <w:rsid w:val="000A4539"/>
    <w:rsid w:val="000A4EA8"/>
    <w:rsid w:val="000A538C"/>
    <w:rsid w:val="000A71EE"/>
    <w:rsid w:val="000B09FC"/>
    <w:rsid w:val="000B1C12"/>
    <w:rsid w:val="000B2326"/>
    <w:rsid w:val="000B2C1C"/>
    <w:rsid w:val="000B41D4"/>
    <w:rsid w:val="000B43B2"/>
    <w:rsid w:val="000B4B11"/>
    <w:rsid w:val="000B6221"/>
    <w:rsid w:val="000B7DE1"/>
    <w:rsid w:val="000B7DFB"/>
    <w:rsid w:val="000C01ED"/>
    <w:rsid w:val="000C0B65"/>
    <w:rsid w:val="000C278C"/>
    <w:rsid w:val="000C3BB1"/>
    <w:rsid w:val="000C5C4F"/>
    <w:rsid w:val="000C638E"/>
    <w:rsid w:val="000C7BD7"/>
    <w:rsid w:val="000D041C"/>
    <w:rsid w:val="000D242D"/>
    <w:rsid w:val="000D37D0"/>
    <w:rsid w:val="000D3806"/>
    <w:rsid w:val="000D3CE5"/>
    <w:rsid w:val="000D3E2D"/>
    <w:rsid w:val="000D5FA5"/>
    <w:rsid w:val="000D69F8"/>
    <w:rsid w:val="000D6CC9"/>
    <w:rsid w:val="000E05FE"/>
    <w:rsid w:val="000E18CA"/>
    <w:rsid w:val="000E3628"/>
    <w:rsid w:val="000E38C3"/>
    <w:rsid w:val="000E3D42"/>
    <w:rsid w:val="000E59C3"/>
    <w:rsid w:val="000E5C11"/>
    <w:rsid w:val="000E694D"/>
    <w:rsid w:val="000F051F"/>
    <w:rsid w:val="000F097A"/>
    <w:rsid w:val="000F1F53"/>
    <w:rsid w:val="000F2B2A"/>
    <w:rsid w:val="000F5F55"/>
    <w:rsid w:val="000F62D1"/>
    <w:rsid w:val="000F6490"/>
    <w:rsid w:val="000F7684"/>
    <w:rsid w:val="001007D5"/>
    <w:rsid w:val="00100CC2"/>
    <w:rsid w:val="00101FB4"/>
    <w:rsid w:val="00103499"/>
    <w:rsid w:val="00104325"/>
    <w:rsid w:val="00104CF6"/>
    <w:rsid w:val="001053ED"/>
    <w:rsid w:val="00107031"/>
    <w:rsid w:val="001072E8"/>
    <w:rsid w:val="001109DF"/>
    <w:rsid w:val="00110E04"/>
    <w:rsid w:val="00111501"/>
    <w:rsid w:val="001131EF"/>
    <w:rsid w:val="001136B5"/>
    <w:rsid w:val="001144F6"/>
    <w:rsid w:val="0011462D"/>
    <w:rsid w:val="001152C0"/>
    <w:rsid w:val="00115C3B"/>
    <w:rsid w:val="00115E75"/>
    <w:rsid w:val="00116F5F"/>
    <w:rsid w:val="001174FA"/>
    <w:rsid w:val="00117FA6"/>
    <w:rsid w:val="001204F9"/>
    <w:rsid w:val="001218B0"/>
    <w:rsid w:val="00121F27"/>
    <w:rsid w:val="001224D3"/>
    <w:rsid w:val="00122BD5"/>
    <w:rsid w:val="00124351"/>
    <w:rsid w:val="00126608"/>
    <w:rsid w:val="00126A41"/>
    <w:rsid w:val="00126C7C"/>
    <w:rsid w:val="001271E7"/>
    <w:rsid w:val="00127588"/>
    <w:rsid w:val="001305BA"/>
    <w:rsid w:val="00130B17"/>
    <w:rsid w:val="00133F79"/>
    <w:rsid w:val="00135367"/>
    <w:rsid w:val="0014000F"/>
    <w:rsid w:val="001403AC"/>
    <w:rsid w:val="00140D02"/>
    <w:rsid w:val="0014122C"/>
    <w:rsid w:val="00141DF5"/>
    <w:rsid w:val="00141F3A"/>
    <w:rsid w:val="00143876"/>
    <w:rsid w:val="00145852"/>
    <w:rsid w:val="00145CB3"/>
    <w:rsid w:val="0014756E"/>
    <w:rsid w:val="0014785F"/>
    <w:rsid w:val="00147A1D"/>
    <w:rsid w:val="00147B60"/>
    <w:rsid w:val="00151782"/>
    <w:rsid w:val="00151B04"/>
    <w:rsid w:val="00152CB4"/>
    <w:rsid w:val="00154132"/>
    <w:rsid w:val="001548A2"/>
    <w:rsid w:val="0015564F"/>
    <w:rsid w:val="001568BF"/>
    <w:rsid w:val="00160D94"/>
    <w:rsid w:val="001646EB"/>
    <w:rsid w:val="00164F0B"/>
    <w:rsid w:val="001655F8"/>
    <w:rsid w:val="00165E9F"/>
    <w:rsid w:val="00166577"/>
    <w:rsid w:val="00171502"/>
    <w:rsid w:val="00171A8B"/>
    <w:rsid w:val="001720C9"/>
    <w:rsid w:val="001739B3"/>
    <w:rsid w:val="0017478D"/>
    <w:rsid w:val="001768E4"/>
    <w:rsid w:val="00177006"/>
    <w:rsid w:val="00180A3E"/>
    <w:rsid w:val="00180C6D"/>
    <w:rsid w:val="00180E76"/>
    <w:rsid w:val="00181423"/>
    <w:rsid w:val="00182B8C"/>
    <w:rsid w:val="00183FFC"/>
    <w:rsid w:val="001860E1"/>
    <w:rsid w:val="0018680E"/>
    <w:rsid w:val="00186819"/>
    <w:rsid w:val="001869D9"/>
    <w:rsid w:val="00187764"/>
    <w:rsid w:val="00190DE2"/>
    <w:rsid w:val="0019468E"/>
    <w:rsid w:val="00194A66"/>
    <w:rsid w:val="00195565"/>
    <w:rsid w:val="001A13F8"/>
    <w:rsid w:val="001A18ED"/>
    <w:rsid w:val="001A2AAB"/>
    <w:rsid w:val="001A6021"/>
    <w:rsid w:val="001A69D2"/>
    <w:rsid w:val="001A6BDA"/>
    <w:rsid w:val="001B008A"/>
    <w:rsid w:val="001B224C"/>
    <w:rsid w:val="001B2961"/>
    <w:rsid w:val="001B3A63"/>
    <w:rsid w:val="001B4D98"/>
    <w:rsid w:val="001C1370"/>
    <w:rsid w:val="001C30D1"/>
    <w:rsid w:val="001C37E5"/>
    <w:rsid w:val="001C44EA"/>
    <w:rsid w:val="001C4516"/>
    <w:rsid w:val="001C6CE2"/>
    <w:rsid w:val="001D04F3"/>
    <w:rsid w:val="001D057A"/>
    <w:rsid w:val="001D14A2"/>
    <w:rsid w:val="001D2B95"/>
    <w:rsid w:val="001D329C"/>
    <w:rsid w:val="001D3D93"/>
    <w:rsid w:val="001D548E"/>
    <w:rsid w:val="001D56FE"/>
    <w:rsid w:val="001D696D"/>
    <w:rsid w:val="001D6BCF"/>
    <w:rsid w:val="001D72D4"/>
    <w:rsid w:val="001E01CA"/>
    <w:rsid w:val="001E0F54"/>
    <w:rsid w:val="001E1581"/>
    <w:rsid w:val="001E21B1"/>
    <w:rsid w:val="001E29AF"/>
    <w:rsid w:val="001E46B9"/>
    <w:rsid w:val="001E6C4D"/>
    <w:rsid w:val="001E7235"/>
    <w:rsid w:val="001E7516"/>
    <w:rsid w:val="001E7673"/>
    <w:rsid w:val="001F0A2B"/>
    <w:rsid w:val="001F343E"/>
    <w:rsid w:val="001F43C1"/>
    <w:rsid w:val="001F4F91"/>
    <w:rsid w:val="001F531A"/>
    <w:rsid w:val="001F57D8"/>
    <w:rsid w:val="00200263"/>
    <w:rsid w:val="002003E5"/>
    <w:rsid w:val="00201B5E"/>
    <w:rsid w:val="00203C1F"/>
    <w:rsid w:val="00204A67"/>
    <w:rsid w:val="0020559A"/>
    <w:rsid w:val="002063DD"/>
    <w:rsid w:val="00207014"/>
    <w:rsid w:val="00207435"/>
    <w:rsid w:val="00210223"/>
    <w:rsid w:val="00211170"/>
    <w:rsid w:val="00211BF4"/>
    <w:rsid w:val="0021285E"/>
    <w:rsid w:val="00213E8A"/>
    <w:rsid w:val="0021586C"/>
    <w:rsid w:val="00215FDC"/>
    <w:rsid w:val="002164B5"/>
    <w:rsid w:val="00217CD1"/>
    <w:rsid w:val="0022056F"/>
    <w:rsid w:val="002219F6"/>
    <w:rsid w:val="002222A0"/>
    <w:rsid w:val="0022267A"/>
    <w:rsid w:val="00223E29"/>
    <w:rsid w:val="002247AC"/>
    <w:rsid w:val="002257AF"/>
    <w:rsid w:val="00226137"/>
    <w:rsid w:val="002268FB"/>
    <w:rsid w:val="00226E63"/>
    <w:rsid w:val="00227574"/>
    <w:rsid w:val="00227A2F"/>
    <w:rsid w:val="00227E05"/>
    <w:rsid w:val="00227F28"/>
    <w:rsid w:val="00227F36"/>
    <w:rsid w:val="0023005F"/>
    <w:rsid w:val="00233B4F"/>
    <w:rsid w:val="00234F6A"/>
    <w:rsid w:val="00236187"/>
    <w:rsid w:val="00236562"/>
    <w:rsid w:val="002374CC"/>
    <w:rsid w:val="00241191"/>
    <w:rsid w:val="002427ED"/>
    <w:rsid w:val="002445BA"/>
    <w:rsid w:val="00247CD2"/>
    <w:rsid w:val="00250220"/>
    <w:rsid w:val="00251E33"/>
    <w:rsid w:val="00252D92"/>
    <w:rsid w:val="00254F75"/>
    <w:rsid w:val="002563CA"/>
    <w:rsid w:val="0025694C"/>
    <w:rsid w:val="00257014"/>
    <w:rsid w:val="00257CBB"/>
    <w:rsid w:val="002606FC"/>
    <w:rsid w:val="00263E1E"/>
    <w:rsid w:val="0026452E"/>
    <w:rsid w:val="00264557"/>
    <w:rsid w:val="00265F4D"/>
    <w:rsid w:val="00266146"/>
    <w:rsid w:val="00266592"/>
    <w:rsid w:val="00266D7E"/>
    <w:rsid w:val="0026773E"/>
    <w:rsid w:val="00270532"/>
    <w:rsid w:val="00272C87"/>
    <w:rsid w:val="00274D22"/>
    <w:rsid w:val="00274FEA"/>
    <w:rsid w:val="002756A0"/>
    <w:rsid w:val="00275CF5"/>
    <w:rsid w:val="0027628C"/>
    <w:rsid w:val="002768B5"/>
    <w:rsid w:val="00277058"/>
    <w:rsid w:val="0027721D"/>
    <w:rsid w:val="0027788F"/>
    <w:rsid w:val="00277B0B"/>
    <w:rsid w:val="002808D4"/>
    <w:rsid w:val="00280EA9"/>
    <w:rsid w:val="002823C0"/>
    <w:rsid w:val="00282E2A"/>
    <w:rsid w:val="0028301F"/>
    <w:rsid w:val="00285017"/>
    <w:rsid w:val="00285DA1"/>
    <w:rsid w:val="0028793B"/>
    <w:rsid w:val="00290204"/>
    <w:rsid w:val="00290C7E"/>
    <w:rsid w:val="00290CB7"/>
    <w:rsid w:val="00291AA4"/>
    <w:rsid w:val="00292FED"/>
    <w:rsid w:val="00293120"/>
    <w:rsid w:val="002953F1"/>
    <w:rsid w:val="00295705"/>
    <w:rsid w:val="002A2230"/>
    <w:rsid w:val="002A2389"/>
    <w:rsid w:val="002A251A"/>
    <w:rsid w:val="002A2784"/>
    <w:rsid w:val="002A2D2E"/>
    <w:rsid w:val="002A37EE"/>
    <w:rsid w:val="002A37F0"/>
    <w:rsid w:val="002A3EDF"/>
    <w:rsid w:val="002A416E"/>
    <w:rsid w:val="002A50F6"/>
    <w:rsid w:val="002A5996"/>
    <w:rsid w:val="002A5D22"/>
    <w:rsid w:val="002A606D"/>
    <w:rsid w:val="002A6AB6"/>
    <w:rsid w:val="002A779E"/>
    <w:rsid w:val="002B2EF7"/>
    <w:rsid w:val="002B33AF"/>
    <w:rsid w:val="002B39E9"/>
    <w:rsid w:val="002B3CA9"/>
    <w:rsid w:val="002B441D"/>
    <w:rsid w:val="002B4437"/>
    <w:rsid w:val="002B7524"/>
    <w:rsid w:val="002C00E8"/>
    <w:rsid w:val="002C08E5"/>
    <w:rsid w:val="002C2152"/>
    <w:rsid w:val="002C2B26"/>
    <w:rsid w:val="002C2B5A"/>
    <w:rsid w:val="002C2E3B"/>
    <w:rsid w:val="002C3428"/>
    <w:rsid w:val="002C5BE2"/>
    <w:rsid w:val="002C71EF"/>
    <w:rsid w:val="002D3725"/>
    <w:rsid w:val="002D3CBA"/>
    <w:rsid w:val="002D41D1"/>
    <w:rsid w:val="002D6025"/>
    <w:rsid w:val="002D68CF"/>
    <w:rsid w:val="002D6DB2"/>
    <w:rsid w:val="002E13BB"/>
    <w:rsid w:val="002E17BB"/>
    <w:rsid w:val="002E2055"/>
    <w:rsid w:val="002E517D"/>
    <w:rsid w:val="002F02F1"/>
    <w:rsid w:val="002F0C5B"/>
    <w:rsid w:val="002F0E91"/>
    <w:rsid w:val="002F139C"/>
    <w:rsid w:val="002F29BD"/>
    <w:rsid w:val="002F45D9"/>
    <w:rsid w:val="002F4994"/>
    <w:rsid w:val="002F6F5A"/>
    <w:rsid w:val="002F7418"/>
    <w:rsid w:val="00300520"/>
    <w:rsid w:val="00300637"/>
    <w:rsid w:val="0030078A"/>
    <w:rsid w:val="00302FC6"/>
    <w:rsid w:val="00303DF0"/>
    <w:rsid w:val="00304615"/>
    <w:rsid w:val="0030468F"/>
    <w:rsid w:val="00306452"/>
    <w:rsid w:val="00306676"/>
    <w:rsid w:val="00307C0A"/>
    <w:rsid w:val="003111B5"/>
    <w:rsid w:val="00312391"/>
    <w:rsid w:val="00312FEC"/>
    <w:rsid w:val="003137F7"/>
    <w:rsid w:val="00315147"/>
    <w:rsid w:val="00316F62"/>
    <w:rsid w:val="003200B7"/>
    <w:rsid w:val="0032044C"/>
    <w:rsid w:val="00321D16"/>
    <w:rsid w:val="003221AD"/>
    <w:rsid w:val="00323482"/>
    <w:rsid w:val="003235F8"/>
    <w:rsid w:val="0032548A"/>
    <w:rsid w:val="00327DFB"/>
    <w:rsid w:val="00327E33"/>
    <w:rsid w:val="00330B09"/>
    <w:rsid w:val="00331472"/>
    <w:rsid w:val="0033179C"/>
    <w:rsid w:val="003320B5"/>
    <w:rsid w:val="00334A45"/>
    <w:rsid w:val="00336163"/>
    <w:rsid w:val="00337183"/>
    <w:rsid w:val="003403A1"/>
    <w:rsid w:val="00341346"/>
    <w:rsid w:val="00342DC0"/>
    <w:rsid w:val="00343247"/>
    <w:rsid w:val="0034327B"/>
    <w:rsid w:val="0034343D"/>
    <w:rsid w:val="00343749"/>
    <w:rsid w:val="00344473"/>
    <w:rsid w:val="00344502"/>
    <w:rsid w:val="003454AF"/>
    <w:rsid w:val="00345986"/>
    <w:rsid w:val="00347C64"/>
    <w:rsid w:val="00351DCD"/>
    <w:rsid w:val="00353C01"/>
    <w:rsid w:val="00354F74"/>
    <w:rsid w:val="00355747"/>
    <w:rsid w:val="00355762"/>
    <w:rsid w:val="00361F80"/>
    <w:rsid w:val="003620B7"/>
    <w:rsid w:val="00362A9C"/>
    <w:rsid w:val="003648D3"/>
    <w:rsid w:val="003660ED"/>
    <w:rsid w:val="00370442"/>
    <w:rsid w:val="00373D4D"/>
    <w:rsid w:val="0037552B"/>
    <w:rsid w:val="003758BC"/>
    <w:rsid w:val="00375FFD"/>
    <w:rsid w:val="003765D3"/>
    <w:rsid w:val="00376F9D"/>
    <w:rsid w:val="00377736"/>
    <w:rsid w:val="0037795B"/>
    <w:rsid w:val="00380801"/>
    <w:rsid w:val="0038375E"/>
    <w:rsid w:val="0038650C"/>
    <w:rsid w:val="003912B5"/>
    <w:rsid w:val="00391B36"/>
    <w:rsid w:val="00392B5F"/>
    <w:rsid w:val="003942A4"/>
    <w:rsid w:val="003953C4"/>
    <w:rsid w:val="00395448"/>
    <w:rsid w:val="003958CD"/>
    <w:rsid w:val="0039604E"/>
    <w:rsid w:val="00396F84"/>
    <w:rsid w:val="003A1D4A"/>
    <w:rsid w:val="003A2194"/>
    <w:rsid w:val="003A2CB8"/>
    <w:rsid w:val="003A5297"/>
    <w:rsid w:val="003A6213"/>
    <w:rsid w:val="003B0100"/>
    <w:rsid w:val="003B0550"/>
    <w:rsid w:val="003B0A66"/>
    <w:rsid w:val="003B0CB3"/>
    <w:rsid w:val="003B1171"/>
    <w:rsid w:val="003B5F9D"/>
    <w:rsid w:val="003B694F"/>
    <w:rsid w:val="003B7D45"/>
    <w:rsid w:val="003C10B7"/>
    <w:rsid w:val="003C1C12"/>
    <w:rsid w:val="003C2A4F"/>
    <w:rsid w:val="003C3805"/>
    <w:rsid w:val="003C3B26"/>
    <w:rsid w:val="003C3FDC"/>
    <w:rsid w:val="003C4591"/>
    <w:rsid w:val="003C4862"/>
    <w:rsid w:val="003C4C1C"/>
    <w:rsid w:val="003C57C5"/>
    <w:rsid w:val="003C5A82"/>
    <w:rsid w:val="003C63E5"/>
    <w:rsid w:val="003C6419"/>
    <w:rsid w:val="003C6447"/>
    <w:rsid w:val="003C648D"/>
    <w:rsid w:val="003D40FD"/>
    <w:rsid w:val="003D4100"/>
    <w:rsid w:val="003D4472"/>
    <w:rsid w:val="003D485F"/>
    <w:rsid w:val="003D59AE"/>
    <w:rsid w:val="003E0058"/>
    <w:rsid w:val="003E0B1E"/>
    <w:rsid w:val="003E3E66"/>
    <w:rsid w:val="003E4E6B"/>
    <w:rsid w:val="003E57E5"/>
    <w:rsid w:val="003E6258"/>
    <w:rsid w:val="003E655B"/>
    <w:rsid w:val="003F00DE"/>
    <w:rsid w:val="003F010E"/>
    <w:rsid w:val="003F0B54"/>
    <w:rsid w:val="003F0C6C"/>
    <w:rsid w:val="003F0F7D"/>
    <w:rsid w:val="003F11C6"/>
    <w:rsid w:val="003F171C"/>
    <w:rsid w:val="003F1E5A"/>
    <w:rsid w:val="003F27D4"/>
    <w:rsid w:val="003F2E50"/>
    <w:rsid w:val="003F37AE"/>
    <w:rsid w:val="003F4119"/>
    <w:rsid w:val="003F77D7"/>
    <w:rsid w:val="0040000E"/>
    <w:rsid w:val="004000C4"/>
    <w:rsid w:val="00400695"/>
    <w:rsid w:val="00400A4E"/>
    <w:rsid w:val="004011BC"/>
    <w:rsid w:val="00402717"/>
    <w:rsid w:val="00404FA0"/>
    <w:rsid w:val="00405181"/>
    <w:rsid w:val="004053BE"/>
    <w:rsid w:val="0040756D"/>
    <w:rsid w:val="00410AC2"/>
    <w:rsid w:val="004120A2"/>
    <w:rsid w:val="004123CD"/>
    <w:rsid w:val="00412FC5"/>
    <w:rsid w:val="00413D0E"/>
    <w:rsid w:val="004154DB"/>
    <w:rsid w:val="00416AE1"/>
    <w:rsid w:val="00422276"/>
    <w:rsid w:val="004242F1"/>
    <w:rsid w:val="00424AAE"/>
    <w:rsid w:val="00425128"/>
    <w:rsid w:val="00425D1C"/>
    <w:rsid w:val="00427D0F"/>
    <w:rsid w:val="00427E17"/>
    <w:rsid w:val="00427FAA"/>
    <w:rsid w:val="0043069E"/>
    <w:rsid w:val="00431A34"/>
    <w:rsid w:val="004330C7"/>
    <w:rsid w:val="0043381B"/>
    <w:rsid w:val="004347F0"/>
    <w:rsid w:val="00434DE8"/>
    <w:rsid w:val="00435805"/>
    <w:rsid w:val="00435B09"/>
    <w:rsid w:val="00436C14"/>
    <w:rsid w:val="004370E9"/>
    <w:rsid w:val="004373F7"/>
    <w:rsid w:val="00437895"/>
    <w:rsid w:val="00440567"/>
    <w:rsid w:val="00441CC4"/>
    <w:rsid w:val="00441F0F"/>
    <w:rsid w:val="00441FFB"/>
    <w:rsid w:val="00442CC0"/>
    <w:rsid w:val="004434F8"/>
    <w:rsid w:val="00444C5F"/>
    <w:rsid w:val="00445619"/>
    <w:rsid w:val="00445A00"/>
    <w:rsid w:val="0044637A"/>
    <w:rsid w:val="0044637E"/>
    <w:rsid w:val="004466A5"/>
    <w:rsid w:val="00447550"/>
    <w:rsid w:val="004477AF"/>
    <w:rsid w:val="00450222"/>
    <w:rsid w:val="00450502"/>
    <w:rsid w:val="00451B0F"/>
    <w:rsid w:val="004549DF"/>
    <w:rsid w:val="00455781"/>
    <w:rsid w:val="00457D8F"/>
    <w:rsid w:val="004605C0"/>
    <w:rsid w:val="00462357"/>
    <w:rsid w:val="00462725"/>
    <w:rsid w:val="00465E3E"/>
    <w:rsid w:val="00465F9A"/>
    <w:rsid w:val="00470608"/>
    <w:rsid w:val="00470C50"/>
    <w:rsid w:val="00471715"/>
    <w:rsid w:val="00473114"/>
    <w:rsid w:val="0047457E"/>
    <w:rsid w:val="004747B6"/>
    <w:rsid w:val="004748BE"/>
    <w:rsid w:val="004750A1"/>
    <w:rsid w:val="004751CC"/>
    <w:rsid w:val="004753CE"/>
    <w:rsid w:val="00477699"/>
    <w:rsid w:val="00477769"/>
    <w:rsid w:val="0047791F"/>
    <w:rsid w:val="00480F79"/>
    <w:rsid w:val="00481A1A"/>
    <w:rsid w:val="00481A22"/>
    <w:rsid w:val="004823CC"/>
    <w:rsid w:val="0048281A"/>
    <w:rsid w:val="00485747"/>
    <w:rsid w:val="004873E2"/>
    <w:rsid w:val="00491452"/>
    <w:rsid w:val="00491554"/>
    <w:rsid w:val="004924F2"/>
    <w:rsid w:val="004927D9"/>
    <w:rsid w:val="0049291D"/>
    <w:rsid w:val="00496132"/>
    <w:rsid w:val="004A2A64"/>
    <w:rsid w:val="004A2C6A"/>
    <w:rsid w:val="004A32E6"/>
    <w:rsid w:val="004A4668"/>
    <w:rsid w:val="004B239E"/>
    <w:rsid w:val="004B248A"/>
    <w:rsid w:val="004B2C7B"/>
    <w:rsid w:val="004B491C"/>
    <w:rsid w:val="004B4AF8"/>
    <w:rsid w:val="004B5560"/>
    <w:rsid w:val="004B5F0A"/>
    <w:rsid w:val="004B5FC9"/>
    <w:rsid w:val="004B688F"/>
    <w:rsid w:val="004C0BD6"/>
    <w:rsid w:val="004C2EE3"/>
    <w:rsid w:val="004C55B8"/>
    <w:rsid w:val="004C7371"/>
    <w:rsid w:val="004C7599"/>
    <w:rsid w:val="004D0CEA"/>
    <w:rsid w:val="004D31F0"/>
    <w:rsid w:val="004D32B0"/>
    <w:rsid w:val="004D3686"/>
    <w:rsid w:val="004D4278"/>
    <w:rsid w:val="004D6711"/>
    <w:rsid w:val="004D694B"/>
    <w:rsid w:val="004D7A11"/>
    <w:rsid w:val="004D7FF1"/>
    <w:rsid w:val="004E0884"/>
    <w:rsid w:val="004E0ADB"/>
    <w:rsid w:val="004E1A84"/>
    <w:rsid w:val="004E1E40"/>
    <w:rsid w:val="004E317D"/>
    <w:rsid w:val="004E33A2"/>
    <w:rsid w:val="004E3468"/>
    <w:rsid w:val="004E4A22"/>
    <w:rsid w:val="004E6BBF"/>
    <w:rsid w:val="004F3F1C"/>
    <w:rsid w:val="004F48D7"/>
    <w:rsid w:val="004F4BB2"/>
    <w:rsid w:val="004F67FF"/>
    <w:rsid w:val="004F79FF"/>
    <w:rsid w:val="004F7B28"/>
    <w:rsid w:val="00500AE2"/>
    <w:rsid w:val="00500F1E"/>
    <w:rsid w:val="005016BF"/>
    <w:rsid w:val="0050274C"/>
    <w:rsid w:val="00502EB6"/>
    <w:rsid w:val="00504255"/>
    <w:rsid w:val="00506739"/>
    <w:rsid w:val="005074DD"/>
    <w:rsid w:val="00510AAF"/>
    <w:rsid w:val="00510B96"/>
    <w:rsid w:val="00510CE8"/>
    <w:rsid w:val="00511968"/>
    <w:rsid w:val="0051219F"/>
    <w:rsid w:val="0051220B"/>
    <w:rsid w:val="0051224A"/>
    <w:rsid w:val="00512EF6"/>
    <w:rsid w:val="0051312A"/>
    <w:rsid w:val="00513B61"/>
    <w:rsid w:val="005146C4"/>
    <w:rsid w:val="00514BD4"/>
    <w:rsid w:val="00515700"/>
    <w:rsid w:val="005161D6"/>
    <w:rsid w:val="00517994"/>
    <w:rsid w:val="0052088A"/>
    <w:rsid w:val="0052276A"/>
    <w:rsid w:val="00522DAD"/>
    <w:rsid w:val="005233B6"/>
    <w:rsid w:val="00525608"/>
    <w:rsid w:val="0052789E"/>
    <w:rsid w:val="00527CEA"/>
    <w:rsid w:val="00530C3C"/>
    <w:rsid w:val="005313CA"/>
    <w:rsid w:val="0053266D"/>
    <w:rsid w:val="00534849"/>
    <w:rsid w:val="00535263"/>
    <w:rsid w:val="00535CEE"/>
    <w:rsid w:val="005363A8"/>
    <w:rsid w:val="005372D8"/>
    <w:rsid w:val="00540923"/>
    <w:rsid w:val="0054399A"/>
    <w:rsid w:val="0054412C"/>
    <w:rsid w:val="0054526A"/>
    <w:rsid w:val="005473E8"/>
    <w:rsid w:val="00555F62"/>
    <w:rsid w:val="0055614C"/>
    <w:rsid w:val="00556C29"/>
    <w:rsid w:val="00556DD5"/>
    <w:rsid w:val="00556F82"/>
    <w:rsid w:val="00557578"/>
    <w:rsid w:val="00557AC0"/>
    <w:rsid w:val="005609C8"/>
    <w:rsid w:val="00560E2A"/>
    <w:rsid w:val="00561C21"/>
    <w:rsid w:val="00562F92"/>
    <w:rsid w:val="00563448"/>
    <w:rsid w:val="005655A5"/>
    <w:rsid w:val="00566068"/>
    <w:rsid w:val="005660E6"/>
    <w:rsid w:val="005668A2"/>
    <w:rsid w:val="005676AC"/>
    <w:rsid w:val="00571233"/>
    <w:rsid w:val="00571B0A"/>
    <w:rsid w:val="005730F1"/>
    <w:rsid w:val="00573D30"/>
    <w:rsid w:val="005744AD"/>
    <w:rsid w:val="005750F1"/>
    <w:rsid w:val="0057510C"/>
    <w:rsid w:val="005758EA"/>
    <w:rsid w:val="00575CAD"/>
    <w:rsid w:val="0057774B"/>
    <w:rsid w:val="00581072"/>
    <w:rsid w:val="0058184F"/>
    <w:rsid w:val="00581A19"/>
    <w:rsid w:val="0058226E"/>
    <w:rsid w:val="00582BAC"/>
    <w:rsid w:val="00583FC2"/>
    <w:rsid w:val="00584122"/>
    <w:rsid w:val="00584E2B"/>
    <w:rsid w:val="00585420"/>
    <w:rsid w:val="0058543C"/>
    <w:rsid w:val="00585B1F"/>
    <w:rsid w:val="0058609D"/>
    <w:rsid w:val="0058797B"/>
    <w:rsid w:val="005916B4"/>
    <w:rsid w:val="00593D37"/>
    <w:rsid w:val="00593E29"/>
    <w:rsid w:val="00594B55"/>
    <w:rsid w:val="00596B0B"/>
    <w:rsid w:val="00596B55"/>
    <w:rsid w:val="00597027"/>
    <w:rsid w:val="00597B01"/>
    <w:rsid w:val="00597F89"/>
    <w:rsid w:val="005A069A"/>
    <w:rsid w:val="005A0D0A"/>
    <w:rsid w:val="005A432C"/>
    <w:rsid w:val="005A507A"/>
    <w:rsid w:val="005A6792"/>
    <w:rsid w:val="005B0181"/>
    <w:rsid w:val="005B09B6"/>
    <w:rsid w:val="005B0B53"/>
    <w:rsid w:val="005B3198"/>
    <w:rsid w:val="005B3CC5"/>
    <w:rsid w:val="005B3CF0"/>
    <w:rsid w:val="005B3F18"/>
    <w:rsid w:val="005B45EA"/>
    <w:rsid w:val="005B4A0A"/>
    <w:rsid w:val="005B4B04"/>
    <w:rsid w:val="005B6447"/>
    <w:rsid w:val="005B725C"/>
    <w:rsid w:val="005B7296"/>
    <w:rsid w:val="005B79EF"/>
    <w:rsid w:val="005B7C38"/>
    <w:rsid w:val="005C00FF"/>
    <w:rsid w:val="005C1CA8"/>
    <w:rsid w:val="005C4187"/>
    <w:rsid w:val="005D03EA"/>
    <w:rsid w:val="005D7A03"/>
    <w:rsid w:val="005D7EB0"/>
    <w:rsid w:val="005D7F88"/>
    <w:rsid w:val="005E01F6"/>
    <w:rsid w:val="005E0D78"/>
    <w:rsid w:val="005E12D3"/>
    <w:rsid w:val="005E14C2"/>
    <w:rsid w:val="005E324F"/>
    <w:rsid w:val="005E477F"/>
    <w:rsid w:val="005E4A19"/>
    <w:rsid w:val="005E61F6"/>
    <w:rsid w:val="005E6395"/>
    <w:rsid w:val="005E656E"/>
    <w:rsid w:val="005E74B4"/>
    <w:rsid w:val="005F029B"/>
    <w:rsid w:val="005F1A40"/>
    <w:rsid w:val="005F3BA0"/>
    <w:rsid w:val="005F4565"/>
    <w:rsid w:val="005F4E27"/>
    <w:rsid w:val="005F533B"/>
    <w:rsid w:val="005F5F17"/>
    <w:rsid w:val="005F67CF"/>
    <w:rsid w:val="005F6919"/>
    <w:rsid w:val="005F71E8"/>
    <w:rsid w:val="00600044"/>
    <w:rsid w:val="00601847"/>
    <w:rsid w:val="00603415"/>
    <w:rsid w:val="006048A8"/>
    <w:rsid w:val="006052B3"/>
    <w:rsid w:val="00606935"/>
    <w:rsid w:val="006069BA"/>
    <w:rsid w:val="00606F48"/>
    <w:rsid w:val="00607431"/>
    <w:rsid w:val="00607BA5"/>
    <w:rsid w:val="00607C18"/>
    <w:rsid w:val="00607E7F"/>
    <w:rsid w:val="006104EF"/>
    <w:rsid w:val="00610739"/>
    <w:rsid w:val="0061180A"/>
    <w:rsid w:val="00611AF6"/>
    <w:rsid w:val="00612C28"/>
    <w:rsid w:val="006132EE"/>
    <w:rsid w:val="006139EC"/>
    <w:rsid w:val="006144AF"/>
    <w:rsid w:val="006162E0"/>
    <w:rsid w:val="006165D5"/>
    <w:rsid w:val="0061791E"/>
    <w:rsid w:val="00620B8A"/>
    <w:rsid w:val="0062151F"/>
    <w:rsid w:val="006221FB"/>
    <w:rsid w:val="0062240E"/>
    <w:rsid w:val="006250E3"/>
    <w:rsid w:val="00626EB6"/>
    <w:rsid w:val="00630B69"/>
    <w:rsid w:val="00630DEC"/>
    <w:rsid w:val="00633FB5"/>
    <w:rsid w:val="00634AB5"/>
    <w:rsid w:val="006364D7"/>
    <w:rsid w:val="0063712D"/>
    <w:rsid w:val="006373A0"/>
    <w:rsid w:val="006375C2"/>
    <w:rsid w:val="00640252"/>
    <w:rsid w:val="006410AF"/>
    <w:rsid w:val="0064126F"/>
    <w:rsid w:val="006433DD"/>
    <w:rsid w:val="00644CB2"/>
    <w:rsid w:val="0064506B"/>
    <w:rsid w:val="00645507"/>
    <w:rsid w:val="00645957"/>
    <w:rsid w:val="00645B87"/>
    <w:rsid w:val="00645F21"/>
    <w:rsid w:val="00646342"/>
    <w:rsid w:val="00652142"/>
    <w:rsid w:val="00655987"/>
    <w:rsid w:val="00655D03"/>
    <w:rsid w:val="0065625F"/>
    <w:rsid w:val="0066142C"/>
    <w:rsid w:val="00662B78"/>
    <w:rsid w:val="00662CA0"/>
    <w:rsid w:val="00662FAB"/>
    <w:rsid w:val="00663334"/>
    <w:rsid w:val="006635E0"/>
    <w:rsid w:val="00670301"/>
    <w:rsid w:val="006704E2"/>
    <w:rsid w:val="0067072D"/>
    <w:rsid w:val="00671C0B"/>
    <w:rsid w:val="00671FD3"/>
    <w:rsid w:val="0067271E"/>
    <w:rsid w:val="006751A7"/>
    <w:rsid w:val="006751D7"/>
    <w:rsid w:val="006751E9"/>
    <w:rsid w:val="006757DA"/>
    <w:rsid w:val="00676401"/>
    <w:rsid w:val="00676AC6"/>
    <w:rsid w:val="00682F57"/>
    <w:rsid w:val="0068305D"/>
    <w:rsid w:val="00683388"/>
    <w:rsid w:val="00683702"/>
    <w:rsid w:val="00683A4F"/>
    <w:rsid w:val="00683F84"/>
    <w:rsid w:val="00684DB4"/>
    <w:rsid w:val="00685370"/>
    <w:rsid w:val="00690CF6"/>
    <w:rsid w:val="0069271B"/>
    <w:rsid w:val="00692CA9"/>
    <w:rsid w:val="00693DA9"/>
    <w:rsid w:val="006943A1"/>
    <w:rsid w:val="0069483B"/>
    <w:rsid w:val="00695850"/>
    <w:rsid w:val="006A0F52"/>
    <w:rsid w:val="006A259D"/>
    <w:rsid w:val="006A2A5D"/>
    <w:rsid w:val="006A3D4F"/>
    <w:rsid w:val="006A42B6"/>
    <w:rsid w:val="006A5C61"/>
    <w:rsid w:val="006A64EE"/>
    <w:rsid w:val="006A6A81"/>
    <w:rsid w:val="006A6CB5"/>
    <w:rsid w:val="006A6CCD"/>
    <w:rsid w:val="006B16FA"/>
    <w:rsid w:val="006B215A"/>
    <w:rsid w:val="006B419E"/>
    <w:rsid w:val="006B4804"/>
    <w:rsid w:val="006B4FDC"/>
    <w:rsid w:val="006B5C05"/>
    <w:rsid w:val="006B6124"/>
    <w:rsid w:val="006C08B7"/>
    <w:rsid w:val="006C0E72"/>
    <w:rsid w:val="006C0FCD"/>
    <w:rsid w:val="006C4780"/>
    <w:rsid w:val="006C4A4B"/>
    <w:rsid w:val="006C7F9F"/>
    <w:rsid w:val="006D27CB"/>
    <w:rsid w:val="006D3000"/>
    <w:rsid w:val="006D3AE3"/>
    <w:rsid w:val="006D474A"/>
    <w:rsid w:val="006D4C0B"/>
    <w:rsid w:val="006D4F47"/>
    <w:rsid w:val="006D5909"/>
    <w:rsid w:val="006D5DD9"/>
    <w:rsid w:val="006D6182"/>
    <w:rsid w:val="006E194C"/>
    <w:rsid w:val="006E1EF7"/>
    <w:rsid w:val="006E26EF"/>
    <w:rsid w:val="006E285F"/>
    <w:rsid w:val="006E340F"/>
    <w:rsid w:val="006E49B2"/>
    <w:rsid w:val="006E73BC"/>
    <w:rsid w:val="006E7493"/>
    <w:rsid w:val="006E77E7"/>
    <w:rsid w:val="006F2DB3"/>
    <w:rsid w:val="006F3E57"/>
    <w:rsid w:val="006F51C0"/>
    <w:rsid w:val="006F5D32"/>
    <w:rsid w:val="006F7393"/>
    <w:rsid w:val="0070224F"/>
    <w:rsid w:val="0070267A"/>
    <w:rsid w:val="00705BDC"/>
    <w:rsid w:val="007106BE"/>
    <w:rsid w:val="007115F7"/>
    <w:rsid w:val="00712ECA"/>
    <w:rsid w:val="0071352C"/>
    <w:rsid w:val="00713B9D"/>
    <w:rsid w:val="00713EAB"/>
    <w:rsid w:val="00714916"/>
    <w:rsid w:val="00714D8B"/>
    <w:rsid w:val="00714F2B"/>
    <w:rsid w:val="0071640A"/>
    <w:rsid w:val="00722690"/>
    <w:rsid w:val="00722785"/>
    <w:rsid w:val="0072329C"/>
    <w:rsid w:val="0072391F"/>
    <w:rsid w:val="00723C66"/>
    <w:rsid w:val="007244BC"/>
    <w:rsid w:val="007251FF"/>
    <w:rsid w:val="00726255"/>
    <w:rsid w:val="00727F63"/>
    <w:rsid w:val="00730AC7"/>
    <w:rsid w:val="00732B1B"/>
    <w:rsid w:val="00733377"/>
    <w:rsid w:val="00734D8A"/>
    <w:rsid w:val="00736576"/>
    <w:rsid w:val="007376BF"/>
    <w:rsid w:val="00737F12"/>
    <w:rsid w:val="007410FD"/>
    <w:rsid w:val="0074586F"/>
    <w:rsid w:val="00745B4D"/>
    <w:rsid w:val="007465CA"/>
    <w:rsid w:val="00750038"/>
    <w:rsid w:val="00750431"/>
    <w:rsid w:val="0075123C"/>
    <w:rsid w:val="00751FDC"/>
    <w:rsid w:val="007521C4"/>
    <w:rsid w:val="00752DC3"/>
    <w:rsid w:val="00753F43"/>
    <w:rsid w:val="0075726F"/>
    <w:rsid w:val="007606FF"/>
    <w:rsid w:val="0076128A"/>
    <w:rsid w:val="00761738"/>
    <w:rsid w:val="007625E1"/>
    <w:rsid w:val="00762711"/>
    <w:rsid w:val="0076343B"/>
    <w:rsid w:val="00763916"/>
    <w:rsid w:val="0076592F"/>
    <w:rsid w:val="00765E97"/>
    <w:rsid w:val="00766D10"/>
    <w:rsid w:val="007708AE"/>
    <w:rsid w:val="007712A8"/>
    <w:rsid w:val="00773115"/>
    <w:rsid w:val="00775168"/>
    <w:rsid w:val="0077624E"/>
    <w:rsid w:val="0077710C"/>
    <w:rsid w:val="007776C1"/>
    <w:rsid w:val="00777D1F"/>
    <w:rsid w:val="00780259"/>
    <w:rsid w:val="007831AE"/>
    <w:rsid w:val="00783696"/>
    <w:rsid w:val="007836BF"/>
    <w:rsid w:val="00783CCD"/>
    <w:rsid w:val="00783DAC"/>
    <w:rsid w:val="00783F54"/>
    <w:rsid w:val="00785689"/>
    <w:rsid w:val="007856B6"/>
    <w:rsid w:val="0078595D"/>
    <w:rsid w:val="00785E42"/>
    <w:rsid w:val="00790BEC"/>
    <w:rsid w:val="00790CBD"/>
    <w:rsid w:val="00791914"/>
    <w:rsid w:val="0079333B"/>
    <w:rsid w:val="0079754B"/>
    <w:rsid w:val="00797978"/>
    <w:rsid w:val="007A038C"/>
    <w:rsid w:val="007A1689"/>
    <w:rsid w:val="007A197E"/>
    <w:rsid w:val="007A1E43"/>
    <w:rsid w:val="007A1E6D"/>
    <w:rsid w:val="007A2E35"/>
    <w:rsid w:val="007A3E0C"/>
    <w:rsid w:val="007A41BA"/>
    <w:rsid w:val="007A46A5"/>
    <w:rsid w:val="007A5BA4"/>
    <w:rsid w:val="007A5CA9"/>
    <w:rsid w:val="007A6FE3"/>
    <w:rsid w:val="007A70A2"/>
    <w:rsid w:val="007A7779"/>
    <w:rsid w:val="007A7A87"/>
    <w:rsid w:val="007B08A8"/>
    <w:rsid w:val="007B0EB2"/>
    <w:rsid w:val="007B14FF"/>
    <w:rsid w:val="007B2F6F"/>
    <w:rsid w:val="007B4A88"/>
    <w:rsid w:val="007B4D66"/>
    <w:rsid w:val="007B536F"/>
    <w:rsid w:val="007B6C9C"/>
    <w:rsid w:val="007C03A8"/>
    <w:rsid w:val="007C0CC4"/>
    <w:rsid w:val="007C10C4"/>
    <w:rsid w:val="007C2DA5"/>
    <w:rsid w:val="007C3C40"/>
    <w:rsid w:val="007C571C"/>
    <w:rsid w:val="007D0C75"/>
    <w:rsid w:val="007D2312"/>
    <w:rsid w:val="007D2ED1"/>
    <w:rsid w:val="007D5648"/>
    <w:rsid w:val="007D6246"/>
    <w:rsid w:val="007D7A9F"/>
    <w:rsid w:val="007E0A10"/>
    <w:rsid w:val="007E0DCC"/>
    <w:rsid w:val="007E1A69"/>
    <w:rsid w:val="007E4166"/>
    <w:rsid w:val="007E425E"/>
    <w:rsid w:val="007E6B1A"/>
    <w:rsid w:val="007E7D7C"/>
    <w:rsid w:val="007F1865"/>
    <w:rsid w:val="007F1B23"/>
    <w:rsid w:val="007F3B49"/>
    <w:rsid w:val="007F5209"/>
    <w:rsid w:val="007F62D5"/>
    <w:rsid w:val="007F7382"/>
    <w:rsid w:val="007F7B94"/>
    <w:rsid w:val="00802868"/>
    <w:rsid w:val="008039D0"/>
    <w:rsid w:val="00806461"/>
    <w:rsid w:val="00806C08"/>
    <w:rsid w:val="00807083"/>
    <w:rsid w:val="008100F2"/>
    <w:rsid w:val="00810B6F"/>
    <w:rsid w:val="0081139B"/>
    <w:rsid w:val="0081307E"/>
    <w:rsid w:val="008135A3"/>
    <w:rsid w:val="008146DB"/>
    <w:rsid w:val="00814D51"/>
    <w:rsid w:val="00815F2F"/>
    <w:rsid w:val="00816C75"/>
    <w:rsid w:val="00816F3B"/>
    <w:rsid w:val="008202D5"/>
    <w:rsid w:val="00821710"/>
    <w:rsid w:val="00821C4E"/>
    <w:rsid w:val="00822202"/>
    <w:rsid w:val="00822CE0"/>
    <w:rsid w:val="008238C0"/>
    <w:rsid w:val="00824CB1"/>
    <w:rsid w:val="00824FE6"/>
    <w:rsid w:val="0082629A"/>
    <w:rsid w:val="00826FAF"/>
    <w:rsid w:val="008272AA"/>
    <w:rsid w:val="00827D73"/>
    <w:rsid w:val="0083131C"/>
    <w:rsid w:val="008316D6"/>
    <w:rsid w:val="00831A63"/>
    <w:rsid w:val="00832678"/>
    <w:rsid w:val="00832CCE"/>
    <w:rsid w:val="008336CB"/>
    <w:rsid w:val="0083467F"/>
    <w:rsid w:val="00834C32"/>
    <w:rsid w:val="00837F9A"/>
    <w:rsid w:val="00841AB1"/>
    <w:rsid w:val="00842EB1"/>
    <w:rsid w:val="00842F4D"/>
    <w:rsid w:val="00843412"/>
    <w:rsid w:val="00844168"/>
    <w:rsid w:val="008447CD"/>
    <w:rsid w:val="008450BE"/>
    <w:rsid w:val="00846D8C"/>
    <w:rsid w:val="00850788"/>
    <w:rsid w:val="0085088C"/>
    <w:rsid w:val="00851A6A"/>
    <w:rsid w:val="00852995"/>
    <w:rsid w:val="008538C3"/>
    <w:rsid w:val="008541C5"/>
    <w:rsid w:val="00854663"/>
    <w:rsid w:val="008553FF"/>
    <w:rsid w:val="008558B3"/>
    <w:rsid w:val="008558CC"/>
    <w:rsid w:val="008571C9"/>
    <w:rsid w:val="00857B46"/>
    <w:rsid w:val="00857D41"/>
    <w:rsid w:val="00857D75"/>
    <w:rsid w:val="008602E1"/>
    <w:rsid w:val="008614E0"/>
    <w:rsid w:val="0086156A"/>
    <w:rsid w:val="00861BAF"/>
    <w:rsid w:val="00862C30"/>
    <w:rsid w:val="008637B5"/>
    <w:rsid w:val="008652CC"/>
    <w:rsid w:val="0086689B"/>
    <w:rsid w:val="00870C31"/>
    <w:rsid w:val="00871114"/>
    <w:rsid w:val="0087223B"/>
    <w:rsid w:val="00873788"/>
    <w:rsid w:val="00874397"/>
    <w:rsid w:val="00874DBF"/>
    <w:rsid w:val="00874EAB"/>
    <w:rsid w:val="00875807"/>
    <w:rsid w:val="0087600F"/>
    <w:rsid w:val="00881100"/>
    <w:rsid w:val="00882F8E"/>
    <w:rsid w:val="00885EBF"/>
    <w:rsid w:val="00891034"/>
    <w:rsid w:val="00891300"/>
    <w:rsid w:val="008929A9"/>
    <w:rsid w:val="00893160"/>
    <w:rsid w:val="00894A16"/>
    <w:rsid w:val="0089508B"/>
    <w:rsid w:val="008956BC"/>
    <w:rsid w:val="008966D4"/>
    <w:rsid w:val="00896C17"/>
    <w:rsid w:val="00897B13"/>
    <w:rsid w:val="00897BCB"/>
    <w:rsid w:val="00897DE6"/>
    <w:rsid w:val="008A1870"/>
    <w:rsid w:val="008A191D"/>
    <w:rsid w:val="008A2012"/>
    <w:rsid w:val="008A2C9A"/>
    <w:rsid w:val="008A38E8"/>
    <w:rsid w:val="008A3C7C"/>
    <w:rsid w:val="008A4B88"/>
    <w:rsid w:val="008A694F"/>
    <w:rsid w:val="008A7338"/>
    <w:rsid w:val="008A7604"/>
    <w:rsid w:val="008A77F7"/>
    <w:rsid w:val="008A7D5A"/>
    <w:rsid w:val="008B05B6"/>
    <w:rsid w:val="008B2400"/>
    <w:rsid w:val="008B3505"/>
    <w:rsid w:val="008B52DE"/>
    <w:rsid w:val="008B6701"/>
    <w:rsid w:val="008B7080"/>
    <w:rsid w:val="008C1E4B"/>
    <w:rsid w:val="008C43A1"/>
    <w:rsid w:val="008C5552"/>
    <w:rsid w:val="008C56BE"/>
    <w:rsid w:val="008C5A08"/>
    <w:rsid w:val="008C6200"/>
    <w:rsid w:val="008C62BF"/>
    <w:rsid w:val="008C685B"/>
    <w:rsid w:val="008C68F1"/>
    <w:rsid w:val="008D1236"/>
    <w:rsid w:val="008D2E1E"/>
    <w:rsid w:val="008D38D0"/>
    <w:rsid w:val="008D4FC3"/>
    <w:rsid w:val="008D6374"/>
    <w:rsid w:val="008E03D0"/>
    <w:rsid w:val="008E098C"/>
    <w:rsid w:val="008E1253"/>
    <w:rsid w:val="008E2626"/>
    <w:rsid w:val="008E2B58"/>
    <w:rsid w:val="008E445A"/>
    <w:rsid w:val="008E6091"/>
    <w:rsid w:val="008E6138"/>
    <w:rsid w:val="008E61EF"/>
    <w:rsid w:val="008E6479"/>
    <w:rsid w:val="008E6959"/>
    <w:rsid w:val="008F1DEF"/>
    <w:rsid w:val="008F291C"/>
    <w:rsid w:val="008F3538"/>
    <w:rsid w:val="008F5698"/>
    <w:rsid w:val="008F57D8"/>
    <w:rsid w:val="008F6A68"/>
    <w:rsid w:val="008F6C86"/>
    <w:rsid w:val="00901645"/>
    <w:rsid w:val="009029B1"/>
    <w:rsid w:val="00902DB3"/>
    <w:rsid w:val="00902DC2"/>
    <w:rsid w:val="00903031"/>
    <w:rsid w:val="0090342A"/>
    <w:rsid w:val="0090552A"/>
    <w:rsid w:val="0090648C"/>
    <w:rsid w:val="00906641"/>
    <w:rsid w:val="00906E78"/>
    <w:rsid w:val="009115A3"/>
    <w:rsid w:val="009127D8"/>
    <w:rsid w:val="00912A4E"/>
    <w:rsid w:val="00916A22"/>
    <w:rsid w:val="009170C8"/>
    <w:rsid w:val="00917998"/>
    <w:rsid w:val="0092139E"/>
    <w:rsid w:val="00921803"/>
    <w:rsid w:val="00923F1F"/>
    <w:rsid w:val="00923F68"/>
    <w:rsid w:val="00924CE1"/>
    <w:rsid w:val="00925EB6"/>
    <w:rsid w:val="00926503"/>
    <w:rsid w:val="009275D0"/>
    <w:rsid w:val="00927C56"/>
    <w:rsid w:val="00927D0B"/>
    <w:rsid w:val="0093154F"/>
    <w:rsid w:val="009326BA"/>
    <w:rsid w:val="00932B1F"/>
    <w:rsid w:val="00932C43"/>
    <w:rsid w:val="00935403"/>
    <w:rsid w:val="00940016"/>
    <w:rsid w:val="00941FD7"/>
    <w:rsid w:val="00943E83"/>
    <w:rsid w:val="0094674E"/>
    <w:rsid w:val="009467E8"/>
    <w:rsid w:val="009523CD"/>
    <w:rsid w:val="00952A1B"/>
    <w:rsid w:val="00953398"/>
    <w:rsid w:val="00953EEA"/>
    <w:rsid w:val="0095497A"/>
    <w:rsid w:val="0095637F"/>
    <w:rsid w:val="0096056B"/>
    <w:rsid w:val="00961539"/>
    <w:rsid w:val="009638E3"/>
    <w:rsid w:val="00964503"/>
    <w:rsid w:val="00965919"/>
    <w:rsid w:val="009673FB"/>
    <w:rsid w:val="00970880"/>
    <w:rsid w:val="0097103B"/>
    <w:rsid w:val="00971154"/>
    <w:rsid w:val="00971A15"/>
    <w:rsid w:val="009726D8"/>
    <w:rsid w:val="00974DA1"/>
    <w:rsid w:val="00974DAC"/>
    <w:rsid w:val="00975C75"/>
    <w:rsid w:val="00977BEC"/>
    <w:rsid w:val="00980E66"/>
    <w:rsid w:val="00981CA1"/>
    <w:rsid w:val="00982943"/>
    <w:rsid w:val="009851EB"/>
    <w:rsid w:val="009910AB"/>
    <w:rsid w:val="00992041"/>
    <w:rsid w:val="00992A3B"/>
    <w:rsid w:val="00994EB4"/>
    <w:rsid w:val="00996D69"/>
    <w:rsid w:val="00996E3E"/>
    <w:rsid w:val="009A086C"/>
    <w:rsid w:val="009A0F3D"/>
    <w:rsid w:val="009A1AA3"/>
    <w:rsid w:val="009A28BC"/>
    <w:rsid w:val="009A4090"/>
    <w:rsid w:val="009A41EF"/>
    <w:rsid w:val="009A4F34"/>
    <w:rsid w:val="009A51CC"/>
    <w:rsid w:val="009A590E"/>
    <w:rsid w:val="009A5EB5"/>
    <w:rsid w:val="009A6183"/>
    <w:rsid w:val="009A7127"/>
    <w:rsid w:val="009B0982"/>
    <w:rsid w:val="009B1C7F"/>
    <w:rsid w:val="009B3B4F"/>
    <w:rsid w:val="009B4D38"/>
    <w:rsid w:val="009B56D4"/>
    <w:rsid w:val="009B790F"/>
    <w:rsid w:val="009C1198"/>
    <w:rsid w:val="009C2CEC"/>
    <w:rsid w:val="009C3D24"/>
    <w:rsid w:val="009C644B"/>
    <w:rsid w:val="009D0364"/>
    <w:rsid w:val="009D05CD"/>
    <w:rsid w:val="009D07C3"/>
    <w:rsid w:val="009D1697"/>
    <w:rsid w:val="009D267B"/>
    <w:rsid w:val="009D2844"/>
    <w:rsid w:val="009D44D9"/>
    <w:rsid w:val="009D671C"/>
    <w:rsid w:val="009D69FF"/>
    <w:rsid w:val="009D6ABF"/>
    <w:rsid w:val="009E03FC"/>
    <w:rsid w:val="009E0766"/>
    <w:rsid w:val="009E07F4"/>
    <w:rsid w:val="009E1841"/>
    <w:rsid w:val="009E3A49"/>
    <w:rsid w:val="009E3EED"/>
    <w:rsid w:val="009E59DF"/>
    <w:rsid w:val="009F020A"/>
    <w:rsid w:val="009F1668"/>
    <w:rsid w:val="009F25AE"/>
    <w:rsid w:val="009F366F"/>
    <w:rsid w:val="009F68DC"/>
    <w:rsid w:val="009F76DB"/>
    <w:rsid w:val="009F77C0"/>
    <w:rsid w:val="00A00529"/>
    <w:rsid w:val="00A00D4C"/>
    <w:rsid w:val="00A02AA4"/>
    <w:rsid w:val="00A02DB9"/>
    <w:rsid w:val="00A05268"/>
    <w:rsid w:val="00A06BB2"/>
    <w:rsid w:val="00A07ADD"/>
    <w:rsid w:val="00A122B3"/>
    <w:rsid w:val="00A12A60"/>
    <w:rsid w:val="00A13782"/>
    <w:rsid w:val="00A13E1A"/>
    <w:rsid w:val="00A15B34"/>
    <w:rsid w:val="00A15CD4"/>
    <w:rsid w:val="00A16814"/>
    <w:rsid w:val="00A16ECA"/>
    <w:rsid w:val="00A2098F"/>
    <w:rsid w:val="00A20ECF"/>
    <w:rsid w:val="00A2229F"/>
    <w:rsid w:val="00A237EC"/>
    <w:rsid w:val="00A24AA9"/>
    <w:rsid w:val="00A26575"/>
    <w:rsid w:val="00A268A3"/>
    <w:rsid w:val="00A26D61"/>
    <w:rsid w:val="00A26D81"/>
    <w:rsid w:val="00A276FC"/>
    <w:rsid w:val="00A276FD"/>
    <w:rsid w:val="00A27BD3"/>
    <w:rsid w:val="00A27E39"/>
    <w:rsid w:val="00A30A6E"/>
    <w:rsid w:val="00A30AB4"/>
    <w:rsid w:val="00A3272F"/>
    <w:rsid w:val="00A32C3B"/>
    <w:rsid w:val="00A32C66"/>
    <w:rsid w:val="00A32D23"/>
    <w:rsid w:val="00A338AF"/>
    <w:rsid w:val="00A3395A"/>
    <w:rsid w:val="00A351F1"/>
    <w:rsid w:val="00A357B6"/>
    <w:rsid w:val="00A35FF0"/>
    <w:rsid w:val="00A363F5"/>
    <w:rsid w:val="00A37B26"/>
    <w:rsid w:val="00A37E9D"/>
    <w:rsid w:val="00A40262"/>
    <w:rsid w:val="00A43E1E"/>
    <w:rsid w:val="00A45920"/>
    <w:rsid w:val="00A45F4F"/>
    <w:rsid w:val="00A47995"/>
    <w:rsid w:val="00A50700"/>
    <w:rsid w:val="00A519B8"/>
    <w:rsid w:val="00A52184"/>
    <w:rsid w:val="00A53A16"/>
    <w:rsid w:val="00A55966"/>
    <w:rsid w:val="00A56440"/>
    <w:rsid w:val="00A567A8"/>
    <w:rsid w:val="00A568B0"/>
    <w:rsid w:val="00A57088"/>
    <w:rsid w:val="00A600A9"/>
    <w:rsid w:val="00A60905"/>
    <w:rsid w:val="00A61B5B"/>
    <w:rsid w:val="00A622A6"/>
    <w:rsid w:val="00A627E3"/>
    <w:rsid w:val="00A6354D"/>
    <w:rsid w:val="00A64F7B"/>
    <w:rsid w:val="00A66BD5"/>
    <w:rsid w:val="00A6732D"/>
    <w:rsid w:val="00A67483"/>
    <w:rsid w:val="00A67545"/>
    <w:rsid w:val="00A7088F"/>
    <w:rsid w:val="00A774E1"/>
    <w:rsid w:val="00A7756F"/>
    <w:rsid w:val="00A815BD"/>
    <w:rsid w:val="00A84AB1"/>
    <w:rsid w:val="00A84B0D"/>
    <w:rsid w:val="00A85E54"/>
    <w:rsid w:val="00A9086E"/>
    <w:rsid w:val="00A90A93"/>
    <w:rsid w:val="00A92266"/>
    <w:rsid w:val="00A926F6"/>
    <w:rsid w:val="00A92CE8"/>
    <w:rsid w:val="00A93838"/>
    <w:rsid w:val="00A949D8"/>
    <w:rsid w:val="00A9558D"/>
    <w:rsid w:val="00A96F80"/>
    <w:rsid w:val="00A97E14"/>
    <w:rsid w:val="00A97F18"/>
    <w:rsid w:val="00AA1E08"/>
    <w:rsid w:val="00AA2E2D"/>
    <w:rsid w:val="00AA354D"/>
    <w:rsid w:val="00AA55B7"/>
    <w:rsid w:val="00AA5B9E"/>
    <w:rsid w:val="00AA637F"/>
    <w:rsid w:val="00AA70FB"/>
    <w:rsid w:val="00AA721B"/>
    <w:rsid w:val="00AA787A"/>
    <w:rsid w:val="00AB072E"/>
    <w:rsid w:val="00AB126A"/>
    <w:rsid w:val="00AB1CC1"/>
    <w:rsid w:val="00AB2407"/>
    <w:rsid w:val="00AB3237"/>
    <w:rsid w:val="00AB33B7"/>
    <w:rsid w:val="00AB4D73"/>
    <w:rsid w:val="00AB53DF"/>
    <w:rsid w:val="00AB6517"/>
    <w:rsid w:val="00AB6963"/>
    <w:rsid w:val="00AB7420"/>
    <w:rsid w:val="00AB7CC1"/>
    <w:rsid w:val="00AC01B2"/>
    <w:rsid w:val="00AC072A"/>
    <w:rsid w:val="00AC1930"/>
    <w:rsid w:val="00AC2131"/>
    <w:rsid w:val="00AC2733"/>
    <w:rsid w:val="00AC2F17"/>
    <w:rsid w:val="00AC3A5E"/>
    <w:rsid w:val="00AC440F"/>
    <w:rsid w:val="00AC4B16"/>
    <w:rsid w:val="00AC5E58"/>
    <w:rsid w:val="00AC6904"/>
    <w:rsid w:val="00AC7769"/>
    <w:rsid w:val="00AD27E3"/>
    <w:rsid w:val="00AD2FBD"/>
    <w:rsid w:val="00AD46B7"/>
    <w:rsid w:val="00AD4E08"/>
    <w:rsid w:val="00AD72AE"/>
    <w:rsid w:val="00AD7672"/>
    <w:rsid w:val="00AD7E49"/>
    <w:rsid w:val="00AD7EDE"/>
    <w:rsid w:val="00AE0CC0"/>
    <w:rsid w:val="00AE3280"/>
    <w:rsid w:val="00AE4C9E"/>
    <w:rsid w:val="00AE5171"/>
    <w:rsid w:val="00AE52AE"/>
    <w:rsid w:val="00AE73CB"/>
    <w:rsid w:val="00AE7688"/>
    <w:rsid w:val="00AF0809"/>
    <w:rsid w:val="00AF1BCD"/>
    <w:rsid w:val="00AF1C3D"/>
    <w:rsid w:val="00AF1FA7"/>
    <w:rsid w:val="00AF38B2"/>
    <w:rsid w:val="00AF3DF8"/>
    <w:rsid w:val="00AF41C2"/>
    <w:rsid w:val="00AF527C"/>
    <w:rsid w:val="00AF5AC4"/>
    <w:rsid w:val="00AF7430"/>
    <w:rsid w:val="00AF79B5"/>
    <w:rsid w:val="00B001BF"/>
    <w:rsid w:val="00B052B5"/>
    <w:rsid w:val="00B05DBF"/>
    <w:rsid w:val="00B07B94"/>
    <w:rsid w:val="00B07E5C"/>
    <w:rsid w:val="00B1038D"/>
    <w:rsid w:val="00B11CEA"/>
    <w:rsid w:val="00B12261"/>
    <w:rsid w:val="00B127E5"/>
    <w:rsid w:val="00B144FC"/>
    <w:rsid w:val="00B17ABC"/>
    <w:rsid w:val="00B20F3B"/>
    <w:rsid w:val="00B220E3"/>
    <w:rsid w:val="00B222D1"/>
    <w:rsid w:val="00B23E52"/>
    <w:rsid w:val="00B244ED"/>
    <w:rsid w:val="00B24EE3"/>
    <w:rsid w:val="00B26849"/>
    <w:rsid w:val="00B300DD"/>
    <w:rsid w:val="00B310C1"/>
    <w:rsid w:val="00B32E8B"/>
    <w:rsid w:val="00B33BF0"/>
    <w:rsid w:val="00B33DB6"/>
    <w:rsid w:val="00B3480C"/>
    <w:rsid w:val="00B35A5F"/>
    <w:rsid w:val="00B36FB4"/>
    <w:rsid w:val="00B37253"/>
    <w:rsid w:val="00B42551"/>
    <w:rsid w:val="00B428E0"/>
    <w:rsid w:val="00B43E9F"/>
    <w:rsid w:val="00B43F72"/>
    <w:rsid w:val="00B44630"/>
    <w:rsid w:val="00B4612A"/>
    <w:rsid w:val="00B46FEE"/>
    <w:rsid w:val="00B50CAF"/>
    <w:rsid w:val="00B51105"/>
    <w:rsid w:val="00B51B6D"/>
    <w:rsid w:val="00B51D44"/>
    <w:rsid w:val="00B529E2"/>
    <w:rsid w:val="00B52F96"/>
    <w:rsid w:val="00B53AC2"/>
    <w:rsid w:val="00B54A31"/>
    <w:rsid w:val="00B54BA3"/>
    <w:rsid w:val="00B54BD1"/>
    <w:rsid w:val="00B55656"/>
    <w:rsid w:val="00B6173E"/>
    <w:rsid w:val="00B6184F"/>
    <w:rsid w:val="00B63419"/>
    <w:rsid w:val="00B63A63"/>
    <w:rsid w:val="00B6429F"/>
    <w:rsid w:val="00B65B1A"/>
    <w:rsid w:val="00B67D06"/>
    <w:rsid w:val="00B707E4"/>
    <w:rsid w:val="00B70C9A"/>
    <w:rsid w:val="00B71117"/>
    <w:rsid w:val="00B711EA"/>
    <w:rsid w:val="00B72434"/>
    <w:rsid w:val="00B7372E"/>
    <w:rsid w:val="00B74163"/>
    <w:rsid w:val="00B75477"/>
    <w:rsid w:val="00B757D2"/>
    <w:rsid w:val="00B76FDA"/>
    <w:rsid w:val="00B80A0D"/>
    <w:rsid w:val="00B811F7"/>
    <w:rsid w:val="00B81425"/>
    <w:rsid w:val="00B8191C"/>
    <w:rsid w:val="00B81C7E"/>
    <w:rsid w:val="00B81DB5"/>
    <w:rsid w:val="00B81FD1"/>
    <w:rsid w:val="00B86561"/>
    <w:rsid w:val="00B901EC"/>
    <w:rsid w:val="00B90AAB"/>
    <w:rsid w:val="00B90EFE"/>
    <w:rsid w:val="00B925AB"/>
    <w:rsid w:val="00B95E0C"/>
    <w:rsid w:val="00B96E1D"/>
    <w:rsid w:val="00BA00D9"/>
    <w:rsid w:val="00BA0F8F"/>
    <w:rsid w:val="00BA16BB"/>
    <w:rsid w:val="00BA1B13"/>
    <w:rsid w:val="00BA233D"/>
    <w:rsid w:val="00BA2783"/>
    <w:rsid w:val="00BA3C9C"/>
    <w:rsid w:val="00BA3D03"/>
    <w:rsid w:val="00BA4AA0"/>
    <w:rsid w:val="00BA5DC6"/>
    <w:rsid w:val="00BA6196"/>
    <w:rsid w:val="00BA6317"/>
    <w:rsid w:val="00BA634C"/>
    <w:rsid w:val="00BA6C7B"/>
    <w:rsid w:val="00BA70C9"/>
    <w:rsid w:val="00BB1914"/>
    <w:rsid w:val="00BB25F8"/>
    <w:rsid w:val="00BB2EB3"/>
    <w:rsid w:val="00BB40E1"/>
    <w:rsid w:val="00BB55C1"/>
    <w:rsid w:val="00BB658A"/>
    <w:rsid w:val="00BC0E3C"/>
    <w:rsid w:val="00BC0E94"/>
    <w:rsid w:val="00BC130A"/>
    <w:rsid w:val="00BC3340"/>
    <w:rsid w:val="00BC3828"/>
    <w:rsid w:val="00BC39C6"/>
    <w:rsid w:val="00BC41ED"/>
    <w:rsid w:val="00BC56DD"/>
    <w:rsid w:val="00BC5BC0"/>
    <w:rsid w:val="00BC625C"/>
    <w:rsid w:val="00BC63C4"/>
    <w:rsid w:val="00BC647D"/>
    <w:rsid w:val="00BC6D8C"/>
    <w:rsid w:val="00BC776A"/>
    <w:rsid w:val="00BC7A7A"/>
    <w:rsid w:val="00BC7CED"/>
    <w:rsid w:val="00BD085E"/>
    <w:rsid w:val="00BD16D2"/>
    <w:rsid w:val="00BD1880"/>
    <w:rsid w:val="00BD2E17"/>
    <w:rsid w:val="00BD3D16"/>
    <w:rsid w:val="00BD5756"/>
    <w:rsid w:val="00BD7D96"/>
    <w:rsid w:val="00BD7E7D"/>
    <w:rsid w:val="00BE1BED"/>
    <w:rsid w:val="00BE2F6C"/>
    <w:rsid w:val="00BE3293"/>
    <w:rsid w:val="00BE64E4"/>
    <w:rsid w:val="00BE65A7"/>
    <w:rsid w:val="00BE6B79"/>
    <w:rsid w:val="00BE6E64"/>
    <w:rsid w:val="00BE77E2"/>
    <w:rsid w:val="00BE7C8D"/>
    <w:rsid w:val="00BE7E9D"/>
    <w:rsid w:val="00BF0216"/>
    <w:rsid w:val="00BF1194"/>
    <w:rsid w:val="00BF19DE"/>
    <w:rsid w:val="00BF56C0"/>
    <w:rsid w:val="00BF7526"/>
    <w:rsid w:val="00C0043B"/>
    <w:rsid w:val="00C00522"/>
    <w:rsid w:val="00C013E9"/>
    <w:rsid w:val="00C018AC"/>
    <w:rsid w:val="00C02764"/>
    <w:rsid w:val="00C02862"/>
    <w:rsid w:val="00C041D4"/>
    <w:rsid w:val="00C05B5D"/>
    <w:rsid w:val="00C05CC4"/>
    <w:rsid w:val="00C076F4"/>
    <w:rsid w:val="00C07C7D"/>
    <w:rsid w:val="00C10F7C"/>
    <w:rsid w:val="00C117EE"/>
    <w:rsid w:val="00C13FC6"/>
    <w:rsid w:val="00C1719C"/>
    <w:rsid w:val="00C1744C"/>
    <w:rsid w:val="00C17926"/>
    <w:rsid w:val="00C201BB"/>
    <w:rsid w:val="00C2048F"/>
    <w:rsid w:val="00C20667"/>
    <w:rsid w:val="00C219A0"/>
    <w:rsid w:val="00C219FA"/>
    <w:rsid w:val="00C21F10"/>
    <w:rsid w:val="00C22885"/>
    <w:rsid w:val="00C23CBB"/>
    <w:rsid w:val="00C241D7"/>
    <w:rsid w:val="00C2490A"/>
    <w:rsid w:val="00C25D83"/>
    <w:rsid w:val="00C27020"/>
    <w:rsid w:val="00C3247E"/>
    <w:rsid w:val="00C33A83"/>
    <w:rsid w:val="00C34006"/>
    <w:rsid w:val="00C368AE"/>
    <w:rsid w:val="00C3799E"/>
    <w:rsid w:val="00C426B1"/>
    <w:rsid w:val="00C428B7"/>
    <w:rsid w:val="00C42B39"/>
    <w:rsid w:val="00C42C5A"/>
    <w:rsid w:val="00C46AE1"/>
    <w:rsid w:val="00C50A0C"/>
    <w:rsid w:val="00C50B06"/>
    <w:rsid w:val="00C50B1F"/>
    <w:rsid w:val="00C50BB4"/>
    <w:rsid w:val="00C51D1F"/>
    <w:rsid w:val="00C54ACF"/>
    <w:rsid w:val="00C55496"/>
    <w:rsid w:val="00C56A92"/>
    <w:rsid w:val="00C56DFA"/>
    <w:rsid w:val="00C60EF2"/>
    <w:rsid w:val="00C64ACD"/>
    <w:rsid w:val="00C650C7"/>
    <w:rsid w:val="00C66160"/>
    <w:rsid w:val="00C66DE1"/>
    <w:rsid w:val="00C66F33"/>
    <w:rsid w:val="00C70206"/>
    <w:rsid w:val="00C7115C"/>
    <w:rsid w:val="00C72188"/>
    <w:rsid w:val="00C721AC"/>
    <w:rsid w:val="00C74870"/>
    <w:rsid w:val="00C74F74"/>
    <w:rsid w:val="00C7550F"/>
    <w:rsid w:val="00C75BC3"/>
    <w:rsid w:val="00C77C88"/>
    <w:rsid w:val="00C808C8"/>
    <w:rsid w:val="00C823C1"/>
    <w:rsid w:val="00C82B36"/>
    <w:rsid w:val="00C8318F"/>
    <w:rsid w:val="00C832A5"/>
    <w:rsid w:val="00C83BD2"/>
    <w:rsid w:val="00C842BA"/>
    <w:rsid w:val="00C84A70"/>
    <w:rsid w:val="00C853FB"/>
    <w:rsid w:val="00C86AFD"/>
    <w:rsid w:val="00C90789"/>
    <w:rsid w:val="00C90D6A"/>
    <w:rsid w:val="00C910B2"/>
    <w:rsid w:val="00C910F4"/>
    <w:rsid w:val="00C91D0A"/>
    <w:rsid w:val="00C9292F"/>
    <w:rsid w:val="00C9413D"/>
    <w:rsid w:val="00C946BA"/>
    <w:rsid w:val="00C9486E"/>
    <w:rsid w:val="00C96D64"/>
    <w:rsid w:val="00CA0183"/>
    <w:rsid w:val="00CA0807"/>
    <w:rsid w:val="00CA0CDC"/>
    <w:rsid w:val="00CA247E"/>
    <w:rsid w:val="00CA26A1"/>
    <w:rsid w:val="00CA294F"/>
    <w:rsid w:val="00CA4891"/>
    <w:rsid w:val="00CA4973"/>
    <w:rsid w:val="00CA5260"/>
    <w:rsid w:val="00CA5454"/>
    <w:rsid w:val="00CA5A32"/>
    <w:rsid w:val="00CA5E37"/>
    <w:rsid w:val="00CA5F7C"/>
    <w:rsid w:val="00CB03F7"/>
    <w:rsid w:val="00CB07CA"/>
    <w:rsid w:val="00CB0823"/>
    <w:rsid w:val="00CB39E6"/>
    <w:rsid w:val="00CB3ED4"/>
    <w:rsid w:val="00CB3F43"/>
    <w:rsid w:val="00CB4103"/>
    <w:rsid w:val="00CB4564"/>
    <w:rsid w:val="00CB53A7"/>
    <w:rsid w:val="00CC0DDB"/>
    <w:rsid w:val="00CC2953"/>
    <w:rsid w:val="00CC2BEA"/>
    <w:rsid w:val="00CC4A8F"/>
    <w:rsid w:val="00CC72B6"/>
    <w:rsid w:val="00CD15FE"/>
    <w:rsid w:val="00CD1653"/>
    <w:rsid w:val="00CD2E2D"/>
    <w:rsid w:val="00CD3196"/>
    <w:rsid w:val="00CD56F1"/>
    <w:rsid w:val="00CD5DE9"/>
    <w:rsid w:val="00CD69EF"/>
    <w:rsid w:val="00CE0027"/>
    <w:rsid w:val="00CE1054"/>
    <w:rsid w:val="00CE411C"/>
    <w:rsid w:val="00CE4D2B"/>
    <w:rsid w:val="00CE4DFC"/>
    <w:rsid w:val="00CE5100"/>
    <w:rsid w:val="00CE52B0"/>
    <w:rsid w:val="00CF0BC9"/>
    <w:rsid w:val="00CF0E25"/>
    <w:rsid w:val="00CF2069"/>
    <w:rsid w:val="00CF2471"/>
    <w:rsid w:val="00CF3417"/>
    <w:rsid w:val="00CF3556"/>
    <w:rsid w:val="00CF4104"/>
    <w:rsid w:val="00CF643F"/>
    <w:rsid w:val="00CF743D"/>
    <w:rsid w:val="00D00584"/>
    <w:rsid w:val="00D00753"/>
    <w:rsid w:val="00D00784"/>
    <w:rsid w:val="00D00B81"/>
    <w:rsid w:val="00D013B1"/>
    <w:rsid w:val="00D01448"/>
    <w:rsid w:val="00D014BD"/>
    <w:rsid w:val="00D01525"/>
    <w:rsid w:val="00D0218D"/>
    <w:rsid w:val="00D031F2"/>
    <w:rsid w:val="00D03C98"/>
    <w:rsid w:val="00D0469A"/>
    <w:rsid w:val="00D064D1"/>
    <w:rsid w:val="00D0719D"/>
    <w:rsid w:val="00D107DD"/>
    <w:rsid w:val="00D10E44"/>
    <w:rsid w:val="00D10FBC"/>
    <w:rsid w:val="00D11187"/>
    <w:rsid w:val="00D11DC6"/>
    <w:rsid w:val="00D1207E"/>
    <w:rsid w:val="00D1550D"/>
    <w:rsid w:val="00D15861"/>
    <w:rsid w:val="00D165BE"/>
    <w:rsid w:val="00D16900"/>
    <w:rsid w:val="00D16C92"/>
    <w:rsid w:val="00D16EAB"/>
    <w:rsid w:val="00D16EE4"/>
    <w:rsid w:val="00D226DE"/>
    <w:rsid w:val="00D2362B"/>
    <w:rsid w:val="00D23F5F"/>
    <w:rsid w:val="00D24F40"/>
    <w:rsid w:val="00D25FB5"/>
    <w:rsid w:val="00D30F7A"/>
    <w:rsid w:val="00D31936"/>
    <w:rsid w:val="00D319A0"/>
    <w:rsid w:val="00D324DE"/>
    <w:rsid w:val="00D32548"/>
    <w:rsid w:val="00D3435E"/>
    <w:rsid w:val="00D3473E"/>
    <w:rsid w:val="00D427BD"/>
    <w:rsid w:val="00D43BFB"/>
    <w:rsid w:val="00D44223"/>
    <w:rsid w:val="00D45AC6"/>
    <w:rsid w:val="00D45B0B"/>
    <w:rsid w:val="00D45DDC"/>
    <w:rsid w:val="00D476AD"/>
    <w:rsid w:val="00D5017C"/>
    <w:rsid w:val="00D51EB2"/>
    <w:rsid w:val="00D52045"/>
    <w:rsid w:val="00D53434"/>
    <w:rsid w:val="00D53D60"/>
    <w:rsid w:val="00D549D4"/>
    <w:rsid w:val="00D54BDE"/>
    <w:rsid w:val="00D56989"/>
    <w:rsid w:val="00D56B5F"/>
    <w:rsid w:val="00D57DE2"/>
    <w:rsid w:val="00D6076C"/>
    <w:rsid w:val="00D63606"/>
    <w:rsid w:val="00D6701D"/>
    <w:rsid w:val="00D70C94"/>
    <w:rsid w:val="00D72521"/>
    <w:rsid w:val="00D7299E"/>
    <w:rsid w:val="00D736F5"/>
    <w:rsid w:val="00D738DC"/>
    <w:rsid w:val="00D758E6"/>
    <w:rsid w:val="00D80C9F"/>
    <w:rsid w:val="00D80D70"/>
    <w:rsid w:val="00D81F55"/>
    <w:rsid w:val="00D82019"/>
    <w:rsid w:val="00D8305C"/>
    <w:rsid w:val="00D8306F"/>
    <w:rsid w:val="00D83D87"/>
    <w:rsid w:val="00D87A21"/>
    <w:rsid w:val="00D90A35"/>
    <w:rsid w:val="00D93293"/>
    <w:rsid w:val="00D9336B"/>
    <w:rsid w:val="00D97E6D"/>
    <w:rsid w:val="00DA13E2"/>
    <w:rsid w:val="00DA2529"/>
    <w:rsid w:val="00DA290D"/>
    <w:rsid w:val="00DA7018"/>
    <w:rsid w:val="00DA754D"/>
    <w:rsid w:val="00DB130A"/>
    <w:rsid w:val="00DB174C"/>
    <w:rsid w:val="00DB1ED4"/>
    <w:rsid w:val="00DB2DC5"/>
    <w:rsid w:val="00DB2EBB"/>
    <w:rsid w:val="00DB45C2"/>
    <w:rsid w:val="00DB52F2"/>
    <w:rsid w:val="00DC0628"/>
    <w:rsid w:val="00DC10A1"/>
    <w:rsid w:val="00DC2CF6"/>
    <w:rsid w:val="00DC4E7A"/>
    <w:rsid w:val="00DC51D9"/>
    <w:rsid w:val="00DC655F"/>
    <w:rsid w:val="00DC672A"/>
    <w:rsid w:val="00DD0B59"/>
    <w:rsid w:val="00DD0EFA"/>
    <w:rsid w:val="00DD1012"/>
    <w:rsid w:val="00DD2009"/>
    <w:rsid w:val="00DD2E46"/>
    <w:rsid w:val="00DD44EC"/>
    <w:rsid w:val="00DD46B5"/>
    <w:rsid w:val="00DD6ADB"/>
    <w:rsid w:val="00DD711E"/>
    <w:rsid w:val="00DD7EBD"/>
    <w:rsid w:val="00DE02BF"/>
    <w:rsid w:val="00DE0797"/>
    <w:rsid w:val="00DE0F9D"/>
    <w:rsid w:val="00DE251B"/>
    <w:rsid w:val="00DE280E"/>
    <w:rsid w:val="00DE3782"/>
    <w:rsid w:val="00DE6845"/>
    <w:rsid w:val="00DE7125"/>
    <w:rsid w:val="00DF2A64"/>
    <w:rsid w:val="00DF332E"/>
    <w:rsid w:val="00DF43E2"/>
    <w:rsid w:val="00DF54F5"/>
    <w:rsid w:val="00DF5ED1"/>
    <w:rsid w:val="00DF62B6"/>
    <w:rsid w:val="00DF676B"/>
    <w:rsid w:val="00DF6C1E"/>
    <w:rsid w:val="00DF7AAE"/>
    <w:rsid w:val="00E002AB"/>
    <w:rsid w:val="00E01464"/>
    <w:rsid w:val="00E02677"/>
    <w:rsid w:val="00E03096"/>
    <w:rsid w:val="00E051EE"/>
    <w:rsid w:val="00E05FC3"/>
    <w:rsid w:val="00E07225"/>
    <w:rsid w:val="00E0770E"/>
    <w:rsid w:val="00E07C9B"/>
    <w:rsid w:val="00E10208"/>
    <w:rsid w:val="00E10368"/>
    <w:rsid w:val="00E10B75"/>
    <w:rsid w:val="00E11CB8"/>
    <w:rsid w:val="00E11F6D"/>
    <w:rsid w:val="00E12107"/>
    <w:rsid w:val="00E12C22"/>
    <w:rsid w:val="00E144A7"/>
    <w:rsid w:val="00E1483E"/>
    <w:rsid w:val="00E151F2"/>
    <w:rsid w:val="00E16F8D"/>
    <w:rsid w:val="00E20BDB"/>
    <w:rsid w:val="00E20C64"/>
    <w:rsid w:val="00E21045"/>
    <w:rsid w:val="00E2191D"/>
    <w:rsid w:val="00E22D82"/>
    <w:rsid w:val="00E23858"/>
    <w:rsid w:val="00E23DB9"/>
    <w:rsid w:val="00E251DD"/>
    <w:rsid w:val="00E264C6"/>
    <w:rsid w:val="00E303C5"/>
    <w:rsid w:val="00E30E82"/>
    <w:rsid w:val="00E33DD1"/>
    <w:rsid w:val="00E345D1"/>
    <w:rsid w:val="00E37ACF"/>
    <w:rsid w:val="00E40CE9"/>
    <w:rsid w:val="00E418D4"/>
    <w:rsid w:val="00E4278A"/>
    <w:rsid w:val="00E4369A"/>
    <w:rsid w:val="00E46771"/>
    <w:rsid w:val="00E4709B"/>
    <w:rsid w:val="00E47FC6"/>
    <w:rsid w:val="00E52111"/>
    <w:rsid w:val="00E539B9"/>
    <w:rsid w:val="00E5409F"/>
    <w:rsid w:val="00E54102"/>
    <w:rsid w:val="00E553D9"/>
    <w:rsid w:val="00E55B88"/>
    <w:rsid w:val="00E57998"/>
    <w:rsid w:val="00E60504"/>
    <w:rsid w:val="00E6237A"/>
    <w:rsid w:val="00E635FC"/>
    <w:rsid w:val="00E645A8"/>
    <w:rsid w:val="00E6467D"/>
    <w:rsid w:val="00E707DD"/>
    <w:rsid w:val="00E70E82"/>
    <w:rsid w:val="00E713B6"/>
    <w:rsid w:val="00E71C39"/>
    <w:rsid w:val="00E7241E"/>
    <w:rsid w:val="00E725D8"/>
    <w:rsid w:val="00E72704"/>
    <w:rsid w:val="00E733DF"/>
    <w:rsid w:val="00E74AD6"/>
    <w:rsid w:val="00E74CA4"/>
    <w:rsid w:val="00E7598D"/>
    <w:rsid w:val="00E76F60"/>
    <w:rsid w:val="00E77F08"/>
    <w:rsid w:val="00E81E44"/>
    <w:rsid w:val="00E8225A"/>
    <w:rsid w:val="00E83D45"/>
    <w:rsid w:val="00E83F50"/>
    <w:rsid w:val="00E8420A"/>
    <w:rsid w:val="00E844E2"/>
    <w:rsid w:val="00E85627"/>
    <w:rsid w:val="00E859C7"/>
    <w:rsid w:val="00E86853"/>
    <w:rsid w:val="00E87005"/>
    <w:rsid w:val="00E87342"/>
    <w:rsid w:val="00E87F0C"/>
    <w:rsid w:val="00E9077F"/>
    <w:rsid w:val="00E90C3B"/>
    <w:rsid w:val="00E90EAE"/>
    <w:rsid w:val="00E90FD9"/>
    <w:rsid w:val="00E93F87"/>
    <w:rsid w:val="00E95DCC"/>
    <w:rsid w:val="00E979F6"/>
    <w:rsid w:val="00E97C15"/>
    <w:rsid w:val="00EA25A7"/>
    <w:rsid w:val="00EA276B"/>
    <w:rsid w:val="00EA39EF"/>
    <w:rsid w:val="00EA487D"/>
    <w:rsid w:val="00EA4DC7"/>
    <w:rsid w:val="00EA5333"/>
    <w:rsid w:val="00EA553A"/>
    <w:rsid w:val="00EA5F8B"/>
    <w:rsid w:val="00EA6E65"/>
    <w:rsid w:val="00EA737B"/>
    <w:rsid w:val="00EB08FE"/>
    <w:rsid w:val="00EB0CE0"/>
    <w:rsid w:val="00EB199A"/>
    <w:rsid w:val="00EB34C8"/>
    <w:rsid w:val="00EB5E5B"/>
    <w:rsid w:val="00EB634A"/>
    <w:rsid w:val="00EB7720"/>
    <w:rsid w:val="00EB772A"/>
    <w:rsid w:val="00EB7B9B"/>
    <w:rsid w:val="00EC4BE8"/>
    <w:rsid w:val="00EC5008"/>
    <w:rsid w:val="00EC5B4D"/>
    <w:rsid w:val="00ED20EC"/>
    <w:rsid w:val="00ED2343"/>
    <w:rsid w:val="00ED3D32"/>
    <w:rsid w:val="00ED5781"/>
    <w:rsid w:val="00ED79BC"/>
    <w:rsid w:val="00EE1B63"/>
    <w:rsid w:val="00EE2A74"/>
    <w:rsid w:val="00EE3BBF"/>
    <w:rsid w:val="00EE4823"/>
    <w:rsid w:val="00EE6061"/>
    <w:rsid w:val="00EE6488"/>
    <w:rsid w:val="00EE659A"/>
    <w:rsid w:val="00EF368E"/>
    <w:rsid w:val="00EF4839"/>
    <w:rsid w:val="00EF5733"/>
    <w:rsid w:val="00EF7410"/>
    <w:rsid w:val="00F010F6"/>
    <w:rsid w:val="00F021FA"/>
    <w:rsid w:val="00F04E5D"/>
    <w:rsid w:val="00F0521F"/>
    <w:rsid w:val="00F0608F"/>
    <w:rsid w:val="00F06531"/>
    <w:rsid w:val="00F06FEB"/>
    <w:rsid w:val="00F075A7"/>
    <w:rsid w:val="00F07EED"/>
    <w:rsid w:val="00F10F0F"/>
    <w:rsid w:val="00F12539"/>
    <w:rsid w:val="00F142EE"/>
    <w:rsid w:val="00F147AB"/>
    <w:rsid w:val="00F14B41"/>
    <w:rsid w:val="00F1662D"/>
    <w:rsid w:val="00F20387"/>
    <w:rsid w:val="00F20544"/>
    <w:rsid w:val="00F20DDB"/>
    <w:rsid w:val="00F21CE9"/>
    <w:rsid w:val="00F22806"/>
    <w:rsid w:val="00F22F4E"/>
    <w:rsid w:val="00F23211"/>
    <w:rsid w:val="00F25D34"/>
    <w:rsid w:val="00F26DBC"/>
    <w:rsid w:val="00F3070A"/>
    <w:rsid w:val="00F3147C"/>
    <w:rsid w:val="00F315E4"/>
    <w:rsid w:val="00F31D77"/>
    <w:rsid w:val="00F328CA"/>
    <w:rsid w:val="00F334A1"/>
    <w:rsid w:val="00F3387D"/>
    <w:rsid w:val="00F35081"/>
    <w:rsid w:val="00F35743"/>
    <w:rsid w:val="00F36C6E"/>
    <w:rsid w:val="00F37164"/>
    <w:rsid w:val="00F410C7"/>
    <w:rsid w:val="00F430FC"/>
    <w:rsid w:val="00F433AB"/>
    <w:rsid w:val="00F4480B"/>
    <w:rsid w:val="00F44DC9"/>
    <w:rsid w:val="00F45378"/>
    <w:rsid w:val="00F457CB"/>
    <w:rsid w:val="00F457FC"/>
    <w:rsid w:val="00F460AA"/>
    <w:rsid w:val="00F47420"/>
    <w:rsid w:val="00F478CA"/>
    <w:rsid w:val="00F50126"/>
    <w:rsid w:val="00F51006"/>
    <w:rsid w:val="00F526EA"/>
    <w:rsid w:val="00F532FA"/>
    <w:rsid w:val="00F54BD7"/>
    <w:rsid w:val="00F56065"/>
    <w:rsid w:val="00F56147"/>
    <w:rsid w:val="00F56C14"/>
    <w:rsid w:val="00F56C6B"/>
    <w:rsid w:val="00F57D97"/>
    <w:rsid w:val="00F61CB5"/>
    <w:rsid w:val="00F6276F"/>
    <w:rsid w:val="00F62E97"/>
    <w:rsid w:val="00F63804"/>
    <w:rsid w:val="00F63C2F"/>
    <w:rsid w:val="00F64209"/>
    <w:rsid w:val="00F718EB"/>
    <w:rsid w:val="00F71C3E"/>
    <w:rsid w:val="00F72CAC"/>
    <w:rsid w:val="00F73A7C"/>
    <w:rsid w:val="00F73BDD"/>
    <w:rsid w:val="00F74084"/>
    <w:rsid w:val="00F75990"/>
    <w:rsid w:val="00F76EBE"/>
    <w:rsid w:val="00F77429"/>
    <w:rsid w:val="00F804AC"/>
    <w:rsid w:val="00F810B0"/>
    <w:rsid w:val="00F812DC"/>
    <w:rsid w:val="00F81BAE"/>
    <w:rsid w:val="00F81C48"/>
    <w:rsid w:val="00F82EAF"/>
    <w:rsid w:val="00F832D1"/>
    <w:rsid w:val="00F84B79"/>
    <w:rsid w:val="00F8720E"/>
    <w:rsid w:val="00F90464"/>
    <w:rsid w:val="00F922CE"/>
    <w:rsid w:val="00F92550"/>
    <w:rsid w:val="00F932E0"/>
    <w:rsid w:val="00F93BF5"/>
    <w:rsid w:val="00F94043"/>
    <w:rsid w:val="00F94791"/>
    <w:rsid w:val="00F94AC3"/>
    <w:rsid w:val="00F956EA"/>
    <w:rsid w:val="00F96A06"/>
    <w:rsid w:val="00FA1B03"/>
    <w:rsid w:val="00FA35BC"/>
    <w:rsid w:val="00FA5F55"/>
    <w:rsid w:val="00FB246C"/>
    <w:rsid w:val="00FB27CE"/>
    <w:rsid w:val="00FB46E9"/>
    <w:rsid w:val="00FC01D1"/>
    <w:rsid w:val="00FC1422"/>
    <w:rsid w:val="00FC202C"/>
    <w:rsid w:val="00FC36CC"/>
    <w:rsid w:val="00FC37C0"/>
    <w:rsid w:val="00FC392F"/>
    <w:rsid w:val="00FC3D36"/>
    <w:rsid w:val="00FC48A1"/>
    <w:rsid w:val="00FC4F1B"/>
    <w:rsid w:val="00FC5071"/>
    <w:rsid w:val="00FC6589"/>
    <w:rsid w:val="00FC7F4D"/>
    <w:rsid w:val="00FD1C83"/>
    <w:rsid w:val="00FD3668"/>
    <w:rsid w:val="00FD36E6"/>
    <w:rsid w:val="00FD44CC"/>
    <w:rsid w:val="00FD4B6E"/>
    <w:rsid w:val="00FD54AC"/>
    <w:rsid w:val="00FD620A"/>
    <w:rsid w:val="00FD6AF1"/>
    <w:rsid w:val="00FD6DB7"/>
    <w:rsid w:val="00FD784C"/>
    <w:rsid w:val="00FE0554"/>
    <w:rsid w:val="00FE0E75"/>
    <w:rsid w:val="00FE12AB"/>
    <w:rsid w:val="00FE1B54"/>
    <w:rsid w:val="00FE2018"/>
    <w:rsid w:val="00FE2507"/>
    <w:rsid w:val="00FE28CB"/>
    <w:rsid w:val="00FE36C6"/>
    <w:rsid w:val="00FE46C0"/>
    <w:rsid w:val="00FE56B4"/>
    <w:rsid w:val="00FE7BA4"/>
    <w:rsid w:val="00FF0988"/>
    <w:rsid w:val="00FF1828"/>
    <w:rsid w:val="00FF19B6"/>
    <w:rsid w:val="00FF4B54"/>
    <w:rsid w:val="00FF5669"/>
    <w:rsid w:val="00FF7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1C3D"/>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
    <w:basedOn w:val="Normal"/>
    <w:next w:val="ParaNum0"/>
    <w:qFormat/>
    <w:rsid w:val="00AF1C3D"/>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1,Heading 2 Char Char1,Heading 2 Char Char Char Char,Heading 2 Char1 Char Char1 Char Char,Heading 2 Char Char3 Char Char Char Char,Heading 2 Char1 Char Char Char Char1 Char Char"/>
    <w:basedOn w:val="Normal"/>
    <w:next w:val="ParaNum0"/>
    <w:link w:val="Heading2Char"/>
    <w:autoRedefine/>
    <w:qFormat/>
    <w:rsid w:val="00AF1C3D"/>
    <w:pPr>
      <w:keepNext/>
      <w:numPr>
        <w:ilvl w:val="1"/>
        <w:numId w:val="2"/>
      </w:numPr>
      <w:spacing w:after="120"/>
      <w:outlineLvl w:val="1"/>
    </w:pPr>
    <w:rPr>
      <w:b/>
    </w:rPr>
  </w:style>
  <w:style w:type="paragraph" w:styleId="Heading3">
    <w:name w:val="heading 3"/>
    <w:aliases w:val="3 Char,Titre 3 Char,1 Char,31 Char,Titre 31 Char,?? 3 Char,3,Titre 3,1,31,Titre 31,?? 3,Heading 3 Char1,Heading 3 Char Char,Heading 3 Char1 Char Char,Heading 3 Char Char Char Char"/>
    <w:basedOn w:val="Normal"/>
    <w:next w:val="ParaNum0"/>
    <w:qFormat/>
    <w:rsid w:val="00AF1C3D"/>
    <w:pPr>
      <w:keepNext/>
      <w:numPr>
        <w:ilvl w:val="2"/>
        <w:numId w:val="2"/>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2 Char Char,Heading 4 Char1 Char1 Char Char,Heading 4 Char Char Char1 Char Char"/>
    <w:basedOn w:val="Normal"/>
    <w:next w:val="ParaNum0"/>
    <w:qFormat/>
    <w:rsid w:val="00AF1C3D"/>
    <w:pPr>
      <w:keepNext/>
      <w:numPr>
        <w:ilvl w:val="3"/>
        <w:numId w:val="2"/>
      </w:numPr>
      <w:tabs>
        <w:tab w:val="left" w:pos="2880"/>
      </w:tabs>
      <w:spacing w:after="120"/>
      <w:outlineLvl w:val="3"/>
    </w:pPr>
    <w:rPr>
      <w:b/>
    </w:rPr>
  </w:style>
  <w:style w:type="paragraph" w:styleId="Heading5">
    <w:name w:val="heading 5"/>
    <w:basedOn w:val="Normal"/>
    <w:next w:val="ParaNum0"/>
    <w:qFormat/>
    <w:rsid w:val="00AF1C3D"/>
    <w:pPr>
      <w:keepNext/>
      <w:numPr>
        <w:ilvl w:val="4"/>
        <w:numId w:val="2"/>
      </w:numPr>
      <w:tabs>
        <w:tab w:val="left" w:pos="3600"/>
      </w:tabs>
      <w:suppressAutoHyphens/>
      <w:spacing w:after="120"/>
      <w:outlineLvl w:val="4"/>
    </w:pPr>
    <w:rPr>
      <w:b/>
    </w:rPr>
  </w:style>
  <w:style w:type="paragraph" w:styleId="Heading6">
    <w:name w:val="heading 6"/>
    <w:aliases w:val="h6"/>
    <w:basedOn w:val="Normal"/>
    <w:next w:val="ParaNum0"/>
    <w:qFormat/>
    <w:rsid w:val="00AF1C3D"/>
    <w:pPr>
      <w:numPr>
        <w:ilvl w:val="5"/>
        <w:numId w:val="2"/>
      </w:numPr>
      <w:tabs>
        <w:tab w:val="left" w:pos="4320"/>
      </w:tabs>
      <w:spacing w:after="120"/>
      <w:outlineLvl w:val="5"/>
    </w:pPr>
    <w:rPr>
      <w:b/>
    </w:rPr>
  </w:style>
  <w:style w:type="paragraph" w:styleId="Heading7">
    <w:name w:val="heading 7"/>
    <w:basedOn w:val="Normal"/>
    <w:next w:val="ParaNum0"/>
    <w:qFormat/>
    <w:rsid w:val="00AF1C3D"/>
    <w:pPr>
      <w:numPr>
        <w:ilvl w:val="6"/>
        <w:numId w:val="2"/>
      </w:numPr>
      <w:tabs>
        <w:tab w:val="left" w:pos="5040"/>
      </w:tabs>
      <w:spacing w:after="120"/>
      <w:ind w:left="5040" w:hanging="720"/>
      <w:outlineLvl w:val="6"/>
    </w:pPr>
    <w:rPr>
      <w:b/>
    </w:rPr>
  </w:style>
  <w:style w:type="paragraph" w:styleId="Heading8">
    <w:name w:val="heading 8"/>
    <w:basedOn w:val="Normal"/>
    <w:next w:val="ParaNum0"/>
    <w:qFormat/>
    <w:rsid w:val="00AF1C3D"/>
    <w:pPr>
      <w:numPr>
        <w:ilvl w:val="7"/>
        <w:numId w:val="2"/>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0"/>
    <w:qFormat/>
    <w:rsid w:val="00AF1C3D"/>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F1C3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F1C3D"/>
  </w:style>
  <w:style w:type="paragraph" w:customStyle="1" w:styleId="ParaNum0">
    <w:name w:val="ParaNum"/>
    <w:basedOn w:val="Normal"/>
    <w:link w:val="ParaNumChar"/>
    <w:rsid w:val="00AF1C3D"/>
    <w:pPr>
      <w:numPr>
        <w:numId w:val="1"/>
      </w:numPr>
      <w:tabs>
        <w:tab w:val="clear" w:pos="1080"/>
        <w:tab w:val="num" w:pos="1440"/>
      </w:tabs>
      <w:spacing w:after="120"/>
    </w:pPr>
  </w:style>
  <w:style w:type="paragraph" w:styleId="EndnoteText">
    <w:name w:val="endnote text"/>
    <w:basedOn w:val="Normal"/>
    <w:semiHidden/>
    <w:rsid w:val="00AF1C3D"/>
    <w:rPr>
      <w:sz w:val="20"/>
    </w:rPr>
  </w:style>
  <w:style w:type="character" w:styleId="EndnoteReference">
    <w:name w:val="endnote reference"/>
    <w:semiHidden/>
    <w:rsid w:val="00AF1C3D"/>
    <w:rPr>
      <w:vertAlign w:val="superscript"/>
    </w:rPr>
  </w:style>
  <w:style w:type="paragraph" w:styleId="FootnoteText">
    <w:name w:val="footnote text"/>
    <w:aliases w:val="Footnote Text Char2,Footnote Text Char3 Char1,Footnote Text Char2 Char1 Char1,Footnote Text Char3 Char1 Char Char,Footnote Text Char2 Char1 Char1 Char Char,Footnote Text Char3 Char1 Char Char Char Char,Footnote Text Char1 Char Char Char1,f"/>
    <w:link w:val="FootnoteTextChar"/>
    <w:rsid w:val="00AF1C3D"/>
    <w:pPr>
      <w:spacing w:after="120"/>
    </w:pPr>
  </w:style>
  <w:style w:type="character" w:styleId="FootnoteReference">
    <w:name w:val="footnote reference"/>
    <w:aliases w:val="Style 13,Style 12,(NECG) Footnote Reference,Appel note de bas de p,Style 124,o,fr,Style 3,FR,Style 17,Footnote Reference/,Style 6,Style 7,Style 4,Footnote Reference1"/>
    <w:rsid w:val="00AF1C3D"/>
    <w:rPr>
      <w:rFonts w:ascii="Times New Roman" w:hAnsi="Times New Roman"/>
      <w:dstrike w:val="0"/>
      <w:color w:val="auto"/>
      <w:sz w:val="20"/>
      <w:vertAlign w:val="superscript"/>
    </w:rPr>
  </w:style>
  <w:style w:type="paragraph" w:styleId="TOC1">
    <w:name w:val="toc 1"/>
    <w:basedOn w:val="Normal"/>
    <w:next w:val="Normal"/>
    <w:rsid w:val="00AF1C3D"/>
    <w:pPr>
      <w:tabs>
        <w:tab w:val="left" w:pos="360"/>
        <w:tab w:val="right" w:leader="dot" w:pos="9360"/>
      </w:tabs>
      <w:suppressAutoHyphens/>
      <w:ind w:left="360" w:right="720" w:hanging="360"/>
    </w:pPr>
    <w:rPr>
      <w:caps/>
      <w:noProof/>
    </w:rPr>
  </w:style>
  <w:style w:type="paragraph" w:styleId="TOC2">
    <w:name w:val="toc 2"/>
    <w:basedOn w:val="Normal"/>
    <w:next w:val="Normal"/>
    <w:rsid w:val="00AF1C3D"/>
    <w:pPr>
      <w:tabs>
        <w:tab w:val="left" w:pos="720"/>
        <w:tab w:val="right" w:leader="dot" w:pos="9360"/>
      </w:tabs>
      <w:suppressAutoHyphens/>
      <w:ind w:left="720" w:right="720" w:hanging="360"/>
    </w:pPr>
    <w:rPr>
      <w:noProof/>
    </w:rPr>
  </w:style>
  <w:style w:type="paragraph" w:styleId="TOC3">
    <w:name w:val="toc 3"/>
    <w:basedOn w:val="Normal"/>
    <w:next w:val="Normal"/>
    <w:rsid w:val="00AF1C3D"/>
    <w:pPr>
      <w:tabs>
        <w:tab w:val="left" w:pos="1080"/>
        <w:tab w:val="right" w:leader="dot" w:pos="9360"/>
      </w:tabs>
      <w:suppressAutoHyphens/>
      <w:ind w:left="1080" w:right="720" w:hanging="360"/>
    </w:pPr>
    <w:rPr>
      <w:noProof/>
    </w:rPr>
  </w:style>
  <w:style w:type="paragraph" w:styleId="TOC4">
    <w:name w:val="toc 4"/>
    <w:basedOn w:val="Normal"/>
    <w:next w:val="Normal"/>
    <w:autoRedefine/>
    <w:rsid w:val="00AF1C3D"/>
    <w:pPr>
      <w:tabs>
        <w:tab w:val="left" w:pos="1440"/>
        <w:tab w:val="right" w:leader="dot" w:pos="9360"/>
      </w:tabs>
      <w:suppressAutoHyphens/>
      <w:ind w:left="1440" w:right="720" w:hanging="360"/>
    </w:pPr>
    <w:rPr>
      <w:noProof/>
    </w:rPr>
  </w:style>
  <w:style w:type="paragraph" w:styleId="TOC5">
    <w:name w:val="toc 5"/>
    <w:basedOn w:val="Normal"/>
    <w:next w:val="Normal"/>
    <w:autoRedefine/>
    <w:rsid w:val="00AF1C3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F1C3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F1C3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F1C3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F1C3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F1C3D"/>
    <w:pPr>
      <w:tabs>
        <w:tab w:val="right" w:pos="9360"/>
      </w:tabs>
      <w:suppressAutoHyphens/>
    </w:pPr>
  </w:style>
  <w:style w:type="character" w:customStyle="1" w:styleId="EquationCaption">
    <w:name w:val="_Equation Caption"/>
    <w:rsid w:val="00AF1C3D"/>
  </w:style>
  <w:style w:type="paragraph" w:styleId="Header">
    <w:name w:val="header"/>
    <w:basedOn w:val="Normal"/>
    <w:link w:val="HeaderChar"/>
    <w:autoRedefine/>
    <w:rsid w:val="00AF1C3D"/>
    <w:pPr>
      <w:tabs>
        <w:tab w:val="center" w:pos="4680"/>
        <w:tab w:val="right" w:pos="9360"/>
      </w:tabs>
    </w:pPr>
    <w:rPr>
      <w:b/>
    </w:rPr>
  </w:style>
  <w:style w:type="paragraph" w:styleId="Footer">
    <w:name w:val="footer"/>
    <w:basedOn w:val="Normal"/>
    <w:link w:val="FooterChar"/>
    <w:rsid w:val="00AF1C3D"/>
    <w:pPr>
      <w:tabs>
        <w:tab w:val="center" w:pos="4320"/>
        <w:tab w:val="right" w:pos="8640"/>
      </w:tabs>
    </w:pPr>
  </w:style>
  <w:style w:type="character" w:styleId="PageNumber">
    <w:name w:val="page number"/>
    <w:basedOn w:val="DefaultParagraphFont"/>
    <w:rsid w:val="00AF1C3D"/>
  </w:style>
  <w:style w:type="paragraph" w:styleId="BlockText">
    <w:name w:val="Block Text"/>
    <w:basedOn w:val="Normal"/>
    <w:rsid w:val="00AF1C3D"/>
    <w:pPr>
      <w:spacing w:after="240"/>
      <w:ind w:left="1440" w:right="1440"/>
    </w:pPr>
  </w:style>
  <w:style w:type="paragraph" w:customStyle="1" w:styleId="Paratitle">
    <w:name w:val="Para title"/>
    <w:basedOn w:val="Normal"/>
    <w:rsid w:val="00AF1C3D"/>
    <w:pPr>
      <w:tabs>
        <w:tab w:val="center" w:pos="9270"/>
      </w:tabs>
      <w:spacing w:after="240"/>
    </w:pPr>
    <w:rPr>
      <w:spacing w:val="-2"/>
    </w:rPr>
  </w:style>
  <w:style w:type="paragraph" w:customStyle="1" w:styleId="Bullet">
    <w:name w:val="Bullet"/>
    <w:basedOn w:val="Normal"/>
    <w:rsid w:val="00AF1C3D"/>
    <w:pPr>
      <w:tabs>
        <w:tab w:val="left" w:pos="2160"/>
      </w:tabs>
      <w:spacing w:after="220"/>
      <w:ind w:left="2160" w:hanging="720"/>
    </w:pPr>
  </w:style>
  <w:style w:type="paragraph" w:customStyle="1" w:styleId="TableFormat">
    <w:name w:val="TableFormat"/>
    <w:basedOn w:val="Bullet"/>
    <w:rsid w:val="00AF1C3D"/>
    <w:pPr>
      <w:tabs>
        <w:tab w:val="clear" w:pos="2160"/>
        <w:tab w:val="left" w:pos="5040"/>
      </w:tabs>
      <w:ind w:left="5040" w:hanging="3600"/>
    </w:pPr>
  </w:style>
  <w:style w:type="paragraph" w:customStyle="1" w:styleId="TOCTitle">
    <w:name w:val="TOC Title"/>
    <w:basedOn w:val="Normal"/>
    <w:rsid w:val="00AF1C3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F1C3D"/>
    <w:pPr>
      <w:jc w:val="center"/>
    </w:pPr>
    <w:rPr>
      <w:rFonts w:ascii="Times New Roman Bold" w:hAnsi="Times New Roman Bold"/>
      <w:b/>
      <w:bCs/>
      <w:caps/>
      <w:szCs w:val="22"/>
    </w:rPr>
  </w:style>
  <w:style w:type="character" w:styleId="Hyperlink">
    <w:name w:val="Hyperlink"/>
    <w:rsid w:val="00AF1C3D"/>
    <w:rPr>
      <w:color w:val="0000FF"/>
      <w:u w:val="single"/>
    </w:rPr>
  </w:style>
  <w:style w:type="paragraph" w:styleId="ListParagraph">
    <w:name w:val="List Paragraph"/>
    <w:basedOn w:val="Normal"/>
    <w:uiPriority w:val="34"/>
    <w:qFormat/>
    <w:rsid w:val="00FC7F4D"/>
    <w:pPr>
      <w:spacing w:after="200" w:line="276" w:lineRule="auto"/>
      <w:ind w:left="720"/>
      <w:contextualSpacing/>
    </w:pPr>
    <w:rPr>
      <w:rFonts w:ascii="Calibri" w:eastAsia="Calibri" w:hAnsi="Calibri"/>
      <w:snapToGrid/>
      <w:kern w:val="0"/>
      <w:szCs w:val="22"/>
    </w:rPr>
  </w:style>
  <w:style w:type="character" w:customStyle="1" w:styleId="FootnoteTextChar">
    <w:name w:val="Footnote Text Char"/>
    <w:aliases w:val="Footnote Text Char2 Char,Footnote Text Char3 Char1 Char,Footnote Text Char2 Char1 Char1 Char,Footnote Text Char3 Char1 Char Char Char,Footnote Text Char2 Char1 Char1 Char Char Char,Footnote Text Char3 Char1 Char Char Char Char Char"/>
    <w:link w:val="FootnoteText"/>
    <w:rsid w:val="00FC7F4D"/>
  </w:style>
  <w:style w:type="paragraph" w:customStyle="1" w:styleId="Paranum">
    <w:name w:val="Paranum"/>
    <w:basedOn w:val="Normal"/>
    <w:rsid w:val="00BE6E64"/>
    <w:pPr>
      <w:numPr>
        <w:numId w:val="3"/>
      </w:numPr>
      <w:spacing w:after="220"/>
      <w:jc w:val="both"/>
    </w:pPr>
    <w:rPr>
      <w:snapToGrid/>
      <w:kern w:val="0"/>
    </w:rPr>
  </w:style>
  <w:style w:type="character" w:customStyle="1" w:styleId="HeaderChar">
    <w:name w:val="Header Char"/>
    <w:basedOn w:val="DefaultParagraphFont"/>
    <w:link w:val="Header"/>
    <w:rsid w:val="0057774B"/>
    <w:rPr>
      <w:b/>
      <w:snapToGrid w:val="0"/>
      <w:kern w:val="28"/>
      <w:sz w:val="22"/>
    </w:rPr>
  </w:style>
  <w:style w:type="paragraph" w:styleId="NormalWeb">
    <w:name w:val="Normal (Web)"/>
    <w:basedOn w:val="Normal"/>
    <w:uiPriority w:val="99"/>
    <w:unhideWhenUsed/>
    <w:rsid w:val="007A5CA9"/>
    <w:rPr>
      <w:snapToGrid/>
      <w:kern w:val="0"/>
      <w:sz w:val="24"/>
      <w:szCs w:val="24"/>
    </w:rPr>
  </w:style>
  <w:style w:type="character" w:customStyle="1" w:styleId="searchterm">
    <w:name w:val="searchterm"/>
    <w:basedOn w:val="DefaultParagraphFont"/>
    <w:rsid w:val="007A5CA9"/>
  </w:style>
  <w:style w:type="character" w:styleId="Emphasis">
    <w:name w:val="Emphasis"/>
    <w:basedOn w:val="DefaultParagraphFont"/>
    <w:uiPriority w:val="20"/>
    <w:qFormat/>
    <w:rsid w:val="007A5CA9"/>
    <w:rPr>
      <w:i/>
      <w:iCs/>
    </w:rPr>
  </w:style>
  <w:style w:type="character" w:styleId="CommentReference">
    <w:name w:val="annotation reference"/>
    <w:basedOn w:val="DefaultParagraphFont"/>
    <w:unhideWhenUsed/>
    <w:rsid w:val="007A5CA9"/>
    <w:rPr>
      <w:sz w:val="16"/>
      <w:szCs w:val="16"/>
    </w:rPr>
  </w:style>
  <w:style w:type="paragraph" w:styleId="CommentText">
    <w:name w:val="annotation text"/>
    <w:basedOn w:val="Normal"/>
    <w:link w:val="CommentTextChar"/>
    <w:unhideWhenUsed/>
    <w:rsid w:val="007A5CA9"/>
    <w:pPr>
      <w:spacing w:after="200"/>
    </w:pPr>
    <w:rPr>
      <w:rFonts w:ascii="Calibri" w:eastAsia="Calibri" w:hAnsi="Calibri"/>
      <w:snapToGrid/>
      <w:kern w:val="0"/>
      <w:sz w:val="20"/>
    </w:rPr>
  </w:style>
  <w:style w:type="character" w:customStyle="1" w:styleId="CommentTextChar">
    <w:name w:val="Comment Text Char"/>
    <w:basedOn w:val="DefaultParagraphFont"/>
    <w:link w:val="CommentText"/>
    <w:rsid w:val="007A5CA9"/>
    <w:rPr>
      <w:rFonts w:ascii="Calibri" w:eastAsia="Calibri" w:hAnsi="Calibri"/>
    </w:rPr>
  </w:style>
  <w:style w:type="paragraph" w:styleId="BalloonText">
    <w:name w:val="Balloon Text"/>
    <w:basedOn w:val="Normal"/>
    <w:link w:val="BalloonTextChar"/>
    <w:rsid w:val="007A5CA9"/>
    <w:rPr>
      <w:rFonts w:ascii="Tahoma" w:hAnsi="Tahoma" w:cs="Tahoma"/>
      <w:sz w:val="16"/>
      <w:szCs w:val="16"/>
    </w:rPr>
  </w:style>
  <w:style w:type="character" w:customStyle="1" w:styleId="BalloonTextChar">
    <w:name w:val="Balloon Text Char"/>
    <w:basedOn w:val="DefaultParagraphFont"/>
    <w:link w:val="BalloonText"/>
    <w:rsid w:val="007A5CA9"/>
    <w:rPr>
      <w:rFonts w:ascii="Tahoma" w:hAnsi="Tahoma" w:cs="Tahoma"/>
      <w:snapToGrid w:val="0"/>
      <w:kern w:val="28"/>
      <w:sz w:val="16"/>
      <w:szCs w:val="16"/>
    </w:rPr>
  </w:style>
  <w:style w:type="character" w:customStyle="1" w:styleId="Heading2Char">
    <w:name w:val="Heading 2 Char"/>
    <w:aliases w:val="h2 Char Char,UNDERRUBRIK 1-2 Char Char,Heading 2 Char1 Char,Heading 2 Char Char1 Char,Heading 2 Char Char Char Char Char,Heading 2 Char1 Char Char1 Char Char Char,Heading 2 Char Char3 Char Char Char Char Char"/>
    <w:basedOn w:val="DefaultParagraphFont"/>
    <w:link w:val="Heading2"/>
    <w:rsid w:val="005655A5"/>
    <w:rPr>
      <w:b/>
      <w:snapToGrid w:val="0"/>
      <w:kern w:val="28"/>
      <w:sz w:val="22"/>
    </w:rPr>
  </w:style>
  <w:style w:type="character" w:customStyle="1" w:styleId="cosearchterm">
    <w:name w:val="co_searchterm"/>
    <w:basedOn w:val="DefaultParagraphFont"/>
    <w:rsid w:val="001D548E"/>
  </w:style>
  <w:style w:type="character" w:customStyle="1" w:styleId="documentbody">
    <w:name w:val="documentbody"/>
    <w:basedOn w:val="DefaultParagraphFont"/>
    <w:rsid w:val="001D548E"/>
  </w:style>
  <w:style w:type="paragraph" w:styleId="CommentSubject">
    <w:name w:val="annotation subject"/>
    <w:basedOn w:val="CommentText"/>
    <w:next w:val="CommentText"/>
    <w:link w:val="CommentSubjectChar"/>
    <w:rsid w:val="00A926F6"/>
    <w:pPr>
      <w:spacing w:after="0"/>
    </w:pPr>
    <w:rPr>
      <w:rFonts w:ascii="Times New Roman" w:eastAsia="Times New Roman" w:hAnsi="Times New Roman"/>
      <w:b/>
      <w:bCs/>
      <w:snapToGrid w:val="0"/>
      <w:kern w:val="28"/>
    </w:rPr>
  </w:style>
  <w:style w:type="character" w:customStyle="1" w:styleId="CommentSubjectChar">
    <w:name w:val="Comment Subject Char"/>
    <w:basedOn w:val="CommentTextChar"/>
    <w:link w:val="CommentSubject"/>
    <w:rsid w:val="00A926F6"/>
    <w:rPr>
      <w:rFonts w:ascii="Calibri" w:eastAsia="Calibri" w:hAnsi="Calibri"/>
      <w:b/>
      <w:bCs/>
      <w:snapToGrid w:val="0"/>
      <w:kern w:val="28"/>
    </w:rPr>
  </w:style>
  <w:style w:type="character" w:customStyle="1" w:styleId="ParaNumChar">
    <w:name w:val="ParaNum Char"/>
    <w:link w:val="ParaNum0"/>
    <w:locked/>
    <w:rsid w:val="00274D22"/>
    <w:rPr>
      <w:snapToGrid w:val="0"/>
      <w:kern w:val="28"/>
      <w:sz w:val="22"/>
    </w:rPr>
  </w:style>
  <w:style w:type="character" w:customStyle="1" w:styleId="FootnoteTextChar1">
    <w:name w:val="Footnote Text Char1"/>
    <w:aliases w:val="ALTS FOOTNOTE Char Char,fn Char Char,Footnote Text Char2 Char Char,fn Char2,fn Char1 Char1,f Char1"/>
    <w:semiHidden/>
    <w:locked/>
    <w:rsid w:val="00BC130A"/>
    <w:rPr>
      <w:rFonts w:eastAsia="MS Mincho"/>
      <w:lang w:val="en-US" w:eastAsia="en-US" w:bidi="ar-SA"/>
    </w:rPr>
  </w:style>
  <w:style w:type="character" w:customStyle="1" w:styleId="FootnoteTextChar1Char">
    <w:name w:val="Footnote Text Char1 Char"/>
    <w:aliases w:val="Footnote Text Char Char Char,ALTS FOOTNOTE Char Char Char,fn Char Char Char,Footnote Text Char1 Char Char Char,Footnote Text Char Char Char Char Char,ALTS FOOTNOTE Char Char Char Char Char,fn Char1 Char"/>
    <w:locked/>
    <w:rsid w:val="001D72D4"/>
  </w:style>
  <w:style w:type="character" w:customStyle="1" w:styleId="BalloonTextChar1">
    <w:name w:val="Balloon Text Char1"/>
    <w:basedOn w:val="DefaultParagraphFont"/>
    <w:rsid w:val="001D72D4"/>
    <w:rPr>
      <w:rFonts w:ascii="Tahoma" w:hAnsi="Tahoma" w:cs="Tahoma"/>
      <w:snapToGrid w:val="0"/>
      <w:kern w:val="28"/>
      <w:sz w:val="16"/>
      <w:szCs w:val="16"/>
    </w:rPr>
  </w:style>
  <w:style w:type="character" w:customStyle="1" w:styleId="ParaNumChar4">
    <w:name w:val="ParaNum Char4"/>
    <w:basedOn w:val="DefaultParagraphFont"/>
    <w:rsid w:val="001D72D4"/>
    <w:rPr>
      <w:snapToGrid w:val="0"/>
      <w:kern w:val="28"/>
      <w:sz w:val="22"/>
    </w:rPr>
  </w:style>
  <w:style w:type="character" w:customStyle="1" w:styleId="highlight">
    <w:name w:val="highlight"/>
    <w:basedOn w:val="DefaultParagraphFont"/>
    <w:rsid w:val="00343247"/>
  </w:style>
  <w:style w:type="paragraph" w:customStyle="1" w:styleId="Default">
    <w:name w:val="Default"/>
    <w:rsid w:val="00354F74"/>
    <w:pPr>
      <w:autoSpaceDE w:val="0"/>
      <w:autoSpaceDN w:val="0"/>
      <w:adjustRightInd w:val="0"/>
    </w:pPr>
    <w:rPr>
      <w:color w:val="000000"/>
      <w:sz w:val="24"/>
      <w:szCs w:val="24"/>
    </w:rPr>
  </w:style>
  <w:style w:type="character" w:styleId="FollowedHyperlink">
    <w:name w:val="FollowedHyperlink"/>
    <w:basedOn w:val="DefaultParagraphFont"/>
    <w:rsid w:val="00B23E52"/>
    <w:rPr>
      <w:color w:val="800080" w:themeColor="followedHyperlink"/>
      <w:u w:val="single"/>
    </w:rPr>
  </w:style>
  <w:style w:type="paragraph" w:styleId="BodyText">
    <w:name w:val="Body Text"/>
    <w:basedOn w:val="Normal"/>
    <w:link w:val="BodyTextChar"/>
    <w:rsid w:val="00445619"/>
    <w:rPr>
      <w:kern w:val="0"/>
      <w:sz w:val="24"/>
      <w:szCs w:val="24"/>
    </w:rPr>
  </w:style>
  <w:style w:type="character" w:customStyle="1" w:styleId="BodyTextChar">
    <w:name w:val="Body Text Char"/>
    <w:basedOn w:val="DefaultParagraphFont"/>
    <w:link w:val="BodyText"/>
    <w:rsid w:val="00445619"/>
    <w:rPr>
      <w:snapToGrid w:val="0"/>
      <w:sz w:val="24"/>
      <w:szCs w:val="24"/>
    </w:rPr>
  </w:style>
  <w:style w:type="character" w:customStyle="1" w:styleId="BalloonTextChar2">
    <w:name w:val="Balloon Text Char2"/>
    <w:basedOn w:val="DefaultParagraphFont"/>
    <w:rsid w:val="005B7296"/>
    <w:rPr>
      <w:rFonts w:ascii="Tahoma" w:hAnsi="Tahoma" w:cs="Tahoma"/>
      <w:snapToGrid w:val="0"/>
      <w:kern w:val="28"/>
      <w:sz w:val="16"/>
      <w:szCs w:val="16"/>
    </w:rPr>
  </w:style>
  <w:style w:type="character" w:customStyle="1" w:styleId="ptext-">
    <w:name w:val="ptext-"/>
    <w:basedOn w:val="DefaultParagraphFont"/>
    <w:rsid w:val="0067072D"/>
  </w:style>
  <w:style w:type="paragraph" w:styleId="Revision">
    <w:name w:val="Revision"/>
    <w:hidden/>
    <w:uiPriority w:val="99"/>
    <w:semiHidden/>
    <w:rsid w:val="000220D8"/>
    <w:rPr>
      <w:snapToGrid w:val="0"/>
      <w:kern w:val="28"/>
      <w:sz w:val="22"/>
    </w:rPr>
  </w:style>
  <w:style w:type="character" w:customStyle="1" w:styleId="FooterChar">
    <w:name w:val="Footer Char"/>
    <w:basedOn w:val="DefaultParagraphFont"/>
    <w:link w:val="Footer"/>
    <w:rsid w:val="00117FA6"/>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1C3D"/>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
    <w:basedOn w:val="Normal"/>
    <w:next w:val="ParaNum0"/>
    <w:qFormat/>
    <w:rsid w:val="00AF1C3D"/>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1,Heading 2 Char Char1,Heading 2 Char Char Char Char,Heading 2 Char1 Char Char1 Char Char,Heading 2 Char Char3 Char Char Char Char,Heading 2 Char1 Char Char Char Char1 Char Char"/>
    <w:basedOn w:val="Normal"/>
    <w:next w:val="ParaNum0"/>
    <w:link w:val="Heading2Char"/>
    <w:autoRedefine/>
    <w:qFormat/>
    <w:rsid w:val="00AF1C3D"/>
    <w:pPr>
      <w:keepNext/>
      <w:numPr>
        <w:ilvl w:val="1"/>
        <w:numId w:val="2"/>
      </w:numPr>
      <w:spacing w:after="120"/>
      <w:outlineLvl w:val="1"/>
    </w:pPr>
    <w:rPr>
      <w:b/>
    </w:rPr>
  </w:style>
  <w:style w:type="paragraph" w:styleId="Heading3">
    <w:name w:val="heading 3"/>
    <w:aliases w:val="3 Char,Titre 3 Char,1 Char,31 Char,Titre 31 Char,?? 3 Char,3,Titre 3,1,31,Titre 31,?? 3,Heading 3 Char1,Heading 3 Char Char,Heading 3 Char1 Char Char,Heading 3 Char Char Char Char"/>
    <w:basedOn w:val="Normal"/>
    <w:next w:val="ParaNum0"/>
    <w:qFormat/>
    <w:rsid w:val="00AF1C3D"/>
    <w:pPr>
      <w:keepNext/>
      <w:numPr>
        <w:ilvl w:val="2"/>
        <w:numId w:val="2"/>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2 Char Char,Heading 4 Char1 Char1 Char Char,Heading 4 Char Char Char1 Char Char"/>
    <w:basedOn w:val="Normal"/>
    <w:next w:val="ParaNum0"/>
    <w:qFormat/>
    <w:rsid w:val="00AF1C3D"/>
    <w:pPr>
      <w:keepNext/>
      <w:numPr>
        <w:ilvl w:val="3"/>
        <w:numId w:val="2"/>
      </w:numPr>
      <w:tabs>
        <w:tab w:val="left" w:pos="2880"/>
      </w:tabs>
      <w:spacing w:after="120"/>
      <w:outlineLvl w:val="3"/>
    </w:pPr>
    <w:rPr>
      <w:b/>
    </w:rPr>
  </w:style>
  <w:style w:type="paragraph" w:styleId="Heading5">
    <w:name w:val="heading 5"/>
    <w:basedOn w:val="Normal"/>
    <w:next w:val="ParaNum0"/>
    <w:qFormat/>
    <w:rsid w:val="00AF1C3D"/>
    <w:pPr>
      <w:keepNext/>
      <w:numPr>
        <w:ilvl w:val="4"/>
        <w:numId w:val="2"/>
      </w:numPr>
      <w:tabs>
        <w:tab w:val="left" w:pos="3600"/>
      </w:tabs>
      <w:suppressAutoHyphens/>
      <w:spacing w:after="120"/>
      <w:outlineLvl w:val="4"/>
    </w:pPr>
    <w:rPr>
      <w:b/>
    </w:rPr>
  </w:style>
  <w:style w:type="paragraph" w:styleId="Heading6">
    <w:name w:val="heading 6"/>
    <w:aliases w:val="h6"/>
    <w:basedOn w:val="Normal"/>
    <w:next w:val="ParaNum0"/>
    <w:qFormat/>
    <w:rsid w:val="00AF1C3D"/>
    <w:pPr>
      <w:numPr>
        <w:ilvl w:val="5"/>
        <w:numId w:val="2"/>
      </w:numPr>
      <w:tabs>
        <w:tab w:val="left" w:pos="4320"/>
      </w:tabs>
      <w:spacing w:after="120"/>
      <w:outlineLvl w:val="5"/>
    </w:pPr>
    <w:rPr>
      <w:b/>
    </w:rPr>
  </w:style>
  <w:style w:type="paragraph" w:styleId="Heading7">
    <w:name w:val="heading 7"/>
    <w:basedOn w:val="Normal"/>
    <w:next w:val="ParaNum0"/>
    <w:qFormat/>
    <w:rsid w:val="00AF1C3D"/>
    <w:pPr>
      <w:numPr>
        <w:ilvl w:val="6"/>
        <w:numId w:val="2"/>
      </w:numPr>
      <w:tabs>
        <w:tab w:val="left" w:pos="5040"/>
      </w:tabs>
      <w:spacing w:after="120"/>
      <w:ind w:left="5040" w:hanging="720"/>
      <w:outlineLvl w:val="6"/>
    </w:pPr>
    <w:rPr>
      <w:b/>
    </w:rPr>
  </w:style>
  <w:style w:type="paragraph" w:styleId="Heading8">
    <w:name w:val="heading 8"/>
    <w:basedOn w:val="Normal"/>
    <w:next w:val="ParaNum0"/>
    <w:qFormat/>
    <w:rsid w:val="00AF1C3D"/>
    <w:pPr>
      <w:numPr>
        <w:ilvl w:val="7"/>
        <w:numId w:val="2"/>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0"/>
    <w:qFormat/>
    <w:rsid w:val="00AF1C3D"/>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F1C3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F1C3D"/>
  </w:style>
  <w:style w:type="paragraph" w:customStyle="1" w:styleId="ParaNum0">
    <w:name w:val="ParaNum"/>
    <w:basedOn w:val="Normal"/>
    <w:link w:val="ParaNumChar"/>
    <w:rsid w:val="00AF1C3D"/>
    <w:pPr>
      <w:numPr>
        <w:numId w:val="1"/>
      </w:numPr>
      <w:tabs>
        <w:tab w:val="clear" w:pos="1080"/>
        <w:tab w:val="num" w:pos="1440"/>
      </w:tabs>
      <w:spacing w:after="120"/>
    </w:pPr>
  </w:style>
  <w:style w:type="paragraph" w:styleId="EndnoteText">
    <w:name w:val="endnote text"/>
    <w:basedOn w:val="Normal"/>
    <w:semiHidden/>
    <w:rsid w:val="00AF1C3D"/>
    <w:rPr>
      <w:sz w:val="20"/>
    </w:rPr>
  </w:style>
  <w:style w:type="character" w:styleId="EndnoteReference">
    <w:name w:val="endnote reference"/>
    <w:semiHidden/>
    <w:rsid w:val="00AF1C3D"/>
    <w:rPr>
      <w:vertAlign w:val="superscript"/>
    </w:rPr>
  </w:style>
  <w:style w:type="paragraph" w:styleId="FootnoteText">
    <w:name w:val="footnote text"/>
    <w:aliases w:val="Footnote Text Char2,Footnote Text Char3 Char1,Footnote Text Char2 Char1 Char1,Footnote Text Char3 Char1 Char Char,Footnote Text Char2 Char1 Char1 Char Char,Footnote Text Char3 Char1 Char Char Char Char,Footnote Text Char1 Char Char Char1,f"/>
    <w:link w:val="FootnoteTextChar"/>
    <w:rsid w:val="00AF1C3D"/>
    <w:pPr>
      <w:spacing w:after="120"/>
    </w:pPr>
  </w:style>
  <w:style w:type="character" w:styleId="FootnoteReference">
    <w:name w:val="footnote reference"/>
    <w:aliases w:val="Style 13,Style 12,(NECG) Footnote Reference,Appel note de bas de p,Style 124,o,fr,Style 3,FR,Style 17,Footnote Reference/,Style 6,Style 7,Style 4,Footnote Reference1"/>
    <w:rsid w:val="00AF1C3D"/>
    <w:rPr>
      <w:rFonts w:ascii="Times New Roman" w:hAnsi="Times New Roman"/>
      <w:dstrike w:val="0"/>
      <w:color w:val="auto"/>
      <w:sz w:val="20"/>
      <w:vertAlign w:val="superscript"/>
    </w:rPr>
  </w:style>
  <w:style w:type="paragraph" w:styleId="TOC1">
    <w:name w:val="toc 1"/>
    <w:basedOn w:val="Normal"/>
    <w:next w:val="Normal"/>
    <w:rsid w:val="00AF1C3D"/>
    <w:pPr>
      <w:tabs>
        <w:tab w:val="left" w:pos="360"/>
        <w:tab w:val="right" w:leader="dot" w:pos="9360"/>
      </w:tabs>
      <w:suppressAutoHyphens/>
      <w:ind w:left="360" w:right="720" w:hanging="360"/>
    </w:pPr>
    <w:rPr>
      <w:caps/>
      <w:noProof/>
    </w:rPr>
  </w:style>
  <w:style w:type="paragraph" w:styleId="TOC2">
    <w:name w:val="toc 2"/>
    <w:basedOn w:val="Normal"/>
    <w:next w:val="Normal"/>
    <w:rsid w:val="00AF1C3D"/>
    <w:pPr>
      <w:tabs>
        <w:tab w:val="left" w:pos="720"/>
        <w:tab w:val="right" w:leader="dot" w:pos="9360"/>
      </w:tabs>
      <w:suppressAutoHyphens/>
      <w:ind w:left="720" w:right="720" w:hanging="360"/>
    </w:pPr>
    <w:rPr>
      <w:noProof/>
    </w:rPr>
  </w:style>
  <w:style w:type="paragraph" w:styleId="TOC3">
    <w:name w:val="toc 3"/>
    <w:basedOn w:val="Normal"/>
    <w:next w:val="Normal"/>
    <w:rsid w:val="00AF1C3D"/>
    <w:pPr>
      <w:tabs>
        <w:tab w:val="left" w:pos="1080"/>
        <w:tab w:val="right" w:leader="dot" w:pos="9360"/>
      </w:tabs>
      <w:suppressAutoHyphens/>
      <w:ind w:left="1080" w:right="720" w:hanging="360"/>
    </w:pPr>
    <w:rPr>
      <w:noProof/>
    </w:rPr>
  </w:style>
  <w:style w:type="paragraph" w:styleId="TOC4">
    <w:name w:val="toc 4"/>
    <w:basedOn w:val="Normal"/>
    <w:next w:val="Normal"/>
    <w:autoRedefine/>
    <w:rsid w:val="00AF1C3D"/>
    <w:pPr>
      <w:tabs>
        <w:tab w:val="left" w:pos="1440"/>
        <w:tab w:val="right" w:leader="dot" w:pos="9360"/>
      </w:tabs>
      <w:suppressAutoHyphens/>
      <w:ind w:left="1440" w:right="720" w:hanging="360"/>
    </w:pPr>
    <w:rPr>
      <w:noProof/>
    </w:rPr>
  </w:style>
  <w:style w:type="paragraph" w:styleId="TOC5">
    <w:name w:val="toc 5"/>
    <w:basedOn w:val="Normal"/>
    <w:next w:val="Normal"/>
    <w:autoRedefine/>
    <w:rsid w:val="00AF1C3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F1C3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F1C3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F1C3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F1C3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F1C3D"/>
    <w:pPr>
      <w:tabs>
        <w:tab w:val="right" w:pos="9360"/>
      </w:tabs>
      <w:suppressAutoHyphens/>
    </w:pPr>
  </w:style>
  <w:style w:type="character" w:customStyle="1" w:styleId="EquationCaption">
    <w:name w:val="_Equation Caption"/>
    <w:rsid w:val="00AF1C3D"/>
  </w:style>
  <w:style w:type="paragraph" w:styleId="Header">
    <w:name w:val="header"/>
    <w:basedOn w:val="Normal"/>
    <w:link w:val="HeaderChar"/>
    <w:autoRedefine/>
    <w:rsid w:val="00AF1C3D"/>
    <w:pPr>
      <w:tabs>
        <w:tab w:val="center" w:pos="4680"/>
        <w:tab w:val="right" w:pos="9360"/>
      </w:tabs>
    </w:pPr>
    <w:rPr>
      <w:b/>
    </w:rPr>
  </w:style>
  <w:style w:type="paragraph" w:styleId="Footer">
    <w:name w:val="footer"/>
    <w:basedOn w:val="Normal"/>
    <w:link w:val="FooterChar"/>
    <w:rsid w:val="00AF1C3D"/>
    <w:pPr>
      <w:tabs>
        <w:tab w:val="center" w:pos="4320"/>
        <w:tab w:val="right" w:pos="8640"/>
      </w:tabs>
    </w:pPr>
  </w:style>
  <w:style w:type="character" w:styleId="PageNumber">
    <w:name w:val="page number"/>
    <w:basedOn w:val="DefaultParagraphFont"/>
    <w:rsid w:val="00AF1C3D"/>
  </w:style>
  <w:style w:type="paragraph" w:styleId="BlockText">
    <w:name w:val="Block Text"/>
    <w:basedOn w:val="Normal"/>
    <w:rsid w:val="00AF1C3D"/>
    <w:pPr>
      <w:spacing w:after="240"/>
      <w:ind w:left="1440" w:right="1440"/>
    </w:pPr>
  </w:style>
  <w:style w:type="paragraph" w:customStyle="1" w:styleId="Paratitle">
    <w:name w:val="Para title"/>
    <w:basedOn w:val="Normal"/>
    <w:rsid w:val="00AF1C3D"/>
    <w:pPr>
      <w:tabs>
        <w:tab w:val="center" w:pos="9270"/>
      </w:tabs>
      <w:spacing w:after="240"/>
    </w:pPr>
    <w:rPr>
      <w:spacing w:val="-2"/>
    </w:rPr>
  </w:style>
  <w:style w:type="paragraph" w:customStyle="1" w:styleId="Bullet">
    <w:name w:val="Bullet"/>
    <w:basedOn w:val="Normal"/>
    <w:rsid w:val="00AF1C3D"/>
    <w:pPr>
      <w:tabs>
        <w:tab w:val="left" w:pos="2160"/>
      </w:tabs>
      <w:spacing w:after="220"/>
      <w:ind w:left="2160" w:hanging="720"/>
    </w:pPr>
  </w:style>
  <w:style w:type="paragraph" w:customStyle="1" w:styleId="TableFormat">
    <w:name w:val="TableFormat"/>
    <w:basedOn w:val="Bullet"/>
    <w:rsid w:val="00AF1C3D"/>
    <w:pPr>
      <w:tabs>
        <w:tab w:val="clear" w:pos="2160"/>
        <w:tab w:val="left" w:pos="5040"/>
      </w:tabs>
      <w:ind w:left="5040" w:hanging="3600"/>
    </w:pPr>
  </w:style>
  <w:style w:type="paragraph" w:customStyle="1" w:styleId="TOCTitle">
    <w:name w:val="TOC Title"/>
    <w:basedOn w:val="Normal"/>
    <w:rsid w:val="00AF1C3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F1C3D"/>
    <w:pPr>
      <w:jc w:val="center"/>
    </w:pPr>
    <w:rPr>
      <w:rFonts w:ascii="Times New Roman Bold" w:hAnsi="Times New Roman Bold"/>
      <w:b/>
      <w:bCs/>
      <w:caps/>
      <w:szCs w:val="22"/>
    </w:rPr>
  </w:style>
  <w:style w:type="character" w:styleId="Hyperlink">
    <w:name w:val="Hyperlink"/>
    <w:rsid w:val="00AF1C3D"/>
    <w:rPr>
      <w:color w:val="0000FF"/>
      <w:u w:val="single"/>
    </w:rPr>
  </w:style>
  <w:style w:type="paragraph" w:styleId="ListParagraph">
    <w:name w:val="List Paragraph"/>
    <w:basedOn w:val="Normal"/>
    <w:uiPriority w:val="34"/>
    <w:qFormat/>
    <w:rsid w:val="00FC7F4D"/>
    <w:pPr>
      <w:spacing w:after="200" w:line="276" w:lineRule="auto"/>
      <w:ind w:left="720"/>
      <w:contextualSpacing/>
    </w:pPr>
    <w:rPr>
      <w:rFonts w:ascii="Calibri" w:eastAsia="Calibri" w:hAnsi="Calibri"/>
      <w:snapToGrid/>
      <w:kern w:val="0"/>
      <w:szCs w:val="22"/>
    </w:rPr>
  </w:style>
  <w:style w:type="character" w:customStyle="1" w:styleId="FootnoteTextChar">
    <w:name w:val="Footnote Text Char"/>
    <w:aliases w:val="Footnote Text Char2 Char,Footnote Text Char3 Char1 Char,Footnote Text Char2 Char1 Char1 Char,Footnote Text Char3 Char1 Char Char Char,Footnote Text Char2 Char1 Char1 Char Char Char,Footnote Text Char3 Char1 Char Char Char Char Char"/>
    <w:link w:val="FootnoteText"/>
    <w:rsid w:val="00FC7F4D"/>
  </w:style>
  <w:style w:type="paragraph" w:customStyle="1" w:styleId="Paranum">
    <w:name w:val="Paranum"/>
    <w:basedOn w:val="Normal"/>
    <w:rsid w:val="00BE6E64"/>
    <w:pPr>
      <w:numPr>
        <w:numId w:val="3"/>
      </w:numPr>
      <w:spacing w:after="220"/>
      <w:jc w:val="both"/>
    </w:pPr>
    <w:rPr>
      <w:snapToGrid/>
      <w:kern w:val="0"/>
    </w:rPr>
  </w:style>
  <w:style w:type="character" w:customStyle="1" w:styleId="HeaderChar">
    <w:name w:val="Header Char"/>
    <w:basedOn w:val="DefaultParagraphFont"/>
    <w:link w:val="Header"/>
    <w:rsid w:val="0057774B"/>
    <w:rPr>
      <w:b/>
      <w:snapToGrid w:val="0"/>
      <w:kern w:val="28"/>
      <w:sz w:val="22"/>
    </w:rPr>
  </w:style>
  <w:style w:type="paragraph" w:styleId="NormalWeb">
    <w:name w:val="Normal (Web)"/>
    <w:basedOn w:val="Normal"/>
    <w:uiPriority w:val="99"/>
    <w:unhideWhenUsed/>
    <w:rsid w:val="007A5CA9"/>
    <w:rPr>
      <w:snapToGrid/>
      <w:kern w:val="0"/>
      <w:sz w:val="24"/>
      <w:szCs w:val="24"/>
    </w:rPr>
  </w:style>
  <w:style w:type="character" w:customStyle="1" w:styleId="searchterm">
    <w:name w:val="searchterm"/>
    <w:basedOn w:val="DefaultParagraphFont"/>
    <w:rsid w:val="007A5CA9"/>
  </w:style>
  <w:style w:type="character" w:styleId="Emphasis">
    <w:name w:val="Emphasis"/>
    <w:basedOn w:val="DefaultParagraphFont"/>
    <w:uiPriority w:val="20"/>
    <w:qFormat/>
    <w:rsid w:val="007A5CA9"/>
    <w:rPr>
      <w:i/>
      <w:iCs/>
    </w:rPr>
  </w:style>
  <w:style w:type="character" w:styleId="CommentReference">
    <w:name w:val="annotation reference"/>
    <w:basedOn w:val="DefaultParagraphFont"/>
    <w:unhideWhenUsed/>
    <w:rsid w:val="007A5CA9"/>
    <w:rPr>
      <w:sz w:val="16"/>
      <w:szCs w:val="16"/>
    </w:rPr>
  </w:style>
  <w:style w:type="paragraph" w:styleId="CommentText">
    <w:name w:val="annotation text"/>
    <w:basedOn w:val="Normal"/>
    <w:link w:val="CommentTextChar"/>
    <w:unhideWhenUsed/>
    <w:rsid w:val="007A5CA9"/>
    <w:pPr>
      <w:spacing w:after="200"/>
    </w:pPr>
    <w:rPr>
      <w:rFonts w:ascii="Calibri" w:eastAsia="Calibri" w:hAnsi="Calibri"/>
      <w:snapToGrid/>
      <w:kern w:val="0"/>
      <w:sz w:val="20"/>
    </w:rPr>
  </w:style>
  <w:style w:type="character" w:customStyle="1" w:styleId="CommentTextChar">
    <w:name w:val="Comment Text Char"/>
    <w:basedOn w:val="DefaultParagraphFont"/>
    <w:link w:val="CommentText"/>
    <w:rsid w:val="007A5CA9"/>
    <w:rPr>
      <w:rFonts w:ascii="Calibri" w:eastAsia="Calibri" w:hAnsi="Calibri"/>
    </w:rPr>
  </w:style>
  <w:style w:type="paragraph" w:styleId="BalloonText">
    <w:name w:val="Balloon Text"/>
    <w:basedOn w:val="Normal"/>
    <w:link w:val="BalloonTextChar"/>
    <w:rsid w:val="007A5CA9"/>
    <w:rPr>
      <w:rFonts w:ascii="Tahoma" w:hAnsi="Tahoma" w:cs="Tahoma"/>
      <w:sz w:val="16"/>
      <w:szCs w:val="16"/>
    </w:rPr>
  </w:style>
  <w:style w:type="character" w:customStyle="1" w:styleId="BalloonTextChar">
    <w:name w:val="Balloon Text Char"/>
    <w:basedOn w:val="DefaultParagraphFont"/>
    <w:link w:val="BalloonText"/>
    <w:rsid w:val="007A5CA9"/>
    <w:rPr>
      <w:rFonts w:ascii="Tahoma" w:hAnsi="Tahoma" w:cs="Tahoma"/>
      <w:snapToGrid w:val="0"/>
      <w:kern w:val="28"/>
      <w:sz w:val="16"/>
      <w:szCs w:val="16"/>
    </w:rPr>
  </w:style>
  <w:style w:type="character" w:customStyle="1" w:styleId="Heading2Char">
    <w:name w:val="Heading 2 Char"/>
    <w:aliases w:val="h2 Char Char,UNDERRUBRIK 1-2 Char Char,Heading 2 Char1 Char,Heading 2 Char Char1 Char,Heading 2 Char Char Char Char Char,Heading 2 Char1 Char Char1 Char Char Char,Heading 2 Char Char3 Char Char Char Char Char"/>
    <w:basedOn w:val="DefaultParagraphFont"/>
    <w:link w:val="Heading2"/>
    <w:rsid w:val="005655A5"/>
    <w:rPr>
      <w:b/>
      <w:snapToGrid w:val="0"/>
      <w:kern w:val="28"/>
      <w:sz w:val="22"/>
    </w:rPr>
  </w:style>
  <w:style w:type="character" w:customStyle="1" w:styleId="cosearchterm">
    <w:name w:val="co_searchterm"/>
    <w:basedOn w:val="DefaultParagraphFont"/>
    <w:rsid w:val="001D548E"/>
  </w:style>
  <w:style w:type="character" w:customStyle="1" w:styleId="documentbody">
    <w:name w:val="documentbody"/>
    <w:basedOn w:val="DefaultParagraphFont"/>
    <w:rsid w:val="001D548E"/>
  </w:style>
  <w:style w:type="paragraph" w:styleId="CommentSubject">
    <w:name w:val="annotation subject"/>
    <w:basedOn w:val="CommentText"/>
    <w:next w:val="CommentText"/>
    <w:link w:val="CommentSubjectChar"/>
    <w:rsid w:val="00A926F6"/>
    <w:pPr>
      <w:spacing w:after="0"/>
    </w:pPr>
    <w:rPr>
      <w:rFonts w:ascii="Times New Roman" w:eastAsia="Times New Roman" w:hAnsi="Times New Roman"/>
      <w:b/>
      <w:bCs/>
      <w:snapToGrid w:val="0"/>
      <w:kern w:val="28"/>
    </w:rPr>
  </w:style>
  <w:style w:type="character" w:customStyle="1" w:styleId="CommentSubjectChar">
    <w:name w:val="Comment Subject Char"/>
    <w:basedOn w:val="CommentTextChar"/>
    <w:link w:val="CommentSubject"/>
    <w:rsid w:val="00A926F6"/>
    <w:rPr>
      <w:rFonts w:ascii="Calibri" w:eastAsia="Calibri" w:hAnsi="Calibri"/>
      <w:b/>
      <w:bCs/>
      <w:snapToGrid w:val="0"/>
      <w:kern w:val="28"/>
    </w:rPr>
  </w:style>
  <w:style w:type="character" w:customStyle="1" w:styleId="ParaNumChar">
    <w:name w:val="ParaNum Char"/>
    <w:link w:val="ParaNum0"/>
    <w:locked/>
    <w:rsid w:val="00274D22"/>
    <w:rPr>
      <w:snapToGrid w:val="0"/>
      <w:kern w:val="28"/>
      <w:sz w:val="22"/>
    </w:rPr>
  </w:style>
  <w:style w:type="character" w:customStyle="1" w:styleId="FootnoteTextChar1">
    <w:name w:val="Footnote Text Char1"/>
    <w:aliases w:val="ALTS FOOTNOTE Char Char,fn Char Char,Footnote Text Char2 Char Char,fn Char2,fn Char1 Char1,f Char1"/>
    <w:semiHidden/>
    <w:locked/>
    <w:rsid w:val="00BC130A"/>
    <w:rPr>
      <w:rFonts w:eastAsia="MS Mincho"/>
      <w:lang w:val="en-US" w:eastAsia="en-US" w:bidi="ar-SA"/>
    </w:rPr>
  </w:style>
  <w:style w:type="character" w:customStyle="1" w:styleId="FootnoteTextChar1Char">
    <w:name w:val="Footnote Text Char1 Char"/>
    <w:aliases w:val="Footnote Text Char Char Char,ALTS FOOTNOTE Char Char Char,fn Char Char Char,Footnote Text Char1 Char Char Char,Footnote Text Char Char Char Char Char,ALTS FOOTNOTE Char Char Char Char Char,fn Char1 Char"/>
    <w:locked/>
    <w:rsid w:val="001D72D4"/>
  </w:style>
  <w:style w:type="character" w:customStyle="1" w:styleId="BalloonTextChar1">
    <w:name w:val="Balloon Text Char1"/>
    <w:basedOn w:val="DefaultParagraphFont"/>
    <w:rsid w:val="001D72D4"/>
    <w:rPr>
      <w:rFonts w:ascii="Tahoma" w:hAnsi="Tahoma" w:cs="Tahoma"/>
      <w:snapToGrid w:val="0"/>
      <w:kern w:val="28"/>
      <w:sz w:val="16"/>
      <w:szCs w:val="16"/>
    </w:rPr>
  </w:style>
  <w:style w:type="character" w:customStyle="1" w:styleId="ParaNumChar4">
    <w:name w:val="ParaNum Char4"/>
    <w:basedOn w:val="DefaultParagraphFont"/>
    <w:rsid w:val="001D72D4"/>
    <w:rPr>
      <w:snapToGrid w:val="0"/>
      <w:kern w:val="28"/>
      <w:sz w:val="22"/>
    </w:rPr>
  </w:style>
  <w:style w:type="character" w:customStyle="1" w:styleId="highlight">
    <w:name w:val="highlight"/>
    <w:basedOn w:val="DefaultParagraphFont"/>
    <w:rsid w:val="00343247"/>
  </w:style>
  <w:style w:type="paragraph" w:customStyle="1" w:styleId="Default">
    <w:name w:val="Default"/>
    <w:rsid w:val="00354F74"/>
    <w:pPr>
      <w:autoSpaceDE w:val="0"/>
      <w:autoSpaceDN w:val="0"/>
      <w:adjustRightInd w:val="0"/>
    </w:pPr>
    <w:rPr>
      <w:color w:val="000000"/>
      <w:sz w:val="24"/>
      <w:szCs w:val="24"/>
    </w:rPr>
  </w:style>
  <w:style w:type="character" w:styleId="FollowedHyperlink">
    <w:name w:val="FollowedHyperlink"/>
    <w:basedOn w:val="DefaultParagraphFont"/>
    <w:rsid w:val="00B23E52"/>
    <w:rPr>
      <w:color w:val="800080" w:themeColor="followedHyperlink"/>
      <w:u w:val="single"/>
    </w:rPr>
  </w:style>
  <w:style w:type="paragraph" w:styleId="BodyText">
    <w:name w:val="Body Text"/>
    <w:basedOn w:val="Normal"/>
    <w:link w:val="BodyTextChar"/>
    <w:rsid w:val="00445619"/>
    <w:rPr>
      <w:kern w:val="0"/>
      <w:sz w:val="24"/>
      <w:szCs w:val="24"/>
    </w:rPr>
  </w:style>
  <w:style w:type="character" w:customStyle="1" w:styleId="BodyTextChar">
    <w:name w:val="Body Text Char"/>
    <w:basedOn w:val="DefaultParagraphFont"/>
    <w:link w:val="BodyText"/>
    <w:rsid w:val="00445619"/>
    <w:rPr>
      <w:snapToGrid w:val="0"/>
      <w:sz w:val="24"/>
      <w:szCs w:val="24"/>
    </w:rPr>
  </w:style>
  <w:style w:type="character" w:customStyle="1" w:styleId="BalloonTextChar2">
    <w:name w:val="Balloon Text Char2"/>
    <w:basedOn w:val="DefaultParagraphFont"/>
    <w:rsid w:val="005B7296"/>
    <w:rPr>
      <w:rFonts w:ascii="Tahoma" w:hAnsi="Tahoma" w:cs="Tahoma"/>
      <w:snapToGrid w:val="0"/>
      <w:kern w:val="28"/>
      <w:sz w:val="16"/>
      <w:szCs w:val="16"/>
    </w:rPr>
  </w:style>
  <w:style w:type="character" w:customStyle="1" w:styleId="ptext-">
    <w:name w:val="ptext-"/>
    <w:basedOn w:val="DefaultParagraphFont"/>
    <w:rsid w:val="0067072D"/>
  </w:style>
  <w:style w:type="paragraph" w:styleId="Revision">
    <w:name w:val="Revision"/>
    <w:hidden/>
    <w:uiPriority w:val="99"/>
    <w:semiHidden/>
    <w:rsid w:val="000220D8"/>
    <w:rPr>
      <w:snapToGrid w:val="0"/>
      <w:kern w:val="28"/>
      <w:sz w:val="22"/>
    </w:rPr>
  </w:style>
  <w:style w:type="character" w:customStyle="1" w:styleId="FooterChar">
    <w:name w:val="Footer Char"/>
    <w:basedOn w:val="DefaultParagraphFont"/>
    <w:link w:val="Footer"/>
    <w:rsid w:val="00117FA6"/>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97589">
      <w:bodyDiv w:val="1"/>
      <w:marLeft w:val="0"/>
      <w:marRight w:val="0"/>
      <w:marTop w:val="0"/>
      <w:marBottom w:val="0"/>
      <w:divBdr>
        <w:top w:val="none" w:sz="0" w:space="0" w:color="auto"/>
        <w:left w:val="none" w:sz="0" w:space="0" w:color="auto"/>
        <w:bottom w:val="none" w:sz="0" w:space="0" w:color="auto"/>
        <w:right w:val="none" w:sz="0" w:space="0" w:color="auto"/>
      </w:divBdr>
      <w:divsChild>
        <w:div w:id="294991582">
          <w:marLeft w:val="0"/>
          <w:marRight w:val="0"/>
          <w:marTop w:val="0"/>
          <w:marBottom w:val="0"/>
          <w:divBdr>
            <w:top w:val="none" w:sz="0" w:space="0" w:color="auto"/>
            <w:left w:val="none" w:sz="0" w:space="0" w:color="auto"/>
            <w:bottom w:val="none" w:sz="0" w:space="0" w:color="auto"/>
            <w:right w:val="none" w:sz="0" w:space="0" w:color="auto"/>
          </w:divBdr>
        </w:div>
        <w:div w:id="1898779366">
          <w:marLeft w:val="0"/>
          <w:marRight w:val="0"/>
          <w:marTop w:val="0"/>
          <w:marBottom w:val="0"/>
          <w:divBdr>
            <w:top w:val="none" w:sz="0" w:space="0" w:color="auto"/>
            <w:left w:val="none" w:sz="0" w:space="0" w:color="auto"/>
            <w:bottom w:val="none" w:sz="0" w:space="0" w:color="auto"/>
            <w:right w:val="none" w:sz="0" w:space="0" w:color="auto"/>
          </w:divBdr>
        </w:div>
      </w:divsChild>
    </w:div>
    <w:div w:id="119997744">
      <w:bodyDiv w:val="1"/>
      <w:marLeft w:val="0"/>
      <w:marRight w:val="0"/>
      <w:marTop w:val="0"/>
      <w:marBottom w:val="0"/>
      <w:divBdr>
        <w:top w:val="none" w:sz="0" w:space="0" w:color="auto"/>
        <w:left w:val="none" w:sz="0" w:space="0" w:color="auto"/>
        <w:bottom w:val="none" w:sz="0" w:space="0" w:color="auto"/>
        <w:right w:val="none" w:sz="0" w:space="0" w:color="auto"/>
      </w:divBdr>
    </w:div>
    <w:div w:id="311103381">
      <w:bodyDiv w:val="1"/>
      <w:marLeft w:val="0"/>
      <w:marRight w:val="0"/>
      <w:marTop w:val="0"/>
      <w:marBottom w:val="0"/>
      <w:divBdr>
        <w:top w:val="none" w:sz="0" w:space="0" w:color="auto"/>
        <w:left w:val="none" w:sz="0" w:space="0" w:color="auto"/>
        <w:bottom w:val="none" w:sz="0" w:space="0" w:color="auto"/>
        <w:right w:val="none" w:sz="0" w:space="0" w:color="auto"/>
      </w:divBdr>
    </w:div>
    <w:div w:id="389234942">
      <w:bodyDiv w:val="1"/>
      <w:marLeft w:val="0"/>
      <w:marRight w:val="0"/>
      <w:marTop w:val="0"/>
      <w:marBottom w:val="0"/>
      <w:divBdr>
        <w:top w:val="none" w:sz="0" w:space="0" w:color="auto"/>
        <w:left w:val="none" w:sz="0" w:space="0" w:color="auto"/>
        <w:bottom w:val="none" w:sz="0" w:space="0" w:color="auto"/>
        <w:right w:val="none" w:sz="0" w:space="0" w:color="auto"/>
      </w:divBdr>
    </w:div>
    <w:div w:id="613907012">
      <w:bodyDiv w:val="1"/>
      <w:marLeft w:val="0"/>
      <w:marRight w:val="0"/>
      <w:marTop w:val="0"/>
      <w:marBottom w:val="0"/>
      <w:divBdr>
        <w:top w:val="none" w:sz="0" w:space="0" w:color="auto"/>
        <w:left w:val="none" w:sz="0" w:space="0" w:color="auto"/>
        <w:bottom w:val="none" w:sz="0" w:space="0" w:color="auto"/>
        <w:right w:val="none" w:sz="0" w:space="0" w:color="auto"/>
      </w:divBdr>
    </w:div>
    <w:div w:id="768743788">
      <w:bodyDiv w:val="1"/>
      <w:marLeft w:val="0"/>
      <w:marRight w:val="0"/>
      <w:marTop w:val="0"/>
      <w:marBottom w:val="0"/>
      <w:divBdr>
        <w:top w:val="none" w:sz="0" w:space="0" w:color="auto"/>
        <w:left w:val="none" w:sz="0" w:space="0" w:color="auto"/>
        <w:bottom w:val="none" w:sz="0" w:space="0" w:color="auto"/>
        <w:right w:val="none" w:sz="0" w:space="0" w:color="auto"/>
      </w:divBdr>
    </w:div>
    <w:div w:id="774985056">
      <w:bodyDiv w:val="1"/>
      <w:marLeft w:val="0"/>
      <w:marRight w:val="0"/>
      <w:marTop w:val="0"/>
      <w:marBottom w:val="0"/>
      <w:divBdr>
        <w:top w:val="none" w:sz="0" w:space="0" w:color="auto"/>
        <w:left w:val="none" w:sz="0" w:space="0" w:color="auto"/>
        <w:bottom w:val="none" w:sz="0" w:space="0" w:color="auto"/>
        <w:right w:val="none" w:sz="0" w:space="0" w:color="auto"/>
      </w:divBdr>
    </w:div>
    <w:div w:id="847064942">
      <w:bodyDiv w:val="1"/>
      <w:marLeft w:val="0"/>
      <w:marRight w:val="0"/>
      <w:marTop w:val="0"/>
      <w:marBottom w:val="0"/>
      <w:divBdr>
        <w:top w:val="none" w:sz="0" w:space="0" w:color="auto"/>
        <w:left w:val="none" w:sz="0" w:space="0" w:color="auto"/>
        <w:bottom w:val="none" w:sz="0" w:space="0" w:color="auto"/>
        <w:right w:val="none" w:sz="0" w:space="0" w:color="auto"/>
      </w:divBdr>
    </w:div>
    <w:div w:id="856963362">
      <w:bodyDiv w:val="1"/>
      <w:marLeft w:val="0"/>
      <w:marRight w:val="0"/>
      <w:marTop w:val="0"/>
      <w:marBottom w:val="0"/>
      <w:divBdr>
        <w:top w:val="none" w:sz="0" w:space="0" w:color="auto"/>
        <w:left w:val="none" w:sz="0" w:space="0" w:color="auto"/>
        <w:bottom w:val="none" w:sz="0" w:space="0" w:color="auto"/>
        <w:right w:val="none" w:sz="0" w:space="0" w:color="auto"/>
      </w:divBdr>
      <w:divsChild>
        <w:div w:id="4986220">
          <w:marLeft w:val="0"/>
          <w:marRight w:val="0"/>
          <w:marTop w:val="0"/>
          <w:marBottom w:val="0"/>
          <w:divBdr>
            <w:top w:val="none" w:sz="0" w:space="0" w:color="auto"/>
            <w:left w:val="none" w:sz="0" w:space="0" w:color="auto"/>
            <w:bottom w:val="none" w:sz="0" w:space="0" w:color="auto"/>
            <w:right w:val="none" w:sz="0" w:space="0" w:color="auto"/>
          </w:divBdr>
        </w:div>
        <w:div w:id="1397433291">
          <w:marLeft w:val="0"/>
          <w:marRight w:val="0"/>
          <w:marTop w:val="0"/>
          <w:marBottom w:val="0"/>
          <w:divBdr>
            <w:top w:val="none" w:sz="0" w:space="0" w:color="auto"/>
            <w:left w:val="none" w:sz="0" w:space="0" w:color="auto"/>
            <w:bottom w:val="none" w:sz="0" w:space="0" w:color="auto"/>
            <w:right w:val="none" w:sz="0" w:space="0" w:color="auto"/>
          </w:divBdr>
        </w:div>
        <w:div w:id="1512648859">
          <w:marLeft w:val="0"/>
          <w:marRight w:val="0"/>
          <w:marTop w:val="0"/>
          <w:marBottom w:val="0"/>
          <w:divBdr>
            <w:top w:val="none" w:sz="0" w:space="0" w:color="auto"/>
            <w:left w:val="none" w:sz="0" w:space="0" w:color="auto"/>
            <w:bottom w:val="none" w:sz="0" w:space="0" w:color="auto"/>
            <w:right w:val="none" w:sz="0" w:space="0" w:color="auto"/>
          </w:divBdr>
        </w:div>
      </w:divsChild>
    </w:div>
    <w:div w:id="978729484">
      <w:bodyDiv w:val="1"/>
      <w:marLeft w:val="0"/>
      <w:marRight w:val="0"/>
      <w:marTop w:val="0"/>
      <w:marBottom w:val="0"/>
      <w:divBdr>
        <w:top w:val="none" w:sz="0" w:space="0" w:color="auto"/>
        <w:left w:val="none" w:sz="0" w:space="0" w:color="auto"/>
        <w:bottom w:val="none" w:sz="0" w:space="0" w:color="auto"/>
        <w:right w:val="none" w:sz="0" w:space="0" w:color="auto"/>
      </w:divBdr>
    </w:div>
    <w:div w:id="1000429593">
      <w:bodyDiv w:val="1"/>
      <w:marLeft w:val="0"/>
      <w:marRight w:val="0"/>
      <w:marTop w:val="0"/>
      <w:marBottom w:val="0"/>
      <w:divBdr>
        <w:top w:val="none" w:sz="0" w:space="0" w:color="auto"/>
        <w:left w:val="none" w:sz="0" w:space="0" w:color="auto"/>
        <w:bottom w:val="none" w:sz="0" w:space="0" w:color="auto"/>
        <w:right w:val="none" w:sz="0" w:space="0" w:color="auto"/>
      </w:divBdr>
    </w:div>
    <w:div w:id="1038698569">
      <w:bodyDiv w:val="1"/>
      <w:marLeft w:val="0"/>
      <w:marRight w:val="0"/>
      <w:marTop w:val="0"/>
      <w:marBottom w:val="0"/>
      <w:divBdr>
        <w:top w:val="none" w:sz="0" w:space="0" w:color="auto"/>
        <w:left w:val="none" w:sz="0" w:space="0" w:color="auto"/>
        <w:bottom w:val="none" w:sz="0" w:space="0" w:color="auto"/>
        <w:right w:val="none" w:sz="0" w:space="0" w:color="auto"/>
      </w:divBdr>
    </w:div>
    <w:div w:id="1056052918">
      <w:bodyDiv w:val="1"/>
      <w:marLeft w:val="0"/>
      <w:marRight w:val="0"/>
      <w:marTop w:val="0"/>
      <w:marBottom w:val="0"/>
      <w:divBdr>
        <w:top w:val="none" w:sz="0" w:space="0" w:color="auto"/>
        <w:left w:val="none" w:sz="0" w:space="0" w:color="auto"/>
        <w:bottom w:val="none" w:sz="0" w:space="0" w:color="auto"/>
        <w:right w:val="none" w:sz="0" w:space="0" w:color="auto"/>
      </w:divBdr>
    </w:div>
    <w:div w:id="1061516088">
      <w:bodyDiv w:val="1"/>
      <w:marLeft w:val="0"/>
      <w:marRight w:val="0"/>
      <w:marTop w:val="0"/>
      <w:marBottom w:val="0"/>
      <w:divBdr>
        <w:top w:val="none" w:sz="0" w:space="0" w:color="auto"/>
        <w:left w:val="none" w:sz="0" w:space="0" w:color="auto"/>
        <w:bottom w:val="none" w:sz="0" w:space="0" w:color="auto"/>
        <w:right w:val="none" w:sz="0" w:space="0" w:color="auto"/>
      </w:divBdr>
      <w:divsChild>
        <w:div w:id="57290039">
          <w:marLeft w:val="0"/>
          <w:marRight w:val="0"/>
          <w:marTop w:val="0"/>
          <w:marBottom w:val="0"/>
          <w:divBdr>
            <w:top w:val="none" w:sz="0" w:space="0" w:color="auto"/>
            <w:left w:val="none" w:sz="0" w:space="0" w:color="auto"/>
            <w:bottom w:val="none" w:sz="0" w:space="0" w:color="auto"/>
            <w:right w:val="none" w:sz="0" w:space="0" w:color="auto"/>
          </w:divBdr>
        </w:div>
        <w:div w:id="79378683">
          <w:marLeft w:val="0"/>
          <w:marRight w:val="0"/>
          <w:marTop w:val="0"/>
          <w:marBottom w:val="0"/>
          <w:divBdr>
            <w:top w:val="none" w:sz="0" w:space="0" w:color="auto"/>
            <w:left w:val="none" w:sz="0" w:space="0" w:color="auto"/>
            <w:bottom w:val="none" w:sz="0" w:space="0" w:color="auto"/>
            <w:right w:val="none" w:sz="0" w:space="0" w:color="auto"/>
          </w:divBdr>
        </w:div>
        <w:div w:id="1718163985">
          <w:marLeft w:val="0"/>
          <w:marRight w:val="0"/>
          <w:marTop w:val="0"/>
          <w:marBottom w:val="0"/>
          <w:divBdr>
            <w:top w:val="none" w:sz="0" w:space="0" w:color="auto"/>
            <w:left w:val="none" w:sz="0" w:space="0" w:color="auto"/>
            <w:bottom w:val="none" w:sz="0" w:space="0" w:color="auto"/>
            <w:right w:val="none" w:sz="0" w:space="0" w:color="auto"/>
          </w:divBdr>
        </w:div>
      </w:divsChild>
    </w:div>
    <w:div w:id="1130127123">
      <w:bodyDiv w:val="1"/>
      <w:marLeft w:val="0"/>
      <w:marRight w:val="0"/>
      <w:marTop w:val="0"/>
      <w:marBottom w:val="0"/>
      <w:divBdr>
        <w:top w:val="none" w:sz="0" w:space="0" w:color="auto"/>
        <w:left w:val="none" w:sz="0" w:space="0" w:color="auto"/>
        <w:bottom w:val="none" w:sz="0" w:space="0" w:color="auto"/>
        <w:right w:val="none" w:sz="0" w:space="0" w:color="auto"/>
      </w:divBdr>
    </w:div>
    <w:div w:id="1141465379">
      <w:bodyDiv w:val="1"/>
      <w:marLeft w:val="0"/>
      <w:marRight w:val="0"/>
      <w:marTop w:val="0"/>
      <w:marBottom w:val="0"/>
      <w:divBdr>
        <w:top w:val="none" w:sz="0" w:space="0" w:color="auto"/>
        <w:left w:val="none" w:sz="0" w:space="0" w:color="auto"/>
        <w:bottom w:val="none" w:sz="0" w:space="0" w:color="auto"/>
        <w:right w:val="none" w:sz="0" w:space="0" w:color="auto"/>
      </w:divBdr>
    </w:div>
    <w:div w:id="1181893432">
      <w:bodyDiv w:val="1"/>
      <w:marLeft w:val="0"/>
      <w:marRight w:val="0"/>
      <w:marTop w:val="0"/>
      <w:marBottom w:val="0"/>
      <w:divBdr>
        <w:top w:val="none" w:sz="0" w:space="0" w:color="auto"/>
        <w:left w:val="none" w:sz="0" w:space="0" w:color="auto"/>
        <w:bottom w:val="none" w:sz="0" w:space="0" w:color="auto"/>
        <w:right w:val="none" w:sz="0" w:space="0" w:color="auto"/>
      </w:divBdr>
    </w:div>
    <w:div w:id="1349910864">
      <w:bodyDiv w:val="1"/>
      <w:marLeft w:val="0"/>
      <w:marRight w:val="0"/>
      <w:marTop w:val="0"/>
      <w:marBottom w:val="0"/>
      <w:divBdr>
        <w:top w:val="none" w:sz="0" w:space="0" w:color="auto"/>
        <w:left w:val="none" w:sz="0" w:space="0" w:color="auto"/>
        <w:bottom w:val="none" w:sz="0" w:space="0" w:color="auto"/>
        <w:right w:val="none" w:sz="0" w:space="0" w:color="auto"/>
      </w:divBdr>
    </w:div>
    <w:div w:id="1520117817">
      <w:bodyDiv w:val="1"/>
      <w:marLeft w:val="0"/>
      <w:marRight w:val="0"/>
      <w:marTop w:val="0"/>
      <w:marBottom w:val="0"/>
      <w:divBdr>
        <w:top w:val="none" w:sz="0" w:space="0" w:color="auto"/>
        <w:left w:val="none" w:sz="0" w:space="0" w:color="auto"/>
        <w:bottom w:val="none" w:sz="0" w:space="0" w:color="auto"/>
        <w:right w:val="none" w:sz="0" w:space="0" w:color="auto"/>
      </w:divBdr>
    </w:div>
    <w:div w:id="1694724665">
      <w:bodyDiv w:val="1"/>
      <w:marLeft w:val="0"/>
      <w:marRight w:val="0"/>
      <w:marTop w:val="0"/>
      <w:marBottom w:val="0"/>
      <w:divBdr>
        <w:top w:val="none" w:sz="0" w:space="0" w:color="auto"/>
        <w:left w:val="none" w:sz="0" w:space="0" w:color="auto"/>
        <w:bottom w:val="none" w:sz="0" w:space="0" w:color="auto"/>
        <w:right w:val="none" w:sz="0" w:space="0" w:color="auto"/>
      </w:divBdr>
    </w:div>
    <w:div w:id="1787311494">
      <w:bodyDiv w:val="1"/>
      <w:marLeft w:val="0"/>
      <w:marRight w:val="0"/>
      <w:marTop w:val="0"/>
      <w:marBottom w:val="0"/>
      <w:divBdr>
        <w:top w:val="none" w:sz="0" w:space="0" w:color="auto"/>
        <w:left w:val="none" w:sz="0" w:space="0" w:color="auto"/>
        <w:bottom w:val="none" w:sz="0" w:space="0" w:color="auto"/>
        <w:right w:val="none" w:sz="0" w:space="0" w:color="auto"/>
      </w:divBdr>
    </w:div>
    <w:div w:id="1844971100">
      <w:bodyDiv w:val="1"/>
      <w:marLeft w:val="0"/>
      <w:marRight w:val="0"/>
      <w:marTop w:val="0"/>
      <w:marBottom w:val="0"/>
      <w:divBdr>
        <w:top w:val="none" w:sz="0" w:space="0" w:color="auto"/>
        <w:left w:val="none" w:sz="0" w:space="0" w:color="auto"/>
        <w:bottom w:val="none" w:sz="0" w:space="0" w:color="auto"/>
        <w:right w:val="none" w:sz="0" w:space="0" w:color="auto"/>
      </w:divBdr>
    </w:div>
    <w:div w:id="1867985495">
      <w:bodyDiv w:val="1"/>
      <w:marLeft w:val="0"/>
      <w:marRight w:val="0"/>
      <w:marTop w:val="0"/>
      <w:marBottom w:val="0"/>
      <w:divBdr>
        <w:top w:val="none" w:sz="0" w:space="0" w:color="auto"/>
        <w:left w:val="none" w:sz="0" w:space="0" w:color="auto"/>
        <w:bottom w:val="none" w:sz="0" w:space="0" w:color="auto"/>
        <w:right w:val="none" w:sz="0" w:space="0" w:color="auto"/>
      </w:divBdr>
    </w:div>
    <w:div w:id="1905723425">
      <w:bodyDiv w:val="1"/>
      <w:marLeft w:val="0"/>
      <w:marRight w:val="0"/>
      <w:marTop w:val="0"/>
      <w:marBottom w:val="0"/>
      <w:divBdr>
        <w:top w:val="none" w:sz="0" w:space="0" w:color="auto"/>
        <w:left w:val="none" w:sz="0" w:space="0" w:color="auto"/>
        <w:bottom w:val="none" w:sz="0" w:space="0" w:color="auto"/>
        <w:right w:val="none" w:sz="0" w:space="0" w:color="auto"/>
      </w:divBdr>
    </w:div>
    <w:div w:id="2066442694">
      <w:bodyDiv w:val="1"/>
      <w:marLeft w:val="0"/>
      <w:marRight w:val="0"/>
      <w:marTop w:val="0"/>
      <w:marBottom w:val="0"/>
      <w:divBdr>
        <w:top w:val="none" w:sz="0" w:space="0" w:color="auto"/>
        <w:left w:val="none" w:sz="0" w:space="0" w:color="auto"/>
        <w:bottom w:val="none" w:sz="0" w:space="0" w:color="auto"/>
        <w:right w:val="none" w:sz="0" w:space="0" w:color="auto"/>
      </w:divBdr>
    </w:div>
    <w:div w:id="210950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jallfoss.fcc.gov/ecfs2/" TargetMode="External"/><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www.pewresearch.org/fact-tank/2014/07/08/two-of-every-five-u-s-households-have-only-wireless-phones/" TargetMode="External"/><Relationship Id="rId13" Type="http://schemas.openxmlformats.org/officeDocument/2006/relationships/hyperlink" Target="http://news.centurylink.com/news/centurylink-expands-its-gigabit-service-to-16-cities-delivering-broadband-speeds-up-to-1-gigabit-per-second" TargetMode="External"/><Relationship Id="rId18" Type="http://schemas.openxmlformats.org/officeDocument/2006/relationships/hyperlink" Target="http://blogs.wsj.com/corporate-intelligence/2014/04/24/verizon-wireless-gets-a-boost-from-home-phones-yes-home-phones" TargetMode="External"/><Relationship Id="rId26" Type="http://schemas.openxmlformats.org/officeDocument/2006/relationships/hyperlink" Target="http://www.verizon.com/about/news/verizon-keeps-western-fire-island-residents-businesses-connected-summer-vacation-season-ramps-0/" TargetMode="External"/><Relationship Id="rId39" Type="http://schemas.openxmlformats.org/officeDocument/2006/relationships/hyperlink" Target="http://csrc.nist.gov/cyberframework/rfi_comment_october_2014/20141010_ustelecom_scott.pdf" TargetMode="External"/><Relationship Id="rId3" Type="http://schemas.openxmlformats.org/officeDocument/2006/relationships/hyperlink" Target="http://online.wsj.com/articles/SB10001424052702303325204579465321638954500" TargetMode="External"/><Relationship Id="rId21" Type="http://schemas.openxmlformats.org/officeDocument/2006/relationships/hyperlink" Target="http://www.fiercetelecom.com/story/att-centurylink-frontier-see-utility-copper-want-flexibility-technology-tra/2014-03-18" TargetMode="External"/><Relationship Id="rId34" Type="http://schemas.openxmlformats.org/officeDocument/2006/relationships/hyperlink" Target="http://www.fcc.gov/encyclopedia/section-251-wireline-network-changes" TargetMode="External"/><Relationship Id="rId42" Type="http://schemas.openxmlformats.org/officeDocument/2006/relationships/hyperlink" Target="http://www.sba.gov/sites/default/files/FAQ_Sept_2012.pdf" TargetMode="External"/><Relationship Id="rId7" Type="http://schemas.openxmlformats.org/officeDocument/2006/relationships/hyperlink" Target="http://www.fcc.gov/document/chairman-julius-genachowski-prepared-remarks-digital-television-transition-fcc-open-meeting" TargetMode="External"/><Relationship Id="rId12" Type="http://schemas.openxmlformats.org/officeDocument/2006/relationships/hyperlink" Target="http://about.att.com/story/att_eyes_100_u_s_cities_and_municipalities_for_its_ultra_fast_fiber_network.html" TargetMode="External"/><Relationship Id="rId17" Type="http://schemas.openxmlformats.org/officeDocument/2006/relationships/hyperlink" Target="https://apps.fcc.gov/edocs_public/attachmatch/DOC-316063A1.pdf" TargetMode="External"/><Relationship Id="rId25" Type="http://schemas.openxmlformats.org/officeDocument/2006/relationships/hyperlink" Target="http://www.alcatel-lucent.com/press/2014/alcatel-lucent-sets-new-world-record-broadband-speed-10-gbps-transmission-data-over-traditional" TargetMode="External"/><Relationship Id="rId33" Type="http://schemas.openxmlformats.org/officeDocument/2006/relationships/hyperlink" Target="http://www.fcc.gov/blog/protecting-consumers-transition-copper-networks" TargetMode="External"/><Relationship Id="rId38" Type="http://schemas.openxmlformats.org/officeDocument/2006/relationships/hyperlink" Target="http://csrc.nist.gov/cyberframework/rfi_comment_october_2014/20141010_nationalcableandtelecommunicationsassociation_lohman.pdf" TargetMode="External"/><Relationship Id="rId46" Type="http://schemas.openxmlformats.org/officeDocument/2006/relationships/hyperlink" Target="http://www.census.gov/cgi-bin/sssd/naics/naicsrch?code=517919&amp;search=2007%20NAICS%20Search" TargetMode="External"/><Relationship Id="rId2" Type="http://schemas.openxmlformats.org/officeDocument/2006/relationships/hyperlink" Target="https://www.publicknowledge.org/news-blog/blogs/the-phone-network-transition-lessons-from-fire-island" TargetMode="External"/><Relationship Id="rId16" Type="http://schemas.openxmlformats.org/officeDocument/2006/relationships/hyperlink" Target="https://apps.fcc.gov/edocs_public/attachmatch/DOC-315325A1.pdf" TargetMode="External"/><Relationship Id="rId20" Type="http://schemas.openxmlformats.org/officeDocument/2006/relationships/hyperlink" Target="https://apps.fcc.gov/edocs_public/attachmatch/DOC-326961A1.pdf" TargetMode="External"/><Relationship Id="rId29" Type="http://schemas.openxmlformats.org/officeDocument/2006/relationships/hyperlink" Target="http://transition.fcc.gov/bureaus/pshs/advisory/csric4/CSRIC%20Charter%20Renewal%202013.pdf" TargetMode="External"/><Relationship Id="rId41" Type="http://schemas.openxmlformats.org/officeDocument/2006/relationships/hyperlink" Target="http://apps.fcc.gov/ecfs/document/view?id=7022424983" TargetMode="External"/><Relationship Id="rId1" Type="http://schemas.openxmlformats.org/officeDocument/2006/relationships/hyperlink" Target="http://transition.fcc.gov/Daily_Releases/Daily_Business/2014/db1016/DOC-329975A1.pdf" TargetMode="External"/><Relationship Id="rId6" Type="http://schemas.openxmlformats.org/officeDocument/2006/relationships/hyperlink" Target="http://www.fcc.gov/info-needs-communities" TargetMode="External"/><Relationship Id="rId11" Type="http://schemas.openxmlformats.org/officeDocument/2006/relationships/hyperlink" Target="http://online.wsj.com/news/articles/SB10001424052702303703004577474491608119330" TargetMode="External"/><Relationship Id="rId24" Type="http://schemas.openxmlformats.org/officeDocument/2006/relationships/hyperlink" Target="http://www.zdnet.com/g-fast-1-gigabit-per-second-dsl-7000031575/" TargetMode="External"/><Relationship Id="rId32" Type="http://schemas.openxmlformats.org/officeDocument/2006/relationships/hyperlink" Target="http://publicpolicy.verizon.com/blog/entry/verizon-responds-to-the-fcc-fiber-is-better-even-for-pots" TargetMode="External"/><Relationship Id="rId37" Type="http://schemas.openxmlformats.org/officeDocument/2006/relationships/hyperlink" Target="http://csrc.nist.gov/cyberframework/rfi_comment_october_2014/20141010_ctia_marinho.pdf" TargetMode="External"/><Relationship Id="rId40" Type="http://schemas.openxmlformats.org/officeDocument/2006/relationships/hyperlink" Target="http://apps.fcc.gov/ecfs/document/view?id=7520942191" TargetMode="External"/><Relationship Id="rId45" Type="http://schemas.openxmlformats.org/officeDocument/2006/relationships/hyperlink" Target="http://www.census.gov/cgi-bin/sssd/naics/naicsrch?code=517110&amp;search=2007%20NAICS%20Search" TargetMode="External"/><Relationship Id="rId5" Type="http://schemas.openxmlformats.org/officeDocument/2006/relationships/hyperlink" Target="https://apps.fcc.gov/edocs_public/attachmatch/DOC-291389A1.pdf" TargetMode="External"/><Relationship Id="rId15" Type="http://schemas.openxmlformats.org/officeDocument/2006/relationships/hyperlink" Target="https://apps.fcc.gov/edocs_public/attachmatch/DOC-306258A1.pdf" TargetMode="External"/><Relationship Id="rId23" Type="http://schemas.openxmlformats.org/officeDocument/2006/relationships/hyperlink" Target="https://apps.fcc.gov/edocs_public/attachmatch/DOC-326839A1.pdf" TargetMode="External"/><Relationship Id="rId28" Type="http://schemas.openxmlformats.org/officeDocument/2006/relationships/hyperlink" Target="http://www.verizon.com/battery" TargetMode="External"/><Relationship Id="rId36" Type="http://schemas.openxmlformats.org/officeDocument/2006/relationships/hyperlink" Target="https://ebiznet.att.com/networkreg/" TargetMode="External"/><Relationship Id="rId10" Type="http://schemas.openxmlformats.org/officeDocument/2006/relationships/hyperlink" Target="http://publicpolicy.verizon.com/blog/entry/verizon-responds-to-the-fcc-fiber-is-better-even-for-pots" TargetMode="External"/><Relationship Id="rId19" Type="http://schemas.openxmlformats.org/officeDocument/2006/relationships/hyperlink" Target="https://apps.fcc.gov/edocs_public/attachmatch/DOC-326960A1.pdf" TargetMode="External"/><Relationship Id="rId31" Type="http://schemas.openxmlformats.org/officeDocument/2006/relationships/hyperlink" Target="http://www.arkansasmatters.com/story/d/story/verizon-opens-charging-stations-to-help-in-central/51574/iuj83EGVZku5tFfIPnAe1g" TargetMode="External"/><Relationship Id="rId44" Type="http://schemas.openxmlformats.org/officeDocument/2006/relationships/hyperlink" Target="http://www.census.gov/cgi-bin/sssd/naics/naicsrch?code=517212&amp;search=2002%20NAICS%20Search" TargetMode="External"/><Relationship Id="rId4" Type="http://schemas.openxmlformats.org/officeDocument/2006/relationships/hyperlink" Target="http://www.fcc.gov/document/chairman-wheeler-comptel-fall-convention-expo-dallas-tx" TargetMode="External"/><Relationship Id="rId9" Type="http://schemas.openxmlformats.org/officeDocument/2006/relationships/hyperlink" Target="http://www.fcc.gov/events/technology-transitions-and-public-safety" TargetMode="External"/><Relationship Id="rId14" Type="http://schemas.openxmlformats.org/officeDocument/2006/relationships/hyperlink" Target="http://www.fcc.gov/encyclopedia/section-251-wireline-network-changes" TargetMode="External"/><Relationship Id="rId22" Type="http://schemas.openxmlformats.org/officeDocument/2006/relationships/hyperlink" Target="https://apps.fcc.gov/edocs_public/attachmatch/DOC-326838A1.pdf" TargetMode="External"/><Relationship Id="rId27" Type="http://schemas.openxmlformats.org/officeDocument/2006/relationships/hyperlink" Target="http://transition.fcc.gov/pshs/advisory/csric4/CSRIC%20WG10%20CPE%20Powering%20Best%20Practices%20Final%20Draft%20v2%20082014.pdf" TargetMode="External"/><Relationship Id="rId30" Type="http://schemas.openxmlformats.org/officeDocument/2006/relationships/hyperlink" Target="http://www.cnet.com/news/six-things-to-know-about-smartphone-batteries" TargetMode="External"/><Relationship Id="rId35" Type="http://schemas.openxmlformats.org/officeDocument/2006/relationships/hyperlink" Target="http://www.fcc.gov/complaints" TargetMode="External"/><Relationship Id="rId43" Type="http://schemas.openxmlformats.org/officeDocument/2006/relationships/hyperlink" Target="http://www.census.gov/cgi-bin/sssd/naics/naicsrch?code=517211&amp;search=2002%20NAICS%20Sear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2</Pages>
  <Words>32376</Words>
  <Characters>179679</Characters>
  <Application>Microsoft Office Word</Application>
  <DocSecurity>0</DocSecurity>
  <Lines>2448</Lines>
  <Paragraphs>436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212815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2014-12-18T22:30:00Z</dcterms:created>
  <dcterms:modified xsi:type="dcterms:W3CDTF">2014-12-18T22:30:00Z</dcterms:modified>
  <cp:category> </cp:category>
  <cp:contentStatus> </cp:contentStatus>
</cp:coreProperties>
</file>