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6B599" w14:textId="77777777" w:rsidR="004F67FF" w:rsidRPr="00A474B0" w:rsidRDefault="004F67FF" w:rsidP="004F67FF">
      <w:pPr>
        <w:widowControl/>
        <w:jc w:val="center"/>
        <w:rPr>
          <w:rFonts w:eastAsiaTheme="minorHAnsi" w:cstheme="minorBidi"/>
          <w:b/>
          <w:snapToGrid/>
          <w:kern w:val="0"/>
          <w:szCs w:val="22"/>
        </w:rPr>
      </w:pPr>
      <w:bookmarkStart w:id="0" w:name="_GoBack"/>
      <w:bookmarkEnd w:id="0"/>
      <w:r w:rsidRPr="00A474B0">
        <w:rPr>
          <w:rFonts w:eastAsiaTheme="minorHAnsi" w:cstheme="minorBidi"/>
          <w:b/>
          <w:snapToGrid/>
          <w:kern w:val="0"/>
          <w:szCs w:val="22"/>
        </w:rPr>
        <w:t xml:space="preserve">STATEMENT OF </w:t>
      </w:r>
    </w:p>
    <w:p w14:paraId="09F193D0" w14:textId="77777777" w:rsidR="004F67FF" w:rsidRPr="00A474B0" w:rsidRDefault="004F67FF" w:rsidP="004F67FF">
      <w:pPr>
        <w:widowControl/>
        <w:spacing w:after="240"/>
        <w:jc w:val="center"/>
        <w:rPr>
          <w:rFonts w:eastAsiaTheme="minorHAnsi" w:cstheme="minorBidi"/>
          <w:b/>
          <w:snapToGrid/>
          <w:kern w:val="0"/>
          <w:szCs w:val="22"/>
        </w:rPr>
      </w:pPr>
      <w:r w:rsidRPr="00A474B0">
        <w:rPr>
          <w:rFonts w:eastAsiaTheme="minorHAnsi" w:cstheme="minorBidi"/>
          <w:b/>
          <w:snapToGrid/>
          <w:kern w:val="0"/>
          <w:szCs w:val="22"/>
        </w:rPr>
        <w:t>COMMISSIONER AJIT PAI,</w:t>
      </w:r>
      <w:r w:rsidRPr="00A474B0">
        <w:rPr>
          <w:rFonts w:eastAsiaTheme="minorHAnsi" w:cstheme="minorBidi"/>
          <w:b/>
          <w:snapToGrid/>
          <w:kern w:val="0"/>
          <w:szCs w:val="22"/>
        </w:rPr>
        <w:br/>
        <w:t>CONCURRING IN PART AND DISSENTING IN PART</w:t>
      </w:r>
    </w:p>
    <w:p w14:paraId="13C05540" w14:textId="77777777" w:rsidR="004F67FF" w:rsidRPr="00A474B0" w:rsidRDefault="004F67FF" w:rsidP="004F67FF">
      <w:pPr>
        <w:widowControl/>
        <w:ind w:left="720" w:hanging="720"/>
        <w:rPr>
          <w:rFonts w:eastAsiaTheme="minorHAnsi"/>
          <w:snapToGrid/>
          <w:kern w:val="0"/>
          <w:szCs w:val="22"/>
        </w:rPr>
      </w:pPr>
      <w:r w:rsidRPr="00A474B0">
        <w:rPr>
          <w:rFonts w:eastAsiaTheme="minorHAnsi"/>
          <w:snapToGrid/>
          <w:kern w:val="0"/>
          <w:szCs w:val="22"/>
        </w:rPr>
        <w:t>Re:</w:t>
      </w:r>
      <w:r w:rsidRPr="00A474B0">
        <w:rPr>
          <w:rFonts w:eastAsiaTheme="minorHAnsi"/>
          <w:snapToGrid/>
          <w:kern w:val="0"/>
          <w:szCs w:val="22"/>
        </w:rPr>
        <w:tab/>
      </w:r>
      <w:r w:rsidRPr="00A474B0">
        <w:rPr>
          <w:rFonts w:eastAsiaTheme="minorHAnsi"/>
          <w:i/>
          <w:snapToGrid/>
          <w:kern w:val="0"/>
          <w:szCs w:val="22"/>
        </w:rPr>
        <w:t>Ensuring Customer Premises Equipment Backup Power for Continuity of Communications</w:t>
      </w:r>
      <w:r w:rsidRPr="00A474B0">
        <w:rPr>
          <w:rFonts w:eastAsiaTheme="minorHAnsi"/>
          <w:snapToGrid/>
          <w:kern w:val="0"/>
          <w:szCs w:val="22"/>
        </w:rPr>
        <w:t>,</w:t>
      </w:r>
      <w:r w:rsidRPr="00A474B0">
        <w:rPr>
          <w:rFonts w:eastAsiaTheme="minorHAnsi"/>
          <w:i/>
          <w:snapToGrid/>
          <w:kern w:val="0"/>
          <w:szCs w:val="22"/>
        </w:rPr>
        <w:t xml:space="preserve"> </w:t>
      </w:r>
      <w:r w:rsidRPr="00A474B0">
        <w:rPr>
          <w:rFonts w:eastAsiaTheme="minorHAnsi"/>
          <w:snapToGrid/>
          <w:kern w:val="0"/>
          <w:szCs w:val="22"/>
        </w:rPr>
        <w:t>PS Docket No, 14-174,</w:t>
      </w:r>
      <w:r w:rsidRPr="00A474B0">
        <w:rPr>
          <w:rFonts w:eastAsiaTheme="minorHAnsi"/>
          <w:i/>
          <w:snapToGrid/>
          <w:kern w:val="0"/>
          <w:szCs w:val="22"/>
        </w:rPr>
        <w:t xml:space="preserve"> Technology Transitions</w:t>
      </w:r>
      <w:r w:rsidRPr="00A474B0">
        <w:rPr>
          <w:rFonts w:eastAsiaTheme="minorHAnsi"/>
          <w:snapToGrid/>
          <w:kern w:val="0"/>
          <w:szCs w:val="22"/>
        </w:rPr>
        <w:t>, GN Docket No. 13-5,</w:t>
      </w:r>
      <w:r w:rsidRPr="00A474B0">
        <w:rPr>
          <w:rFonts w:eastAsiaTheme="minorHAnsi"/>
          <w:i/>
          <w:snapToGrid/>
          <w:kern w:val="0"/>
          <w:szCs w:val="22"/>
        </w:rPr>
        <w:t xml:space="preserve"> Policies and Rules Governing Retirement Of Copper Loops by Incumbent Local Exchange Carriers</w:t>
      </w:r>
      <w:r w:rsidRPr="00A474B0">
        <w:rPr>
          <w:rFonts w:eastAsiaTheme="minorHAnsi"/>
          <w:snapToGrid/>
          <w:kern w:val="0"/>
          <w:szCs w:val="22"/>
        </w:rPr>
        <w:t>, RM-11358,</w:t>
      </w:r>
      <w:r w:rsidRPr="00A474B0">
        <w:rPr>
          <w:rFonts w:eastAsiaTheme="minorHAnsi"/>
          <w:i/>
          <w:snapToGrid/>
          <w:kern w:val="0"/>
          <w:szCs w:val="22"/>
        </w:rPr>
        <w:t xml:space="preserve"> Special Access for Price Cap Local Exchange Carriers</w:t>
      </w:r>
      <w:r w:rsidRPr="00A474B0">
        <w:rPr>
          <w:rFonts w:eastAsiaTheme="minorHAnsi"/>
          <w:snapToGrid/>
          <w:kern w:val="0"/>
          <w:szCs w:val="22"/>
        </w:rPr>
        <w:t>, WC Docket No. 05-25,</w:t>
      </w:r>
      <w:r w:rsidRPr="00A474B0">
        <w:rPr>
          <w:rFonts w:eastAsiaTheme="minorHAnsi"/>
          <w:i/>
          <w:snapToGrid/>
          <w:kern w:val="0"/>
          <w:szCs w:val="22"/>
        </w:rPr>
        <w:t xml:space="preserve"> AT&amp;T Corporation Petition for Rulemaking to Reform Regulation of Incumbent Local Exchange Carrier Rates for Interstate Special Access Services</w:t>
      </w:r>
      <w:r w:rsidRPr="00A474B0">
        <w:rPr>
          <w:rFonts w:eastAsiaTheme="minorHAnsi"/>
          <w:snapToGrid/>
          <w:kern w:val="0"/>
          <w:szCs w:val="22"/>
        </w:rPr>
        <w:t>, RM-10593.</w:t>
      </w:r>
    </w:p>
    <w:p w14:paraId="5493450D" w14:textId="77777777" w:rsidR="004F67FF" w:rsidRPr="00A474B0" w:rsidRDefault="004F67FF" w:rsidP="004F67FF">
      <w:pPr>
        <w:widowControl/>
        <w:ind w:left="720" w:hanging="720"/>
        <w:rPr>
          <w:rFonts w:eastAsiaTheme="minorHAnsi"/>
          <w:i/>
          <w:snapToGrid/>
          <w:kern w:val="0"/>
          <w:szCs w:val="22"/>
        </w:rPr>
      </w:pPr>
    </w:p>
    <w:p w14:paraId="1EBE7718" w14:textId="77777777" w:rsidR="008100F2" w:rsidRDefault="008100F2" w:rsidP="003F0F7D">
      <w:pPr>
        <w:spacing w:after="120"/>
        <w:ind w:firstLine="720"/>
      </w:pPr>
      <w:r>
        <w:t>In the story of Chicken Little, an acorn falls on a young hen’s head, and she becomes convinced that the sky is falling.  Some in Washington have had that same reaction to the IP Transition.  They evidently believe that the replacement of aging twisted pairs of copper with fiber and IP-based services presages disaster.</w:t>
      </w:r>
    </w:p>
    <w:p w14:paraId="0BEB8E64" w14:textId="77777777" w:rsidR="008100F2" w:rsidRDefault="008100F2" w:rsidP="003F0F7D">
      <w:pPr>
        <w:spacing w:after="120"/>
        <w:ind w:firstLine="720"/>
      </w:pPr>
      <w:r>
        <w:t>But I believe we must act on concrete evidence, not hypothetical harms.  And the fact is that the IP Transition promises all Americans a brighter future.  Fiber provides better service quality and increased network capacity.  IP networks hold the promise of more effective emergency response through Next Generation 911, better healthcare through telemedicine, and improved educational outcomes through distance learning.  Judging from the 40 million residential landlines shed in the last five years, consumers prefer these new services because they offer more bang for fewer bucks.  Indeed, more residential consumers now subscribe to interconnected VoIP than plain old telephone service.</w:t>
      </w:r>
      <w:r>
        <w:rPr>
          <w:rStyle w:val="FootnoteReference"/>
        </w:rPr>
        <w:footnoteReference w:id="2"/>
      </w:r>
    </w:p>
    <w:p w14:paraId="66C24E6B" w14:textId="77777777" w:rsidR="008100F2" w:rsidRDefault="008100F2" w:rsidP="003F0F7D">
      <w:pPr>
        <w:spacing w:after="120"/>
        <w:ind w:firstLine="720"/>
      </w:pPr>
      <w:r>
        <w:t>Given this context, I have serious reservations about today’s item.  I worry that we are well on our way to becoming like Ducky Lucky, Goosey Loosey, and the other characters who join in Chicken Little’s hysteria.  All too much ink is spilled in this item discussing every conceivable harm that might come with the IP Transition.  Not enough mention is made of its benefits or of ways to incentivize companies to upgrade their networks and roll out new services.  I am therefore concerned that the end result of this proceeding will be rules that frustrate rather than further the IP Transition, regulations that deter rather than promote fiber deployment, and requirements that slow rather than expedite the availability of high-speed broadband throughout our nation.</w:t>
      </w:r>
    </w:p>
    <w:p w14:paraId="474752A3" w14:textId="77777777" w:rsidR="008100F2" w:rsidRDefault="008100F2" w:rsidP="003F0F7D">
      <w:pPr>
        <w:spacing w:after="120"/>
        <w:ind w:firstLine="720"/>
      </w:pPr>
      <w:r>
        <w:t xml:space="preserve">Nonetheless, some of the questions asked here are questions that must be asked—so I am glad that we are asking them.  I also appreciate my colleagues’ willingness to temper the harsher edges of the </w:t>
      </w:r>
      <w:r w:rsidRPr="00EC6523">
        <w:rPr>
          <w:i/>
        </w:rPr>
        <w:t>Notice</w:t>
      </w:r>
      <w:r>
        <w:t xml:space="preserve"> and include questions I suggested.  For example, I am grateful that the item now includes my simple alternative to more invasive battery backup mandates: a straightforward requirement that all telephone companies make available at least one phone that can use commercially available batteries in case of power outages.</w:t>
      </w:r>
      <w:r>
        <w:rPr>
          <w:rStyle w:val="FootnoteReference"/>
        </w:rPr>
        <w:footnoteReference w:id="3"/>
      </w:r>
      <w:r>
        <w:t xml:space="preserve">  Similarly, I am pleased that we ask about the costs of compliance and the benefits of mandates given consumer usage patterns.</w:t>
      </w:r>
      <w:r>
        <w:rPr>
          <w:rStyle w:val="FootnoteReference"/>
        </w:rPr>
        <w:footnoteReference w:id="4"/>
      </w:r>
      <w:r>
        <w:t xml:space="preserve">  For instance, now that most consumers have mobile phones, I doubt all of them will want to pay the cost of a new carrier-installed battery backup for their landline.  And Commissioner O’Rielly deserves credit for leading the charge against a proposal for carriers to supply batteries to Walmarts and 7-Elevens in disaster-stricken areas.  For all of these reasons, I will vote, with some trepidation, to concur with the </w:t>
      </w:r>
      <w:r w:rsidRPr="00DD440D">
        <w:rPr>
          <w:i/>
        </w:rPr>
        <w:t>Notice</w:t>
      </w:r>
      <w:r>
        <w:t>.</w:t>
      </w:r>
    </w:p>
    <w:p w14:paraId="163A030C" w14:textId="77777777" w:rsidR="008100F2" w:rsidRDefault="008100F2" w:rsidP="003F0F7D">
      <w:pPr>
        <w:spacing w:after="120"/>
        <w:ind w:firstLine="720"/>
      </w:pPr>
      <w:r>
        <w:t xml:space="preserve">But I must dissent from today’s </w:t>
      </w:r>
      <w:r w:rsidRPr="00DD440D">
        <w:rPr>
          <w:i/>
        </w:rPr>
        <w:t>Declaratory Ruling</w:t>
      </w:r>
      <w:r>
        <w:t xml:space="preserve">, which expands the scope of section 214 of </w:t>
      </w:r>
      <w:r>
        <w:lastRenderedPageBreak/>
        <w:t>the Communications Act.  For those not steeped in telecom arcana, section 214 is the mother-may-I provision of Title II.  If a carrier wants to sell its lines, discontinue a legacy service that’s no longer of use to most consumers, or exit the business entirely, it must first ask the FCC for permission.  It isn’t a speedy process.  The FCC sometimes sits on these requests for months or even years.</w:t>
      </w:r>
    </w:p>
    <w:p w14:paraId="4A938FF1" w14:textId="77777777" w:rsidR="008100F2" w:rsidRDefault="008100F2" w:rsidP="003F0F7D">
      <w:pPr>
        <w:spacing w:after="120"/>
        <w:ind w:firstLine="720"/>
      </w:pPr>
      <w:r>
        <w:t>By its very nature, Section 214 is about as close to governmental central planning as you can get in free-market America.  Perhaps for this reason, the FCC until today interpreted it judiciously.  For example, it’s been hornbook law for 35 years that “</w:t>
      </w:r>
      <w:r w:rsidRPr="00A91CFC">
        <w:t>use of the Section 214 discontinuance process to challenge changes in rates, terms, and conditions of</w:t>
      </w:r>
      <w:r>
        <w:t xml:space="preserve"> service would be inappropriate.”</w:t>
      </w:r>
      <w:r>
        <w:rPr>
          <w:rStyle w:val="FootnoteReference"/>
        </w:rPr>
        <w:footnoteReference w:id="5"/>
      </w:r>
      <w:r>
        <w:t xml:space="preserve">  Similarly, even if a network change means someone “will </w:t>
      </w:r>
      <w:r w:rsidRPr="00664A81">
        <w:t xml:space="preserve">no longer be able to use </w:t>
      </w:r>
      <w:r>
        <w:t>[certain]</w:t>
      </w:r>
      <w:r w:rsidRPr="00664A81">
        <w:t xml:space="preserve"> equipment</w:t>
      </w:r>
      <w:r>
        <w:t>”—say, a fax machine—that does “</w:t>
      </w:r>
      <w:r w:rsidRPr="00664A81">
        <w:t>not present a Section 214 question</w:t>
      </w:r>
      <w:r>
        <w:t>.”</w:t>
      </w:r>
      <w:r>
        <w:rPr>
          <w:rStyle w:val="FootnoteReference"/>
        </w:rPr>
        <w:footnoteReference w:id="6"/>
      </w:r>
      <w:r>
        <w:t xml:space="preserve">  In other words, it’s only necessary for a carrier to invoke the section 214 process when it seeks to discontinue entirely a particular service—not changes to the features of that service.</w:t>
      </w:r>
      <w:r>
        <w:rPr>
          <w:rStyle w:val="FootnoteReference"/>
        </w:rPr>
        <w:footnoteReference w:id="7"/>
      </w:r>
    </w:p>
    <w:p w14:paraId="1A05ED51" w14:textId="77777777" w:rsidR="008100F2" w:rsidRDefault="008100F2" w:rsidP="007F1865">
      <w:pPr>
        <w:widowControl/>
        <w:spacing w:after="120"/>
        <w:ind w:firstLine="720"/>
      </w:pPr>
      <w:r>
        <w:t>But the Commission now decides to require carriers to seek permission from the FCC before discontinuing almost “every [network] feature no matter how little-used or old-fashioned.”</w:t>
      </w:r>
      <w:r>
        <w:rPr>
          <w:rStyle w:val="FootnoteReference"/>
        </w:rPr>
        <w:footnoteReference w:id="8"/>
      </w:r>
      <w:r>
        <w:t xml:space="preserve">  This abrupt reversal of decades-old policy is unnecessary and counterproductive.</w:t>
      </w:r>
      <w:r>
        <w:rPr>
          <w:rStyle w:val="FootnoteReference"/>
        </w:rPr>
        <w:footnoteReference w:id="9"/>
      </w:r>
      <w:r>
        <w:t xml:space="preserve">  The Commission has no business micromanaging each and every change that a carrier makes to its network.</w:t>
      </w:r>
    </w:p>
    <w:p w14:paraId="706DEAF4" w14:textId="77777777" w:rsidR="008100F2" w:rsidRDefault="008100F2" w:rsidP="007F1865">
      <w:pPr>
        <w:widowControl/>
        <w:spacing w:after="120"/>
        <w:ind w:firstLine="720"/>
      </w:pPr>
      <w:r>
        <w:t xml:space="preserve">To get a sense of how intrusive this decision is, consider these comparisons from the application layer.  Imagine if Google had to seek regulatory permission to change features on Gmail or transition to </w:t>
      </w:r>
      <w:r>
        <w:lastRenderedPageBreak/>
        <w:t>Google Inbox.  Or if Facebook had to beg permission before changing the layout of users’ NewsFeeds.  Or if Twitter couldn’t make its mobile platform more user-friendly without the FCC’s say-so.  Currently, nobody would countenance that level of government intrusion into technology companies’ business decisions (although watch out if the Commission heads down the Title II path).  But that’s exactly what the Commission does today with respect to transmission services.</w:t>
      </w:r>
    </w:p>
    <w:p w14:paraId="43DB8B20" w14:textId="77777777" w:rsidR="008100F2" w:rsidRDefault="008100F2" w:rsidP="003F0F7D">
      <w:pPr>
        <w:spacing w:after="120"/>
        <w:ind w:firstLine="720"/>
      </w:pPr>
      <w:r>
        <w:t xml:space="preserve">Dramatically expanding the scope of the section 214 permission-seeking process means that carriers will have to keep investing in legacy copper networks to support service features that may be used by few if any actual consumers.  This </w:t>
      </w:r>
      <w:r w:rsidRPr="0063234F">
        <w:rPr>
          <w:i/>
        </w:rPr>
        <w:t>Hotel California</w:t>
      </w:r>
      <w:r>
        <w:t>-style regulatory approach condemns carriers to checking out of copper any time they like, but never being able to leave.</w:t>
      </w:r>
    </w:p>
    <w:p w14:paraId="58752776" w14:textId="77777777" w:rsidR="008100F2" w:rsidRDefault="008100F2" w:rsidP="003F0F7D">
      <w:pPr>
        <w:spacing w:after="120"/>
        <w:ind w:firstLine="720"/>
      </w:pPr>
      <w:r>
        <w:t>And ultimately, this will be very bad for the American consumer.  Every dollar wasted maintaining last century’s fading technology is by definition a dollar that cannot go to next-generation networks.  You can’t have it both ways, making carriers connect using copper but then decrying their failure to invest in fiber.  You can’t complain about the alleged broadband bottleneck held by one part of the industry when you prevent a would-be competitor from transitioning fully to IP-based networks.  All this means that areas with the lowest profit margins—low-income areas, rural areas, and others—must wait that much longer for 21</w:t>
      </w:r>
      <w:r w:rsidRPr="007803ED">
        <w:rPr>
          <w:vertAlign w:val="superscript"/>
        </w:rPr>
        <w:t>st</w:t>
      </w:r>
      <w:r>
        <w:t xml:space="preserve"> century service.</w:t>
      </w:r>
    </w:p>
    <w:p w14:paraId="2177B5BB" w14:textId="77777777" w:rsidR="008100F2" w:rsidRDefault="008100F2" w:rsidP="003F0F7D">
      <w:pPr>
        <w:spacing w:after="120"/>
        <w:ind w:firstLine="720"/>
      </w:pPr>
      <w:r>
        <w:t xml:space="preserve">There’s another problem here:  We never asked the public to weigh in on this issue.  That’s not how we are supposed to operate.  Usually, if there’s a matter of substantial public concern, we solicit public comment so that all stakeholders—from consumers to carriers—have an opportunity to let us know what they think.  But when I asked to transform these conclusions into questions as part of today’s </w:t>
      </w:r>
      <w:r w:rsidRPr="00EC6523">
        <w:rPr>
          <w:i/>
        </w:rPr>
        <w:t>Notice</w:t>
      </w:r>
      <w:r>
        <w:t>, I was told that the sky was falling, that carriers might upgrade their networks without FCC permission, and those upgrades might affect someone somewhere.  Such hypothetical harms on the horizon are no reason to disregard the well-established process for getting public input.</w:t>
      </w:r>
    </w:p>
    <w:p w14:paraId="59D894E7" w14:textId="6780799D" w:rsidR="0037635C" w:rsidRPr="00EA5333" w:rsidRDefault="008100F2" w:rsidP="00376CFA">
      <w:pPr>
        <w:widowControl/>
        <w:spacing w:after="120"/>
        <w:ind w:firstLine="720"/>
      </w:pPr>
      <w:r>
        <w:t>At the end of the most common version of Chicken Little, a fox lures the title character and her friends into his lair and eats them.  The moral of the story, of course, is to make decisions logically and not to succumb to panic and hysteria.  The Commission would do well to heed that lesson as we move forward in this proceeding and others impacting the IP Transition.  For if we don’t, it will be the Commission that is standing in the way of progress that would benefit the American people.</w:t>
      </w:r>
    </w:p>
    <w:sectPr w:rsidR="0037635C" w:rsidRPr="00EA5333" w:rsidSect="007F3B49">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BFD10" w14:textId="77777777" w:rsidR="00DD4F66" w:rsidRDefault="00DD4F66">
      <w:pPr>
        <w:spacing w:line="20" w:lineRule="exact"/>
      </w:pPr>
    </w:p>
  </w:endnote>
  <w:endnote w:type="continuationSeparator" w:id="0">
    <w:p w14:paraId="6728D26D" w14:textId="77777777" w:rsidR="00DD4F66" w:rsidRDefault="00DD4F66">
      <w:r>
        <w:t xml:space="preserve"> </w:t>
      </w:r>
    </w:p>
  </w:endnote>
  <w:endnote w:type="continuationNotice" w:id="1">
    <w:p w14:paraId="1EB0B6D9" w14:textId="77777777" w:rsidR="00DD4F66" w:rsidRDefault="00DD4F6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BB4AB" w14:textId="77777777" w:rsidR="009769CC" w:rsidRDefault="009769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583281"/>
      <w:docPartObj>
        <w:docPartGallery w:val="Page Numbers (Bottom of Page)"/>
        <w:docPartUnique/>
      </w:docPartObj>
    </w:sdtPr>
    <w:sdtEndPr>
      <w:rPr>
        <w:noProof/>
      </w:rPr>
    </w:sdtEndPr>
    <w:sdtContent>
      <w:p w14:paraId="06EAC4F3" w14:textId="77777777" w:rsidR="00FE1B54" w:rsidRDefault="00FE1B54" w:rsidP="003F0F7D">
        <w:pPr>
          <w:pStyle w:val="Footer"/>
          <w:jc w:val="center"/>
        </w:pPr>
        <w:r>
          <w:fldChar w:fldCharType="begin"/>
        </w:r>
        <w:r>
          <w:instrText xml:space="preserve"> PAGE   \* MERGEFORMAT </w:instrText>
        </w:r>
        <w:r>
          <w:fldChar w:fldCharType="separate"/>
        </w:r>
        <w:r w:rsidR="00BF1772">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91990" w14:textId="77777777" w:rsidR="009769CC" w:rsidRDefault="00976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60935" w14:textId="77777777" w:rsidR="00DD4F66" w:rsidRDefault="00DD4F66">
      <w:r>
        <w:separator/>
      </w:r>
    </w:p>
  </w:footnote>
  <w:footnote w:type="continuationSeparator" w:id="0">
    <w:p w14:paraId="6BC25B7F" w14:textId="77777777" w:rsidR="00DD4F66" w:rsidRDefault="00DD4F66" w:rsidP="00C721AC">
      <w:pPr>
        <w:spacing w:before="120"/>
        <w:rPr>
          <w:sz w:val="20"/>
        </w:rPr>
      </w:pPr>
      <w:r>
        <w:rPr>
          <w:sz w:val="20"/>
        </w:rPr>
        <w:t xml:space="preserve">(Continued from previous page)  </w:t>
      </w:r>
      <w:r>
        <w:rPr>
          <w:sz w:val="20"/>
        </w:rPr>
        <w:separator/>
      </w:r>
    </w:p>
  </w:footnote>
  <w:footnote w:type="continuationNotice" w:id="1">
    <w:p w14:paraId="31C4183D" w14:textId="77777777" w:rsidR="00DD4F66" w:rsidRDefault="00DD4F66" w:rsidP="00C721AC">
      <w:pPr>
        <w:jc w:val="right"/>
        <w:rPr>
          <w:sz w:val="20"/>
        </w:rPr>
      </w:pPr>
      <w:r>
        <w:rPr>
          <w:sz w:val="20"/>
        </w:rPr>
        <w:t>(continued…)</w:t>
      </w:r>
    </w:p>
  </w:footnote>
  <w:footnote w:id="2">
    <w:p w14:paraId="3AF57209" w14:textId="77777777" w:rsidR="008100F2" w:rsidRDefault="008100F2" w:rsidP="008100F2">
      <w:pPr>
        <w:pStyle w:val="FootnoteText"/>
      </w:pPr>
      <w:r>
        <w:rPr>
          <w:rStyle w:val="FootnoteReference"/>
        </w:rPr>
        <w:footnoteRef/>
      </w:r>
      <w:r>
        <w:t xml:space="preserve"> </w:t>
      </w:r>
      <w:r w:rsidRPr="00065325">
        <w:rPr>
          <w:i/>
        </w:rPr>
        <w:t>See</w:t>
      </w:r>
      <w:r>
        <w:t xml:space="preserve"> </w:t>
      </w:r>
      <w:r w:rsidRPr="00065325">
        <w:t>FCC</w:t>
      </w:r>
      <w:r>
        <w:t xml:space="preserve">, Local Telephone Competition: Status as of December 31, 2013, at Figure 2 (Wireline Comp. Bur. Oct. 2014) (noting 37,683,000 residential interconnected VoIP lines versus 37,572,000 residential switched access lines in 2013); </w:t>
      </w:r>
      <w:r w:rsidRPr="00065325">
        <w:t>FCC</w:t>
      </w:r>
      <w:r>
        <w:t>, Local Telephone Competition: Status as of December 31, 2008, at Figure 1 (Wireline Comp. Bur. June 2010) (noting there were 78,174,000 residential switched access lines in 2008).</w:t>
      </w:r>
    </w:p>
  </w:footnote>
  <w:footnote w:id="3">
    <w:p w14:paraId="75249B9B" w14:textId="77777777" w:rsidR="008100F2" w:rsidRPr="000B1DD1" w:rsidRDefault="008100F2" w:rsidP="008100F2">
      <w:pPr>
        <w:pStyle w:val="FootnoteText"/>
      </w:pPr>
      <w:r>
        <w:rPr>
          <w:rStyle w:val="FootnoteReference"/>
        </w:rPr>
        <w:footnoteRef/>
      </w:r>
      <w:r>
        <w:t xml:space="preserve"> </w:t>
      </w:r>
      <w:r>
        <w:rPr>
          <w:i/>
        </w:rPr>
        <w:t>Notice</w:t>
      </w:r>
      <w:r>
        <w:t xml:space="preserve"> at para. 42.</w:t>
      </w:r>
    </w:p>
  </w:footnote>
  <w:footnote w:id="4">
    <w:p w14:paraId="18728F6F" w14:textId="77777777" w:rsidR="008100F2" w:rsidRPr="000B1DD1" w:rsidRDefault="008100F2" w:rsidP="008100F2">
      <w:pPr>
        <w:pStyle w:val="FootnoteText"/>
      </w:pPr>
      <w:r>
        <w:rPr>
          <w:rStyle w:val="FootnoteReference"/>
        </w:rPr>
        <w:footnoteRef/>
      </w:r>
      <w:r>
        <w:t xml:space="preserve"> </w:t>
      </w:r>
      <w:r>
        <w:rPr>
          <w:i/>
        </w:rPr>
        <w:t>Notice</w:t>
      </w:r>
      <w:r>
        <w:t xml:space="preserve"> at para. 41.</w:t>
      </w:r>
    </w:p>
  </w:footnote>
  <w:footnote w:id="5">
    <w:p w14:paraId="7DF54E31" w14:textId="77777777" w:rsidR="008100F2" w:rsidRDefault="008100F2" w:rsidP="008100F2">
      <w:pPr>
        <w:pStyle w:val="FootnoteText"/>
      </w:pPr>
      <w:r>
        <w:rPr>
          <w:rStyle w:val="FootnoteReference"/>
        </w:rPr>
        <w:footnoteRef/>
      </w:r>
      <w:r>
        <w:t xml:space="preserve"> </w:t>
      </w:r>
      <w:r w:rsidRPr="00664A81">
        <w:rPr>
          <w:i/>
        </w:rPr>
        <w:t>Western Union Telegraph Company Petition for Order to Require the Bell System to Continue to Provide Group/Supergroup Facilities</w:t>
      </w:r>
      <w:r>
        <w:t>, Memorandum Opinion and Order, 74 FCC.2d 293, 295, para. 6 (1979) (</w:t>
      </w:r>
      <w:r>
        <w:rPr>
          <w:i/>
        </w:rPr>
        <w:t>Western Union</w:t>
      </w:r>
      <w:r>
        <w:t>).</w:t>
      </w:r>
    </w:p>
  </w:footnote>
  <w:footnote w:id="6">
    <w:p w14:paraId="46C5A8D5" w14:textId="77777777" w:rsidR="008100F2" w:rsidRPr="00664A81" w:rsidRDefault="008100F2" w:rsidP="008100F2">
      <w:pPr>
        <w:pStyle w:val="FootnoteText"/>
      </w:pPr>
      <w:r>
        <w:rPr>
          <w:rStyle w:val="FootnoteReference"/>
        </w:rPr>
        <w:footnoteRef/>
      </w:r>
      <w:r>
        <w:t xml:space="preserve"> </w:t>
      </w:r>
      <w:r>
        <w:rPr>
          <w:i/>
        </w:rPr>
        <w:t>Id.</w:t>
      </w:r>
      <w:r>
        <w:t xml:space="preserve"> at 297, para. 9.</w:t>
      </w:r>
    </w:p>
  </w:footnote>
  <w:footnote w:id="7">
    <w:p w14:paraId="27EAD71C" w14:textId="77777777" w:rsidR="008100F2" w:rsidRPr="00664A81" w:rsidRDefault="008100F2" w:rsidP="008100F2">
      <w:pPr>
        <w:pStyle w:val="FootnoteText"/>
      </w:pPr>
      <w:r>
        <w:rPr>
          <w:rStyle w:val="FootnoteReference"/>
        </w:rPr>
        <w:footnoteRef/>
      </w:r>
      <w:r>
        <w:t xml:space="preserve"> </w:t>
      </w:r>
      <w:r>
        <w:rPr>
          <w:i/>
        </w:rPr>
        <w:t>Id.</w:t>
      </w:r>
      <w:r>
        <w:t xml:space="preserve"> at 295, n.4 (noting that Congress’s main concern in passing section 214 was loss of service during wartime, such as “</w:t>
      </w:r>
      <w:r w:rsidRPr="00664A81">
        <w:t>abandonment of existing telegraph offices</w:t>
      </w:r>
      <w:r>
        <w:t>” or “</w:t>
      </w:r>
      <w:r w:rsidRPr="00664A81">
        <w:t>discontinuance of service to military establishments and industries</w:t>
      </w:r>
      <w:r>
        <w:t>”).  Instead, the features, terms, and conditions of service are supposed to be “</w:t>
      </w:r>
      <w:r w:rsidRPr="00664A81">
        <w:t>established through the tariffing process</w:t>
      </w:r>
      <w:r>
        <w:t xml:space="preserve">.”  </w:t>
      </w:r>
      <w:r>
        <w:rPr>
          <w:i/>
        </w:rPr>
        <w:t>Id.</w:t>
      </w:r>
      <w:r>
        <w:t xml:space="preserve"> at 295, para. 6.</w:t>
      </w:r>
    </w:p>
  </w:footnote>
  <w:footnote w:id="8">
    <w:p w14:paraId="774B1DF1" w14:textId="77777777" w:rsidR="008100F2" w:rsidRPr="000B1DD1" w:rsidRDefault="008100F2" w:rsidP="008100F2">
      <w:pPr>
        <w:pStyle w:val="FootnoteText"/>
      </w:pPr>
      <w:r>
        <w:rPr>
          <w:rStyle w:val="FootnoteReference"/>
        </w:rPr>
        <w:footnoteRef/>
      </w:r>
      <w:r>
        <w:t xml:space="preserve"> </w:t>
      </w:r>
      <w:r>
        <w:rPr>
          <w:i/>
        </w:rPr>
        <w:t>Declaratory Ruling</w:t>
      </w:r>
      <w:r>
        <w:t xml:space="preserve"> at para. 118.  This may be the test.  But it’s hard to say for sure since it’s restated several different ways throughout:  “The relevant task . . . is </w:t>
      </w:r>
      <w:r w:rsidRPr="003B7BD2">
        <w:t xml:space="preserve">to </w:t>
      </w:r>
      <w:r>
        <w:t>identify</w:t>
      </w:r>
      <w:r w:rsidRPr="003B7BD2">
        <w:t xml:space="preserve"> the service </w:t>
      </w:r>
      <w:r>
        <w:t xml:space="preserve">the carrier </w:t>
      </w:r>
      <w:r w:rsidRPr="003B7BD2">
        <w:t xml:space="preserve">actually </w:t>
      </w:r>
      <w:r>
        <w:t>provides</w:t>
      </w:r>
      <w:r w:rsidRPr="003B7BD2">
        <w:t xml:space="preserve"> to end users</w:t>
      </w:r>
      <w:r>
        <w:t xml:space="preserve">.  In doing so, </w:t>
      </w:r>
      <w:r w:rsidRPr="00515113">
        <w:t xml:space="preserve">the </w:t>
      </w:r>
      <w:r>
        <w:t>Commission</w:t>
      </w:r>
      <w:r w:rsidRPr="00515113">
        <w:t xml:space="preserve"> takes a functional approach that evaluates the totality of the circumstances</w:t>
      </w:r>
      <w:r>
        <w:t>.”  “[A]</w:t>
      </w:r>
      <w:r w:rsidRPr="003B7BD2">
        <w:t xml:space="preserve"> carrier’s </w:t>
      </w:r>
      <w:r>
        <w:t>tariff definition . . . is important</w:t>
      </w:r>
      <w:r w:rsidRPr="003B7BD2">
        <w:t xml:space="preserve"> evidence</w:t>
      </w:r>
      <w:r>
        <w:t>.”  “</w:t>
      </w:r>
      <w:r w:rsidRPr="00515113">
        <w:t xml:space="preserve">Also relevant is what the </w:t>
      </w:r>
      <w:r>
        <w:t>‘</w:t>
      </w:r>
      <w:r w:rsidRPr="00515113">
        <w:t>community or part of a community</w:t>
      </w:r>
      <w:r>
        <w:t>’</w:t>
      </w:r>
      <w:r w:rsidRPr="00515113">
        <w:t xml:space="preserve"> reasonably </w:t>
      </w:r>
      <w:r>
        <w:t xml:space="preserve">would </w:t>
      </w:r>
      <w:r w:rsidRPr="00515113">
        <w:t xml:space="preserve">view as the service </w:t>
      </w:r>
      <w:r>
        <w:t>provided by the carrier.”  “An important factor in this analysis is the extent to which the functionality traditionally has been relied upon by the community.”  “</w:t>
      </w:r>
      <w:r w:rsidRPr="003B7BD2">
        <w:t xml:space="preserve">If relevant evidence indicates that the </w:t>
      </w:r>
      <w:r>
        <w:t>‘</w:t>
      </w:r>
      <w:r w:rsidRPr="003B7BD2">
        <w:t>service</w:t>
      </w:r>
      <w:r>
        <w:t>’</w:t>
      </w:r>
      <w:r w:rsidRPr="003B7BD2">
        <w:t xml:space="preserve"> provided includes features outside of the </w:t>
      </w:r>
      <w:r>
        <w:t>tariff</w:t>
      </w:r>
      <w:r w:rsidRPr="003B7BD2">
        <w:t xml:space="preserve"> definition, the Commission </w:t>
      </w:r>
      <w:r>
        <w:t>must</w:t>
      </w:r>
      <w:r w:rsidRPr="003B7BD2">
        <w:t xml:space="preserve"> under section 214(a) treat those features as part of the </w:t>
      </w:r>
      <w:r>
        <w:t>‘</w:t>
      </w:r>
      <w:r w:rsidRPr="003B7BD2">
        <w:t>service</w:t>
      </w:r>
      <w:r>
        <w:t>’</w:t>
      </w:r>
      <w:r w:rsidRPr="003B7BD2">
        <w:t xml:space="preserve"> for which prior approval </w:t>
      </w:r>
      <w:r>
        <w:t xml:space="preserve">to discontinue </w:t>
      </w:r>
      <w:r w:rsidRPr="003B7BD2">
        <w:t>must be sought</w:t>
      </w:r>
      <w:r>
        <w:t>.”  The Commission “</w:t>
      </w:r>
      <w:r w:rsidRPr="007A6FE3">
        <w:rPr>
          <w:szCs w:val="22"/>
        </w:rPr>
        <w:t xml:space="preserve">applies a functional test that takes into account the totality of the circumstances </w:t>
      </w:r>
      <w:r w:rsidRPr="007A6FE3">
        <w:t>from the perspective of the relevant community or part of a community</w:t>
      </w:r>
      <w:r>
        <w:t xml:space="preserve">.”  “[N]or are we saying that section 214(a) always will be triggered by proposed changes to . . . prior features.”  </w:t>
      </w:r>
      <w:r>
        <w:rPr>
          <w:i/>
        </w:rPr>
        <w:t>Declaratory Ruling</w:t>
      </w:r>
      <w:r>
        <w:t xml:space="preserve">, </w:t>
      </w:r>
      <w:r w:rsidRPr="008D032B">
        <w:rPr>
          <w:i/>
        </w:rPr>
        <w:t>passim</w:t>
      </w:r>
      <w:r>
        <w:t>.</w:t>
      </w:r>
    </w:p>
  </w:footnote>
  <w:footnote w:id="9">
    <w:p w14:paraId="17C89F6A" w14:textId="77777777" w:rsidR="008100F2" w:rsidRPr="00D2761B" w:rsidRDefault="008100F2" w:rsidP="008100F2">
      <w:pPr>
        <w:pStyle w:val="FootnoteText"/>
      </w:pPr>
      <w:r>
        <w:rPr>
          <w:rStyle w:val="FootnoteReference"/>
        </w:rPr>
        <w:footnoteRef/>
      </w:r>
      <w:r>
        <w:t xml:space="preserve"> The Declaratory Ruling asserts that the “decision here is [not] a departure from </w:t>
      </w:r>
      <w:r>
        <w:rPr>
          <w:i/>
        </w:rPr>
        <w:t>Western Union</w:t>
      </w:r>
      <w:r>
        <w:t xml:space="preserve">” because the “discussion and analysis [cited above] is specific to the carrier-to-carrier context.”  </w:t>
      </w:r>
      <w:r>
        <w:rPr>
          <w:i/>
        </w:rPr>
        <w:t>Declaratory Ruling</w:t>
      </w:r>
      <w:r>
        <w:t xml:space="preserve"> at note 227.  This is a rather odd charge given that all three citations offered by the ruling in that same footnote are specifically from the carrier-to-carrier context.  </w:t>
      </w:r>
      <w:r>
        <w:rPr>
          <w:i/>
        </w:rPr>
        <w:t>See</w:t>
      </w:r>
      <w:r>
        <w:t xml:space="preserve"> </w:t>
      </w:r>
      <w:r>
        <w:rPr>
          <w:i/>
        </w:rPr>
        <w:t>id.</w:t>
      </w:r>
      <w:r>
        <w:t xml:space="preserve"> (citing </w:t>
      </w:r>
      <w:r w:rsidRPr="000C1F5E">
        <w:rPr>
          <w:i/>
        </w:rPr>
        <w:t>Graphnet, Inc. v. AT&amp;T Corp.</w:t>
      </w:r>
      <w:r w:rsidRPr="000C1F5E">
        <w:t>, File No. E-94-41, Memorandum Opi</w:t>
      </w:r>
      <w:r>
        <w:t>nion and Order, 17 FCC Rcd 1131</w:t>
      </w:r>
      <w:r w:rsidRPr="000C1F5E">
        <w:t xml:space="preserve"> (2002)</w:t>
      </w:r>
      <w:r>
        <w:t xml:space="preserve"> (adjudicating a dispute between two carriers)</w:t>
      </w:r>
      <w:r w:rsidRPr="000C1F5E">
        <w:t xml:space="preserve">; </w:t>
      </w:r>
      <w:r>
        <w:rPr>
          <w:i/>
        </w:rPr>
        <w:t>Southwestern Bell Telephone Company et al. Applications for Authority Pursuant to Section 214 of the Communications Act to Cease Providing Dark Fiber Service</w:t>
      </w:r>
      <w:r>
        <w:t>, File Nos. W-P-C-6670, W-P-D-364, Memorandum Opinion and Order</w:t>
      </w:r>
      <w:r w:rsidRPr="000C1F5E">
        <w:t xml:space="preserve">, 8 FCC Rcd </w:t>
      </w:r>
      <w:r>
        <w:t xml:space="preserve">2589, </w:t>
      </w:r>
      <w:r w:rsidRPr="000C1F5E">
        <w:t>2597, para. 42</w:t>
      </w:r>
      <w:r>
        <w:t xml:space="preserve"> (1993) (discussing “carrier-to-carrier interconnection relationships”)</w:t>
      </w:r>
      <w:r w:rsidRPr="000C1F5E">
        <w:t xml:space="preserve">; </w:t>
      </w:r>
      <w:r w:rsidRPr="00D2761B">
        <w:rPr>
          <w:i/>
        </w:rPr>
        <w:t>Western Union</w:t>
      </w:r>
      <w:r>
        <w:t>, 74 FCC.</w:t>
      </w:r>
      <w:r w:rsidRPr="000C1F5E">
        <w:t>2d at 296, para. 7</w:t>
      </w:r>
      <w:r>
        <w:t xml:space="preserve"> (discussing “carrier-to-carrier service offerings”)).  And it falls flat for anyone who actually reads </w:t>
      </w:r>
      <w:r>
        <w:rPr>
          <w:i/>
        </w:rPr>
        <w:t>Western Union</w:t>
      </w:r>
      <w:r>
        <w:t xml:space="preserve"> given that the language I cite discusses the “relationship between Sections 201–205 and Section 214(a) of the Act” generally (and applies that relationship to the facts at hand), whereas the discussion of “carrier-to-carrier service offerings” is “[a]nother matter.”  </w:t>
      </w:r>
      <w:r>
        <w:rPr>
          <w:i/>
        </w:rPr>
        <w:t>Compare</w:t>
      </w:r>
      <w:r>
        <w:t xml:space="preserve"> </w:t>
      </w:r>
      <w:r>
        <w:rPr>
          <w:i/>
        </w:rPr>
        <w:t>Western Union</w:t>
      </w:r>
      <w:r>
        <w:t>, 74 FCC.</w:t>
      </w:r>
      <w:r w:rsidRPr="000C1F5E">
        <w:t>2d at 296</w:t>
      </w:r>
      <w:r>
        <w:t xml:space="preserve">–97, paras. 6, 9 &amp; n.4, </w:t>
      </w:r>
      <w:r>
        <w:rPr>
          <w:i/>
        </w:rPr>
        <w:t>with</w:t>
      </w:r>
      <w:r>
        <w:t xml:space="preserve"> </w:t>
      </w:r>
      <w:r>
        <w:rPr>
          <w:i/>
        </w:rPr>
        <w:t>id.</w:t>
      </w:r>
      <w:r>
        <w:t xml:space="preserve"> at 296, para.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ECCAF" w14:textId="77777777" w:rsidR="009769CC" w:rsidRDefault="009769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BED59" w14:textId="77777777" w:rsidR="009769CC" w:rsidRDefault="009769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B8631" w14:textId="77777777" w:rsidR="009769CC" w:rsidRDefault="009769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00D"/>
    <w:multiLevelType w:val="hybridMultilevel"/>
    <w:tmpl w:val="CA001C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970510D"/>
    <w:multiLevelType w:val="hybridMultilevel"/>
    <w:tmpl w:val="2DF68462"/>
    <w:lvl w:ilvl="0" w:tplc="398AB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5E69B7"/>
    <w:multiLevelType w:val="hybridMultilevel"/>
    <w:tmpl w:val="C5D4D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9D0755"/>
    <w:multiLevelType w:val="hybridMultilevel"/>
    <w:tmpl w:val="FB44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1">
    <w:nsid w:val="472646A3"/>
    <w:multiLevelType w:val="hybridMultilevel"/>
    <w:tmpl w:val="4EB4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534415"/>
    <w:multiLevelType w:val="hybridMultilevel"/>
    <w:tmpl w:val="5D646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5">
    <w:nsid w:val="65A366DA"/>
    <w:multiLevelType w:val="hybridMultilevel"/>
    <w:tmpl w:val="F98AE3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Aria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Arial" w:hint="default"/>
      </w:rPr>
    </w:lvl>
    <w:lvl w:ilvl="8" w:tplc="04090005">
      <w:start w:val="1"/>
      <w:numFmt w:val="bullet"/>
      <w:lvlText w:val=""/>
      <w:lvlJc w:val="left"/>
      <w:pPr>
        <w:ind w:left="7200" w:hanging="360"/>
      </w:pPr>
      <w:rPr>
        <w:rFonts w:ascii="Wingdings" w:hAnsi="Wingdings" w:hint="default"/>
      </w:rPr>
    </w:lvl>
  </w:abstractNum>
  <w:abstractNum w:abstractNumId="16">
    <w:nsid w:val="74180A77"/>
    <w:multiLevelType w:val="hybridMultilevel"/>
    <w:tmpl w:val="6C683086"/>
    <w:lvl w:ilvl="0" w:tplc="2F8C687A">
      <w:start w:val="1"/>
      <w:numFmt w:val="decimal"/>
      <w:lvlText w:val="(%1)"/>
      <w:lvlJc w:val="left"/>
      <w:pPr>
        <w:ind w:left="1710" w:hanging="360"/>
      </w:pPr>
      <w:rPr>
        <w:rFonts w:cs="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4"/>
  </w:num>
  <w:num w:numId="2">
    <w:abstractNumId w:val="7"/>
  </w:num>
  <w:num w:numId="3">
    <w:abstractNumId w:val="10"/>
  </w:num>
  <w:num w:numId="4">
    <w:abstractNumId w:val="1"/>
  </w:num>
  <w:num w:numId="5">
    <w:abstractNumId w:val="17"/>
  </w:num>
  <w:num w:numId="6">
    <w:abstractNumId w:val="8"/>
  </w:num>
  <w:num w:numId="7">
    <w:abstractNumId w:val="15"/>
  </w:num>
  <w:num w:numId="8">
    <w:abstractNumId w:val="3"/>
  </w:num>
  <w:num w:numId="9">
    <w:abstractNumId w:val="0"/>
  </w:num>
  <w:num w:numId="10">
    <w:abstractNumId w:val="5"/>
  </w:num>
  <w:num w:numId="11">
    <w:abstractNumId w:val="12"/>
  </w:num>
  <w:num w:numId="12">
    <w:abstractNumId w:val="9"/>
  </w:num>
  <w:num w:numId="13">
    <w:abstractNumId w:val="14"/>
    <w:lvlOverride w:ilvl="0">
      <w:startOverride w:val="1"/>
    </w:lvlOverride>
  </w:num>
  <w:num w:numId="14">
    <w:abstractNumId w:val="14"/>
  </w:num>
  <w:num w:numId="15">
    <w:abstractNumId w:val="14"/>
  </w:num>
  <w:num w:numId="16">
    <w:abstractNumId w:val="4"/>
  </w:num>
  <w:num w:numId="17">
    <w:abstractNumId w:val="13"/>
  </w:num>
  <w:num w:numId="18">
    <w:abstractNumId w:val="6"/>
  </w:num>
  <w:num w:numId="19">
    <w:abstractNumId w:val="2"/>
  </w:num>
  <w:num w:numId="20">
    <w:abstractNumId w:val="14"/>
    <w:lvlOverride w:ilvl="0">
      <w:startOverride w:val="1"/>
    </w:lvlOverride>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6"/>
  </w:num>
  <w:num w:numId="48">
    <w:abstractNumId w:val="14"/>
  </w:num>
  <w:num w:numId="49">
    <w:abstractNumId w:val="14"/>
  </w:num>
  <w:num w:numId="50">
    <w:abstractNumId w:val="14"/>
  </w:num>
  <w:num w:numId="51">
    <w:abstractNumId w:val="14"/>
  </w:num>
  <w:num w:numId="52">
    <w:abstractNumId w:val="14"/>
  </w:num>
  <w:num w:numId="53">
    <w:abstractNumId w:val="14"/>
  </w:num>
  <w:num w:numId="54">
    <w:abstractNumId w:val="14"/>
  </w:num>
  <w:num w:numId="55">
    <w:abstractNumId w:val="14"/>
  </w:num>
  <w:num w:numId="56">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4D"/>
    <w:rsid w:val="00000031"/>
    <w:rsid w:val="00001761"/>
    <w:rsid w:val="000041A8"/>
    <w:rsid w:val="00004F91"/>
    <w:rsid w:val="00005A0D"/>
    <w:rsid w:val="000079B5"/>
    <w:rsid w:val="00010808"/>
    <w:rsid w:val="000112E6"/>
    <w:rsid w:val="00013458"/>
    <w:rsid w:val="00013629"/>
    <w:rsid w:val="00014CF9"/>
    <w:rsid w:val="00014F46"/>
    <w:rsid w:val="000220D8"/>
    <w:rsid w:val="0002348C"/>
    <w:rsid w:val="00025814"/>
    <w:rsid w:val="000278B6"/>
    <w:rsid w:val="0003042C"/>
    <w:rsid w:val="00030A74"/>
    <w:rsid w:val="000350B7"/>
    <w:rsid w:val="00036039"/>
    <w:rsid w:val="00037285"/>
    <w:rsid w:val="00037E8D"/>
    <w:rsid w:val="00037F90"/>
    <w:rsid w:val="0004442C"/>
    <w:rsid w:val="000476F5"/>
    <w:rsid w:val="0005014C"/>
    <w:rsid w:val="0005106C"/>
    <w:rsid w:val="00052DC6"/>
    <w:rsid w:val="00057A77"/>
    <w:rsid w:val="0006028F"/>
    <w:rsid w:val="00060615"/>
    <w:rsid w:val="00060DBD"/>
    <w:rsid w:val="0006238F"/>
    <w:rsid w:val="00062CC4"/>
    <w:rsid w:val="00064D11"/>
    <w:rsid w:val="00067C82"/>
    <w:rsid w:val="00070AA5"/>
    <w:rsid w:val="00071118"/>
    <w:rsid w:val="00071468"/>
    <w:rsid w:val="00072B2F"/>
    <w:rsid w:val="00073F1D"/>
    <w:rsid w:val="000741A0"/>
    <w:rsid w:val="000754D5"/>
    <w:rsid w:val="000757D8"/>
    <w:rsid w:val="000811A5"/>
    <w:rsid w:val="00082852"/>
    <w:rsid w:val="00083949"/>
    <w:rsid w:val="00083EE7"/>
    <w:rsid w:val="00083F9D"/>
    <w:rsid w:val="00084E94"/>
    <w:rsid w:val="000875BF"/>
    <w:rsid w:val="00087864"/>
    <w:rsid w:val="0009028E"/>
    <w:rsid w:val="00090F89"/>
    <w:rsid w:val="000911C4"/>
    <w:rsid w:val="0009162F"/>
    <w:rsid w:val="000916E5"/>
    <w:rsid w:val="00092A0F"/>
    <w:rsid w:val="00094944"/>
    <w:rsid w:val="00095210"/>
    <w:rsid w:val="00095224"/>
    <w:rsid w:val="00095CCA"/>
    <w:rsid w:val="00095E25"/>
    <w:rsid w:val="00096D8C"/>
    <w:rsid w:val="00096E62"/>
    <w:rsid w:val="000A001A"/>
    <w:rsid w:val="000A0335"/>
    <w:rsid w:val="000A25C8"/>
    <w:rsid w:val="000A4539"/>
    <w:rsid w:val="000A4EA8"/>
    <w:rsid w:val="000A538C"/>
    <w:rsid w:val="000A71EE"/>
    <w:rsid w:val="000B09FC"/>
    <w:rsid w:val="000B1C12"/>
    <w:rsid w:val="000B2326"/>
    <w:rsid w:val="000B2C1C"/>
    <w:rsid w:val="000B41D4"/>
    <w:rsid w:val="000B43B2"/>
    <w:rsid w:val="000B4B11"/>
    <w:rsid w:val="000B6221"/>
    <w:rsid w:val="000B7DE1"/>
    <w:rsid w:val="000B7DFB"/>
    <w:rsid w:val="000C01ED"/>
    <w:rsid w:val="000C0B65"/>
    <w:rsid w:val="000C278C"/>
    <w:rsid w:val="000C3BB1"/>
    <w:rsid w:val="000C5C4F"/>
    <w:rsid w:val="000C638E"/>
    <w:rsid w:val="000C7BD7"/>
    <w:rsid w:val="000D041C"/>
    <w:rsid w:val="000D242D"/>
    <w:rsid w:val="000D37D0"/>
    <w:rsid w:val="000D3806"/>
    <w:rsid w:val="000D3CE5"/>
    <w:rsid w:val="000D3E2D"/>
    <w:rsid w:val="000D5FA5"/>
    <w:rsid w:val="000D69F8"/>
    <w:rsid w:val="000D6CC9"/>
    <w:rsid w:val="000E05FE"/>
    <w:rsid w:val="000E18CA"/>
    <w:rsid w:val="000E3628"/>
    <w:rsid w:val="000E38C3"/>
    <w:rsid w:val="000E3D42"/>
    <w:rsid w:val="000E59C3"/>
    <w:rsid w:val="000E5C11"/>
    <w:rsid w:val="000E694D"/>
    <w:rsid w:val="000F051F"/>
    <w:rsid w:val="000F097A"/>
    <w:rsid w:val="000F1F53"/>
    <w:rsid w:val="000F2B2A"/>
    <w:rsid w:val="000F5F55"/>
    <w:rsid w:val="000F62D1"/>
    <w:rsid w:val="000F6490"/>
    <w:rsid w:val="000F7684"/>
    <w:rsid w:val="001007D5"/>
    <w:rsid w:val="00100CC2"/>
    <w:rsid w:val="00101FB4"/>
    <w:rsid w:val="00103499"/>
    <w:rsid w:val="00104325"/>
    <w:rsid w:val="00104407"/>
    <w:rsid w:val="00104CF6"/>
    <w:rsid w:val="001053ED"/>
    <w:rsid w:val="00107031"/>
    <w:rsid w:val="001072E8"/>
    <w:rsid w:val="001109DF"/>
    <w:rsid w:val="00110E04"/>
    <w:rsid w:val="00111501"/>
    <w:rsid w:val="001131EF"/>
    <w:rsid w:val="001136B5"/>
    <w:rsid w:val="001144F6"/>
    <w:rsid w:val="0011462D"/>
    <w:rsid w:val="001152C0"/>
    <w:rsid w:val="00115C3B"/>
    <w:rsid w:val="00115E75"/>
    <w:rsid w:val="00116F5F"/>
    <w:rsid w:val="001174FA"/>
    <w:rsid w:val="00117FA6"/>
    <w:rsid w:val="001204F9"/>
    <w:rsid w:val="001218B0"/>
    <w:rsid w:val="00121F27"/>
    <w:rsid w:val="001224D3"/>
    <w:rsid w:val="00122BD5"/>
    <w:rsid w:val="00124351"/>
    <w:rsid w:val="00126608"/>
    <w:rsid w:val="00126A41"/>
    <w:rsid w:val="00126C7C"/>
    <w:rsid w:val="001271E7"/>
    <w:rsid w:val="00127588"/>
    <w:rsid w:val="001305BA"/>
    <w:rsid w:val="00130B17"/>
    <w:rsid w:val="00133F79"/>
    <w:rsid w:val="00135367"/>
    <w:rsid w:val="0014000F"/>
    <w:rsid w:val="001403AC"/>
    <w:rsid w:val="00140D02"/>
    <w:rsid w:val="0014122C"/>
    <w:rsid w:val="00141F3A"/>
    <w:rsid w:val="00143876"/>
    <w:rsid w:val="00145852"/>
    <w:rsid w:val="00145CB3"/>
    <w:rsid w:val="0014756E"/>
    <w:rsid w:val="0014785F"/>
    <w:rsid w:val="00147A1D"/>
    <w:rsid w:val="00147B60"/>
    <w:rsid w:val="00151782"/>
    <w:rsid w:val="00151B04"/>
    <w:rsid w:val="00152CB4"/>
    <w:rsid w:val="00154132"/>
    <w:rsid w:val="001548A2"/>
    <w:rsid w:val="0015564F"/>
    <w:rsid w:val="001568BF"/>
    <w:rsid w:val="00160D94"/>
    <w:rsid w:val="001646EB"/>
    <w:rsid w:val="00164F0B"/>
    <w:rsid w:val="001655F8"/>
    <w:rsid w:val="00165E9F"/>
    <w:rsid w:val="00166577"/>
    <w:rsid w:val="00171502"/>
    <w:rsid w:val="00171A8B"/>
    <w:rsid w:val="001720C9"/>
    <w:rsid w:val="001739B3"/>
    <w:rsid w:val="0017478D"/>
    <w:rsid w:val="001768E4"/>
    <w:rsid w:val="00177006"/>
    <w:rsid w:val="00180A3E"/>
    <w:rsid w:val="00180C6D"/>
    <w:rsid w:val="00180E76"/>
    <w:rsid w:val="00181423"/>
    <w:rsid w:val="00182B8C"/>
    <w:rsid w:val="00183FFC"/>
    <w:rsid w:val="001860E1"/>
    <w:rsid w:val="0018680E"/>
    <w:rsid w:val="00186819"/>
    <w:rsid w:val="001869D9"/>
    <w:rsid w:val="00187764"/>
    <w:rsid w:val="00190DE2"/>
    <w:rsid w:val="00191D6E"/>
    <w:rsid w:val="0019468E"/>
    <w:rsid w:val="00194A66"/>
    <w:rsid w:val="00195565"/>
    <w:rsid w:val="001A13F8"/>
    <w:rsid w:val="001A18ED"/>
    <w:rsid w:val="001A2AAB"/>
    <w:rsid w:val="001A6021"/>
    <w:rsid w:val="001A69D2"/>
    <w:rsid w:val="001A6BDA"/>
    <w:rsid w:val="001B008A"/>
    <w:rsid w:val="001B224C"/>
    <w:rsid w:val="001B2961"/>
    <w:rsid w:val="001B3A63"/>
    <w:rsid w:val="001B4D98"/>
    <w:rsid w:val="001C30D1"/>
    <w:rsid w:val="001C37E5"/>
    <w:rsid w:val="001C44EA"/>
    <w:rsid w:val="001C4516"/>
    <w:rsid w:val="001C6CE2"/>
    <w:rsid w:val="001D04F3"/>
    <w:rsid w:val="001D057A"/>
    <w:rsid w:val="001D14A2"/>
    <w:rsid w:val="001D26B4"/>
    <w:rsid w:val="001D2B95"/>
    <w:rsid w:val="001D329C"/>
    <w:rsid w:val="001D3D93"/>
    <w:rsid w:val="001D548E"/>
    <w:rsid w:val="001D56FE"/>
    <w:rsid w:val="001D696D"/>
    <w:rsid w:val="001D6BCF"/>
    <w:rsid w:val="001D72D4"/>
    <w:rsid w:val="001E01CA"/>
    <w:rsid w:val="001E0F54"/>
    <w:rsid w:val="001E1581"/>
    <w:rsid w:val="001E21B1"/>
    <w:rsid w:val="001E29AF"/>
    <w:rsid w:val="001E46B9"/>
    <w:rsid w:val="001E6C4D"/>
    <w:rsid w:val="001E7235"/>
    <w:rsid w:val="001E7516"/>
    <w:rsid w:val="001E7673"/>
    <w:rsid w:val="001F0A2B"/>
    <w:rsid w:val="001F343E"/>
    <w:rsid w:val="001F43C1"/>
    <w:rsid w:val="001F4F91"/>
    <w:rsid w:val="001F531A"/>
    <w:rsid w:val="001F57D8"/>
    <w:rsid w:val="00200263"/>
    <w:rsid w:val="002003E5"/>
    <w:rsid w:val="00201B5E"/>
    <w:rsid w:val="00203C1F"/>
    <w:rsid w:val="00204A67"/>
    <w:rsid w:val="0020559A"/>
    <w:rsid w:val="002063DD"/>
    <w:rsid w:val="00207014"/>
    <w:rsid w:val="00207435"/>
    <w:rsid w:val="00210223"/>
    <w:rsid w:val="00211170"/>
    <w:rsid w:val="00211BF4"/>
    <w:rsid w:val="0021285E"/>
    <w:rsid w:val="00213E8A"/>
    <w:rsid w:val="0021586C"/>
    <w:rsid w:val="00215FDC"/>
    <w:rsid w:val="002164B5"/>
    <w:rsid w:val="00217CD1"/>
    <w:rsid w:val="0022056F"/>
    <w:rsid w:val="002219F6"/>
    <w:rsid w:val="002222A0"/>
    <w:rsid w:val="0022267A"/>
    <w:rsid w:val="00223E29"/>
    <w:rsid w:val="002247AC"/>
    <w:rsid w:val="002257AF"/>
    <w:rsid w:val="00226137"/>
    <w:rsid w:val="002268FB"/>
    <w:rsid w:val="00226E63"/>
    <w:rsid w:val="00227574"/>
    <w:rsid w:val="00227A2F"/>
    <w:rsid w:val="00227E05"/>
    <w:rsid w:val="00227F28"/>
    <w:rsid w:val="00227F36"/>
    <w:rsid w:val="0023005F"/>
    <w:rsid w:val="00233B4F"/>
    <w:rsid w:val="00234F6A"/>
    <w:rsid w:val="00236187"/>
    <w:rsid w:val="00236562"/>
    <w:rsid w:val="002374CC"/>
    <w:rsid w:val="00241191"/>
    <w:rsid w:val="002427ED"/>
    <w:rsid w:val="002445BA"/>
    <w:rsid w:val="00247CD2"/>
    <w:rsid w:val="00250220"/>
    <w:rsid w:val="00251E33"/>
    <w:rsid w:val="00252D92"/>
    <w:rsid w:val="00254F75"/>
    <w:rsid w:val="002563CA"/>
    <w:rsid w:val="0025694C"/>
    <w:rsid w:val="00257014"/>
    <w:rsid w:val="00257CBB"/>
    <w:rsid w:val="002606FC"/>
    <w:rsid w:val="00263E1E"/>
    <w:rsid w:val="0026452E"/>
    <w:rsid w:val="00264557"/>
    <w:rsid w:val="00265F4D"/>
    <w:rsid w:val="00266146"/>
    <w:rsid w:val="00266592"/>
    <w:rsid w:val="00266D7E"/>
    <w:rsid w:val="0026773E"/>
    <w:rsid w:val="00270532"/>
    <w:rsid w:val="00272C87"/>
    <w:rsid w:val="00274D22"/>
    <w:rsid w:val="00274FEA"/>
    <w:rsid w:val="002756A0"/>
    <w:rsid w:val="00275CF5"/>
    <w:rsid w:val="0027628C"/>
    <w:rsid w:val="002768B5"/>
    <w:rsid w:val="00277058"/>
    <w:rsid w:val="0027721D"/>
    <w:rsid w:val="0027788F"/>
    <w:rsid w:val="00277B0B"/>
    <w:rsid w:val="002808D4"/>
    <w:rsid w:val="00280EA9"/>
    <w:rsid w:val="002823C0"/>
    <w:rsid w:val="00282E2A"/>
    <w:rsid w:val="0028301F"/>
    <w:rsid w:val="00285017"/>
    <w:rsid w:val="00285DA1"/>
    <w:rsid w:val="0028793B"/>
    <w:rsid w:val="00290204"/>
    <w:rsid w:val="00290C7E"/>
    <w:rsid w:val="00290CB7"/>
    <w:rsid w:val="00291AA4"/>
    <w:rsid w:val="00292FED"/>
    <w:rsid w:val="00293120"/>
    <w:rsid w:val="002953F1"/>
    <w:rsid w:val="00295705"/>
    <w:rsid w:val="002A2230"/>
    <w:rsid w:val="002A2389"/>
    <w:rsid w:val="002A251A"/>
    <w:rsid w:val="002A2784"/>
    <w:rsid w:val="002A2D2E"/>
    <w:rsid w:val="002A37EE"/>
    <w:rsid w:val="002A37F0"/>
    <w:rsid w:val="002A3EDF"/>
    <w:rsid w:val="002A416E"/>
    <w:rsid w:val="002A50F6"/>
    <w:rsid w:val="002A5996"/>
    <w:rsid w:val="002A5D22"/>
    <w:rsid w:val="002A606D"/>
    <w:rsid w:val="002A6AB6"/>
    <w:rsid w:val="002A779E"/>
    <w:rsid w:val="002B2EF7"/>
    <w:rsid w:val="002B33AF"/>
    <w:rsid w:val="002B39E9"/>
    <w:rsid w:val="002B3CA9"/>
    <w:rsid w:val="002B441D"/>
    <w:rsid w:val="002B4437"/>
    <w:rsid w:val="002B7524"/>
    <w:rsid w:val="002C00E8"/>
    <w:rsid w:val="002C08E5"/>
    <w:rsid w:val="002C2152"/>
    <w:rsid w:val="002C2B26"/>
    <w:rsid w:val="002C2B5A"/>
    <w:rsid w:val="002C2E3B"/>
    <w:rsid w:val="002C3428"/>
    <w:rsid w:val="002C5BE2"/>
    <w:rsid w:val="002C71EF"/>
    <w:rsid w:val="002D3725"/>
    <w:rsid w:val="002D3CBA"/>
    <w:rsid w:val="002D41D1"/>
    <w:rsid w:val="002D6025"/>
    <w:rsid w:val="002D68CF"/>
    <w:rsid w:val="002D6DB2"/>
    <w:rsid w:val="002E13BB"/>
    <w:rsid w:val="002E17BB"/>
    <w:rsid w:val="002E2055"/>
    <w:rsid w:val="002E517D"/>
    <w:rsid w:val="002F02F1"/>
    <w:rsid w:val="002F0C5B"/>
    <w:rsid w:val="002F0E91"/>
    <w:rsid w:val="002F139C"/>
    <w:rsid w:val="002F29BD"/>
    <w:rsid w:val="002F45D9"/>
    <w:rsid w:val="002F4994"/>
    <w:rsid w:val="002F6F5A"/>
    <w:rsid w:val="002F7418"/>
    <w:rsid w:val="00300520"/>
    <w:rsid w:val="00300637"/>
    <w:rsid w:val="0030078A"/>
    <w:rsid w:val="00302FC6"/>
    <w:rsid w:val="00303DF0"/>
    <w:rsid w:val="00304615"/>
    <w:rsid w:val="0030468F"/>
    <w:rsid w:val="00306452"/>
    <w:rsid w:val="00306676"/>
    <w:rsid w:val="00307C0A"/>
    <w:rsid w:val="003111B5"/>
    <w:rsid w:val="00312391"/>
    <w:rsid w:val="00312FEC"/>
    <w:rsid w:val="003137F7"/>
    <w:rsid w:val="00315147"/>
    <w:rsid w:val="00316F62"/>
    <w:rsid w:val="003200B7"/>
    <w:rsid w:val="0032044C"/>
    <w:rsid w:val="00320794"/>
    <w:rsid w:val="00321D16"/>
    <w:rsid w:val="003221AD"/>
    <w:rsid w:val="00323482"/>
    <w:rsid w:val="003235F8"/>
    <w:rsid w:val="0032548A"/>
    <w:rsid w:val="00327DFB"/>
    <w:rsid w:val="00327E33"/>
    <w:rsid w:val="00330B09"/>
    <w:rsid w:val="00331472"/>
    <w:rsid w:val="0033179C"/>
    <w:rsid w:val="003320B5"/>
    <w:rsid w:val="00334A45"/>
    <w:rsid w:val="00336163"/>
    <w:rsid w:val="00337183"/>
    <w:rsid w:val="003403A1"/>
    <w:rsid w:val="00341346"/>
    <w:rsid w:val="00342DC0"/>
    <w:rsid w:val="00343247"/>
    <w:rsid w:val="0034327B"/>
    <w:rsid w:val="0034343D"/>
    <w:rsid w:val="00343749"/>
    <w:rsid w:val="00344473"/>
    <w:rsid w:val="00344502"/>
    <w:rsid w:val="003454AF"/>
    <w:rsid w:val="00345986"/>
    <w:rsid w:val="00347C64"/>
    <w:rsid w:val="00351DCD"/>
    <w:rsid w:val="00353C01"/>
    <w:rsid w:val="00354F74"/>
    <w:rsid w:val="00355747"/>
    <w:rsid w:val="00355762"/>
    <w:rsid w:val="00361F80"/>
    <w:rsid w:val="003620B7"/>
    <w:rsid w:val="00362A9C"/>
    <w:rsid w:val="003648D3"/>
    <w:rsid w:val="003660ED"/>
    <w:rsid w:val="00370442"/>
    <w:rsid w:val="00373D4D"/>
    <w:rsid w:val="0037552B"/>
    <w:rsid w:val="003758BC"/>
    <w:rsid w:val="00375FFD"/>
    <w:rsid w:val="0037635C"/>
    <w:rsid w:val="003765D3"/>
    <w:rsid w:val="00376CFA"/>
    <w:rsid w:val="00376F9D"/>
    <w:rsid w:val="00377736"/>
    <w:rsid w:val="0037795B"/>
    <w:rsid w:val="00380801"/>
    <w:rsid w:val="0038375E"/>
    <w:rsid w:val="0038650C"/>
    <w:rsid w:val="003912B5"/>
    <w:rsid w:val="00391B36"/>
    <w:rsid w:val="00392B5F"/>
    <w:rsid w:val="003942A4"/>
    <w:rsid w:val="003953C4"/>
    <w:rsid w:val="00395448"/>
    <w:rsid w:val="003958CD"/>
    <w:rsid w:val="0039604E"/>
    <w:rsid w:val="00396F84"/>
    <w:rsid w:val="003A1D4A"/>
    <w:rsid w:val="003A2194"/>
    <w:rsid w:val="003A2CB8"/>
    <w:rsid w:val="003A5297"/>
    <w:rsid w:val="003A6213"/>
    <w:rsid w:val="003B0100"/>
    <w:rsid w:val="003B0550"/>
    <w:rsid w:val="003B0A66"/>
    <w:rsid w:val="003B0CB3"/>
    <w:rsid w:val="003B1171"/>
    <w:rsid w:val="003B5F9D"/>
    <w:rsid w:val="003B694F"/>
    <w:rsid w:val="003B7D45"/>
    <w:rsid w:val="003C10B7"/>
    <w:rsid w:val="003C1C12"/>
    <w:rsid w:val="003C2A4F"/>
    <w:rsid w:val="003C3B26"/>
    <w:rsid w:val="003C3FDC"/>
    <w:rsid w:val="003C4591"/>
    <w:rsid w:val="003C4862"/>
    <w:rsid w:val="003C4C1C"/>
    <w:rsid w:val="003C57C5"/>
    <w:rsid w:val="003C5A82"/>
    <w:rsid w:val="003C63E5"/>
    <w:rsid w:val="003C6419"/>
    <w:rsid w:val="003C6447"/>
    <w:rsid w:val="003C648D"/>
    <w:rsid w:val="003D40FD"/>
    <w:rsid w:val="003D4100"/>
    <w:rsid w:val="003D4472"/>
    <w:rsid w:val="003D485F"/>
    <w:rsid w:val="003D59AE"/>
    <w:rsid w:val="003E0058"/>
    <w:rsid w:val="003E0B1E"/>
    <w:rsid w:val="003E3E66"/>
    <w:rsid w:val="003E4E6B"/>
    <w:rsid w:val="003E57E5"/>
    <w:rsid w:val="003E6258"/>
    <w:rsid w:val="003E655B"/>
    <w:rsid w:val="003E7324"/>
    <w:rsid w:val="003F00DE"/>
    <w:rsid w:val="003F010E"/>
    <w:rsid w:val="003F0B54"/>
    <w:rsid w:val="003F0C6C"/>
    <w:rsid w:val="003F0F7D"/>
    <w:rsid w:val="003F11C6"/>
    <w:rsid w:val="003F171C"/>
    <w:rsid w:val="003F1E5A"/>
    <w:rsid w:val="003F27D4"/>
    <w:rsid w:val="003F2E50"/>
    <w:rsid w:val="003F37AE"/>
    <w:rsid w:val="003F4119"/>
    <w:rsid w:val="003F77D7"/>
    <w:rsid w:val="0040000E"/>
    <w:rsid w:val="004000C4"/>
    <w:rsid w:val="00400695"/>
    <w:rsid w:val="00400A4E"/>
    <w:rsid w:val="00402717"/>
    <w:rsid w:val="00404FA0"/>
    <w:rsid w:val="00405181"/>
    <w:rsid w:val="004053BE"/>
    <w:rsid w:val="0040756D"/>
    <w:rsid w:val="00410AC2"/>
    <w:rsid w:val="004120A2"/>
    <w:rsid w:val="004123CD"/>
    <w:rsid w:val="00412FC5"/>
    <w:rsid w:val="00413D0E"/>
    <w:rsid w:val="004154DB"/>
    <w:rsid w:val="00416AE1"/>
    <w:rsid w:val="00422276"/>
    <w:rsid w:val="004242F1"/>
    <w:rsid w:val="00424AAE"/>
    <w:rsid w:val="00425128"/>
    <w:rsid w:val="00425D1C"/>
    <w:rsid w:val="00427D0F"/>
    <w:rsid w:val="00427E17"/>
    <w:rsid w:val="00427FAA"/>
    <w:rsid w:val="0043069E"/>
    <w:rsid w:val="00431A34"/>
    <w:rsid w:val="004330C7"/>
    <w:rsid w:val="0043381B"/>
    <w:rsid w:val="004347F0"/>
    <w:rsid w:val="00434DE8"/>
    <w:rsid w:val="00435805"/>
    <w:rsid w:val="00435B09"/>
    <w:rsid w:val="00436C14"/>
    <w:rsid w:val="004370E9"/>
    <w:rsid w:val="004373F7"/>
    <w:rsid w:val="00437895"/>
    <w:rsid w:val="00440567"/>
    <w:rsid w:val="00441CC4"/>
    <w:rsid w:val="00441F0F"/>
    <w:rsid w:val="00441FFB"/>
    <w:rsid w:val="00442CC0"/>
    <w:rsid w:val="004434F8"/>
    <w:rsid w:val="00444C5F"/>
    <w:rsid w:val="00445619"/>
    <w:rsid w:val="00445A00"/>
    <w:rsid w:val="0044637A"/>
    <w:rsid w:val="0044637E"/>
    <w:rsid w:val="004466A5"/>
    <w:rsid w:val="00447550"/>
    <w:rsid w:val="004477AF"/>
    <w:rsid w:val="00450222"/>
    <w:rsid w:val="00450502"/>
    <w:rsid w:val="00451B0F"/>
    <w:rsid w:val="004549DF"/>
    <w:rsid w:val="00455781"/>
    <w:rsid w:val="00457D8F"/>
    <w:rsid w:val="004605C0"/>
    <w:rsid w:val="00462357"/>
    <w:rsid w:val="00462725"/>
    <w:rsid w:val="00465E3E"/>
    <w:rsid w:val="00465F9A"/>
    <w:rsid w:val="00470608"/>
    <w:rsid w:val="00470C50"/>
    <w:rsid w:val="00471715"/>
    <w:rsid w:val="00473114"/>
    <w:rsid w:val="0047457E"/>
    <w:rsid w:val="004747B6"/>
    <w:rsid w:val="004748BE"/>
    <w:rsid w:val="004750A1"/>
    <w:rsid w:val="004751CC"/>
    <w:rsid w:val="004753CE"/>
    <w:rsid w:val="00477699"/>
    <w:rsid w:val="00477769"/>
    <w:rsid w:val="0047791F"/>
    <w:rsid w:val="00480F79"/>
    <w:rsid w:val="00481A1A"/>
    <w:rsid w:val="00481A22"/>
    <w:rsid w:val="004823CC"/>
    <w:rsid w:val="0048281A"/>
    <w:rsid w:val="00485747"/>
    <w:rsid w:val="004873E2"/>
    <w:rsid w:val="00491452"/>
    <w:rsid w:val="00491554"/>
    <w:rsid w:val="004924F2"/>
    <w:rsid w:val="004927D9"/>
    <w:rsid w:val="0049291D"/>
    <w:rsid w:val="00496132"/>
    <w:rsid w:val="004A2A64"/>
    <w:rsid w:val="004A2C6A"/>
    <w:rsid w:val="004A32E6"/>
    <w:rsid w:val="004A4668"/>
    <w:rsid w:val="004B239E"/>
    <w:rsid w:val="004B248A"/>
    <w:rsid w:val="004B2C7B"/>
    <w:rsid w:val="004B491C"/>
    <w:rsid w:val="004B4AF8"/>
    <w:rsid w:val="004B5560"/>
    <w:rsid w:val="004B5F0A"/>
    <w:rsid w:val="004B5FC9"/>
    <w:rsid w:val="004B688F"/>
    <w:rsid w:val="004C0BD6"/>
    <w:rsid w:val="004C2EE3"/>
    <w:rsid w:val="004C55B8"/>
    <w:rsid w:val="004C7371"/>
    <w:rsid w:val="004C7599"/>
    <w:rsid w:val="004D0CEA"/>
    <w:rsid w:val="004D31F0"/>
    <w:rsid w:val="004D32B0"/>
    <w:rsid w:val="004D3686"/>
    <w:rsid w:val="004D4278"/>
    <w:rsid w:val="004D6711"/>
    <w:rsid w:val="004D694B"/>
    <w:rsid w:val="004D7A11"/>
    <w:rsid w:val="004D7FF1"/>
    <w:rsid w:val="004E0884"/>
    <w:rsid w:val="004E0ADB"/>
    <w:rsid w:val="004E1A84"/>
    <w:rsid w:val="004E1E40"/>
    <w:rsid w:val="004E317D"/>
    <w:rsid w:val="004E33A2"/>
    <w:rsid w:val="004E3468"/>
    <w:rsid w:val="004E4A22"/>
    <w:rsid w:val="004E6BBF"/>
    <w:rsid w:val="004F3F1C"/>
    <w:rsid w:val="004F48D7"/>
    <w:rsid w:val="004F4BB2"/>
    <w:rsid w:val="004F67FF"/>
    <w:rsid w:val="004F79FF"/>
    <w:rsid w:val="004F7B28"/>
    <w:rsid w:val="00500AE2"/>
    <w:rsid w:val="00500F1E"/>
    <w:rsid w:val="005016BF"/>
    <w:rsid w:val="0050274C"/>
    <w:rsid w:val="00502EB6"/>
    <w:rsid w:val="00504255"/>
    <w:rsid w:val="00506739"/>
    <w:rsid w:val="005074DD"/>
    <w:rsid w:val="00510AAF"/>
    <w:rsid w:val="00510B96"/>
    <w:rsid w:val="00510CE8"/>
    <w:rsid w:val="00511968"/>
    <w:rsid w:val="0051219F"/>
    <w:rsid w:val="0051220B"/>
    <w:rsid w:val="0051224A"/>
    <w:rsid w:val="00512EF6"/>
    <w:rsid w:val="0051312A"/>
    <w:rsid w:val="00513B61"/>
    <w:rsid w:val="005146C4"/>
    <w:rsid w:val="00514BD4"/>
    <w:rsid w:val="00515700"/>
    <w:rsid w:val="005161D6"/>
    <w:rsid w:val="00517994"/>
    <w:rsid w:val="0052088A"/>
    <w:rsid w:val="0052276A"/>
    <w:rsid w:val="00522DAD"/>
    <w:rsid w:val="005233B6"/>
    <w:rsid w:val="00525608"/>
    <w:rsid w:val="0052789E"/>
    <w:rsid w:val="00527CEA"/>
    <w:rsid w:val="00530C3C"/>
    <w:rsid w:val="005313CA"/>
    <w:rsid w:val="0053266D"/>
    <w:rsid w:val="00534849"/>
    <w:rsid w:val="00535263"/>
    <w:rsid w:val="00535CEE"/>
    <w:rsid w:val="005363A8"/>
    <w:rsid w:val="005372D8"/>
    <w:rsid w:val="00540923"/>
    <w:rsid w:val="0054399A"/>
    <w:rsid w:val="0054412C"/>
    <w:rsid w:val="0054526A"/>
    <w:rsid w:val="005473E8"/>
    <w:rsid w:val="00555F62"/>
    <w:rsid w:val="0055614C"/>
    <w:rsid w:val="00556C29"/>
    <w:rsid w:val="00556DD5"/>
    <w:rsid w:val="00556F82"/>
    <w:rsid w:val="00557578"/>
    <w:rsid w:val="00557AC0"/>
    <w:rsid w:val="005609C8"/>
    <w:rsid w:val="00560E2A"/>
    <w:rsid w:val="00561C21"/>
    <w:rsid w:val="00562F92"/>
    <w:rsid w:val="00563448"/>
    <w:rsid w:val="005655A5"/>
    <w:rsid w:val="00566068"/>
    <w:rsid w:val="005660E6"/>
    <w:rsid w:val="005668A2"/>
    <w:rsid w:val="005676AC"/>
    <w:rsid w:val="00571233"/>
    <w:rsid w:val="00571B0A"/>
    <w:rsid w:val="005730F1"/>
    <w:rsid w:val="00573D30"/>
    <w:rsid w:val="005744AD"/>
    <w:rsid w:val="005750F1"/>
    <w:rsid w:val="0057510C"/>
    <w:rsid w:val="0057532C"/>
    <w:rsid w:val="005758EA"/>
    <w:rsid w:val="00575CAD"/>
    <w:rsid w:val="0057774B"/>
    <w:rsid w:val="00581072"/>
    <w:rsid w:val="0058184F"/>
    <w:rsid w:val="00581A19"/>
    <w:rsid w:val="0058226E"/>
    <w:rsid w:val="00582BAC"/>
    <w:rsid w:val="00583FC2"/>
    <w:rsid w:val="00584122"/>
    <w:rsid w:val="00584E2B"/>
    <w:rsid w:val="00585420"/>
    <w:rsid w:val="0058543C"/>
    <w:rsid w:val="00585B1F"/>
    <w:rsid w:val="0058609D"/>
    <w:rsid w:val="0058797B"/>
    <w:rsid w:val="005916B4"/>
    <w:rsid w:val="00593D37"/>
    <w:rsid w:val="00593E29"/>
    <w:rsid w:val="00594B55"/>
    <w:rsid w:val="00596B0B"/>
    <w:rsid w:val="00596B55"/>
    <w:rsid w:val="00597027"/>
    <w:rsid w:val="00597B01"/>
    <w:rsid w:val="00597F89"/>
    <w:rsid w:val="005A069A"/>
    <w:rsid w:val="005A0D0A"/>
    <w:rsid w:val="005A432C"/>
    <w:rsid w:val="005A507A"/>
    <w:rsid w:val="005A6792"/>
    <w:rsid w:val="005B0181"/>
    <w:rsid w:val="005B09B6"/>
    <w:rsid w:val="005B0B53"/>
    <w:rsid w:val="005B3198"/>
    <w:rsid w:val="005B3CC5"/>
    <w:rsid w:val="005B3CF0"/>
    <w:rsid w:val="005B3F18"/>
    <w:rsid w:val="005B45EA"/>
    <w:rsid w:val="005B4A0A"/>
    <w:rsid w:val="005B4B04"/>
    <w:rsid w:val="005B6447"/>
    <w:rsid w:val="005B725C"/>
    <w:rsid w:val="005B7296"/>
    <w:rsid w:val="005B79EF"/>
    <w:rsid w:val="005B7C38"/>
    <w:rsid w:val="005C00FF"/>
    <w:rsid w:val="005C1CA8"/>
    <w:rsid w:val="005C4187"/>
    <w:rsid w:val="005D03EA"/>
    <w:rsid w:val="005D7A03"/>
    <w:rsid w:val="005D7EB0"/>
    <w:rsid w:val="005D7F88"/>
    <w:rsid w:val="005E01F6"/>
    <w:rsid w:val="005E0D78"/>
    <w:rsid w:val="005E12D3"/>
    <w:rsid w:val="005E14C2"/>
    <w:rsid w:val="005E324F"/>
    <w:rsid w:val="005E477F"/>
    <w:rsid w:val="005E4A19"/>
    <w:rsid w:val="005E61F6"/>
    <w:rsid w:val="005E6395"/>
    <w:rsid w:val="005E656E"/>
    <w:rsid w:val="005E74B4"/>
    <w:rsid w:val="005F029B"/>
    <w:rsid w:val="005F1A40"/>
    <w:rsid w:val="005F3BA0"/>
    <w:rsid w:val="005F4565"/>
    <w:rsid w:val="005F4E27"/>
    <w:rsid w:val="005F533B"/>
    <w:rsid w:val="005F5F17"/>
    <w:rsid w:val="005F67CF"/>
    <w:rsid w:val="005F6919"/>
    <w:rsid w:val="005F71E8"/>
    <w:rsid w:val="00600044"/>
    <w:rsid w:val="00601847"/>
    <w:rsid w:val="00603415"/>
    <w:rsid w:val="006048A8"/>
    <w:rsid w:val="006052B3"/>
    <w:rsid w:val="00606935"/>
    <w:rsid w:val="006069BA"/>
    <w:rsid w:val="00606F48"/>
    <w:rsid w:val="00607431"/>
    <w:rsid w:val="00607BA5"/>
    <w:rsid w:val="00607C18"/>
    <w:rsid w:val="00607E7F"/>
    <w:rsid w:val="006104EF"/>
    <w:rsid w:val="00610739"/>
    <w:rsid w:val="0061180A"/>
    <w:rsid w:val="00611AF6"/>
    <w:rsid w:val="00612C28"/>
    <w:rsid w:val="006132EE"/>
    <w:rsid w:val="006139EC"/>
    <w:rsid w:val="006144AF"/>
    <w:rsid w:val="006162E0"/>
    <w:rsid w:val="006165D5"/>
    <w:rsid w:val="0061791E"/>
    <w:rsid w:val="00620B8A"/>
    <w:rsid w:val="0062151F"/>
    <w:rsid w:val="006221FB"/>
    <w:rsid w:val="0062240E"/>
    <w:rsid w:val="00624E97"/>
    <w:rsid w:val="006250E3"/>
    <w:rsid w:val="00626EB6"/>
    <w:rsid w:val="00630B69"/>
    <w:rsid w:val="00630DEC"/>
    <w:rsid w:val="00633FB5"/>
    <w:rsid w:val="00634AB5"/>
    <w:rsid w:val="006364D7"/>
    <w:rsid w:val="0063712D"/>
    <w:rsid w:val="006373A0"/>
    <w:rsid w:val="006375C2"/>
    <w:rsid w:val="00640252"/>
    <w:rsid w:val="006410AF"/>
    <w:rsid w:val="0064126F"/>
    <w:rsid w:val="006433DD"/>
    <w:rsid w:val="0064506B"/>
    <w:rsid w:val="00645507"/>
    <w:rsid w:val="00645957"/>
    <w:rsid w:val="00645B87"/>
    <w:rsid w:val="00645F21"/>
    <w:rsid w:val="00646342"/>
    <w:rsid w:val="00652142"/>
    <w:rsid w:val="00655987"/>
    <w:rsid w:val="00655D03"/>
    <w:rsid w:val="0065625F"/>
    <w:rsid w:val="0066142C"/>
    <w:rsid w:val="00662B78"/>
    <w:rsid w:val="00662CA0"/>
    <w:rsid w:val="00662FAB"/>
    <w:rsid w:val="00663334"/>
    <w:rsid w:val="006635E0"/>
    <w:rsid w:val="00670301"/>
    <w:rsid w:val="006704E2"/>
    <w:rsid w:val="0067072D"/>
    <w:rsid w:val="00671C0B"/>
    <w:rsid w:val="00671FD3"/>
    <w:rsid w:val="0067271E"/>
    <w:rsid w:val="006751A7"/>
    <w:rsid w:val="006751D7"/>
    <w:rsid w:val="006751E9"/>
    <w:rsid w:val="006757DA"/>
    <w:rsid w:val="00676401"/>
    <w:rsid w:val="00676AC6"/>
    <w:rsid w:val="00682F57"/>
    <w:rsid w:val="0068305D"/>
    <w:rsid w:val="00683388"/>
    <w:rsid w:val="00683702"/>
    <w:rsid w:val="00683A4F"/>
    <w:rsid w:val="00683F84"/>
    <w:rsid w:val="00684DB4"/>
    <w:rsid w:val="00685370"/>
    <w:rsid w:val="00690CF6"/>
    <w:rsid w:val="0069271B"/>
    <w:rsid w:val="00692CA9"/>
    <w:rsid w:val="00693DA9"/>
    <w:rsid w:val="006943A1"/>
    <w:rsid w:val="0069483B"/>
    <w:rsid w:val="00695850"/>
    <w:rsid w:val="006A0F52"/>
    <w:rsid w:val="006A259D"/>
    <w:rsid w:val="006A2A5D"/>
    <w:rsid w:val="006A3D4F"/>
    <w:rsid w:val="006A42B6"/>
    <w:rsid w:val="006A5C61"/>
    <w:rsid w:val="006A64EE"/>
    <w:rsid w:val="006A6A81"/>
    <w:rsid w:val="006A6CB5"/>
    <w:rsid w:val="006A6CCD"/>
    <w:rsid w:val="006B16FA"/>
    <w:rsid w:val="006B215A"/>
    <w:rsid w:val="006B419E"/>
    <w:rsid w:val="006B4804"/>
    <w:rsid w:val="006B4FDC"/>
    <w:rsid w:val="006B5C05"/>
    <w:rsid w:val="006B6124"/>
    <w:rsid w:val="006C08B7"/>
    <w:rsid w:val="006C0E72"/>
    <w:rsid w:val="006C0FCD"/>
    <w:rsid w:val="006C4780"/>
    <w:rsid w:val="006C4A4B"/>
    <w:rsid w:val="006C7F9F"/>
    <w:rsid w:val="006D27CB"/>
    <w:rsid w:val="006D3000"/>
    <w:rsid w:val="006D3AE3"/>
    <w:rsid w:val="006D474A"/>
    <w:rsid w:val="006D4C0B"/>
    <w:rsid w:val="006D4F47"/>
    <w:rsid w:val="006D5909"/>
    <w:rsid w:val="006D5DD9"/>
    <w:rsid w:val="006D6182"/>
    <w:rsid w:val="006E194C"/>
    <w:rsid w:val="006E1EF7"/>
    <w:rsid w:val="006E26EF"/>
    <w:rsid w:val="006E285F"/>
    <w:rsid w:val="006E340F"/>
    <w:rsid w:val="006E49B2"/>
    <w:rsid w:val="006E73BC"/>
    <w:rsid w:val="006E7493"/>
    <w:rsid w:val="006E77E7"/>
    <w:rsid w:val="006F2DB3"/>
    <w:rsid w:val="006F3E57"/>
    <w:rsid w:val="006F51C0"/>
    <w:rsid w:val="006F5D32"/>
    <w:rsid w:val="006F7393"/>
    <w:rsid w:val="0070224F"/>
    <w:rsid w:val="0070267A"/>
    <w:rsid w:val="00705BDC"/>
    <w:rsid w:val="007106BE"/>
    <w:rsid w:val="007115F7"/>
    <w:rsid w:val="00712ECA"/>
    <w:rsid w:val="0071352C"/>
    <w:rsid w:val="00713B9D"/>
    <w:rsid w:val="00713EAB"/>
    <w:rsid w:val="00714916"/>
    <w:rsid w:val="00714D8B"/>
    <w:rsid w:val="00714F2B"/>
    <w:rsid w:val="0071640A"/>
    <w:rsid w:val="00722690"/>
    <w:rsid w:val="00722785"/>
    <w:rsid w:val="0072329C"/>
    <w:rsid w:val="0072391F"/>
    <w:rsid w:val="00723C66"/>
    <w:rsid w:val="007244BC"/>
    <w:rsid w:val="007251FF"/>
    <w:rsid w:val="00726255"/>
    <w:rsid w:val="00727F63"/>
    <w:rsid w:val="00730AC7"/>
    <w:rsid w:val="00732B1B"/>
    <w:rsid w:val="00733377"/>
    <w:rsid w:val="00734D8A"/>
    <w:rsid w:val="00736576"/>
    <w:rsid w:val="007376BF"/>
    <w:rsid w:val="00737F12"/>
    <w:rsid w:val="007410FD"/>
    <w:rsid w:val="0074586F"/>
    <w:rsid w:val="00745B4D"/>
    <w:rsid w:val="007465CA"/>
    <w:rsid w:val="00750038"/>
    <w:rsid w:val="00750431"/>
    <w:rsid w:val="0075123C"/>
    <w:rsid w:val="00751FDC"/>
    <w:rsid w:val="007521C4"/>
    <w:rsid w:val="00752DC3"/>
    <w:rsid w:val="00753F43"/>
    <w:rsid w:val="0075726F"/>
    <w:rsid w:val="007606FF"/>
    <w:rsid w:val="0076128A"/>
    <w:rsid w:val="00761738"/>
    <w:rsid w:val="007625E1"/>
    <w:rsid w:val="00762711"/>
    <w:rsid w:val="0076343B"/>
    <w:rsid w:val="00763916"/>
    <w:rsid w:val="0076592F"/>
    <w:rsid w:val="00765E97"/>
    <w:rsid w:val="00766D10"/>
    <w:rsid w:val="007708AE"/>
    <w:rsid w:val="007712A8"/>
    <w:rsid w:val="00773115"/>
    <w:rsid w:val="00775168"/>
    <w:rsid w:val="0077624E"/>
    <w:rsid w:val="0077710C"/>
    <w:rsid w:val="007776C1"/>
    <w:rsid w:val="00777D1F"/>
    <w:rsid w:val="00780259"/>
    <w:rsid w:val="007831AE"/>
    <w:rsid w:val="00783696"/>
    <w:rsid w:val="007836BF"/>
    <w:rsid w:val="00783CCD"/>
    <w:rsid w:val="00783DAC"/>
    <w:rsid w:val="00783F54"/>
    <w:rsid w:val="00785689"/>
    <w:rsid w:val="007856B6"/>
    <w:rsid w:val="0078595D"/>
    <w:rsid w:val="00785E42"/>
    <w:rsid w:val="00790BEC"/>
    <w:rsid w:val="00790CBD"/>
    <w:rsid w:val="00791914"/>
    <w:rsid w:val="0079333B"/>
    <w:rsid w:val="0079754B"/>
    <w:rsid w:val="00797978"/>
    <w:rsid w:val="007A038C"/>
    <w:rsid w:val="007A1689"/>
    <w:rsid w:val="007A197E"/>
    <w:rsid w:val="007A1E43"/>
    <w:rsid w:val="007A1E6D"/>
    <w:rsid w:val="007A2E35"/>
    <w:rsid w:val="007A3E0C"/>
    <w:rsid w:val="007A41BA"/>
    <w:rsid w:val="007A46A5"/>
    <w:rsid w:val="007A5BA4"/>
    <w:rsid w:val="007A5CA9"/>
    <w:rsid w:val="007A6FE3"/>
    <w:rsid w:val="007A70A2"/>
    <w:rsid w:val="007A7779"/>
    <w:rsid w:val="007A7A87"/>
    <w:rsid w:val="007B08A8"/>
    <w:rsid w:val="007B0EB2"/>
    <w:rsid w:val="007B14FF"/>
    <w:rsid w:val="007B2F6F"/>
    <w:rsid w:val="007B4A88"/>
    <w:rsid w:val="007B4D66"/>
    <w:rsid w:val="007B536F"/>
    <w:rsid w:val="007B6C9C"/>
    <w:rsid w:val="007C03A8"/>
    <w:rsid w:val="007C0CC4"/>
    <w:rsid w:val="007C10C4"/>
    <w:rsid w:val="007C2DA5"/>
    <w:rsid w:val="007C3C40"/>
    <w:rsid w:val="007C571C"/>
    <w:rsid w:val="007D0C75"/>
    <w:rsid w:val="007D2312"/>
    <w:rsid w:val="007D2ED1"/>
    <w:rsid w:val="007D5648"/>
    <w:rsid w:val="007D6246"/>
    <w:rsid w:val="007D7A9F"/>
    <w:rsid w:val="007E0A10"/>
    <w:rsid w:val="007E0DCC"/>
    <w:rsid w:val="007E1A69"/>
    <w:rsid w:val="007E4166"/>
    <w:rsid w:val="007E425E"/>
    <w:rsid w:val="007E6B1A"/>
    <w:rsid w:val="007E7D7C"/>
    <w:rsid w:val="007F1865"/>
    <w:rsid w:val="007F1B23"/>
    <w:rsid w:val="007F3B49"/>
    <w:rsid w:val="007F5209"/>
    <w:rsid w:val="007F62D5"/>
    <w:rsid w:val="007F7382"/>
    <w:rsid w:val="007F7B94"/>
    <w:rsid w:val="00802868"/>
    <w:rsid w:val="008039D0"/>
    <w:rsid w:val="00806461"/>
    <w:rsid w:val="00806C08"/>
    <w:rsid w:val="00807083"/>
    <w:rsid w:val="008100F2"/>
    <w:rsid w:val="00810B6F"/>
    <w:rsid w:val="0081139B"/>
    <w:rsid w:val="0081307E"/>
    <w:rsid w:val="008135A3"/>
    <w:rsid w:val="008146DB"/>
    <w:rsid w:val="00814D51"/>
    <w:rsid w:val="00815F2F"/>
    <w:rsid w:val="00816C75"/>
    <w:rsid w:val="00816F3B"/>
    <w:rsid w:val="008202D5"/>
    <w:rsid w:val="00821710"/>
    <w:rsid w:val="00821C4E"/>
    <w:rsid w:val="00822202"/>
    <w:rsid w:val="00822CE0"/>
    <w:rsid w:val="008238C0"/>
    <w:rsid w:val="00824CB1"/>
    <w:rsid w:val="00824FE6"/>
    <w:rsid w:val="0082629A"/>
    <w:rsid w:val="00826FAF"/>
    <w:rsid w:val="008272AA"/>
    <w:rsid w:val="00827D73"/>
    <w:rsid w:val="0083131C"/>
    <w:rsid w:val="008316D6"/>
    <w:rsid w:val="00831A63"/>
    <w:rsid w:val="00832678"/>
    <w:rsid w:val="00832CCE"/>
    <w:rsid w:val="008336CB"/>
    <w:rsid w:val="0083467F"/>
    <w:rsid w:val="00834C32"/>
    <w:rsid w:val="00837F9A"/>
    <w:rsid w:val="00841AB1"/>
    <w:rsid w:val="00842EB1"/>
    <w:rsid w:val="00842F4D"/>
    <w:rsid w:val="00843412"/>
    <w:rsid w:val="00844168"/>
    <w:rsid w:val="008447CD"/>
    <w:rsid w:val="008450BE"/>
    <w:rsid w:val="00846D8C"/>
    <w:rsid w:val="00850788"/>
    <w:rsid w:val="0085088C"/>
    <w:rsid w:val="00851A6A"/>
    <w:rsid w:val="00852995"/>
    <w:rsid w:val="008538C3"/>
    <w:rsid w:val="008541C5"/>
    <w:rsid w:val="00854663"/>
    <w:rsid w:val="008553FF"/>
    <w:rsid w:val="008558B3"/>
    <w:rsid w:val="008558CC"/>
    <w:rsid w:val="008571C9"/>
    <w:rsid w:val="00857B46"/>
    <w:rsid w:val="00857D41"/>
    <w:rsid w:val="00857D75"/>
    <w:rsid w:val="008602E1"/>
    <w:rsid w:val="008614E0"/>
    <w:rsid w:val="0086156A"/>
    <w:rsid w:val="00861BAF"/>
    <w:rsid w:val="00862C30"/>
    <w:rsid w:val="008637B5"/>
    <w:rsid w:val="008652CC"/>
    <w:rsid w:val="0086689B"/>
    <w:rsid w:val="00870C31"/>
    <w:rsid w:val="00871114"/>
    <w:rsid w:val="0087223B"/>
    <w:rsid w:val="00873788"/>
    <w:rsid w:val="00874397"/>
    <w:rsid w:val="00874DBF"/>
    <w:rsid w:val="00874EAB"/>
    <w:rsid w:val="00875807"/>
    <w:rsid w:val="0087600F"/>
    <w:rsid w:val="00881100"/>
    <w:rsid w:val="00882F8E"/>
    <w:rsid w:val="00885EBF"/>
    <w:rsid w:val="00891034"/>
    <w:rsid w:val="00891300"/>
    <w:rsid w:val="008929A9"/>
    <w:rsid w:val="00893160"/>
    <w:rsid w:val="00894A16"/>
    <w:rsid w:val="0089508B"/>
    <w:rsid w:val="008956BC"/>
    <w:rsid w:val="008966D4"/>
    <w:rsid w:val="00896C17"/>
    <w:rsid w:val="00897B13"/>
    <w:rsid w:val="00897BCB"/>
    <w:rsid w:val="00897DE6"/>
    <w:rsid w:val="008A1870"/>
    <w:rsid w:val="008A191D"/>
    <w:rsid w:val="008A2012"/>
    <w:rsid w:val="008A2C9A"/>
    <w:rsid w:val="008A3C7C"/>
    <w:rsid w:val="008A4B88"/>
    <w:rsid w:val="008A694F"/>
    <w:rsid w:val="008A7338"/>
    <w:rsid w:val="008A7604"/>
    <w:rsid w:val="008A77F7"/>
    <w:rsid w:val="008A7D5A"/>
    <w:rsid w:val="008B05B6"/>
    <w:rsid w:val="008B2400"/>
    <w:rsid w:val="008B3505"/>
    <w:rsid w:val="008B52DE"/>
    <w:rsid w:val="008B5B68"/>
    <w:rsid w:val="008B6701"/>
    <w:rsid w:val="008B7080"/>
    <w:rsid w:val="008C1E4B"/>
    <w:rsid w:val="008C43A1"/>
    <w:rsid w:val="008C5552"/>
    <w:rsid w:val="008C56BE"/>
    <w:rsid w:val="008C5A08"/>
    <w:rsid w:val="008C6200"/>
    <w:rsid w:val="008C62BF"/>
    <w:rsid w:val="008C685B"/>
    <w:rsid w:val="008C68F1"/>
    <w:rsid w:val="008D1236"/>
    <w:rsid w:val="008D2E1E"/>
    <w:rsid w:val="008D38D0"/>
    <w:rsid w:val="008D4FC3"/>
    <w:rsid w:val="008D6374"/>
    <w:rsid w:val="008E03D0"/>
    <w:rsid w:val="008E098C"/>
    <w:rsid w:val="008E1253"/>
    <w:rsid w:val="008E2626"/>
    <w:rsid w:val="008E2B58"/>
    <w:rsid w:val="008E445A"/>
    <w:rsid w:val="008E6091"/>
    <w:rsid w:val="008E6138"/>
    <w:rsid w:val="008E61EF"/>
    <w:rsid w:val="008E6479"/>
    <w:rsid w:val="008E6959"/>
    <w:rsid w:val="008F1DEF"/>
    <w:rsid w:val="008F291C"/>
    <w:rsid w:val="008F3538"/>
    <w:rsid w:val="008F5698"/>
    <w:rsid w:val="008F57D8"/>
    <w:rsid w:val="008F6A68"/>
    <w:rsid w:val="008F6C86"/>
    <w:rsid w:val="00901645"/>
    <w:rsid w:val="009029B1"/>
    <w:rsid w:val="00902DB3"/>
    <w:rsid w:val="00902DC2"/>
    <w:rsid w:val="00903031"/>
    <w:rsid w:val="0090342A"/>
    <w:rsid w:val="0090552A"/>
    <w:rsid w:val="0090648C"/>
    <w:rsid w:val="00906641"/>
    <w:rsid w:val="00906E78"/>
    <w:rsid w:val="009115A3"/>
    <w:rsid w:val="00912A4E"/>
    <w:rsid w:val="00916A22"/>
    <w:rsid w:val="009170C8"/>
    <w:rsid w:val="00917998"/>
    <w:rsid w:val="0092139E"/>
    <w:rsid w:val="00921803"/>
    <w:rsid w:val="00923F1F"/>
    <w:rsid w:val="00923F68"/>
    <w:rsid w:val="00924CE1"/>
    <w:rsid w:val="00925EB6"/>
    <w:rsid w:val="00926503"/>
    <w:rsid w:val="009275D0"/>
    <w:rsid w:val="00927C56"/>
    <w:rsid w:val="00927D0B"/>
    <w:rsid w:val="0093154F"/>
    <w:rsid w:val="009326BA"/>
    <w:rsid w:val="00932B1F"/>
    <w:rsid w:val="00932C43"/>
    <w:rsid w:val="00935403"/>
    <w:rsid w:val="00940016"/>
    <w:rsid w:val="00941FD7"/>
    <w:rsid w:val="00943E83"/>
    <w:rsid w:val="0094674E"/>
    <w:rsid w:val="009467E8"/>
    <w:rsid w:val="009523CD"/>
    <w:rsid w:val="00952A1B"/>
    <w:rsid w:val="00953398"/>
    <w:rsid w:val="00953EEA"/>
    <w:rsid w:val="0095497A"/>
    <w:rsid w:val="0095637F"/>
    <w:rsid w:val="0096056B"/>
    <w:rsid w:val="00961539"/>
    <w:rsid w:val="009638E3"/>
    <w:rsid w:val="00964503"/>
    <w:rsid w:val="00965919"/>
    <w:rsid w:val="009673FB"/>
    <w:rsid w:val="00970880"/>
    <w:rsid w:val="0097103B"/>
    <w:rsid w:val="00971154"/>
    <w:rsid w:val="00971A15"/>
    <w:rsid w:val="009726D8"/>
    <w:rsid w:val="00974DA1"/>
    <w:rsid w:val="00974DAC"/>
    <w:rsid w:val="00975C75"/>
    <w:rsid w:val="009769CC"/>
    <w:rsid w:val="00977BEC"/>
    <w:rsid w:val="00980E66"/>
    <w:rsid w:val="00981CA1"/>
    <w:rsid w:val="00982943"/>
    <w:rsid w:val="009851EB"/>
    <w:rsid w:val="009910AB"/>
    <w:rsid w:val="00992041"/>
    <w:rsid w:val="00992A3B"/>
    <w:rsid w:val="00994EB4"/>
    <w:rsid w:val="00996D69"/>
    <w:rsid w:val="00996E3E"/>
    <w:rsid w:val="009A086C"/>
    <w:rsid w:val="009A0F3D"/>
    <w:rsid w:val="009A1AA3"/>
    <w:rsid w:val="009A28BC"/>
    <w:rsid w:val="009A4090"/>
    <w:rsid w:val="009A41EF"/>
    <w:rsid w:val="009A4F34"/>
    <w:rsid w:val="009A51CC"/>
    <w:rsid w:val="009A590E"/>
    <w:rsid w:val="009A5EB5"/>
    <w:rsid w:val="009A6183"/>
    <w:rsid w:val="009A7127"/>
    <w:rsid w:val="009B0982"/>
    <w:rsid w:val="009B1C7F"/>
    <w:rsid w:val="009B3B4F"/>
    <w:rsid w:val="009B4D38"/>
    <w:rsid w:val="009B56D4"/>
    <w:rsid w:val="009B790F"/>
    <w:rsid w:val="009C1198"/>
    <w:rsid w:val="009C2CEC"/>
    <w:rsid w:val="009C3D24"/>
    <w:rsid w:val="009C644B"/>
    <w:rsid w:val="009D0364"/>
    <w:rsid w:val="009D05CD"/>
    <w:rsid w:val="009D07C3"/>
    <w:rsid w:val="009D1697"/>
    <w:rsid w:val="009D267B"/>
    <w:rsid w:val="009D2844"/>
    <w:rsid w:val="009D44D9"/>
    <w:rsid w:val="009D671C"/>
    <w:rsid w:val="009D69FF"/>
    <w:rsid w:val="009D6ABF"/>
    <w:rsid w:val="009E03FC"/>
    <w:rsid w:val="009E0766"/>
    <w:rsid w:val="009E07F4"/>
    <w:rsid w:val="009E1841"/>
    <w:rsid w:val="009E3A49"/>
    <w:rsid w:val="009E3EED"/>
    <w:rsid w:val="009E59DF"/>
    <w:rsid w:val="009F020A"/>
    <w:rsid w:val="009F1668"/>
    <w:rsid w:val="009F25AE"/>
    <w:rsid w:val="009F366F"/>
    <w:rsid w:val="009F68DC"/>
    <w:rsid w:val="009F76DB"/>
    <w:rsid w:val="009F77C0"/>
    <w:rsid w:val="00A00529"/>
    <w:rsid w:val="00A00D4C"/>
    <w:rsid w:val="00A02AA4"/>
    <w:rsid w:val="00A02DB9"/>
    <w:rsid w:val="00A05268"/>
    <w:rsid w:val="00A06BB2"/>
    <w:rsid w:val="00A07ADD"/>
    <w:rsid w:val="00A122B3"/>
    <w:rsid w:val="00A12A60"/>
    <w:rsid w:val="00A13782"/>
    <w:rsid w:val="00A13E1A"/>
    <w:rsid w:val="00A15B34"/>
    <w:rsid w:val="00A15CD4"/>
    <w:rsid w:val="00A16814"/>
    <w:rsid w:val="00A16ECA"/>
    <w:rsid w:val="00A2098F"/>
    <w:rsid w:val="00A20ECF"/>
    <w:rsid w:val="00A2229F"/>
    <w:rsid w:val="00A237EC"/>
    <w:rsid w:val="00A24AA9"/>
    <w:rsid w:val="00A26575"/>
    <w:rsid w:val="00A268A3"/>
    <w:rsid w:val="00A26D61"/>
    <w:rsid w:val="00A26D81"/>
    <w:rsid w:val="00A276FC"/>
    <w:rsid w:val="00A276FD"/>
    <w:rsid w:val="00A27BD3"/>
    <w:rsid w:val="00A27E39"/>
    <w:rsid w:val="00A30A6E"/>
    <w:rsid w:val="00A30AB4"/>
    <w:rsid w:val="00A3272F"/>
    <w:rsid w:val="00A32C3B"/>
    <w:rsid w:val="00A32C66"/>
    <w:rsid w:val="00A32D23"/>
    <w:rsid w:val="00A338AF"/>
    <w:rsid w:val="00A3395A"/>
    <w:rsid w:val="00A351F1"/>
    <w:rsid w:val="00A357B6"/>
    <w:rsid w:val="00A35FF0"/>
    <w:rsid w:val="00A363F5"/>
    <w:rsid w:val="00A37B26"/>
    <w:rsid w:val="00A37E9D"/>
    <w:rsid w:val="00A40262"/>
    <w:rsid w:val="00A403A5"/>
    <w:rsid w:val="00A43E1E"/>
    <w:rsid w:val="00A45920"/>
    <w:rsid w:val="00A45F4F"/>
    <w:rsid w:val="00A47995"/>
    <w:rsid w:val="00A50700"/>
    <w:rsid w:val="00A519B8"/>
    <w:rsid w:val="00A52184"/>
    <w:rsid w:val="00A53A16"/>
    <w:rsid w:val="00A55966"/>
    <w:rsid w:val="00A56440"/>
    <w:rsid w:val="00A567A8"/>
    <w:rsid w:val="00A568B0"/>
    <w:rsid w:val="00A57088"/>
    <w:rsid w:val="00A600A9"/>
    <w:rsid w:val="00A60905"/>
    <w:rsid w:val="00A61B5B"/>
    <w:rsid w:val="00A622A6"/>
    <w:rsid w:val="00A627E3"/>
    <w:rsid w:val="00A6354D"/>
    <w:rsid w:val="00A64F7B"/>
    <w:rsid w:val="00A66BD5"/>
    <w:rsid w:val="00A6732D"/>
    <w:rsid w:val="00A67483"/>
    <w:rsid w:val="00A67545"/>
    <w:rsid w:val="00A7088F"/>
    <w:rsid w:val="00A774E1"/>
    <w:rsid w:val="00A7756F"/>
    <w:rsid w:val="00A815BD"/>
    <w:rsid w:val="00A84AB1"/>
    <w:rsid w:val="00A84B0D"/>
    <w:rsid w:val="00A85E54"/>
    <w:rsid w:val="00A9086E"/>
    <w:rsid w:val="00A90A93"/>
    <w:rsid w:val="00A92266"/>
    <w:rsid w:val="00A926F6"/>
    <w:rsid w:val="00A92CE8"/>
    <w:rsid w:val="00A93838"/>
    <w:rsid w:val="00A949D8"/>
    <w:rsid w:val="00A9558D"/>
    <w:rsid w:val="00A96F80"/>
    <w:rsid w:val="00A97E14"/>
    <w:rsid w:val="00A97F18"/>
    <w:rsid w:val="00AA1E08"/>
    <w:rsid w:val="00AA2E2D"/>
    <w:rsid w:val="00AA354D"/>
    <w:rsid w:val="00AA55B7"/>
    <w:rsid w:val="00AA5B9E"/>
    <w:rsid w:val="00AA637F"/>
    <w:rsid w:val="00AA70FB"/>
    <w:rsid w:val="00AA721B"/>
    <w:rsid w:val="00AA787A"/>
    <w:rsid w:val="00AB072E"/>
    <w:rsid w:val="00AB126A"/>
    <w:rsid w:val="00AB1CC1"/>
    <w:rsid w:val="00AB2407"/>
    <w:rsid w:val="00AB3237"/>
    <w:rsid w:val="00AB33B7"/>
    <w:rsid w:val="00AB4D73"/>
    <w:rsid w:val="00AB53DF"/>
    <w:rsid w:val="00AB6517"/>
    <w:rsid w:val="00AB6963"/>
    <w:rsid w:val="00AB7420"/>
    <w:rsid w:val="00AB7CC1"/>
    <w:rsid w:val="00AC01B2"/>
    <w:rsid w:val="00AC072A"/>
    <w:rsid w:val="00AC1930"/>
    <w:rsid w:val="00AC2131"/>
    <w:rsid w:val="00AC2733"/>
    <w:rsid w:val="00AC2F17"/>
    <w:rsid w:val="00AC3A5E"/>
    <w:rsid w:val="00AC440F"/>
    <w:rsid w:val="00AC4B16"/>
    <w:rsid w:val="00AC5E58"/>
    <w:rsid w:val="00AC6904"/>
    <w:rsid w:val="00AC7769"/>
    <w:rsid w:val="00AD27E3"/>
    <w:rsid w:val="00AD2FBD"/>
    <w:rsid w:val="00AD384B"/>
    <w:rsid w:val="00AD46B7"/>
    <w:rsid w:val="00AD4E08"/>
    <w:rsid w:val="00AD72AE"/>
    <w:rsid w:val="00AD7672"/>
    <w:rsid w:val="00AD7E49"/>
    <w:rsid w:val="00AD7EDE"/>
    <w:rsid w:val="00AE0CC0"/>
    <w:rsid w:val="00AE3280"/>
    <w:rsid w:val="00AE4C9E"/>
    <w:rsid w:val="00AE5171"/>
    <w:rsid w:val="00AE52AE"/>
    <w:rsid w:val="00AE73CB"/>
    <w:rsid w:val="00AE7688"/>
    <w:rsid w:val="00AF0809"/>
    <w:rsid w:val="00AF1BCD"/>
    <w:rsid w:val="00AF1FA7"/>
    <w:rsid w:val="00AF38B2"/>
    <w:rsid w:val="00AF3DF8"/>
    <w:rsid w:val="00AF41C2"/>
    <w:rsid w:val="00AF527C"/>
    <w:rsid w:val="00AF5AC4"/>
    <w:rsid w:val="00AF7430"/>
    <w:rsid w:val="00AF79B5"/>
    <w:rsid w:val="00B001BF"/>
    <w:rsid w:val="00B052B5"/>
    <w:rsid w:val="00B05DBF"/>
    <w:rsid w:val="00B07B94"/>
    <w:rsid w:val="00B07E5C"/>
    <w:rsid w:val="00B1038D"/>
    <w:rsid w:val="00B11CEA"/>
    <w:rsid w:val="00B12261"/>
    <w:rsid w:val="00B127E5"/>
    <w:rsid w:val="00B144FC"/>
    <w:rsid w:val="00B17ABC"/>
    <w:rsid w:val="00B20F3B"/>
    <w:rsid w:val="00B220E3"/>
    <w:rsid w:val="00B222D1"/>
    <w:rsid w:val="00B23E52"/>
    <w:rsid w:val="00B244ED"/>
    <w:rsid w:val="00B24EE3"/>
    <w:rsid w:val="00B26849"/>
    <w:rsid w:val="00B300DD"/>
    <w:rsid w:val="00B310C1"/>
    <w:rsid w:val="00B32E8B"/>
    <w:rsid w:val="00B33BF0"/>
    <w:rsid w:val="00B33DB6"/>
    <w:rsid w:val="00B3480C"/>
    <w:rsid w:val="00B35A5F"/>
    <w:rsid w:val="00B36FB4"/>
    <w:rsid w:val="00B37253"/>
    <w:rsid w:val="00B42551"/>
    <w:rsid w:val="00B428E0"/>
    <w:rsid w:val="00B43E9F"/>
    <w:rsid w:val="00B43F72"/>
    <w:rsid w:val="00B44630"/>
    <w:rsid w:val="00B4612A"/>
    <w:rsid w:val="00B46FEE"/>
    <w:rsid w:val="00B50CAF"/>
    <w:rsid w:val="00B51105"/>
    <w:rsid w:val="00B51B6D"/>
    <w:rsid w:val="00B51D44"/>
    <w:rsid w:val="00B529E2"/>
    <w:rsid w:val="00B52F96"/>
    <w:rsid w:val="00B53AC2"/>
    <w:rsid w:val="00B54A31"/>
    <w:rsid w:val="00B54BA3"/>
    <w:rsid w:val="00B54BD1"/>
    <w:rsid w:val="00B55656"/>
    <w:rsid w:val="00B6173E"/>
    <w:rsid w:val="00B6184F"/>
    <w:rsid w:val="00B63419"/>
    <w:rsid w:val="00B63A63"/>
    <w:rsid w:val="00B6429F"/>
    <w:rsid w:val="00B65B1A"/>
    <w:rsid w:val="00B67D06"/>
    <w:rsid w:val="00B707E4"/>
    <w:rsid w:val="00B70C9A"/>
    <w:rsid w:val="00B71117"/>
    <w:rsid w:val="00B711EA"/>
    <w:rsid w:val="00B72434"/>
    <w:rsid w:val="00B7372E"/>
    <w:rsid w:val="00B74163"/>
    <w:rsid w:val="00B75477"/>
    <w:rsid w:val="00B757D2"/>
    <w:rsid w:val="00B76FDA"/>
    <w:rsid w:val="00B80A0D"/>
    <w:rsid w:val="00B811F7"/>
    <w:rsid w:val="00B81425"/>
    <w:rsid w:val="00B8191C"/>
    <w:rsid w:val="00B81C7E"/>
    <w:rsid w:val="00B81DB5"/>
    <w:rsid w:val="00B81FD1"/>
    <w:rsid w:val="00B86561"/>
    <w:rsid w:val="00B901EC"/>
    <w:rsid w:val="00B90AAB"/>
    <w:rsid w:val="00B90EFE"/>
    <w:rsid w:val="00B925AB"/>
    <w:rsid w:val="00B95E0C"/>
    <w:rsid w:val="00B96E1D"/>
    <w:rsid w:val="00BA00D9"/>
    <w:rsid w:val="00BA0F8F"/>
    <w:rsid w:val="00BA16BB"/>
    <w:rsid w:val="00BA1B13"/>
    <w:rsid w:val="00BA233D"/>
    <w:rsid w:val="00BA2783"/>
    <w:rsid w:val="00BA3C9C"/>
    <w:rsid w:val="00BA3D03"/>
    <w:rsid w:val="00BA4AA0"/>
    <w:rsid w:val="00BA5DC6"/>
    <w:rsid w:val="00BA6196"/>
    <w:rsid w:val="00BA6317"/>
    <w:rsid w:val="00BA634C"/>
    <w:rsid w:val="00BA6C7B"/>
    <w:rsid w:val="00BA70C9"/>
    <w:rsid w:val="00BB1914"/>
    <w:rsid w:val="00BB25F8"/>
    <w:rsid w:val="00BB2EB3"/>
    <w:rsid w:val="00BB40E1"/>
    <w:rsid w:val="00BB55C1"/>
    <w:rsid w:val="00BB658A"/>
    <w:rsid w:val="00BC0E3C"/>
    <w:rsid w:val="00BC0E94"/>
    <w:rsid w:val="00BC130A"/>
    <w:rsid w:val="00BC3340"/>
    <w:rsid w:val="00BC3828"/>
    <w:rsid w:val="00BC39C6"/>
    <w:rsid w:val="00BC41ED"/>
    <w:rsid w:val="00BC56DD"/>
    <w:rsid w:val="00BC5BC0"/>
    <w:rsid w:val="00BC625C"/>
    <w:rsid w:val="00BC63C4"/>
    <w:rsid w:val="00BC647D"/>
    <w:rsid w:val="00BC6D8C"/>
    <w:rsid w:val="00BC776A"/>
    <w:rsid w:val="00BC7A7A"/>
    <w:rsid w:val="00BC7CED"/>
    <w:rsid w:val="00BD085E"/>
    <w:rsid w:val="00BD16D2"/>
    <w:rsid w:val="00BD1880"/>
    <w:rsid w:val="00BD2E17"/>
    <w:rsid w:val="00BD3D16"/>
    <w:rsid w:val="00BD5756"/>
    <w:rsid w:val="00BD7D96"/>
    <w:rsid w:val="00BD7E7D"/>
    <w:rsid w:val="00BE1BED"/>
    <w:rsid w:val="00BE2F6C"/>
    <w:rsid w:val="00BE3293"/>
    <w:rsid w:val="00BE64E4"/>
    <w:rsid w:val="00BE65A7"/>
    <w:rsid w:val="00BE6B79"/>
    <w:rsid w:val="00BE6E64"/>
    <w:rsid w:val="00BE77E2"/>
    <w:rsid w:val="00BE7C8D"/>
    <w:rsid w:val="00BE7E9D"/>
    <w:rsid w:val="00BF0216"/>
    <w:rsid w:val="00BF1194"/>
    <w:rsid w:val="00BF1772"/>
    <w:rsid w:val="00BF19DE"/>
    <w:rsid w:val="00BF56C0"/>
    <w:rsid w:val="00BF7526"/>
    <w:rsid w:val="00C0043B"/>
    <w:rsid w:val="00C00522"/>
    <w:rsid w:val="00C013E9"/>
    <w:rsid w:val="00C018AC"/>
    <w:rsid w:val="00C02764"/>
    <w:rsid w:val="00C02862"/>
    <w:rsid w:val="00C041D4"/>
    <w:rsid w:val="00C05B5D"/>
    <w:rsid w:val="00C05CC4"/>
    <w:rsid w:val="00C076F4"/>
    <w:rsid w:val="00C07C7D"/>
    <w:rsid w:val="00C10F7C"/>
    <w:rsid w:val="00C117EE"/>
    <w:rsid w:val="00C13FC6"/>
    <w:rsid w:val="00C1719C"/>
    <w:rsid w:val="00C1744C"/>
    <w:rsid w:val="00C17926"/>
    <w:rsid w:val="00C201BB"/>
    <w:rsid w:val="00C2048F"/>
    <w:rsid w:val="00C20667"/>
    <w:rsid w:val="00C219A0"/>
    <w:rsid w:val="00C219FA"/>
    <w:rsid w:val="00C21F10"/>
    <w:rsid w:val="00C22885"/>
    <w:rsid w:val="00C23CBB"/>
    <w:rsid w:val="00C241D7"/>
    <w:rsid w:val="00C2490A"/>
    <w:rsid w:val="00C25D83"/>
    <w:rsid w:val="00C27020"/>
    <w:rsid w:val="00C3247E"/>
    <w:rsid w:val="00C33A83"/>
    <w:rsid w:val="00C34006"/>
    <w:rsid w:val="00C368AE"/>
    <w:rsid w:val="00C3799E"/>
    <w:rsid w:val="00C426B1"/>
    <w:rsid w:val="00C428B7"/>
    <w:rsid w:val="00C42B39"/>
    <w:rsid w:val="00C42C5A"/>
    <w:rsid w:val="00C459F2"/>
    <w:rsid w:val="00C46AE1"/>
    <w:rsid w:val="00C50A0C"/>
    <w:rsid w:val="00C50B06"/>
    <w:rsid w:val="00C50B1F"/>
    <w:rsid w:val="00C50BB4"/>
    <w:rsid w:val="00C51D1F"/>
    <w:rsid w:val="00C54ACF"/>
    <w:rsid w:val="00C55496"/>
    <w:rsid w:val="00C56A92"/>
    <w:rsid w:val="00C56DFA"/>
    <w:rsid w:val="00C60EF2"/>
    <w:rsid w:val="00C64ACD"/>
    <w:rsid w:val="00C650C7"/>
    <w:rsid w:val="00C66160"/>
    <w:rsid w:val="00C66DE1"/>
    <w:rsid w:val="00C66F33"/>
    <w:rsid w:val="00C70206"/>
    <w:rsid w:val="00C7115C"/>
    <w:rsid w:val="00C72188"/>
    <w:rsid w:val="00C721AC"/>
    <w:rsid w:val="00C74870"/>
    <w:rsid w:val="00C74F74"/>
    <w:rsid w:val="00C7550F"/>
    <w:rsid w:val="00C75BC3"/>
    <w:rsid w:val="00C77C88"/>
    <w:rsid w:val="00C808C8"/>
    <w:rsid w:val="00C823C1"/>
    <w:rsid w:val="00C82B36"/>
    <w:rsid w:val="00C8318F"/>
    <w:rsid w:val="00C832A5"/>
    <w:rsid w:val="00C83BD2"/>
    <w:rsid w:val="00C842BA"/>
    <w:rsid w:val="00C84A70"/>
    <w:rsid w:val="00C853FB"/>
    <w:rsid w:val="00C86AFD"/>
    <w:rsid w:val="00C90789"/>
    <w:rsid w:val="00C90D6A"/>
    <w:rsid w:val="00C910B2"/>
    <w:rsid w:val="00C910F4"/>
    <w:rsid w:val="00C91D0A"/>
    <w:rsid w:val="00C9292F"/>
    <w:rsid w:val="00C9413D"/>
    <w:rsid w:val="00C946BA"/>
    <w:rsid w:val="00C9486E"/>
    <w:rsid w:val="00C96D64"/>
    <w:rsid w:val="00CA0183"/>
    <w:rsid w:val="00CA0807"/>
    <w:rsid w:val="00CA0CDC"/>
    <w:rsid w:val="00CA247E"/>
    <w:rsid w:val="00CA26A1"/>
    <w:rsid w:val="00CA294F"/>
    <w:rsid w:val="00CA4891"/>
    <w:rsid w:val="00CA4973"/>
    <w:rsid w:val="00CA5260"/>
    <w:rsid w:val="00CA5454"/>
    <w:rsid w:val="00CA5A32"/>
    <w:rsid w:val="00CA5E37"/>
    <w:rsid w:val="00CA5F7C"/>
    <w:rsid w:val="00CB03F7"/>
    <w:rsid w:val="00CB07CA"/>
    <w:rsid w:val="00CB0823"/>
    <w:rsid w:val="00CB39E6"/>
    <w:rsid w:val="00CB3ED4"/>
    <w:rsid w:val="00CB3F43"/>
    <w:rsid w:val="00CB4103"/>
    <w:rsid w:val="00CB4564"/>
    <w:rsid w:val="00CB53A7"/>
    <w:rsid w:val="00CC0DDB"/>
    <w:rsid w:val="00CC2953"/>
    <w:rsid w:val="00CC2BEA"/>
    <w:rsid w:val="00CC4A8F"/>
    <w:rsid w:val="00CC72B6"/>
    <w:rsid w:val="00CD15FE"/>
    <w:rsid w:val="00CD1653"/>
    <w:rsid w:val="00CD2E2D"/>
    <w:rsid w:val="00CD3196"/>
    <w:rsid w:val="00CD56F1"/>
    <w:rsid w:val="00CD5DE9"/>
    <w:rsid w:val="00CD69EF"/>
    <w:rsid w:val="00CE0027"/>
    <w:rsid w:val="00CE1054"/>
    <w:rsid w:val="00CE411C"/>
    <w:rsid w:val="00CE4D2B"/>
    <w:rsid w:val="00CE4DFC"/>
    <w:rsid w:val="00CE5100"/>
    <w:rsid w:val="00CE52B0"/>
    <w:rsid w:val="00CF0BC9"/>
    <w:rsid w:val="00CF0E25"/>
    <w:rsid w:val="00CF2069"/>
    <w:rsid w:val="00CF2471"/>
    <w:rsid w:val="00CF3417"/>
    <w:rsid w:val="00CF3556"/>
    <w:rsid w:val="00CF4104"/>
    <w:rsid w:val="00CF643F"/>
    <w:rsid w:val="00CF743D"/>
    <w:rsid w:val="00D00584"/>
    <w:rsid w:val="00D00753"/>
    <w:rsid w:val="00D00784"/>
    <w:rsid w:val="00D00B81"/>
    <w:rsid w:val="00D013B1"/>
    <w:rsid w:val="00D01448"/>
    <w:rsid w:val="00D014BD"/>
    <w:rsid w:val="00D01525"/>
    <w:rsid w:val="00D0218D"/>
    <w:rsid w:val="00D031F2"/>
    <w:rsid w:val="00D03C98"/>
    <w:rsid w:val="00D0469A"/>
    <w:rsid w:val="00D064D1"/>
    <w:rsid w:val="00D0719D"/>
    <w:rsid w:val="00D107DD"/>
    <w:rsid w:val="00D10E44"/>
    <w:rsid w:val="00D10FBC"/>
    <w:rsid w:val="00D11187"/>
    <w:rsid w:val="00D11DC6"/>
    <w:rsid w:val="00D1207E"/>
    <w:rsid w:val="00D1550D"/>
    <w:rsid w:val="00D15861"/>
    <w:rsid w:val="00D165BE"/>
    <w:rsid w:val="00D16900"/>
    <w:rsid w:val="00D16C92"/>
    <w:rsid w:val="00D16EAB"/>
    <w:rsid w:val="00D16EE4"/>
    <w:rsid w:val="00D226DE"/>
    <w:rsid w:val="00D2362B"/>
    <w:rsid w:val="00D23F5F"/>
    <w:rsid w:val="00D24F40"/>
    <w:rsid w:val="00D25FB5"/>
    <w:rsid w:val="00D30F7A"/>
    <w:rsid w:val="00D31936"/>
    <w:rsid w:val="00D319A0"/>
    <w:rsid w:val="00D324DE"/>
    <w:rsid w:val="00D32548"/>
    <w:rsid w:val="00D3435E"/>
    <w:rsid w:val="00D3473E"/>
    <w:rsid w:val="00D427BD"/>
    <w:rsid w:val="00D43BFB"/>
    <w:rsid w:val="00D44223"/>
    <w:rsid w:val="00D45AC6"/>
    <w:rsid w:val="00D45B0B"/>
    <w:rsid w:val="00D45DDC"/>
    <w:rsid w:val="00D476AD"/>
    <w:rsid w:val="00D5017C"/>
    <w:rsid w:val="00D51EB2"/>
    <w:rsid w:val="00D52045"/>
    <w:rsid w:val="00D53434"/>
    <w:rsid w:val="00D53D60"/>
    <w:rsid w:val="00D549D4"/>
    <w:rsid w:val="00D54BDE"/>
    <w:rsid w:val="00D56989"/>
    <w:rsid w:val="00D56B5F"/>
    <w:rsid w:val="00D57DE2"/>
    <w:rsid w:val="00D6076C"/>
    <w:rsid w:val="00D63606"/>
    <w:rsid w:val="00D6701D"/>
    <w:rsid w:val="00D70C94"/>
    <w:rsid w:val="00D72521"/>
    <w:rsid w:val="00D7299E"/>
    <w:rsid w:val="00D736F5"/>
    <w:rsid w:val="00D738DC"/>
    <w:rsid w:val="00D758E6"/>
    <w:rsid w:val="00D80C9F"/>
    <w:rsid w:val="00D80D70"/>
    <w:rsid w:val="00D81F55"/>
    <w:rsid w:val="00D82019"/>
    <w:rsid w:val="00D8305C"/>
    <w:rsid w:val="00D8306F"/>
    <w:rsid w:val="00D83D87"/>
    <w:rsid w:val="00D87A21"/>
    <w:rsid w:val="00D90A35"/>
    <w:rsid w:val="00D93293"/>
    <w:rsid w:val="00D9336B"/>
    <w:rsid w:val="00D97E6D"/>
    <w:rsid w:val="00DA13E2"/>
    <w:rsid w:val="00DA2529"/>
    <w:rsid w:val="00DA290D"/>
    <w:rsid w:val="00DA7018"/>
    <w:rsid w:val="00DA754D"/>
    <w:rsid w:val="00DB130A"/>
    <w:rsid w:val="00DB174C"/>
    <w:rsid w:val="00DB1ED4"/>
    <w:rsid w:val="00DB2DC5"/>
    <w:rsid w:val="00DB2EBB"/>
    <w:rsid w:val="00DB45C2"/>
    <w:rsid w:val="00DB52F2"/>
    <w:rsid w:val="00DC0628"/>
    <w:rsid w:val="00DC10A1"/>
    <w:rsid w:val="00DC2CF6"/>
    <w:rsid w:val="00DC4E7A"/>
    <w:rsid w:val="00DC51D9"/>
    <w:rsid w:val="00DC655F"/>
    <w:rsid w:val="00DC672A"/>
    <w:rsid w:val="00DD0B59"/>
    <w:rsid w:val="00DD0EFA"/>
    <w:rsid w:val="00DD1012"/>
    <w:rsid w:val="00DD2009"/>
    <w:rsid w:val="00DD2E46"/>
    <w:rsid w:val="00DD44EC"/>
    <w:rsid w:val="00DD46B5"/>
    <w:rsid w:val="00DD4F66"/>
    <w:rsid w:val="00DD6ADB"/>
    <w:rsid w:val="00DD711E"/>
    <w:rsid w:val="00DD7EBD"/>
    <w:rsid w:val="00DE02BF"/>
    <w:rsid w:val="00DE0797"/>
    <w:rsid w:val="00DE0F9D"/>
    <w:rsid w:val="00DE251B"/>
    <w:rsid w:val="00DE280E"/>
    <w:rsid w:val="00DE3782"/>
    <w:rsid w:val="00DE6845"/>
    <w:rsid w:val="00DE7125"/>
    <w:rsid w:val="00DF2A64"/>
    <w:rsid w:val="00DF332E"/>
    <w:rsid w:val="00DF43E2"/>
    <w:rsid w:val="00DF54F5"/>
    <w:rsid w:val="00DF5ED1"/>
    <w:rsid w:val="00DF62B6"/>
    <w:rsid w:val="00DF676B"/>
    <w:rsid w:val="00DF6C1E"/>
    <w:rsid w:val="00DF7AAE"/>
    <w:rsid w:val="00E002AB"/>
    <w:rsid w:val="00E01464"/>
    <w:rsid w:val="00E02677"/>
    <w:rsid w:val="00E03096"/>
    <w:rsid w:val="00E051EE"/>
    <w:rsid w:val="00E05FC3"/>
    <w:rsid w:val="00E07225"/>
    <w:rsid w:val="00E0770E"/>
    <w:rsid w:val="00E07C9B"/>
    <w:rsid w:val="00E10208"/>
    <w:rsid w:val="00E10368"/>
    <w:rsid w:val="00E10B75"/>
    <w:rsid w:val="00E11CB8"/>
    <w:rsid w:val="00E11F6D"/>
    <w:rsid w:val="00E12107"/>
    <w:rsid w:val="00E12C22"/>
    <w:rsid w:val="00E144A7"/>
    <w:rsid w:val="00E1483E"/>
    <w:rsid w:val="00E151F2"/>
    <w:rsid w:val="00E16F8D"/>
    <w:rsid w:val="00E20BDB"/>
    <w:rsid w:val="00E20C64"/>
    <w:rsid w:val="00E21045"/>
    <w:rsid w:val="00E2191D"/>
    <w:rsid w:val="00E22D82"/>
    <w:rsid w:val="00E23858"/>
    <w:rsid w:val="00E251DD"/>
    <w:rsid w:val="00E264C6"/>
    <w:rsid w:val="00E303C5"/>
    <w:rsid w:val="00E30E82"/>
    <w:rsid w:val="00E33DD1"/>
    <w:rsid w:val="00E345D1"/>
    <w:rsid w:val="00E35A59"/>
    <w:rsid w:val="00E37ACF"/>
    <w:rsid w:val="00E40CE9"/>
    <w:rsid w:val="00E418D4"/>
    <w:rsid w:val="00E4278A"/>
    <w:rsid w:val="00E4369A"/>
    <w:rsid w:val="00E46771"/>
    <w:rsid w:val="00E4709B"/>
    <w:rsid w:val="00E47FC6"/>
    <w:rsid w:val="00E52111"/>
    <w:rsid w:val="00E539B9"/>
    <w:rsid w:val="00E5409F"/>
    <w:rsid w:val="00E54102"/>
    <w:rsid w:val="00E553D9"/>
    <w:rsid w:val="00E55B88"/>
    <w:rsid w:val="00E57998"/>
    <w:rsid w:val="00E60504"/>
    <w:rsid w:val="00E6237A"/>
    <w:rsid w:val="00E635FC"/>
    <w:rsid w:val="00E645A8"/>
    <w:rsid w:val="00E6467D"/>
    <w:rsid w:val="00E707DD"/>
    <w:rsid w:val="00E70E82"/>
    <w:rsid w:val="00E713B6"/>
    <w:rsid w:val="00E71C39"/>
    <w:rsid w:val="00E7241E"/>
    <w:rsid w:val="00E725D8"/>
    <w:rsid w:val="00E72704"/>
    <w:rsid w:val="00E733DF"/>
    <w:rsid w:val="00E74AD6"/>
    <w:rsid w:val="00E74CA4"/>
    <w:rsid w:val="00E7598D"/>
    <w:rsid w:val="00E76F60"/>
    <w:rsid w:val="00E77F08"/>
    <w:rsid w:val="00E81E44"/>
    <w:rsid w:val="00E8225A"/>
    <w:rsid w:val="00E83D45"/>
    <w:rsid w:val="00E83F50"/>
    <w:rsid w:val="00E8420A"/>
    <w:rsid w:val="00E844E2"/>
    <w:rsid w:val="00E85627"/>
    <w:rsid w:val="00E859C7"/>
    <w:rsid w:val="00E86853"/>
    <w:rsid w:val="00E87005"/>
    <w:rsid w:val="00E87342"/>
    <w:rsid w:val="00E87F0C"/>
    <w:rsid w:val="00E9077F"/>
    <w:rsid w:val="00E90C3B"/>
    <w:rsid w:val="00E90EAE"/>
    <w:rsid w:val="00E90FD9"/>
    <w:rsid w:val="00E93F87"/>
    <w:rsid w:val="00E95100"/>
    <w:rsid w:val="00E95DCC"/>
    <w:rsid w:val="00E979F6"/>
    <w:rsid w:val="00E97C15"/>
    <w:rsid w:val="00EA25A7"/>
    <w:rsid w:val="00EA276B"/>
    <w:rsid w:val="00EA39EF"/>
    <w:rsid w:val="00EA487D"/>
    <w:rsid w:val="00EA4DC7"/>
    <w:rsid w:val="00EA5333"/>
    <w:rsid w:val="00EA553A"/>
    <w:rsid w:val="00EA5F8B"/>
    <w:rsid w:val="00EA6E65"/>
    <w:rsid w:val="00EA737B"/>
    <w:rsid w:val="00EB08FE"/>
    <w:rsid w:val="00EB0CE0"/>
    <w:rsid w:val="00EB199A"/>
    <w:rsid w:val="00EB34C8"/>
    <w:rsid w:val="00EB5E5B"/>
    <w:rsid w:val="00EB634A"/>
    <w:rsid w:val="00EB7720"/>
    <w:rsid w:val="00EB772A"/>
    <w:rsid w:val="00EB7B9B"/>
    <w:rsid w:val="00EC4BE8"/>
    <w:rsid w:val="00EC5008"/>
    <w:rsid w:val="00EC5B4D"/>
    <w:rsid w:val="00ED20EC"/>
    <w:rsid w:val="00ED2343"/>
    <w:rsid w:val="00ED3D32"/>
    <w:rsid w:val="00ED5781"/>
    <w:rsid w:val="00ED79BC"/>
    <w:rsid w:val="00EE1B63"/>
    <w:rsid w:val="00EE2A74"/>
    <w:rsid w:val="00EE3BBF"/>
    <w:rsid w:val="00EE4823"/>
    <w:rsid w:val="00EE6061"/>
    <w:rsid w:val="00EE6488"/>
    <w:rsid w:val="00EE659A"/>
    <w:rsid w:val="00EF368E"/>
    <w:rsid w:val="00EF5733"/>
    <w:rsid w:val="00EF7410"/>
    <w:rsid w:val="00F010F6"/>
    <w:rsid w:val="00F021FA"/>
    <w:rsid w:val="00F04E5D"/>
    <w:rsid w:val="00F0521F"/>
    <w:rsid w:val="00F0608F"/>
    <w:rsid w:val="00F06531"/>
    <w:rsid w:val="00F06FEB"/>
    <w:rsid w:val="00F075A7"/>
    <w:rsid w:val="00F07EED"/>
    <w:rsid w:val="00F10F0F"/>
    <w:rsid w:val="00F12539"/>
    <w:rsid w:val="00F142EE"/>
    <w:rsid w:val="00F147AB"/>
    <w:rsid w:val="00F14B41"/>
    <w:rsid w:val="00F1662D"/>
    <w:rsid w:val="00F20387"/>
    <w:rsid w:val="00F20544"/>
    <w:rsid w:val="00F20DDB"/>
    <w:rsid w:val="00F21CE9"/>
    <w:rsid w:val="00F22806"/>
    <w:rsid w:val="00F22F4E"/>
    <w:rsid w:val="00F23211"/>
    <w:rsid w:val="00F25D34"/>
    <w:rsid w:val="00F26DBC"/>
    <w:rsid w:val="00F3070A"/>
    <w:rsid w:val="00F3147C"/>
    <w:rsid w:val="00F315E4"/>
    <w:rsid w:val="00F31D77"/>
    <w:rsid w:val="00F328CA"/>
    <w:rsid w:val="00F334A1"/>
    <w:rsid w:val="00F3387D"/>
    <w:rsid w:val="00F35081"/>
    <w:rsid w:val="00F35743"/>
    <w:rsid w:val="00F36C6E"/>
    <w:rsid w:val="00F37164"/>
    <w:rsid w:val="00F410C7"/>
    <w:rsid w:val="00F430FC"/>
    <w:rsid w:val="00F433AB"/>
    <w:rsid w:val="00F4480B"/>
    <w:rsid w:val="00F44DC9"/>
    <w:rsid w:val="00F457CB"/>
    <w:rsid w:val="00F457FC"/>
    <w:rsid w:val="00F460AA"/>
    <w:rsid w:val="00F47420"/>
    <w:rsid w:val="00F478CA"/>
    <w:rsid w:val="00F50126"/>
    <w:rsid w:val="00F51006"/>
    <w:rsid w:val="00F526EA"/>
    <w:rsid w:val="00F532FA"/>
    <w:rsid w:val="00F54BD7"/>
    <w:rsid w:val="00F56065"/>
    <w:rsid w:val="00F56147"/>
    <w:rsid w:val="00F56C14"/>
    <w:rsid w:val="00F56C6B"/>
    <w:rsid w:val="00F57D97"/>
    <w:rsid w:val="00F61CB5"/>
    <w:rsid w:val="00F6276F"/>
    <w:rsid w:val="00F62E97"/>
    <w:rsid w:val="00F63804"/>
    <w:rsid w:val="00F63C2F"/>
    <w:rsid w:val="00F64209"/>
    <w:rsid w:val="00F718EB"/>
    <w:rsid w:val="00F71C3E"/>
    <w:rsid w:val="00F72CAC"/>
    <w:rsid w:val="00F73A7C"/>
    <w:rsid w:val="00F73BDD"/>
    <w:rsid w:val="00F74084"/>
    <w:rsid w:val="00F75990"/>
    <w:rsid w:val="00F76EBE"/>
    <w:rsid w:val="00F77429"/>
    <w:rsid w:val="00F804AC"/>
    <w:rsid w:val="00F810B0"/>
    <w:rsid w:val="00F812DC"/>
    <w:rsid w:val="00F81BAE"/>
    <w:rsid w:val="00F81C48"/>
    <w:rsid w:val="00F82EAF"/>
    <w:rsid w:val="00F832D1"/>
    <w:rsid w:val="00F84B79"/>
    <w:rsid w:val="00F8720E"/>
    <w:rsid w:val="00F90464"/>
    <w:rsid w:val="00F922CE"/>
    <w:rsid w:val="00F92550"/>
    <w:rsid w:val="00F932E0"/>
    <w:rsid w:val="00F93BF5"/>
    <w:rsid w:val="00F94043"/>
    <w:rsid w:val="00F94791"/>
    <w:rsid w:val="00F94AC3"/>
    <w:rsid w:val="00F956EA"/>
    <w:rsid w:val="00F96A06"/>
    <w:rsid w:val="00FA1B03"/>
    <w:rsid w:val="00FA35BC"/>
    <w:rsid w:val="00FA5F55"/>
    <w:rsid w:val="00FB246C"/>
    <w:rsid w:val="00FB27CE"/>
    <w:rsid w:val="00FB46E9"/>
    <w:rsid w:val="00FC01D1"/>
    <w:rsid w:val="00FC1422"/>
    <w:rsid w:val="00FC202C"/>
    <w:rsid w:val="00FC36CC"/>
    <w:rsid w:val="00FC37C0"/>
    <w:rsid w:val="00FC392F"/>
    <w:rsid w:val="00FC3D36"/>
    <w:rsid w:val="00FC48A1"/>
    <w:rsid w:val="00FC4F1B"/>
    <w:rsid w:val="00FC5071"/>
    <w:rsid w:val="00FC6589"/>
    <w:rsid w:val="00FC7F4D"/>
    <w:rsid w:val="00FD1C83"/>
    <w:rsid w:val="00FD3668"/>
    <w:rsid w:val="00FD36E6"/>
    <w:rsid w:val="00FD44CC"/>
    <w:rsid w:val="00FD4B6E"/>
    <w:rsid w:val="00FD54AC"/>
    <w:rsid w:val="00FD620A"/>
    <w:rsid w:val="00FD6AF1"/>
    <w:rsid w:val="00FD6DB7"/>
    <w:rsid w:val="00FD784C"/>
    <w:rsid w:val="00FE0554"/>
    <w:rsid w:val="00FE0E75"/>
    <w:rsid w:val="00FE12AB"/>
    <w:rsid w:val="00FE1B54"/>
    <w:rsid w:val="00FE2018"/>
    <w:rsid w:val="00FE2507"/>
    <w:rsid w:val="00FE28CB"/>
    <w:rsid w:val="00FE36C6"/>
    <w:rsid w:val="00FE46C0"/>
    <w:rsid w:val="00FE56B4"/>
    <w:rsid w:val="00FE7BA4"/>
    <w:rsid w:val="00FF0988"/>
    <w:rsid w:val="00FF1828"/>
    <w:rsid w:val="00FF19B6"/>
    <w:rsid w:val="00FF4B54"/>
    <w:rsid w:val="00FF5669"/>
    <w:rsid w:val="00FF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772"/>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0"/>
    <w:qFormat/>
    <w:rsid w:val="00BF1772"/>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ParaNum0"/>
    <w:link w:val="Heading2Char"/>
    <w:autoRedefine/>
    <w:qFormat/>
    <w:rsid w:val="00BF1772"/>
    <w:pPr>
      <w:keepNext/>
      <w:numPr>
        <w:ilvl w:val="1"/>
        <w:numId w:val="2"/>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
    <w:basedOn w:val="Normal"/>
    <w:next w:val="ParaNum0"/>
    <w:qFormat/>
    <w:rsid w:val="00BF1772"/>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
    <w:basedOn w:val="Normal"/>
    <w:next w:val="ParaNum0"/>
    <w:qFormat/>
    <w:rsid w:val="00BF1772"/>
    <w:pPr>
      <w:keepNext/>
      <w:numPr>
        <w:ilvl w:val="3"/>
        <w:numId w:val="2"/>
      </w:numPr>
      <w:tabs>
        <w:tab w:val="left" w:pos="2880"/>
      </w:tabs>
      <w:spacing w:after="120"/>
      <w:outlineLvl w:val="3"/>
    </w:pPr>
    <w:rPr>
      <w:b/>
    </w:rPr>
  </w:style>
  <w:style w:type="paragraph" w:styleId="Heading5">
    <w:name w:val="heading 5"/>
    <w:basedOn w:val="Normal"/>
    <w:next w:val="ParaNum0"/>
    <w:qFormat/>
    <w:rsid w:val="00BF1772"/>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0"/>
    <w:qFormat/>
    <w:rsid w:val="00BF1772"/>
    <w:pPr>
      <w:numPr>
        <w:ilvl w:val="5"/>
        <w:numId w:val="2"/>
      </w:numPr>
      <w:tabs>
        <w:tab w:val="left" w:pos="4320"/>
      </w:tabs>
      <w:spacing w:after="120"/>
      <w:outlineLvl w:val="5"/>
    </w:pPr>
    <w:rPr>
      <w:b/>
    </w:rPr>
  </w:style>
  <w:style w:type="paragraph" w:styleId="Heading7">
    <w:name w:val="heading 7"/>
    <w:basedOn w:val="Normal"/>
    <w:next w:val="ParaNum0"/>
    <w:qFormat/>
    <w:rsid w:val="00BF1772"/>
    <w:pPr>
      <w:numPr>
        <w:ilvl w:val="6"/>
        <w:numId w:val="2"/>
      </w:numPr>
      <w:tabs>
        <w:tab w:val="left" w:pos="5040"/>
      </w:tabs>
      <w:spacing w:after="120"/>
      <w:ind w:left="5040" w:hanging="720"/>
      <w:outlineLvl w:val="6"/>
    </w:pPr>
    <w:rPr>
      <w:b/>
    </w:rPr>
  </w:style>
  <w:style w:type="paragraph" w:styleId="Heading8">
    <w:name w:val="heading 8"/>
    <w:basedOn w:val="Normal"/>
    <w:next w:val="ParaNum0"/>
    <w:qFormat/>
    <w:rsid w:val="00BF1772"/>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0"/>
    <w:qFormat/>
    <w:rsid w:val="00BF1772"/>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F17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1772"/>
  </w:style>
  <w:style w:type="paragraph" w:customStyle="1" w:styleId="ParaNum0">
    <w:name w:val="ParaNum"/>
    <w:basedOn w:val="Normal"/>
    <w:link w:val="ParaNumChar"/>
    <w:rsid w:val="00BF1772"/>
    <w:pPr>
      <w:numPr>
        <w:numId w:val="1"/>
      </w:numPr>
      <w:tabs>
        <w:tab w:val="clear" w:pos="1080"/>
        <w:tab w:val="num" w:pos="1440"/>
      </w:tabs>
      <w:spacing w:after="120"/>
    </w:pPr>
  </w:style>
  <w:style w:type="paragraph" w:styleId="EndnoteText">
    <w:name w:val="endnote text"/>
    <w:basedOn w:val="Normal"/>
    <w:semiHidden/>
    <w:rsid w:val="00BF1772"/>
    <w:rPr>
      <w:sz w:val="20"/>
    </w:rPr>
  </w:style>
  <w:style w:type="character" w:styleId="EndnoteReference">
    <w:name w:val="endnote reference"/>
    <w:semiHidden/>
    <w:rsid w:val="00BF1772"/>
    <w:rPr>
      <w:vertAlign w:val="superscript"/>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BF1772"/>
    <w:pPr>
      <w:spacing w:after="120"/>
    </w:pPr>
  </w:style>
  <w:style w:type="character" w:styleId="FootnoteReference">
    <w:name w:val="footnote reference"/>
    <w:aliases w:val="Style 13,Style 12,(NECG) Footnote Reference,Appel note de bas de p,Style 124,o,fr,Style 3,FR,Style 17,Footnote Reference/,Style 6,Style 7,Style 4,Footnote Reference1"/>
    <w:rsid w:val="00BF1772"/>
    <w:rPr>
      <w:rFonts w:ascii="Times New Roman" w:hAnsi="Times New Roman"/>
      <w:dstrike w:val="0"/>
      <w:color w:val="auto"/>
      <w:sz w:val="20"/>
      <w:vertAlign w:val="superscript"/>
    </w:rPr>
  </w:style>
  <w:style w:type="paragraph" w:styleId="TOC1">
    <w:name w:val="toc 1"/>
    <w:basedOn w:val="Normal"/>
    <w:next w:val="Normal"/>
    <w:rsid w:val="00BF1772"/>
    <w:pPr>
      <w:tabs>
        <w:tab w:val="left" w:pos="360"/>
        <w:tab w:val="right" w:leader="dot" w:pos="9360"/>
      </w:tabs>
      <w:suppressAutoHyphens/>
      <w:ind w:left="360" w:right="720" w:hanging="360"/>
    </w:pPr>
    <w:rPr>
      <w:caps/>
      <w:noProof/>
    </w:rPr>
  </w:style>
  <w:style w:type="paragraph" w:styleId="TOC2">
    <w:name w:val="toc 2"/>
    <w:basedOn w:val="Normal"/>
    <w:next w:val="Normal"/>
    <w:rsid w:val="00BF1772"/>
    <w:pPr>
      <w:tabs>
        <w:tab w:val="left" w:pos="720"/>
        <w:tab w:val="right" w:leader="dot" w:pos="9360"/>
      </w:tabs>
      <w:suppressAutoHyphens/>
      <w:ind w:left="720" w:right="720" w:hanging="360"/>
    </w:pPr>
    <w:rPr>
      <w:noProof/>
    </w:rPr>
  </w:style>
  <w:style w:type="paragraph" w:styleId="TOC3">
    <w:name w:val="toc 3"/>
    <w:basedOn w:val="Normal"/>
    <w:next w:val="Normal"/>
    <w:rsid w:val="00BF1772"/>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F1772"/>
    <w:pPr>
      <w:tabs>
        <w:tab w:val="left" w:pos="1440"/>
        <w:tab w:val="right" w:leader="dot" w:pos="9360"/>
      </w:tabs>
      <w:suppressAutoHyphens/>
      <w:ind w:left="1440" w:right="720" w:hanging="360"/>
    </w:pPr>
    <w:rPr>
      <w:noProof/>
    </w:rPr>
  </w:style>
  <w:style w:type="paragraph" w:styleId="TOC5">
    <w:name w:val="toc 5"/>
    <w:basedOn w:val="Normal"/>
    <w:next w:val="Normal"/>
    <w:autoRedefine/>
    <w:rsid w:val="00BF177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F177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F177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F177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F177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F1772"/>
    <w:pPr>
      <w:tabs>
        <w:tab w:val="right" w:pos="9360"/>
      </w:tabs>
      <w:suppressAutoHyphens/>
    </w:pPr>
  </w:style>
  <w:style w:type="character" w:customStyle="1" w:styleId="EquationCaption">
    <w:name w:val="_Equation Caption"/>
    <w:rsid w:val="00BF1772"/>
  </w:style>
  <w:style w:type="paragraph" w:styleId="Header">
    <w:name w:val="header"/>
    <w:basedOn w:val="Normal"/>
    <w:link w:val="HeaderChar"/>
    <w:autoRedefine/>
    <w:rsid w:val="00BF1772"/>
    <w:pPr>
      <w:tabs>
        <w:tab w:val="center" w:pos="4680"/>
        <w:tab w:val="right" w:pos="9360"/>
      </w:tabs>
    </w:pPr>
    <w:rPr>
      <w:b/>
    </w:rPr>
  </w:style>
  <w:style w:type="paragraph" w:styleId="Footer">
    <w:name w:val="footer"/>
    <w:basedOn w:val="Normal"/>
    <w:link w:val="FooterChar"/>
    <w:rsid w:val="00BF1772"/>
    <w:pPr>
      <w:tabs>
        <w:tab w:val="center" w:pos="4320"/>
        <w:tab w:val="right" w:pos="8640"/>
      </w:tabs>
    </w:pPr>
  </w:style>
  <w:style w:type="character" w:styleId="PageNumber">
    <w:name w:val="page number"/>
    <w:basedOn w:val="DefaultParagraphFont"/>
    <w:rsid w:val="00BF1772"/>
  </w:style>
  <w:style w:type="paragraph" w:styleId="BlockText">
    <w:name w:val="Block Text"/>
    <w:basedOn w:val="Normal"/>
    <w:rsid w:val="00BF1772"/>
    <w:pPr>
      <w:spacing w:after="240"/>
      <w:ind w:left="1440" w:right="1440"/>
    </w:pPr>
  </w:style>
  <w:style w:type="paragraph" w:customStyle="1" w:styleId="Paratitle">
    <w:name w:val="Para title"/>
    <w:basedOn w:val="Normal"/>
    <w:rsid w:val="00BF1772"/>
    <w:pPr>
      <w:tabs>
        <w:tab w:val="center" w:pos="9270"/>
      </w:tabs>
      <w:spacing w:after="240"/>
    </w:pPr>
    <w:rPr>
      <w:spacing w:val="-2"/>
    </w:rPr>
  </w:style>
  <w:style w:type="paragraph" w:customStyle="1" w:styleId="Bullet">
    <w:name w:val="Bullet"/>
    <w:basedOn w:val="Normal"/>
    <w:rsid w:val="00BF1772"/>
    <w:pPr>
      <w:tabs>
        <w:tab w:val="left" w:pos="2160"/>
      </w:tabs>
      <w:spacing w:after="220"/>
      <w:ind w:left="2160" w:hanging="720"/>
    </w:pPr>
  </w:style>
  <w:style w:type="paragraph" w:customStyle="1" w:styleId="TableFormat">
    <w:name w:val="TableFormat"/>
    <w:basedOn w:val="Bullet"/>
    <w:rsid w:val="00BF1772"/>
    <w:pPr>
      <w:tabs>
        <w:tab w:val="clear" w:pos="2160"/>
        <w:tab w:val="left" w:pos="5040"/>
      </w:tabs>
      <w:ind w:left="5040" w:hanging="3600"/>
    </w:pPr>
  </w:style>
  <w:style w:type="paragraph" w:customStyle="1" w:styleId="TOCTitle">
    <w:name w:val="TOC Title"/>
    <w:basedOn w:val="Normal"/>
    <w:rsid w:val="00BF177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F1772"/>
    <w:pPr>
      <w:jc w:val="center"/>
    </w:pPr>
    <w:rPr>
      <w:rFonts w:ascii="Times New Roman Bold" w:hAnsi="Times New Roman Bold"/>
      <w:b/>
      <w:bCs/>
      <w:caps/>
      <w:szCs w:val="22"/>
    </w:rPr>
  </w:style>
  <w:style w:type="character" w:styleId="Hyperlink">
    <w:name w:val="Hyperlink"/>
    <w:rsid w:val="00BF1772"/>
    <w:rPr>
      <w:color w:val="0000FF"/>
      <w:u w:val="single"/>
    </w:rPr>
  </w:style>
  <w:style w:type="paragraph" w:styleId="ListParagraph">
    <w:name w:val="List Paragraph"/>
    <w:basedOn w:val="Normal"/>
    <w:uiPriority w:val="34"/>
    <w:qFormat/>
    <w:rsid w:val="00FC7F4D"/>
    <w:pPr>
      <w:spacing w:after="200" w:line="276" w:lineRule="auto"/>
      <w:ind w:left="720"/>
      <w:contextualSpacing/>
    </w:pPr>
    <w:rPr>
      <w:rFonts w:ascii="Calibri" w:eastAsia="Calibri" w:hAnsi="Calibri"/>
      <w:snapToGrid/>
      <w:kern w:val="0"/>
      <w:szCs w:val="22"/>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link w:val="FootnoteText"/>
    <w:rsid w:val="00FC7F4D"/>
  </w:style>
  <w:style w:type="paragraph" w:customStyle="1" w:styleId="Paranum">
    <w:name w:val="Paranum"/>
    <w:basedOn w:val="Normal"/>
    <w:rsid w:val="00BE6E64"/>
    <w:pPr>
      <w:numPr>
        <w:numId w:val="3"/>
      </w:numPr>
      <w:spacing w:after="220"/>
      <w:jc w:val="both"/>
    </w:pPr>
    <w:rPr>
      <w:snapToGrid/>
      <w:kern w:val="0"/>
    </w:rPr>
  </w:style>
  <w:style w:type="character" w:customStyle="1" w:styleId="HeaderChar">
    <w:name w:val="Header Char"/>
    <w:basedOn w:val="DefaultParagraphFont"/>
    <w:link w:val="Header"/>
    <w:rsid w:val="0057774B"/>
    <w:rPr>
      <w:b/>
      <w:snapToGrid w:val="0"/>
      <w:kern w:val="28"/>
      <w:sz w:val="22"/>
    </w:rPr>
  </w:style>
  <w:style w:type="paragraph" w:styleId="NormalWeb">
    <w:name w:val="Normal (Web)"/>
    <w:basedOn w:val="Normal"/>
    <w:uiPriority w:val="99"/>
    <w:unhideWhenUsed/>
    <w:rsid w:val="007A5CA9"/>
    <w:rPr>
      <w:snapToGrid/>
      <w:kern w:val="0"/>
      <w:sz w:val="24"/>
      <w:szCs w:val="24"/>
    </w:rPr>
  </w:style>
  <w:style w:type="character" w:customStyle="1" w:styleId="searchterm">
    <w:name w:val="searchterm"/>
    <w:basedOn w:val="DefaultParagraphFont"/>
    <w:rsid w:val="007A5CA9"/>
  </w:style>
  <w:style w:type="character" w:styleId="Emphasis">
    <w:name w:val="Emphasis"/>
    <w:basedOn w:val="DefaultParagraphFont"/>
    <w:uiPriority w:val="20"/>
    <w:qFormat/>
    <w:rsid w:val="007A5CA9"/>
    <w:rPr>
      <w:i/>
      <w:iCs/>
    </w:rPr>
  </w:style>
  <w:style w:type="character" w:styleId="CommentReference">
    <w:name w:val="annotation reference"/>
    <w:basedOn w:val="DefaultParagraphFont"/>
    <w:unhideWhenUsed/>
    <w:rsid w:val="007A5CA9"/>
    <w:rPr>
      <w:sz w:val="16"/>
      <w:szCs w:val="16"/>
    </w:rPr>
  </w:style>
  <w:style w:type="paragraph" w:styleId="CommentText">
    <w:name w:val="annotation text"/>
    <w:basedOn w:val="Normal"/>
    <w:link w:val="CommentTextChar"/>
    <w:unhideWhenUsed/>
    <w:rsid w:val="007A5CA9"/>
    <w:pPr>
      <w:spacing w:after="200"/>
    </w:pPr>
    <w:rPr>
      <w:rFonts w:ascii="Calibri" w:eastAsia="Calibri" w:hAnsi="Calibri"/>
      <w:snapToGrid/>
      <w:kern w:val="0"/>
      <w:sz w:val="20"/>
    </w:rPr>
  </w:style>
  <w:style w:type="character" w:customStyle="1" w:styleId="CommentTextChar">
    <w:name w:val="Comment Text Char"/>
    <w:basedOn w:val="DefaultParagraphFont"/>
    <w:link w:val="CommentText"/>
    <w:rsid w:val="007A5CA9"/>
    <w:rPr>
      <w:rFonts w:ascii="Calibri" w:eastAsia="Calibri" w:hAnsi="Calibri"/>
    </w:rPr>
  </w:style>
  <w:style w:type="paragraph" w:styleId="BalloonText">
    <w:name w:val="Balloon Text"/>
    <w:basedOn w:val="Normal"/>
    <w:link w:val="BalloonTextChar"/>
    <w:rsid w:val="007A5CA9"/>
    <w:rPr>
      <w:rFonts w:ascii="Tahoma" w:hAnsi="Tahoma" w:cs="Tahoma"/>
      <w:sz w:val="16"/>
      <w:szCs w:val="16"/>
    </w:rPr>
  </w:style>
  <w:style w:type="character" w:customStyle="1" w:styleId="BalloonTextChar">
    <w:name w:val="Balloon Text Char"/>
    <w:basedOn w:val="DefaultParagraphFont"/>
    <w:link w:val="BalloonText"/>
    <w:rsid w:val="007A5CA9"/>
    <w:rPr>
      <w:rFonts w:ascii="Tahoma" w:hAnsi="Tahoma" w:cs="Tahoma"/>
      <w:snapToGrid w:val="0"/>
      <w:kern w:val="28"/>
      <w:sz w:val="16"/>
      <w:szCs w:val="16"/>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
    <w:basedOn w:val="DefaultParagraphFont"/>
    <w:link w:val="Heading2"/>
    <w:rsid w:val="005655A5"/>
    <w:rPr>
      <w:b/>
      <w:snapToGrid w:val="0"/>
      <w:kern w:val="28"/>
      <w:sz w:val="22"/>
    </w:rPr>
  </w:style>
  <w:style w:type="character" w:customStyle="1" w:styleId="cosearchterm">
    <w:name w:val="co_searchterm"/>
    <w:basedOn w:val="DefaultParagraphFont"/>
    <w:rsid w:val="001D548E"/>
  </w:style>
  <w:style w:type="character" w:customStyle="1" w:styleId="documentbody">
    <w:name w:val="documentbody"/>
    <w:basedOn w:val="DefaultParagraphFont"/>
    <w:rsid w:val="001D548E"/>
  </w:style>
  <w:style w:type="paragraph" w:styleId="CommentSubject">
    <w:name w:val="annotation subject"/>
    <w:basedOn w:val="CommentText"/>
    <w:next w:val="CommentText"/>
    <w:link w:val="CommentSubjectChar"/>
    <w:rsid w:val="00A926F6"/>
    <w:pPr>
      <w:spacing w:after="0"/>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rsid w:val="00A926F6"/>
    <w:rPr>
      <w:rFonts w:ascii="Calibri" w:eastAsia="Calibri" w:hAnsi="Calibri"/>
      <w:b/>
      <w:bCs/>
      <w:snapToGrid w:val="0"/>
      <w:kern w:val="28"/>
    </w:rPr>
  </w:style>
  <w:style w:type="character" w:customStyle="1" w:styleId="ParaNumChar">
    <w:name w:val="ParaNum Char"/>
    <w:link w:val="ParaNum0"/>
    <w:locked/>
    <w:rsid w:val="00274D22"/>
    <w:rPr>
      <w:snapToGrid w:val="0"/>
      <w:kern w:val="28"/>
      <w:sz w:val="22"/>
    </w:rPr>
  </w:style>
  <w:style w:type="character" w:customStyle="1" w:styleId="FootnoteTextChar1">
    <w:name w:val="Footnote Text Char1"/>
    <w:aliases w:val="ALTS FOOTNOTE Char Char,fn Char Char,Footnote Text Char2 Char Char,fn Char2,fn Char1 Char1,f Char1"/>
    <w:semiHidden/>
    <w:locked/>
    <w:rsid w:val="00BC130A"/>
    <w:rPr>
      <w:rFonts w:eastAsia="MS Mincho"/>
      <w:lang w:val="en-US" w:eastAsia="en-US" w:bidi="ar-SA"/>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1 Char"/>
    <w:locked/>
    <w:rsid w:val="001D72D4"/>
  </w:style>
  <w:style w:type="character" w:customStyle="1" w:styleId="BalloonTextChar1">
    <w:name w:val="Balloon Text Char1"/>
    <w:basedOn w:val="DefaultParagraphFont"/>
    <w:rsid w:val="001D72D4"/>
    <w:rPr>
      <w:rFonts w:ascii="Tahoma" w:hAnsi="Tahoma" w:cs="Tahoma"/>
      <w:snapToGrid w:val="0"/>
      <w:kern w:val="28"/>
      <w:sz w:val="16"/>
      <w:szCs w:val="16"/>
    </w:rPr>
  </w:style>
  <w:style w:type="character" w:customStyle="1" w:styleId="ParaNumChar4">
    <w:name w:val="ParaNum Char4"/>
    <w:basedOn w:val="DefaultParagraphFont"/>
    <w:rsid w:val="001D72D4"/>
    <w:rPr>
      <w:snapToGrid w:val="0"/>
      <w:kern w:val="28"/>
      <w:sz w:val="22"/>
    </w:rPr>
  </w:style>
  <w:style w:type="character" w:customStyle="1" w:styleId="highlight">
    <w:name w:val="highlight"/>
    <w:basedOn w:val="DefaultParagraphFont"/>
    <w:rsid w:val="00343247"/>
  </w:style>
  <w:style w:type="paragraph" w:customStyle="1" w:styleId="Default">
    <w:name w:val="Default"/>
    <w:rsid w:val="00354F74"/>
    <w:pPr>
      <w:autoSpaceDE w:val="0"/>
      <w:autoSpaceDN w:val="0"/>
      <w:adjustRightInd w:val="0"/>
    </w:pPr>
    <w:rPr>
      <w:color w:val="000000"/>
      <w:sz w:val="24"/>
      <w:szCs w:val="24"/>
    </w:rPr>
  </w:style>
  <w:style w:type="character" w:styleId="FollowedHyperlink">
    <w:name w:val="FollowedHyperlink"/>
    <w:basedOn w:val="DefaultParagraphFont"/>
    <w:rsid w:val="00B23E52"/>
    <w:rPr>
      <w:color w:val="800080" w:themeColor="followedHyperlink"/>
      <w:u w:val="single"/>
    </w:rPr>
  </w:style>
  <w:style w:type="paragraph" w:styleId="BodyText">
    <w:name w:val="Body Text"/>
    <w:basedOn w:val="Normal"/>
    <w:link w:val="BodyTextChar"/>
    <w:rsid w:val="00445619"/>
    <w:rPr>
      <w:kern w:val="0"/>
      <w:sz w:val="24"/>
      <w:szCs w:val="24"/>
    </w:rPr>
  </w:style>
  <w:style w:type="character" w:customStyle="1" w:styleId="BodyTextChar">
    <w:name w:val="Body Text Char"/>
    <w:basedOn w:val="DefaultParagraphFont"/>
    <w:link w:val="BodyText"/>
    <w:rsid w:val="00445619"/>
    <w:rPr>
      <w:snapToGrid w:val="0"/>
      <w:sz w:val="24"/>
      <w:szCs w:val="24"/>
    </w:rPr>
  </w:style>
  <w:style w:type="character" w:customStyle="1" w:styleId="BalloonTextChar2">
    <w:name w:val="Balloon Text Char2"/>
    <w:basedOn w:val="DefaultParagraphFont"/>
    <w:rsid w:val="005B7296"/>
    <w:rPr>
      <w:rFonts w:ascii="Tahoma" w:hAnsi="Tahoma" w:cs="Tahoma"/>
      <w:snapToGrid w:val="0"/>
      <w:kern w:val="28"/>
      <w:sz w:val="16"/>
      <w:szCs w:val="16"/>
    </w:rPr>
  </w:style>
  <w:style w:type="character" w:customStyle="1" w:styleId="ptext-">
    <w:name w:val="ptext-"/>
    <w:basedOn w:val="DefaultParagraphFont"/>
    <w:rsid w:val="0067072D"/>
  </w:style>
  <w:style w:type="paragraph" w:styleId="Revision">
    <w:name w:val="Revision"/>
    <w:hidden/>
    <w:uiPriority w:val="99"/>
    <w:semiHidden/>
    <w:rsid w:val="000220D8"/>
    <w:rPr>
      <w:snapToGrid w:val="0"/>
      <w:kern w:val="28"/>
      <w:sz w:val="22"/>
    </w:rPr>
  </w:style>
  <w:style w:type="character" w:customStyle="1" w:styleId="FooterChar">
    <w:name w:val="Footer Char"/>
    <w:basedOn w:val="DefaultParagraphFont"/>
    <w:link w:val="Footer"/>
    <w:rsid w:val="00117FA6"/>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772"/>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0"/>
    <w:qFormat/>
    <w:rsid w:val="00BF1772"/>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ParaNum0"/>
    <w:link w:val="Heading2Char"/>
    <w:autoRedefine/>
    <w:qFormat/>
    <w:rsid w:val="00BF1772"/>
    <w:pPr>
      <w:keepNext/>
      <w:numPr>
        <w:ilvl w:val="1"/>
        <w:numId w:val="2"/>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
    <w:basedOn w:val="Normal"/>
    <w:next w:val="ParaNum0"/>
    <w:qFormat/>
    <w:rsid w:val="00BF1772"/>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
    <w:basedOn w:val="Normal"/>
    <w:next w:val="ParaNum0"/>
    <w:qFormat/>
    <w:rsid w:val="00BF1772"/>
    <w:pPr>
      <w:keepNext/>
      <w:numPr>
        <w:ilvl w:val="3"/>
        <w:numId w:val="2"/>
      </w:numPr>
      <w:tabs>
        <w:tab w:val="left" w:pos="2880"/>
      </w:tabs>
      <w:spacing w:after="120"/>
      <w:outlineLvl w:val="3"/>
    </w:pPr>
    <w:rPr>
      <w:b/>
    </w:rPr>
  </w:style>
  <w:style w:type="paragraph" w:styleId="Heading5">
    <w:name w:val="heading 5"/>
    <w:basedOn w:val="Normal"/>
    <w:next w:val="ParaNum0"/>
    <w:qFormat/>
    <w:rsid w:val="00BF1772"/>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0"/>
    <w:qFormat/>
    <w:rsid w:val="00BF1772"/>
    <w:pPr>
      <w:numPr>
        <w:ilvl w:val="5"/>
        <w:numId w:val="2"/>
      </w:numPr>
      <w:tabs>
        <w:tab w:val="left" w:pos="4320"/>
      </w:tabs>
      <w:spacing w:after="120"/>
      <w:outlineLvl w:val="5"/>
    </w:pPr>
    <w:rPr>
      <w:b/>
    </w:rPr>
  </w:style>
  <w:style w:type="paragraph" w:styleId="Heading7">
    <w:name w:val="heading 7"/>
    <w:basedOn w:val="Normal"/>
    <w:next w:val="ParaNum0"/>
    <w:qFormat/>
    <w:rsid w:val="00BF1772"/>
    <w:pPr>
      <w:numPr>
        <w:ilvl w:val="6"/>
        <w:numId w:val="2"/>
      </w:numPr>
      <w:tabs>
        <w:tab w:val="left" w:pos="5040"/>
      </w:tabs>
      <w:spacing w:after="120"/>
      <w:ind w:left="5040" w:hanging="720"/>
      <w:outlineLvl w:val="6"/>
    </w:pPr>
    <w:rPr>
      <w:b/>
    </w:rPr>
  </w:style>
  <w:style w:type="paragraph" w:styleId="Heading8">
    <w:name w:val="heading 8"/>
    <w:basedOn w:val="Normal"/>
    <w:next w:val="ParaNum0"/>
    <w:qFormat/>
    <w:rsid w:val="00BF1772"/>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0"/>
    <w:qFormat/>
    <w:rsid w:val="00BF1772"/>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F17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1772"/>
  </w:style>
  <w:style w:type="paragraph" w:customStyle="1" w:styleId="ParaNum0">
    <w:name w:val="ParaNum"/>
    <w:basedOn w:val="Normal"/>
    <w:link w:val="ParaNumChar"/>
    <w:rsid w:val="00BF1772"/>
    <w:pPr>
      <w:numPr>
        <w:numId w:val="1"/>
      </w:numPr>
      <w:tabs>
        <w:tab w:val="clear" w:pos="1080"/>
        <w:tab w:val="num" w:pos="1440"/>
      </w:tabs>
      <w:spacing w:after="120"/>
    </w:pPr>
  </w:style>
  <w:style w:type="paragraph" w:styleId="EndnoteText">
    <w:name w:val="endnote text"/>
    <w:basedOn w:val="Normal"/>
    <w:semiHidden/>
    <w:rsid w:val="00BF1772"/>
    <w:rPr>
      <w:sz w:val="20"/>
    </w:rPr>
  </w:style>
  <w:style w:type="character" w:styleId="EndnoteReference">
    <w:name w:val="endnote reference"/>
    <w:semiHidden/>
    <w:rsid w:val="00BF1772"/>
    <w:rPr>
      <w:vertAlign w:val="superscript"/>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BF1772"/>
    <w:pPr>
      <w:spacing w:after="120"/>
    </w:pPr>
  </w:style>
  <w:style w:type="character" w:styleId="FootnoteReference">
    <w:name w:val="footnote reference"/>
    <w:aliases w:val="Style 13,Style 12,(NECG) Footnote Reference,Appel note de bas de p,Style 124,o,fr,Style 3,FR,Style 17,Footnote Reference/,Style 6,Style 7,Style 4,Footnote Reference1"/>
    <w:rsid w:val="00BF1772"/>
    <w:rPr>
      <w:rFonts w:ascii="Times New Roman" w:hAnsi="Times New Roman"/>
      <w:dstrike w:val="0"/>
      <w:color w:val="auto"/>
      <w:sz w:val="20"/>
      <w:vertAlign w:val="superscript"/>
    </w:rPr>
  </w:style>
  <w:style w:type="paragraph" w:styleId="TOC1">
    <w:name w:val="toc 1"/>
    <w:basedOn w:val="Normal"/>
    <w:next w:val="Normal"/>
    <w:rsid w:val="00BF1772"/>
    <w:pPr>
      <w:tabs>
        <w:tab w:val="left" w:pos="360"/>
        <w:tab w:val="right" w:leader="dot" w:pos="9360"/>
      </w:tabs>
      <w:suppressAutoHyphens/>
      <w:ind w:left="360" w:right="720" w:hanging="360"/>
    </w:pPr>
    <w:rPr>
      <w:caps/>
      <w:noProof/>
    </w:rPr>
  </w:style>
  <w:style w:type="paragraph" w:styleId="TOC2">
    <w:name w:val="toc 2"/>
    <w:basedOn w:val="Normal"/>
    <w:next w:val="Normal"/>
    <w:rsid w:val="00BF1772"/>
    <w:pPr>
      <w:tabs>
        <w:tab w:val="left" w:pos="720"/>
        <w:tab w:val="right" w:leader="dot" w:pos="9360"/>
      </w:tabs>
      <w:suppressAutoHyphens/>
      <w:ind w:left="720" w:right="720" w:hanging="360"/>
    </w:pPr>
    <w:rPr>
      <w:noProof/>
    </w:rPr>
  </w:style>
  <w:style w:type="paragraph" w:styleId="TOC3">
    <w:name w:val="toc 3"/>
    <w:basedOn w:val="Normal"/>
    <w:next w:val="Normal"/>
    <w:rsid w:val="00BF1772"/>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F1772"/>
    <w:pPr>
      <w:tabs>
        <w:tab w:val="left" w:pos="1440"/>
        <w:tab w:val="right" w:leader="dot" w:pos="9360"/>
      </w:tabs>
      <w:suppressAutoHyphens/>
      <w:ind w:left="1440" w:right="720" w:hanging="360"/>
    </w:pPr>
    <w:rPr>
      <w:noProof/>
    </w:rPr>
  </w:style>
  <w:style w:type="paragraph" w:styleId="TOC5">
    <w:name w:val="toc 5"/>
    <w:basedOn w:val="Normal"/>
    <w:next w:val="Normal"/>
    <w:autoRedefine/>
    <w:rsid w:val="00BF177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F177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F177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F177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F177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F1772"/>
    <w:pPr>
      <w:tabs>
        <w:tab w:val="right" w:pos="9360"/>
      </w:tabs>
      <w:suppressAutoHyphens/>
    </w:pPr>
  </w:style>
  <w:style w:type="character" w:customStyle="1" w:styleId="EquationCaption">
    <w:name w:val="_Equation Caption"/>
    <w:rsid w:val="00BF1772"/>
  </w:style>
  <w:style w:type="paragraph" w:styleId="Header">
    <w:name w:val="header"/>
    <w:basedOn w:val="Normal"/>
    <w:link w:val="HeaderChar"/>
    <w:autoRedefine/>
    <w:rsid w:val="00BF1772"/>
    <w:pPr>
      <w:tabs>
        <w:tab w:val="center" w:pos="4680"/>
        <w:tab w:val="right" w:pos="9360"/>
      </w:tabs>
    </w:pPr>
    <w:rPr>
      <w:b/>
    </w:rPr>
  </w:style>
  <w:style w:type="paragraph" w:styleId="Footer">
    <w:name w:val="footer"/>
    <w:basedOn w:val="Normal"/>
    <w:link w:val="FooterChar"/>
    <w:rsid w:val="00BF1772"/>
    <w:pPr>
      <w:tabs>
        <w:tab w:val="center" w:pos="4320"/>
        <w:tab w:val="right" w:pos="8640"/>
      </w:tabs>
    </w:pPr>
  </w:style>
  <w:style w:type="character" w:styleId="PageNumber">
    <w:name w:val="page number"/>
    <w:basedOn w:val="DefaultParagraphFont"/>
    <w:rsid w:val="00BF1772"/>
  </w:style>
  <w:style w:type="paragraph" w:styleId="BlockText">
    <w:name w:val="Block Text"/>
    <w:basedOn w:val="Normal"/>
    <w:rsid w:val="00BF1772"/>
    <w:pPr>
      <w:spacing w:after="240"/>
      <w:ind w:left="1440" w:right="1440"/>
    </w:pPr>
  </w:style>
  <w:style w:type="paragraph" w:customStyle="1" w:styleId="Paratitle">
    <w:name w:val="Para title"/>
    <w:basedOn w:val="Normal"/>
    <w:rsid w:val="00BF1772"/>
    <w:pPr>
      <w:tabs>
        <w:tab w:val="center" w:pos="9270"/>
      </w:tabs>
      <w:spacing w:after="240"/>
    </w:pPr>
    <w:rPr>
      <w:spacing w:val="-2"/>
    </w:rPr>
  </w:style>
  <w:style w:type="paragraph" w:customStyle="1" w:styleId="Bullet">
    <w:name w:val="Bullet"/>
    <w:basedOn w:val="Normal"/>
    <w:rsid w:val="00BF1772"/>
    <w:pPr>
      <w:tabs>
        <w:tab w:val="left" w:pos="2160"/>
      </w:tabs>
      <w:spacing w:after="220"/>
      <w:ind w:left="2160" w:hanging="720"/>
    </w:pPr>
  </w:style>
  <w:style w:type="paragraph" w:customStyle="1" w:styleId="TableFormat">
    <w:name w:val="TableFormat"/>
    <w:basedOn w:val="Bullet"/>
    <w:rsid w:val="00BF1772"/>
    <w:pPr>
      <w:tabs>
        <w:tab w:val="clear" w:pos="2160"/>
        <w:tab w:val="left" w:pos="5040"/>
      </w:tabs>
      <w:ind w:left="5040" w:hanging="3600"/>
    </w:pPr>
  </w:style>
  <w:style w:type="paragraph" w:customStyle="1" w:styleId="TOCTitle">
    <w:name w:val="TOC Title"/>
    <w:basedOn w:val="Normal"/>
    <w:rsid w:val="00BF177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F1772"/>
    <w:pPr>
      <w:jc w:val="center"/>
    </w:pPr>
    <w:rPr>
      <w:rFonts w:ascii="Times New Roman Bold" w:hAnsi="Times New Roman Bold"/>
      <w:b/>
      <w:bCs/>
      <w:caps/>
      <w:szCs w:val="22"/>
    </w:rPr>
  </w:style>
  <w:style w:type="character" w:styleId="Hyperlink">
    <w:name w:val="Hyperlink"/>
    <w:rsid w:val="00BF1772"/>
    <w:rPr>
      <w:color w:val="0000FF"/>
      <w:u w:val="single"/>
    </w:rPr>
  </w:style>
  <w:style w:type="paragraph" w:styleId="ListParagraph">
    <w:name w:val="List Paragraph"/>
    <w:basedOn w:val="Normal"/>
    <w:uiPriority w:val="34"/>
    <w:qFormat/>
    <w:rsid w:val="00FC7F4D"/>
    <w:pPr>
      <w:spacing w:after="200" w:line="276" w:lineRule="auto"/>
      <w:ind w:left="720"/>
      <w:contextualSpacing/>
    </w:pPr>
    <w:rPr>
      <w:rFonts w:ascii="Calibri" w:eastAsia="Calibri" w:hAnsi="Calibri"/>
      <w:snapToGrid/>
      <w:kern w:val="0"/>
      <w:szCs w:val="22"/>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link w:val="FootnoteText"/>
    <w:rsid w:val="00FC7F4D"/>
  </w:style>
  <w:style w:type="paragraph" w:customStyle="1" w:styleId="Paranum">
    <w:name w:val="Paranum"/>
    <w:basedOn w:val="Normal"/>
    <w:rsid w:val="00BE6E64"/>
    <w:pPr>
      <w:numPr>
        <w:numId w:val="3"/>
      </w:numPr>
      <w:spacing w:after="220"/>
      <w:jc w:val="both"/>
    </w:pPr>
    <w:rPr>
      <w:snapToGrid/>
      <w:kern w:val="0"/>
    </w:rPr>
  </w:style>
  <w:style w:type="character" w:customStyle="1" w:styleId="HeaderChar">
    <w:name w:val="Header Char"/>
    <w:basedOn w:val="DefaultParagraphFont"/>
    <w:link w:val="Header"/>
    <w:rsid w:val="0057774B"/>
    <w:rPr>
      <w:b/>
      <w:snapToGrid w:val="0"/>
      <w:kern w:val="28"/>
      <w:sz w:val="22"/>
    </w:rPr>
  </w:style>
  <w:style w:type="paragraph" w:styleId="NormalWeb">
    <w:name w:val="Normal (Web)"/>
    <w:basedOn w:val="Normal"/>
    <w:uiPriority w:val="99"/>
    <w:unhideWhenUsed/>
    <w:rsid w:val="007A5CA9"/>
    <w:rPr>
      <w:snapToGrid/>
      <w:kern w:val="0"/>
      <w:sz w:val="24"/>
      <w:szCs w:val="24"/>
    </w:rPr>
  </w:style>
  <w:style w:type="character" w:customStyle="1" w:styleId="searchterm">
    <w:name w:val="searchterm"/>
    <w:basedOn w:val="DefaultParagraphFont"/>
    <w:rsid w:val="007A5CA9"/>
  </w:style>
  <w:style w:type="character" w:styleId="Emphasis">
    <w:name w:val="Emphasis"/>
    <w:basedOn w:val="DefaultParagraphFont"/>
    <w:uiPriority w:val="20"/>
    <w:qFormat/>
    <w:rsid w:val="007A5CA9"/>
    <w:rPr>
      <w:i/>
      <w:iCs/>
    </w:rPr>
  </w:style>
  <w:style w:type="character" w:styleId="CommentReference">
    <w:name w:val="annotation reference"/>
    <w:basedOn w:val="DefaultParagraphFont"/>
    <w:unhideWhenUsed/>
    <w:rsid w:val="007A5CA9"/>
    <w:rPr>
      <w:sz w:val="16"/>
      <w:szCs w:val="16"/>
    </w:rPr>
  </w:style>
  <w:style w:type="paragraph" w:styleId="CommentText">
    <w:name w:val="annotation text"/>
    <w:basedOn w:val="Normal"/>
    <w:link w:val="CommentTextChar"/>
    <w:unhideWhenUsed/>
    <w:rsid w:val="007A5CA9"/>
    <w:pPr>
      <w:spacing w:after="200"/>
    </w:pPr>
    <w:rPr>
      <w:rFonts w:ascii="Calibri" w:eastAsia="Calibri" w:hAnsi="Calibri"/>
      <w:snapToGrid/>
      <w:kern w:val="0"/>
      <w:sz w:val="20"/>
    </w:rPr>
  </w:style>
  <w:style w:type="character" w:customStyle="1" w:styleId="CommentTextChar">
    <w:name w:val="Comment Text Char"/>
    <w:basedOn w:val="DefaultParagraphFont"/>
    <w:link w:val="CommentText"/>
    <w:rsid w:val="007A5CA9"/>
    <w:rPr>
      <w:rFonts w:ascii="Calibri" w:eastAsia="Calibri" w:hAnsi="Calibri"/>
    </w:rPr>
  </w:style>
  <w:style w:type="paragraph" w:styleId="BalloonText">
    <w:name w:val="Balloon Text"/>
    <w:basedOn w:val="Normal"/>
    <w:link w:val="BalloonTextChar"/>
    <w:rsid w:val="007A5CA9"/>
    <w:rPr>
      <w:rFonts w:ascii="Tahoma" w:hAnsi="Tahoma" w:cs="Tahoma"/>
      <w:sz w:val="16"/>
      <w:szCs w:val="16"/>
    </w:rPr>
  </w:style>
  <w:style w:type="character" w:customStyle="1" w:styleId="BalloonTextChar">
    <w:name w:val="Balloon Text Char"/>
    <w:basedOn w:val="DefaultParagraphFont"/>
    <w:link w:val="BalloonText"/>
    <w:rsid w:val="007A5CA9"/>
    <w:rPr>
      <w:rFonts w:ascii="Tahoma" w:hAnsi="Tahoma" w:cs="Tahoma"/>
      <w:snapToGrid w:val="0"/>
      <w:kern w:val="28"/>
      <w:sz w:val="16"/>
      <w:szCs w:val="16"/>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
    <w:basedOn w:val="DefaultParagraphFont"/>
    <w:link w:val="Heading2"/>
    <w:rsid w:val="005655A5"/>
    <w:rPr>
      <w:b/>
      <w:snapToGrid w:val="0"/>
      <w:kern w:val="28"/>
      <w:sz w:val="22"/>
    </w:rPr>
  </w:style>
  <w:style w:type="character" w:customStyle="1" w:styleId="cosearchterm">
    <w:name w:val="co_searchterm"/>
    <w:basedOn w:val="DefaultParagraphFont"/>
    <w:rsid w:val="001D548E"/>
  </w:style>
  <w:style w:type="character" w:customStyle="1" w:styleId="documentbody">
    <w:name w:val="documentbody"/>
    <w:basedOn w:val="DefaultParagraphFont"/>
    <w:rsid w:val="001D548E"/>
  </w:style>
  <w:style w:type="paragraph" w:styleId="CommentSubject">
    <w:name w:val="annotation subject"/>
    <w:basedOn w:val="CommentText"/>
    <w:next w:val="CommentText"/>
    <w:link w:val="CommentSubjectChar"/>
    <w:rsid w:val="00A926F6"/>
    <w:pPr>
      <w:spacing w:after="0"/>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rsid w:val="00A926F6"/>
    <w:rPr>
      <w:rFonts w:ascii="Calibri" w:eastAsia="Calibri" w:hAnsi="Calibri"/>
      <w:b/>
      <w:bCs/>
      <w:snapToGrid w:val="0"/>
      <w:kern w:val="28"/>
    </w:rPr>
  </w:style>
  <w:style w:type="character" w:customStyle="1" w:styleId="ParaNumChar">
    <w:name w:val="ParaNum Char"/>
    <w:link w:val="ParaNum0"/>
    <w:locked/>
    <w:rsid w:val="00274D22"/>
    <w:rPr>
      <w:snapToGrid w:val="0"/>
      <w:kern w:val="28"/>
      <w:sz w:val="22"/>
    </w:rPr>
  </w:style>
  <w:style w:type="character" w:customStyle="1" w:styleId="FootnoteTextChar1">
    <w:name w:val="Footnote Text Char1"/>
    <w:aliases w:val="ALTS FOOTNOTE Char Char,fn Char Char,Footnote Text Char2 Char Char,fn Char2,fn Char1 Char1,f Char1"/>
    <w:semiHidden/>
    <w:locked/>
    <w:rsid w:val="00BC130A"/>
    <w:rPr>
      <w:rFonts w:eastAsia="MS Mincho"/>
      <w:lang w:val="en-US" w:eastAsia="en-US" w:bidi="ar-SA"/>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1 Char"/>
    <w:locked/>
    <w:rsid w:val="001D72D4"/>
  </w:style>
  <w:style w:type="character" w:customStyle="1" w:styleId="BalloonTextChar1">
    <w:name w:val="Balloon Text Char1"/>
    <w:basedOn w:val="DefaultParagraphFont"/>
    <w:rsid w:val="001D72D4"/>
    <w:rPr>
      <w:rFonts w:ascii="Tahoma" w:hAnsi="Tahoma" w:cs="Tahoma"/>
      <w:snapToGrid w:val="0"/>
      <w:kern w:val="28"/>
      <w:sz w:val="16"/>
      <w:szCs w:val="16"/>
    </w:rPr>
  </w:style>
  <w:style w:type="character" w:customStyle="1" w:styleId="ParaNumChar4">
    <w:name w:val="ParaNum Char4"/>
    <w:basedOn w:val="DefaultParagraphFont"/>
    <w:rsid w:val="001D72D4"/>
    <w:rPr>
      <w:snapToGrid w:val="0"/>
      <w:kern w:val="28"/>
      <w:sz w:val="22"/>
    </w:rPr>
  </w:style>
  <w:style w:type="character" w:customStyle="1" w:styleId="highlight">
    <w:name w:val="highlight"/>
    <w:basedOn w:val="DefaultParagraphFont"/>
    <w:rsid w:val="00343247"/>
  </w:style>
  <w:style w:type="paragraph" w:customStyle="1" w:styleId="Default">
    <w:name w:val="Default"/>
    <w:rsid w:val="00354F74"/>
    <w:pPr>
      <w:autoSpaceDE w:val="0"/>
      <w:autoSpaceDN w:val="0"/>
      <w:adjustRightInd w:val="0"/>
    </w:pPr>
    <w:rPr>
      <w:color w:val="000000"/>
      <w:sz w:val="24"/>
      <w:szCs w:val="24"/>
    </w:rPr>
  </w:style>
  <w:style w:type="character" w:styleId="FollowedHyperlink">
    <w:name w:val="FollowedHyperlink"/>
    <w:basedOn w:val="DefaultParagraphFont"/>
    <w:rsid w:val="00B23E52"/>
    <w:rPr>
      <w:color w:val="800080" w:themeColor="followedHyperlink"/>
      <w:u w:val="single"/>
    </w:rPr>
  </w:style>
  <w:style w:type="paragraph" w:styleId="BodyText">
    <w:name w:val="Body Text"/>
    <w:basedOn w:val="Normal"/>
    <w:link w:val="BodyTextChar"/>
    <w:rsid w:val="00445619"/>
    <w:rPr>
      <w:kern w:val="0"/>
      <w:sz w:val="24"/>
      <w:szCs w:val="24"/>
    </w:rPr>
  </w:style>
  <w:style w:type="character" w:customStyle="1" w:styleId="BodyTextChar">
    <w:name w:val="Body Text Char"/>
    <w:basedOn w:val="DefaultParagraphFont"/>
    <w:link w:val="BodyText"/>
    <w:rsid w:val="00445619"/>
    <w:rPr>
      <w:snapToGrid w:val="0"/>
      <w:sz w:val="24"/>
      <w:szCs w:val="24"/>
    </w:rPr>
  </w:style>
  <w:style w:type="character" w:customStyle="1" w:styleId="BalloonTextChar2">
    <w:name w:val="Balloon Text Char2"/>
    <w:basedOn w:val="DefaultParagraphFont"/>
    <w:rsid w:val="005B7296"/>
    <w:rPr>
      <w:rFonts w:ascii="Tahoma" w:hAnsi="Tahoma" w:cs="Tahoma"/>
      <w:snapToGrid w:val="0"/>
      <w:kern w:val="28"/>
      <w:sz w:val="16"/>
      <w:szCs w:val="16"/>
    </w:rPr>
  </w:style>
  <w:style w:type="character" w:customStyle="1" w:styleId="ptext-">
    <w:name w:val="ptext-"/>
    <w:basedOn w:val="DefaultParagraphFont"/>
    <w:rsid w:val="0067072D"/>
  </w:style>
  <w:style w:type="paragraph" w:styleId="Revision">
    <w:name w:val="Revision"/>
    <w:hidden/>
    <w:uiPriority w:val="99"/>
    <w:semiHidden/>
    <w:rsid w:val="000220D8"/>
    <w:rPr>
      <w:snapToGrid w:val="0"/>
      <w:kern w:val="28"/>
      <w:sz w:val="22"/>
    </w:rPr>
  </w:style>
  <w:style w:type="character" w:customStyle="1" w:styleId="FooterChar">
    <w:name w:val="Footer Char"/>
    <w:basedOn w:val="DefaultParagraphFont"/>
    <w:link w:val="Footer"/>
    <w:rsid w:val="00117FA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7589">
      <w:bodyDiv w:val="1"/>
      <w:marLeft w:val="0"/>
      <w:marRight w:val="0"/>
      <w:marTop w:val="0"/>
      <w:marBottom w:val="0"/>
      <w:divBdr>
        <w:top w:val="none" w:sz="0" w:space="0" w:color="auto"/>
        <w:left w:val="none" w:sz="0" w:space="0" w:color="auto"/>
        <w:bottom w:val="none" w:sz="0" w:space="0" w:color="auto"/>
        <w:right w:val="none" w:sz="0" w:space="0" w:color="auto"/>
      </w:divBdr>
      <w:divsChild>
        <w:div w:id="294991582">
          <w:marLeft w:val="0"/>
          <w:marRight w:val="0"/>
          <w:marTop w:val="0"/>
          <w:marBottom w:val="0"/>
          <w:divBdr>
            <w:top w:val="none" w:sz="0" w:space="0" w:color="auto"/>
            <w:left w:val="none" w:sz="0" w:space="0" w:color="auto"/>
            <w:bottom w:val="none" w:sz="0" w:space="0" w:color="auto"/>
            <w:right w:val="none" w:sz="0" w:space="0" w:color="auto"/>
          </w:divBdr>
        </w:div>
        <w:div w:id="1898779366">
          <w:marLeft w:val="0"/>
          <w:marRight w:val="0"/>
          <w:marTop w:val="0"/>
          <w:marBottom w:val="0"/>
          <w:divBdr>
            <w:top w:val="none" w:sz="0" w:space="0" w:color="auto"/>
            <w:left w:val="none" w:sz="0" w:space="0" w:color="auto"/>
            <w:bottom w:val="none" w:sz="0" w:space="0" w:color="auto"/>
            <w:right w:val="none" w:sz="0" w:space="0" w:color="auto"/>
          </w:divBdr>
        </w:div>
      </w:divsChild>
    </w:div>
    <w:div w:id="119997744">
      <w:bodyDiv w:val="1"/>
      <w:marLeft w:val="0"/>
      <w:marRight w:val="0"/>
      <w:marTop w:val="0"/>
      <w:marBottom w:val="0"/>
      <w:divBdr>
        <w:top w:val="none" w:sz="0" w:space="0" w:color="auto"/>
        <w:left w:val="none" w:sz="0" w:space="0" w:color="auto"/>
        <w:bottom w:val="none" w:sz="0" w:space="0" w:color="auto"/>
        <w:right w:val="none" w:sz="0" w:space="0" w:color="auto"/>
      </w:divBdr>
    </w:div>
    <w:div w:id="311103381">
      <w:bodyDiv w:val="1"/>
      <w:marLeft w:val="0"/>
      <w:marRight w:val="0"/>
      <w:marTop w:val="0"/>
      <w:marBottom w:val="0"/>
      <w:divBdr>
        <w:top w:val="none" w:sz="0" w:space="0" w:color="auto"/>
        <w:left w:val="none" w:sz="0" w:space="0" w:color="auto"/>
        <w:bottom w:val="none" w:sz="0" w:space="0" w:color="auto"/>
        <w:right w:val="none" w:sz="0" w:space="0" w:color="auto"/>
      </w:divBdr>
    </w:div>
    <w:div w:id="389234942">
      <w:bodyDiv w:val="1"/>
      <w:marLeft w:val="0"/>
      <w:marRight w:val="0"/>
      <w:marTop w:val="0"/>
      <w:marBottom w:val="0"/>
      <w:divBdr>
        <w:top w:val="none" w:sz="0" w:space="0" w:color="auto"/>
        <w:left w:val="none" w:sz="0" w:space="0" w:color="auto"/>
        <w:bottom w:val="none" w:sz="0" w:space="0" w:color="auto"/>
        <w:right w:val="none" w:sz="0" w:space="0" w:color="auto"/>
      </w:divBdr>
    </w:div>
    <w:div w:id="613907012">
      <w:bodyDiv w:val="1"/>
      <w:marLeft w:val="0"/>
      <w:marRight w:val="0"/>
      <w:marTop w:val="0"/>
      <w:marBottom w:val="0"/>
      <w:divBdr>
        <w:top w:val="none" w:sz="0" w:space="0" w:color="auto"/>
        <w:left w:val="none" w:sz="0" w:space="0" w:color="auto"/>
        <w:bottom w:val="none" w:sz="0" w:space="0" w:color="auto"/>
        <w:right w:val="none" w:sz="0" w:space="0" w:color="auto"/>
      </w:divBdr>
    </w:div>
    <w:div w:id="768743788">
      <w:bodyDiv w:val="1"/>
      <w:marLeft w:val="0"/>
      <w:marRight w:val="0"/>
      <w:marTop w:val="0"/>
      <w:marBottom w:val="0"/>
      <w:divBdr>
        <w:top w:val="none" w:sz="0" w:space="0" w:color="auto"/>
        <w:left w:val="none" w:sz="0" w:space="0" w:color="auto"/>
        <w:bottom w:val="none" w:sz="0" w:space="0" w:color="auto"/>
        <w:right w:val="none" w:sz="0" w:space="0" w:color="auto"/>
      </w:divBdr>
    </w:div>
    <w:div w:id="774985056">
      <w:bodyDiv w:val="1"/>
      <w:marLeft w:val="0"/>
      <w:marRight w:val="0"/>
      <w:marTop w:val="0"/>
      <w:marBottom w:val="0"/>
      <w:divBdr>
        <w:top w:val="none" w:sz="0" w:space="0" w:color="auto"/>
        <w:left w:val="none" w:sz="0" w:space="0" w:color="auto"/>
        <w:bottom w:val="none" w:sz="0" w:space="0" w:color="auto"/>
        <w:right w:val="none" w:sz="0" w:space="0" w:color="auto"/>
      </w:divBdr>
    </w:div>
    <w:div w:id="847064942">
      <w:bodyDiv w:val="1"/>
      <w:marLeft w:val="0"/>
      <w:marRight w:val="0"/>
      <w:marTop w:val="0"/>
      <w:marBottom w:val="0"/>
      <w:divBdr>
        <w:top w:val="none" w:sz="0" w:space="0" w:color="auto"/>
        <w:left w:val="none" w:sz="0" w:space="0" w:color="auto"/>
        <w:bottom w:val="none" w:sz="0" w:space="0" w:color="auto"/>
        <w:right w:val="none" w:sz="0" w:space="0" w:color="auto"/>
      </w:divBdr>
    </w:div>
    <w:div w:id="856963362">
      <w:bodyDiv w:val="1"/>
      <w:marLeft w:val="0"/>
      <w:marRight w:val="0"/>
      <w:marTop w:val="0"/>
      <w:marBottom w:val="0"/>
      <w:divBdr>
        <w:top w:val="none" w:sz="0" w:space="0" w:color="auto"/>
        <w:left w:val="none" w:sz="0" w:space="0" w:color="auto"/>
        <w:bottom w:val="none" w:sz="0" w:space="0" w:color="auto"/>
        <w:right w:val="none" w:sz="0" w:space="0" w:color="auto"/>
      </w:divBdr>
      <w:divsChild>
        <w:div w:id="4986220">
          <w:marLeft w:val="0"/>
          <w:marRight w:val="0"/>
          <w:marTop w:val="0"/>
          <w:marBottom w:val="0"/>
          <w:divBdr>
            <w:top w:val="none" w:sz="0" w:space="0" w:color="auto"/>
            <w:left w:val="none" w:sz="0" w:space="0" w:color="auto"/>
            <w:bottom w:val="none" w:sz="0" w:space="0" w:color="auto"/>
            <w:right w:val="none" w:sz="0" w:space="0" w:color="auto"/>
          </w:divBdr>
        </w:div>
        <w:div w:id="1397433291">
          <w:marLeft w:val="0"/>
          <w:marRight w:val="0"/>
          <w:marTop w:val="0"/>
          <w:marBottom w:val="0"/>
          <w:divBdr>
            <w:top w:val="none" w:sz="0" w:space="0" w:color="auto"/>
            <w:left w:val="none" w:sz="0" w:space="0" w:color="auto"/>
            <w:bottom w:val="none" w:sz="0" w:space="0" w:color="auto"/>
            <w:right w:val="none" w:sz="0" w:space="0" w:color="auto"/>
          </w:divBdr>
        </w:div>
        <w:div w:id="1512648859">
          <w:marLeft w:val="0"/>
          <w:marRight w:val="0"/>
          <w:marTop w:val="0"/>
          <w:marBottom w:val="0"/>
          <w:divBdr>
            <w:top w:val="none" w:sz="0" w:space="0" w:color="auto"/>
            <w:left w:val="none" w:sz="0" w:space="0" w:color="auto"/>
            <w:bottom w:val="none" w:sz="0" w:space="0" w:color="auto"/>
            <w:right w:val="none" w:sz="0" w:space="0" w:color="auto"/>
          </w:divBdr>
        </w:div>
      </w:divsChild>
    </w:div>
    <w:div w:id="970020183">
      <w:bodyDiv w:val="1"/>
      <w:marLeft w:val="0"/>
      <w:marRight w:val="0"/>
      <w:marTop w:val="0"/>
      <w:marBottom w:val="0"/>
      <w:divBdr>
        <w:top w:val="none" w:sz="0" w:space="0" w:color="auto"/>
        <w:left w:val="none" w:sz="0" w:space="0" w:color="auto"/>
        <w:bottom w:val="none" w:sz="0" w:space="0" w:color="auto"/>
        <w:right w:val="none" w:sz="0" w:space="0" w:color="auto"/>
      </w:divBdr>
    </w:div>
    <w:div w:id="978729484">
      <w:bodyDiv w:val="1"/>
      <w:marLeft w:val="0"/>
      <w:marRight w:val="0"/>
      <w:marTop w:val="0"/>
      <w:marBottom w:val="0"/>
      <w:divBdr>
        <w:top w:val="none" w:sz="0" w:space="0" w:color="auto"/>
        <w:left w:val="none" w:sz="0" w:space="0" w:color="auto"/>
        <w:bottom w:val="none" w:sz="0" w:space="0" w:color="auto"/>
        <w:right w:val="none" w:sz="0" w:space="0" w:color="auto"/>
      </w:divBdr>
    </w:div>
    <w:div w:id="1000429593">
      <w:bodyDiv w:val="1"/>
      <w:marLeft w:val="0"/>
      <w:marRight w:val="0"/>
      <w:marTop w:val="0"/>
      <w:marBottom w:val="0"/>
      <w:divBdr>
        <w:top w:val="none" w:sz="0" w:space="0" w:color="auto"/>
        <w:left w:val="none" w:sz="0" w:space="0" w:color="auto"/>
        <w:bottom w:val="none" w:sz="0" w:space="0" w:color="auto"/>
        <w:right w:val="none" w:sz="0" w:space="0" w:color="auto"/>
      </w:divBdr>
    </w:div>
    <w:div w:id="1038698569">
      <w:bodyDiv w:val="1"/>
      <w:marLeft w:val="0"/>
      <w:marRight w:val="0"/>
      <w:marTop w:val="0"/>
      <w:marBottom w:val="0"/>
      <w:divBdr>
        <w:top w:val="none" w:sz="0" w:space="0" w:color="auto"/>
        <w:left w:val="none" w:sz="0" w:space="0" w:color="auto"/>
        <w:bottom w:val="none" w:sz="0" w:space="0" w:color="auto"/>
        <w:right w:val="none" w:sz="0" w:space="0" w:color="auto"/>
      </w:divBdr>
    </w:div>
    <w:div w:id="1056052918">
      <w:bodyDiv w:val="1"/>
      <w:marLeft w:val="0"/>
      <w:marRight w:val="0"/>
      <w:marTop w:val="0"/>
      <w:marBottom w:val="0"/>
      <w:divBdr>
        <w:top w:val="none" w:sz="0" w:space="0" w:color="auto"/>
        <w:left w:val="none" w:sz="0" w:space="0" w:color="auto"/>
        <w:bottom w:val="none" w:sz="0" w:space="0" w:color="auto"/>
        <w:right w:val="none" w:sz="0" w:space="0" w:color="auto"/>
      </w:divBdr>
    </w:div>
    <w:div w:id="1061516088">
      <w:bodyDiv w:val="1"/>
      <w:marLeft w:val="0"/>
      <w:marRight w:val="0"/>
      <w:marTop w:val="0"/>
      <w:marBottom w:val="0"/>
      <w:divBdr>
        <w:top w:val="none" w:sz="0" w:space="0" w:color="auto"/>
        <w:left w:val="none" w:sz="0" w:space="0" w:color="auto"/>
        <w:bottom w:val="none" w:sz="0" w:space="0" w:color="auto"/>
        <w:right w:val="none" w:sz="0" w:space="0" w:color="auto"/>
      </w:divBdr>
      <w:divsChild>
        <w:div w:id="57290039">
          <w:marLeft w:val="0"/>
          <w:marRight w:val="0"/>
          <w:marTop w:val="0"/>
          <w:marBottom w:val="0"/>
          <w:divBdr>
            <w:top w:val="none" w:sz="0" w:space="0" w:color="auto"/>
            <w:left w:val="none" w:sz="0" w:space="0" w:color="auto"/>
            <w:bottom w:val="none" w:sz="0" w:space="0" w:color="auto"/>
            <w:right w:val="none" w:sz="0" w:space="0" w:color="auto"/>
          </w:divBdr>
        </w:div>
        <w:div w:id="79378683">
          <w:marLeft w:val="0"/>
          <w:marRight w:val="0"/>
          <w:marTop w:val="0"/>
          <w:marBottom w:val="0"/>
          <w:divBdr>
            <w:top w:val="none" w:sz="0" w:space="0" w:color="auto"/>
            <w:left w:val="none" w:sz="0" w:space="0" w:color="auto"/>
            <w:bottom w:val="none" w:sz="0" w:space="0" w:color="auto"/>
            <w:right w:val="none" w:sz="0" w:space="0" w:color="auto"/>
          </w:divBdr>
        </w:div>
        <w:div w:id="1718163985">
          <w:marLeft w:val="0"/>
          <w:marRight w:val="0"/>
          <w:marTop w:val="0"/>
          <w:marBottom w:val="0"/>
          <w:divBdr>
            <w:top w:val="none" w:sz="0" w:space="0" w:color="auto"/>
            <w:left w:val="none" w:sz="0" w:space="0" w:color="auto"/>
            <w:bottom w:val="none" w:sz="0" w:space="0" w:color="auto"/>
            <w:right w:val="none" w:sz="0" w:space="0" w:color="auto"/>
          </w:divBdr>
        </w:div>
      </w:divsChild>
    </w:div>
    <w:div w:id="1130127123">
      <w:bodyDiv w:val="1"/>
      <w:marLeft w:val="0"/>
      <w:marRight w:val="0"/>
      <w:marTop w:val="0"/>
      <w:marBottom w:val="0"/>
      <w:divBdr>
        <w:top w:val="none" w:sz="0" w:space="0" w:color="auto"/>
        <w:left w:val="none" w:sz="0" w:space="0" w:color="auto"/>
        <w:bottom w:val="none" w:sz="0" w:space="0" w:color="auto"/>
        <w:right w:val="none" w:sz="0" w:space="0" w:color="auto"/>
      </w:divBdr>
    </w:div>
    <w:div w:id="1140686780">
      <w:bodyDiv w:val="1"/>
      <w:marLeft w:val="0"/>
      <w:marRight w:val="0"/>
      <w:marTop w:val="0"/>
      <w:marBottom w:val="0"/>
      <w:divBdr>
        <w:top w:val="none" w:sz="0" w:space="0" w:color="auto"/>
        <w:left w:val="none" w:sz="0" w:space="0" w:color="auto"/>
        <w:bottom w:val="none" w:sz="0" w:space="0" w:color="auto"/>
        <w:right w:val="none" w:sz="0" w:space="0" w:color="auto"/>
      </w:divBdr>
    </w:div>
    <w:div w:id="1141465379">
      <w:bodyDiv w:val="1"/>
      <w:marLeft w:val="0"/>
      <w:marRight w:val="0"/>
      <w:marTop w:val="0"/>
      <w:marBottom w:val="0"/>
      <w:divBdr>
        <w:top w:val="none" w:sz="0" w:space="0" w:color="auto"/>
        <w:left w:val="none" w:sz="0" w:space="0" w:color="auto"/>
        <w:bottom w:val="none" w:sz="0" w:space="0" w:color="auto"/>
        <w:right w:val="none" w:sz="0" w:space="0" w:color="auto"/>
      </w:divBdr>
    </w:div>
    <w:div w:id="1181893432">
      <w:bodyDiv w:val="1"/>
      <w:marLeft w:val="0"/>
      <w:marRight w:val="0"/>
      <w:marTop w:val="0"/>
      <w:marBottom w:val="0"/>
      <w:divBdr>
        <w:top w:val="none" w:sz="0" w:space="0" w:color="auto"/>
        <w:left w:val="none" w:sz="0" w:space="0" w:color="auto"/>
        <w:bottom w:val="none" w:sz="0" w:space="0" w:color="auto"/>
        <w:right w:val="none" w:sz="0" w:space="0" w:color="auto"/>
      </w:divBdr>
    </w:div>
    <w:div w:id="1349910864">
      <w:bodyDiv w:val="1"/>
      <w:marLeft w:val="0"/>
      <w:marRight w:val="0"/>
      <w:marTop w:val="0"/>
      <w:marBottom w:val="0"/>
      <w:divBdr>
        <w:top w:val="none" w:sz="0" w:space="0" w:color="auto"/>
        <w:left w:val="none" w:sz="0" w:space="0" w:color="auto"/>
        <w:bottom w:val="none" w:sz="0" w:space="0" w:color="auto"/>
        <w:right w:val="none" w:sz="0" w:space="0" w:color="auto"/>
      </w:divBdr>
    </w:div>
    <w:div w:id="1520117817">
      <w:bodyDiv w:val="1"/>
      <w:marLeft w:val="0"/>
      <w:marRight w:val="0"/>
      <w:marTop w:val="0"/>
      <w:marBottom w:val="0"/>
      <w:divBdr>
        <w:top w:val="none" w:sz="0" w:space="0" w:color="auto"/>
        <w:left w:val="none" w:sz="0" w:space="0" w:color="auto"/>
        <w:bottom w:val="none" w:sz="0" w:space="0" w:color="auto"/>
        <w:right w:val="none" w:sz="0" w:space="0" w:color="auto"/>
      </w:divBdr>
    </w:div>
    <w:div w:id="1694724665">
      <w:bodyDiv w:val="1"/>
      <w:marLeft w:val="0"/>
      <w:marRight w:val="0"/>
      <w:marTop w:val="0"/>
      <w:marBottom w:val="0"/>
      <w:divBdr>
        <w:top w:val="none" w:sz="0" w:space="0" w:color="auto"/>
        <w:left w:val="none" w:sz="0" w:space="0" w:color="auto"/>
        <w:bottom w:val="none" w:sz="0" w:space="0" w:color="auto"/>
        <w:right w:val="none" w:sz="0" w:space="0" w:color="auto"/>
      </w:divBdr>
    </w:div>
    <w:div w:id="1787311494">
      <w:bodyDiv w:val="1"/>
      <w:marLeft w:val="0"/>
      <w:marRight w:val="0"/>
      <w:marTop w:val="0"/>
      <w:marBottom w:val="0"/>
      <w:divBdr>
        <w:top w:val="none" w:sz="0" w:space="0" w:color="auto"/>
        <w:left w:val="none" w:sz="0" w:space="0" w:color="auto"/>
        <w:bottom w:val="none" w:sz="0" w:space="0" w:color="auto"/>
        <w:right w:val="none" w:sz="0" w:space="0" w:color="auto"/>
      </w:divBdr>
    </w:div>
    <w:div w:id="1806197698">
      <w:bodyDiv w:val="1"/>
      <w:marLeft w:val="0"/>
      <w:marRight w:val="0"/>
      <w:marTop w:val="0"/>
      <w:marBottom w:val="0"/>
      <w:divBdr>
        <w:top w:val="none" w:sz="0" w:space="0" w:color="auto"/>
        <w:left w:val="none" w:sz="0" w:space="0" w:color="auto"/>
        <w:bottom w:val="none" w:sz="0" w:space="0" w:color="auto"/>
        <w:right w:val="none" w:sz="0" w:space="0" w:color="auto"/>
      </w:divBdr>
    </w:div>
    <w:div w:id="1844971100">
      <w:bodyDiv w:val="1"/>
      <w:marLeft w:val="0"/>
      <w:marRight w:val="0"/>
      <w:marTop w:val="0"/>
      <w:marBottom w:val="0"/>
      <w:divBdr>
        <w:top w:val="none" w:sz="0" w:space="0" w:color="auto"/>
        <w:left w:val="none" w:sz="0" w:space="0" w:color="auto"/>
        <w:bottom w:val="none" w:sz="0" w:space="0" w:color="auto"/>
        <w:right w:val="none" w:sz="0" w:space="0" w:color="auto"/>
      </w:divBdr>
    </w:div>
    <w:div w:id="1867985495">
      <w:bodyDiv w:val="1"/>
      <w:marLeft w:val="0"/>
      <w:marRight w:val="0"/>
      <w:marTop w:val="0"/>
      <w:marBottom w:val="0"/>
      <w:divBdr>
        <w:top w:val="none" w:sz="0" w:space="0" w:color="auto"/>
        <w:left w:val="none" w:sz="0" w:space="0" w:color="auto"/>
        <w:bottom w:val="none" w:sz="0" w:space="0" w:color="auto"/>
        <w:right w:val="none" w:sz="0" w:space="0" w:color="auto"/>
      </w:divBdr>
    </w:div>
    <w:div w:id="1905723425">
      <w:bodyDiv w:val="1"/>
      <w:marLeft w:val="0"/>
      <w:marRight w:val="0"/>
      <w:marTop w:val="0"/>
      <w:marBottom w:val="0"/>
      <w:divBdr>
        <w:top w:val="none" w:sz="0" w:space="0" w:color="auto"/>
        <w:left w:val="none" w:sz="0" w:space="0" w:color="auto"/>
        <w:bottom w:val="none" w:sz="0" w:space="0" w:color="auto"/>
        <w:right w:val="none" w:sz="0" w:space="0" w:color="auto"/>
      </w:divBdr>
    </w:div>
    <w:div w:id="2066442694">
      <w:bodyDiv w:val="1"/>
      <w:marLeft w:val="0"/>
      <w:marRight w:val="0"/>
      <w:marTop w:val="0"/>
      <w:marBottom w:val="0"/>
      <w:divBdr>
        <w:top w:val="none" w:sz="0" w:space="0" w:color="auto"/>
        <w:left w:val="none" w:sz="0" w:space="0" w:color="auto"/>
        <w:bottom w:val="none" w:sz="0" w:space="0" w:color="auto"/>
        <w:right w:val="none" w:sz="0" w:space="0" w:color="auto"/>
      </w:divBdr>
    </w:div>
    <w:div w:id="210950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1256</Words>
  <Characters>6631</Characters>
  <Application>Microsoft Office Word</Application>
  <DocSecurity>0</DocSecurity>
  <Lines>87</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2014-11-25T22:13:00Z</dcterms:created>
  <dcterms:modified xsi:type="dcterms:W3CDTF">2014-11-25T22:13:00Z</dcterms:modified>
  <cp:category> </cp:category>
  <cp:contentStatus> </cp:contentStatus>
</cp:coreProperties>
</file>