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DF332C" w:rsidRDefault="004C2EE3">
      <w:pPr>
        <w:jc w:val="center"/>
        <w:rPr>
          <w:b/>
        </w:rPr>
      </w:pPr>
      <w:bookmarkStart w:id="0" w:name="_GoBack"/>
      <w:bookmarkEnd w:id="0"/>
      <w:r w:rsidRPr="00DF332C">
        <w:rPr>
          <w:b/>
        </w:rPr>
        <w:t>Before the</w:t>
      </w:r>
    </w:p>
    <w:p w:rsidR="00921803" w:rsidRPr="00DF332C" w:rsidRDefault="00921803" w:rsidP="00921803">
      <w:pPr>
        <w:pStyle w:val="StyleBoldCentered"/>
        <w:rPr>
          <w:rFonts w:ascii="Times New Roman" w:hAnsi="Times New Roman"/>
        </w:rPr>
      </w:pPr>
      <w:r w:rsidRPr="00DF332C">
        <w:rPr>
          <w:rFonts w:ascii="Times New Roman" w:hAnsi="Times New Roman"/>
        </w:rPr>
        <w:t>F</w:t>
      </w:r>
      <w:r w:rsidRPr="00DF332C">
        <w:rPr>
          <w:rFonts w:ascii="Times New Roman" w:hAnsi="Times New Roman"/>
          <w:caps w:val="0"/>
        </w:rPr>
        <w:t>ederal Communications Commission</w:t>
      </w:r>
    </w:p>
    <w:p w:rsidR="004C2EE3" w:rsidRPr="00DF332C" w:rsidRDefault="00810B6F" w:rsidP="00096D8C">
      <w:pPr>
        <w:pStyle w:val="StyleBoldCentered"/>
        <w:rPr>
          <w:rFonts w:ascii="Times New Roman" w:hAnsi="Times New Roman"/>
        </w:rPr>
      </w:pPr>
      <w:r w:rsidRPr="00DF332C">
        <w:rPr>
          <w:rFonts w:ascii="Times New Roman" w:hAnsi="Times New Roman"/>
          <w:caps w:val="0"/>
        </w:rPr>
        <w:t>Washington, D.C. 20554</w:t>
      </w:r>
    </w:p>
    <w:p w:rsidR="004C2EE3" w:rsidRPr="00DF332C" w:rsidRDefault="004C2EE3" w:rsidP="0070224F"/>
    <w:tbl>
      <w:tblPr>
        <w:tblW w:w="0" w:type="auto"/>
        <w:tblLayout w:type="fixed"/>
        <w:tblLook w:val="0000" w:firstRow="0" w:lastRow="0" w:firstColumn="0" w:lastColumn="0" w:noHBand="0" w:noVBand="0"/>
      </w:tblPr>
      <w:tblGrid>
        <w:gridCol w:w="4698"/>
        <w:gridCol w:w="630"/>
        <w:gridCol w:w="4248"/>
      </w:tblGrid>
      <w:tr w:rsidR="004C2EE3" w:rsidRPr="00DF332C">
        <w:tc>
          <w:tcPr>
            <w:tcW w:w="4698" w:type="dxa"/>
          </w:tcPr>
          <w:p w:rsidR="001F165D" w:rsidRPr="00DF332C" w:rsidRDefault="001F165D" w:rsidP="001F165D">
            <w:pPr>
              <w:ind w:right="-18"/>
            </w:pPr>
            <w:r w:rsidRPr="00DF332C">
              <w:t>In the Matter of</w:t>
            </w:r>
          </w:p>
          <w:p w:rsidR="001F165D" w:rsidRPr="00DF332C" w:rsidRDefault="001F165D" w:rsidP="001F165D">
            <w:pPr>
              <w:ind w:right="-18"/>
            </w:pPr>
          </w:p>
          <w:p w:rsidR="001F165D" w:rsidRPr="009148F5" w:rsidRDefault="00D2738D" w:rsidP="001F165D">
            <w:pPr>
              <w:tabs>
                <w:tab w:val="left" w:pos="-720"/>
              </w:tabs>
              <w:suppressAutoHyphens/>
              <w:jc w:val="both"/>
              <w:rPr>
                <w:spacing w:val="-3"/>
              </w:rPr>
            </w:pPr>
            <w:r w:rsidRPr="009148F5">
              <w:rPr>
                <w:spacing w:val="-3"/>
              </w:rPr>
              <w:t>Maricopa Community College District</w:t>
            </w:r>
            <w:r w:rsidR="001F165D" w:rsidRPr="009148F5">
              <w:rPr>
                <w:spacing w:val="-3"/>
              </w:rPr>
              <w:tab/>
            </w:r>
            <w:r w:rsidR="001F165D" w:rsidRPr="009148F5">
              <w:rPr>
                <w:spacing w:val="-3"/>
              </w:rPr>
              <w:tab/>
            </w:r>
            <w:r w:rsidR="001F165D" w:rsidRPr="009148F5">
              <w:rPr>
                <w:spacing w:val="-3"/>
              </w:rPr>
              <w:tab/>
            </w:r>
            <w:r w:rsidR="001F165D" w:rsidRPr="009148F5">
              <w:rPr>
                <w:spacing w:val="-3"/>
              </w:rPr>
              <w:tab/>
            </w:r>
            <w:r w:rsidR="001F165D" w:rsidRPr="009148F5">
              <w:rPr>
                <w:spacing w:val="-3"/>
              </w:rPr>
              <w:tab/>
              <w:t xml:space="preserve">   </w:t>
            </w:r>
            <w:r w:rsidR="001F165D" w:rsidRPr="009148F5">
              <w:rPr>
                <w:spacing w:val="-3"/>
              </w:rPr>
              <w:tab/>
              <w:t xml:space="preserve">    </w:t>
            </w:r>
            <w:r w:rsidR="001F165D" w:rsidRPr="009148F5">
              <w:rPr>
                <w:spacing w:val="-3"/>
              </w:rPr>
              <w:tab/>
            </w:r>
          </w:p>
          <w:p w:rsidR="004C2EE3" w:rsidRPr="00DF332C" w:rsidRDefault="00D2738D" w:rsidP="00CB23A3">
            <w:pPr>
              <w:tabs>
                <w:tab w:val="left" w:pos="-720"/>
              </w:tabs>
              <w:suppressAutoHyphens/>
              <w:jc w:val="both"/>
              <w:rPr>
                <w:spacing w:val="-3"/>
              </w:rPr>
            </w:pPr>
            <w:r w:rsidRPr="00DF332C">
              <w:t>Request for Experimental Authority to Relax Standards for Public Radio Underwriting Announcements</w:t>
            </w:r>
            <w:r w:rsidR="00D01563" w:rsidRPr="00DF332C">
              <w:t xml:space="preserve"> on K</w:t>
            </w:r>
            <w:r w:rsidR="00C834CB" w:rsidRPr="00DF332C">
              <w:t>JZZ(FM) and KBAQ(FM), Phoenix, Arizona</w:t>
            </w:r>
          </w:p>
          <w:p w:rsidR="007B7DF7" w:rsidRPr="00DF332C" w:rsidRDefault="007B7DF7" w:rsidP="0076502F">
            <w:pPr>
              <w:tabs>
                <w:tab w:val="left" w:pos="-720"/>
              </w:tabs>
              <w:suppressAutoHyphens/>
              <w:jc w:val="both"/>
              <w:rPr>
                <w:spacing w:val="-3"/>
              </w:rPr>
            </w:pPr>
          </w:p>
        </w:tc>
        <w:tc>
          <w:tcPr>
            <w:tcW w:w="630" w:type="dxa"/>
          </w:tcPr>
          <w:p w:rsidR="001F165D" w:rsidRPr="00DF332C" w:rsidRDefault="001F165D" w:rsidP="001F165D">
            <w:pPr>
              <w:rPr>
                <w:b/>
              </w:rPr>
            </w:pPr>
            <w:r w:rsidRPr="00DF332C">
              <w:rPr>
                <w:b/>
              </w:rPr>
              <w:t>)</w:t>
            </w:r>
          </w:p>
          <w:p w:rsidR="001F165D" w:rsidRPr="00DF332C" w:rsidRDefault="001F165D" w:rsidP="001F165D">
            <w:pPr>
              <w:rPr>
                <w:b/>
              </w:rPr>
            </w:pPr>
            <w:r w:rsidRPr="00DF332C">
              <w:rPr>
                <w:b/>
              </w:rPr>
              <w:t>)</w:t>
            </w:r>
          </w:p>
          <w:p w:rsidR="001F165D" w:rsidRPr="00DF332C" w:rsidRDefault="001F165D" w:rsidP="001F165D">
            <w:pPr>
              <w:rPr>
                <w:b/>
              </w:rPr>
            </w:pPr>
            <w:r w:rsidRPr="00DF332C">
              <w:rPr>
                <w:b/>
              </w:rPr>
              <w:t>)</w:t>
            </w:r>
          </w:p>
          <w:p w:rsidR="001F165D" w:rsidRPr="00DF332C" w:rsidRDefault="001F165D" w:rsidP="001F165D">
            <w:pPr>
              <w:rPr>
                <w:b/>
              </w:rPr>
            </w:pPr>
            <w:r w:rsidRPr="00DF332C">
              <w:rPr>
                <w:b/>
              </w:rPr>
              <w:t>)</w:t>
            </w:r>
          </w:p>
          <w:p w:rsidR="001F165D" w:rsidRPr="00DF332C" w:rsidRDefault="001F165D" w:rsidP="001F165D">
            <w:pPr>
              <w:rPr>
                <w:b/>
              </w:rPr>
            </w:pPr>
            <w:r w:rsidRPr="00DF332C">
              <w:rPr>
                <w:b/>
              </w:rPr>
              <w:t>)</w:t>
            </w:r>
          </w:p>
          <w:p w:rsidR="001F165D" w:rsidRPr="00DF332C" w:rsidRDefault="001F165D" w:rsidP="001F165D">
            <w:pPr>
              <w:rPr>
                <w:b/>
              </w:rPr>
            </w:pPr>
            <w:r w:rsidRPr="00DF332C">
              <w:rPr>
                <w:b/>
              </w:rPr>
              <w:t>)</w:t>
            </w:r>
          </w:p>
          <w:p w:rsidR="004C2EE3" w:rsidRPr="00DF332C" w:rsidRDefault="001F165D" w:rsidP="001F165D">
            <w:pPr>
              <w:rPr>
                <w:b/>
              </w:rPr>
            </w:pPr>
            <w:r w:rsidRPr="00DF332C">
              <w:rPr>
                <w:b/>
              </w:rPr>
              <w:t>)</w:t>
            </w:r>
          </w:p>
          <w:p w:rsidR="007B7DF7" w:rsidRPr="00DF332C" w:rsidRDefault="00C834CB" w:rsidP="001F165D">
            <w:pPr>
              <w:rPr>
                <w:b/>
              </w:rPr>
            </w:pPr>
            <w:r w:rsidRPr="00DF332C">
              <w:rPr>
                <w:b/>
              </w:rPr>
              <w:t>)</w:t>
            </w:r>
          </w:p>
        </w:tc>
        <w:tc>
          <w:tcPr>
            <w:tcW w:w="4248" w:type="dxa"/>
          </w:tcPr>
          <w:p w:rsidR="00464DBA" w:rsidRPr="00DF332C" w:rsidRDefault="00464DBA" w:rsidP="00464DBA">
            <w:r w:rsidRPr="00DF332C">
              <w:t xml:space="preserve">    </w:t>
            </w:r>
          </w:p>
          <w:p w:rsidR="00464DBA" w:rsidRPr="00DF332C" w:rsidRDefault="00464DBA" w:rsidP="001F165D">
            <w:pPr>
              <w:rPr>
                <w:spacing w:val="-3"/>
              </w:rPr>
            </w:pPr>
          </w:p>
          <w:p w:rsidR="007B7DF7" w:rsidRPr="00DF332C" w:rsidRDefault="007B7DF7" w:rsidP="001F165D"/>
          <w:p w:rsidR="00464DBA" w:rsidRPr="00DF332C" w:rsidRDefault="00464DBA" w:rsidP="007B7DF7">
            <w:pPr>
              <w:rPr>
                <w:spacing w:val="-3"/>
              </w:rPr>
            </w:pPr>
          </w:p>
          <w:p w:rsidR="00464DBA" w:rsidRPr="00DF332C" w:rsidRDefault="005444A2" w:rsidP="007B7DF7">
            <w:pPr>
              <w:rPr>
                <w:spacing w:val="-3"/>
              </w:rPr>
            </w:pPr>
            <w:r w:rsidRPr="00DF332C">
              <w:rPr>
                <w:spacing w:val="-3"/>
              </w:rPr>
              <w:t xml:space="preserve"> FID Nos.</w:t>
            </w:r>
            <w:r w:rsidR="00C95815" w:rsidRPr="00DF332C">
              <w:rPr>
                <w:spacing w:val="-3"/>
              </w:rPr>
              <w:t xml:space="preserve"> 40095 and 40096</w:t>
            </w:r>
          </w:p>
          <w:p w:rsidR="004C2EE3" w:rsidRPr="00DF332C" w:rsidRDefault="001F165D" w:rsidP="007B7DF7">
            <w:r w:rsidRPr="00DF332C">
              <w:t xml:space="preserve"> </w:t>
            </w:r>
          </w:p>
        </w:tc>
      </w:tr>
    </w:tbl>
    <w:p w:rsidR="004C2EE3" w:rsidRPr="00DF332C" w:rsidRDefault="004C2EE3" w:rsidP="0070224F"/>
    <w:p w:rsidR="001F165D" w:rsidRPr="00DF332C" w:rsidRDefault="001F165D" w:rsidP="001F165D">
      <w:pPr>
        <w:jc w:val="center"/>
      </w:pPr>
      <w:r w:rsidRPr="00DF332C">
        <w:rPr>
          <w:b/>
        </w:rPr>
        <w:t>MEMORANDUM OPINION AND ORDER</w:t>
      </w:r>
    </w:p>
    <w:p w:rsidR="00841AB1" w:rsidRPr="00DF332C" w:rsidRDefault="00841AB1" w:rsidP="00F021FA">
      <w:pPr>
        <w:pStyle w:val="StyleBoldCentered"/>
        <w:rPr>
          <w:rFonts w:ascii="Times New Roman" w:hAnsi="Times New Roman"/>
        </w:rPr>
      </w:pPr>
    </w:p>
    <w:p w:rsidR="004C2EE3" w:rsidRPr="00DF332C" w:rsidRDefault="004C2EE3" w:rsidP="00133F79">
      <w:pPr>
        <w:tabs>
          <w:tab w:val="left" w:pos="720"/>
          <w:tab w:val="right" w:pos="9360"/>
        </w:tabs>
        <w:suppressAutoHyphens/>
        <w:spacing w:line="227" w:lineRule="auto"/>
        <w:rPr>
          <w:spacing w:val="-2"/>
        </w:rPr>
      </w:pPr>
      <w:r w:rsidRPr="00DF332C">
        <w:rPr>
          <w:b/>
          <w:spacing w:val="-2"/>
        </w:rPr>
        <w:t xml:space="preserve">Adopted:  </w:t>
      </w:r>
      <w:r w:rsidR="00EF315D">
        <w:rPr>
          <w:b/>
          <w:spacing w:val="-2"/>
        </w:rPr>
        <w:t>November 21, 2014</w:t>
      </w:r>
      <w:r w:rsidRPr="00DF332C">
        <w:rPr>
          <w:b/>
          <w:spacing w:val="-2"/>
        </w:rPr>
        <w:tab/>
      </w:r>
      <w:r w:rsidR="00822CE0" w:rsidRPr="00DF332C">
        <w:rPr>
          <w:b/>
          <w:spacing w:val="-2"/>
        </w:rPr>
        <w:t>Released</w:t>
      </w:r>
      <w:r w:rsidRPr="00DF332C">
        <w:rPr>
          <w:b/>
          <w:spacing w:val="-2"/>
        </w:rPr>
        <w:t>:</w:t>
      </w:r>
      <w:r w:rsidR="00822CE0" w:rsidRPr="00DF332C">
        <w:rPr>
          <w:b/>
          <w:spacing w:val="-2"/>
        </w:rPr>
        <w:t xml:space="preserve"> </w:t>
      </w:r>
      <w:r w:rsidRPr="00DF332C">
        <w:rPr>
          <w:b/>
          <w:spacing w:val="-2"/>
        </w:rPr>
        <w:t xml:space="preserve"> </w:t>
      </w:r>
      <w:r w:rsidR="00EF315D">
        <w:rPr>
          <w:b/>
          <w:spacing w:val="-2"/>
        </w:rPr>
        <w:t>November 24, 2014</w:t>
      </w:r>
    </w:p>
    <w:p w:rsidR="00822CE0" w:rsidRPr="00DF332C" w:rsidRDefault="00822CE0"/>
    <w:p w:rsidR="004C2EE3" w:rsidRPr="00DF332C" w:rsidRDefault="004C2EE3">
      <w:pPr>
        <w:rPr>
          <w:spacing w:val="-2"/>
        </w:rPr>
      </w:pPr>
      <w:r w:rsidRPr="00DF332C">
        <w:t xml:space="preserve">By </w:t>
      </w:r>
      <w:r w:rsidR="004E4A22" w:rsidRPr="00DF332C">
        <w:t>the</w:t>
      </w:r>
      <w:r w:rsidR="002A2D2E" w:rsidRPr="00DF332C">
        <w:t xml:space="preserve"> </w:t>
      </w:r>
      <w:r w:rsidR="001F165D" w:rsidRPr="00DF332C">
        <w:rPr>
          <w:spacing w:val="-2"/>
        </w:rPr>
        <w:t>Commission:</w:t>
      </w:r>
      <w:r w:rsidR="00EF315D" w:rsidRPr="00EF315D">
        <w:t xml:space="preserve"> </w:t>
      </w:r>
      <w:r w:rsidR="00EF315D">
        <w:t xml:space="preserve"> </w:t>
      </w:r>
      <w:r w:rsidR="00EF315D" w:rsidRPr="00EF315D">
        <w:rPr>
          <w:spacing w:val="-2"/>
        </w:rPr>
        <w:t>Commissioner Pai concurring and issuing a statement</w:t>
      </w:r>
      <w:r w:rsidR="00EF315D">
        <w:rPr>
          <w:spacing w:val="-2"/>
        </w:rPr>
        <w:t>.</w:t>
      </w:r>
    </w:p>
    <w:p w:rsidR="00412FC5" w:rsidRPr="00DF332C" w:rsidRDefault="00412FC5" w:rsidP="00412FC5"/>
    <w:p w:rsidR="00A004F7" w:rsidRDefault="00A004F7" w:rsidP="00633498">
      <w:pPr>
        <w:pStyle w:val="ParaNum"/>
      </w:pPr>
      <w:r w:rsidRPr="00DF332C">
        <w:t xml:space="preserve">The Commission </w:t>
      </w:r>
      <w:r w:rsidR="00386279" w:rsidRPr="00DF332C">
        <w:t xml:space="preserve">has before it </w:t>
      </w:r>
      <w:r>
        <w:t xml:space="preserve">an Application for Review filed on </w:t>
      </w:r>
      <w:r w:rsidR="003135E2">
        <w:t>June 16, 2014</w:t>
      </w:r>
      <w:r w:rsidR="00386279">
        <w:t xml:space="preserve"> by </w:t>
      </w:r>
      <w:r w:rsidR="00BF027C">
        <w:t xml:space="preserve">Maricopa </w:t>
      </w:r>
      <w:r w:rsidR="00F53357">
        <w:t>Community College</w:t>
      </w:r>
      <w:r w:rsidR="00BF027C">
        <w:t xml:space="preserve"> District (“Maricopa</w:t>
      </w:r>
      <w:r w:rsidR="00F53357">
        <w:t>”)</w:t>
      </w:r>
      <w:r w:rsidR="00E30B1B">
        <w:t xml:space="preserve">, licensee </w:t>
      </w:r>
      <w:r w:rsidR="00BD5A8C">
        <w:t xml:space="preserve">of </w:t>
      </w:r>
      <w:r w:rsidR="00E30B1B">
        <w:t xml:space="preserve">noncommercial educational (“NCE”) </w:t>
      </w:r>
      <w:r w:rsidR="00BF01F9">
        <w:t xml:space="preserve">FM </w:t>
      </w:r>
      <w:r w:rsidR="00AB1013">
        <w:t>radio</w:t>
      </w:r>
      <w:r w:rsidR="00E30B1B">
        <w:t xml:space="preserve"> stations </w:t>
      </w:r>
      <w:r w:rsidR="00BF01F9">
        <w:t>in Phoenix, Arizona.</w:t>
      </w:r>
      <w:r w:rsidR="00185C56">
        <w:rPr>
          <w:rStyle w:val="FootnoteReference"/>
        </w:rPr>
        <w:footnoteReference w:id="2"/>
      </w:r>
      <w:r w:rsidR="00BF01F9">
        <w:t xml:space="preserve">  Maricopa seeks review of a May 15, 2014 decisio</w:t>
      </w:r>
      <w:r w:rsidR="00857DF4">
        <w:t xml:space="preserve">n </w:t>
      </w:r>
      <w:r w:rsidR="00BF01F9">
        <w:t>by</w:t>
      </w:r>
      <w:r w:rsidR="00AB3E55">
        <w:t xml:space="preserve"> the Media Bureau (“Bureau”) </w:t>
      </w:r>
      <w:r w:rsidR="00BF01F9">
        <w:t>denyi</w:t>
      </w:r>
      <w:r w:rsidR="00857DF4">
        <w:t xml:space="preserve">ng its request </w:t>
      </w:r>
      <w:r w:rsidR="00816E40">
        <w:t xml:space="preserve">to conduct a </w:t>
      </w:r>
      <w:r w:rsidR="006900FB">
        <w:t xml:space="preserve">three-year </w:t>
      </w:r>
      <w:r w:rsidR="00816E40">
        <w:t xml:space="preserve">“controlled and limited </w:t>
      </w:r>
      <w:r w:rsidR="00857DF4">
        <w:t>experiment</w:t>
      </w:r>
      <w:r w:rsidR="00816E40">
        <w:t>”</w:t>
      </w:r>
      <w:r w:rsidR="00857DF4">
        <w:t xml:space="preserve"> on </w:t>
      </w:r>
      <w:r w:rsidR="00BF36F4">
        <w:t xml:space="preserve">the effects of </w:t>
      </w:r>
      <w:r w:rsidR="00857DF4">
        <w:t xml:space="preserve">including prohibited material in </w:t>
      </w:r>
      <w:r w:rsidR="00886EE7">
        <w:t xml:space="preserve">NCE </w:t>
      </w:r>
      <w:r w:rsidR="0007012A">
        <w:t xml:space="preserve">underwriting </w:t>
      </w:r>
      <w:r w:rsidR="00A4531F">
        <w:t>acknowledg</w:t>
      </w:r>
      <w:r w:rsidR="00857DF4">
        <w:t xml:space="preserve">ements or, </w:t>
      </w:r>
      <w:r w:rsidR="00BF01F9">
        <w:t>alternative</w:t>
      </w:r>
      <w:r w:rsidR="00857DF4">
        <w:t>ly</w:t>
      </w:r>
      <w:r w:rsidR="00BF01F9">
        <w:t xml:space="preserve">, </w:t>
      </w:r>
      <w:r w:rsidR="00AB1013">
        <w:t xml:space="preserve">for </w:t>
      </w:r>
      <w:r w:rsidR="00BF01F9">
        <w:t>a waiver of the Commission’s underwriting rules and policies.</w:t>
      </w:r>
      <w:r w:rsidR="00A665F1">
        <w:rPr>
          <w:rStyle w:val="FootnoteReference"/>
        </w:rPr>
        <w:footnoteReference w:id="3"/>
      </w:r>
      <w:r w:rsidR="00BF01F9">
        <w:t xml:space="preserve">  </w:t>
      </w:r>
      <w:r w:rsidR="00317E41">
        <w:t>We affirm the Bureau</w:t>
      </w:r>
      <w:r w:rsidR="0028673F">
        <w:t>’s denial</w:t>
      </w:r>
      <w:r w:rsidR="00816E40">
        <w:t>,</w:t>
      </w:r>
      <w:r w:rsidR="00317E41">
        <w:t xml:space="preserve"> </w:t>
      </w:r>
      <w:r w:rsidR="00816E40">
        <w:t>as</w:t>
      </w:r>
      <w:r w:rsidR="001F2B9B">
        <w:t xml:space="preserve"> discussed below</w:t>
      </w:r>
      <w:r w:rsidR="00CC6EBB">
        <w:t>.</w:t>
      </w:r>
      <w:r w:rsidR="00623356">
        <w:t xml:space="preserve"> </w:t>
      </w:r>
    </w:p>
    <w:p w:rsidR="00CA774B" w:rsidRDefault="00927EF5" w:rsidP="00633498">
      <w:pPr>
        <w:pStyle w:val="ParaNum"/>
      </w:pPr>
      <w:r>
        <w:t xml:space="preserve">Pursuant to </w:t>
      </w:r>
      <w:r w:rsidR="00F4638B">
        <w:t>Section 399B</w:t>
      </w:r>
      <w:r w:rsidR="000F46DB">
        <w:t xml:space="preserve"> of </w:t>
      </w:r>
      <w:r>
        <w:t>the Communications Act of 1934, as amended (the “Act”)</w:t>
      </w:r>
      <w:r w:rsidR="005809A1" w:rsidRPr="005809A1">
        <w:rPr>
          <w:rStyle w:val="FootnoteReference"/>
        </w:rPr>
        <w:t xml:space="preserve"> </w:t>
      </w:r>
      <w:r w:rsidR="00EB4F7C">
        <w:t xml:space="preserve"> and Section 73.503(d) of the Commission’s rules (the “Rules”)</w:t>
      </w:r>
      <w:r w:rsidR="00AA4783">
        <w:t>,</w:t>
      </w:r>
      <w:r w:rsidR="00EB4F7C">
        <w:t xml:space="preserve"> NCE radio stations</w:t>
      </w:r>
      <w:r>
        <w:t xml:space="preserve"> may not air </w:t>
      </w:r>
      <w:r w:rsidR="00E476A2">
        <w:t>advertisement</w:t>
      </w:r>
      <w:r w:rsidR="00EC64F8">
        <w:t>s</w:t>
      </w:r>
      <w:r w:rsidR="005809A1">
        <w:t>,</w:t>
      </w:r>
      <w:r>
        <w:t xml:space="preserve"> </w:t>
      </w:r>
      <w:r w:rsidR="00EB4F7C">
        <w:rPr>
          <w:i/>
        </w:rPr>
        <w:t xml:space="preserve">i.e., </w:t>
      </w:r>
      <w:r w:rsidR="00EB4F7C">
        <w:t>promotiona</w:t>
      </w:r>
      <w:r w:rsidR="00BB0B08">
        <w:t>l announcement</w:t>
      </w:r>
      <w:r w:rsidR="00F113B3">
        <w:t>s</w:t>
      </w:r>
      <w:r w:rsidR="00BB0B08">
        <w:t xml:space="preserve"> on behalf of for-</w:t>
      </w:r>
      <w:r w:rsidR="00360EA7">
        <w:t xml:space="preserve">profit entities </w:t>
      </w:r>
      <w:r w:rsidRPr="00927EF5">
        <w:t xml:space="preserve">in exchange for </w:t>
      </w:r>
      <w:r w:rsidR="00E476A2">
        <w:t>any remuneration</w:t>
      </w:r>
      <w:r w:rsidR="00EB4F7C">
        <w:t>.</w:t>
      </w:r>
      <w:r w:rsidR="005809A1" w:rsidRPr="005809A1">
        <w:rPr>
          <w:rStyle w:val="FootnoteReference"/>
        </w:rPr>
        <w:t xml:space="preserve"> </w:t>
      </w:r>
      <w:r w:rsidR="005809A1">
        <w:rPr>
          <w:rStyle w:val="FootnoteReference"/>
        </w:rPr>
        <w:footnoteReference w:id="4"/>
      </w:r>
      <w:bookmarkStart w:id="1" w:name="FN[FN8]"/>
      <w:bookmarkEnd w:id="1"/>
      <w:r w:rsidR="00F113B3">
        <w:t xml:space="preserve">  </w:t>
      </w:r>
      <w:r w:rsidR="00C83998">
        <w:t xml:space="preserve">They must, however, </w:t>
      </w:r>
      <w:r w:rsidR="00EB4F7C">
        <w:t xml:space="preserve">identify </w:t>
      </w:r>
      <w:r w:rsidR="00597B51">
        <w:t>program sponsors,</w:t>
      </w:r>
      <w:r w:rsidR="00597B51">
        <w:rPr>
          <w:rStyle w:val="FootnoteReference"/>
        </w:rPr>
        <w:footnoteReference w:id="5"/>
      </w:r>
      <w:r w:rsidR="00C574B0">
        <w:t xml:space="preserve"> </w:t>
      </w:r>
      <w:r w:rsidR="005D03A0">
        <w:t xml:space="preserve">and </w:t>
      </w:r>
      <w:r w:rsidR="003F6DB8">
        <w:t xml:space="preserve">pursuant to guidelines adopted in </w:t>
      </w:r>
      <w:r w:rsidR="00CB63B4">
        <w:t xml:space="preserve">the </w:t>
      </w:r>
      <w:r w:rsidR="004B59E3">
        <w:t>early 1980’s</w:t>
      </w:r>
      <w:r w:rsidR="003F6DB8">
        <w:t xml:space="preserve">, </w:t>
      </w:r>
      <w:r w:rsidR="003C4D80">
        <w:t xml:space="preserve">can </w:t>
      </w:r>
      <w:r w:rsidR="00F27D62">
        <w:t>enhance th</w:t>
      </w:r>
      <w:r w:rsidR="007F1124">
        <w:t xml:space="preserve">at identification with </w:t>
      </w:r>
      <w:r w:rsidR="007568C5">
        <w:t>a contributor</w:t>
      </w:r>
      <w:r w:rsidR="00AA4783">
        <w:t xml:space="preserve">’s </w:t>
      </w:r>
      <w:r w:rsidR="007568C5">
        <w:t>slogan</w:t>
      </w:r>
      <w:r w:rsidR="006345AD">
        <w:t xml:space="preserve">, </w:t>
      </w:r>
      <w:r w:rsidR="00BF1192">
        <w:t>location</w:t>
      </w:r>
      <w:r w:rsidR="007568C5">
        <w:t>, value-neutral description</w:t>
      </w:r>
      <w:r w:rsidR="001E1392">
        <w:t xml:space="preserve"> of products, </w:t>
      </w:r>
      <w:r w:rsidR="006345AD">
        <w:t xml:space="preserve">and </w:t>
      </w:r>
      <w:r w:rsidR="001E1392">
        <w:t xml:space="preserve">trade names, </w:t>
      </w:r>
      <w:r w:rsidR="00841558">
        <w:t xml:space="preserve">provided that this material </w:t>
      </w:r>
      <w:r w:rsidR="006345AD">
        <w:t>serves to identify rather than to pr</w:t>
      </w:r>
      <w:r w:rsidR="00CA774B">
        <w:t>o</w:t>
      </w:r>
      <w:r w:rsidR="006345AD">
        <w:t>mote.</w:t>
      </w:r>
      <w:r w:rsidR="001E1392">
        <w:rPr>
          <w:rStyle w:val="FootnoteReference"/>
        </w:rPr>
        <w:footnoteReference w:id="6"/>
      </w:r>
      <w:r w:rsidR="00DC3A64">
        <w:t xml:space="preserve">  </w:t>
      </w:r>
      <w:r w:rsidR="004D2323">
        <w:t>Other information continues to be banned, including</w:t>
      </w:r>
      <w:r w:rsidR="00DC3A64">
        <w:t xml:space="preserve"> </w:t>
      </w:r>
      <w:r w:rsidR="00E6367F" w:rsidRPr="00AF0EE7">
        <w:t xml:space="preserve">comparative or qualitative descriptions, price </w:t>
      </w:r>
      <w:r w:rsidR="00734865">
        <w:t>information, calls to action, and</w:t>
      </w:r>
      <w:r w:rsidR="00E6367F" w:rsidRPr="00AF0EE7">
        <w:t xml:space="preserve"> inducements to buy, sell, rent or lease</w:t>
      </w:r>
      <w:bookmarkStart w:id="2" w:name="FN[FN11]"/>
      <w:bookmarkEnd w:id="2"/>
      <w:r w:rsidR="004D2323">
        <w:t xml:space="preserve">, because such material is </w:t>
      </w:r>
      <w:r w:rsidR="004D2323">
        <w:lastRenderedPageBreak/>
        <w:t>promotional.</w:t>
      </w:r>
      <w:r w:rsidR="00E6367F">
        <w:rPr>
          <w:rStyle w:val="FootnoteReference"/>
        </w:rPr>
        <w:footnoteReference w:id="7"/>
      </w:r>
      <w:r w:rsidR="00E6367F">
        <w:rPr>
          <w:vertAlign w:val="superscript"/>
        </w:rPr>
        <w:t xml:space="preserve"> </w:t>
      </w:r>
      <w:r w:rsidR="00E6367F">
        <w:t xml:space="preserve"> </w:t>
      </w:r>
      <w:r w:rsidR="00E6367F" w:rsidRPr="00AF0EE7">
        <w:t> </w:t>
      </w:r>
      <w:r w:rsidR="00E6367F">
        <w:t xml:space="preserve"> </w:t>
      </w:r>
      <w:r w:rsidR="001702BC">
        <w:t>These limits are intended to remove</w:t>
      </w:r>
      <w:r w:rsidR="002F3094">
        <w:t xml:space="preserve"> </w:t>
      </w:r>
      <w:r w:rsidR="00824243">
        <w:t>NCE stations from the</w:t>
      </w:r>
      <w:r w:rsidR="001B0829">
        <w:t xml:space="preserve"> market pressures under which co</w:t>
      </w:r>
      <w:r w:rsidR="00824243">
        <w:t xml:space="preserve">mmercial broadcasters operate, and </w:t>
      </w:r>
      <w:r w:rsidR="002F3094">
        <w:t xml:space="preserve">to </w:t>
      </w:r>
      <w:r w:rsidR="00824243">
        <w:t xml:space="preserve">retain their </w:t>
      </w:r>
      <w:r w:rsidR="00FF6E30">
        <w:t>essential character</w:t>
      </w:r>
      <w:r w:rsidR="00F42BC7">
        <w:t>,</w:t>
      </w:r>
      <w:r w:rsidR="00FF6E30">
        <w:t xml:space="preserve"> </w:t>
      </w:r>
      <w:r w:rsidR="00133BA5">
        <w:t>free from extraneous influence and control</w:t>
      </w:r>
      <w:r w:rsidR="00FF6E30">
        <w:t>.</w:t>
      </w:r>
      <w:r w:rsidR="009E6E8A">
        <w:rPr>
          <w:rStyle w:val="FootnoteReference"/>
        </w:rPr>
        <w:footnoteReference w:id="8"/>
      </w:r>
      <w:r w:rsidR="00FF6E30">
        <w:t xml:space="preserve"> </w:t>
      </w:r>
      <w:r w:rsidR="00213840">
        <w:t xml:space="preserve"> Addition</w:t>
      </w:r>
      <w:r w:rsidR="006B2563">
        <w:t xml:space="preserve">al </w:t>
      </w:r>
      <w:r w:rsidR="00213840">
        <w:t xml:space="preserve">provisions </w:t>
      </w:r>
      <w:r w:rsidR="00B33A92">
        <w:t xml:space="preserve">of the Act and Rules </w:t>
      </w:r>
      <w:r w:rsidR="006B2563">
        <w:t>allow for</w:t>
      </w:r>
      <w:r w:rsidR="00213840">
        <w:t xml:space="preserve"> the temporary use of spectrum for technical experimentation,</w:t>
      </w:r>
      <w:r w:rsidR="00213840">
        <w:rPr>
          <w:rStyle w:val="FootnoteReference"/>
        </w:rPr>
        <w:footnoteReference w:id="9"/>
      </w:r>
      <w:r w:rsidR="00213840">
        <w:t xml:space="preserve"> and the Commis</w:t>
      </w:r>
      <w:r w:rsidR="00371CE0">
        <w:t xml:space="preserve">sion has, on </w:t>
      </w:r>
      <w:r w:rsidR="00B86612">
        <w:t xml:space="preserve">rare occasions </w:t>
      </w:r>
      <w:r w:rsidR="001550E3">
        <w:t xml:space="preserve">authorized </w:t>
      </w:r>
      <w:r w:rsidR="00B86612">
        <w:t xml:space="preserve">on a waiver basis </w:t>
      </w:r>
      <w:r w:rsidR="008D0D55">
        <w:t xml:space="preserve">non-technical </w:t>
      </w:r>
      <w:r w:rsidR="001550E3">
        <w:t xml:space="preserve">experiments </w:t>
      </w:r>
      <w:r w:rsidR="0025765C">
        <w:t xml:space="preserve">including one </w:t>
      </w:r>
      <w:r w:rsidR="00AE2C4D">
        <w:t xml:space="preserve">to permit </w:t>
      </w:r>
      <w:r w:rsidR="001550E3">
        <w:t xml:space="preserve">advertising </w:t>
      </w:r>
      <w:r w:rsidR="00755727">
        <w:t xml:space="preserve">on </w:t>
      </w:r>
      <w:r w:rsidR="0025765C">
        <w:t>spectrum reserved for NCE use</w:t>
      </w:r>
      <w:r w:rsidR="00E76718">
        <w:t>, at Congress’s specific direction</w:t>
      </w:r>
      <w:r w:rsidR="0025765C">
        <w:t>.</w:t>
      </w:r>
      <w:r w:rsidR="00213840">
        <w:t xml:space="preserve">  </w:t>
      </w:r>
    </w:p>
    <w:p w:rsidR="00DD280E" w:rsidRDefault="007241B7" w:rsidP="00633498">
      <w:pPr>
        <w:pStyle w:val="ParaNum"/>
      </w:pPr>
      <w:r>
        <w:t>Maricopa</w:t>
      </w:r>
      <w:r w:rsidR="00547A26">
        <w:t xml:space="preserve"> </w:t>
      </w:r>
      <w:r w:rsidR="002102B7">
        <w:t>request</w:t>
      </w:r>
      <w:r w:rsidR="00547A26">
        <w:t xml:space="preserve">ed </w:t>
      </w:r>
      <w:r w:rsidR="00CA52A1">
        <w:t xml:space="preserve">experimental </w:t>
      </w:r>
      <w:r w:rsidR="002102B7">
        <w:t xml:space="preserve">authority to </w:t>
      </w:r>
      <w:r w:rsidR="00CA790D">
        <w:t xml:space="preserve">study </w:t>
      </w:r>
      <w:r w:rsidR="006C2175">
        <w:t xml:space="preserve">the effects of </w:t>
      </w:r>
      <w:r w:rsidR="007E075E">
        <w:t xml:space="preserve">enhancing its </w:t>
      </w:r>
      <w:r w:rsidR="002102B7">
        <w:t xml:space="preserve">underwriting </w:t>
      </w:r>
      <w:r w:rsidR="00C95EE5">
        <w:t>acknowledg</w:t>
      </w:r>
      <w:r w:rsidR="00B82F40">
        <w:t>ments to</w:t>
      </w:r>
      <w:r w:rsidR="002102B7">
        <w:t xml:space="preserve"> </w:t>
      </w:r>
      <w:r w:rsidR="006C2175">
        <w:t>inclu</w:t>
      </w:r>
      <w:r w:rsidR="00B82F40">
        <w:t>de</w:t>
      </w:r>
      <w:r w:rsidR="006C2175">
        <w:t>: (1) interest</w:t>
      </w:r>
      <w:r w:rsidR="00B1762F">
        <w:t xml:space="preserve"> rates; (2) </w:t>
      </w:r>
      <w:r w:rsidR="006C2175">
        <w:t>sales</w:t>
      </w:r>
      <w:r w:rsidR="0065476B">
        <w:t>, discounts,</w:t>
      </w:r>
      <w:r w:rsidR="006C2175">
        <w:t xml:space="preserve"> and special events; and (3) qualitative adjectives based in fact.</w:t>
      </w:r>
      <w:r w:rsidR="006C2175">
        <w:rPr>
          <w:rStyle w:val="FootnoteReference"/>
        </w:rPr>
        <w:footnoteReference w:id="10"/>
      </w:r>
      <w:r w:rsidR="006C2175">
        <w:t xml:space="preserve"> </w:t>
      </w:r>
      <w:r w:rsidR="004F134E">
        <w:t xml:space="preserve">  </w:t>
      </w:r>
      <w:r w:rsidR="00B1762F">
        <w:t>It</w:t>
      </w:r>
      <w:r w:rsidR="006900FB">
        <w:t xml:space="preserve"> maintains that its</w:t>
      </w:r>
      <w:r w:rsidR="002102B7">
        <w:t xml:space="preserve"> proposed </w:t>
      </w:r>
      <w:r w:rsidR="00CA790D">
        <w:t xml:space="preserve">three-year demonstration project </w:t>
      </w:r>
      <w:r w:rsidR="00B82F40">
        <w:t xml:space="preserve">would </w:t>
      </w:r>
      <w:r w:rsidR="004F134E">
        <w:t xml:space="preserve">gather data </w:t>
      </w:r>
      <w:r w:rsidR="00B2678A">
        <w:t xml:space="preserve">to ascertain </w:t>
      </w:r>
      <w:r w:rsidR="00E8155A">
        <w:t xml:space="preserve">whether </w:t>
      </w:r>
      <w:r w:rsidR="004F134E">
        <w:t xml:space="preserve">such </w:t>
      </w:r>
      <w:r w:rsidR="00912FE4">
        <w:t xml:space="preserve">enhancements </w:t>
      </w:r>
      <w:r w:rsidR="00C95EE5">
        <w:t>could</w:t>
      </w:r>
      <w:r w:rsidR="004F134E">
        <w:t xml:space="preserve"> </w:t>
      </w:r>
      <w:r w:rsidR="002F403F">
        <w:t>incre</w:t>
      </w:r>
      <w:r w:rsidR="00B1762F">
        <w:t xml:space="preserve">ase </w:t>
      </w:r>
      <w:r w:rsidR="002F403F">
        <w:t xml:space="preserve">revenue without harming </w:t>
      </w:r>
      <w:r w:rsidR="00912FE4">
        <w:t>program quality</w:t>
      </w:r>
      <w:r w:rsidR="002F403F">
        <w:t xml:space="preserve"> or </w:t>
      </w:r>
      <w:r w:rsidR="00912FE4">
        <w:t>listener satisfaction.</w:t>
      </w:r>
      <w:r w:rsidR="003A04F3">
        <w:t xml:space="preserve">  </w:t>
      </w:r>
      <w:r w:rsidR="004F134E">
        <w:t xml:space="preserve">Maricopa </w:t>
      </w:r>
      <w:r w:rsidR="00B82F40">
        <w:t>state</w:t>
      </w:r>
      <w:r w:rsidR="008601CD">
        <w:t xml:space="preserve">d that it </w:t>
      </w:r>
      <w:r w:rsidR="00B86612">
        <w:t xml:space="preserve">developed this experimental proposal </w:t>
      </w:r>
      <w:r w:rsidR="0005523F">
        <w:t xml:space="preserve">out of concern </w:t>
      </w:r>
      <w:r w:rsidR="00E76761">
        <w:t>about</w:t>
      </w:r>
      <w:r w:rsidR="004A31C0">
        <w:t xml:space="preserve"> </w:t>
      </w:r>
      <w:r w:rsidR="00B86612">
        <w:t xml:space="preserve">the </w:t>
      </w:r>
      <w:r w:rsidR="00C21D2B">
        <w:t xml:space="preserve">erosion of </w:t>
      </w:r>
      <w:r>
        <w:t xml:space="preserve">federal </w:t>
      </w:r>
      <w:r w:rsidR="00371CE0">
        <w:t>and state financial support</w:t>
      </w:r>
      <w:r>
        <w:t xml:space="preserve">, </w:t>
      </w:r>
      <w:r w:rsidR="007A634A">
        <w:t xml:space="preserve">and </w:t>
      </w:r>
      <w:r w:rsidR="003D5306">
        <w:t xml:space="preserve">to </w:t>
      </w:r>
      <w:r w:rsidR="0005523F">
        <w:t>facilitate future policy choices by providing</w:t>
      </w:r>
      <w:r w:rsidR="002102B7">
        <w:t xml:space="preserve"> </w:t>
      </w:r>
      <w:r w:rsidR="007A634A">
        <w:t>Congress</w:t>
      </w:r>
      <w:r w:rsidR="004E2B7A">
        <w:t xml:space="preserve">, </w:t>
      </w:r>
      <w:r w:rsidR="007A634A">
        <w:t>the Commission</w:t>
      </w:r>
      <w:r w:rsidR="004E2B7A">
        <w:t>, and other NCE broadcasters</w:t>
      </w:r>
      <w:r w:rsidR="00C21D2B">
        <w:t xml:space="preserve"> </w:t>
      </w:r>
      <w:r w:rsidR="003D5306">
        <w:t xml:space="preserve">with </w:t>
      </w:r>
      <w:r w:rsidR="007A634A">
        <w:t xml:space="preserve">empirical </w:t>
      </w:r>
      <w:r w:rsidR="003D5306">
        <w:t xml:space="preserve">data </w:t>
      </w:r>
      <w:r w:rsidR="004A31C0">
        <w:t>t</w:t>
      </w:r>
      <w:r w:rsidR="008601CD">
        <w:t xml:space="preserve">o </w:t>
      </w:r>
      <w:r w:rsidR="000E477F">
        <w:t>test</w:t>
      </w:r>
      <w:r w:rsidR="008601CD">
        <w:t xml:space="preserve"> </w:t>
      </w:r>
      <w:r w:rsidR="000E477F">
        <w:t>presumptions</w:t>
      </w:r>
      <w:r w:rsidR="008601CD">
        <w:t xml:space="preserve"> that underlie </w:t>
      </w:r>
      <w:r w:rsidR="00B82F40">
        <w:t xml:space="preserve">the </w:t>
      </w:r>
      <w:r w:rsidR="004E6E93">
        <w:t>current</w:t>
      </w:r>
      <w:r w:rsidR="00B82F40">
        <w:t xml:space="preserve"> </w:t>
      </w:r>
      <w:r w:rsidR="000E477F">
        <w:t>guidelines</w:t>
      </w:r>
      <w:r w:rsidR="003D5306">
        <w:t>.</w:t>
      </w:r>
      <w:r w:rsidR="007A634A">
        <w:rPr>
          <w:rStyle w:val="FootnoteReference"/>
        </w:rPr>
        <w:footnoteReference w:id="11"/>
      </w:r>
      <w:r w:rsidR="007A634A">
        <w:t xml:space="preserve"> </w:t>
      </w:r>
      <w:r w:rsidR="00C4205B">
        <w:t xml:space="preserve"> </w:t>
      </w:r>
    </w:p>
    <w:p w:rsidR="004A048D" w:rsidRDefault="008261E0" w:rsidP="00633498">
      <w:pPr>
        <w:pStyle w:val="ParaNum"/>
      </w:pPr>
      <w:r>
        <w:t>In denying Maricopa’s request</w:t>
      </w:r>
      <w:r w:rsidR="00025D48">
        <w:t xml:space="preserve"> for experimental authority</w:t>
      </w:r>
      <w:r>
        <w:t>, t</w:t>
      </w:r>
      <w:r w:rsidR="00347032">
        <w:t xml:space="preserve">he Bureau </w:t>
      </w:r>
      <w:r>
        <w:t>stated</w:t>
      </w:r>
      <w:r w:rsidR="00FA752C">
        <w:t xml:space="preserve"> that </w:t>
      </w:r>
      <w:r w:rsidR="00025D48">
        <w:t xml:space="preserve">such </w:t>
      </w:r>
      <w:r w:rsidR="00347032">
        <w:t xml:space="preserve">authorizations </w:t>
      </w:r>
      <w:r w:rsidR="00150D28">
        <w:t>are meant to facilitate</w:t>
      </w:r>
      <w:r w:rsidR="00347032">
        <w:t xml:space="preserve"> “technical experimentation” </w:t>
      </w:r>
      <w:r w:rsidR="0080212F">
        <w:t>and</w:t>
      </w:r>
      <w:r w:rsidR="00204915">
        <w:t xml:space="preserve"> that Maricopa had not justified </w:t>
      </w:r>
      <w:r w:rsidR="00594B96">
        <w:t>a waiver</w:t>
      </w:r>
      <w:r w:rsidR="000E6560">
        <w:t xml:space="preserve"> of that limitation</w:t>
      </w:r>
      <w:r w:rsidR="00594B96">
        <w:t xml:space="preserve"> </w:t>
      </w:r>
      <w:r w:rsidR="00B33A92">
        <w:t>for</w:t>
      </w:r>
      <w:r w:rsidR="00AF74FA">
        <w:t xml:space="preserve"> its </w:t>
      </w:r>
      <w:r w:rsidR="00CD2785">
        <w:t xml:space="preserve">non-technical </w:t>
      </w:r>
      <w:r w:rsidR="000D41C8">
        <w:t>study</w:t>
      </w:r>
      <w:r w:rsidR="00347032">
        <w:t>.</w:t>
      </w:r>
      <w:r w:rsidR="00717C8E">
        <w:rPr>
          <w:rStyle w:val="FootnoteReference"/>
        </w:rPr>
        <w:footnoteReference w:id="12"/>
      </w:r>
      <w:r w:rsidR="00347032">
        <w:t xml:space="preserve">  </w:t>
      </w:r>
      <w:r w:rsidR="00025D48">
        <w:t xml:space="preserve">The Bureau also denied </w:t>
      </w:r>
      <w:r w:rsidR="008A6D61">
        <w:t xml:space="preserve">Maricopa’s </w:t>
      </w:r>
      <w:r w:rsidR="00347032">
        <w:t>alte</w:t>
      </w:r>
      <w:r w:rsidR="00150D28">
        <w:t>rnat</w:t>
      </w:r>
      <w:r w:rsidR="006F0495">
        <w:t>iv</w:t>
      </w:r>
      <w:r w:rsidR="00150D28">
        <w:t>e request for a waiver</w:t>
      </w:r>
      <w:r w:rsidR="008A6D61">
        <w:t xml:space="preserve"> of </w:t>
      </w:r>
      <w:r w:rsidR="004A048D">
        <w:t>underwriting Rules</w:t>
      </w:r>
      <w:r w:rsidR="008A6D61">
        <w:t xml:space="preserve"> and policies</w:t>
      </w:r>
      <w:r w:rsidR="00150D28">
        <w:t xml:space="preserve">, </w:t>
      </w:r>
      <w:r w:rsidR="00025D48">
        <w:t>stating</w:t>
      </w:r>
      <w:r w:rsidR="003D5306">
        <w:t xml:space="preserve"> </w:t>
      </w:r>
      <w:r w:rsidR="00347032">
        <w:t xml:space="preserve">that </w:t>
      </w:r>
      <w:r w:rsidR="00025D48">
        <w:t>the propos</w:t>
      </w:r>
      <w:r w:rsidR="00340B6E">
        <w:t xml:space="preserve">al </w:t>
      </w:r>
      <w:r w:rsidR="00652D9E">
        <w:t>c</w:t>
      </w:r>
      <w:r w:rsidR="00D52856">
        <w:t xml:space="preserve">ould undermine the </w:t>
      </w:r>
      <w:r w:rsidR="00025D48">
        <w:t>Stations’ NCE purpose</w:t>
      </w:r>
      <w:r w:rsidR="00652D9E">
        <w:t xml:space="preserve">, </w:t>
      </w:r>
      <w:r w:rsidR="00B33A92">
        <w:t xml:space="preserve">and </w:t>
      </w:r>
      <w:r w:rsidR="00D52856">
        <w:t xml:space="preserve">that Maricopa’s </w:t>
      </w:r>
      <w:r w:rsidR="00347032">
        <w:t>poten</w:t>
      </w:r>
      <w:r w:rsidR="00D52856">
        <w:t xml:space="preserve">tial economic challenges </w:t>
      </w:r>
      <w:r w:rsidR="00F20214">
        <w:t xml:space="preserve">were </w:t>
      </w:r>
      <w:r w:rsidR="00347032">
        <w:t xml:space="preserve">not so unique as to </w:t>
      </w:r>
      <w:r w:rsidR="00D52856">
        <w:t xml:space="preserve">warrant a </w:t>
      </w:r>
      <w:r w:rsidR="00150D28">
        <w:t>waiver</w:t>
      </w:r>
      <w:r w:rsidR="00347032">
        <w:t>.</w:t>
      </w:r>
      <w:r w:rsidR="00150D28">
        <w:t xml:space="preserve">  </w:t>
      </w:r>
    </w:p>
    <w:p w:rsidR="00BD002F" w:rsidRDefault="00111188" w:rsidP="00633498">
      <w:pPr>
        <w:pStyle w:val="ParaNum"/>
      </w:pPr>
      <w:r>
        <w:t xml:space="preserve">On review, </w:t>
      </w:r>
      <w:r w:rsidR="00652D9E">
        <w:t>Maricopa contend</w:t>
      </w:r>
      <w:r w:rsidR="009A76C6">
        <w:t xml:space="preserve">s </w:t>
      </w:r>
      <w:r w:rsidR="00D52856">
        <w:t>that the Bureau</w:t>
      </w:r>
      <w:r w:rsidR="00E60110">
        <w:t>’s action w</w:t>
      </w:r>
      <w:r w:rsidR="007E56C3">
        <w:t>as arbitrary and capricious</w:t>
      </w:r>
      <w:r w:rsidR="007E56C3">
        <w:rPr>
          <w:rStyle w:val="FootnoteReference"/>
        </w:rPr>
        <w:footnoteReference w:id="13"/>
      </w:r>
      <w:r w:rsidR="002832BF">
        <w:t xml:space="preserve"> because </w:t>
      </w:r>
      <w:r w:rsidR="008D54AA">
        <w:t xml:space="preserve">the </w:t>
      </w:r>
      <w:r w:rsidR="002832BF">
        <w:t xml:space="preserve">conclusion that </w:t>
      </w:r>
      <w:r w:rsidR="00D52856">
        <w:t xml:space="preserve">experimental </w:t>
      </w:r>
      <w:r w:rsidR="002832BF">
        <w:t>authority pertains</w:t>
      </w:r>
      <w:r w:rsidR="00636F8B">
        <w:t xml:space="preserve"> only to </w:t>
      </w:r>
      <w:r w:rsidR="00FA752C">
        <w:t xml:space="preserve">technical matters </w:t>
      </w:r>
      <w:r w:rsidR="00D52856">
        <w:t xml:space="preserve">is inconsistent </w:t>
      </w:r>
      <w:r w:rsidR="00FA752C">
        <w:t xml:space="preserve">with </w:t>
      </w:r>
      <w:r w:rsidR="009551D7">
        <w:t>broader</w:t>
      </w:r>
      <w:r w:rsidR="00636F8B">
        <w:t xml:space="preserve"> language </w:t>
      </w:r>
      <w:r w:rsidR="003678FB">
        <w:t xml:space="preserve">in </w:t>
      </w:r>
      <w:r w:rsidR="00FA752C">
        <w:t>th</w:t>
      </w:r>
      <w:r w:rsidR="0056486E">
        <w:t>e Act</w:t>
      </w:r>
      <w:r w:rsidR="00FA752C">
        <w:t>, and</w:t>
      </w:r>
      <w:r w:rsidR="007E56C3" w:rsidRPr="007E56C3">
        <w:t xml:space="preserve"> </w:t>
      </w:r>
      <w:r w:rsidR="007E56C3">
        <w:t>with the Commi</w:t>
      </w:r>
      <w:r w:rsidR="009551D7">
        <w:t xml:space="preserve">ssion’s approval of </w:t>
      </w:r>
      <w:r w:rsidR="00073E46">
        <w:t xml:space="preserve">nontechnical </w:t>
      </w:r>
      <w:r w:rsidR="007E56C3">
        <w:t xml:space="preserve">experiments in the early 1980’s (the </w:t>
      </w:r>
      <w:r w:rsidR="007E56C3">
        <w:rPr>
          <w:i/>
        </w:rPr>
        <w:t xml:space="preserve">Expo Experiment </w:t>
      </w:r>
      <w:r w:rsidR="007E56C3">
        <w:t xml:space="preserve">and the </w:t>
      </w:r>
      <w:r w:rsidR="007E56C3">
        <w:rPr>
          <w:i/>
        </w:rPr>
        <w:t>TCAF Advertising Demonstration Program</w:t>
      </w:r>
      <w:r w:rsidR="007E56C3">
        <w:t>).</w:t>
      </w:r>
      <w:r w:rsidR="00061D57">
        <w:rPr>
          <w:rStyle w:val="FootnoteReference"/>
        </w:rPr>
        <w:footnoteReference w:id="14"/>
      </w:r>
      <w:r w:rsidR="007E56C3">
        <w:t xml:space="preserve">  </w:t>
      </w:r>
      <w:r w:rsidR="00BA07B4">
        <w:t xml:space="preserve">Maricopa </w:t>
      </w:r>
      <w:r w:rsidR="009551D7">
        <w:t xml:space="preserve">also </w:t>
      </w:r>
      <w:r w:rsidR="00E60110">
        <w:t xml:space="preserve">states that the </w:t>
      </w:r>
      <w:r w:rsidR="002A48F6">
        <w:t xml:space="preserve">Bureau’s </w:t>
      </w:r>
      <w:r w:rsidR="00E60110">
        <w:t xml:space="preserve">waiver denial </w:t>
      </w:r>
      <w:r w:rsidR="009551D7">
        <w:t xml:space="preserve">was perfunctory and </w:t>
      </w:r>
      <w:r w:rsidR="00E60110">
        <w:t>used circular reasoning</w:t>
      </w:r>
      <w:r w:rsidR="000A6EB7">
        <w:t xml:space="preserve">.  </w:t>
      </w:r>
      <w:r w:rsidR="00BA07B4">
        <w:t xml:space="preserve">It </w:t>
      </w:r>
      <w:r w:rsidR="007E56C3">
        <w:t>argu</w:t>
      </w:r>
      <w:r w:rsidR="00071487">
        <w:t>e</w:t>
      </w:r>
      <w:r w:rsidR="00E15FF6">
        <w:t xml:space="preserve">s that the Bureau </w:t>
      </w:r>
      <w:r w:rsidR="007E56C3">
        <w:t xml:space="preserve">did not </w:t>
      </w:r>
      <w:r w:rsidR="002832BF">
        <w:t xml:space="preserve">give the </w:t>
      </w:r>
      <w:r w:rsidR="00E60110">
        <w:t xml:space="preserve">waiver request a </w:t>
      </w:r>
      <w:r w:rsidR="002832BF">
        <w:t xml:space="preserve">“hard look” and may have </w:t>
      </w:r>
      <w:r w:rsidR="007161EF">
        <w:t xml:space="preserve">ignored or </w:t>
      </w:r>
      <w:r w:rsidR="00E15FF6">
        <w:t xml:space="preserve">misunderstood </w:t>
      </w:r>
      <w:r w:rsidR="00682900">
        <w:t>materi</w:t>
      </w:r>
      <w:r w:rsidR="00751F4B">
        <w:t xml:space="preserve">al facts, such as </w:t>
      </w:r>
      <w:r w:rsidR="008D54AA">
        <w:t xml:space="preserve">the </w:t>
      </w:r>
      <w:r w:rsidR="00ED45E6">
        <w:t>goal</w:t>
      </w:r>
      <w:r w:rsidR="003B0B5B">
        <w:t>s</w:t>
      </w:r>
      <w:r w:rsidR="008D54AA">
        <w:t xml:space="preserve"> and benefits of the proposal</w:t>
      </w:r>
      <w:r w:rsidR="00E15FF6">
        <w:t>.</w:t>
      </w:r>
      <w:r w:rsidR="00751F4B">
        <w:rPr>
          <w:rStyle w:val="FootnoteReference"/>
        </w:rPr>
        <w:footnoteReference w:id="15"/>
      </w:r>
      <w:r w:rsidR="00E15FF6">
        <w:t xml:space="preserve">  </w:t>
      </w:r>
      <w:r w:rsidR="00FA752C">
        <w:t xml:space="preserve">Finally, </w:t>
      </w:r>
      <w:r w:rsidR="00050BF5">
        <w:t xml:space="preserve">it </w:t>
      </w:r>
      <w:r w:rsidR="000A256C">
        <w:t xml:space="preserve">argues that </w:t>
      </w:r>
      <w:r w:rsidR="003C2E44">
        <w:t xml:space="preserve">the </w:t>
      </w:r>
      <w:r w:rsidR="000A256C">
        <w:t xml:space="preserve">Commission </w:t>
      </w:r>
      <w:r w:rsidR="003C2E44">
        <w:t xml:space="preserve">should revise the </w:t>
      </w:r>
      <w:r w:rsidR="000E6560">
        <w:t xml:space="preserve">underwriting </w:t>
      </w:r>
      <w:r w:rsidR="003C2E44">
        <w:t>policies applied by the Bureau</w:t>
      </w:r>
      <w:r w:rsidR="00F71060">
        <w:t xml:space="preserve">, which </w:t>
      </w:r>
      <w:r w:rsidR="0072721D">
        <w:t>allegedly</w:t>
      </w:r>
      <w:r w:rsidR="000F4D94">
        <w:t xml:space="preserve"> </w:t>
      </w:r>
      <w:r w:rsidR="00F71060">
        <w:t>rely</w:t>
      </w:r>
      <w:r w:rsidR="00480609">
        <w:t xml:space="preserve"> upon </w:t>
      </w:r>
      <w:r w:rsidR="007161EF">
        <w:t xml:space="preserve">old, untested </w:t>
      </w:r>
      <w:r w:rsidR="00480609">
        <w:t>p</w:t>
      </w:r>
      <w:r w:rsidR="00B473C6">
        <w:t>resumptions</w:t>
      </w:r>
      <w:r w:rsidR="00EF7EBA">
        <w:t xml:space="preserve"> </w:t>
      </w:r>
      <w:r w:rsidR="000A256C">
        <w:t>from an era politically more liberal and technologically less advanced</w:t>
      </w:r>
      <w:r w:rsidR="00480609">
        <w:t>.</w:t>
      </w:r>
      <w:r w:rsidR="00682900">
        <w:rPr>
          <w:rStyle w:val="FootnoteReference"/>
        </w:rPr>
        <w:footnoteReference w:id="16"/>
      </w:r>
      <w:r w:rsidR="000A256C">
        <w:t xml:space="preserve"> </w:t>
      </w:r>
    </w:p>
    <w:p w:rsidR="00D17263" w:rsidRDefault="005729C8" w:rsidP="00633498">
      <w:pPr>
        <w:pStyle w:val="ParaNum"/>
      </w:pPr>
      <w:r w:rsidRPr="005729C8">
        <w:t>Upon consideration of the Application for Review and the entir</w:t>
      </w:r>
      <w:r>
        <w:t xml:space="preserve">e record, we </w:t>
      </w:r>
      <w:r w:rsidR="00197C18">
        <w:t>affirm the Bureau’s denial of the waivers for the reasons stated herein</w:t>
      </w:r>
      <w:r w:rsidRPr="005729C8">
        <w:t xml:space="preserve">.   </w:t>
      </w:r>
      <w:r w:rsidR="00197C18">
        <w:t xml:space="preserve">First, although not </w:t>
      </w:r>
      <w:r w:rsidR="006B102A">
        <w:t xml:space="preserve">explicitly </w:t>
      </w:r>
      <w:r w:rsidR="00197C18">
        <w:t xml:space="preserve">discussed by the Bureau below, the Commission lacks authority to provide the relief which Maricopa seeks.  The advertising ban in Section 73.503(d) of the Rules, which Maricopa wants waived, </w:t>
      </w:r>
      <w:r w:rsidR="006900FB">
        <w:t xml:space="preserve">implements </w:t>
      </w:r>
      <w:r w:rsidR="00197C18">
        <w:t xml:space="preserve">the prohibition in Section 399B of the Act.  </w:t>
      </w:r>
      <w:r w:rsidR="00197C18">
        <w:rPr>
          <w:szCs w:val="22"/>
        </w:rPr>
        <w:t xml:space="preserve"> </w:t>
      </w:r>
      <w:r w:rsidR="005140C8">
        <w:rPr>
          <w:szCs w:val="22"/>
        </w:rPr>
        <w:t xml:space="preserve">Section 73.503(d) </w:t>
      </w:r>
      <w:r w:rsidR="00197C18" w:rsidRPr="00E91581">
        <w:t xml:space="preserve">and </w:t>
      </w:r>
      <w:r w:rsidR="00370066" w:rsidRPr="00E91581">
        <w:t>re</w:t>
      </w:r>
      <w:r w:rsidR="00197C18" w:rsidRPr="00E91581">
        <w:t>l</w:t>
      </w:r>
      <w:r w:rsidR="00370066" w:rsidRPr="00E91581">
        <w:t>a</w:t>
      </w:r>
      <w:r w:rsidR="00197C18" w:rsidRPr="00E91581">
        <w:t>ted Commission policies are carefully calibrated to avoid stations’ running afoul of the statutory prohibition on promotional announcements</w:t>
      </w:r>
      <w:r w:rsidR="00EE6E90" w:rsidRPr="00E91581">
        <w:rPr>
          <w:rStyle w:val="FootnoteReference"/>
        </w:rPr>
        <w:footnoteReference w:id="17"/>
      </w:r>
      <w:r w:rsidR="00197C18" w:rsidRPr="00E91581">
        <w:t xml:space="preserve"> on behalf of for-profit entities.</w:t>
      </w:r>
      <w:r w:rsidR="00197C18" w:rsidRPr="00E91581">
        <w:rPr>
          <w:rStyle w:val="FootnoteReference"/>
        </w:rPr>
        <w:footnoteReference w:id="18"/>
      </w:r>
      <w:r w:rsidR="00197C18" w:rsidRPr="00E91581">
        <w:t xml:space="preserve">  </w:t>
      </w:r>
      <w:r w:rsidR="00B95AB1" w:rsidRPr="005F37BF">
        <w:t>The rule and policies thus help ensure that NCE licensees do not cross the line between acceptable underwriting announcements and statutorily prohibited advertisements</w:t>
      </w:r>
      <w:r w:rsidR="00B95AB1">
        <w:rPr>
          <w:color w:val="1F497D"/>
        </w:rPr>
        <w:t xml:space="preserve">.  </w:t>
      </w:r>
      <w:r w:rsidR="00EE6E90" w:rsidRPr="00E91581">
        <w:t xml:space="preserve">While Maricopa downplays the </w:t>
      </w:r>
      <w:r w:rsidR="00CB74A6">
        <w:t>magnitude</w:t>
      </w:r>
      <w:r w:rsidR="00CB74A6" w:rsidRPr="00E91581">
        <w:t xml:space="preserve"> </w:t>
      </w:r>
      <w:r w:rsidR="00EE6E90" w:rsidRPr="00E91581">
        <w:t xml:space="preserve">of </w:t>
      </w:r>
      <w:r w:rsidR="00066D2F">
        <w:t xml:space="preserve">the </w:t>
      </w:r>
      <w:r w:rsidR="00822704">
        <w:t>underwriting enhancements</w:t>
      </w:r>
      <w:r w:rsidR="003C64B2">
        <w:t xml:space="preserve"> it proposes to air</w:t>
      </w:r>
      <w:r w:rsidR="00066D2F">
        <w:t xml:space="preserve">, saying that the material </w:t>
      </w:r>
      <w:r w:rsidR="005E7768">
        <w:t>cannot</w:t>
      </w:r>
      <w:r w:rsidR="00EE6E90" w:rsidRPr="00E91581">
        <w:t xml:space="preserve"> </w:t>
      </w:r>
      <w:r w:rsidR="00632217">
        <w:t>“</w:t>
      </w:r>
      <w:r w:rsidR="005E7768">
        <w:t xml:space="preserve">be deemed </w:t>
      </w:r>
      <w:r w:rsidR="00632217">
        <w:t>true commercial advertising”</w:t>
      </w:r>
      <w:r w:rsidR="005E7768">
        <w:t xml:space="preserve"> </w:t>
      </w:r>
      <w:r w:rsidR="00D71EB1">
        <w:t>because it</w:t>
      </w:r>
      <w:r w:rsidR="00632217">
        <w:t xml:space="preserve"> </w:t>
      </w:r>
      <w:r w:rsidR="00EE6E90" w:rsidRPr="00E91581">
        <w:t>mere</w:t>
      </w:r>
      <w:r w:rsidR="00632217">
        <w:t>ly</w:t>
      </w:r>
      <w:r w:rsidR="00EE6E90" w:rsidRPr="00E91581">
        <w:t xml:space="preserve"> “</w:t>
      </w:r>
      <w:r w:rsidR="005E7768">
        <w:t>pushes</w:t>
      </w:r>
      <w:r w:rsidR="00632217">
        <w:t xml:space="preserve"> the envelope slightly</w:t>
      </w:r>
      <w:r w:rsidR="00EE6E90" w:rsidRPr="00E91581">
        <w:t>”</w:t>
      </w:r>
      <w:r w:rsidR="006723ED">
        <w:rPr>
          <w:rStyle w:val="FootnoteReference"/>
        </w:rPr>
        <w:footnoteReference w:id="19"/>
      </w:r>
      <w:r w:rsidR="00EE6E90" w:rsidRPr="00E91581">
        <w:t xml:space="preserve"> </w:t>
      </w:r>
      <w:r w:rsidR="00197C18" w:rsidRPr="00E91581">
        <w:t xml:space="preserve">we </w:t>
      </w:r>
      <w:r w:rsidR="00A83A5F">
        <w:t xml:space="preserve">find </w:t>
      </w:r>
      <w:r w:rsidR="003D4F3D">
        <w:t>n</w:t>
      </w:r>
      <w:r w:rsidR="00D71EB1">
        <w:t xml:space="preserve">evertheless that </w:t>
      </w:r>
      <w:r w:rsidR="00FB6A0B">
        <w:t>Maricopa’s propos</w:t>
      </w:r>
      <w:r w:rsidR="00066D2F">
        <w:t xml:space="preserve">al would </w:t>
      </w:r>
      <w:r w:rsidR="00EE6E90" w:rsidRPr="00E91581">
        <w:t xml:space="preserve">cross the </w:t>
      </w:r>
      <w:r w:rsidR="00197C18" w:rsidRPr="00E91581">
        <w:t>line</w:t>
      </w:r>
      <w:r w:rsidR="00EE6E90" w:rsidRPr="00E91581">
        <w:t xml:space="preserve"> </w:t>
      </w:r>
      <w:r w:rsidR="00417365">
        <w:t xml:space="preserve">established in </w:t>
      </w:r>
      <w:r w:rsidR="00EE6E90" w:rsidRPr="00E91581">
        <w:t xml:space="preserve">the statute.  </w:t>
      </w:r>
      <w:r w:rsidR="00240328" w:rsidRPr="00E91581">
        <w:t xml:space="preserve">Indeed, </w:t>
      </w:r>
      <w:r w:rsidR="005657EB">
        <w:t xml:space="preserve">the </w:t>
      </w:r>
      <w:r w:rsidR="00E76718">
        <w:t>agency</w:t>
      </w:r>
      <w:r w:rsidR="0003513E">
        <w:t xml:space="preserve"> </w:t>
      </w:r>
      <w:r w:rsidR="005657EB">
        <w:t xml:space="preserve">has issued </w:t>
      </w:r>
      <w:r w:rsidR="00240328" w:rsidRPr="00E91581">
        <w:t xml:space="preserve">numerous </w:t>
      </w:r>
      <w:r w:rsidR="005657EB">
        <w:t xml:space="preserve">decisions in the </w:t>
      </w:r>
      <w:r w:rsidR="00240328" w:rsidRPr="00E91581">
        <w:t xml:space="preserve">enforcement </w:t>
      </w:r>
      <w:r w:rsidR="005657EB">
        <w:t>context</w:t>
      </w:r>
      <w:r w:rsidR="00240328" w:rsidRPr="00E91581">
        <w:t xml:space="preserve"> </w:t>
      </w:r>
      <w:r w:rsidR="0051347B">
        <w:t xml:space="preserve">holding that </w:t>
      </w:r>
      <w:r w:rsidR="00240328" w:rsidRPr="00E91581">
        <w:t xml:space="preserve">the types of </w:t>
      </w:r>
      <w:r w:rsidR="0051347B">
        <w:t xml:space="preserve">underwriting </w:t>
      </w:r>
      <w:r w:rsidR="00240328" w:rsidRPr="00E91581">
        <w:t xml:space="preserve">announcements Maricopa proposes, </w:t>
      </w:r>
      <w:r w:rsidR="00240328" w:rsidRPr="00E91581">
        <w:rPr>
          <w:i/>
        </w:rPr>
        <w:t xml:space="preserve">e.g., </w:t>
      </w:r>
      <w:r w:rsidR="00AD3EFF">
        <w:t xml:space="preserve">those including information about </w:t>
      </w:r>
      <w:r w:rsidR="00197C18" w:rsidRPr="00E91581">
        <w:t>sales/discounts/special events and “qualitative adjectives” th</w:t>
      </w:r>
      <w:r w:rsidR="00240328" w:rsidRPr="00E91581">
        <w:t xml:space="preserve">at are “factually-based,” </w:t>
      </w:r>
      <w:r w:rsidR="00197C18" w:rsidRPr="00E91581">
        <w:t xml:space="preserve">violate not only the rules but also </w:t>
      </w:r>
      <w:r w:rsidR="00D14953">
        <w:t xml:space="preserve">Section 399B of </w:t>
      </w:r>
      <w:r w:rsidR="00197C18" w:rsidRPr="00E91581">
        <w:t>the</w:t>
      </w:r>
      <w:r w:rsidR="00D14953">
        <w:t xml:space="preserve"> Act</w:t>
      </w:r>
      <w:r w:rsidR="00240328" w:rsidRPr="00E91581">
        <w:t>.</w:t>
      </w:r>
      <w:r w:rsidR="00240328" w:rsidRPr="00E91581">
        <w:rPr>
          <w:rStyle w:val="FootnoteReference"/>
        </w:rPr>
        <w:footnoteReference w:id="20"/>
      </w:r>
      <w:r w:rsidR="00240328" w:rsidRPr="00E91581">
        <w:t xml:space="preserve">  </w:t>
      </w:r>
    </w:p>
    <w:p w:rsidR="007B3B35" w:rsidRDefault="00197C18" w:rsidP="00633498">
      <w:pPr>
        <w:pStyle w:val="ParaNum"/>
      </w:pPr>
      <w:r w:rsidRPr="00197C18">
        <w:t>Maricopa</w:t>
      </w:r>
      <w:r w:rsidR="00EB7285">
        <w:t>’s original request to conduct its proposed experiment</w:t>
      </w:r>
      <w:r w:rsidRPr="00197C18">
        <w:t xml:space="preserve"> expressly recognized that the Commission</w:t>
      </w:r>
      <w:r w:rsidRPr="00EE6E90">
        <w:t xml:space="preserve"> lacks authority to waive the statute, and claimed only to be seeking “suspend[ed] enforcement” of Section 399B.</w:t>
      </w:r>
      <w:r w:rsidRPr="00EE6E90">
        <w:rPr>
          <w:rStyle w:val="FootnoteReference"/>
          <w:sz w:val="22"/>
          <w:szCs w:val="22"/>
        </w:rPr>
        <w:footnoteReference w:id="21"/>
      </w:r>
      <w:r w:rsidRPr="00EE6E90">
        <w:t xml:space="preserve">  However, </w:t>
      </w:r>
      <w:r w:rsidR="00133DE0">
        <w:t>M</w:t>
      </w:r>
      <w:r w:rsidRPr="00EE6E90">
        <w:t>aricopa</w:t>
      </w:r>
      <w:r w:rsidRPr="00240328">
        <w:t xml:space="preserve"> cited no legal basis upon which the Commission could so abstain</w:t>
      </w:r>
      <w:r w:rsidR="004F7E5F">
        <w:t xml:space="preserve">, and Maricopa’s Application </w:t>
      </w:r>
      <w:r w:rsidR="00EB7285">
        <w:t xml:space="preserve">for Review </w:t>
      </w:r>
      <w:r w:rsidR="004F7E5F">
        <w:t>states only that Maricopa is not seeking a waiver of the statute but rather a waiver of the Commission’s rules</w:t>
      </w:r>
      <w:r w:rsidRPr="00240328">
        <w:t>.</w:t>
      </w:r>
      <w:r w:rsidR="004F7E5F">
        <w:rPr>
          <w:rStyle w:val="FootnoteReference"/>
        </w:rPr>
        <w:footnoteReference w:id="22"/>
      </w:r>
      <w:r w:rsidRPr="00240328">
        <w:t xml:space="preserve">  The Commission’s power to waive its own Rules cannot confer upon it any authority to ignore a </w:t>
      </w:r>
      <w:r w:rsidR="000E6560">
        <w:t>statute</w:t>
      </w:r>
      <w:r w:rsidRPr="00240328">
        <w:t>.</w:t>
      </w:r>
      <w:r w:rsidRPr="00240328">
        <w:rPr>
          <w:rStyle w:val="FootnoteReference"/>
          <w:sz w:val="22"/>
          <w:szCs w:val="22"/>
        </w:rPr>
        <w:footnoteReference w:id="23"/>
      </w:r>
      <w:r w:rsidRPr="00240328">
        <w:t xml:space="preserve"> </w:t>
      </w:r>
      <w:r w:rsidRPr="003201AC">
        <w:t xml:space="preserve"> While some portions of the Act contain specific language </w:t>
      </w:r>
      <w:r w:rsidRPr="00280EAD">
        <w:t>authorizing the Commission to waive provisions thereof, the Act grants no such authority with respect to Section 399B.</w:t>
      </w:r>
      <w:r w:rsidRPr="00197C18">
        <w:rPr>
          <w:rStyle w:val="FootnoteReference"/>
          <w:sz w:val="22"/>
          <w:szCs w:val="22"/>
        </w:rPr>
        <w:footnoteReference w:id="24"/>
      </w:r>
      <w:r w:rsidR="001F5145">
        <w:t xml:space="preserve">  </w:t>
      </w:r>
      <w:r w:rsidR="00E45C2E">
        <w:t xml:space="preserve">  </w:t>
      </w:r>
      <w:r w:rsidR="00ED070D" w:rsidRPr="006A018D">
        <w:t>Nor</w:t>
      </w:r>
      <w:r w:rsidR="00ED070D" w:rsidRPr="009E03F4">
        <w:t xml:space="preserve"> </w:t>
      </w:r>
      <w:r w:rsidR="00ED070D">
        <w:t xml:space="preserve">has Congress specifically called for the proposed study, </w:t>
      </w:r>
      <w:r w:rsidR="0025268B">
        <w:t xml:space="preserve">in contrast to </w:t>
      </w:r>
      <w:r w:rsidR="00ED070D">
        <w:t xml:space="preserve">the </w:t>
      </w:r>
      <w:r w:rsidR="00ED070D">
        <w:rPr>
          <w:i/>
        </w:rPr>
        <w:t>TCAF Advertising Demonstration Program</w:t>
      </w:r>
      <w:r w:rsidR="008F4223">
        <w:t xml:space="preserve"> upon which Maricopa relies</w:t>
      </w:r>
      <w:r w:rsidR="00ED070D">
        <w:t>.</w:t>
      </w:r>
      <w:r w:rsidR="00ED070D">
        <w:rPr>
          <w:rStyle w:val="FootnoteReference"/>
        </w:rPr>
        <w:footnoteReference w:id="25"/>
      </w:r>
      <w:r w:rsidR="00ED070D">
        <w:t xml:space="preserve">  </w:t>
      </w:r>
      <w:r w:rsidR="00E97ABA">
        <w:rPr>
          <w:i/>
        </w:rPr>
        <w:t>Expo Experiment</w:t>
      </w:r>
      <w:r w:rsidR="00E97ABA">
        <w:t>, unlike the case at hand, did not implicate section 399B or the underwriting rules.</w:t>
      </w:r>
      <w:r w:rsidR="0086520A">
        <w:rPr>
          <w:rStyle w:val="FootnoteReference"/>
        </w:rPr>
        <w:footnoteReference w:id="26"/>
      </w:r>
      <w:r w:rsidR="0086520A">
        <w:rPr>
          <w:szCs w:val="22"/>
        </w:rPr>
        <w:t xml:space="preserve">  </w:t>
      </w:r>
      <w:r w:rsidR="00D86A48">
        <w:t xml:space="preserve">Accordingly, we conclude that we cannot grant Maricopa’s request because the underwriting enhancements Maricopa seeks authority to broadcast would violate the statutory prohibition against airing advertisements on NCE broadcast stations.  </w:t>
      </w:r>
      <w:r w:rsidR="009B6A2A">
        <w:t xml:space="preserve">In </w:t>
      </w:r>
      <w:r w:rsidR="00ED070D">
        <w:t>view of the foregoing, Maricopa’s request for an experimental license is moot</w:t>
      </w:r>
      <w:r w:rsidR="00280EAD">
        <w:t xml:space="preserve"> and it is </w:t>
      </w:r>
      <w:r w:rsidR="00ED070D">
        <w:t>therefore unnecessary to address Maricopa’</w:t>
      </w:r>
      <w:r w:rsidR="00280EAD">
        <w:t xml:space="preserve">s </w:t>
      </w:r>
      <w:r w:rsidR="00ED070D">
        <w:t>arguments</w:t>
      </w:r>
      <w:r w:rsidR="00280EAD">
        <w:t xml:space="preserve"> that the Bureau failed to give a hard look to Maricopa’s request for waiver of the experimental authorization rule to permit a non-technical experiment.  </w:t>
      </w:r>
    </w:p>
    <w:p w:rsidR="00625E09" w:rsidRPr="007B3B35" w:rsidRDefault="007B3B35" w:rsidP="007B3B35">
      <w:pPr>
        <w:widowControl/>
      </w:pPr>
      <w:r>
        <w:br w:type="page"/>
      </w:r>
    </w:p>
    <w:p w:rsidR="00A004F7" w:rsidRDefault="00A004F7" w:rsidP="00633498">
      <w:pPr>
        <w:pStyle w:val="ParaNum"/>
      </w:pPr>
      <w:r>
        <w:t>ACCORDINGLY, IT IS ORDERED that</w:t>
      </w:r>
      <w:r w:rsidR="005729C8">
        <w:t xml:space="preserve"> </w:t>
      </w:r>
      <w:r w:rsidR="00C74C64">
        <w:t xml:space="preserve">the Application for Review of </w:t>
      </w:r>
      <w:r w:rsidR="005729C8">
        <w:t xml:space="preserve">Maricopa </w:t>
      </w:r>
      <w:r w:rsidR="00C74C64">
        <w:t xml:space="preserve">Community College </w:t>
      </w:r>
      <w:r w:rsidR="005729C8">
        <w:t xml:space="preserve">District </w:t>
      </w:r>
      <w:r w:rsidR="004A2BF6">
        <w:t>IS DENIED</w:t>
      </w:r>
      <w:r w:rsidR="00C74C64">
        <w:t>, pursuant to</w:t>
      </w:r>
      <w:r>
        <w:t xml:space="preserve"> </w:t>
      </w:r>
      <w:r w:rsidR="00C74C64">
        <w:t>section 5(c)(5) of the Communications Act of 1934, as amended, 47 U.S.C. § 155(c)(5), and section 1.115(g) of the Commission’s rules</w:t>
      </w:r>
      <w:r w:rsidR="00E3154C">
        <w:t>, 47 C.F.R. § 1.115(g).</w:t>
      </w:r>
    </w:p>
    <w:p w:rsidR="00F8697F" w:rsidRDefault="00F8697F" w:rsidP="00F8697F">
      <w:pPr>
        <w:pStyle w:val="ParaNum"/>
        <w:numPr>
          <w:ilvl w:val="0"/>
          <w:numId w:val="0"/>
        </w:numPr>
      </w:pPr>
    </w:p>
    <w:p w:rsidR="009148F5" w:rsidRDefault="009148F5" w:rsidP="0017296B">
      <w:r>
        <w:tab/>
      </w:r>
      <w:r>
        <w:tab/>
      </w:r>
      <w:r>
        <w:tab/>
      </w:r>
      <w:r>
        <w:tab/>
      </w:r>
      <w:r>
        <w:tab/>
      </w:r>
      <w:r>
        <w:tab/>
        <w:t>FEDERAL COMMUNICATIONS COMMISSION</w:t>
      </w:r>
    </w:p>
    <w:p w:rsidR="009148F5" w:rsidRDefault="009148F5" w:rsidP="0017296B"/>
    <w:p w:rsidR="009148F5" w:rsidRDefault="009148F5" w:rsidP="0017296B"/>
    <w:p w:rsidR="009148F5" w:rsidRDefault="009148F5" w:rsidP="0017296B"/>
    <w:p w:rsidR="009148F5" w:rsidRDefault="009148F5" w:rsidP="0017296B"/>
    <w:p w:rsidR="009148F5" w:rsidRDefault="009148F5" w:rsidP="0017296B">
      <w:r>
        <w:tab/>
      </w:r>
      <w:r>
        <w:tab/>
      </w:r>
      <w:r>
        <w:tab/>
      </w:r>
      <w:r>
        <w:tab/>
      </w:r>
      <w:r>
        <w:tab/>
      </w:r>
      <w:r>
        <w:tab/>
        <w:t>Marlene H. Dortch</w:t>
      </w:r>
    </w:p>
    <w:p w:rsidR="009148F5" w:rsidRDefault="009148F5" w:rsidP="0017296B">
      <w:r>
        <w:tab/>
      </w:r>
      <w:r>
        <w:tab/>
      </w:r>
      <w:r>
        <w:tab/>
      </w:r>
      <w:r>
        <w:tab/>
      </w:r>
      <w:r>
        <w:tab/>
      </w:r>
      <w:r>
        <w:tab/>
        <w:t>Secretary</w:t>
      </w:r>
    </w:p>
    <w:p w:rsidR="00EE5274" w:rsidRDefault="00EE5274">
      <w:pPr>
        <w:widowControl/>
        <w:rPr>
          <w:b/>
        </w:rPr>
      </w:pPr>
    </w:p>
    <w:p w:rsidR="00EE5274" w:rsidRDefault="00EE5274">
      <w:pPr>
        <w:widowControl/>
        <w:rPr>
          <w:b/>
        </w:rPr>
        <w:sectPr w:rsidR="00EE5274" w:rsidSect="0055614C">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pPr>
    </w:p>
    <w:p w:rsidR="009148F5" w:rsidRDefault="009148F5" w:rsidP="009148F5">
      <w:pPr>
        <w:jc w:val="center"/>
        <w:rPr>
          <w:b/>
        </w:rPr>
      </w:pPr>
      <w:r>
        <w:rPr>
          <w:b/>
        </w:rPr>
        <w:t>CONCURRING STATEMENT OF</w:t>
      </w:r>
    </w:p>
    <w:p w:rsidR="009148F5" w:rsidRDefault="009148F5" w:rsidP="009148F5">
      <w:pPr>
        <w:jc w:val="center"/>
        <w:rPr>
          <w:b/>
        </w:rPr>
      </w:pPr>
      <w:r>
        <w:rPr>
          <w:b/>
        </w:rPr>
        <w:t>COMMISSIONER AJIT PAI</w:t>
      </w:r>
    </w:p>
    <w:p w:rsidR="009148F5" w:rsidRDefault="009148F5" w:rsidP="009148F5">
      <w:pPr>
        <w:jc w:val="center"/>
      </w:pPr>
    </w:p>
    <w:p w:rsidR="009148F5" w:rsidRDefault="009148F5" w:rsidP="009148F5">
      <w:r>
        <w:t>Re:</w:t>
      </w:r>
      <w:r>
        <w:tab/>
      </w:r>
      <w:r>
        <w:rPr>
          <w:i/>
        </w:rPr>
        <w:t>Maricopa Community College District</w:t>
      </w:r>
      <w:r w:rsidRPr="009148F5">
        <w:rPr>
          <w:i/>
        </w:rPr>
        <w:t xml:space="preserve">, Request for Experimental Authority to Relax Standards </w:t>
      </w:r>
      <w:r w:rsidRPr="009148F5">
        <w:rPr>
          <w:i/>
        </w:rPr>
        <w:tab/>
        <w:t xml:space="preserve">for Public Radio Underwriting Announcements for KJZZ(FM) and KBAQ(FM), Phoenix, </w:t>
      </w:r>
      <w:r w:rsidRPr="009148F5">
        <w:rPr>
          <w:i/>
        </w:rPr>
        <w:tab/>
        <w:t>Arizona</w:t>
      </w:r>
      <w:r>
        <w:t xml:space="preserve">, MO&amp;O, FCC No. </w:t>
      </w:r>
      <w:r w:rsidR="00EF315D">
        <w:t>14-187</w:t>
      </w:r>
    </w:p>
    <w:p w:rsidR="009148F5" w:rsidRDefault="009148F5" w:rsidP="009148F5"/>
    <w:p w:rsidR="009148F5" w:rsidRDefault="009148F5" w:rsidP="009148F5">
      <w:r>
        <w:tab/>
        <w:t>I agree with my colleagues that the Application for Review should be denied.  While I do not doubt that Maricopa Community College District’s (Maricopa’s) proposed experiment involving the Commission’s underwriting rules and policies was requested with the best of intentions, it does not meet the standard necessary to obtain a waiver.  Among other things, as the Media Bureau has pointed out, Maricopa has not presented any special circumstances that distinguish it from all other noncommercial educational FM licensees.</w:t>
      </w:r>
      <w:r>
        <w:rPr>
          <w:rStyle w:val="FootnoteReference"/>
        </w:rPr>
        <w:footnoteReference w:id="27"/>
      </w:r>
      <w:r>
        <w:t xml:space="preserve">  Moreover, any reform of our underwriting rules and policies should be handled through industry-wide proceedings, rather than granting individual licensees special dispensation to air underwriting announcements that all other licensees would not be able to broadcast.</w:t>
      </w:r>
    </w:p>
    <w:p w:rsidR="009148F5" w:rsidRDefault="009148F5" w:rsidP="009148F5">
      <w:r>
        <w:t xml:space="preserve"> </w:t>
      </w:r>
    </w:p>
    <w:p w:rsidR="009148F5" w:rsidRDefault="009148F5" w:rsidP="009148F5">
      <w:r>
        <w:tab/>
        <w:t>However, the Commission does not rest its decision on these narrow grounds.  It instead goes much further, denying the Application for Review because it finds that the types of underwriting announcements that Maricopa would like to broadcast would violate the Communications Act.</w:t>
      </w:r>
      <w:r>
        <w:rPr>
          <w:rStyle w:val="FootnoteReference"/>
        </w:rPr>
        <w:footnoteReference w:id="28"/>
      </w:r>
      <w:r>
        <w:t xml:space="preserve">  Specifically, it concludes that these announcements would constitute advertisements, which noncommercial educational stations are prohibited by statute from airing.</w:t>
      </w:r>
      <w:r>
        <w:rPr>
          <w:rStyle w:val="FootnoteReference"/>
        </w:rPr>
        <w:footnoteReference w:id="29"/>
      </w:r>
      <w:r>
        <w:t xml:space="preserve">  </w:t>
      </w:r>
    </w:p>
    <w:p w:rsidR="009148F5" w:rsidRDefault="009148F5" w:rsidP="009148F5"/>
    <w:p w:rsidR="009148F5" w:rsidRDefault="009148F5" w:rsidP="009148F5">
      <w:r>
        <w:tab/>
        <w:t xml:space="preserve">In my view, the Commission would have been better off avoiding this question of statutory interpretation.  For one thing, as explained above, the Application for Review could have (and should have) been denied for other reasons.  For another thing, today’s decision could have a broader impact on public broadcasting.  In particular, I have a hard time understanding how some of the “underwriting advertisements” that air before many of PBS’s most popular programs, such as </w:t>
      </w:r>
      <w:r>
        <w:rPr>
          <w:i/>
        </w:rPr>
        <w:t>Downton Abbey</w:t>
      </w:r>
      <w:r>
        <w:t>, are lawful if all of the “underwriting announcements” that Maricopa would like to air are statutorily prohibited.  For example, if it violates the statute for underwriting announcements to use qualitative adjectives based in fact,</w:t>
      </w:r>
      <w:r>
        <w:rPr>
          <w:rStyle w:val="FootnoteReference"/>
        </w:rPr>
        <w:footnoteReference w:id="30"/>
      </w:r>
      <w:r>
        <w:t xml:space="preserve"> how can Viking River Cruises tout its “modern river cruise vessel[s]” in a thirty-second “underwriting announcement” that obviously appears designed to entice viewers into taking a river cruise so that they can be “transported . . . to a another world, a world of dramatic landscapes, majestic castles and remarkable characters”?</w:t>
      </w:r>
      <w:r>
        <w:rPr>
          <w:rStyle w:val="FootnoteReference"/>
        </w:rPr>
        <w:footnoteReference w:id="31"/>
      </w:r>
      <w:r>
        <w:t xml:space="preserve"> </w:t>
      </w:r>
    </w:p>
    <w:p w:rsidR="009148F5" w:rsidRDefault="009148F5" w:rsidP="009148F5">
      <w:r>
        <w:tab/>
      </w:r>
    </w:p>
    <w:p w:rsidR="009148F5" w:rsidRPr="00DF332C" w:rsidRDefault="009148F5" w:rsidP="009148F5">
      <w:pPr>
        <w:pStyle w:val="ParaNum"/>
        <w:numPr>
          <w:ilvl w:val="0"/>
          <w:numId w:val="0"/>
        </w:numPr>
        <w:tabs>
          <w:tab w:val="left" w:pos="1440"/>
        </w:tabs>
        <w:spacing w:after="220"/>
      </w:pPr>
    </w:p>
    <w:sectPr w:rsidR="009148F5" w:rsidRPr="00DF332C" w:rsidSect="006E60DF">
      <w:footerReference w:type="first" r:id="rId15"/>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3E5" w:rsidRDefault="00E433E5">
      <w:pPr>
        <w:spacing w:line="20" w:lineRule="exact"/>
      </w:pPr>
    </w:p>
  </w:endnote>
  <w:endnote w:type="continuationSeparator" w:id="0">
    <w:p w:rsidR="00E433E5" w:rsidRDefault="00E433E5">
      <w:r>
        <w:t xml:space="preserve"> </w:t>
      </w:r>
    </w:p>
  </w:endnote>
  <w:endnote w:type="continuationNotice" w:id="1">
    <w:p w:rsidR="00E433E5" w:rsidRDefault="00E433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C4" w:rsidRDefault="00A532C4" w:rsidP="0055614C">
    <w:pPr>
      <w:pStyle w:val="Footer"/>
      <w:framePr w:wrap="around" w:vAnchor="text" w:hAnchor="margin" w:xAlign="center" w:y="1"/>
    </w:pPr>
    <w:r>
      <w:fldChar w:fldCharType="begin"/>
    </w:r>
    <w:r>
      <w:instrText xml:space="preserve">PAGE  </w:instrText>
    </w:r>
    <w:r>
      <w:fldChar w:fldCharType="end"/>
    </w:r>
  </w:p>
  <w:p w:rsidR="00A532C4" w:rsidRDefault="00A53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C4" w:rsidRDefault="00A532C4" w:rsidP="0055614C">
    <w:pPr>
      <w:pStyle w:val="Footer"/>
      <w:framePr w:wrap="around" w:vAnchor="text" w:hAnchor="margin" w:xAlign="center" w:y="1"/>
    </w:pPr>
    <w:r>
      <w:fldChar w:fldCharType="begin"/>
    </w:r>
    <w:r>
      <w:instrText xml:space="preserve">PAGE  </w:instrText>
    </w:r>
    <w:r>
      <w:fldChar w:fldCharType="separate"/>
    </w:r>
    <w:r w:rsidR="004210F6">
      <w:rPr>
        <w:noProof/>
      </w:rPr>
      <w:t>2</w:t>
    </w:r>
    <w:r>
      <w:rPr>
        <w:noProof/>
      </w:rPr>
      <w:fldChar w:fldCharType="end"/>
    </w:r>
  </w:p>
  <w:p w:rsidR="00A532C4" w:rsidRDefault="00A532C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C4" w:rsidRDefault="00A532C4">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DF" w:rsidRDefault="006E60DF">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3E5" w:rsidRDefault="00E433E5">
      <w:r>
        <w:separator/>
      </w:r>
    </w:p>
  </w:footnote>
  <w:footnote w:type="continuationSeparator" w:id="0">
    <w:p w:rsidR="00E433E5" w:rsidRDefault="00E433E5" w:rsidP="00C721AC">
      <w:pPr>
        <w:spacing w:before="120"/>
        <w:rPr>
          <w:sz w:val="20"/>
        </w:rPr>
      </w:pPr>
      <w:r>
        <w:rPr>
          <w:sz w:val="20"/>
        </w:rPr>
        <w:t xml:space="preserve">(Continued from previous page)  </w:t>
      </w:r>
      <w:r>
        <w:rPr>
          <w:sz w:val="20"/>
        </w:rPr>
        <w:separator/>
      </w:r>
    </w:p>
  </w:footnote>
  <w:footnote w:type="continuationNotice" w:id="1">
    <w:p w:rsidR="00E433E5" w:rsidRDefault="00E433E5" w:rsidP="00C721AC">
      <w:pPr>
        <w:jc w:val="right"/>
        <w:rPr>
          <w:sz w:val="20"/>
        </w:rPr>
      </w:pPr>
      <w:r>
        <w:rPr>
          <w:sz w:val="20"/>
        </w:rPr>
        <w:t>(continued….)</w:t>
      </w:r>
    </w:p>
  </w:footnote>
  <w:footnote w:id="2">
    <w:p w:rsidR="00A532C4" w:rsidRDefault="00A532C4">
      <w:pPr>
        <w:pStyle w:val="FootnoteText"/>
      </w:pPr>
      <w:r>
        <w:rPr>
          <w:rStyle w:val="FootnoteReference"/>
        </w:rPr>
        <w:footnoteRef/>
      </w:r>
      <w:r>
        <w:t xml:space="preserve"> Maricopa is licensee of KJZZ(FM) and co-licensee with Arizona State University of KBAQ(FM) (the “Stations”),  public broadcasting stations receiving federal funding through the Corporation for Public Broadcasting (“CPB”).  </w:t>
      </w:r>
    </w:p>
  </w:footnote>
  <w:footnote w:id="3">
    <w:p w:rsidR="00A532C4" w:rsidRPr="00995015" w:rsidRDefault="00A532C4">
      <w:pPr>
        <w:pStyle w:val="FootnoteText"/>
      </w:pPr>
      <w:r>
        <w:rPr>
          <w:rStyle w:val="FootnoteReference"/>
        </w:rPr>
        <w:footnoteRef/>
      </w:r>
      <w:r>
        <w:t xml:space="preserve"> </w:t>
      </w:r>
      <w:r>
        <w:rPr>
          <w:i/>
        </w:rPr>
        <w:t>See Ernest T. Sanchez, Esq.</w:t>
      </w:r>
      <w:r>
        <w:t>, Letter, 29 FCC Rcd 5180 (MB 2014) (“</w:t>
      </w:r>
      <w:r w:rsidRPr="004969A1">
        <w:rPr>
          <w:i/>
        </w:rPr>
        <w:t>Decision</w:t>
      </w:r>
      <w:r>
        <w:t>”); Request for Experimental Authority to Relax Standards for Public Broadcaster Underwriter Announcements at 15 (Mar. 18, 2013) (“</w:t>
      </w:r>
      <w:r>
        <w:rPr>
          <w:i/>
        </w:rPr>
        <w:t>Request</w:t>
      </w:r>
      <w:r>
        <w:t>”).</w:t>
      </w:r>
    </w:p>
  </w:footnote>
  <w:footnote w:id="4">
    <w:p w:rsidR="00A532C4" w:rsidRDefault="00A532C4" w:rsidP="005809A1">
      <w:pPr>
        <w:pStyle w:val="FootnoteText"/>
      </w:pPr>
      <w:r>
        <w:rPr>
          <w:rStyle w:val="FootnoteReference"/>
        </w:rPr>
        <w:footnoteRef/>
      </w:r>
      <w:r>
        <w:t xml:space="preserve"> 47 U.S.C. </w:t>
      </w:r>
      <w:r w:rsidRPr="00563C7F">
        <w:t>§</w:t>
      </w:r>
      <w:r>
        <w:t xml:space="preserve"> 399B; 47 C.F.R. § 73.503(d).  </w:t>
      </w:r>
      <w:r>
        <w:rPr>
          <w:i/>
        </w:rPr>
        <w:t xml:space="preserve">See also </w:t>
      </w:r>
      <w:r>
        <w:t>47 C.F.R. § 73.621(e) (comparable provision for television).</w:t>
      </w:r>
    </w:p>
  </w:footnote>
  <w:footnote w:id="5">
    <w:p w:rsidR="00A532C4" w:rsidRDefault="00A532C4" w:rsidP="00597B51">
      <w:pPr>
        <w:pStyle w:val="FootnoteText"/>
      </w:pPr>
      <w:r>
        <w:rPr>
          <w:rStyle w:val="FootnoteReference"/>
        </w:rPr>
        <w:footnoteRef/>
      </w:r>
      <w:r>
        <w:t xml:space="preserve"> </w:t>
      </w:r>
      <w:r>
        <w:rPr>
          <w:i/>
        </w:rPr>
        <w:t xml:space="preserve">See </w:t>
      </w:r>
      <w:r>
        <w:t xml:space="preserve">47 U.S.C. </w:t>
      </w:r>
      <w:r w:rsidRPr="00563C7F">
        <w:t>§</w:t>
      </w:r>
      <w:r>
        <w:t xml:space="preserve"> 317; 47 C.F.R. § 73.1212.</w:t>
      </w:r>
      <w:r w:rsidR="0018445C">
        <w:t xml:space="preserve">  </w:t>
      </w:r>
      <w:r w:rsidR="0018445C">
        <w:rPr>
          <w:snapToGrid w:val="0"/>
        </w:rPr>
        <w:t>The sponsorship identification rules require announcements only where the monetary or other consideration is provided as an inducement for the broadcast of specific programming, whereas announcements acknowledging general contributions are discretionary.  In either situation, where acknowledgments of contributions are aired, the underwriting rules apply.</w:t>
      </w:r>
    </w:p>
  </w:footnote>
  <w:footnote w:id="6">
    <w:p w:rsidR="00A532C4" w:rsidRPr="001E1392" w:rsidRDefault="00A532C4">
      <w:pPr>
        <w:pStyle w:val="FootnoteText"/>
        <w:rPr>
          <w:i/>
        </w:rPr>
      </w:pPr>
      <w:r>
        <w:rPr>
          <w:rStyle w:val="FootnoteReference"/>
        </w:rPr>
        <w:footnoteRef/>
      </w:r>
      <w:r>
        <w:t xml:space="preserve"> </w:t>
      </w:r>
      <w:r>
        <w:rPr>
          <w:i/>
        </w:rPr>
        <w:t xml:space="preserve">See Commission Policy Concerning the Noncommercial Nature of Educational Broadcast Stations, </w:t>
      </w:r>
      <w:r>
        <w:t>Third Report and Order, 97 FCC</w:t>
      </w:r>
      <w:r w:rsidR="000C0FBD">
        <w:t xml:space="preserve"> </w:t>
      </w:r>
      <w:r>
        <w:t>2d 255, 265 (1984)</w:t>
      </w:r>
      <w:r w:rsidR="007474BB">
        <w:t xml:space="preserve"> (“</w:t>
      </w:r>
      <w:r w:rsidR="007474BB">
        <w:rPr>
          <w:i/>
        </w:rPr>
        <w:t>1984 Order</w:t>
      </w:r>
      <w:r w:rsidR="007474BB">
        <w:t>”)</w:t>
      </w:r>
      <w:r>
        <w:t xml:space="preserve">, Public Notice (1986) </w:t>
      </w:r>
      <w:r w:rsidRPr="00B33A92">
        <w:rPr>
          <w:i/>
        </w:rPr>
        <w:t>republished</w:t>
      </w:r>
      <w:r>
        <w:t>, 7 FCC Rcd 827, 827-28 (1992) (“</w:t>
      </w:r>
      <w:r>
        <w:rPr>
          <w:i/>
        </w:rPr>
        <w:t>Nature PN</w:t>
      </w:r>
      <w:r>
        <w:t xml:space="preserve">”) (see </w:t>
      </w:r>
      <w:r>
        <w:rPr>
          <w:i/>
        </w:rPr>
        <w:t xml:space="preserve">Decision, </w:t>
      </w:r>
      <w:r>
        <w:t>29 FCC Rcd at 5180, n.13 for proceeding’s complete prior history).</w:t>
      </w:r>
      <w:r>
        <w:rPr>
          <w:i/>
        </w:rPr>
        <w:t xml:space="preserve"> </w:t>
      </w:r>
    </w:p>
  </w:footnote>
  <w:footnote w:id="7">
    <w:p w:rsidR="00A532C4" w:rsidRPr="00EB4613" w:rsidRDefault="00A532C4" w:rsidP="00E6367F">
      <w:pPr>
        <w:pStyle w:val="FootnoteText"/>
        <w:ind w:left="720" w:hanging="720"/>
        <w:rPr>
          <w:i/>
        </w:rPr>
      </w:pPr>
      <w:r>
        <w:rPr>
          <w:rStyle w:val="FootnoteReference"/>
        </w:rPr>
        <w:footnoteRef/>
      </w:r>
      <w:r>
        <w:t xml:space="preserve"> </w:t>
      </w:r>
      <w:r>
        <w:rPr>
          <w:i/>
        </w:rPr>
        <w:t>Nature PN</w:t>
      </w:r>
      <w:r>
        <w:t xml:space="preserve">, 7 FCC Rcd </w:t>
      </w:r>
      <w:r w:rsidR="00B86612">
        <w:t xml:space="preserve">at </w:t>
      </w:r>
      <w:r>
        <w:t>827.</w:t>
      </w:r>
    </w:p>
  </w:footnote>
  <w:footnote w:id="8">
    <w:p w:rsidR="00A532C4" w:rsidRDefault="00A532C4">
      <w:pPr>
        <w:pStyle w:val="FootnoteText"/>
      </w:pPr>
      <w:r>
        <w:rPr>
          <w:rStyle w:val="FootnoteReference"/>
        </w:rPr>
        <w:footnoteRef/>
      </w:r>
      <w:r>
        <w:t xml:space="preserve"> </w:t>
      </w:r>
      <w:r>
        <w:rPr>
          <w:i/>
        </w:rPr>
        <w:t xml:space="preserve">See Commission Policy Concerning the Noncommercial Nature of Educational Broadcast Stations, </w:t>
      </w:r>
      <w:r>
        <w:t>Second Report and Order, 86 FCC2d 141, 142 (1981) (subsequent history omitted).</w:t>
      </w:r>
    </w:p>
  </w:footnote>
  <w:footnote w:id="9">
    <w:p w:rsidR="00A532C4" w:rsidRPr="00C54D50" w:rsidRDefault="00A532C4" w:rsidP="00213840">
      <w:pPr>
        <w:pStyle w:val="FootnoteText"/>
      </w:pPr>
      <w:r>
        <w:rPr>
          <w:rStyle w:val="FootnoteReference"/>
        </w:rPr>
        <w:footnoteRef/>
      </w:r>
      <w:r>
        <w:t xml:space="preserve"> </w:t>
      </w:r>
      <w:r>
        <w:rPr>
          <w:i/>
        </w:rPr>
        <w:t xml:space="preserve">See </w:t>
      </w:r>
      <w:r>
        <w:t xml:space="preserve">47 U.S.C. </w:t>
      </w:r>
      <w:r w:rsidRPr="00563C7F">
        <w:t>§</w:t>
      </w:r>
      <w:r>
        <w:t xml:space="preserve"> 303(g); 47 C.F.R. </w:t>
      </w:r>
      <w:r w:rsidRPr="00563C7F">
        <w:t>§</w:t>
      </w:r>
      <w:r>
        <w:t xml:space="preserve"> 5.203.  At the time of Maricopa’s </w:t>
      </w:r>
      <w:r w:rsidRPr="00CA55B6">
        <w:rPr>
          <w:i/>
        </w:rPr>
        <w:t>Request</w:t>
      </w:r>
      <w:r>
        <w:t xml:space="preserve">, experimental authorizations for broadcast stations were governed by 47 C.F.R. </w:t>
      </w:r>
      <w:r w:rsidRPr="00563C7F">
        <w:t>§</w:t>
      </w:r>
      <w:r>
        <w:t xml:space="preserve"> 73.1510, but the Commission later moved the requirements to Part 5 of the Rules, which had governed all other experiments.  </w:t>
      </w:r>
      <w:r>
        <w:rPr>
          <w:i/>
        </w:rPr>
        <w:t xml:space="preserve">See Promoting Expanded Opportunities for Radio Experimentation, </w:t>
      </w:r>
      <w:r>
        <w:t>Report and Order, 28 FCC Rcd 758, 846 (2013), Order on Reconsideration, 28 FCC Rcd 8501.</w:t>
      </w:r>
    </w:p>
  </w:footnote>
  <w:footnote w:id="10">
    <w:p w:rsidR="00A532C4" w:rsidRDefault="00A532C4" w:rsidP="006C2175">
      <w:pPr>
        <w:pStyle w:val="FootnoteText"/>
      </w:pPr>
      <w:r>
        <w:rPr>
          <w:rStyle w:val="FootnoteReference"/>
        </w:rPr>
        <w:footnoteRef/>
      </w:r>
      <w:r>
        <w:t xml:space="preserve"> For example, it would announce that a bank is “offering certificates of deposit with rates up to 2.5 annual percentage yield;” that a car dealership is having a “Sale on Memorial Day;” and that others are “certified,” “accredited,” “award-winning,” “experienced,” “long-established,” or ranked.  This, Maricopa argues, is </w:t>
      </w:r>
      <w:r w:rsidR="006F7379">
        <w:t xml:space="preserve">merely </w:t>
      </w:r>
      <w:r>
        <w:t xml:space="preserve">a “gentle tweak” </w:t>
      </w:r>
      <w:r w:rsidR="006F7379">
        <w:t>to the current underwriting guidelines</w:t>
      </w:r>
      <w:r>
        <w:t xml:space="preserve">.  Application at 4. </w:t>
      </w:r>
    </w:p>
  </w:footnote>
  <w:footnote w:id="11">
    <w:p w:rsidR="00A532C4" w:rsidRPr="00EE5274" w:rsidRDefault="00A532C4">
      <w:pPr>
        <w:pStyle w:val="FootnoteText"/>
        <w:rPr>
          <w:u w:val="single"/>
        </w:rPr>
      </w:pPr>
      <w:r>
        <w:rPr>
          <w:rStyle w:val="FootnoteReference"/>
        </w:rPr>
        <w:footnoteRef/>
      </w:r>
      <w:r>
        <w:t xml:space="preserve"> </w:t>
      </w:r>
      <w:r w:rsidRPr="00D73382">
        <w:rPr>
          <w:i/>
        </w:rPr>
        <w:t>Request</w:t>
      </w:r>
      <w:r>
        <w:t xml:space="preserve"> at 3-5.  Maricopa acknowledged that there have been previous studies in 1983 and 2012, but argued that its own study would use superior methods to provide better, more empirical, and more timely information.  </w:t>
      </w:r>
      <w:r>
        <w:rPr>
          <w:i/>
        </w:rPr>
        <w:t xml:space="preserve">Id. </w:t>
      </w:r>
      <w:r>
        <w:t>at 4, 10-13, 22</w:t>
      </w:r>
      <w:r w:rsidRPr="00EE5274">
        <w:t xml:space="preserve">.  </w:t>
      </w:r>
    </w:p>
  </w:footnote>
  <w:footnote w:id="12">
    <w:p w:rsidR="00A532C4" w:rsidRPr="00BD6DC8" w:rsidRDefault="00A532C4">
      <w:pPr>
        <w:pStyle w:val="FootnoteText"/>
      </w:pPr>
      <w:r>
        <w:rPr>
          <w:rStyle w:val="FootnoteReference"/>
        </w:rPr>
        <w:footnoteRef/>
      </w:r>
      <w:r>
        <w:t xml:space="preserve"> </w:t>
      </w:r>
      <w:r>
        <w:rPr>
          <w:i/>
        </w:rPr>
        <w:t>See Decision</w:t>
      </w:r>
      <w:r>
        <w:t>, 29 FCC Rcd</w:t>
      </w:r>
      <w:r>
        <w:rPr>
          <w:i/>
        </w:rPr>
        <w:t xml:space="preserve"> </w:t>
      </w:r>
      <w:r>
        <w:t xml:space="preserve">at 5180, n.14, citing 47 C.F.R. </w:t>
      </w:r>
      <w:r w:rsidRPr="00563C7F">
        <w:t>§§</w:t>
      </w:r>
      <w:r>
        <w:t xml:space="preserve"> 5.203 and 73.1510.</w:t>
      </w:r>
    </w:p>
  </w:footnote>
  <w:footnote w:id="13">
    <w:p w:rsidR="00A532C4" w:rsidRDefault="00A532C4" w:rsidP="007E56C3">
      <w:pPr>
        <w:pStyle w:val="FootnoteText"/>
      </w:pPr>
      <w:r>
        <w:rPr>
          <w:rStyle w:val="FootnoteReference"/>
        </w:rPr>
        <w:footnoteRef/>
      </w:r>
      <w:r>
        <w:t xml:space="preserve"> 5 U.S.C. </w:t>
      </w:r>
      <w:r w:rsidRPr="0057640F">
        <w:t>§</w:t>
      </w:r>
      <w:r>
        <w:t xml:space="preserve"> 706.</w:t>
      </w:r>
    </w:p>
  </w:footnote>
  <w:footnote w:id="14">
    <w:p w:rsidR="00854D77" w:rsidRDefault="00A532C4" w:rsidP="00854D77">
      <w:pPr>
        <w:pStyle w:val="CommentText"/>
      </w:pPr>
      <w:r>
        <w:rPr>
          <w:rStyle w:val="FootnoteReference"/>
        </w:rPr>
        <w:footnoteRef/>
      </w:r>
      <w:r>
        <w:t xml:space="preserve"> </w:t>
      </w:r>
      <w:r w:rsidRPr="007D1406">
        <w:rPr>
          <w:i/>
        </w:rPr>
        <w:t xml:space="preserve">See </w:t>
      </w:r>
      <w:r w:rsidRPr="007D1406">
        <w:t xml:space="preserve">47 U.S.C. § 303(g); </w:t>
      </w:r>
      <w:r w:rsidRPr="007D1406">
        <w:rPr>
          <w:i/>
        </w:rPr>
        <w:t xml:space="preserve">International </w:t>
      </w:r>
      <w:r w:rsidR="002C2029" w:rsidRPr="007D1406">
        <w:rPr>
          <w:i/>
        </w:rPr>
        <w:t xml:space="preserve">Expo Information </w:t>
      </w:r>
      <w:r w:rsidRPr="007D1406">
        <w:rPr>
          <w:i/>
        </w:rPr>
        <w:t>Broadcasters, Inc.,</w:t>
      </w:r>
      <w:r w:rsidRPr="007D1406">
        <w:t xml:space="preserve"> 89 FCC 2d 1374 (1982) (“</w:t>
      </w:r>
      <w:r w:rsidRPr="007D1406">
        <w:rPr>
          <w:i/>
        </w:rPr>
        <w:t>Expo Experiment</w:t>
      </w:r>
      <w:r w:rsidRPr="007D1406">
        <w:t>”)</w:t>
      </w:r>
      <w:r w:rsidR="00D6056A" w:rsidRPr="007D1406">
        <w:t>(</w:t>
      </w:r>
      <w:r w:rsidR="00C90966" w:rsidRPr="000E4461">
        <w:rPr>
          <w:i/>
          <w:kern w:val="0"/>
        </w:rPr>
        <w:t>authorization</w:t>
      </w:r>
      <w:r w:rsidR="00C90966" w:rsidRPr="007D1406">
        <w:t xml:space="preserve"> of </w:t>
      </w:r>
      <w:r w:rsidR="00D6056A" w:rsidRPr="007D1406">
        <w:t>emergency and event-orient</w:t>
      </w:r>
      <w:r w:rsidR="00260A04" w:rsidRPr="007D1406">
        <w:t xml:space="preserve">ed information </w:t>
      </w:r>
      <w:r w:rsidR="00D6056A" w:rsidRPr="007D1406">
        <w:t xml:space="preserve">for 11 million people </w:t>
      </w:r>
      <w:r w:rsidR="00260A04" w:rsidRPr="007D1406">
        <w:t>at</w:t>
      </w:r>
      <w:r w:rsidR="00C90966" w:rsidRPr="007D1406">
        <w:t>tending</w:t>
      </w:r>
      <w:r w:rsidR="00260A04" w:rsidRPr="007D1406">
        <w:t xml:space="preserve"> </w:t>
      </w:r>
      <w:r w:rsidR="00D6056A" w:rsidRPr="007D1406">
        <w:t xml:space="preserve">1982 </w:t>
      </w:r>
      <w:r w:rsidR="00260A04" w:rsidRPr="007D1406">
        <w:t xml:space="preserve">World’s Fair in Knoxville, </w:t>
      </w:r>
      <w:r w:rsidR="00260A04" w:rsidRPr="00A148F0">
        <w:rPr>
          <w:kern w:val="0"/>
        </w:rPr>
        <w:t>Tennes</w:t>
      </w:r>
      <w:r w:rsidR="00D6056A" w:rsidRPr="00A148F0">
        <w:rPr>
          <w:kern w:val="0"/>
        </w:rPr>
        <w:t>s</w:t>
      </w:r>
      <w:r w:rsidR="00260A04" w:rsidRPr="00A148F0">
        <w:rPr>
          <w:kern w:val="0"/>
        </w:rPr>
        <w:t>ee</w:t>
      </w:r>
      <w:r w:rsidR="00260A04" w:rsidRPr="007D1406">
        <w:t>);</w:t>
      </w:r>
      <w:r w:rsidRPr="007D1406">
        <w:t xml:space="preserve"> Temporary Commission on Alternative Financing of Public Telecommunications (“TCAF”), Report to Congress (Oct. 1, 1983) (“</w:t>
      </w:r>
      <w:r w:rsidRPr="007D1406">
        <w:rPr>
          <w:i/>
        </w:rPr>
        <w:t>TCAF Report</w:t>
      </w:r>
      <w:r w:rsidRPr="007D1406">
        <w:t xml:space="preserve">”), Executive Summary available at </w:t>
      </w:r>
      <w:r w:rsidR="00854D77" w:rsidRPr="00025568">
        <w:t>http://www.current.org/1983/01/temporary-commission-on-alternative-financing-1983/</w:t>
      </w:r>
    </w:p>
    <w:p w:rsidR="00A148F0" w:rsidRPr="007D1406" w:rsidRDefault="00A532C4" w:rsidP="00A148F0">
      <w:pPr>
        <w:spacing w:after="120"/>
      </w:pPr>
      <w:r w:rsidRPr="007D1406">
        <w:rPr>
          <w:sz w:val="20"/>
        </w:rPr>
        <w:t xml:space="preserve">(accessed </w:t>
      </w:r>
      <w:r w:rsidR="00B76FD5" w:rsidRPr="007D1406">
        <w:rPr>
          <w:sz w:val="20"/>
        </w:rPr>
        <w:t>Sept. 2</w:t>
      </w:r>
      <w:r w:rsidR="00854D77">
        <w:rPr>
          <w:sz w:val="20"/>
        </w:rPr>
        <w:t>3</w:t>
      </w:r>
      <w:r w:rsidR="00B76FD5" w:rsidRPr="007D1406">
        <w:rPr>
          <w:sz w:val="20"/>
        </w:rPr>
        <w:t>,</w:t>
      </w:r>
      <w:r w:rsidRPr="007D1406">
        <w:rPr>
          <w:sz w:val="20"/>
        </w:rPr>
        <w:t xml:space="preserve"> 2014)</w:t>
      </w:r>
      <w:r w:rsidR="003D7C95" w:rsidRPr="007D1406">
        <w:rPr>
          <w:sz w:val="20"/>
        </w:rPr>
        <w:t xml:space="preserve"> (</w:t>
      </w:r>
      <w:r w:rsidR="007D1406" w:rsidRPr="007D1406">
        <w:rPr>
          <w:sz w:val="20"/>
        </w:rPr>
        <w:t>at Congress’s direction,</w:t>
      </w:r>
      <w:r w:rsidR="007D1406">
        <w:rPr>
          <w:sz w:val="20"/>
        </w:rPr>
        <w:t xml:space="preserve"> </w:t>
      </w:r>
      <w:r w:rsidR="006202A3" w:rsidRPr="007D1406">
        <w:rPr>
          <w:sz w:val="20"/>
        </w:rPr>
        <w:t xml:space="preserve">temporarily </w:t>
      </w:r>
      <w:r w:rsidR="003D7C95" w:rsidRPr="007D1406">
        <w:rPr>
          <w:sz w:val="20"/>
        </w:rPr>
        <w:t xml:space="preserve">permitting </w:t>
      </w:r>
      <w:r w:rsidR="006202A3" w:rsidRPr="007D1406">
        <w:rPr>
          <w:sz w:val="20"/>
        </w:rPr>
        <w:t xml:space="preserve">ten </w:t>
      </w:r>
      <w:r w:rsidR="003D7C95" w:rsidRPr="007D1406">
        <w:rPr>
          <w:sz w:val="20"/>
        </w:rPr>
        <w:t xml:space="preserve">NCE television stations </w:t>
      </w:r>
      <w:r w:rsidR="006202A3" w:rsidRPr="007D1406">
        <w:rPr>
          <w:sz w:val="20"/>
        </w:rPr>
        <w:t xml:space="preserve">to air advertising to facilitate recommendations </w:t>
      </w:r>
      <w:r w:rsidR="008607AA" w:rsidRPr="007D1406">
        <w:rPr>
          <w:sz w:val="20"/>
        </w:rPr>
        <w:t>to Congress o</w:t>
      </w:r>
      <w:r w:rsidR="006202A3" w:rsidRPr="007D1406">
        <w:rPr>
          <w:sz w:val="20"/>
        </w:rPr>
        <w:t>n alternative financing)</w:t>
      </w:r>
      <w:r w:rsidR="007D1406" w:rsidRPr="007D1406">
        <w:rPr>
          <w:sz w:val="20"/>
        </w:rPr>
        <w:t>;  Pub. L. No. 97–35, Omnibus Budget Reconciliation Act of 1981 §§ 1232-33, 95 Stat 357 (1981)</w:t>
      </w:r>
      <w:r w:rsidRPr="007D1406">
        <w:rPr>
          <w:sz w:val="20"/>
        </w:rPr>
        <w:t xml:space="preserve">.  Maricopa also relies upon a proceeding in the 1960’s allowing, on an experimental basis, a commercial station’s one-year test of an all-advertising format.  </w:t>
      </w:r>
      <w:r w:rsidRPr="007D1406">
        <w:rPr>
          <w:i/>
          <w:sz w:val="20"/>
        </w:rPr>
        <w:t xml:space="preserve">See McLendon Pacific Corp., </w:t>
      </w:r>
      <w:r w:rsidR="00981238" w:rsidRPr="007D1406">
        <w:rPr>
          <w:sz w:val="20"/>
        </w:rPr>
        <w:t xml:space="preserve">Letter, </w:t>
      </w:r>
      <w:r w:rsidRPr="007D1406">
        <w:rPr>
          <w:sz w:val="20"/>
        </w:rPr>
        <w:t>4 FCC</w:t>
      </w:r>
      <w:r w:rsidR="00A7073E">
        <w:rPr>
          <w:sz w:val="20"/>
        </w:rPr>
        <w:t xml:space="preserve"> </w:t>
      </w:r>
      <w:r w:rsidRPr="007D1406">
        <w:rPr>
          <w:sz w:val="20"/>
        </w:rPr>
        <w:t>2d 722 (1966).</w:t>
      </w:r>
    </w:p>
  </w:footnote>
  <w:footnote w:id="15">
    <w:p w:rsidR="00A532C4" w:rsidRDefault="00A532C4">
      <w:pPr>
        <w:pStyle w:val="FootnoteText"/>
      </w:pPr>
      <w:r>
        <w:rPr>
          <w:rStyle w:val="FootnoteReference"/>
        </w:rPr>
        <w:footnoteRef/>
      </w:r>
      <w:r>
        <w:t xml:space="preserve"> For example, Maricopa stresses that it is motivated by the potential de-funding of public broadcasting, not by a desire to increase its ow</w:t>
      </w:r>
      <w:r w:rsidR="00F8697F">
        <w:t>n revenue.  Application at 11.</w:t>
      </w:r>
    </w:p>
  </w:footnote>
  <w:footnote w:id="16">
    <w:p w:rsidR="00A532C4" w:rsidRPr="00682900" w:rsidRDefault="00A532C4">
      <w:pPr>
        <w:pStyle w:val="FootnoteText"/>
      </w:pPr>
      <w:r>
        <w:rPr>
          <w:rStyle w:val="FootnoteReference"/>
        </w:rPr>
        <w:footnoteRef/>
      </w:r>
      <w:r>
        <w:t xml:space="preserve"> </w:t>
      </w:r>
      <w:r>
        <w:rPr>
          <w:i/>
        </w:rPr>
        <w:t xml:space="preserve">Id. </w:t>
      </w:r>
      <w:r w:rsidR="00F8697F">
        <w:t>at 6.</w:t>
      </w:r>
    </w:p>
  </w:footnote>
  <w:footnote w:id="17">
    <w:p w:rsidR="00EE6E90" w:rsidRPr="00D01DF9" w:rsidRDefault="00EE6E90">
      <w:pPr>
        <w:pStyle w:val="FootnoteText"/>
      </w:pPr>
      <w:r w:rsidRPr="00D01DF9">
        <w:rPr>
          <w:rStyle w:val="FootnoteReference"/>
        </w:rPr>
        <w:footnoteRef/>
      </w:r>
      <w:r w:rsidRPr="00D01DF9">
        <w:t xml:space="preserve"> </w:t>
      </w:r>
      <w:r w:rsidRPr="00D7549E">
        <w:t>The rules proscribe “promotional announcements</w:t>
      </w:r>
      <w:r w:rsidR="0098381F" w:rsidRPr="00D7549E">
        <w:t>.</w:t>
      </w:r>
      <w:r w:rsidRPr="00D7549E">
        <w:t xml:space="preserve">” </w:t>
      </w:r>
      <w:r w:rsidR="007474BB" w:rsidRPr="00D7549E">
        <w:t xml:space="preserve"> </w:t>
      </w:r>
      <w:r w:rsidRPr="00D7549E">
        <w:t>47 C.F.R. §§ 73.503(d), 73.621(e)</w:t>
      </w:r>
      <w:r w:rsidR="0098381F" w:rsidRPr="00D7549E">
        <w:t>.</w:t>
      </w:r>
      <w:r w:rsidR="0024273D" w:rsidRPr="00D7549E">
        <w:t xml:space="preserve"> </w:t>
      </w:r>
      <w:r w:rsidR="0098381F" w:rsidRPr="00D7549E">
        <w:t>T</w:t>
      </w:r>
      <w:r w:rsidRPr="00D7549E">
        <w:t>he statutory definition of “advertisement” is any message or programming aired for remuneration that is intended “</w:t>
      </w:r>
      <w:r w:rsidRPr="00D7549E">
        <w:rPr>
          <w:i/>
          <w:iCs/>
        </w:rPr>
        <w:t xml:space="preserve">to promote </w:t>
      </w:r>
      <w:r w:rsidRPr="00D7549E">
        <w:t>any service, facility, or product offered by any person who is engaged in such offering for profit,</w:t>
      </w:r>
      <w:r w:rsidRPr="00D01DF9">
        <w:t xml:space="preserve">” </w:t>
      </w:r>
      <w:r w:rsidR="00C460B4" w:rsidRPr="00D01DF9">
        <w:t xml:space="preserve"> </w:t>
      </w:r>
      <w:r w:rsidRPr="00D7549E">
        <w:t>47 U.S.C. § 399B(a)(1) (emphasis added). </w:t>
      </w:r>
    </w:p>
  </w:footnote>
  <w:footnote w:id="18">
    <w:p w:rsidR="00197C18" w:rsidRPr="00D01DF9" w:rsidRDefault="00197C18">
      <w:pPr>
        <w:pStyle w:val="FootnoteText"/>
      </w:pPr>
      <w:r w:rsidRPr="00D01DF9">
        <w:rPr>
          <w:rStyle w:val="FootnoteReference"/>
        </w:rPr>
        <w:footnoteRef/>
      </w:r>
      <w:r w:rsidRPr="00D01DF9">
        <w:t xml:space="preserve"> </w:t>
      </w:r>
      <w:r w:rsidRPr="00D7549E">
        <w:rPr>
          <w:i/>
          <w:iCs/>
        </w:rPr>
        <w:t xml:space="preserve">See </w:t>
      </w:r>
      <w:r w:rsidR="001D2EBA" w:rsidRPr="00D7549E">
        <w:rPr>
          <w:i/>
          <w:iCs/>
        </w:rPr>
        <w:t xml:space="preserve">1984 Order, </w:t>
      </w:r>
      <w:r w:rsidRPr="00D7549E">
        <w:t xml:space="preserve">97 FCC 2d </w:t>
      </w:r>
      <w:r w:rsidR="001D2EBA" w:rsidRPr="00D7549E">
        <w:t>at</w:t>
      </w:r>
      <w:r w:rsidRPr="00D7549E">
        <w:t xml:space="preserve"> 256-57 (the statutory provisions closely paralleled the Commission’s underwriting rules and </w:t>
      </w:r>
      <w:r w:rsidR="00226540" w:rsidRPr="00D7549E">
        <w:t xml:space="preserve">the </w:t>
      </w:r>
      <w:r w:rsidRPr="00D7549E">
        <w:t xml:space="preserve">Commission subsequently “modified and clarified its rules and policies to conform to the Congressional mandate”) (citing </w:t>
      </w:r>
      <w:r w:rsidRPr="00D7549E">
        <w:rPr>
          <w:i/>
          <w:iCs/>
        </w:rPr>
        <w:t>Commission Policy Regarding the Noncommercial Nature of Educational Broadcast Stations</w:t>
      </w:r>
      <w:r w:rsidRPr="00D7549E">
        <w:t>, Memorandum Opinion and Order, 90 FCC 2d 895 (1982))</w:t>
      </w:r>
      <w:r w:rsidR="007D065F">
        <w:t>, and</w:t>
      </w:r>
      <w:r w:rsidRPr="00D7549E">
        <w:t xml:space="preserve"> 265 (modifying Commission rules “in accordance with” statute to relax restrictions not required by the statute). </w:t>
      </w:r>
    </w:p>
  </w:footnote>
  <w:footnote w:id="19">
    <w:p w:rsidR="006723ED" w:rsidRDefault="006723ED">
      <w:pPr>
        <w:pStyle w:val="FootnoteText"/>
      </w:pPr>
      <w:r>
        <w:rPr>
          <w:rStyle w:val="FootnoteReference"/>
        </w:rPr>
        <w:footnoteRef/>
      </w:r>
      <w:r>
        <w:t xml:space="preserve"> Application at 4.</w:t>
      </w:r>
    </w:p>
  </w:footnote>
  <w:footnote w:id="20">
    <w:p w:rsidR="00240328" w:rsidRPr="00D01DF9" w:rsidRDefault="00240328">
      <w:pPr>
        <w:pStyle w:val="FootnoteText"/>
      </w:pPr>
      <w:r w:rsidRPr="00D01DF9">
        <w:rPr>
          <w:rStyle w:val="FootnoteReference"/>
        </w:rPr>
        <w:footnoteRef/>
      </w:r>
      <w:r w:rsidRPr="00D01DF9">
        <w:t xml:space="preserve"> </w:t>
      </w:r>
      <w:r w:rsidR="003201AC" w:rsidRPr="00D7549E">
        <w:rPr>
          <w:i/>
        </w:rPr>
        <w:t>See</w:t>
      </w:r>
      <w:r w:rsidR="00C352DA">
        <w:rPr>
          <w:i/>
        </w:rPr>
        <w:t>, e.g.,</w:t>
      </w:r>
      <w:r w:rsidR="003201AC" w:rsidRPr="00D7549E">
        <w:rPr>
          <w:i/>
        </w:rPr>
        <w:t xml:space="preserve"> </w:t>
      </w:r>
      <w:r w:rsidR="005C1158">
        <w:rPr>
          <w:i/>
        </w:rPr>
        <w:t xml:space="preserve">Educational Community Radio, Inc., </w:t>
      </w:r>
      <w:r w:rsidR="005C1158">
        <w:t>Memorandum Opinion and Order and Notice of Apparent Liability, 28 FCC Rcd 5283</w:t>
      </w:r>
      <w:r w:rsidR="00D605FA">
        <w:t>, 5287</w:t>
      </w:r>
      <w:r w:rsidR="005C1158">
        <w:t xml:space="preserve"> (MB 2013)</w:t>
      </w:r>
      <w:r w:rsidR="00D605FA">
        <w:t xml:space="preserve"> (</w:t>
      </w:r>
      <w:r w:rsidR="00CE73F0">
        <w:t>announcement referencing appearance of</w:t>
      </w:r>
      <w:r w:rsidR="00D605FA">
        <w:t xml:space="preserve"> “Canada’s #1 Bluegrass Band” </w:t>
      </w:r>
      <w:r w:rsidR="00CE73F0">
        <w:t>violated ru</w:t>
      </w:r>
      <w:r w:rsidR="00F94786">
        <w:t xml:space="preserve">le and statute </w:t>
      </w:r>
      <w:r w:rsidR="00202F67">
        <w:t>and that</w:t>
      </w:r>
      <w:r w:rsidR="00F94786">
        <w:t xml:space="preserve"> statement’s </w:t>
      </w:r>
      <w:r w:rsidR="00EF5862">
        <w:t xml:space="preserve">factuality or truth </w:t>
      </w:r>
      <w:r w:rsidR="00F94786">
        <w:t xml:space="preserve">was </w:t>
      </w:r>
      <w:r w:rsidR="00403FC8">
        <w:t>i</w:t>
      </w:r>
      <w:r w:rsidR="00F94786">
        <w:t>rrelevant to determining if it wa</w:t>
      </w:r>
      <w:r w:rsidR="00403FC8">
        <w:t xml:space="preserve">s </w:t>
      </w:r>
      <w:r w:rsidR="00CE73F0">
        <w:t>p</w:t>
      </w:r>
      <w:r w:rsidR="00EF5862">
        <w:t>romotional</w:t>
      </w:r>
      <w:r w:rsidR="00D605FA">
        <w:t>)</w:t>
      </w:r>
      <w:r w:rsidR="00F15FF2">
        <w:t>;</w:t>
      </w:r>
      <w:r w:rsidR="005C1158">
        <w:t xml:space="preserve">  </w:t>
      </w:r>
      <w:r w:rsidRPr="00D7549E">
        <w:rPr>
          <w:i/>
          <w:iCs/>
        </w:rPr>
        <w:t>Independence Pub</w:t>
      </w:r>
      <w:r w:rsidR="00032C2D">
        <w:rPr>
          <w:i/>
          <w:iCs/>
        </w:rPr>
        <w:t>lic</w:t>
      </w:r>
      <w:r w:rsidRPr="00D7549E">
        <w:rPr>
          <w:i/>
          <w:iCs/>
        </w:rPr>
        <w:t xml:space="preserve"> Media of Philadelphia, Inc.</w:t>
      </w:r>
      <w:r w:rsidRPr="00D7549E">
        <w:t>, Notice of Apparent Liability for Forf</w:t>
      </w:r>
      <w:r w:rsidR="003201AC" w:rsidRPr="00D7549E">
        <w:t>eiture, 24 FCC Rcd 857, 861 (EB</w:t>
      </w:r>
      <w:r w:rsidRPr="00D7549E">
        <w:t xml:space="preserve"> 2009) (reference to design award); </w:t>
      </w:r>
      <w:r w:rsidR="00F15FF2" w:rsidRPr="00D7549E">
        <w:rPr>
          <w:i/>
          <w:iCs/>
        </w:rPr>
        <w:t>Ministerio Radial Cristo Viene Pronto, Inc.</w:t>
      </w:r>
      <w:r w:rsidR="00F15FF2" w:rsidRPr="00D7549E">
        <w:t xml:space="preserve">, Notice of Apparent Liability for Forfeiture, 24 FCC Rcd 241, 243-44 &amp; Attachment (EB 2009) (announcements including “finance it for 12, 14, or up to 18 months without interest,” “without interest,” and “10% discounts”); </w:t>
      </w:r>
      <w:r w:rsidRPr="00D7549E">
        <w:rPr>
          <w:i/>
          <w:iCs/>
        </w:rPr>
        <w:t>Penfold Comm</w:t>
      </w:r>
      <w:r w:rsidR="00032C2D">
        <w:rPr>
          <w:i/>
          <w:iCs/>
        </w:rPr>
        <w:t>unicatio</w:t>
      </w:r>
      <w:r w:rsidRPr="00D7549E">
        <w:rPr>
          <w:i/>
          <w:iCs/>
        </w:rPr>
        <w:t>ns, Inc.</w:t>
      </w:r>
      <w:r w:rsidRPr="00D7549E">
        <w:t>, Memorandum Opinion and Order and Forfeiture Order,</w:t>
      </w:r>
      <w:r w:rsidR="003201AC" w:rsidRPr="00D7549E">
        <w:t xml:space="preserve"> </w:t>
      </w:r>
      <w:r w:rsidRPr="00D7549E">
        <w:t xml:space="preserve">13 FCC Rcd 23731, 23732-34 (MMB 1998) (references to “clearance sale” and “grand opening”).  </w:t>
      </w:r>
      <w:r w:rsidRPr="00D7549E">
        <w:rPr>
          <w:i/>
          <w:iCs/>
        </w:rPr>
        <w:t>Nat'l Farm Workers Serv</w:t>
      </w:r>
      <w:r w:rsidR="00F40F4D">
        <w:rPr>
          <w:i/>
          <w:iCs/>
        </w:rPr>
        <w:t>ice</w:t>
      </w:r>
      <w:r w:rsidRPr="00D7549E">
        <w:rPr>
          <w:i/>
          <w:iCs/>
        </w:rPr>
        <w:t xml:space="preserve"> C</w:t>
      </w:r>
      <w:r w:rsidR="00F40F4D">
        <w:rPr>
          <w:i/>
          <w:iCs/>
        </w:rPr>
        <w:t>en</w:t>
      </w:r>
      <w:r w:rsidRPr="00D7549E">
        <w:rPr>
          <w:i/>
          <w:iCs/>
        </w:rPr>
        <w:t>t</w:t>
      </w:r>
      <w:r w:rsidR="00F40F4D">
        <w:rPr>
          <w:i/>
          <w:iCs/>
        </w:rPr>
        <w:t>e</w:t>
      </w:r>
      <w:r w:rsidRPr="00D7549E">
        <w:rPr>
          <w:i/>
          <w:iCs/>
        </w:rPr>
        <w:t>r, Inc</w:t>
      </w:r>
      <w:r w:rsidR="00A7073E">
        <w:rPr>
          <w:i/>
          <w:iCs/>
        </w:rPr>
        <w:t>.</w:t>
      </w:r>
      <w:r w:rsidRPr="00D7549E">
        <w:rPr>
          <w:i/>
          <w:iCs/>
        </w:rPr>
        <w:t>,</w:t>
      </w:r>
      <w:r w:rsidRPr="00D7549E">
        <w:t xml:space="preserve"> Letter, 9</w:t>
      </w:r>
      <w:r w:rsidR="003201AC" w:rsidRPr="00D7549E">
        <w:t xml:space="preserve"> FCC Rcd 6855 (MMB </w:t>
      </w:r>
      <w:r w:rsidRPr="00D7549E">
        <w:t xml:space="preserve">1994) </w:t>
      </w:r>
      <w:r w:rsidR="003201AC" w:rsidRPr="00D7549E">
        <w:t>(</w:t>
      </w:r>
      <w:r w:rsidRPr="00D7549E">
        <w:t>availability of “special financing” and “different plans for financing”</w:t>
      </w:r>
      <w:r w:rsidR="00E17B5F">
        <w:t xml:space="preserve"> impermissible because</w:t>
      </w:r>
      <w:r w:rsidRPr="00D7549E">
        <w:t xml:space="preserve"> “financial information [is] violative of Section 399B, even where the price is not specifically identified”).</w:t>
      </w:r>
    </w:p>
  </w:footnote>
  <w:footnote w:id="21">
    <w:p w:rsidR="00197C18" w:rsidRPr="00761246" w:rsidRDefault="00197C18" w:rsidP="00197C18">
      <w:pPr>
        <w:pStyle w:val="FootnoteText"/>
      </w:pPr>
      <w:r>
        <w:rPr>
          <w:rStyle w:val="FootnoteReference"/>
        </w:rPr>
        <w:footnoteRef/>
      </w:r>
      <w:r>
        <w:t xml:space="preserve"> </w:t>
      </w:r>
      <w:r>
        <w:rPr>
          <w:i/>
        </w:rPr>
        <w:t xml:space="preserve">Request </w:t>
      </w:r>
      <w:r>
        <w:t xml:space="preserve">at 3, 20.  Maricopa thus sought to distinguish its request from one in which the Bureau denied a waiver of the statutory ban on advertising.  </w:t>
      </w:r>
      <w:r>
        <w:rPr>
          <w:i/>
        </w:rPr>
        <w:t xml:space="preserve">Id. </w:t>
      </w:r>
      <w:r>
        <w:t>at 20</w:t>
      </w:r>
      <w:r>
        <w:rPr>
          <w:i/>
        </w:rPr>
        <w:t xml:space="preserve">, </w:t>
      </w:r>
      <w:r>
        <w:t xml:space="preserve">citing </w:t>
      </w:r>
      <w:r>
        <w:rPr>
          <w:i/>
        </w:rPr>
        <w:t xml:space="preserve">Network of Glory, </w:t>
      </w:r>
      <w:r>
        <w:t>Letter, 26 FCC Rcd 14259 (MB 2011).</w:t>
      </w:r>
    </w:p>
  </w:footnote>
  <w:footnote w:id="22">
    <w:p w:rsidR="004F7E5F" w:rsidRDefault="004F7E5F">
      <w:pPr>
        <w:pStyle w:val="FootnoteText"/>
      </w:pPr>
      <w:r>
        <w:rPr>
          <w:rStyle w:val="FootnoteReference"/>
        </w:rPr>
        <w:footnoteRef/>
      </w:r>
      <w:r>
        <w:t xml:space="preserve"> Application at 13.</w:t>
      </w:r>
    </w:p>
  </w:footnote>
  <w:footnote w:id="23">
    <w:p w:rsidR="00197C18" w:rsidRPr="00FA498F" w:rsidRDefault="00197C18" w:rsidP="00197C18">
      <w:pPr>
        <w:pStyle w:val="FootnoteText"/>
      </w:pPr>
      <w:r>
        <w:rPr>
          <w:rStyle w:val="FootnoteReference"/>
        </w:rPr>
        <w:footnoteRef/>
      </w:r>
      <w:r>
        <w:t xml:space="preserve"> </w:t>
      </w:r>
      <w:r>
        <w:rPr>
          <w:i/>
        </w:rPr>
        <w:t xml:space="preserve">See Metromedia, Inc., </w:t>
      </w:r>
      <w:r>
        <w:t>Memorandum Opinion and Order, 56 FCC</w:t>
      </w:r>
      <w:r w:rsidR="00370E76">
        <w:t xml:space="preserve"> </w:t>
      </w:r>
      <w:r>
        <w:t>2d 909, 909-10 (1975)</w:t>
      </w:r>
      <w:r>
        <w:rPr>
          <w:i/>
        </w:rPr>
        <w:t xml:space="preserve"> </w:t>
      </w:r>
      <w:r>
        <w:t xml:space="preserve">(Commission could not accept reconsideration petition filed one day late because despite Commission’s discretion under its Rules to accept late filings, it was bound by a statutory 30-day reconsideration deadline in the Act, 47 U.S.C. </w:t>
      </w:r>
      <w:r w:rsidRPr="00563C7F">
        <w:t>§</w:t>
      </w:r>
      <w:r>
        <w:t xml:space="preserve"> 405(a)).</w:t>
      </w:r>
    </w:p>
  </w:footnote>
  <w:footnote w:id="24">
    <w:p w:rsidR="00197C18" w:rsidRPr="00D24EB8" w:rsidRDefault="00197C18" w:rsidP="00197C18">
      <w:pPr>
        <w:pStyle w:val="FootnoteText"/>
        <w:rPr>
          <w:color w:val="000000"/>
        </w:rPr>
      </w:pPr>
      <w:r>
        <w:rPr>
          <w:rStyle w:val="FootnoteReference"/>
        </w:rPr>
        <w:footnoteRef/>
      </w:r>
      <w:r>
        <w:t xml:space="preserve"> For example, a longstanding provision in Section 10 of the Act allows the Commission to forbear from enforcing provisions relating to telecommunications, but not to broadcasting.  </w:t>
      </w:r>
      <w:r>
        <w:rPr>
          <w:i/>
        </w:rPr>
        <w:t xml:space="preserve">See </w:t>
      </w:r>
      <w:r>
        <w:t xml:space="preserve">47 U.S.C. </w:t>
      </w:r>
      <w:r w:rsidRPr="00563C7F">
        <w:t>§</w:t>
      </w:r>
      <w:r>
        <w:t xml:space="preserve"> 160.  More recently enacted laws give the Commission waiver authority over limited issues not applicable here.  </w:t>
      </w:r>
      <w:r>
        <w:rPr>
          <w:i/>
        </w:rPr>
        <w:t xml:space="preserve">See generally Implementation of Commercial Advertising Loudness Mitigation Act, </w:t>
      </w:r>
      <w:r>
        <w:t xml:space="preserve">Second Report and Order, </w:t>
      </w:r>
      <w:r w:rsidRPr="0058296D">
        <w:t>29</w:t>
      </w:r>
      <w:r>
        <w:rPr>
          <w:i/>
        </w:rPr>
        <w:t xml:space="preserve"> </w:t>
      </w:r>
      <w:r>
        <w:t xml:space="preserve">FCC Rcd </w:t>
      </w:r>
      <w:r w:rsidR="00370E76">
        <w:t>6244, 6295</w:t>
      </w:r>
      <w:r>
        <w:t xml:space="preserve">(2014); </w:t>
      </w:r>
      <w:r w:rsidRPr="00DE144F">
        <w:rPr>
          <w:i/>
        </w:rPr>
        <w:t>Considering Deployment</w:t>
      </w:r>
      <w:r>
        <w:rPr>
          <w:i/>
        </w:rPr>
        <w:t xml:space="preserve"> of Text-to-911</w:t>
      </w:r>
      <w:r>
        <w:t xml:space="preserve">, </w:t>
      </w:r>
      <w:r w:rsidRPr="00DE144F">
        <w:t>Policy Statement and Second Further Notice of Proposed Rulemaking</w:t>
      </w:r>
      <w:r>
        <w:t>, 29 FCC Rcd</w:t>
      </w:r>
      <w:r w:rsidRPr="00DE144F">
        <w:t xml:space="preserve"> 1547</w:t>
      </w:r>
      <w:r>
        <w:t xml:space="preserve">, </w:t>
      </w:r>
      <w:r w:rsidRPr="00A25EFB">
        <w:t>¶</w:t>
      </w:r>
      <w:r>
        <w:t>56 (2014</w:t>
      </w:r>
      <w:r w:rsidRPr="00852D50">
        <w:rPr>
          <w:color w:val="000000"/>
        </w:rPr>
        <w:t>).</w:t>
      </w:r>
      <w:r>
        <w:rPr>
          <w:color w:val="000000"/>
        </w:rPr>
        <w:t xml:space="preserve">   </w:t>
      </w:r>
    </w:p>
  </w:footnote>
  <w:footnote w:id="25">
    <w:p w:rsidR="00ED070D" w:rsidRDefault="00ED070D" w:rsidP="00ED070D">
      <w:pPr>
        <w:pStyle w:val="FootnoteText"/>
      </w:pPr>
      <w:r>
        <w:rPr>
          <w:rStyle w:val="FootnoteReference"/>
        </w:rPr>
        <w:footnoteRef/>
      </w:r>
      <w:r>
        <w:t xml:space="preserve"> </w:t>
      </w:r>
      <w:r w:rsidR="00260FCC">
        <w:t xml:space="preserve">That </w:t>
      </w:r>
      <w:r w:rsidR="00260FCC" w:rsidRPr="00025568">
        <w:t>Commission-facilitated study</w:t>
      </w:r>
      <w:r w:rsidR="00260FCC">
        <w:t xml:space="preserve">, undertaken at the direction of Congress, ultimately recommended that Congress not allow NCE advertising but permit the non-promotional enhancements now in effect.  Maricopa’s proposal, while well-intentioned, is unilateral and seeks to provide Congress with information it has not requested.  </w:t>
      </w:r>
      <w:r>
        <w:t>Maricopa shows only that Congress apparently has remained generally interested in the issue, having in 2012 asked CPB to report on alternative financing options.  Request</w:t>
      </w:r>
      <w:r w:rsidRPr="00D41276">
        <w:rPr>
          <w:i/>
        </w:rPr>
        <w:t xml:space="preserve"> </w:t>
      </w:r>
      <w:r w:rsidRPr="00D41276">
        <w:t xml:space="preserve">at 4, citing CPB, </w:t>
      </w:r>
      <w:r w:rsidRPr="00D41276">
        <w:rPr>
          <w:i/>
        </w:rPr>
        <w:t xml:space="preserve">Alternative Sources of Funding for Public Broadcast Stations </w:t>
      </w:r>
      <w:r w:rsidRPr="00D41276">
        <w:t>(June 20, 2012) (“</w:t>
      </w:r>
      <w:r w:rsidRPr="00D41276">
        <w:rPr>
          <w:i/>
        </w:rPr>
        <w:t>CPB Report”</w:t>
      </w:r>
      <w:r w:rsidRPr="00D41276">
        <w:t xml:space="preserve">) available at </w:t>
      </w:r>
      <w:r w:rsidR="00A7073E" w:rsidRPr="00A7073E">
        <w:t xml:space="preserve">http://www.cpb.org/aboutcpb/Alternative_Sources_of_Funding_for_Public_Broadcasting_Stations.pdf </w:t>
      </w:r>
      <w:r w:rsidR="00A7073E">
        <w:t xml:space="preserve"> </w:t>
      </w:r>
      <w:r w:rsidRPr="00D41276">
        <w:t xml:space="preserve">(accessed </w:t>
      </w:r>
      <w:r w:rsidR="00A7073E">
        <w:t>Sept. 24,</w:t>
      </w:r>
      <w:r w:rsidRPr="00D41276">
        <w:t xml:space="preserve"> 2014).</w:t>
      </w:r>
      <w:r>
        <w:t xml:space="preserve">  However, </w:t>
      </w:r>
      <w:r w:rsidR="00E76718">
        <w:t xml:space="preserve">in contrast with the </w:t>
      </w:r>
      <w:r w:rsidR="00E76718" w:rsidRPr="00DF06FE">
        <w:rPr>
          <w:i/>
        </w:rPr>
        <w:t xml:space="preserve">TCAF </w:t>
      </w:r>
      <w:r w:rsidR="00DF06FE" w:rsidRPr="00DF06FE">
        <w:rPr>
          <w:i/>
        </w:rPr>
        <w:t>D</w:t>
      </w:r>
      <w:r w:rsidR="00E76718" w:rsidRPr="00DF06FE">
        <w:rPr>
          <w:i/>
        </w:rPr>
        <w:t xml:space="preserve">emonstration </w:t>
      </w:r>
      <w:r w:rsidR="00DF06FE" w:rsidRPr="00DF06FE">
        <w:rPr>
          <w:i/>
        </w:rPr>
        <w:t>P</w:t>
      </w:r>
      <w:r w:rsidR="00E76718" w:rsidRPr="00DF06FE">
        <w:rPr>
          <w:i/>
        </w:rPr>
        <w:t>rogram</w:t>
      </w:r>
      <w:r w:rsidR="00E76718">
        <w:t xml:space="preserve">, Congress has not directed </w:t>
      </w:r>
      <w:r>
        <w:t xml:space="preserve">Maricopa </w:t>
      </w:r>
      <w:r w:rsidR="00E76718">
        <w:t>to undertake this study.</w:t>
      </w:r>
    </w:p>
  </w:footnote>
  <w:footnote w:id="26">
    <w:p w:rsidR="0086520A" w:rsidRPr="00DF332C" w:rsidRDefault="0086520A" w:rsidP="00C00040">
      <w:r>
        <w:rPr>
          <w:rStyle w:val="FootnoteReference"/>
        </w:rPr>
        <w:footnoteRef/>
      </w:r>
      <w:r w:rsidR="005446D3" w:rsidRPr="00DF332C">
        <w:rPr>
          <w:sz w:val="20"/>
        </w:rPr>
        <w:t xml:space="preserve">  </w:t>
      </w:r>
      <w:r w:rsidR="009E03F4" w:rsidRPr="006A018D">
        <w:rPr>
          <w:sz w:val="20"/>
        </w:rPr>
        <w:t>The non-profit applicant therein referenced noncommercial broadcasting only to illustrate its belief that its acceptance of donations to cover operating expenses would not run afoul of a rule prohibiting</w:t>
      </w:r>
      <w:r w:rsidR="00BF62EA">
        <w:rPr>
          <w:sz w:val="20"/>
        </w:rPr>
        <w:t xml:space="preserve"> the holder of an experimental authorization from charging others</w:t>
      </w:r>
      <w:r w:rsidR="009E03F4" w:rsidRPr="006A018D">
        <w:rPr>
          <w:sz w:val="20"/>
        </w:rPr>
        <w:t xml:space="preserve"> for transmission of information.  </w:t>
      </w:r>
      <w:r w:rsidR="009E03F4" w:rsidRPr="006A018D">
        <w:rPr>
          <w:i/>
          <w:sz w:val="20"/>
        </w:rPr>
        <w:t xml:space="preserve">See Expo Experiment, </w:t>
      </w:r>
      <w:r w:rsidR="009E03F4" w:rsidRPr="006A018D">
        <w:rPr>
          <w:sz w:val="20"/>
        </w:rPr>
        <w:t>89 FCC 2d at 1383; 47 C.F.R. § 74.182</w:t>
      </w:r>
      <w:r w:rsidR="00955548">
        <w:rPr>
          <w:sz w:val="20"/>
        </w:rPr>
        <w:t xml:space="preserve">.  </w:t>
      </w:r>
      <w:r w:rsidR="00955548">
        <w:rPr>
          <w:i/>
          <w:sz w:val="20"/>
        </w:rPr>
        <w:t xml:space="preserve">See also </w:t>
      </w:r>
      <w:r w:rsidR="00CD4A02">
        <w:rPr>
          <w:sz w:val="20"/>
        </w:rPr>
        <w:t xml:space="preserve">47 C.F.R. </w:t>
      </w:r>
      <w:r w:rsidR="00CD4A02" w:rsidRPr="006A018D">
        <w:rPr>
          <w:sz w:val="20"/>
        </w:rPr>
        <w:t>§</w:t>
      </w:r>
      <w:r w:rsidR="00CD4A02">
        <w:rPr>
          <w:sz w:val="20"/>
        </w:rPr>
        <w:t xml:space="preserve"> 5.215. </w:t>
      </w:r>
      <w:r w:rsidR="009E03F4">
        <w:rPr>
          <w:sz w:val="20"/>
        </w:rPr>
        <w:t xml:space="preserve">  </w:t>
      </w:r>
      <w:r w:rsidR="00981816" w:rsidRPr="00DF332C">
        <w:rPr>
          <w:sz w:val="20"/>
        </w:rPr>
        <w:t>As to Maricopa’s reference</w:t>
      </w:r>
      <w:r w:rsidR="00FE14F3" w:rsidRPr="00DF332C">
        <w:rPr>
          <w:sz w:val="20"/>
        </w:rPr>
        <w:t>s</w:t>
      </w:r>
      <w:r w:rsidR="00981816" w:rsidRPr="00DF332C">
        <w:rPr>
          <w:sz w:val="20"/>
        </w:rPr>
        <w:t xml:space="preserve"> to the possibility</w:t>
      </w:r>
      <w:r w:rsidR="005446D3" w:rsidRPr="00DF332C">
        <w:rPr>
          <w:sz w:val="20"/>
        </w:rPr>
        <w:t xml:space="preserve"> th</w:t>
      </w:r>
      <w:r w:rsidR="00144EE8">
        <w:rPr>
          <w:sz w:val="20"/>
        </w:rPr>
        <w:t xml:space="preserve">at Section 399B </w:t>
      </w:r>
      <w:r w:rsidR="005446D3" w:rsidRPr="00DF332C">
        <w:rPr>
          <w:sz w:val="20"/>
        </w:rPr>
        <w:t xml:space="preserve">may be </w:t>
      </w:r>
      <w:r w:rsidR="00981816" w:rsidRPr="00DF332C">
        <w:rPr>
          <w:sz w:val="20"/>
        </w:rPr>
        <w:t>in</w:t>
      </w:r>
      <w:r w:rsidR="005446D3" w:rsidRPr="00DF332C">
        <w:rPr>
          <w:sz w:val="20"/>
        </w:rPr>
        <w:t>valid</w:t>
      </w:r>
      <w:r w:rsidR="00981816" w:rsidRPr="00DF332C">
        <w:rPr>
          <w:sz w:val="20"/>
        </w:rPr>
        <w:t>ated</w:t>
      </w:r>
      <w:r w:rsidR="005446D3" w:rsidRPr="00DF332C">
        <w:rPr>
          <w:sz w:val="20"/>
        </w:rPr>
        <w:t>,</w:t>
      </w:r>
      <w:r w:rsidR="00981816" w:rsidRPr="00DF332C">
        <w:rPr>
          <w:sz w:val="20"/>
        </w:rPr>
        <w:t xml:space="preserve"> Application at </w:t>
      </w:r>
      <w:r w:rsidR="00FE14F3" w:rsidRPr="00DF332C">
        <w:rPr>
          <w:sz w:val="20"/>
        </w:rPr>
        <w:t>10-12,</w:t>
      </w:r>
      <w:r w:rsidR="005446D3" w:rsidRPr="00DF332C">
        <w:rPr>
          <w:sz w:val="20"/>
        </w:rPr>
        <w:t xml:space="preserve"> the U.S. Court of Appeals for the Ni</w:t>
      </w:r>
      <w:r w:rsidR="00144EE8">
        <w:rPr>
          <w:sz w:val="20"/>
        </w:rPr>
        <w:t>nth Circuit recently upheld the statute</w:t>
      </w:r>
      <w:r w:rsidR="005446D3" w:rsidRPr="00DF332C">
        <w:rPr>
          <w:sz w:val="20"/>
        </w:rPr>
        <w:t xml:space="preserve"> against a constitutional challenge, and the</w:t>
      </w:r>
      <w:r w:rsidR="00144EE8">
        <w:rPr>
          <w:sz w:val="20"/>
        </w:rPr>
        <w:t xml:space="preserve"> U.S. Supreme Court </w:t>
      </w:r>
      <w:r w:rsidR="005446D3" w:rsidRPr="00DF332C">
        <w:rPr>
          <w:sz w:val="20"/>
        </w:rPr>
        <w:t>de</w:t>
      </w:r>
      <w:r w:rsidR="00144EE8">
        <w:rPr>
          <w:sz w:val="20"/>
        </w:rPr>
        <w:t>clined to grant certiorari</w:t>
      </w:r>
      <w:r w:rsidR="00FE14F3" w:rsidRPr="00DF332C">
        <w:rPr>
          <w:sz w:val="20"/>
        </w:rPr>
        <w:t xml:space="preserve">.  </w:t>
      </w:r>
      <w:r w:rsidRPr="00DF332C">
        <w:rPr>
          <w:i/>
          <w:sz w:val="20"/>
        </w:rPr>
        <w:t>See Minority Television Project, Inc. v. FCC</w:t>
      </w:r>
      <w:r w:rsidRPr="00DF332C">
        <w:rPr>
          <w:sz w:val="20"/>
        </w:rPr>
        <w:t>, 676 F.3d 869 (9</w:t>
      </w:r>
      <w:r w:rsidRPr="00DF332C">
        <w:rPr>
          <w:sz w:val="20"/>
          <w:vertAlign w:val="superscript"/>
        </w:rPr>
        <w:t>th</w:t>
      </w:r>
      <w:r w:rsidRPr="00DF332C">
        <w:rPr>
          <w:sz w:val="20"/>
        </w:rPr>
        <w:t xml:space="preserve"> Cir 2012), </w:t>
      </w:r>
      <w:r w:rsidRPr="00DF332C">
        <w:rPr>
          <w:i/>
          <w:sz w:val="20"/>
        </w:rPr>
        <w:t xml:space="preserve">aff’d en banc, </w:t>
      </w:r>
      <w:r w:rsidRPr="00DF332C">
        <w:rPr>
          <w:sz w:val="20"/>
        </w:rPr>
        <w:t>736 F.3d 1192 (9</w:t>
      </w:r>
      <w:r w:rsidRPr="00DF332C">
        <w:rPr>
          <w:sz w:val="20"/>
          <w:vertAlign w:val="superscript"/>
        </w:rPr>
        <w:t>th</w:t>
      </w:r>
      <w:r w:rsidRPr="00DF332C">
        <w:rPr>
          <w:sz w:val="20"/>
        </w:rPr>
        <w:t xml:space="preserve"> Cir. 2013)</w:t>
      </w:r>
      <w:r w:rsidR="00DF332C" w:rsidRPr="00DF332C">
        <w:rPr>
          <w:sz w:val="20"/>
        </w:rPr>
        <w:t xml:space="preserve"> (upholding</w:t>
      </w:r>
      <w:r w:rsidR="00144EE8">
        <w:rPr>
          <w:sz w:val="20"/>
        </w:rPr>
        <w:t xml:space="preserve"> section 399B as constitutional</w:t>
      </w:r>
      <w:r w:rsidR="00DF332C" w:rsidRPr="00DF332C">
        <w:rPr>
          <w:sz w:val="20"/>
        </w:rPr>
        <w:t>)</w:t>
      </w:r>
      <w:r w:rsidRPr="00DF332C">
        <w:rPr>
          <w:sz w:val="20"/>
        </w:rPr>
        <w:t xml:space="preserve">, </w:t>
      </w:r>
      <w:r w:rsidRPr="00DF332C">
        <w:rPr>
          <w:i/>
          <w:sz w:val="20"/>
        </w:rPr>
        <w:t xml:space="preserve">cert. denied, </w:t>
      </w:r>
      <w:r w:rsidRPr="00DF332C">
        <w:rPr>
          <w:sz w:val="20"/>
        </w:rPr>
        <w:t>134 S.Ct. 2874 (2014).</w:t>
      </w:r>
    </w:p>
  </w:footnote>
  <w:footnote w:id="27">
    <w:p w:rsidR="009148F5" w:rsidRDefault="009148F5" w:rsidP="009148F5">
      <w:pPr>
        <w:pStyle w:val="FootnoteText"/>
      </w:pPr>
      <w:r>
        <w:rPr>
          <w:rStyle w:val="FootnoteReference"/>
        </w:rPr>
        <w:footnoteRef/>
      </w:r>
      <w:r>
        <w:t xml:space="preserve"> </w:t>
      </w:r>
      <w:r>
        <w:rPr>
          <w:i/>
        </w:rPr>
        <w:t>See</w:t>
      </w:r>
      <w:r>
        <w:t xml:space="preserve"> </w:t>
      </w:r>
      <w:r>
        <w:rPr>
          <w:i/>
        </w:rPr>
        <w:t>Ernest T. Sanchez</w:t>
      </w:r>
      <w:r>
        <w:t xml:space="preserve">, </w:t>
      </w:r>
      <w:r>
        <w:rPr>
          <w:i/>
        </w:rPr>
        <w:t>Esq.</w:t>
      </w:r>
      <w:r>
        <w:t xml:space="preserve">, Letter, 29 FCC Rcd 5180, 5182 (MB 2014).   </w:t>
      </w:r>
    </w:p>
  </w:footnote>
  <w:footnote w:id="28">
    <w:p w:rsidR="009148F5" w:rsidRDefault="009148F5" w:rsidP="009148F5">
      <w:pPr>
        <w:pStyle w:val="FootnoteText"/>
      </w:pPr>
      <w:r>
        <w:rPr>
          <w:rStyle w:val="FootnoteReference"/>
        </w:rPr>
        <w:footnoteRef/>
      </w:r>
      <w:r>
        <w:t xml:space="preserve"> </w:t>
      </w:r>
      <w:r>
        <w:rPr>
          <w:i/>
        </w:rPr>
        <w:t xml:space="preserve">See </w:t>
      </w:r>
      <w:r>
        <w:t xml:space="preserve">47 U.S.C. § 399B.  </w:t>
      </w:r>
    </w:p>
  </w:footnote>
  <w:footnote w:id="29">
    <w:p w:rsidR="009148F5" w:rsidRDefault="009148F5" w:rsidP="009148F5">
      <w:pPr>
        <w:pStyle w:val="FootnoteText"/>
      </w:pPr>
      <w:r>
        <w:rPr>
          <w:rStyle w:val="FootnoteReference"/>
        </w:rPr>
        <w:footnoteRef/>
      </w:r>
      <w:r>
        <w:t xml:space="preserve"> </w:t>
      </w:r>
      <w:r>
        <w:rPr>
          <w:i/>
        </w:rPr>
        <w:t>See</w:t>
      </w:r>
      <w:r>
        <w:t xml:space="preserve"> Memorandum Opinion and Order at para. 6.  </w:t>
      </w:r>
    </w:p>
  </w:footnote>
  <w:footnote w:id="30">
    <w:p w:rsidR="009148F5" w:rsidRDefault="009148F5" w:rsidP="009148F5">
      <w:pPr>
        <w:pStyle w:val="FootnoteText"/>
        <w:rPr>
          <w:rFonts w:asciiTheme="minorHAnsi" w:hAnsiTheme="minorHAnsi" w:cstheme="minorBidi"/>
        </w:rPr>
      </w:pPr>
      <w:r>
        <w:rPr>
          <w:rStyle w:val="FootnoteReference"/>
        </w:rPr>
        <w:footnoteRef/>
      </w:r>
      <w:r>
        <w:t xml:space="preserve"> </w:t>
      </w:r>
      <w:r>
        <w:rPr>
          <w:i/>
        </w:rPr>
        <w:t>See id.</w:t>
      </w:r>
    </w:p>
  </w:footnote>
  <w:footnote w:id="31">
    <w:p w:rsidR="009148F5" w:rsidRDefault="009148F5" w:rsidP="009148F5">
      <w:pPr>
        <w:pStyle w:val="FootnoteText"/>
      </w:pPr>
      <w:r>
        <w:rPr>
          <w:rStyle w:val="FootnoteReference"/>
        </w:rPr>
        <w:footnoteRef/>
      </w:r>
      <w:r>
        <w:t xml:space="preserve"> </w:t>
      </w:r>
      <w:r>
        <w:rPr>
          <w:i/>
        </w:rPr>
        <w:t>See</w:t>
      </w:r>
      <w:r>
        <w:t xml:space="preserve"> </w:t>
      </w:r>
      <w:hyperlink r:id="rId1" w:history="1">
        <w:r w:rsidRPr="00E15F49">
          <w:rPr>
            <w:rStyle w:val="Hyperlink"/>
          </w:rPr>
          <w:t>http://www.youtube.com/watch?v=f9BQj49zfXg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F6" w:rsidRDefault="004210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C4" w:rsidRDefault="00A532C4" w:rsidP="00810B6F">
    <w:pPr>
      <w:pStyle w:val="Header"/>
      <w:rPr>
        <w:b w:val="0"/>
      </w:rPr>
    </w:pPr>
    <w:r>
      <w:tab/>
      <w:t>Federal Communications Commission</w:t>
    </w:r>
    <w:r>
      <w:tab/>
    </w:r>
    <w:r w:rsidR="00EF315D">
      <w:t>FCC 14-187</w:t>
    </w:r>
  </w:p>
  <w:p w:rsidR="00A532C4" w:rsidRDefault="00A532C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10E988B" wp14:editId="17FED5DB">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A532C4" w:rsidRDefault="00A532C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C4" w:rsidRDefault="00A532C4"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675EACF" wp14:editId="34BDD05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633498">
      <w:rPr>
        <w:spacing w:val="-2"/>
      </w:rPr>
      <w:t>FCC 14-</w:t>
    </w:r>
    <w:r w:rsidR="00EF315D">
      <w:rPr>
        <w:spacing w:val="-2"/>
      </w:rPr>
      <w:t>187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925E78"/>
    <w:multiLevelType w:val="hybridMultilevel"/>
    <w:tmpl w:val="E8C804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E838E7"/>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6"/>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4E25"/>
    <w:rsid w:val="00014E62"/>
    <w:rsid w:val="00016174"/>
    <w:rsid w:val="00016BFD"/>
    <w:rsid w:val="00024149"/>
    <w:rsid w:val="00025568"/>
    <w:rsid w:val="00025A30"/>
    <w:rsid w:val="00025D48"/>
    <w:rsid w:val="0002610D"/>
    <w:rsid w:val="00031DD5"/>
    <w:rsid w:val="00032C2D"/>
    <w:rsid w:val="000340C9"/>
    <w:rsid w:val="0003513E"/>
    <w:rsid w:val="00036039"/>
    <w:rsid w:val="00037546"/>
    <w:rsid w:val="00037F90"/>
    <w:rsid w:val="00041312"/>
    <w:rsid w:val="00041490"/>
    <w:rsid w:val="00042368"/>
    <w:rsid w:val="000454F2"/>
    <w:rsid w:val="00046E78"/>
    <w:rsid w:val="00050BF5"/>
    <w:rsid w:val="00051E14"/>
    <w:rsid w:val="0005523F"/>
    <w:rsid w:val="000565F5"/>
    <w:rsid w:val="00061D57"/>
    <w:rsid w:val="00065740"/>
    <w:rsid w:val="00066D2F"/>
    <w:rsid w:val="000673C1"/>
    <w:rsid w:val="0007012A"/>
    <w:rsid w:val="00071487"/>
    <w:rsid w:val="00071605"/>
    <w:rsid w:val="00072EFE"/>
    <w:rsid w:val="000734D7"/>
    <w:rsid w:val="00073E46"/>
    <w:rsid w:val="00076DC8"/>
    <w:rsid w:val="00080823"/>
    <w:rsid w:val="000822B5"/>
    <w:rsid w:val="00083DDD"/>
    <w:rsid w:val="00084F53"/>
    <w:rsid w:val="000875BF"/>
    <w:rsid w:val="000903CD"/>
    <w:rsid w:val="00090AF8"/>
    <w:rsid w:val="00091746"/>
    <w:rsid w:val="00096CC2"/>
    <w:rsid w:val="00096D8C"/>
    <w:rsid w:val="000A1564"/>
    <w:rsid w:val="000A16FB"/>
    <w:rsid w:val="000A1FE9"/>
    <w:rsid w:val="000A234E"/>
    <w:rsid w:val="000A256C"/>
    <w:rsid w:val="000A2D99"/>
    <w:rsid w:val="000A3ACB"/>
    <w:rsid w:val="000A6592"/>
    <w:rsid w:val="000A6EB7"/>
    <w:rsid w:val="000A798C"/>
    <w:rsid w:val="000B11FD"/>
    <w:rsid w:val="000B37F9"/>
    <w:rsid w:val="000C0B65"/>
    <w:rsid w:val="000C0FBD"/>
    <w:rsid w:val="000C1664"/>
    <w:rsid w:val="000C1DFC"/>
    <w:rsid w:val="000C347D"/>
    <w:rsid w:val="000C3EE2"/>
    <w:rsid w:val="000D0570"/>
    <w:rsid w:val="000D2F67"/>
    <w:rsid w:val="000D3293"/>
    <w:rsid w:val="000D33F0"/>
    <w:rsid w:val="000D41C8"/>
    <w:rsid w:val="000D5640"/>
    <w:rsid w:val="000D6ACA"/>
    <w:rsid w:val="000D6C80"/>
    <w:rsid w:val="000D7D42"/>
    <w:rsid w:val="000E05FE"/>
    <w:rsid w:val="000E1316"/>
    <w:rsid w:val="000E138A"/>
    <w:rsid w:val="000E37E3"/>
    <w:rsid w:val="000E3D42"/>
    <w:rsid w:val="000E4461"/>
    <w:rsid w:val="000E477F"/>
    <w:rsid w:val="000E61BD"/>
    <w:rsid w:val="000E6560"/>
    <w:rsid w:val="000E6A7B"/>
    <w:rsid w:val="000F160E"/>
    <w:rsid w:val="000F2CB1"/>
    <w:rsid w:val="000F467E"/>
    <w:rsid w:val="000F46DB"/>
    <w:rsid w:val="000F4D94"/>
    <w:rsid w:val="000F79E3"/>
    <w:rsid w:val="00101B90"/>
    <w:rsid w:val="00102D17"/>
    <w:rsid w:val="00103D76"/>
    <w:rsid w:val="001066FC"/>
    <w:rsid w:val="001069F4"/>
    <w:rsid w:val="001104CD"/>
    <w:rsid w:val="00111188"/>
    <w:rsid w:val="00111FFB"/>
    <w:rsid w:val="0011395E"/>
    <w:rsid w:val="0011407F"/>
    <w:rsid w:val="00117F6A"/>
    <w:rsid w:val="00121084"/>
    <w:rsid w:val="00121946"/>
    <w:rsid w:val="00121A96"/>
    <w:rsid w:val="00122961"/>
    <w:rsid w:val="00122BD5"/>
    <w:rsid w:val="00123532"/>
    <w:rsid w:val="00123707"/>
    <w:rsid w:val="00123A3F"/>
    <w:rsid w:val="0012600F"/>
    <w:rsid w:val="00126DF1"/>
    <w:rsid w:val="0013019E"/>
    <w:rsid w:val="00133692"/>
    <w:rsid w:val="00133BA5"/>
    <w:rsid w:val="00133DE0"/>
    <w:rsid w:val="00133F79"/>
    <w:rsid w:val="00133FEF"/>
    <w:rsid w:val="00137036"/>
    <w:rsid w:val="00140754"/>
    <w:rsid w:val="00140F62"/>
    <w:rsid w:val="00143A82"/>
    <w:rsid w:val="00144EE8"/>
    <w:rsid w:val="00145A4A"/>
    <w:rsid w:val="00147FBF"/>
    <w:rsid w:val="00150622"/>
    <w:rsid w:val="00150D28"/>
    <w:rsid w:val="00151007"/>
    <w:rsid w:val="001550E3"/>
    <w:rsid w:val="001553ED"/>
    <w:rsid w:val="00156110"/>
    <w:rsid w:val="00163874"/>
    <w:rsid w:val="00167025"/>
    <w:rsid w:val="001702BC"/>
    <w:rsid w:val="001739C0"/>
    <w:rsid w:val="0017420D"/>
    <w:rsid w:val="00176503"/>
    <w:rsid w:val="00183001"/>
    <w:rsid w:val="0018426A"/>
    <w:rsid w:val="0018445C"/>
    <w:rsid w:val="00185C56"/>
    <w:rsid w:val="00186C75"/>
    <w:rsid w:val="00192572"/>
    <w:rsid w:val="001940E3"/>
    <w:rsid w:val="00194A66"/>
    <w:rsid w:val="00197C18"/>
    <w:rsid w:val="001A155D"/>
    <w:rsid w:val="001B0829"/>
    <w:rsid w:val="001B2D4D"/>
    <w:rsid w:val="001C0359"/>
    <w:rsid w:val="001D2EBA"/>
    <w:rsid w:val="001D37F0"/>
    <w:rsid w:val="001D6BCF"/>
    <w:rsid w:val="001E01CA"/>
    <w:rsid w:val="001E1392"/>
    <w:rsid w:val="001E165A"/>
    <w:rsid w:val="001E42BC"/>
    <w:rsid w:val="001E702F"/>
    <w:rsid w:val="001E7346"/>
    <w:rsid w:val="001F1389"/>
    <w:rsid w:val="001F165D"/>
    <w:rsid w:val="001F2B9B"/>
    <w:rsid w:val="001F3F70"/>
    <w:rsid w:val="001F5145"/>
    <w:rsid w:val="00202F67"/>
    <w:rsid w:val="002033D1"/>
    <w:rsid w:val="00203EAD"/>
    <w:rsid w:val="00204915"/>
    <w:rsid w:val="002102B7"/>
    <w:rsid w:val="00210DAD"/>
    <w:rsid w:val="00213840"/>
    <w:rsid w:val="00216027"/>
    <w:rsid w:val="00217C59"/>
    <w:rsid w:val="00217EF3"/>
    <w:rsid w:val="00221972"/>
    <w:rsid w:val="00222223"/>
    <w:rsid w:val="0022290C"/>
    <w:rsid w:val="00225967"/>
    <w:rsid w:val="00226540"/>
    <w:rsid w:val="002279A8"/>
    <w:rsid w:val="0023041F"/>
    <w:rsid w:val="002310BE"/>
    <w:rsid w:val="00233C9D"/>
    <w:rsid w:val="002376FE"/>
    <w:rsid w:val="00240328"/>
    <w:rsid w:val="0024273D"/>
    <w:rsid w:val="002435DE"/>
    <w:rsid w:val="00244215"/>
    <w:rsid w:val="002447AC"/>
    <w:rsid w:val="002447DC"/>
    <w:rsid w:val="002464BB"/>
    <w:rsid w:val="00247B63"/>
    <w:rsid w:val="0025268B"/>
    <w:rsid w:val="00252EFF"/>
    <w:rsid w:val="0025765C"/>
    <w:rsid w:val="00260A04"/>
    <w:rsid w:val="00260FCC"/>
    <w:rsid w:val="002614F4"/>
    <w:rsid w:val="00261BF8"/>
    <w:rsid w:val="00267B6B"/>
    <w:rsid w:val="0027306E"/>
    <w:rsid w:val="00275982"/>
    <w:rsid w:val="00275CF5"/>
    <w:rsid w:val="00280C7C"/>
    <w:rsid w:val="00280EAD"/>
    <w:rsid w:val="0028107E"/>
    <w:rsid w:val="002827CC"/>
    <w:rsid w:val="0028301F"/>
    <w:rsid w:val="002832BF"/>
    <w:rsid w:val="00285017"/>
    <w:rsid w:val="002851A2"/>
    <w:rsid w:val="00285452"/>
    <w:rsid w:val="00286444"/>
    <w:rsid w:val="0028673F"/>
    <w:rsid w:val="00286BEF"/>
    <w:rsid w:val="002913F2"/>
    <w:rsid w:val="002942C9"/>
    <w:rsid w:val="0029452F"/>
    <w:rsid w:val="00295FF8"/>
    <w:rsid w:val="00297F92"/>
    <w:rsid w:val="002A24F4"/>
    <w:rsid w:val="002A2D2E"/>
    <w:rsid w:val="002A3720"/>
    <w:rsid w:val="002A3EE0"/>
    <w:rsid w:val="002A44D7"/>
    <w:rsid w:val="002A48F6"/>
    <w:rsid w:val="002B1AD0"/>
    <w:rsid w:val="002B7506"/>
    <w:rsid w:val="002C00E8"/>
    <w:rsid w:val="002C0C51"/>
    <w:rsid w:val="002C2029"/>
    <w:rsid w:val="002C20F4"/>
    <w:rsid w:val="002C2E92"/>
    <w:rsid w:val="002C377D"/>
    <w:rsid w:val="002C3A85"/>
    <w:rsid w:val="002C42C1"/>
    <w:rsid w:val="002D5440"/>
    <w:rsid w:val="002D6260"/>
    <w:rsid w:val="002D749A"/>
    <w:rsid w:val="002E1342"/>
    <w:rsid w:val="002E2C6D"/>
    <w:rsid w:val="002E5E11"/>
    <w:rsid w:val="002E6146"/>
    <w:rsid w:val="002F3094"/>
    <w:rsid w:val="002F3474"/>
    <w:rsid w:val="002F3523"/>
    <w:rsid w:val="002F403F"/>
    <w:rsid w:val="002F58D7"/>
    <w:rsid w:val="002F7630"/>
    <w:rsid w:val="00300A8C"/>
    <w:rsid w:val="00301064"/>
    <w:rsid w:val="003029FC"/>
    <w:rsid w:val="003031BB"/>
    <w:rsid w:val="003065C4"/>
    <w:rsid w:val="00310857"/>
    <w:rsid w:val="00311309"/>
    <w:rsid w:val="0031178F"/>
    <w:rsid w:val="003135E2"/>
    <w:rsid w:val="00316957"/>
    <w:rsid w:val="00317E41"/>
    <w:rsid w:val="003201AC"/>
    <w:rsid w:val="00331915"/>
    <w:rsid w:val="00333BCF"/>
    <w:rsid w:val="003371FC"/>
    <w:rsid w:val="00340B6E"/>
    <w:rsid w:val="00342932"/>
    <w:rsid w:val="00342FA2"/>
    <w:rsid w:val="003430C3"/>
    <w:rsid w:val="00343749"/>
    <w:rsid w:val="00346E47"/>
    <w:rsid w:val="00347032"/>
    <w:rsid w:val="00347C61"/>
    <w:rsid w:val="00347DC7"/>
    <w:rsid w:val="00353273"/>
    <w:rsid w:val="0035403E"/>
    <w:rsid w:val="00357653"/>
    <w:rsid w:val="00357FBB"/>
    <w:rsid w:val="00360EA7"/>
    <w:rsid w:val="0036551D"/>
    <w:rsid w:val="00365681"/>
    <w:rsid w:val="003660ED"/>
    <w:rsid w:val="00367250"/>
    <w:rsid w:val="003678FB"/>
    <w:rsid w:val="003679FF"/>
    <w:rsid w:val="00370066"/>
    <w:rsid w:val="00370E76"/>
    <w:rsid w:val="00371CE0"/>
    <w:rsid w:val="00372550"/>
    <w:rsid w:val="00375542"/>
    <w:rsid w:val="00376FAD"/>
    <w:rsid w:val="00380C5D"/>
    <w:rsid w:val="00385F26"/>
    <w:rsid w:val="00386279"/>
    <w:rsid w:val="00390245"/>
    <w:rsid w:val="0039229E"/>
    <w:rsid w:val="003A025F"/>
    <w:rsid w:val="003A04F3"/>
    <w:rsid w:val="003A0EE8"/>
    <w:rsid w:val="003A194D"/>
    <w:rsid w:val="003B0550"/>
    <w:rsid w:val="003B0923"/>
    <w:rsid w:val="003B0B5B"/>
    <w:rsid w:val="003B40B7"/>
    <w:rsid w:val="003B694F"/>
    <w:rsid w:val="003C2A9C"/>
    <w:rsid w:val="003C2E44"/>
    <w:rsid w:val="003C4D80"/>
    <w:rsid w:val="003C64B2"/>
    <w:rsid w:val="003C6506"/>
    <w:rsid w:val="003D41B1"/>
    <w:rsid w:val="003D4C77"/>
    <w:rsid w:val="003D4F3D"/>
    <w:rsid w:val="003D5306"/>
    <w:rsid w:val="003D7C95"/>
    <w:rsid w:val="003E02FD"/>
    <w:rsid w:val="003E0BEA"/>
    <w:rsid w:val="003E0C9F"/>
    <w:rsid w:val="003E0FB8"/>
    <w:rsid w:val="003E3E78"/>
    <w:rsid w:val="003E65D2"/>
    <w:rsid w:val="003F171C"/>
    <w:rsid w:val="003F585F"/>
    <w:rsid w:val="003F6DB8"/>
    <w:rsid w:val="003F7A43"/>
    <w:rsid w:val="003F7CD6"/>
    <w:rsid w:val="00402A52"/>
    <w:rsid w:val="00403FC8"/>
    <w:rsid w:val="00407927"/>
    <w:rsid w:val="00411B92"/>
    <w:rsid w:val="004126D1"/>
    <w:rsid w:val="00412B5A"/>
    <w:rsid w:val="00412FC5"/>
    <w:rsid w:val="004139F7"/>
    <w:rsid w:val="0041487E"/>
    <w:rsid w:val="00415B7F"/>
    <w:rsid w:val="00415E66"/>
    <w:rsid w:val="004166CE"/>
    <w:rsid w:val="00417365"/>
    <w:rsid w:val="00420A4B"/>
    <w:rsid w:val="004210F6"/>
    <w:rsid w:val="004214BA"/>
    <w:rsid w:val="004220D7"/>
    <w:rsid w:val="00422276"/>
    <w:rsid w:val="004225A5"/>
    <w:rsid w:val="004242F1"/>
    <w:rsid w:val="00430107"/>
    <w:rsid w:val="0043130E"/>
    <w:rsid w:val="00433D12"/>
    <w:rsid w:val="00434589"/>
    <w:rsid w:val="00434BF0"/>
    <w:rsid w:val="00437A73"/>
    <w:rsid w:val="00445A00"/>
    <w:rsid w:val="004463DC"/>
    <w:rsid w:val="004507FD"/>
    <w:rsid w:val="00451B0F"/>
    <w:rsid w:val="0045228A"/>
    <w:rsid w:val="00462DFA"/>
    <w:rsid w:val="00464DBA"/>
    <w:rsid w:val="0046754F"/>
    <w:rsid w:val="004707A8"/>
    <w:rsid w:val="004773B8"/>
    <w:rsid w:val="00480609"/>
    <w:rsid w:val="00480CEC"/>
    <w:rsid w:val="004837E6"/>
    <w:rsid w:val="004969A1"/>
    <w:rsid w:val="004A048D"/>
    <w:rsid w:val="004A25B4"/>
    <w:rsid w:val="004A2794"/>
    <w:rsid w:val="004A2BF6"/>
    <w:rsid w:val="004A311A"/>
    <w:rsid w:val="004A31C0"/>
    <w:rsid w:val="004A38CC"/>
    <w:rsid w:val="004A3B5E"/>
    <w:rsid w:val="004B36E4"/>
    <w:rsid w:val="004B59E3"/>
    <w:rsid w:val="004B5F4B"/>
    <w:rsid w:val="004C1EA3"/>
    <w:rsid w:val="004C2EE3"/>
    <w:rsid w:val="004C6CCA"/>
    <w:rsid w:val="004D12D9"/>
    <w:rsid w:val="004D2323"/>
    <w:rsid w:val="004D32E6"/>
    <w:rsid w:val="004D66A0"/>
    <w:rsid w:val="004D6C9C"/>
    <w:rsid w:val="004D70B6"/>
    <w:rsid w:val="004E0258"/>
    <w:rsid w:val="004E0E3F"/>
    <w:rsid w:val="004E2B7A"/>
    <w:rsid w:val="004E3BE3"/>
    <w:rsid w:val="004E4A22"/>
    <w:rsid w:val="004E6B3C"/>
    <w:rsid w:val="004E6E93"/>
    <w:rsid w:val="004E7505"/>
    <w:rsid w:val="004F134E"/>
    <w:rsid w:val="004F268E"/>
    <w:rsid w:val="004F3561"/>
    <w:rsid w:val="004F3632"/>
    <w:rsid w:val="004F43BC"/>
    <w:rsid w:val="004F6A8F"/>
    <w:rsid w:val="004F7B02"/>
    <w:rsid w:val="004F7E5F"/>
    <w:rsid w:val="005113E8"/>
    <w:rsid w:val="00511968"/>
    <w:rsid w:val="0051347B"/>
    <w:rsid w:val="00513AB8"/>
    <w:rsid w:val="005140C8"/>
    <w:rsid w:val="005153D9"/>
    <w:rsid w:val="00515F7C"/>
    <w:rsid w:val="00516808"/>
    <w:rsid w:val="005210DB"/>
    <w:rsid w:val="00527ECB"/>
    <w:rsid w:val="00530DA9"/>
    <w:rsid w:val="00532CE5"/>
    <w:rsid w:val="00537F40"/>
    <w:rsid w:val="00543E85"/>
    <w:rsid w:val="005444A2"/>
    <w:rsid w:val="005446D3"/>
    <w:rsid w:val="00544C5B"/>
    <w:rsid w:val="00545424"/>
    <w:rsid w:val="00546351"/>
    <w:rsid w:val="0054705E"/>
    <w:rsid w:val="00547A26"/>
    <w:rsid w:val="00551966"/>
    <w:rsid w:val="00551EBB"/>
    <w:rsid w:val="0055614C"/>
    <w:rsid w:val="00560E85"/>
    <w:rsid w:val="00563C7F"/>
    <w:rsid w:val="0056486E"/>
    <w:rsid w:val="00565415"/>
    <w:rsid w:val="005657EB"/>
    <w:rsid w:val="00567423"/>
    <w:rsid w:val="00572985"/>
    <w:rsid w:val="005729C8"/>
    <w:rsid w:val="00572ECB"/>
    <w:rsid w:val="0057372F"/>
    <w:rsid w:val="005738C8"/>
    <w:rsid w:val="0057640F"/>
    <w:rsid w:val="00577DFA"/>
    <w:rsid w:val="005809A1"/>
    <w:rsid w:val="0058296D"/>
    <w:rsid w:val="00591A6F"/>
    <w:rsid w:val="00592AA0"/>
    <w:rsid w:val="00593187"/>
    <w:rsid w:val="00594B96"/>
    <w:rsid w:val="00594B98"/>
    <w:rsid w:val="0059612B"/>
    <w:rsid w:val="00597B51"/>
    <w:rsid w:val="005A4825"/>
    <w:rsid w:val="005A5737"/>
    <w:rsid w:val="005A5D6F"/>
    <w:rsid w:val="005B48FC"/>
    <w:rsid w:val="005B5E38"/>
    <w:rsid w:val="005B5F53"/>
    <w:rsid w:val="005B62D0"/>
    <w:rsid w:val="005B6901"/>
    <w:rsid w:val="005C1158"/>
    <w:rsid w:val="005C26E9"/>
    <w:rsid w:val="005C53A5"/>
    <w:rsid w:val="005C5B55"/>
    <w:rsid w:val="005C5D81"/>
    <w:rsid w:val="005C6FA8"/>
    <w:rsid w:val="005D00A8"/>
    <w:rsid w:val="005D03A0"/>
    <w:rsid w:val="005D16C5"/>
    <w:rsid w:val="005D1BE4"/>
    <w:rsid w:val="005D532A"/>
    <w:rsid w:val="005D5A44"/>
    <w:rsid w:val="005D5AF8"/>
    <w:rsid w:val="005E14C2"/>
    <w:rsid w:val="005E3051"/>
    <w:rsid w:val="005E3B86"/>
    <w:rsid w:val="005E728D"/>
    <w:rsid w:val="005E7768"/>
    <w:rsid w:val="005F0D05"/>
    <w:rsid w:val="005F2361"/>
    <w:rsid w:val="005F344D"/>
    <w:rsid w:val="005F37BF"/>
    <w:rsid w:val="005F5726"/>
    <w:rsid w:val="005F596A"/>
    <w:rsid w:val="00602ADF"/>
    <w:rsid w:val="00604E99"/>
    <w:rsid w:val="006075EA"/>
    <w:rsid w:val="00607BA5"/>
    <w:rsid w:val="0061051B"/>
    <w:rsid w:val="00610861"/>
    <w:rsid w:val="00611361"/>
    <w:rsid w:val="0061180A"/>
    <w:rsid w:val="00612DDD"/>
    <w:rsid w:val="00612E34"/>
    <w:rsid w:val="00613344"/>
    <w:rsid w:val="00613F7E"/>
    <w:rsid w:val="00613FD0"/>
    <w:rsid w:val="006202A3"/>
    <w:rsid w:val="00623356"/>
    <w:rsid w:val="0062442F"/>
    <w:rsid w:val="00624AD8"/>
    <w:rsid w:val="00624E64"/>
    <w:rsid w:val="00625E09"/>
    <w:rsid w:val="006268FB"/>
    <w:rsid w:val="00626EB6"/>
    <w:rsid w:val="006278AD"/>
    <w:rsid w:val="00631E6E"/>
    <w:rsid w:val="00632217"/>
    <w:rsid w:val="00632485"/>
    <w:rsid w:val="00633498"/>
    <w:rsid w:val="006345AD"/>
    <w:rsid w:val="00636753"/>
    <w:rsid w:val="00636F8B"/>
    <w:rsid w:val="00640FD9"/>
    <w:rsid w:val="00641826"/>
    <w:rsid w:val="00645C18"/>
    <w:rsid w:val="006475B5"/>
    <w:rsid w:val="00650090"/>
    <w:rsid w:val="00650A76"/>
    <w:rsid w:val="00652738"/>
    <w:rsid w:val="00652D9E"/>
    <w:rsid w:val="0065476B"/>
    <w:rsid w:val="0065517E"/>
    <w:rsid w:val="00655D03"/>
    <w:rsid w:val="006562A8"/>
    <w:rsid w:val="00656A48"/>
    <w:rsid w:val="00661ABF"/>
    <w:rsid w:val="006622F4"/>
    <w:rsid w:val="00664474"/>
    <w:rsid w:val="00666CDE"/>
    <w:rsid w:val="006677C3"/>
    <w:rsid w:val="006723ED"/>
    <w:rsid w:val="00672873"/>
    <w:rsid w:val="00673C78"/>
    <w:rsid w:val="006744C3"/>
    <w:rsid w:val="00676114"/>
    <w:rsid w:val="0067725F"/>
    <w:rsid w:val="00682900"/>
    <w:rsid w:val="00683388"/>
    <w:rsid w:val="00683F84"/>
    <w:rsid w:val="00687FA9"/>
    <w:rsid w:val="006900FB"/>
    <w:rsid w:val="00690D43"/>
    <w:rsid w:val="006916DB"/>
    <w:rsid w:val="00694F55"/>
    <w:rsid w:val="006A018D"/>
    <w:rsid w:val="006A235E"/>
    <w:rsid w:val="006A5BAA"/>
    <w:rsid w:val="006A6889"/>
    <w:rsid w:val="006A6A81"/>
    <w:rsid w:val="006B036C"/>
    <w:rsid w:val="006B102A"/>
    <w:rsid w:val="006B1575"/>
    <w:rsid w:val="006B18BE"/>
    <w:rsid w:val="006B1900"/>
    <w:rsid w:val="006B2040"/>
    <w:rsid w:val="006B2563"/>
    <w:rsid w:val="006B32CF"/>
    <w:rsid w:val="006B538F"/>
    <w:rsid w:val="006B6610"/>
    <w:rsid w:val="006B7BA7"/>
    <w:rsid w:val="006C2175"/>
    <w:rsid w:val="006C5F87"/>
    <w:rsid w:val="006C6A15"/>
    <w:rsid w:val="006D0A3F"/>
    <w:rsid w:val="006D3730"/>
    <w:rsid w:val="006D631E"/>
    <w:rsid w:val="006E0B20"/>
    <w:rsid w:val="006E2EB9"/>
    <w:rsid w:val="006E3811"/>
    <w:rsid w:val="006E4CEC"/>
    <w:rsid w:val="006E60DF"/>
    <w:rsid w:val="006F0495"/>
    <w:rsid w:val="006F26D1"/>
    <w:rsid w:val="006F2EBC"/>
    <w:rsid w:val="006F354F"/>
    <w:rsid w:val="006F60AA"/>
    <w:rsid w:val="006F62AC"/>
    <w:rsid w:val="006F71B8"/>
    <w:rsid w:val="006F7379"/>
    <w:rsid w:val="006F7393"/>
    <w:rsid w:val="0070224F"/>
    <w:rsid w:val="00702C2F"/>
    <w:rsid w:val="007049CB"/>
    <w:rsid w:val="00704F9F"/>
    <w:rsid w:val="00706187"/>
    <w:rsid w:val="0070644F"/>
    <w:rsid w:val="00707846"/>
    <w:rsid w:val="00711506"/>
    <w:rsid w:val="007115F7"/>
    <w:rsid w:val="00714990"/>
    <w:rsid w:val="00715227"/>
    <w:rsid w:val="007161EF"/>
    <w:rsid w:val="00717130"/>
    <w:rsid w:val="00717C8E"/>
    <w:rsid w:val="007241B7"/>
    <w:rsid w:val="00724C82"/>
    <w:rsid w:val="00725378"/>
    <w:rsid w:val="007254AB"/>
    <w:rsid w:val="00725932"/>
    <w:rsid w:val="00726970"/>
    <w:rsid w:val="00726F2D"/>
    <w:rsid w:val="0072721D"/>
    <w:rsid w:val="00731D98"/>
    <w:rsid w:val="00733F8E"/>
    <w:rsid w:val="007340A9"/>
    <w:rsid w:val="00734865"/>
    <w:rsid w:val="007370B2"/>
    <w:rsid w:val="007378C5"/>
    <w:rsid w:val="007417F3"/>
    <w:rsid w:val="0074210A"/>
    <w:rsid w:val="0074324B"/>
    <w:rsid w:val="00747340"/>
    <w:rsid w:val="007474BB"/>
    <w:rsid w:val="00751F4B"/>
    <w:rsid w:val="00753E0F"/>
    <w:rsid w:val="00755727"/>
    <w:rsid w:val="00755AAF"/>
    <w:rsid w:val="007568C5"/>
    <w:rsid w:val="007576DF"/>
    <w:rsid w:val="00761246"/>
    <w:rsid w:val="0076502F"/>
    <w:rsid w:val="00766999"/>
    <w:rsid w:val="007752F2"/>
    <w:rsid w:val="00781921"/>
    <w:rsid w:val="00784F0F"/>
    <w:rsid w:val="007852CD"/>
    <w:rsid w:val="00785328"/>
    <w:rsid w:val="00785689"/>
    <w:rsid w:val="0078678B"/>
    <w:rsid w:val="00790E81"/>
    <w:rsid w:val="00793418"/>
    <w:rsid w:val="00794DDE"/>
    <w:rsid w:val="007973EA"/>
    <w:rsid w:val="0079754B"/>
    <w:rsid w:val="007A0B55"/>
    <w:rsid w:val="007A1E6D"/>
    <w:rsid w:val="007A258B"/>
    <w:rsid w:val="007A2EE4"/>
    <w:rsid w:val="007A3E2D"/>
    <w:rsid w:val="007A505A"/>
    <w:rsid w:val="007A59A3"/>
    <w:rsid w:val="007A5E29"/>
    <w:rsid w:val="007A634A"/>
    <w:rsid w:val="007A68B6"/>
    <w:rsid w:val="007A7F43"/>
    <w:rsid w:val="007B0EB2"/>
    <w:rsid w:val="007B3B35"/>
    <w:rsid w:val="007B7DF7"/>
    <w:rsid w:val="007C043D"/>
    <w:rsid w:val="007C1A90"/>
    <w:rsid w:val="007C2357"/>
    <w:rsid w:val="007C2C2A"/>
    <w:rsid w:val="007C483C"/>
    <w:rsid w:val="007C5C81"/>
    <w:rsid w:val="007C7C9D"/>
    <w:rsid w:val="007D0436"/>
    <w:rsid w:val="007D065F"/>
    <w:rsid w:val="007D0D7D"/>
    <w:rsid w:val="007D1406"/>
    <w:rsid w:val="007D15A4"/>
    <w:rsid w:val="007D35F6"/>
    <w:rsid w:val="007D4BAC"/>
    <w:rsid w:val="007D68D7"/>
    <w:rsid w:val="007D6F42"/>
    <w:rsid w:val="007D7D31"/>
    <w:rsid w:val="007E075E"/>
    <w:rsid w:val="007E55D5"/>
    <w:rsid w:val="007E56C3"/>
    <w:rsid w:val="007F1124"/>
    <w:rsid w:val="007F16F0"/>
    <w:rsid w:val="007F3178"/>
    <w:rsid w:val="007F6FE2"/>
    <w:rsid w:val="007F7D60"/>
    <w:rsid w:val="007F7EFE"/>
    <w:rsid w:val="0080212F"/>
    <w:rsid w:val="00802274"/>
    <w:rsid w:val="00803C8C"/>
    <w:rsid w:val="00806F53"/>
    <w:rsid w:val="00810B6F"/>
    <w:rsid w:val="0081206E"/>
    <w:rsid w:val="00815651"/>
    <w:rsid w:val="00816E40"/>
    <w:rsid w:val="00821D38"/>
    <w:rsid w:val="00822704"/>
    <w:rsid w:val="00822886"/>
    <w:rsid w:val="00822CE0"/>
    <w:rsid w:val="00824243"/>
    <w:rsid w:val="00826175"/>
    <w:rsid w:val="008261E0"/>
    <w:rsid w:val="00826440"/>
    <w:rsid w:val="00830020"/>
    <w:rsid w:val="008316BE"/>
    <w:rsid w:val="00832C07"/>
    <w:rsid w:val="00834C85"/>
    <w:rsid w:val="00837A88"/>
    <w:rsid w:val="00841558"/>
    <w:rsid w:val="00841AB1"/>
    <w:rsid w:val="008425EC"/>
    <w:rsid w:val="00843CED"/>
    <w:rsid w:val="00845E7C"/>
    <w:rsid w:val="00852D50"/>
    <w:rsid w:val="00854D77"/>
    <w:rsid w:val="00857DF4"/>
    <w:rsid w:val="008601CD"/>
    <w:rsid w:val="00860566"/>
    <w:rsid w:val="008607AA"/>
    <w:rsid w:val="0086520A"/>
    <w:rsid w:val="00867E67"/>
    <w:rsid w:val="00867EA9"/>
    <w:rsid w:val="00871224"/>
    <w:rsid w:val="008761A5"/>
    <w:rsid w:val="00877ACF"/>
    <w:rsid w:val="0088517A"/>
    <w:rsid w:val="00886EE7"/>
    <w:rsid w:val="00887DA2"/>
    <w:rsid w:val="00894362"/>
    <w:rsid w:val="00895185"/>
    <w:rsid w:val="00895FD6"/>
    <w:rsid w:val="00896001"/>
    <w:rsid w:val="008A06D6"/>
    <w:rsid w:val="008A39AB"/>
    <w:rsid w:val="008A3A48"/>
    <w:rsid w:val="008A409F"/>
    <w:rsid w:val="008A6BBF"/>
    <w:rsid w:val="008A6D61"/>
    <w:rsid w:val="008B0012"/>
    <w:rsid w:val="008B21A4"/>
    <w:rsid w:val="008C02BD"/>
    <w:rsid w:val="008C0B65"/>
    <w:rsid w:val="008C2F47"/>
    <w:rsid w:val="008C68F1"/>
    <w:rsid w:val="008D0D55"/>
    <w:rsid w:val="008D14BC"/>
    <w:rsid w:val="008D54AA"/>
    <w:rsid w:val="008D79F6"/>
    <w:rsid w:val="008E7406"/>
    <w:rsid w:val="008E7BDF"/>
    <w:rsid w:val="008F1EBD"/>
    <w:rsid w:val="008F3DBE"/>
    <w:rsid w:val="008F4223"/>
    <w:rsid w:val="008F59AC"/>
    <w:rsid w:val="008F6474"/>
    <w:rsid w:val="009026CF"/>
    <w:rsid w:val="009074BD"/>
    <w:rsid w:val="009075FB"/>
    <w:rsid w:val="009125F1"/>
    <w:rsid w:val="00912FE4"/>
    <w:rsid w:val="00913E00"/>
    <w:rsid w:val="009148F5"/>
    <w:rsid w:val="00921803"/>
    <w:rsid w:val="00923852"/>
    <w:rsid w:val="00924B0A"/>
    <w:rsid w:val="00926503"/>
    <w:rsid w:val="00926E7D"/>
    <w:rsid w:val="00927DCE"/>
    <w:rsid w:val="00927EF5"/>
    <w:rsid w:val="0093387F"/>
    <w:rsid w:val="00934589"/>
    <w:rsid w:val="009345BF"/>
    <w:rsid w:val="00934F35"/>
    <w:rsid w:val="00936E47"/>
    <w:rsid w:val="00941689"/>
    <w:rsid w:val="00944147"/>
    <w:rsid w:val="009454DC"/>
    <w:rsid w:val="009460BA"/>
    <w:rsid w:val="009533AB"/>
    <w:rsid w:val="009551D7"/>
    <w:rsid w:val="00955548"/>
    <w:rsid w:val="00955BB6"/>
    <w:rsid w:val="00955E72"/>
    <w:rsid w:val="009642B4"/>
    <w:rsid w:val="009660E8"/>
    <w:rsid w:val="00967AEE"/>
    <w:rsid w:val="00971694"/>
    <w:rsid w:val="00971E42"/>
    <w:rsid w:val="009726D8"/>
    <w:rsid w:val="00972EEE"/>
    <w:rsid w:val="009747B7"/>
    <w:rsid w:val="0097517D"/>
    <w:rsid w:val="0097644D"/>
    <w:rsid w:val="00980806"/>
    <w:rsid w:val="00981238"/>
    <w:rsid w:val="00981816"/>
    <w:rsid w:val="0098381F"/>
    <w:rsid w:val="0098483C"/>
    <w:rsid w:val="00990398"/>
    <w:rsid w:val="009947E7"/>
    <w:rsid w:val="00995015"/>
    <w:rsid w:val="00995B3D"/>
    <w:rsid w:val="00996DA2"/>
    <w:rsid w:val="009A76C6"/>
    <w:rsid w:val="009B0816"/>
    <w:rsid w:val="009B4646"/>
    <w:rsid w:val="009B6A2A"/>
    <w:rsid w:val="009C1B5B"/>
    <w:rsid w:val="009C2243"/>
    <w:rsid w:val="009C3DA4"/>
    <w:rsid w:val="009C4951"/>
    <w:rsid w:val="009C5E63"/>
    <w:rsid w:val="009C7846"/>
    <w:rsid w:val="009C7B1E"/>
    <w:rsid w:val="009D1B6E"/>
    <w:rsid w:val="009D5BF7"/>
    <w:rsid w:val="009D72F4"/>
    <w:rsid w:val="009E03F4"/>
    <w:rsid w:val="009E6E8A"/>
    <w:rsid w:val="009F2952"/>
    <w:rsid w:val="009F41B3"/>
    <w:rsid w:val="009F43CD"/>
    <w:rsid w:val="009F5441"/>
    <w:rsid w:val="009F76DB"/>
    <w:rsid w:val="00A004F7"/>
    <w:rsid w:val="00A0199E"/>
    <w:rsid w:val="00A063D7"/>
    <w:rsid w:val="00A138F8"/>
    <w:rsid w:val="00A148F0"/>
    <w:rsid w:val="00A15719"/>
    <w:rsid w:val="00A165CF"/>
    <w:rsid w:val="00A21012"/>
    <w:rsid w:val="00A23C99"/>
    <w:rsid w:val="00A25592"/>
    <w:rsid w:val="00A26224"/>
    <w:rsid w:val="00A32C3B"/>
    <w:rsid w:val="00A3538F"/>
    <w:rsid w:val="00A37A0A"/>
    <w:rsid w:val="00A40F5A"/>
    <w:rsid w:val="00A414E7"/>
    <w:rsid w:val="00A42F1C"/>
    <w:rsid w:val="00A44DAE"/>
    <w:rsid w:val="00A4531F"/>
    <w:rsid w:val="00A45F4F"/>
    <w:rsid w:val="00A477F5"/>
    <w:rsid w:val="00A532C4"/>
    <w:rsid w:val="00A55B96"/>
    <w:rsid w:val="00A56E60"/>
    <w:rsid w:val="00A56F30"/>
    <w:rsid w:val="00A600A9"/>
    <w:rsid w:val="00A6023B"/>
    <w:rsid w:val="00A616B4"/>
    <w:rsid w:val="00A64F21"/>
    <w:rsid w:val="00A665F1"/>
    <w:rsid w:val="00A6739F"/>
    <w:rsid w:val="00A67683"/>
    <w:rsid w:val="00A7073E"/>
    <w:rsid w:val="00A749DA"/>
    <w:rsid w:val="00A75D0E"/>
    <w:rsid w:val="00A75F42"/>
    <w:rsid w:val="00A77527"/>
    <w:rsid w:val="00A77BBF"/>
    <w:rsid w:val="00A80CCB"/>
    <w:rsid w:val="00A8152C"/>
    <w:rsid w:val="00A82471"/>
    <w:rsid w:val="00A839C9"/>
    <w:rsid w:val="00A83A5F"/>
    <w:rsid w:val="00A84C8A"/>
    <w:rsid w:val="00A85558"/>
    <w:rsid w:val="00A868DA"/>
    <w:rsid w:val="00A95A66"/>
    <w:rsid w:val="00AA1335"/>
    <w:rsid w:val="00AA394B"/>
    <w:rsid w:val="00AA4783"/>
    <w:rsid w:val="00AA4979"/>
    <w:rsid w:val="00AA55B7"/>
    <w:rsid w:val="00AA5B9E"/>
    <w:rsid w:val="00AA625F"/>
    <w:rsid w:val="00AA645C"/>
    <w:rsid w:val="00AB0232"/>
    <w:rsid w:val="00AB06AE"/>
    <w:rsid w:val="00AB1013"/>
    <w:rsid w:val="00AB107E"/>
    <w:rsid w:val="00AB2407"/>
    <w:rsid w:val="00AB3B90"/>
    <w:rsid w:val="00AB3E55"/>
    <w:rsid w:val="00AB53DF"/>
    <w:rsid w:val="00AC0287"/>
    <w:rsid w:val="00AC02C7"/>
    <w:rsid w:val="00AC1205"/>
    <w:rsid w:val="00AC2BE6"/>
    <w:rsid w:val="00AD3EFF"/>
    <w:rsid w:val="00AD41B9"/>
    <w:rsid w:val="00AD7B44"/>
    <w:rsid w:val="00AE2C4D"/>
    <w:rsid w:val="00AE3D61"/>
    <w:rsid w:val="00AE42C3"/>
    <w:rsid w:val="00AE46E9"/>
    <w:rsid w:val="00AF0EE7"/>
    <w:rsid w:val="00AF2065"/>
    <w:rsid w:val="00AF639B"/>
    <w:rsid w:val="00AF74FA"/>
    <w:rsid w:val="00B0000C"/>
    <w:rsid w:val="00B07E5C"/>
    <w:rsid w:val="00B1211F"/>
    <w:rsid w:val="00B12834"/>
    <w:rsid w:val="00B12C11"/>
    <w:rsid w:val="00B14A1A"/>
    <w:rsid w:val="00B15FD5"/>
    <w:rsid w:val="00B16D33"/>
    <w:rsid w:val="00B1762F"/>
    <w:rsid w:val="00B23C41"/>
    <w:rsid w:val="00B23F77"/>
    <w:rsid w:val="00B2678A"/>
    <w:rsid w:val="00B30CDE"/>
    <w:rsid w:val="00B32962"/>
    <w:rsid w:val="00B33A92"/>
    <w:rsid w:val="00B33EBC"/>
    <w:rsid w:val="00B34207"/>
    <w:rsid w:val="00B35FFA"/>
    <w:rsid w:val="00B43817"/>
    <w:rsid w:val="00B43B69"/>
    <w:rsid w:val="00B473C6"/>
    <w:rsid w:val="00B50309"/>
    <w:rsid w:val="00B511F6"/>
    <w:rsid w:val="00B526BB"/>
    <w:rsid w:val="00B530EA"/>
    <w:rsid w:val="00B60708"/>
    <w:rsid w:val="00B61147"/>
    <w:rsid w:val="00B63EB2"/>
    <w:rsid w:val="00B64D44"/>
    <w:rsid w:val="00B71228"/>
    <w:rsid w:val="00B73768"/>
    <w:rsid w:val="00B76B26"/>
    <w:rsid w:val="00B76FD5"/>
    <w:rsid w:val="00B811F7"/>
    <w:rsid w:val="00B822A7"/>
    <w:rsid w:val="00B82F40"/>
    <w:rsid w:val="00B8372B"/>
    <w:rsid w:val="00B85A16"/>
    <w:rsid w:val="00B86612"/>
    <w:rsid w:val="00B92E1C"/>
    <w:rsid w:val="00B930AC"/>
    <w:rsid w:val="00B95AB1"/>
    <w:rsid w:val="00B95C6F"/>
    <w:rsid w:val="00B95D71"/>
    <w:rsid w:val="00B971EB"/>
    <w:rsid w:val="00B97B91"/>
    <w:rsid w:val="00BA07B4"/>
    <w:rsid w:val="00BA4D16"/>
    <w:rsid w:val="00BA5DC6"/>
    <w:rsid w:val="00BA6196"/>
    <w:rsid w:val="00BB0B08"/>
    <w:rsid w:val="00BB219D"/>
    <w:rsid w:val="00BB24C4"/>
    <w:rsid w:val="00BB383A"/>
    <w:rsid w:val="00BB5095"/>
    <w:rsid w:val="00BB7F89"/>
    <w:rsid w:val="00BC0F9E"/>
    <w:rsid w:val="00BC1E99"/>
    <w:rsid w:val="00BC3F8A"/>
    <w:rsid w:val="00BC4E68"/>
    <w:rsid w:val="00BC4ED1"/>
    <w:rsid w:val="00BC508A"/>
    <w:rsid w:val="00BC5B7B"/>
    <w:rsid w:val="00BC6D8C"/>
    <w:rsid w:val="00BC7DB2"/>
    <w:rsid w:val="00BD002F"/>
    <w:rsid w:val="00BD2399"/>
    <w:rsid w:val="00BD291E"/>
    <w:rsid w:val="00BD377F"/>
    <w:rsid w:val="00BD3BA3"/>
    <w:rsid w:val="00BD5A8C"/>
    <w:rsid w:val="00BD5CAE"/>
    <w:rsid w:val="00BD6DC8"/>
    <w:rsid w:val="00BF01F9"/>
    <w:rsid w:val="00BF027C"/>
    <w:rsid w:val="00BF1192"/>
    <w:rsid w:val="00BF36F4"/>
    <w:rsid w:val="00BF4A76"/>
    <w:rsid w:val="00BF4F8D"/>
    <w:rsid w:val="00BF62EA"/>
    <w:rsid w:val="00C00040"/>
    <w:rsid w:val="00C13F91"/>
    <w:rsid w:val="00C14CE3"/>
    <w:rsid w:val="00C14F15"/>
    <w:rsid w:val="00C16416"/>
    <w:rsid w:val="00C21D2B"/>
    <w:rsid w:val="00C25329"/>
    <w:rsid w:val="00C3327E"/>
    <w:rsid w:val="00C34006"/>
    <w:rsid w:val="00C352DA"/>
    <w:rsid w:val="00C4205B"/>
    <w:rsid w:val="00C426B1"/>
    <w:rsid w:val="00C446B2"/>
    <w:rsid w:val="00C460B4"/>
    <w:rsid w:val="00C472C9"/>
    <w:rsid w:val="00C52CFD"/>
    <w:rsid w:val="00C53D4B"/>
    <w:rsid w:val="00C53ED3"/>
    <w:rsid w:val="00C54D50"/>
    <w:rsid w:val="00C574B0"/>
    <w:rsid w:val="00C606BA"/>
    <w:rsid w:val="00C61E23"/>
    <w:rsid w:val="00C629A0"/>
    <w:rsid w:val="00C66160"/>
    <w:rsid w:val="00C664CE"/>
    <w:rsid w:val="00C674D5"/>
    <w:rsid w:val="00C679DB"/>
    <w:rsid w:val="00C7046F"/>
    <w:rsid w:val="00C706D9"/>
    <w:rsid w:val="00C70C51"/>
    <w:rsid w:val="00C721AC"/>
    <w:rsid w:val="00C72B29"/>
    <w:rsid w:val="00C73DFA"/>
    <w:rsid w:val="00C74C64"/>
    <w:rsid w:val="00C75945"/>
    <w:rsid w:val="00C80B73"/>
    <w:rsid w:val="00C80C21"/>
    <w:rsid w:val="00C834CB"/>
    <w:rsid w:val="00C83998"/>
    <w:rsid w:val="00C866D3"/>
    <w:rsid w:val="00C86B7D"/>
    <w:rsid w:val="00C86B9B"/>
    <w:rsid w:val="00C87225"/>
    <w:rsid w:val="00C87EA0"/>
    <w:rsid w:val="00C87EB4"/>
    <w:rsid w:val="00C90966"/>
    <w:rsid w:val="00C90D6A"/>
    <w:rsid w:val="00C92407"/>
    <w:rsid w:val="00C951F1"/>
    <w:rsid w:val="00C957B3"/>
    <w:rsid w:val="00C95815"/>
    <w:rsid w:val="00C95CD9"/>
    <w:rsid w:val="00C95EE5"/>
    <w:rsid w:val="00C96812"/>
    <w:rsid w:val="00C96967"/>
    <w:rsid w:val="00CA0520"/>
    <w:rsid w:val="00CA247E"/>
    <w:rsid w:val="00CA52A1"/>
    <w:rsid w:val="00CA5358"/>
    <w:rsid w:val="00CA55B6"/>
    <w:rsid w:val="00CA6117"/>
    <w:rsid w:val="00CA774B"/>
    <w:rsid w:val="00CA790D"/>
    <w:rsid w:val="00CB0E2B"/>
    <w:rsid w:val="00CB164B"/>
    <w:rsid w:val="00CB21A9"/>
    <w:rsid w:val="00CB23A3"/>
    <w:rsid w:val="00CB63B4"/>
    <w:rsid w:val="00CB6F9F"/>
    <w:rsid w:val="00CB74A6"/>
    <w:rsid w:val="00CC6EBB"/>
    <w:rsid w:val="00CC72B6"/>
    <w:rsid w:val="00CD1B8E"/>
    <w:rsid w:val="00CD21D9"/>
    <w:rsid w:val="00CD2785"/>
    <w:rsid w:val="00CD2F6A"/>
    <w:rsid w:val="00CD306D"/>
    <w:rsid w:val="00CD317E"/>
    <w:rsid w:val="00CD4A02"/>
    <w:rsid w:val="00CD728F"/>
    <w:rsid w:val="00CD781A"/>
    <w:rsid w:val="00CD7C8E"/>
    <w:rsid w:val="00CE341F"/>
    <w:rsid w:val="00CE73F0"/>
    <w:rsid w:val="00CE790E"/>
    <w:rsid w:val="00CF1842"/>
    <w:rsid w:val="00CF2A6E"/>
    <w:rsid w:val="00CF332B"/>
    <w:rsid w:val="00CF666F"/>
    <w:rsid w:val="00CF71B2"/>
    <w:rsid w:val="00CF7FE1"/>
    <w:rsid w:val="00D01563"/>
    <w:rsid w:val="00D01DF9"/>
    <w:rsid w:val="00D0218D"/>
    <w:rsid w:val="00D10C11"/>
    <w:rsid w:val="00D10F70"/>
    <w:rsid w:val="00D11830"/>
    <w:rsid w:val="00D14953"/>
    <w:rsid w:val="00D152B4"/>
    <w:rsid w:val="00D17263"/>
    <w:rsid w:val="00D17409"/>
    <w:rsid w:val="00D1761C"/>
    <w:rsid w:val="00D17C52"/>
    <w:rsid w:val="00D20364"/>
    <w:rsid w:val="00D21293"/>
    <w:rsid w:val="00D21419"/>
    <w:rsid w:val="00D2290A"/>
    <w:rsid w:val="00D241DD"/>
    <w:rsid w:val="00D24EB8"/>
    <w:rsid w:val="00D25FB5"/>
    <w:rsid w:val="00D26911"/>
    <w:rsid w:val="00D26B96"/>
    <w:rsid w:val="00D2738D"/>
    <w:rsid w:val="00D3115A"/>
    <w:rsid w:val="00D31940"/>
    <w:rsid w:val="00D31C0C"/>
    <w:rsid w:val="00D348E6"/>
    <w:rsid w:val="00D34C76"/>
    <w:rsid w:val="00D3517A"/>
    <w:rsid w:val="00D40172"/>
    <w:rsid w:val="00D41276"/>
    <w:rsid w:val="00D41EBB"/>
    <w:rsid w:val="00D43451"/>
    <w:rsid w:val="00D434D4"/>
    <w:rsid w:val="00D44223"/>
    <w:rsid w:val="00D44D7E"/>
    <w:rsid w:val="00D46540"/>
    <w:rsid w:val="00D471BA"/>
    <w:rsid w:val="00D52856"/>
    <w:rsid w:val="00D56745"/>
    <w:rsid w:val="00D56820"/>
    <w:rsid w:val="00D6056A"/>
    <w:rsid w:val="00D605FA"/>
    <w:rsid w:val="00D62ED0"/>
    <w:rsid w:val="00D67123"/>
    <w:rsid w:val="00D6790E"/>
    <w:rsid w:val="00D713F1"/>
    <w:rsid w:val="00D71EB1"/>
    <w:rsid w:val="00D71F34"/>
    <w:rsid w:val="00D73382"/>
    <w:rsid w:val="00D73BBA"/>
    <w:rsid w:val="00D73BBC"/>
    <w:rsid w:val="00D73FB1"/>
    <w:rsid w:val="00D74CCD"/>
    <w:rsid w:val="00D7549E"/>
    <w:rsid w:val="00D766EC"/>
    <w:rsid w:val="00D76B76"/>
    <w:rsid w:val="00D775C2"/>
    <w:rsid w:val="00D80252"/>
    <w:rsid w:val="00D8099D"/>
    <w:rsid w:val="00D86A48"/>
    <w:rsid w:val="00D87EC0"/>
    <w:rsid w:val="00D913BA"/>
    <w:rsid w:val="00D914C5"/>
    <w:rsid w:val="00D91E0B"/>
    <w:rsid w:val="00DA2529"/>
    <w:rsid w:val="00DB04A2"/>
    <w:rsid w:val="00DB130A"/>
    <w:rsid w:val="00DB1DE4"/>
    <w:rsid w:val="00DB2EBB"/>
    <w:rsid w:val="00DB6C9B"/>
    <w:rsid w:val="00DC10A1"/>
    <w:rsid w:val="00DC2374"/>
    <w:rsid w:val="00DC36F8"/>
    <w:rsid w:val="00DC3A64"/>
    <w:rsid w:val="00DC47F6"/>
    <w:rsid w:val="00DC5240"/>
    <w:rsid w:val="00DC655F"/>
    <w:rsid w:val="00DD0B59"/>
    <w:rsid w:val="00DD280E"/>
    <w:rsid w:val="00DD7C11"/>
    <w:rsid w:val="00DD7EBD"/>
    <w:rsid w:val="00DE144F"/>
    <w:rsid w:val="00DE1C45"/>
    <w:rsid w:val="00DE57C2"/>
    <w:rsid w:val="00DE5D6C"/>
    <w:rsid w:val="00DE5ED1"/>
    <w:rsid w:val="00DF06FE"/>
    <w:rsid w:val="00DF1B5A"/>
    <w:rsid w:val="00DF212A"/>
    <w:rsid w:val="00DF332C"/>
    <w:rsid w:val="00DF4924"/>
    <w:rsid w:val="00DF62B6"/>
    <w:rsid w:val="00DF79D3"/>
    <w:rsid w:val="00E00FE7"/>
    <w:rsid w:val="00E02D18"/>
    <w:rsid w:val="00E037AD"/>
    <w:rsid w:val="00E0588F"/>
    <w:rsid w:val="00E07225"/>
    <w:rsid w:val="00E10394"/>
    <w:rsid w:val="00E15FF6"/>
    <w:rsid w:val="00E16860"/>
    <w:rsid w:val="00E17B5F"/>
    <w:rsid w:val="00E17D04"/>
    <w:rsid w:val="00E215F7"/>
    <w:rsid w:val="00E23A4F"/>
    <w:rsid w:val="00E24F24"/>
    <w:rsid w:val="00E2505B"/>
    <w:rsid w:val="00E25997"/>
    <w:rsid w:val="00E25E4D"/>
    <w:rsid w:val="00E26667"/>
    <w:rsid w:val="00E30105"/>
    <w:rsid w:val="00E30228"/>
    <w:rsid w:val="00E30B1B"/>
    <w:rsid w:val="00E3154C"/>
    <w:rsid w:val="00E33605"/>
    <w:rsid w:val="00E34972"/>
    <w:rsid w:val="00E400A5"/>
    <w:rsid w:val="00E40697"/>
    <w:rsid w:val="00E41C6C"/>
    <w:rsid w:val="00E433E5"/>
    <w:rsid w:val="00E44278"/>
    <w:rsid w:val="00E45C2E"/>
    <w:rsid w:val="00E45D3B"/>
    <w:rsid w:val="00E476A2"/>
    <w:rsid w:val="00E50C40"/>
    <w:rsid w:val="00E52FFA"/>
    <w:rsid w:val="00E5409F"/>
    <w:rsid w:val="00E56408"/>
    <w:rsid w:val="00E567B6"/>
    <w:rsid w:val="00E60110"/>
    <w:rsid w:val="00E6367F"/>
    <w:rsid w:val="00E63EB0"/>
    <w:rsid w:val="00E654AE"/>
    <w:rsid w:val="00E654CA"/>
    <w:rsid w:val="00E659D2"/>
    <w:rsid w:val="00E70E70"/>
    <w:rsid w:val="00E74B4A"/>
    <w:rsid w:val="00E75F7C"/>
    <w:rsid w:val="00E76718"/>
    <w:rsid w:val="00E76761"/>
    <w:rsid w:val="00E7768D"/>
    <w:rsid w:val="00E8052F"/>
    <w:rsid w:val="00E8155A"/>
    <w:rsid w:val="00E83876"/>
    <w:rsid w:val="00E90A4F"/>
    <w:rsid w:val="00E91306"/>
    <w:rsid w:val="00E91581"/>
    <w:rsid w:val="00E943D8"/>
    <w:rsid w:val="00E97ABA"/>
    <w:rsid w:val="00EA1A4E"/>
    <w:rsid w:val="00EA3F33"/>
    <w:rsid w:val="00EA604F"/>
    <w:rsid w:val="00EB4613"/>
    <w:rsid w:val="00EB4F7C"/>
    <w:rsid w:val="00EB5854"/>
    <w:rsid w:val="00EB5AF5"/>
    <w:rsid w:val="00EB5CF1"/>
    <w:rsid w:val="00EB6C05"/>
    <w:rsid w:val="00EB7285"/>
    <w:rsid w:val="00EC1E77"/>
    <w:rsid w:val="00EC1F98"/>
    <w:rsid w:val="00EC64F8"/>
    <w:rsid w:val="00EC659A"/>
    <w:rsid w:val="00ED070D"/>
    <w:rsid w:val="00ED18A1"/>
    <w:rsid w:val="00ED1ADE"/>
    <w:rsid w:val="00ED1B37"/>
    <w:rsid w:val="00ED2AE5"/>
    <w:rsid w:val="00ED2F1F"/>
    <w:rsid w:val="00ED43D8"/>
    <w:rsid w:val="00ED45E6"/>
    <w:rsid w:val="00ED7196"/>
    <w:rsid w:val="00EE4BBA"/>
    <w:rsid w:val="00EE5274"/>
    <w:rsid w:val="00EE6488"/>
    <w:rsid w:val="00EE6772"/>
    <w:rsid w:val="00EE6E90"/>
    <w:rsid w:val="00EF0089"/>
    <w:rsid w:val="00EF2D37"/>
    <w:rsid w:val="00EF315D"/>
    <w:rsid w:val="00EF4CD9"/>
    <w:rsid w:val="00EF5862"/>
    <w:rsid w:val="00EF6D72"/>
    <w:rsid w:val="00EF7EBA"/>
    <w:rsid w:val="00F01A11"/>
    <w:rsid w:val="00F021FA"/>
    <w:rsid w:val="00F03D9A"/>
    <w:rsid w:val="00F04E20"/>
    <w:rsid w:val="00F05818"/>
    <w:rsid w:val="00F074ED"/>
    <w:rsid w:val="00F07C95"/>
    <w:rsid w:val="00F10762"/>
    <w:rsid w:val="00F113B3"/>
    <w:rsid w:val="00F11EBF"/>
    <w:rsid w:val="00F126D8"/>
    <w:rsid w:val="00F14938"/>
    <w:rsid w:val="00F15FF2"/>
    <w:rsid w:val="00F17068"/>
    <w:rsid w:val="00F17D35"/>
    <w:rsid w:val="00F20214"/>
    <w:rsid w:val="00F275CF"/>
    <w:rsid w:val="00F27D62"/>
    <w:rsid w:val="00F33B78"/>
    <w:rsid w:val="00F347A3"/>
    <w:rsid w:val="00F34C85"/>
    <w:rsid w:val="00F355E2"/>
    <w:rsid w:val="00F37962"/>
    <w:rsid w:val="00F40F4D"/>
    <w:rsid w:val="00F42BC7"/>
    <w:rsid w:val="00F4638B"/>
    <w:rsid w:val="00F5017B"/>
    <w:rsid w:val="00F52AE5"/>
    <w:rsid w:val="00F53357"/>
    <w:rsid w:val="00F53A36"/>
    <w:rsid w:val="00F54184"/>
    <w:rsid w:val="00F54AAF"/>
    <w:rsid w:val="00F62E97"/>
    <w:rsid w:val="00F63CA1"/>
    <w:rsid w:val="00F63EE8"/>
    <w:rsid w:val="00F64209"/>
    <w:rsid w:val="00F67998"/>
    <w:rsid w:val="00F71060"/>
    <w:rsid w:val="00F75744"/>
    <w:rsid w:val="00F80A27"/>
    <w:rsid w:val="00F8697F"/>
    <w:rsid w:val="00F91DCE"/>
    <w:rsid w:val="00F92BCC"/>
    <w:rsid w:val="00F93BF5"/>
    <w:rsid w:val="00F94786"/>
    <w:rsid w:val="00F96A76"/>
    <w:rsid w:val="00FA1B2F"/>
    <w:rsid w:val="00FA498F"/>
    <w:rsid w:val="00FA5B8F"/>
    <w:rsid w:val="00FA752C"/>
    <w:rsid w:val="00FB0D8D"/>
    <w:rsid w:val="00FB2DE6"/>
    <w:rsid w:val="00FB3DD1"/>
    <w:rsid w:val="00FB6A0B"/>
    <w:rsid w:val="00FC0FCE"/>
    <w:rsid w:val="00FC1667"/>
    <w:rsid w:val="00FC22E8"/>
    <w:rsid w:val="00FD0DFF"/>
    <w:rsid w:val="00FD585D"/>
    <w:rsid w:val="00FD6331"/>
    <w:rsid w:val="00FE1327"/>
    <w:rsid w:val="00FE14F3"/>
    <w:rsid w:val="00FE1E47"/>
    <w:rsid w:val="00FE4F99"/>
    <w:rsid w:val="00FE5DBB"/>
    <w:rsid w:val="00FF3264"/>
    <w:rsid w:val="00FF5B0F"/>
    <w:rsid w:val="00FF6E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7F3"/>
    <w:pPr>
      <w:widowControl w:val="0"/>
    </w:pPr>
    <w:rPr>
      <w:snapToGrid w:val="0"/>
      <w:kern w:val="28"/>
      <w:sz w:val="22"/>
    </w:rPr>
  </w:style>
  <w:style w:type="paragraph" w:styleId="Heading1">
    <w:name w:val="heading 1"/>
    <w:basedOn w:val="Normal"/>
    <w:next w:val="ParaNum"/>
    <w:qFormat/>
    <w:rsid w:val="007417F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417F3"/>
    <w:pPr>
      <w:keepNext/>
      <w:numPr>
        <w:ilvl w:val="1"/>
        <w:numId w:val="3"/>
      </w:numPr>
      <w:spacing w:after="120"/>
      <w:outlineLvl w:val="1"/>
    </w:pPr>
    <w:rPr>
      <w:b/>
    </w:rPr>
  </w:style>
  <w:style w:type="paragraph" w:styleId="Heading3">
    <w:name w:val="heading 3"/>
    <w:basedOn w:val="Normal"/>
    <w:next w:val="ParaNum"/>
    <w:qFormat/>
    <w:rsid w:val="007417F3"/>
    <w:pPr>
      <w:keepNext/>
      <w:numPr>
        <w:ilvl w:val="2"/>
        <w:numId w:val="3"/>
      </w:numPr>
      <w:tabs>
        <w:tab w:val="left" w:pos="2160"/>
      </w:tabs>
      <w:spacing w:after="120"/>
      <w:outlineLvl w:val="2"/>
    </w:pPr>
    <w:rPr>
      <w:b/>
    </w:rPr>
  </w:style>
  <w:style w:type="paragraph" w:styleId="Heading4">
    <w:name w:val="heading 4"/>
    <w:basedOn w:val="Normal"/>
    <w:next w:val="ParaNum"/>
    <w:qFormat/>
    <w:rsid w:val="007417F3"/>
    <w:pPr>
      <w:keepNext/>
      <w:numPr>
        <w:ilvl w:val="3"/>
        <w:numId w:val="3"/>
      </w:numPr>
      <w:tabs>
        <w:tab w:val="left" w:pos="2880"/>
      </w:tabs>
      <w:spacing w:after="120"/>
      <w:outlineLvl w:val="3"/>
    </w:pPr>
    <w:rPr>
      <w:b/>
    </w:rPr>
  </w:style>
  <w:style w:type="paragraph" w:styleId="Heading5">
    <w:name w:val="heading 5"/>
    <w:basedOn w:val="Normal"/>
    <w:next w:val="ParaNum"/>
    <w:qFormat/>
    <w:rsid w:val="007417F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417F3"/>
    <w:pPr>
      <w:numPr>
        <w:ilvl w:val="5"/>
        <w:numId w:val="3"/>
      </w:numPr>
      <w:tabs>
        <w:tab w:val="left" w:pos="4320"/>
      </w:tabs>
      <w:spacing w:after="120"/>
      <w:outlineLvl w:val="5"/>
    </w:pPr>
    <w:rPr>
      <w:b/>
    </w:rPr>
  </w:style>
  <w:style w:type="paragraph" w:styleId="Heading7">
    <w:name w:val="heading 7"/>
    <w:basedOn w:val="Normal"/>
    <w:next w:val="ParaNum"/>
    <w:qFormat/>
    <w:rsid w:val="007417F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417F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417F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417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17F3"/>
  </w:style>
  <w:style w:type="paragraph" w:customStyle="1" w:styleId="ParaNum">
    <w:name w:val="ParaNum"/>
    <w:basedOn w:val="Normal"/>
    <w:link w:val="ParaNumChar"/>
    <w:rsid w:val="007417F3"/>
    <w:pPr>
      <w:numPr>
        <w:numId w:val="2"/>
      </w:numPr>
      <w:tabs>
        <w:tab w:val="clear" w:pos="1080"/>
        <w:tab w:val="num" w:pos="1440"/>
      </w:tabs>
      <w:spacing w:after="120"/>
    </w:pPr>
  </w:style>
  <w:style w:type="paragraph" w:styleId="EndnoteText">
    <w:name w:val="endnote text"/>
    <w:basedOn w:val="Normal"/>
    <w:semiHidden/>
    <w:rsid w:val="007417F3"/>
    <w:rPr>
      <w:sz w:val="20"/>
    </w:rPr>
  </w:style>
  <w:style w:type="character" w:styleId="EndnoteReference">
    <w:name w:val="endnote reference"/>
    <w:semiHidden/>
    <w:rsid w:val="007417F3"/>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7417F3"/>
    <w:pPr>
      <w:spacing w:after="120"/>
    </w:pPr>
  </w:style>
  <w:style w:type="character" w:styleId="FootnoteReference">
    <w:name w:val="footnote reference"/>
    <w:aliases w:val="Style 12,(NECG) Footnote Reference,Appel note de bas de p,Style 124,o,fr,Style 3,Style 13"/>
    <w:rsid w:val="007417F3"/>
    <w:rPr>
      <w:rFonts w:ascii="Times New Roman" w:hAnsi="Times New Roman"/>
      <w:dstrike w:val="0"/>
      <w:color w:val="auto"/>
      <w:sz w:val="20"/>
      <w:vertAlign w:val="superscript"/>
    </w:rPr>
  </w:style>
  <w:style w:type="paragraph" w:styleId="TOC1">
    <w:name w:val="toc 1"/>
    <w:basedOn w:val="Normal"/>
    <w:next w:val="Normal"/>
    <w:semiHidden/>
    <w:rsid w:val="007417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417F3"/>
    <w:pPr>
      <w:tabs>
        <w:tab w:val="left" w:pos="720"/>
        <w:tab w:val="right" w:leader="dot" w:pos="9360"/>
      </w:tabs>
      <w:suppressAutoHyphens/>
      <w:ind w:left="720" w:right="720" w:hanging="360"/>
    </w:pPr>
    <w:rPr>
      <w:noProof/>
    </w:rPr>
  </w:style>
  <w:style w:type="paragraph" w:styleId="TOC3">
    <w:name w:val="toc 3"/>
    <w:basedOn w:val="Normal"/>
    <w:next w:val="Normal"/>
    <w:semiHidden/>
    <w:rsid w:val="007417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417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417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417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417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417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417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417F3"/>
    <w:pPr>
      <w:tabs>
        <w:tab w:val="right" w:pos="9360"/>
      </w:tabs>
      <w:suppressAutoHyphens/>
    </w:pPr>
  </w:style>
  <w:style w:type="character" w:customStyle="1" w:styleId="EquationCaption">
    <w:name w:val="_Equation Caption"/>
    <w:rsid w:val="007417F3"/>
  </w:style>
  <w:style w:type="paragraph" w:styleId="Header">
    <w:name w:val="header"/>
    <w:basedOn w:val="Normal"/>
    <w:autoRedefine/>
    <w:rsid w:val="007417F3"/>
    <w:pPr>
      <w:tabs>
        <w:tab w:val="center" w:pos="4680"/>
        <w:tab w:val="right" w:pos="9360"/>
      </w:tabs>
    </w:pPr>
    <w:rPr>
      <w:b/>
    </w:rPr>
  </w:style>
  <w:style w:type="paragraph" w:styleId="Footer">
    <w:name w:val="footer"/>
    <w:basedOn w:val="Normal"/>
    <w:rsid w:val="007417F3"/>
    <w:pPr>
      <w:tabs>
        <w:tab w:val="center" w:pos="4320"/>
        <w:tab w:val="right" w:pos="8640"/>
      </w:tabs>
    </w:pPr>
  </w:style>
  <w:style w:type="character" w:styleId="PageNumber">
    <w:name w:val="page number"/>
    <w:basedOn w:val="DefaultParagraphFont"/>
    <w:rsid w:val="007417F3"/>
  </w:style>
  <w:style w:type="paragraph" w:styleId="BlockText">
    <w:name w:val="Block Text"/>
    <w:basedOn w:val="Normal"/>
    <w:rsid w:val="007417F3"/>
    <w:pPr>
      <w:spacing w:after="240"/>
      <w:ind w:left="1440" w:right="1440"/>
    </w:pPr>
  </w:style>
  <w:style w:type="paragraph" w:customStyle="1" w:styleId="Paratitle">
    <w:name w:val="Para title"/>
    <w:basedOn w:val="Normal"/>
    <w:rsid w:val="007417F3"/>
    <w:pPr>
      <w:tabs>
        <w:tab w:val="center" w:pos="9270"/>
      </w:tabs>
      <w:spacing w:after="240"/>
    </w:pPr>
    <w:rPr>
      <w:spacing w:val="-2"/>
    </w:rPr>
  </w:style>
  <w:style w:type="paragraph" w:customStyle="1" w:styleId="Bullet">
    <w:name w:val="Bullet"/>
    <w:basedOn w:val="Normal"/>
    <w:rsid w:val="007417F3"/>
    <w:pPr>
      <w:tabs>
        <w:tab w:val="left" w:pos="2160"/>
      </w:tabs>
      <w:spacing w:after="220"/>
      <w:ind w:left="2160" w:hanging="720"/>
    </w:pPr>
  </w:style>
  <w:style w:type="paragraph" w:customStyle="1" w:styleId="TableFormat">
    <w:name w:val="TableFormat"/>
    <w:basedOn w:val="Bullet"/>
    <w:rsid w:val="007417F3"/>
    <w:pPr>
      <w:tabs>
        <w:tab w:val="clear" w:pos="2160"/>
        <w:tab w:val="left" w:pos="5040"/>
      </w:tabs>
      <w:ind w:left="5040" w:hanging="3600"/>
    </w:pPr>
  </w:style>
  <w:style w:type="paragraph" w:customStyle="1" w:styleId="TOCTitle">
    <w:name w:val="TOC Title"/>
    <w:basedOn w:val="Normal"/>
    <w:rsid w:val="007417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417F3"/>
    <w:pPr>
      <w:jc w:val="center"/>
    </w:pPr>
    <w:rPr>
      <w:rFonts w:ascii="Times New Roman Bold" w:hAnsi="Times New Roman Bold"/>
      <w:b/>
      <w:bCs/>
      <w:caps/>
      <w:szCs w:val="22"/>
    </w:rPr>
  </w:style>
  <w:style w:type="character" w:styleId="Hyperlink">
    <w:name w:val="Hyperlink"/>
    <w:rsid w:val="007417F3"/>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A004F7"/>
  </w:style>
  <w:style w:type="character" w:customStyle="1" w:styleId="ParaNumChar">
    <w:name w:val="ParaNum Char"/>
    <w:link w:val="ParaNum"/>
    <w:rsid w:val="00A004F7"/>
    <w:rPr>
      <w:snapToGrid w:val="0"/>
      <w:kern w:val="28"/>
      <w:sz w:val="22"/>
    </w:rPr>
  </w:style>
  <w:style w:type="character" w:styleId="Strong">
    <w:name w:val="Strong"/>
    <w:basedOn w:val="DefaultParagraphFont"/>
    <w:uiPriority w:val="22"/>
    <w:qFormat/>
    <w:rsid w:val="00927EF5"/>
    <w:rPr>
      <w:b/>
      <w:bCs/>
    </w:rPr>
  </w:style>
  <w:style w:type="character" w:styleId="FollowedHyperlink">
    <w:name w:val="FollowedHyperlink"/>
    <w:basedOn w:val="DefaultParagraphFont"/>
    <w:rsid w:val="001E165A"/>
    <w:rPr>
      <w:color w:val="800080" w:themeColor="followedHyperlink"/>
      <w:u w:val="single"/>
    </w:rPr>
  </w:style>
  <w:style w:type="paragraph" w:styleId="BalloonText">
    <w:name w:val="Balloon Text"/>
    <w:basedOn w:val="Normal"/>
    <w:link w:val="BalloonTextChar"/>
    <w:rsid w:val="00B33A92"/>
    <w:rPr>
      <w:rFonts w:ascii="Tahoma" w:hAnsi="Tahoma" w:cs="Tahoma"/>
      <w:snapToGrid/>
      <w:sz w:val="16"/>
      <w:szCs w:val="16"/>
    </w:rPr>
  </w:style>
  <w:style w:type="character" w:customStyle="1" w:styleId="BalloonTextChar">
    <w:name w:val="Balloon Text Char"/>
    <w:basedOn w:val="DefaultParagraphFont"/>
    <w:link w:val="BalloonText"/>
    <w:rsid w:val="00B33A92"/>
    <w:rPr>
      <w:rFonts w:ascii="Tahoma" w:hAnsi="Tahoma" w:cs="Tahoma"/>
      <w:snapToGrid w:val="0"/>
      <w:kern w:val="28"/>
      <w:sz w:val="16"/>
      <w:szCs w:val="16"/>
    </w:rPr>
  </w:style>
  <w:style w:type="paragraph" w:styleId="ListParagraph">
    <w:name w:val="List Paragraph"/>
    <w:basedOn w:val="Normal"/>
    <w:uiPriority w:val="34"/>
    <w:qFormat/>
    <w:rsid w:val="00197C18"/>
    <w:pPr>
      <w:ind w:left="720"/>
    </w:pPr>
    <w:rPr>
      <w:rFonts w:ascii="Calibri" w:hAnsi="Calibri"/>
    </w:rPr>
  </w:style>
  <w:style w:type="character" w:styleId="CommentReference">
    <w:name w:val="annotation reference"/>
    <w:basedOn w:val="DefaultParagraphFont"/>
    <w:rsid w:val="00C7046F"/>
    <w:rPr>
      <w:sz w:val="16"/>
      <w:szCs w:val="16"/>
    </w:rPr>
  </w:style>
  <w:style w:type="paragraph" w:styleId="CommentText">
    <w:name w:val="annotation text"/>
    <w:basedOn w:val="Normal"/>
    <w:link w:val="CommentTextChar"/>
    <w:rsid w:val="00C7046F"/>
    <w:rPr>
      <w:snapToGrid/>
      <w:sz w:val="20"/>
    </w:rPr>
  </w:style>
  <w:style w:type="character" w:customStyle="1" w:styleId="CommentTextChar">
    <w:name w:val="Comment Text Char"/>
    <w:basedOn w:val="DefaultParagraphFont"/>
    <w:link w:val="CommentText"/>
    <w:rsid w:val="00C7046F"/>
    <w:rPr>
      <w:snapToGrid w:val="0"/>
      <w:kern w:val="28"/>
    </w:rPr>
  </w:style>
  <w:style w:type="paragraph" w:styleId="CommentSubject">
    <w:name w:val="annotation subject"/>
    <w:basedOn w:val="CommentText"/>
    <w:next w:val="CommentText"/>
    <w:link w:val="CommentSubjectChar"/>
    <w:rsid w:val="00C7046F"/>
    <w:rPr>
      <w:b/>
      <w:bCs/>
    </w:rPr>
  </w:style>
  <w:style w:type="character" w:customStyle="1" w:styleId="CommentSubjectChar">
    <w:name w:val="Comment Subject Char"/>
    <w:basedOn w:val="CommentTextChar"/>
    <w:link w:val="CommentSubject"/>
    <w:rsid w:val="00C7046F"/>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7F3"/>
    <w:pPr>
      <w:widowControl w:val="0"/>
    </w:pPr>
    <w:rPr>
      <w:snapToGrid w:val="0"/>
      <w:kern w:val="28"/>
      <w:sz w:val="22"/>
    </w:rPr>
  </w:style>
  <w:style w:type="paragraph" w:styleId="Heading1">
    <w:name w:val="heading 1"/>
    <w:basedOn w:val="Normal"/>
    <w:next w:val="ParaNum"/>
    <w:qFormat/>
    <w:rsid w:val="007417F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417F3"/>
    <w:pPr>
      <w:keepNext/>
      <w:numPr>
        <w:ilvl w:val="1"/>
        <w:numId w:val="3"/>
      </w:numPr>
      <w:spacing w:after="120"/>
      <w:outlineLvl w:val="1"/>
    </w:pPr>
    <w:rPr>
      <w:b/>
    </w:rPr>
  </w:style>
  <w:style w:type="paragraph" w:styleId="Heading3">
    <w:name w:val="heading 3"/>
    <w:basedOn w:val="Normal"/>
    <w:next w:val="ParaNum"/>
    <w:qFormat/>
    <w:rsid w:val="007417F3"/>
    <w:pPr>
      <w:keepNext/>
      <w:numPr>
        <w:ilvl w:val="2"/>
        <w:numId w:val="3"/>
      </w:numPr>
      <w:tabs>
        <w:tab w:val="left" w:pos="2160"/>
      </w:tabs>
      <w:spacing w:after="120"/>
      <w:outlineLvl w:val="2"/>
    </w:pPr>
    <w:rPr>
      <w:b/>
    </w:rPr>
  </w:style>
  <w:style w:type="paragraph" w:styleId="Heading4">
    <w:name w:val="heading 4"/>
    <w:basedOn w:val="Normal"/>
    <w:next w:val="ParaNum"/>
    <w:qFormat/>
    <w:rsid w:val="007417F3"/>
    <w:pPr>
      <w:keepNext/>
      <w:numPr>
        <w:ilvl w:val="3"/>
        <w:numId w:val="3"/>
      </w:numPr>
      <w:tabs>
        <w:tab w:val="left" w:pos="2880"/>
      </w:tabs>
      <w:spacing w:after="120"/>
      <w:outlineLvl w:val="3"/>
    </w:pPr>
    <w:rPr>
      <w:b/>
    </w:rPr>
  </w:style>
  <w:style w:type="paragraph" w:styleId="Heading5">
    <w:name w:val="heading 5"/>
    <w:basedOn w:val="Normal"/>
    <w:next w:val="ParaNum"/>
    <w:qFormat/>
    <w:rsid w:val="007417F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417F3"/>
    <w:pPr>
      <w:numPr>
        <w:ilvl w:val="5"/>
        <w:numId w:val="3"/>
      </w:numPr>
      <w:tabs>
        <w:tab w:val="left" w:pos="4320"/>
      </w:tabs>
      <w:spacing w:after="120"/>
      <w:outlineLvl w:val="5"/>
    </w:pPr>
    <w:rPr>
      <w:b/>
    </w:rPr>
  </w:style>
  <w:style w:type="paragraph" w:styleId="Heading7">
    <w:name w:val="heading 7"/>
    <w:basedOn w:val="Normal"/>
    <w:next w:val="ParaNum"/>
    <w:qFormat/>
    <w:rsid w:val="007417F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417F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417F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417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17F3"/>
  </w:style>
  <w:style w:type="paragraph" w:customStyle="1" w:styleId="ParaNum">
    <w:name w:val="ParaNum"/>
    <w:basedOn w:val="Normal"/>
    <w:link w:val="ParaNumChar"/>
    <w:rsid w:val="007417F3"/>
    <w:pPr>
      <w:numPr>
        <w:numId w:val="2"/>
      </w:numPr>
      <w:tabs>
        <w:tab w:val="clear" w:pos="1080"/>
        <w:tab w:val="num" w:pos="1440"/>
      </w:tabs>
      <w:spacing w:after="120"/>
    </w:pPr>
  </w:style>
  <w:style w:type="paragraph" w:styleId="EndnoteText">
    <w:name w:val="endnote text"/>
    <w:basedOn w:val="Normal"/>
    <w:semiHidden/>
    <w:rsid w:val="007417F3"/>
    <w:rPr>
      <w:sz w:val="20"/>
    </w:rPr>
  </w:style>
  <w:style w:type="character" w:styleId="EndnoteReference">
    <w:name w:val="endnote reference"/>
    <w:semiHidden/>
    <w:rsid w:val="007417F3"/>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7417F3"/>
    <w:pPr>
      <w:spacing w:after="120"/>
    </w:pPr>
  </w:style>
  <w:style w:type="character" w:styleId="FootnoteReference">
    <w:name w:val="footnote reference"/>
    <w:aliases w:val="Style 12,(NECG) Footnote Reference,Appel note de bas de p,Style 124,o,fr,Style 3,Style 13"/>
    <w:rsid w:val="007417F3"/>
    <w:rPr>
      <w:rFonts w:ascii="Times New Roman" w:hAnsi="Times New Roman"/>
      <w:dstrike w:val="0"/>
      <w:color w:val="auto"/>
      <w:sz w:val="20"/>
      <w:vertAlign w:val="superscript"/>
    </w:rPr>
  </w:style>
  <w:style w:type="paragraph" w:styleId="TOC1">
    <w:name w:val="toc 1"/>
    <w:basedOn w:val="Normal"/>
    <w:next w:val="Normal"/>
    <w:semiHidden/>
    <w:rsid w:val="007417F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417F3"/>
    <w:pPr>
      <w:tabs>
        <w:tab w:val="left" w:pos="720"/>
        <w:tab w:val="right" w:leader="dot" w:pos="9360"/>
      </w:tabs>
      <w:suppressAutoHyphens/>
      <w:ind w:left="720" w:right="720" w:hanging="360"/>
    </w:pPr>
    <w:rPr>
      <w:noProof/>
    </w:rPr>
  </w:style>
  <w:style w:type="paragraph" w:styleId="TOC3">
    <w:name w:val="toc 3"/>
    <w:basedOn w:val="Normal"/>
    <w:next w:val="Normal"/>
    <w:semiHidden/>
    <w:rsid w:val="007417F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417F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417F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417F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417F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417F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417F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417F3"/>
    <w:pPr>
      <w:tabs>
        <w:tab w:val="right" w:pos="9360"/>
      </w:tabs>
      <w:suppressAutoHyphens/>
    </w:pPr>
  </w:style>
  <w:style w:type="character" w:customStyle="1" w:styleId="EquationCaption">
    <w:name w:val="_Equation Caption"/>
    <w:rsid w:val="007417F3"/>
  </w:style>
  <w:style w:type="paragraph" w:styleId="Header">
    <w:name w:val="header"/>
    <w:basedOn w:val="Normal"/>
    <w:autoRedefine/>
    <w:rsid w:val="007417F3"/>
    <w:pPr>
      <w:tabs>
        <w:tab w:val="center" w:pos="4680"/>
        <w:tab w:val="right" w:pos="9360"/>
      </w:tabs>
    </w:pPr>
    <w:rPr>
      <w:b/>
    </w:rPr>
  </w:style>
  <w:style w:type="paragraph" w:styleId="Footer">
    <w:name w:val="footer"/>
    <w:basedOn w:val="Normal"/>
    <w:rsid w:val="007417F3"/>
    <w:pPr>
      <w:tabs>
        <w:tab w:val="center" w:pos="4320"/>
        <w:tab w:val="right" w:pos="8640"/>
      </w:tabs>
    </w:pPr>
  </w:style>
  <w:style w:type="character" w:styleId="PageNumber">
    <w:name w:val="page number"/>
    <w:basedOn w:val="DefaultParagraphFont"/>
    <w:rsid w:val="007417F3"/>
  </w:style>
  <w:style w:type="paragraph" w:styleId="BlockText">
    <w:name w:val="Block Text"/>
    <w:basedOn w:val="Normal"/>
    <w:rsid w:val="007417F3"/>
    <w:pPr>
      <w:spacing w:after="240"/>
      <w:ind w:left="1440" w:right="1440"/>
    </w:pPr>
  </w:style>
  <w:style w:type="paragraph" w:customStyle="1" w:styleId="Paratitle">
    <w:name w:val="Para title"/>
    <w:basedOn w:val="Normal"/>
    <w:rsid w:val="007417F3"/>
    <w:pPr>
      <w:tabs>
        <w:tab w:val="center" w:pos="9270"/>
      </w:tabs>
      <w:spacing w:after="240"/>
    </w:pPr>
    <w:rPr>
      <w:spacing w:val="-2"/>
    </w:rPr>
  </w:style>
  <w:style w:type="paragraph" w:customStyle="1" w:styleId="Bullet">
    <w:name w:val="Bullet"/>
    <w:basedOn w:val="Normal"/>
    <w:rsid w:val="007417F3"/>
    <w:pPr>
      <w:tabs>
        <w:tab w:val="left" w:pos="2160"/>
      </w:tabs>
      <w:spacing w:after="220"/>
      <w:ind w:left="2160" w:hanging="720"/>
    </w:pPr>
  </w:style>
  <w:style w:type="paragraph" w:customStyle="1" w:styleId="TableFormat">
    <w:name w:val="TableFormat"/>
    <w:basedOn w:val="Bullet"/>
    <w:rsid w:val="007417F3"/>
    <w:pPr>
      <w:tabs>
        <w:tab w:val="clear" w:pos="2160"/>
        <w:tab w:val="left" w:pos="5040"/>
      </w:tabs>
      <w:ind w:left="5040" w:hanging="3600"/>
    </w:pPr>
  </w:style>
  <w:style w:type="paragraph" w:customStyle="1" w:styleId="TOCTitle">
    <w:name w:val="TOC Title"/>
    <w:basedOn w:val="Normal"/>
    <w:rsid w:val="007417F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417F3"/>
    <w:pPr>
      <w:jc w:val="center"/>
    </w:pPr>
    <w:rPr>
      <w:rFonts w:ascii="Times New Roman Bold" w:hAnsi="Times New Roman Bold"/>
      <w:b/>
      <w:bCs/>
      <w:caps/>
      <w:szCs w:val="22"/>
    </w:rPr>
  </w:style>
  <w:style w:type="character" w:styleId="Hyperlink">
    <w:name w:val="Hyperlink"/>
    <w:rsid w:val="007417F3"/>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A004F7"/>
  </w:style>
  <w:style w:type="character" w:customStyle="1" w:styleId="ParaNumChar">
    <w:name w:val="ParaNum Char"/>
    <w:link w:val="ParaNum"/>
    <w:rsid w:val="00A004F7"/>
    <w:rPr>
      <w:snapToGrid w:val="0"/>
      <w:kern w:val="28"/>
      <w:sz w:val="22"/>
    </w:rPr>
  </w:style>
  <w:style w:type="character" w:styleId="Strong">
    <w:name w:val="Strong"/>
    <w:basedOn w:val="DefaultParagraphFont"/>
    <w:uiPriority w:val="22"/>
    <w:qFormat/>
    <w:rsid w:val="00927EF5"/>
    <w:rPr>
      <w:b/>
      <w:bCs/>
    </w:rPr>
  </w:style>
  <w:style w:type="character" w:styleId="FollowedHyperlink">
    <w:name w:val="FollowedHyperlink"/>
    <w:basedOn w:val="DefaultParagraphFont"/>
    <w:rsid w:val="001E165A"/>
    <w:rPr>
      <w:color w:val="800080" w:themeColor="followedHyperlink"/>
      <w:u w:val="single"/>
    </w:rPr>
  </w:style>
  <w:style w:type="paragraph" w:styleId="BalloonText">
    <w:name w:val="Balloon Text"/>
    <w:basedOn w:val="Normal"/>
    <w:link w:val="BalloonTextChar"/>
    <w:rsid w:val="00B33A92"/>
    <w:rPr>
      <w:rFonts w:ascii="Tahoma" w:hAnsi="Tahoma" w:cs="Tahoma"/>
      <w:snapToGrid/>
      <w:sz w:val="16"/>
      <w:szCs w:val="16"/>
    </w:rPr>
  </w:style>
  <w:style w:type="character" w:customStyle="1" w:styleId="BalloonTextChar">
    <w:name w:val="Balloon Text Char"/>
    <w:basedOn w:val="DefaultParagraphFont"/>
    <w:link w:val="BalloonText"/>
    <w:rsid w:val="00B33A92"/>
    <w:rPr>
      <w:rFonts w:ascii="Tahoma" w:hAnsi="Tahoma" w:cs="Tahoma"/>
      <w:snapToGrid w:val="0"/>
      <w:kern w:val="28"/>
      <w:sz w:val="16"/>
      <w:szCs w:val="16"/>
    </w:rPr>
  </w:style>
  <w:style w:type="paragraph" w:styleId="ListParagraph">
    <w:name w:val="List Paragraph"/>
    <w:basedOn w:val="Normal"/>
    <w:uiPriority w:val="34"/>
    <w:qFormat/>
    <w:rsid w:val="00197C18"/>
    <w:pPr>
      <w:ind w:left="720"/>
    </w:pPr>
    <w:rPr>
      <w:rFonts w:ascii="Calibri" w:hAnsi="Calibri"/>
    </w:rPr>
  </w:style>
  <w:style w:type="character" w:styleId="CommentReference">
    <w:name w:val="annotation reference"/>
    <w:basedOn w:val="DefaultParagraphFont"/>
    <w:rsid w:val="00C7046F"/>
    <w:rPr>
      <w:sz w:val="16"/>
      <w:szCs w:val="16"/>
    </w:rPr>
  </w:style>
  <w:style w:type="paragraph" w:styleId="CommentText">
    <w:name w:val="annotation text"/>
    <w:basedOn w:val="Normal"/>
    <w:link w:val="CommentTextChar"/>
    <w:rsid w:val="00C7046F"/>
    <w:rPr>
      <w:snapToGrid/>
      <w:sz w:val="20"/>
    </w:rPr>
  </w:style>
  <w:style w:type="character" w:customStyle="1" w:styleId="CommentTextChar">
    <w:name w:val="Comment Text Char"/>
    <w:basedOn w:val="DefaultParagraphFont"/>
    <w:link w:val="CommentText"/>
    <w:rsid w:val="00C7046F"/>
    <w:rPr>
      <w:snapToGrid w:val="0"/>
      <w:kern w:val="28"/>
    </w:rPr>
  </w:style>
  <w:style w:type="paragraph" w:styleId="CommentSubject">
    <w:name w:val="annotation subject"/>
    <w:basedOn w:val="CommentText"/>
    <w:next w:val="CommentText"/>
    <w:link w:val="CommentSubjectChar"/>
    <w:rsid w:val="00C7046F"/>
    <w:rPr>
      <w:b/>
      <w:bCs/>
    </w:rPr>
  </w:style>
  <w:style w:type="character" w:customStyle="1" w:styleId="CommentSubjectChar">
    <w:name w:val="Comment Subject Char"/>
    <w:basedOn w:val="CommentTextChar"/>
    <w:link w:val="CommentSubject"/>
    <w:rsid w:val="00C7046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1679">
      <w:bodyDiv w:val="1"/>
      <w:marLeft w:val="0"/>
      <w:marRight w:val="0"/>
      <w:marTop w:val="0"/>
      <w:marBottom w:val="0"/>
      <w:divBdr>
        <w:top w:val="none" w:sz="0" w:space="0" w:color="auto"/>
        <w:left w:val="none" w:sz="0" w:space="0" w:color="auto"/>
        <w:bottom w:val="none" w:sz="0" w:space="0" w:color="auto"/>
        <w:right w:val="none" w:sz="0" w:space="0" w:color="auto"/>
      </w:divBdr>
    </w:div>
    <w:div w:id="167671539">
      <w:bodyDiv w:val="1"/>
      <w:marLeft w:val="0"/>
      <w:marRight w:val="0"/>
      <w:marTop w:val="0"/>
      <w:marBottom w:val="0"/>
      <w:divBdr>
        <w:top w:val="none" w:sz="0" w:space="0" w:color="auto"/>
        <w:left w:val="none" w:sz="0" w:space="0" w:color="auto"/>
        <w:bottom w:val="none" w:sz="0" w:space="0" w:color="auto"/>
        <w:right w:val="none" w:sz="0" w:space="0" w:color="auto"/>
      </w:divBdr>
    </w:div>
    <w:div w:id="351420775">
      <w:bodyDiv w:val="1"/>
      <w:marLeft w:val="0"/>
      <w:marRight w:val="0"/>
      <w:marTop w:val="0"/>
      <w:marBottom w:val="0"/>
      <w:divBdr>
        <w:top w:val="none" w:sz="0" w:space="0" w:color="auto"/>
        <w:left w:val="none" w:sz="0" w:space="0" w:color="auto"/>
        <w:bottom w:val="none" w:sz="0" w:space="0" w:color="auto"/>
        <w:right w:val="none" w:sz="0" w:space="0" w:color="auto"/>
      </w:divBdr>
    </w:div>
    <w:div w:id="798887079">
      <w:bodyDiv w:val="1"/>
      <w:marLeft w:val="0"/>
      <w:marRight w:val="0"/>
      <w:marTop w:val="0"/>
      <w:marBottom w:val="0"/>
      <w:divBdr>
        <w:top w:val="none" w:sz="0" w:space="0" w:color="auto"/>
        <w:left w:val="none" w:sz="0" w:space="0" w:color="auto"/>
        <w:bottom w:val="none" w:sz="0" w:space="0" w:color="auto"/>
        <w:right w:val="none" w:sz="0" w:space="0" w:color="auto"/>
      </w:divBdr>
    </w:div>
    <w:div w:id="1433238278">
      <w:bodyDiv w:val="1"/>
      <w:marLeft w:val="0"/>
      <w:marRight w:val="0"/>
      <w:marTop w:val="0"/>
      <w:marBottom w:val="0"/>
      <w:divBdr>
        <w:top w:val="none" w:sz="0" w:space="0" w:color="auto"/>
        <w:left w:val="none" w:sz="0" w:space="0" w:color="auto"/>
        <w:bottom w:val="none" w:sz="0" w:space="0" w:color="auto"/>
        <w:right w:val="none" w:sz="0" w:space="0" w:color="auto"/>
      </w:divBdr>
    </w:div>
    <w:div w:id="1809587937">
      <w:bodyDiv w:val="1"/>
      <w:marLeft w:val="0"/>
      <w:marRight w:val="0"/>
      <w:marTop w:val="0"/>
      <w:marBottom w:val="0"/>
      <w:divBdr>
        <w:top w:val="none" w:sz="0" w:space="0" w:color="auto"/>
        <w:left w:val="none" w:sz="0" w:space="0" w:color="auto"/>
        <w:bottom w:val="none" w:sz="0" w:space="0" w:color="auto"/>
        <w:right w:val="none" w:sz="0" w:space="0" w:color="auto"/>
      </w:divBdr>
      <w:divsChild>
        <w:div w:id="1538735893">
          <w:marLeft w:val="0"/>
          <w:marRight w:val="0"/>
          <w:marTop w:val="0"/>
          <w:marBottom w:val="0"/>
          <w:divBdr>
            <w:top w:val="none" w:sz="0" w:space="0" w:color="auto"/>
            <w:left w:val="none" w:sz="0" w:space="0" w:color="auto"/>
            <w:bottom w:val="none" w:sz="0" w:space="0" w:color="auto"/>
            <w:right w:val="none" w:sz="0" w:space="0" w:color="auto"/>
          </w:divBdr>
        </w:div>
        <w:div w:id="672269538">
          <w:marLeft w:val="180"/>
          <w:marRight w:val="0"/>
          <w:marTop w:val="0"/>
          <w:marBottom w:val="0"/>
          <w:divBdr>
            <w:top w:val="none" w:sz="0" w:space="0" w:color="auto"/>
            <w:left w:val="none" w:sz="0" w:space="0" w:color="auto"/>
            <w:bottom w:val="none" w:sz="0" w:space="0" w:color="auto"/>
            <w:right w:val="none" w:sz="0" w:space="0" w:color="auto"/>
          </w:divBdr>
        </w:div>
      </w:divsChild>
    </w:div>
    <w:div w:id="1857159641">
      <w:bodyDiv w:val="1"/>
      <w:marLeft w:val="0"/>
      <w:marRight w:val="0"/>
      <w:marTop w:val="0"/>
      <w:marBottom w:val="0"/>
      <w:divBdr>
        <w:top w:val="none" w:sz="0" w:space="0" w:color="auto"/>
        <w:left w:val="none" w:sz="0" w:space="0" w:color="auto"/>
        <w:bottom w:val="none" w:sz="0" w:space="0" w:color="auto"/>
        <w:right w:val="none" w:sz="0" w:space="0" w:color="auto"/>
      </w:divBdr>
      <w:divsChild>
        <w:div w:id="1537498692">
          <w:marLeft w:val="0"/>
          <w:marRight w:val="0"/>
          <w:marTop w:val="0"/>
          <w:marBottom w:val="0"/>
          <w:divBdr>
            <w:top w:val="none" w:sz="0" w:space="0" w:color="auto"/>
            <w:left w:val="none" w:sz="0" w:space="0" w:color="auto"/>
            <w:bottom w:val="none" w:sz="0" w:space="0" w:color="auto"/>
            <w:right w:val="none" w:sz="0" w:space="0" w:color="auto"/>
          </w:divBdr>
        </w:div>
        <w:div w:id="26756941">
          <w:marLeft w:val="180"/>
          <w:marRight w:val="0"/>
          <w:marTop w:val="0"/>
          <w:marBottom w:val="0"/>
          <w:divBdr>
            <w:top w:val="none" w:sz="0" w:space="0" w:color="auto"/>
            <w:left w:val="none" w:sz="0" w:space="0" w:color="auto"/>
            <w:bottom w:val="none" w:sz="0" w:space="0" w:color="auto"/>
            <w:right w:val="none" w:sz="0" w:space="0" w:color="auto"/>
          </w:divBdr>
        </w:div>
      </w:divsChild>
    </w:div>
    <w:div w:id="1902715206">
      <w:bodyDiv w:val="1"/>
      <w:marLeft w:val="0"/>
      <w:marRight w:val="0"/>
      <w:marTop w:val="0"/>
      <w:marBottom w:val="0"/>
      <w:divBdr>
        <w:top w:val="none" w:sz="0" w:space="0" w:color="auto"/>
        <w:left w:val="none" w:sz="0" w:space="0" w:color="auto"/>
        <w:bottom w:val="none" w:sz="0" w:space="0" w:color="auto"/>
        <w:right w:val="none" w:sz="0" w:space="0" w:color="auto"/>
      </w:divBdr>
      <w:divsChild>
        <w:div w:id="699552222">
          <w:marLeft w:val="0"/>
          <w:marRight w:val="0"/>
          <w:marTop w:val="0"/>
          <w:marBottom w:val="0"/>
          <w:divBdr>
            <w:top w:val="none" w:sz="0" w:space="0" w:color="auto"/>
            <w:left w:val="none" w:sz="0" w:space="0" w:color="auto"/>
            <w:bottom w:val="none" w:sz="0" w:space="0" w:color="auto"/>
            <w:right w:val="none" w:sz="0" w:space="0" w:color="auto"/>
          </w:divBdr>
        </w:div>
        <w:div w:id="1110902904">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f9BQj49zfX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1508</Words>
  <Characters>8876</Characters>
  <Application>Microsoft Office Word</Application>
  <DocSecurity>0</DocSecurity>
  <Lines>157</Lines>
  <Paragraphs>35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10454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2014-11-21T19:45:00Z</cp:lastPrinted>
  <dcterms:created xsi:type="dcterms:W3CDTF">2014-11-24T16:17:00Z</dcterms:created>
  <dcterms:modified xsi:type="dcterms:W3CDTF">2014-11-24T16:17:00Z</dcterms:modified>
  <cp:category> </cp:category>
  <cp:contentStatus> </cp:contentStatus>
</cp:coreProperties>
</file>