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276AD6" w:rsidRPr="00595BF9" w:rsidRDefault="00276AD6" w:rsidP="00276AD6">
            <w:pPr>
              <w:ind w:right="-18"/>
              <w:rPr>
                <w:szCs w:val="22"/>
              </w:rPr>
            </w:pPr>
            <w:r w:rsidRPr="00595BF9">
              <w:rPr>
                <w:szCs w:val="22"/>
              </w:rPr>
              <w:t xml:space="preserve">In </w:t>
            </w:r>
            <w:r>
              <w:rPr>
                <w:szCs w:val="22"/>
              </w:rPr>
              <w:t>the Matter of</w:t>
            </w:r>
            <w:r w:rsidRPr="00595BF9">
              <w:rPr>
                <w:szCs w:val="22"/>
              </w:rPr>
              <w:t xml:space="preserve">  </w:t>
            </w:r>
          </w:p>
          <w:p w:rsidR="00276AD6" w:rsidRPr="00595BF9" w:rsidRDefault="00276AD6" w:rsidP="00276AD6">
            <w:pPr>
              <w:ind w:right="-18"/>
              <w:rPr>
                <w:szCs w:val="22"/>
              </w:rPr>
            </w:pPr>
          </w:p>
          <w:p w:rsidR="00276AD6" w:rsidRDefault="00276AD6" w:rsidP="00276AD6">
            <w:pPr>
              <w:ind w:right="-18"/>
              <w:rPr>
                <w:szCs w:val="22"/>
              </w:rPr>
            </w:pPr>
            <w:r>
              <w:rPr>
                <w:szCs w:val="22"/>
              </w:rPr>
              <w:t>Silver Fish Broadcasting, Inc.</w:t>
            </w:r>
          </w:p>
          <w:p w:rsidR="00276AD6" w:rsidRDefault="00276AD6" w:rsidP="00276AD6">
            <w:pPr>
              <w:ind w:right="-18"/>
              <w:rPr>
                <w:szCs w:val="22"/>
              </w:rPr>
            </w:pPr>
            <w:r>
              <w:rPr>
                <w:szCs w:val="22"/>
              </w:rPr>
              <w:t xml:space="preserve">License Status of  Silent Station </w:t>
            </w:r>
          </w:p>
          <w:p w:rsidR="00276AD6" w:rsidRPr="00AA37A8" w:rsidRDefault="00276AD6" w:rsidP="00276AD6">
            <w:pPr>
              <w:ind w:right="-18"/>
              <w:rPr>
                <w:szCs w:val="22"/>
              </w:rPr>
            </w:pPr>
            <w:r w:rsidRPr="00AA37A8">
              <w:rPr>
                <w:szCs w:val="22"/>
              </w:rPr>
              <w:t>DWTTT(FM), Stratford, NH</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76AD6"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276AD6" w:rsidRDefault="00276AD6" w:rsidP="00276AD6">
            <w:pPr>
              <w:rPr>
                <w:szCs w:val="22"/>
              </w:rPr>
            </w:pPr>
            <w:r>
              <w:rPr>
                <w:szCs w:val="22"/>
              </w:rPr>
              <w:t>File Nos. BLH-20110323ABV, BMPH-20110316AAK</w:t>
            </w:r>
          </w:p>
          <w:p w:rsidR="00276AD6" w:rsidRDefault="00276AD6" w:rsidP="00276AD6">
            <w:pPr>
              <w:rPr>
                <w:szCs w:val="22"/>
              </w:rPr>
            </w:pPr>
          </w:p>
          <w:p w:rsidR="004C2EE3" w:rsidRPr="005F1C39" w:rsidRDefault="00276AD6" w:rsidP="005F1C39">
            <w:pPr>
              <w:rPr>
                <w:szCs w:val="22"/>
              </w:rPr>
            </w:pPr>
            <w:r w:rsidRPr="00595BF9">
              <w:rPr>
                <w:szCs w:val="22"/>
              </w:rPr>
              <w:t>Facility ID No.</w:t>
            </w:r>
            <w:r>
              <w:rPr>
                <w:szCs w:val="22"/>
              </w:rPr>
              <w:t xml:space="preserve"> 166038</w:t>
            </w:r>
            <w:r w:rsidRPr="00595BF9">
              <w:rPr>
                <w:szCs w:val="22"/>
              </w:rPr>
              <w:t xml:space="preserve">         </w:t>
            </w:r>
          </w:p>
        </w:tc>
      </w:tr>
    </w:tbl>
    <w:p w:rsidR="004C2EE3" w:rsidRDefault="004C2EE3" w:rsidP="0070224F"/>
    <w:p w:rsidR="00841AB1" w:rsidRDefault="00276AD6"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5F1C39">
        <w:rPr>
          <w:b/>
          <w:spacing w:val="-2"/>
        </w:rPr>
        <w:t>December 10,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F1C39">
        <w:rPr>
          <w:b/>
          <w:spacing w:val="-2"/>
        </w:rPr>
        <w:t>December 11, 2014</w:t>
      </w:r>
    </w:p>
    <w:p w:rsidR="00822CE0" w:rsidRDefault="00822CE0"/>
    <w:p w:rsidR="004C2EE3" w:rsidRDefault="004C2EE3">
      <w:pPr>
        <w:rPr>
          <w:spacing w:val="-2"/>
        </w:rPr>
      </w:pPr>
      <w:r>
        <w:t xml:space="preserve">By </w:t>
      </w:r>
      <w:r w:rsidR="004E4A22">
        <w:t>the</w:t>
      </w:r>
      <w:r w:rsidR="002A2D2E">
        <w:t xml:space="preserve"> </w:t>
      </w:r>
      <w:r w:rsidR="00276AD6">
        <w:rPr>
          <w:spacing w:val="-2"/>
        </w:rPr>
        <w:t>Commission</w:t>
      </w:r>
      <w:r w:rsidR="00AA466D">
        <w:rPr>
          <w:spacing w:val="-2"/>
        </w:rPr>
        <w:t>:</w:t>
      </w:r>
    </w:p>
    <w:p w:rsidR="00412FC5" w:rsidRDefault="00412FC5" w:rsidP="00412FC5"/>
    <w:p w:rsidR="00276AD6" w:rsidRPr="009C5BEF" w:rsidRDefault="00276AD6" w:rsidP="006969C6">
      <w:pPr>
        <w:pStyle w:val="ParaNum"/>
        <w:widowControl/>
      </w:pPr>
      <w:r w:rsidRPr="009C5BEF">
        <w:t xml:space="preserve">The Commission has before it the Application for Review (“AFR”) filed </w:t>
      </w:r>
      <w:r>
        <w:t xml:space="preserve">by </w:t>
      </w:r>
      <w:r w:rsidRPr="00AA37A8">
        <w:t>Silver Fish Broadcasting, Inc.</w:t>
      </w:r>
      <w:r>
        <w:t xml:space="preserve"> (“Silver Fish”)</w:t>
      </w:r>
      <w:r w:rsidRPr="009C5BEF">
        <w:t xml:space="preserve"> on </w:t>
      </w:r>
      <w:r>
        <w:t>December 18, 2013</w:t>
      </w:r>
      <w:r w:rsidRPr="009C5BEF">
        <w:t xml:space="preserve">.  </w:t>
      </w:r>
      <w:r>
        <w:t>Silver Fish</w:t>
      </w:r>
      <w:r w:rsidRPr="009C5BEF">
        <w:t xml:space="preserve"> seeks review of </w:t>
      </w:r>
      <w:r>
        <w:t xml:space="preserve">a </w:t>
      </w:r>
      <w:r w:rsidRPr="00AA37A8">
        <w:t xml:space="preserve">November </w:t>
      </w:r>
      <w:r>
        <w:t>18, 2013</w:t>
      </w:r>
      <w:r w:rsidRPr="009C5BEF">
        <w:t>, Media Bureau (“Bureau”) decision</w:t>
      </w:r>
      <w:r>
        <w:t>.</w:t>
      </w:r>
      <w:r w:rsidRPr="00595BF9">
        <w:rPr>
          <w:rStyle w:val="FootnoteReference"/>
          <w:sz w:val="22"/>
          <w:szCs w:val="22"/>
        </w:rPr>
        <w:footnoteReference w:id="2"/>
      </w:r>
      <w:r w:rsidRPr="009C5BEF">
        <w:t xml:space="preserve"> </w:t>
      </w:r>
      <w:r>
        <w:t xml:space="preserve"> The </w:t>
      </w:r>
      <w:r w:rsidRPr="001535ED">
        <w:rPr>
          <w:i/>
        </w:rPr>
        <w:t>Staff Decision</w:t>
      </w:r>
      <w:r w:rsidRPr="001535ED">
        <w:t xml:space="preserve"> </w:t>
      </w:r>
      <w:r>
        <w:t>denied Silver Fish’s</w:t>
      </w:r>
      <w:r w:rsidRPr="009C5BEF">
        <w:t xml:space="preserve"> </w:t>
      </w:r>
      <w:r>
        <w:t>Request to reinstate its expired license, holding that Silver Fish was subject to automatic license expiration based on the statutory one-year period of silence provision of Section 312(g) of the Communications Act, as amended (“Act”),</w:t>
      </w:r>
      <w:r>
        <w:rPr>
          <w:rStyle w:val="FootnoteReference"/>
        </w:rPr>
        <w:footnoteReference w:id="3"/>
      </w:r>
      <w:r>
        <w:t xml:space="preserve"> and that the tolling </w:t>
      </w:r>
      <w:r w:rsidRPr="002D00CC">
        <w:t>provisions</w:t>
      </w:r>
      <w:r>
        <w:t xml:space="preserve"> of Section 73.3598(b)(2) (the “Tolling Rule”) of our rules are inapplicable.</w:t>
      </w:r>
      <w:r>
        <w:rPr>
          <w:rStyle w:val="FootnoteReference"/>
        </w:rPr>
        <w:footnoteReference w:id="4"/>
      </w:r>
      <w:r>
        <w:t xml:space="preserve">  I</w:t>
      </w:r>
      <w:r w:rsidRPr="009C5BEF">
        <w:t xml:space="preserve">n the AFR, </w:t>
      </w:r>
      <w:r>
        <w:t>Silver Fish</w:t>
      </w:r>
      <w:r w:rsidRPr="009C5BEF">
        <w:t xml:space="preserve"> </w:t>
      </w:r>
      <w:r>
        <w:t xml:space="preserve">again </w:t>
      </w:r>
      <w:r w:rsidRPr="009C5BEF">
        <w:t xml:space="preserve">argues that </w:t>
      </w:r>
      <w:r>
        <w:t>the Bureau should reinstate its license and that</w:t>
      </w:r>
      <w:r w:rsidR="0017127E">
        <w:t xml:space="preserve"> </w:t>
      </w:r>
      <w:r w:rsidR="001D0A02">
        <w:t xml:space="preserve">pursuant to </w:t>
      </w:r>
      <w:r>
        <w:t>the Tolling Rule</w:t>
      </w:r>
      <w:r w:rsidR="001D0A02">
        <w:t xml:space="preserve"> and/or</w:t>
      </w:r>
      <w:r>
        <w:t xml:space="preserve"> the “equity and fairness” provision for reinstatement of an </w:t>
      </w:r>
      <w:r w:rsidR="00651045">
        <w:t xml:space="preserve">otherwise </w:t>
      </w:r>
      <w:r>
        <w:t>expired license in Section 312(g)</w:t>
      </w:r>
      <w:r w:rsidRPr="009C5BEF">
        <w:t>.</w:t>
      </w:r>
      <w:r>
        <w:rPr>
          <w:rStyle w:val="FootnoteReference"/>
          <w:szCs w:val="22"/>
        </w:rPr>
        <w:footnoteReference w:id="5"/>
      </w:r>
      <w:r>
        <w:t xml:space="preserve"> </w:t>
      </w:r>
    </w:p>
    <w:p w:rsidR="00276AD6" w:rsidRDefault="00276AD6" w:rsidP="00A713C3">
      <w:pPr>
        <w:pStyle w:val="ParaNum"/>
      </w:pPr>
      <w:r w:rsidRPr="00595BF9">
        <w:t xml:space="preserve">Upon review of </w:t>
      </w:r>
      <w:r>
        <w:t>the AFR</w:t>
      </w:r>
      <w:r w:rsidRPr="00595BF9">
        <w:t xml:space="preserve"> and the entire record</w:t>
      </w:r>
      <w:r>
        <w:t>,</w:t>
      </w:r>
      <w:r w:rsidRPr="00595BF9">
        <w:t xml:space="preserve"> we </w:t>
      </w:r>
      <w:r>
        <w:t xml:space="preserve">conclude that Silver Fish has failed to demonstrate that the Bureau erred.  </w:t>
      </w:r>
      <w:r w:rsidRPr="00595BF9">
        <w:t xml:space="preserve">We thus uphold the Bureau’s decision for the reasons stated in the </w:t>
      </w:r>
      <w:r w:rsidRPr="00595BF9">
        <w:rPr>
          <w:i/>
        </w:rPr>
        <w:t>Staff Decision</w:t>
      </w:r>
      <w:r>
        <w:t xml:space="preserve">.  As indicated there, the Tolling Rule, which tolls the expiration of a broadcast </w:t>
      </w:r>
      <w:r w:rsidRPr="00CB4D89">
        <w:rPr>
          <w:i/>
        </w:rPr>
        <w:t xml:space="preserve">construction permit </w:t>
      </w:r>
      <w:r>
        <w:t xml:space="preserve">under certain limited circumstances, does not apply to this case because Silver Fish </w:t>
      </w:r>
      <w:r w:rsidR="006527F5">
        <w:t xml:space="preserve">had </w:t>
      </w:r>
      <w:r>
        <w:t>completed construction before its construction permit expired</w:t>
      </w:r>
      <w:r w:rsidR="00346616">
        <w:t>, representing that construction had been completed in its</w:t>
      </w:r>
      <w:r>
        <w:t xml:space="preserve"> license application, which was granted.</w:t>
      </w:r>
      <w:r w:rsidR="00346616">
        <w:rPr>
          <w:rStyle w:val="FootnoteReference"/>
        </w:rPr>
        <w:footnoteReference w:id="6"/>
      </w:r>
      <w:r>
        <w:t xml:space="preserve">  The filing of a Petition for Reconsideration of that license grant did not create a </w:t>
      </w:r>
      <w:r w:rsidR="00327781">
        <w:t xml:space="preserve">construction </w:t>
      </w:r>
      <w:r>
        <w:t>tolling situation.</w:t>
      </w:r>
      <w:r>
        <w:rPr>
          <w:rStyle w:val="FootnoteReference"/>
        </w:rPr>
        <w:footnoteReference w:id="7"/>
      </w:r>
      <w:r>
        <w:t xml:space="preserve">  </w:t>
      </w:r>
    </w:p>
    <w:p w:rsidR="007836C3" w:rsidRDefault="00276AD6" w:rsidP="00A713C3">
      <w:pPr>
        <w:pStyle w:val="ParaNum"/>
        <w:widowControl/>
      </w:pPr>
      <w:r>
        <w:lastRenderedPageBreak/>
        <w:t xml:space="preserve">Furthermore, we reject Silver Fish’s </w:t>
      </w:r>
      <w:r w:rsidR="00C05A07">
        <w:t>attempt to conflate the bases for tolling the deadline for construction of an unbuilt stations and those for reinstating</w:t>
      </w:r>
      <w:r>
        <w:t xml:space="preserve"> a lapsed license </w:t>
      </w:r>
      <w:r w:rsidR="00C05A07">
        <w:t xml:space="preserve">under </w:t>
      </w:r>
      <w:r>
        <w:t>Section 312(g).</w:t>
      </w:r>
      <w:r w:rsidR="008C2288">
        <w:rPr>
          <w:rStyle w:val="FootnoteReference"/>
        </w:rPr>
        <w:footnoteReference w:id="8"/>
      </w:r>
      <w:r>
        <w:t xml:space="preserve">  Although both situations may involve circumstances beyond the permittee’s or licensee’s control,</w:t>
      </w:r>
      <w:r>
        <w:rPr>
          <w:rStyle w:val="FootnoteReference"/>
        </w:rPr>
        <w:footnoteReference w:id="9"/>
      </w:r>
      <w:r>
        <w:t xml:space="preserve"> there is a fundamental difference between an unbuilt </w:t>
      </w:r>
      <w:r w:rsidR="006527F5">
        <w:t xml:space="preserve">station with an outstanding </w:t>
      </w:r>
      <w:r>
        <w:t>construction permit and a constructed</w:t>
      </w:r>
      <w:r w:rsidR="006527F5">
        <w:t xml:space="preserve"> and licensed</w:t>
      </w:r>
      <w:r>
        <w:t xml:space="preserve"> station</w:t>
      </w:r>
      <w:r w:rsidR="006527F5">
        <w:t xml:space="preserve"> that the licensee voluntarily removed from the air</w:t>
      </w:r>
      <w:r>
        <w:t>.</w:t>
      </w:r>
      <w:r w:rsidR="001A7415">
        <w:rPr>
          <w:rStyle w:val="FootnoteReference"/>
        </w:rPr>
        <w:footnoteReference w:id="10"/>
      </w:r>
      <w:r>
        <w:t xml:space="preserve">  Construction of a broadcast station pursuant to a construction permit involves a major investment in transmission facilities and (if required) a main studio.</w:t>
      </w:r>
      <w:r>
        <w:rPr>
          <w:rStyle w:val="FootnoteReference"/>
        </w:rPr>
        <w:footnoteReference w:id="11"/>
      </w:r>
      <w:r>
        <w:t xml:space="preserve">  Through the Tolling Rule, the Commission has recognized that a challenge to the validity of the construction permit is a type of encumbrance that justifies tolling of the expiration date</w:t>
      </w:r>
      <w:r w:rsidR="006527F5">
        <w:t>, and the obligation of the permittee to construct by that date</w:t>
      </w:r>
      <w:r>
        <w:t>.</w:t>
      </w:r>
      <w:r>
        <w:rPr>
          <w:rStyle w:val="FootnoteReference"/>
        </w:rPr>
        <w:footnoteReference w:id="12"/>
      </w:r>
      <w:r>
        <w:t xml:space="preserve">  In contrast, the filing of a </w:t>
      </w:r>
      <w:r w:rsidR="00D70061">
        <w:t>p</w:t>
      </w:r>
      <w:r>
        <w:t xml:space="preserve">etition for </w:t>
      </w:r>
      <w:r w:rsidR="00D70061">
        <w:t>r</w:t>
      </w:r>
      <w:r>
        <w:t xml:space="preserve">econsideration of the grant of Silver Fish’s license did not impede Silver Fish from continuing to operate the station, which had already been constructed, </w:t>
      </w:r>
      <w:r w:rsidR="00D70061">
        <w:t xml:space="preserve">from the date the station went silent, </w:t>
      </w:r>
      <w:r>
        <w:t>April 7, 2011</w:t>
      </w:r>
      <w:r w:rsidR="001D0A02">
        <w:t xml:space="preserve"> (the day </w:t>
      </w:r>
      <w:r w:rsidR="00A700EC">
        <w:t>before the Petition</w:t>
      </w:r>
      <w:r w:rsidR="0017127E">
        <w:t xml:space="preserve"> was mailed to the Commission for filing by </w:t>
      </w:r>
      <w:r w:rsidR="00A700EC">
        <w:t>White Mountains</w:t>
      </w:r>
      <w:r w:rsidR="001D0A02">
        <w:t>)</w:t>
      </w:r>
      <w:r w:rsidR="00D70061">
        <w:t>,</w:t>
      </w:r>
      <w:r>
        <w:t xml:space="preserve"> </w:t>
      </w:r>
      <w:r w:rsidR="00D0010F">
        <w:t>until the loss of its licensed site on December 9, 2011 due to a foreclosure action.</w:t>
      </w:r>
      <w:r w:rsidR="00D0010F">
        <w:rPr>
          <w:rStyle w:val="FootnoteReference"/>
        </w:rPr>
        <w:footnoteReference w:id="13"/>
      </w:r>
      <w:r w:rsidR="00D0010F">
        <w:t xml:space="preserve">  Moreover, </w:t>
      </w:r>
      <w:r w:rsidR="00346616">
        <w:t>notwithstanding the Bureau’s repeated warnings to it that the station’s license would expire if it did not resume operations by April 7, 2012,</w:t>
      </w:r>
      <w:r w:rsidR="00346616">
        <w:rPr>
          <w:rStyle w:val="FootnoteReference"/>
        </w:rPr>
        <w:footnoteReference w:id="14"/>
      </w:r>
      <w:r w:rsidR="00346616">
        <w:t xml:space="preserve"> </w:t>
      </w:r>
      <w:r w:rsidR="00D0010F">
        <w:t xml:space="preserve">Silver Fish made no attempt to resume operations with temporary facilities after the foreclosure.  We specifically reject as meritless Silver Fish’s contention that the pendency of the petition for reconsideration of the grant of its license application relieved it of its obligation to </w:t>
      </w:r>
      <w:r w:rsidR="00D70061">
        <w:t xml:space="preserve">undertake diligent efforts to </w:t>
      </w:r>
      <w:r w:rsidR="00D0010F">
        <w:t xml:space="preserve">promptly resume broadcast operations.  No equitable relief </w:t>
      </w:r>
      <w:r w:rsidR="00651045">
        <w:t xml:space="preserve">under Section 312(g) </w:t>
      </w:r>
      <w:r w:rsidR="00D0010F">
        <w:t>is warranted when a licensee’s extended silence is the result of its own voluntary business decision.</w:t>
      </w:r>
      <w:r w:rsidR="00D0010F">
        <w:rPr>
          <w:rStyle w:val="FootnoteReference"/>
        </w:rPr>
        <w:footnoteReference w:id="15"/>
      </w:r>
      <w:r w:rsidR="00D0010F">
        <w:t xml:space="preserve"> </w:t>
      </w:r>
    </w:p>
    <w:p w:rsidR="00276AD6" w:rsidRPr="00595BF9" w:rsidRDefault="00276AD6" w:rsidP="00AA466D">
      <w:pPr>
        <w:pStyle w:val="ParaNum"/>
        <w:widowControl/>
      </w:pPr>
      <w:r w:rsidRPr="00595BF9">
        <w:t>ACCORDINGLY, IT IS ORDERED that, pursuant to Section 5(c)(5) of the Communications Act of 1934, as amended,</w:t>
      </w:r>
      <w:r w:rsidRPr="00595BF9">
        <w:rPr>
          <w:rStyle w:val="FootnoteReference"/>
          <w:sz w:val="22"/>
          <w:szCs w:val="22"/>
        </w:rPr>
        <w:footnoteReference w:id="16"/>
      </w:r>
      <w:r w:rsidRPr="00595BF9">
        <w:t xml:space="preserve"> and Section 1.115(g) of the Commission’s Rules</w:t>
      </w:r>
      <w:r>
        <w:t>,</w:t>
      </w:r>
      <w:r w:rsidRPr="00595BF9">
        <w:rPr>
          <w:rStyle w:val="FootnoteReference"/>
          <w:sz w:val="22"/>
          <w:szCs w:val="22"/>
        </w:rPr>
        <w:footnoteReference w:id="17"/>
      </w:r>
      <w:r w:rsidRPr="00595BF9">
        <w:t xml:space="preserve"> the Application for Review filed by </w:t>
      </w:r>
      <w:r>
        <w:t>Silver Fish Fellowship, Inc. on December 18, 2013</w:t>
      </w:r>
      <w:r w:rsidRPr="00595BF9">
        <w:t xml:space="preserve">, IS DENIED. </w:t>
      </w:r>
    </w:p>
    <w:p w:rsidR="00AA466D" w:rsidRDefault="00AA466D" w:rsidP="0017296B">
      <w:r>
        <w:tab/>
      </w:r>
      <w:r>
        <w:tab/>
      </w:r>
      <w:r>
        <w:tab/>
      </w:r>
      <w:r>
        <w:tab/>
      </w:r>
      <w:r>
        <w:tab/>
      </w:r>
      <w:r>
        <w:tab/>
        <w:t>FEDERAL COMMUNICATIONS COMMISSION</w:t>
      </w:r>
    </w:p>
    <w:p w:rsidR="00AA466D" w:rsidRDefault="00AA466D" w:rsidP="0017296B"/>
    <w:p w:rsidR="00AA466D" w:rsidRDefault="00AA466D" w:rsidP="0017296B"/>
    <w:p w:rsidR="00AA466D" w:rsidRDefault="00AA466D" w:rsidP="0017296B"/>
    <w:p w:rsidR="00AA466D" w:rsidRDefault="00AA466D" w:rsidP="0017296B"/>
    <w:p w:rsidR="00AA466D" w:rsidRDefault="00AA466D" w:rsidP="0017296B">
      <w:r>
        <w:tab/>
      </w:r>
      <w:r>
        <w:tab/>
      </w:r>
      <w:r>
        <w:tab/>
      </w:r>
      <w:r>
        <w:tab/>
      </w:r>
      <w:r>
        <w:tab/>
      </w:r>
      <w:r>
        <w:tab/>
        <w:t>Marlene H. Dortch</w:t>
      </w:r>
    </w:p>
    <w:p w:rsidR="00AA466D" w:rsidRDefault="00AA466D" w:rsidP="0017296B">
      <w:r>
        <w:tab/>
      </w:r>
      <w:r>
        <w:tab/>
      </w:r>
      <w:r>
        <w:tab/>
      </w:r>
      <w:r>
        <w:tab/>
      </w:r>
      <w:r>
        <w:tab/>
      </w:r>
      <w:r>
        <w:tab/>
        <w:t>Secretary</w:t>
      </w:r>
    </w:p>
    <w:p w:rsidR="002C00E8" w:rsidRDefault="002C00E8" w:rsidP="002D00CC"/>
    <w:sectPr w:rsid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47" w:rsidRDefault="00653547">
      <w:pPr>
        <w:spacing w:line="20" w:lineRule="exact"/>
      </w:pPr>
    </w:p>
  </w:endnote>
  <w:endnote w:type="continuationSeparator" w:id="0">
    <w:p w:rsidR="00653547" w:rsidRDefault="00653547">
      <w:r>
        <w:t xml:space="preserve"> </w:t>
      </w:r>
    </w:p>
  </w:endnote>
  <w:endnote w:type="continuationNotice" w:id="1">
    <w:p w:rsidR="00653547" w:rsidRDefault="006535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969C6">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47" w:rsidRDefault="00653547">
      <w:r>
        <w:separator/>
      </w:r>
    </w:p>
  </w:footnote>
  <w:footnote w:type="continuationSeparator" w:id="0">
    <w:p w:rsidR="00653547" w:rsidRDefault="00653547" w:rsidP="00C721AC">
      <w:pPr>
        <w:spacing w:before="120"/>
        <w:rPr>
          <w:sz w:val="20"/>
        </w:rPr>
      </w:pPr>
      <w:r>
        <w:rPr>
          <w:sz w:val="20"/>
        </w:rPr>
        <w:t xml:space="preserve">(Continued from previous page)  </w:t>
      </w:r>
      <w:r>
        <w:rPr>
          <w:sz w:val="20"/>
        </w:rPr>
        <w:separator/>
      </w:r>
    </w:p>
  </w:footnote>
  <w:footnote w:type="continuationNotice" w:id="1">
    <w:p w:rsidR="00653547" w:rsidRDefault="00653547" w:rsidP="00C721AC">
      <w:pPr>
        <w:jc w:val="right"/>
        <w:rPr>
          <w:sz w:val="20"/>
        </w:rPr>
      </w:pPr>
      <w:r>
        <w:rPr>
          <w:sz w:val="20"/>
        </w:rPr>
        <w:t>(continued….)</w:t>
      </w:r>
    </w:p>
  </w:footnote>
  <w:footnote w:id="2">
    <w:p w:rsidR="00276AD6" w:rsidRPr="007C017E" w:rsidRDefault="00276AD6" w:rsidP="00276AD6">
      <w:pPr>
        <w:pStyle w:val="FootnoteText"/>
      </w:pPr>
      <w:r w:rsidRPr="00FD5A10">
        <w:rPr>
          <w:rStyle w:val="FootnoteReference"/>
        </w:rPr>
        <w:footnoteRef/>
      </w:r>
      <w:r w:rsidRPr="00FD5A10">
        <w:t xml:space="preserve"> </w:t>
      </w:r>
      <w:r w:rsidR="000C677B">
        <w:rPr>
          <w:i/>
        </w:rPr>
        <w:t xml:space="preserve">Silver Fish Broadcasting, Inc., </w:t>
      </w:r>
      <w:r w:rsidR="000C677B">
        <w:t>Letter, 28 FCC Rcd 15816 (MB 2013)</w:t>
      </w:r>
      <w:r w:rsidRPr="00FD5A10">
        <w:t xml:space="preserve"> (“</w:t>
      </w:r>
      <w:r>
        <w:rPr>
          <w:i/>
        </w:rPr>
        <w:t xml:space="preserve">Staff  </w:t>
      </w:r>
      <w:r w:rsidRPr="00FD5A10">
        <w:rPr>
          <w:i/>
        </w:rPr>
        <w:t>Decision</w:t>
      </w:r>
      <w:r w:rsidRPr="00FD5A10">
        <w:t xml:space="preserve">”). </w:t>
      </w:r>
      <w:r>
        <w:t xml:space="preserve"> The </w:t>
      </w:r>
      <w:r w:rsidRPr="001535ED">
        <w:rPr>
          <w:i/>
        </w:rPr>
        <w:t>Staff Decision</w:t>
      </w:r>
      <w:r w:rsidRPr="001535ED">
        <w:t xml:space="preserve"> </w:t>
      </w:r>
      <w:r>
        <w:t>also dismissed as moot a pending Petition for Reconsideration filed by White Mountain</w:t>
      </w:r>
      <w:r w:rsidR="006527F5">
        <w:t>s</w:t>
      </w:r>
      <w:r>
        <w:t xml:space="preserve"> Broadcasting, LLC</w:t>
      </w:r>
      <w:r w:rsidR="00CB4D89">
        <w:t xml:space="preserve"> (“White Mountains”)</w:t>
      </w:r>
      <w:r>
        <w:t>, against Silver Fish’s modification application (File No. BMPH-20110316AAK).  This dismissal is not challenged.</w:t>
      </w:r>
    </w:p>
  </w:footnote>
  <w:footnote w:id="3">
    <w:p w:rsidR="00276AD6" w:rsidRDefault="00276AD6" w:rsidP="00276AD6">
      <w:pPr>
        <w:pStyle w:val="FootnoteText"/>
      </w:pPr>
      <w:r>
        <w:rPr>
          <w:rStyle w:val="FootnoteReference"/>
        </w:rPr>
        <w:footnoteRef/>
      </w:r>
      <w:r>
        <w:t xml:space="preserve"> 47 U.S.C. § 312(g) (“If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any administrative or judicial appeal, the applicable law changes, or for any other reason to promote equity and fairness.”).</w:t>
      </w:r>
    </w:p>
  </w:footnote>
  <w:footnote w:id="4">
    <w:p w:rsidR="00276AD6" w:rsidRDefault="00276AD6" w:rsidP="00276AD6">
      <w:pPr>
        <w:pStyle w:val="FootnoteText"/>
      </w:pPr>
      <w:r>
        <w:rPr>
          <w:rStyle w:val="FootnoteReference"/>
        </w:rPr>
        <w:footnoteRef/>
      </w:r>
      <w:r>
        <w:t xml:space="preserve"> 47 C.F.R. § 73.3598(b)(2).</w:t>
      </w:r>
    </w:p>
  </w:footnote>
  <w:footnote w:id="5">
    <w:p w:rsidR="00276AD6" w:rsidRPr="0013473E" w:rsidRDefault="00276AD6" w:rsidP="00276AD6">
      <w:pPr>
        <w:pStyle w:val="FootnoteText"/>
      </w:pPr>
      <w:r>
        <w:rPr>
          <w:rStyle w:val="FootnoteReference"/>
        </w:rPr>
        <w:footnoteRef/>
      </w:r>
      <w:r>
        <w:t xml:space="preserve"> AFR at 3. </w:t>
      </w:r>
    </w:p>
  </w:footnote>
  <w:footnote w:id="6">
    <w:p w:rsidR="00346616" w:rsidRDefault="00346616">
      <w:pPr>
        <w:pStyle w:val="FootnoteText"/>
      </w:pPr>
      <w:r w:rsidRPr="009A5A24">
        <w:rPr>
          <w:rStyle w:val="FootnoteReference"/>
        </w:rPr>
        <w:footnoteRef/>
      </w:r>
      <w:r w:rsidRPr="009A5A24">
        <w:t xml:space="preserve"> </w:t>
      </w:r>
      <w:r w:rsidRPr="009A5A24">
        <w:rPr>
          <w:i/>
        </w:rPr>
        <w:t>See</w:t>
      </w:r>
      <w:r w:rsidRPr="009A5A24">
        <w:t xml:space="preserve"> response to </w:t>
      </w:r>
      <w:r w:rsidR="001D0A02" w:rsidRPr="009A5A24">
        <w:t xml:space="preserve">Silver Fish’s </w:t>
      </w:r>
      <w:r w:rsidR="0017127E" w:rsidRPr="009A5A24">
        <w:t>FCC Form 302-FM</w:t>
      </w:r>
      <w:r w:rsidRPr="009A5A24">
        <w:t xml:space="preserve">, </w:t>
      </w:r>
      <w:r w:rsidR="0017127E" w:rsidRPr="009A5A24">
        <w:t xml:space="preserve">Section III, </w:t>
      </w:r>
      <w:r w:rsidRPr="009A5A24">
        <w:t>Item 7</w:t>
      </w:r>
      <w:r w:rsidR="00651045" w:rsidRPr="009A5A24">
        <w:t xml:space="preserve"> (</w:t>
      </w:r>
      <w:r w:rsidRPr="009A5A24">
        <w:t>File No. BLH-20110323ABV</w:t>
      </w:r>
      <w:r w:rsidR="00651045" w:rsidRPr="009A5A24">
        <w:t>)</w:t>
      </w:r>
      <w:r w:rsidRPr="009A5A24">
        <w:t>, granted April 6, 2011</w:t>
      </w:r>
      <w:r w:rsidR="0017127E" w:rsidRPr="009A5A24">
        <w:t>; AFR at 1</w:t>
      </w:r>
      <w:r w:rsidRPr="009A5A24">
        <w:t>.</w:t>
      </w:r>
    </w:p>
  </w:footnote>
  <w:footnote w:id="7">
    <w:p w:rsidR="00276AD6" w:rsidRDefault="00276AD6" w:rsidP="00276AD6">
      <w:pPr>
        <w:pStyle w:val="FootnoteText"/>
      </w:pPr>
      <w:r>
        <w:rPr>
          <w:rStyle w:val="FootnoteReference"/>
        </w:rPr>
        <w:footnoteRef/>
      </w:r>
      <w:r>
        <w:t xml:space="preserve"> </w:t>
      </w:r>
      <w:r w:rsidRPr="004747FE">
        <w:rPr>
          <w:i/>
        </w:rPr>
        <w:t>Staff Decision</w:t>
      </w:r>
      <w:r w:rsidR="001A7415">
        <w:t>,</w:t>
      </w:r>
      <w:r>
        <w:t xml:space="preserve"> </w:t>
      </w:r>
      <w:r w:rsidR="00754305">
        <w:t>28 FCC Rcd at 15817-18.</w:t>
      </w:r>
    </w:p>
  </w:footnote>
  <w:footnote w:id="8">
    <w:p w:rsidR="008C2288" w:rsidRDefault="008C2288">
      <w:pPr>
        <w:pStyle w:val="FootnoteText"/>
      </w:pPr>
      <w:r>
        <w:rPr>
          <w:rStyle w:val="FootnoteReference"/>
        </w:rPr>
        <w:footnoteRef/>
      </w:r>
      <w:r>
        <w:t xml:space="preserve"> </w:t>
      </w:r>
      <w:r w:rsidRPr="008C2288">
        <w:rPr>
          <w:i/>
        </w:rPr>
        <w:t xml:space="preserve">See </w:t>
      </w:r>
      <w:r w:rsidRPr="008C2288">
        <w:t xml:space="preserve">AFR at 2-4; </w:t>
      </w:r>
      <w:r w:rsidRPr="008C2288">
        <w:rPr>
          <w:i/>
        </w:rPr>
        <w:t>see also Letter from A. Wray Fitch III to Secretary, FCC</w:t>
      </w:r>
      <w:r w:rsidRPr="008C2288">
        <w:t xml:space="preserve"> (May 7, 2012) at 2 (“This request to extend the right to remain silent is on all fours with the rationale to toll a construction permit.  The same equities apply.”).</w:t>
      </w:r>
    </w:p>
  </w:footnote>
  <w:footnote w:id="9">
    <w:p w:rsidR="00276AD6" w:rsidRDefault="00276AD6" w:rsidP="00276AD6">
      <w:pPr>
        <w:pStyle w:val="FootnoteText"/>
      </w:pPr>
      <w:r>
        <w:rPr>
          <w:rStyle w:val="FootnoteReference"/>
        </w:rPr>
        <w:footnoteRef/>
      </w:r>
      <w:r>
        <w:t xml:space="preserve"> </w:t>
      </w:r>
      <w:r w:rsidRPr="004747FE">
        <w:rPr>
          <w:i/>
        </w:rPr>
        <w:t>See</w:t>
      </w:r>
      <w:r>
        <w:t xml:space="preserve"> 47 C.F.R. § 73.3598(b) (“The period of construction for an original construction permit shall toll when construction is prevented by the following causes not under the control of the permittee . . .”), and </w:t>
      </w:r>
      <w:r w:rsidRPr="004747FE">
        <w:rPr>
          <w:i/>
        </w:rPr>
        <w:t>Staff Decision</w:t>
      </w:r>
      <w:r w:rsidR="001A7415">
        <w:t>,</w:t>
      </w:r>
      <w:r>
        <w:t xml:space="preserve"> </w:t>
      </w:r>
      <w:r w:rsidR="00754305">
        <w:t>28 FCC Rcd at 15818</w:t>
      </w:r>
      <w:r>
        <w:t xml:space="preserve"> (the Commission has reinstated lapsed licenses under Section 312(g) “in only a few cases, each of which involved silence for compelling reasons beyond the licensee’s control”). </w:t>
      </w:r>
    </w:p>
  </w:footnote>
  <w:footnote w:id="10">
    <w:p w:rsidR="001A7415" w:rsidRDefault="001A7415">
      <w:pPr>
        <w:pStyle w:val="FootnoteText"/>
      </w:pPr>
      <w:r>
        <w:rPr>
          <w:rStyle w:val="FootnoteReference"/>
        </w:rPr>
        <w:footnoteRef/>
      </w:r>
      <w:r>
        <w:t xml:space="preserve"> </w:t>
      </w:r>
      <w:r w:rsidRPr="00CB4D89">
        <w:rPr>
          <w:i/>
        </w:rPr>
        <w:t>See Staff Decision</w:t>
      </w:r>
      <w:r>
        <w:t>, 28 FCC Rcd at n.14 and related text.</w:t>
      </w:r>
    </w:p>
  </w:footnote>
  <w:footnote w:id="11">
    <w:p w:rsidR="00276AD6" w:rsidRDefault="00276AD6" w:rsidP="00276AD6">
      <w:pPr>
        <w:pStyle w:val="FootnoteText"/>
      </w:pPr>
      <w:r>
        <w:rPr>
          <w:rStyle w:val="FootnoteReference"/>
        </w:rPr>
        <w:footnoteRef/>
      </w:r>
      <w:r>
        <w:t xml:space="preserve"> </w:t>
      </w:r>
      <w:r w:rsidRPr="004747FE">
        <w:rPr>
          <w:i/>
        </w:rPr>
        <w:t>See Rainbow Broadcasting Co.</w:t>
      </w:r>
      <w:r>
        <w:t xml:space="preserve">, Decision, 13 FCC Rcd </w:t>
      </w:r>
      <w:r w:rsidR="008C2288">
        <w:t>21000</w:t>
      </w:r>
      <w:r>
        <w:t>, 21021-22 (1998) (extensive litigation “effectively deprived Rainbow of an unencumbered 24 months in which it reasonably could have been expected to construct the station”)</w:t>
      </w:r>
      <w:r w:rsidR="008C2288">
        <w:t>.</w:t>
      </w:r>
    </w:p>
  </w:footnote>
  <w:footnote w:id="12">
    <w:p w:rsidR="00276AD6" w:rsidRDefault="00276AD6" w:rsidP="00276AD6">
      <w:pPr>
        <w:pStyle w:val="FootnoteText"/>
      </w:pPr>
      <w:r>
        <w:rPr>
          <w:rStyle w:val="FootnoteReference"/>
        </w:rPr>
        <w:footnoteRef/>
      </w:r>
      <w:r>
        <w:t xml:space="preserve"> </w:t>
      </w:r>
      <w:r w:rsidRPr="004747FE">
        <w:rPr>
          <w:i/>
        </w:rPr>
        <w:t>See</w:t>
      </w:r>
      <w:r>
        <w:t xml:space="preserve"> 47 U.S.C. § 319(b); </w:t>
      </w:r>
      <w:r w:rsidRPr="004747FE">
        <w:rPr>
          <w:i/>
        </w:rPr>
        <w:t>1998 Biennial Regulatory Review – Streamlining of Mass Media Applications, Rules and Processes, Report and Order</w:t>
      </w:r>
      <w:r>
        <w:t xml:space="preserve">, 13 FCC Rcd 23056, 23090 (1998), </w:t>
      </w:r>
      <w:r w:rsidRPr="004747FE">
        <w:rPr>
          <w:i/>
        </w:rPr>
        <w:t>on recon.</w:t>
      </w:r>
      <w:r>
        <w:t xml:space="preserve">, Memorandum Opinion and Order, 14 FCC Rcd 17525 (1999) (citing </w:t>
      </w:r>
      <w:r w:rsidRPr="004747FE">
        <w:rPr>
          <w:i/>
        </w:rPr>
        <w:t>Rainbow Broadcasting</w:t>
      </w:r>
      <w:r>
        <w:t>).</w:t>
      </w:r>
    </w:p>
  </w:footnote>
  <w:footnote w:id="13">
    <w:p w:rsidR="00D0010F" w:rsidRDefault="00D0010F">
      <w:pPr>
        <w:pStyle w:val="FootnoteText"/>
      </w:pPr>
      <w:r>
        <w:rPr>
          <w:rStyle w:val="FootnoteReference"/>
        </w:rPr>
        <w:footnoteRef/>
      </w:r>
      <w:r>
        <w:t xml:space="preserve"> </w:t>
      </w:r>
      <w:r w:rsidRPr="004747FE">
        <w:rPr>
          <w:i/>
        </w:rPr>
        <w:t>See Staff Decision</w:t>
      </w:r>
      <w:r w:rsidR="00844A12">
        <w:t>,</w:t>
      </w:r>
      <w:r>
        <w:t xml:space="preserve"> </w:t>
      </w:r>
      <w:r w:rsidR="00754305">
        <w:t>28 FCC Rcd at 15818.</w:t>
      </w:r>
    </w:p>
  </w:footnote>
  <w:footnote w:id="14">
    <w:p w:rsidR="00346616" w:rsidRDefault="00346616">
      <w:pPr>
        <w:pStyle w:val="FootnoteText"/>
      </w:pPr>
      <w:r>
        <w:rPr>
          <w:rStyle w:val="FootnoteReference"/>
        </w:rPr>
        <w:footnoteRef/>
      </w:r>
      <w:r>
        <w:t xml:space="preserve"> </w:t>
      </w:r>
      <w:r w:rsidR="00C36AFB" w:rsidRPr="00CB4D89">
        <w:rPr>
          <w:i/>
        </w:rPr>
        <w:t>Id.</w:t>
      </w:r>
      <w:r w:rsidR="00C36AFB">
        <w:t xml:space="preserve"> at 15817.</w:t>
      </w:r>
      <w:r w:rsidR="00651045">
        <w:t xml:space="preserve"> </w:t>
      </w:r>
    </w:p>
  </w:footnote>
  <w:footnote w:id="15">
    <w:p w:rsidR="00D0010F" w:rsidRPr="00F776FA" w:rsidRDefault="00D0010F">
      <w:pPr>
        <w:pStyle w:val="FootnoteText"/>
      </w:pPr>
      <w:r>
        <w:rPr>
          <w:rStyle w:val="FootnoteReference"/>
        </w:rPr>
        <w:footnoteRef/>
      </w:r>
      <w:r>
        <w:t xml:space="preserve"> </w:t>
      </w:r>
      <w:r w:rsidR="00D70061">
        <w:rPr>
          <w:i/>
        </w:rPr>
        <w:t xml:space="preserve">Compare, </w:t>
      </w:r>
      <w:r>
        <w:rPr>
          <w:i/>
        </w:rPr>
        <w:t>e.g., Zacarias Serrato</w:t>
      </w:r>
      <w:r>
        <w:t>, Letter, 20 FCC Rcd 17232 (MB 2005) (former licensee not entitled to equitable relief pursuant to Section 312(g) when silence w</w:t>
      </w:r>
      <w:r w:rsidR="00D70061">
        <w:t>a</w:t>
      </w:r>
      <w:r>
        <w:t>s due to business decision not to seek an alternate site)</w:t>
      </w:r>
      <w:r w:rsidR="00D70061">
        <w:t xml:space="preserve"> </w:t>
      </w:r>
      <w:r w:rsidR="00D70061">
        <w:rPr>
          <w:i/>
        </w:rPr>
        <w:t>with, e.g., V. I. Stereo Communications Corp.</w:t>
      </w:r>
      <w:r w:rsidR="00D70061">
        <w:t>, Memorandum Opinion and Order, 21 FCC Rcd 14259</w:t>
      </w:r>
      <w:r w:rsidR="007F1A83">
        <w:t>, 14262</w:t>
      </w:r>
      <w:r w:rsidR="00D70061">
        <w:t xml:space="preserve"> (2006) (equitable reinstatement warranted where station’s extended silence was due to destruction of towers in a hurricane and substantial damage to rebuilt facilities by a subsequent hurricane).</w:t>
      </w:r>
      <w:r>
        <w:t xml:space="preserve"> </w:t>
      </w:r>
      <w:r w:rsidR="00754305">
        <w:t xml:space="preserve"> </w:t>
      </w:r>
      <w:r w:rsidR="007C1275">
        <w:t xml:space="preserve">We </w:t>
      </w:r>
      <w:r w:rsidR="007F60EC">
        <w:t>also</w:t>
      </w:r>
      <w:r w:rsidR="007C1275">
        <w:t xml:space="preserve"> reject Silver Fish’s argument that it had a </w:t>
      </w:r>
      <w:r w:rsidR="00F776FA">
        <w:t>“</w:t>
      </w:r>
      <w:r w:rsidR="007C1275">
        <w:t>right to remain silent</w:t>
      </w:r>
      <w:r w:rsidR="00F776FA">
        <w:t>”</w:t>
      </w:r>
      <w:r w:rsidR="007C1275">
        <w:t xml:space="preserve"> because of the economic risk of </w:t>
      </w:r>
      <w:r w:rsidR="00F016D3">
        <w:t>operating a station whose license was under challenge</w:t>
      </w:r>
      <w:r w:rsidR="007C1275">
        <w:t xml:space="preserve">.  </w:t>
      </w:r>
      <w:r w:rsidR="007C1275">
        <w:rPr>
          <w:i/>
        </w:rPr>
        <w:t>See</w:t>
      </w:r>
      <w:r w:rsidR="00F776FA">
        <w:t xml:space="preserve"> n.6, </w:t>
      </w:r>
      <w:r w:rsidR="00F776FA">
        <w:rPr>
          <w:i/>
        </w:rPr>
        <w:t>supra; see also</w:t>
      </w:r>
      <w:r w:rsidR="007C1275">
        <w:t xml:space="preserve"> AFR at 2-3.  This argument flies in the face of the basic tenet of a licensee’s public interest obligation</w:t>
      </w:r>
      <w:r w:rsidR="00F016D3">
        <w:t xml:space="preserve">, which is </w:t>
      </w:r>
      <w:r w:rsidR="007C1275">
        <w:t xml:space="preserve">to provide service </w:t>
      </w:r>
      <w:r w:rsidR="00F016D3">
        <w:t>to the public</w:t>
      </w:r>
      <w:r w:rsidR="007C1275">
        <w:t>.</w:t>
      </w:r>
      <w:r w:rsidR="00F776FA">
        <w:rPr>
          <w:i/>
        </w:rPr>
        <w:t xml:space="preserve">  See LKCM Radio Group</w:t>
      </w:r>
      <w:r w:rsidR="00F776FA">
        <w:t>, Memorandum Opinion and Order and Notice of Apparent Liability for Forfeiture, 29 FCC Rcd 1045, 1048-50 (MB 2014).</w:t>
      </w:r>
    </w:p>
  </w:footnote>
  <w:footnote w:id="16">
    <w:p w:rsidR="00276AD6" w:rsidRPr="00E501BB" w:rsidRDefault="00276AD6" w:rsidP="00276AD6">
      <w:pPr>
        <w:pStyle w:val="FootnoteText"/>
      </w:pPr>
      <w:r w:rsidRPr="00E501BB">
        <w:rPr>
          <w:rStyle w:val="FootnoteReference"/>
        </w:rPr>
        <w:footnoteRef/>
      </w:r>
      <w:r w:rsidRPr="00E501BB">
        <w:t xml:space="preserve"> 47 U.S.C. § 155(c)(5).</w:t>
      </w:r>
    </w:p>
  </w:footnote>
  <w:footnote w:id="17">
    <w:p w:rsidR="00276AD6" w:rsidRPr="00E501BB" w:rsidRDefault="00276AD6" w:rsidP="00276AD6">
      <w:pPr>
        <w:pStyle w:val="FootnoteText"/>
      </w:pPr>
      <w:r w:rsidRPr="00E501BB">
        <w:rPr>
          <w:rStyle w:val="FootnoteReference"/>
        </w:rPr>
        <w:footnoteRef/>
      </w:r>
      <w:r w:rsidRPr="00E501BB">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3F" w:rsidRDefault="009C0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F1C39">
      <w:t>FCC 14-194</w:t>
    </w:r>
  </w:p>
  <w:p w:rsidR="00D25FB5" w:rsidRDefault="00276AD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1E6768B" wp14:editId="415E7CA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76AD6"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F1C39">
      <w:rPr>
        <w:spacing w:val="-2"/>
      </w:rPr>
      <w:t>FCC 14-194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D6"/>
    <w:rsid w:val="00036039"/>
    <w:rsid w:val="00037F90"/>
    <w:rsid w:val="00052740"/>
    <w:rsid w:val="000875BF"/>
    <w:rsid w:val="00096D8C"/>
    <w:rsid w:val="000C0B65"/>
    <w:rsid w:val="000C677B"/>
    <w:rsid w:val="000E05FE"/>
    <w:rsid w:val="000E3D42"/>
    <w:rsid w:val="00122BD5"/>
    <w:rsid w:val="00133F79"/>
    <w:rsid w:val="001443E2"/>
    <w:rsid w:val="00146440"/>
    <w:rsid w:val="0017127E"/>
    <w:rsid w:val="00194A66"/>
    <w:rsid w:val="001A7415"/>
    <w:rsid w:val="001D0A02"/>
    <w:rsid w:val="001D6BCF"/>
    <w:rsid w:val="001E01CA"/>
    <w:rsid w:val="00275CF5"/>
    <w:rsid w:val="00276AD6"/>
    <w:rsid w:val="0028301F"/>
    <w:rsid w:val="00285017"/>
    <w:rsid w:val="00294F29"/>
    <w:rsid w:val="002A2D2E"/>
    <w:rsid w:val="002C00E8"/>
    <w:rsid w:val="002D00CC"/>
    <w:rsid w:val="00327781"/>
    <w:rsid w:val="00343749"/>
    <w:rsid w:val="00346616"/>
    <w:rsid w:val="003660ED"/>
    <w:rsid w:val="003B0550"/>
    <w:rsid w:val="003B694F"/>
    <w:rsid w:val="003F171C"/>
    <w:rsid w:val="00412FC5"/>
    <w:rsid w:val="00422276"/>
    <w:rsid w:val="004242F1"/>
    <w:rsid w:val="00430E06"/>
    <w:rsid w:val="00445A00"/>
    <w:rsid w:val="00451B0F"/>
    <w:rsid w:val="004C2EE3"/>
    <w:rsid w:val="004E4A22"/>
    <w:rsid w:val="00511968"/>
    <w:rsid w:val="0055614C"/>
    <w:rsid w:val="00574C6B"/>
    <w:rsid w:val="0058322E"/>
    <w:rsid w:val="005E14C2"/>
    <w:rsid w:val="005F1C39"/>
    <w:rsid w:val="00607BA5"/>
    <w:rsid w:val="0061180A"/>
    <w:rsid w:val="00626EB6"/>
    <w:rsid w:val="00651045"/>
    <w:rsid w:val="006527F5"/>
    <w:rsid w:val="00653547"/>
    <w:rsid w:val="00655D03"/>
    <w:rsid w:val="00683388"/>
    <w:rsid w:val="00683F84"/>
    <w:rsid w:val="006969C6"/>
    <w:rsid w:val="006A6A81"/>
    <w:rsid w:val="006F7393"/>
    <w:rsid w:val="0070224F"/>
    <w:rsid w:val="007115F7"/>
    <w:rsid w:val="00740242"/>
    <w:rsid w:val="00754305"/>
    <w:rsid w:val="0075687F"/>
    <w:rsid w:val="007836C3"/>
    <w:rsid w:val="00785689"/>
    <w:rsid w:val="0079754B"/>
    <w:rsid w:val="007A1E6D"/>
    <w:rsid w:val="007B0EB2"/>
    <w:rsid w:val="007C1275"/>
    <w:rsid w:val="007E00F1"/>
    <w:rsid w:val="007F1A83"/>
    <w:rsid w:val="007F60EC"/>
    <w:rsid w:val="00810B6F"/>
    <w:rsid w:val="00822CE0"/>
    <w:rsid w:val="00840D94"/>
    <w:rsid w:val="00841AB1"/>
    <w:rsid w:val="00844A12"/>
    <w:rsid w:val="00895EB1"/>
    <w:rsid w:val="008C2288"/>
    <w:rsid w:val="008C68F1"/>
    <w:rsid w:val="00921803"/>
    <w:rsid w:val="00926503"/>
    <w:rsid w:val="009726D8"/>
    <w:rsid w:val="009A5A24"/>
    <w:rsid w:val="009B193A"/>
    <w:rsid w:val="009C0E3F"/>
    <w:rsid w:val="009F76DB"/>
    <w:rsid w:val="00A32C3B"/>
    <w:rsid w:val="00A45F4F"/>
    <w:rsid w:val="00A600A9"/>
    <w:rsid w:val="00A700EC"/>
    <w:rsid w:val="00A713C3"/>
    <w:rsid w:val="00A86BFA"/>
    <w:rsid w:val="00AA35C5"/>
    <w:rsid w:val="00AA466D"/>
    <w:rsid w:val="00AA55B7"/>
    <w:rsid w:val="00AA5B9E"/>
    <w:rsid w:val="00AB2407"/>
    <w:rsid w:val="00AB53DF"/>
    <w:rsid w:val="00B07E5C"/>
    <w:rsid w:val="00B811F7"/>
    <w:rsid w:val="00B85009"/>
    <w:rsid w:val="00BA5DC6"/>
    <w:rsid w:val="00BA6196"/>
    <w:rsid w:val="00BC6D8C"/>
    <w:rsid w:val="00BF770E"/>
    <w:rsid w:val="00C05A07"/>
    <w:rsid w:val="00C34006"/>
    <w:rsid w:val="00C36AFB"/>
    <w:rsid w:val="00C426B1"/>
    <w:rsid w:val="00C66160"/>
    <w:rsid w:val="00C721AC"/>
    <w:rsid w:val="00C90D6A"/>
    <w:rsid w:val="00CA247E"/>
    <w:rsid w:val="00CB4D89"/>
    <w:rsid w:val="00CC72B6"/>
    <w:rsid w:val="00CD6D94"/>
    <w:rsid w:val="00D0010F"/>
    <w:rsid w:val="00D014DD"/>
    <w:rsid w:val="00D0218D"/>
    <w:rsid w:val="00D25FB5"/>
    <w:rsid w:val="00D44223"/>
    <w:rsid w:val="00D54F0C"/>
    <w:rsid w:val="00D70061"/>
    <w:rsid w:val="00D97942"/>
    <w:rsid w:val="00DA2529"/>
    <w:rsid w:val="00DB130A"/>
    <w:rsid w:val="00DB2EBB"/>
    <w:rsid w:val="00DC10A1"/>
    <w:rsid w:val="00DC655F"/>
    <w:rsid w:val="00DD0B59"/>
    <w:rsid w:val="00DD7EBD"/>
    <w:rsid w:val="00DF62B6"/>
    <w:rsid w:val="00E07225"/>
    <w:rsid w:val="00E45D88"/>
    <w:rsid w:val="00E5409F"/>
    <w:rsid w:val="00ED64D7"/>
    <w:rsid w:val="00EE6488"/>
    <w:rsid w:val="00F016D3"/>
    <w:rsid w:val="00F021FA"/>
    <w:rsid w:val="00F62E97"/>
    <w:rsid w:val="00F64209"/>
    <w:rsid w:val="00F652FF"/>
    <w:rsid w:val="00F776FA"/>
    <w:rsid w:val="00F93BF5"/>
    <w:rsid w:val="00FC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5C5"/>
    <w:pPr>
      <w:widowControl w:val="0"/>
    </w:pPr>
    <w:rPr>
      <w:snapToGrid w:val="0"/>
      <w:kern w:val="28"/>
      <w:sz w:val="22"/>
    </w:rPr>
  </w:style>
  <w:style w:type="paragraph" w:styleId="Heading1">
    <w:name w:val="heading 1"/>
    <w:basedOn w:val="Normal"/>
    <w:next w:val="ParaNum"/>
    <w:qFormat/>
    <w:rsid w:val="00AA35C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A35C5"/>
    <w:pPr>
      <w:keepNext/>
      <w:numPr>
        <w:ilvl w:val="1"/>
        <w:numId w:val="3"/>
      </w:numPr>
      <w:spacing w:after="120"/>
      <w:outlineLvl w:val="1"/>
    </w:pPr>
    <w:rPr>
      <w:b/>
    </w:rPr>
  </w:style>
  <w:style w:type="paragraph" w:styleId="Heading3">
    <w:name w:val="heading 3"/>
    <w:basedOn w:val="Normal"/>
    <w:next w:val="ParaNum"/>
    <w:qFormat/>
    <w:rsid w:val="00AA35C5"/>
    <w:pPr>
      <w:keepNext/>
      <w:numPr>
        <w:ilvl w:val="2"/>
        <w:numId w:val="3"/>
      </w:numPr>
      <w:tabs>
        <w:tab w:val="left" w:pos="2160"/>
      </w:tabs>
      <w:spacing w:after="120"/>
      <w:outlineLvl w:val="2"/>
    </w:pPr>
    <w:rPr>
      <w:b/>
    </w:rPr>
  </w:style>
  <w:style w:type="paragraph" w:styleId="Heading4">
    <w:name w:val="heading 4"/>
    <w:basedOn w:val="Normal"/>
    <w:next w:val="ParaNum"/>
    <w:qFormat/>
    <w:rsid w:val="00AA35C5"/>
    <w:pPr>
      <w:keepNext/>
      <w:numPr>
        <w:ilvl w:val="3"/>
        <w:numId w:val="3"/>
      </w:numPr>
      <w:tabs>
        <w:tab w:val="left" w:pos="2880"/>
      </w:tabs>
      <w:spacing w:after="120"/>
      <w:outlineLvl w:val="3"/>
    </w:pPr>
    <w:rPr>
      <w:b/>
    </w:rPr>
  </w:style>
  <w:style w:type="paragraph" w:styleId="Heading5">
    <w:name w:val="heading 5"/>
    <w:basedOn w:val="Normal"/>
    <w:next w:val="ParaNum"/>
    <w:qFormat/>
    <w:rsid w:val="00AA35C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A35C5"/>
    <w:pPr>
      <w:numPr>
        <w:ilvl w:val="5"/>
        <w:numId w:val="3"/>
      </w:numPr>
      <w:tabs>
        <w:tab w:val="left" w:pos="4320"/>
      </w:tabs>
      <w:spacing w:after="120"/>
      <w:outlineLvl w:val="5"/>
    </w:pPr>
    <w:rPr>
      <w:b/>
    </w:rPr>
  </w:style>
  <w:style w:type="paragraph" w:styleId="Heading7">
    <w:name w:val="heading 7"/>
    <w:basedOn w:val="Normal"/>
    <w:next w:val="ParaNum"/>
    <w:qFormat/>
    <w:rsid w:val="00AA35C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A35C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A35C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35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35C5"/>
  </w:style>
  <w:style w:type="paragraph" w:customStyle="1" w:styleId="ParaNum">
    <w:name w:val="ParaNum"/>
    <w:basedOn w:val="Normal"/>
    <w:link w:val="ParaNumChar"/>
    <w:rsid w:val="00AA35C5"/>
    <w:pPr>
      <w:numPr>
        <w:numId w:val="2"/>
      </w:numPr>
      <w:tabs>
        <w:tab w:val="clear" w:pos="1080"/>
        <w:tab w:val="num" w:pos="1440"/>
      </w:tabs>
      <w:spacing w:after="120"/>
    </w:pPr>
  </w:style>
  <w:style w:type="paragraph" w:styleId="EndnoteText">
    <w:name w:val="endnote text"/>
    <w:basedOn w:val="Normal"/>
    <w:semiHidden/>
    <w:rsid w:val="00AA35C5"/>
    <w:rPr>
      <w:sz w:val="20"/>
    </w:rPr>
  </w:style>
  <w:style w:type="character" w:styleId="EndnoteReference">
    <w:name w:val="endnote reference"/>
    <w:semiHidden/>
    <w:rsid w:val="00AA35C5"/>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AA35C5"/>
    <w:pPr>
      <w:spacing w:after="120"/>
    </w:pPr>
  </w:style>
  <w:style w:type="character" w:styleId="FootnoteReference">
    <w:name w:val="footnote reference"/>
    <w:aliases w:val="Style 12,(NECG) Footnote Reference,Appel note de bas de p,Style 124,o,fr,Style 3,Style 13"/>
    <w:rsid w:val="00AA35C5"/>
    <w:rPr>
      <w:rFonts w:ascii="Times New Roman" w:hAnsi="Times New Roman"/>
      <w:dstrike w:val="0"/>
      <w:color w:val="auto"/>
      <w:sz w:val="20"/>
      <w:vertAlign w:val="superscript"/>
    </w:rPr>
  </w:style>
  <w:style w:type="paragraph" w:styleId="TOC1">
    <w:name w:val="toc 1"/>
    <w:basedOn w:val="Normal"/>
    <w:next w:val="Normal"/>
    <w:semiHidden/>
    <w:rsid w:val="00AA35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35C5"/>
    <w:pPr>
      <w:tabs>
        <w:tab w:val="left" w:pos="720"/>
        <w:tab w:val="right" w:leader="dot" w:pos="9360"/>
      </w:tabs>
      <w:suppressAutoHyphens/>
      <w:ind w:left="720" w:right="720" w:hanging="360"/>
    </w:pPr>
    <w:rPr>
      <w:noProof/>
    </w:rPr>
  </w:style>
  <w:style w:type="paragraph" w:styleId="TOC3">
    <w:name w:val="toc 3"/>
    <w:basedOn w:val="Normal"/>
    <w:next w:val="Normal"/>
    <w:semiHidden/>
    <w:rsid w:val="00AA35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35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35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35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35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35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35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35C5"/>
    <w:pPr>
      <w:tabs>
        <w:tab w:val="right" w:pos="9360"/>
      </w:tabs>
      <w:suppressAutoHyphens/>
    </w:pPr>
  </w:style>
  <w:style w:type="character" w:customStyle="1" w:styleId="EquationCaption">
    <w:name w:val="_Equation Caption"/>
    <w:rsid w:val="00AA35C5"/>
  </w:style>
  <w:style w:type="paragraph" w:styleId="Header">
    <w:name w:val="header"/>
    <w:basedOn w:val="Normal"/>
    <w:autoRedefine/>
    <w:rsid w:val="00AA35C5"/>
    <w:pPr>
      <w:tabs>
        <w:tab w:val="center" w:pos="4680"/>
        <w:tab w:val="right" w:pos="9360"/>
      </w:tabs>
    </w:pPr>
    <w:rPr>
      <w:b/>
    </w:rPr>
  </w:style>
  <w:style w:type="paragraph" w:styleId="Footer">
    <w:name w:val="footer"/>
    <w:basedOn w:val="Normal"/>
    <w:rsid w:val="00AA35C5"/>
    <w:pPr>
      <w:tabs>
        <w:tab w:val="center" w:pos="4320"/>
        <w:tab w:val="right" w:pos="8640"/>
      </w:tabs>
    </w:pPr>
  </w:style>
  <w:style w:type="character" w:styleId="PageNumber">
    <w:name w:val="page number"/>
    <w:basedOn w:val="DefaultParagraphFont"/>
    <w:rsid w:val="00AA35C5"/>
  </w:style>
  <w:style w:type="paragraph" w:styleId="BlockText">
    <w:name w:val="Block Text"/>
    <w:basedOn w:val="Normal"/>
    <w:rsid w:val="00AA35C5"/>
    <w:pPr>
      <w:spacing w:after="240"/>
      <w:ind w:left="1440" w:right="1440"/>
    </w:pPr>
  </w:style>
  <w:style w:type="paragraph" w:customStyle="1" w:styleId="Paratitle">
    <w:name w:val="Para title"/>
    <w:basedOn w:val="Normal"/>
    <w:rsid w:val="00AA35C5"/>
    <w:pPr>
      <w:tabs>
        <w:tab w:val="center" w:pos="9270"/>
      </w:tabs>
      <w:spacing w:after="240"/>
    </w:pPr>
    <w:rPr>
      <w:spacing w:val="-2"/>
    </w:rPr>
  </w:style>
  <w:style w:type="paragraph" w:customStyle="1" w:styleId="Bullet">
    <w:name w:val="Bullet"/>
    <w:basedOn w:val="Normal"/>
    <w:rsid w:val="00AA35C5"/>
    <w:pPr>
      <w:tabs>
        <w:tab w:val="left" w:pos="2160"/>
      </w:tabs>
      <w:spacing w:after="220"/>
      <w:ind w:left="2160" w:hanging="720"/>
    </w:pPr>
  </w:style>
  <w:style w:type="paragraph" w:customStyle="1" w:styleId="TableFormat">
    <w:name w:val="TableFormat"/>
    <w:basedOn w:val="Bullet"/>
    <w:rsid w:val="00AA35C5"/>
    <w:pPr>
      <w:tabs>
        <w:tab w:val="clear" w:pos="2160"/>
        <w:tab w:val="left" w:pos="5040"/>
      </w:tabs>
      <w:ind w:left="5040" w:hanging="3600"/>
    </w:pPr>
  </w:style>
  <w:style w:type="paragraph" w:customStyle="1" w:styleId="TOCTitle">
    <w:name w:val="TOC Title"/>
    <w:basedOn w:val="Normal"/>
    <w:rsid w:val="00AA35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35C5"/>
    <w:pPr>
      <w:jc w:val="center"/>
    </w:pPr>
    <w:rPr>
      <w:rFonts w:ascii="Times New Roman Bold" w:hAnsi="Times New Roman Bold"/>
      <w:b/>
      <w:bCs/>
      <w:caps/>
      <w:szCs w:val="22"/>
    </w:rPr>
  </w:style>
  <w:style w:type="character" w:styleId="Hyperlink">
    <w:name w:val="Hyperlink"/>
    <w:rsid w:val="00AA35C5"/>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276AD6"/>
  </w:style>
  <w:style w:type="character" w:customStyle="1" w:styleId="ParaNumChar">
    <w:name w:val="ParaNum Char"/>
    <w:link w:val="ParaNum"/>
    <w:rsid w:val="00276AD6"/>
    <w:rPr>
      <w:snapToGrid w:val="0"/>
      <w:kern w:val="28"/>
      <w:sz w:val="22"/>
    </w:rPr>
  </w:style>
  <w:style w:type="paragraph" w:styleId="BalloonText">
    <w:name w:val="Balloon Text"/>
    <w:basedOn w:val="Normal"/>
    <w:link w:val="BalloonTextChar"/>
    <w:rsid w:val="008C2288"/>
    <w:rPr>
      <w:rFonts w:ascii="Tahoma" w:hAnsi="Tahoma" w:cs="Tahoma"/>
      <w:sz w:val="16"/>
      <w:szCs w:val="16"/>
    </w:rPr>
  </w:style>
  <w:style w:type="character" w:customStyle="1" w:styleId="BalloonTextChar">
    <w:name w:val="Balloon Text Char"/>
    <w:basedOn w:val="DefaultParagraphFont"/>
    <w:link w:val="BalloonText"/>
    <w:rsid w:val="008C2288"/>
    <w:rPr>
      <w:rFonts w:ascii="Tahoma" w:hAnsi="Tahoma" w:cs="Tahoma"/>
      <w:snapToGrid w:val="0"/>
      <w:kern w:val="28"/>
      <w:sz w:val="16"/>
      <w:szCs w:val="16"/>
    </w:rPr>
  </w:style>
  <w:style w:type="character" w:styleId="CommentReference">
    <w:name w:val="annotation reference"/>
    <w:basedOn w:val="DefaultParagraphFont"/>
    <w:rsid w:val="00651045"/>
    <w:rPr>
      <w:sz w:val="16"/>
      <w:szCs w:val="16"/>
    </w:rPr>
  </w:style>
  <w:style w:type="paragraph" w:styleId="CommentText">
    <w:name w:val="annotation text"/>
    <w:basedOn w:val="Normal"/>
    <w:link w:val="CommentTextChar"/>
    <w:rsid w:val="00651045"/>
    <w:rPr>
      <w:sz w:val="20"/>
    </w:rPr>
  </w:style>
  <w:style w:type="character" w:customStyle="1" w:styleId="CommentTextChar">
    <w:name w:val="Comment Text Char"/>
    <w:basedOn w:val="DefaultParagraphFont"/>
    <w:link w:val="CommentText"/>
    <w:rsid w:val="00651045"/>
    <w:rPr>
      <w:snapToGrid w:val="0"/>
      <w:kern w:val="28"/>
    </w:rPr>
  </w:style>
  <w:style w:type="paragraph" w:styleId="CommentSubject">
    <w:name w:val="annotation subject"/>
    <w:basedOn w:val="CommentText"/>
    <w:next w:val="CommentText"/>
    <w:link w:val="CommentSubjectChar"/>
    <w:rsid w:val="00651045"/>
    <w:rPr>
      <w:b/>
      <w:bCs/>
    </w:rPr>
  </w:style>
  <w:style w:type="character" w:customStyle="1" w:styleId="CommentSubjectChar">
    <w:name w:val="Comment Subject Char"/>
    <w:basedOn w:val="CommentTextChar"/>
    <w:link w:val="CommentSubject"/>
    <w:rsid w:val="0065104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5C5"/>
    <w:pPr>
      <w:widowControl w:val="0"/>
    </w:pPr>
    <w:rPr>
      <w:snapToGrid w:val="0"/>
      <w:kern w:val="28"/>
      <w:sz w:val="22"/>
    </w:rPr>
  </w:style>
  <w:style w:type="paragraph" w:styleId="Heading1">
    <w:name w:val="heading 1"/>
    <w:basedOn w:val="Normal"/>
    <w:next w:val="ParaNum"/>
    <w:qFormat/>
    <w:rsid w:val="00AA35C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A35C5"/>
    <w:pPr>
      <w:keepNext/>
      <w:numPr>
        <w:ilvl w:val="1"/>
        <w:numId w:val="3"/>
      </w:numPr>
      <w:spacing w:after="120"/>
      <w:outlineLvl w:val="1"/>
    </w:pPr>
    <w:rPr>
      <w:b/>
    </w:rPr>
  </w:style>
  <w:style w:type="paragraph" w:styleId="Heading3">
    <w:name w:val="heading 3"/>
    <w:basedOn w:val="Normal"/>
    <w:next w:val="ParaNum"/>
    <w:qFormat/>
    <w:rsid w:val="00AA35C5"/>
    <w:pPr>
      <w:keepNext/>
      <w:numPr>
        <w:ilvl w:val="2"/>
        <w:numId w:val="3"/>
      </w:numPr>
      <w:tabs>
        <w:tab w:val="left" w:pos="2160"/>
      </w:tabs>
      <w:spacing w:after="120"/>
      <w:outlineLvl w:val="2"/>
    </w:pPr>
    <w:rPr>
      <w:b/>
    </w:rPr>
  </w:style>
  <w:style w:type="paragraph" w:styleId="Heading4">
    <w:name w:val="heading 4"/>
    <w:basedOn w:val="Normal"/>
    <w:next w:val="ParaNum"/>
    <w:qFormat/>
    <w:rsid w:val="00AA35C5"/>
    <w:pPr>
      <w:keepNext/>
      <w:numPr>
        <w:ilvl w:val="3"/>
        <w:numId w:val="3"/>
      </w:numPr>
      <w:tabs>
        <w:tab w:val="left" w:pos="2880"/>
      </w:tabs>
      <w:spacing w:after="120"/>
      <w:outlineLvl w:val="3"/>
    </w:pPr>
    <w:rPr>
      <w:b/>
    </w:rPr>
  </w:style>
  <w:style w:type="paragraph" w:styleId="Heading5">
    <w:name w:val="heading 5"/>
    <w:basedOn w:val="Normal"/>
    <w:next w:val="ParaNum"/>
    <w:qFormat/>
    <w:rsid w:val="00AA35C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A35C5"/>
    <w:pPr>
      <w:numPr>
        <w:ilvl w:val="5"/>
        <w:numId w:val="3"/>
      </w:numPr>
      <w:tabs>
        <w:tab w:val="left" w:pos="4320"/>
      </w:tabs>
      <w:spacing w:after="120"/>
      <w:outlineLvl w:val="5"/>
    </w:pPr>
    <w:rPr>
      <w:b/>
    </w:rPr>
  </w:style>
  <w:style w:type="paragraph" w:styleId="Heading7">
    <w:name w:val="heading 7"/>
    <w:basedOn w:val="Normal"/>
    <w:next w:val="ParaNum"/>
    <w:qFormat/>
    <w:rsid w:val="00AA35C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A35C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A35C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35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35C5"/>
  </w:style>
  <w:style w:type="paragraph" w:customStyle="1" w:styleId="ParaNum">
    <w:name w:val="ParaNum"/>
    <w:basedOn w:val="Normal"/>
    <w:link w:val="ParaNumChar"/>
    <w:rsid w:val="00AA35C5"/>
    <w:pPr>
      <w:numPr>
        <w:numId w:val="2"/>
      </w:numPr>
      <w:tabs>
        <w:tab w:val="clear" w:pos="1080"/>
        <w:tab w:val="num" w:pos="1440"/>
      </w:tabs>
      <w:spacing w:after="120"/>
    </w:pPr>
  </w:style>
  <w:style w:type="paragraph" w:styleId="EndnoteText">
    <w:name w:val="endnote text"/>
    <w:basedOn w:val="Normal"/>
    <w:semiHidden/>
    <w:rsid w:val="00AA35C5"/>
    <w:rPr>
      <w:sz w:val="20"/>
    </w:rPr>
  </w:style>
  <w:style w:type="character" w:styleId="EndnoteReference">
    <w:name w:val="endnote reference"/>
    <w:semiHidden/>
    <w:rsid w:val="00AA35C5"/>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AA35C5"/>
    <w:pPr>
      <w:spacing w:after="120"/>
    </w:pPr>
  </w:style>
  <w:style w:type="character" w:styleId="FootnoteReference">
    <w:name w:val="footnote reference"/>
    <w:aliases w:val="Style 12,(NECG) Footnote Reference,Appel note de bas de p,Style 124,o,fr,Style 3,Style 13"/>
    <w:rsid w:val="00AA35C5"/>
    <w:rPr>
      <w:rFonts w:ascii="Times New Roman" w:hAnsi="Times New Roman"/>
      <w:dstrike w:val="0"/>
      <w:color w:val="auto"/>
      <w:sz w:val="20"/>
      <w:vertAlign w:val="superscript"/>
    </w:rPr>
  </w:style>
  <w:style w:type="paragraph" w:styleId="TOC1">
    <w:name w:val="toc 1"/>
    <w:basedOn w:val="Normal"/>
    <w:next w:val="Normal"/>
    <w:semiHidden/>
    <w:rsid w:val="00AA35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35C5"/>
    <w:pPr>
      <w:tabs>
        <w:tab w:val="left" w:pos="720"/>
        <w:tab w:val="right" w:leader="dot" w:pos="9360"/>
      </w:tabs>
      <w:suppressAutoHyphens/>
      <w:ind w:left="720" w:right="720" w:hanging="360"/>
    </w:pPr>
    <w:rPr>
      <w:noProof/>
    </w:rPr>
  </w:style>
  <w:style w:type="paragraph" w:styleId="TOC3">
    <w:name w:val="toc 3"/>
    <w:basedOn w:val="Normal"/>
    <w:next w:val="Normal"/>
    <w:semiHidden/>
    <w:rsid w:val="00AA35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35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35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35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35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35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35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35C5"/>
    <w:pPr>
      <w:tabs>
        <w:tab w:val="right" w:pos="9360"/>
      </w:tabs>
      <w:suppressAutoHyphens/>
    </w:pPr>
  </w:style>
  <w:style w:type="character" w:customStyle="1" w:styleId="EquationCaption">
    <w:name w:val="_Equation Caption"/>
    <w:rsid w:val="00AA35C5"/>
  </w:style>
  <w:style w:type="paragraph" w:styleId="Header">
    <w:name w:val="header"/>
    <w:basedOn w:val="Normal"/>
    <w:autoRedefine/>
    <w:rsid w:val="00AA35C5"/>
    <w:pPr>
      <w:tabs>
        <w:tab w:val="center" w:pos="4680"/>
        <w:tab w:val="right" w:pos="9360"/>
      </w:tabs>
    </w:pPr>
    <w:rPr>
      <w:b/>
    </w:rPr>
  </w:style>
  <w:style w:type="paragraph" w:styleId="Footer">
    <w:name w:val="footer"/>
    <w:basedOn w:val="Normal"/>
    <w:rsid w:val="00AA35C5"/>
    <w:pPr>
      <w:tabs>
        <w:tab w:val="center" w:pos="4320"/>
        <w:tab w:val="right" w:pos="8640"/>
      </w:tabs>
    </w:pPr>
  </w:style>
  <w:style w:type="character" w:styleId="PageNumber">
    <w:name w:val="page number"/>
    <w:basedOn w:val="DefaultParagraphFont"/>
    <w:rsid w:val="00AA35C5"/>
  </w:style>
  <w:style w:type="paragraph" w:styleId="BlockText">
    <w:name w:val="Block Text"/>
    <w:basedOn w:val="Normal"/>
    <w:rsid w:val="00AA35C5"/>
    <w:pPr>
      <w:spacing w:after="240"/>
      <w:ind w:left="1440" w:right="1440"/>
    </w:pPr>
  </w:style>
  <w:style w:type="paragraph" w:customStyle="1" w:styleId="Paratitle">
    <w:name w:val="Para title"/>
    <w:basedOn w:val="Normal"/>
    <w:rsid w:val="00AA35C5"/>
    <w:pPr>
      <w:tabs>
        <w:tab w:val="center" w:pos="9270"/>
      </w:tabs>
      <w:spacing w:after="240"/>
    </w:pPr>
    <w:rPr>
      <w:spacing w:val="-2"/>
    </w:rPr>
  </w:style>
  <w:style w:type="paragraph" w:customStyle="1" w:styleId="Bullet">
    <w:name w:val="Bullet"/>
    <w:basedOn w:val="Normal"/>
    <w:rsid w:val="00AA35C5"/>
    <w:pPr>
      <w:tabs>
        <w:tab w:val="left" w:pos="2160"/>
      </w:tabs>
      <w:spacing w:after="220"/>
      <w:ind w:left="2160" w:hanging="720"/>
    </w:pPr>
  </w:style>
  <w:style w:type="paragraph" w:customStyle="1" w:styleId="TableFormat">
    <w:name w:val="TableFormat"/>
    <w:basedOn w:val="Bullet"/>
    <w:rsid w:val="00AA35C5"/>
    <w:pPr>
      <w:tabs>
        <w:tab w:val="clear" w:pos="2160"/>
        <w:tab w:val="left" w:pos="5040"/>
      </w:tabs>
      <w:ind w:left="5040" w:hanging="3600"/>
    </w:pPr>
  </w:style>
  <w:style w:type="paragraph" w:customStyle="1" w:styleId="TOCTitle">
    <w:name w:val="TOC Title"/>
    <w:basedOn w:val="Normal"/>
    <w:rsid w:val="00AA35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35C5"/>
    <w:pPr>
      <w:jc w:val="center"/>
    </w:pPr>
    <w:rPr>
      <w:rFonts w:ascii="Times New Roman Bold" w:hAnsi="Times New Roman Bold"/>
      <w:b/>
      <w:bCs/>
      <w:caps/>
      <w:szCs w:val="22"/>
    </w:rPr>
  </w:style>
  <w:style w:type="character" w:styleId="Hyperlink">
    <w:name w:val="Hyperlink"/>
    <w:rsid w:val="00AA35C5"/>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276AD6"/>
  </w:style>
  <w:style w:type="character" w:customStyle="1" w:styleId="ParaNumChar">
    <w:name w:val="ParaNum Char"/>
    <w:link w:val="ParaNum"/>
    <w:rsid w:val="00276AD6"/>
    <w:rPr>
      <w:snapToGrid w:val="0"/>
      <w:kern w:val="28"/>
      <w:sz w:val="22"/>
    </w:rPr>
  </w:style>
  <w:style w:type="paragraph" w:styleId="BalloonText">
    <w:name w:val="Balloon Text"/>
    <w:basedOn w:val="Normal"/>
    <w:link w:val="BalloonTextChar"/>
    <w:rsid w:val="008C2288"/>
    <w:rPr>
      <w:rFonts w:ascii="Tahoma" w:hAnsi="Tahoma" w:cs="Tahoma"/>
      <w:sz w:val="16"/>
      <w:szCs w:val="16"/>
    </w:rPr>
  </w:style>
  <w:style w:type="character" w:customStyle="1" w:styleId="BalloonTextChar">
    <w:name w:val="Balloon Text Char"/>
    <w:basedOn w:val="DefaultParagraphFont"/>
    <w:link w:val="BalloonText"/>
    <w:rsid w:val="008C2288"/>
    <w:rPr>
      <w:rFonts w:ascii="Tahoma" w:hAnsi="Tahoma" w:cs="Tahoma"/>
      <w:snapToGrid w:val="0"/>
      <w:kern w:val="28"/>
      <w:sz w:val="16"/>
      <w:szCs w:val="16"/>
    </w:rPr>
  </w:style>
  <w:style w:type="character" w:styleId="CommentReference">
    <w:name w:val="annotation reference"/>
    <w:basedOn w:val="DefaultParagraphFont"/>
    <w:rsid w:val="00651045"/>
    <w:rPr>
      <w:sz w:val="16"/>
      <w:szCs w:val="16"/>
    </w:rPr>
  </w:style>
  <w:style w:type="paragraph" w:styleId="CommentText">
    <w:name w:val="annotation text"/>
    <w:basedOn w:val="Normal"/>
    <w:link w:val="CommentTextChar"/>
    <w:rsid w:val="00651045"/>
    <w:rPr>
      <w:sz w:val="20"/>
    </w:rPr>
  </w:style>
  <w:style w:type="character" w:customStyle="1" w:styleId="CommentTextChar">
    <w:name w:val="Comment Text Char"/>
    <w:basedOn w:val="DefaultParagraphFont"/>
    <w:link w:val="CommentText"/>
    <w:rsid w:val="00651045"/>
    <w:rPr>
      <w:snapToGrid w:val="0"/>
      <w:kern w:val="28"/>
    </w:rPr>
  </w:style>
  <w:style w:type="paragraph" w:styleId="CommentSubject">
    <w:name w:val="annotation subject"/>
    <w:basedOn w:val="CommentText"/>
    <w:next w:val="CommentText"/>
    <w:link w:val="CommentSubjectChar"/>
    <w:rsid w:val="00651045"/>
    <w:rPr>
      <w:b/>
      <w:bCs/>
    </w:rPr>
  </w:style>
  <w:style w:type="character" w:customStyle="1" w:styleId="CommentSubjectChar">
    <w:name w:val="Comment Subject Char"/>
    <w:basedOn w:val="CommentTextChar"/>
    <w:link w:val="CommentSubject"/>
    <w:rsid w:val="0065104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640</Words>
  <Characters>3546</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2014-12-11T18:48:00Z</dcterms:created>
  <dcterms:modified xsi:type="dcterms:W3CDTF">2014-12-11T18:48:00Z</dcterms:modified>
  <cp:category> </cp:category>
  <cp:contentStatus> </cp:contentStatus>
</cp:coreProperties>
</file>