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E66A17">
        <w:tc>
          <w:tcPr>
            <w:tcW w:w="4698" w:type="dxa"/>
          </w:tcPr>
          <w:p w:rsidR="00E66A17" w:rsidRPr="00150FBA" w:rsidRDefault="00E66A17" w:rsidP="002572B6">
            <w:pPr>
              <w:ind w:right="-18"/>
              <w:rPr>
                <w:szCs w:val="22"/>
              </w:rPr>
            </w:pPr>
            <w:r w:rsidRPr="00150FBA">
              <w:rPr>
                <w:szCs w:val="22"/>
              </w:rPr>
              <w:t xml:space="preserve">In </w:t>
            </w:r>
            <w:r>
              <w:rPr>
                <w:szCs w:val="22"/>
              </w:rPr>
              <w:t>th</w:t>
            </w:r>
            <w:r w:rsidRPr="00150FBA">
              <w:rPr>
                <w:szCs w:val="22"/>
              </w:rPr>
              <w:t>e</w:t>
            </w:r>
            <w:r>
              <w:rPr>
                <w:szCs w:val="22"/>
              </w:rPr>
              <w:t xml:space="preserve"> Matter of</w:t>
            </w:r>
            <w:r w:rsidRPr="00150FBA">
              <w:rPr>
                <w:szCs w:val="22"/>
              </w:rPr>
              <w:t xml:space="preserve">  </w:t>
            </w:r>
          </w:p>
          <w:p w:rsidR="00E66A17" w:rsidRPr="00150FBA" w:rsidRDefault="00E66A17" w:rsidP="002572B6">
            <w:pPr>
              <w:ind w:right="-18"/>
              <w:rPr>
                <w:szCs w:val="22"/>
              </w:rPr>
            </w:pPr>
          </w:p>
          <w:p w:rsidR="00E66A17" w:rsidRPr="001D7234" w:rsidRDefault="00284265" w:rsidP="002572B6">
            <w:pPr>
              <w:ind w:right="-18"/>
              <w:rPr>
                <w:szCs w:val="22"/>
              </w:rPr>
            </w:pPr>
            <w:r>
              <w:rPr>
                <w:szCs w:val="22"/>
              </w:rPr>
              <w:t>People of Progress, Inc.</w:t>
            </w:r>
          </w:p>
          <w:p w:rsidR="00E66A17" w:rsidRDefault="00E66A17" w:rsidP="002572B6">
            <w:pPr>
              <w:ind w:right="-18"/>
              <w:rPr>
                <w:b/>
                <w:szCs w:val="22"/>
              </w:rPr>
            </w:pPr>
          </w:p>
          <w:p w:rsidR="00E66A17" w:rsidRDefault="00E66A17" w:rsidP="002572B6">
            <w:pPr>
              <w:ind w:right="-18"/>
              <w:rPr>
                <w:szCs w:val="22"/>
              </w:rPr>
            </w:pPr>
            <w:r>
              <w:rPr>
                <w:szCs w:val="22"/>
              </w:rPr>
              <w:t xml:space="preserve">Application for a New </w:t>
            </w:r>
            <w:r w:rsidR="00627DE9">
              <w:rPr>
                <w:szCs w:val="22"/>
              </w:rPr>
              <w:t>LPFM</w:t>
            </w:r>
            <w:r>
              <w:rPr>
                <w:szCs w:val="22"/>
              </w:rPr>
              <w:t xml:space="preserve"> Station at</w:t>
            </w:r>
          </w:p>
          <w:p w:rsidR="00E66A17" w:rsidRPr="0004070B" w:rsidRDefault="00284265" w:rsidP="002572B6">
            <w:pPr>
              <w:ind w:right="-18"/>
              <w:rPr>
                <w:szCs w:val="22"/>
              </w:rPr>
            </w:pPr>
            <w:r>
              <w:rPr>
                <w:szCs w:val="22"/>
              </w:rPr>
              <w:t>Redding</w:t>
            </w:r>
            <w:r w:rsidR="0002344D">
              <w:rPr>
                <w:szCs w:val="22"/>
              </w:rPr>
              <w:t>, California</w:t>
            </w:r>
          </w:p>
        </w:tc>
        <w:tc>
          <w:tcPr>
            <w:tcW w:w="630" w:type="dxa"/>
          </w:tcPr>
          <w:p w:rsidR="00E66A17" w:rsidRPr="00150FBA" w:rsidRDefault="00E66A17" w:rsidP="002572B6">
            <w:pPr>
              <w:rPr>
                <w:b/>
                <w:szCs w:val="22"/>
              </w:rPr>
            </w:pPr>
            <w:r w:rsidRPr="00150FBA">
              <w:rPr>
                <w:b/>
                <w:szCs w:val="22"/>
              </w:rPr>
              <w:t>)</w:t>
            </w:r>
          </w:p>
          <w:p w:rsidR="00E66A17" w:rsidRPr="00150FBA" w:rsidRDefault="00E66A17" w:rsidP="002572B6">
            <w:pPr>
              <w:rPr>
                <w:b/>
                <w:szCs w:val="22"/>
              </w:rPr>
            </w:pPr>
            <w:r w:rsidRPr="00150FBA">
              <w:rPr>
                <w:b/>
                <w:szCs w:val="22"/>
              </w:rPr>
              <w:t>)</w:t>
            </w:r>
          </w:p>
          <w:p w:rsidR="00E66A17" w:rsidRPr="00150FBA" w:rsidRDefault="00E66A17" w:rsidP="002572B6">
            <w:pPr>
              <w:rPr>
                <w:b/>
                <w:szCs w:val="22"/>
              </w:rPr>
            </w:pPr>
            <w:r w:rsidRPr="00150FBA">
              <w:rPr>
                <w:b/>
                <w:szCs w:val="22"/>
              </w:rPr>
              <w:t>)</w:t>
            </w:r>
          </w:p>
          <w:p w:rsidR="00E66A17" w:rsidRPr="00150FBA" w:rsidRDefault="00E66A17" w:rsidP="002572B6">
            <w:pPr>
              <w:rPr>
                <w:b/>
                <w:szCs w:val="22"/>
              </w:rPr>
            </w:pPr>
            <w:r w:rsidRPr="00150FBA">
              <w:rPr>
                <w:b/>
                <w:szCs w:val="22"/>
              </w:rPr>
              <w:t>)</w:t>
            </w:r>
          </w:p>
          <w:p w:rsidR="00E66A17" w:rsidRPr="00150FBA" w:rsidRDefault="00E66A17" w:rsidP="002572B6">
            <w:pPr>
              <w:rPr>
                <w:b/>
                <w:szCs w:val="22"/>
              </w:rPr>
            </w:pPr>
            <w:r w:rsidRPr="00150FBA">
              <w:rPr>
                <w:b/>
                <w:szCs w:val="22"/>
              </w:rPr>
              <w:t>)</w:t>
            </w:r>
          </w:p>
          <w:p w:rsidR="00E66A17" w:rsidRPr="00150FBA" w:rsidRDefault="00E66A17" w:rsidP="002572B6">
            <w:pPr>
              <w:rPr>
                <w:b/>
                <w:szCs w:val="22"/>
              </w:rPr>
            </w:pPr>
            <w:r w:rsidRPr="00150FBA">
              <w:rPr>
                <w:b/>
                <w:szCs w:val="22"/>
              </w:rPr>
              <w:t xml:space="preserve">) </w:t>
            </w:r>
          </w:p>
        </w:tc>
        <w:tc>
          <w:tcPr>
            <w:tcW w:w="4248" w:type="dxa"/>
          </w:tcPr>
          <w:p w:rsidR="00E66A17" w:rsidRPr="00150FBA" w:rsidRDefault="00E66A17" w:rsidP="002572B6">
            <w:pPr>
              <w:rPr>
                <w:szCs w:val="22"/>
              </w:rPr>
            </w:pPr>
          </w:p>
          <w:p w:rsidR="00E66A17" w:rsidRDefault="00E66A17" w:rsidP="002572B6">
            <w:pPr>
              <w:rPr>
                <w:szCs w:val="22"/>
              </w:rPr>
            </w:pPr>
          </w:p>
          <w:p w:rsidR="00E66A17" w:rsidRDefault="00E66A17" w:rsidP="002572B6">
            <w:pPr>
              <w:rPr>
                <w:szCs w:val="22"/>
              </w:rPr>
            </w:pPr>
          </w:p>
          <w:p w:rsidR="00A13CA2" w:rsidRDefault="00A13CA2" w:rsidP="002572B6">
            <w:pPr>
              <w:rPr>
                <w:szCs w:val="22"/>
              </w:rPr>
            </w:pPr>
          </w:p>
          <w:p w:rsidR="00627DE9" w:rsidRPr="00150FBA" w:rsidRDefault="00627DE9" w:rsidP="00627DE9">
            <w:pPr>
              <w:rPr>
                <w:szCs w:val="22"/>
              </w:rPr>
            </w:pPr>
            <w:r w:rsidRPr="00150FBA">
              <w:rPr>
                <w:szCs w:val="22"/>
              </w:rPr>
              <w:t xml:space="preserve">File No. </w:t>
            </w:r>
            <w:r w:rsidR="00792287">
              <w:rPr>
                <w:szCs w:val="22"/>
              </w:rPr>
              <w:t>BNPL-</w:t>
            </w:r>
            <w:r w:rsidR="0002344D">
              <w:rPr>
                <w:szCs w:val="22"/>
              </w:rPr>
              <w:t>2013</w:t>
            </w:r>
            <w:r w:rsidR="0098136B">
              <w:rPr>
                <w:szCs w:val="22"/>
              </w:rPr>
              <w:t>1114BXJ</w:t>
            </w:r>
          </w:p>
          <w:p w:rsidR="00E66A17" w:rsidRPr="00150FBA" w:rsidRDefault="00E66A17" w:rsidP="0098136B">
            <w:pPr>
              <w:rPr>
                <w:szCs w:val="22"/>
              </w:rPr>
            </w:pPr>
            <w:r w:rsidRPr="00150FBA">
              <w:rPr>
                <w:szCs w:val="22"/>
              </w:rPr>
              <w:t xml:space="preserve">Facility ID No. </w:t>
            </w:r>
            <w:r w:rsidR="0098136B">
              <w:rPr>
                <w:szCs w:val="22"/>
              </w:rPr>
              <w:t>195889</w:t>
            </w:r>
            <w:r w:rsidRPr="00150FBA">
              <w:rPr>
                <w:szCs w:val="22"/>
              </w:rPr>
              <w:t xml:space="preserve">    </w:t>
            </w:r>
          </w:p>
        </w:tc>
      </w:tr>
    </w:tbl>
    <w:p w:rsidR="007B35C9" w:rsidRDefault="007B35C9" w:rsidP="00F021FA">
      <w:pPr>
        <w:pStyle w:val="StyleBoldCentered"/>
      </w:pPr>
    </w:p>
    <w:p w:rsidR="00504C59" w:rsidRDefault="00504C59" w:rsidP="00F021FA">
      <w:pPr>
        <w:pStyle w:val="StyleBoldCentered"/>
      </w:pPr>
    </w:p>
    <w:p w:rsidR="00841AB1" w:rsidRDefault="00E66A17"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9A38E9">
        <w:rPr>
          <w:b/>
          <w:spacing w:val="-2"/>
        </w:rPr>
        <w:t>December 10</w:t>
      </w:r>
      <w:r w:rsidR="00006B69">
        <w:rPr>
          <w:b/>
          <w:spacing w:val="-2"/>
        </w:rPr>
        <w:t>,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A38E9">
        <w:rPr>
          <w:b/>
          <w:spacing w:val="-2"/>
        </w:rPr>
        <w:t>December 1</w:t>
      </w:r>
      <w:r w:rsidR="00E35604">
        <w:rPr>
          <w:b/>
          <w:spacing w:val="-2"/>
        </w:rPr>
        <w:t>0</w:t>
      </w:r>
      <w:r w:rsidR="00006B69">
        <w:rPr>
          <w:b/>
          <w:spacing w:val="-2"/>
        </w:rPr>
        <w:t>, 2014</w:t>
      </w:r>
    </w:p>
    <w:p w:rsidR="00822CE0" w:rsidRDefault="00822CE0"/>
    <w:p w:rsidR="004C2EE3" w:rsidRDefault="004C2EE3">
      <w:pPr>
        <w:rPr>
          <w:spacing w:val="-2"/>
        </w:rPr>
      </w:pPr>
      <w:r>
        <w:t xml:space="preserve">By </w:t>
      </w:r>
      <w:r w:rsidR="004E4A22">
        <w:t>the</w:t>
      </w:r>
      <w:r w:rsidR="002A2D2E">
        <w:t xml:space="preserve"> </w:t>
      </w:r>
      <w:r w:rsidR="00E66A17">
        <w:rPr>
          <w:spacing w:val="-2"/>
        </w:rPr>
        <w:t>Commission</w:t>
      </w:r>
      <w:r>
        <w:rPr>
          <w:spacing w:val="-2"/>
        </w:rPr>
        <w:t>:</w:t>
      </w:r>
    </w:p>
    <w:p w:rsidR="00412FC5" w:rsidRDefault="00412FC5" w:rsidP="00412FC5"/>
    <w:p w:rsidR="00827C17" w:rsidRPr="00072B9F" w:rsidRDefault="00E66A17" w:rsidP="00EE776C">
      <w:pPr>
        <w:pStyle w:val="ParaNum"/>
        <w:widowControl/>
        <w:rPr>
          <w:szCs w:val="22"/>
        </w:rPr>
      </w:pPr>
      <w:r w:rsidRPr="00150FBA">
        <w:t xml:space="preserve">The Commission has before it </w:t>
      </w:r>
      <w:r>
        <w:t>an</w:t>
      </w:r>
      <w:r w:rsidRPr="00150FBA">
        <w:t xml:space="preserve"> Application for Review (“AFR</w:t>
      </w:r>
      <w:r>
        <w:t>”</w:t>
      </w:r>
      <w:r w:rsidRPr="00150FBA">
        <w:t xml:space="preserve">) </w:t>
      </w:r>
      <w:r>
        <w:t xml:space="preserve">filed </w:t>
      </w:r>
      <w:r w:rsidR="004A3741">
        <w:t>by People of Progress, Inc.</w:t>
      </w:r>
      <w:r w:rsidR="009F43BC">
        <w:t xml:space="preserve"> (“</w:t>
      </w:r>
      <w:r w:rsidR="004A3741">
        <w:t>POP</w:t>
      </w:r>
      <w:r w:rsidR="009F43BC">
        <w:t>”)</w:t>
      </w:r>
      <w:r w:rsidR="004A3741">
        <w:t>,</w:t>
      </w:r>
      <w:r w:rsidR="009F43BC">
        <w:t xml:space="preserve"> on </w:t>
      </w:r>
      <w:r w:rsidR="004A3741">
        <w:t>August 5</w:t>
      </w:r>
      <w:r w:rsidR="009F43BC">
        <w:t xml:space="preserve">, 2014.  In the AFR, </w:t>
      </w:r>
      <w:r w:rsidR="004A3741">
        <w:t>POP</w:t>
      </w:r>
      <w:r w:rsidR="009F43BC">
        <w:t xml:space="preserve"> seeks review of the Media Bureau (“Bureau”) </w:t>
      </w:r>
      <w:r w:rsidR="00F93BD9">
        <w:t xml:space="preserve">reconsideration </w:t>
      </w:r>
      <w:r w:rsidR="00002B53">
        <w:t>decision</w:t>
      </w:r>
      <w:r w:rsidR="009F43BC">
        <w:t xml:space="preserve"> that affirmed the dismissal of </w:t>
      </w:r>
      <w:r w:rsidR="00771711">
        <w:t xml:space="preserve">POP’s </w:t>
      </w:r>
      <w:r w:rsidR="009F43BC">
        <w:t xml:space="preserve">application </w:t>
      </w:r>
      <w:r w:rsidR="00CA7C29">
        <w:t xml:space="preserve">submitted during the October 2013 </w:t>
      </w:r>
      <w:r w:rsidR="00962DE2">
        <w:t>Low P</w:t>
      </w:r>
      <w:r w:rsidR="00CA7C29">
        <w:t xml:space="preserve">ower FM (“LPFM”) filing window </w:t>
      </w:r>
      <w:r w:rsidR="009F43BC">
        <w:t xml:space="preserve">for a new </w:t>
      </w:r>
      <w:r w:rsidR="00002B53">
        <w:t xml:space="preserve">station at </w:t>
      </w:r>
      <w:r w:rsidR="004A3741">
        <w:t>Redding</w:t>
      </w:r>
      <w:r w:rsidR="00002B53">
        <w:t>, California (“Application”).</w:t>
      </w:r>
      <w:r w:rsidR="00A41CCA">
        <w:rPr>
          <w:rStyle w:val="FootnoteReference"/>
        </w:rPr>
        <w:footnoteReference w:id="2"/>
      </w:r>
      <w:r w:rsidR="00002B53">
        <w:t xml:space="preserve">  The staff dismissed the Application</w:t>
      </w:r>
      <w:r w:rsidR="001D1539">
        <w:t xml:space="preserve"> – without </w:t>
      </w:r>
      <w:r w:rsidR="00E23B37">
        <w:t xml:space="preserve">providing </w:t>
      </w:r>
      <w:r w:rsidR="004A3741">
        <w:t>POP</w:t>
      </w:r>
      <w:r w:rsidR="00E23B37">
        <w:t xml:space="preserve"> the </w:t>
      </w:r>
      <w:r w:rsidR="001D1539">
        <w:t>opportunity to amend – be</w:t>
      </w:r>
      <w:r w:rsidR="00002B53">
        <w:t>cause it failed</w:t>
      </w:r>
      <w:r w:rsidR="00C8132F">
        <w:t xml:space="preserve"> to </w:t>
      </w:r>
      <w:r w:rsidR="001860D8">
        <w:t xml:space="preserve">meet the minimum </w:t>
      </w:r>
      <w:r w:rsidR="001860D8" w:rsidRPr="00072B9F">
        <w:rPr>
          <w:szCs w:val="22"/>
        </w:rPr>
        <w:t>spacing requir</w:t>
      </w:r>
      <w:r w:rsidR="00C8132F" w:rsidRPr="00072B9F">
        <w:rPr>
          <w:szCs w:val="22"/>
        </w:rPr>
        <w:t>e</w:t>
      </w:r>
      <w:r w:rsidR="001860D8" w:rsidRPr="00072B9F">
        <w:rPr>
          <w:szCs w:val="22"/>
        </w:rPr>
        <w:t>ment</w:t>
      </w:r>
      <w:r w:rsidR="00C8132F" w:rsidRPr="00072B9F">
        <w:rPr>
          <w:szCs w:val="22"/>
        </w:rPr>
        <w:t>s of Section 73.807</w:t>
      </w:r>
      <w:r w:rsidR="004A3741" w:rsidRPr="00072B9F">
        <w:rPr>
          <w:szCs w:val="22"/>
        </w:rPr>
        <w:t>(a)</w:t>
      </w:r>
      <w:r w:rsidR="00C8132F" w:rsidRPr="00072B9F">
        <w:rPr>
          <w:szCs w:val="22"/>
        </w:rPr>
        <w:t xml:space="preserve"> of the Commission’s Rules</w:t>
      </w:r>
      <w:r w:rsidR="00FA0B28" w:rsidRPr="00072B9F">
        <w:rPr>
          <w:szCs w:val="22"/>
        </w:rPr>
        <w:t xml:space="preserve"> (“Rules”)</w:t>
      </w:r>
      <w:r w:rsidR="00771711">
        <w:rPr>
          <w:szCs w:val="22"/>
        </w:rPr>
        <w:t xml:space="preserve"> with regard to two second adjacent channel stations</w:t>
      </w:r>
      <w:r w:rsidR="00C8132F" w:rsidRPr="00FA0B28">
        <w:rPr>
          <w:rStyle w:val="FootnoteReference"/>
          <w:sz w:val="22"/>
          <w:szCs w:val="22"/>
        </w:rPr>
        <w:footnoteReference w:id="3"/>
      </w:r>
      <w:r w:rsidR="00002B53" w:rsidRPr="00072B9F">
        <w:rPr>
          <w:szCs w:val="22"/>
        </w:rPr>
        <w:t xml:space="preserve"> and </w:t>
      </w:r>
      <w:r w:rsidR="004A3741" w:rsidRPr="00072B9F">
        <w:rPr>
          <w:szCs w:val="22"/>
        </w:rPr>
        <w:t>POP</w:t>
      </w:r>
      <w:r w:rsidR="008C0E65" w:rsidRPr="00072B9F">
        <w:rPr>
          <w:szCs w:val="22"/>
        </w:rPr>
        <w:t xml:space="preserve"> </w:t>
      </w:r>
      <w:r w:rsidR="00002B53" w:rsidRPr="00072B9F">
        <w:rPr>
          <w:szCs w:val="22"/>
        </w:rPr>
        <w:t>di</w:t>
      </w:r>
      <w:r w:rsidR="00962DE2" w:rsidRPr="00072B9F">
        <w:rPr>
          <w:szCs w:val="22"/>
        </w:rPr>
        <w:t xml:space="preserve">d not request a </w:t>
      </w:r>
      <w:r w:rsidR="00002B53" w:rsidRPr="00072B9F">
        <w:rPr>
          <w:szCs w:val="22"/>
        </w:rPr>
        <w:t>waiver</w:t>
      </w:r>
      <w:r w:rsidR="00962DE2" w:rsidRPr="00072B9F">
        <w:rPr>
          <w:szCs w:val="22"/>
        </w:rPr>
        <w:t xml:space="preserve"> of </w:t>
      </w:r>
      <w:r w:rsidR="00682E27" w:rsidRPr="00072B9F">
        <w:rPr>
          <w:szCs w:val="22"/>
        </w:rPr>
        <w:t xml:space="preserve">this </w:t>
      </w:r>
      <w:r w:rsidR="005A31CF">
        <w:rPr>
          <w:szCs w:val="22"/>
        </w:rPr>
        <w:t>R</w:t>
      </w:r>
      <w:r w:rsidR="00682E27" w:rsidRPr="00072B9F">
        <w:rPr>
          <w:szCs w:val="22"/>
        </w:rPr>
        <w:t>ule</w:t>
      </w:r>
      <w:r w:rsidR="00325D1D">
        <w:rPr>
          <w:szCs w:val="22"/>
        </w:rPr>
        <w:t xml:space="preserve"> with the Application</w:t>
      </w:r>
      <w:r w:rsidR="00002B53" w:rsidRPr="00072B9F">
        <w:rPr>
          <w:szCs w:val="22"/>
        </w:rPr>
        <w:t>.</w:t>
      </w:r>
      <w:r w:rsidR="00002B53">
        <w:rPr>
          <w:rStyle w:val="FootnoteReference"/>
          <w:szCs w:val="22"/>
        </w:rPr>
        <w:footnoteReference w:id="4"/>
      </w:r>
      <w:r w:rsidR="001D1539" w:rsidRPr="00072B9F">
        <w:rPr>
          <w:szCs w:val="22"/>
        </w:rPr>
        <w:t xml:space="preserve">  </w:t>
      </w:r>
      <w:r w:rsidR="00072B9F" w:rsidRPr="00072B9F">
        <w:rPr>
          <w:szCs w:val="22"/>
        </w:rPr>
        <w:t xml:space="preserve">On review, POP </w:t>
      </w:r>
      <w:r w:rsidR="00325D1D">
        <w:rPr>
          <w:szCs w:val="22"/>
        </w:rPr>
        <w:t xml:space="preserve">again </w:t>
      </w:r>
      <w:r w:rsidR="00371E4D" w:rsidRPr="00072B9F">
        <w:rPr>
          <w:szCs w:val="22"/>
        </w:rPr>
        <w:t>requests that the Commission reinstate the Application and allow it to fi</w:t>
      </w:r>
      <w:r w:rsidR="0032036A" w:rsidRPr="00072B9F">
        <w:rPr>
          <w:szCs w:val="22"/>
        </w:rPr>
        <w:t>le</w:t>
      </w:r>
      <w:r w:rsidR="00371E4D" w:rsidRPr="00072B9F">
        <w:rPr>
          <w:szCs w:val="22"/>
        </w:rPr>
        <w:t xml:space="preserve"> an amendment with second-adjacent </w:t>
      </w:r>
      <w:r w:rsidR="00EE776C" w:rsidRPr="00072B9F">
        <w:rPr>
          <w:szCs w:val="22"/>
        </w:rPr>
        <w:t xml:space="preserve">channel </w:t>
      </w:r>
      <w:r w:rsidR="00371E4D" w:rsidRPr="00072B9F">
        <w:rPr>
          <w:szCs w:val="22"/>
        </w:rPr>
        <w:t>waiver request</w:t>
      </w:r>
      <w:r w:rsidR="005A31CF">
        <w:rPr>
          <w:szCs w:val="22"/>
        </w:rPr>
        <w:t>s</w:t>
      </w:r>
      <w:r w:rsidR="00371E4D" w:rsidRPr="00072B9F">
        <w:rPr>
          <w:szCs w:val="22"/>
        </w:rPr>
        <w:t xml:space="preserve">.  </w:t>
      </w:r>
    </w:p>
    <w:p w:rsidR="00072B9F" w:rsidRDefault="00072B9F" w:rsidP="00072B9F">
      <w:pPr>
        <w:pStyle w:val="ParaNum"/>
        <w:widowControl/>
        <w:rPr>
          <w:szCs w:val="22"/>
        </w:rPr>
      </w:pPr>
      <w:r w:rsidRPr="00072B9F">
        <w:rPr>
          <w:szCs w:val="22"/>
        </w:rPr>
        <w:lastRenderedPageBreak/>
        <w:t xml:space="preserve">POP </w:t>
      </w:r>
      <w:r w:rsidR="00970C92">
        <w:rPr>
          <w:szCs w:val="22"/>
        </w:rPr>
        <w:t>suggests</w:t>
      </w:r>
      <w:r w:rsidRPr="00072B9F">
        <w:rPr>
          <w:szCs w:val="22"/>
        </w:rPr>
        <w:t xml:space="preserve"> that the </w:t>
      </w:r>
      <w:r w:rsidR="00393CB1">
        <w:rPr>
          <w:szCs w:val="22"/>
        </w:rPr>
        <w:t xml:space="preserve">“equal in status” language of </w:t>
      </w:r>
      <w:r w:rsidRPr="00072B9F">
        <w:rPr>
          <w:szCs w:val="22"/>
        </w:rPr>
        <w:t>Section 5 of the LCRA</w:t>
      </w:r>
      <w:r w:rsidR="00970C92">
        <w:rPr>
          <w:rStyle w:val="FootnoteReference"/>
          <w:szCs w:val="22"/>
        </w:rPr>
        <w:footnoteReference w:id="5"/>
      </w:r>
      <w:r w:rsidR="00970C92">
        <w:rPr>
          <w:szCs w:val="22"/>
        </w:rPr>
        <w:t xml:space="preserve"> </w:t>
      </w:r>
      <w:r w:rsidRPr="00072B9F">
        <w:rPr>
          <w:szCs w:val="22"/>
        </w:rPr>
        <w:t>supersedes Section 73.870(c</w:t>
      </w:r>
      <w:r w:rsidR="00304EA7">
        <w:rPr>
          <w:szCs w:val="22"/>
        </w:rPr>
        <w:t>)</w:t>
      </w:r>
      <w:r w:rsidRPr="00072B9F">
        <w:rPr>
          <w:szCs w:val="22"/>
        </w:rPr>
        <w:t xml:space="preserve">, because </w:t>
      </w:r>
      <w:r w:rsidR="009F004E">
        <w:rPr>
          <w:szCs w:val="22"/>
        </w:rPr>
        <w:t xml:space="preserve">the dismissal of the Application will result </w:t>
      </w:r>
      <w:r w:rsidRPr="00072B9F">
        <w:rPr>
          <w:szCs w:val="22"/>
        </w:rPr>
        <w:t>in no LPFM stations being license</w:t>
      </w:r>
      <w:r w:rsidR="00304EA7">
        <w:rPr>
          <w:szCs w:val="22"/>
        </w:rPr>
        <w:t>d</w:t>
      </w:r>
      <w:r w:rsidRPr="00072B9F">
        <w:rPr>
          <w:szCs w:val="22"/>
        </w:rPr>
        <w:t xml:space="preserve"> to Redding</w:t>
      </w:r>
      <w:r w:rsidR="00304EA7">
        <w:rPr>
          <w:szCs w:val="22"/>
        </w:rPr>
        <w:t>,</w:t>
      </w:r>
      <w:r w:rsidRPr="00072B9F">
        <w:rPr>
          <w:szCs w:val="22"/>
        </w:rPr>
        <w:t xml:space="preserve"> </w:t>
      </w:r>
      <w:r w:rsidR="009F004E">
        <w:rPr>
          <w:szCs w:val="22"/>
        </w:rPr>
        <w:t>which currently has</w:t>
      </w:r>
      <w:r w:rsidRPr="00072B9F">
        <w:rPr>
          <w:szCs w:val="22"/>
        </w:rPr>
        <w:t xml:space="preserve"> twelve </w:t>
      </w:r>
      <w:r w:rsidR="006104AE">
        <w:rPr>
          <w:szCs w:val="22"/>
        </w:rPr>
        <w:t xml:space="preserve">FM </w:t>
      </w:r>
      <w:r w:rsidRPr="00072B9F">
        <w:rPr>
          <w:szCs w:val="22"/>
        </w:rPr>
        <w:t>translator stations in the area.</w:t>
      </w:r>
      <w:r w:rsidR="009F004E">
        <w:rPr>
          <w:rStyle w:val="FootnoteReference"/>
          <w:szCs w:val="22"/>
        </w:rPr>
        <w:footnoteReference w:id="6"/>
      </w:r>
      <w:r w:rsidRPr="00072B9F">
        <w:rPr>
          <w:szCs w:val="22"/>
        </w:rPr>
        <w:t xml:space="preserve"> </w:t>
      </w:r>
      <w:r>
        <w:rPr>
          <w:szCs w:val="22"/>
        </w:rPr>
        <w:t xml:space="preserve"> P</w:t>
      </w:r>
      <w:r w:rsidRPr="00072B9F">
        <w:rPr>
          <w:szCs w:val="22"/>
        </w:rPr>
        <w:t>OP</w:t>
      </w:r>
      <w:r>
        <w:rPr>
          <w:szCs w:val="22"/>
        </w:rPr>
        <w:t xml:space="preserve"> also</w:t>
      </w:r>
      <w:r w:rsidRPr="00072B9F">
        <w:rPr>
          <w:szCs w:val="22"/>
        </w:rPr>
        <w:t xml:space="preserve"> argues that prohibiting LPFM applicants to correct Section 73.807 defects, but allowing applicants in other broadcast services to file similar curative amendments, “does not comport with the directive” in Section 307(b) of the Communications</w:t>
      </w:r>
      <w:r w:rsidR="00A5233D">
        <w:rPr>
          <w:szCs w:val="22"/>
        </w:rPr>
        <w:t xml:space="preserve"> Act of 1934, as amended,</w:t>
      </w:r>
      <w:r w:rsidRPr="00072B9F">
        <w:rPr>
          <w:szCs w:val="22"/>
        </w:rPr>
        <w:t xml:space="preserve"> that the Commission make a fair, efficient and equitable distribution of licenses by treating LPFM and other services of stations differently.</w:t>
      </w:r>
      <w:r w:rsidRPr="006A3FBD">
        <w:rPr>
          <w:rStyle w:val="FootnoteReference"/>
          <w:sz w:val="22"/>
          <w:szCs w:val="22"/>
        </w:rPr>
        <w:footnoteReference w:id="7"/>
      </w:r>
      <w:r w:rsidRPr="00072B9F">
        <w:rPr>
          <w:szCs w:val="22"/>
        </w:rPr>
        <w:t xml:space="preserve">  </w:t>
      </w:r>
    </w:p>
    <w:p w:rsidR="00072B9F" w:rsidRPr="00D17123" w:rsidRDefault="00D17123" w:rsidP="00952D41">
      <w:pPr>
        <w:pStyle w:val="ParaNum"/>
        <w:widowControl/>
        <w:rPr>
          <w:szCs w:val="22"/>
        </w:rPr>
      </w:pPr>
      <w:r w:rsidRPr="00D17123">
        <w:rPr>
          <w:szCs w:val="22"/>
        </w:rPr>
        <w:t xml:space="preserve">We reject POP’s argument that </w:t>
      </w:r>
      <w:r w:rsidR="008551C6">
        <w:rPr>
          <w:szCs w:val="22"/>
        </w:rPr>
        <w:t xml:space="preserve">the </w:t>
      </w:r>
      <w:r w:rsidRPr="00D17123">
        <w:rPr>
          <w:szCs w:val="22"/>
        </w:rPr>
        <w:t>LCRA supersedes Section 73.870(c).</w:t>
      </w:r>
      <w:r w:rsidR="008F01D8">
        <w:rPr>
          <w:rStyle w:val="FootnoteReference"/>
          <w:szCs w:val="22"/>
        </w:rPr>
        <w:footnoteReference w:id="8"/>
      </w:r>
      <w:r w:rsidRPr="00D17123">
        <w:rPr>
          <w:szCs w:val="22"/>
        </w:rPr>
        <w:t xml:space="preserve">  </w:t>
      </w:r>
      <w:r w:rsidR="00694703">
        <w:rPr>
          <w:szCs w:val="22"/>
        </w:rPr>
        <w:t>We have recently affirmed that t</w:t>
      </w:r>
      <w:r w:rsidRPr="00D17123">
        <w:rPr>
          <w:szCs w:val="22"/>
        </w:rPr>
        <w:t>he LCRA and subsequent orders in the LPFM proceeding did not address or otherwise modify Section 73.870(c).</w:t>
      </w:r>
      <w:r w:rsidR="00694703">
        <w:rPr>
          <w:rStyle w:val="FootnoteReference"/>
          <w:szCs w:val="22"/>
        </w:rPr>
        <w:footnoteReference w:id="9"/>
      </w:r>
      <w:r w:rsidR="00CF65C3">
        <w:rPr>
          <w:szCs w:val="22"/>
        </w:rPr>
        <w:t xml:space="preserve">  Moreover, we note that Section 73.870(c) </w:t>
      </w:r>
      <w:r w:rsidR="00771711">
        <w:rPr>
          <w:szCs w:val="22"/>
        </w:rPr>
        <w:t xml:space="preserve">specifies </w:t>
      </w:r>
      <w:r w:rsidR="00CF65C3">
        <w:rPr>
          <w:szCs w:val="22"/>
        </w:rPr>
        <w:t xml:space="preserve">a processing policy, not a substantive policy, and it accordingly does not affect the status of LPFM stations relative to </w:t>
      </w:r>
      <w:r w:rsidR="006104AE">
        <w:rPr>
          <w:szCs w:val="22"/>
        </w:rPr>
        <w:t xml:space="preserve">FM </w:t>
      </w:r>
      <w:r w:rsidR="00CF65C3">
        <w:rPr>
          <w:szCs w:val="22"/>
        </w:rPr>
        <w:t>translator stations.</w:t>
      </w:r>
      <w:r w:rsidR="00CF65C3">
        <w:rPr>
          <w:rStyle w:val="FootnoteReference"/>
          <w:szCs w:val="22"/>
        </w:rPr>
        <w:footnoteReference w:id="10"/>
      </w:r>
      <w:r w:rsidR="00CF65C3">
        <w:rPr>
          <w:szCs w:val="22"/>
        </w:rPr>
        <w:t xml:space="preserve"> </w:t>
      </w:r>
      <w:r w:rsidR="00A5233D">
        <w:rPr>
          <w:szCs w:val="22"/>
        </w:rPr>
        <w:t xml:space="preserve"> </w:t>
      </w:r>
      <w:r w:rsidR="008F01D8">
        <w:rPr>
          <w:szCs w:val="22"/>
        </w:rPr>
        <w:t>Likewise</w:t>
      </w:r>
      <w:r w:rsidR="00142A81">
        <w:rPr>
          <w:szCs w:val="22"/>
        </w:rPr>
        <w:t>, recently</w:t>
      </w:r>
      <w:r w:rsidR="008F01D8">
        <w:rPr>
          <w:szCs w:val="22"/>
        </w:rPr>
        <w:t xml:space="preserve">, </w:t>
      </w:r>
      <w:r w:rsidR="008F01D8" w:rsidRPr="00D17123">
        <w:rPr>
          <w:szCs w:val="22"/>
        </w:rPr>
        <w:t>the Commission rejected the argument that Section 307(b) mandates uniform processing rule</w:t>
      </w:r>
      <w:r w:rsidR="008F01D8">
        <w:rPr>
          <w:szCs w:val="22"/>
        </w:rPr>
        <w:t>s</w:t>
      </w:r>
      <w:r w:rsidR="008F01D8" w:rsidRPr="00D17123">
        <w:rPr>
          <w:szCs w:val="22"/>
        </w:rPr>
        <w:t xml:space="preserve"> for all radio services.</w:t>
      </w:r>
      <w:r w:rsidR="008F01D8">
        <w:rPr>
          <w:rStyle w:val="FootnoteReference"/>
          <w:szCs w:val="22"/>
        </w:rPr>
        <w:footnoteReference w:id="11"/>
      </w:r>
      <w:r w:rsidR="008F01D8">
        <w:rPr>
          <w:szCs w:val="22"/>
        </w:rPr>
        <w:t xml:space="preserve">  </w:t>
      </w:r>
      <w:r w:rsidR="008551C6">
        <w:rPr>
          <w:szCs w:val="22"/>
        </w:rPr>
        <w:t>T</w:t>
      </w:r>
      <w:r w:rsidRPr="00D17123">
        <w:rPr>
          <w:szCs w:val="22"/>
        </w:rPr>
        <w:t xml:space="preserve">he fact that no LPFM station will be licensed to Redding does not warrant </w:t>
      </w:r>
      <w:r w:rsidR="00D11A0C">
        <w:rPr>
          <w:szCs w:val="22"/>
        </w:rPr>
        <w:t>reinstating</w:t>
      </w:r>
      <w:r w:rsidRPr="00D17123">
        <w:rPr>
          <w:szCs w:val="22"/>
        </w:rPr>
        <w:t xml:space="preserve"> POP’s defective application</w:t>
      </w:r>
      <w:r w:rsidR="008551C6">
        <w:rPr>
          <w:szCs w:val="22"/>
        </w:rPr>
        <w:t xml:space="preserve">, which was </w:t>
      </w:r>
      <w:r w:rsidR="00D11A0C">
        <w:rPr>
          <w:szCs w:val="22"/>
        </w:rPr>
        <w:t>properly</w:t>
      </w:r>
      <w:r w:rsidR="008551C6">
        <w:rPr>
          <w:szCs w:val="22"/>
        </w:rPr>
        <w:t xml:space="preserve"> dismissed without </w:t>
      </w:r>
      <w:r w:rsidR="00771711">
        <w:rPr>
          <w:szCs w:val="22"/>
        </w:rPr>
        <w:t xml:space="preserve">affording the applicant </w:t>
      </w:r>
      <w:r w:rsidR="008551C6">
        <w:rPr>
          <w:szCs w:val="22"/>
        </w:rPr>
        <w:t>the ability to amend</w:t>
      </w:r>
      <w:r w:rsidRPr="00D17123">
        <w:rPr>
          <w:szCs w:val="22"/>
        </w:rPr>
        <w:t xml:space="preserve">.  </w:t>
      </w:r>
    </w:p>
    <w:p w:rsidR="00952D41" w:rsidRPr="00072B9F" w:rsidRDefault="00D17123" w:rsidP="00072B9F">
      <w:pPr>
        <w:pStyle w:val="ParaNum"/>
        <w:widowControl/>
        <w:rPr>
          <w:szCs w:val="22"/>
        </w:rPr>
      </w:pPr>
      <w:r>
        <w:rPr>
          <w:szCs w:val="22"/>
        </w:rPr>
        <w:t xml:space="preserve">Finally, </w:t>
      </w:r>
      <w:r w:rsidR="00590998">
        <w:rPr>
          <w:szCs w:val="22"/>
        </w:rPr>
        <w:t xml:space="preserve">we reject POP’s argument that </w:t>
      </w:r>
      <w:r w:rsidR="00952D41" w:rsidRPr="00072B9F">
        <w:rPr>
          <w:szCs w:val="22"/>
        </w:rPr>
        <w:t xml:space="preserve">staff </w:t>
      </w:r>
      <w:r w:rsidR="00A83229">
        <w:rPr>
          <w:szCs w:val="22"/>
        </w:rPr>
        <w:t xml:space="preserve">has allowed applicants to </w:t>
      </w:r>
      <w:r w:rsidR="005650DC">
        <w:rPr>
          <w:szCs w:val="22"/>
        </w:rPr>
        <w:t xml:space="preserve">file corrective </w:t>
      </w:r>
      <w:r w:rsidR="00A83229">
        <w:rPr>
          <w:szCs w:val="22"/>
        </w:rPr>
        <w:t>amend</w:t>
      </w:r>
      <w:r w:rsidR="005650DC">
        <w:rPr>
          <w:szCs w:val="22"/>
        </w:rPr>
        <w:t>ments</w:t>
      </w:r>
      <w:r w:rsidR="00A83229">
        <w:rPr>
          <w:szCs w:val="22"/>
        </w:rPr>
        <w:t xml:space="preserve"> </w:t>
      </w:r>
      <w:r w:rsidR="005650DC">
        <w:rPr>
          <w:szCs w:val="22"/>
        </w:rPr>
        <w:t>to applica</w:t>
      </w:r>
      <w:r w:rsidR="00A83229">
        <w:rPr>
          <w:szCs w:val="22"/>
        </w:rPr>
        <w:t>tions</w:t>
      </w:r>
      <w:r w:rsidR="00952D41" w:rsidRPr="00072B9F">
        <w:rPr>
          <w:szCs w:val="22"/>
        </w:rPr>
        <w:t xml:space="preserve"> </w:t>
      </w:r>
      <w:r w:rsidR="00A83229">
        <w:rPr>
          <w:szCs w:val="22"/>
        </w:rPr>
        <w:t>which contained</w:t>
      </w:r>
      <w:r w:rsidR="005650DC">
        <w:rPr>
          <w:szCs w:val="22"/>
        </w:rPr>
        <w:t xml:space="preserve"> </w:t>
      </w:r>
      <w:r w:rsidR="0003604F">
        <w:rPr>
          <w:szCs w:val="22"/>
        </w:rPr>
        <w:t>technical</w:t>
      </w:r>
      <w:r w:rsidR="00A83229">
        <w:rPr>
          <w:szCs w:val="22"/>
        </w:rPr>
        <w:t xml:space="preserve"> errors, and should do so here</w:t>
      </w:r>
      <w:r w:rsidR="00952D41" w:rsidRPr="00072B9F">
        <w:rPr>
          <w:szCs w:val="22"/>
        </w:rPr>
        <w:t>.</w:t>
      </w:r>
      <w:r w:rsidR="00952D41">
        <w:rPr>
          <w:rStyle w:val="FootnoteReference"/>
          <w:szCs w:val="22"/>
        </w:rPr>
        <w:footnoteReference w:id="12"/>
      </w:r>
      <w:r w:rsidR="00952D41" w:rsidRPr="00072B9F">
        <w:rPr>
          <w:szCs w:val="22"/>
        </w:rPr>
        <w:t xml:space="preserve">  </w:t>
      </w:r>
      <w:r w:rsidR="0041034C">
        <w:rPr>
          <w:color w:val="000000"/>
          <w:szCs w:val="22"/>
        </w:rPr>
        <w:t xml:space="preserve">Those </w:t>
      </w:r>
      <w:r w:rsidR="006763BF">
        <w:rPr>
          <w:color w:val="000000"/>
          <w:szCs w:val="22"/>
        </w:rPr>
        <w:t xml:space="preserve">case situations </w:t>
      </w:r>
      <w:r w:rsidR="0041034C">
        <w:rPr>
          <w:color w:val="000000"/>
          <w:szCs w:val="22"/>
        </w:rPr>
        <w:t>are distinguishable from the facts here and are thus inapposite.</w:t>
      </w:r>
      <w:r w:rsidR="0041034C">
        <w:rPr>
          <w:rStyle w:val="FootnoteReference"/>
          <w:szCs w:val="22"/>
        </w:rPr>
        <w:footnoteReference w:id="13"/>
      </w:r>
      <w:r w:rsidR="0041034C">
        <w:rPr>
          <w:color w:val="000000"/>
          <w:szCs w:val="22"/>
        </w:rPr>
        <w:t xml:space="preserve"> </w:t>
      </w:r>
      <w:r w:rsidR="0041034C" w:rsidRPr="00072B9F">
        <w:rPr>
          <w:color w:val="000000"/>
          <w:szCs w:val="22"/>
        </w:rPr>
        <w:t xml:space="preserve"> </w:t>
      </w:r>
      <w:r w:rsidR="0041034C">
        <w:rPr>
          <w:color w:val="000000"/>
          <w:szCs w:val="22"/>
        </w:rPr>
        <w:t xml:space="preserve">Moreover, </w:t>
      </w:r>
      <w:r w:rsidR="003E2EE1">
        <w:rPr>
          <w:color w:val="000000"/>
          <w:szCs w:val="22"/>
        </w:rPr>
        <w:t xml:space="preserve">staff </w:t>
      </w:r>
      <w:r w:rsidR="00426C7B">
        <w:rPr>
          <w:color w:val="000000"/>
          <w:szCs w:val="22"/>
        </w:rPr>
        <w:t>actions are not binding on the Commission</w:t>
      </w:r>
      <w:r w:rsidR="0041034C">
        <w:rPr>
          <w:color w:val="000000"/>
          <w:szCs w:val="22"/>
        </w:rPr>
        <w:t>.</w:t>
      </w:r>
      <w:r w:rsidR="00952D41">
        <w:rPr>
          <w:rStyle w:val="FootnoteReference"/>
          <w:color w:val="000000"/>
          <w:szCs w:val="22"/>
        </w:rPr>
        <w:footnoteReference w:id="14"/>
      </w:r>
    </w:p>
    <w:p w:rsidR="00072B9F" w:rsidRDefault="00D03AD7" w:rsidP="00D03AD7">
      <w:pPr>
        <w:pStyle w:val="ParaNum"/>
        <w:spacing w:after="220"/>
      </w:pPr>
      <w:r w:rsidRPr="007B7840">
        <w:lastRenderedPageBreak/>
        <w:t>ACCORDINGLY, IT IS ORDERED that</w:t>
      </w:r>
      <w:r>
        <w:t xml:space="preserve"> the Application for Review filed </w:t>
      </w:r>
      <w:r w:rsidR="00EB4159">
        <w:t xml:space="preserve">on </w:t>
      </w:r>
      <w:r w:rsidR="00FD1308">
        <w:t>August 5</w:t>
      </w:r>
      <w:r w:rsidR="00EB4159">
        <w:t xml:space="preserve"> 2014, </w:t>
      </w:r>
      <w:r>
        <w:t xml:space="preserve">by </w:t>
      </w:r>
      <w:r w:rsidR="00FD1308">
        <w:t>People of Progress, Inc.,</w:t>
      </w:r>
      <w:r w:rsidR="00072B9F">
        <w:t xml:space="preserve"> </w:t>
      </w:r>
      <w:r w:rsidR="00072B9F" w:rsidRPr="007B7840">
        <w:t xml:space="preserve">IS DENIED, pursuant to </w:t>
      </w:r>
      <w:r w:rsidR="00072B9F">
        <w:t>S</w:t>
      </w:r>
      <w:r w:rsidR="00072B9F" w:rsidRPr="007B7840">
        <w:t xml:space="preserve">ection 5(c)(5) of the Communications Act of 1934, as amended, and </w:t>
      </w:r>
      <w:r w:rsidR="00072B9F">
        <w:t>S</w:t>
      </w:r>
      <w:r w:rsidR="00072B9F" w:rsidRPr="007B7840">
        <w:t>ectio</w:t>
      </w:r>
      <w:r w:rsidR="00072B9F">
        <w:t>n 1.115(g) of the Commission’s Rules.</w:t>
      </w:r>
      <w:r w:rsidR="00072B9F">
        <w:rPr>
          <w:rStyle w:val="FootnoteReference"/>
        </w:rPr>
        <w:footnoteReference w:id="15"/>
      </w:r>
    </w:p>
    <w:p w:rsidR="00E66A17" w:rsidRPr="006358C3" w:rsidRDefault="00E66A17" w:rsidP="00E66A17">
      <w:r w:rsidRPr="006358C3">
        <w:tab/>
      </w:r>
      <w:r w:rsidRPr="006358C3">
        <w:tab/>
      </w:r>
      <w:r w:rsidRPr="006358C3">
        <w:tab/>
      </w:r>
      <w:r w:rsidRPr="006358C3">
        <w:tab/>
      </w:r>
      <w:r w:rsidRPr="006358C3">
        <w:tab/>
      </w:r>
      <w:r w:rsidRPr="006358C3">
        <w:tab/>
        <w:t>FEDERAL COMMUNICATIONS COMMISSION</w:t>
      </w:r>
    </w:p>
    <w:p w:rsidR="00E66A17" w:rsidRDefault="00E66A17" w:rsidP="00E66A17"/>
    <w:p w:rsidR="00E66A17" w:rsidRDefault="00E66A17" w:rsidP="00E66A17"/>
    <w:p w:rsidR="00E66A17" w:rsidRDefault="00E66A17" w:rsidP="00E66A17"/>
    <w:p w:rsidR="008F3DB3" w:rsidRPr="006358C3" w:rsidRDefault="008F3DB3" w:rsidP="00E66A17"/>
    <w:p w:rsidR="00E66A17" w:rsidRPr="006358C3" w:rsidRDefault="00E66A17" w:rsidP="00E66A17">
      <w:r>
        <w:t xml:space="preserve"> </w:t>
      </w:r>
      <w:r>
        <w:tab/>
      </w:r>
      <w:r>
        <w:tab/>
      </w:r>
      <w:r>
        <w:tab/>
      </w:r>
      <w:r>
        <w:tab/>
      </w:r>
      <w:r>
        <w:tab/>
      </w:r>
      <w:r>
        <w:tab/>
      </w:r>
      <w:r w:rsidRPr="006358C3">
        <w:t>Marlene H. Dortch</w:t>
      </w:r>
    </w:p>
    <w:p w:rsidR="002C00E8" w:rsidRPr="002C00E8" w:rsidRDefault="00E66A17" w:rsidP="007B35C9">
      <w:r>
        <w:t xml:space="preserve"> </w:t>
      </w:r>
      <w:r>
        <w:tab/>
      </w:r>
      <w:r>
        <w:tab/>
      </w:r>
      <w:r>
        <w:tab/>
      </w:r>
      <w:r>
        <w:tab/>
      </w:r>
      <w:r>
        <w:tab/>
      </w:r>
      <w:r>
        <w:tab/>
      </w:r>
      <w:r w:rsidRPr="006358C3">
        <w:t>Secretary</w:t>
      </w:r>
    </w:p>
    <w:sectPr w:rsidR="002C00E8" w:rsidRPr="002C00E8"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817" w:rsidRDefault="00D47817">
      <w:pPr>
        <w:spacing w:line="20" w:lineRule="exact"/>
      </w:pPr>
    </w:p>
  </w:endnote>
  <w:endnote w:type="continuationSeparator" w:id="0">
    <w:p w:rsidR="00D47817" w:rsidRDefault="00D47817">
      <w:r>
        <w:t xml:space="preserve"> </w:t>
      </w:r>
    </w:p>
  </w:endnote>
  <w:endnote w:type="continuationNotice" w:id="1">
    <w:p w:rsidR="00D47817" w:rsidRDefault="00D4781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95235F">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817" w:rsidRDefault="00D47817">
      <w:r>
        <w:separator/>
      </w:r>
    </w:p>
  </w:footnote>
  <w:footnote w:type="continuationSeparator" w:id="0">
    <w:p w:rsidR="00D47817" w:rsidRDefault="00D47817" w:rsidP="00C721AC">
      <w:pPr>
        <w:spacing w:before="120"/>
        <w:rPr>
          <w:sz w:val="20"/>
        </w:rPr>
      </w:pPr>
      <w:r>
        <w:rPr>
          <w:sz w:val="20"/>
        </w:rPr>
        <w:t xml:space="preserve">(Continued from previous page)  </w:t>
      </w:r>
      <w:r>
        <w:rPr>
          <w:sz w:val="20"/>
        </w:rPr>
        <w:separator/>
      </w:r>
    </w:p>
  </w:footnote>
  <w:footnote w:type="continuationNotice" w:id="1">
    <w:p w:rsidR="00D47817" w:rsidRDefault="00D47817" w:rsidP="00C721AC">
      <w:pPr>
        <w:jc w:val="right"/>
        <w:rPr>
          <w:sz w:val="20"/>
        </w:rPr>
      </w:pPr>
      <w:r>
        <w:rPr>
          <w:sz w:val="20"/>
        </w:rPr>
        <w:t>(continued….)</w:t>
      </w:r>
    </w:p>
  </w:footnote>
  <w:footnote w:id="2">
    <w:p w:rsidR="00A41CCA" w:rsidRPr="00787B26" w:rsidRDefault="00A41CCA" w:rsidP="00A41CCA">
      <w:pPr>
        <w:pStyle w:val="FootnoteText"/>
      </w:pPr>
      <w:r w:rsidRPr="00787B26">
        <w:rPr>
          <w:rStyle w:val="FootnoteReference"/>
        </w:rPr>
        <w:footnoteRef/>
      </w:r>
      <w:r w:rsidRPr="00787B26">
        <w:t xml:space="preserve"> </w:t>
      </w:r>
      <w:r w:rsidR="00833ED9" w:rsidRPr="00787B26">
        <w:rPr>
          <w:i/>
        </w:rPr>
        <w:t>People of Progress, Inc</w:t>
      </w:r>
      <w:r w:rsidR="00833ED9" w:rsidRPr="00787B26">
        <w:t>.,</w:t>
      </w:r>
      <w:r w:rsidRPr="00787B26">
        <w:t xml:space="preserve"> </w:t>
      </w:r>
      <w:r w:rsidR="00907500" w:rsidRPr="00787B26">
        <w:t>Letter,</w:t>
      </w:r>
      <w:r w:rsidR="00907500" w:rsidRPr="00787B26">
        <w:rPr>
          <w:i/>
        </w:rPr>
        <w:t xml:space="preserve"> </w:t>
      </w:r>
      <w:r w:rsidRPr="00787B26">
        <w:t xml:space="preserve">Ref-1800 (MB </w:t>
      </w:r>
      <w:r w:rsidR="00325D1D" w:rsidRPr="00787B26">
        <w:t>July 16</w:t>
      </w:r>
      <w:r w:rsidRPr="00787B26">
        <w:t>, 2014) (“</w:t>
      </w:r>
      <w:r w:rsidRPr="00787B26">
        <w:rPr>
          <w:i/>
        </w:rPr>
        <w:t>Reconsideration Decision</w:t>
      </w:r>
      <w:r w:rsidRPr="00787B26">
        <w:t xml:space="preserve">”); </w:t>
      </w:r>
      <w:r w:rsidR="004C19BF" w:rsidRPr="00787B26">
        <w:rPr>
          <w:i/>
        </w:rPr>
        <w:t>People of Progress, Inc.</w:t>
      </w:r>
      <w:r w:rsidR="004C19BF" w:rsidRPr="00787B26">
        <w:t>,</w:t>
      </w:r>
      <w:r w:rsidR="00907500" w:rsidRPr="00787B26">
        <w:t xml:space="preserve"> Letter, </w:t>
      </w:r>
      <w:r w:rsidRPr="00787B26">
        <w:t>Ref</w:t>
      </w:r>
      <w:r w:rsidR="005A31CF" w:rsidRPr="00787B26">
        <w:t xml:space="preserve">. </w:t>
      </w:r>
      <w:r w:rsidRPr="00787B26">
        <w:t xml:space="preserve">1800 (MB </w:t>
      </w:r>
      <w:r w:rsidR="00325D1D" w:rsidRPr="00787B26">
        <w:t>Dec. 16</w:t>
      </w:r>
      <w:r w:rsidRPr="00787B26">
        <w:t>, 201</w:t>
      </w:r>
      <w:r w:rsidR="00883197" w:rsidRPr="00787B26">
        <w:t>3</w:t>
      </w:r>
      <w:r w:rsidRPr="00787B26">
        <w:t>) (“</w:t>
      </w:r>
      <w:r w:rsidRPr="00787B26">
        <w:rPr>
          <w:i/>
        </w:rPr>
        <w:t>Dismissal Letter</w:t>
      </w:r>
      <w:r w:rsidRPr="00787B26">
        <w:t>”).</w:t>
      </w:r>
      <w:r w:rsidR="00546626" w:rsidRPr="00787B26">
        <w:t xml:space="preserve">  </w:t>
      </w:r>
      <w:r w:rsidR="00546626" w:rsidRPr="00787B26">
        <w:rPr>
          <w:i/>
        </w:rPr>
        <w:t>See also Broadcast Actions</w:t>
      </w:r>
      <w:r w:rsidR="00546626" w:rsidRPr="00787B26">
        <w:t>, Public Notice, Report No. 48139</w:t>
      </w:r>
      <w:r w:rsidR="00132930" w:rsidRPr="00787B26">
        <w:t xml:space="preserve"> </w:t>
      </w:r>
      <w:r w:rsidR="00546626" w:rsidRPr="00787B26">
        <w:t>(MB Dec. 19, 2013).</w:t>
      </w:r>
    </w:p>
  </w:footnote>
  <w:footnote w:id="3">
    <w:p w:rsidR="00C8132F" w:rsidRPr="00787B26" w:rsidRDefault="00C8132F">
      <w:pPr>
        <w:pStyle w:val="FootnoteText"/>
      </w:pPr>
      <w:r w:rsidRPr="00787B26">
        <w:rPr>
          <w:rStyle w:val="FootnoteReference"/>
        </w:rPr>
        <w:footnoteRef/>
      </w:r>
      <w:r w:rsidR="005609CF" w:rsidRPr="00787B26">
        <w:t xml:space="preserve"> 47 C.F.R. § 73.</w:t>
      </w:r>
      <w:r w:rsidRPr="00787B26">
        <w:t>807</w:t>
      </w:r>
      <w:r w:rsidR="005A31CF" w:rsidRPr="00787B26">
        <w:t>(a)(1) specifies a minimum spacing of 93 kilometers between the proposed LPFM station and any Class C FM station operating on a second-adjacent channel</w:t>
      </w:r>
      <w:r w:rsidRPr="00787B26">
        <w:t xml:space="preserve">.  </w:t>
      </w:r>
      <w:r w:rsidR="00A41CCA" w:rsidRPr="00787B26">
        <w:t xml:space="preserve">As discussed in the </w:t>
      </w:r>
      <w:r w:rsidR="00A41CCA" w:rsidRPr="00787B26">
        <w:rPr>
          <w:i/>
        </w:rPr>
        <w:t>Dismissal Letter</w:t>
      </w:r>
      <w:r w:rsidR="00A41CCA" w:rsidRPr="00787B26">
        <w:t>, t</w:t>
      </w:r>
      <w:r w:rsidR="00B77C0F" w:rsidRPr="00787B26">
        <w:t>he Station</w:t>
      </w:r>
      <w:r w:rsidR="00756417" w:rsidRPr="00787B26">
        <w:t>’</w:t>
      </w:r>
      <w:r w:rsidR="00B77C0F" w:rsidRPr="00787B26">
        <w:t>s</w:t>
      </w:r>
      <w:r w:rsidR="00756417" w:rsidRPr="00787B26">
        <w:t xml:space="preserve"> proposed site </w:t>
      </w:r>
      <w:r w:rsidR="00F93BD9" w:rsidRPr="00787B26">
        <w:t>is</w:t>
      </w:r>
      <w:r w:rsidR="00756417" w:rsidRPr="00787B26">
        <w:t xml:space="preserve"> </w:t>
      </w:r>
      <w:r w:rsidR="004A3741" w:rsidRPr="00787B26">
        <w:t>18</w:t>
      </w:r>
      <w:r w:rsidR="00756417" w:rsidRPr="00787B26">
        <w:t xml:space="preserve"> kilometer</w:t>
      </w:r>
      <w:r w:rsidR="00B77C0F" w:rsidRPr="00787B26">
        <w:t>s</w:t>
      </w:r>
      <w:r w:rsidR="00756417" w:rsidRPr="00787B26">
        <w:t xml:space="preserve"> from the licensed facility of </w:t>
      </w:r>
      <w:r w:rsidR="00F93BD9" w:rsidRPr="00787B26">
        <w:t xml:space="preserve">second-adjacent channel </w:t>
      </w:r>
      <w:r w:rsidR="00756417" w:rsidRPr="00787B26">
        <w:t xml:space="preserve">Station </w:t>
      </w:r>
      <w:r w:rsidR="004A3741" w:rsidRPr="00787B26">
        <w:t>KNCQ</w:t>
      </w:r>
      <w:r w:rsidR="00756417" w:rsidRPr="00787B26">
        <w:t xml:space="preserve">(FM), </w:t>
      </w:r>
      <w:r w:rsidR="004A3741" w:rsidRPr="00787B26">
        <w:t>Redding</w:t>
      </w:r>
      <w:r w:rsidR="00756417" w:rsidRPr="00787B26">
        <w:t>, California</w:t>
      </w:r>
      <w:r w:rsidR="005A31CF" w:rsidRPr="00787B26">
        <w:t xml:space="preserve"> </w:t>
      </w:r>
      <w:r w:rsidR="00756417" w:rsidRPr="00787B26">
        <w:t xml:space="preserve">and </w:t>
      </w:r>
      <w:r w:rsidR="004A3741" w:rsidRPr="00787B26">
        <w:t>11.5</w:t>
      </w:r>
      <w:r w:rsidR="00756417" w:rsidRPr="00787B26">
        <w:t xml:space="preserve"> kilometers from the licensed facility of </w:t>
      </w:r>
      <w:r w:rsidR="00F93BD9" w:rsidRPr="00787B26">
        <w:t xml:space="preserve">second-adjacent channel </w:t>
      </w:r>
      <w:r w:rsidR="00756417" w:rsidRPr="00787B26">
        <w:t>Station K</w:t>
      </w:r>
      <w:r w:rsidR="004A3741" w:rsidRPr="00787B26">
        <w:t>VIP-FM</w:t>
      </w:r>
      <w:r w:rsidR="00756417" w:rsidRPr="00787B26">
        <w:t xml:space="preserve">, </w:t>
      </w:r>
      <w:r w:rsidR="004A3741" w:rsidRPr="00787B26">
        <w:t>Redding</w:t>
      </w:r>
      <w:r w:rsidR="00756417" w:rsidRPr="00787B26">
        <w:t>, California</w:t>
      </w:r>
      <w:r w:rsidR="00170DAB" w:rsidRPr="00787B26">
        <w:t>, finding</w:t>
      </w:r>
      <w:r w:rsidR="00F93BD9" w:rsidRPr="00787B26">
        <w:t>s</w:t>
      </w:r>
      <w:r w:rsidR="00170DAB" w:rsidRPr="00787B26">
        <w:t xml:space="preserve"> that </w:t>
      </w:r>
      <w:r w:rsidR="00827C17" w:rsidRPr="00787B26">
        <w:t>POP does not dispute.</w:t>
      </w:r>
      <w:r w:rsidR="0023725B" w:rsidRPr="00787B26">
        <w:t xml:space="preserve">  Pursuant to</w:t>
      </w:r>
      <w:r w:rsidR="00DE3828" w:rsidRPr="00787B26">
        <w:rPr>
          <w:i/>
        </w:rPr>
        <w:t xml:space="preserve"> </w:t>
      </w:r>
      <w:r w:rsidR="00DE3828" w:rsidRPr="00787B26">
        <w:t xml:space="preserve">47 C.F.R. </w:t>
      </w:r>
      <w:r w:rsidR="00FB4CB2" w:rsidRPr="00787B26">
        <w:t xml:space="preserve">§ </w:t>
      </w:r>
      <w:r w:rsidR="00DE3828" w:rsidRPr="00787B26">
        <w:t>73.870(c)</w:t>
      </w:r>
      <w:r w:rsidR="0023725B" w:rsidRPr="00787B26">
        <w:t xml:space="preserve">, any </w:t>
      </w:r>
      <w:r w:rsidR="00DE3828" w:rsidRPr="00787B26">
        <w:t>application submitted during an LPFM filing window that fail</w:t>
      </w:r>
      <w:r w:rsidR="009233C0" w:rsidRPr="00787B26">
        <w:t>s</w:t>
      </w:r>
      <w:r w:rsidR="00DE3828" w:rsidRPr="00787B26">
        <w:t xml:space="preserve"> to meet the spacing requirements of Section 73.807 will be dismissed “without any opportunity to amend.”</w:t>
      </w:r>
      <w:r w:rsidR="0023725B" w:rsidRPr="00787B26">
        <w:t xml:space="preserve">  </w:t>
      </w:r>
    </w:p>
  </w:footnote>
  <w:footnote w:id="4">
    <w:p w:rsidR="00002B53" w:rsidRPr="00787B26" w:rsidRDefault="00002B53">
      <w:pPr>
        <w:pStyle w:val="FootnoteText"/>
      </w:pPr>
      <w:r w:rsidRPr="00787B26">
        <w:rPr>
          <w:rStyle w:val="FootnoteReference"/>
        </w:rPr>
        <w:footnoteRef/>
      </w:r>
      <w:r w:rsidRPr="00787B26">
        <w:t xml:space="preserve"> </w:t>
      </w:r>
      <w:r w:rsidR="006A3FBD" w:rsidRPr="00787B26">
        <w:t xml:space="preserve">Section 3(b)(2)(A) of </w:t>
      </w:r>
      <w:r w:rsidRPr="00787B26">
        <w:t xml:space="preserve"> Local Community Radio Act </w:t>
      </w:r>
      <w:r w:rsidR="009A3F84" w:rsidRPr="00787B26">
        <w:t xml:space="preserve">of 2010 </w:t>
      </w:r>
      <w:r w:rsidRPr="00787B26">
        <w:t>(“LCRA”) granted the Commission the authority to waive Section 73.807</w:t>
      </w:r>
      <w:r w:rsidR="00461323" w:rsidRPr="00787B26">
        <w:t xml:space="preserve"> to allow second-adjacent channel short-spacing</w:t>
      </w:r>
      <w:r w:rsidR="00F93BD9" w:rsidRPr="00787B26">
        <w:t>s</w:t>
      </w:r>
      <w:r w:rsidR="00461323" w:rsidRPr="00787B26">
        <w:t xml:space="preserve"> that </w:t>
      </w:r>
      <w:r w:rsidR="00F93BD9" w:rsidRPr="00787B26">
        <w:t>are</w:t>
      </w:r>
      <w:r w:rsidR="00461323" w:rsidRPr="00787B26">
        <w:t xml:space="preserve"> predicted not to result in interference to any authorized radio service</w:t>
      </w:r>
      <w:r w:rsidRPr="00787B26">
        <w:t xml:space="preserve">.  </w:t>
      </w:r>
      <w:r w:rsidR="006A3FBD" w:rsidRPr="00787B26">
        <w:rPr>
          <w:i/>
        </w:rPr>
        <w:t xml:space="preserve">See </w:t>
      </w:r>
      <w:r w:rsidR="009A3F84" w:rsidRPr="00787B26">
        <w:t>Pub. L. No. 111-371, 124 Stat. 4072 (2011).</w:t>
      </w:r>
      <w:r w:rsidR="006A3FBD" w:rsidRPr="00787B26">
        <w:t xml:space="preserve"> </w:t>
      </w:r>
      <w:r w:rsidRPr="00787B26">
        <w:t xml:space="preserve"> </w:t>
      </w:r>
      <w:r w:rsidRPr="00787B26">
        <w:rPr>
          <w:i/>
        </w:rPr>
        <w:t>See also Creation of a Low Power Radio Service</w:t>
      </w:r>
      <w:r w:rsidRPr="00787B26">
        <w:t>, Fifth Order on Reconsideration and Sixth Report and Order, 27 FCC Rcd 15402, 15425</w:t>
      </w:r>
      <w:r w:rsidR="00461323" w:rsidRPr="00787B26">
        <w:t>-26</w:t>
      </w:r>
      <w:r w:rsidRPr="00787B26">
        <w:t xml:space="preserve"> (2012) (implementing Section 3(b)(2)(A) of the LCRA).  As discussed in the </w:t>
      </w:r>
      <w:r w:rsidRPr="00787B26">
        <w:rPr>
          <w:i/>
        </w:rPr>
        <w:t>Reconsideration Decision</w:t>
      </w:r>
      <w:r w:rsidRPr="00787B26">
        <w:t xml:space="preserve">, LPFM </w:t>
      </w:r>
      <w:r w:rsidR="001D1539" w:rsidRPr="00787B26">
        <w:t xml:space="preserve">applicants were </w:t>
      </w:r>
      <w:r w:rsidR="00695731" w:rsidRPr="00787B26">
        <w:t>advised that a</w:t>
      </w:r>
      <w:r w:rsidRPr="00787B26">
        <w:t xml:space="preserve"> failure to file a </w:t>
      </w:r>
      <w:r w:rsidR="001D1539" w:rsidRPr="00787B26">
        <w:t xml:space="preserve">second-adjacent </w:t>
      </w:r>
      <w:r w:rsidRPr="00787B26">
        <w:t xml:space="preserve">waiver </w:t>
      </w:r>
      <w:r w:rsidR="004B5FE1" w:rsidRPr="00787B26">
        <w:t>request</w:t>
      </w:r>
      <w:r w:rsidR="00695731" w:rsidRPr="00787B26">
        <w:t xml:space="preserve"> </w:t>
      </w:r>
      <w:r w:rsidR="004B5FE1" w:rsidRPr="00787B26">
        <w:t>would result in dismissal of the application without an opportunity to amend.</w:t>
      </w:r>
      <w:r w:rsidRPr="00787B26">
        <w:t xml:space="preserve">  </w:t>
      </w:r>
      <w:r w:rsidRPr="00787B26">
        <w:rPr>
          <w:i/>
        </w:rPr>
        <w:t xml:space="preserve">See </w:t>
      </w:r>
      <w:r w:rsidR="00DB4070" w:rsidRPr="00787B26">
        <w:rPr>
          <w:i/>
        </w:rPr>
        <w:t xml:space="preserve">Media </w:t>
      </w:r>
      <w:r w:rsidR="004B5FE1" w:rsidRPr="00787B26">
        <w:rPr>
          <w:i/>
        </w:rPr>
        <w:t xml:space="preserve">Bureau Announces </w:t>
      </w:r>
      <w:r w:rsidR="00DB4070" w:rsidRPr="00787B26">
        <w:rPr>
          <w:i/>
        </w:rPr>
        <w:t>Availability</w:t>
      </w:r>
      <w:r w:rsidR="004B5FE1" w:rsidRPr="00787B26">
        <w:rPr>
          <w:i/>
        </w:rPr>
        <w:t xml:space="preserve"> of the Revised FCC Form 318 and the Filing </w:t>
      </w:r>
      <w:r w:rsidR="00DB4070" w:rsidRPr="00787B26">
        <w:rPr>
          <w:i/>
        </w:rPr>
        <w:t>Procedures for Octobe</w:t>
      </w:r>
      <w:r w:rsidR="004B5FE1" w:rsidRPr="00787B26">
        <w:rPr>
          <w:i/>
        </w:rPr>
        <w:t>r 15 – October 29, 2013 Low Power Filing Window</w:t>
      </w:r>
      <w:r w:rsidR="004B5FE1" w:rsidRPr="00787B26">
        <w:t>, Public Notice, 28 FCC Rcd 8854, 885</w:t>
      </w:r>
      <w:r w:rsidR="00461323" w:rsidRPr="00787B26">
        <w:t>5</w:t>
      </w:r>
      <w:r w:rsidR="004B5FE1" w:rsidRPr="00787B26">
        <w:t xml:space="preserve"> (MB 2013)</w:t>
      </w:r>
      <w:r w:rsidR="00DB4070" w:rsidRPr="00787B26">
        <w:t xml:space="preserve"> </w:t>
      </w:r>
      <w:r w:rsidR="008551C6" w:rsidRPr="00787B26">
        <w:t>(“</w:t>
      </w:r>
      <w:r w:rsidR="008551C6" w:rsidRPr="00787B26">
        <w:rPr>
          <w:i/>
        </w:rPr>
        <w:t>LPFM Public Notice</w:t>
      </w:r>
      <w:r w:rsidR="008551C6" w:rsidRPr="00787B26">
        <w:t>”)</w:t>
      </w:r>
      <w:r w:rsidR="00B632B0" w:rsidRPr="00787B26">
        <w:t xml:space="preserve"> </w:t>
      </w:r>
      <w:r w:rsidR="00461323" w:rsidRPr="00787B26">
        <w:t>(“</w:t>
      </w:r>
      <w:r w:rsidR="00440D58" w:rsidRPr="00787B26">
        <w:t xml:space="preserve">Consistent with established processing rules, an LPFM application that fails to protect [existing] authorizations, applications, and allotments will be dismissed with no opportunity to correct the deficiency.”); </w:t>
      </w:r>
      <w:r w:rsidR="00440D58" w:rsidRPr="00787B26">
        <w:rPr>
          <w:i/>
        </w:rPr>
        <w:t>id.</w:t>
      </w:r>
      <w:r w:rsidR="00440D58" w:rsidRPr="00787B26">
        <w:t xml:space="preserve"> at 8856 </w:t>
      </w:r>
      <w:r w:rsidR="00DB4070" w:rsidRPr="00787B26">
        <w:t>(“</w:t>
      </w:r>
      <w:r w:rsidR="00DB4070" w:rsidRPr="00787B26">
        <w:rPr>
          <w:b/>
          <w:bCs/>
        </w:rPr>
        <w:t>Following the close of the window, the Commission staff will return and/or dismiss applications and amendments not submitted in accordance with the procedures described in this Public Notice.  No curative amendments for such applications and amendments will be accepted after the close of the window</w:t>
      </w:r>
      <w:r w:rsidR="00DB4070" w:rsidRPr="00787B26">
        <w:rPr>
          <w:b/>
        </w:rPr>
        <w:t>.</w:t>
      </w:r>
      <w:r w:rsidR="00DB4070" w:rsidRPr="00787B26">
        <w:t xml:space="preserve"> . . .</w:t>
      </w:r>
      <w:r w:rsidR="00440D58" w:rsidRPr="00787B26">
        <w:t xml:space="preserve"> .</w:t>
      </w:r>
      <w:r w:rsidR="00DB4070" w:rsidRPr="00787B26">
        <w:t xml:space="preserve">  An applicant should consider using a consulting engineer or a party familiar with the LPFM technical rules to determine the technical acceptability of its application, particularly if the applicant is requesting a second-adjacent channel spacing waiver.”)</w:t>
      </w:r>
      <w:r w:rsidR="00B67B9C" w:rsidRPr="00787B26">
        <w:t xml:space="preserve"> </w:t>
      </w:r>
      <w:r w:rsidR="00BD26F4" w:rsidRPr="00787B26">
        <w:t xml:space="preserve">(emphasis </w:t>
      </w:r>
      <w:r w:rsidR="00440D58" w:rsidRPr="00787B26">
        <w:t>in original</w:t>
      </w:r>
      <w:r w:rsidR="00BD26F4" w:rsidRPr="00787B26">
        <w:t>).</w:t>
      </w:r>
      <w:r w:rsidR="001D1539" w:rsidRPr="00787B26">
        <w:t xml:space="preserve">  </w:t>
      </w:r>
    </w:p>
  </w:footnote>
  <w:footnote w:id="5">
    <w:p w:rsidR="00970C92" w:rsidRPr="00787B26" w:rsidRDefault="00970C92">
      <w:pPr>
        <w:pStyle w:val="FootnoteText"/>
      </w:pPr>
      <w:r w:rsidRPr="00787B26">
        <w:rPr>
          <w:rStyle w:val="FootnoteReference"/>
        </w:rPr>
        <w:footnoteRef/>
      </w:r>
      <w:r w:rsidRPr="00787B26">
        <w:t xml:space="preserve"> </w:t>
      </w:r>
      <w:r w:rsidRPr="00787B26">
        <w:rPr>
          <w:i/>
        </w:rPr>
        <w:t xml:space="preserve">See </w:t>
      </w:r>
      <w:r w:rsidRPr="00787B26">
        <w:t>LCRA § 5(3) (“The [FCC</w:t>
      </w:r>
      <w:r w:rsidR="0013359C" w:rsidRPr="00787B26">
        <w:t>]</w:t>
      </w:r>
      <w:r w:rsidRPr="00787B26">
        <w:t xml:space="preserve">, when licensing new FM translation stations, FM booster stations, and low-power FM stations, shall ensure that . . . FM translator </w:t>
      </w:r>
      <w:r w:rsidR="001E6994" w:rsidRPr="00787B26">
        <w:t>Stations</w:t>
      </w:r>
      <w:r w:rsidRPr="00787B26">
        <w:t xml:space="preserve">, FM booster stations, and low-power FM </w:t>
      </w:r>
      <w:r w:rsidR="001E6994" w:rsidRPr="00787B26">
        <w:t>stations</w:t>
      </w:r>
      <w:r w:rsidRPr="00787B26">
        <w:t xml:space="preserve"> remain equal in status . . .”).</w:t>
      </w:r>
    </w:p>
  </w:footnote>
  <w:footnote w:id="6">
    <w:p w:rsidR="009F004E" w:rsidRPr="00787B26" w:rsidRDefault="009F004E">
      <w:pPr>
        <w:pStyle w:val="FootnoteText"/>
      </w:pPr>
      <w:r w:rsidRPr="00787B26">
        <w:rPr>
          <w:rStyle w:val="FootnoteReference"/>
        </w:rPr>
        <w:footnoteRef/>
      </w:r>
      <w:r w:rsidRPr="00787B26">
        <w:t xml:space="preserve"> AFR at 2-3.</w:t>
      </w:r>
    </w:p>
  </w:footnote>
  <w:footnote w:id="7">
    <w:p w:rsidR="00072B9F" w:rsidRPr="00787B26" w:rsidRDefault="00072B9F" w:rsidP="00072B9F">
      <w:pPr>
        <w:pStyle w:val="FootnoteText"/>
      </w:pPr>
      <w:r w:rsidRPr="00787B26">
        <w:rPr>
          <w:rStyle w:val="FootnoteReference"/>
        </w:rPr>
        <w:footnoteRef/>
      </w:r>
      <w:r w:rsidRPr="00787B26">
        <w:t xml:space="preserve"> </w:t>
      </w:r>
      <w:r w:rsidR="00883197" w:rsidRPr="00787B26">
        <w:rPr>
          <w:i/>
        </w:rPr>
        <w:t>Id.</w:t>
      </w:r>
      <w:r w:rsidR="00883197" w:rsidRPr="00787B26">
        <w:t xml:space="preserve"> </w:t>
      </w:r>
      <w:r w:rsidRPr="00787B26">
        <w:t xml:space="preserve">at </w:t>
      </w:r>
      <w:r w:rsidR="008A0827" w:rsidRPr="00787B26">
        <w:t>5-6</w:t>
      </w:r>
      <w:r w:rsidRPr="00787B26">
        <w:t>, citing 47 U.S.C. § 307(b).</w:t>
      </w:r>
    </w:p>
  </w:footnote>
  <w:footnote w:id="8">
    <w:p w:rsidR="008F01D8" w:rsidRPr="00787B26" w:rsidRDefault="008F01D8">
      <w:pPr>
        <w:pStyle w:val="FootnoteText"/>
      </w:pPr>
      <w:r w:rsidRPr="00787B26">
        <w:rPr>
          <w:rStyle w:val="FootnoteReference"/>
        </w:rPr>
        <w:footnoteRef/>
      </w:r>
      <w:r w:rsidRPr="00787B26">
        <w:t xml:space="preserve"> POP also argues, as it did in the Petition, that LCRA does not specify when a second-adjacent channel waiver must be filed.  We reject this argument for the reason</w:t>
      </w:r>
      <w:r w:rsidR="002D63D6" w:rsidRPr="00787B26">
        <w:t xml:space="preserve"> stated</w:t>
      </w:r>
      <w:r w:rsidRPr="00787B26">
        <w:t xml:space="preserve"> in the </w:t>
      </w:r>
      <w:r w:rsidRPr="00787B26">
        <w:rPr>
          <w:i/>
        </w:rPr>
        <w:t>Reconsideration Decision</w:t>
      </w:r>
      <w:r w:rsidRPr="00787B26">
        <w:t>.</w:t>
      </w:r>
      <w:r w:rsidR="002D63D6" w:rsidRPr="00787B26">
        <w:t xml:space="preserve">  </w:t>
      </w:r>
      <w:r w:rsidR="002D63D6" w:rsidRPr="00787B26">
        <w:rPr>
          <w:i/>
        </w:rPr>
        <w:t>See Reconsideration Decision</w:t>
      </w:r>
      <w:r w:rsidR="002D63D6" w:rsidRPr="00787B26">
        <w:t xml:space="preserve"> at 2 (</w:t>
      </w:r>
      <w:r w:rsidR="002D63D6" w:rsidRPr="00787B26">
        <w:rPr>
          <w:i/>
        </w:rPr>
        <w:t>LPFM Public Notice</w:t>
      </w:r>
      <w:r w:rsidR="002D63D6" w:rsidRPr="00787B26">
        <w:t xml:space="preserve"> warned applicants that failure to comply with </w:t>
      </w:r>
      <w:r w:rsidR="00F93BD9" w:rsidRPr="00787B26">
        <w:t>certain</w:t>
      </w:r>
      <w:r w:rsidR="002D63D6" w:rsidRPr="00787B26">
        <w:t xml:space="preserve"> requirements </w:t>
      </w:r>
      <w:r w:rsidR="00F93BD9" w:rsidRPr="00787B26">
        <w:t xml:space="preserve">at time of filing </w:t>
      </w:r>
      <w:r w:rsidR="002D63D6" w:rsidRPr="00787B26">
        <w:t>would result in dismissal without opportunity to amend).</w:t>
      </w:r>
    </w:p>
  </w:footnote>
  <w:footnote w:id="9">
    <w:p w:rsidR="00694703" w:rsidRPr="00787B26" w:rsidRDefault="00694703">
      <w:pPr>
        <w:pStyle w:val="FootnoteText"/>
      </w:pPr>
      <w:r w:rsidRPr="00787B26">
        <w:rPr>
          <w:rStyle w:val="FootnoteReference"/>
        </w:rPr>
        <w:footnoteRef/>
      </w:r>
      <w:r w:rsidRPr="00787B26">
        <w:t xml:space="preserve"> </w:t>
      </w:r>
      <w:r w:rsidRPr="00787B26">
        <w:rPr>
          <w:i/>
        </w:rPr>
        <w:t xml:space="preserve">See </w:t>
      </w:r>
      <w:r w:rsidR="00142A81" w:rsidRPr="00787B26">
        <w:rPr>
          <w:i/>
        </w:rPr>
        <w:t>Clifford Brown Jazz Foundation</w:t>
      </w:r>
      <w:r w:rsidR="00142A81" w:rsidRPr="00787B26">
        <w:t>, Memorandum Opinion and Order, FCC 14-162 (rel. Oct. 15, 2014) (“</w:t>
      </w:r>
      <w:r w:rsidRPr="00787B26">
        <w:rPr>
          <w:i/>
        </w:rPr>
        <w:t>Clifford Brown</w:t>
      </w:r>
      <w:r w:rsidR="00142A81" w:rsidRPr="00787B26">
        <w:rPr>
          <w:i/>
        </w:rPr>
        <w:t>”)</w:t>
      </w:r>
      <w:r w:rsidRPr="00787B26">
        <w:rPr>
          <w:i/>
        </w:rPr>
        <w:t xml:space="preserve"> </w:t>
      </w:r>
      <w:r w:rsidRPr="00787B26">
        <w:t xml:space="preserve">(affirming dismissal of new LPFM application where applicant failed to submit second-adjacent channel waiver request with the original application and finding that LCRA did not </w:t>
      </w:r>
      <w:r w:rsidR="00594A75" w:rsidRPr="00787B26">
        <w:t>supersede</w:t>
      </w:r>
      <w:r w:rsidRPr="00787B26">
        <w:t xml:space="preserve"> Section 73.87</w:t>
      </w:r>
      <w:r w:rsidR="00594A75" w:rsidRPr="00787B26">
        <w:t>0</w:t>
      </w:r>
      <w:r w:rsidRPr="00787B26">
        <w:t>(c)).</w:t>
      </w:r>
    </w:p>
  </w:footnote>
  <w:footnote w:id="10">
    <w:p w:rsidR="00CF65C3" w:rsidRPr="00787B26" w:rsidRDefault="00CF65C3">
      <w:pPr>
        <w:pStyle w:val="FootnoteText"/>
      </w:pPr>
      <w:r w:rsidRPr="00787B26">
        <w:rPr>
          <w:rStyle w:val="FootnoteReference"/>
        </w:rPr>
        <w:footnoteRef/>
      </w:r>
      <w:r w:rsidRPr="00787B26">
        <w:t xml:space="preserve"> Section 73.870(c) does not preclude second-adjacent waiver requests by LPFM applicants, but instead requires that such requests be submitted in the filing window rather than subsequently through an amendment.  The purpose of this processing </w:t>
      </w:r>
      <w:r w:rsidR="008F01D8" w:rsidRPr="00787B26">
        <w:t>policy</w:t>
      </w:r>
      <w:r w:rsidRPr="00787B26">
        <w:t xml:space="preserve"> is to increase speed and efficiency in processing LPFM applications, thereby promoting </w:t>
      </w:r>
      <w:r w:rsidR="008F01D8" w:rsidRPr="00787B26">
        <w:t>introduction of new service by successful applicants</w:t>
      </w:r>
      <w:r w:rsidR="002D63D6" w:rsidRPr="00787B26">
        <w:t xml:space="preserve"> and conserving the limited resources of the agency</w:t>
      </w:r>
      <w:r w:rsidR="008F01D8" w:rsidRPr="00787B26">
        <w:t xml:space="preserve">.  </w:t>
      </w:r>
      <w:r w:rsidR="008F01D8" w:rsidRPr="00787B26">
        <w:rPr>
          <w:i/>
        </w:rPr>
        <w:t>See Clifford Brown</w:t>
      </w:r>
      <w:r w:rsidR="008F01D8" w:rsidRPr="00787B26">
        <w:t xml:space="preserve"> at 2.</w:t>
      </w:r>
    </w:p>
  </w:footnote>
  <w:footnote w:id="11">
    <w:p w:rsidR="008F01D8" w:rsidRPr="00787B26" w:rsidRDefault="008F01D8" w:rsidP="008F01D8">
      <w:pPr>
        <w:pStyle w:val="FootnoteText"/>
      </w:pPr>
      <w:r w:rsidRPr="00787B26">
        <w:rPr>
          <w:rStyle w:val="FootnoteReference"/>
        </w:rPr>
        <w:footnoteRef/>
      </w:r>
      <w:r w:rsidRPr="00787B26">
        <w:t xml:space="preserve"> </w:t>
      </w:r>
      <w:r w:rsidRPr="00787B26">
        <w:rPr>
          <w:i/>
        </w:rPr>
        <w:t>Id.</w:t>
      </w:r>
      <w:r w:rsidRPr="00787B26">
        <w:t xml:space="preserve">  </w:t>
      </w:r>
    </w:p>
  </w:footnote>
  <w:footnote w:id="12">
    <w:p w:rsidR="00952D41" w:rsidRPr="00787B26" w:rsidRDefault="00952D41">
      <w:pPr>
        <w:pStyle w:val="FootnoteText"/>
      </w:pPr>
      <w:r w:rsidRPr="00787B26">
        <w:rPr>
          <w:rStyle w:val="FootnoteReference"/>
        </w:rPr>
        <w:footnoteRef/>
      </w:r>
      <w:r w:rsidRPr="00787B26">
        <w:t xml:space="preserve"> AFR at 4, </w:t>
      </w:r>
      <w:r w:rsidRPr="00787B26">
        <w:rPr>
          <w:i/>
        </w:rPr>
        <w:t xml:space="preserve">citing Pike Place Market Preservation and Developmental </w:t>
      </w:r>
      <w:r w:rsidR="005650DC" w:rsidRPr="00787B26">
        <w:rPr>
          <w:i/>
        </w:rPr>
        <w:t>Authority</w:t>
      </w:r>
      <w:r w:rsidRPr="00787B26">
        <w:t xml:space="preserve"> (File No. BNPL</w:t>
      </w:r>
      <w:r w:rsidR="00731ADF" w:rsidRPr="00787B26">
        <w:t>-20131114AUD)</w:t>
      </w:r>
      <w:r w:rsidR="004C19BF" w:rsidRPr="00787B26">
        <w:t>,</w:t>
      </w:r>
      <w:r w:rsidR="00731ADF" w:rsidRPr="00787B26">
        <w:t xml:space="preserve"> </w:t>
      </w:r>
      <w:r w:rsidR="00731ADF" w:rsidRPr="00787B26">
        <w:rPr>
          <w:i/>
        </w:rPr>
        <w:t>Chiloquin Vision in Progress</w:t>
      </w:r>
      <w:r w:rsidR="00731ADF" w:rsidRPr="00787B26">
        <w:t xml:space="preserve"> (File No. BNPL-20131112ABV), and </w:t>
      </w:r>
      <w:r w:rsidR="00731ADF" w:rsidRPr="00787B26">
        <w:rPr>
          <w:i/>
        </w:rPr>
        <w:t>Radio 23</w:t>
      </w:r>
      <w:r w:rsidR="00731ADF" w:rsidRPr="00787B26">
        <w:t xml:space="preserve"> (File No.</w:t>
      </w:r>
      <w:r w:rsidR="00A23ADC" w:rsidRPr="00787B26">
        <w:t xml:space="preserve"> BNPL-20131114AVO).</w:t>
      </w:r>
    </w:p>
  </w:footnote>
  <w:footnote w:id="13">
    <w:p w:rsidR="0041034C" w:rsidRPr="00787B26" w:rsidRDefault="0041034C" w:rsidP="0041034C">
      <w:pPr>
        <w:pStyle w:val="FootnoteText"/>
      </w:pPr>
      <w:r w:rsidRPr="00787B26">
        <w:rPr>
          <w:rStyle w:val="FootnoteReference"/>
        </w:rPr>
        <w:footnoteRef/>
      </w:r>
      <w:r w:rsidRPr="00787B26">
        <w:t xml:space="preserve"> The deficiency in each of the cases cited by POP in its AFR was the specification of erroneous site coordinates.  However, the applicants were each able to demonstrate that the coordinates were typographical errors.  In </w:t>
      </w:r>
      <w:r w:rsidRPr="00787B26">
        <w:rPr>
          <w:i/>
        </w:rPr>
        <w:t>Pike Place</w:t>
      </w:r>
      <w:r w:rsidRPr="00787B26">
        <w:t xml:space="preserve">, the original application contained an Engineering Study and Second Channel Waiver Request that identified a site compliant with Section 73.807(a)(1).  In </w:t>
      </w:r>
      <w:r w:rsidRPr="00787B26">
        <w:rPr>
          <w:i/>
        </w:rPr>
        <w:t>Chiloquin</w:t>
      </w:r>
      <w:r w:rsidRPr="00787B26">
        <w:t xml:space="preserve"> – which did not involve a Section 73.807 violation – the applicant corrected a typographical error which would have placed its transmitter in a location outside the United States before the application was dismissed by the Bureau.  In </w:t>
      </w:r>
      <w:r w:rsidRPr="00787B26">
        <w:rPr>
          <w:i/>
        </w:rPr>
        <w:t>Radio 23</w:t>
      </w:r>
      <w:r w:rsidRPr="00787B26">
        <w:t xml:space="preserve">, the applicant also identified a transmitter site outside the United States, but had provided a valid Antenna Site Registration Number that referenced the correct site coordinates.  Allowing a corrective amendment without such intrinsic evidence would defeat the purpose of Sections 73.807 and 73.870 of the Rules. </w:t>
      </w:r>
      <w:r w:rsidR="006763BF">
        <w:t xml:space="preserve"> </w:t>
      </w:r>
      <w:r w:rsidRPr="00787B26">
        <w:t>Here, POP omitted the required waiver request from its application.</w:t>
      </w:r>
    </w:p>
  </w:footnote>
  <w:footnote w:id="14">
    <w:p w:rsidR="00952D41" w:rsidRPr="00787B26" w:rsidRDefault="00952D41" w:rsidP="00952D41">
      <w:pPr>
        <w:autoSpaceDE w:val="0"/>
        <w:autoSpaceDN w:val="0"/>
        <w:adjustRightInd w:val="0"/>
        <w:spacing w:after="120"/>
        <w:rPr>
          <w:sz w:val="20"/>
        </w:rPr>
      </w:pPr>
      <w:r w:rsidRPr="00787B26">
        <w:rPr>
          <w:rStyle w:val="FootnoteReference"/>
        </w:rPr>
        <w:footnoteRef/>
      </w:r>
      <w:r w:rsidRPr="00787B26">
        <w:rPr>
          <w:sz w:val="20"/>
        </w:rPr>
        <w:t xml:space="preserve"> </w:t>
      </w:r>
      <w:r w:rsidR="0037033C" w:rsidRPr="00787B26">
        <w:rPr>
          <w:i/>
          <w:sz w:val="20"/>
        </w:rPr>
        <w:t>See Comcast Corp. v. FCC</w:t>
      </w:r>
      <w:r w:rsidR="0037033C" w:rsidRPr="00787B26">
        <w:rPr>
          <w:sz w:val="20"/>
        </w:rPr>
        <w:t>, 526 F.3d 763, 769-70 (D.C. Cir. 2008) (“[A]n agency is not bound by the actions of its staff if the agency has not endorsed those actions.”).</w:t>
      </w:r>
    </w:p>
  </w:footnote>
  <w:footnote w:id="15">
    <w:p w:rsidR="00072B9F" w:rsidRPr="00787B26" w:rsidRDefault="00072B9F">
      <w:pPr>
        <w:pStyle w:val="FootnoteText"/>
      </w:pPr>
      <w:r w:rsidRPr="00787B26">
        <w:rPr>
          <w:rStyle w:val="FootnoteReference"/>
        </w:rPr>
        <w:footnoteRef/>
      </w:r>
      <w:r w:rsidRPr="00787B26">
        <w:t xml:space="preserve"> 47 U.S.C. § </w:t>
      </w:r>
      <w:r w:rsidR="00175944" w:rsidRPr="00787B26">
        <w:t>15</w:t>
      </w:r>
      <w:r w:rsidRPr="00787B26">
        <w:t>5(c)(5); 47 C.F.R. § 1.115(g)</w:t>
      </w:r>
      <w:r w:rsidR="00DD0464" w:rsidRPr="00787B2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1ED" w:rsidRDefault="00C721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9A38E9">
      <w:t>FCC 14-198</w:t>
    </w:r>
  </w:p>
  <w:p w:rsidR="00D25FB5" w:rsidRDefault="00E66A1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765E3479" wp14:editId="170FF707">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66A17"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9A38E9">
      <w:rPr>
        <w:spacing w:val="-2"/>
      </w:rPr>
      <w:t>FCC 14-198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2B53"/>
    <w:rsid w:val="00006B69"/>
    <w:rsid w:val="00015E43"/>
    <w:rsid w:val="000176E7"/>
    <w:rsid w:val="00020A77"/>
    <w:rsid w:val="0002344D"/>
    <w:rsid w:val="00036039"/>
    <w:rsid w:val="0003604F"/>
    <w:rsid w:val="00037F90"/>
    <w:rsid w:val="0004070B"/>
    <w:rsid w:val="00041DD6"/>
    <w:rsid w:val="00041F00"/>
    <w:rsid w:val="000443E7"/>
    <w:rsid w:val="00050C33"/>
    <w:rsid w:val="00061834"/>
    <w:rsid w:val="000633EE"/>
    <w:rsid w:val="00072B9F"/>
    <w:rsid w:val="0007347D"/>
    <w:rsid w:val="000841FD"/>
    <w:rsid w:val="00085599"/>
    <w:rsid w:val="000875BF"/>
    <w:rsid w:val="00096D8C"/>
    <w:rsid w:val="000B5284"/>
    <w:rsid w:val="000B570F"/>
    <w:rsid w:val="000C0B65"/>
    <w:rsid w:val="000C1DF0"/>
    <w:rsid w:val="000C5953"/>
    <w:rsid w:val="000C7B27"/>
    <w:rsid w:val="000D627D"/>
    <w:rsid w:val="000E05FE"/>
    <w:rsid w:val="000E0A7C"/>
    <w:rsid w:val="000E0E05"/>
    <w:rsid w:val="000E3D42"/>
    <w:rsid w:val="000F087B"/>
    <w:rsid w:val="000F2926"/>
    <w:rsid w:val="00101CE0"/>
    <w:rsid w:val="001037C9"/>
    <w:rsid w:val="00105D13"/>
    <w:rsid w:val="00122925"/>
    <w:rsid w:val="00122BD5"/>
    <w:rsid w:val="00126D3C"/>
    <w:rsid w:val="00132930"/>
    <w:rsid w:val="0013359C"/>
    <w:rsid w:val="00133F79"/>
    <w:rsid w:val="0013739A"/>
    <w:rsid w:val="00137A75"/>
    <w:rsid w:val="00142A81"/>
    <w:rsid w:val="00153928"/>
    <w:rsid w:val="0015742E"/>
    <w:rsid w:val="00161DC2"/>
    <w:rsid w:val="00170DAB"/>
    <w:rsid w:val="0017154F"/>
    <w:rsid w:val="00175944"/>
    <w:rsid w:val="001856CD"/>
    <w:rsid w:val="0018580D"/>
    <w:rsid w:val="001860D8"/>
    <w:rsid w:val="001949F2"/>
    <w:rsid w:val="00194A66"/>
    <w:rsid w:val="001A156C"/>
    <w:rsid w:val="001A34C8"/>
    <w:rsid w:val="001A3DD3"/>
    <w:rsid w:val="001B6FB8"/>
    <w:rsid w:val="001C0A21"/>
    <w:rsid w:val="001D1539"/>
    <w:rsid w:val="001D2302"/>
    <w:rsid w:val="001D5E77"/>
    <w:rsid w:val="001D6BCF"/>
    <w:rsid w:val="001D7234"/>
    <w:rsid w:val="001E01CA"/>
    <w:rsid w:val="001E57F0"/>
    <w:rsid w:val="001E6994"/>
    <w:rsid w:val="001E7E90"/>
    <w:rsid w:val="001F4889"/>
    <w:rsid w:val="001F61E1"/>
    <w:rsid w:val="001F6C78"/>
    <w:rsid w:val="002006F5"/>
    <w:rsid w:val="0020726B"/>
    <w:rsid w:val="002158AB"/>
    <w:rsid w:val="00224768"/>
    <w:rsid w:val="002262CE"/>
    <w:rsid w:val="0022785D"/>
    <w:rsid w:val="0023203E"/>
    <w:rsid w:val="00234010"/>
    <w:rsid w:val="0023725B"/>
    <w:rsid w:val="00243A3C"/>
    <w:rsid w:val="00243BF4"/>
    <w:rsid w:val="00252E16"/>
    <w:rsid w:val="002534D7"/>
    <w:rsid w:val="00255FFF"/>
    <w:rsid w:val="002679A2"/>
    <w:rsid w:val="0027548F"/>
    <w:rsid w:val="00275CF5"/>
    <w:rsid w:val="0028301F"/>
    <w:rsid w:val="00284265"/>
    <w:rsid w:val="00285017"/>
    <w:rsid w:val="00294204"/>
    <w:rsid w:val="00295790"/>
    <w:rsid w:val="00296A04"/>
    <w:rsid w:val="00296F10"/>
    <w:rsid w:val="002A09FF"/>
    <w:rsid w:val="002A2D2E"/>
    <w:rsid w:val="002A7619"/>
    <w:rsid w:val="002B2C5F"/>
    <w:rsid w:val="002B7443"/>
    <w:rsid w:val="002B7FC6"/>
    <w:rsid w:val="002C00E8"/>
    <w:rsid w:val="002C360E"/>
    <w:rsid w:val="002C6B64"/>
    <w:rsid w:val="002D4606"/>
    <w:rsid w:val="002D63D6"/>
    <w:rsid w:val="002F0FB0"/>
    <w:rsid w:val="002F3759"/>
    <w:rsid w:val="002F44EC"/>
    <w:rsid w:val="00303244"/>
    <w:rsid w:val="00304EA7"/>
    <w:rsid w:val="00310FF7"/>
    <w:rsid w:val="003118EF"/>
    <w:rsid w:val="0031390A"/>
    <w:rsid w:val="00313F05"/>
    <w:rsid w:val="0032036A"/>
    <w:rsid w:val="00325D1D"/>
    <w:rsid w:val="00331DF6"/>
    <w:rsid w:val="00343749"/>
    <w:rsid w:val="0035295B"/>
    <w:rsid w:val="00360054"/>
    <w:rsid w:val="003660ED"/>
    <w:rsid w:val="0037033C"/>
    <w:rsid w:val="00371E4D"/>
    <w:rsid w:val="00387346"/>
    <w:rsid w:val="00390B82"/>
    <w:rsid w:val="00391657"/>
    <w:rsid w:val="00392367"/>
    <w:rsid w:val="00393CB1"/>
    <w:rsid w:val="00395531"/>
    <w:rsid w:val="003A293C"/>
    <w:rsid w:val="003B0550"/>
    <w:rsid w:val="003B3213"/>
    <w:rsid w:val="003B4EBF"/>
    <w:rsid w:val="003B694F"/>
    <w:rsid w:val="003C1CBD"/>
    <w:rsid w:val="003C385B"/>
    <w:rsid w:val="003C69C9"/>
    <w:rsid w:val="003C7443"/>
    <w:rsid w:val="003D2024"/>
    <w:rsid w:val="003E260E"/>
    <w:rsid w:val="003E2EE1"/>
    <w:rsid w:val="003F0F04"/>
    <w:rsid w:val="003F137E"/>
    <w:rsid w:val="003F171C"/>
    <w:rsid w:val="003F4D1D"/>
    <w:rsid w:val="00402552"/>
    <w:rsid w:val="0041034C"/>
    <w:rsid w:val="00412FC5"/>
    <w:rsid w:val="00414505"/>
    <w:rsid w:val="00422276"/>
    <w:rsid w:val="004242F1"/>
    <w:rsid w:val="00426C7B"/>
    <w:rsid w:val="004304B5"/>
    <w:rsid w:val="0043453B"/>
    <w:rsid w:val="00435A0C"/>
    <w:rsid w:val="00440D58"/>
    <w:rsid w:val="00445A00"/>
    <w:rsid w:val="00451B0F"/>
    <w:rsid w:val="00461323"/>
    <w:rsid w:val="00490081"/>
    <w:rsid w:val="0049659A"/>
    <w:rsid w:val="004A3741"/>
    <w:rsid w:val="004B1BFC"/>
    <w:rsid w:val="004B38A1"/>
    <w:rsid w:val="004B5FE1"/>
    <w:rsid w:val="004B7B65"/>
    <w:rsid w:val="004C19BF"/>
    <w:rsid w:val="004C2EE3"/>
    <w:rsid w:val="004C7B99"/>
    <w:rsid w:val="004E4A22"/>
    <w:rsid w:val="004F276C"/>
    <w:rsid w:val="00504C59"/>
    <w:rsid w:val="0051007E"/>
    <w:rsid w:val="00511968"/>
    <w:rsid w:val="00523ED5"/>
    <w:rsid w:val="005315B3"/>
    <w:rsid w:val="00537ECA"/>
    <w:rsid w:val="005458BC"/>
    <w:rsid w:val="00546626"/>
    <w:rsid w:val="00550CDF"/>
    <w:rsid w:val="0055614C"/>
    <w:rsid w:val="005609CF"/>
    <w:rsid w:val="00562F2A"/>
    <w:rsid w:val="005650DC"/>
    <w:rsid w:val="00567A12"/>
    <w:rsid w:val="005805B8"/>
    <w:rsid w:val="0058467C"/>
    <w:rsid w:val="00590998"/>
    <w:rsid w:val="005916A0"/>
    <w:rsid w:val="00594A75"/>
    <w:rsid w:val="00596F40"/>
    <w:rsid w:val="005A18AC"/>
    <w:rsid w:val="005A20C2"/>
    <w:rsid w:val="005A31CF"/>
    <w:rsid w:val="005A3974"/>
    <w:rsid w:val="005B7770"/>
    <w:rsid w:val="005C514E"/>
    <w:rsid w:val="005C699F"/>
    <w:rsid w:val="005D6C07"/>
    <w:rsid w:val="005E14C2"/>
    <w:rsid w:val="005E3FAC"/>
    <w:rsid w:val="005E4103"/>
    <w:rsid w:val="005E4A6F"/>
    <w:rsid w:val="005E6396"/>
    <w:rsid w:val="005E6C3D"/>
    <w:rsid w:val="005F2D1A"/>
    <w:rsid w:val="005F35D9"/>
    <w:rsid w:val="005F4E1B"/>
    <w:rsid w:val="00604241"/>
    <w:rsid w:val="00605A2C"/>
    <w:rsid w:val="00606F6C"/>
    <w:rsid w:val="00607304"/>
    <w:rsid w:val="00607BA5"/>
    <w:rsid w:val="006104AE"/>
    <w:rsid w:val="0061180A"/>
    <w:rsid w:val="00612E9A"/>
    <w:rsid w:val="00626EB6"/>
    <w:rsid w:val="00627DE9"/>
    <w:rsid w:val="006316CA"/>
    <w:rsid w:val="00632015"/>
    <w:rsid w:val="00650E85"/>
    <w:rsid w:val="006529E2"/>
    <w:rsid w:val="00653650"/>
    <w:rsid w:val="00655D03"/>
    <w:rsid w:val="0067193A"/>
    <w:rsid w:val="006763BF"/>
    <w:rsid w:val="00682E27"/>
    <w:rsid w:val="00683388"/>
    <w:rsid w:val="00683F84"/>
    <w:rsid w:val="00694703"/>
    <w:rsid w:val="00695731"/>
    <w:rsid w:val="006A3FBD"/>
    <w:rsid w:val="006A6A81"/>
    <w:rsid w:val="006B4A4C"/>
    <w:rsid w:val="006C2530"/>
    <w:rsid w:val="006C38CF"/>
    <w:rsid w:val="006C5460"/>
    <w:rsid w:val="006C56C2"/>
    <w:rsid w:val="006D10A3"/>
    <w:rsid w:val="006D58CA"/>
    <w:rsid w:val="006E4F37"/>
    <w:rsid w:val="006F3417"/>
    <w:rsid w:val="006F7393"/>
    <w:rsid w:val="0070224F"/>
    <w:rsid w:val="00702ACE"/>
    <w:rsid w:val="007115F7"/>
    <w:rsid w:val="007147B5"/>
    <w:rsid w:val="007171F6"/>
    <w:rsid w:val="00723292"/>
    <w:rsid w:val="00726BE0"/>
    <w:rsid w:val="00731ADF"/>
    <w:rsid w:val="00734E43"/>
    <w:rsid w:val="00754D43"/>
    <w:rsid w:val="00756417"/>
    <w:rsid w:val="007567EC"/>
    <w:rsid w:val="00771711"/>
    <w:rsid w:val="007807BA"/>
    <w:rsid w:val="00783EF7"/>
    <w:rsid w:val="00785689"/>
    <w:rsid w:val="00785CD1"/>
    <w:rsid w:val="00787B26"/>
    <w:rsid w:val="00792287"/>
    <w:rsid w:val="0079754B"/>
    <w:rsid w:val="007A1E6D"/>
    <w:rsid w:val="007A6C2D"/>
    <w:rsid w:val="007B0EB2"/>
    <w:rsid w:val="007B35C9"/>
    <w:rsid w:val="007B7A68"/>
    <w:rsid w:val="007D433B"/>
    <w:rsid w:val="007E186F"/>
    <w:rsid w:val="007F4B30"/>
    <w:rsid w:val="007F58BA"/>
    <w:rsid w:val="0080662D"/>
    <w:rsid w:val="00810B6F"/>
    <w:rsid w:val="00815531"/>
    <w:rsid w:val="0081607D"/>
    <w:rsid w:val="00817F6A"/>
    <w:rsid w:val="00822CE0"/>
    <w:rsid w:val="00827C17"/>
    <w:rsid w:val="008307C5"/>
    <w:rsid w:val="00830F22"/>
    <w:rsid w:val="00833ED9"/>
    <w:rsid w:val="00837CEA"/>
    <w:rsid w:val="00841AB1"/>
    <w:rsid w:val="0084279E"/>
    <w:rsid w:val="0084529A"/>
    <w:rsid w:val="00847AB7"/>
    <w:rsid w:val="00851857"/>
    <w:rsid w:val="008551C6"/>
    <w:rsid w:val="0087493E"/>
    <w:rsid w:val="00883197"/>
    <w:rsid w:val="00883697"/>
    <w:rsid w:val="00885637"/>
    <w:rsid w:val="008866CC"/>
    <w:rsid w:val="00897C01"/>
    <w:rsid w:val="008A0827"/>
    <w:rsid w:val="008A27C6"/>
    <w:rsid w:val="008A5574"/>
    <w:rsid w:val="008C0E65"/>
    <w:rsid w:val="008C68F1"/>
    <w:rsid w:val="008E00BE"/>
    <w:rsid w:val="008F01D8"/>
    <w:rsid w:val="008F3C4A"/>
    <w:rsid w:val="008F3DB3"/>
    <w:rsid w:val="008F529E"/>
    <w:rsid w:val="0090562F"/>
    <w:rsid w:val="00907233"/>
    <w:rsid w:val="00907500"/>
    <w:rsid w:val="009106B2"/>
    <w:rsid w:val="00911527"/>
    <w:rsid w:val="00912FDD"/>
    <w:rsid w:val="00920606"/>
    <w:rsid w:val="00921803"/>
    <w:rsid w:val="009233C0"/>
    <w:rsid w:val="00926503"/>
    <w:rsid w:val="00927443"/>
    <w:rsid w:val="0094442B"/>
    <w:rsid w:val="00946EE4"/>
    <w:rsid w:val="00946FB4"/>
    <w:rsid w:val="009509EF"/>
    <w:rsid w:val="0095235F"/>
    <w:rsid w:val="00952D41"/>
    <w:rsid w:val="00962DE2"/>
    <w:rsid w:val="00970C92"/>
    <w:rsid w:val="009726D8"/>
    <w:rsid w:val="00976EE8"/>
    <w:rsid w:val="0098136B"/>
    <w:rsid w:val="009865BE"/>
    <w:rsid w:val="009A38E9"/>
    <w:rsid w:val="009A3F84"/>
    <w:rsid w:val="009C02AD"/>
    <w:rsid w:val="009C12F2"/>
    <w:rsid w:val="009E52DC"/>
    <w:rsid w:val="009E71BE"/>
    <w:rsid w:val="009F004E"/>
    <w:rsid w:val="009F43BC"/>
    <w:rsid w:val="009F76DB"/>
    <w:rsid w:val="009F7B9A"/>
    <w:rsid w:val="00A10779"/>
    <w:rsid w:val="00A116CC"/>
    <w:rsid w:val="00A13CA2"/>
    <w:rsid w:val="00A23ADC"/>
    <w:rsid w:val="00A32C3B"/>
    <w:rsid w:val="00A41CCA"/>
    <w:rsid w:val="00A45F4F"/>
    <w:rsid w:val="00A5171B"/>
    <w:rsid w:val="00A5233D"/>
    <w:rsid w:val="00A544DB"/>
    <w:rsid w:val="00A600A9"/>
    <w:rsid w:val="00A71B74"/>
    <w:rsid w:val="00A75E78"/>
    <w:rsid w:val="00A83229"/>
    <w:rsid w:val="00A95AC4"/>
    <w:rsid w:val="00AA55B7"/>
    <w:rsid w:val="00AA5B9E"/>
    <w:rsid w:val="00AB2407"/>
    <w:rsid w:val="00AB2722"/>
    <w:rsid w:val="00AB4B65"/>
    <w:rsid w:val="00AB53DF"/>
    <w:rsid w:val="00AB6088"/>
    <w:rsid w:val="00AB621F"/>
    <w:rsid w:val="00AC6DDE"/>
    <w:rsid w:val="00AE0FC5"/>
    <w:rsid w:val="00AE2DC0"/>
    <w:rsid w:val="00AE64C3"/>
    <w:rsid w:val="00AF70A9"/>
    <w:rsid w:val="00AF7BA5"/>
    <w:rsid w:val="00B04B79"/>
    <w:rsid w:val="00B07E5C"/>
    <w:rsid w:val="00B10C5B"/>
    <w:rsid w:val="00B117D6"/>
    <w:rsid w:val="00B12573"/>
    <w:rsid w:val="00B211C1"/>
    <w:rsid w:val="00B35CCB"/>
    <w:rsid w:val="00B6122B"/>
    <w:rsid w:val="00B632B0"/>
    <w:rsid w:val="00B67B9C"/>
    <w:rsid w:val="00B71A7E"/>
    <w:rsid w:val="00B7728F"/>
    <w:rsid w:val="00B77C0F"/>
    <w:rsid w:val="00B811F7"/>
    <w:rsid w:val="00B86770"/>
    <w:rsid w:val="00B94371"/>
    <w:rsid w:val="00B96AD6"/>
    <w:rsid w:val="00B96AFB"/>
    <w:rsid w:val="00B97E6C"/>
    <w:rsid w:val="00BA5DC6"/>
    <w:rsid w:val="00BA6196"/>
    <w:rsid w:val="00BB01DB"/>
    <w:rsid w:val="00BC6D8C"/>
    <w:rsid w:val="00BD1EF8"/>
    <w:rsid w:val="00BD26F4"/>
    <w:rsid w:val="00BD4808"/>
    <w:rsid w:val="00BF2BD6"/>
    <w:rsid w:val="00BF4C3F"/>
    <w:rsid w:val="00C132F0"/>
    <w:rsid w:val="00C172A1"/>
    <w:rsid w:val="00C276B6"/>
    <w:rsid w:val="00C320E1"/>
    <w:rsid w:val="00C34006"/>
    <w:rsid w:val="00C426B1"/>
    <w:rsid w:val="00C431C7"/>
    <w:rsid w:val="00C43F37"/>
    <w:rsid w:val="00C54986"/>
    <w:rsid w:val="00C5680F"/>
    <w:rsid w:val="00C57194"/>
    <w:rsid w:val="00C66160"/>
    <w:rsid w:val="00C721AC"/>
    <w:rsid w:val="00C721ED"/>
    <w:rsid w:val="00C73651"/>
    <w:rsid w:val="00C8132F"/>
    <w:rsid w:val="00C90D6A"/>
    <w:rsid w:val="00CA247E"/>
    <w:rsid w:val="00CA5513"/>
    <w:rsid w:val="00CA7341"/>
    <w:rsid w:val="00CA7C29"/>
    <w:rsid w:val="00CC004B"/>
    <w:rsid w:val="00CC622B"/>
    <w:rsid w:val="00CC72B6"/>
    <w:rsid w:val="00CC77B3"/>
    <w:rsid w:val="00CE467E"/>
    <w:rsid w:val="00CF0D91"/>
    <w:rsid w:val="00CF65C3"/>
    <w:rsid w:val="00D01A98"/>
    <w:rsid w:val="00D0218D"/>
    <w:rsid w:val="00D03AD7"/>
    <w:rsid w:val="00D11A0C"/>
    <w:rsid w:val="00D14616"/>
    <w:rsid w:val="00D17123"/>
    <w:rsid w:val="00D20539"/>
    <w:rsid w:val="00D243ED"/>
    <w:rsid w:val="00D2551A"/>
    <w:rsid w:val="00D25FB5"/>
    <w:rsid w:val="00D35DED"/>
    <w:rsid w:val="00D44223"/>
    <w:rsid w:val="00D45600"/>
    <w:rsid w:val="00D4629A"/>
    <w:rsid w:val="00D47817"/>
    <w:rsid w:val="00D56E80"/>
    <w:rsid w:val="00D729EB"/>
    <w:rsid w:val="00D80517"/>
    <w:rsid w:val="00D8120B"/>
    <w:rsid w:val="00D87D98"/>
    <w:rsid w:val="00DA0D3F"/>
    <w:rsid w:val="00DA2140"/>
    <w:rsid w:val="00DA2529"/>
    <w:rsid w:val="00DB130A"/>
    <w:rsid w:val="00DB2EBB"/>
    <w:rsid w:val="00DB4070"/>
    <w:rsid w:val="00DC0E91"/>
    <w:rsid w:val="00DC10A1"/>
    <w:rsid w:val="00DC655F"/>
    <w:rsid w:val="00DC75E0"/>
    <w:rsid w:val="00DD0464"/>
    <w:rsid w:val="00DD0B59"/>
    <w:rsid w:val="00DD3EB7"/>
    <w:rsid w:val="00DD7EBD"/>
    <w:rsid w:val="00DE25E9"/>
    <w:rsid w:val="00DE3828"/>
    <w:rsid w:val="00DE3D81"/>
    <w:rsid w:val="00DE7652"/>
    <w:rsid w:val="00DF62B6"/>
    <w:rsid w:val="00E03701"/>
    <w:rsid w:val="00E04ECE"/>
    <w:rsid w:val="00E05E94"/>
    <w:rsid w:val="00E07225"/>
    <w:rsid w:val="00E16DDA"/>
    <w:rsid w:val="00E17E46"/>
    <w:rsid w:val="00E22BC6"/>
    <w:rsid w:val="00E23B37"/>
    <w:rsid w:val="00E2544C"/>
    <w:rsid w:val="00E35604"/>
    <w:rsid w:val="00E37894"/>
    <w:rsid w:val="00E40C6F"/>
    <w:rsid w:val="00E51741"/>
    <w:rsid w:val="00E5409F"/>
    <w:rsid w:val="00E574A3"/>
    <w:rsid w:val="00E66A17"/>
    <w:rsid w:val="00E7080B"/>
    <w:rsid w:val="00E80AA5"/>
    <w:rsid w:val="00E94FFB"/>
    <w:rsid w:val="00EA1272"/>
    <w:rsid w:val="00EA43E1"/>
    <w:rsid w:val="00EB335D"/>
    <w:rsid w:val="00EB4159"/>
    <w:rsid w:val="00EB5E29"/>
    <w:rsid w:val="00EC4C84"/>
    <w:rsid w:val="00ED0347"/>
    <w:rsid w:val="00ED7710"/>
    <w:rsid w:val="00EE0482"/>
    <w:rsid w:val="00EE6488"/>
    <w:rsid w:val="00EE6ABE"/>
    <w:rsid w:val="00EE776C"/>
    <w:rsid w:val="00EF1FC0"/>
    <w:rsid w:val="00F0086A"/>
    <w:rsid w:val="00F021FA"/>
    <w:rsid w:val="00F111C8"/>
    <w:rsid w:val="00F20DDD"/>
    <w:rsid w:val="00F270BE"/>
    <w:rsid w:val="00F34403"/>
    <w:rsid w:val="00F375FA"/>
    <w:rsid w:val="00F4088A"/>
    <w:rsid w:val="00F456B4"/>
    <w:rsid w:val="00F45A84"/>
    <w:rsid w:val="00F4659A"/>
    <w:rsid w:val="00F62E97"/>
    <w:rsid w:val="00F64209"/>
    <w:rsid w:val="00F67BC4"/>
    <w:rsid w:val="00F67E13"/>
    <w:rsid w:val="00F70BAE"/>
    <w:rsid w:val="00F74F54"/>
    <w:rsid w:val="00F77987"/>
    <w:rsid w:val="00F77F4F"/>
    <w:rsid w:val="00F84455"/>
    <w:rsid w:val="00F93BD9"/>
    <w:rsid w:val="00F93BF5"/>
    <w:rsid w:val="00FA0B28"/>
    <w:rsid w:val="00FA43A3"/>
    <w:rsid w:val="00FB4CB2"/>
    <w:rsid w:val="00FD1308"/>
    <w:rsid w:val="00FD33D2"/>
    <w:rsid w:val="00FF0312"/>
    <w:rsid w:val="00FF38DA"/>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35F"/>
    <w:pPr>
      <w:widowControl w:val="0"/>
    </w:pPr>
    <w:rPr>
      <w:snapToGrid w:val="0"/>
      <w:kern w:val="28"/>
      <w:sz w:val="22"/>
    </w:rPr>
  </w:style>
  <w:style w:type="paragraph" w:styleId="Heading1">
    <w:name w:val="heading 1"/>
    <w:basedOn w:val="Normal"/>
    <w:next w:val="ParaNum"/>
    <w:qFormat/>
    <w:rsid w:val="0095235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5235F"/>
    <w:pPr>
      <w:keepNext/>
      <w:numPr>
        <w:ilvl w:val="1"/>
        <w:numId w:val="3"/>
      </w:numPr>
      <w:spacing w:after="120"/>
      <w:outlineLvl w:val="1"/>
    </w:pPr>
    <w:rPr>
      <w:b/>
    </w:rPr>
  </w:style>
  <w:style w:type="paragraph" w:styleId="Heading3">
    <w:name w:val="heading 3"/>
    <w:basedOn w:val="Normal"/>
    <w:next w:val="ParaNum"/>
    <w:qFormat/>
    <w:rsid w:val="0095235F"/>
    <w:pPr>
      <w:keepNext/>
      <w:numPr>
        <w:ilvl w:val="2"/>
        <w:numId w:val="3"/>
      </w:numPr>
      <w:tabs>
        <w:tab w:val="left" w:pos="2160"/>
      </w:tabs>
      <w:spacing w:after="120"/>
      <w:outlineLvl w:val="2"/>
    </w:pPr>
    <w:rPr>
      <w:b/>
    </w:rPr>
  </w:style>
  <w:style w:type="paragraph" w:styleId="Heading4">
    <w:name w:val="heading 4"/>
    <w:basedOn w:val="Normal"/>
    <w:next w:val="ParaNum"/>
    <w:qFormat/>
    <w:rsid w:val="0095235F"/>
    <w:pPr>
      <w:keepNext/>
      <w:numPr>
        <w:ilvl w:val="3"/>
        <w:numId w:val="3"/>
      </w:numPr>
      <w:tabs>
        <w:tab w:val="left" w:pos="2880"/>
      </w:tabs>
      <w:spacing w:after="120"/>
      <w:outlineLvl w:val="3"/>
    </w:pPr>
    <w:rPr>
      <w:b/>
    </w:rPr>
  </w:style>
  <w:style w:type="paragraph" w:styleId="Heading5">
    <w:name w:val="heading 5"/>
    <w:basedOn w:val="Normal"/>
    <w:next w:val="ParaNum"/>
    <w:qFormat/>
    <w:rsid w:val="0095235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5235F"/>
    <w:pPr>
      <w:numPr>
        <w:ilvl w:val="5"/>
        <w:numId w:val="3"/>
      </w:numPr>
      <w:tabs>
        <w:tab w:val="left" w:pos="4320"/>
      </w:tabs>
      <w:spacing w:after="120"/>
      <w:outlineLvl w:val="5"/>
    </w:pPr>
    <w:rPr>
      <w:b/>
    </w:rPr>
  </w:style>
  <w:style w:type="paragraph" w:styleId="Heading7">
    <w:name w:val="heading 7"/>
    <w:basedOn w:val="Normal"/>
    <w:next w:val="ParaNum"/>
    <w:qFormat/>
    <w:rsid w:val="0095235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5235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5235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523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235F"/>
  </w:style>
  <w:style w:type="paragraph" w:customStyle="1" w:styleId="ParaNum">
    <w:name w:val="ParaNum"/>
    <w:basedOn w:val="Normal"/>
    <w:link w:val="ParaNumChar"/>
    <w:rsid w:val="0095235F"/>
    <w:pPr>
      <w:numPr>
        <w:numId w:val="2"/>
      </w:numPr>
      <w:tabs>
        <w:tab w:val="clear" w:pos="1080"/>
        <w:tab w:val="num" w:pos="1440"/>
      </w:tabs>
      <w:spacing w:after="120"/>
    </w:pPr>
  </w:style>
  <w:style w:type="paragraph" w:styleId="EndnoteText">
    <w:name w:val="endnote text"/>
    <w:basedOn w:val="Normal"/>
    <w:semiHidden/>
    <w:rsid w:val="0095235F"/>
    <w:rPr>
      <w:sz w:val="20"/>
    </w:rPr>
  </w:style>
  <w:style w:type="character" w:styleId="EndnoteReference">
    <w:name w:val="endnote reference"/>
    <w:semiHidden/>
    <w:rsid w:val="0095235F"/>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95235F"/>
    <w:pPr>
      <w:spacing w:after="120"/>
    </w:pPr>
  </w:style>
  <w:style w:type="character" w:styleId="FootnoteReference">
    <w:name w:val="footnote reference"/>
    <w:aliases w:val="Style 12,(NECG) Footnote Reference,Appel note de bas de p,Style 124,o,fr,Style 3,Style 13"/>
    <w:rsid w:val="0095235F"/>
    <w:rPr>
      <w:rFonts w:ascii="Times New Roman" w:hAnsi="Times New Roman"/>
      <w:dstrike w:val="0"/>
      <w:color w:val="auto"/>
      <w:sz w:val="20"/>
      <w:vertAlign w:val="superscript"/>
    </w:rPr>
  </w:style>
  <w:style w:type="paragraph" w:styleId="TOC1">
    <w:name w:val="toc 1"/>
    <w:basedOn w:val="Normal"/>
    <w:next w:val="Normal"/>
    <w:semiHidden/>
    <w:rsid w:val="0095235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5235F"/>
    <w:pPr>
      <w:tabs>
        <w:tab w:val="left" w:pos="720"/>
        <w:tab w:val="right" w:leader="dot" w:pos="9360"/>
      </w:tabs>
      <w:suppressAutoHyphens/>
      <w:ind w:left="720" w:right="720" w:hanging="360"/>
    </w:pPr>
    <w:rPr>
      <w:noProof/>
    </w:rPr>
  </w:style>
  <w:style w:type="paragraph" w:styleId="TOC3">
    <w:name w:val="toc 3"/>
    <w:basedOn w:val="Normal"/>
    <w:next w:val="Normal"/>
    <w:semiHidden/>
    <w:rsid w:val="0095235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5235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5235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5235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5235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5235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5235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5235F"/>
    <w:pPr>
      <w:tabs>
        <w:tab w:val="right" w:pos="9360"/>
      </w:tabs>
      <w:suppressAutoHyphens/>
    </w:pPr>
  </w:style>
  <w:style w:type="character" w:customStyle="1" w:styleId="EquationCaption">
    <w:name w:val="_Equation Caption"/>
    <w:rsid w:val="0095235F"/>
  </w:style>
  <w:style w:type="paragraph" w:styleId="Header">
    <w:name w:val="header"/>
    <w:basedOn w:val="Normal"/>
    <w:autoRedefine/>
    <w:rsid w:val="0095235F"/>
    <w:pPr>
      <w:tabs>
        <w:tab w:val="center" w:pos="4680"/>
        <w:tab w:val="right" w:pos="9360"/>
      </w:tabs>
    </w:pPr>
    <w:rPr>
      <w:b/>
    </w:rPr>
  </w:style>
  <w:style w:type="paragraph" w:styleId="Footer">
    <w:name w:val="footer"/>
    <w:basedOn w:val="Normal"/>
    <w:rsid w:val="0095235F"/>
    <w:pPr>
      <w:tabs>
        <w:tab w:val="center" w:pos="4320"/>
        <w:tab w:val="right" w:pos="8640"/>
      </w:tabs>
    </w:pPr>
  </w:style>
  <w:style w:type="character" w:styleId="PageNumber">
    <w:name w:val="page number"/>
    <w:basedOn w:val="DefaultParagraphFont"/>
    <w:rsid w:val="0095235F"/>
  </w:style>
  <w:style w:type="paragraph" w:styleId="BlockText">
    <w:name w:val="Block Text"/>
    <w:basedOn w:val="Normal"/>
    <w:rsid w:val="0095235F"/>
    <w:pPr>
      <w:spacing w:after="240"/>
      <w:ind w:left="1440" w:right="1440"/>
    </w:pPr>
  </w:style>
  <w:style w:type="paragraph" w:customStyle="1" w:styleId="Paratitle">
    <w:name w:val="Para title"/>
    <w:basedOn w:val="Normal"/>
    <w:rsid w:val="0095235F"/>
    <w:pPr>
      <w:tabs>
        <w:tab w:val="center" w:pos="9270"/>
      </w:tabs>
      <w:spacing w:after="240"/>
    </w:pPr>
    <w:rPr>
      <w:spacing w:val="-2"/>
    </w:rPr>
  </w:style>
  <w:style w:type="paragraph" w:customStyle="1" w:styleId="Bullet">
    <w:name w:val="Bullet"/>
    <w:basedOn w:val="Normal"/>
    <w:rsid w:val="0095235F"/>
    <w:pPr>
      <w:tabs>
        <w:tab w:val="left" w:pos="2160"/>
      </w:tabs>
      <w:spacing w:after="220"/>
      <w:ind w:left="2160" w:hanging="720"/>
    </w:pPr>
  </w:style>
  <w:style w:type="paragraph" w:customStyle="1" w:styleId="TableFormat">
    <w:name w:val="TableFormat"/>
    <w:basedOn w:val="Bullet"/>
    <w:rsid w:val="0095235F"/>
    <w:pPr>
      <w:tabs>
        <w:tab w:val="clear" w:pos="2160"/>
        <w:tab w:val="left" w:pos="5040"/>
      </w:tabs>
      <w:ind w:left="5040" w:hanging="3600"/>
    </w:pPr>
  </w:style>
  <w:style w:type="paragraph" w:customStyle="1" w:styleId="TOCTitle">
    <w:name w:val="TOC Title"/>
    <w:basedOn w:val="Normal"/>
    <w:rsid w:val="0095235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5235F"/>
    <w:pPr>
      <w:jc w:val="center"/>
    </w:pPr>
    <w:rPr>
      <w:rFonts w:ascii="Times New Roman Bold" w:hAnsi="Times New Roman Bold"/>
      <w:b/>
      <w:bCs/>
      <w:caps/>
      <w:szCs w:val="22"/>
    </w:rPr>
  </w:style>
  <w:style w:type="character" w:styleId="Hyperlink">
    <w:name w:val="Hyperlink"/>
    <w:rsid w:val="0095235F"/>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E66A17"/>
  </w:style>
  <w:style w:type="character" w:customStyle="1" w:styleId="ParaNumChar">
    <w:name w:val="ParaNum Char"/>
    <w:link w:val="ParaNum"/>
    <w:rsid w:val="00E66A17"/>
    <w:rPr>
      <w:snapToGrid w:val="0"/>
      <w:kern w:val="28"/>
      <w:sz w:val="22"/>
    </w:rPr>
  </w:style>
  <w:style w:type="paragraph" w:styleId="BalloonText">
    <w:name w:val="Balloon Text"/>
    <w:basedOn w:val="Normal"/>
    <w:link w:val="BalloonTextChar"/>
    <w:rsid w:val="002B7FC6"/>
    <w:rPr>
      <w:rFonts w:ascii="Tahoma" w:hAnsi="Tahoma" w:cs="Tahoma"/>
      <w:sz w:val="16"/>
      <w:szCs w:val="16"/>
    </w:rPr>
  </w:style>
  <w:style w:type="character" w:customStyle="1" w:styleId="BalloonTextChar">
    <w:name w:val="Balloon Text Char"/>
    <w:basedOn w:val="DefaultParagraphFont"/>
    <w:link w:val="BalloonText"/>
    <w:rsid w:val="002B7FC6"/>
    <w:rPr>
      <w:rFonts w:ascii="Tahoma" w:hAnsi="Tahoma" w:cs="Tahoma"/>
      <w:snapToGrid w:val="0"/>
      <w:kern w:val="28"/>
      <w:sz w:val="16"/>
      <w:szCs w:val="16"/>
    </w:rPr>
  </w:style>
  <w:style w:type="character" w:styleId="CommentReference">
    <w:name w:val="annotation reference"/>
    <w:basedOn w:val="DefaultParagraphFont"/>
    <w:rsid w:val="008F3C4A"/>
    <w:rPr>
      <w:sz w:val="16"/>
      <w:szCs w:val="16"/>
    </w:rPr>
  </w:style>
  <w:style w:type="paragraph" w:styleId="CommentText">
    <w:name w:val="annotation text"/>
    <w:basedOn w:val="Normal"/>
    <w:link w:val="CommentTextChar"/>
    <w:rsid w:val="008F3C4A"/>
    <w:rPr>
      <w:sz w:val="20"/>
    </w:rPr>
  </w:style>
  <w:style w:type="character" w:customStyle="1" w:styleId="CommentTextChar">
    <w:name w:val="Comment Text Char"/>
    <w:basedOn w:val="DefaultParagraphFont"/>
    <w:link w:val="CommentText"/>
    <w:rsid w:val="008F3C4A"/>
    <w:rPr>
      <w:snapToGrid w:val="0"/>
      <w:kern w:val="28"/>
    </w:rPr>
  </w:style>
  <w:style w:type="paragraph" w:styleId="CommentSubject">
    <w:name w:val="annotation subject"/>
    <w:basedOn w:val="CommentText"/>
    <w:next w:val="CommentText"/>
    <w:link w:val="CommentSubjectChar"/>
    <w:rsid w:val="008F3C4A"/>
    <w:rPr>
      <w:b/>
      <w:bCs/>
    </w:rPr>
  </w:style>
  <w:style w:type="character" w:customStyle="1" w:styleId="CommentSubjectChar">
    <w:name w:val="Comment Subject Char"/>
    <w:basedOn w:val="CommentTextChar"/>
    <w:link w:val="CommentSubject"/>
    <w:rsid w:val="008F3C4A"/>
    <w:rPr>
      <w:b/>
      <w:bCs/>
      <w:snapToGrid w:val="0"/>
      <w:kern w:val="28"/>
    </w:rPr>
  </w:style>
  <w:style w:type="paragraph" w:styleId="ListParagraph">
    <w:name w:val="List Paragraph"/>
    <w:basedOn w:val="Normal"/>
    <w:uiPriority w:val="34"/>
    <w:qFormat/>
    <w:rsid w:val="005315B3"/>
    <w:pPr>
      <w:ind w:left="720"/>
      <w:contextualSpacing/>
    </w:p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w:basedOn w:val="DefaultParagraphFont"/>
    <w:rsid w:val="005F4E1B"/>
  </w:style>
  <w:style w:type="character" w:styleId="Emphasis">
    <w:name w:val="Emphasis"/>
    <w:basedOn w:val="DefaultParagraphFont"/>
    <w:qFormat/>
    <w:rsid w:val="00783EF7"/>
    <w:rPr>
      <w:i/>
      <w:iCs/>
    </w:rPr>
  </w:style>
  <w:style w:type="character" w:customStyle="1" w:styleId="apple-converted-space">
    <w:name w:val="apple-converted-space"/>
    <w:basedOn w:val="DefaultParagraphFont"/>
    <w:rsid w:val="008A5574"/>
  </w:style>
  <w:style w:type="character" w:customStyle="1" w:styleId="rrfootnoteChar2">
    <w:name w:val="rrfootnote Char2"/>
    <w:aliases w:val="Footnote Text Char1 Char2,Footnote Text Char Char Char2,rrfootnote Char Char Char2,Footnote Text Char1 Char Char Char2,Footnote Text Char Char Char Char Char2,rrfootnote Char Char Char Char Char2,Footnote Text Ch Char"/>
    <w:rsid w:val="00395531"/>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35F"/>
    <w:pPr>
      <w:widowControl w:val="0"/>
    </w:pPr>
    <w:rPr>
      <w:snapToGrid w:val="0"/>
      <w:kern w:val="28"/>
      <w:sz w:val="22"/>
    </w:rPr>
  </w:style>
  <w:style w:type="paragraph" w:styleId="Heading1">
    <w:name w:val="heading 1"/>
    <w:basedOn w:val="Normal"/>
    <w:next w:val="ParaNum"/>
    <w:qFormat/>
    <w:rsid w:val="0095235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5235F"/>
    <w:pPr>
      <w:keepNext/>
      <w:numPr>
        <w:ilvl w:val="1"/>
        <w:numId w:val="3"/>
      </w:numPr>
      <w:spacing w:after="120"/>
      <w:outlineLvl w:val="1"/>
    </w:pPr>
    <w:rPr>
      <w:b/>
    </w:rPr>
  </w:style>
  <w:style w:type="paragraph" w:styleId="Heading3">
    <w:name w:val="heading 3"/>
    <w:basedOn w:val="Normal"/>
    <w:next w:val="ParaNum"/>
    <w:qFormat/>
    <w:rsid w:val="0095235F"/>
    <w:pPr>
      <w:keepNext/>
      <w:numPr>
        <w:ilvl w:val="2"/>
        <w:numId w:val="3"/>
      </w:numPr>
      <w:tabs>
        <w:tab w:val="left" w:pos="2160"/>
      </w:tabs>
      <w:spacing w:after="120"/>
      <w:outlineLvl w:val="2"/>
    </w:pPr>
    <w:rPr>
      <w:b/>
    </w:rPr>
  </w:style>
  <w:style w:type="paragraph" w:styleId="Heading4">
    <w:name w:val="heading 4"/>
    <w:basedOn w:val="Normal"/>
    <w:next w:val="ParaNum"/>
    <w:qFormat/>
    <w:rsid w:val="0095235F"/>
    <w:pPr>
      <w:keepNext/>
      <w:numPr>
        <w:ilvl w:val="3"/>
        <w:numId w:val="3"/>
      </w:numPr>
      <w:tabs>
        <w:tab w:val="left" w:pos="2880"/>
      </w:tabs>
      <w:spacing w:after="120"/>
      <w:outlineLvl w:val="3"/>
    </w:pPr>
    <w:rPr>
      <w:b/>
    </w:rPr>
  </w:style>
  <w:style w:type="paragraph" w:styleId="Heading5">
    <w:name w:val="heading 5"/>
    <w:basedOn w:val="Normal"/>
    <w:next w:val="ParaNum"/>
    <w:qFormat/>
    <w:rsid w:val="0095235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5235F"/>
    <w:pPr>
      <w:numPr>
        <w:ilvl w:val="5"/>
        <w:numId w:val="3"/>
      </w:numPr>
      <w:tabs>
        <w:tab w:val="left" w:pos="4320"/>
      </w:tabs>
      <w:spacing w:after="120"/>
      <w:outlineLvl w:val="5"/>
    </w:pPr>
    <w:rPr>
      <w:b/>
    </w:rPr>
  </w:style>
  <w:style w:type="paragraph" w:styleId="Heading7">
    <w:name w:val="heading 7"/>
    <w:basedOn w:val="Normal"/>
    <w:next w:val="ParaNum"/>
    <w:qFormat/>
    <w:rsid w:val="0095235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5235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5235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523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235F"/>
  </w:style>
  <w:style w:type="paragraph" w:customStyle="1" w:styleId="ParaNum">
    <w:name w:val="ParaNum"/>
    <w:basedOn w:val="Normal"/>
    <w:link w:val="ParaNumChar"/>
    <w:rsid w:val="0095235F"/>
    <w:pPr>
      <w:numPr>
        <w:numId w:val="2"/>
      </w:numPr>
      <w:tabs>
        <w:tab w:val="clear" w:pos="1080"/>
        <w:tab w:val="num" w:pos="1440"/>
      </w:tabs>
      <w:spacing w:after="120"/>
    </w:pPr>
  </w:style>
  <w:style w:type="paragraph" w:styleId="EndnoteText">
    <w:name w:val="endnote text"/>
    <w:basedOn w:val="Normal"/>
    <w:semiHidden/>
    <w:rsid w:val="0095235F"/>
    <w:rPr>
      <w:sz w:val="20"/>
    </w:rPr>
  </w:style>
  <w:style w:type="character" w:styleId="EndnoteReference">
    <w:name w:val="endnote reference"/>
    <w:semiHidden/>
    <w:rsid w:val="0095235F"/>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95235F"/>
    <w:pPr>
      <w:spacing w:after="120"/>
    </w:pPr>
  </w:style>
  <w:style w:type="character" w:styleId="FootnoteReference">
    <w:name w:val="footnote reference"/>
    <w:aliases w:val="Style 12,(NECG) Footnote Reference,Appel note de bas de p,Style 124,o,fr,Style 3,Style 13"/>
    <w:rsid w:val="0095235F"/>
    <w:rPr>
      <w:rFonts w:ascii="Times New Roman" w:hAnsi="Times New Roman"/>
      <w:dstrike w:val="0"/>
      <w:color w:val="auto"/>
      <w:sz w:val="20"/>
      <w:vertAlign w:val="superscript"/>
    </w:rPr>
  </w:style>
  <w:style w:type="paragraph" w:styleId="TOC1">
    <w:name w:val="toc 1"/>
    <w:basedOn w:val="Normal"/>
    <w:next w:val="Normal"/>
    <w:semiHidden/>
    <w:rsid w:val="0095235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5235F"/>
    <w:pPr>
      <w:tabs>
        <w:tab w:val="left" w:pos="720"/>
        <w:tab w:val="right" w:leader="dot" w:pos="9360"/>
      </w:tabs>
      <w:suppressAutoHyphens/>
      <w:ind w:left="720" w:right="720" w:hanging="360"/>
    </w:pPr>
    <w:rPr>
      <w:noProof/>
    </w:rPr>
  </w:style>
  <w:style w:type="paragraph" w:styleId="TOC3">
    <w:name w:val="toc 3"/>
    <w:basedOn w:val="Normal"/>
    <w:next w:val="Normal"/>
    <w:semiHidden/>
    <w:rsid w:val="0095235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5235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5235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5235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5235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5235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5235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5235F"/>
    <w:pPr>
      <w:tabs>
        <w:tab w:val="right" w:pos="9360"/>
      </w:tabs>
      <w:suppressAutoHyphens/>
    </w:pPr>
  </w:style>
  <w:style w:type="character" w:customStyle="1" w:styleId="EquationCaption">
    <w:name w:val="_Equation Caption"/>
    <w:rsid w:val="0095235F"/>
  </w:style>
  <w:style w:type="paragraph" w:styleId="Header">
    <w:name w:val="header"/>
    <w:basedOn w:val="Normal"/>
    <w:autoRedefine/>
    <w:rsid w:val="0095235F"/>
    <w:pPr>
      <w:tabs>
        <w:tab w:val="center" w:pos="4680"/>
        <w:tab w:val="right" w:pos="9360"/>
      </w:tabs>
    </w:pPr>
    <w:rPr>
      <w:b/>
    </w:rPr>
  </w:style>
  <w:style w:type="paragraph" w:styleId="Footer">
    <w:name w:val="footer"/>
    <w:basedOn w:val="Normal"/>
    <w:rsid w:val="0095235F"/>
    <w:pPr>
      <w:tabs>
        <w:tab w:val="center" w:pos="4320"/>
        <w:tab w:val="right" w:pos="8640"/>
      </w:tabs>
    </w:pPr>
  </w:style>
  <w:style w:type="character" w:styleId="PageNumber">
    <w:name w:val="page number"/>
    <w:basedOn w:val="DefaultParagraphFont"/>
    <w:rsid w:val="0095235F"/>
  </w:style>
  <w:style w:type="paragraph" w:styleId="BlockText">
    <w:name w:val="Block Text"/>
    <w:basedOn w:val="Normal"/>
    <w:rsid w:val="0095235F"/>
    <w:pPr>
      <w:spacing w:after="240"/>
      <w:ind w:left="1440" w:right="1440"/>
    </w:pPr>
  </w:style>
  <w:style w:type="paragraph" w:customStyle="1" w:styleId="Paratitle">
    <w:name w:val="Para title"/>
    <w:basedOn w:val="Normal"/>
    <w:rsid w:val="0095235F"/>
    <w:pPr>
      <w:tabs>
        <w:tab w:val="center" w:pos="9270"/>
      </w:tabs>
      <w:spacing w:after="240"/>
    </w:pPr>
    <w:rPr>
      <w:spacing w:val="-2"/>
    </w:rPr>
  </w:style>
  <w:style w:type="paragraph" w:customStyle="1" w:styleId="Bullet">
    <w:name w:val="Bullet"/>
    <w:basedOn w:val="Normal"/>
    <w:rsid w:val="0095235F"/>
    <w:pPr>
      <w:tabs>
        <w:tab w:val="left" w:pos="2160"/>
      </w:tabs>
      <w:spacing w:after="220"/>
      <w:ind w:left="2160" w:hanging="720"/>
    </w:pPr>
  </w:style>
  <w:style w:type="paragraph" w:customStyle="1" w:styleId="TableFormat">
    <w:name w:val="TableFormat"/>
    <w:basedOn w:val="Bullet"/>
    <w:rsid w:val="0095235F"/>
    <w:pPr>
      <w:tabs>
        <w:tab w:val="clear" w:pos="2160"/>
        <w:tab w:val="left" w:pos="5040"/>
      </w:tabs>
      <w:ind w:left="5040" w:hanging="3600"/>
    </w:pPr>
  </w:style>
  <w:style w:type="paragraph" w:customStyle="1" w:styleId="TOCTitle">
    <w:name w:val="TOC Title"/>
    <w:basedOn w:val="Normal"/>
    <w:rsid w:val="0095235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5235F"/>
    <w:pPr>
      <w:jc w:val="center"/>
    </w:pPr>
    <w:rPr>
      <w:rFonts w:ascii="Times New Roman Bold" w:hAnsi="Times New Roman Bold"/>
      <w:b/>
      <w:bCs/>
      <w:caps/>
      <w:szCs w:val="22"/>
    </w:rPr>
  </w:style>
  <w:style w:type="character" w:styleId="Hyperlink">
    <w:name w:val="Hyperlink"/>
    <w:rsid w:val="0095235F"/>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E66A17"/>
  </w:style>
  <w:style w:type="character" w:customStyle="1" w:styleId="ParaNumChar">
    <w:name w:val="ParaNum Char"/>
    <w:link w:val="ParaNum"/>
    <w:rsid w:val="00E66A17"/>
    <w:rPr>
      <w:snapToGrid w:val="0"/>
      <w:kern w:val="28"/>
      <w:sz w:val="22"/>
    </w:rPr>
  </w:style>
  <w:style w:type="paragraph" w:styleId="BalloonText">
    <w:name w:val="Balloon Text"/>
    <w:basedOn w:val="Normal"/>
    <w:link w:val="BalloonTextChar"/>
    <w:rsid w:val="002B7FC6"/>
    <w:rPr>
      <w:rFonts w:ascii="Tahoma" w:hAnsi="Tahoma" w:cs="Tahoma"/>
      <w:sz w:val="16"/>
      <w:szCs w:val="16"/>
    </w:rPr>
  </w:style>
  <w:style w:type="character" w:customStyle="1" w:styleId="BalloonTextChar">
    <w:name w:val="Balloon Text Char"/>
    <w:basedOn w:val="DefaultParagraphFont"/>
    <w:link w:val="BalloonText"/>
    <w:rsid w:val="002B7FC6"/>
    <w:rPr>
      <w:rFonts w:ascii="Tahoma" w:hAnsi="Tahoma" w:cs="Tahoma"/>
      <w:snapToGrid w:val="0"/>
      <w:kern w:val="28"/>
      <w:sz w:val="16"/>
      <w:szCs w:val="16"/>
    </w:rPr>
  </w:style>
  <w:style w:type="character" w:styleId="CommentReference">
    <w:name w:val="annotation reference"/>
    <w:basedOn w:val="DefaultParagraphFont"/>
    <w:rsid w:val="008F3C4A"/>
    <w:rPr>
      <w:sz w:val="16"/>
      <w:szCs w:val="16"/>
    </w:rPr>
  </w:style>
  <w:style w:type="paragraph" w:styleId="CommentText">
    <w:name w:val="annotation text"/>
    <w:basedOn w:val="Normal"/>
    <w:link w:val="CommentTextChar"/>
    <w:rsid w:val="008F3C4A"/>
    <w:rPr>
      <w:sz w:val="20"/>
    </w:rPr>
  </w:style>
  <w:style w:type="character" w:customStyle="1" w:styleId="CommentTextChar">
    <w:name w:val="Comment Text Char"/>
    <w:basedOn w:val="DefaultParagraphFont"/>
    <w:link w:val="CommentText"/>
    <w:rsid w:val="008F3C4A"/>
    <w:rPr>
      <w:snapToGrid w:val="0"/>
      <w:kern w:val="28"/>
    </w:rPr>
  </w:style>
  <w:style w:type="paragraph" w:styleId="CommentSubject">
    <w:name w:val="annotation subject"/>
    <w:basedOn w:val="CommentText"/>
    <w:next w:val="CommentText"/>
    <w:link w:val="CommentSubjectChar"/>
    <w:rsid w:val="008F3C4A"/>
    <w:rPr>
      <w:b/>
      <w:bCs/>
    </w:rPr>
  </w:style>
  <w:style w:type="character" w:customStyle="1" w:styleId="CommentSubjectChar">
    <w:name w:val="Comment Subject Char"/>
    <w:basedOn w:val="CommentTextChar"/>
    <w:link w:val="CommentSubject"/>
    <w:rsid w:val="008F3C4A"/>
    <w:rPr>
      <w:b/>
      <w:bCs/>
      <w:snapToGrid w:val="0"/>
      <w:kern w:val="28"/>
    </w:rPr>
  </w:style>
  <w:style w:type="paragraph" w:styleId="ListParagraph">
    <w:name w:val="List Paragraph"/>
    <w:basedOn w:val="Normal"/>
    <w:uiPriority w:val="34"/>
    <w:qFormat/>
    <w:rsid w:val="005315B3"/>
    <w:pPr>
      <w:ind w:left="720"/>
      <w:contextualSpacing/>
    </w:p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w:basedOn w:val="DefaultParagraphFont"/>
    <w:rsid w:val="005F4E1B"/>
  </w:style>
  <w:style w:type="character" w:styleId="Emphasis">
    <w:name w:val="Emphasis"/>
    <w:basedOn w:val="DefaultParagraphFont"/>
    <w:qFormat/>
    <w:rsid w:val="00783EF7"/>
    <w:rPr>
      <w:i/>
      <w:iCs/>
    </w:rPr>
  </w:style>
  <w:style w:type="character" w:customStyle="1" w:styleId="apple-converted-space">
    <w:name w:val="apple-converted-space"/>
    <w:basedOn w:val="DefaultParagraphFont"/>
    <w:rsid w:val="008A5574"/>
  </w:style>
  <w:style w:type="character" w:customStyle="1" w:styleId="rrfootnoteChar2">
    <w:name w:val="rrfootnote Char2"/>
    <w:aliases w:val="Footnote Text Char1 Char2,Footnote Text Char Char Char2,rrfootnote Char Char Char2,Footnote Text Char1 Char Char Char2,Footnote Text Char Char Char Char Char2,rrfootnote Char Char Char Char Char2,Footnote Text Ch Char"/>
    <w:rsid w:val="00395531"/>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89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500</Words>
  <Characters>2776</Characters>
  <Application>Microsoft Office Word</Application>
  <DocSecurity>0</DocSecurity>
  <Lines>68</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2014-12-10T21:06:00Z</dcterms:created>
  <dcterms:modified xsi:type="dcterms:W3CDTF">2014-12-10T21:06:00Z</dcterms:modified>
  <cp:category> </cp:category>
  <cp:contentStatus> </cp:contentStatus>
</cp:coreProperties>
</file>