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60" w:rsidRPr="00EC5899" w:rsidRDefault="00211460" w:rsidP="0072705F">
      <w:pPr>
        <w:jc w:val="center"/>
        <w:rPr>
          <w:b/>
          <w:szCs w:val="22"/>
        </w:rPr>
      </w:pPr>
      <w:bookmarkStart w:id="0" w:name="_GoBack"/>
      <w:bookmarkEnd w:id="0"/>
      <w:r w:rsidRPr="00EC5899">
        <w:rPr>
          <w:b/>
          <w:szCs w:val="22"/>
        </w:rPr>
        <w:t>Before the</w:t>
      </w:r>
    </w:p>
    <w:p w:rsidR="00211460" w:rsidRPr="00EC5899" w:rsidRDefault="00211460" w:rsidP="0072705F">
      <w:pPr>
        <w:jc w:val="center"/>
        <w:rPr>
          <w:b/>
          <w:szCs w:val="22"/>
        </w:rPr>
      </w:pPr>
      <w:r w:rsidRPr="00EC5899">
        <w:rPr>
          <w:b/>
          <w:szCs w:val="22"/>
        </w:rPr>
        <w:t>Federal Communications Commission</w:t>
      </w:r>
    </w:p>
    <w:p w:rsidR="00211460" w:rsidRPr="00EC5899" w:rsidRDefault="00211460" w:rsidP="0072705F">
      <w:pPr>
        <w:jc w:val="center"/>
        <w:rPr>
          <w:szCs w:val="22"/>
        </w:rPr>
      </w:pPr>
      <w:r w:rsidRPr="00EC5899">
        <w:rPr>
          <w:b/>
          <w:szCs w:val="22"/>
        </w:rPr>
        <w:t>Washington, D.C.  20554</w:t>
      </w:r>
    </w:p>
    <w:p w:rsidR="00211460" w:rsidRPr="00EC5899" w:rsidRDefault="00211460" w:rsidP="00EC5899">
      <w:pPr>
        <w:jc w:val="both"/>
        <w:rPr>
          <w:szCs w:val="22"/>
        </w:rPr>
      </w:pPr>
    </w:p>
    <w:tbl>
      <w:tblPr>
        <w:tblW w:w="9648" w:type="dxa"/>
        <w:tblLayout w:type="fixed"/>
        <w:tblLook w:val="0000" w:firstRow="0" w:lastRow="0" w:firstColumn="0" w:lastColumn="0" w:noHBand="0" w:noVBand="0"/>
      </w:tblPr>
      <w:tblGrid>
        <w:gridCol w:w="4698"/>
        <w:gridCol w:w="720"/>
        <w:gridCol w:w="4230"/>
      </w:tblGrid>
      <w:tr w:rsidR="00974482" w:rsidRPr="00EC5899" w:rsidTr="001904B0">
        <w:tc>
          <w:tcPr>
            <w:tcW w:w="4698" w:type="dxa"/>
          </w:tcPr>
          <w:p w:rsidR="00974482" w:rsidRPr="00EC5899" w:rsidRDefault="00974482" w:rsidP="00A61442">
            <w:pPr>
              <w:ind w:right="-18"/>
              <w:rPr>
                <w:szCs w:val="22"/>
              </w:rPr>
            </w:pPr>
            <w:r w:rsidRPr="00EC5899">
              <w:rPr>
                <w:szCs w:val="22"/>
              </w:rPr>
              <w:t xml:space="preserve">In </w:t>
            </w:r>
            <w:r w:rsidR="00576F38">
              <w:rPr>
                <w:szCs w:val="22"/>
              </w:rPr>
              <w:t>the Matter</w:t>
            </w:r>
            <w:r w:rsidRPr="00EC5899">
              <w:rPr>
                <w:szCs w:val="22"/>
              </w:rPr>
              <w:t xml:space="preserve"> of</w:t>
            </w:r>
          </w:p>
          <w:p w:rsidR="00974482" w:rsidRPr="00EC5899" w:rsidRDefault="00974482" w:rsidP="00A61442">
            <w:pPr>
              <w:ind w:right="-18"/>
              <w:rPr>
                <w:szCs w:val="22"/>
              </w:rPr>
            </w:pPr>
          </w:p>
          <w:p w:rsidR="00974482" w:rsidRPr="00115EEA" w:rsidRDefault="00B43997" w:rsidP="00A61442">
            <w:pPr>
              <w:ind w:right="-18"/>
              <w:rPr>
                <w:szCs w:val="22"/>
              </w:rPr>
            </w:pPr>
            <w:r w:rsidRPr="00115EEA">
              <w:rPr>
                <w:szCs w:val="22"/>
              </w:rPr>
              <w:t>Anniston Seventh-Day Adventist Church</w:t>
            </w:r>
          </w:p>
          <w:p w:rsidR="00576F38" w:rsidRDefault="00576F38" w:rsidP="00A61442">
            <w:pPr>
              <w:ind w:right="-18"/>
              <w:rPr>
                <w:szCs w:val="22"/>
              </w:rPr>
            </w:pPr>
          </w:p>
          <w:p w:rsidR="00974482" w:rsidRDefault="007D38D2" w:rsidP="00A61442">
            <w:pPr>
              <w:ind w:right="-18"/>
              <w:rPr>
                <w:szCs w:val="22"/>
              </w:rPr>
            </w:pPr>
            <w:r w:rsidRPr="00EC5899">
              <w:rPr>
                <w:szCs w:val="22"/>
              </w:rPr>
              <w:t>For a New Non</w:t>
            </w:r>
            <w:r w:rsidR="00A61442">
              <w:rPr>
                <w:szCs w:val="22"/>
              </w:rPr>
              <w:t>c</w:t>
            </w:r>
            <w:r w:rsidRPr="00EC5899">
              <w:rPr>
                <w:szCs w:val="22"/>
              </w:rPr>
              <w:t xml:space="preserve">ommercial </w:t>
            </w:r>
            <w:r w:rsidR="00A61442">
              <w:rPr>
                <w:szCs w:val="22"/>
              </w:rPr>
              <w:t xml:space="preserve">Educational </w:t>
            </w:r>
            <w:r w:rsidRPr="00EC5899">
              <w:rPr>
                <w:szCs w:val="22"/>
              </w:rPr>
              <w:t xml:space="preserve">FM Station at </w:t>
            </w:r>
            <w:r w:rsidR="00B43997">
              <w:rPr>
                <w:szCs w:val="22"/>
              </w:rPr>
              <w:t>Anniston</w:t>
            </w:r>
            <w:r w:rsidRPr="00EC5899">
              <w:rPr>
                <w:szCs w:val="22"/>
              </w:rPr>
              <w:t xml:space="preserve">, </w:t>
            </w:r>
            <w:r w:rsidR="00B43997">
              <w:rPr>
                <w:szCs w:val="22"/>
              </w:rPr>
              <w:t>Alabama</w:t>
            </w:r>
          </w:p>
          <w:p w:rsidR="00E72B33" w:rsidRDefault="00E72B33" w:rsidP="00A61442">
            <w:pPr>
              <w:ind w:right="-18"/>
              <w:rPr>
                <w:szCs w:val="22"/>
              </w:rPr>
            </w:pPr>
          </w:p>
          <w:p w:rsidR="00174D40" w:rsidRDefault="00174D40" w:rsidP="00A61442">
            <w:pPr>
              <w:ind w:right="-18"/>
              <w:rPr>
                <w:szCs w:val="22"/>
              </w:rPr>
            </w:pPr>
            <w:r>
              <w:rPr>
                <w:szCs w:val="22"/>
              </w:rPr>
              <w:t>and</w:t>
            </w:r>
          </w:p>
          <w:p w:rsidR="00174D40" w:rsidRDefault="00174D40" w:rsidP="00A61442">
            <w:pPr>
              <w:ind w:right="-18"/>
              <w:rPr>
                <w:szCs w:val="22"/>
              </w:rPr>
            </w:pPr>
          </w:p>
          <w:p w:rsidR="00E72B33" w:rsidRDefault="00E72B33" w:rsidP="00A61442">
            <w:pPr>
              <w:ind w:right="-18"/>
            </w:pPr>
            <w:r>
              <w:t>Board of Trustees of Jacksonville State University</w:t>
            </w:r>
          </w:p>
          <w:p w:rsidR="00576F38" w:rsidRDefault="00576F38" w:rsidP="00A61442">
            <w:pPr>
              <w:ind w:right="-18"/>
            </w:pPr>
          </w:p>
          <w:p w:rsidR="00E72B33" w:rsidRDefault="00E72B33" w:rsidP="00A61442">
            <w:pPr>
              <w:ind w:right="-18"/>
            </w:pPr>
            <w:r>
              <w:t xml:space="preserve">For a New Noncommercial Educational FM </w:t>
            </w:r>
          </w:p>
          <w:p w:rsidR="00E72B33" w:rsidRPr="00EC5899" w:rsidRDefault="00E72B33" w:rsidP="00A61442">
            <w:pPr>
              <w:ind w:right="-18"/>
              <w:rPr>
                <w:szCs w:val="22"/>
              </w:rPr>
            </w:pPr>
            <w:r>
              <w:t>Station at Anniston, Alabama</w:t>
            </w:r>
          </w:p>
          <w:p w:rsidR="00974482" w:rsidRPr="00EC5899" w:rsidRDefault="00974482" w:rsidP="00A61442">
            <w:pPr>
              <w:ind w:right="-18"/>
              <w:rPr>
                <w:b/>
                <w:szCs w:val="22"/>
              </w:rPr>
            </w:pPr>
          </w:p>
        </w:tc>
        <w:tc>
          <w:tcPr>
            <w:tcW w:w="720" w:type="dxa"/>
          </w:tcPr>
          <w:p w:rsidR="00974482" w:rsidRPr="00EC5899" w:rsidRDefault="00974482" w:rsidP="00EC5899">
            <w:pPr>
              <w:jc w:val="both"/>
              <w:rPr>
                <w:b/>
                <w:szCs w:val="22"/>
              </w:rPr>
            </w:pPr>
            <w:r w:rsidRPr="00EC5899">
              <w:rPr>
                <w:b/>
                <w:szCs w:val="22"/>
              </w:rPr>
              <w:t>)</w:t>
            </w:r>
          </w:p>
          <w:p w:rsidR="00974482" w:rsidRPr="00EC5899" w:rsidRDefault="00974482" w:rsidP="00EC5899">
            <w:pPr>
              <w:jc w:val="both"/>
              <w:rPr>
                <w:b/>
                <w:szCs w:val="22"/>
              </w:rPr>
            </w:pPr>
            <w:r w:rsidRPr="00EC5899">
              <w:rPr>
                <w:b/>
                <w:szCs w:val="22"/>
              </w:rPr>
              <w:t>)</w:t>
            </w:r>
          </w:p>
          <w:p w:rsidR="00974482" w:rsidRPr="00EC5899" w:rsidRDefault="00974482" w:rsidP="00EC5899">
            <w:pPr>
              <w:jc w:val="both"/>
              <w:rPr>
                <w:b/>
                <w:szCs w:val="22"/>
              </w:rPr>
            </w:pPr>
            <w:r w:rsidRPr="00EC5899">
              <w:rPr>
                <w:b/>
                <w:szCs w:val="22"/>
              </w:rPr>
              <w:t>)</w:t>
            </w:r>
          </w:p>
          <w:p w:rsidR="00974482" w:rsidRPr="00EC5899" w:rsidRDefault="00974482" w:rsidP="00EC5899">
            <w:pPr>
              <w:jc w:val="both"/>
              <w:rPr>
                <w:b/>
                <w:szCs w:val="22"/>
              </w:rPr>
            </w:pPr>
            <w:r w:rsidRPr="00EC5899">
              <w:rPr>
                <w:b/>
                <w:szCs w:val="22"/>
              </w:rPr>
              <w:t>)</w:t>
            </w:r>
          </w:p>
          <w:p w:rsidR="00974482" w:rsidRDefault="00974482" w:rsidP="00EC5899">
            <w:pPr>
              <w:jc w:val="both"/>
              <w:rPr>
                <w:b/>
                <w:szCs w:val="22"/>
              </w:rPr>
            </w:pPr>
            <w:r w:rsidRPr="00EC5899">
              <w:rPr>
                <w:b/>
                <w:szCs w:val="22"/>
              </w:rPr>
              <w:t>)</w:t>
            </w:r>
          </w:p>
          <w:p w:rsidR="00E72B33" w:rsidRDefault="00E72B33" w:rsidP="00EC5899">
            <w:pPr>
              <w:jc w:val="both"/>
              <w:rPr>
                <w:b/>
                <w:szCs w:val="22"/>
              </w:rPr>
            </w:pPr>
            <w:r>
              <w:rPr>
                <w:b/>
                <w:szCs w:val="22"/>
              </w:rPr>
              <w:t>)</w:t>
            </w:r>
          </w:p>
          <w:p w:rsidR="00E72B33" w:rsidRDefault="00E72B33" w:rsidP="00EC5899">
            <w:pPr>
              <w:jc w:val="both"/>
              <w:rPr>
                <w:b/>
                <w:szCs w:val="22"/>
              </w:rPr>
            </w:pPr>
            <w:r>
              <w:rPr>
                <w:b/>
                <w:szCs w:val="22"/>
              </w:rPr>
              <w:t>)</w:t>
            </w:r>
          </w:p>
          <w:p w:rsidR="00E72B33" w:rsidRDefault="00E72B33" w:rsidP="00EC5899">
            <w:pPr>
              <w:jc w:val="both"/>
              <w:rPr>
                <w:b/>
                <w:szCs w:val="22"/>
              </w:rPr>
            </w:pPr>
            <w:r>
              <w:rPr>
                <w:b/>
                <w:szCs w:val="22"/>
              </w:rPr>
              <w:t>)</w:t>
            </w:r>
          </w:p>
          <w:p w:rsidR="00E72B33" w:rsidRDefault="00E72B33" w:rsidP="00EC5899">
            <w:pPr>
              <w:jc w:val="both"/>
              <w:rPr>
                <w:b/>
                <w:szCs w:val="22"/>
              </w:rPr>
            </w:pPr>
            <w:r>
              <w:rPr>
                <w:b/>
                <w:szCs w:val="22"/>
              </w:rPr>
              <w:t>)</w:t>
            </w:r>
          </w:p>
          <w:p w:rsidR="008458D8" w:rsidRPr="00EC5899" w:rsidRDefault="008458D8" w:rsidP="00EC5899">
            <w:pPr>
              <w:jc w:val="both"/>
              <w:rPr>
                <w:b/>
                <w:szCs w:val="22"/>
              </w:rPr>
            </w:pPr>
            <w:r>
              <w:rPr>
                <w:b/>
                <w:szCs w:val="22"/>
              </w:rPr>
              <w:t>)</w:t>
            </w:r>
          </w:p>
          <w:p w:rsidR="00974482" w:rsidRDefault="00174D40" w:rsidP="00EC5899">
            <w:pPr>
              <w:jc w:val="both"/>
              <w:rPr>
                <w:b/>
                <w:szCs w:val="22"/>
              </w:rPr>
            </w:pPr>
            <w:r>
              <w:rPr>
                <w:b/>
                <w:szCs w:val="22"/>
              </w:rPr>
              <w:t>)</w:t>
            </w:r>
          </w:p>
          <w:p w:rsidR="00174D40" w:rsidRDefault="00174D40" w:rsidP="00EC5899">
            <w:pPr>
              <w:jc w:val="both"/>
              <w:rPr>
                <w:b/>
                <w:szCs w:val="22"/>
              </w:rPr>
            </w:pPr>
            <w:r>
              <w:rPr>
                <w:b/>
                <w:szCs w:val="22"/>
              </w:rPr>
              <w:t>)</w:t>
            </w:r>
          </w:p>
          <w:p w:rsidR="00174D40" w:rsidRPr="00EC5899" w:rsidRDefault="00576F38" w:rsidP="00EC5899">
            <w:pPr>
              <w:jc w:val="both"/>
              <w:rPr>
                <w:b/>
                <w:szCs w:val="22"/>
              </w:rPr>
            </w:pPr>
            <w:r>
              <w:rPr>
                <w:b/>
                <w:szCs w:val="22"/>
              </w:rPr>
              <w:t>)</w:t>
            </w:r>
          </w:p>
        </w:tc>
        <w:tc>
          <w:tcPr>
            <w:tcW w:w="4230" w:type="dxa"/>
          </w:tcPr>
          <w:p w:rsidR="00974482" w:rsidRPr="00EC5899" w:rsidRDefault="00974482" w:rsidP="00EC5899">
            <w:pPr>
              <w:jc w:val="both"/>
              <w:rPr>
                <w:szCs w:val="22"/>
              </w:rPr>
            </w:pPr>
          </w:p>
          <w:p w:rsidR="00974482" w:rsidRPr="00EC5899" w:rsidRDefault="00974482" w:rsidP="00EC5899">
            <w:pPr>
              <w:jc w:val="both"/>
              <w:rPr>
                <w:szCs w:val="22"/>
              </w:rPr>
            </w:pPr>
          </w:p>
          <w:p w:rsidR="00974482" w:rsidRPr="00EC5899" w:rsidRDefault="007D38D2" w:rsidP="00EC5899">
            <w:pPr>
              <w:jc w:val="both"/>
              <w:rPr>
                <w:szCs w:val="22"/>
              </w:rPr>
            </w:pPr>
            <w:r w:rsidRPr="00EC5899">
              <w:rPr>
                <w:szCs w:val="22"/>
              </w:rPr>
              <w:t>File No. BNPED-</w:t>
            </w:r>
            <w:r w:rsidR="00B43997">
              <w:rPr>
                <w:szCs w:val="22"/>
              </w:rPr>
              <w:t>20100226ABT</w:t>
            </w:r>
          </w:p>
          <w:p w:rsidR="007D38D2" w:rsidRPr="00EC5899" w:rsidRDefault="007D38D2" w:rsidP="00EC5899">
            <w:pPr>
              <w:jc w:val="both"/>
              <w:rPr>
                <w:szCs w:val="22"/>
              </w:rPr>
            </w:pPr>
            <w:r w:rsidRPr="00EC5899">
              <w:rPr>
                <w:szCs w:val="22"/>
              </w:rPr>
              <w:t xml:space="preserve">Facility ID No. </w:t>
            </w:r>
            <w:r w:rsidR="00B43997">
              <w:rPr>
                <w:szCs w:val="22"/>
              </w:rPr>
              <w:t>184996</w:t>
            </w:r>
          </w:p>
          <w:p w:rsidR="00974482" w:rsidRDefault="00974482" w:rsidP="00EC5899">
            <w:pPr>
              <w:jc w:val="both"/>
              <w:rPr>
                <w:szCs w:val="22"/>
              </w:rPr>
            </w:pPr>
          </w:p>
          <w:p w:rsidR="00E72B33" w:rsidRDefault="00E72B33" w:rsidP="00EC5899">
            <w:pPr>
              <w:jc w:val="both"/>
              <w:rPr>
                <w:szCs w:val="22"/>
              </w:rPr>
            </w:pPr>
          </w:p>
          <w:p w:rsidR="00174D40" w:rsidRDefault="00174D40" w:rsidP="00EC5899">
            <w:pPr>
              <w:jc w:val="both"/>
              <w:rPr>
                <w:szCs w:val="22"/>
              </w:rPr>
            </w:pPr>
          </w:p>
          <w:p w:rsidR="00174D40" w:rsidRDefault="00174D40" w:rsidP="00EC5899">
            <w:pPr>
              <w:jc w:val="both"/>
              <w:rPr>
                <w:szCs w:val="22"/>
              </w:rPr>
            </w:pPr>
          </w:p>
          <w:p w:rsidR="00E72B33" w:rsidRDefault="00E72B33" w:rsidP="00EC5899">
            <w:pPr>
              <w:jc w:val="both"/>
            </w:pPr>
            <w:r>
              <w:rPr>
                <w:szCs w:val="22"/>
              </w:rPr>
              <w:t>File No. BNPED-</w:t>
            </w:r>
            <w:r>
              <w:t>20100226AFB</w:t>
            </w:r>
          </w:p>
          <w:p w:rsidR="00E72B33" w:rsidRPr="00EC5899" w:rsidRDefault="00E72B33" w:rsidP="00EC5899">
            <w:pPr>
              <w:jc w:val="both"/>
              <w:rPr>
                <w:szCs w:val="22"/>
              </w:rPr>
            </w:pPr>
            <w:r>
              <w:t>Facility ID No. 184855</w:t>
            </w:r>
          </w:p>
        </w:tc>
      </w:tr>
    </w:tbl>
    <w:p w:rsidR="00211460" w:rsidRPr="00EC5899" w:rsidRDefault="00211460" w:rsidP="0052457E">
      <w:pPr>
        <w:pStyle w:val="Heading1"/>
        <w:numPr>
          <w:ilvl w:val="0"/>
          <w:numId w:val="0"/>
        </w:numPr>
        <w:spacing w:after="220"/>
        <w:jc w:val="center"/>
        <w:rPr>
          <w:szCs w:val="22"/>
        </w:rPr>
      </w:pPr>
      <w:r w:rsidRPr="00EC5899">
        <w:rPr>
          <w:szCs w:val="22"/>
        </w:rPr>
        <w:t>MEMORANDUM OPINION AND ORDER</w:t>
      </w:r>
    </w:p>
    <w:p w:rsidR="00576F38" w:rsidRPr="0052457E" w:rsidRDefault="00576F38" w:rsidP="0052457E">
      <w:pPr>
        <w:tabs>
          <w:tab w:val="right" w:pos="9360"/>
        </w:tabs>
        <w:spacing w:after="220"/>
        <w:jc w:val="both"/>
        <w:rPr>
          <w:b/>
          <w:szCs w:val="22"/>
        </w:rPr>
      </w:pPr>
      <w:r>
        <w:rPr>
          <w:b/>
          <w:szCs w:val="22"/>
        </w:rPr>
        <w:t>Adopted:  December 22, 2014</w:t>
      </w:r>
      <w:r>
        <w:rPr>
          <w:b/>
          <w:szCs w:val="22"/>
        </w:rPr>
        <w:tab/>
        <w:t>Released:  December 23, 2014</w:t>
      </w:r>
    </w:p>
    <w:p w:rsidR="00211460" w:rsidRDefault="00211460" w:rsidP="00EC5899">
      <w:pPr>
        <w:tabs>
          <w:tab w:val="left" w:pos="1980"/>
          <w:tab w:val="left" w:pos="4680"/>
        </w:tabs>
        <w:jc w:val="both"/>
        <w:rPr>
          <w:szCs w:val="22"/>
        </w:rPr>
      </w:pPr>
      <w:r w:rsidRPr="00EC5899">
        <w:rPr>
          <w:szCs w:val="22"/>
        </w:rPr>
        <w:t>By the Commission:</w:t>
      </w:r>
    </w:p>
    <w:p w:rsidR="00B96389" w:rsidRPr="00EC5899" w:rsidRDefault="00B96389" w:rsidP="00EC5899">
      <w:pPr>
        <w:tabs>
          <w:tab w:val="left" w:pos="1980"/>
          <w:tab w:val="left" w:pos="4680"/>
        </w:tabs>
        <w:jc w:val="both"/>
        <w:rPr>
          <w:szCs w:val="22"/>
        </w:rPr>
      </w:pPr>
    </w:p>
    <w:p w:rsidR="00211460" w:rsidRPr="00EC5899" w:rsidRDefault="00211460" w:rsidP="00EC5899">
      <w:pPr>
        <w:tabs>
          <w:tab w:val="left" w:pos="1980"/>
          <w:tab w:val="left" w:pos="4680"/>
        </w:tabs>
        <w:jc w:val="both"/>
        <w:rPr>
          <w:szCs w:val="22"/>
        </w:rPr>
      </w:pPr>
    </w:p>
    <w:p w:rsidR="009F0063" w:rsidRPr="003E1F0D" w:rsidRDefault="00B96389" w:rsidP="0072705F">
      <w:pPr>
        <w:pStyle w:val="ParaNum"/>
        <w:widowControl/>
        <w:ind w:left="86" w:firstLine="634"/>
        <w:rPr>
          <w:szCs w:val="22"/>
        </w:rPr>
      </w:pPr>
      <w:r w:rsidRPr="003E1F0D">
        <w:rPr>
          <w:szCs w:val="22"/>
        </w:rPr>
        <w:t>T</w:t>
      </w:r>
      <w:r w:rsidR="000C5BE5" w:rsidRPr="003E1F0D">
        <w:rPr>
          <w:szCs w:val="22"/>
        </w:rPr>
        <w:t xml:space="preserve">he Commission has </w:t>
      </w:r>
      <w:r w:rsidR="005160C9" w:rsidRPr="003E1F0D">
        <w:rPr>
          <w:szCs w:val="22"/>
        </w:rPr>
        <w:t xml:space="preserve">before it </w:t>
      </w:r>
      <w:r w:rsidR="007D38D2" w:rsidRPr="003E1F0D">
        <w:rPr>
          <w:szCs w:val="22"/>
        </w:rPr>
        <w:t>an Application for Review</w:t>
      </w:r>
      <w:r w:rsidR="000C5BE5" w:rsidRPr="003E1F0D">
        <w:rPr>
          <w:szCs w:val="22"/>
        </w:rPr>
        <w:t xml:space="preserve"> </w:t>
      </w:r>
      <w:r w:rsidR="007464BE" w:rsidRPr="003E1F0D">
        <w:rPr>
          <w:szCs w:val="22"/>
        </w:rPr>
        <w:t xml:space="preserve">(“AFR”) </w:t>
      </w:r>
      <w:r w:rsidR="000C5BE5" w:rsidRPr="003E1F0D">
        <w:rPr>
          <w:szCs w:val="22"/>
        </w:rPr>
        <w:t xml:space="preserve">filed by </w:t>
      </w:r>
      <w:r w:rsidR="007B15B4" w:rsidRPr="003E1F0D">
        <w:rPr>
          <w:szCs w:val="22"/>
        </w:rPr>
        <w:t>the Board of Trustees of Jacksonville State University</w:t>
      </w:r>
      <w:r w:rsidR="005160C9" w:rsidRPr="003E1F0D">
        <w:rPr>
          <w:szCs w:val="22"/>
        </w:rPr>
        <w:t xml:space="preserve"> (“</w:t>
      </w:r>
      <w:r w:rsidR="007B15B4" w:rsidRPr="003E1F0D">
        <w:rPr>
          <w:szCs w:val="22"/>
        </w:rPr>
        <w:t>JSU</w:t>
      </w:r>
      <w:r w:rsidR="005160C9" w:rsidRPr="003E1F0D">
        <w:rPr>
          <w:szCs w:val="22"/>
        </w:rPr>
        <w:t>”)</w:t>
      </w:r>
      <w:r w:rsidR="000C5BE5" w:rsidRPr="003E1F0D">
        <w:rPr>
          <w:szCs w:val="22"/>
        </w:rPr>
        <w:t xml:space="preserve"> on </w:t>
      </w:r>
      <w:r w:rsidR="007B15B4" w:rsidRPr="003E1F0D">
        <w:rPr>
          <w:szCs w:val="22"/>
        </w:rPr>
        <w:t>June 14, 2013</w:t>
      </w:r>
      <w:r w:rsidR="000C5BE5" w:rsidRPr="003E1F0D">
        <w:rPr>
          <w:szCs w:val="22"/>
        </w:rPr>
        <w:t>.</w:t>
      </w:r>
      <w:r w:rsidR="004D0816" w:rsidRPr="003E1F0D">
        <w:rPr>
          <w:szCs w:val="22"/>
        </w:rPr>
        <w:t xml:space="preserve"> </w:t>
      </w:r>
      <w:r w:rsidR="00A65DBA" w:rsidRPr="003E1F0D">
        <w:rPr>
          <w:szCs w:val="22"/>
        </w:rPr>
        <w:t xml:space="preserve"> </w:t>
      </w:r>
      <w:r w:rsidR="007B15B4" w:rsidRPr="003E1F0D">
        <w:rPr>
          <w:szCs w:val="22"/>
        </w:rPr>
        <w:t xml:space="preserve">JSU </w:t>
      </w:r>
      <w:r w:rsidR="009F0063" w:rsidRPr="003E1F0D">
        <w:rPr>
          <w:szCs w:val="22"/>
        </w:rPr>
        <w:t>seeks review of</w:t>
      </w:r>
      <w:r w:rsidR="007B15B4" w:rsidRPr="003E1F0D">
        <w:rPr>
          <w:szCs w:val="22"/>
        </w:rPr>
        <w:t xml:space="preserve"> a Media Bureau (“Bureau”) decision that</w:t>
      </w:r>
      <w:r w:rsidR="009F0063" w:rsidRPr="003E1F0D">
        <w:rPr>
          <w:szCs w:val="22"/>
        </w:rPr>
        <w:t xml:space="preserve"> </w:t>
      </w:r>
      <w:r w:rsidR="00C401EB" w:rsidRPr="003E1F0D">
        <w:rPr>
          <w:szCs w:val="22"/>
        </w:rPr>
        <w:t xml:space="preserve">denied reconsideration and </w:t>
      </w:r>
      <w:r w:rsidR="009F0063" w:rsidRPr="003E1F0D">
        <w:rPr>
          <w:szCs w:val="22"/>
        </w:rPr>
        <w:t>a</w:t>
      </w:r>
      <w:r w:rsidR="00E9792C" w:rsidRPr="003E1F0D">
        <w:rPr>
          <w:szCs w:val="22"/>
        </w:rPr>
        <w:t>ffirmed a prior Bureau decision.</w:t>
      </w:r>
      <w:r w:rsidR="009C6949" w:rsidRPr="003E1F0D">
        <w:rPr>
          <w:rStyle w:val="FootnoteReference"/>
          <w:szCs w:val="22"/>
        </w:rPr>
        <w:t xml:space="preserve"> </w:t>
      </w:r>
      <w:r w:rsidR="009C6949" w:rsidRPr="003E1F0D">
        <w:rPr>
          <w:rStyle w:val="FootnoteReference"/>
          <w:szCs w:val="22"/>
        </w:rPr>
        <w:footnoteReference w:id="2"/>
      </w:r>
      <w:r w:rsidR="00E9792C" w:rsidRPr="003E1F0D">
        <w:rPr>
          <w:szCs w:val="22"/>
        </w:rPr>
        <w:t xml:space="preserve">  In that earlier decision,</w:t>
      </w:r>
      <w:r w:rsidR="009C6949" w:rsidRPr="003E1F0D">
        <w:rPr>
          <w:rStyle w:val="FootnoteReference"/>
          <w:szCs w:val="22"/>
        </w:rPr>
        <w:footnoteReference w:id="3"/>
      </w:r>
      <w:r w:rsidR="00E9792C" w:rsidRPr="003E1F0D">
        <w:rPr>
          <w:szCs w:val="22"/>
        </w:rPr>
        <w:t xml:space="preserve"> the Bureau </w:t>
      </w:r>
      <w:r w:rsidR="009F0063" w:rsidRPr="003E1F0D">
        <w:rPr>
          <w:szCs w:val="22"/>
        </w:rPr>
        <w:t>reinstated nunc pro tunc and granted an application filed by Anniston Seventh-Day Adventist Church (“ASDA”) for a new NCE FM station serving Anniston, Al</w:t>
      </w:r>
      <w:r w:rsidR="00E9792C" w:rsidRPr="003E1F0D">
        <w:rPr>
          <w:szCs w:val="22"/>
        </w:rPr>
        <w:t>abama (“ASDA Application”).  The Bureau also</w:t>
      </w:r>
      <w:r w:rsidR="009F0063" w:rsidRPr="003E1F0D">
        <w:rPr>
          <w:szCs w:val="22"/>
        </w:rPr>
        <w:t xml:space="preserve"> </w:t>
      </w:r>
      <w:r w:rsidR="007B15B4" w:rsidRPr="003E1F0D">
        <w:rPr>
          <w:szCs w:val="22"/>
        </w:rPr>
        <w:t xml:space="preserve">dismissed JSU’s </w:t>
      </w:r>
      <w:r w:rsidR="009F0063" w:rsidRPr="003E1F0D">
        <w:rPr>
          <w:szCs w:val="22"/>
        </w:rPr>
        <w:t xml:space="preserve">competing </w:t>
      </w:r>
      <w:r w:rsidR="007B15B4" w:rsidRPr="003E1F0D">
        <w:rPr>
          <w:szCs w:val="22"/>
        </w:rPr>
        <w:t xml:space="preserve">application for a new noncommercial educational (“NCE”) FM station </w:t>
      </w:r>
      <w:r w:rsidR="009F0063" w:rsidRPr="003E1F0D">
        <w:rPr>
          <w:szCs w:val="22"/>
        </w:rPr>
        <w:t xml:space="preserve">serving the same </w:t>
      </w:r>
      <w:r w:rsidR="00720B28" w:rsidRPr="003E1F0D">
        <w:rPr>
          <w:szCs w:val="22"/>
        </w:rPr>
        <w:t>community</w:t>
      </w:r>
      <w:r w:rsidR="00CB3C14" w:rsidRPr="003E1F0D">
        <w:rPr>
          <w:szCs w:val="22"/>
        </w:rPr>
        <w:t xml:space="preserve"> (“JSU Application”)</w:t>
      </w:r>
      <w:r w:rsidR="007B15B4" w:rsidRPr="003E1F0D">
        <w:rPr>
          <w:szCs w:val="22"/>
        </w:rPr>
        <w:t>.</w:t>
      </w:r>
      <w:r w:rsidR="005160C9" w:rsidRPr="003E1F0D">
        <w:rPr>
          <w:szCs w:val="22"/>
        </w:rPr>
        <w:t xml:space="preserve"> </w:t>
      </w:r>
    </w:p>
    <w:p w:rsidR="00E24878" w:rsidRPr="003E1F0D" w:rsidRDefault="00DD418E" w:rsidP="00052375">
      <w:pPr>
        <w:pStyle w:val="ParaNum"/>
        <w:widowControl/>
        <w:autoSpaceDE w:val="0"/>
        <w:autoSpaceDN w:val="0"/>
        <w:adjustRightInd w:val="0"/>
        <w:ind w:left="86" w:firstLine="634"/>
        <w:rPr>
          <w:szCs w:val="22"/>
        </w:rPr>
      </w:pPr>
      <w:r w:rsidRPr="003E1F0D">
        <w:rPr>
          <w:szCs w:val="22"/>
        </w:rPr>
        <w:t>In this proceeding ASDA and JSU were two of eight applicants for a new station in the FM band which was reserved for NCE use under the third test for channel reservation (“third channel reservation standard”).</w:t>
      </w:r>
      <w:r w:rsidR="00C04AC0" w:rsidRPr="003E1F0D">
        <w:rPr>
          <w:rStyle w:val="FootnoteReference"/>
          <w:szCs w:val="22"/>
        </w:rPr>
        <w:footnoteReference w:id="4"/>
      </w:r>
      <w:r w:rsidRPr="003E1F0D">
        <w:rPr>
          <w:szCs w:val="22"/>
        </w:rPr>
        <w:t xml:space="preserve">  An application for such a reserved allotment must demonstrate that it satisfies this licensing standard.  The ASDA </w:t>
      </w:r>
      <w:r w:rsidR="00DB2705" w:rsidRPr="003E1F0D">
        <w:rPr>
          <w:szCs w:val="22"/>
        </w:rPr>
        <w:t>A</w:t>
      </w:r>
      <w:r w:rsidRPr="003E1F0D">
        <w:rPr>
          <w:szCs w:val="22"/>
        </w:rPr>
        <w:t xml:space="preserve">pplication was dismissed because it did not </w:t>
      </w:r>
      <w:r w:rsidR="00C04AC0" w:rsidRPr="003E1F0D">
        <w:rPr>
          <w:szCs w:val="22"/>
        </w:rPr>
        <w:t xml:space="preserve">do so.  </w:t>
      </w:r>
      <w:r w:rsidRPr="003E1F0D">
        <w:rPr>
          <w:szCs w:val="22"/>
        </w:rPr>
        <w:t xml:space="preserve">However, the staff </w:t>
      </w:r>
      <w:r w:rsidR="00C04AC0" w:rsidRPr="003E1F0D">
        <w:rPr>
          <w:szCs w:val="22"/>
        </w:rPr>
        <w:t xml:space="preserve">subsequently </w:t>
      </w:r>
      <w:r w:rsidRPr="003E1F0D">
        <w:rPr>
          <w:szCs w:val="22"/>
        </w:rPr>
        <w:t xml:space="preserve">granted reconsideration, reinstated the ASDA </w:t>
      </w:r>
      <w:r w:rsidR="00DB2705" w:rsidRPr="003E1F0D">
        <w:rPr>
          <w:szCs w:val="22"/>
        </w:rPr>
        <w:t>A</w:t>
      </w:r>
      <w:r w:rsidRPr="003E1F0D">
        <w:rPr>
          <w:szCs w:val="22"/>
        </w:rPr>
        <w:t>pplication and accepted a curative technical amendment.</w:t>
      </w:r>
      <w:r w:rsidR="00975735" w:rsidRPr="003E1F0D">
        <w:rPr>
          <w:rStyle w:val="FootnoteReference"/>
          <w:szCs w:val="22"/>
        </w:rPr>
        <w:footnoteReference w:id="5"/>
      </w:r>
      <w:r w:rsidRPr="003E1F0D">
        <w:rPr>
          <w:szCs w:val="22"/>
        </w:rPr>
        <w:t xml:space="preserve">  </w:t>
      </w:r>
      <w:r w:rsidR="008C01C3" w:rsidRPr="003E1F0D">
        <w:rPr>
          <w:szCs w:val="22"/>
        </w:rPr>
        <w:t>In the AFR</w:t>
      </w:r>
      <w:r w:rsidR="00720B28" w:rsidRPr="003E1F0D">
        <w:rPr>
          <w:szCs w:val="22"/>
        </w:rPr>
        <w:t>, JSU dis</w:t>
      </w:r>
      <w:r w:rsidR="008C01C3" w:rsidRPr="003E1F0D">
        <w:rPr>
          <w:szCs w:val="22"/>
        </w:rPr>
        <w:t>putes the Bureau’s finding that an applicant’s</w:t>
      </w:r>
      <w:r w:rsidR="007A10E7" w:rsidRPr="003E1F0D">
        <w:rPr>
          <w:szCs w:val="22"/>
        </w:rPr>
        <w:t xml:space="preserve"> failure to satisfy the t</w:t>
      </w:r>
      <w:r w:rsidR="00E9792C" w:rsidRPr="003E1F0D">
        <w:rPr>
          <w:szCs w:val="22"/>
        </w:rPr>
        <w:t xml:space="preserve">hird </w:t>
      </w:r>
      <w:r w:rsidR="007A10E7" w:rsidRPr="003E1F0D">
        <w:rPr>
          <w:szCs w:val="22"/>
        </w:rPr>
        <w:t xml:space="preserve">channel reservation standard </w:t>
      </w:r>
      <w:r w:rsidR="00E9792C" w:rsidRPr="003E1F0D">
        <w:rPr>
          <w:szCs w:val="22"/>
        </w:rPr>
        <w:t>could be cured</w:t>
      </w:r>
      <w:r w:rsidR="00C04AC0" w:rsidRPr="003E1F0D">
        <w:rPr>
          <w:szCs w:val="22"/>
        </w:rPr>
        <w:t xml:space="preserve"> and therefore </w:t>
      </w:r>
      <w:r w:rsidR="00B66DE4" w:rsidRPr="003E1F0D">
        <w:rPr>
          <w:szCs w:val="22"/>
        </w:rPr>
        <w:t xml:space="preserve">claims </w:t>
      </w:r>
      <w:r w:rsidR="00C04AC0" w:rsidRPr="003E1F0D">
        <w:rPr>
          <w:szCs w:val="22"/>
        </w:rPr>
        <w:t xml:space="preserve">that the staff </w:t>
      </w:r>
      <w:r w:rsidR="00B66DE4" w:rsidRPr="003E1F0D">
        <w:rPr>
          <w:szCs w:val="22"/>
        </w:rPr>
        <w:t xml:space="preserve">improperly applied </w:t>
      </w:r>
      <w:r w:rsidR="00C04AC0" w:rsidRPr="003E1F0D">
        <w:rPr>
          <w:szCs w:val="22"/>
        </w:rPr>
        <w:t>the general nunc pro tunc processing policy to the ASDA amendment</w:t>
      </w:r>
      <w:r w:rsidR="00720B28" w:rsidRPr="003E1F0D">
        <w:rPr>
          <w:szCs w:val="22"/>
        </w:rPr>
        <w:t xml:space="preserve">.  </w:t>
      </w:r>
      <w:r w:rsidR="00E9792C" w:rsidRPr="003E1F0D">
        <w:rPr>
          <w:szCs w:val="22"/>
        </w:rPr>
        <w:t xml:space="preserve">The Bureau based this finding on the fact that, at no time prior to the filing window during which ASDA and JSU </w:t>
      </w:r>
      <w:r w:rsidR="00E9792C" w:rsidRPr="003E1F0D">
        <w:rPr>
          <w:szCs w:val="22"/>
        </w:rPr>
        <w:lastRenderedPageBreak/>
        <w:t>submitted their applications, did the Commission provide full and explicit notice that it would treat a third channel reservation standard defect as incurable.</w:t>
      </w:r>
      <w:r w:rsidR="00137E8E" w:rsidRPr="003E1F0D">
        <w:rPr>
          <w:rStyle w:val="FootnoteReference"/>
          <w:szCs w:val="22"/>
        </w:rPr>
        <w:footnoteReference w:id="6"/>
      </w:r>
      <w:r w:rsidR="00E9792C" w:rsidRPr="003E1F0D">
        <w:rPr>
          <w:szCs w:val="22"/>
        </w:rPr>
        <w:t xml:space="preserve">  In the AFR, JSU argues that </w:t>
      </w:r>
      <w:r w:rsidR="00137E8E" w:rsidRPr="003E1F0D">
        <w:rPr>
          <w:szCs w:val="22"/>
        </w:rPr>
        <w:t xml:space="preserve">the Commission did provide adequate notice.  To support this argument, </w:t>
      </w:r>
      <w:r w:rsidR="008D7F34" w:rsidRPr="003E1F0D">
        <w:rPr>
          <w:szCs w:val="22"/>
        </w:rPr>
        <w:t xml:space="preserve">JSU cites the Commission </w:t>
      </w:r>
      <w:r w:rsidR="00F87491" w:rsidRPr="003E1F0D">
        <w:rPr>
          <w:szCs w:val="22"/>
        </w:rPr>
        <w:t>order</w:t>
      </w:r>
      <w:r w:rsidR="008D7F34" w:rsidRPr="003E1F0D">
        <w:rPr>
          <w:szCs w:val="22"/>
        </w:rPr>
        <w:t xml:space="preserve"> adopting the thi</w:t>
      </w:r>
      <w:r w:rsidR="00CC068B" w:rsidRPr="003E1F0D">
        <w:rPr>
          <w:szCs w:val="22"/>
        </w:rPr>
        <w:t>rd channel reservation standard.</w:t>
      </w:r>
      <w:r w:rsidR="0019416E" w:rsidRPr="003E1F0D">
        <w:rPr>
          <w:rStyle w:val="FootnoteReference"/>
          <w:szCs w:val="22"/>
        </w:rPr>
        <w:footnoteReference w:id="7"/>
      </w:r>
      <w:r w:rsidR="0019416E" w:rsidRPr="003E1F0D">
        <w:rPr>
          <w:szCs w:val="22"/>
        </w:rPr>
        <w:t xml:space="preserve">  </w:t>
      </w:r>
      <w:r w:rsidR="0005115B" w:rsidRPr="003E1F0D">
        <w:rPr>
          <w:szCs w:val="22"/>
        </w:rPr>
        <w:t xml:space="preserve">It also cites the </w:t>
      </w:r>
      <w:r w:rsidR="00137E8E" w:rsidRPr="003E1F0D">
        <w:rPr>
          <w:szCs w:val="22"/>
        </w:rPr>
        <w:t>Public Notice</w:t>
      </w:r>
      <w:r w:rsidR="0005115B" w:rsidRPr="003E1F0D">
        <w:rPr>
          <w:szCs w:val="22"/>
        </w:rPr>
        <w:t xml:space="preserve"> </w:t>
      </w:r>
      <w:r w:rsidR="00F87491" w:rsidRPr="003E1F0D">
        <w:rPr>
          <w:szCs w:val="22"/>
        </w:rPr>
        <w:t>that announced</w:t>
      </w:r>
      <w:r w:rsidR="0005115B" w:rsidRPr="003E1F0D">
        <w:rPr>
          <w:szCs w:val="22"/>
        </w:rPr>
        <w:t xml:space="preserve"> the</w:t>
      </w:r>
      <w:r w:rsidR="00F87491" w:rsidRPr="003E1F0D">
        <w:rPr>
          <w:szCs w:val="22"/>
        </w:rPr>
        <w:t xml:space="preserve"> </w:t>
      </w:r>
      <w:r w:rsidR="0005115B" w:rsidRPr="003E1F0D">
        <w:rPr>
          <w:szCs w:val="22"/>
        </w:rPr>
        <w:t>filing window</w:t>
      </w:r>
      <w:r w:rsidR="007A10E7" w:rsidRPr="003E1F0D">
        <w:rPr>
          <w:szCs w:val="22"/>
        </w:rPr>
        <w:t xml:space="preserve"> in which ASDA and JSU filed their applications</w:t>
      </w:r>
      <w:r w:rsidR="0005115B" w:rsidRPr="003E1F0D">
        <w:rPr>
          <w:szCs w:val="22"/>
        </w:rPr>
        <w:t xml:space="preserve"> and </w:t>
      </w:r>
      <w:r w:rsidR="00F87491" w:rsidRPr="003E1F0D">
        <w:rPr>
          <w:szCs w:val="22"/>
        </w:rPr>
        <w:t>set</w:t>
      </w:r>
      <w:r w:rsidR="00146AE3" w:rsidRPr="003E1F0D">
        <w:rPr>
          <w:szCs w:val="22"/>
        </w:rPr>
        <w:t xml:space="preserve"> forth </w:t>
      </w:r>
      <w:r w:rsidR="0005115B" w:rsidRPr="003E1F0D">
        <w:rPr>
          <w:szCs w:val="22"/>
        </w:rPr>
        <w:t>the filing procedures for that window.</w:t>
      </w:r>
      <w:r w:rsidR="0005115B" w:rsidRPr="003E1F0D">
        <w:rPr>
          <w:rStyle w:val="FootnoteReference"/>
          <w:szCs w:val="22"/>
        </w:rPr>
        <w:footnoteReference w:id="8"/>
      </w:r>
      <w:r w:rsidR="0005115B" w:rsidRPr="003E1F0D">
        <w:rPr>
          <w:szCs w:val="22"/>
        </w:rPr>
        <w:t xml:space="preserve">  </w:t>
      </w:r>
      <w:r w:rsidR="00F87491" w:rsidRPr="003E1F0D">
        <w:rPr>
          <w:szCs w:val="22"/>
        </w:rPr>
        <w:t>B</w:t>
      </w:r>
      <w:r w:rsidR="0005115B" w:rsidRPr="003E1F0D">
        <w:rPr>
          <w:szCs w:val="22"/>
        </w:rPr>
        <w:t xml:space="preserve">oth </w:t>
      </w:r>
      <w:r w:rsidR="00F87491" w:rsidRPr="003E1F0D">
        <w:rPr>
          <w:szCs w:val="22"/>
        </w:rPr>
        <w:t>the</w:t>
      </w:r>
      <w:r w:rsidR="0005115B" w:rsidRPr="003E1F0D">
        <w:rPr>
          <w:szCs w:val="22"/>
        </w:rPr>
        <w:t xml:space="preserve"> order and the notice discuss the third channel reservation standard</w:t>
      </w:r>
      <w:r w:rsidR="00F87491" w:rsidRPr="003E1F0D">
        <w:rPr>
          <w:szCs w:val="22"/>
        </w:rPr>
        <w:t>.  However,</w:t>
      </w:r>
      <w:r w:rsidR="0005115B" w:rsidRPr="003E1F0D">
        <w:rPr>
          <w:szCs w:val="22"/>
        </w:rPr>
        <w:t xml:space="preserve"> neither </w:t>
      </w:r>
      <w:r w:rsidR="00F87491" w:rsidRPr="003E1F0D">
        <w:rPr>
          <w:szCs w:val="22"/>
        </w:rPr>
        <w:t>address</w:t>
      </w:r>
      <w:r w:rsidR="007A10E7" w:rsidRPr="003E1F0D">
        <w:rPr>
          <w:szCs w:val="22"/>
        </w:rPr>
        <w:t>es</w:t>
      </w:r>
      <w:r w:rsidR="0005115B" w:rsidRPr="003E1F0D">
        <w:rPr>
          <w:szCs w:val="22"/>
        </w:rPr>
        <w:t xml:space="preserve"> whether the Commission </w:t>
      </w:r>
      <w:r w:rsidR="00B66DE4" w:rsidRPr="003E1F0D">
        <w:rPr>
          <w:szCs w:val="22"/>
        </w:rPr>
        <w:t>would</w:t>
      </w:r>
      <w:r w:rsidR="0005115B" w:rsidRPr="003E1F0D">
        <w:rPr>
          <w:szCs w:val="22"/>
        </w:rPr>
        <w:t xml:space="preserve"> treat </w:t>
      </w:r>
      <w:r w:rsidR="00E21D19" w:rsidRPr="003E1F0D">
        <w:rPr>
          <w:szCs w:val="22"/>
        </w:rPr>
        <w:t>the third channel reservation standard as a minimum filing requirement, as opposed to “tender and/or acceptance information</w:t>
      </w:r>
      <w:r w:rsidR="000771AA" w:rsidRPr="003E1F0D">
        <w:rPr>
          <w:szCs w:val="22"/>
        </w:rPr>
        <w:t>,</w:t>
      </w:r>
      <w:r w:rsidR="00E21D19" w:rsidRPr="003E1F0D">
        <w:rPr>
          <w:szCs w:val="22"/>
        </w:rPr>
        <w:t xml:space="preserve">” for purposes of Section 73.3564(a)(3) of the Rules, which </w:t>
      </w:r>
      <w:r w:rsidR="00E21D19" w:rsidRPr="003E1F0D">
        <w:rPr>
          <w:color w:val="010101"/>
          <w:szCs w:val="22"/>
        </w:rPr>
        <w:t>provides an opportunity for corrective amendment pursuant to Section 73.3522 of the Rules where an application meets minimum filing requirements but contains deficiencies in tender and/or acceptance information.</w:t>
      </w:r>
      <w:r w:rsidR="00794B30" w:rsidRPr="003E1F0D">
        <w:rPr>
          <w:rStyle w:val="FootnoteReference"/>
          <w:szCs w:val="22"/>
        </w:rPr>
        <w:footnoteReference w:id="9"/>
      </w:r>
      <w:r w:rsidR="009705A5" w:rsidRPr="003E1F0D">
        <w:rPr>
          <w:szCs w:val="22"/>
        </w:rPr>
        <w:t xml:space="preserve">  </w:t>
      </w:r>
      <w:r w:rsidR="003B5ED5" w:rsidRPr="003E1F0D">
        <w:rPr>
          <w:szCs w:val="22"/>
        </w:rPr>
        <w:t>T</w:t>
      </w:r>
      <w:r w:rsidR="003B5ED5" w:rsidRPr="003E1F0D">
        <w:t xml:space="preserve">he Commission must give full and explicit notice that an application filing requirement is a minimum filing requirement.  Otherwise, </w:t>
      </w:r>
      <w:r w:rsidR="0085107C" w:rsidRPr="003E1F0D">
        <w:t xml:space="preserve">it cannot treat </w:t>
      </w:r>
      <w:r w:rsidR="003B5ED5" w:rsidRPr="003E1F0D">
        <w:t xml:space="preserve">the failure to satisfy such a requirement </w:t>
      </w:r>
      <w:r w:rsidR="0085107C" w:rsidRPr="003E1F0D">
        <w:t>as an incurable defect</w:t>
      </w:r>
      <w:r w:rsidR="003B5ED5" w:rsidRPr="003E1F0D">
        <w:t xml:space="preserve">.   </w:t>
      </w:r>
      <w:r w:rsidR="00C60F8F" w:rsidRPr="003E1F0D">
        <w:t>As the Bureau stated, the lack of notice is the critical factor</w:t>
      </w:r>
      <w:r w:rsidR="003B5ED5" w:rsidRPr="003E1F0D">
        <w:t xml:space="preserve"> here</w:t>
      </w:r>
      <w:r w:rsidR="00C60F8F" w:rsidRPr="003E1F0D">
        <w:t>.</w:t>
      </w:r>
      <w:r w:rsidR="0011436F" w:rsidRPr="003E1F0D">
        <w:rPr>
          <w:rStyle w:val="FootnoteReference"/>
        </w:rPr>
        <w:footnoteReference w:id="10"/>
      </w:r>
      <w:r w:rsidR="00C60F8F" w:rsidRPr="003E1F0D">
        <w:t xml:space="preserve">  </w:t>
      </w:r>
      <w:r w:rsidR="009329C3" w:rsidRPr="003E1F0D">
        <w:t>Thus</w:t>
      </w:r>
      <w:r w:rsidR="003005B4" w:rsidRPr="003E1F0D">
        <w:t>, w</w:t>
      </w:r>
      <w:r w:rsidR="009705A5" w:rsidRPr="003E1F0D">
        <w:t>e find the Bureau properly decided this issue, and we uphold its finding for the re</w:t>
      </w:r>
      <w:r w:rsidR="00C30C45" w:rsidRPr="003E1F0D">
        <w:t xml:space="preserve">asons stated </w:t>
      </w:r>
      <w:r w:rsidR="009329C3" w:rsidRPr="003E1F0D">
        <w:t xml:space="preserve">here and </w:t>
      </w:r>
      <w:r w:rsidR="00C30C45" w:rsidRPr="003E1F0D">
        <w:t xml:space="preserve">in </w:t>
      </w:r>
      <w:r w:rsidR="009329C3" w:rsidRPr="003E1F0D">
        <w:t xml:space="preserve">the Bureau’s </w:t>
      </w:r>
      <w:r w:rsidR="00C30C45" w:rsidRPr="003E1F0D">
        <w:t>decision.</w:t>
      </w:r>
      <w:r w:rsidR="00F87491" w:rsidRPr="003E1F0D">
        <w:rPr>
          <w:rStyle w:val="FootnoteReference"/>
        </w:rPr>
        <w:footnoteReference w:id="11"/>
      </w:r>
      <w:r w:rsidR="00F87491" w:rsidRPr="003E1F0D">
        <w:t xml:space="preserve">  </w:t>
      </w:r>
    </w:p>
    <w:p w:rsidR="00BC7D4B" w:rsidRPr="003E1F0D" w:rsidRDefault="0050221B" w:rsidP="00CD1343">
      <w:pPr>
        <w:pStyle w:val="ParaNum"/>
        <w:widowControl/>
        <w:autoSpaceDE w:val="0"/>
        <w:autoSpaceDN w:val="0"/>
        <w:adjustRightInd w:val="0"/>
        <w:ind w:left="86" w:firstLine="634"/>
        <w:rPr>
          <w:szCs w:val="22"/>
        </w:rPr>
      </w:pPr>
      <w:r w:rsidRPr="003E1F0D">
        <w:rPr>
          <w:szCs w:val="22"/>
        </w:rPr>
        <w:t xml:space="preserve">JSU </w:t>
      </w:r>
      <w:r w:rsidR="00FE3338" w:rsidRPr="003E1F0D">
        <w:rPr>
          <w:szCs w:val="22"/>
        </w:rPr>
        <w:t xml:space="preserve">further </w:t>
      </w:r>
      <w:r w:rsidRPr="003E1F0D">
        <w:rPr>
          <w:szCs w:val="22"/>
        </w:rPr>
        <w:t>argues that</w:t>
      </w:r>
      <w:r w:rsidR="00720B28" w:rsidRPr="003E1F0D">
        <w:rPr>
          <w:szCs w:val="22"/>
        </w:rPr>
        <w:t>, in concluding that a third channel reservation standard defect is curable,</w:t>
      </w:r>
      <w:r w:rsidRPr="003E1F0D">
        <w:rPr>
          <w:szCs w:val="22"/>
        </w:rPr>
        <w:t xml:space="preserve"> the Bureau “impermissibly reverse[d] a full Commission decision.”</w:t>
      </w:r>
      <w:r w:rsidRPr="003E1F0D">
        <w:rPr>
          <w:rStyle w:val="FootnoteReference"/>
          <w:szCs w:val="22"/>
        </w:rPr>
        <w:footnoteReference w:id="12"/>
      </w:r>
      <w:r w:rsidRPr="003E1F0D">
        <w:rPr>
          <w:szCs w:val="22"/>
        </w:rPr>
        <w:t xml:space="preserve">  It points to the Commission’s treatment of an applicant</w:t>
      </w:r>
      <w:r w:rsidR="00B96B43" w:rsidRPr="003E1F0D">
        <w:rPr>
          <w:szCs w:val="22"/>
        </w:rPr>
        <w:t>, Serendipity Educational Broadcasting, Inc. (“Serendipity”),</w:t>
      </w:r>
      <w:r w:rsidRPr="003E1F0D">
        <w:rPr>
          <w:szCs w:val="22"/>
        </w:rPr>
        <w:t xml:space="preserve"> in </w:t>
      </w:r>
      <w:r w:rsidR="008E31F9" w:rsidRPr="003E1F0D">
        <w:rPr>
          <w:szCs w:val="22"/>
        </w:rPr>
        <w:t xml:space="preserve">a different group of mutually exclusive applications </w:t>
      </w:r>
      <w:r w:rsidR="00720B28" w:rsidRPr="003E1F0D">
        <w:rPr>
          <w:szCs w:val="22"/>
        </w:rPr>
        <w:t xml:space="preserve">for a different reserved </w:t>
      </w:r>
      <w:r w:rsidR="00C401EB" w:rsidRPr="003E1F0D">
        <w:rPr>
          <w:szCs w:val="22"/>
        </w:rPr>
        <w:t xml:space="preserve">NCE </w:t>
      </w:r>
      <w:r w:rsidR="00720B28" w:rsidRPr="003E1F0D">
        <w:rPr>
          <w:szCs w:val="22"/>
        </w:rPr>
        <w:t>allotment</w:t>
      </w:r>
      <w:r w:rsidR="00C04AC0" w:rsidRPr="003E1F0D">
        <w:rPr>
          <w:szCs w:val="22"/>
        </w:rPr>
        <w:t xml:space="preserve"> in the non-reserved FM band</w:t>
      </w:r>
      <w:r w:rsidRPr="003E1F0D">
        <w:rPr>
          <w:szCs w:val="22"/>
        </w:rPr>
        <w:t>.</w:t>
      </w:r>
      <w:r w:rsidR="001740CC" w:rsidRPr="003E1F0D">
        <w:rPr>
          <w:rStyle w:val="FootnoteReference"/>
          <w:szCs w:val="22"/>
        </w:rPr>
        <w:footnoteReference w:id="13"/>
      </w:r>
      <w:r w:rsidRPr="003E1F0D">
        <w:rPr>
          <w:szCs w:val="22"/>
        </w:rPr>
        <w:t xml:space="preserve">  </w:t>
      </w:r>
      <w:r w:rsidR="00B96B43" w:rsidRPr="003E1F0D">
        <w:rPr>
          <w:szCs w:val="22"/>
        </w:rPr>
        <w:t>There,</w:t>
      </w:r>
      <w:r w:rsidRPr="003E1F0D">
        <w:rPr>
          <w:szCs w:val="22"/>
        </w:rPr>
        <w:t xml:space="preserve"> the Commission </w:t>
      </w:r>
      <w:r w:rsidR="00B96B43" w:rsidRPr="003E1F0D">
        <w:rPr>
          <w:szCs w:val="22"/>
        </w:rPr>
        <w:t>refused to consider</w:t>
      </w:r>
      <w:r w:rsidR="003F7491" w:rsidRPr="003E1F0D">
        <w:rPr>
          <w:szCs w:val="22"/>
        </w:rPr>
        <w:t xml:space="preserve"> an amendment submitted by </w:t>
      </w:r>
      <w:r w:rsidR="00B96B43" w:rsidRPr="003E1F0D">
        <w:rPr>
          <w:szCs w:val="22"/>
        </w:rPr>
        <w:t xml:space="preserve">Serendipity </w:t>
      </w:r>
      <w:r w:rsidR="00B66DE4" w:rsidRPr="003E1F0D">
        <w:rPr>
          <w:szCs w:val="22"/>
        </w:rPr>
        <w:t xml:space="preserve">certifying for the first time that </w:t>
      </w:r>
      <w:r w:rsidR="003F7491" w:rsidRPr="003E1F0D">
        <w:t xml:space="preserve">its proposal </w:t>
      </w:r>
      <w:r w:rsidR="007612C6" w:rsidRPr="003E1F0D">
        <w:t>satisf</w:t>
      </w:r>
      <w:r w:rsidR="00B66DE4" w:rsidRPr="003E1F0D">
        <w:t>ied</w:t>
      </w:r>
      <w:r w:rsidR="007612C6" w:rsidRPr="003E1F0D">
        <w:t xml:space="preserve"> the </w:t>
      </w:r>
      <w:r w:rsidR="00FB6B7C" w:rsidRPr="003E1F0D">
        <w:t xml:space="preserve">third channel reservation </w:t>
      </w:r>
      <w:r w:rsidR="007612C6" w:rsidRPr="003E1F0D">
        <w:t xml:space="preserve">standard.  The Commission </w:t>
      </w:r>
      <w:r w:rsidR="00B96B43" w:rsidRPr="003E1F0D">
        <w:t>found that the amendment</w:t>
      </w:r>
      <w:r w:rsidR="005F1E89" w:rsidRPr="003E1F0D">
        <w:t xml:space="preserve"> </w:t>
      </w:r>
      <w:r w:rsidR="00B96B43" w:rsidRPr="003E1F0D">
        <w:t>“</w:t>
      </w:r>
      <w:r w:rsidR="005F1E89" w:rsidRPr="003E1F0D">
        <w:t>constituted a prohibited attempt to enhance the applica</w:t>
      </w:r>
      <w:r w:rsidR="003F7491" w:rsidRPr="003E1F0D">
        <w:t>nt’s comparative position.</w:t>
      </w:r>
      <w:r w:rsidR="00B96B43" w:rsidRPr="003E1F0D">
        <w:t>”</w:t>
      </w:r>
      <w:r w:rsidR="00B96B43" w:rsidRPr="003E1F0D">
        <w:rPr>
          <w:rStyle w:val="FootnoteReference"/>
        </w:rPr>
        <w:footnoteReference w:id="14"/>
      </w:r>
      <w:r w:rsidR="007612C6" w:rsidRPr="003E1F0D">
        <w:t xml:space="preserve">  </w:t>
      </w:r>
    </w:p>
    <w:p w:rsidR="007612C6" w:rsidRPr="003E1F0D" w:rsidRDefault="00D907A4" w:rsidP="00052375">
      <w:pPr>
        <w:pStyle w:val="ParaNum"/>
        <w:widowControl/>
        <w:autoSpaceDE w:val="0"/>
        <w:autoSpaceDN w:val="0"/>
        <w:adjustRightInd w:val="0"/>
        <w:ind w:left="86" w:firstLine="634"/>
        <w:rPr>
          <w:szCs w:val="22"/>
        </w:rPr>
      </w:pPr>
      <w:r w:rsidRPr="003E1F0D">
        <w:t>As an initial matter, the Commission decision cited by JSU was issued after the ASDA Application was filed.  Therefore, it could not have possibly provided ASDA with notice that the Commission would treat a third channel reservation standard defect as incurable.  Moreover, we</w:t>
      </w:r>
      <w:r w:rsidR="005F1E89" w:rsidRPr="003E1F0D">
        <w:t xml:space="preserve"> have </w:t>
      </w:r>
      <w:r w:rsidR="005F1E89" w:rsidRPr="003E1F0D">
        <w:lastRenderedPageBreak/>
        <w:t xml:space="preserve">reviewed the Commission’s treatment of </w:t>
      </w:r>
      <w:r w:rsidR="007F177B" w:rsidRPr="003E1F0D">
        <w:t>Serendipity</w:t>
      </w:r>
      <w:r w:rsidR="005F1E89" w:rsidRPr="003E1F0D">
        <w:t xml:space="preserve"> and find it </w:t>
      </w:r>
      <w:r w:rsidR="00F76948" w:rsidRPr="003E1F0D">
        <w:t>erred.</w:t>
      </w:r>
      <w:r w:rsidR="00CD1343" w:rsidRPr="003E1F0D">
        <w:rPr>
          <w:rStyle w:val="FootnoteReference"/>
        </w:rPr>
        <w:footnoteReference w:id="15"/>
      </w:r>
      <w:r w:rsidR="00CD1343" w:rsidRPr="003E1F0D">
        <w:t xml:space="preserve">  </w:t>
      </w:r>
      <w:r w:rsidR="00F76948" w:rsidRPr="003E1F0D">
        <w:t xml:space="preserve">The Commission </w:t>
      </w:r>
      <w:r w:rsidR="00A02ED6" w:rsidRPr="003E1F0D">
        <w:t>uses</w:t>
      </w:r>
      <w:r w:rsidR="000F29C6" w:rsidRPr="003E1F0D">
        <w:t xml:space="preserve"> population data in a number of contexts</w:t>
      </w:r>
      <w:r w:rsidR="00F76948" w:rsidRPr="003E1F0D">
        <w:t xml:space="preserve">.  In </w:t>
      </w:r>
      <w:r w:rsidR="00B14B88" w:rsidRPr="003E1F0D">
        <w:t>some</w:t>
      </w:r>
      <w:r w:rsidR="000D5CC1" w:rsidRPr="003E1F0D">
        <w:t xml:space="preserve"> contexts</w:t>
      </w:r>
      <w:r w:rsidR="00B96B43" w:rsidRPr="003E1F0D">
        <w:t>, an amendment altering the population served by a proposed facility</w:t>
      </w:r>
      <w:r w:rsidR="009240F0" w:rsidRPr="003E1F0D">
        <w:t xml:space="preserve"> – or changing an applicant’s certification with respect to such population – c</w:t>
      </w:r>
      <w:r w:rsidR="00B96B43" w:rsidRPr="003E1F0D">
        <w:t>ould enhance an applicant’s comparative</w:t>
      </w:r>
      <w:r w:rsidR="009240F0" w:rsidRPr="003E1F0D">
        <w:t xml:space="preserve"> position</w:t>
      </w:r>
      <w:r w:rsidR="00B96B43" w:rsidRPr="003E1F0D">
        <w:t>.</w:t>
      </w:r>
      <w:r w:rsidR="00B14B88" w:rsidRPr="003E1F0D">
        <w:rPr>
          <w:rStyle w:val="FootnoteReference"/>
        </w:rPr>
        <w:footnoteReference w:id="16"/>
      </w:r>
      <w:r w:rsidR="00B96B43" w:rsidRPr="003E1F0D">
        <w:t xml:space="preserve">  In </w:t>
      </w:r>
      <w:r w:rsidR="00B14B88" w:rsidRPr="003E1F0D">
        <w:t>others</w:t>
      </w:r>
      <w:r w:rsidR="00D77A17" w:rsidRPr="003E1F0D">
        <w:t xml:space="preserve">, </w:t>
      </w:r>
      <w:r w:rsidR="00C04AC0" w:rsidRPr="003E1F0D">
        <w:t xml:space="preserve">population and service certifications and computations may relate only to a non-comparative acceptability </w:t>
      </w:r>
      <w:r w:rsidR="005852B0" w:rsidRPr="003E1F0D">
        <w:t>issue.  This</w:t>
      </w:r>
      <w:r w:rsidR="00B14B88" w:rsidRPr="003E1F0D">
        <w:t xml:space="preserve"> is the case with the third chann</w:t>
      </w:r>
      <w:r w:rsidR="00BC7D4B" w:rsidRPr="003E1F0D">
        <w:t xml:space="preserve">el reservation standard.  </w:t>
      </w:r>
      <w:r w:rsidR="00D77A17" w:rsidRPr="003E1F0D">
        <w:t xml:space="preserve">In its original application, Serendipity certified that </w:t>
      </w:r>
      <w:r w:rsidR="00BC7D4B" w:rsidRPr="003E1F0D">
        <w:t>its</w:t>
      </w:r>
      <w:r w:rsidR="00D77A17" w:rsidRPr="003E1F0D">
        <w:t xml:space="preserve"> proposed facility </w:t>
      </w:r>
      <w:r w:rsidR="00BC7D4B" w:rsidRPr="003E1F0D">
        <w:t>did not satisfy the third channel reservation standard</w:t>
      </w:r>
      <w:r w:rsidR="00D77A17" w:rsidRPr="003E1F0D">
        <w:t xml:space="preserve">.  In its amendment, </w:t>
      </w:r>
      <w:r w:rsidR="00FE3338" w:rsidRPr="003E1F0D">
        <w:t>Serendipity</w:t>
      </w:r>
      <w:r w:rsidR="00D77A17" w:rsidRPr="003E1F0D">
        <w:t xml:space="preserve"> sought to change </w:t>
      </w:r>
      <w:r w:rsidR="00BC7D4B" w:rsidRPr="003E1F0D">
        <w:t>its</w:t>
      </w:r>
      <w:r w:rsidR="00D77A17" w:rsidRPr="003E1F0D">
        <w:t xml:space="preserve"> certification from “no” to “yes</w:t>
      </w:r>
      <w:r w:rsidR="00DF4534" w:rsidRPr="003E1F0D">
        <w:t>.</w:t>
      </w:r>
      <w:r w:rsidR="00D77A17" w:rsidRPr="003E1F0D">
        <w:t>”</w:t>
      </w:r>
      <w:r w:rsidR="00A639AD" w:rsidRPr="003E1F0D">
        <w:rPr>
          <w:rStyle w:val="FootnoteReference"/>
        </w:rPr>
        <w:footnoteReference w:id="17"/>
      </w:r>
      <w:r w:rsidR="00D77A17" w:rsidRPr="003E1F0D">
        <w:t xml:space="preserve">  </w:t>
      </w:r>
      <w:r w:rsidR="00B66DE4" w:rsidRPr="003E1F0D">
        <w:t>In these circumstances t</w:t>
      </w:r>
      <w:r w:rsidR="00D77A17" w:rsidRPr="003E1F0D">
        <w:t xml:space="preserve">he amendment merely </w:t>
      </w:r>
      <w:r w:rsidR="00B66DE4" w:rsidRPr="003E1F0D">
        <w:t xml:space="preserve">sought to cure </w:t>
      </w:r>
      <w:r w:rsidR="002C1848" w:rsidRPr="003E1F0D">
        <w:t>an acceptability defect.  However, the Commission mischaracterized it as a comparative amendment and erroneously rejected it on this basis</w:t>
      </w:r>
      <w:r w:rsidR="00D77A17" w:rsidRPr="003E1F0D">
        <w:t>.</w:t>
      </w:r>
      <w:r w:rsidR="00D77A17" w:rsidRPr="003E1F0D">
        <w:rPr>
          <w:rStyle w:val="FootnoteReference"/>
        </w:rPr>
        <w:footnoteReference w:id="18"/>
      </w:r>
      <w:r w:rsidR="00C53A42" w:rsidRPr="003E1F0D">
        <w:t xml:space="preserve">  </w:t>
      </w:r>
      <w:r w:rsidR="00BC7D4B" w:rsidRPr="003E1F0D">
        <w:t>Given our conclusion that the Commission erred in failing to consider Serendipity’s amendment, we find JSU’s argument that the Bureau contravened this precedent moot.</w:t>
      </w:r>
    </w:p>
    <w:p w:rsidR="00FE3338" w:rsidRPr="003E1F0D" w:rsidRDefault="00050F6A" w:rsidP="004B74F6">
      <w:pPr>
        <w:pStyle w:val="ParaNum"/>
        <w:widowControl/>
        <w:autoSpaceDE w:val="0"/>
        <w:autoSpaceDN w:val="0"/>
        <w:adjustRightInd w:val="0"/>
        <w:ind w:left="86" w:firstLine="634"/>
        <w:rPr>
          <w:szCs w:val="22"/>
        </w:rPr>
      </w:pPr>
      <w:r w:rsidRPr="003E1F0D">
        <w:t>We reject</w:t>
      </w:r>
      <w:r w:rsidR="00FE3338" w:rsidRPr="003E1F0D">
        <w:t xml:space="preserve"> JSU’s claim that, if the Commission reaches the conclusion that failure to satisfy the third channel reservation standard is a curable defect, it will encourage “carelessly filed applications and gamesmanship.”</w:t>
      </w:r>
      <w:r w:rsidR="00FE3338" w:rsidRPr="003E1F0D">
        <w:rPr>
          <w:rStyle w:val="FootnoteReference"/>
        </w:rPr>
        <w:footnoteReference w:id="19"/>
      </w:r>
      <w:r w:rsidR="00FE3338" w:rsidRPr="003E1F0D">
        <w:t xml:space="preserve">  As we explained above, satisfaction of the third channel reservation standard does not offer an applicant a comparative advantage.  As the precedents cited by JSU indicate,</w:t>
      </w:r>
      <w:r w:rsidR="00FE3338" w:rsidRPr="003E1F0D">
        <w:rPr>
          <w:rStyle w:val="FootnoteReference"/>
        </w:rPr>
        <w:footnoteReference w:id="20"/>
      </w:r>
      <w:r w:rsidR="00FE3338" w:rsidRPr="003E1F0D">
        <w:t xml:space="preserve"> we will dismiss any application for a channel reserved under this standard which does not demonstrate that it meets th</w:t>
      </w:r>
      <w:r w:rsidR="002C1848" w:rsidRPr="003E1F0D">
        <w:t>is acceptability</w:t>
      </w:r>
      <w:r w:rsidR="00FE3338" w:rsidRPr="003E1F0D">
        <w:t xml:space="preserve"> standard.  To have its application reinstated, an applicant dismissed for this reason must amend its application to propose a facility that does satisfy the standard.  If the applicant must decrease the population and/or area it proposes to serve to accomplish this, those changes would be taken into account during any point hearing.</w:t>
      </w:r>
      <w:r w:rsidR="00FE3338" w:rsidRPr="003E1F0D">
        <w:rPr>
          <w:rStyle w:val="FootnoteReference"/>
        </w:rPr>
        <w:footnoteReference w:id="21"/>
      </w:r>
    </w:p>
    <w:p w:rsidR="009C0161" w:rsidRPr="003E1F0D" w:rsidRDefault="00FE3338" w:rsidP="004B74F6">
      <w:pPr>
        <w:pStyle w:val="ParaNum"/>
        <w:widowControl/>
        <w:autoSpaceDE w:val="0"/>
        <w:autoSpaceDN w:val="0"/>
        <w:adjustRightInd w:val="0"/>
        <w:ind w:left="86" w:firstLine="634"/>
        <w:rPr>
          <w:szCs w:val="22"/>
        </w:rPr>
      </w:pPr>
      <w:r w:rsidRPr="003E1F0D">
        <w:t xml:space="preserve">We </w:t>
      </w:r>
      <w:r w:rsidR="00050F6A" w:rsidRPr="003E1F0D">
        <w:t>are unpersuaded by</w:t>
      </w:r>
      <w:r w:rsidRPr="003E1F0D">
        <w:t xml:space="preserve"> JSU’s </w:t>
      </w:r>
      <w:r w:rsidR="004B74F6" w:rsidRPr="003E1F0D">
        <w:t>argument that Section 73.3522(b) “refers specifically to tentative selectees and thus applies only to applicants</w:t>
      </w:r>
      <w:r w:rsidR="007612C6" w:rsidRPr="003E1F0D">
        <w:t xml:space="preserve"> </w:t>
      </w:r>
      <w:r w:rsidR="004B74F6" w:rsidRPr="003E1F0D">
        <w:t>in that posture.”</w:t>
      </w:r>
      <w:r w:rsidR="0046606C" w:rsidRPr="003E1F0D">
        <w:rPr>
          <w:rStyle w:val="FootnoteReference"/>
        </w:rPr>
        <w:footnoteReference w:id="22"/>
      </w:r>
      <w:r w:rsidR="004B74F6" w:rsidRPr="003E1F0D">
        <w:t xml:space="preserve">  </w:t>
      </w:r>
      <w:r w:rsidR="007612C6" w:rsidRPr="003E1F0D">
        <w:t xml:space="preserve"> </w:t>
      </w:r>
      <w:r w:rsidR="00D458EB" w:rsidRPr="003E1F0D">
        <w:t>Upon review of the AFR and the entire record</w:t>
      </w:r>
      <w:r w:rsidR="004B74F6" w:rsidRPr="003E1F0D">
        <w:t xml:space="preserve">, we find the Bureau properly decided this issue, and we uphold its finding for </w:t>
      </w:r>
      <w:r w:rsidR="004B74F6" w:rsidRPr="003E1F0D">
        <w:rPr>
          <w:szCs w:val="22"/>
        </w:rPr>
        <w:t>the</w:t>
      </w:r>
      <w:r w:rsidR="004B74F6" w:rsidRPr="003E1F0D">
        <w:t xml:space="preserve"> </w:t>
      </w:r>
      <w:r w:rsidR="004B74F6" w:rsidRPr="003E1F0D">
        <w:rPr>
          <w:szCs w:val="22"/>
        </w:rPr>
        <w:t xml:space="preserve">reasons stated in its decision.  </w:t>
      </w:r>
    </w:p>
    <w:p w:rsidR="004B74F6" w:rsidRPr="003E1F0D" w:rsidRDefault="009C0161" w:rsidP="004B74F6">
      <w:pPr>
        <w:pStyle w:val="ParaNum"/>
        <w:widowControl/>
        <w:autoSpaceDE w:val="0"/>
        <w:autoSpaceDN w:val="0"/>
        <w:adjustRightInd w:val="0"/>
        <w:ind w:left="86" w:firstLine="634"/>
        <w:rPr>
          <w:szCs w:val="22"/>
        </w:rPr>
      </w:pPr>
      <w:r w:rsidRPr="003E1F0D">
        <w:rPr>
          <w:szCs w:val="22"/>
        </w:rPr>
        <w:t>Finally, unlike JSU,</w:t>
      </w:r>
      <w:r w:rsidR="0046606C" w:rsidRPr="003E1F0D">
        <w:rPr>
          <w:rStyle w:val="FootnoteReference"/>
          <w:szCs w:val="22"/>
        </w:rPr>
        <w:footnoteReference w:id="23"/>
      </w:r>
      <w:r w:rsidRPr="003E1F0D">
        <w:rPr>
          <w:szCs w:val="22"/>
        </w:rPr>
        <w:t xml:space="preserve"> we conclude</w:t>
      </w:r>
      <w:r w:rsidR="004B74F6" w:rsidRPr="003E1F0D">
        <w:rPr>
          <w:szCs w:val="22"/>
        </w:rPr>
        <w:t xml:space="preserve"> that </w:t>
      </w:r>
      <w:r w:rsidR="002C1848" w:rsidRPr="003E1F0D">
        <w:rPr>
          <w:szCs w:val="22"/>
        </w:rPr>
        <w:t xml:space="preserve">ASDA </w:t>
      </w:r>
      <w:r w:rsidR="00F2769B" w:rsidRPr="003E1F0D">
        <w:rPr>
          <w:szCs w:val="22"/>
        </w:rPr>
        <w:t xml:space="preserve">properly amended its application pursuant to </w:t>
      </w:r>
      <w:r w:rsidR="004B74F6" w:rsidRPr="003E1F0D">
        <w:rPr>
          <w:szCs w:val="22"/>
        </w:rPr>
        <w:t xml:space="preserve">Section 73.3564(a)(3) of the Rules.  That section </w:t>
      </w:r>
      <w:r w:rsidR="004B74F6" w:rsidRPr="003E1F0D">
        <w:rPr>
          <w:color w:val="010101"/>
          <w:szCs w:val="22"/>
        </w:rPr>
        <w:t>provides an opportunity for corrective amendment pursuant to Section 73.3522 of the Rules where an application meets minimum filing requirements but contains deficiencies in tender and/or acceptance information.  JSU</w:t>
      </w:r>
      <w:r w:rsidR="004B74F6" w:rsidRPr="003E1F0D">
        <w:rPr>
          <w:szCs w:val="22"/>
        </w:rPr>
        <w:t xml:space="preserve"> claims that</w:t>
      </w:r>
      <w:r w:rsidR="001E4A16" w:rsidRPr="003E1F0D">
        <w:rPr>
          <w:szCs w:val="22"/>
        </w:rPr>
        <w:t>, due to the third channel reservation standard defect, the ASDA A</w:t>
      </w:r>
      <w:r w:rsidR="004B74F6" w:rsidRPr="003E1F0D">
        <w:rPr>
          <w:szCs w:val="22"/>
        </w:rPr>
        <w:t xml:space="preserve">pplication failed to meet the Commission’s minimum filing requirements.  We disagree.  </w:t>
      </w:r>
      <w:r w:rsidR="00112563" w:rsidRPr="003E1F0D">
        <w:rPr>
          <w:szCs w:val="22"/>
        </w:rPr>
        <w:t xml:space="preserve">As discussed, the Commission did not indicate that an applicant must show that it satisfies the third channel reservation standard at the time of filing.  Accordingly, </w:t>
      </w:r>
      <w:r w:rsidR="002E6E34" w:rsidRPr="003E1F0D">
        <w:rPr>
          <w:szCs w:val="22"/>
        </w:rPr>
        <w:t xml:space="preserve">Section 73.3564(a)(3) does apply and </w:t>
      </w:r>
      <w:r w:rsidR="00112563" w:rsidRPr="003E1F0D">
        <w:rPr>
          <w:szCs w:val="22"/>
        </w:rPr>
        <w:t xml:space="preserve">the failure to make such a showing is curable via amendment.  </w:t>
      </w:r>
    </w:p>
    <w:p w:rsidR="000C5BE5" w:rsidRPr="003E1F0D" w:rsidRDefault="000C5BE5" w:rsidP="009D6C11">
      <w:pPr>
        <w:pStyle w:val="ParaNum"/>
        <w:ind w:left="90" w:firstLine="630"/>
        <w:rPr>
          <w:szCs w:val="22"/>
        </w:rPr>
      </w:pPr>
      <w:r w:rsidRPr="003E1F0D">
        <w:rPr>
          <w:szCs w:val="22"/>
        </w:rPr>
        <w:t>ACCORDINGLY, IT IS ORDERED that, pursuant to Section 5(c)(5) of the Communications Act of 1934, as amended,</w:t>
      </w:r>
      <w:r w:rsidRPr="003E1F0D">
        <w:rPr>
          <w:rStyle w:val="FootnoteReference"/>
          <w:szCs w:val="22"/>
        </w:rPr>
        <w:footnoteReference w:id="24"/>
      </w:r>
      <w:r w:rsidR="006E4333" w:rsidRPr="003E1F0D">
        <w:rPr>
          <w:szCs w:val="22"/>
        </w:rPr>
        <w:t xml:space="preserve"> and Section 1.115(</w:t>
      </w:r>
      <w:r w:rsidR="007B15B4" w:rsidRPr="003E1F0D">
        <w:rPr>
          <w:szCs w:val="22"/>
        </w:rPr>
        <w:t>g</w:t>
      </w:r>
      <w:r w:rsidRPr="003E1F0D">
        <w:rPr>
          <w:szCs w:val="22"/>
        </w:rPr>
        <w:t>) of the Commission’s Rules</w:t>
      </w:r>
      <w:r w:rsidR="00831823" w:rsidRPr="003E1F0D">
        <w:rPr>
          <w:szCs w:val="22"/>
        </w:rPr>
        <w:t>,</w:t>
      </w:r>
      <w:r w:rsidRPr="003E1F0D">
        <w:rPr>
          <w:rStyle w:val="FootnoteReference"/>
          <w:szCs w:val="22"/>
        </w:rPr>
        <w:footnoteReference w:id="25"/>
      </w:r>
      <w:r w:rsidRPr="003E1F0D">
        <w:rPr>
          <w:szCs w:val="22"/>
        </w:rPr>
        <w:t xml:space="preserve"> the Application for Review filed by </w:t>
      </w:r>
      <w:r w:rsidR="007B15B4" w:rsidRPr="003E1F0D">
        <w:rPr>
          <w:szCs w:val="22"/>
        </w:rPr>
        <w:t>the Board of Trustees of Jacksonville State University</w:t>
      </w:r>
      <w:r w:rsidRPr="003E1F0D">
        <w:rPr>
          <w:szCs w:val="22"/>
        </w:rPr>
        <w:t xml:space="preserve"> IS </w:t>
      </w:r>
      <w:r w:rsidR="007B15B4" w:rsidRPr="003E1F0D">
        <w:rPr>
          <w:szCs w:val="22"/>
        </w:rPr>
        <w:t>DENIED</w:t>
      </w:r>
      <w:r w:rsidRPr="003E1F0D">
        <w:rPr>
          <w:szCs w:val="22"/>
        </w:rPr>
        <w:t>.</w:t>
      </w:r>
      <w:r w:rsidR="00BF33FD" w:rsidRPr="003E1F0D">
        <w:rPr>
          <w:szCs w:val="22"/>
        </w:rPr>
        <w:t xml:space="preserve">  </w:t>
      </w:r>
    </w:p>
    <w:p w:rsidR="005660EA" w:rsidRPr="00EC5899" w:rsidRDefault="005660EA" w:rsidP="00EC5899">
      <w:pPr>
        <w:jc w:val="both"/>
        <w:rPr>
          <w:szCs w:val="22"/>
        </w:rPr>
      </w:pPr>
    </w:p>
    <w:p w:rsidR="00CF76A5" w:rsidRPr="00EC5899" w:rsidRDefault="005660EA" w:rsidP="00EC5899">
      <w:pPr>
        <w:jc w:val="both"/>
        <w:rPr>
          <w:szCs w:val="22"/>
        </w:rPr>
      </w:pPr>
      <w:r w:rsidRPr="00EC5899">
        <w:rPr>
          <w:szCs w:val="22"/>
        </w:rPr>
        <w:tab/>
      </w:r>
      <w:r w:rsidRPr="00EC5899">
        <w:rPr>
          <w:szCs w:val="22"/>
        </w:rPr>
        <w:tab/>
      </w:r>
      <w:r w:rsidRPr="00EC5899">
        <w:rPr>
          <w:szCs w:val="22"/>
        </w:rPr>
        <w:tab/>
      </w:r>
      <w:r w:rsidRPr="00EC5899">
        <w:rPr>
          <w:szCs w:val="22"/>
        </w:rPr>
        <w:tab/>
      </w:r>
      <w:r w:rsidRPr="00EC5899">
        <w:rPr>
          <w:szCs w:val="22"/>
        </w:rPr>
        <w:tab/>
      </w:r>
      <w:r w:rsidRPr="00EC5899">
        <w:rPr>
          <w:szCs w:val="22"/>
        </w:rPr>
        <w:tab/>
      </w:r>
      <w:r w:rsidR="00CF76A5" w:rsidRPr="00EC5899">
        <w:rPr>
          <w:szCs w:val="22"/>
        </w:rPr>
        <w:t>FEDERAL COMMUNICATIONS COMMISSION</w:t>
      </w:r>
    </w:p>
    <w:p w:rsidR="00CF76A5" w:rsidRPr="00EC5899" w:rsidRDefault="00CF76A5" w:rsidP="00EC5899">
      <w:pPr>
        <w:jc w:val="both"/>
        <w:rPr>
          <w:szCs w:val="22"/>
        </w:rPr>
      </w:pPr>
    </w:p>
    <w:p w:rsidR="0099229B" w:rsidRDefault="0099229B" w:rsidP="0099229B">
      <w:pPr>
        <w:jc w:val="both"/>
        <w:rPr>
          <w:szCs w:val="22"/>
        </w:rPr>
      </w:pPr>
    </w:p>
    <w:p w:rsidR="0099229B" w:rsidRDefault="0099229B" w:rsidP="0099229B">
      <w:pPr>
        <w:jc w:val="both"/>
        <w:rPr>
          <w:szCs w:val="22"/>
        </w:rPr>
      </w:pPr>
    </w:p>
    <w:p w:rsidR="0099229B" w:rsidRDefault="0099229B" w:rsidP="0099229B">
      <w:pPr>
        <w:jc w:val="both"/>
        <w:rPr>
          <w:szCs w:val="22"/>
        </w:rPr>
      </w:pPr>
    </w:p>
    <w:p w:rsidR="0099229B" w:rsidRDefault="00576F38" w:rsidP="0052457E">
      <w:pPr>
        <w:jc w:val="both"/>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CF76A5" w:rsidRPr="00EC5899">
        <w:rPr>
          <w:szCs w:val="22"/>
        </w:rPr>
        <w:t>Marlene H. Dortch</w:t>
      </w:r>
    </w:p>
    <w:p w:rsidR="00750291" w:rsidRPr="00EC5899" w:rsidRDefault="00576F38" w:rsidP="0052457E">
      <w:pPr>
        <w:jc w:val="both"/>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CF76A5" w:rsidRPr="00EC5899">
        <w:rPr>
          <w:szCs w:val="22"/>
        </w:rPr>
        <w:t>Secretary</w:t>
      </w:r>
    </w:p>
    <w:sectPr w:rsidR="00750291" w:rsidRPr="00EC5899" w:rsidSect="009806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ED" w:rsidRDefault="000A3DED">
      <w:r>
        <w:separator/>
      </w:r>
    </w:p>
  </w:endnote>
  <w:endnote w:type="continuationSeparator" w:id="0">
    <w:p w:rsidR="000A3DED" w:rsidRDefault="000A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6E" w:rsidRDefault="003B2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Default="0098062C">
    <w:pPr>
      <w:pStyle w:val="Footer"/>
      <w:jc w:val="center"/>
    </w:pPr>
    <w:r>
      <w:rPr>
        <w:rStyle w:val="PageNumber"/>
      </w:rPr>
      <w:fldChar w:fldCharType="begin"/>
    </w:r>
    <w:r w:rsidR="00F805DF">
      <w:rPr>
        <w:rStyle w:val="PageNumber"/>
      </w:rPr>
      <w:instrText xml:space="preserve"> PAGE </w:instrText>
    </w:r>
    <w:r>
      <w:rPr>
        <w:rStyle w:val="PageNumber"/>
      </w:rPr>
      <w:fldChar w:fldCharType="separate"/>
    </w:r>
    <w:r w:rsidR="00555F1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6E" w:rsidRDefault="003B2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ED" w:rsidRDefault="000A3DED">
      <w:pPr>
        <w:rPr>
          <w:sz w:val="20"/>
        </w:rPr>
      </w:pPr>
      <w:r>
        <w:rPr>
          <w:sz w:val="20"/>
        </w:rPr>
        <w:separator/>
      </w:r>
    </w:p>
  </w:footnote>
  <w:footnote w:type="continuationSeparator" w:id="0">
    <w:p w:rsidR="000A3DED" w:rsidRDefault="000A3DED">
      <w:r>
        <w:continuationSeparator/>
      </w:r>
    </w:p>
    <w:p w:rsidR="000A3DED" w:rsidRPr="00E41545" w:rsidRDefault="000A3DED">
      <w:pPr>
        <w:rPr>
          <w:sz w:val="20"/>
        </w:rPr>
      </w:pPr>
      <w:r w:rsidRPr="00E41545">
        <w:rPr>
          <w:sz w:val="20"/>
        </w:rPr>
        <w:t>(Continued f</w:t>
      </w:r>
      <w:r>
        <w:rPr>
          <w:sz w:val="20"/>
        </w:rPr>
        <w:t>ro</w:t>
      </w:r>
      <w:r w:rsidRPr="00E41545">
        <w:rPr>
          <w:sz w:val="20"/>
        </w:rPr>
        <w:t>m previous page)</w:t>
      </w:r>
    </w:p>
  </w:footnote>
  <w:footnote w:type="continuationNotice" w:id="1">
    <w:p w:rsidR="000A3DED" w:rsidRDefault="000A3DED">
      <w:pPr>
        <w:jc w:val="right"/>
        <w:rPr>
          <w:sz w:val="20"/>
        </w:rPr>
      </w:pPr>
      <w:r>
        <w:rPr>
          <w:sz w:val="20"/>
        </w:rPr>
        <w:t>(continued . . .)</w:t>
      </w:r>
    </w:p>
  </w:footnote>
  <w:footnote w:id="2">
    <w:p w:rsidR="009C6949" w:rsidRPr="00AB2473" w:rsidRDefault="009C6949" w:rsidP="009C6949">
      <w:pPr>
        <w:pStyle w:val="FootnoteText"/>
      </w:pPr>
      <w:r>
        <w:rPr>
          <w:rStyle w:val="FootnoteReference"/>
        </w:rPr>
        <w:footnoteRef/>
      </w:r>
      <w:r>
        <w:t xml:space="preserve"> </w:t>
      </w:r>
      <w:r>
        <w:rPr>
          <w:i/>
        </w:rPr>
        <w:t>NCE Reserved Allotment Group 1</w:t>
      </w:r>
      <w:r>
        <w:t>, Letter, 28 FCC Rcd 7094 (MB 2013) (“</w:t>
      </w:r>
      <w:r>
        <w:rPr>
          <w:i/>
        </w:rPr>
        <w:t>Letter Decision</w:t>
      </w:r>
      <w:r>
        <w:t>”).</w:t>
      </w:r>
    </w:p>
  </w:footnote>
  <w:footnote w:id="3">
    <w:p w:rsidR="009C6949" w:rsidRPr="009C6949" w:rsidRDefault="009C6949">
      <w:pPr>
        <w:pStyle w:val="FootnoteText"/>
      </w:pPr>
      <w:r>
        <w:rPr>
          <w:rStyle w:val="FootnoteReference"/>
        </w:rPr>
        <w:footnoteRef/>
      </w:r>
      <w:r>
        <w:t xml:space="preserve"> </w:t>
      </w:r>
      <w:r>
        <w:rPr>
          <w:i/>
        </w:rPr>
        <w:t>NCE Reserved Allotment Group No. 1</w:t>
      </w:r>
      <w:r>
        <w:t>, Letter, 27 FCC Rcd 12149 (MB 2012).</w:t>
      </w:r>
    </w:p>
  </w:footnote>
  <w:footnote w:id="4">
    <w:p w:rsidR="00C04AC0" w:rsidRDefault="00C04AC0">
      <w:pPr>
        <w:pStyle w:val="FootnoteText"/>
      </w:pPr>
      <w:r>
        <w:rPr>
          <w:rStyle w:val="FootnoteReference"/>
        </w:rPr>
        <w:footnoteRef/>
      </w:r>
      <w:r>
        <w:t xml:space="preserve"> </w:t>
      </w:r>
      <w:r w:rsidRPr="00CB3C14">
        <w:rPr>
          <w:i/>
          <w:iCs/>
        </w:rPr>
        <w:t>See Reexamination of the Comparative Standards for Noncommercial Educational Applicants</w:t>
      </w:r>
      <w:r w:rsidRPr="00CB3C14">
        <w:t xml:space="preserve">, Second Report and </w:t>
      </w:r>
      <w:r>
        <w:t>Order, 18 FCC Rcd 6691 (2003) (“</w:t>
      </w:r>
      <w:r w:rsidRPr="00CB3C14">
        <w:rPr>
          <w:i/>
          <w:iCs/>
        </w:rPr>
        <w:t>NCE Second Report and Order</w:t>
      </w:r>
      <w:r>
        <w:rPr>
          <w:i/>
          <w:iCs/>
        </w:rPr>
        <w:t>”</w:t>
      </w:r>
      <w:r w:rsidRPr="00CB3C14">
        <w:t xml:space="preserve">).  </w:t>
      </w:r>
      <w:r w:rsidRPr="00CB3C14">
        <w:rPr>
          <w:spacing w:val="-2"/>
        </w:rPr>
        <w:t xml:space="preserve">Under that standard, an applicant must propose to provide a first or second NCE service to at least ten percent of the population within the proposed station’s service area and this first or second NCE service must reach at least 2,000 people.  </w:t>
      </w:r>
      <w:r w:rsidRPr="00CB3C14">
        <w:rPr>
          <w:i/>
          <w:spacing w:val="-2"/>
        </w:rPr>
        <w:t xml:space="preserve">Id. </w:t>
      </w:r>
      <w:r w:rsidRPr="00CB3C14">
        <w:rPr>
          <w:spacing w:val="-2"/>
        </w:rPr>
        <w:t>at 6703-05</w:t>
      </w:r>
      <w:r>
        <w:rPr>
          <w:spacing w:val="-2"/>
        </w:rPr>
        <w:t xml:space="preserve"> ¶¶ 30-38</w:t>
      </w:r>
      <w:r w:rsidRPr="00CB3C14">
        <w:rPr>
          <w:spacing w:val="-2"/>
        </w:rPr>
        <w:t xml:space="preserve">.  </w:t>
      </w:r>
    </w:p>
  </w:footnote>
  <w:footnote w:id="5">
    <w:p w:rsidR="00975735" w:rsidRDefault="00975735">
      <w:pPr>
        <w:pStyle w:val="FootnoteText"/>
      </w:pPr>
      <w:r>
        <w:rPr>
          <w:rStyle w:val="FootnoteReference"/>
        </w:rPr>
        <w:footnoteRef/>
      </w:r>
      <w:r>
        <w:t xml:space="preserve"> ASDA </w:t>
      </w:r>
      <w:r w:rsidR="003B5ED5">
        <w:t>adjusted the coverage area of its proposed facility</w:t>
      </w:r>
      <w:r w:rsidR="004B15FB">
        <w:t xml:space="preserve">.  This resulted in a smaller total population served, which, in turn, increased the percentage of the total population receiving first or second NCE service. </w:t>
      </w:r>
    </w:p>
  </w:footnote>
  <w:footnote w:id="6">
    <w:p w:rsidR="00137E8E" w:rsidRPr="00137E8E" w:rsidRDefault="00137E8E">
      <w:pPr>
        <w:pStyle w:val="FootnoteText"/>
        <w:rPr>
          <w:b/>
        </w:rPr>
      </w:pPr>
      <w:r>
        <w:rPr>
          <w:rStyle w:val="FootnoteReference"/>
        </w:rPr>
        <w:footnoteRef/>
      </w:r>
      <w:r>
        <w:t xml:space="preserve"> </w:t>
      </w:r>
      <w:r>
        <w:rPr>
          <w:i/>
        </w:rPr>
        <w:t>Letter Decision</w:t>
      </w:r>
      <w:r>
        <w:t xml:space="preserve">, 28 FCC Rcd at 7095-96.  </w:t>
      </w:r>
    </w:p>
  </w:footnote>
  <w:footnote w:id="7">
    <w:p w:rsidR="0019416E" w:rsidRPr="007379E7" w:rsidRDefault="0019416E">
      <w:pPr>
        <w:pStyle w:val="FootnoteText"/>
        <w:rPr>
          <w:b/>
        </w:rPr>
      </w:pPr>
      <w:r w:rsidRPr="0019416E">
        <w:rPr>
          <w:rStyle w:val="FootnoteReference"/>
        </w:rPr>
        <w:footnoteRef/>
      </w:r>
      <w:r w:rsidRPr="0019416E">
        <w:t xml:space="preserve"> </w:t>
      </w:r>
      <w:r w:rsidR="00794B30" w:rsidRPr="0005115B">
        <w:t xml:space="preserve">AFR at </w:t>
      </w:r>
      <w:r w:rsidR="00794B30">
        <w:t>4</w:t>
      </w:r>
      <w:r w:rsidR="00794B30" w:rsidRPr="0005115B">
        <w:t xml:space="preserve">, </w:t>
      </w:r>
      <w:r w:rsidR="00794B30" w:rsidRPr="0005115B">
        <w:rPr>
          <w:i/>
        </w:rPr>
        <w:t xml:space="preserve">citing </w:t>
      </w:r>
      <w:r w:rsidR="00F07923">
        <w:rPr>
          <w:i/>
        </w:rPr>
        <w:t>NCE Second Report and Order</w:t>
      </w:r>
      <w:r w:rsidR="00794B30" w:rsidRPr="0005115B">
        <w:rPr>
          <w:i/>
        </w:rPr>
        <w:t xml:space="preserve">, </w:t>
      </w:r>
      <w:r w:rsidR="00794B30" w:rsidRPr="0005115B">
        <w:t>18 FCC Rcd</w:t>
      </w:r>
      <w:r w:rsidR="00F07923">
        <w:t xml:space="preserve"> at</w:t>
      </w:r>
      <w:r w:rsidR="00794B30" w:rsidRPr="0005115B">
        <w:t xml:space="preserve"> 6705.</w:t>
      </w:r>
    </w:p>
  </w:footnote>
  <w:footnote w:id="8">
    <w:p w:rsidR="0005115B" w:rsidRDefault="0005115B">
      <w:pPr>
        <w:pStyle w:val="FootnoteText"/>
      </w:pPr>
      <w:r>
        <w:rPr>
          <w:rStyle w:val="FootnoteReference"/>
        </w:rPr>
        <w:footnoteRef/>
      </w:r>
      <w:r>
        <w:t xml:space="preserve"> </w:t>
      </w:r>
      <w:r w:rsidR="009B6664">
        <w:t xml:space="preserve">AFR at 3-4, </w:t>
      </w:r>
      <w:r w:rsidR="009B6664">
        <w:rPr>
          <w:i/>
        </w:rPr>
        <w:t>citing</w:t>
      </w:r>
      <w:r w:rsidR="009B6664" w:rsidRPr="0019416E">
        <w:t xml:space="preserve"> </w:t>
      </w:r>
      <w:r w:rsidR="009B6664" w:rsidRPr="00EB7E66">
        <w:rPr>
          <w:i/>
        </w:rPr>
        <w:t>Public Notice</w:t>
      </w:r>
      <w:r w:rsidR="009B6664" w:rsidRPr="0019416E">
        <w:t xml:space="preserve">, 24 FCC Rcd </w:t>
      </w:r>
      <w:r w:rsidR="00EB7E66">
        <w:t>at 12623-25</w:t>
      </w:r>
      <w:r w:rsidR="009B6664" w:rsidRPr="0019416E">
        <w:t>.</w:t>
      </w:r>
      <w:r w:rsidR="009B6664">
        <w:t xml:space="preserve">  </w:t>
      </w:r>
    </w:p>
  </w:footnote>
  <w:footnote w:id="9">
    <w:p w:rsidR="00794B30" w:rsidRPr="00DE0078" w:rsidRDefault="00794B30">
      <w:pPr>
        <w:pStyle w:val="FootnoteText"/>
        <w:rPr>
          <w:b/>
        </w:rPr>
      </w:pPr>
      <w:r>
        <w:rPr>
          <w:rStyle w:val="FootnoteReference"/>
        </w:rPr>
        <w:footnoteRef/>
      </w:r>
      <w:r>
        <w:rPr>
          <w:sz w:val="22"/>
          <w:szCs w:val="22"/>
        </w:rPr>
        <w:t xml:space="preserve"> </w:t>
      </w:r>
      <w:r w:rsidR="000771AA">
        <w:rPr>
          <w:i/>
        </w:rPr>
        <w:t xml:space="preserve">See </w:t>
      </w:r>
      <w:r w:rsidR="000771AA">
        <w:t>47 C.F.R. §§ 73.</w:t>
      </w:r>
      <w:r w:rsidR="000771AA" w:rsidRPr="00112563">
        <w:rPr>
          <w:color w:val="010101"/>
          <w:szCs w:val="22"/>
        </w:rPr>
        <w:t>3522</w:t>
      </w:r>
      <w:r w:rsidR="000771AA">
        <w:rPr>
          <w:color w:val="010101"/>
          <w:szCs w:val="22"/>
        </w:rPr>
        <w:t>(b),</w:t>
      </w:r>
      <w:r w:rsidR="000771AA" w:rsidRPr="00A768D7">
        <w:rPr>
          <w:szCs w:val="22"/>
        </w:rPr>
        <w:t xml:space="preserve"> </w:t>
      </w:r>
      <w:r w:rsidR="000771AA" w:rsidRPr="00112563">
        <w:rPr>
          <w:szCs w:val="22"/>
        </w:rPr>
        <w:t>73.3564(a)(3)</w:t>
      </w:r>
      <w:r w:rsidR="000771AA">
        <w:rPr>
          <w:szCs w:val="22"/>
        </w:rPr>
        <w:t>.</w:t>
      </w:r>
      <w:r w:rsidR="000771AA">
        <w:rPr>
          <w:color w:val="010101"/>
          <w:szCs w:val="22"/>
        </w:rPr>
        <w:t xml:space="preserve"> </w:t>
      </w:r>
      <w:r w:rsidRPr="00DE0078">
        <w:t xml:space="preserve">Specifically, in the order adopting the third channel reservation standard, the Commission discussed the methodology it would use “to evaluate allotment reservation requests” but did not discuss how it planned to process applications for reserved channels that did not demonstrate that they met the third channel reservation standard at the time of filing.  </w:t>
      </w:r>
      <w:r w:rsidR="00DE0078">
        <w:rPr>
          <w:i/>
        </w:rPr>
        <w:t>NCE Second Report and Order</w:t>
      </w:r>
      <w:r w:rsidR="00DE0078">
        <w:t>, 18 FCC Rcd at 6704-5 ¶¶ 34-38.</w:t>
      </w:r>
      <w:r w:rsidRPr="00DE0078">
        <w:rPr>
          <w:b/>
        </w:rPr>
        <w:t xml:space="preserve">  </w:t>
      </w:r>
      <w:r w:rsidRPr="00DE0078">
        <w:t>Similarly, while at one point the notice did state that the Commission</w:t>
      </w:r>
      <w:r w:rsidRPr="00DE0078">
        <w:rPr>
          <w:color w:val="010101"/>
        </w:rPr>
        <w:t xml:space="preserve"> “will return applications and amendments not submitted in accordance with the procedures described in this Public Notice,” that particular portion of the notice offered no insight into whether a defect causing an application’s return is curable or not.  </w:t>
      </w:r>
      <w:r w:rsidRPr="00DE0078">
        <w:rPr>
          <w:i/>
          <w:color w:val="010101"/>
        </w:rPr>
        <w:t xml:space="preserve">Public Notice, </w:t>
      </w:r>
      <w:r w:rsidRPr="00DE0078">
        <w:rPr>
          <w:color w:val="010101"/>
        </w:rPr>
        <w:t xml:space="preserve">24 FCC Rcd at 12623. </w:t>
      </w:r>
      <w:r w:rsidRPr="00DE0078">
        <w:rPr>
          <w:i/>
          <w:color w:val="010101"/>
        </w:rPr>
        <w:t xml:space="preserve"> </w:t>
      </w:r>
    </w:p>
  </w:footnote>
  <w:footnote w:id="10">
    <w:p w:rsidR="0011436F" w:rsidRPr="0011436F" w:rsidRDefault="0011436F">
      <w:pPr>
        <w:pStyle w:val="FootnoteText"/>
      </w:pPr>
      <w:r>
        <w:rPr>
          <w:rStyle w:val="FootnoteReference"/>
        </w:rPr>
        <w:footnoteRef/>
      </w:r>
      <w:r>
        <w:t xml:space="preserve"> </w:t>
      </w:r>
      <w:r>
        <w:rPr>
          <w:i/>
        </w:rPr>
        <w:t>Letter Decision</w:t>
      </w:r>
      <w:r>
        <w:t>, 28 FCC Rcd at 7096 n. 10.</w:t>
      </w:r>
    </w:p>
  </w:footnote>
  <w:footnote w:id="11">
    <w:p w:rsidR="00F87491" w:rsidRDefault="00F87491" w:rsidP="00F87491">
      <w:pPr>
        <w:pStyle w:val="FootnoteText"/>
      </w:pPr>
      <w:r>
        <w:rPr>
          <w:rStyle w:val="FootnoteReference"/>
        </w:rPr>
        <w:footnoteRef/>
      </w:r>
      <w:r>
        <w:t xml:space="preserve"> </w:t>
      </w:r>
      <w:r w:rsidR="004F313E">
        <w:rPr>
          <w:i/>
        </w:rPr>
        <w:t>See</w:t>
      </w:r>
      <w:r w:rsidR="0011436F">
        <w:rPr>
          <w:i/>
        </w:rPr>
        <w:t xml:space="preserve"> id.</w:t>
      </w:r>
      <w:r w:rsidR="004F313E">
        <w:t xml:space="preserve"> at 7095-96. </w:t>
      </w:r>
      <w:r w:rsidR="004F313E">
        <w:rPr>
          <w:i/>
        </w:rPr>
        <w:t xml:space="preserve"> </w:t>
      </w:r>
      <w:r>
        <w:rPr>
          <w:szCs w:val="22"/>
        </w:rPr>
        <w:t xml:space="preserve">  </w:t>
      </w:r>
    </w:p>
  </w:footnote>
  <w:footnote w:id="12">
    <w:p w:rsidR="0050221B" w:rsidRDefault="0050221B">
      <w:pPr>
        <w:pStyle w:val="FootnoteText"/>
      </w:pPr>
      <w:r>
        <w:rPr>
          <w:rStyle w:val="FootnoteReference"/>
        </w:rPr>
        <w:footnoteRef/>
      </w:r>
      <w:r>
        <w:t xml:space="preserve"> AFR at 9.  </w:t>
      </w:r>
    </w:p>
  </w:footnote>
  <w:footnote w:id="13">
    <w:p w:rsidR="001740CC" w:rsidRPr="001740CC" w:rsidRDefault="001740CC">
      <w:pPr>
        <w:pStyle w:val="FootnoteText"/>
        <w:rPr>
          <w:i/>
        </w:rPr>
      </w:pPr>
      <w:r>
        <w:rPr>
          <w:rStyle w:val="FootnoteReference"/>
        </w:rPr>
        <w:footnoteRef/>
      </w:r>
      <w:r>
        <w:t xml:space="preserve"> </w:t>
      </w:r>
      <w:r>
        <w:rPr>
          <w:i/>
        </w:rPr>
        <w:t xml:space="preserve">See </w:t>
      </w:r>
      <w:r>
        <w:t xml:space="preserve">AFR at 9, </w:t>
      </w:r>
      <w:r>
        <w:rPr>
          <w:i/>
        </w:rPr>
        <w:t xml:space="preserve">citing </w:t>
      </w:r>
      <w:r w:rsidRPr="00B0351E">
        <w:rPr>
          <w:i/>
        </w:rPr>
        <w:t>Comparative Consideration</w:t>
      </w:r>
      <w:r w:rsidRPr="00B0351E">
        <w:t xml:space="preserve"> </w:t>
      </w:r>
      <w:r w:rsidR="00D52BE0">
        <w:rPr>
          <w:i/>
        </w:rPr>
        <w:t>of 37 Groups of Mutually Exclusive Applications for Permits to Construct New or Modified Noncommercial FM Stations filed in the February 2010 and October 2007 Filing Windows</w:t>
      </w:r>
      <w:r>
        <w:t>,</w:t>
      </w:r>
      <w:r w:rsidR="00D52BE0">
        <w:t xml:space="preserve"> Memorandum Opinion and Order,</w:t>
      </w:r>
      <w:r>
        <w:t xml:space="preserve"> 26 FCC Rcd </w:t>
      </w:r>
      <w:r w:rsidR="00D52BE0">
        <w:t>7008,</w:t>
      </w:r>
      <w:r>
        <w:t xml:space="preserve"> 7021 n.59</w:t>
      </w:r>
      <w:r w:rsidR="00D52BE0">
        <w:t xml:space="preserve"> (2011) (“</w:t>
      </w:r>
      <w:r w:rsidR="00D52BE0">
        <w:rPr>
          <w:i/>
        </w:rPr>
        <w:t>Comparative Consideration Order</w:t>
      </w:r>
      <w:r w:rsidR="00D52BE0">
        <w:t>”).</w:t>
      </w:r>
    </w:p>
  </w:footnote>
  <w:footnote w:id="14">
    <w:p w:rsidR="00B96B43" w:rsidRPr="00DF4534" w:rsidRDefault="00B96B43">
      <w:pPr>
        <w:pStyle w:val="FootnoteText"/>
      </w:pPr>
      <w:r>
        <w:rPr>
          <w:rStyle w:val="FootnoteReference"/>
        </w:rPr>
        <w:footnoteRef/>
      </w:r>
      <w:r>
        <w:t xml:space="preserve"> </w:t>
      </w:r>
      <w:r>
        <w:rPr>
          <w:i/>
        </w:rPr>
        <w:t xml:space="preserve">See </w:t>
      </w:r>
      <w:r w:rsidRPr="00B0351E">
        <w:rPr>
          <w:i/>
        </w:rPr>
        <w:t>Comparative Consideration</w:t>
      </w:r>
      <w:r w:rsidRPr="00B0351E">
        <w:t xml:space="preserve"> </w:t>
      </w:r>
      <w:r w:rsidRPr="00B0351E">
        <w:rPr>
          <w:i/>
        </w:rPr>
        <w:t>Order</w:t>
      </w:r>
      <w:r>
        <w:t>, 26 FCC Rcd at 7021 n.59.</w:t>
      </w:r>
      <w:r w:rsidR="00DF4534">
        <w:t xml:space="preserve">  </w:t>
      </w:r>
    </w:p>
  </w:footnote>
  <w:footnote w:id="15">
    <w:p w:rsidR="00CD1343" w:rsidRPr="00DF4534" w:rsidRDefault="00CD1343" w:rsidP="00CD1343">
      <w:pPr>
        <w:pStyle w:val="FootnoteText"/>
      </w:pPr>
      <w:r>
        <w:rPr>
          <w:rStyle w:val="FootnoteReference"/>
        </w:rPr>
        <w:footnoteRef/>
      </w:r>
      <w:r>
        <w:t xml:space="preserve"> We note that this error was harmless.  Even if the Commission had accepted Serendipity’s amendment, </w:t>
      </w:r>
      <w:r w:rsidR="00C401EB">
        <w:t xml:space="preserve">as it noted, </w:t>
      </w:r>
      <w:r>
        <w:t xml:space="preserve">it would not have changed the outcome of the point hearing.  </w:t>
      </w:r>
      <w:r>
        <w:rPr>
          <w:i/>
        </w:rPr>
        <w:t>Id.</w:t>
      </w:r>
    </w:p>
  </w:footnote>
  <w:footnote w:id="16">
    <w:p w:rsidR="00B14B88" w:rsidRDefault="00B14B88">
      <w:pPr>
        <w:pStyle w:val="FootnoteText"/>
      </w:pPr>
      <w:r>
        <w:rPr>
          <w:rStyle w:val="FootnoteReference"/>
        </w:rPr>
        <w:footnoteRef/>
      </w:r>
      <w:r>
        <w:t xml:space="preserve"> </w:t>
      </w:r>
      <w:r w:rsidR="00CD5E53">
        <w:t>For instance, w</w:t>
      </w:r>
      <w:r>
        <w:t xml:space="preserve">hen mutually exclusive NCE FM applications propose to serve different communities, the Commission uses the population receiving a first or second NCE service from an applicant’s proposed facility in conducting the fair distribution analysis required by Section 307(b) of the Communications Act of 1934, as amended.  47 U.S.C. § 307(b).  </w:t>
      </w:r>
      <w:r>
        <w:rPr>
          <w:i/>
        </w:rPr>
        <w:t xml:space="preserve">See also </w:t>
      </w:r>
      <w:r>
        <w:t xml:space="preserve">47 C.F.R. § 73.7002.  In addition, the Commission looks at the total population an applicant proposes to serve as part of the point system selection process.  </w:t>
      </w:r>
      <w:r>
        <w:rPr>
          <w:i/>
        </w:rPr>
        <w:t xml:space="preserve">See </w:t>
      </w:r>
      <w:r>
        <w:t>47 C.F.R. § 73.7003(b)(4)</w:t>
      </w:r>
      <w:r w:rsidR="001E4A16">
        <w:t xml:space="preserve"> (setting forth the best technical proposal criterion under which an applicant is awarded one point if its proposed service area and population are 10 percent greater than those of the next best area and population proposals or two points if both are 25 percent greater than those of the next best area and population proposals)</w:t>
      </w:r>
      <w:r>
        <w:t>.</w:t>
      </w:r>
    </w:p>
  </w:footnote>
  <w:footnote w:id="17">
    <w:p w:rsidR="00A639AD" w:rsidRPr="00A639AD" w:rsidRDefault="00A639AD">
      <w:pPr>
        <w:pStyle w:val="FootnoteText"/>
      </w:pPr>
      <w:r>
        <w:rPr>
          <w:rStyle w:val="FootnoteReference"/>
        </w:rPr>
        <w:footnoteRef/>
      </w:r>
      <w:r>
        <w:t xml:space="preserve"> </w:t>
      </w:r>
      <w:r w:rsidR="00BC7D4B">
        <w:rPr>
          <w:i/>
        </w:rPr>
        <w:t xml:space="preserve">See </w:t>
      </w:r>
      <w:r w:rsidR="00BC7D4B">
        <w:t xml:space="preserve">File No. BNPED-20100225ADK.  </w:t>
      </w:r>
      <w:r>
        <w:t xml:space="preserve">Serendipity indicated that it had initially included a commercial station in its calculations and sought to correct this error through the amendment.  </w:t>
      </w:r>
    </w:p>
  </w:footnote>
  <w:footnote w:id="18">
    <w:p w:rsidR="00D77A17" w:rsidRDefault="00D77A17">
      <w:pPr>
        <w:pStyle w:val="FootnoteText"/>
      </w:pPr>
      <w:r>
        <w:rPr>
          <w:rStyle w:val="FootnoteReference"/>
        </w:rPr>
        <w:footnoteRef/>
      </w:r>
      <w:r>
        <w:t xml:space="preserve"> </w:t>
      </w:r>
      <w:r w:rsidR="00FB3AB9">
        <w:t>We note that, if an applicant amends its application in order to satisfy the third channel reservation standard and</w:t>
      </w:r>
      <w:r w:rsidR="001E4A16">
        <w:t>,</w:t>
      </w:r>
      <w:r w:rsidR="00FB3AB9">
        <w:t xml:space="preserve"> in so doing</w:t>
      </w:r>
      <w:r w:rsidR="001E4A16">
        <w:t>,</w:t>
      </w:r>
      <w:r w:rsidR="00FB3AB9">
        <w:t xml:space="preserve"> alters </w:t>
      </w:r>
      <w:r w:rsidR="001E4A16">
        <w:t>its</w:t>
      </w:r>
      <w:r w:rsidR="00FB3AB9">
        <w:t xml:space="preserve"> population numbers in a manner that enhances its comparative position, we will allow the applicant to remedy the</w:t>
      </w:r>
      <w:r>
        <w:t xml:space="preserve"> third channel reservation standard defect</w:t>
      </w:r>
      <w:r w:rsidR="00FB3AB9">
        <w:t xml:space="preserve"> but will not permit the applicant to improve its comparative position</w:t>
      </w:r>
      <w:r>
        <w:t xml:space="preserve">.  </w:t>
      </w:r>
      <w:r w:rsidR="00FB3AB9">
        <w:t>In other words, we will take these numbers into account for purposes of determining whether the applicant satisfied the reservation standard but will not take them into account for purposes of determining whether the applicant qualifies for a point or points under the best technical proposal criterion</w:t>
      </w:r>
      <w:r>
        <w:t>.</w:t>
      </w:r>
    </w:p>
  </w:footnote>
  <w:footnote w:id="19">
    <w:p w:rsidR="00FE3338" w:rsidRDefault="00FE3338" w:rsidP="00FE3338">
      <w:pPr>
        <w:pStyle w:val="FootnoteText"/>
      </w:pPr>
      <w:r>
        <w:rPr>
          <w:rStyle w:val="FootnoteReference"/>
        </w:rPr>
        <w:footnoteRef/>
      </w:r>
      <w:r>
        <w:t xml:space="preserve"> AFR at 11.</w:t>
      </w:r>
    </w:p>
  </w:footnote>
  <w:footnote w:id="20">
    <w:p w:rsidR="00FE3338" w:rsidRPr="00FE3338" w:rsidRDefault="00FE3338">
      <w:pPr>
        <w:pStyle w:val="FootnoteText"/>
      </w:pPr>
      <w:r>
        <w:rPr>
          <w:rStyle w:val="FootnoteReference"/>
        </w:rPr>
        <w:footnoteRef/>
      </w:r>
      <w:r>
        <w:t xml:space="preserve"> AFR at 7-8, </w:t>
      </w:r>
      <w:r>
        <w:rPr>
          <w:i/>
        </w:rPr>
        <w:t>citing Comparative Consideration Order</w:t>
      </w:r>
      <w:r>
        <w:t>, 26 FCC Rcd at 7028 ¶ 59, 7036 ¶ 79.</w:t>
      </w:r>
    </w:p>
  </w:footnote>
  <w:footnote w:id="21">
    <w:p w:rsidR="00FE3338" w:rsidRPr="0031705F" w:rsidRDefault="00FE3338" w:rsidP="00FE3338">
      <w:pPr>
        <w:pStyle w:val="FootnoteText"/>
      </w:pPr>
      <w:r>
        <w:rPr>
          <w:rStyle w:val="FootnoteReference"/>
        </w:rPr>
        <w:footnoteRef/>
      </w:r>
      <w:r>
        <w:t xml:space="preserve"> </w:t>
      </w:r>
      <w:r>
        <w:rPr>
          <w:i/>
        </w:rPr>
        <w:t xml:space="preserve">See </w:t>
      </w:r>
      <w:r>
        <w:t xml:space="preserve">47 C.F.R. § 73.7003(e) (“an applicant’s maximum qualifications are established at the time of application and will be reduced for any post-application changes that negatively affect any evaluation criteria”); </w:t>
      </w:r>
      <w:r>
        <w:rPr>
          <w:i/>
        </w:rPr>
        <w:t>Public Notice</w:t>
      </w:r>
      <w:r>
        <w:t xml:space="preserve">, 24 FCC Rcd at 12623 (“The Commission will take into account any negative change in an applicant’s comparative position after the close of the window.”).  </w:t>
      </w:r>
    </w:p>
  </w:footnote>
  <w:footnote w:id="22">
    <w:p w:rsidR="0046606C" w:rsidRDefault="0046606C">
      <w:pPr>
        <w:pStyle w:val="FootnoteText"/>
      </w:pPr>
      <w:r>
        <w:rPr>
          <w:rStyle w:val="FootnoteReference"/>
        </w:rPr>
        <w:footnoteRef/>
      </w:r>
      <w:r>
        <w:t xml:space="preserve"> AFR at 9-10.</w:t>
      </w:r>
    </w:p>
  </w:footnote>
  <w:footnote w:id="23">
    <w:p w:rsidR="0046606C" w:rsidRDefault="0046606C">
      <w:pPr>
        <w:pStyle w:val="FootnoteText"/>
      </w:pPr>
      <w:r>
        <w:rPr>
          <w:rStyle w:val="FootnoteReference"/>
        </w:rPr>
        <w:footnoteRef/>
      </w:r>
      <w:r>
        <w:t xml:space="preserve"> AFR at 10-11.</w:t>
      </w:r>
    </w:p>
  </w:footnote>
  <w:footnote w:id="24">
    <w:p w:rsidR="000C5BE5" w:rsidRPr="00EC5899" w:rsidRDefault="000C5BE5" w:rsidP="00EC5899">
      <w:pPr>
        <w:pStyle w:val="FootnoteText"/>
        <w:spacing w:after="200"/>
      </w:pPr>
      <w:r w:rsidRPr="00EC5899">
        <w:rPr>
          <w:rStyle w:val="FootnoteReference"/>
        </w:rPr>
        <w:footnoteRef/>
      </w:r>
      <w:r w:rsidRPr="00EC5899">
        <w:t xml:space="preserve"> 47 U.S.C. § 155(c)(5).</w:t>
      </w:r>
    </w:p>
  </w:footnote>
  <w:footnote w:id="25">
    <w:p w:rsidR="000C5BE5" w:rsidRPr="00EC5899" w:rsidRDefault="000C5BE5" w:rsidP="00EC5899">
      <w:pPr>
        <w:pStyle w:val="FootnoteText"/>
        <w:spacing w:after="200"/>
      </w:pPr>
      <w:r w:rsidRPr="00EC5899">
        <w:rPr>
          <w:rStyle w:val="FootnoteReference"/>
        </w:rPr>
        <w:footnoteRef/>
      </w:r>
      <w:r w:rsidRPr="00EC5899">
        <w:t xml:space="preserve"> 47 C.F</w:t>
      </w:r>
      <w:r w:rsidR="0030309E" w:rsidRPr="00EC5899">
        <w:t>.</w:t>
      </w:r>
      <w:r w:rsidRPr="00EC5899">
        <w:t>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6E" w:rsidRDefault="003B2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A7" w:rsidRPr="003B52A4" w:rsidRDefault="003B52A4" w:rsidP="003B52A4">
    <w:pPr>
      <w:tabs>
        <w:tab w:val="center" w:pos="4680"/>
        <w:tab w:val="right" w:pos="9360"/>
      </w:tabs>
    </w:pPr>
    <w:r w:rsidRPr="00203EAC">
      <w:rPr>
        <w:b/>
        <w:noProof/>
      </w:rPr>
      <mc:AlternateContent>
        <mc:Choice Requires="wps">
          <w:drawing>
            <wp:anchor distT="0" distB="0" distL="114300" distR="114300" simplePos="0" relativeHeight="251662336" behindDoc="1" locked="0" layoutInCell="0" allowOverlap="1" wp14:anchorId="1EFCE750" wp14:editId="67429EE8">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203EAC">
      <w:rPr>
        <w:b/>
      </w:rPr>
      <w:tab/>
      <w:t>Federal Communications Commission</w:t>
    </w:r>
    <w:r w:rsidRPr="00203EAC">
      <w:rPr>
        <w:b/>
      </w:rPr>
      <w:tab/>
    </w:r>
    <w:r w:rsidRPr="00203EAC">
      <w:rPr>
        <w:b/>
        <w:spacing w:val="-2"/>
      </w:rPr>
      <w:t>FCC 14-</w:t>
    </w:r>
    <w:r>
      <w:rPr>
        <w:b/>
        <w:spacing w:val="-2"/>
      </w:rPr>
      <w:t>203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AC" w:rsidRPr="00203EAC" w:rsidRDefault="00203EAC" w:rsidP="00203EAC">
    <w:pPr>
      <w:tabs>
        <w:tab w:val="center" w:pos="4680"/>
        <w:tab w:val="right" w:pos="9360"/>
      </w:tabs>
    </w:pPr>
    <w:r w:rsidRPr="00203EAC">
      <w:rPr>
        <w:b/>
        <w:noProof/>
      </w:rPr>
      <mc:AlternateContent>
        <mc:Choice Requires="wps">
          <w:drawing>
            <wp:anchor distT="0" distB="0" distL="114300" distR="114300" simplePos="0" relativeHeight="251660288" behindDoc="1" locked="0" layoutInCell="0" allowOverlap="1" wp14:anchorId="283AA3DC" wp14:editId="6CACF8E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203EAC">
      <w:rPr>
        <w:b/>
      </w:rPr>
      <w:tab/>
      <w:t>Federal Communications Commission</w:t>
    </w:r>
    <w:r w:rsidRPr="00203EAC">
      <w:rPr>
        <w:b/>
      </w:rPr>
      <w:tab/>
    </w:r>
    <w:r w:rsidRPr="00203EAC">
      <w:rPr>
        <w:b/>
        <w:spacing w:val="-2"/>
      </w:rPr>
      <w:t>FCC 14-</w:t>
    </w:r>
    <w:r>
      <w:rPr>
        <w:b/>
        <w:spacing w:val="-2"/>
      </w:rPr>
      <w:t>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FB"/>
    <w:multiLevelType w:val="hybridMultilevel"/>
    <w:tmpl w:val="18C6DF30"/>
    <w:lvl w:ilvl="0" w:tplc="AD9A6B9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A52053E0"/>
    <w:lvl w:ilvl="0">
      <w:start w:val="1"/>
      <w:numFmt w:val="decimal"/>
      <w:lvlText w:val="%1."/>
      <w:lvlJc w:val="left"/>
      <w:pPr>
        <w:tabs>
          <w:tab w:val="num" w:pos="360"/>
        </w:tabs>
        <w:ind w:left="-720" w:firstLine="720"/>
      </w:pPr>
      <w:rPr>
        <w:b w:val="0"/>
        <w:i w:val="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F6A53BE"/>
    <w:multiLevelType w:val="hybridMultilevel"/>
    <w:tmpl w:val="13AAA9F0"/>
    <w:lvl w:ilvl="0" w:tplc="C86A309A">
      <w:start w:val="15"/>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9">
    <w:nsid w:val="70121FA2"/>
    <w:multiLevelType w:val="hybridMultilevel"/>
    <w:tmpl w:val="5FCC96D2"/>
    <w:lvl w:ilvl="0" w:tplc="1302A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8"/>
  </w:num>
  <w:num w:numId="2">
    <w:abstractNumId w:val="30"/>
  </w:num>
  <w:num w:numId="3">
    <w:abstractNumId w:val="6"/>
  </w:num>
  <w:num w:numId="4">
    <w:abstractNumId w:val="23"/>
  </w:num>
  <w:num w:numId="5">
    <w:abstractNumId w:val="10"/>
  </w:num>
  <w:num w:numId="6">
    <w:abstractNumId w:val="26"/>
  </w:num>
  <w:num w:numId="7">
    <w:abstractNumId w:val="18"/>
  </w:num>
  <w:num w:numId="8">
    <w:abstractNumId w:val="11"/>
  </w:num>
  <w:num w:numId="9">
    <w:abstractNumId w:val="25"/>
  </w:num>
  <w:num w:numId="10">
    <w:abstractNumId w:val="16"/>
  </w:num>
  <w:num w:numId="11">
    <w:abstractNumId w:val="15"/>
  </w:num>
  <w:num w:numId="12">
    <w:abstractNumId w:val="12"/>
  </w:num>
  <w:num w:numId="13">
    <w:abstractNumId w:val="17"/>
  </w:num>
  <w:num w:numId="14">
    <w:abstractNumId w:val="24"/>
  </w:num>
  <w:num w:numId="15">
    <w:abstractNumId w:val="4"/>
  </w:num>
  <w:num w:numId="16">
    <w:abstractNumId w:val="5"/>
  </w:num>
  <w:num w:numId="17">
    <w:abstractNumId w:val="13"/>
  </w:num>
  <w:num w:numId="18">
    <w:abstractNumId w:val="3"/>
  </w:num>
  <w:num w:numId="19">
    <w:abstractNumId w:val="14"/>
  </w:num>
  <w:num w:numId="20">
    <w:abstractNumId w:val="19"/>
  </w:num>
  <w:num w:numId="21">
    <w:abstractNumId w:val="22"/>
  </w:num>
  <w:num w:numId="22">
    <w:abstractNumId w:val="1"/>
  </w:num>
  <w:num w:numId="23">
    <w:abstractNumId w:val="21"/>
  </w:num>
  <w:num w:numId="24">
    <w:abstractNumId w:val="0"/>
  </w:num>
  <w:num w:numId="25">
    <w:abstractNumId w:val="17"/>
    <w:lvlOverride w:ilvl="0">
      <w:startOverride w:val="1"/>
    </w:lvlOverride>
  </w:num>
  <w:num w:numId="26">
    <w:abstractNumId w:val="29"/>
  </w:num>
  <w:num w:numId="27">
    <w:abstractNumId w:val="17"/>
    <w:lvlOverride w:ilvl="0">
      <w:startOverride w:val="1"/>
    </w:lvlOverride>
  </w:num>
  <w:num w:numId="28">
    <w:abstractNumId w:val="17"/>
    <w:lvlOverride w:ilvl="0">
      <w:startOverride w:val="1"/>
    </w:lvlOverride>
  </w:num>
  <w:num w:numId="29">
    <w:abstractNumId w:val="17"/>
  </w:num>
  <w:num w:numId="30">
    <w:abstractNumId w:val="7"/>
  </w:num>
  <w:num w:numId="31">
    <w:abstractNumId w:val="27"/>
  </w:num>
  <w:num w:numId="32">
    <w:abstractNumId w:val="9"/>
  </w:num>
  <w:num w:numId="33">
    <w:abstractNumId w:val="2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1"/>
    <w:rsid w:val="0000216A"/>
    <w:rsid w:val="00011F8B"/>
    <w:rsid w:val="000325D2"/>
    <w:rsid w:val="00042567"/>
    <w:rsid w:val="00050F6A"/>
    <w:rsid w:val="0005115B"/>
    <w:rsid w:val="00052375"/>
    <w:rsid w:val="00064DC4"/>
    <w:rsid w:val="000702C1"/>
    <w:rsid w:val="00073BDA"/>
    <w:rsid w:val="00075D3F"/>
    <w:rsid w:val="000771AA"/>
    <w:rsid w:val="00091CB1"/>
    <w:rsid w:val="000A0CA6"/>
    <w:rsid w:val="000A2C6F"/>
    <w:rsid w:val="000A3DED"/>
    <w:rsid w:val="000B5147"/>
    <w:rsid w:val="000C5BE5"/>
    <w:rsid w:val="000D043F"/>
    <w:rsid w:val="000D5CC1"/>
    <w:rsid w:val="000D6B11"/>
    <w:rsid w:val="000D6E8B"/>
    <w:rsid w:val="000E2EA0"/>
    <w:rsid w:val="000E3E8C"/>
    <w:rsid w:val="000F0F5C"/>
    <w:rsid w:val="000F29C6"/>
    <w:rsid w:val="00102B9E"/>
    <w:rsid w:val="00112563"/>
    <w:rsid w:val="0011436F"/>
    <w:rsid w:val="00115EEA"/>
    <w:rsid w:val="00123DF5"/>
    <w:rsid w:val="00137E8E"/>
    <w:rsid w:val="00144C97"/>
    <w:rsid w:val="00146AE3"/>
    <w:rsid w:val="00150348"/>
    <w:rsid w:val="00150FBA"/>
    <w:rsid w:val="0015719B"/>
    <w:rsid w:val="001607B4"/>
    <w:rsid w:val="001651E7"/>
    <w:rsid w:val="00171B5D"/>
    <w:rsid w:val="00171F57"/>
    <w:rsid w:val="00171FDF"/>
    <w:rsid w:val="00172B06"/>
    <w:rsid w:val="00173988"/>
    <w:rsid w:val="001740CC"/>
    <w:rsid w:val="00174D40"/>
    <w:rsid w:val="001757A0"/>
    <w:rsid w:val="00177597"/>
    <w:rsid w:val="0017779C"/>
    <w:rsid w:val="001813D9"/>
    <w:rsid w:val="00184712"/>
    <w:rsid w:val="00187F54"/>
    <w:rsid w:val="001904B0"/>
    <w:rsid w:val="00190E5D"/>
    <w:rsid w:val="0019416E"/>
    <w:rsid w:val="00195478"/>
    <w:rsid w:val="001969AA"/>
    <w:rsid w:val="001A1121"/>
    <w:rsid w:val="001A1489"/>
    <w:rsid w:val="001B4D52"/>
    <w:rsid w:val="001B5E11"/>
    <w:rsid w:val="001B637D"/>
    <w:rsid w:val="001E1F96"/>
    <w:rsid w:val="001E4A16"/>
    <w:rsid w:val="001E5432"/>
    <w:rsid w:val="001F297E"/>
    <w:rsid w:val="00203EAC"/>
    <w:rsid w:val="00204D4C"/>
    <w:rsid w:val="00205F9B"/>
    <w:rsid w:val="002069A2"/>
    <w:rsid w:val="00211460"/>
    <w:rsid w:val="002245D1"/>
    <w:rsid w:val="002307A1"/>
    <w:rsid w:val="00231532"/>
    <w:rsid w:val="002337EB"/>
    <w:rsid w:val="00245E83"/>
    <w:rsid w:val="00246677"/>
    <w:rsid w:val="00251283"/>
    <w:rsid w:val="00255387"/>
    <w:rsid w:val="00256B92"/>
    <w:rsid w:val="00263D85"/>
    <w:rsid w:val="00264E0C"/>
    <w:rsid w:val="00264E0F"/>
    <w:rsid w:val="0026556C"/>
    <w:rsid w:val="00270DBD"/>
    <w:rsid w:val="00276245"/>
    <w:rsid w:val="00286839"/>
    <w:rsid w:val="00292CC9"/>
    <w:rsid w:val="00293769"/>
    <w:rsid w:val="002C1848"/>
    <w:rsid w:val="002D23B8"/>
    <w:rsid w:val="002D658A"/>
    <w:rsid w:val="002E2A5E"/>
    <w:rsid w:val="002E6E34"/>
    <w:rsid w:val="002F2BB6"/>
    <w:rsid w:val="003005B4"/>
    <w:rsid w:val="003021BB"/>
    <w:rsid w:val="0030309E"/>
    <w:rsid w:val="00313F16"/>
    <w:rsid w:val="0031705F"/>
    <w:rsid w:val="00353F26"/>
    <w:rsid w:val="00374D33"/>
    <w:rsid w:val="00376901"/>
    <w:rsid w:val="003865D9"/>
    <w:rsid w:val="0039460B"/>
    <w:rsid w:val="003A4617"/>
    <w:rsid w:val="003A4A14"/>
    <w:rsid w:val="003A7F52"/>
    <w:rsid w:val="003B296E"/>
    <w:rsid w:val="003B52A4"/>
    <w:rsid w:val="003B5ED5"/>
    <w:rsid w:val="003C1BE1"/>
    <w:rsid w:val="003C51F7"/>
    <w:rsid w:val="003D5A02"/>
    <w:rsid w:val="003D61D1"/>
    <w:rsid w:val="003E1F0D"/>
    <w:rsid w:val="003E24B6"/>
    <w:rsid w:val="003F10AF"/>
    <w:rsid w:val="003F6FAE"/>
    <w:rsid w:val="003F7491"/>
    <w:rsid w:val="00410A8E"/>
    <w:rsid w:val="00411D74"/>
    <w:rsid w:val="00432466"/>
    <w:rsid w:val="0043478E"/>
    <w:rsid w:val="004476DF"/>
    <w:rsid w:val="0046606C"/>
    <w:rsid w:val="00490619"/>
    <w:rsid w:val="004A49A3"/>
    <w:rsid w:val="004A6ACD"/>
    <w:rsid w:val="004B15FB"/>
    <w:rsid w:val="004B2418"/>
    <w:rsid w:val="004B74F6"/>
    <w:rsid w:val="004D0816"/>
    <w:rsid w:val="004D17F1"/>
    <w:rsid w:val="004D544B"/>
    <w:rsid w:val="004E58C0"/>
    <w:rsid w:val="004E6612"/>
    <w:rsid w:val="004F313E"/>
    <w:rsid w:val="0050221B"/>
    <w:rsid w:val="00502D1F"/>
    <w:rsid w:val="00503187"/>
    <w:rsid w:val="00510BEB"/>
    <w:rsid w:val="00513657"/>
    <w:rsid w:val="005160C9"/>
    <w:rsid w:val="005206F6"/>
    <w:rsid w:val="005229AE"/>
    <w:rsid w:val="005236C9"/>
    <w:rsid w:val="0052457E"/>
    <w:rsid w:val="00546BA8"/>
    <w:rsid w:val="005523E0"/>
    <w:rsid w:val="00553AE9"/>
    <w:rsid w:val="0055589A"/>
    <w:rsid w:val="00555F11"/>
    <w:rsid w:val="00556A76"/>
    <w:rsid w:val="00557DEE"/>
    <w:rsid w:val="005660EA"/>
    <w:rsid w:val="005722EC"/>
    <w:rsid w:val="00575218"/>
    <w:rsid w:val="005760A2"/>
    <w:rsid w:val="00576748"/>
    <w:rsid w:val="00576F38"/>
    <w:rsid w:val="005852B0"/>
    <w:rsid w:val="005A75C9"/>
    <w:rsid w:val="005B612B"/>
    <w:rsid w:val="005B6D6B"/>
    <w:rsid w:val="005C1E1B"/>
    <w:rsid w:val="005D0DDE"/>
    <w:rsid w:val="005D0E79"/>
    <w:rsid w:val="005E2D6F"/>
    <w:rsid w:val="005E40E0"/>
    <w:rsid w:val="005F1E89"/>
    <w:rsid w:val="005F26E3"/>
    <w:rsid w:val="005F34A6"/>
    <w:rsid w:val="005F7AD7"/>
    <w:rsid w:val="006023AB"/>
    <w:rsid w:val="00605970"/>
    <w:rsid w:val="00611E00"/>
    <w:rsid w:val="0061575A"/>
    <w:rsid w:val="006358C3"/>
    <w:rsid w:val="00636A59"/>
    <w:rsid w:val="00650C2F"/>
    <w:rsid w:val="00654319"/>
    <w:rsid w:val="00656868"/>
    <w:rsid w:val="00661968"/>
    <w:rsid w:val="00666582"/>
    <w:rsid w:val="00674E75"/>
    <w:rsid w:val="00675775"/>
    <w:rsid w:val="00681D3B"/>
    <w:rsid w:val="006876D7"/>
    <w:rsid w:val="006878EF"/>
    <w:rsid w:val="00690D66"/>
    <w:rsid w:val="006914BC"/>
    <w:rsid w:val="00693DEB"/>
    <w:rsid w:val="006A0DF5"/>
    <w:rsid w:val="006A72C6"/>
    <w:rsid w:val="006A7371"/>
    <w:rsid w:val="006A7410"/>
    <w:rsid w:val="006C1105"/>
    <w:rsid w:val="006C1960"/>
    <w:rsid w:val="006C3096"/>
    <w:rsid w:val="006C703C"/>
    <w:rsid w:val="006C7926"/>
    <w:rsid w:val="006D66ED"/>
    <w:rsid w:val="006E18C7"/>
    <w:rsid w:val="006E4333"/>
    <w:rsid w:val="006F2041"/>
    <w:rsid w:val="0070430D"/>
    <w:rsid w:val="00713D3F"/>
    <w:rsid w:val="00720B28"/>
    <w:rsid w:val="0072214E"/>
    <w:rsid w:val="007242A8"/>
    <w:rsid w:val="007256B7"/>
    <w:rsid w:val="0072705F"/>
    <w:rsid w:val="00727D7D"/>
    <w:rsid w:val="00736822"/>
    <w:rsid w:val="00737859"/>
    <w:rsid w:val="007379E7"/>
    <w:rsid w:val="00741D76"/>
    <w:rsid w:val="007461AE"/>
    <w:rsid w:val="007464BE"/>
    <w:rsid w:val="00750291"/>
    <w:rsid w:val="00750A3F"/>
    <w:rsid w:val="00752ED8"/>
    <w:rsid w:val="00760F8F"/>
    <w:rsid w:val="007612C6"/>
    <w:rsid w:val="007629F0"/>
    <w:rsid w:val="007642AE"/>
    <w:rsid w:val="00766175"/>
    <w:rsid w:val="00785762"/>
    <w:rsid w:val="00794B30"/>
    <w:rsid w:val="007A10E7"/>
    <w:rsid w:val="007A184F"/>
    <w:rsid w:val="007B15B4"/>
    <w:rsid w:val="007B3C29"/>
    <w:rsid w:val="007C7B7B"/>
    <w:rsid w:val="007D0630"/>
    <w:rsid w:val="007D38D2"/>
    <w:rsid w:val="007E568E"/>
    <w:rsid w:val="007F177B"/>
    <w:rsid w:val="007F5A78"/>
    <w:rsid w:val="00807FF4"/>
    <w:rsid w:val="00811D62"/>
    <w:rsid w:val="00816CAA"/>
    <w:rsid w:val="008227E5"/>
    <w:rsid w:val="00824866"/>
    <w:rsid w:val="00824F74"/>
    <w:rsid w:val="0082710C"/>
    <w:rsid w:val="00831823"/>
    <w:rsid w:val="008458D8"/>
    <w:rsid w:val="0085107C"/>
    <w:rsid w:val="008562FC"/>
    <w:rsid w:val="00856A61"/>
    <w:rsid w:val="00857544"/>
    <w:rsid w:val="00861514"/>
    <w:rsid w:val="00863F46"/>
    <w:rsid w:val="00866EE6"/>
    <w:rsid w:val="00870B13"/>
    <w:rsid w:val="0087344A"/>
    <w:rsid w:val="008749FA"/>
    <w:rsid w:val="0087508C"/>
    <w:rsid w:val="00882213"/>
    <w:rsid w:val="00887778"/>
    <w:rsid w:val="00893518"/>
    <w:rsid w:val="008936CA"/>
    <w:rsid w:val="00895624"/>
    <w:rsid w:val="008A7528"/>
    <w:rsid w:val="008B7B09"/>
    <w:rsid w:val="008C01C3"/>
    <w:rsid w:val="008C5AB8"/>
    <w:rsid w:val="008C6666"/>
    <w:rsid w:val="008D498F"/>
    <w:rsid w:val="008D56AB"/>
    <w:rsid w:val="008D5884"/>
    <w:rsid w:val="008D7F34"/>
    <w:rsid w:val="008E0573"/>
    <w:rsid w:val="008E31F9"/>
    <w:rsid w:val="008E469C"/>
    <w:rsid w:val="008F4F09"/>
    <w:rsid w:val="008F6610"/>
    <w:rsid w:val="008F6AF5"/>
    <w:rsid w:val="008F74C1"/>
    <w:rsid w:val="00905505"/>
    <w:rsid w:val="00906C58"/>
    <w:rsid w:val="009240F0"/>
    <w:rsid w:val="00926FD1"/>
    <w:rsid w:val="009329C3"/>
    <w:rsid w:val="009705A5"/>
    <w:rsid w:val="00972D7B"/>
    <w:rsid w:val="00974482"/>
    <w:rsid w:val="00975735"/>
    <w:rsid w:val="0097598D"/>
    <w:rsid w:val="0098062C"/>
    <w:rsid w:val="00982B86"/>
    <w:rsid w:val="00986030"/>
    <w:rsid w:val="00991F5B"/>
    <w:rsid w:val="0099229B"/>
    <w:rsid w:val="009A0417"/>
    <w:rsid w:val="009A5897"/>
    <w:rsid w:val="009B073F"/>
    <w:rsid w:val="009B6664"/>
    <w:rsid w:val="009C0161"/>
    <w:rsid w:val="009C6949"/>
    <w:rsid w:val="009D04A7"/>
    <w:rsid w:val="009D6C11"/>
    <w:rsid w:val="009E13D5"/>
    <w:rsid w:val="009F0063"/>
    <w:rsid w:val="009F21FC"/>
    <w:rsid w:val="009F3BE1"/>
    <w:rsid w:val="009F4F3C"/>
    <w:rsid w:val="009F7763"/>
    <w:rsid w:val="00A02ED6"/>
    <w:rsid w:val="00A07E47"/>
    <w:rsid w:val="00A22171"/>
    <w:rsid w:val="00A31670"/>
    <w:rsid w:val="00A36666"/>
    <w:rsid w:val="00A61343"/>
    <w:rsid w:val="00A61442"/>
    <w:rsid w:val="00A61CE4"/>
    <w:rsid w:val="00A639AD"/>
    <w:rsid w:val="00A65DBA"/>
    <w:rsid w:val="00A66471"/>
    <w:rsid w:val="00A676E7"/>
    <w:rsid w:val="00A76637"/>
    <w:rsid w:val="00A768D7"/>
    <w:rsid w:val="00A8345E"/>
    <w:rsid w:val="00A92CAE"/>
    <w:rsid w:val="00A96094"/>
    <w:rsid w:val="00AA0CC8"/>
    <w:rsid w:val="00AA29F1"/>
    <w:rsid w:val="00AA7278"/>
    <w:rsid w:val="00AB2473"/>
    <w:rsid w:val="00AB41B8"/>
    <w:rsid w:val="00AC2529"/>
    <w:rsid w:val="00AD25EC"/>
    <w:rsid w:val="00AD6261"/>
    <w:rsid w:val="00B14B88"/>
    <w:rsid w:val="00B1657E"/>
    <w:rsid w:val="00B20754"/>
    <w:rsid w:val="00B23441"/>
    <w:rsid w:val="00B25C2B"/>
    <w:rsid w:val="00B300D3"/>
    <w:rsid w:val="00B31B9C"/>
    <w:rsid w:val="00B43997"/>
    <w:rsid w:val="00B45E06"/>
    <w:rsid w:val="00B464F9"/>
    <w:rsid w:val="00B631F8"/>
    <w:rsid w:val="00B66DE4"/>
    <w:rsid w:val="00B72D48"/>
    <w:rsid w:val="00B7394A"/>
    <w:rsid w:val="00B7481B"/>
    <w:rsid w:val="00B75045"/>
    <w:rsid w:val="00B81E58"/>
    <w:rsid w:val="00B8582C"/>
    <w:rsid w:val="00B86CB9"/>
    <w:rsid w:val="00B96389"/>
    <w:rsid w:val="00B96B43"/>
    <w:rsid w:val="00BA13BE"/>
    <w:rsid w:val="00BA188F"/>
    <w:rsid w:val="00BB5815"/>
    <w:rsid w:val="00BB7452"/>
    <w:rsid w:val="00BC3F33"/>
    <w:rsid w:val="00BC7D4B"/>
    <w:rsid w:val="00BD5430"/>
    <w:rsid w:val="00BD6F5A"/>
    <w:rsid w:val="00BE01A5"/>
    <w:rsid w:val="00BF07DE"/>
    <w:rsid w:val="00BF33FD"/>
    <w:rsid w:val="00C00507"/>
    <w:rsid w:val="00C00BFC"/>
    <w:rsid w:val="00C02716"/>
    <w:rsid w:val="00C04AC0"/>
    <w:rsid w:val="00C0770C"/>
    <w:rsid w:val="00C14B99"/>
    <w:rsid w:val="00C26924"/>
    <w:rsid w:val="00C30C45"/>
    <w:rsid w:val="00C401EB"/>
    <w:rsid w:val="00C422D3"/>
    <w:rsid w:val="00C45AA7"/>
    <w:rsid w:val="00C463E0"/>
    <w:rsid w:val="00C505F4"/>
    <w:rsid w:val="00C518FC"/>
    <w:rsid w:val="00C53A42"/>
    <w:rsid w:val="00C60F8F"/>
    <w:rsid w:val="00C6397F"/>
    <w:rsid w:val="00C72DE2"/>
    <w:rsid w:val="00C774AC"/>
    <w:rsid w:val="00C86573"/>
    <w:rsid w:val="00C969AF"/>
    <w:rsid w:val="00CA4869"/>
    <w:rsid w:val="00CA4C3A"/>
    <w:rsid w:val="00CA7698"/>
    <w:rsid w:val="00CB3C14"/>
    <w:rsid w:val="00CC068B"/>
    <w:rsid w:val="00CC180E"/>
    <w:rsid w:val="00CC330C"/>
    <w:rsid w:val="00CD1343"/>
    <w:rsid w:val="00CD5E53"/>
    <w:rsid w:val="00CF40E1"/>
    <w:rsid w:val="00CF4959"/>
    <w:rsid w:val="00CF76A5"/>
    <w:rsid w:val="00D010A9"/>
    <w:rsid w:val="00D208E9"/>
    <w:rsid w:val="00D260F3"/>
    <w:rsid w:val="00D458EB"/>
    <w:rsid w:val="00D52BE0"/>
    <w:rsid w:val="00D61CE5"/>
    <w:rsid w:val="00D67194"/>
    <w:rsid w:val="00D7032C"/>
    <w:rsid w:val="00D74F01"/>
    <w:rsid w:val="00D77A17"/>
    <w:rsid w:val="00D907A4"/>
    <w:rsid w:val="00D92D98"/>
    <w:rsid w:val="00DB1FE7"/>
    <w:rsid w:val="00DB24FC"/>
    <w:rsid w:val="00DB2705"/>
    <w:rsid w:val="00DB6A8B"/>
    <w:rsid w:val="00DB6FEC"/>
    <w:rsid w:val="00DC3FD9"/>
    <w:rsid w:val="00DD1919"/>
    <w:rsid w:val="00DD418E"/>
    <w:rsid w:val="00DD46DE"/>
    <w:rsid w:val="00DE0078"/>
    <w:rsid w:val="00DF0442"/>
    <w:rsid w:val="00DF06AE"/>
    <w:rsid w:val="00DF3A78"/>
    <w:rsid w:val="00DF4534"/>
    <w:rsid w:val="00E21D19"/>
    <w:rsid w:val="00E24878"/>
    <w:rsid w:val="00E41545"/>
    <w:rsid w:val="00E57B8A"/>
    <w:rsid w:val="00E6499C"/>
    <w:rsid w:val="00E66592"/>
    <w:rsid w:val="00E66C6E"/>
    <w:rsid w:val="00E72B33"/>
    <w:rsid w:val="00E76628"/>
    <w:rsid w:val="00E76DFE"/>
    <w:rsid w:val="00E77354"/>
    <w:rsid w:val="00E865D5"/>
    <w:rsid w:val="00E965B6"/>
    <w:rsid w:val="00E9792C"/>
    <w:rsid w:val="00EA5F0D"/>
    <w:rsid w:val="00EB7E66"/>
    <w:rsid w:val="00EC2757"/>
    <w:rsid w:val="00EC5430"/>
    <w:rsid w:val="00EC5899"/>
    <w:rsid w:val="00EE30F4"/>
    <w:rsid w:val="00EE55AC"/>
    <w:rsid w:val="00F07923"/>
    <w:rsid w:val="00F10254"/>
    <w:rsid w:val="00F14B0B"/>
    <w:rsid w:val="00F21DCF"/>
    <w:rsid w:val="00F26F7B"/>
    <w:rsid w:val="00F2769B"/>
    <w:rsid w:val="00F278DF"/>
    <w:rsid w:val="00F30FA1"/>
    <w:rsid w:val="00F369BE"/>
    <w:rsid w:val="00F41290"/>
    <w:rsid w:val="00F4244D"/>
    <w:rsid w:val="00F46FBC"/>
    <w:rsid w:val="00F477AA"/>
    <w:rsid w:val="00F6116C"/>
    <w:rsid w:val="00F6186D"/>
    <w:rsid w:val="00F6535E"/>
    <w:rsid w:val="00F73F34"/>
    <w:rsid w:val="00F76948"/>
    <w:rsid w:val="00F77925"/>
    <w:rsid w:val="00F805DF"/>
    <w:rsid w:val="00F80B3A"/>
    <w:rsid w:val="00F86D47"/>
    <w:rsid w:val="00F87491"/>
    <w:rsid w:val="00F931A1"/>
    <w:rsid w:val="00F95934"/>
    <w:rsid w:val="00FB3AB9"/>
    <w:rsid w:val="00FB4D0C"/>
    <w:rsid w:val="00FB6B7C"/>
    <w:rsid w:val="00FC4D30"/>
    <w:rsid w:val="00FD087B"/>
    <w:rsid w:val="00FD16BE"/>
    <w:rsid w:val="00FD2040"/>
    <w:rsid w:val="00FE2FEC"/>
    <w:rsid w:val="00FE3338"/>
    <w:rsid w:val="00FF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11"/>
    <w:pPr>
      <w:widowControl w:val="0"/>
    </w:pPr>
    <w:rPr>
      <w:snapToGrid w:val="0"/>
      <w:kern w:val="28"/>
      <w:sz w:val="22"/>
    </w:rPr>
  </w:style>
  <w:style w:type="paragraph" w:styleId="Heading1">
    <w:name w:val="heading 1"/>
    <w:basedOn w:val="Normal"/>
    <w:next w:val="ParaNum"/>
    <w:qFormat/>
    <w:rsid w:val="00555F11"/>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55F11"/>
    <w:pPr>
      <w:keepNext/>
      <w:numPr>
        <w:ilvl w:val="1"/>
        <w:numId w:val="32"/>
      </w:numPr>
      <w:spacing w:after="120"/>
      <w:outlineLvl w:val="1"/>
    </w:pPr>
    <w:rPr>
      <w:b/>
    </w:rPr>
  </w:style>
  <w:style w:type="paragraph" w:styleId="Heading3">
    <w:name w:val="heading 3"/>
    <w:basedOn w:val="Normal"/>
    <w:next w:val="ParaNum"/>
    <w:qFormat/>
    <w:rsid w:val="00555F11"/>
    <w:pPr>
      <w:keepNext/>
      <w:numPr>
        <w:ilvl w:val="2"/>
        <w:numId w:val="32"/>
      </w:numPr>
      <w:tabs>
        <w:tab w:val="left" w:pos="2160"/>
      </w:tabs>
      <w:spacing w:after="120"/>
      <w:outlineLvl w:val="2"/>
    </w:pPr>
    <w:rPr>
      <w:b/>
    </w:rPr>
  </w:style>
  <w:style w:type="paragraph" w:styleId="Heading4">
    <w:name w:val="heading 4"/>
    <w:basedOn w:val="Normal"/>
    <w:next w:val="ParaNum"/>
    <w:qFormat/>
    <w:rsid w:val="00555F11"/>
    <w:pPr>
      <w:keepNext/>
      <w:numPr>
        <w:ilvl w:val="3"/>
        <w:numId w:val="32"/>
      </w:numPr>
      <w:tabs>
        <w:tab w:val="left" w:pos="2880"/>
      </w:tabs>
      <w:spacing w:after="120"/>
      <w:outlineLvl w:val="3"/>
    </w:pPr>
    <w:rPr>
      <w:b/>
    </w:rPr>
  </w:style>
  <w:style w:type="paragraph" w:styleId="Heading5">
    <w:name w:val="heading 5"/>
    <w:basedOn w:val="Normal"/>
    <w:next w:val="ParaNum"/>
    <w:qFormat/>
    <w:rsid w:val="00555F11"/>
    <w:pPr>
      <w:keepNext/>
      <w:numPr>
        <w:ilvl w:val="4"/>
        <w:numId w:val="32"/>
      </w:numPr>
      <w:tabs>
        <w:tab w:val="left" w:pos="3600"/>
      </w:tabs>
      <w:suppressAutoHyphens/>
      <w:spacing w:after="120"/>
      <w:outlineLvl w:val="4"/>
    </w:pPr>
    <w:rPr>
      <w:b/>
    </w:rPr>
  </w:style>
  <w:style w:type="paragraph" w:styleId="Heading6">
    <w:name w:val="heading 6"/>
    <w:basedOn w:val="Normal"/>
    <w:next w:val="ParaNum"/>
    <w:qFormat/>
    <w:rsid w:val="00555F11"/>
    <w:pPr>
      <w:numPr>
        <w:ilvl w:val="5"/>
        <w:numId w:val="32"/>
      </w:numPr>
      <w:tabs>
        <w:tab w:val="left" w:pos="4320"/>
      </w:tabs>
      <w:spacing w:after="120"/>
      <w:outlineLvl w:val="5"/>
    </w:pPr>
    <w:rPr>
      <w:b/>
    </w:rPr>
  </w:style>
  <w:style w:type="paragraph" w:styleId="Heading7">
    <w:name w:val="heading 7"/>
    <w:basedOn w:val="Normal"/>
    <w:next w:val="ParaNum"/>
    <w:qFormat/>
    <w:rsid w:val="00555F11"/>
    <w:pPr>
      <w:numPr>
        <w:ilvl w:val="6"/>
        <w:numId w:val="32"/>
      </w:numPr>
      <w:tabs>
        <w:tab w:val="left" w:pos="5040"/>
      </w:tabs>
      <w:spacing w:after="120"/>
      <w:ind w:left="5040" w:hanging="720"/>
      <w:outlineLvl w:val="6"/>
    </w:pPr>
    <w:rPr>
      <w:b/>
    </w:rPr>
  </w:style>
  <w:style w:type="paragraph" w:styleId="Heading8">
    <w:name w:val="heading 8"/>
    <w:basedOn w:val="Normal"/>
    <w:next w:val="ParaNum"/>
    <w:qFormat/>
    <w:rsid w:val="00555F11"/>
    <w:pPr>
      <w:numPr>
        <w:ilvl w:val="7"/>
        <w:numId w:val="32"/>
      </w:numPr>
      <w:tabs>
        <w:tab w:val="clear" w:pos="5400"/>
        <w:tab w:val="left" w:pos="5760"/>
      </w:tabs>
      <w:spacing w:after="120"/>
      <w:ind w:left="5760" w:hanging="720"/>
      <w:outlineLvl w:val="7"/>
    </w:pPr>
    <w:rPr>
      <w:b/>
    </w:rPr>
  </w:style>
  <w:style w:type="paragraph" w:styleId="Heading9">
    <w:name w:val="heading 9"/>
    <w:basedOn w:val="Normal"/>
    <w:next w:val="ParaNum"/>
    <w:qFormat/>
    <w:rsid w:val="00555F11"/>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5F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F11"/>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555F11"/>
    <w:pPr>
      <w:numPr>
        <w:numId w:val="31"/>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555F11"/>
    <w:pPr>
      <w:spacing w:after="120"/>
    </w:pPr>
  </w:style>
  <w:style w:type="paragraph" w:customStyle="1" w:styleId="Bullet">
    <w:name w:val="Bullet"/>
    <w:basedOn w:val="Normal"/>
    <w:rsid w:val="00555F11"/>
    <w:pPr>
      <w:tabs>
        <w:tab w:val="left" w:pos="2160"/>
      </w:tabs>
      <w:spacing w:after="220"/>
      <w:ind w:left="2160" w:hanging="720"/>
    </w:pPr>
  </w:style>
  <w:style w:type="paragraph" w:styleId="BlockText">
    <w:name w:val="Block Text"/>
    <w:basedOn w:val="Normal"/>
    <w:rsid w:val="00555F11"/>
    <w:pPr>
      <w:spacing w:after="240"/>
      <w:ind w:left="1440" w:right="1440"/>
    </w:pPr>
  </w:style>
  <w:style w:type="paragraph" w:customStyle="1" w:styleId="TableFormat">
    <w:name w:val="TableFormat"/>
    <w:basedOn w:val="Bullet"/>
    <w:rsid w:val="00555F11"/>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555F11"/>
    <w:rPr>
      <w:rFonts w:ascii="Times New Roman" w:hAnsi="Times New Roman"/>
      <w:dstrike w:val="0"/>
      <w:color w:val="auto"/>
      <w:sz w:val="20"/>
      <w:vertAlign w:val="superscript"/>
    </w:rPr>
  </w:style>
  <w:style w:type="paragraph" w:styleId="Header">
    <w:name w:val="header"/>
    <w:basedOn w:val="Normal"/>
    <w:link w:val="HeaderChar"/>
    <w:autoRedefine/>
    <w:rsid w:val="00555F11"/>
    <w:pPr>
      <w:tabs>
        <w:tab w:val="center" w:pos="4680"/>
        <w:tab w:val="right" w:pos="9360"/>
      </w:tabs>
    </w:pPr>
    <w:rPr>
      <w:b/>
    </w:rPr>
  </w:style>
  <w:style w:type="paragraph" w:styleId="Footer">
    <w:name w:val="footer"/>
    <w:basedOn w:val="Normal"/>
    <w:link w:val="FooterChar"/>
    <w:rsid w:val="00555F11"/>
    <w:pPr>
      <w:tabs>
        <w:tab w:val="center" w:pos="4320"/>
        <w:tab w:val="right" w:pos="8640"/>
      </w:tabs>
    </w:pPr>
  </w:style>
  <w:style w:type="paragraph" w:styleId="TOC2">
    <w:name w:val="toc 2"/>
    <w:basedOn w:val="Normal"/>
    <w:next w:val="Normal"/>
    <w:semiHidden/>
    <w:rsid w:val="00555F11"/>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555F11"/>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55F1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5F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5F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5F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5F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5F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5F11"/>
    <w:pPr>
      <w:tabs>
        <w:tab w:val="left" w:pos="3240"/>
        <w:tab w:val="right" w:leader="dot" w:pos="9360"/>
      </w:tabs>
      <w:suppressAutoHyphens/>
      <w:ind w:left="3240" w:hanging="360"/>
    </w:pPr>
    <w:rPr>
      <w:noProof/>
    </w:rPr>
  </w:style>
  <w:style w:type="character" w:styleId="PageNumber">
    <w:name w:val="page number"/>
    <w:basedOn w:val="DefaultParagraphFont"/>
    <w:rsid w:val="00555F11"/>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555F11"/>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link w:val="BalloonText"/>
    <w:uiPriority w:val="99"/>
    <w:semiHidden/>
    <w:rsid w:val="005A75C9"/>
    <w:rPr>
      <w:rFonts w:ascii="Tahoma" w:hAnsi="Tahoma" w:cs="Tahoma"/>
      <w:sz w:val="16"/>
      <w:szCs w:val="16"/>
    </w:rPr>
  </w:style>
  <w:style w:type="character" w:customStyle="1" w:styleId="HeaderChar">
    <w:name w:val="Header Char"/>
    <w:link w:val="Header"/>
    <w:rsid w:val="00576F38"/>
    <w:rPr>
      <w:b/>
      <w:snapToGrid w:val="0"/>
      <w:kern w:val="28"/>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link w:val="BodyText"/>
    <w:rsid w:val="00211460"/>
    <w:rPr>
      <w:sz w:val="22"/>
    </w:rPr>
  </w:style>
  <w:style w:type="character" w:customStyle="1" w:styleId="FooterChar">
    <w:name w:val="Footer Char"/>
    <w:link w:val="Footer"/>
    <w:rsid w:val="00211460"/>
    <w:rPr>
      <w:snapToGrid w:val="0"/>
      <w:kern w:val="28"/>
      <w:sz w:val="22"/>
    </w:rPr>
  </w:style>
  <w:style w:type="character" w:styleId="CommentReference">
    <w:name w:val="annotation reference"/>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link w:val="CommentSubject"/>
    <w:uiPriority w:val="99"/>
    <w:semiHidden/>
    <w:rsid w:val="00B1657E"/>
    <w:rPr>
      <w:b/>
      <w:bCs/>
    </w:rPr>
  </w:style>
  <w:style w:type="character" w:customStyle="1" w:styleId="ParaNumChar">
    <w:name w:val="ParaNum Char"/>
    <w:link w:val="ParaNum"/>
    <w:rsid w:val="000C5BE5"/>
    <w:rPr>
      <w:snapToGrid w:val="0"/>
      <w:kern w:val="28"/>
      <w:sz w:val="22"/>
    </w:rPr>
  </w:style>
  <w:style w:type="character" w:customStyle="1" w:styleId="term1">
    <w:name w:val="term1"/>
    <w:rsid w:val="002245D1"/>
    <w:rPr>
      <w:b/>
      <w:bCs/>
    </w:rPr>
  </w:style>
  <w:style w:type="character" w:customStyle="1" w:styleId="pmterms31">
    <w:name w:val="pmterms31"/>
    <w:rsid w:val="006D66ED"/>
    <w:rPr>
      <w:b/>
      <w:bCs/>
      <w:i w:val="0"/>
      <w:iCs w:val="0"/>
      <w:color w:val="000000"/>
    </w:rPr>
  </w:style>
  <w:style w:type="paragraph" w:styleId="PlainText">
    <w:name w:val="Plain Text"/>
    <w:basedOn w:val="Normal"/>
    <w:link w:val="PlainTextChar"/>
    <w:uiPriority w:val="99"/>
    <w:semiHidden/>
    <w:unhideWhenUsed/>
    <w:rsid w:val="007A184F"/>
    <w:rPr>
      <w:rFonts w:ascii="Calibri" w:eastAsia="Calibri" w:hAnsi="Calibri"/>
      <w:sz w:val="24"/>
      <w:szCs w:val="21"/>
    </w:rPr>
  </w:style>
  <w:style w:type="character" w:customStyle="1" w:styleId="PlainTextChar">
    <w:name w:val="Plain Text Char"/>
    <w:link w:val="PlainText"/>
    <w:uiPriority w:val="99"/>
    <w:semiHidden/>
    <w:rsid w:val="007A184F"/>
    <w:rPr>
      <w:rFonts w:ascii="Calibri" w:eastAsia="Calibri" w:hAnsi="Calibri" w:cs="Times New Roman"/>
      <w:sz w:val="24"/>
      <w:szCs w:val="21"/>
    </w:rPr>
  </w:style>
  <w:style w:type="paragraph" w:styleId="EndnoteText">
    <w:name w:val="endnote text"/>
    <w:basedOn w:val="Normal"/>
    <w:link w:val="EndnoteTextChar"/>
    <w:semiHidden/>
    <w:rsid w:val="00555F11"/>
    <w:rPr>
      <w:sz w:val="20"/>
    </w:rPr>
  </w:style>
  <w:style w:type="character" w:customStyle="1" w:styleId="EndnoteTextChar">
    <w:name w:val="Endnote Text Char"/>
    <w:basedOn w:val="DefaultParagraphFont"/>
    <w:link w:val="EndnoteText"/>
    <w:semiHidden/>
    <w:rsid w:val="0019416E"/>
    <w:rPr>
      <w:snapToGrid w:val="0"/>
      <w:kern w:val="28"/>
    </w:rPr>
  </w:style>
  <w:style w:type="character" w:styleId="EndnoteReference">
    <w:name w:val="endnote reference"/>
    <w:semiHidden/>
    <w:rsid w:val="00555F11"/>
    <w:rPr>
      <w:vertAlign w:val="superscript"/>
    </w:rPr>
  </w:style>
  <w:style w:type="paragraph" w:styleId="TOAHeading">
    <w:name w:val="toa heading"/>
    <w:basedOn w:val="Normal"/>
    <w:next w:val="Normal"/>
    <w:semiHidden/>
    <w:rsid w:val="00555F11"/>
    <w:pPr>
      <w:tabs>
        <w:tab w:val="right" w:pos="9360"/>
      </w:tabs>
      <w:suppressAutoHyphens/>
    </w:pPr>
  </w:style>
  <w:style w:type="character" w:customStyle="1" w:styleId="EquationCaption">
    <w:name w:val="_Equation Caption"/>
    <w:rsid w:val="00555F11"/>
  </w:style>
  <w:style w:type="paragraph" w:customStyle="1" w:styleId="Paratitle">
    <w:name w:val="Para title"/>
    <w:basedOn w:val="Normal"/>
    <w:rsid w:val="00555F11"/>
    <w:pPr>
      <w:tabs>
        <w:tab w:val="center" w:pos="9270"/>
      </w:tabs>
      <w:spacing w:after="240"/>
    </w:pPr>
    <w:rPr>
      <w:spacing w:val="-2"/>
    </w:rPr>
  </w:style>
  <w:style w:type="paragraph" w:customStyle="1" w:styleId="TOCTitle">
    <w:name w:val="TOC Title"/>
    <w:basedOn w:val="Normal"/>
    <w:rsid w:val="00555F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5F11"/>
    <w:pPr>
      <w:jc w:val="center"/>
    </w:pPr>
    <w:rPr>
      <w:rFonts w:ascii="Times New Roman Bold" w:hAnsi="Times New Roman Bold"/>
      <w:b/>
      <w:bCs/>
      <w:caps/>
      <w:szCs w:val="22"/>
    </w:rPr>
  </w:style>
  <w:style w:type="paragraph" w:styleId="Revision">
    <w:name w:val="Revision"/>
    <w:hidden/>
    <w:uiPriority w:val="99"/>
    <w:semiHidden/>
    <w:rsid w:val="00576F3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11"/>
    <w:pPr>
      <w:widowControl w:val="0"/>
    </w:pPr>
    <w:rPr>
      <w:snapToGrid w:val="0"/>
      <w:kern w:val="28"/>
      <w:sz w:val="22"/>
    </w:rPr>
  </w:style>
  <w:style w:type="paragraph" w:styleId="Heading1">
    <w:name w:val="heading 1"/>
    <w:basedOn w:val="Normal"/>
    <w:next w:val="ParaNum"/>
    <w:qFormat/>
    <w:rsid w:val="00555F11"/>
    <w:pPr>
      <w:keepNext/>
      <w:numPr>
        <w:numId w:val="3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55F11"/>
    <w:pPr>
      <w:keepNext/>
      <w:numPr>
        <w:ilvl w:val="1"/>
        <w:numId w:val="32"/>
      </w:numPr>
      <w:spacing w:after="120"/>
      <w:outlineLvl w:val="1"/>
    </w:pPr>
    <w:rPr>
      <w:b/>
    </w:rPr>
  </w:style>
  <w:style w:type="paragraph" w:styleId="Heading3">
    <w:name w:val="heading 3"/>
    <w:basedOn w:val="Normal"/>
    <w:next w:val="ParaNum"/>
    <w:qFormat/>
    <w:rsid w:val="00555F11"/>
    <w:pPr>
      <w:keepNext/>
      <w:numPr>
        <w:ilvl w:val="2"/>
        <w:numId w:val="32"/>
      </w:numPr>
      <w:tabs>
        <w:tab w:val="left" w:pos="2160"/>
      </w:tabs>
      <w:spacing w:after="120"/>
      <w:outlineLvl w:val="2"/>
    </w:pPr>
    <w:rPr>
      <w:b/>
    </w:rPr>
  </w:style>
  <w:style w:type="paragraph" w:styleId="Heading4">
    <w:name w:val="heading 4"/>
    <w:basedOn w:val="Normal"/>
    <w:next w:val="ParaNum"/>
    <w:qFormat/>
    <w:rsid w:val="00555F11"/>
    <w:pPr>
      <w:keepNext/>
      <w:numPr>
        <w:ilvl w:val="3"/>
        <w:numId w:val="32"/>
      </w:numPr>
      <w:tabs>
        <w:tab w:val="left" w:pos="2880"/>
      </w:tabs>
      <w:spacing w:after="120"/>
      <w:outlineLvl w:val="3"/>
    </w:pPr>
    <w:rPr>
      <w:b/>
    </w:rPr>
  </w:style>
  <w:style w:type="paragraph" w:styleId="Heading5">
    <w:name w:val="heading 5"/>
    <w:basedOn w:val="Normal"/>
    <w:next w:val="ParaNum"/>
    <w:qFormat/>
    <w:rsid w:val="00555F11"/>
    <w:pPr>
      <w:keepNext/>
      <w:numPr>
        <w:ilvl w:val="4"/>
        <w:numId w:val="32"/>
      </w:numPr>
      <w:tabs>
        <w:tab w:val="left" w:pos="3600"/>
      </w:tabs>
      <w:suppressAutoHyphens/>
      <w:spacing w:after="120"/>
      <w:outlineLvl w:val="4"/>
    </w:pPr>
    <w:rPr>
      <w:b/>
    </w:rPr>
  </w:style>
  <w:style w:type="paragraph" w:styleId="Heading6">
    <w:name w:val="heading 6"/>
    <w:basedOn w:val="Normal"/>
    <w:next w:val="ParaNum"/>
    <w:qFormat/>
    <w:rsid w:val="00555F11"/>
    <w:pPr>
      <w:numPr>
        <w:ilvl w:val="5"/>
        <w:numId w:val="32"/>
      </w:numPr>
      <w:tabs>
        <w:tab w:val="left" w:pos="4320"/>
      </w:tabs>
      <w:spacing w:after="120"/>
      <w:outlineLvl w:val="5"/>
    </w:pPr>
    <w:rPr>
      <w:b/>
    </w:rPr>
  </w:style>
  <w:style w:type="paragraph" w:styleId="Heading7">
    <w:name w:val="heading 7"/>
    <w:basedOn w:val="Normal"/>
    <w:next w:val="ParaNum"/>
    <w:qFormat/>
    <w:rsid w:val="00555F11"/>
    <w:pPr>
      <w:numPr>
        <w:ilvl w:val="6"/>
        <w:numId w:val="32"/>
      </w:numPr>
      <w:tabs>
        <w:tab w:val="left" w:pos="5040"/>
      </w:tabs>
      <w:spacing w:after="120"/>
      <w:ind w:left="5040" w:hanging="720"/>
      <w:outlineLvl w:val="6"/>
    </w:pPr>
    <w:rPr>
      <w:b/>
    </w:rPr>
  </w:style>
  <w:style w:type="paragraph" w:styleId="Heading8">
    <w:name w:val="heading 8"/>
    <w:basedOn w:val="Normal"/>
    <w:next w:val="ParaNum"/>
    <w:qFormat/>
    <w:rsid w:val="00555F11"/>
    <w:pPr>
      <w:numPr>
        <w:ilvl w:val="7"/>
        <w:numId w:val="32"/>
      </w:numPr>
      <w:tabs>
        <w:tab w:val="clear" w:pos="5400"/>
        <w:tab w:val="left" w:pos="5760"/>
      </w:tabs>
      <w:spacing w:after="120"/>
      <w:ind w:left="5760" w:hanging="720"/>
      <w:outlineLvl w:val="7"/>
    </w:pPr>
    <w:rPr>
      <w:b/>
    </w:rPr>
  </w:style>
  <w:style w:type="paragraph" w:styleId="Heading9">
    <w:name w:val="heading 9"/>
    <w:basedOn w:val="Normal"/>
    <w:next w:val="ParaNum"/>
    <w:qFormat/>
    <w:rsid w:val="00555F11"/>
    <w:pPr>
      <w:numPr>
        <w:ilvl w:val="8"/>
        <w:numId w:val="3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5F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5F11"/>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555F11"/>
    <w:pPr>
      <w:numPr>
        <w:numId w:val="31"/>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555F11"/>
    <w:pPr>
      <w:spacing w:after="120"/>
    </w:pPr>
  </w:style>
  <w:style w:type="paragraph" w:customStyle="1" w:styleId="Bullet">
    <w:name w:val="Bullet"/>
    <w:basedOn w:val="Normal"/>
    <w:rsid w:val="00555F11"/>
    <w:pPr>
      <w:tabs>
        <w:tab w:val="left" w:pos="2160"/>
      </w:tabs>
      <w:spacing w:after="220"/>
      <w:ind w:left="2160" w:hanging="720"/>
    </w:pPr>
  </w:style>
  <w:style w:type="paragraph" w:styleId="BlockText">
    <w:name w:val="Block Text"/>
    <w:basedOn w:val="Normal"/>
    <w:rsid w:val="00555F11"/>
    <w:pPr>
      <w:spacing w:after="240"/>
      <w:ind w:left="1440" w:right="1440"/>
    </w:pPr>
  </w:style>
  <w:style w:type="paragraph" w:customStyle="1" w:styleId="TableFormat">
    <w:name w:val="TableFormat"/>
    <w:basedOn w:val="Bullet"/>
    <w:rsid w:val="00555F11"/>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555F11"/>
    <w:rPr>
      <w:rFonts w:ascii="Times New Roman" w:hAnsi="Times New Roman"/>
      <w:dstrike w:val="0"/>
      <w:color w:val="auto"/>
      <w:sz w:val="20"/>
      <w:vertAlign w:val="superscript"/>
    </w:rPr>
  </w:style>
  <w:style w:type="paragraph" w:styleId="Header">
    <w:name w:val="header"/>
    <w:basedOn w:val="Normal"/>
    <w:link w:val="HeaderChar"/>
    <w:autoRedefine/>
    <w:rsid w:val="00555F11"/>
    <w:pPr>
      <w:tabs>
        <w:tab w:val="center" w:pos="4680"/>
        <w:tab w:val="right" w:pos="9360"/>
      </w:tabs>
    </w:pPr>
    <w:rPr>
      <w:b/>
    </w:rPr>
  </w:style>
  <w:style w:type="paragraph" w:styleId="Footer">
    <w:name w:val="footer"/>
    <w:basedOn w:val="Normal"/>
    <w:link w:val="FooterChar"/>
    <w:rsid w:val="00555F11"/>
    <w:pPr>
      <w:tabs>
        <w:tab w:val="center" w:pos="4320"/>
        <w:tab w:val="right" w:pos="8640"/>
      </w:tabs>
    </w:pPr>
  </w:style>
  <w:style w:type="paragraph" w:styleId="TOC2">
    <w:name w:val="toc 2"/>
    <w:basedOn w:val="Normal"/>
    <w:next w:val="Normal"/>
    <w:semiHidden/>
    <w:rsid w:val="00555F11"/>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555F11"/>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55F1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5F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5F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5F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5F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5F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5F11"/>
    <w:pPr>
      <w:tabs>
        <w:tab w:val="left" w:pos="3240"/>
        <w:tab w:val="right" w:leader="dot" w:pos="9360"/>
      </w:tabs>
      <w:suppressAutoHyphens/>
      <w:ind w:left="3240" w:hanging="360"/>
    </w:pPr>
    <w:rPr>
      <w:noProof/>
    </w:rPr>
  </w:style>
  <w:style w:type="character" w:styleId="PageNumber">
    <w:name w:val="page number"/>
    <w:basedOn w:val="DefaultParagraphFont"/>
    <w:rsid w:val="00555F11"/>
  </w:style>
  <w:style w:type="paragraph" w:styleId="Title">
    <w:name w:val="Title"/>
    <w:basedOn w:val="Normal"/>
    <w:qFormat/>
    <w:pPr>
      <w:jc w:val="center"/>
    </w:pPr>
    <w:rPr>
      <w:b/>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72214E"/>
  </w:style>
  <w:style w:type="character" w:customStyle="1" w:styleId="documentbody5">
    <w:name w:val="documentbody5"/>
    <w:rsid w:val="0072214E"/>
    <w:rPr>
      <w:rFonts w:ascii="Verdana" w:hAnsi="Verdana" w:hint="default"/>
      <w:sz w:val="19"/>
      <w:szCs w:val="19"/>
    </w:rPr>
  </w:style>
  <w:style w:type="character" w:styleId="Hyperlink">
    <w:name w:val="Hyperlink"/>
    <w:rsid w:val="00555F11"/>
    <w:rPr>
      <w:color w:val="0000FF"/>
      <w:u w:val="single"/>
    </w:rPr>
  </w:style>
  <w:style w:type="paragraph" w:styleId="BalloonText">
    <w:name w:val="Balloon Text"/>
    <w:basedOn w:val="Normal"/>
    <w:link w:val="BalloonTextChar"/>
    <w:uiPriority w:val="99"/>
    <w:semiHidden/>
    <w:unhideWhenUsed/>
    <w:rsid w:val="005A75C9"/>
    <w:rPr>
      <w:rFonts w:ascii="Tahoma" w:hAnsi="Tahoma" w:cs="Tahoma"/>
      <w:sz w:val="16"/>
      <w:szCs w:val="16"/>
    </w:rPr>
  </w:style>
  <w:style w:type="character" w:customStyle="1" w:styleId="BalloonTextChar">
    <w:name w:val="Balloon Text Char"/>
    <w:link w:val="BalloonText"/>
    <w:uiPriority w:val="99"/>
    <w:semiHidden/>
    <w:rsid w:val="005A75C9"/>
    <w:rPr>
      <w:rFonts w:ascii="Tahoma" w:hAnsi="Tahoma" w:cs="Tahoma"/>
      <w:sz w:val="16"/>
      <w:szCs w:val="16"/>
    </w:rPr>
  </w:style>
  <w:style w:type="character" w:customStyle="1" w:styleId="HeaderChar">
    <w:name w:val="Header Char"/>
    <w:link w:val="Header"/>
    <w:rsid w:val="00576F38"/>
    <w:rPr>
      <w:b/>
      <w:snapToGrid w:val="0"/>
      <w:kern w:val="28"/>
      <w:sz w:val="22"/>
    </w:rPr>
  </w:style>
  <w:style w:type="paragraph" w:styleId="BodyText">
    <w:name w:val="Body Text"/>
    <w:basedOn w:val="Normal"/>
    <w:link w:val="BodyTextChar"/>
    <w:rsid w:val="00211460"/>
    <w:pPr>
      <w:tabs>
        <w:tab w:val="left" w:pos="720"/>
        <w:tab w:val="left" w:pos="4680"/>
      </w:tabs>
      <w:jc w:val="both"/>
    </w:pPr>
  </w:style>
  <w:style w:type="character" w:customStyle="1" w:styleId="BodyTextChar">
    <w:name w:val="Body Text Char"/>
    <w:link w:val="BodyText"/>
    <w:rsid w:val="00211460"/>
    <w:rPr>
      <w:sz w:val="22"/>
    </w:rPr>
  </w:style>
  <w:style w:type="character" w:customStyle="1" w:styleId="FooterChar">
    <w:name w:val="Footer Char"/>
    <w:link w:val="Footer"/>
    <w:rsid w:val="00211460"/>
    <w:rPr>
      <w:snapToGrid w:val="0"/>
      <w:kern w:val="28"/>
      <w:sz w:val="22"/>
    </w:rPr>
  </w:style>
  <w:style w:type="character" w:styleId="CommentReference">
    <w:name w:val="annotation reference"/>
    <w:unhideWhenUsed/>
    <w:rsid w:val="00B1657E"/>
    <w:rPr>
      <w:sz w:val="16"/>
      <w:szCs w:val="16"/>
    </w:rPr>
  </w:style>
  <w:style w:type="paragraph" w:styleId="CommentText">
    <w:name w:val="annotation text"/>
    <w:basedOn w:val="Normal"/>
    <w:link w:val="CommentTextChar"/>
    <w:unhideWhenUsed/>
    <w:rsid w:val="00B1657E"/>
    <w:rPr>
      <w:sz w:val="20"/>
    </w:rPr>
  </w:style>
  <w:style w:type="character" w:customStyle="1" w:styleId="CommentTextChar">
    <w:name w:val="Comment Text Char"/>
    <w:basedOn w:val="DefaultParagraphFont"/>
    <w:link w:val="CommentText"/>
    <w:rsid w:val="00B1657E"/>
  </w:style>
  <w:style w:type="paragraph" w:styleId="CommentSubject">
    <w:name w:val="annotation subject"/>
    <w:basedOn w:val="CommentText"/>
    <w:next w:val="CommentText"/>
    <w:link w:val="CommentSubjectChar"/>
    <w:uiPriority w:val="99"/>
    <w:semiHidden/>
    <w:unhideWhenUsed/>
    <w:rsid w:val="00B1657E"/>
    <w:rPr>
      <w:b/>
      <w:bCs/>
    </w:rPr>
  </w:style>
  <w:style w:type="character" w:customStyle="1" w:styleId="CommentSubjectChar">
    <w:name w:val="Comment Subject Char"/>
    <w:link w:val="CommentSubject"/>
    <w:uiPriority w:val="99"/>
    <w:semiHidden/>
    <w:rsid w:val="00B1657E"/>
    <w:rPr>
      <w:b/>
      <w:bCs/>
    </w:rPr>
  </w:style>
  <w:style w:type="character" w:customStyle="1" w:styleId="ParaNumChar">
    <w:name w:val="ParaNum Char"/>
    <w:link w:val="ParaNum"/>
    <w:rsid w:val="000C5BE5"/>
    <w:rPr>
      <w:snapToGrid w:val="0"/>
      <w:kern w:val="28"/>
      <w:sz w:val="22"/>
    </w:rPr>
  </w:style>
  <w:style w:type="character" w:customStyle="1" w:styleId="term1">
    <w:name w:val="term1"/>
    <w:rsid w:val="002245D1"/>
    <w:rPr>
      <w:b/>
      <w:bCs/>
    </w:rPr>
  </w:style>
  <w:style w:type="character" w:customStyle="1" w:styleId="pmterms31">
    <w:name w:val="pmterms31"/>
    <w:rsid w:val="006D66ED"/>
    <w:rPr>
      <w:b/>
      <w:bCs/>
      <w:i w:val="0"/>
      <w:iCs w:val="0"/>
      <w:color w:val="000000"/>
    </w:rPr>
  </w:style>
  <w:style w:type="paragraph" w:styleId="PlainText">
    <w:name w:val="Plain Text"/>
    <w:basedOn w:val="Normal"/>
    <w:link w:val="PlainTextChar"/>
    <w:uiPriority w:val="99"/>
    <w:semiHidden/>
    <w:unhideWhenUsed/>
    <w:rsid w:val="007A184F"/>
    <w:rPr>
      <w:rFonts w:ascii="Calibri" w:eastAsia="Calibri" w:hAnsi="Calibri"/>
      <w:sz w:val="24"/>
      <w:szCs w:val="21"/>
    </w:rPr>
  </w:style>
  <w:style w:type="character" w:customStyle="1" w:styleId="PlainTextChar">
    <w:name w:val="Plain Text Char"/>
    <w:link w:val="PlainText"/>
    <w:uiPriority w:val="99"/>
    <w:semiHidden/>
    <w:rsid w:val="007A184F"/>
    <w:rPr>
      <w:rFonts w:ascii="Calibri" w:eastAsia="Calibri" w:hAnsi="Calibri" w:cs="Times New Roman"/>
      <w:sz w:val="24"/>
      <w:szCs w:val="21"/>
    </w:rPr>
  </w:style>
  <w:style w:type="paragraph" w:styleId="EndnoteText">
    <w:name w:val="endnote text"/>
    <w:basedOn w:val="Normal"/>
    <w:link w:val="EndnoteTextChar"/>
    <w:semiHidden/>
    <w:rsid w:val="00555F11"/>
    <w:rPr>
      <w:sz w:val="20"/>
    </w:rPr>
  </w:style>
  <w:style w:type="character" w:customStyle="1" w:styleId="EndnoteTextChar">
    <w:name w:val="Endnote Text Char"/>
    <w:basedOn w:val="DefaultParagraphFont"/>
    <w:link w:val="EndnoteText"/>
    <w:semiHidden/>
    <w:rsid w:val="0019416E"/>
    <w:rPr>
      <w:snapToGrid w:val="0"/>
      <w:kern w:val="28"/>
    </w:rPr>
  </w:style>
  <w:style w:type="character" w:styleId="EndnoteReference">
    <w:name w:val="endnote reference"/>
    <w:semiHidden/>
    <w:rsid w:val="00555F11"/>
    <w:rPr>
      <w:vertAlign w:val="superscript"/>
    </w:rPr>
  </w:style>
  <w:style w:type="paragraph" w:styleId="TOAHeading">
    <w:name w:val="toa heading"/>
    <w:basedOn w:val="Normal"/>
    <w:next w:val="Normal"/>
    <w:semiHidden/>
    <w:rsid w:val="00555F11"/>
    <w:pPr>
      <w:tabs>
        <w:tab w:val="right" w:pos="9360"/>
      </w:tabs>
      <w:suppressAutoHyphens/>
    </w:pPr>
  </w:style>
  <w:style w:type="character" w:customStyle="1" w:styleId="EquationCaption">
    <w:name w:val="_Equation Caption"/>
    <w:rsid w:val="00555F11"/>
  </w:style>
  <w:style w:type="paragraph" w:customStyle="1" w:styleId="Paratitle">
    <w:name w:val="Para title"/>
    <w:basedOn w:val="Normal"/>
    <w:rsid w:val="00555F11"/>
    <w:pPr>
      <w:tabs>
        <w:tab w:val="center" w:pos="9270"/>
      </w:tabs>
      <w:spacing w:after="240"/>
    </w:pPr>
    <w:rPr>
      <w:spacing w:val="-2"/>
    </w:rPr>
  </w:style>
  <w:style w:type="paragraph" w:customStyle="1" w:styleId="TOCTitle">
    <w:name w:val="TOC Title"/>
    <w:basedOn w:val="Normal"/>
    <w:rsid w:val="00555F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5F11"/>
    <w:pPr>
      <w:jc w:val="center"/>
    </w:pPr>
    <w:rPr>
      <w:rFonts w:ascii="Times New Roman Bold" w:hAnsi="Times New Roman Bold"/>
      <w:b/>
      <w:bCs/>
      <w:caps/>
      <w:szCs w:val="22"/>
    </w:rPr>
  </w:style>
  <w:style w:type="paragraph" w:styleId="Revision">
    <w:name w:val="Revision"/>
    <w:hidden/>
    <w:uiPriority w:val="99"/>
    <w:semiHidden/>
    <w:rsid w:val="00576F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1196</Words>
  <Characters>6770</Characters>
  <Application>Microsoft Office Word</Application>
  <DocSecurity>0</DocSecurity>
  <Lines>132</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2014-12-23T15:41:00Z</dcterms:created>
  <dcterms:modified xsi:type="dcterms:W3CDTF">2014-12-23T15:41:00Z</dcterms:modified>
  <cp:category> </cp:category>
  <cp:contentStatus> </cp:contentStatus>
</cp:coreProperties>
</file>