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C3" w:rsidRPr="00EA2EF6" w:rsidRDefault="00B661C3" w:rsidP="005E5F79">
      <w:pPr>
        <w:widowControl/>
        <w:jc w:val="center"/>
        <w:rPr>
          <w:b/>
          <w:color w:val="000000" w:themeColor="text1"/>
          <w:szCs w:val="22"/>
        </w:rPr>
      </w:pPr>
      <w:bookmarkStart w:id="0" w:name="_GoBack"/>
      <w:bookmarkEnd w:id="0"/>
      <w:r w:rsidRPr="00EA2EF6">
        <w:rPr>
          <w:b/>
          <w:color w:val="000000" w:themeColor="text1"/>
          <w:kern w:val="0"/>
          <w:szCs w:val="22"/>
        </w:rPr>
        <w:t>Before</w:t>
      </w:r>
      <w:r w:rsidRPr="00EA2EF6">
        <w:rPr>
          <w:b/>
          <w:color w:val="000000" w:themeColor="text1"/>
          <w:szCs w:val="22"/>
        </w:rPr>
        <w:t xml:space="preserve"> the</w:t>
      </w:r>
    </w:p>
    <w:p w:rsidR="00B661C3" w:rsidRPr="00EA2EF6" w:rsidRDefault="00B661C3" w:rsidP="005E5F79">
      <w:pPr>
        <w:pStyle w:val="StyleBoldCentered"/>
        <w:widowControl/>
        <w:rPr>
          <w:rFonts w:ascii="Times New Roman" w:hAnsi="Times New Roman"/>
          <w:color w:val="000000" w:themeColor="text1"/>
        </w:rPr>
      </w:pPr>
      <w:r w:rsidRPr="00EA2EF6">
        <w:rPr>
          <w:rFonts w:ascii="Times New Roman" w:hAnsi="Times New Roman"/>
          <w:color w:val="000000" w:themeColor="text1"/>
        </w:rPr>
        <w:t>F</w:t>
      </w:r>
      <w:r w:rsidRPr="00EA2EF6">
        <w:rPr>
          <w:rFonts w:ascii="Times New Roman" w:hAnsi="Times New Roman"/>
          <w:caps w:val="0"/>
          <w:color w:val="000000" w:themeColor="text1"/>
        </w:rPr>
        <w:t>ederal Communications Commission</w:t>
      </w:r>
    </w:p>
    <w:p w:rsidR="00B661C3" w:rsidRDefault="00B661C3" w:rsidP="005E5F79">
      <w:pPr>
        <w:pStyle w:val="StyleBoldCentered"/>
        <w:widowControl/>
        <w:rPr>
          <w:rFonts w:ascii="Times New Roman" w:hAnsi="Times New Roman"/>
          <w:color w:val="000000" w:themeColor="text1"/>
        </w:rPr>
      </w:pPr>
      <w:r w:rsidRPr="00EA2EF6">
        <w:rPr>
          <w:rFonts w:ascii="Times New Roman" w:hAnsi="Times New Roman"/>
          <w:caps w:val="0"/>
          <w:color w:val="000000" w:themeColor="text1"/>
        </w:rPr>
        <w:t>Washington</w:t>
      </w:r>
      <w:r w:rsidRPr="00EA2EF6">
        <w:rPr>
          <w:rFonts w:ascii="Times New Roman" w:hAnsi="Times New Roman"/>
          <w:color w:val="000000" w:themeColor="text1"/>
        </w:rPr>
        <w:t>, D.C. 20554</w:t>
      </w:r>
    </w:p>
    <w:p w:rsidR="00934A1B" w:rsidRPr="00EA2EF6" w:rsidRDefault="00934A1B" w:rsidP="005E5F79">
      <w:pPr>
        <w:pStyle w:val="StyleBoldCentered"/>
        <w:widowControl/>
        <w:rPr>
          <w:rFonts w:ascii="Times New Roman" w:hAnsi="Times New Roman"/>
          <w:color w:val="000000" w:themeColor="text1"/>
        </w:rPr>
      </w:pPr>
    </w:p>
    <w:tbl>
      <w:tblPr>
        <w:tblW w:w="0" w:type="auto"/>
        <w:tblLayout w:type="fixed"/>
        <w:tblLook w:val="0000" w:firstRow="0" w:lastRow="0" w:firstColumn="0" w:lastColumn="0" w:noHBand="0" w:noVBand="0"/>
      </w:tblPr>
      <w:tblGrid>
        <w:gridCol w:w="4698"/>
        <w:gridCol w:w="630"/>
        <w:gridCol w:w="4248"/>
      </w:tblGrid>
      <w:tr w:rsidR="00B661C3" w:rsidRPr="00A836AB" w:rsidTr="007D3179">
        <w:tc>
          <w:tcPr>
            <w:tcW w:w="4698" w:type="dxa"/>
          </w:tcPr>
          <w:p w:rsidR="00B661C3" w:rsidRPr="00EA2EF6" w:rsidRDefault="00B661C3" w:rsidP="005E5F79">
            <w:pPr>
              <w:widowControl/>
              <w:tabs>
                <w:tab w:val="center" w:pos="4680"/>
              </w:tabs>
              <w:suppressAutoHyphens/>
              <w:rPr>
                <w:color w:val="000000" w:themeColor="text1"/>
                <w:spacing w:val="-2"/>
                <w:szCs w:val="22"/>
              </w:rPr>
            </w:pPr>
            <w:r w:rsidRPr="00EA2EF6">
              <w:rPr>
                <w:color w:val="000000" w:themeColor="text1"/>
                <w:spacing w:val="-2"/>
                <w:szCs w:val="22"/>
              </w:rPr>
              <w:t>In the Matter of</w:t>
            </w:r>
          </w:p>
          <w:p w:rsidR="00B661C3" w:rsidRPr="00EA2EF6" w:rsidRDefault="00B661C3" w:rsidP="005E5F79">
            <w:pPr>
              <w:widowControl/>
              <w:tabs>
                <w:tab w:val="center" w:pos="4680"/>
              </w:tabs>
              <w:suppressAutoHyphens/>
              <w:rPr>
                <w:color w:val="000000" w:themeColor="text1"/>
                <w:spacing w:val="-2"/>
                <w:szCs w:val="22"/>
              </w:rPr>
            </w:pPr>
          </w:p>
          <w:p w:rsidR="00B661C3" w:rsidRPr="00EA2EF6" w:rsidRDefault="00100EBE" w:rsidP="005E5F79">
            <w:pPr>
              <w:widowControl/>
              <w:tabs>
                <w:tab w:val="center" w:pos="4680"/>
              </w:tabs>
              <w:suppressAutoHyphens/>
              <w:rPr>
                <w:color w:val="000000" w:themeColor="text1"/>
                <w:spacing w:val="-2"/>
                <w:szCs w:val="22"/>
              </w:rPr>
            </w:pPr>
            <w:r w:rsidRPr="00EA2EF6">
              <w:rPr>
                <w:color w:val="000000" w:themeColor="text1"/>
                <w:szCs w:val="22"/>
              </w:rPr>
              <w:t xml:space="preserve">Promoting </w:t>
            </w:r>
            <w:r w:rsidR="002E55C4" w:rsidRPr="00EA2EF6">
              <w:rPr>
                <w:color w:val="000000" w:themeColor="text1"/>
                <w:szCs w:val="22"/>
              </w:rPr>
              <w:t>Innovation and Competition</w:t>
            </w:r>
            <w:r w:rsidRPr="00EA2EF6">
              <w:rPr>
                <w:color w:val="000000" w:themeColor="text1"/>
                <w:szCs w:val="22"/>
              </w:rPr>
              <w:t xml:space="preserve"> in </w:t>
            </w:r>
            <w:r w:rsidR="00F3507A" w:rsidRPr="00EA2EF6">
              <w:rPr>
                <w:color w:val="000000" w:themeColor="text1"/>
                <w:szCs w:val="22"/>
              </w:rPr>
              <w:t xml:space="preserve">the Provision of </w:t>
            </w:r>
            <w:r w:rsidRPr="00EA2EF6">
              <w:rPr>
                <w:color w:val="000000" w:themeColor="text1"/>
                <w:szCs w:val="22"/>
              </w:rPr>
              <w:t>Multichannel Video Programming Distribution</w:t>
            </w:r>
            <w:r w:rsidR="00F3507A" w:rsidRPr="00EA2EF6">
              <w:rPr>
                <w:color w:val="000000" w:themeColor="text1"/>
                <w:szCs w:val="22"/>
              </w:rPr>
              <w:t xml:space="preserve"> Services</w:t>
            </w:r>
          </w:p>
          <w:p w:rsidR="00B661C3" w:rsidRPr="00EA2EF6" w:rsidRDefault="00B661C3" w:rsidP="005E5F79">
            <w:pPr>
              <w:widowControl/>
              <w:rPr>
                <w:color w:val="000000" w:themeColor="text1"/>
                <w:szCs w:val="22"/>
              </w:rPr>
            </w:pPr>
          </w:p>
          <w:p w:rsidR="00B661C3" w:rsidRPr="00EA2EF6" w:rsidRDefault="00B661C3" w:rsidP="005E5F79">
            <w:pPr>
              <w:widowControl/>
              <w:tabs>
                <w:tab w:val="center" w:pos="4680"/>
              </w:tabs>
              <w:suppressAutoHyphens/>
              <w:rPr>
                <w:color w:val="000000" w:themeColor="text1"/>
                <w:spacing w:val="-2"/>
                <w:szCs w:val="22"/>
              </w:rPr>
            </w:pPr>
          </w:p>
        </w:tc>
        <w:tc>
          <w:tcPr>
            <w:tcW w:w="630" w:type="dxa"/>
          </w:tcPr>
          <w:p w:rsidR="00B661C3" w:rsidRPr="00EA2EF6" w:rsidRDefault="00B661C3" w:rsidP="005E5F79">
            <w:pPr>
              <w:widowControl/>
              <w:tabs>
                <w:tab w:val="center" w:pos="4680"/>
              </w:tabs>
              <w:suppressAutoHyphens/>
              <w:rPr>
                <w:b/>
                <w:color w:val="000000" w:themeColor="text1"/>
                <w:spacing w:val="-2"/>
                <w:szCs w:val="22"/>
              </w:rPr>
            </w:pPr>
            <w:r w:rsidRPr="00EA2EF6">
              <w:rPr>
                <w:b/>
                <w:color w:val="000000" w:themeColor="text1"/>
                <w:spacing w:val="-2"/>
                <w:szCs w:val="22"/>
              </w:rPr>
              <w:t>)</w:t>
            </w:r>
          </w:p>
          <w:p w:rsidR="00B661C3" w:rsidRPr="00EA2EF6" w:rsidRDefault="00B661C3" w:rsidP="005E5F79">
            <w:pPr>
              <w:widowControl/>
              <w:tabs>
                <w:tab w:val="center" w:pos="4680"/>
              </w:tabs>
              <w:suppressAutoHyphens/>
              <w:rPr>
                <w:b/>
                <w:color w:val="000000" w:themeColor="text1"/>
                <w:spacing w:val="-2"/>
                <w:szCs w:val="22"/>
              </w:rPr>
            </w:pPr>
            <w:r w:rsidRPr="00EA2EF6">
              <w:rPr>
                <w:b/>
                <w:color w:val="000000" w:themeColor="text1"/>
                <w:spacing w:val="-2"/>
                <w:szCs w:val="22"/>
              </w:rPr>
              <w:t>)</w:t>
            </w:r>
          </w:p>
          <w:p w:rsidR="00B661C3" w:rsidRPr="00EA2EF6" w:rsidRDefault="00B661C3" w:rsidP="005E5F79">
            <w:pPr>
              <w:widowControl/>
              <w:tabs>
                <w:tab w:val="center" w:pos="4680"/>
              </w:tabs>
              <w:suppressAutoHyphens/>
              <w:rPr>
                <w:b/>
                <w:color w:val="000000" w:themeColor="text1"/>
                <w:spacing w:val="-2"/>
                <w:szCs w:val="22"/>
              </w:rPr>
            </w:pPr>
            <w:r w:rsidRPr="00EA2EF6">
              <w:rPr>
                <w:b/>
                <w:color w:val="000000" w:themeColor="text1"/>
                <w:spacing w:val="-2"/>
                <w:szCs w:val="22"/>
              </w:rPr>
              <w:t>)</w:t>
            </w:r>
          </w:p>
          <w:p w:rsidR="00B661C3" w:rsidRPr="00EA2EF6" w:rsidRDefault="00B661C3" w:rsidP="005E5F79">
            <w:pPr>
              <w:widowControl/>
              <w:tabs>
                <w:tab w:val="center" w:pos="4680"/>
              </w:tabs>
              <w:suppressAutoHyphens/>
              <w:rPr>
                <w:b/>
                <w:color w:val="000000" w:themeColor="text1"/>
                <w:spacing w:val="-2"/>
                <w:szCs w:val="22"/>
              </w:rPr>
            </w:pPr>
            <w:r w:rsidRPr="00EA2EF6">
              <w:rPr>
                <w:b/>
                <w:color w:val="000000" w:themeColor="text1"/>
                <w:spacing w:val="-2"/>
                <w:szCs w:val="22"/>
              </w:rPr>
              <w:t>)</w:t>
            </w:r>
          </w:p>
          <w:p w:rsidR="00E00CBD" w:rsidRPr="00EA2EF6" w:rsidRDefault="00E00CBD" w:rsidP="005E5F79">
            <w:pPr>
              <w:widowControl/>
              <w:tabs>
                <w:tab w:val="center" w:pos="4680"/>
              </w:tabs>
              <w:suppressAutoHyphens/>
              <w:rPr>
                <w:b/>
                <w:color w:val="000000" w:themeColor="text1"/>
                <w:spacing w:val="-2"/>
                <w:szCs w:val="22"/>
              </w:rPr>
            </w:pPr>
            <w:r w:rsidRPr="00EA2EF6">
              <w:rPr>
                <w:b/>
                <w:color w:val="000000" w:themeColor="text1"/>
                <w:spacing w:val="-2"/>
                <w:szCs w:val="22"/>
              </w:rPr>
              <w:t>)</w:t>
            </w:r>
          </w:p>
        </w:tc>
        <w:tc>
          <w:tcPr>
            <w:tcW w:w="4248" w:type="dxa"/>
          </w:tcPr>
          <w:p w:rsidR="00B661C3" w:rsidRPr="00EA2EF6" w:rsidRDefault="00B661C3" w:rsidP="005E5F79">
            <w:pPr>
              <w:widowControl/>
              <w:tabs>
                <w:tab w:val="center" w:pos="4680"/>
              </w:tabs>
              <w:suppressAutoHyphens/>
              <w:rPr>
                <w:color w:val="000000" w:themeColor="text1"/>
                <w:spacing w:val="-2"/>
                <w:szCs w:val="22"/>
              </w:rPr>
            </w:pPr>
          </w:p>
          <w:p w:rsidR="00B661C3" w:rsidRPr="00EA2EF6" w:rsidRDefault="00B661C3" w:rsidP="005E5F79">
            <w:pPr>
              <w:pStyle w:val="TOAHeading"/>
              <w:widowControl/>
              <w:tabs>
                <w:tab w:val="clear" w:pos="9360"/>
                <w:tab w:val="center" w:pos="4680"/>
              </w:tabs>
              <w:rPr>
                <w:color w:val="000000" w:themeColor="text1"/>
                <w:spacing w:val="-2"/>
                <w:szCs w:val="22"/>
              </w:rPr>
            </w:pPr>
          </w:p>
          <w:p w:rsidR="00B661C3" w:rsidRPr="00EA2EF6" w:rsidRDefault="00B661C3" w:rsidP="005E5F79">
            <w:pPr>
              <w:widowControl/>
              <w:tabs>
                <w:tab w:val="center" w:pos="4680"/>
              </w:tabs>
              <w:suppressAutoHyphens/>
              <w:rPr>
                <w:color w:val="000000" w:themeColor="text1"/>
                <w:spacing w:val="-2"/>
                <w:szCs w:val="22"/>
              </w:rPr>
            </w:pPr>
            <w:r w:rsidRPr="00EA2EF6">
              <w:rPr>
                <w:color w:val="000000" w:themeColor="text1"/>
                <w:spacing w:val="-2"/>
                <w:szCs w:val="22"/>
              </w:rPr>
              <w:t>MB Docket No. 1</w:t>
            </w:r>
            <w:r w:rsidR="007027B0" w:rsidRPr="00EA2EF6">
              <w:rPr>
                <w:color w:val="000000" w:themeColor="text1"/>
                <w:spacing w:val="-2"/>
                <w:szCs w:val="22"/>
              </w:rPr>
              <w:t>4</w:t>
            </w:r>
            <w:r w:rsidR="00CE3FB0">
              <w:rPr>
                <w:color w:val="000000" w:themeColor="text1"/>
                <w:spacing w:val="-2"/>
                <w:szCs w:val="22"/>
              </w:rPr>
              <w:t>-261</w:t>
            </w:r>
          </w:p>
          <w:p w:rsidR="00B661C3" w:rsidRPr="00EA2EF6" w:rsidRDefault="00B661C3" w:rsidP="005E5F79">
            <w:pPr>
              <w:widowControl/>
              <w:tabs>
                <w:tab w:val="center" w:pos="4680"/>
              </w:tabs>
              <w:suppressAutoHyphens/>
              <w:rPr>
                <w:color w:val="000000" w:themeColor="text1"/>
                <w:spacing w:val="-2"/>
                <w:szCs w:val="22"/>
              </w:rPr>
            </w:pPr>
          </w:p>
          <w:p w:rsidR="00B661C3" w:rsidRPr="00EA2EF6" w:rsidRDefault="00B661C3" w:rsidP="005E5F79">
            <w:pPr>
              <w:widowControl/>
              <w:tabs>
                <w:tab w:val="center" w:pos="4680"/>
              </w:tabs>
              <w:suppressAutoHyphens/>
              <w:rPr>
                <w:color w:val="000000" w:themeColor="text1"/>
                <w:spacing w:val="-2"/>
                <w:szCs w:val="22"/>
              </w:rPr>
            </w:pPr>
          </w:p>
          <w:p w:rsidR="00B661C3" w:rsidRPr="00EA2EF6" w:rsidRDefault="00B661C3" w:rsidP="005E5F79">
            <w:pPr>
              <w:widowControl/>
              <w:tabs>
                <w:tab w:val="center" w:pos="4680"/>
              </w:tabs>
              <w:suppressAutoHyphens/>
              <w:rPr>
                <w:color w:val="000000" w:themeColor="text1"/>
                <w:spacing w:val="-2"/>
                <w:szCs w:val="22"/>
              </w:rPr>
            </w:pPr>
          </w:p>
        </w:tc>
      </w:tr>
    </w:tbl>
    <w:p w:rsidR="00B661C3" w:rsidRPr="00EA2EF6" w:rsidRDefault="00B661C3" w:rsidP="005E5F79">
      <w:pPr>
        <w:widowControl/>
        <w:jc w:val="center"/>
        <w:rPr>
          <w:b/>
          <w:color w:val="000000" w:themeColor="text1"/>
          <w:szCs w:val="22"/>
        </w:rPr>
      </w:pPr>
      <w:r w:rsidRPr="00EA2EF6">
        <w:rPr>
          <w:b/>
          <w:color w:val="000000" w:themeColor="text1"/>
          <w:szCs w:val="22"/>
        </w:rPr>
        <w:t xml:space="preserve">NOTICE OF </w:t>
      </w:r>
      <w:r w:rsidR="007027B0" w:rsidRPr="00EA2EF6">
        <w:rPr>
          <w:b/>
          <w:color w:val="000000" w:themeColor="text1"/>
          <w:szCs w:val="22"/>
        </w:rPr>
        <w:t>PROPOSED RULEMAKING</w:t>
      </w:r>
    </w:p>
    <w:p w:rsidR="00B661C3" w:rsidRPr="00EA2EF6" w:rsidRDefault="00B661C3" w:rsidP="005E5F79">
      <w:pPr>
        <w:widowControl/>
        <w:tabs>
          <w:tab w:val="left" w:pos="-720"/>
        </w:tabs>
        <w:suppressAutoHyphens/>
        <w:spacing w:line="227" w:lineRule="auto"/>
        <w:rPr>
          <w:color w:val="000000" w:themeColor="text1"/>
          <w:spacing w:val="-2"/>
          <w:szCs w:val="22"/>
        </w:rPr>
      </w:pPr>
    </w:p>
    <w:p w:rsidR="00B661C3" w:rsidRPr="00EA2EF6" w:rsidRDefault="00B661C3" w:rsidP="005E5F79">
      <w:pPr>
        <w:widowControl/>
        <w:tabs>
          <w:tab w:val="left" w:pos="6264"/>
        </w:tabs>
        <w:suppressAutoHyphens/>
        <w:spacing w:line="228" w:lineRule="auto"/>
        <w:rPr>
          <w:b/>
          <w:color w:val="000000" w:themeColor="text1"/>
          <w:spacing w:val="-2"/>
          <w:szCs w:val="22"/>
        </w:rPr>
      </w:pPr>
      <w:r w:rsidRPr="00EA2EF6">
        <w:rPr>
          <w:b/>
          <w:color w:val="000000" w:themeColor="text1"/>
          <w:spacing w:val="-2"/>
          <w:szCs w:val="22"/>
        </w:rPr>
        <w:t xml:space="preserve">Adopted:  </w:t>
      </w:r>
      <w:r w:rsidR="006E159B">
        <w:rPr>
          <w:b/>
          <w:color w:val="000000" w:themeColor="text1"/>
          <w:spacing w:val="-2"/>
          <w:szCs w:val="22"/>
        </w:rPr>
        <w:t>December 1</w:t>
      </w:r>
      <w:r w:rsidR="00C177F2">
        <w:rPr>
          <w:b/>
          <w:color w:val="000000" w:themeColor="text1"/>
          <w:spacing w:val="-2"/>
          <w:szCs w:val="22"/>
        </w:rPr>
        <w:t>7</w:t>
      </w:r>
      <w:r w:rsidR="006E159B">
        <w:rPr>
          <w:b/>
          <w:color w:val="000000" w:themeColor="text1"/>
          <w:spacing w:val="-2"/>
          <w:szCs w:val="22"/>
        </w:rPr>
        <w:t>, 2014</w:t>
      </w:r>
      <w:r w:rsidRPr="00EA2EF6">
        <w:rPr>
          <w:b/>
          <w:color w:val="000000" w:themeColor="text1"/>
          <w:spacing w:val="-2"/>
          <w:szCs w:val="22"/>
        </w:rPr>
        <w:tab/>
        <w:t xml:space="preserve"> Released:  </w:t>
      </w:r>
      <w:r w:rsidR="006E159B">
        <w:rPr>
          <w:b/>
          <w:color w:val="000000" w:themeColor="text1"/>
          <w:spacing w:val="-2"/>
          <w:szCs w:val="22"/>
        </w:rPr>
        <w:t xml:space="preserve">December </w:t>
      </w:r>
      <w:r w:rsidR="00C177F2">
        <w:rPr>
          <w:b/>
          <w:color w:val="000000" w:themeColor="text1"/>
          <w:spacing w:val="-2"/>
          <w:szCs w:val="22"/>
        </w:rPr>
        <w:t>19</w:t>
      </w:r>
      <w:r w:rsidR="006E159B">
        <w:rPr>
          <w:b/>
          <w:color w:val="000000" w:themeColor="text1"/>
          <w:spacing w:val="-2"/>
          <w:szCs w:val="22"/>
        </w:rPr>
        <w:t>, 2014</w:t>
      </w:r>
    </w:p>
    <w:p w:rsidR="00B661C3" w:rsidRPr="00EA2EF6" w:rsidRDefault="00B661C3" w:rsidP="005E5F79">
      <w:pPr>
        <w:widowControl/>
        <w:rPr>
          <w:color w:val="000000" w:themeColor="text1"/>
          <w:szCs w:val="22"/>
        </w:rPr>
      </w:pPr>
    </w:p>
    <w:p w:rsidR="00B661C3" w:rsidRPr="00EA2EF6" w:rsidRDefault="00B661C3" w:rsidP="005E5F79">
      <w:pPr>
        <w:widowControl/>
        <w:rPr>
          <w:b/>
          <w:color w:val="000000" w:themeColor="text1"/>
          <w:szCs w:val="22"/>
        </w:rPr>
      </w:pPr>
      <w:r w:rsidRPr="00EA2EF6">
        <w:rPr>
          <w:b/>
          <w:color w:val="000000" w:themeColor="text1"/>
          <w:szCs w:val="22"/>
        </w:rPr>
        <w:t xml:space="preserve">Comment Date:  </w:t>
      </w:r>
      <w:r w:rsidRPr="00EA2EF6">
        <w:rPr>
          <w:b/>
          <w:color w:val="000000" w:themeColor="text1"/>
          <w:szCs w:val="22"/>
        </w:rPr>
        <w:tab/>
        <w:t>[</w:t>
      </w:r>
      <w:r w:rsidR="004A66CA" w:rsidRPr="00EA2EF6">
        <w:rPr>
          <w:b/>
          <w:color w:val="000000" w:themeColor="text1"/>
          <w:szCs w:val="22"/>
        </w:rPr>
        <w:t>30</w:t>
      </w:r>
      <w:r w:rsidRPr="00EA2EF6">
        <w:rPr>
          <w:b/>
          <w:color w:val="000000" w:themeColor="text1"/>
          <w:szCs w:val="22"/>
        </w:rPr>
        <w:t xml:space="preserve"> days after date of publication in the Federal Register]</w:t>
      </w:r>
    </w:p>
    <w:p w:rsidR="00B661C3" w:rsidRPr="00EA2EF6" w:rsidRDefault="00B661C3" w:rsidP="005E5F79">
      <w:pPr>
        <w:widowControl/>
        <w:rPr>
          <w:b/>
          <w:color w:val="000000" w:themeColor="text1"/>
          <w:szCs w:val="22"/>
        </w:rPr>
      </w:pPr>
      <w:r w:rsidRPr="00EA2EF6">
        <w:rPr>
          <w:b/>
          <w:color w:val="000000" w:themeColor="text1"/>
          <w:szCs w:val="22"/>
        </w:rPr>
        <w:t>Reply Comment Date:</w:t>
      </w:r>
      <w:r w:rsidRPr="00EA2EF6">
        <w:rPr>
          <w:b/>
          <w:color w:val="000000" w:themeColor="text1"/>
          <w:szCs w:val="22"/>
        </w:rPr>
        <w:tab/>
        <w:t>[</w:t>
      </w:r>
      <w:r w:rsidR="004A66CA" w:rsidRPr="00EA2EF6">
        <w:rPr>
          <w:b/>
          <w:color w:val="000000" w:themeColor="text1"/>
          <w:szCs w:val="22"/>
        </w:rPr>
        <w:t>45</w:t>
      </w:r>
      <w:r w:rsidRPr="00EA2EF6">
        <w:rPr>
          <w:b/>
          <w:color w:val="000000" w:themeColor="text1"/>
          <w:szCs w:val="22"/>
        </w:rPr>
        <w:t xml:space="preserve"> days after date of publication in the Federal Register]</w:t>
      </w:r>
    </w:p>
    <w:p w:rsidR="00B661C3" w:rsidRPr="00EA2EF6" w:rsidRDefault="00B661C3" w:rsidP="005E5F79">
      <w:pPr>
        <w:widowControl/>
        <w:rPr>
          <w:color w:val="000000" w:themeColor="text1"/>
          <w:szCs w:val="22"/>
        </w:rPr>
      </w:pPr>
    </w:p>
    <w:p w:rsidR="00B661C3" w:rsidRPr="00EA2EF6" w:rsidRDefault="006E159B" w:rsidP="00D039CB">
      <w:pPr>
        <w:widowControl/>
        <w:ind w:left="1980" w:hanging="1980"/>
        <w:rPr>
          <w:color w:val="000000" w:themeColor="text1"/>
          <w:szCs w:val="22"/>
        </w:rPr>
      </w:pPr>
      <w:r>
        <w:t>By the Commission:  Chairman Wheeler and Commissioner</w:t>
      </w:r>
      <w:r w:rsidR="006148A8">
        <w:t>s Clyburn and</w:t>
      </w:r>
      <w:r>
        <w:t xml:space="preserve"> Rosenworcel issuing separate statements; Commissioners Pai and O’Rielly concurring and issuing separate statements.</w:t>
      </w:r>
    </w:p>
    <w:p w:rsidR="00E61E4D" w:rsidRDefault="00E61E4D" w:rsidP="005E5F79">
      <w:pPr>
        <w:pStyle w:val="TOCTitle"/>
        <w:widowControl/>
      </w:pPr>
      <w:bookmarkStart w:id="1" w:name="TOChere"/>
      <w:bookmarkStart w:id="2" w:name="_Toc343098351"/>
      <w:bookmarkStart w:id="3" w:name="_Toc343164318"/>
      <w:bookmarkStart w:id="4" w:name="_Toc343168994"/>
      <w:bookmarkStart w:id="5" w:name="_Toc343875901"/>
      <w:bookmarkStart w:id="6" w:name="_Toc345939749"/>
      <w:r>
        <w:t>Table of Contents</w:t>
      </w:r>
    </w:p>
    <w:p w:rsidR="00E61E4D" w:rsidRDefault="00E61E4D" w:rsidP="005E5F79">
      <w:pPr>
        <w:pStyle w:val="Paratitle"/>
        <w:widowControl/>
      </w:pPr>
      <w:r>
        <w:t>Heading</w:t>
      </w:r>
      <w:r>
        <w:tab/>
        <w:t>Paragraph #</w:t>
      </w:r>
      <w:bookmarkStart w:id="7" w:name="start_here"/>
      <w:bookmarkEnd w:id="7"/>
    </w:p>
    <w:p w:rsidR="00E61E4D" w:rsidRDefault="00E61E4D" w:rsidP="005E5F79">
      <w:pPr>
        <w:pStyle w:val="TOC1"/>
        <w:widowControl/>
        <w:rPr>
          <w:rFonts w:asciiTheme="minorHAnsi" w:eastAsiaTheme="minorEastAsia" w:hAnsiTheme="minorHAnsi" w:cstheme="minorBidi"/>
          <w:caps w:val="0"/>
          <w:snapToGrid/>
          <w:kern w:val="0"/>
          <w:szCs w:val="22"/>
        </w:rPr>
      </w:pPr>
      <w:r w:rsidRPr="00EF7391">
        <w:rPr>
          <w:color w:val="000000" w:themeColor="text1"/>
        </w:rPr>
        <w:t>I.</w:t>
      </w:r>
      <w:r>
        <w:rPr>
          <w:rFonts w:asciiTheme="minorHAnsi" w:eastAsiaTheme="minorEastAsia" w:hAnsiTheme="minorHAnsi" w:cstheme="minorBidi"/>
          <w:caps w:val="0"/>
          <w:snapToGrid/>
          <w:kern w:val="0"/>
          <w:szCs w:val="22"/>
        </w:rPr>
        <w:tab/>
      </w:r>
      <w:r w:rsidRPr="00EF7391">
        <w:rPr>
          <w:color w:val="000000" w:themeColor="text1"/>
        </w:rPr>
        <w:t>Introduction</w:t>
      </w:r>
      <w:r>
        <w:tab/>
        <w:t>1</w:t>
      </w:r>
    </w:p>
    <w:p w:rsidR="00E61E4D" w:rsidRDefault="00E61E4D" w:rsidP="005E5F79">
      <w:pPr>
        <w:pStyle w:val="TOC1"/>
        <w:widowControl/>
        <w:rPr>
          <w:rFonts w:asciiTheme="minorHAnsi" w:eastAsiaTheme="minorEastAsia" w:hAnsiTheme="minorHAnsi" w:cstheme="minorBidi"/>
          <w:caps w:val="0"/>
          <w:snapToGrid/>
          <w:kern w:val="0"/>
          <w:szCs w:val="22"/>
        </w:rPr>
      </w:pPr>
      <w:r w:rsidRPr="00EF7391">
        <w:rPr>
          <w:color w:val="000000" w:themeColor="text1"/>
        </w:rPr>
        <w:t>II.</w:t>
      </w:r>
      <w:r>
        <w:rPr>
          <w:rFonts w:asciiTheme="minorHAnsi" w:eastAsiaTheme="minorEastAsia" w:hAnsiTheme="minorHAnsi" w:cstheme="minorBidi"/>
          <w:caps w:val="0"/>
          <w:snapToGrid/>
          <w:kern w:val="0"/>
          <w:szCs w:val="22"/>
        </w:rPr>
        <w:tab/>
      </w:r>
      <w:r w:rsidRPr="00EF7391">
        <w:rPr>
          <w:color w:val="000000" w:themeColor="text1"/>
        </w:rPr>
        <w:t>Background</w:t>
      </w:r>
      <w:r>
        <w:tab/>
        <w:t>9</w:t>
      </w:r>
    </w:p>
    <w:p w:rsidR="00E61E4D" w:rsidRDefault="00E61E4D" w:rsidP="005E5F79">
      <w:pPr>
        <w:pStyle w:val="TOC1"/>
        <w:widowControl/>
        <w:rPr>
          <w:rFonts w:asciiTheme="minorHAnsi" w:eastAsiaTheme="minorEastAsia" w:hAnsiTheme="minorHAnsi" w:cstheme="minorBidi"/>
          <w:caps w:val="0"/>
          <w:snapToGrid/>
          <w:kern w:val="0"/>
          <w:szCs w:val="22"/>
        </w:rPr>
      </w:pPr>
      <w:r w:rsidRPr="00EF7391">
        <w:rPr>
          <w:color w:val="000000" w:themeColor="text1"/>
        </w:rPr>
        <w:t>III.</w:t>
      </w:r>
      <w:r>
        <w:rPr>
          <w:rFonts w:asciiTheme="minorHAnsi" w:eastAsiaTheme="minorEastAsia" w:hAnsiTheme="minorHAnsi" w:cstheme="minorBidi"/>
          <w:caps w:val="0"/>
          <w:snapToGrid/>
          <w:kern w:val="0"/>
          <w:szCs w:val="22"/>
        </w:rPr>
        <w:tab/>
      </w:r>
      <w:r w:rsidRPr="00EF7391">
        <w:rPr>
          <w:color w:val="000000" w:themeColor="text1"/>
        </w:rPr>
        <w:t>Discussion</w:t>
      </w:r>
      <w:r>
        <w:tab/>
        <w:t>13</w:t>
      </w:r>
    </w:p>
    <w:p w:rsidR="00E61E4D" w:rsidRDefault="00E61E4D" w:rsidP="005E5F79">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Defining MVPD</w:t>
      </w:r>
      <w:r>
        <w:tab/>
        <w:t>16</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1.</w:t>
      </w:r>
      <w:r>
        <w:rPr>
          <w:rFonts w:asciiTheme="minorHAnsi" w:eastAsiaTheme="minorEastAsia" w:hAnsiTheme="minorHAnsi" w:cstheme="minorBidi"/>
          <w:snapToGrid/>
          <w:kern w:val="0"/>
          <w:szCs w:val="22"/>
        </w:rPr>
        <w:tab/>
      </w:r>
      <w:r w:rsidRPr="00EF7391">
        <w:rPr>
          <w:color w:val="000000" w:themeColor="text1"/>
          <w:lang w:eastAsia="ar-SA"/>
        </w:rPr>
        <w:t>Proposed</w:t>
      </w:r>
      <w:r w:rsidRPr="00EF7391">
        <w:rPr>
          <w:i/>
          <w:color w:val="000000" w:themeColor="text1"/>
        </w:rPr>
        <w:t xml:space="preserve"> </w:t>
      </w:r>
      <w:r w:rsidRPr="00EF7391">
        <w:rPr>
          <w:color w:val="000000" w:themeColor="text1"/>
        </w:rPr>
        <w:t>“Linear Programming Interpretation”</w:t>
      </w:r>
      <w:r>
        <w:tab/>
        <w:t>18</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2.</w:t>
      </w:r>
      <w:r>
        <w:rPr>
          <w:rFonts w:asciiTheme="minorHAnsi" w:eastAsiaTheme="minorEastAsia" w:hAnsiTheme="minorHAnsi" w:cstheme="minorBidi"/>
          <w:snapToGrid/>
          <w:kern w:val="0"/>
          <w:szCs w:val="22"/>
        </w:rPr>
        <w:tab/>
      </w:r>
      <w:r w:rsidRPr="00EF7391">
        <w:rPr>
          <w:color w:val="000000" w:themeColor="text1"/>
        </w:rPr>
        <w:t>Alternative “Transmission Path Interpretation”</w:t>
      </w:r>
      <w:r>
        <w:tab/>
        <w:t>29</w:t>
      </w:r>
    </w:p>
    <w:p w:rsidR="00E61E4D" w:rsidRDefault="00E61E4D" w:rsidP="005E5F79">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Implications of Alternative Interpretations</w:t>
      </w:r>
      <w:r>
        <w:tab/>
        <w:t>33</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1.</w:t>
      </w:r>
      <w:r>
        <w:rPr>
          <w:rFonts w:asciiTheme="minorHAnsi" w:eastAsiaTheme="minorEastAsia" w:hAnsiTheme="minorHAnsi" w:cstheme="minorBidi"/>
          <w:snapToGrid/>
          <w:kern w:val="0"/>
          <w:szCs w:val="22"/>
        </w:rPr>
        <w:tab/>
      </w:r>
      <w:r w:rsidRPr="00EF7391">
        <w:rPr>
          <w:color w:val="000000" w:themeColor="text1"/>
        </w:rPr>
        <w:t>Application of MVPD-Specific Regulatory Privileges and Obligations to Internet-Based Distributors of Video Programming</w:t>
      </w:r>
      <w:r>
        <w:tab/>
        <w:t>35</w:t>
      </w:r>
    </w:p>
    <w:p w:rsidR="00E61E4D" w:rsidRDefault="00E61E4D" w:rsidP="005E5F79">
      <w:pPr>
        <w:pStyle w:val="TOC4"/>
        <w:widowControl/>
        <w:tabs>
          <w:tab w:val="left" w:pos="360"/>
        </w:tabs>
        <w:rPr>
          <w:rFonts w:asciiTheme="minorHAnsi" w:eastAsiaTheme="minorEastAsia" w:hAnsiTheme="minorHAnsi" w:cstheme="minorBidi"/>
          <w:snapToGrid/>
          <w:kern w:val="0"/>
          <w:szCs w:val="22"/>
        </w:rPr>
      </w:pPr>
      <w:r w:rsidRPr="00EF7391">
        <w:rPr>
          <w:color w:val="000000" w:themeColor="text1"/>
          <w:lang w:eastAsia="ar-SA"/>
        </w:rPr>
        <w:t>a.</w:t>
      </w:r>
      <w:r>
        <w:rPr>
          <w:rFonts w:asciiTheme="minorHAnsi" w:eastAsiaTheme="minorEastAsia" w:hAnsiTheme="minorHAnsi" w:cstheme="minorBidi"/>
          <w:snapToGrid/>
          <w:kern w:val="0"/>
          <w:szCs w:val="22"/>
        </w:rPr>
        <w:tab/>
      </w:r>
      <w:r w:rsidRPr="00EF7391">
        <w:rPr>
          <w:color w:val="000000" w:themeColor="text1"/>
          <w:lang w:eastAsia="ar-SA"/>
        </w:rPr>
        <w:t>General Privileges and Obligations</w:t>
      </w:r>
      <w:r>
        <w:tab/>
        <w:t>36</w:t>
      </w:r>
    </w:p>
    <w:p w:rsidR="00E61E4D" w:rsidRDefault="00E61E4D" w:rsidP="005E5F79">
      <w:pPr>
        <w:pStyle w:val="TOC4"/>
        <w:widowControl/>
        <w:tabs>
          <w:tab w:val="left" w:pos="360"/>
        </w:tabs>
        <w:rPr>
          <w:rFonts w:asciiTheme="minorHAnsi" w:eastAsiaTheme="minorEastAsia" w:hAnsiTheme="minorHAnsi" w:cstheme="minorBidi"/>
          <w:snapToGrid/>
          <w:kern w:val="0"/>
          <w:szCs w:val="22"/>
        </w:rPr>
      </w:pPr>
      <w:r w:rsidRPr="00EF7391">
        <w:rPr>
          <w:color w:val="000000" w:themeColor="text1"/>
        </w:rPr>
        <w:t>b.</w:t>
      </w:r>
      <w:r>
        <w:rPr>
          <w:rFonts w:asciiTheme="minorHAnsi" w:eastAsiaTheme="minorEastAsia" w:hAnsiTheme="minorHAnsi" w:cstheme="minorBidi"/>
          <w:snapToGrid/>
          <w:kern w:val="0"/>
          <w:szCs w:val="22"/>
        </w:rPr>
        <w:tab/>
      </w:r>
      <w:r w:rsidRPr="00EF7391">
        <w:rPr>
          <w:color w:val="000000" w:themeColor="text1"/>
        </w:rPr>
        <w:t>Specific Privileges and Obligations</w:t>
      </w:r>
      <w:r>
        <w:tab/>
        <w:t>39</w:t>
      </w:r>
    </w:p>
    <w:p w:rsidR="00E61E4D" w:rsidRDefault="00E61E4D" w:rsidP="005E5F79">
      <w:pPr>
        <w:pStyle w:val="TOC5"/>
        <w:widowControl/>
        <w:tabs>
          <w:tab w:val="left" w:pos="360"/>
        </w:tabs>
        <w:rPr>
          <w:rFonts w:asciiTheme="minorHAnsi" w:eastAsiaTheme="minorEastAsia" w:hAnsiTheme="minorHAnsi" w:cstheme="minorBidi"/>
          <w:snapToGrid/>
          <w:kern w:val="0"/>
          <w:szCs w:val="22"/>
        </w:rPr>
      </w:pPr>
      <w:r w:rsidRPr="00EF7391">
        <w:rPr>
          <w:color w:val="000000" w:themeColor="text1"/>
        </w:rPr>
        <w:t>(i)</w:t>
      </w:r>
      <w:r>
        <w:rPr>
          <w:rFonts w:asciiTheme="minorHAnsi" w:eastAsiaTheme="minorEastAsia" w:hAnsiTheme="minorHAnsi" w:cstheme="minorBidi"/>
          <w:snapToGrid/>
          <w:kern w:val="0"/>
          <w:szCs w:val="22"/>
        </w:rPr>
        <w:tab/>
      </w:r>
      <w:r w:rsidRPr="00EF7391">
        <w:rPr>
          <w:color w:val="000000" w:themeColor="text1"/>
        </w:rPr>
        <w:t>Privileges</w:t>
      </w:r>
      <w:r>
        <w:tab/>
        <w:t>39</w:t>
      </w:r>
    </w:p>
    <w:p w:rsidR="00E61E4D" w:rsidRDefault="00E61E4D" w:rsidP="005E5F79">
      <w:pPr>
        <w:pStyle w:val="TOC5"/>
        <w:widowControl/>
        <w:tabs>
          <w:tab w:val="left" w:pos="360"/>
        </w:tabs>
        <w:rPr>
          <w:rFonts w:asciiTheme="minorHAnsi" w:eastAsiaTheme="minorEastAsia" w:hAnsiTheme="minorHAnsi" w:cstheme="minorBidi"/>
          <w:snapToGrid/>
          <w:kern w:val="0"/>
          <w:szCs w:val="22"/>
        </w:rPr>
      </w:pPr>
      <w:r w:rsidRPr="00EF7391">
        <w:rPr>
          <w:color w:val="000000" w:themeColor="text1"/>
        </w:rPr>
        <w:t>(ii)</w:t>
      </w:r>
      <w:r>
        <w:rPr>
          <w:rFonts w:asciiTheme="minorHAnsi" w:eastAsiaTheme="minorEastAsia" w:hAnsiTheme="minorHAnsi" w:cstheme="minorBidi"/>
          <w:snapToGrid/>
          <w:kern w:val="0"/>
          <w:szCs w:val="22"/>
        </w:rPr>
        <w:tab/>
      </w:r>
      <w:r w:rsidRPr="00EF7391">
        <w:rPr>
          <w:color w:val="000000" w:themeColor="text1"/>
        </w:rPr>
        <w:t>Obligations</w:t>
      </w:r>
      <w:r>
        <w:tab/>
        <w:t>46</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2.</w:t>
      </w:r>
      <w:r>
        <w:rPr>
          <w:rFonts w:asciiTheme="minorHAnsi" w:eastAsiaTheme="minorEastAsia" w:hAnsiTheme="minorHAnsi" w:cstheme="minorBidi"/>
          <w:snapToGrid/>
          <w:kern w:val="0"/>
          <w:szCs w:val="22"/>
        </w:rPr>
        <w:tab/>
      </w:r>
      <w:r w:rsidRPr="00EF7391">
        <w:rPr>
          <w:color w:val="000000" w:themeColor="text1"/>
        </w:rPr>
        <w:t>Impact on Content Owners</w:t>
      </w:r>
      <w:r>
        <w:tab/>
        <w:t>65</w:t>
      </w:r>
    </w:p>
    <w:p w:rsidR="00E61E4D" w:rsidRDefault="00E61E4D" w:rsidP="005E5F79">
      <w:pPr>
        <w:pStyle w:val="TOC4"/>
        <w:widowControl/>
        <w:tabs>
          <w:tab w:val="left" w:pos="360"/>
        </w:tabs>
        <w:rPr>
          <w:rFonts w:asciiTheme="minorHAnsi" w:eastAsiaTheme="minorEastAsia" w:hAnsiTheme="minorHAnsi" w:cstheme="minorBidi"/>
          <w:snapToGrid/>
          <w:kern w:val="0"/>
          <w:szCs w:val="22"/>
        </w:rPr>
      </w:pPr>
      <w:r w:rsidRPr="00EF7391">
        <w:rPr>
          <w:color w:val="000000" w:themeColor="text1"/>
        </w:rPr>
        <w:t>a.</w:t>
      </w:r>
      <w:r>
        <w:rPr>
          <w:rFonts w:asciiTheme="minorHAnsi" w:eastAsiaTheme="minorEastAsia" w:hAnsiTheme="minorHAnsi" w:cstheme="minorBidi"/>
          <w:snapToGrid/>
          <w:kern w:val="0"/>
          <w:szCs w:val="22"/>
        </w:rPr>
        <w:tab/>
      </w:r>
      <w:r w:rsidRPr="00EF7391">
        <w:rPr>
          <w:color w:val="000000" w:themeColor="text1"/>
        </w:rPr>
        <w:t>Broadcast Content</w:t>
      </w:r>
      <w:r>
        <w:tab/>
        <w:t>66</w:t>
      </w:r>
    </w:p>
    <w:p w:rsidR="00E61E4D" w:rsidRDefault="00E61E4D" w:rsidP="005E5F79">
      <w:pPr>
        <w:pStyle w:val="TOC4"/>
        <w:widowControl/>
        <w:tabs>
          <w:tab w:val="left" w:pos="360"/>
        </w:tabs>
        <w:rPr>
          <w:rFonts w:asciiTheme="minorHAnsi" w:eastAsiaTheme="minorEastAsia" w:hAnsiTheme="minorHAnsi" w:cstheme="minorBidi"/>
          <w:snapToGrid/>
          <w:kern w:val="0"/>
          <w:szCs w:val="22"/>
        </w:rPr>
      </w:pPr>
      <w:r w:rsidRPr="00EF7391">
        <w:rPr>
          <w:color w:val="000000" w:themeColor="text1"/>
        </w:rPr>
        <w:t>b.</w:t>
      </w:r>
      <w:r>
        <w:rPr>
          <w:rFonts w:asciiTheme="minorHAnsi" w:eastAsiaTheme="minorEastAsia" w:hAnsiTheme="minorHAnsi" w:cstheme="minorBidi"/>
          <w:snapToGrid/>
          <w:kern w:val="0"/>
          <w:szCs w:val="22"/>
        </w:rPr>
        <w:tab/>
      </w:r>
      <w:r w:rsidRPr="00EF7391">
        <w:rPr>
          <w:color w:val="000000" w:themeColor="text1"/>
        </w:rPr>
        <w:t>Cable-Affiliated Content</w:t>
      </w:r>
      <w:r>
        <w:tab/>
        <w:t>67</w:t>
      </w:r>
    </w:p>
    <w:p w:rsidR="00E61E4D" w:rsidRDefault="00E61E4D" w:rsidP="005E5F79">
      <w:pPr>
        <w:pStyle w:val="TOC4"/>
        <w:widowControl/>
        <w:tabs>
          <w:tab w:val="left" w:pos="360"/>
        </w:tabs>
        <w:rPr>
          <w:rFonts w:asciiTheme="minorHAnsi" w:eastAsiaTheme="minorEastAsia" w:hAnsiTheme="minorHAnsi" w:cstheme="minorBidi"/>
          <w:snapToGrid/>
          <w:kern w:val="0"/>
          <w:szCs w:val="22"/>
        </w:rPr>
      </w:pPr>
      <w:r w:rsidRPr="00EF7391">
        <w:rPr>
          <w:color w:val="000000" w:themeColor="text1"/>
        </w:rPr>
        <w:t>c.</w:t>
      </w:r>
      <w:r>
        <w:rPr>
          <w:rFonts w:asciiTheme="minorHAnsi" w:eastAsiaTheme="minorEastAsia" w:hAnsiTheme="minorHAnsi" w:cstheme="minorBidi"/>
          <w:snapToGrid/>
          <w:kern w:val="0"/>
          <w:szCs w:val="22"/>
        </w:rPr>
        <w:tab/>
      </w:r>
      <w:r w:rsidRPr="00EF7391">
        <w:rPr>
          <w:color w:val="000000" w:themeColor="text1"/>
        </w:rPr>
        <w:t>Non-Broadcast, Non-Cable-Affiliated Content</w:t>
      </w:r>
      <w:r>
        <w:tab/>
        <w:t>70</w:t>
      </w:r>
    </w:p>
    <w:p w:rsidR="00E61E4D" w:rsidRDefault="00E61E4D" w:rsidP="005E5F79">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Regulatory Treatment of Cable Operators and DBS Providers that Provide Linear Video Services via IP</w:t>
      </w:r>
      <w:r>
        <w:tab/>
        <w:t>71</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1.</w:t>
      </w:r>
      <w:r>
        <w:rPr>
          <w:rFonts w:asciiTheme="minorHAnsi" w:eastAsiaTheme="minorEastAsia" w:hAnsiTheme="minorHAnsi" w:cstheme="minorBidi"/>
          <w:snapToGrid/>
          <w:kern w:val="0"/>
          <w:szCs w:val="22"/>
        </w:rPr>
        <w:tab/>
      </w:r>
      <w:r w:rsidRPr="00EF7391">
        <w:rPr>
          <w:color w:val="000000" w:themeColor="text1"/>
        </w:rPr>
        <w:t>Cable Service Provided via IP Over the Operator’s Facilities</w:t>
      </w:r>
      <w:r>
        <w:tab/>
        <w:t>72</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2.</w:t>
      </w:r>
      <w:r>
        <w:rPr>
          <w:rFonts w:asciiTheme="minorHAnsi" w:eastAsiaTheme="minorEastAsia" w:hAnsiTheme="minorHAnsi" w:cstheme="minorBidi"/>
          <w:snapToGrid/>
          <w:kern w:val="0"/>
          <w:szCs w:val="22"/>
        </w:rPr>
        <w:tab/>
      </w:r>
      <w:r w:rsidRPr="00EF7391">
        <w:rPr>
          <w:color w:val="000000" w:themeColor="text1"/>
        </w:rPr>
        <w:t>Cable Operators Offering OTT Services</w:t>
      </w:r>
      <w:r>
        <w:tab/>
        <w:t>78</w:t>
      </w:r>
    </w:p>
    <w:p w:rsidR="00E61E4D" w:rsidRDefault="00E61E4D" w:rsidP="005E5F79">
      <w:pPr>
        <w:pStyle w:val="TOC3"/>
        <w:widowControl/>
        <w:tabs>
          <w:tab w:val="left" w:pos="360"/>
        </w:tabs>
        <w:rPr>
          <w:rFonts w:asciiTheme="minorHAnsi" w:eastAsiaTheme="minorEastAsia" w:hAnsiTheme="minorHAnsi" w:cstheme="minorBidi"/>
          <w:snapToGrid/>
          <w:kern w:val="0"/>
          <w:szCs w:val="22"/>
        </w:rPr>
      </w:pPr>
      <w:r w:rsidRPr="00EF7391">
        <w:rPr>
          <w:color w:val="000000" w:themeColor="text1"/>
        </w:rPr>
        <w:t>3.</w:t>
      </w:r>
      <w:r>
        <w:rPr>
          <w:rFonts w:asciiTheme="minorHAnsi" w:eastAsiaTheme="minorEastAsia" w:hAnsiTheme="minorHAnsi" w:cstheme="minorBidi"/>
          <w:snapToGrid/>
          <w:kern w:val="0"/>
          <w:szCs w:val="22"/>
        </w:rPr>
        <w:tab/>
      </w:r>
      <w:r w:rsidRPr="00EF7391">
        <w:rPr>
          <w:color w:val="000000" w:themeColor="text1"/>
        </w:rPr>
        <w:t>DBS Providers Offering OTT Services</w:t>
      </w:r>
      <w:r>
        <w:tab/>
        <w:t>79</w:t>
      </w:r>
    </w:p>
    <w:p w:rsidR="00E61E4D" w:rsidRDefault="00E61E4D" w:rsidP="005E5F79">
      <w:pPr>
        <w:pStyle w:val="TOC1"/>
        <w:widowControl/>
        <w:rPr>
          <w:rFonts w:asciiTheme="minorHAnsi" w:eastAsiaTheme="minorEastAsia" w:hAnsiTheme="minorHAnsi" w:cstheme="minorBidi"/>
          <w:caps w:val="0"/>
          <w:snapToGrid/>
          <w:kern w:val="0"/>
          <w:szCs w:val="22"/>
        </w:rPr>
      </w:pPr>
      <w:r w:rsidRPr="00EF7391">
        <w:rPr>
          <w:color w:val="000000" w:themeColor="text1"/>
        </w:rPr>
        <w:t>IV.</w:t>
      </w:r>
      <w:r>
        <w:rPr>
          <w:rFonts w:asciiTheme="minorHAnsi" w:eastAsiaTheme="minorEastAsia" w:hAnsiTheme="minorHAnsi" w:cstheme="minorBidi"/>
          <w:caps w:val="0"/>
          <w:snapToGrid/>
          <w:kern w:val="0"/>
          <w:szCs w:val="22"/>
        </w:rPr>
        <w:tab/>
      </w:r>
      <w:r w:rsidRPr="00EF7391">
        <w:rPr>
          <w:color w:val="000000" w:themeColor="text1"/>
        </w:rPr>
        <w:t>PROCEDURAL MATTERS</w:t>
      </w:r>
      <w:r>
        <w:tab/>
        <w:t>80</w:t>
      </w:r>
    </w:p>
    <w:p w:rsidR="00E61E4D" w:rsidRDefault="00E61E4D" w:rsidP="005E5F79">
      <w:pPr>
        <w:pStyle w:val="TOC1"/>
        <w:widowControl/>
        <w:rPr>
          <w:rFonts w:asciiTheme="minorHAnsi" w:eastAsiaTheme="minorEastAsia" w:hAnsiTheme="minorHAnsi" w:cstheme="minorBidi"/>
          <w:caps w:val="0"/>
          <w:snapToGrid/>
          <w:kern w:val="0"/>
          <w:szCs w:val="22"/>
        </w:rPr>
      </w:pPr>
      <w:r w:rsidRPr="00EF7391">
        <w:rPr>
          <w:color w:val="000000" w:themeColor="text1"/>
        </w:rPr>
        <w:t>V.</w:t>
      </w:r>
      <w:r>
        <w:rPr>
          <w:rFonts w:asciiTheme="minorHAnsi" w:eastAsiaTheme="minorEastAsia" w:hAnsiTheme="minorHAnsi" w:cstheme="minorBidi"/>
          <w:caps w:val="0"/>
          <w:snapToGrid/>
          <w:kern w:val="0"/>
          <w:szCs w:val="22"/>
        </w:rPr>
        <w:tab/>
      </w:r>
      <w:r w:rsidRPr="00EF7391">
        <w:rPr>
          <w:color w:val="000000" w:themeColor="text1"/>
        </w:rPr>
        <w:t>ORDERING CLAUSES</w:t>
      </w:r>
      <w:r>
        <w:tab/>
        <w:t>88</w:t>
      </w:r>
    </w:p>
    <w:bookmarkEnd w:id="1"/>
    <w:p w:rsidR="00772739" w:rsidRPr="00EA2EF6" w:rsidRDefault="00772739" w:rsidP="005E5F79">
      <w:pPr>
        <w:widowControl/>
        <w:rPr>
          <w:color w:val="000000" w:themeColor="text1"/>
        </w:rPr>
      </w:pPr>
      <w:r w:rsidRPr="00EA2EF6">
        <w:rPr>
          <w:color w:val="000000" w:themeColor="text1"/>
        </w:rPr>
        <w:t>APPENDIX A – Proposed Rules</w:t>
      </w:r>
    </w:p>
    <w:p w:rsidR="00772739" w:rsidRPr="00EA2EF6" w:rsidRDefault="00772739" w:rsidP="005E5F79">
      <w:pPr>
        <w:widowControl/>
        <w:rPr>
          <w:color w:val="000000" w:themeColor="text1"/>
        </w:rPr>
      </w:pPr>
      <w:r w:rsidRPr="00EA2EF6">
        <w:rPr>
          <w:color w:val="000000" w:themeColor="text1"/>
        </w:rPr>
        <w:t>APPENDIX B – Initial Regulatory Flexibility Analysis</w:t>
      </w:r>
    </w:p>
    <w:p w:rsidR="003437D5" w:rsidRPr="00EA2EF6" w:rsidRDefault="003437D5" w:rsidP="005E5F79">
      <w:pPr>
        <w:widowControl/>
        <w:rPr>
          <w:color w:val="000000" w:themeColor="text1"/>
        </w:rPr>
      </w:pPr>
    </w:p>
    <w:p w:rsidR="005E7063" w:rsidRPr="00EA2EF6" w:rsidRDefault="00B661C3" w:rsidP="005E5F79">
      <w:pPr>
        <w:pStyle w:val="Heading1"/>
        <w:widowControl/>
        <w:rPr>
          <w:color w:val="000000" w:themeColor="text1"/>
        </w:rPr>
      </w:pPr>
      <w:bookmarkStart w:id="8" w:name="_Toc345939959"/>
      <w:bookmarkStart w:id="9" w:name="_Toc346121497"/>
      <w:bookmarkStart w:id="10" w:name="_Toc346192519"/>
      <w:bookmarkStart w:id="11" w:name="_Toc346192596"/>
      <w:bookmarkStart w:id="12" w:name="_Toc347490982"/>
      <w:bookmarkStart w:id="13" w:name="_Toc349751883"/>
      <w:bookmarkStart w:id="14" w:name="_Toc395187275"/>
      <w:bookmarkStart w:id="15" w:name="_Toc398540283"/>
      <w:bookmarkStart w:id="16" w:name="_Toc398565505"/>
      <w:bookmarkStart w:id="17" w:name="_Toc398624340"/>
      <w:bookmarkStart w:id="18" w:name="_Toc398746599"/>
      <w:bookmarkStart w:id="19" w:name="_Toc399148303"/>
      <w:bookmarkStart w:id="20" w:name="_Toc399260520"/>
      <w:bookmarkStart w:id="21" w:name="_Toc399316538"/>
      <w:bookmarkStart w:id="22" w:name="_Toc401241696"/>
      <w:bookmarkStart w:id="23" w:name="_Toc401259699"/>
      <w:bookmarkStart w:id="24" w:name="_Toc401312823"/>
      <w:bookmarkStart w:id="25" w:name="_Toc401850530"/>
      <w:bookmarkStart w:id="26" w:name="_Toc402169628"/>
      <w:bookmarkStart w:id="27" w:name="_Toc405301012"/>
      <w:bookmarkStart w:id="28" w:name="_Toc405884716"/>
      <w:bookmarkStart w:id="29" w:name="_Toc406609206"/>
      <w:r w:rsidRPr="00EA2EF6">
        <w:rPr>
          <w:color w:val="000000" w:themeColor="text1"/>
        </w:rPr>
        <w:lastRenderedPageBreak/>
        <w:t>Introduction</w:t>
      </w:r>
      <w:bookmarkEnd w:id="2"/>
      <w:bookmarkEnd w:id="3"/>
      <w:bookmarkEnd w:id="4"/>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F1748" w:rsidRPr="00EA2EF6" w:rsidRDefault="002F1748" w:rsidP="005E5F79">
      <w:pPr>
        <w:pStyle w:val="ParaNum"/>
        <w:widowControl/>
        <w:rPr>
          <w:color w:val="000000" w:themeColor="text1"/>
        </w:rPr>
      </w:pPr>
      <w:r w:rsidRPr="00EA2EF6">
        <w:rPr>
          <w:color w:val="000000" w:themeColor="text1"/>
        </w:rPr>
        <w:t>In this Notice of Proposed Rulemaking (“</w:t>
      </w:r>
      <w:r w:rsidRPr="00EA2EF6">
        <w:rPr>
          <w:i/>
          <w:color w:val="000000" w:themeColor="text1"/>
        </w:rPr>
        <w:t>NPRM</w:t>
      </w:r>
      <w:r w:rsidRPr="00EA2EF6">
        <w:rPr>
          <w:color w:val="000000" w:themeColor="text1"/>
        </w:rPr>
        <w:t xml:space="preserve">”), we propose to update our rules to better reflect the fact that video services are being provided increasingly over the Internet.  Specifically, we propose to modernize our interpretation of the term “multichannel video programming distributor” (“MVPD”) by including within its scope services that make available for purchase, by subscribers or customers, multiple linear streams of video programming, regardless of the technology used to distribute the programming.  Such an approach will ensure both that </w:t>
      </w:r>
      <w:r w:rsidR="001D5CE3" w:rsidRPr="00EA2EF6">
        <w:rPr>
          <w:color w:val="000000" w:themeColor="text1"/>
        </w:rPr>
        <w:t>incumbent</w:t>
      </w:r>
      <w:r w:rsidRPr="00EA2EF6">
        <w:rPr>
          <w:color w:val="000000" w:themeColor="text1"/>
        </w:rPr>
        <w:t xml:space="preserve"> providers will continue to be subject to the pro-competitive, consumer-focused regulations that apply to MVPDs as they transition their services to the Internet</w:t>
      </w:r>
      <w:r w:rsidR="000C0687" w:rsidRPr="00EA2EF6">
        <w:rPr>
          <w:rStyle w:val="FootnoteReference"/>
          <w:color w:val="000000" w:themeColor="text1"/>
        </w:rPr>
        <w:footnoteReference w:id="2"/>
      </w:r>
      <w:r w:rsidR="001D5CE3" w:rsidRPr="00EA2EF6">
        <w:rPr>
          <w:color w:val="000000" w:themeColor="text1"/>
        </w:rPr>
        <w:t xml:space="preserve"> and that </w:t>
      </w:r>
      <w:r w:rsidRPr="00EA2EF6">
        <w:rPr>
          <w:color w:val="000000" w:themeColor="text1"/>
        </w:rPr>
        <w:t>nascent, Internet-based video programming services</w:t>
      </w:r>
      <w:r w:rsidR="000901EF" w:rsidRPr="00EA2EF6">
        <w:rPr>
          <w:rStyle w:val="FootnoteReference"/>
          <w:color w:val="000000" w:themeColor="text1"/>
          <w:szCs w:val="22"/>
        </w:rPr>
        <w:footnoteReference w:id="3"/>
      </w:r>
      <w:r w:rsidRPr="00EA2EF6">
        <w:rPr>
          <w:color w:val="000000" w:themeColor="text1"/>
        </w:rPr>
        <w:t xml:space="preserve"> will have </w:t>
      </w:r>
      <w:r w:rsidR="008139FE" w:rsidRPr="00EA2EF6">
        <w:rPr>
          <w:color w:val="000000" w:themeColor="text1"/>
        </w:rPr>
        <w:t>access to the tools they need</w:t>
      </w:r>
      <w:r w:rsidRPr="00EA2EF6">
        <w:rPr>
          <w:color w:val="000000" w:themeColor="text1"/>
        </w:rPr>
        <w:t xml:space="preserve"> to compete with established providers</w:t>
      </w:r>
      <w:r w:rsidR="001D5CE3" w:rsidRPr="00EA2EF6">
        <w:rPr>
          <w:color w:val="000000" w:themeColor="text1"/>
        </w:rPr>
        <w:t>.</w:t>
      </w:r>
      <w:r w:rsidR="00F43A13" w:rsidRPr="00EA2EF6">
        <w:rPr>
          <w:rStyle w:val="FootnoteReference"/>
          <w:color w:val="000000" w:themeColor="text1"/>
        </w:rPr>
        <w:footnoteReference w:id="4"/>
      </w:r>
    </w:p>
    <w:p w:rsidR="0011333F" w:rsidRPr="00EA2EF6" w:rsidRDefault="0011333F" w:rsidP="005E5F79">
      <w:pPr>
        <w:pStyle w:val="ParaNum"/>
        <w:widowControl/>
        <w:rPr>
          <w:color w:val="000000" w:themeColor="text1"/>
        </w:rPr>
      </w:pPr>
      <w:r w:rsidRPr="00EA2EF6">
        <w:rPr>
          <w:color w:val="000000" w:themeColor="text1"/>
        </w:rPr>
        <w:t xml:space="preserve">Here the Commission faces, as it has before, the impact of technology transition. Incumbent cable systems have made plain their </w:t>
      </w:r>
      <w:r w:rsidR="0083545B" w:rsidRPr="00EA2EF6">
        <w:rPr>
          <w:color w:val="000000" w:themeColor="text1"/>
        </w:rPr>
        <w:t xml:space="preserve">intent </w:t>
      </w:r>
      <w:r w:rsidR="0049537F" w:rsidRPr="00EA2EF6">
        <w:rPr>
          <w:color w:val="000000" w:themeColor="text1"/>
        </w:rPr>
        <w:t xml:space="preserve">to </w:t>
      </w:r>
      <w:r w:rsidR="005917ED" w:rsidRPr="00EA2EF6">
        <w:rPr>
          <w:color w:val="000000" w:themeColor="text1"/>
        </w:rPr>
        <w:t>use</w:t>
      </w:r>
      <w:r w:rsidR="0083545B" w:rsidRPr="00EA2EF6">
        <w:rPr>
          <w:color w:val="000000" w:themeColor="text1"/>
        </w:rPr>
        <w:t xml:space="preserve"> </w:t>
      </w:r>
      <w:r w:rsidRPr="00EA2EF6">
        <w:rPr>
          <w:color w:val="000000" w:themeColor="text1"/>
        </w:rPr>
        <w:t>a new transmission standard</w:t>
      </w:r>
      <w:r w:rsidR="00A36901" w:rsidRPr="00EA2EF6">
        <w:rPr>
          <w:color w:val="000000" w:themeColor="text1"/>
        </w:rPr>
        <w:t xml:space="preserve"> </w:t>
      </w:r>
      <w:r w:rsidRPr="00EA2EF6">
        <w:rPr>
          <w:color w:val="000000" w:themeColor="text1"/>
        </w:rPr>
        <w:t xml:space="preserve">that will permit cable systems to </w:t>
      </w:r>
      <w:r w:rsidR="005917ED" w:rsidRPr="00EA2EF6">
        <w:rPr>
          <w:color w:val="000000" w:themeColor="text1"/>
        </w:rPr>
        <w:t>deliver</w:t>
      </w:r>
      <w:r w:rsidRPr="00EA2EF6">
        <w:rPr>
          <w:color w:val="000000" w:themeColor="text1"/>
        </w:rPr>
        <w:t xml:space="preserve"> video </w:t>
      </w:r>
      <w:r w:rsidR="005917ED" w:rsidRPr="00EA2EF6">
        <w:rPr>
          <w:color w:val="000000" w:themeColor="text1"/>
        </w:rPr>
        <w:t>via</w:t>
      </w:r>
      <w:r w:rsidRPr="00EA2EF6">
        <w:rPr>
          <w:color w:val="000000" w:themeColor="text1"/>
        </w:rPr>
        <w:t xml:space="preserve"> IP</w:t>
      </w:r>
      <w:r w:rsidR="00A36901" w:rsidRPr="00EA2EF6">
        <w:rPr>
          <w:color w:val="000000" w:themeColor="text1"/>
        </w:rPr>
        <w:t>, and other innovative companies are also experimenting with new business models based on Internet distribution</w:t>
      </w:r>
      <w:r w:rsidRPr="00EA2EF6">
        <w:rPr>
          <w:color w:val="000000" w:themeColor="text1"/>
        </w:rPr>
        <w:t>.</w:t>
      </w:r>
      <w:r w:rsidR="00A36901" w:rsidRPr="00EA2EF6">
        <w:rPr>
          <w:rStyle w:val="FootnoteReference"/>
          <w:color w:val="000000" w:themeColor="text1"/>
        </w:rPr>
        <w:footnoteReference w:id="5"/>
      </w:r>
      <w:r w:rsidR="0049537F" w:rsidRPr="00EA2EF6">
        <w:rPr>
          <w:color w:val="000000" w:themeColor="text1"/>
        </w:rPr>
        <w:t xml:space="preserve"> </w:t>
      </w:r>
      <w:r w:rsidRPr="00EA2EF6">
        <w:rPr>
          <w:color w:val="000000" w:themeColor="text1"/>
        </w:rPr>
        <w:t xml:space="preserve"> That is not surprising: Over-the-air television has moved from analog </w:t>
      </w:r>
      <w:r w:rsidR="0083545B" w:rsidRPr="00EA2EF6">
        <w:rPr>
          <w:color w:val="000000" w:themeColor="text1"/>
        </w:rPr>
        <w:t xml:space="preserve">transmission </w:t>
      </w:r>
      <w:r w:rsidRPr="00EA2EF6">
        <w:rPr>
          <w:color w:val="000000" w:themeColor="text1"/>
        </w:rPr>
        <w:t>to digital</w:t>
      </w:r>
      <w:r w:rsidR="002C41F1" w:rsidRPr="00EA2EF6">
        <w:rPr>
          <w:color w:val="000000" w:themeColor="text1"/>
        </w:rPr>
        <w:t>.</w:t>
      </w:r>
      <w:r w:rsidRPr="00EA2EF6">
        <w:rPr>
          <w:color w:val="000000" w:themeColor="text1"/>
        </w:rPr>
        <w:t xml:space="preserve"> </w:t>
      </w:r>
      <w:r w:rsidR="002A3C6D" w:rsidRPr="00EA2EF6">
        <w:rPr>
          <w:color w:val="000000" w:themeColor="text1"/>
        </w:rPr>
        <w:t xml:space="preserve"> </w:t>
      </w:r>
      <w:r w:rsidRPr="00EA2EF6">
        <w:rPr>
          <w:color w:val="000000" w:themeColor="text1"/>
        </w:rPr>
        <w:t>The telephon</w:t>
      </w:r>
      <w:r w:rsidR="0049537F" w:rsidRPr="00EA2EF6">
        <w:rPr>
          <w:color w:val="000000" w:themeColor="text1"/>
        </w:rPr>
        <w:t>e</w:t>
      </w:r>
      <w:r w:rsidRPr="00EA2EF6">
        <w:rPr>
          <w:color w:val="000000" w:themeColor="text1"/>
        </w:rPr>
        <w:t xml:space="preserve"> networks of the 20</w:t>
      </w:r>
      <w:r w:rsidRPr="00EA2EF6">
        <w:rPr>
          <w:color w:val="000000" w:themeColor="text1"/>
          <w:vertAlign w:val="superscript"/>
        </w:rPr>
        <w:t>th</w:t>
      </w:r>
      <w:r w:rsidRPr="00EA2EF6">
        <w:rPr>
          <w:color w:val="000000" w:themeColor="text1"/>
        </w:rPr>
        <w:t xml:space="preserve"> Century have become broadband networks</w:t>
      </w:r>
      <w:r w:rsidR="0083545B" w:rsidRPr="00EA2EF6">
        <w:rPr>
          <w:color w:val="000000" w:themeColor="text1"/>
        </w:rPr>
        <w:t>, providing a critical pathway to the Internet</w:t>
      </w:r>
      <w:r w:rsidRPr="00EA2EF6">
        <w:rPr>
          <w:color w:val="000000" w:themeColor="text1"/>
        </w:rPr>
        <w:t>.</w:t>
      </w:r>
      <w:r w:rsidR="0083545B" w:rsidRPr="00EA2EF6">
        <w:rPr>
          <w:color w:val="000000" w:themeColor="text1"/>
        </w:rPr>
        <w:t xml:space="preserve"> And, in our January Technology Transitions Order, the Commission encouraged experiments that assess the impact on consumers of the coming transition from traditional copper facilities to new telecommunications networks</w:t>
      </w:r>
      <w:r w:rsidR="008D3D70" w:rsidRPr="00EA2EF6">
        <w:rPr>
          <w:color w:val="000000" w:themeColor="text1"/>
        </w:rPr>
        <w:t xml:space="preserve"> composed of fiber, copper, coaxial cable</w:t>
      </w:r>
      <w:r w:rsidR="0049537F" w:rsidRPr="00EA2EF6">
        <w:rPr>
          <w:color w:val="000000" w:themeColor="text1"/>
        </w:rPr>
        <w:t>,</w:t>
      </w:r>
      <w:r w:rsidR="008D3D70" w:rsidRPr="00EA2EF6">
        <w:rPr>
          <w:color w:val="000000" w:themeColor="text1"/>
        </w:rPr>
        <w:t xml:space="preserve"> an</w:t>
      </w:r>
      <w:r w:rsidR="0049537F" w:rsidRPr="00EA2EF6">
        <w:rPr>
          <w:color w:val="000000" w:themeColor="text1"/>
        </w:rPr>
        <w:t>d</w:t>
      </w:r>
      <w:r w:rsidR="008D3D70" w:rsidRPr="00EA2EF6">
        <w:rPr>
          <w:color w:val="000000" w:themeColor="text1"/>
        </w:rPr>
        <w:t>/or wireless connections</w:t>
      </w:r>
      <w:r w:rsidR="0083545B" w:rsidRPr="00EA2EF6">
        <w:rPr>
          <w:color w:val="000000" w:themeColor="text1"/>
        </w:rPr>
        <w:t>.</w:t>
      </w:r>
    </w:p>
    <w:p w:rsidR="0083545B" w:rsidRPr="00EA2EF6" w:rsidRDefault="0083545B" w:rsidP="005E5F79">
      <w:pPr>
        <w:pStyle w:val="ParaNum"/>
        <w:widowControl/>
        <w:rPr>
          <w:color w:val="000000" w:themeColor="text1"/>
        </w:rPr>
      </w:pPr>
      <w:r w:rsidRPr="00EA2EF6">
        <w:rPr>
          <w:color w:val="000000" w:themeColor="text1"/>
        </w:rPr>
        <w:t>The Commission has recognized that innovation must be encouraged, but not at the expense of technology-neutral public policies. That is why the January Technology Transitions Order emphasized the importance of preserving competition, consumer protection</w:t>
      </w:r>
      <w:r w:rsidR="0049537F" w:rsidRPr="00EA2EF6">
        <w:rPr>
          <w:color w:val="000000" w:themeColor="text1"/>
        </w:rPr>
        <w:t>,</w:t>
      </w:r>
      <w:r w:rsidRPr="00EA2EF6">
        <w:rPr>
          <w:color w:val="000000" w:themeColor="text1"/>
        </w:rPr>
        <w:t xml:space="preserve"> and public safety.</w:t>
      </w:r>
      <w:r w:rsidR="009A4FB7" w:rsidRPr="00EA2EF6">
        <w:rPr>
          <w:color w:val="000000" w:themeColor="text1"/>
        </w:rPr>
        <w:t xml:space="preserve">  </w:t>
      </w:r>
      <w:r w:rsidRPr="00EA2EF6">
        <w:rPr>
          <w:color w:val="000000" w:themeColor="text1"/>
        </w:rPr>
        <w:t xml:space="preserve">And that is why this NPRM proposes to ensure that the rights and responsibilities of an MVPD </w:t>
      </w:r>
      <w:r w:rsidR="00D02D1E" w:rsidRPr="00EA2EF6">
        <w:rPr>
          <w:color w:val="000000" w:themeColor="text1"/>
        </w:rPr>
        <w:t xml:space="preserve">are </w:t>
      </w:r>
      <w:r w:rsidRPr="00EA2EF6">
        <w:rPr>
          <w:color w:val="000000" w:themeColor="text1"/>
        </w:rPr>
        <w:t xml:space="preserve">not jeopardized by </w:t>
      </w:r>
      <w:r w:rsidR="00941314" w:rsidRPr="00EA2EF6">
        <w:rPr>
          <w:color w:val="000000" w:themeColor="text1"/>
        </w:rPr>
        <w:t>changes in technology</w:t>
      </w:r>
      <w:r w:rsidR="000E1309" w:rsidRPr="00EA2EF6">
        <w:rPr>
          <w:color w:val="000000" w:themeColor="text1"/>
        </w:rPr>
        <w:t>.</w:t>
      </w:r>
      <w:r w:rsidR="008D3D70" w:rsidRPr="00EA2EF6">
        <w:rPr>
          <w:color w:val="000000" w:themeColor="text1"/>
        </w:rPr>
        <w:t xml:space="preserve"> </w:t>
      </w:r>
      <w:r w:rsidR="0049537F" w:rsidRPr="00EA2EF6">
        <w:rPr>
          <w:color w:val="000000" w:themeColor="text1"/>
        </w:rPr>
        <w:t xml:space="preserve"> </w:t>
      </w:r>
      <w:r w:rsidR="0093723C" w:rsidRPr="00EA2EF6">
        <w:rPr>
          <w:color w:val="000000" w:themeColor="text1"/>
        </w:rPr>
        <w:t xml:space="preserve">This IP transition will enable cable operators to untether their video offerings from their current infrastructure, </w:t>
      </w:r>
      <w:r w:rsidR="00BA3DC5" w:rsidRPr="00EA2EF6">
        <w:rPr>
          <w:color w:val="000000" w:themeColor="text1"/>
        </w:rPr>
        <w:t xml:space="preserve">and </w:t>
      </w:r>
      <w:r w:rsidR="002C41F1" w:rsidRPr="00EA2EF6">
        <w:rPr>
          <w:color w:val="000000" w:themeColor="text1"/>
        </w:rPr>
        <w:t>could encourage them</w:t>
      </w:r>
      <w:r w:rsidR="0093723C" w:rsidRPr="00EA2EF6">
        <w:rPr>
          <w:color w:val="000000" w:themeColor="text1"/>
        </w:rPr>
        <w:t xml:space="preserve"> </w:t>
      </w:r>
      <w:r w:rsidR="00BA3DC5" w:rsidRPr="00EA2EF6">
        <w:rPr>
          <w:color w:val="000000" w:themeColor="text1"/>
        </w:rPr>
        <w:t xml:space="preserve">to </w:t>
      </w:r>
      <w:r w:rsidR="0093723C" w:rsidRPr="00EA2EF6">
        <w:rPr>
          <w:color w:val="000000" w:themeColor="text1"/>
        </w:rPr>
        <w:t>migrat</w:t>
      </w:r>
      <w:r w:rsidR="00BA3DC5" w:rsidRPr="00EA2EF6">
        <w:rPr>
          <w:color w:val="000000" w:themeColor="text1"/>
        </w:rPr>
        <w:t>e</w:t>
      </w:r>
      <w:r w:rsidR="0093723C" w:rsidRPr="00EA2EF6">
        <w:rPr>
          <w:color w:val="000000" w:themeColor="text1"/>
        </w:rPr>
        <w:t xml:space="preserve"> </w:t>
      </w:r>
      <w:r w:rsidR="00D12BD5" w:rsidRPr="00EA2EF6">
        <w:rPr>
          <w:color w:val="000000" w:themeColor="text1"/>
        </w:rPr>
        <w:t xml:space="preserve">their </w:t>
      </w:r>
      <w:r w:rsidR="0093723C" w:rsidRPr="00EA2EF6">
        <w:rPr>
          <w:color w:val="000000" w:themeColor="text1"/>
        </w:rPr>
        <w:t>traditional services to Internet delivery.  With these changes on the horizon</w:t>
      </w:r>
      <w:r w:rsidR="0049537F" w:rsidRPr="00EA2EF6">
        <w:rPr>
          <w:color w:val="000000" w:themeColor="text1"/>
        </w:rPr>
        <w:t xml:space="preserve">, </w:t>
      </w:r>
      <w:r w:rsidR="0078626C" w:rsidRPr="00EA2EF6">
        <w:rPr>
          <w:color w:val="000000" w:themeColor="text1"/>
        </w:rPr>
        <w:t xml:space="preserve">it becomes important to </w:t>
      </w:r>
      <w:r w:rsidR="002C41F1" w:rsidRPr="00EA2EF6">
        <w:rPr>
          <w:color w:val="000000" w:themeColor="text1"/>
        </w:rPr>
        <w:t>interpret the</w:t>
      </w:r>
      <w:r w:rsidR="0078626C" w:rsidRPr="00EA2EF6">
        <w:rPr>
          <w:color w:val="000000" w:themeColor="text1"/>
        </w:rPr>
        <w:t xml:space="preserve"> statutory definition of MVPD to ensure </w:t>
      </w:r>
      <w:r w:rsidR="002C41F1" w:rsidRPr="00EA2EF6">
        <w:rPr>
          <w:color w:val="000000" w:themeColor="text1"/>
        </w:rPr>
        <w:t xml:space="preserve">that our rules apply </w:t>
      </w:r>
      <w:r w:rsidR="007D7727" w:rsidRPr="00EA2EF6">
        <w:rPr>
          <w:color w:val="000000" w:themeColor="text1"/>
        </w:rPr>
        <w:t xml:space="preserve">sensibly and in a way that encourages innovation </w:t>
      </w:r>
      <w:r w:rsidR="002C41F1" w:rsidRPr="00EA2EF6">
        <w:rPr>
          <w:color w:val="000000" w:themeColor="text1"/>
        </w:rPr>
        <w:t xml:space="preserve">regardless of how service is delivered and </w:t>
      </w:r>
      <w:r w:rsidR="0078626C" w:rsidRPr="00EA2EF6">
        <w:rPr>
          <w:color w:val="000000" w:themeColor="text1"/>
        </w:rPr>
        <w:t xml:space="preserve">that the pro-consumer values embodied in MVPD regulation will continue to be served.  </w:t>
      </w:r>
      <w:r w:rsidR="00263DD9" w:rsidRPr="00EA2EF6">
        <w:rPr>
          <w:color w:val="000000" w:themeColor="text1"/>
        </w:rPr>
        <w:t xml:space="preserve">In </w:t>
      </w:r>
      <w:r w:rsidR="00814BFA" w:rsidRPr="00EA2EF6">
        <w:rPr>
          <w:color w:val="000000" w:themeColor="text1"/>
        </w:rPr>
        <w:t xml:space="preserve">so doing, we take note of </w:t>
      </w:r>
      <w:r w:rsidR="00263DD9" w:rsidRPr="00EA2EF6">
        <w:rPr>
          <w:color w:val="000000" w:themeColor="text1"/>
        </w:rPr>
        <w:t xml:space="preserve">the regulatory requirements that cable operators must adhere to as they </w:t>
      </w:r>
      <w:r w:rsidR="005917ED" w:rsidRPr="00EA2EF6">
        <w:rPr>
          <w:color w:val="000000" w:themeColor="text1"/>
        </w:rPr>
        <w:t xml:space="preserve">use </w:t>
      </w:r>
      <w:r w:rsidR="00263DD9" w:rsidRPr="00EA2EF6">
        <w:rPr>
          <w:color w:val="000000" w:themeColor="text1"/>
        </w:rPr>
        <w:t>new technology</w:t>
      </w:r>
      <w:r w:rsidR="005917ED" w:rsidRPr="00EA2EF6">
        <w:rPr>
          <w:color w:val="000000" w:themeColor="text1"/>
        </w:rPr>
        <w:t xml:space="preserve"> to offer services</w:t>
      </w:r>
      <w:r w:rsidR="009462D7" w:rsidRPr="00EA2EF6">
        <w:rPr>
          <w:color w:val="000000" w:themeColor="text1"/>
        </w:rPr>
        <w:t>,</w:t>
      </w:r>
      <w:r w:rsidR="00DB3FEC" w:rsidRPr="00EA2EF6">
        <w:rPr>
          <w:color w:val="000000" w:themeColor="text1"/>
        </w:rPr>
        <w:t xml:space="preserve"> and </w:t>
      </w:r>
      <w:r w:rsidR="009462D7" w:rsidRPr="00EA2EF6">
        <w:rPr>
          <w:color w:val="000000" w:themeColor="text1"/>
        </w:rPr>
        <w:t xml:space="preserve">we </w:t>
      </w:r>
      <w:r w:rsidR="00DB3FEC" w:rsidRPr="00EA2EF6">
        <w:rPr>
          <w:color w:val="000000" w:themeColor="text1"/>
        </w:rPr>
        <w:t>invite comment on the regulatory treatment of additional services that cable operators may offer</w:t>
      </w:r>
      <w:r w:rsidR="00263DD9" w:rsidRPr="00EA2EF6">
        <w:rPr>
          <w:color w:val="000000" w:themeColor="text1"/>
        </w:rPr>
        <w:t>.</w:t>
      </w:r>
    </w:p>
    <w:p w:rsidR="002B75CA" w:rsidRPr="00EA2EF6" w:rsidRDefault="0083545B" w:rsidP="005E5F79">
      <w:pPr>
        <w:pStyle w:val="ParaNum"/>
        <w:widowControl/>
        <w:rPr>
          <w:color w:val="000000" w:themeColor="text1"/>
        </w:rPr>
      </w:pPr>
      <w:r w:rsidRPr="00EA2EF6">
        <w:rPr>
          <w:color w:val="000000" w:themeColor="text1"/>
        </w:rPr>
        <w:t xml:space="preserve">Adoption of a technology-neutral </w:t>
      </w:r>
      <w:r w:rsidR="00263DD9" w:rsidRPr="00EA2EF6">
        <w:rPr>
          <w:color w:val="000000" w:themeColor="text1"/>
        </w:rPr>
        <w:t xml:space="preserve">MVPD </w:t>
      </w:r>
      <w:r w:rsidRPr="00EA2EF6">
        <w:rPr>
          <w:color w:val="000000" w:themeColor="text1"/>
        </w:rPr>
        <w:t xml:space="preserve">definition </w:t>
      </w:r>
      <w:r w:rsidR="0078626C" w:rsidRPr="00EA2EF6">
        <w:rPr>
          <w:color w:val="000000" w:themeColor="text1"/>
        </w:rPr>
        <w:t>will</w:t>
      </w:r>
      <w:r w:rsidRPr="00EA2EF6">
        <w:rPr>
          <w:color w:val="000000" w:themeColor="text1"/>
        </w:rPr>
        <w:t xml:space="preserve"> not only preserve current responsibilities, it </w:t>
      </w:r>
      <w:r w:rsidR="0078626C" w:rsidRPr="00EA2EF6">
        <w:rPr>
          <w:color w:val="000000" w:themeColor="text1"/>
        </w:rPr>
        <w:t xml:space="preserve">may create </w:t>
      </w:r>
      <w:r w:rsidRPr="00EA2EF6">
        <w:rPr>
          <w:color w:val="000000" w:themeColor="text1"/>
        </w:rPr>
        <w:t xml:space="preserve">new competitive opportunities that </w:t>
      </w:r>
      <w:r w:rsidR="0078626C" w:rsidRPr="00EA2EF6">
        <w:rPr>
          <w:color w:val="000000" w:themeColor="text1"/>
        </w:rPr>
        <w:t>will</w:t>
      </w:r>
      <w:r w:rsidRPr="00EA2EF6">
        <w:rPr>
          <w:color w:val="000000" w:themeColor="text1"/>
        </w:rPr>
        <w:t xml:space="preserve"> benefit consumers. </w:t>
      </w:r>
      <w:r w:rsidR="00F43A13" w:rsidRPr="00EA2EF6">
        <w:rPr>
          <w:color w:val="000000" w:themeColor="text1"/>
        </w:rPr>
        <w:t>Increasingly, companies</w:t>
      </w:r>
      <w:r w:rsidR="0078626C" w:rsidRPr="00EA2EF6">
        <w:rPr>
          <w:color w:val="000000" w:themeColor="text1"/>
        </w:rPr>
        <w:t xml:space="preserve"> – incumbents and new entrants alike </w:t>
      </w:r>
      <w:r w:rsidR="00EF2DFB" w:rsidRPr="00EA2EF6">
        <w:rPr>
          <w:color w:val="000000" w:themeColor="text1"/>
        </w:rPr>
        <w:t>–</w:t>
      </w:r>
      <w:r w:rsidR="00F43A13" w:rsidRPr="00EA2EF6">
        <w:rPr>
          <w:color w:val="000000" w:themeColor="text1"/>
        </w:rPr>
        <w:t xml:space="preserve"> are interested in using the Internet as the transmission path for packages of video channels.</w:t>
      </w:r>
      <w:r w:rsidR="000C0687" w:rsidRPr="00EA2EF6">
        <w:rPr>
          <w:rStyle w:val="FootnoteReference"/>
          <w:color w:val="000000" w:themeColor="text1"/>
        </w:rPr>
        <w:footnoteReference w:id="6"/>
      </w:r>
      <w:r w:rsidR="00F43A13" w:rsidRPr="00EA2EF6">
        <w:rPr>
          <w:color w:val="000000" w:themeColor="text1"/>
        </w:rPr>
        <w:t xml:space="preserve"> </w:t>
      </w:r>
      <w:r w:rsidR="002C41F1" w:rsidRPr="00EA2EF6">
        <w:rPr>
          <w:color w:val="000000" w:themeColor="text1"/>
        </w:rPr>
        <w:t xml:space="preserve"> </w:t>
      </w:r>
      <w:r w:rsidR="008A2774" w:rsidRPr="00E61E4D">
        <w:rPr>
          <w:color w:val="000000" w:themeColor="text1"/>
        </w:rPr>
        <w:t>In initiating this proceeding, our goal is to bring our rules into synch with the realities of the current marketplace and consumer preference where video is no longer tied to a certain transmission technology</w:t>
      </w:r>
      <w:r w:rsidR="008A2774" w:rsidRPr="00EA2EF6">
        <w:rPr>
          <w:color w:val="000000" w:themeColor="text1"/>
        </w:rPr>
        <w:t>.</w:t>
      </w:r>
      <w:r w:rsidR="008A2774" w:rsidRPr="00EA2EF6">
        <w:rPr>
          <w:rStyle w:val="FootnoteReference"/>
          <w:color w:val="000000" w:themeColor="text1"/>
        </w:rPr>
        <w:footnoteReference w:id="7"/>
      </w:r>
    </w:p>
    <w:p w:rsidR="0083545B" w:rsidRPr="00EA2EF6" w:rsidRDefault="00263DD9" w:rsidP="005E5F79">
      <w:pPr>
        <w:pStyle w:val="ParaNum"/>
        <w:widowControl/>
        <w:rPr>
          <w:color w:val="000000" w:themeColor="text1"/>
        </w:rPr>
      </w:pPr>
      <w:r w:rsidRPr="00EA2EF6">
        <w:rPr>
          <w:color w:val="000000" w:themeColor="text1"/>
        </w:rPr>
        <w:t>Specifying the</w:t>
      </w:r>
      <w:r w:rsidR="00C036A9" w:rsidRPr="00EA2EF6">
        <w:rPr>
          <w:color w:val="000000" w:themeColor="text1"/>
        </w:rPr>
        <w:t xml:space="preserve"> circumstances </w:t>
      </w:r>
      <w:r w:rsidRPr="00EA2EF6">
        <w:rPr>
          <w:color w:val="000000" w:themeColor="text1"/>
        </w:rPr>
        <w:t xml:space="preserve">under which </w:t>
      </w:r>
      <w:r w:rsidR="00C036A9" w:rsidRPr="00EA2EF6">
        <w:rPr>
          <w:color w:val="000000" w:themeColor="text1"/>
        </w:rPr>
        <w:t xml:space="preserve">an </w:t>
      </w:r>
      <w:r w:rsidR="00A25D21" w:rsidRPr="00EA2EF6">
        <w:rPr>
          <w:color w:val="000000" w:themeColor="text1"/>
        </w:rPr>
        <w:t xml:space="preserve">Internet-based </w:t>
      </w:r>
      <w:r w:rsidR="00F43A13" w:rsidRPr="00EA2EF6">
        <w:rPr>
          <w:color w:val="000000" w:themeColor="text1"/>
        </w:rPr>
        <w:t>provider</w:t>
      </w:r>
      <w:r w:rsidR="00C036A9" w:rsidRPr="00EA2EF6">
        <w:rPr>
          <w:color w:val="000000" w:themeColor="text1"/>
        </w:rPr>
        <w:t xml:space="preserve"> may qualify as an MVPD, possessing the rights as well as responsibilities that attend that status, </w:t>
      </w:r>
      <w:r w:rsidR="00F43A13" w:rsidRPr="00EA2EF6">
        <w:rPr>
          <w:color w:val="000000" w:themeColor="text1"/>
        </w:rPr>
        <w:t xml:space="preserve">may incent </w:t>
      </w:r>
      <w:r w:rsidR="00C036A9" w:rsidRPr="00EA2EF6">
        <w:rPr>
          <w:color w:val="000000" w:themeColor="text1"/>
        </w:rPr>
        <w:t>new entry that will increase competition</w:t>
      </w:r>
      <w:r w:rsidR="00F43A13" w:rsidRPr="00EA2EF6">
        <w:rPr>
          <w:color w:val="000000" w:themeColor="text1"/>
        </w:rPr>
        <w:t xml:space="preserve"> in video markets</w:t>
      </w:r>
      <w:r w:rsidR="00C036A9" w:rsidRPr="00EA2EF6">
        <w:rPr>
          <w:color w:val="000000" w:themeColor="text1"/>
        </w:rPr>
        <w:t xml:space="preserve">.  </w:t>
      </w:r>
      <w:r w:rsidR="000C5B54" w:rsidRPr="00EA2EF6">
        <w:rPr>
          <w:color w:val="000000" w:themeColor="text1"/>
        </w:rPr>
        <w:t xml:space="preserve">In particular, extending program access protections to </w:t>
      </w:r>
      <w:r w:rsidR="00A25D21" w:rsidRPr="00EA2EF6">
        <w:rPr>
          <w:color w:val="000000" w:themeColor="text1"/>
        </w:rPr>
        <w:t>Internet-based</w:t>
      </w:r>
      <w:r w:rsidR="000C5B54" w:rsidRPr="00EA2EF6">
        <w:rPr>
          <w:color w:val="000000" w:themeColor="text1"/>
        </w:rPr>
        <w:t xml:space="preserve"> providers would allow them to “access[] critical programming needed to attract and retain subscribers.”</w:t>
      </w:r>
      <w:r w:rsidR="000C5B54" w:rsidRPr="00EA2EF6">
        <w:rPr>
          <w:rStyle w:val="FootnoteReference"/>
          <w:color w:val="000000" w:themeColor="text1"/>
        </w:rPr>
        <w:footnoteReference w:id="8"/>
      </w:r>
      <w:r w:rsidR="000C5B54" w:rsidRPr="00EA2EF6">
        <w:rPr>
          <w:color w:val="000000" w:themeColor="text1"/>
        </w:rPr>
        <w:t xml:space="preserve">  And extending retransmission consent protections and obligations to </w:t>
      </w:r>
      <w:r w:rsidR="00A25D21" w:rsidRPr="00EA2EF6">
        <w:rPr>
          <w:color w:val="000000" w:themeColor="text1"/>
        </w:rPr>
        <w:t>those</w:t>
      </w:r>
      <w:r w:rsidR="000C5B54" w:rsidRPr="00EA2EF6">
        <w:rPr>
          <w:color w:val="000000" w:themeColor="text1"/>
        </w:rPr>
        <w:t xml:space="preserve"> providers </w:t>
      </w:r>
      <w:r w:rsidR="00A25D21" w:rsidRPr="00EA2EF6">
        <w:rPr>
          <w:color w:val="000000" w:themeColor="text1"/>
        </w:rPr>
        <w:t xml:space="preserve">would </w:t>
      </w:r>
      <w:r w:rsidR="007F6F4B" w:rsidRPr="00EA2EF6">
        <w:rPr>
          <w:color w:val="000000" w:themeColor="text1"/>
        </w:rPr>
        <w:t>allow them to enter the market “for the disposition of the rights to retransmit broadcast signals.”</w:t>
      </w:r>
      <w:r w:rsidR="007F6F4B" w:rsidRPr="00EA2EF6">
        <w:rPr>
          <w:rStyle w:val="FootnoteReference"/>
          <w:color w:val="000000" w:themeColor="text1"/>
        </w:rPr>
        <w:footnoteReference w:id="9"/>
      </w:r>
      <w:r w:rsidR="007F6F4B" w:rsidRPr="00EA2EF6">
        <w:rPr>
          <w:color w:val="000000" w:themeColor="text1"/>
        </w:rPr>
        <w:t xml:space="preserve">  </w:t>
      </w:r>
      <w:r w:rsidR="008C55B8" w:rsidRPr="00EA2EF6">
        <w:rPr>
          <w:color w:val="000000" w:themeColor="text1"/>
        </w:rPr>
        <w:t>B</w:t>
      </w:r>
      <w:r w:rsidR="007F6F4B" w:rsidRPr="00EA2EF6">
        <w:rPr>
          <w:color w:val="000000" w:themeColor="text1"/>
        </w:rPr>
        <w:t xml:space="preserve">roadcast and cable-affiliated </w:t>
      </w:r>
      <w:r w:rsidR="008C55B8" w:rsidRPr="00EA2EF6">
        <w:rPr>
          <w:color w:val="000000" w:themeColor="text1"/>
        </w:rPr>
        <w:t>programming</w:t>
      </w:r>
      <w:r w:rsidR="007F6F4B" w:rsidRPr="00EA2EF6">
        <w:rPr>
          <w:color w:val="000000" w:themeColor="text1"/>
        </w:rPr>
        <w:t xml:space="preserve"> </w:t>
      </w:r>
      <w:r w:rsidR="008C55B8" w:rsidRPr="00EA2EF6">
        <w:rPr>
          <w:color w:val="000000" w:themeColor="text1"/>
        </w:rPr>
        <w:t>c</w:t>
      </w:r>
      <w:r w:rsidR="007F6F4B" w:rsidRPr="00EA2EF6">
        <w:rPr>
          <w:color w:val="000000" w:themeColor="text1"/>
        </w:rPr>
        <w:t xml:space="preserve">ould make </w:t>
      </w:r>
      <w:r w:rsidR="00A25D21" w:rsidRPr="00EA2EF6">
        <w:rPr>
          <w:color w:val="000000" w:themeColor="text1"/>
        </w:rPr>
        <w:t>Internet-based</w:t>
      </w:r>
      <w:r w:rsidR="008C55B8" w:rsidRPr="00EA2EF6">
        <w:rPr>
          <w:color w:val="000000" w:themeColor="text1"/>
        </w:rPr>
        <w:t xml:space="preserve"> </w:t>
      </w:r>
      <w:r w:rsidR="007F6F4B" w:rsidRPr="00EA2EF6">
        <w:rPr>
          <w:color w:val="000000" w:themeColor="text1"/>
        </w:rPr>
        <w:t>service</w:t>
      </w:r>
      <w:r w:rsidR="008C55B8" w:rsidRPr="00EA2EF6">
        <w:rPr>
          <w:color w:val="000000" w:themeColor="text1"/>
        </w:rPr>
        <w:t>s</w:t>
      </w:r>
      <w:r w:rsidR="007F6F4B" w:rsidRPr="00EA2EF6">
        <w:rPr>
          <w:color w:val="000000" w:themeColor="text1"/>
        </w:rPr>
        <w:t xml:space="preserve"> attractive to </w:t>
      </w:r>
      <w:r w:rsidR="008C55B8" w:rsidRPr="00EA2EF6">
        <w:rPr>
          <w:color w:val="000000" w:themeColor="text1"/>
        </w:rPr>
        <w:t xml:space="preserve">customers, who would access the services via broadband.  </w:t>
      </w:r>
      <w:r w:rsidR="00C036A9" w:rsidRPr="00EA2EF6">
        <w:rPr>
          <w:color w:val="000000" w:themeColor="text1"/>
        </w:rPr>
        <w:t xml:space="preserve">The resulting increased demand for broadband may in turn </w:t>
      </w:r>
      <w:r w:rsidR="00F43A13" w:rsidRPr="00EA2EF6">
        <w:rPr>
          <w:color w:val="000000" w:themeColor="text1"/>
        </w:rPr>
        <w:t xml:space="preserve">provide a boost to the deployment of high-speed broadband networks. </w:t>
      </w:r>
    </w:p>
    <w:p w:rsidR="001E5D92" w:rsidRPr="00EA2EF6" w:rsidRDefault="002F1748" w:rsidP="005E5F79">
      <w:pPr>
        <w:pStyle w:val="ParaNum"/>
        <w:widowControl/>
        <w:rPr>
          <w:color w:val="000000" w:themeColor="text1"/>
        </w:rPr>
      </w:pPr>
      <w:r w:rsidRPr="00EA2EF6">
        <w:rPr>
          <w:color w:val="000000" w:themeColor="text1"/>
        </w:rPr>
        <w:t>I</w:t>
      </w:r>
      <w:r w:rsidR="007C5C47" w:rsidRPr="00EA2EF6">
        <w:rPr>
          <w:color w:val="000000" w:themeColor="text1"/>
        </w:rPr>
        <w:t xml:space="preserve">n </w:t>
      </w:r>
      <w:r w:rsidR="00B661C3" w:rsidRPr="00EA2EF6">
        <w:rPr>
          <w:color w:val="000000" w:themeColor="text1"/>
        </w:rPr>
        <w:t xml:space="preserve">this </w:t>
      </w:r>
      <w:r w:rsidR="00B661C3" w:rsidRPr="00EA2EF6">
        <w:rPr>
          <w:i/>
          <w:color w:val="000000" w:themeColor="text1"/>
        </w:rPr>
        <w:t>N</w:t>
      </w:r>
      <w:r w:rsidR="007027B0" w:rsidRPr="00EA2EF6">
        <w:rPr>
          <w:i/>
          <w:color w:val="000000" w:themeColor="text1"/>
        </w:rPr>
        <w:t>PRM</w:t>
      </w:r>
      <w:r w:rsidR="00B661C3" w:rsidRPr="00EA2EF6">
        <w:rPr>
          <w:color w:val="000000" w:themeColor="text1"/>
        </w:rPr>
        <w:t>, we</w:t>
      </w:r>
      <w:r w:rsidR="00E02713" w:rsidRPr="00EA2EF6">
        <w:rPr>
          <w:color w:val="000000" w:themeColor="text1"/>
        </w:rPr>
        <w:t xml:space="preserve"> seek comment on possible interpretations of the term MVPD </w:t>
      </w:r>
      <w:r w:rsidR="008139FE" w:rsidRPr="00EA2EF6">
        <w:rPr>
          <w:color w:val="000000" w:themeColor="text1"/>
        </w:rPr>
        <w:t xml:space="preserve">as used in the Communications Act of 1934, as amended (the “Act”) </w:t>
      </w:r>
      <w:r w:rsidR="00E02713" w:rsidRPr="00EA2EF6">
        <w:rPr>
          <w:color w:val="000000" w:themeColor="text1"/>
        </w:rPr>
        <w:t xml:space="preserve">and seek comment on how </w:t>
      </w:r>
      <w:r w:rsidR="00CB1B2F" w:rsidRPr="00EA2EF6">
        <w:rPr>
          <w:color w:val="000000" w:themeColor="text1"/>
        </w:rPr>
        <w:t>each of those</w:t>
      </w:r>
      <w:r w:rsidR="00E02713" w:rsidRPr="00EA2EF6">
        <w:rPr>
          <w:color w:val="000000" w:themeColor="text1"/>
        </w:rPr>
        <w:t xml:space="preserve"> interpretation</w:t>
      </w:r>
      <w:r w:rsidR="00CB1B2F" w:rsidRPr="00EA2EF6">
        <w:rPr>
          <w:color w:val="000000" w:themeColor="text1"/>
        </w:rPr>
        <w:t>s</w:t>
      </w:r>
      <w:r w:rsidR="00E02713" w:rsidRPr="00EA2EF6">
        <w:rPr>
          <w:color w:val="000000" w:themeColor="text1"/>
        </w:rPr>
        <w:t xml:space="preserve"> would affect the industry and consumers.  In Section III.A, we seek comment on two possible interpretations:</w:t>
      </w:r>
      <w:r w:rsidR="009E2953" w:rsidRPr="00EA2EF6">
        <w:rPr>
          <w:color w:val="000000" w:themeColor="text1"/>
        </w:rPr>
        <w:t xml:space="preserve"> </w:t>
      </w:r>
    </w:p>
    <w:p w:rsidR="009558E5" w:rsidRPr="00EA2EF6" w:rsidRDefault="00E02713" w:rsidP="005E5F79">
      <w:pPr>
        <w:pStyle w:val="ParaNum"/>
        <w:widowControl/>
        <w:numPr>
          <w:ilvl w:val="0"/>
          <w:numId w:val="29"/>
        </w:numPr>
        <w:rPr>
          <w:color w:val="000000" w:themeColor="text1"/>
        </w:rPr>
      </w:pPr>
      <w:r w:rsidRPr="00EA2EF6">
        <w:rPr>
          <w:color w:val="000000" w:themeColor="text1"/>
        </w:rPr>
        <w:t>We propose to interpret</w:t>
      </w:r>
      <w:r w:rsidR="009F1915" w:rsidRPr="00EA2EF6">
        <w:rPr>
          <w:color w:val="000000" w:themeColor="text1"/>
        </w:rPr>
        <w:t xml:space="preserve"> the term MVPD to </w:t>
      </w:r>
      <w:r w:rsidR="000522FB" w:rsidRPr="00EA2EF6">
        <w:rPr>
          <w:color w:val="000000" w:themeColor="text1"/>
        </w:rPr>
        <w:t xml:space="preserve">mean </w:t>
      </w:r>
      <w:r w:rsidR="009F1915" w:rsidRPr="00EA2EF6">
        <w:rPr>
          <w:color w:val="000000" w:themeColor="text1"/>
        </w:rPr>
        <w:t xml:space="preserve">distributors of </w:t>
      </w:r>
      <w:r w:rsidR="000522FB" w:rsidRPr="00EA2EF6">
        <w:rPr>
          <w:color w:val="000000" w:themeColor="text1"/>
        </w:rPr>
        <w:t xml:space="preserve">multiple </w:t>
      </w:r>
      <w:r w:rsidR="009F1915" w:rsidRPr="00EA2EF6">
        <w:rPr>
          <w:color w:val="000000" w:themeColor="text1"/>
        </w:rPr>
        <w:t xml:space="preserve">linear video </w:t>
      </w:r>
      <w:r w:rsidR="009F1915" w:rsidRPr="00EA2EF6">
        <w:rPr>
          <w:color w:val="000000" w:themeColor="text1"/>
          <w:szCs w:val="22"/>
        </w:rPr>
        <w:t>programming</w:t>
      </w:r>
      <w:r w:rsidR="000522FB" w:rsidRPr="00EA2EF6">
        <w:rPr>
          <w:color w:val="000000" w:themeColor="text1"/>
          <w:szCs w:val="22"/>
        </w:rPr>
        <w:t xml:space="preserve"> streams, including Internet-based services</w:t>
      </w:r>
      <w:r w:rsidRPr="00EA2EF6">
        <w:rPr>
          <w:color w:val="000000" w:themeColor="text1"/>
          <w:szCs w:val="22"/>
        </w:rPr>
        <w:t>.</w:t>
      </w:r>
    </w:p>
    <w:p w:rsidR="00F26E53" w:rsidRPr="00EA2EF6" w:rsidRDefault="00F26E53" w:rsidP="005E5F79">
      <w:pPr>
        <w:pStyle w:val="ParaNum"/>
        <w:widowControl/>
        <w:numPr>
          <w:ilvl w:val="1"/>
          <w:numId w:val="29"/>
        </w:numPr>
        <w:rPr>
          <w:color w:val="000000" w:themeColor="text1"/>
        </w:rPr>
      </w:pPr>
      <w:r w:rsidRPr="00EA2EF6">
        <w:rPr>
          <w:color w:val="000000" w:themeColor="text1"/>
          <w:szCs w:val="22"/>
        </w:rPr>
        <w:t xml:space="preserve">We tentatively conclude that this interpretation is </w:t>
      </w:r>
      <w:r w:rsidR="00E560BC" w:rsidRPr="00EA2EF6">
        <w:rPr>
          <w:color w:val="000000" w:themeColor="text1"/>
          <w:szCs w:val="22"/>
        </w:rPr>
        <w:t>a reasonable interpretation of</w:t>
      </w:r>
      <w:r w:rsidRPr="00EA2EF6">
        <w:rPr>
          <w:color w:val="000000" w:themeColor="text1"/>
          <w:szCs w:val="22"/>
        </w:rPr>
        <w:t xml:space="preserve"> the </w:t>
      </w:r>
      <w:r w:rsidRPr="00EA2EF6">
        <w:rPr>
          <w:color w:val="000000" w:themeColor="text1"/>
        </w:rPr>
        <w:t>Act</w:t>
      </w:r>
      <w:r w:rsidR="008139FE" w:rsidRPr="00EA2EF6">
        <w:rPr>
          <w:color w:val="000000" w:themeColor="text1"/>
        </w:rPr>
        <w:t>,</w:t>
      </w:r>
      <w:r w:rsidRPr="00EA2EF6">
        <w:rPr>
          <w:color w:val="000000" w:themeColor="text1"/>
        </w:rPr>
        <w:t xml:space="preserve"> </w:t>
      </w:r>
      <w:r w:rsidR="00E560BC" w:rsidRPr="00EA2EF6">
        <w:rPr>
          <w:color w:val="000000" w:themeColor="text1"/>
        </w:rPr>
        <w:t xml:space="preserve">and is most consistent with </w:t>
      </w:r>
      <w:r w:rsidRPr="00EA2EF6">
        <w:rPr>
          <w:color w:val="000000" w:themeColor="text1"/>
        </w:rPr>
        <w:t xml:space="preserve">consumer expectations and </w:t>
      </w:r>
      <w:r w:rsidR="008139FE" w:rsidRPr="00EA2EF6">
        <w:rPr>
          <w:color w:val="000000" w:themeColor="text1"/>
        </w:rPr>
        <w:t xml:space="preserve">conditions in the </w:t>
      </w:r>
      <w:r w:rsidRPr="00EA2EF6">
        <w:rPr>
          <w:color w:val="000000" w:themeColor="text1"/>
        </w:rPr>
        <w:t>industry.</w:t>
      </w:r>
    </w:p>
    <w:p w:rsidR="009558E5" w:rsidRPr="00EA2EF6" w:rsidRDefault="00E02713" w:rsidP="005E5F79">
      <w:pPr>
        <w:pStyle w:val="ParaNum"/>
        <w:widowControl/>
        <w:numPr>
          <w:ilvl w:val="0"/>
          <w:numId w:val="29"/>
        </w:numPr>
        <w:rPr>
          <w:color w:val="000000" w:themeColor="text1"/>
        </w:rPr>
      </w:pPr>
      <w:r w:rsidRPr="00EA2EF6">
        <w:rPr>
          <w:color w:val="000000" w:themeColor="text1"/>
        </w:rPr>
        <w:t xml:space="preserve">We also seek </w:t>
      </w:r>
      <w:r w:rsidR="009558E5" w:rsidRPr="00EA2EF6">
        <w:rPr>
          <w:color w:val="000000" w:themeColor="text1"/>
        </w:rPr>
        <w:t xml:space="preserve">comment on </w:t>
      </w:r>
      <w:r w:rsidR="009F1915" w:rsidRPr="00EA2EF6">
        <w:rPr>
          <w:color w:val="000000" w:themeColor="text1"/>
        </w:rPr>
        <w:t>an alternative interpretation that would require</w:t>
      </w:r>
      <w:r w:rsidR="00995B2B" w:rsidRPr="00EA2EF6">
        <w:rPr>
          <w:color w:val="000000" w:themeColor="text1"/>
        </w:rPr>
        <w:t xml:space="preserve"> a programming distributor</w:t>
      </w:r>
      <w:r w:rsidR="009F1915" w:rsidRPr="00EA2EF6">
        <w:rPr>
          <w:color w:val="000000" w:themeColor="text1"/>
        </w:rPr>
        <w:t xml:space="preserve"> to have control over a transmission path</w:t>
      </w:r>
      <w:r w:rsidR="00995B2B" w:rsidRPr="00EA2EF6">
        <w:rPr>
          <w:color w:val="000000" w:themeColor="text1"/>
        </w:rPr>
        <w:t xml:space="preserve"> to qualify as an MVPD</w:t>
      </w:r>
      <w:r w:rsidRPr="00EA2EF6">
        <w:rPr>
          <w:color w:val="000000" w:themeColor="text1"/>
        </w:rPr>
        <w:t>.</w:t>
      </w:r>
    </w:p>
    <w:p w:rsidR="00F26E53" w:rsidRPr="00EA2EF6" w:rsidRDefault="00F26E53" w:rsidP="005E5F79">
      <w:pPr>
        <w:pStyle w:val="ParaNum"/>
        <w:widowControl/>
        <w:numPr>
          <w:ilvl w:val="1"/>
          <w:numId w:val="29"/>
        </w:numPr>
        <w:rPr>
          <w:color w:val="000000" w:themeColor="text1"/>
        </w:rPr>
      </w:pPr>
      <w:r w:rsidRPr="00EA2EF6">
        <w:rPr>
          <w:color w:val="000000" w:themeColor="text1"/>
        </w:rPr>
        <w:t xml:space="preserve">We </w:t>
      </w:r>
      <w:r w:rsidR="008139FE" w:rsidRPr="00EA2EF6">
        <w:rPr>
          <w:color w:val="000000" w:themeColor="text1"/>
        </w:rPr>
        <w:t>invite</w:t>
      </w:r>
      <w:r w:rsidRPr="00EA2EF6">
        <w:rPr>
          <w:color w:val="000000" w:themeColor="text1"/>
        </w:rPr>
        <w:t xml:space="preserve"> comment on whether this interpretation is consistent with</w:t>
      </w:r>
      <w:r w:rsidR="007A674A" w:rsidRPr="00EA2EF6">
        <w:rPr>
          <w:color w:val="000000" w:themeColor="text1"/>
        </w:rPr>
        <w:t xml:space="preserve"> the Act and</w:t>
      </w:r>
      <w:r w:rsidRPr="00EA2EF6">
        <w:rPr>
          <w:color w:val="000000" w:themeColor="text1"/>
        </w:rPr>
        <w:t xml:space="preserve"> Congressional intent and how this interpretation would apply as companies begin to offer subscription linear video services over the Internet.</w:t>
      </w:r>
    </w:p>
    <w:p w:rsidR="00E02713" w:rsidRPr="00EA2EF6" w:rsidRDefault="00CB1B2F" w:rsidP="005E5F79">
      <w:pPr>
        <w:pStyle w:val="ParaNum"/>
        <w:widowControl/>
        <w:rPr>
          <w:color w:val="000000" w:themeColor="text1"/>
        </w:rPr>
      </w:pPr>
      <w:r w:rsidRPr="00EA2EF6">
        <w:rPr>
          <w:color w:val="000000" w:themeColor="text1"/>
        </w:rPr>
        <w:t>In Section III.B, we</w:t>
      </w:r>
      <w:r w:rsidR="00E02713" w:rsidRPr="00EA2EF6">
        <w:rPr>
          <w:color w:val="000000" w:themeColor="text1"/>
        </w:rPr>
        <w:t xml:space="preserve"> seek comment on the </w:t>
      </w:r>
      <w:r w:rsidRPr="00EA2EF6">
        <w:rPr>
          <w:color w:val="000000" w:themeColor="text1"/>
        </w:rPr>
        <w:t xml:space="preserve">effects </w:t>
      </w:r>
      <w:r w:rsidR="00E02713" w:rsidRPr="00EA2EF6">
        <w:rPr>
          <w:color w:val="000000" w:themeColor="text1"/>
        </w:rPr>
        <w:t xml:space="preserve">that </w:t>
      </w:r>
      <w:r w:rsidR="008139FE" w:rsidRPr="00EA2EF6">
        <w:rPr>
          <w:color w:val="000000" w:themeColor="text1"/>
        </w:rPr>
        <w:t>either</w:t>
      </w:r>
      <w:r w:rsidR="00E02713" w:rsidRPr="00EA2EF6">
        <w:rPr>
          <w:color w:val="000000" w:themeColor="text1"/>
        </w:rPr>
        <w:t xml:space="preserve"> interpretation would </w:t>
      </w:r>
      <w:r w:rsidRPr="00EA2EF6">
        <w:rPr>
          <w:color w:val="000000" w:themeColor="text1"/>
        </w:rPr>
        <w:t>have on entities that are classified as MVPDs, consumers, and content owners.</w:t>
      </w:r>
    </w:p>
    <w:p w:rsidR="00CB1B2F" w:rsidRPr="00EA2EF6" w:rsidRDefault="00CB1B2F" w:rsidP="005E5F79">
      <w:pPr>
        <w:pStyle w:val="ParaNum"/>
        <w:widowControl/>
        <w:numPr>
          <w:ilvl w:val="0"/>
          <w:numId w:val="29"/>
        </w:numPr>
        <w:rPr>
          <w:color w:val="000000" w:themeColor="text1"/>
        </w:rPr>
      </w:pPr>
      <w:r w:rsidRPr="00EA2EF6">
        <w:rPr>
          <w:color w:val="000000" w:themeColor="text1"/>
        </w:rPr>
        <w:t xml:space="preserve">We seek </w:t>
      </w:r>
      <w:r w:rsidR="005B0D81" w:rsidRPr="00EA2EF6">
        <w:rPr>
          <w:color w:val="000000" w:themeColor="text1"/>
        </w:rPr>
        <w:t xml:space="preserve">comment on how </w:t>
      </w:r>
      <w:r w:rsidRPr="00EA2EF6">
        <w:rPr>
          <w:color w:val="000000" w:themeColor="text1"/>
        </w:rPr>
        <w:t>each interpretation would benefit and burden entities that would be subject to our rules.</w:t>
      </w:r>
    </w:p>
    <w:p w:rsidR="00F26E53" w:rsidRPr="00EA2EF6" w:rsidRDefault="00CB1B2F" w:rsidP="005E5F79">
      <w:pPr>
        <w:pStyle w:val="ParaNum"/>
        <w:widowControl/>
        <w:numPr>
          <w:ilvl w:val="1"/>
          <w:numId w:val="29"/>
        </w:numPr>
        <w:rPr>
          <w:color w:val="000000" w:themeColor="text1"/>
        </w:rPr>
      </w:pPr>
      <w:r w:rsidRPr="00EA2EF6">
        <w:rPr>
          <w:color w:val="000000" w:themeColor="text1"/>
        </w:rPr>
        <w:t>We also ask whether we should consider exemption or waiver of certain regulations, if allowed under the statute.</w:t>
      </w:r>
    </w:p>
    <w:p w:rsidR="005D027E" w:rsidRPr="00EA2EF6" w:rsidRDefault="00F27ED8" w:rsidP="005E5F79">
      <w:pPr>
        <w:pStyle w:val="ParaNum"/>
        <w:widowControl/>
        <w:numPr>
          <w:ilvl w:val="1"/>
          <w:numId w:val="29"/>
        </w:numPr>
        <w:rPr>
          <w:color w:val="000000" w:themeColor="text1"/>
        </w:rPr>
      </w:pPr>
      <w:r w:rsidRPr="00EA2EF6">
        <w:rPr>
          <w:color w:val="000000" w:themeColor="text1"/>
        </w:rPr>
        <w:t>We seek comment on whether to modify our</w:t>
      </w:r>
      <w:r w:rsidR="005D027E" w:rsidRPr="00EA2EF6">
        <w:rPr>
          <w:color w:val="000000" w:themeColor="text1"/>
        </w:rPr>
        <w:t xml:space="preserve"> retransmission consent “good faith” negotiation rules with respect to Internet-based MVPDs</w:t>
      </w:r>
      <w:r w:rsidRPr="00EA2EF6">
        <w:rPr>
          <w:color w:val="000000" w:themeColor="text1"/>
        </w:rPr>
        <w:t xml:space="preserve"> to protect local broadcasters</w:t>
      </w:r>
      <w:r w:rsidR="005D027E" w:rsidRPr="00EA2EF6">
        <w:rPr>
          <w:color w:val="000000" w:themeColor="text1"/>
        </w:rPr>
        <w:t>.</w:t>
      </w:r>
    </w:p>
    <w:p w:rsidR="009558E5" w:rsidRPr="00EA2EF6" w:rsidRDefault="008139FE" w:rsidP="005E5F79">
      <w:pPr>
        <w:pStyle w:val="ParaNum"/>
        <w:widowControl/>
        <w:numPr>
          <w:ilvl w:val="0"/>
          <w:numId w:val="29"/>
        </w:numPr>
        <w:rPr>
          <w:color w:val="000000" w:themeColor="text1"/>
        </w:rPr>
      </w:pPr>
      <w:r w:rsidRPr="00EA2EF6">
        <w:rPr>
          <w:color w:val="000000" w:themeColor="text1"/>
        </w:rPr>
        <w:t>We s</w:t>
      </w:r>
      <w:r w:rsidR="009F1915" w:rsidRPr="00EA2EF6">
        <w:rPr>
          <w:color w:val="000000" w:themeColor="text1"/>
        </w:rPr>
        <w:t xml:space="preserve">eek comment on </w:t>
      </w:r>
      <w:r w:rsidR="00E847B8" w:rsidRPr="00EA2EF6">
        <w:rPr>
          <w:color w:val="000000" w:themeColor="text1"/>
        </w:rPr>
        <w:t xml:space="preserve">what impact </w:t>
      </w:r>
      <w:r w:rsidR="009F1915" w:rsidRPr="00EA2EF6">
        <w:rPr>
          <w:color w:val="000000" w:themeColor="text1"/>
        </w:rPr>
        <w:t xml:space="preserve">these interpretations would </w:t>
      </w:r>
      <w:r w:rsidR="00E847B8" w:rsidRPr="00EA2EF6">
        <w:rPr>
          <w:color w:val="000000" w:themeColor="text1"/>
        </w:rPr>
        <w:t>have on content owners</w:t>
      </w:r>
      <w:r w:rsidR="00CB1B2F" w:rsidRPr="00EA2EF6">
        <w:rPr>
          <w:color w:val="000000" w:themeColor="text1"/>
        </w:rPr>
        <w:t>, including broadcasters and cable-affiliated programmers</w:t>
      </w:r>
      <w:r w:rsidR="009F1915" w:rsidRPr="00EA2EF6">
        <w:rPr>
          <w:color w:val="000000" w:themeColor="text1"/>
        </w:rPr>
        <w:t>.</w:t>
      </w:r>
    </w:p>
    <w:p w:rsidR="001E6B9F" w:rsidRPr="00EA2EF6" w:rsidRDefault="008139FE" w:rsidP="005E5F79">
      <w:pPr>
        <w:pStyle w:val="ParaNum"/>
        <w:widowControl/>
        <w:numPr>
          <w:ilvl w:val="0"/>
          <w:numId w:val="29"/>
        </w:numPr>
        <w:rPr>
          <w:color w:val="000000" w:themeColor="text1"/>
        </w:rPr>
      </w:pPr>
      <w:r w:rsidRPr="00EA2EF6">
        <w:rPr>
          <w:color w:val="000000" w:themeColor="text1"/>
        </w:rPr>
        <w:t>F</w:t>
      </w:r>
      <w:r w:rsidR="00CB1B2F" w:rsidRPr="00EA2EF6">
        <w:rPr>
          <w:color w:val="000000" w:themeColor="text1"/>
        </w:rPr>
        <w:t xml:space="preserve">inally, we seek comment on how to ensure that our interpretation </w:t>
      </w:r>
      <w:r w:rsidR="00030BFC" w:rsidRPr="00EA2EF6">
        <w:rPr>
          <w:color w:val="000000" w:themeColor="text1"/>
        </w:rPr>
        <w:t xml:space="preserve">will </w:t>
      </w:r>
      <w:r w:rsidR="00CB1B2F" w:rsidRPr="00EA2EF6">
        <w:rPr>
          <w:color w:val="000000" w:themeColor="text1"/>
        </w:rPr>
        <w:t>promote competition and broadband adoption, consistent with the Act and Commission policy.</w:t>
      </w:r>
    </w:p>
    <w:p w:rsidR="006C07AC" w:rsidRPr="00EA2EF6" w:rsidRDefault="006C07AC" w:rsidP="005E5F79">
      <w:pPr>
        <w:pStyle w:val="ParaNum"/>
        <w:widowControl/>
        <w:rPr>
          <w:color w:val="000000" w:themeColor="text1"/>
        </w:rPr>
      </w:pPr>
      <w:r w:rsidRPr="00EA2EF6">
        <w:rPr>
          <w:color w:val="000000" w:themeColor="text1"/>
        </w:rPr>
        <w:t>In Section III.C, we</w:t>
      </w:r>
      <w:r w:rsidR="00F930D7" w:rsidRPr="00EA2EF6">
        <w:rPr>
          <w:color w:val="000000" w:themeColor="text1"/>
        </w:rPr>
        <w:t xml:space="preserve"> </w:t>
      </w:r>
      <w:r w:rsidR="009462D7" w:rsidRPr="00EA2EF6">
        <w:rPr>
          <w:color w:val="000000" w:themeColor="text1"/>
        </w:rPr>
        <w:t>note</w:t>
      </w:r>
      <w:r w:rsidR="000C0687" w:rsidRPr="00EA2EF6">
        <w:rPr>
          <w:color w:val="000000" w:themeColor="text1"/>
        </w:rPr>
        <w:t xml:space="preserve"> </w:t>
      </w:r>
      <w:r w:rsidR="00F930D7" w:rsidRPr="00EA2EF6">
        <w:rPr>
          <w:color w:val="000000" w:themeColor="text1"/>
        </w:rPr>
        <w:t xml:space="preserve">that the fact that an entity uses IP to deliver cable service does not alter the classification of </w:t>
      </w:r>
      <w:r w:rsidR="00D15315" w:rsidRPr="00EA2EF6">
        <w:rPr>
          <w:color w:val="000000" w:themeColor="text1"/>
        </w:rPr>
        <w:t>its</w:t>
      </w:r>
      <w:r w:rsidR="00B1707D" w:rsidRPr="00EA2EF6">
        <w:rPr>
          <w:color w:val="000000" w:themeColor="text1"/>
        </w:rPr>
        <w:t xml:space="preserve"> facility as a cable system and does not alter the classification of </w:t>
      </w:r>
      <w:r w:rsidR="00D15315" w:rsidRPr="00EA2EF6">
        <w:rPr>
          <w:color w:val="000000" w:themeColor="text1"/>
        </w:rPr>
        <w:t>the</w:t>
      </w:r>
      <w:r w:rsidR="00B1707D" w:rsidRPr="00EA2EF6">
        <w:rPr>
          <w:color w:val="000000" w:themeColor="text1"/>
        </w:rPr>
        <w:t xml:space="preserve"> </w:t>
      </w:r>
      <w:r w:rsidR="00F930D7" w:rsidRPr="00EA2EF6">
        <w:rPr>
          <w:color w:val="000000" w:themeColor="text1"/>
        </w:rPr>
        <w:t xml:space="preserve">entity as a cable operator.  </w:t>
      </w:r>
      <w:r w:rsidR="00D15315" w:rsidRPr="00EA2EF6">
        <w:rPr>
          <w:color w:val="000000" w:themeColor="text1"/>
        </w:rPr>
        <w:t xml:space="preserve">In other words, </w:t>
      </w:r>
      <w:r w:rsidR="00E33B8A" w:rsidRPr="00EA2EF6">
        <w:rPr>
          <w:color w:val="000000" w:themeColor="text1"/>
        </w:rPr>
        <w:t xml:space="preserve">those </w:t>
      </w:r>
      <w:r w:rsidR="00F06656" w:rsidRPr="00EA2EF6">
        <w:rPr>
          <w:color w:val="000000" w:themeColor="text1"/>
        </w:rPr>
        <w:t xml:space="preserve">video programming </w:t>
      </w:r>
      <w:r w:rsidR="00E33B8A" w:rsidRPr="00EA2EF6">
        <w:rPr>
          <w:color w:val="000000" w:themeColor="text1"/>
        </w:rPr>
        <w:t>services provided over the operator’s facilities remain subject to regulation as cable services</w:t>
      </w:r>
      <w:r w:rsidR="00D15315" w:rsidRPr="00EA2EF6">
        <w:rPr>
          <w:color w:val="000000" w:themeColor="text1"/>
        </w:rPr>
        <w:t xml:space="preserve">. </w:t>
      </w:r>
      <w:r w:rsidR="00F930D7" w:rsidRPr="00EA2EF6">
        <w:rPr>
          <w:color w:val="000000" w:themeColor="text1"/>
        </w:rPr>
        <w:t xml:space="preserve">We </w:t>
      </w:r>
      <w:r w:rsidRPr="00EA2EF6">
        <w:rPr>
          <w:color w:val="000000" w:themeColor="text1"/>
        </w:rPr>
        <w:t xml:space="preserve">seek comment on </w:t>
      </w:r>
      <w:r w:rsidR="008F1494" w:rsidRPr="00EA2EF6">
        <w:rPr>
          <w:color w:val="000000" w:themeColor="text1"/>
        </w:rPr>
        <w:t>the</w:t>
      </w:r>
      <w:r w:rsidR="00F930D7" w:rsidRPr="00EA2EF6">
        <w:rPr>
          <w:color w:val="000000" w:themeColor="text1"/>
        </w:rPr>
        <w:t xml:space="preserve"> regulatory</w:t>
      </w:r>
      <w:r w:rsidR="008F1494" w:rsidRPr="00EA2EF6">
        <w:rPr>
          <w:color w:val="000000" w:themeColor="text1"/>
        </w:rPr>
        <w:t xml:space="preserve"> status of </w:t>
      </w:r>
      <w:r w:rsidR="00F930D7" w:rsidRPr="00EA2EF6">
        <w:rPr>
          <w:color w:val="000000" w:themeColor="text1"/>
        </w:rPr>
        <w:t xml:space="preserve">purely </w:t>
      </w:r>
      <w:r w:rsidR="00A25D21" w:rsidRPr="00EA2EF6">
        <w:rPr>
          <w:color w:val="000000" w:themeColor="text1"/>
        </w:rPr>
        <w:t>Internet-based</w:t>
      </w:r>
      <w:r w:rsidR="008F1494" w:rsidRPr="00EA2EF6">
        <w:rPr>
          <w:color w:val="000000" w:themeColor="text1"/>
        </w:rPr>
        <w:t xml:space="preserve"> linear video </w:t>
      </w:r>
      <w:r w:rsidR="00F06656" w:rsidRPr="00EA2EF6">
        <w:rPr>
          <w:color w:val="000000" w:themeColor="text1"/>
        </w:rPr>
        <w:t xml:space="preserve">programming </w:t>
      </w:r>
      <w:r w:rsidR="008F1494" w:rsidRPr="00EA2EF6">
        <w:rPr>
          <w:color w:val="000000" w:themeColor="text1"/>
        </w:rPr>
        <w:t>service</w:t>
      </w:r>
      <w:r w:rsidR="00D12BD5" w:rsidRPr="00EA2EF6">
        <w:rPr>
          <w:color w:val="000000" w:themeColor="text1"/>
        </w:rPr>
        <w:t>s that cable operators</w:t>
      </w:r>
      <w:r w:rsidR="00CE02E9" w:rsidRPr="00EA2EF6">
        <w:rPr>
          <w:color w:val="000000" w:themeColor="text1"/>
        </w:rPr>
        <w:t xml:space="preserve"> and direct broadcast satellite (“DBS”) providers</w:t>
      </w:r>
      <w:r w:rsidR="00D12BD5" w:rsidRPr="00EA2EF6">
        <w:rPr>
          <w:color w:val="000000" w:themeColor="text1"/>
        </w:rPr>
        <w:t xml:space="preserve"> may choose to offer</w:t>
      </w:r>
      <w:r w:rsidR="003E08E4" w:rsidRPr="00EA2EF6">
        <w:rPr>
          <w:color w:val="000000" w:themeColor="text1"/>
        </w:rPr>
        <w:t xml:space="preserve"> in addition to their traditional service</w:t>
      </w:r>
      <w:r w:rsidR="00D12BD5" w:rsidRPr="00EA2EF6">
        <w:rPr>
          <w:color w:val="000000" w:themeColor="text1"/>
        </w:rPr>
        <w:t>s</w:t>
      </w:r>
      <w:r w:rsidRPr="00EA2EF6">
        <w:rPr>
          <w:color w:val="000000" w:themeColor="text1"/>
        </w:rPr>
        <w:t>.</w:t>
      </w:r>
      <w:r w:rsidR="00F06656" w:rsidRPr="00EA2EF6">
        <w:rPr>
          <w:color w:val="000000" w:themeColor="text1"/>
        </w:rPr>
        <w:t xml:space="preserve"> </w:t>
      </w:r>
    </w:p>
    <w:p w:rsidR="00B661C3" w:rsidRPr="00EA2EF6" w:rsidRDefault="00B661C3" w:rsidP="005E5F79">
      <w:pPr>
        <w:pStyle w:val="Heading1"/>
        <w:widowControl/>
        <w:rPr>
          <w:color w:val="000000" w:themeColor="text1"/>
        </w:rPr>
      </w:pPr>
      <w:bookmarkStart w:id="30" w:name="_Toc343098352"/>
      <w:bookmarkStart w:id="31" w:name="_Toc343164319"/>
      <w:bookmarkStart w:id="32" w:name="_Toc343168995"/>
      <w:bookmarkStart w:id="33" w:name="_Toc343875902"/>
      <w:bookmarkStart w:id="34" w:name="_Toc345939750"/>
      <w:bookmarkStart w:id="35" w:name="_Toc345939960"/>
      <w:bookmarkStart w:id="36" w:name="_Toc346121498"/>
      <w:bookmarkStart w:id="37" w:name="_Toc346192520"/>
      <w:bookmarkStart w:id="38" w:name="_Toc346192597"/>
      <w:bookmarkStart w:id="39" w:name="_Toc347490983"/>
      <w:bookmarkStart w:id="40" w:name="_Toc349751884"/>
      <w:bookmarkStart w:id="41" w:name="_Toc395187276"/>
      <w:bookmarkStart w:id="42" w:name="_Toc398540284"/>
      <w:bookmarkStart w:id="43" w:name="_Toc398565506"/>
      <w:bookmarkStart w:id="44" w:name="_Toc398624341"/>
      <w:bookmarkStart w:id="45" w:name="_Toc398746600"/>
      <w:bookmarkStart w:id="46" w:name="_Toc399148304"/>
      <w:bookmarkStart w:id="47" w:name="_Toc399260521"/>
      <w:bookmarkStart w:id="48" w:name="_Toc399316539"/>
      <w:bookmarkStart w:id="49" w:name="_Toc401241697"/>
      <w:bookmarkStart w:id="50" w:name="_Toc401259700"/>
      <w:bookmarkStart w:id="51" w:name="_Toc401312824"/>
      <w:bookmarkStart w:id="52" w:name="_Toc401850531"/>
      <w:bookmarkStart w:id="53" w:name="_Toc402169629"/>
      <w:bookmarkStart w:id="54" w:name="_Toc405301013"/>
      <w:bookmarkStart w:id="55" w:name="_Toc405884717"/>
      <w:bookmarkStart w:id="56" w:name="_Toc406609207"/>
      <w:r w:rsidRPr="00EA2EF6">
        <w:rPr>
          <w:color w:val="000000" w:themeColor="text1"/>
        </w:rPr>
        <w:t>Background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661C3" w:rsidRPr="00EA2EF6" w:rsidRDefault="00B661C3" w:rsidP="005E5F79">
      <w:pPr>
        <w:pStyle w:val="ParaNum"/>
        <w:widowControl/>
        <w:rPr>
          <w:color w:val="000000" w:themeColor="text1"/>
          <w:szCs w:val="22"/>
        </w:rPr>
      </w:pPr>
      <w:r w:rsidRPr="00EA2EF6">
        <w:rPr>
          <w:color w:val="000000" w:themeColor="text1"/>
          <w:szCs w:val="22"/>
        </w:rPr>
        <w:t xml:space="preserve">The </w:t>
      </w:r>
      <w:r w:rsidR="004C5C3A" w:rsidRPr="00EA2EF6">
        <w:rPr>
          <w:color w:val="000000" w:themeColor="text1"/>
        </w:rPr>
        <w:t xml:space="preserve">Act </w:t>
      </w:r>
      <w:r w:rsidRPr="00EA2EF6">
        <w:rPr>
          <w:color w:val="000000" w:themeColor="text1"/>
          <w:szCs w:val="22"/>
        </w:rPr>
        <w:t xml:space="preserve">defines an MVPD as: </w:t>
      </w:r>
    </w:p>
    <w:p w:rsidR="00B661C3" w:rsidRPr="00EA2EF6" w:rsidRDefault="00B661C3" w:rsidP="005E5F79">
      <w:pPr>
        <w:widowControl/>
        <w:ind w:left="720" w:right="630"/>
        <w:jc w:val="both"/>
        <w:rPr>
          <w:color w:val="000000" w:themeColor="text1"/>
          <w:szCs w:val="22"/>
        </w:rPr>
      </w:pPr>
      <w:r w:rsidRPr="00EA2EF6">
        <w:rPr>
          <w:color w:val="000000" w:themeColor="text1"/>
          <w:szCs w:val="22"/>
        </w:rPr>
        <w:t>[A]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r w:rsidRPr="00EA2EF6">
        <w:rPr>
          <w:rStyle w:val="FootnoteReference"/>
          <w:color w:val="000000" w:themeColor="text1"/>
          <w:szCs w:val="22"/>
        </w:rPr>
        <w:footnoteReference w:id="10"/>
      </w:r>
      <w:r w:rsidRPr="00EA2EF6">
        <w:rPr>
          <w:color w:val="000000" w:themeColor="text1"/>
          <w:szCs w:val="22"/>
        </w:rPr>
        <w:t xml:space="preserve">  </w:t>
      </w:r>
    </w:p>
    <w:p w:rsidR="007D3179" w:rsidRPr="00EA2EF6" w:rsidRDefault="007D3179" w:rsidP="005E5F79">
      <w:pPr>
        <w:widowControl/>
        <w:rPr>
          <w:color w:val="000000" w:themeColor="text1"/>
          <w:szCs w:val="22"/>
        </w:rPr>
      </w:pPr>
    </w:p>
    <w:p w:rsidR="007D3179" w:rsidRPr="00EA2EF6" w:rsidRDefault="00B661C3" w:rsidP="005E5F79">
      <w:pPr>
        <w:widowControl/>
        <w:spacing w:after="120"/>
        <w:rPr>
          <w:color w:val="000000" w:themeColor="text1"/>
          <w:szCs w:val="22"/>
        </w:rPr>
      </w:pPr>
      <w:r w:rsidRPr="00EA2EF6">
        <w:rPr>
          <w:color w:val="000000" w:themeColor="text1"/>
          <w:szCs w:val="22"/>
        </w:rPr>
        <w:t>The Act also defines the terms “channel” and “video programming</w:t>
      </w:r>
      <w:r w:rsidR="00995B2B" w:rsidRPr="00EA2EF6">
        <w:rPr>
          <w:color w:val="000000" w:themeColor="text1"/>
          <w:szCs w:val="22"/>
        </w:rPr>
        <w:t>,</w:t>
      </w:r>
      <w:r w:rsidRPr="00EA2EF6">
        <w:rPr>
          <w:color w:val="000000" w:themeColor="text1"/>
          <w:szCs w:val="22"/>
        </w:rPr>
        <w:t>”</w:t>
      </w:r>
      <w:r w:rsidR="00995B2B" w:rsidRPr="00EA2EF6">
        <w:rPr>
          <w:color w:val="000000" w:themeColor="text1"/>
          <w:szCs w:val="22"/>
        </w:rPr>
        <w:t xml:space="preserve"> which are used in the MVPD definition.</w:t>
      </w:r>
      <w:r w:rsidRPr="00EA2EF6">
        <w:rPr>
          <w:color w:val="000000" w:themeColor="text1"/>
          <w:szCs w:val="22"/>
        </w:rPr>
        <w:t xml:space="preserve">  A “channel” is defined as “</w:t>
      </w:r>
      <w:r w:rsidRPr="00EA2EF6">
        <w:rPr>
          <w:rStyle w:val="ptext-1"/>
          <w:color w:val="000000" w:themeColor="text1"/>
          <w:szCs w:val="22"/>
        </w:rPr>
        <w:t>a portion of the electromagnetic frequency spectrum which is used in a cable system and which is capable of delivering a television channel (as television channel is defined by the Commission by regulation).”</w:t>
      </w:r>
      <w:r w:rsidRPr="00EA2EF6">
        <w:rPr>
          <w:rStyle w:val="FootnoteReference"/>
          <w:color w:val="000000" w:themeColor="text1"/>
          <w:szCs w:val="22"/>
        </w:rPr>
        <w:footnoteReference w:id="11"/>
      </w:r>
      <w:r w:rsidRPr="00EA2EF6">
        <w:rPr>
          <w:rStyle w:val="ptext-1"/>
          <w:color w:val="000000" w:themeColor="text1"/>
          <w:szCs w:val="22"/>
        </w:rPr>
        <w:t xml:space="preserve">  </w:t>
      </w:r>
      <w:r w:rsidRPr="00EA2EF6">
        <w:rPr>
          <w:color w:val="000000" w:themeColor="text1"/>
          <w:szCs w:val="22"/>
        </w:rPr>
        <w:t>The Act defines “video programming” as “programming provided by, or generally considered comparable to programming provided by, a television broadcast station.”</w:t>
      </w:r>
      <w:r w:rsidRPr="00EA2EF6">
        <w:rPr>
          <w:rStyle w:val="FootnoteReference"/>
          <w:color w:val="000000" w:themeColor="text1"/>
          <w:szCs w:val="22"/>
        </w:rPr>
        <w:footnoteReference w:id="12"/>
      </w:r>
    </w:p>
    <w:p w:rsidR="00665736" w:rsidRPr="00EA2EF6" w:rsidRDefault="00A903F9" w:rsidP="005E5F79">
      <w:pPr>
        <w:pStyle w:val="ParaNum"/>
        <w:widowControl/>
        <w:rPr>
          <w:color w:val="000000" w:themeColor="text1"/>
          <w:szCs w:val="22"/>
        </w:rPr>
      </w:pPr>
      <w:r w:rsidRPr="00EA2EF6">
        <w:rPr>
          <w:color w:val="000000" w:themeColor="text1"/>
        </w:rPr>
        <w:t>O</w:t>
      </w:r>
      <w:r w:rsidR="00B661C3" w:rsidRPr="00EA2EF6">
        <w:rPr>
          <w:color w:val="000000" w:themeColor="text1"/>
        </w:rPr>
        <w:t xml:space="preserve">n </w:t>
      </w:r>
      <w:r w:rsidR="00572AE6" w:rsidRPr="00EA2EF6">
        <w:rPr>
          <w:color w:val="000000" w:themeColor="text1"/>
        </w:rPr>
        <w:t xml:space="preserve">March </w:t>
      </w:r>
      <w:r w:rsidRPr="00EA2EF6">
        <w:rPr>
          <w:color w:val="000000" w:themeColor="text1"/>
        </w:rPr>
        <w:t xml:space="preserve">24, </w:t>
      </w:r>
      <w:r w:rsidR="00572AE6" w:rsidRPr="00EA2EF6">
        <w:rPr>
          <w:color w:val="000000" w:themeColor="text1"/>
        </w:rPr>
        <w:t>2010, Sky Angel U.S., LLC (“Sky Angel”), a provider of</w:t>
      </w:r>
      <w:r w:rsidR="00854277" w:rsidRPr="00EA2EF6">
        <w:rPr>
          <w:color w:val="000000" w:themeColor="text1"/>
        </w:rPr>
        <w:t xml:space="preserve"> multiple streams of</w:t>
      </w:r>
      <w:r w:rsidR="00572AE6" w:rsidRPr="00EA2EF6">
        <w:rPr>
          <w:color w:val="000000" w:themeColor="text1"/>
        </w:rPr>
        <w:t xml:space="preserve"> prescheduled programming over the Internet, filed a complaint and petition for </w:t>
      </w:r>
      <w:r w:rsidRPr="00EA2EF6">
        <w:rPr>
          <w:color w:val="000000" w:themeColor="text1"/>
        </w:rPr>
        <w:t xml:space="preserve">temporary </w:t>
      </w:r>
      <w:r w:rsidR="00572AE6" w:rsidRPr="00EA2EF6">
        <w:rPr>
          <w:color w:val="000000" w:themeColor="text1"/>
        </w:rPr>
        <w:t>standstill for program access relief</w:t>
      </w:r>
      <w:r w:rsidR="009E2953" w:rsidRPr="00EA2EF6">
        <w:rPr>
          <w:color w:val="000000" w:themeColor="text1"/>
        </w:rPr>
        <w:t>, which</w:t>
      </w:r>
      <w:r w:rsidR="00572AE6" w:rsidRPr="00EA2EF6">
        <w:rPr>
          <w:color w:val="000000" w:themeColor="text1"/>
        </w:rPr>
        <w:t xml:space="preserve"> is </w:t>
      </w:r>
      <w:r w:rsidR="009E2953" w:rsidRPr="00EA2EF6">
        <w:rPr>
          <w:color w:val="000000" w:themeColor="text1"/>
        </w:rPr>
        <w:t>available only to</w:t>
      </w:r>
      <w:r w:rsidR="00572AE6" w:rsidRPr="00EA2EF6">
        <w:rPr>
          <w:color w:val="000000" w:themeColor="text1"/>
        </w:rPr>
        <w:t xml:space="preserve"> MVPDs.  </w:t>
      </w:r>
      <w:r w:rsidRPr="00EA2EF6">
        <w:rPr>
          <w:color w:val="000000" w:themeColor="text1"/>
        </w:rPr>
        <w:t>On April 21, 2010,</w:t>
      </w:r>
      <w:r w:rsidR="00D6639A" w:rsidRPr="00EA2EF6">
        <w:rPr>
          <w:color w:val="000000" w:themeColor="text1"/>
        </w:rPr>
        <w:t xml:space="preserve"> the Commission’s Media Bureau</w:t>
      </w:r>
      <w:r w:rsidR="00854277" w:rsidRPr="00EA2EF6">
        <w:rPr>
          <w:color w:val="000000" w:themeColor="text1"/>
        </w:rPr>
        <w:t xml:space="preserve"> denied the petition for standstill, holding</w:t>
      </w:r>
      <w:r w:rsidR="00D6639A" w:rsidRPr="00EA2EF6">
        <w:rPr>
          <w:color w:val="000000" w:themeColor="text1"/>
        </w:rPr>
        <w:t xml:space="preserve"> that Sky Angel failed to carry its burden of demonstrating that it is likely to succeed in showing on the merits that it is an MVPD entitled to seek relief under the program access rules.</w:t>
      </w:r>
      <w:r w:rsidR="00B661C3" w:rsidRPr="00EA2EF6">
        <w:rPr>
          <w:rStyle w:val="FootnoteReference"/>
          <w:color w:val="000000" w:themeColor="text1"/>
          <w:szCs w:val="22"/>
        </w:rPr>
        <w:footnoteReference w:id="13"/>
      </w:r>
      <w:r w:rsidR="00B661C3" w:rsidRPr="00EA2EF6">
        <w:rPr>
          <w:color w:val="000000" w:themeColor="text1"/>
        </w:rPr>
        <w:t xml:space="preserve">  The Media Bureau determined that the term “channel” as used in the definition of MVPD appears to include a transmission path as a necessary element.</w:t>
      </w:r>
      <w:r w:rsidR="00B661C3" w:rsidRPr="00EA2EF6">
        <w:rPr>
          <w:rStyle w:val="FootnoteReference"/>
          <w:color w:val="000000" w:themeColor="text1"/>
          <w:szCs w:val="22"/>
        </w:rPr>
        <w:footnoteReference w:id="14"/>
      </w:r>
      <w:r w:rsidR="00B661C3" w:rsidRPr="00EA2EF6">
        <w:rPr>
          <w:color w:val="000000" w:themeColor="text1"/>
        </w:rPr>
        <w:t xml:space="preserve">  Based on the limited record at the time, the Bureau was unable to find that Sky Angel provides its subscribers with a transmission path.</w:t>
      </w:r>
      <w:r w:rsidR="00B661C3" w:rsidRPr="00EA2EF6">
        <w:rPr>
          <w:rStyle w:val="FootnoteReference"/>
          <w:color w:val="000000" w:themeColor="text1"/>
          <w:szCs w:val="22"/>
        </w:rPr>
        <w:footnoteReference w:id="15"/>
      </w:r>
      <w:r w:rsidR="00B661C3" w:rsidRPr="00EA2EF6">
        <w:rPr>
          <w:color w:val="000000" w:themeColor="text1"/>
        </w:rPr>
        <w:t xml:space="preserve">  Sky Angel’s complaint, a second petition for injunctive relief,</w:t>
      </w:r>
      <w:r w:rsidR="00830349" w:rsidRPr="00EA2EF6">
        <w:rPr>
          <w:color w:val="000000" w:themeColor="text1"/>
        </w:rPr>
        <w:t xml:space="preserve"> a motion for sanctions,</w:t>
      </w:r>
      <w:r w:rsidR="00B661C3" w:rsidRPr="00EA2EF6">
        <w:rPr>
          <w:color w:val="000000" w:themeColor="text1"/>
        </w:rPr>
        <w:t xml:space="preserve"> </w:t>
      </w:r>
      <w:r w:rsidR="00830349" w:rsidRPr="00EA2EF6">
        <w:rPr>
          <w:color w:val="000000" w:themeColor="text1"/>
        </w:rPr>
        <w:t xml:space="preserve">and discovery requests are </w:t>
      </w:r>
      <w:r w:rsidR="00B661C3" w:rsidRPr="00EA2EF6">
        <w:rPr>
          <w:color w:val="000000" w:themeColor="text1"/>
        </w:rPr>
        <w:t>pending.</w:t>
      </w:r>
      <w:r w:rsidR="00AB166F" w:rsidRPr="00EA2EF6">
        <w:rPr>
          <w:color w:val="000000" w:themeColor="text1"/>
        </w:rPr>
        <w:t xml:space="preserve">  </w:t>
      </w:r>
      <w:r w:rsidR="00D532A2" w:rsidRPr="00EA2EF6">
        <w:rPr>
          <w:color w:val="000000" w:themeColor="text1"/>
        </w:rPr>
        <w:t>In 2012, Sky Angel filed a Petition for Writ of Mandamus with the United States Court of Appeals for the D.C. Circuit</w:t>
      </w:r>
      <w:r w:rsidR="00030BFC" w:rsidRPr="00EA2EF6">
        <w:rPr>
          <w:color w:val="000000" w:themeColor="text1"/>
        </w:rPr>
        <w:t>,</w:t>
      </w:r>
      <w:r w:rsidR="00D532A2" w:rsidRPr="00EA2EF6">
        <w:rPr>
          <w:color w:val="000000" w:themeColor="text1"/>
        </w:rPr>
        <w:t xml:space="preserve"> asking the court to require the Commission to adopt and release a final order on the merits of its complaint,</w:t>
      </w:r>
      <w:r w:rsidR="00D532A2" w:rsidRPr="00EA2EF6">
        <w:rPr>
          <w:rStyle w:val="FootnoteReference"/>
          <w:color w:val="000000" w:themeColor="text1"/>
          <w:szCs w:val="22"/>
        </w:rPr>
        <w:footnoteReference w:id="16"/>
      </w:r>
      <w:r w:rsidR="00D532A2" w:rsidRPr="00EA2EF6">
        <w:rPr>
          <w:color w:val="000000" w:themeColor="text1"/>
        </w:rPr>
        <w:t xml:space="preserve"> and the court denied the Petition “without prejudice to renewal in the event of significant delay.”</w:t>
      </w:r>
      <w:r w:rsidR="00D532A2" w:rsidRPr="00EA2EF6">
        <w:rPr>
          <w:rStyle w:val="FootnoteReference"/>
          <w:color w:val="000000" w:themeColor="text1"/>
          <w:szCs w:val="22"/>
        </w:rPr>
        <w:footnoteReference w:id="17"/>
      </w:r>
      <w:r w:rsidR="00D532A2" w:rsidRPr="00EA2EF6">
        <w:rPr>
          <w:color w:val="000000" w:themeColor="text1"/>
        </w:rPr>
        <w:t xml:space="preserve">  </w:t>
      </w:r>
      <w:r w:rsidR="009E2953" w:rsidRPr="00EA2EF6">
        <w:rPr>
          <w:color w:val="000000" w:themeColor="text1"/>
          <w:szCs w:val="22"/>
        </w:rPr>
        <w:t>In March 2012, the Media Bureau issued a Public Notice in connection with the Sky Angel complaint</w:t>
      </w:r>
      <w:r w:rsidR="00030BFC" w:rsidRPr="00EA2EF6">
        <w:rPr>
          <w:color w:val="000000" w:themeColor="text1"/>
          <w:szCs w:val="22"/>
        </w:rPr>
        <w:t>,</w:t>
      </w:r>
      <w:r w:rsidR="009E2953" w:rsidRPr="00EA2EF6">
        <w:rPr>
          <w:color w:val="000000" w:themeColor="text1"/>
          <w:szCs w:val="22"/>
        </w:rPr>
        <w:t xml:space="preserve"> seeking comment on the most appropriate interpretation of the definition of an MVPD</w:t>
      </w:r>
      <w:r w:rsidR="009E2953" w:rsidRPr="00EA2EF6">
        <w:rPr>
          <w:i/>
          <w:color w:val="000000" w:themeColor="text1"/>
          <w:szCs w:val="22"/>
        </w:rPr>
        <w:t xml:space="preserve"> </w:t>
      </w:r>
      <w:r w:rsidR="009E2953" w:rsidRPr="00EA2EF6">
        <w:rPr>
          <w:color w:val="000000" w:themeColor="text1"/>
          <w:szCs w:val="22"/>
        </w:rPr>
        <w:t>(the “</w:t>
      </w:r>
      <w:r w:rsidR="009E2953" w:rsidRPr="00EA2EF6">
        <w:rPr>
          <w:i/>
          <w:color w:val="000000" w:themeColor="text1"/>
          <w:szCs w:val="22"/>
        </w:rPr>
        <w:t>March 2012 Public Notice</w:t>
      </w:r>
      <w:r w:rsidR="009E2953" w:rsidRPr="00EA2EF6">
        <w:rPr>
          <w:color w:val="000000" w:themeColor="text1"/>
          <w:szCs w:val="22"/>
        </w:rPr>
        <w:t>”) to ensure that the Commission has the benefit of broad public input.</w:t>
      </w:r>
      <w:r w:rsidR="009E2953" w:rsidRPr="00EA2EF6">
        <w:rPr>
          <w:rStyle w:val="FootnoteReference"/>
          <w:color w:val="000000" w:themeColor="text1"/>
          <w:szCs w:val="22"/>
        </w:rPr>
        <w:footnoteReference w:id="18"/>
      </w:r>
      <w:r w:rsidR="009E2953" w:rsidRPr="00EA2EF6">
        <w:rPr>
          <w:color w:val="000000" w:themeColor="text1"/>
          <w:szCs w:val="22"/>
        </w:rPr>
        <w:t xml:space="preserve">  </w:t>
      </w:r>
      <w:r w:rsidR="00D532A2" w:rsidRPr="00EA2EF6">
        <w:rPr>
          <w:color w:val="000000" w:themeColor="text1"/>
        </w:rPr>
        <w:t>In June 2014, Sky Angel notified th</w:t>
      </w:r>
      <w:r w:rsidR="009E2953" w:rsidRPr="00EA2EF6">
        <w:rPr>
          <w:color w:val="000000" w:themeColor="text1"/>
        </w:rPr>
        <w:t>e</w:t>
      </w:r>
      <w:r w:rsidR="00D532A2" w:rsidRPr="00EA2EF6">
        <w:rPr>
          <w:color w:val="000000" w:themeColor="text1"/>
        </w:rPr>
        <w:t xml:space="preserve"> Commission that it </w:t>
      </w:r>
      <w:r w:rsidR="00030BFC" w:rsidRPr="00EA2EF6">
        <w:rPr>
          <w:color w:val="000000" w:themeColor="text1"/>
        </w:rPr>
        <w:t xml:space="preserve">had </w:t>
      </w:r>
      <w:r w:rsidR="00D532A2" w:rsidRPr="00EA2EF6">
        <w:rPr>
          <w:color w:val="000000" w:themeColor="text1"/>
        </w:rPr>
        <w:t>“</w:t>
      </w:r>
      <w:r w:rsidR="00D532A2" w:rsidRPr="00EA2EF6">
        <w:rPr>
          <w:color w:val="000000" w:themeColor="text1"/>
          <w:szCs w:val="22"/>
        </w:rPr>
        <w:t xml:space="preserve">suspended its video and audio distribution services” </w:t>
      </w:r>
      <w:r w:rsidR="00255C7A" w:rsidRPr="00EA2EF6">
        <w:rPr>
          <w:color w:val="000000" w:themeColor="text1"/>
        </w:rPr>
        <w:t xml:space="preserve">in January 2014 </w:t>
      </w:r>
      <w:r w:rsidR="00D532A2" w:rsidRPr="00EA2EF6">
        <w:rPr>
          <w:color w:val="000000" w:themeColor="text1"/>
          <w:szCs w:val="22"/>
        </w:rPr>
        <w:t>because it is unable “to acquire programming in a fair and nondiscriminatory way.”</w:t>
      </w:r>
      <w:r w:rsidR="00D532A2" w:rsidRPr="00EA2EF6">
        <w:rPr>
          <w:rStyle w:val="FootnoteReference"/>
          <w:color w:val="000000" w:themeColor="text1"/>
          <w:szCs w:val="22"/>
        </w:rPr>
        <w:footnoteReference w:id="19"/>
      </w:r>
      <w:r w:rsidR="004E22D2" w:rsidRPr="00EA2EF6">
        <w:rPr>
          <w:color w:val="000000" w:themeColor="text1"/>
          <w:szCs w:val="22"/>
        </w:rPr>
        <w:t xml:space="preserve">  </w:t>
      </w:r>
      <w:r w:rsidR="00B661C3" w:rsidRPr="00EA2EF6">
        <w:rPr>
          <w:color w:val="000000" w:themeColor="text1"/>
          <w:szCs w:val="22"/>
        </w:rPr>
        <w:t xml:space="preserve">  </w:t>
      </w:r>
      <w:r w:rsidR="00B661C3" w:rsidRPr="00EA2EF6">
        <w:rPr>
          <w:color w:val="000000" w:themeColor="text1"/>
          <w:szCs w:val="22"/>
          <w:lang w:eastAsia="ar-SA"/>
        </w:rPr>
        <w:t xml:space="preserve">  </w:t>
      </w:r>
    </w:p>
    <w:p w:rsidR="00B661C3" w:rsidRPr="00EA2EF6" w:rsidRDefault="005F24BE" w:rsidP="005E5F79">
      <w:pPr>
        <w:pStyle w:val="ParaNum"/>
        <w:widowControl/>
        <w:rPr>
          <w:color w:val="000000" w:themeColor="text1"/>
          <w:szCs w:val="22"/>
        </w:rPr>
      </w:pPr>
      <w:r w:rsidRPr="00EA2EF6">
        <w:rPr>
          <w:color w:val="000000" w:themeColor="text1"/>
          <w:szCs w:val="22"/>
        </w:rPr>
        <w:t xml:space="preserve">More recently, </w:t>
      </w:r>
      <w:r w:rsidR="00A62E28" w:rsidRPr="00EA2EF6">
        <w:rPr>
          <w:color w:val="000000" w:themeColor="text1"/>
          <w:szCs w:val="22"/>
        </w:rPr>
        <w:t xml:space="preserve">issues have arisen regarding the status of </w:t>
      </w:r>
      <w:r w:rsidR="00723C57" w:rsidRPr="00EA2EF6">
        <w:rPr>
          <w:color w:val="000000" w:themeColor="text1"/>
          <w:szCs w:val="22"/>
        </w:rPr>
        <w:t xml:space="preserve">Aereo, </w:t>
      </w:r>
      <w:r w:rsidR="00030BFC" w:rsidRPr="00EA2EF6">
        <w:rPr>
          <w:color w:val="000000" w:themeColor="text1"/>
          <w:szCs w:val="22"/>
        </w:rPr>
        <w:t xml:space="preserve">Inc., </w:t>
      </w:r>
      <w:r w:rsidRPr="00EA2EF6">
        <w:rPr>
          <w:color w:val="000000" w:themeColor="text1"/>
          <w:szCs w:val="22"/>
        </w:rPr>
        <w:t>a</w:t>
      </w:r>
      <w:r w:rsidR="00DD4BC3" w:rsidRPr="00EA2EF6">
        <w:rPr>
          <w:color w:val="000000" w:themeColor="text1"/>
          <w:szCs w:val="22"/>
        </w:rPr>
        <w:t xml:space="preserve"> former</w:t>
      </w:r>
      <w:r w:rsidRPr="00EA2EF6">
        <w:rPr>
          <w:color w:val="000000" w:themeColor="text1"/>
          <w:szCs w:val="22"/>
        </w:rPr>
        <w:t xml:space="preserve"> provider of online linear video programming</w:t>
      </w:r>
      <w:r w:rsidR="00723C57" w:rsidRPr="00EA2EF6">
        <w:rPr>
          <w:color w:val="000000" w:themeColor="text1"/>
          <w:szCs w:val="22"/>
        </w:rPr>
        <w:t>,</w:t>
      </w:r>
      <w:r w:rsidRPr="00EA2EF6">
        <w:rPr>
          <w:color w:val="000000" w:themeColor="text1"/>
          <w:szCs w:val="22"/>
        </w:rPr>
        <w:t xml:space="preserve"> under the Copyright Act and Communications Act.  </w:t>
      </w:r>
      <w:r w:rsidR="004E22D2" w:rsidRPr="00EA2EF6">
        <w:rPr>
          <w:color w:val="000000" w:themeColor="text1"/>
          <w:szCs w:val="22"/>
        </w:rPr>
        <w:t xml:space="preserve">On June 25, 2014, the Supreme Court </w:t>
      </w:r>
      <w:r w:rsidR="0014543B" w:rsidRPr="00EA2EF6">
        <w:rPr>
          <w:color w:val="000000" w:themeColor="text1"/>
          <w:szCs w:val="22"/>
        </w:rPr>
        <w:t xml:space="preserve">found that </w:t>
      </w:r>
      <w:r w:rsidR="00A314BF" w:rsidRPr="00EA2EF6">
        <w:rPr>
          <w:color w:val="000000" w:themeColor="text1"/>
          <w:szCs w:val="22"/>
        </w:rPr>
        <w:t>Aereo violated certain copyright holders’ exclusive right to perform their works publicl</w:t>
      </w:r>
      <w:r w:rsidR="00C86337" w:rsidRPr="00EA2EF6">
        <w:rPr>
          <w:color w:val="000000" w:themeColor="text1"/>
          <w:szCs w:val="22"/>
        </w:rPr>
        <w:t>y as provided</w:t>
      </w:r>
      <w:r w:rsidRPr="00EA2EF6">
        <w:rPr>
          <w:color w:val="000000" w:themeColor="text1"/>
          <w:szCs w:val="22"/>
        </w:rPr>
        <w:t xml:space="preserve"> </w:t>
      </w:r>
      <w:r w:rsidR="0014543B" w:rsidRPr="00EA2EF6">
        <w:rPr>
          <w:color w:val="000000" w:themeColor="text1"/>
          <w:szCs w:val="22"/>
        </w:rPr>
        <w:t>under</w:t>
      </w:r>
      <w:r w:rsidRPr="00EA2EF6">
        <w:rPr>
          <w:color w:val="000000" w:themeColor="text1"/>
          <w:szCs w:val="22"/>
        </w:rPr>
        <w:t xml:space="preserve"> the Copyright Act.</w:t>
      </w:r>
      <w:r w:rsidRPr="00EA2EF6">
        <w:rPr>
          <w:rStyle w:val="FootnoteReference"/>
          <w:color w:val="000000" w:themeColor="text1"/>
          <w:szCs w:val="22"/>
        </w:rPr>
        <w:footnoteReference w:id="20"/>
      </w:r>
      <w:r w:rsidRPr="00EA2EF6">
        <w:rPr>
          <w:color w:val="000000" w:themeColor="text1"/>
          <w:szCs w:val="22"/>
        </w:rPr>
        <w:t xml:space="preserve">  Aereo then filed with the Copyright Office to pay statutory royalties to retransmit </w:t>
      </w:r>
      <w:r w:rsidR="00E63D84" w:rsidRPr="00EA2EF6">
        <w:rPr>
          <w:color w:val="000000" w:themeColor="text1"/>
          <w:szCs w:val="22"/>
        </w:rPr>
        <w:t xml:space="preserve">broadcast </w:t>
      </w:r>
      <w:r w:rsidR="0014543B" w:rsidRPr="00EA2EF6">
        <w:rPr>
          <w:color w:val="000000" w:themeColor="text1"/>
          <w:szCs w:val="22"/>
        </w:rPr>
        <w:t>signals</w:t>
      </w:r>
      <w:r w:rsidR="00E63D84" w:rsidRPr="00EA2EF6">
        <w:rPr>
          <w:color w:val="000000" w:themeColor="text1"/>
          <w:szCs w:val="22"/>
        </w:rPr>
        <w:t xml:space="preserve"> as a cable system</w:t>
      </w:r>
      <w:r w:rsidR="0014543B" w:rsidRPr="00EA2EF6">
        <w:rPr>
          <w:color w:val="000000" w:themeColor="text1"/>
          <w:szCs w:val="22"/>
        </w:rPr>
        <w:t xml:space="preserve">.  </w:t>
      </w:r>
      <w:r w:rsidR="0056325A" w:rsidRPr="00EA2EF6">
        <w:rPr>
          <w:color w:val="000000" w:themeColor="text1"/>
          <w:szCs w:val="22"/>
        </w:rPr>
        <w:t>T</w:t>
      </w:r>
      <w:r w:rsidR="0014543B" w:rsidRPr="00EA2EF6">
        <w:rPr>
          <w:color w:val="000000" w:themeColor="text1"/>
          <w:szCs w:val="22"/>
        </w:rPr>
        <w:t>he Copyright Office accepted the filing “on a provisional basis,” pending “further regulatory or judicial developments,”</w:t>
      </w:r>
      <w:r w:rsidR="00E456D9" w:rsidRPr="00EA2EF6">
        <w:rPr>
          <w:rStyle w:val="FootnoteReference"/>
          <w:color w:val="000000" w:themeColor="text1"/>
          <w:szCs w:val="22"/>
        </w:rPr>
        <w:footnoteReference w:id="21"/>
      </w:r>
      <w:r w:rsidR="0014543B" w:rsidRPr="00EA2EF6">
        <w:rPr>
          <w:color w:val="000000" w:themeColor="text1"/>
          <w:szCs w:val="22"/>
        </w:rPr>
        <w:t xml:space="preserve"> including this Commission’s interpretation of the term MVPD</w:t>
      </w:r>
      <w:r w:rsidR="00E456D9" w:rsidRPr="00EA2EF6">
        <w:rPr>
          <w:color w:val="000000" w:themeColor="text1"/>
          <w:szCs w:val="22"/>
        </w:rPr>
        <w:t xml:space="preserve"> and the outcome of </w:t>
      </w:r>
      <w:r w:rsidR="00E3057F" w:rsidRPr="00EA2EF6">
        <w:rPr>
          <w:color w:val="000000" w:themeColor="text1"/>
          <w:szCs w:val="22"/>
        </w:rPr>
        <w:t xml:space="preserve">the </w:t>
      </w:r>
      <w:r w:rsidR="00E456D9" w:rsidRPr="00EA2EF6">
        <w:rPr>
          <w:color w:val="000000" w:themeColor="text1"/>
          <w:szCs w:val="22"/>
        </w:rPr>
        <w:t xml:space="preserve">case </w:t>
      </w:r>
      <w:r w:rsidR="00E3057F" w:rsidRPr="00EA2EF6">
        <w:rPr>
          <w:color w:val="000000" w:themeColor="text1"/>
          <w:szCs w:val="22"/>
        </w:rPr>
        <w:t xml:space="preserve">that was </w:t>
      </w:r>
      <w:r w:rsidR="00E456D9" w:rsidRPr="00EA2EF6">
        <w:rPr>
          <w:color w:val="000000" w:themeColor="text1"/>
          <w:szCs w:val="22"/>
        </w:rPr>
        <w:t>pending before the U.S. District Court for the Southern District of New York</w:t>
      </w:r>
      <w:r w:rsidR="0014543B" w:rsidRPr="00EA2EF6">
        <w:rPr>
          <w:color w:val="000000" w:themeColor="text1"/>
          <w:szCs w:val="22"/>
        </w:rPr>
        <w:t>.</w:t>
      </w:r>
      <w:r w:rsidR="00E456D9" w:rsidRPr="00EA2EF6">
        <w:rPr>
          <w:rStyle w:val="FootnoteReference"/>
          <w:color w:val="000000" w:themeColor="text1"/>
          <w:szCs w:val="22"/>
        </w:rPr>
        <w:footnoteReference w:id="22"/>
      </w:r>
      <w:r w:rsidR="00DD4BC3" w:rsidRPr="00EA2EF6">
        <w:rPr>
          <w:color w:val="000000" w:themeColor="text1"/>
          <w:szCs w:val="22"/>
        </w:rPr>
        <w:t xml:space="preserve">  On November 21, 2014, Aereo filed to reorganize under Chapter 11 of the U.S. Bankruptcy Code.</w:t>
      </w:r>
      <w:r w:rsidR="00DD4BC3" w:rsidRPr="00EA2EF6">
        <w:rPr>
          <w:rStyle w:val="FootnoteReference"/>
          <w:color w:val="000000" w:themeColor="text1"/>
          <w:szCs w:val="22"/>
        </w:rPr>
        <w:footnoteReference w:id="23"/>
      </w:r>
    </w:p>
    <w:p w:rsidR="00E94323" w:rsidRPr="00EA2EF6" w:rsidRDefault="00E94323" w:rsidP="005E5F79">
      <w:pPr>
        <w:pStyle w:val="ParaNum"/>
        <w:widowControl/>
        <w:rPr>
          <w:color w:val="000000" w:themeColor="text1"/>
          <w:szCs w:val="22"/>
        </w:rPr>
      </w:pPr>
      <w:r w:rsidRPr="00EA2EF6">
        <w:rPr>
          <w:color w:val="000000" w:themeColor="text1"/>
          <w:szCs w:val="22"/>
        </w:rPr>
        <w:t xml:space="preserve">Comments filed in response to the </w:t>
      </w:r>
      <w:r w:rsidRPr="00EA2EF6">
        <w:rPr>
          <w:i/>
          <w:color w:val="000000" w:themeColor="text1"/>
          <w:szCs w:val="22"/>
        </w:rPr>
        <w:t xml:space="preserve">March 2012 Public Notice </w:t>
      </w:r>
      <w:r w:rsidRPr="00EA2EF6">
        <w:rPr>
          <w:color w:val="000000" w:themeColor="text1"/>
          <w:szCs w:val="22"/>
        </w:rPr>
        <w:t>reveal a wide range of views.</w:t>
      </w:r>
      <w:r w:rsidRPr="00EA2EF6">
        <w:rPr>
          <w:rStyle w:val="FootnoteReference"/>
          <w:color w:val="000000" w:themeColor="text1"/>
          <w:szCs w:val="22"/>
        </w:rPr>
        <w:footnoteReference w:id="24"/>
      </w:r>
      <w:r w:rsidRPr="00EA2EF6">
        <w:rPr>
          <w:color w:val="000000" w:themeColor="text1"/>
          <w:szCs w:val="22"/>
        </w:rPr>
        <w:t xml:space="preserve">  </w:t>
      </w:r>
      <w:r w:rsidR="009A4FB7" w:rsidRPr="00EA2EF6">
        <w:rPr>
          <w:color w:val="000000" w:themeColor="text1"/>
          <w:szCs w:val="22"/>
        </w:rPr>
        <w:t>B</w:t>
      </w:r>
      <w:r w:rsidRPr="00EA2EF6">
        <w:rPr>
          <w:color w:val="000000" w:themeColor="text1"/>
          <w:szCs w:val="22"/>
        </w:rPr>
        <w:t xml:space="preserve">y initiating this </w:t>
      </w:r>
      <w:r w:rsidR="003A708C" w:rsidRPr="00EA2EF6">
        <w:rPr>
          <w:color w:val="000000" w:themeColor="text1"/>
          <w:szCs w:val="22"/>
        </w:rPr>
        <w:t xml:space="preserve">rulemaking </w:t>
      </w:r>
      <w:r w:rsidRPr="00EA2EF6">
        <w:rPr>
          <w:color w:val="000000" w:themeColor="text1"/>
          <w:szCs w:val="22"/>
        </w:rPr>
        <w:t xml:space="preserve">proceeding, we </w:t>
      </w:r>
      <w:r w:rsidR="009A4FB7" w:rsidRPr="00EA2EF6">
        <w:rPr>
          <w:color w:val="000000" w:themeColor="text1"/>
          <w:szCs w:val="22"/>
        </w:rPr>
        <w:t xml:space="preserve">propose an interpretation that we based on many comments in the record of that proceeding.  But we continue to </w:t>
      </w:r>
      <w:r w:rsidRPr="00EA2EF6">
        <w:rPr>
          <w:color w:val="000000" w:themeColor="text1"/>
          <w:szCs w:val="22"/>
        </w:rPr>
        <w:t xml:space="preserve">seek broad public input, including discussions with stakeholders, which will </w:t>
      </w:r>
      <w:r w:rsidR="003A708C" w:rsidRPr="00EA2EF6">
        <w:rPr>
          <w:color w:val="000000" w:themeColor="text1"/>
          <w:szCs w:val="22"/>
        </w:rPr>
        <w:t xml:space="preserve">fully inform us as we seek </w:t>
      </w:r>
      <w:r w:rsidRPr="00EA2EF6">
        <w:rPr>
          <w:color w:val="000000" w:themeColor="text1"/>
          <w:szCs w:val="22"/>
        </w:rPr>
        <w:t xml:space="preserve">to clarify the scope of the definition of MVPD.  We note that the Media Bureau </w:t>
      </w:r>
      <w:r w:rsidR="009A4FB7" w:rsidRPr="00EA2EF6">
        <w:rPr>
          <w:color w:val="000000" w:themeColor="text1"/>
          <w:szCs w:val="22"/>
        </w:rPr>
        <w:t xml:space="preserve">recently changed the ex parte status of the </w:t>
      </w:r>
      <w:r w:rsidR="009A4FB7" w:rsidRPr="00EA2EF6">
        <w:rPr>
          <w:i/>
          <w:color w:val="000000" w:themeColor="text1"/>
          <w:szCs w:val="22"/>
        </w:rPr>
        <w:t>March 2012 Public Notice</w:t>
      </w:r>
      <w:r w:rsidR="009A4FB7" w:rsidRPr="00EA2EF6">
        <w:rPr>
          <w:color w:val="000000" w:themeColor="text1"/>
          <w:szCs w:val="22"/>
        </w:rPr>
        <w:t>.</w:t>
      </w:r>
      <w:r w:rsidR="009A4FB7" w:rsidRPr="00EA2EF6">
        <w:rPr>
          <w:rStyle w:val="FootnoteReference"/>
          <w:color w:val="000000" w:themeColor="text1"/>
          <w:szCs w:val="22"/>
        </w:rPr>
        <w:footnoteReference w:id="25"/>
      </w:r>
      <w:r w:rsidR="009A4FB7" w:rsidRPr="00EA2EF6">
        <w:rPr>
          <w:color w:val="000000" w:themeColor="text1"/>
          <w:szCs w:val="22"/>
        </w:rPr>
        <w:t xml:space="preserve"> And today, the Bureau</w:t>
      </w:r>
      <w:r w:rsidR="009A4FB7" w:rsidRPr="00EA2EF6" w:rsidDel="009A4FB7">
        <w:rPr>
          <w:color w:val="000000" w:themeColor="text1"/>
          <w:szCs w:val="22"/>
        </w:rPr>
        <w:t xml:space="preserve"> </w:t>
      </w:r>
      <w:r w:rsidRPr="00EA2EF6">
        <w:rPr>
          <w:color w:val="000000" w:themeColor="text1"/>
          <w:szCs w:val="22"/>
        </w:rPr>
        <w:t xml:space="preserve">issued a decision holding the </w:t>
      </w:r>
      <w:r w:rsidRPr="00EA2EF6">
        <w:rPr>
          <w:i/>
          <w:color w:val="000000" w:themeColor="text1"/>
          <w:szCs w:val="22"/>
        </w:rPr>
        <w:t>Sky Angel</w:t>
      </w:r>
      <w:r w:rsidRPr="00EA2EF6">
        <w:rPr>
          <w:color w:val="000000" w:themeColor="text1"/>
          <w:szCs w:val="22"/>
        </w:rPr>
        <w:t xml:space="preserve"> proceeding in abeyance pending the outcome of this proceeding</w:t>
      </w:r>
      <w:r w:rsidR="001B05CD" w:rsidRPr="00EA2EF6">
        <w:rPr>
          <w:color w:val="000000" w:themeColor="text1"/>
          <w:szCs w:val="22"/>
        </w:rPr>
        <w:t xml:space="preserve"> and terminating the </w:t>
      </w:r>
      <w:r w:rsidR="001B05CD" w:rsidRPr="00EA2EF6">
        <w:rPr>
          <w:i/>
          <w:color w:val="000000" w:themeColor="text1"/>
          <w:szCs w:val="22"/>
        </w:rPr>
        <w:t>March 2012 Public Notice</w:t>
      </w:r>
      <w:r w:rsidR="001B05CD" w:rsidRPr="00EA2EF6">
        <w:rPr>
          <w:color w:val="000000" w:themeColor="text1"/>
          <w:szCs w:val="22"/>
        </w:rPr>
        <w:t xml:space="preserve"> docket.  These actions </w:t>
      </w:r>
      <w:r w:rsidRPr="00EA2EF6">
        <w:rPr>
          <w:color w:val="000000" w:themeColor="text1"/>
          <w:szCs w:val="22"/>
        </w:rPr>
        <w:t xml:space="preserve">will allow parties to discuss </w:t>
      </w:r>
      <w:r w:rsidR="003408ED" w:rsidRPr="00EA2EF6">
        <w:rPr>
          <w:color w:val="000000" w:themeColor="text1"/>
          <w:szCs w:val="22"/>
        </w:rPr>
        <w:t xml:space="preserve">with the Commission </w:t>
      </w:r>
      <w:r w:rsidRPr="00EA2EF6">
        <w:rPr>
          <w:color w:val="000000" w:themeColor="text1"/>
          <w:szCs w:val="22"/>
        </w:rPr>
        <w:t xml:space="preserve">the definitional and policy issues raised herein without running afoul of the </w:t>
      </w:r>
      <w:r w:rsidRPr="00EA2EF6">
        <w:rPr>
          <w:i/>
          <w:color w:val="000000" w:themeColor="text1"/>
          <w:szCs w:val="22"/>
        </w:rPr>
        <w:t>ex parte</w:t>
      </w:r>
      <w:r w:rsidRPr="00EA2EF6">
        <w:rPr>
          <w:color w:val="000000" w:themeColor="text1"/>
          <w:szCs w:val="22"/>
        </w:rPr>
        <w:t xml:space="preserve"> rules.</w:t>
      </w:r>
    </w:p>
    <w:p w:rsidR="00B661C3" w:rsidRPr="00EA2EF6" w:rsidRDefault="00B661C3" w:rsidP="005E5F79">
      <w:pPr>
        <w:pStyle w:val="Heading1"/>
        <w:widowControl/>
        <w:rPr>
          <w:rFonts w:ascii="Times New Roman" w:hAnsi="Times New Roman"/>
          <w:color w:val="000000" w:themeColor="text1"/>
          <w:szCs w:val="22"/>
        </w:rPr>
      </w:pPr>
      <w:bookmarkStart w:id="57" w:name="_Toc343098353"/>
      <w:bookmarkStart w:id="58" w:name="_Toc343164320"/>
      <w:bookmarkStart w:id="59" w:name="_Toc343168996"/>
      <w:bookmarkStart w:id="60" w:name="_Toc343875903"/>
      <w:bookmarkStart w:id="61" w:name="_Toc345939751"/>
      <w:bookmarkStart w:id="62" w:name="_Toc345939961"/>
      <w:bookmarkStart w:id="63" w:name="_Toc346121499"/>
      <w:bookmarkStart w:id="64" w:name="_Toc346192521"/>
      <w:bookmarkStart w:id="65" w:name="_Toc346192598"/>
      <w:bookmarkStart w:id="66" w:name="_Toc347490984"/>
      <w:bookmarkStart w:id="67" w:name="_Toc349751885"/>
      <w:bookmarkStart w:id="68" w:name="_Toc395187277"/>
      <w:bookmarkStart w:id="69" w:name="_Toc398540285"/>
      <w:bookmarkStart w:id="70" w:name="_Toc398565507"/>
      <w:bookmarkStart w:id="71" w:name="_Toc398624342"/>
      <w:bookmarkStart w:id="72" w:name="_Toc398746601"/>
      <w:bookmarkStart w:id="73" w:name="_Toc399148305"/>
      <w:bookmarkStart w:id="74" w:name="_Toc399260522"/>
      <w:bookmarkStart w:id="75" w:name="_Toc399316540"/>
      <w:bookmarkStart w:id="76" w:name="_Toc401241698"/>
      <w:bookmarkStart w:id="77" w:name="_Toc401259701"/>
      <w:bookmarkStart w:id="78" w:name="_Toc401312825"/>
      <w:bookmarkStart w:id="79" w:name="_Toc401850532"/>
      <w:bookmarkStart w:id="80" w:name="_Toc402169630"/>
      <w:bookmarkStart w:id="81" w:name="_Toc405301014"/>
      <w:bookmarkStart w:id="82" w:name="_Toc405884718"/>
      <w:bookmarkStart w:id="83" w:name="_Toc406609208"/>
      <w:r w:rsidRPr="00EA2EF6">
        <w:rPr>
          <w:rFonts w:ascii="Times New Roman" w:hAnsi="Times New Roman"/>
          <w:color w:val="000000" w:themeColor="text1"/>
          <w:szCs w:val="22"/>
        </w:rPr>
        <w:t>Discussion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B661C3" w:rsidRPr="00EA2EF6" w:rsidRDefault="00BC2BF1" w:rsidP="005E5F79">
      <w:pPr>
        <w:pStyle w:val="ParaNum"/>
        <w:widowControl/>
        <w:rPr>
          <w:color w:val="000000" w:themeColor="text1"/>
          <w:szCs w:val="22"/>
        </w:rPr>
      </w:pPr>
      <w:r w:rsidRPr="00EA2EF6">
        <w:rPr>
          <w:color w:val="000000" w:themeColor="text1"/>
          <w:szCs w:val="22"/>
        </w:rPr>
        <w:t>As discussed below</w:t>
      </w:r>
      <w:r w:rsidR="003A708C" w:rsidRPr="00EA2EF6">
        <w:rPr>
          <w:color w:val="000000" w:themeColor="text1"/>
          <w:szCs w:val="22"/>
        </w:rPr>
        <w:t>,</w:t>
      </w:r>
      <w:r w:rsidRPr="00EA2EF6">
        <w:rPr>
          <w:color w:val="000000" w:themeColor="text1"/>
          <w:szCs w:val="22"/>
        </w:rPr>
        <w:t xml:space="preserve"> we tentatively conclude that </w:t>
      </w:r>
      <w:r w:rsidR="0072133A" w:rsidRPr="00EA2EF6">
        <w:rPr>
          <w:color w:val="000000" w:themeColor="text1"/>
          <w:szCs w:val="22"/>
        </w:rPr>
        <w:t>the statutory definition of MVPD include</w:t>
      </w:r>
      <w:r w:rsidR="00C04ADD" w:rsidRPr="00EA2EF6">
        <w:rPr>
          <w:color w:val="000000" w:themeColor="text1"/>
          <w:szCs w:val="22"/>
        </w:rPr>
        <w:t>s</w:t>
      </w:r>
      <w:r w:rsidR="0072133A" w:rsidRPr="00EA2EF6">
        <w:rPr>
          <w:color w:val="000000" w:themeColor="text1"/>
          <w:szCs w:val="22"/>
        </w:rPr>
        <w:t xml:space="preserve"> </w:t>
      </w:r>
      <w:r w:rsidR="00B661C3" w:rsidRPr="00EA2EF6">
        <w:rPr>
          <w:color w:val="000000" w:themeColor="text1"/>
          <w:szCs w:val="22"/>
        </w:rPr>
        <w:t>certain Internet-based di</w:t>
      </w:r>
      <w:r w:rsidR="0072133A" w:rsidRPr="00EA2EF6">
        <w:rPr>
          <w:color w:val="000000" w:themeColor="text1"/>
          <w:szCs w:val="22"/>
        </w:rPr>
        <w:t>stributors of video programming</w:t>
      </w:r>
      <w:r w:rsidR="00B661C3" w:rsidRPr="00EA2EF6">
        <w:rPr>
          <w:color w:val="000000" w:themeColor="text1"/>
          <w:szCs w:val="22"/>
        </w:rPr>
        <w:t>.</w:t>
      </w:r>
      <w:r w:rsidR="000C0687" w:rsidRPr="00EA2EF6">
        <w:rPr>
          <w:rStyle w:val="FootnoteReference"/>
          <w:color w:val="000000" w:themeColor="text1"/>
          <w:szCs w:val="22"/>
        </w:rPr>
        <w:footnoteReference w:id="26"/>
      </w:r>
      <w:r w:rsidR="00B661C3" w:rsidRPr="00EA2EF6">
        <w:rPr>
          <w:color w:val="000000" w:themeColor="text1"/>
          <w:szCs w:val="22"/>
        </w:rPr>
        <w:t xml:space="preserve">  </w:t>
      </w:r>
      <w:r w:rsidRPr="00EA2EF6">
        <w:rPr>
          <w:color w:val="000000" w:themeColor="text1"/>
          <w:szCs w:val="22"/>
        </w:rPr>
        <w:t xml:space="preserve">Specifically, </w:t>
      </w:r>
      <w:r w:rsidR="00012E85" w:rsidRPr="00EA2EF6">
        <w:rPr>
          <w:color w:val="000000" w:themeColor="text1"/>
          <w:szCs w:val="22"/>
        </w:rPr>
        <w:t xml:space="preserve">we </w:t>
      </w:r>
      <w:r w:rsidR="00012E85" w:rsidRPr="00EA2EF6">
        <w:rPr>
          <w:color w:val="000000" w:themeColor="text1"/>
        </w:rPr>
        <w:t xml:space="preserve">propose to interpret the term MVPD to mean all </w:t>
      </w:r>
      <w:r w:rsidR="004A3659" w:rsidRPr="00EA2EF6">
        <w:rPr>
          <w:color w:val="000000" w:themeColor="text1"/>
        </w:rPr>
        <w:t xml:space="preserve">entities </w:t>
      </w:r>
      <w:r w:rsidR="00012E85" w:rsidRPr="00EA2EF6">
        <w:rPr>
          <w:color w:val="000000" w:themeColor="text1"/>
        </w:rPr>
        <w:t>that make available for purchase, by subscribers or customers, multiple streams of video programming</w:t>
      </w:r>
      <w:r w:rsidR="00D215EB" w:rsidRPr="00EA2EF6">
        <w:rPr>
          <w:color w:val="000000" w:themeColor="text1"/>
        </w:rPr>
        <w:t xml:space="preserve"> distributed at a prescheduled time</w:t>
      </w:r>
      <w:r w:rsidRPr="00EA2EF6">
        <w:rPr>
          <w:color w:val="000000" w:themeColor="text1"/>
          <w:szCs w:val="22"/>
        </w:rPr>
        <w:t>.  In reaching this conclusion, w</w:t>
      </w:r>
      <w:r w:rsidR="0072133A" w:rsidRPr="00EA2EF6">
        <w:rPr>
          <w:color w:val="000000" w:themeColor="text1"/>
          <w:szCs w:val="22"/>
        </w:rPr>
        <w:t xml:space="preserve">e understand that the market for </w:t>
      </w:r>
      <w:r w:rsidR="00B661C3" w:rsidRPr="00EA2EF6">
        <w:rPr>
          <w:color w:val="000000" w:themeColor="text1"/>
          <w:szCs w:val="22"/>
        </w:rPr>
        <w:t>Internet-based distribut</w:t>
      </w:r>
      <w:r w:rsidR="0072133A" w:rsidRPr="00EA2EF6">
        <w:rPr>
          <w:color w:val="000000" w:themeColor="text1"/>
          <w:szCs w:val="22"/>
        </w:rPr>
        <w:t>ion</w:t>
      </w:r>
      <w:r w:rsidR="00B661C3" w:rsidRPr="00EA2EF6">
        <w:rPr>
          <w:color w:val="000000" w:themeColor="text1"/>
          <w:szCs w:val="22"/>
        </w:rPr>
        <w:t xml:space="preserve"> of video programming is </w:t>
      </w:r>
      <w:r w:rsidR="0072133A" w:rsidRPr="00EA2EF6">
        <w:rPr>
          <w:color w:val="000000" w:themeColor="text1"/>
          <w:szCs w:val="22"/>
        </w:rPr>
        <w:t xml:space="preserve">nascent and </w:t>
      </w:r>
      <w:r w:rsidR="00066ED4" w:rsidRPr="00EA2EF6">
        <w:rPr>
          <w:color w:val="000000" w:themeColor="text1"/>
          <w:szCs w:val="22"/>
        </w:rPr>
        <w:t xml:space="preserve">that </w:t>
      </w:r>
      <w:r w:rsidR="0072133A" w:rsidRPr="00EA2EF6">
        <w:rPr>
          <w:color w:val="000000" w:themeColor="text1"/>
          <w:szCs w:val="22"/>
        </w:rPr>
        <w:t xml:space="preserve">companies continue to experiment with business models.  The </w:t>
      </w:r>
      <w:r w:rsidR="00AD63CE" w:rsidRPr="00EA2EF6">
        <w:rPr>
          <w:color w:val="000000" w:themeColor="text1"/>
          <w:szCs w:val="22"/>
        </w:rPr>
        <w:t xml:space="preserve">current </w:t>
      </w:r>
      <w:r w:rsidR="0072133A" w:rsidRPr="00EA2EF6">
        <w:rPr>
          <w:color w:val="000000" w:themeColor="text1"/>
          <w:szCs w:val="22"/>
        </w:rPr>
        <w:t>business models include</w:t>
      </w:r>
      <w:r w:rsidR="00B661C3" w:rsidRPr="00EA2EF6">
        <w:rPr>
          <w:color w:val="000000" w:themeColor="text1"/>
          <w:szCs w:val="22"/>
        </w:rPr>
        <w:t xml:space="preserve">, but </w:t>
      </w:r>
      <w:r w:rsidR="0072133A" w:rsidRPr="00EA2EF6">
        <w:rPr>
          <w:color w:val="000000" w:themeColor="text1"/>
          <w:szCs w:val="22"/>
        </w:rPr>
        <w:t>are</w:t>
      </w:r>
      <w:r w:rsidR="00B661C3" w:rsidRPr="00EA2EF6">
        <w:rPr>
          <w:color w:val="000000" w:themeColor="text1"/>
          <w:szCs w:val="22"/>
        </w:rPr>
        <w:t xml:space="preserve"> not limited to, the following types of Internet-based video service offerings</w:t>
      </w:r>
      <w:r w:rsidR="00012E85" w:rsidRPr="00EA2EF6">
        <w:rPr>
          <w:color w:val="000000" w:themeColor="text1"/>
          <w:szCs w:val="22"/>
        </w:rPr>
        <w:t>, including combinations of these offerings</w:t>
      </w:r>
      <w:r w:rsidR="008F6BBD" w:rsidRPr="00EA2EF6">
        <w:rPr>
          <w:color w:val="000000" w:themeColor="text1"/>
          <w:szCs w:val="22"/>
        </w:rPr>
        <w:t>:</w:t>
      </w:r>
      <w:r w:rsidR="003107F1" w:rsidRPr="00EA2EF6">
        <w:rPr>
          <w:color w:val="000000" w:themeColor="text1"/>
          <w:szCs w:val="22"/>
        </w:rPr>
        <w:t xml:space="preserve">  </w:t>
      </w:r>
    </w:p>
    <w:p w:rsidR="00B661C3" w:rsidRPr="00EA2EF6" w:rsidRDefault="00B661C3" w:rsidP="005E5F79">
      <w:pPr>
        <w:pStyle w:val="ListParagraph"/>
        <w:numPr>
          <w:ilvl w:val="0"/>
          <w:numId w:val="6"/>
        </w:numPr>
        <w:spacing w:line="240" w:lineRule="auto"/>
        <w:rPr>
          <w:color w:val="000000" w:themeColor="text1"/>
        </w:rPr>
      </w:pPr>
      <w:r w:rsidRPr="00EA2EF6">
        <w:rPr>
          <w:color w:val="000000" w:themeColor="text1"/>
        </w:rPr>
        <w:t xml:space="preserve">Subscription Linear.  We use this term to refer to </w:t>
      </w:r>
      <w:r w:rsidR="00472E23" w:rsidRPr="00EA2EF6">
        <w:rPr>
          <w:color w:val="000000" w:themeColor="text1"/>
        </w:rPr>
        <w:t xml:space="preserve">Internet-based </w:t>
      </w:r>
      <w:r w:rsidRPr="00EA2EF6">
        <w:rPr>
          <w:color w:val="000000" w:themeColor="text1"/>
        </w:rPr>
        <w:t>distributors</w:t>
      </w:r>
      <w:r w:rsidR="00472E23" w:rsidRPr="00EA2EF6">
        <w:rPr>
          <w:color w:val="000000" w:themeColor="text1"/>
        </w:rPr>
        <w:t xml:space="preserve"> that</w:t>
      </w:r>
      <w:r w:rsidRPr="00EA2EF6">
        <w:rPr>
          <w:color w:val="000000" w:themeColor="text1"/>
        </w:rPr>
        <w:t xml:space="preserve"> make available</w:t>
      </w:r>
      <w:r w:rsidR="00D3557A" w:rsidRPr="00EA2EF6">
        <w:rPr>
          <w:color w:val="000000" w:themeColor="text1"/>
        </w:rPr>
        <w:t xml:space="preserve"> continuous,</w:t>
      </w:r>
      <w:r w:rsidRPr="00EA2EF6">
        <w:rPr>
          <w:color w:val="000000" w:themeColor="text1"/>
        </w:rPr>
        <w:t xml:space="preserve"> </w:t>
      </w:r>
      <w:r w:rsidR="008110F7" w:rsidRPr="00EA2EF6">
        <w:rPr>
          <w:color w:val="000000" w:themeColor="text1"/>
        </w:rPr>
        <w:t>linear</w:t>
      </w:r>
      <w:r w:rsidR="008110F7" w:rsidRPr="00EA2EF6">
        <w:rPr>
          <w:rStyle w:val="FootnoteReference"/>
          <w:color w:val="000000" w:themeColor="text1"/>
        </w:rPr>
        <w:footnoteReference w:id="27"/>
      </w:r>
      <w:r w:rsidR="008110F7" w:rsidRPr="00EA2EF6">
        <w:rPr>
          <w:color w:val="000000" w:themeColor="text1"/>
        </w:rPr>
        <w:t xml:space="preserve"> streams of </w:t>
      </w:r>
      <w:r w:rsidR="00DD7774" w:rsidRPr="00EA2EF6">
        <w:rPr>
          <w:color w:val="000000" w:themeColor="text1"/>
        </w:rPr>
        <w:t xml:space="preserve">video </w:t>
      </w:r>
      <w:r w:rsidR="008110F7" w:rsidRPr="00EA2EF6">
        <w:rPr>
          <w:color w:val="000000" w:themeColor="text1"/>
        </w:rPr>
        <w:t>programming on a subscription basis</w:t>
      </w:r>
      <w:r w:rsidRPr="00EA2EF6">
        <w:rPr>
          <w:color w:val="000000" w:themeColor="text1"/>
        </w:rPr>
        <w:t xml:space="preserve">. </w:t>
      </w:r>
      <w:r w:rsidR="00DD7774" w:rsidRPr="00EA2EF6">
        <w:rPr>
          <w:color w:val="000000" w:themeColor="text1"/>
        </w:rPr>
        <w:t xml:space="preserve"> </w:t>
      </w:r>
      <w:r w:rsidR="00472E23" w:rsidRPr="00EA2EF6">
        <w:rPr>
          <w:color w:val="000000" w:themeColor="text1"/>
        </w:rPr>
        <w:t>This category includes Sky Angel</w:t>
      </w:r>
      <w:r w:rsidR="00753F89" w:rsidRPr="00EA2EF6">
        <w:rPr>
          <w:color w:val="000000" w:themeColor="text1"/>
        </w:rPr>
        <w:t>’s service as it existed before 2014 and Aereo’s service as it existed before the Supreme Court decision</w:t>
      </w:r>
      <w:r w:rsidR="00472E23" w:rsidRPr="00EA2EF6">
        <w:rPr>
          <w:color w:val="000000" w:themeColor="text1"/>
        </w:rPr>
        <w:t>.</w:t>
      </w:r>
      <w:r w:rsidRPr="00EA2EF6">
        <w:rPr>
          <w:color w:val="000000" w:themeColor="text1"/>
        </w:rPr>
        <w:t xml:space="preserve"> </w:t>
      </w:r>
      <w:r w:rsidR="003B40C2" w:rsidRPr="00EA2EF6">
        <w:rPr>
          <w:color w:val="000000" w:themeColor="text1"/>
        </w:rPr>
        <w:t xml:space="preserve"> </w:t>
      </w:r>
    </w:p>
    <w:p w:rsidR="000A322C" w:rsidRPr="00EA2EF6" w:rsidRDefault="000A322C" w:rsidP="005E5F79">
      <w:pPr>
        <w:pStyle w:val="ListParagraph"/>
        <w:spacing w:line="240" w:lineRule="auto"/>
        <w:ind w:left="1080"/>
        <w:rPr>
          <w:color w:val="000000" w:themeColor="text1"/>
        </w:rPr>
      </w:pPr>
    </w:p>
    <w:p w:rsidR="00472E23" w:rsidRPr="00EA2EF6" w:rsidRDefault="00B661C3" w:rsidP="005E5F79">
      <w:pPr>
        <w:pStyle w:val="ListParagraph"/>
        <w:numPr>
          <w:ilvl w:val="0"/>
          <w:numId w:val="6"/>
        </w:numPr>
        <w:spacing w:line="240" w:lineRule="auto"/>
        <w:rPr>
          <w:color w:val="000000" w:themeColor="text1"/>
        </w:rPr>
      </w:pPr>
      <w:r w:rsidRPr="00EA2EF6">
        <w:rPr>
          <w:color w:val="000000" w:themeColor="text1"/>
        </w:rPr>
        <w:t xml:space="preserve">Subscription </w:t>
      </w:r>
      <w:r w:rsidR="006D3A39" w:rsidRPr="00EA2EF6">
        <w:rPr>
          <w:color w:val="000000" w:themeColor="text1"/>
        </w:rPr>
        <w:t>O</w:t>
      </w:r>
      <w:r w:rsidRPr="00EA2EF6">
        <w:rPr>
          <w:color w:val="000000" w:themeColor="text1"/>
        </w:rPr>
        <w:t>n</w:t>
      </w:r>
      <w:r w:rsidR="006D3A39" w:rsidRPr="00EA2EF6">
        <w:rPr>
          <w:color w:val="000000" w:themeColor="text1"/>
        </w:rPr>
        <w:t>-</w:t>
      </w:r>
      <w:r w:rsidRPr="00EA2EF6">
        <w:rPr>
          <w:color w:val="000000" w:themeColor="text1"/>
        </w:rPr>
        <w:t xml:space="preserve">Demand.  We use this term to refer to </w:t>
      </w:r>
      <w:r w:rsidR="00472E23" w:rsidRPr="00EA2EF6">
        <w:rPr>
          <w:color w:val="000000" w:themeColor="text1"/>
        </w:rPr>
        <w:t xml:space="preserve">Internet-based </w:t>
      </w:r>
      <w:r w:rsidRPr="00EA2EF6">
        <w:rPr>
          <w:color w:val="000000" w:themeColor="text1"/>
        </w:rPr>
        <w:t>distributors</w:t>
      </w:r>
      <w:r w:rsidR="00472E23" w:rsidRPr="00EA2EF6">
        <w:rPr>
          <w:color w:val="000000" w:themeColor="text1"/>
        </w:rPr>
        <w:t xml:space="preserve"> that </w:t>
      </w:r>
      <w:r w:rsidR="008110F7" w:rsidRPr="00EA2EF6">
        <w:rPr>
          <w:color w:val="000000" w:themeColor="text1"/>
        </w:rPr>
        <w:t xml:space="preserve">make </w:t>
      </w:r>
      <w:r w:rsidR="00DD7774" w:rsidRPr="00EA2EF6">
        <w:rPr>
          <w:color w:val="000000" w:themeColor="text1"/>
        </w:rPr>
        <w:t xml:space="preserve">video </w:t>
      </w:r>
      <w:r w:rsidR="00472E23" w:rsidRPr="00EA2EF6">
        <w:rPr>
          <w:color w:val="000000" w:themeColor="text1"/>
        </w:rPr>
        <w:t xml:space="preserve">programming </w:t>
      </w:r>
      <w:r w:rsidR="008110F7" w:rsidRPr="00EA2EF6">
        <w:rPr>
          <w:color w:val="000000" w:themeColor="text1"/>
        </w:rPr>
        <w:t>available</w:t>
      </w:r>
      <w:r w:rsidR="00472E23" w:rsidRPr="00EA2EF6">
        <w:rPr>
          <w:color w:val="000000" w:themeColor="text1"/>
        </w:rPr>
        <w:t xml:space="preserve"> </w:t>
      </w:r>
      <w:r w:rsidR="00DD7774" w:rsidRPr="00EA2EF6">
        <w:rPr>
          <w:color w:val="000000" w:themeColor="text1"/>
        </w:rPr>
        <w:t xml:space="preserve">to view </w:t>
      </w:r>
      <w:r w:rsidR="00472E23" w:rsidRPr="00EA2EF6">
        <w:rPr>
          <w:color w:val="000000" w:themeColor="text1"/>
        </w:rPr>
        <w:t>on-demand</w:t>
      </w:r>
      <w:r w:rsidR="00BE0B62" w:rsidRPr="00EA2EF6">
        <w:rPr>
          <w:rStyle w:val="FootnoteReference"/>
          <w:color w:val="000000" w:themeColor="text1"/>
        </w:rPr>
        <w:footnoteReference w:id="28"/>
      </w:r>
      <w:r w:rsidR="00472E23" w:rsidRPr="00EA2EF6">
        <w:rPr>
          <w:color w:val="000000" w:themeColor="text1"/>
        </w:rPr>
        <w:t xml:space="preserve"> on a subscription basis</w:t>
      </w:r>
      <w:r w:rsidR="00DD7774" w:rsidRPr="00EA2EF6">
        <w:rPr>
          <w:color w:val="000000" w:themeColor="text1"/>
        </w:rPr>
        <w:t xml:space="preserve">, allowing </w:t>
      </w:r>
      <w:r w:rsidR="00663AF4" w:rsidRPr="00EA2EF6">
        <w:rPr>
          <w:color w:val="000000" w:themeColor="text1"/>
        </w:rPr>
        <w:t xml:space="preserve">subscribers </w:t>
      </w:r>
      <w:r w:rsidR="00DD7774" w:rsidRPr="00EA2EF6">
        <w:rPr>
          <w:color w:val="000000" w:themeColor="text1"/>
        </w:rPr>
        <w:t>to select and watch television programs, movies, and</w:t>
      </w:r>
      <w:r w:rsidR="00B10A05" w:rsidRPr="00EA2EF6">
        <w:rPr>
          <w:color w:val="000000" w:themeColor="text1"/>
        </w:rPr>
        <w:t>/or</w:t>
      </w:r>
      <w:r w:rsidR="00DD7774" w:rsidRPr="00EA2EF6">
        <w:rPr>
          <w:color w:val="000000" w:themeColor="text1"/>
        </w:rPr>
        <w:t xml:space="preserve"> other </w:t>
      </w:r>
      <w:r w:rsidR="00B10A05" w:rsidRPr="00EA2EF6">
        <w:rPr>
          <w:color w:val="000000" w:themeColor="text1"/>
        </w:rPr>
        <w:t>video</w:t>
      </w:r>
      <w:r w:rsidR="00DD7774" w:rsidRPr="00EA2EF6">
        <w:rPr>
          <w:color w:val="000000" w:themeColor="text1"/>
        </w:rPr>
        <w:t xml:space="preserve"> content whenever they request </w:t>
      </w:r>
      <w:r w:rsidR="003C5205" w:rsidRPr="00EA2EF6">
        <w:rPr>
          <w:color w:val="000000" w:themeColor="text1"/>
        </w:rPr>
        <w:t xml:space="preserve">to view </w:t>
      </w:r>
      <w:r w:rsidR="00DD7774" w:rsidRPr="00EA2EF6">
        <w:rPr>
          <w:color w:val="000000" w:themeColor="text1"/>
        </w:rPr>
        <w:t>the content</w:t>
      </w:r>
      <w:r w:rsidR="00584EA0" w:rsidRPr="00EA2EF6">
        <w:rPr>
          <w:color w:val="000000" w:themeColor="text1"/>
        </w:rPr>
        <w:t xml:space="preserve"> without having to pay an additional fee beyond their </w:t>
      </w:r>
      <w:r w:rsidR="00B10A05" w:rsidRPr="00EA2EF6">
        <w:rPr>
          <w:color w:val="000000" w:themeColor="text1"/>
        </w:rPr>
        <w:t>recurring</w:t>
      </w:r>
      <w:r w:rsidR="00584EA0" w:rsidRPr="00EA2EF6">
        <w:rPr>
          <w:color w:val="000000" w:themeColor="text1"/>
        </w:rPr>
        <w:t xml:space="preserve"> subscription fee</w:t>
      </w:r>
      <w:r w:rsidR="00DD7774" w:rsidRPr="00EA2EF6">
        <w:rPr>
          <w:color w:val="000000" w:themeColor="text1"/>
        </w:rPr>
        <w:t>.  T</w:t>
      </w:r>
      <w:r w:rsidR="00472E23" w:rsidRPr="00EA2EF6">
        <w:rPr>
          <w:color w:val="000000" w:themeColor="text1"/>
        </w:rPr>
        <w:t xml:space="preserve">his category includes </w:t>
      </w:r>
      <w:r w:rsidR="003107F1" w:rsidRPr="00EA2EF6">
        <w:rPr>
          <w:color w:val="000000" w:themeColor="text1"/>
        </w:rPr>
        <w:t>Amazon Prime</w:t>
      </w:r>
      <w:r w:rsidR="006A5AAA" w:rsidRPr="00EA2EF6">
        <w:rPr>
          <w:color w:val="000000" w:themeColor="text1"/>
        </w:rPr>
        <w:t xml:space="preserve"> Instant Video</w:t>
      </w:r>
      <w:r w:rsidR="003107F1" w:rsidRPr="00EA2EF6">
        <w:rPr>
          <w:color w:val="000000" w:themeColor="text1"/>
        </w:rPr>
        <w:t xml:space="preserve">, </w:t>
      </w:r>
      <w:r w:rsidR="00472E23" w:rsidRPr="00EA2EF6">
        <w:rPr>
          <w:color w:val="000000" w:themeColor="text1"/>
        </w:rPr>
        <w:t>Hulu Plus</w:t>
      </w:r>
      <w:r w:rsidR="003107F1" w:rsidRPr="00EA2EF6">
        <w:rPr>
          <w:color w:val="000000" w:themeColor="text1"/>
        </w:rPr>
        <w:t>,</w:t>
      </w:r>
      <w:r w:rsidR="00584EA0" w:rsidRPr="00EA2EF6">
        <w:rPr>
          <w:color w:val="000000" w:themeColor="text1"/>
        </w:rPr>
        <w:t xml:space="preserve"> </w:t>
      </w:r>
      <w:r w:rsidR="005A26F0" w:rsidRPr="00EA2EF6">
        <w:rPr>
          <w:color w:val="000000" w:themeColor="text1"/>
        </w:rPr>
        <w:t xml:space="preserve">and </w:t>
      </w:r>
      <w:r w:rsidR="00584EA0" w:rsidRPr="00EA2EF6">
        <w:rPr>
          <w:color w:val="000000" w:themeColor="text1"/>
        </w:rPr>
        <w:t>Netflix.</w:t>
      </w:r>
      <w:r w:rsidR="00663AF4" w:rsidRPr="00EA2EF6">
        <w:rPr>
          <w:rStyle w:val="FootnoteReference"/>
          <w:color w:val="000000" w:themeColor="text1"/>
        </w:rPr>
        <w:footnoteReference w:id="29"/>
      </w:r>
      <w:r w:rsidR="00BC2BF1" w:rsidRPr="00EA2EF6">
        <w:rPr>
          <w:color w:val="000000" w:themeColor="text1"/>
        </w:rPr>
        <w:t xml:space="preserve">  </w:t>
      </w:r>
    </w:p>
    <w:p w:rsidR="000A322C" w:rsidRPr="00EA2EF6" w:rsidRDefault="000A322C" w:rsidP="005E5F79">
      <w:pPr>
        <w:pStyle w:val="ListParagraph"/>
        <w:spacing w:line="240" w:lineRule="auto"/>
        <w:ind w:left="1080"/>
        <w:rPr>
          <w:color w:val="000000" w:themeColor="text1"/>
        </w:rPr>
      </w:pPr>
    </w:p>
    <w:p w:rsidR="00B661C3" w:rsidRPr="00EA2EF6" w:rsidRDefault="00B661C3" w:rsidP="005E5F79">
      <w:pPr>
        <w:pStyle w:val="ListParagraph"/>
        <w:numPr>
          <w:ilvl w:val="0"/>
          <w:numId w:val="6"/>
        </w:numPr>
        <w:spacing w:line="240" w:lineRule="auto"/>
        <w:rPr>
          <w:color w:val="000000" w:themeColor="text1"/>
        </w:rPr>
      </w:pPr>
      <w:r w:rsidRPr="00EA2EF6">
        <w:rPr>
          <w:color w:val="000000" w:themeColor="text1"/>
        </w:rPr>
        <w:t xml:space="preserve">Transactional </w:t>
      </w:r>
      <w:r w:rsidR="006D3A39" w:rsidRPr="00EA2EF6">
        <w:rPr>
          <w:color w:val="000000" w:themeColor="text1"/>
        </w:rPr>
        <w:t>On-Demand</w:t>
      </w:r>
      <w:r w:rsidRPr="00EA2EF6">
        <w:rPr>
          <w:color w:val="000000" w:themeColor="text1"/>
        </w:rPr>
        <w:t xml:space="preserve">.  </w:t>
      </w:r>
      <w:r w:rsidR="00472E23" w:rsidRPr="00EA2EF6">
        <w:rPr>
          <w:color w:val="000000" w:themeColor="text1"/>
        </w:rPr>
        <w:t xml:space="preserve">We use this term to refer to Internet-based distributors that make </w:t>
      </w:r>
      <w:r w:rsidR="00DD7774" w:rsidRPr="00EA2EF6">
        <w:rPr>
          <w:color w:val="000000" w:themeColor="text1"/>
        </w:rPr>
        <w:t xml:space="preserve">video </w:t>
      </w:r>
      <w:r w:rsidR="00472E23" w:rsidRPr="00EA2EF6">
        <w:rPr>
          <w:color w:val="000000" w:themeColor="text1"/>
        </w:rPr>
        <w:t xml:space="preserve">programming available </w:t>
      </w:r>
      <w:r w:rsidR="003C5205" w:rsidRPr="00EA2EF6">
        <w:rPr>
          <w:color w:val="000000" w:themeColor="text1"/>
        </w:rPr>
        <w:t xml:space="preserve">to view </w:t>
      </w:r>
      <w:r w:rsidR="00472E23" w:rsidRPr="00EA2EF6">
        <w:rPr>
          <w:color w:val="000000" w:themeColor="text1"/>
        </w:rPr>
        <w:t>on-demand</w:t>
      </w:r>
      <w:r w:rsidR="00DD7774" w:rsidRPr="00EA2EF6">
        <w:rPr>
          <w:color w:val="000000" w:themeColor="text1"/>
        </w:rPr>
        <w:t xml:space="preserve">, </w:t>
      </w:r>
      <w:r w:rsidR="00B10A05" w:rsidRPr="00EA2EF6">
        <w:rPr>
          <w:color w:val="000000" w:themeColor="text1"/>
        </w:rPr>
        <w:t>with</w:t>
      </w:r>
      <w:r w:rsidR="00DD7774" w:rsidRPr="00EA2EF6">
        <w:rPr>
          <w:color w:val="000000" w:themeColor="text1"/>
        </w:rPr>
        <w:t xml:space="preserve"> consumers charged on </w:t>
      </w:r>
      <w:r w:rsidR="00472E23" w:rsidRPr="00EA2EF6">
        <w:rPr>
          <w:color w:val="000000" w:themeColor="text1"/>
        </w:rPr>
        <w:t>a per-</w:t>
      </w:r>
      <w:r w:rsidR="00481678" w:rsidRPr="00EA2EF6">
        <w:rPr>
          <w:color w:val="000000" w:themeColor="text1"/>
        </w:rPr>
        <w:t xml:space="preserve">episode, per-season, </w:t>
      </w:r>
      <w:r w:rsidR="00472E23" w:rsidRPr="00EA2EF6">
        <w:rPr>
          <w:color w:val="000000" w:themeColor="text1"/>
        </w:rPr>
        <w:t>or per-movie basis</w:t>
      </w:r>
      <w:r w:rsidR="003C5205" w:rsidRPr="00EA2EF6">
        <w:rPr>
          <w:color w:val="000000" w:themeColor="text1"/>
        </w:rPr>
        <w:t xml:space="preserve"> to </w:t>
      </w:r>
      <w:r w:rsidR="00481678" w:rsidRPr="00EA2EF6">
        <w:rPr>
          <w:color w:val="000000" w:themeColor="text1"/>
        </w:rPr>
        <w:t xml:space="preserve">rent </w:t>
      </w:r>
      <w:r w:rsidR="00584EA0" w:rsidRPr="00EA2EF6">
        <w:rPr>
          <w:color w:val="000000" w:themeColor="text1"/>
        </w:rPr>
        <w:t xml:space="preserve">the content </w:t>
      </w:r>
      <w:r w:rsidR="00481678" w:rsidRPr="00EA2EF6">
        <w:rPr>
          <w:color w:val="000000" w:themeColor="text1"/>
        </w:rPr>
        <w:t xml:space="preserve">for a specific period of time </w:t>
      </w:r>
      <w:r w:rsidR="003C5205" w:rsidRPr="00EA2EF6">
        <w:rPr>
          <w:color w:val="000000" w:themeColor="text1"/>
        </w:rPr>
        <w:t xml:space="preserve">or </w:t>
      </w:r>
      <w:r w:rsidR="00584EA0" w:rsidRPr="00EA2EF6">
        <w:rPr>
          <w:color w:val="000000" w:themeColor="text1"/>
        </w:rPr>
        <w:t xml:space="preserve">to </w:t>
      </w:r>
      <w:r w:rsidR="003C5205" w:rsidRPr="00EA2EF6">
        <w:rPr>
          <w:color w:val="000000" w:themeColor="text1"/>
        </w:rPr>
        <w:t>download the content</w:t>
      </w:r>
      <w:r w:rsidR="00584EA0" w:rsidRPr="00EA2EF6">
        <w:rPr>
          <w:color w:val="000000" w:themeColor="text1"/>
        </w:rPr>
        <w:t xml:space="preserve"> </w:t>
      </w:r>
      <w:r w:rsidR="00481678" w:rsidRPr="00EA2EF6">
        <w:rPr>
          <w:color w:val="000000" w:themeColor="text1"/>
        </w:rPr>
        <w:t xml:space="preserve">for storage on a hard drive </w:t>
      </w:r>
      <w:r w:rsidR="00584EA0" w:rsidRPr="00EA2EF6">
        <w:rPr>
          <w:color w:val="000000" w:themeColor="text1"/>
        </w:rPr>
        <w:t xml:space="preserve">for </w:t>
      </w:r>
      <w:r w:rsidR="006D3A39" w:rsidRPr="00EA2EF6">
        <w:rPr>
          <w:color w:val="000000" w:themeColor="text1"/>
        </w:rPr>
        <w:t>v</w:t>
      </w:r>
      <w:r w:rsidR="00584EA0" w:rsidRPr="00EA2EF6">
        <w:rPr>
          <w:color w:val="000000" w:themeColor="text1"/>
        </w:rPr>
        <w:t>iewing</w:t>
      </w:r>
      <w:r w:rsidR="006D3A39" w:rsidRPr="00EA2EF6">
        <w:rPr>
          <w:color w:val="000000" w:themeColor="text1"/>
        </w:rPr>
        <w:t xml:space="preserve"> at any time</w:t>
      </w:r>
      <w:r w:rsidR="00472E23" w:rsidRPr="00EA2EF6">
        <w:rPr>
          <w:color w:val="000000" w:themeColor="text1"/>
        </w:rPr>
        <w:t>.</w:t>
      </w:r>
      <w:r w:rsidR="00481678" w:rsidRPr="00EA2EF6">
        <w:rPr>
          <w:rStyle w:val="FootnoteReference"/>
          <w:color w:val="000000" w:themeColor="text1"/>
        </w:rPr>
        <w:footnoteReference w:id="30"/>
      </w:r>
      <w:r w:rsidR="000A322C" w:rsidRPr="00EA2EF6">
        <w:rPr>
          <w:color w:val="000000" w:themeColor="text1"/>
        </w:rPr>
        <w:t xml:space="preserve">  </w:t>
      </w:r>
      <w:r w:rsidR="00472E23" w:rsidRPr="00EA2EF6">
        <w:rPr>
          <w:color w:val="000000" w:themeColor="text1"/>
        </w:rPr>
        <w:t xml:space="preserve">This category includes </w:t>
      </w:r>
      <w:r w:rsidR="00584EA0" w:rsidRPr="00EA2EF6">
        <w:rPr>
          <w:color w:val="000000" w:themeColor="text1"/>
        </w:rPr>
        <w:t>Amazon</w:t>
      </w:r>
      <w:r w:rsidR="003107F1" w:rsidRPr="00EA2EF6">
        <w:rPr>
          <w:color w:val="000000" w:themeColor="text1"/>
        </w:rPr>
        <w:t xml:space="preserve"> Instant Video</w:t>
      </w:r>
      <w:r w:rsidR="00584EA0" w:rsidRPr="00EA2EF6">
        <w:rPr>
          <w:color w:val="000000" w:themeColor="text1"/>
        </w:rPr>
        <w:t xml:space="preserve">, </w:t>
      </w:r>
      <w:r w:rsidR="003107F1" w:rsidRPr="00EA2EF6">
        <w:rPr>
          <w:color w:val="000000" w:themeColor="text1"/>
        </w:rPr>
        <w:t xml:space="preserve">CinemaNow (Best Buy), </w:t>
      </w:r>
      <w:r w:rsidR="00753F89" w:rsidRPr="00EA2EF6">
        <w:rPr>
          <w:color w:val="000000" w:themeColor="text1"/>
        </w:rPr>
        <w:t xml:space="preserve">Google Play, </w:t>
      </w:r>
      <w:r w:rsidR="00472E23" w:rsidRPr="00EA2EF6">
        <w:rPr>
          <w:color w:val="000000" w:themeColor="text1"/>
        </w:rPr>
        <w:t>iTunes</w:t>
      </w:r>
      <w:r w:rsidR="006A5AAA" w:rsidRPr="00EA2EF6">
        <w:rPr>
          <w:color w:val="000000" w:themeColor="text1"/>
        </w:rPr>
        <w:t xml:space="preserve"> Store</w:t>
      </w:r>
      <w:r w:rsidR="00472E23" w:rsidRPr="00EA2EF6">
        <w:rPr>
          <w:color w:val="000000" w:themeColor="text1"/>
        </w:rPr>
        <w:t xml:space="preserve"> (Apple)</w:t>
      </w:r>
      <w:r w:rsidR="00EB71F8" w:rsidRPr="00EA2EF6">
        <w:rPr>
          <w:color w:val="000000" w:themeColor="text1"/>
        </w:rPr>
        <w:t xml:space="preserve">, Sony Entertainment Network, </w:t>
      </w:r>
      <w:r w:rsidR="00472E23" w:rsidRPr="00EA2EF6">
        <w:rPr>
          <w:color w:val="000000" w:themeColor="text1"/>
        </w:rPr>
        <w:t>Vudu</w:t>
      </w:r>
      <w:r w:rsidR="00753F89" w:rsidRPr="00EA2EF6">
        <w:rPr>
          <w:color w:val="000000" w:themeColor="text1"/>
        </w:rPr>
        <w:t xml:space="preserve"> (Walmart)</w:t>
      </w:r>
      <w:r w:rsidR="00EB71F8" w:rsidRPr="00EA2EF6">
        <w:rPr>
          <w:color w:val="000000" w:themeColor="text1"/>
        </w:rPr>
        <w:t xml:space="preserve">, and </w:t>
      </w:r>
      <w:r w:rsidR="006A5AAA" w:rsidRPr="00EA2EF6">
        <w:rPr>
          <w:color w:val="000000" w:themeColor="text1"/>
        </w:rPr>
        <w:t>Xbox Video</w:t>
      </w:r>
      <w:r w:rsidR="00EB71F8" w:rsidRPr="00EA2EF6">
        <w:rPr>
          <w:color w:val="000000" w:themeColor="text1"/>
        </w:rPr>
        <w:t xml:space="preserve"> (Microsoft)</w:t>
      </w:r>
      <w:r w:rsidR="00472E23" w:rsidRPr="00EA2EF6">
        <w:rPr>
          <w:color w:val="000000" w:themeColor="text1"/>
        </w:rPr>
        <w:t>.</w:t>
      </w:r>
      <w:r w:rsidR="000A322C" w:rsidRPr="00EA2EF6">
        <w:rPr>
          <w:rStyle w:val="FootnoteReference"/>
          <w:color w:val="000000" w:themeColor="text1"/>
        </w:rPr>
        <w:footnoteReference w:id="31"/>
      </w:r>
    </w:p>
    <w:p w:rsidR="00753F89" w:rsidRPr="00EA2EF6" w:rsidRDefault="00753F89" w:rsidP="005E5F79">
      <w:pPr>
        <w:pStyle w:val="ListParagraph"/>
        <w:rPr>
          <w:color w:val="000000" w:themeColor="text1"/>
        </w:rPr>
      </w:pPr>
    </w:p>
    <w:p w:rsidR="00753F89" w:rsidRPr="00EA2EF6" w:rsidRDefault="00753F89" w:rsidP="005E5F79">
      <w:pPr>
        <w:pStyle w:val="ListParagraph"/>
        <w:numPr>
          <w:ilvl w:val="0"/>
          <w:numId w:val="6"/>
        </w:numPr>
        <w:spacing w:line="240" w:lineRule="auto"/>
        <w:rPr>
          <w:color w:val="000000" w:themeColor="text1"/>
        </w:rPr>
      </w:pPr>
      <w:r w:rsidRPr="00EA2EF6">
        <w:rPr>
          <w:color w:val="000000" w:themeColor="text1"/>
        </w:rPr>
        <w:t xml:space="preserve">Ad-based </w:t>
      </w:r>
      <w:r w:rsidR="00E97075" w:rsidRPr="00EA2EF6">
        <w:rPr>
          <w:color w:val="000000" w:themeColor="text1"/>
        </w:rPr>
        <w:t xml:space="preserve">Linear and </w:t>
      </w:r>
      <w:r w:rsidRPr="00EA2EF6">
        <w:rPr>
          <w:color w:val="000000" w:themeColor="text1"/>
        </w:rPr>
        <w:t xml:space="preserve">On-Demand.  We use this term to refer to Internet-based distributors that make video programming available to view </w:t>
      </w:r>
      <w:r w:rsidR="00E97075" w:rsidRPr="00EA2EF6">
        <w:rPr>
          <w:color w:val="000000" w:themeColor="text1"/>
        </w:rPr>
        <w:t xml:space="preserve">linearly or </w:t>
      </w:r>
      <w:r w:rsidRPr="00EA2EF6">
        <w:rPr>
          <w:color w:val="000000" w:themeColor="text1"/>
        </w:rPr>
        <w:t>on</w:t>
      </w:r>
      <w:r w:rsidR="00E97075" w:rsidRPr="00EA2EF6">
        <w:rPr>
          <w:color w:val="000000" w:themeColor="text1"/>
        </w:rPr>
        <w:t xml:space="preserve"> </w:t>
      </w:r>
      <w:r w:rsidRPr="00EA2EF6">
        <w:rPr>
          <w:color w:val="000000" w:themeColor="text1"/>
        </w:rPr>
        <w:t xml:space="preserve">demand, </w:t>
      </w:r>
      <w:r w:rsidR="00346C31" w:rsidRPr="00EA2EF6">
        <w:rPr>
          <w:color w:val="000000" w:themeColor="text1"/>
        </w:rPr>
        <w:t>with consumers able</w:t>
      </w:r>
      <w:r w:rsidRPr="00EA2EF6">
        <w:rPr>
          <w:color w:val="000000" w:themeColor="text1"/>
        </w:rPr>
        <w:t xml:space="preserve"> to select and watch television programs, movies, and</w:t>
      </w:r>
      <w:r w:rsidR="00346C31" w:rsidRPr="00EA2EF6">
        <w:rPr>
          <w:color w:val="000000" w:themeColor="text1"/>
        </w:rPr>
        <w:t>/or</w:t>
      </w:r>
      <w:r w:rsidRPr="00EA2EF6">
        <w:rPr>
          <w:color w:val="000000" w:themeColor="text1"/>
        </w:rPr>
        <w:t xml:space="preserve"> other </w:t>
      </w:r>
      <w:r w:rsidR="00346C31" w:rsidRPr="00EA2EF6">
        <w:rPr>
          <w:color w:val="000000" w:themeColor="text1"/>
        </w:rPr>
        <w:t xml:space="preserve">video </w:t>
      </w:r>
      <w:r w:rsidRPr="00EA2EF6">
        <w:rPr>
          <w:color w:val="000000" w:themeColor="text1"/>
        </w:rPr>
        <w:t xml:space="preserve">content whenever they request </w:t>
      </w:r>
      <w:r w:rsidR="00EB71F8" w:rsidRPr="00EA2EF6">
        <w:rPr>
          <w:color w:val="000000" w:themeColor="text1"/>
        </w:rPr>
        <w:t>on a free, ad-supported basis</w:t>
      </w:r>
      <w:r w:rsidRPr="00EA2EF6">
        <w:rPr>
          <w:color w:val="000000" w:themeColor="text1"/>
        </w:rPr>
        <w:t xml:space="preserve">.  This category includes </w:t>
      </w:r>
      <w:r w:rsidR="00EB71F8" w:rsidRPr="00EA2EF6">
        <w:rPr>
          <w:color w:val="000000" w:themeColor="text1"/>
        </w:rPr>
        <w:t xml:space="preserve">Crackle, </w:t>
      </w:r>
      <w:r w:rsidR="00E97075" w:rsidRPr="00EA2EF6">
        <w:rPr>
          <w:color w:val="000000" w:themeColor="text1"/>
        </w:rPr>
        <w:t xml:space="preserve">FilmOn, </w:t>
      </w:r>
      <w:r w:rsidRPr="00EA2EF6">
        <w:rPr>
          <w:color w:val="000000" w:themeColor="text1"/>
        </w:rPr>
        <w:t xml:space="preserve">Hulu, </w:t>
      </w:r>
      <w:r w:rsidR="00EB71F8" w:rsidRPr="00EA2EF6">
        <w:rPr>
          <w:color w:val="000000" w:themeColor="text1"/>
        </w:rPr>
        <w:t>Yahoo! Screen, and You</w:t>
      </w:r>
      <w:r w:rsidR="00F06656" w:rsidRPr="00EA2EF6">
        <w:rPr>
          <w:color w:val="000000" w:themeColor="text1"/>
        </w:rPr>
        <w:t>T</w:t>
      </w:r>
      <w:r w:rsidR="00EB71F8" w:rsidRPr="00EA2EF6">
        <w:rPr>
          <w:color w:val="000000" w:themeColor="text1"/>
        </w:rPr>
        <w:t>ube</w:t>
      </w:r>
      <w:r w:rsidR="003C3E9C" w:rsidRPr="00EA2EF6">
        <w:rPr>
          <w:color w:val="000000" w:themeColor="text1"/>
        </w:rPr>
        <w:t xml:space="preserve"> as they exist today</w:t>
      </w:r>
      <w:r w:rsidRPr="00EA2EF6">
        <w:rPr>
          <w:color w:val="000000" w:themeColor="text1"/>
        </w:rPr>
        <w:t>.</w:t>
      </w:r>
    </w:p>
    <w:p w:rsidR="007E2B03" w:rsidRPr="00EA2EF6" w:rsidRDefault="007E2B03" w:rsidP="005E5F79">
      <w:pPr>
        <w:pStyle w:val="ListParagraph"/>
        <w:numPr>
          <w:ilvl w:val="0"/>
          <w:numId w:val="6"/>
        </w:numPr>
        <w:spacing w:line="240" w:lineRule="auto"/>
        <w:rPr>
          <w:color w:val="000000" w:themeColor="text1"/>
        </w:rPr>
      </w:pPr>
      <w:r w:rsidRPr="00EA2EF6">
        <w:rPr>
          <w:color w:val="000000" w:themeColor="text1"/>
        </w:rPr>
        <w:t>Transactional Linear.  We use this term to refer to non-continuous linear programming that is offered on a transactional basis.  This category includes Ultimate Fighting Championship’s UFC.TV pay-per-view service.</w:t>
      </w:r>
    </w:p>
    <w:p w:rsidR="008F6BBD" w:rsidRPr="00EA2EF6" w:rsidRDefault="008F6BBD" w:rsidP="005E5F79">
      <w:pPr>
        <w:pStyle w:val="ListParagraph"/>
        <w:spacing w:line="240" w:lineRule="auto"/>
        <w:ind w:left="1080"/>
        <w:rPr>
          <w:color w:val="000000" w:themeColor="text1"/>
        </w:rPr>
      </w:pPr>
    </w:p>
    <w:p w:rsidR="008F6BBD" w:rsidRPr="00EA2EF6" w:rsidRDefault="008F6BBD" w:rsidP="005E5F79">
      <w:pPr>
        <w:pStyle w:val="ListParagraph"/>
        <w:spacing w:line="240" w:lineRule="auto"/>
        <w:ind w:left="0"/>
        <w:rPr>
          <w:color w:val="000000" w:themeColor="text1"/>
        </w:rPr>
      </w:pPr>
      <w:r w:rsidRPr="00EA2EF6">
        <w:rPr>
          <w:color w:val="000000" w:themeColor="text1"/>
        </w:rPr>
        <w:t xml:space="preserve">We </w:t>
      </w:r>
      <w:r w:rsidR="00346C31" w:rsidRPr="00EA2EF6">
        <w:rPr>
          <w:color w:val="000000" w:themeColor="text1"/>
        </w:rPr>
        <w:t>invite</w:t>
      </w:r>
      <w:r w:rsidRPr="00EA2EF6">
        <w:rPr>
          <w:color w:val="000000" w:themeColor="text1"/>
        </w:rPr>
        <w:t xml:space="preserve"> commenters to identify other categories</w:t>
      </w:r>
      <w:r w:rsidR="00BF0924" w:rsidRPr="00EA2EF6">
        <w:rPr>
          <w:color w:val="000000" w:themeColor="text1"/>
        </w:rPr>
        <w:t xml:space="preserve"> and examples</w:t>
      </w:r>
      <w:r w:rsidRPr="00EA2EF6">
        <w:rPr>
          <w:color w:val="000000" w:themeColor="text1"/>
        </w:rPr>
        <w:t xml:space="preserve"> of Internet-based distributors of video programming not mentioned here.</w:t>
      </w:r>
    </w:p>
    <w:p w:rsidR="00665736" w:rsidRPr="00EA2EF6" w:rsidRDefault="00EB71F8" w:rsidP="005E5F79">
      <w:pPr>
        <w:pStyle w:val="ParaNum"/>
        <w:widowControl/>
        <w:rPr>
          <w:color w:val="000000" w:themeColor="text1"/>
        </w:rPr>
      </w:pPr>
      <w:r w:rsidRPr="00EA2EF6">
        <w:rPr>
          <w:color w:val="000000" w:themeColor="text1"/>
        </w:rPr>
        <w:t xml:space="preserve">As explained below, we seek comment on our tentative conclusion that </w:t>
      </w:r>
      <w:r w:rsidR="0065011E" w:rsidRPr="00EA2EF6">
        <w:rPr>
          <w:color w:val="000000" w:themeColor="text1"/>
        </w:rPr>
        <w:t xml:space="preserve">entities that provide </w:t>
      </w:r>
      <w:r w:rsidRPr="00EA2EF6">
        <w:rPr>
          <w:color w:val="000000" w:themeColor="text1"/>
        </w:rPr>
        <w:t xml:space="preserve">Subscription Linear video services are MVPDs as that term is defined in the Act because they make multiple channels of video programming available for purchase.  </w:t>
      </w:r>
      <w:r w:rsidR="00C37789" w:rsidRPr="00EA2EF6">
        <w:rPr>
          <w:color w:val="000000" w:themeColor="text1"/>
        </w:rPr>
        <w:t>We seek</w:t>
      </w:r>
      <w:r w:rsidRPr="00EA2EF6">
        <w:rPr>
          <w:color w:val="000000" w:themeColor="text1"/>
        </w:rPr>
        <w:t xml:space="preserve"> comment </w:t>
      </w:r>
      <w:r w:rsidR="00346C31" w:rsidRPr="00EA2EF6">
        <w:rPr>
          <w:color w:val="000000" w:themeColor="text1"/>
        </w:rPr>
        <w:t xml:space="preserve">also </w:t>
      </w:r>
      <w:r w:rsidRPr="00EA2EF6">
        <w:rPr>
          <w:color w:val="000000" w:themeColor="text1"/>
        </w:rPr>
        <w:t>on whether any of the other</w:t>
      </w:r>
      <w:r w:rsidR="00C37789" w:rsidRPr="00EA2EF6">
        <w:rPr>
          <w:color w:val="000000" w:themeColor="text1"/>
        </w:rPr>
        <w:t xml:space="preserve"> </w:t>
      </w:r>
      <w:r w:rsidR="00231AC7" w:rsidRPr="00EA2EF6">
        <w:rPr>
          <w:color w:val="000000" w:themeColor="text1"/>
        </w:rPr>
        <w:t xml:space="preserve">categories of </w:t>
      </w:r>
      <w:r w:rsidR="00C37789" w:rsidRPr="00EA2EF6">
        <w:rPr>
          <w:color w:val="000000" w:themeColor="text1"/>
        </w:rPr>
        <w:t>Internet-based distributors of video programming</w:t>
      </w:r>
      <w:r w:rsidR="0065011E" w:rsidRPr="00EA2EF6">
        <w:rPr>
          <w:color w:val="000000" w:themeColor="text1"/>
        </w:rPr>
        <w:t xml:space="preserve"> </w:t>
      </w:r>
      <w:r w:rsidR="00D215EB" w:rsidRPr="00EA2EF6">
        <w:rPr>
          <w:color w:val="000000" w:themeColor="text1"/>
        </w:rPr>
        <w:t xml:space="preserve">identified above </w:t>
      </w:r>
      <w:r w:rsidR="00346C31" w:rsidRPr="00EA2EF6">
        <w:rPr>
          <w:color w:val="000000" w:themeColor="text1"/>
        </w:rPr>
        <w:t>fall within</w:t>
      </w:r>
      <w:r w:rsidR="00C37789" w:rsidRPr="00EA2EF6">
        <w:rPr>
          <w:color w:val="000000" w:themeColor="text1"/>
        </w:rPr>
        <w:t xml:space="preserve"> the statutory definition of an MVPD.  Because </w:t>
      </w:r>
      <w:r w:rsidR="0056325A" w:rsidRPr="00EA2EF6">
        <w:rPr>
          <w:color w:val="000000" w:themeColor="text1"/>
        </w:rPr>
        <w:t>these other Internet-based</w:t>
      </w:r>
      <w:r w:rsidR="00C37789" w:rsidRPr="00EA2EF6">
        <w:rPr>
          <w:color w:val="000000" w:themeColor="text1"/>
        </w:rPr>
        <w:t xml:space="preserve"> </w:t>
      </w:r>
      <w:r w:rsidR="0056325A" w:rsidRPr="00EA2EF6">
        <w:rPr>
          <w:color w:val="000000" w:themeColor="text1"/>
        </w:rPr>
        <w:t xml:space="preserve">distributors of video programming </w:t>
      </w:r>
      <w:r w:rsidR="00E97075" w:rsidRPr="00EA2EF6">
        <w:rPr>
          <w:color w:val="000000" w:themeColor="text1"/>
        </w:rPr>
        <w:t xml:space="preserve">either (1) </w:t>
      </w:r>
      <w:r w:rsidR="00C37789" w:rsidRPr="00EA2EF6">
        <w:rPr>
          <w:color w:val="000000" w:themeColor="text1"/>
        </w:rPr>
        <w:t>make programming available for free, and not “for purchase” as required by the definition of an MVPD,</w:t>
      </w:r>
      <w:r w:rsidR="00E97075" w:rsidRPr="00EA2EF6">
        <w:rPr>
          <w:color w:val="000000" w:themeColor="text1"/>
        </w:rPr>
        <w:t xml:space="preserve"> or (2) do not provide prescheduled programming</w:t>
      </w:r>
      <w:r w:rsidR="00C37789" w:rsidRPr="00EA2EF6">
        <w:rPr>
          <w:color w:val="000000" w:themeColor="text1"/>
        </w:rPr>
        <w:t xml:space="preserve"> </w:t>
      </w:r>
      <w:r w:rsidR="00E97075" w:rsidRPr="00EA2EF6">
        <w:rPr>
          <w:color w:val="000000" w:themeColor="text1"/>
        </w:rPr>
        <w:t xml:space="preserve">that </w:t>
      </w:r>
      <w:r w:rsidR="00E94323" w:rsidRPr="00EA2EF6">
        <w:rPr>
          <w:color w:val="000000" w:themeColor="text1"/>
        </w:rPr>
        <w:t>is comparable to programming provided by</w:t>
      </w:r>
      <w:r w:rsidR="00E97075" w:rsidRPr="00EA2EF6">
        <w:rPr>
          <w:color w:val="000000" w:themeColor="text1"/>
        </w:rPr>
        <w:t xml:space="preserve"> a </w:t>
      </w:r>
      <w:r w:rsidR="00E94323" w:rsidRPr="00EA2EF6">
        <w:rPr>
          <w:color w:val="000000" w:themeColor="text1"/>
        </w:rPr>
        <w:t xml:space="preserve">television broadcast </w:t>
      </w:r>
      <w:r w:rsidR="00E97075" w:rsidRPr="00EA2EF6">
        <w:rPr>
          <w:color w:val="000000" w:themeColor="text1"/>
        </w:rPr>
        <w:t>channel,</w:t>
      </w:r>
      <w:r w:rsidR="00E94323" w:rsidRPr="00EA2EF6">
        <w:rPr>
          <w:rStyle w:val="FootnoteReference"/>
          <w:color w:val="000000" w:themeColor="text1"/>
        </w:rPr>
        <w:footnoteReference w:id="32"/>
      </w:r>
      <w:r w:rsidR="00E97075" w:rsidRPr="00EA2EF6">
        <w:rPr>
          <w:color w:val="000000" w:themeColor="text1"/>
        </w:rPr>
        <w:t xml:space="preserve"> </w:t>
      </w:r>
      <w:r w:rsidR="00C37789" w:rsidRPr="00EA2EF6">
        <w:rPr>
          <w:color w:val="000000" w:themeColor="text1"/>
        </w:rPr>
        <w:t xml:space="preserve">we believe they </w:t>
      </w:r>
      <w:r w:rsidR="0065011E" w:rsidRPr="00EA2EF6">
        <w:rPr>
          <w:color w:val="000000" w:themeColor="text1"/>
        </w:rPr>
        <w:t>fall outside</w:t>
      </w:r>
      <w:r w:rsidR="00C37789" w:rsidRPr="00EA2EF6">
        <w:rPr>
          <w:color w:val="000000" w:themeColor="text1"/>
        </w:rPr>
        <w:t xml:space="preserve"> the </w:t>
      </w:r>
      <w:r w:rsidR="00764793" w:rsidRPr="00EA2EF6">
        <w:rPr>
          <w:color w:val="000000" w:themeColor="text1"/>
        </w:rPr>
        <w:t xml:space="preserve">statutory </w:t>
      </w:r>
      <w:r w:rsidR="00C37789" w:rsidRPr="00EA2EF6">
        <w:rPr>
          <w:color w:val="000000" w:themeColor="text1"/>
        </w:rPr>
        <w:t>definition.</w:t>
      </w:r>
      <w:r w:rsidR="00C37789" w:rsidRPr="00EA2EF6">
        <w:rPr>
          <w:rStyle w:val="FootnoteReference"/>
          <w:color w:val="000000" w:themeColor="text1"/>
          <w:szCs w:val="22"/>
        </w:rPr>
        <w:footnoteReference w:id="33"/>
      </w:r>
      <w:r w:rsidR="00C37789" w:rsidRPr="00EA2EF6">
        <w:rPr>
          <w:color w:val="000000" w:themeColor="text1"/>
        </w:rPr>
        <w:t xml:space="preserve">  We seek comment on this view.  </w:t>
      </w:r>
    </w:p>
    <w:p w:rsidR="00B661C3" w:rsidRPr="00EA2EF6" w:rsidRDefault="00B661C3" w:rsidP="005E5F79">
      <w:pPr>
        <w:pStyle w:val="ParaNum"/>
        <w:widowControl/>
        <w:rPr>
          <w:color w:val="000000" w:themeColor="text1"/>
        </w:rPr>
      </w:pPr>
      <w:r w:rsidRPr="00EA2EF6">
        <w:rPr>
          <w:color w:val="000000" w:themeColor="text1"/>
          <w:szCs w:val="22"/>
        </w:rPr>
        <w:t xml:space="preserve">Below, we begin by seeking comment on </w:t>
      </w:r>
      <w:r w:rsidR="00066ED4" w:rsidRPr="00EA2EF6">
        <w:rPr>
          <w:color w:val="000000" w:themeColor="text1"/>
          <w:szCs w:val="22"/>
        </w:rPr>
        <w:t>our proposed</w:t>
      </w:r>
      <w:r w:rsidRPr="00EA2EF6">
        <w:rPr>
          <w:color w:val="000000" w:themeColor="text1"/>
          <w:szCs w:val="22"/>
        </w:rPr>
        <w:t xml:space="preserve"> interpret</w:t>
      </w:r>
      <w:r w:rsidR="00066ED4" w:rsidRPr="00EA2EF6">
        <w:rPr>
          <w:color w:val="000000" w:themeColor="text1"/>
          <w:szCs w:val="22"/>
        </w:rPr>
        <w:t>ation</w:t>
      </w:r>
      <w:r w:rsidRPr="00EA2EF6">
        <w:rPr>
          <w:color w:val="000000" w:themeColor="text1"/>
          <w:szCs w:val="22"/>
        </w:rPr>
        <w:t xml:space="preserve"> </w:t>
      </w:r>
      <w:r w:rsidR="009951AB" w:rsidRPr="00EA2EF6">
        <w:rPr>
          <w:color w:val="000000" w:themeColor="text1"/>
          <w:szCs w:val="22"/>
        </w:rPr>
        <w:t xml:space="preserve">of </w:t>
      </w:r>
      <w:r w:rsidRPr="00EA2EF6">
        <w:rPr>
          <w:color w:val="000000" w:themeColor="text1"/>
          <w:szCs w:val="22"/>
        </w:rPr>
        <w:t xml:space="preserve">the definition of </w:t>
      </w:r>
      <w:r w:rsidR="009951AB" w:rsidRPr="00EA2EF6">
        <w:rPr>
          <w:color w:val="000000" w:themeColor="text1"/>
          <w:szCs w:val="22"/>
        </w:rPr>
        <w:t xml:space="preserve">the term </w:t>
      </w:r>
      <w:r w:rsidRPr="00EA2EF6">
        <w:rPr>
          <w:color w:val="000000" w:themeColor="text1"/>
          <w:szCs w:val="22"/>
        </w:rPr>
        <w:t xml:space="preserve">MVPD and </w:t>
      </w:r>
      <w:r w:rsidR="00066ED4" w:rsidRPr="00EA2EF6">
        <w:rPr>
          <w:color w:val="000000" w:themeColor="text1"/>
          <w:szCs w:val="22"/>
        </w:rPr>
        <w:t xml:space="preserve">on </w:t>
      </w:r>
      <w:r w:rsidRPr="00EA2EF6">
        <w:rPr>
          <w:color w:val="000000" w:themeColor="text1"/>
          <w:szCs w:val="22"/>
        </w:rPr>
        <w:t>alternative interpret</w:t>
      </w:r>
      <w:r w:rsidR="00C37789" w:rsidRPr="00EA2EF6">
        <w:rPr>
          <w:color w:val="000000" w:themeColor="text1"/>
          <w:szCs w:val="22"/>
        </w:rPr>
        <w:t>ations</w:t>
      </w:r>
      <w:r w:rsidRPr="00EA2EF6">
        <w:rPr>
          <w:color w:val="000000" w:themeColor="text1"/>
          <w:szCs w:val="22"/>
        </w:rPr>
        <w:t>.</w:t>
      </w:r>
      <w:r w:rsidR="0034589A" w:rsidRPr="00EA2EF6">
        <w:rPr>
          <w:rStyle w:val="FootnoteReference"/>
          <w:color w:val="000000" w:themeColor="text1"/>
          <w:szCs w:val="22"/>
        </w:rPr>
        <w:footnoteReference w:id="34"/>
      </w:r>
      <w:r w:rsidRPr="00EA2EF6">
        <w:rPr>
          <w:color w:val="000000" w:themeColor="text1"/>
          <w:szCs w:val="22"/>
        </w:rPr>
        <w:t xml:space="preserve">  We then seek comment on the public policy ramifications of these alternatives and any other alternatives commenters may suggest.  </w:t>
      </w:r>
      <w:r w:rsidR="009F7CB0" w:rsidRPr="00EA2EF6">
        <w:rPr>
          <w:color w:val="000000" w:themeColor="text1"/>
          <w:szCs w:val="22"/>
        </w:rPr>
        <w:t>W</w:t>
      </w:r>
      <w:r w:rsidR="00263DD9" w:rsidRPr="00EA2EF6">
        <w:rPr>
          <w:color w:val="000000" w:themeColor="text1"/>
          <w:szCs w:val="22"/>
        </w:rPr>
        <w:t xml:space="preserve">e </w:t>
      </w:r>
      <w:r w:rsidR="009F7CB0" w:rsidRPr="00EA2EF6">
        <w:rPr>
          <w:color w:val="000000" w:themeColor="text1"/>
          <w:szCs w:val="22"/>
        </w:rPr>
        <w:t>note</w:t>
      </w:r>
      <w:r w:rsidR="00263DD9" w:rsidRPr="00EA2EF6">
        <w:rPr>
          <w:color w:val="000000" w:themeColor="text1"/>
          <w:szCs w:val="22"/>
        </w:rPr>
        <w:t xml:space="preserve"> that </w:t>
      </w:r>
      <w:r w:rsidR="00263DD9" w:rsidRPr="00EA2EF6">
        <w:rPr>
          <w:color w:val="000000" w:themeColor="text1"/>
        </w:rPr>
        <w:t xml:space="preserve">an entity that uses IP to deliver cable service does not alter the classification of its facility as a cable system and does not alter the classification of the entity as a cable operator.  Finally, we seek comment on how to treat Internet-based linear video programming services that cable operators </w:t>
      </w:r>
      <w:r w:rsidR="002C41EA" w:rsidRPr="00EA2EF6">
        <w:rPr>
          <w:color w:val="000000" w:themeColor="text1"/>
        </w:rPr>
        <w:t xml:space="preserve">and DBS providers </w:t>
      </w:r>
      <w:r w:rsidR="00263DD9" w:rsidRPr="00EA2EF6">
        <w:rPr>
          <w:color w:val="000000" w:themeColor="text1"/>
        </w:rPr>
        <w:t>may choose to offer in addition to their traditional services.</w:t>
      </w:r>
    </w:p>
    <w:p w:rsidR="00EC6019" w:rsidRPr="00EA2EF6" w:rsidRDefault="00EC6019" w:rsidP="005E5F79">
      <w:pPr>
        <w:pStyle w:val="Heading2"/>
        <w:widowControl/>
      </w:pPr>
      <w:bookmarkStart w:id="88" w:name="_Toc395187278"/>
      <w:bookmarkStart w:id="89" w:name="_Toc398540286"/>
      <w:bookmarkStart w:id="90" w:name="_Toc398565508"/>
      <w:bookmarkStart w:id="91" w:name="_Toc398624343"/>
      <w:bookmarkStart w:id="92" w:name="_Toc398746602"/>
      <w:bookmarkStart w:id="93" w:name="_Toc399148306"/>
      <w:bookmarkStart w:id="94" w:name="_Toc399260523"/>
      <w:bookmarkStart w:id="95" w:name="_Toc399316541"/>
      <w:bookmarkStart w:id="96" w:name="_Toc401241699"/>
      <w:bookmarkStart w:id="97" w:name="_Toc401259702"/>
      <w:bookmarkStart w:id="98" w:name="_Toc401312826"/>
      <w:bookmarkStart w:id="99" w:name="_Toc401850533"/>
      <w:bookmarkStart w:id="100" w:name="_Toc402169631"/>
      <w:bookmarkStart w:id="101" w:name="_Toc405301015"/>
      <w:bookmarkStart w:id="102" w:name="_Toc405884719"/>
      <w:bookmarkStart w:id="103" w:name="_Toc406609209"/>
      <w:r w:rsidRPr="009D1D43">
        <w:t>Defining MVPD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5B0D81" w:rsidRPr="00EA2EF6" w:rsidRDefault="00F1679A" w:rsidP="005E5F79">
      <w:pPr>
        <w:pStyle w:val="ParaNum"/>
        <w:widowControl/>
        <w:rPr>
          <w:color w:val="000000" w:themeColor="text1"/>
          <w:szCs w:val="22"/>
          <w:lang w:eastAsia="ar-SA"/>
        </w:rPr>
      </w:pPr>
      <w:r w:rsidRPr="00EA2EF6">
        <w:rPr>
          <w:color w:val="000000" w:themeColor="text1"/>
          <w:szCs w:val="22"/>
        </w:rPr>
        <w:t>T</w:t>
      </w:r>
      <w:r w:rsidRPr="00EA2EF6">
        <w:rPr>
          <w:color w:val="000000" w:themeColor="text1"/>
          <w:szCs w:val="22"/>
          <w:lang w:eastAsia="ar-SA"/>
        </w:rPr>
        <w:t>o qualify as an MVPD</w:t>
      </w:r>
      <w:r w:rsidR="00305800" w:rsidRPr="00EA2EF6">
        <w:rPr>
          <w:color w:val="000000" w:themeColor="text1"/>
          <w:szCs w:val="22"/>
          <w:lang w:eastAsia="ar-SA"/>
        </w:rPr>
        <w:t xml:space="preserve"> under the Communications Act</w:t>
      </w:r>
      <w:r w:rsidRPr="00EA2EF6">
        <w:rPr>
          <w:color w:val="000000" w:themeColor="text1"/>
          <w:szCs w:val="22"/>
          <w:lang w:eastAsia="ar-SA"/>
        </w:rPr>
        <w:t xml:space="preserve">, an entity must </w:t>
      </w:r>
      <w:r w:rsidR="005B0D81" w:rsidRPr="00EA2EF6">
        <w:rPr>
          <w:color w:val="000000" w:themeColor="text1"/>
          <w:szCs w:val="22"/>
          <w:lang w:eastAsia="ar-SA"/>
        </w:rPr>
        <w:t>“</w:t>
      </w:r>
      <w:r w:rsidRPr="00EA2EF6">
        <w:rPr>
          <w:color w:val="000000" w:themeColor="text1"/>
          <w:szCs w:val="22"/>
          <w:lang w:eastAsia="ar-SA"/>
        </w:rPr>
        <w:t>make</w:t>
      </w:r>
      <w:r w:rsidR="005B0D81" w:rsidRPr="00EA2EF6">
        <w:rPr>
          <w:color w:val="000000" w:themeColor="text1"/>
          <w:szCs w:val="22"/>
          <w:lang w:eastAsia="ar-SA"/>
        </w:rPr>
        <w:t>[]</w:t>
      </w:r>
      <w:r w:rsidRPr="00EA2EF6">
        <w:rPr>
          <w:color w:val="000000" w:themeColor="text1"/>
          <w:szCs w:val="22"/>
          <w:lang w:eastAsia="ar-SA"/>
        </w:rPr>
        <w:t xml:space="preserve"> available for purchase</w:t>
      </w:r>
      <w:r w:rsidR="005B0D81" w:rsidRPr="00EA2EF6">
        <w:rPr>
          <w:color w:val="000000" w:themeColor="text1"/>
          <w:szCs w:val="22"/>
          <w:lang w:eastAsia="ar-SA"/>
        </w:rPr>
        <w:t xml:space="preserve">, by subscribers or customers, </w:t>
      </w:r>
      <w:r w:rsidRPr="00EA2EF6">
        <w:rPr>
          <w:color w:val="000000" w:themeColor="text1"/>
          <w:szCs w:val="22"/>
          <w:lang w:eastAsia="ar-SA"/>
        </w:rPr>
        <w:t>multiple channels of video programming.”</w:t>
      </w:r>
      <w:r w:rsidRPr="00EA2EF6">
        <w:rPr>
          <w:color w:val="000000" w:themeColor="text1"/>
          <w:szCs w:val="22"/>
          <w:vertAlign w:val="superscript"/>
          <w:lang w:eastAsia="ar-SA"/>
        </w:rPr>
        <w:footnoteReference w:id="35"/>
      </w:r>
      <w:r w:rsidRPr="00EA2EF6">
        <w:rPr>
          <w:color w:val="000000" w:themeColor="text1"/>
          <w:szCs w:val="22"/>
          <w:lang w:eastAsia="ar-SA"/>
        </w:rPr>
        <w:t xml:space="preserve">  The Commission has previously held that video distributed over the Internet qualifies as “video programming.”</w:t>
      </w:r>
      <w:r w:rsidRPr="00EA2EF6">
        <w:rPr>
          <w:rStyle w:val="FootnoteReference"/>
          <w:color w:val="000000" w:themeColor="text1"/>
          <w:szCs w:val="22"/>
          <w:lang w:eastAsia="ar-SA"/>
        </w:rPr>
        <w:footnoteReference w:id="36"/>
      </w:r>
      <w:r w:rsidRPr="00EA2EF6">
        <w:rPr>
          <w:color w:val="000000" w:themeColor="text1"/>
          <w:szCs w:val="22"/>
          <w:lang w:eastAsia="ar-SA"/>
        </w:rPr>
        <w:t xml:space="preserve">  Thus, </w:t>
      </w:r>
      <w:r w:rsidR="00096A5F" w:rsidRPr="00EA2EF6">
        <w:rPr>
          <w:color w:val="000000" w:themeColor="text1"/>
          <w:szCs w:val="22"/>
          <w:lang w:eastAsia="ar-SA"/>
        </w:rPr>
        <w:t xml:space="preserve">the </w:t>
      </w:r>
      <w:r w:rsidRPr="00EA2EF6">
        <w:rPr>
          <w:color w:val="000000" w:themeColor="text1"/>
          <w:szCs w:val="22"/>
          <w:lang w:eastAsia="ar-SA"/>
        </w:rPr>
        <w:t>key remaining definitional issue</w:t>
      </w:r>
      <w:r w:rsidR="00096A5F" w:rsidRPr="00EA2EF6">
        <w:rPr>
          <w:color w:val="000000" w:themeColor="text1"/>
          <w:szCs w:val="22"/>
          <w:lang w:eastAsia="ar-SA"/>
        </w:rPr>
        <w:t xml:space="preserve"> is</w:t>
      </w:r>
      <w:r w:rsidR="005B0D81" w:rsidRPr="00EA2EF6">
        <w:rPr>
          <w:color w:val="000000" w:themeColor="text1"/>
          <w:szCs w:val="22"/>
          <w:lang w:eastAsia="ar-SA"/>
        </w:rPr>
        <w:t xml:space="preserve"> </w:t>
      </w:r>
      <w:r w:rsidR="002449CC" w:rsidRPr="00EA2EF6">
        <w:rPr>
          <w:color w:val="000000" w:themeColor="text1"/>
          <w:szCs w:val="22"/>
          <w:lang w:eastAsia="ar-SA"/>
        </w:rPr>
        <w:t>how to interpret the phrase</w:t>
      </w:r>
      <w:r w:rsidR="005B0D81" w:rsidRPr="00EA2EF6">
        <w:rPr>
          <w:color w:val="000000" w:themeColor="text1"/>
          <w:szCs w:val="22"/>
          <w:lang w:eastAsia="ar-SA"/>
        </w:rPr>
        <w:t xml:space="preserve"> “</w:t>
      </w:r>
      <w:r w:rsidR="007E79D9" w:rsidRPr="00EA2EF6">
        <w:rPr>
          <w:color w:val="000000" w:themeColor="text1"/>
          <w:szCs w:val="22"/>
          <w:lang w:eastAsia="ar-SA"/>
        </w:rPr>
        <w:t xml:space="preserve">multiple </w:t>
      </w:r>
      <w:r w:rsidR="005B0D81" w:rsidRPr="00EA2EF6">
        <w:rPr>
          <w:color w:val="000000" w:themeColor="text1"/>
          <w:szCs w:val="22"/>
          <w:lang w:eastAsia="ar-SA"/>
        </w:rPr>
        <w:t>channel</w:t>
      </w:r>
      <w:r w:rsidR="007E79D9" w:rsidRPr="00EA2EF6">
        <w:rPr>
          <w:color w:val="000000" w:themeColor="text1"/>
          <w:szCs w:val="22"/>
          <w:lang w:eastAsia="ar-SA"/>
        </w:rPr>
        <w:t>s</w:t>
      </w:r>
      <w:r w:rsidR="005B0D81" w:rsidRPr="00EA2EF6">
        <w:rPr>
          <w:color w:val="000000" w:themeColor="text1"/>
          <w:szCs w:val="22"/>
          <w:lang w:eastAsia="ar-SA"/>
        </w:rPr>
        <w:t xml:space="preserve"> of video programming</w:t>
      </w:r>
      <w:r w:rsidR="005315FE" w:rsidRPr="00EA2EF6">
        <w:rPr>
          <w:color w:val="000000" w:themeColor="text1"/>
          <w:szCs w:val="22"/>
          <w:lang w:eastAsia="ar-SA"/>
        </w:rPr>
        <w:t>.</w:t>
      </w:r>
      <w:r w:rsidR="005B0D81" w:rsidRPr="00EA2EF6">
        <w:rPr>
          <w:color w:val="000000" w:themeColor="text1"/>
          <w:szCs w:val="22"/>
          <w:lang w:eastAsia="ar-SA"/>
        </w:rPr>
        <w:t>”</w:t>
      </w:r>
      <w:r w:rsidR="002449CC" w:rsidRPr="00EA2EF6">
        <w:rPr>
          <w:color w:val="000000" w:themeColor="text1"/>
          <w:szCs w:val="22"/>
          <w:lang w:eastAsia="ar-SA"/>
        </w:rPr>
        <w:t xml:space="preserve">  We seek comment on </w:t>
      </w:r>
      <w:r w:rsidR="00096A5F" w:rsidRPr="00EA2EF6">
        <w:rPr>
          <w:color w:val="000000" w:themeColor="text1"/>
          <w:szCs w:val="22"/>
          <w:lang w:eastAsia="ar-SA"/>
        </w:rPr>
        <w:t xml:space="preserve">this </w:t>
      </w:r>
      <w:r w:rsidR="002449CC" w:rsidRPr="00EA2EF6">
        <w:rPr>
          <w:color w:val="000000" w:themeColor="text1"/>
          <w:szCs w:val="22"/>
          <w:lang w:eastAsia="ar-SA"/>
        </w:rPr>
        <w:t>issue a</w:t>
      </w:r>
      <w:r w:rsidR="004D4A2E" w:rsidRPr="00EA2EF6">
        <w:rPr>
          <w:color w:val="000000" w:themeColor="text1"/>
          <w:szCs w:val="22"/>
          <w:lang w:eastAsia="ar-SA"/>
        </w:rPr>
        <w:t>s</w:t>
      </w:r>
      <w:r w:rsidR="002449CC" w:rsidRPr="00EA2EF6">
        <w:rPr>
          <w:color w:val="000000" w:themeColor="text1"/>
          <w:szCs w:val="22"/>
          <w:lang w:eastAsia="ar-SA"/>
        </w:rPr>
        <w:t xml:space="preserve"> set forth below. </w:t>
      </w:r>
    </w:p>
    <w:p w:rsidR="00F1679A" w:rsidRPr="00863601" w:rsidRDefault="00F1679A" w:rsidP="005E5F79">
      <w:pPr>
        <w:pStyle w:val="ParaNum"/>
        <w:widowControl/>
        <w:rPr>
          <w:rStyle w:val="ptext-1"/>
          <w:color w:val="000000" w:themeColor="text1"/>
          <w:szCs w:val="22"/>
          <w:lang w:eastAsia="ar-SA"/>
        </w:rPr>
      </w:pPr>
      <w:r w:rsidRPr="00EA2EF6">
        <w:rPr>
          <w:color w:val="000000" w:themeColor="text1"/>
          <w:szCs w:val="22"/>
          <w:lang w:eastAsia="ar-SA"/>
        </w:rPr>
        <w:t xml:space="preserve">The Act defines a “channel” as </w:t>
      </w:r>
      <w:r w:rsidRPr="00EA2EF6">
        <w:rPr>
          <w:color w:val="000000" w:themeColor="text1"/>
          <w:szCs w:val="22"/>
        </w:rPr>
        <w:t>“</w:t>
      </w:r>
      <w:r w:rsidRPr="00EA2EF6">
        <w:rPr>
          <w:rStyle w:val="ptext-1"/>
          <w:color w:val="000000" w:themeColor="text1"/>
          <w:szCs w:val="22"/>
        </w:rPr>
        <w:t>a portion of the electromagnetic frequency spectrum which is used in a cable system and which is capable of delivering a television channel (as television channel is defined by the Commission by regulation).”</w:t>
      </w:r>
      <w:r w:rsidRPr="00EA2EF6">
        <w:rPr>
          <w:rStyle w:val="FootnoteReference"/>
          <w:color w:val="000000" w:themeColor="text1"/>
          <w:szCs w:val="22"/>
        </w:rPr>
        <w:footnoteReference w:id="37"/>
      </w:r>
      <w:r w:rsidRPr="00EA2EF6">
        <w:rPr>
          <w:rStyle w:val="ptext-1"/>
          <w:color w:val="000000" w:themeColor="text1"/>
          <w:szCs w:val="22"/>
        </w:rPr>
        <w:t xml:space="preserve">  As discussed in </w:t>
      </w:r>
      <w:r w:rsidRPr="00EA2EF6">
        <w:rPr>
          <w:color w:val="000000" w:themeColor="text1"/>
          <w:szCs w:val="22"/>
        </w:rPr>
        <w:t xml:space="preserve">the Media Bureau’s </w:t>
      </w:r>
      <w:r w:rsidRPr="00EA2EF6">
        <w:rPr>
          <w:i/>
          <w:color w:val="000000" w:themeColor="text1"/>
          <w:szCs w:val="22"/>
        </w:rPr>
        <w:t>March 2012 Public Notice</w:t>
      </w:r>
      <w:r w:rsidRPr="00EA2EF6">
        <w:rPr>
          <w:color w:val="000000" w:themeColor="text1"/>
          <w:szCs w:val="22"/>
        </w:rPr>
        <w:t xml:space="preserve"> and in further detail below, there </w:t>
      </w:r>
      <w:r w:rsidR="00243DC4" w:rsidRPr="00EA2EF6">
        <w:rPr>
          <w:color w:val="000000" w:themeColor="text1"/>
          <w:szCs w:val="22"/>
        </w:rPr>
        <w:t>are</w:t>
      </w:r>
      <w:r w:rsidRPr="00EA2EF6">
        <w:rPr>
          <w:color w:val="000000" w:themeColor="text1"/>
          <w:szCs w:val="22"/>
        </w:rPr>
        <w:t xml:space="preserve"> at least two</w:t>
      </w:r>
      <w:r w:rsidR="00243DC4" w:rsidRPr="00EA2EF6">
        <w:rPr>
          <w:color w:val="000000" w:themeColor="text1"/>
          <w:szCs w:val="22"/>
        </w:rPr>
        <w:t xml:space="preserve"> possible</w:t>
      </w:r>
      <w:r w:rsidRPr="00EA2EF6">
        <w:rPr>
          <w:color w:val="000000" w:themeColor="text1"/>
          <w:szCs w:val="22"/>
        </w:rPr>
        <w:t xml:space="preserve"> interpretations of the </w:t>
      </w:r>
      <w:r w:rsidR="00243DC4" w:rsidRPr="00EA2EF6">
        <w:rPr>
          <w:color w:val="000000" w:themeColor="text1"/>
          <w:szCs w:val="22"/>
        </w:rPr>
        <w:t xml:space="preserve">term </w:t>
      </w:r>
      <w:r w:rsidRPr="00EA2EF6">
        <w:rPr>
          <w:color w:val="000000" w:themeColor="text1"/>
          <w:szCs w:val="22"/>
        </w:rPr>
        <w:t>“channel”</w:t>
      </w:r>
      <w:r w:rsidR="00243DC4" w:rsidRPr="00EA2EF6">
        <w:rPr>
          <w:color w:val="000000" w:themeColor="text1"/>
          <w:szCs w:val="22"/>
        </w:rPr>
        <w:t xml:space="preserve"> within the definition of MVPD.</w:t>
      </w:r>
      <w:r w:rsidRPr="00EA2EF6">
        <w:rPr>
          <w:rStyle w:val="FootnoteReference"/>
          <w:color w:val="000000" w:themeColor="text1"/>
          <w:szCs w:val="22"/>
        </w:rPr>
        <w:footnoteReference w:id="38"/>
      </w:r>
      <w:r w:rsidRPr="00EA2EF6">
        <w:rPr>
          <w:color w:val="000000" w:themeColor="text1"/>
          <w:szCs w:val="22"/>
        </w:rPr>
        <w:t xml:space="preserve">  </w:t>
      </w:r>
      <w:r w:rsidR="00DB7389" w:rsidRPr="00EA2EF6">
        <w:rPr>
          <w:color w:val="000000" w:themeColor="text1"/>
          <w:szCs w:val="22"/>
        </w:rPr>
        <w:t xml:space="preserve">We tentatively conclude that the best reading is that “channels </w:t>
      </w:r>
      <w:r w:rsidR="00FC7B3E" w:rsidRPr="00EA2EF6">
        <w:rPr>
          <w:color w:val="000000" w:themeColor="text1"/>
          <w:szCs w:val="22"/>
        </w:rPr>
        <w:t>of video programming</w:t>
      </w:r>
      <w:r w:rsidR="00DB7389" w:rsidRPr="00EA2EF6">
        <w:rPr>
          <w:color w:val="000000" w:themeColor="text1"/>
          <w:szCs w:val="22"/>
        </w:rPr>
        <w:t xml:space="preserve">” means </w:t>
      </w:r>
      <w:r w:rsidR="00FC7B3E" w:rsidRPr="00EA2EF6">
        <w:rPr>
          <w:color w:val="000000" w:themeColor="text1"/>
          <w:szCs w:val="22"/>
        </w:rPr>
        <w:t xml:space="preserve">streams of </w:t>
      </w:r>
      <w:r w:rsidR="00DB7389" w:rsidRPr="00EA2EF6">
        <w:rPr>
          <w:color w:val="000000" w:themeColor="text1"/>
          <w:szCs w:val="22"/>
        </w:rPr>
        <w:t>linear video programming</w:t>
      </w:r>
      <w:r w:rsidR="00FC7B3E" w:rsidRPr="00EA2EF6">
        <w:rPr>
          <w:color w:val="000000" w:themeColor="text1"/>
          <w:szCs w:val="22"/>
        </w:rPr>
        <w:t xml:space="preserve"> </w:t>
      </w:r>
      <w:r w:rsidR="00A7457F" w:rsidRPr="00EA2EF6">
        <w:rPr>
          <w:color w:val="000000" w:themeColor="text1"/>
          <w:szCs w:val="22"/>
        </w:rPr>
        <w:t>(the “Linear Programming Interpretation”)</w:t>
      </w:r>
      <w:r w:rsidR="00FC7B3E" w:rsidRPr="00EA2EF6">
        <w:rPr>
          <w:color w:val="000000" w:themeColor="text1"/>
          <w:szCs w:val="22"/>
        </w:rPr>
        <w:t xml:space="preserve">.  Under this interpretation, </w:t>
      </w:r>
      <w:r w:rsidRPr="00EA2EF6">
        <w:rPr>
          <w:color w:val="000000" w:themeColor="text1"/>
          <w:szCs w:val="22"/>
          <w:lang w:eastAsia="ar-SA"/>
        </w:rPr>
        <w:t xml:space="preserve">linear video programming networks, such as ESPN, The Weather Channel, and other sources of video programming that are commonly referred to as television or cable “channels,” </w:t>
      </w:r>
      <w:r w:rsidR="00C42A73" w:rsidRPr="00EA2EF6">
        <w:rPr>
          <w:color w:val="000000" w:themeColor="text1"/>
          <w:szCs w:val="22"/>
          <w:lang w:eastAsia="ar-SA"/>
        </w:rPr>
        <w:t xml:space="preserve">would be considered </w:t>
      </w:r>
      <w:r w:rsidR="00363EA1" w:rsidRPr="00EA2EF6">
        <w:rPr>
          <w:color w:val="000000" w:themeColor="text1"/>
          <w:szCs w:val="22"/>
          <w:lang w:eastAsia="ar-SA"/>
        </w:rPr>
        <w:t xml:space="preserve">“channels” </w:t>
      </w:r>
      <w:r w:rsidR="00C42A73" w:rsidRPr="00EA2EF6">
        <w:rPr>
          <w:color w:val="000000" w:themeColor="text1"/>
          <w:szCs w:val="22"/>
          <w:lang w:eastAsia="ar-SA"/>
        </w:rPr>
        <w:t xml:space="preserve">for purposes of </w:t>
      </w:r>
      <w:r w:rsidR="00363EA1" w:rsidRPr="00EA2EF6">
        <w:rPr>
          <w:color w:val="000000" w:themeColor="text1"/>
          <w:szCs w:val="22"/>
          <w:lang w:eastAsia="ar-SA"/>
        </w:rPr>
        <w:t>the MVPD definition</w:t>
      </w:r>
      <w:r w:rsidR="00D215EB" w:rsidRPr="00EA2EF6">
        <w:rPr>
          <w:color w:val="000000" w:themeColor="text1"/>
          <w:szCs w:val="22"/>
          <w:lang w:eastAsia="ar-SA"/>
        </w:rPr>
        <w:t>,</w:t>
      </w:r>
      <w:r w:rsidR="000C7AAF" w:rsidRPr="00EA2EF6">
        <w:rPr>
          <w:color w:val="000000" w:themeColor="text1"/>
          <w:szCs w:val="22"/>
          <w:lang w:eastAsia="ar-SA"/>
        </w:rPr>
        <w:t xml:space="preserve"> </w:t>
      </w:r>
      <w:r w:rsidRPr="00EA2EF6">
        <w:rPr>
          <w:color w:val="000000" w:themeColor="text1"/>
          <w:szCs w:val="22"/>
          <w:lang w:eastAsia="ar-SA"/>
        </w:rPr>
        <w:t xml:space="preserve">regardless of whether the </w:t>
      </w:r>
      <w:r w:rsidR="00363EA1" w:rsidRPr="00EA2EF6">
        <w:rPr>
          <w:color w:val="000000" w:themeColor="text1"/>
          <w:szCs w:val="22"/>
          <w:lang w:eastAsia="ar-SA"/>
        </w:rPr>
        <w:t>provider</w:t>
      </w:r>
      <w:r w:rsidRPr="00EA2EF6">
        <w:rPr>
          <w:color w:val="000000" w:themeColor="text1"/>
          <w:szCs w:val="22"/>
          <w:lang w:eastAsia="ar-SA"/>
        </w:rPr>
        <w:t xml:space="preserve"> also makes available </w:t>
      </w:r>
      <w:r w:rsidR="00363EA1" w:rsidRPr="00EA2EF6">
        <w:rPr>
          <w:color w:val="000000" w:themeColor="text1"/>
          <w:szCs w:val="22"/>
          <w:lang w:eastAsia="ar-SA"/>
        </w:rPr>
        <w:t xml:space="preserve">physical </w:t>
      </w:r>
      <w:r w:rsidRPr="00EA2EF6">
        <w:rPr>
          <w:color w:val="000000" w:themeColor="text1"/>
          <w:szCs w:val="22"/>
          <w:lang w:eastAsia="ar-SA"/>
        </w:rPr>
        <w:t>transmission paths.</w:t>
      </w:r>
      <w:r w:rsidRPr="00EA2EF6">
        <w:rPr>
          <w:rStyle w:val="FootnoteReference"/>
          <w:color w:val="000000" w:themeColor="text1"/>
          <w:szCs w:val="22"/>
          <w:lang w:eastAsia="ar-SA"/>
        </w:rPr>
        <w:footnoteReference w:id="39"/>
      </w:r>
      <w:r w:rsidRPr="00EA2EF6">
        <w:rPr>
          <w:color w:val="000000" w:themeColor="text1"/>
          <w:szCs w:val="22"/>
          <w:lang w:eastAsia="ar-SA"/>
        </w:rPr>
        <w:t xml:space="preserve">  </w:t>
      </w:r>
      <w:r w:rsidRPr="00EA2EF6">
        <w:rPr>
          <w:color w:val="000000" w:themeColor="text1"/>
          <w:szCs w:val="22"/>
        </w:rPr>
        <w:t>We also seek comment on an alternative interpretation under which</w:t>
      </w:r>
      <w:r w:rsidR="00BF0924" w:rsidRPr="00EA2EF6">
        <w:rPr>
          <w:color w:val="000000" w:themeColor="text1"/>
          <w:szCs w:val="22"/>
        </w:rPr>
        <w:t xml:space="preserve"> the definition of</w:t>
      </w:r>
      <w:r w:rsidRPr="00EA2EF6">
        <w:rPr>
          <w:color w:val="000000" w:themeColor="text1"/>
          <w:szCs w:val="22"/>
        </w:rPr>
        <w:t xml:space="preserve"> MVPD </w:t>
      </w:r>
      <w:r w:rsidR="00BF0924" w:rsidRPr="00EA2EF6">
        <w:rPr>
          <w:color w:val="000000" w:themeColor="text1"/>
          <w:szCs w:val="22"/>
        </w:rPr>
        <w:t xml:space="preserve">would </w:t>
      </w:r>
      <w:r w:rsidRPr="00EA2EF6">
        <w:rPr>
          <w:color w:val="000000" w:themeColor="text1"/>
          <w:szCs w:val="22"/>
        </w:rPr>
        <w:t xml:space="preserve">include only entities that make available transmission paths in addition to content, and thus exclude those Internet-based distributors of video programming that do not </w:t>
      </w:r>
      <w:r w:rsidR="00E05ADE" w:rsidRPr="00EA2EF6">
        <w:rPr>
          <w:color w:val="000000" w:themeColor="text1"/>
          <w:szCs w:val="22"/>
        </w:rPr>
        <w:t xml:space="preserve">own or operate </w:t>
      </w:r>
      <w:r w:rsidRPr="00EA2EF6">
        <w:rPr>
          <w:color w:val="000000" w:themeColor="text1"/>
          <w:szCs w:val="22"/>
        </w:rPr>
        <w:t>facilities for delivering content to consumers (the “Transmission Path Interpretation”).</w:t>
      </w:r>
      <w:r w:rsidR="0095021E" w:rsidRPr="00EA2EF6">
        <w:rPr>
          <w:rStyle w:val="FootnoteReference"/>
          <w:color w:val="000000" w:themeColor="text1"/>
          <w:szCs w:val="22"/>
        </w:rPr>
        <w:footnoteReference w:id="40"/>
      </w:r>
      <w:r w:rsidRPr="00EA2EF6">
        <w:rPr>
          <w:color w:val="000000" w:themeColor="text1"/>
          <w:szCs w:val="22"/>
        </w:rPr>
        <w:t xml:space="preserve">  We seek comment on which interpretation is most consistent with the text, purpose, legislative history, and structure of the Act </w:t>
      </w:r>
      <w:r w:rsidR="00243DC4" w:rsidRPr="00EA2EF6">
        <w:rPr>
          <w:color w:val="000000" w:themeColor="text1"/>
          <w:szCs w:val="22"/>
        </w:rPr>
        <w:t xml:space="preserve">and </w:t>
      </w:r>
      <w:r w:rsidR="00E94323" w:rsidRPr="00EA2EF6">
        <w:rPr>
          <w:color w:val="000000" w:themeColor="text1"/>
          <w:szCs w:val="22"/>
        </w:rPr>
        <w:t xml:space="preserve">which interpretation </w:t>
      </w:r>
      <w:r w:rsidR="00243DC4" w:rsidRPr="00EA2EF6">
        <w:rPr>
          <w:color w:val="000000" w:themeColor="text1"/>
          <w:szCs w:val="22"/>
        </w:rPr>
        <w:t xml:space="preserve">best serves </w:t>
      </w:r>
      <w:r w:rsidR="00F87BD1" w:rsidRPr="00EA2EF6">
        <w:rPr>
          <w:color w:val="000000" w:themeColor="text1"/>
          <w:szCs w:val="22"/>
        </w:rPr>
        <w:t>Congressional intent</w:t>
      </w:r>
      <w:r w:rsidRPr="00EA2EF6">
        <w:rPr>
          <w:color w:val="000000" w:themeColor="text1"/>
          <w:szCs w:val="22"/>
        </w:rPr>
        <w:t>.</w:t>
      </w:r>
      <w:r w:rsidR="00243DC4" w:rsidRPr="00EA2EF6">
        <w:rPr>
          <w:color w:val="000000" w:themeColor="text1"/>
          <w:szCs w:val="22"/>
        </w:rPr>
        <w:t xml:space="preserve">  We also </w:t>
      </w:r>
      <w:r w:rsidR="00D20857" w:rsidRPr="00EA2EF6">
        <w:rPr>
          <w:color w:val="000000" w:themeColor="text1"/>
          <w:szCs w:val="22"/>
        </w:rPr>
        <w:t>invite commenters to identify</w:t>
      </w:r>
      <w:r w:rsidR="00243DC4" w:rsidRPr="00EA2EF6">
        <w:rPr>
          <w:color w:val="000000" w:themeColor="text1"/>
          <w:szCs w:val="22"/>
        </w:rPr>
        <w:t xml:space="preserve"> an</w:t>
      </w:r>
      <w:r w:rsidR="00C8742A" w:rsidRPr="00EA2EF6">
        <w:rPr>
          <w:color w:val="000000" w:themeColor="text1"/>
          <w:szCs w:val="22"/>
        </w:rPr>
        <w:t xml:space="preserve">y </w:t>
      </w:r>
      <w:r w:rsidR="00243DC4" w:rsidRPr="00EA2EF6">
        <w:rPr>
          <w:color w:val="000000" w:themeColor="text1"/>
          <w:szCs w:val="22"/>
        </w:rPr>
        <w:t>other interpretation</w:t>
      </w:r>
      <w:r w:rsidR="00D20857" w:rsidRPr="00EA2EF6">
        <w:rPr>
          <w:color w:val="000000" w:themeColor="text1"/>
          <w:szCs w:val="22"/>
        </w:rPr>
        <w:t xml:space="preserve"> of MVPD</w:t>
      </w:r>
      <w:r w:rsidR="00243DC4" w:rsidRPr="00EA2EF6">
        <w:rPr>
          <w:color w:val="000000" w:themeColor="text1"/>
          <w:szCs w:val="22"/>
        </w:rPr>
        <w:t xml:space="preserve"> </w:t>
      </w:r>
      <w:r w:rsidR="00D20857" w:rsidRPr="00EA2EF6">
        <w:rPr>
          <w:color w:val="000000" w:themeColor="text1"/>
          <w:szCs w:val="22"/>
        </w:rPr>
        <w:t xml:space="preserve">that </w:t>
      </w:r>
      <w:r w:rsidR="00C8742A" w:rsidRPr="00EA2EF6">
        <w:rPr>
          <w:color w:val="000000" w:themeColor="text1"/>
          <w:szCs w:val="22"/>
        </w:rPr>
        <w:t xml:space="preserve">is consistent with the statute and </w:t>
      </w:r>
      <w:r w:rsidR="00243DC4" w:rsidRPr="00EA2EF6">
        <w:rPr>
          <w:color w:val="000000" w:themeColor="text1"/>
          <w:szCs w:val="22"/>
        </w:rPr>
        <w:t>would better serve Congressional intent.</w:t>
      </w:r>
      <w:r w:rsidR="000E47C3" w:rsidRPr="00EA2EF6">
        <w:rPr>
          <w:color w:val="000000" w:themeColor="text1"/>
          <w:szCs w:val="22"/>
        </w:rPr>
        <w:t xml:space="preserve">  For example, some commenters call for a “functional equivalency” standard, whereby an entity would qualify as an MVPD if it looks and functions like a traditional MVPD from the perspective of consumers; others suggest that Internet-based distributors should be allowed to elect whether or not to avail themselves of MVPD status, taking on both the benefits of such status (such as program access) as well as the regulatory obligations.</w:t>
      </w:r>
      <w:r w:rsidR="00C8742A" w:rsidRPr="00EA2EF6">
        <w:rPr>
          <w:rStyle w:val="FootnoteReference"/>
          <w:color w:val="000000" w:themeColor="text1"/>
          <w:szCs w:val="22"/>
        </w:rPr>
        <w:footnoteReference w:id="41"/>
      </w:r>
      <w:r w:rsidR="000E47C3" w:rsidRPr="00EA2EF6">
        <w:rPr>
          <w:color w:val="000000" w:themeColor="text1"/>
          <w:szCs w:val="22"/>
        </w:rPr>
        <w:t xml:space="preserve"> </w:t>
      </w:r>
      <w:r w:rsidR="007D7727" w:rsidRPr="00EA2EF6">
        <w:rPr>
          <w:color w:val="000000" w:themeColor="text1"/>
          <w:szCs w:val="22"/>
        </w:rPr>
        <w:t xml:space="preserve"> </w:t>
      </w:r>
      <w:r w:rsidR="000E47C3" w:rsidRPr="00EA2EF6">
        <w:rPr>
          <w:color w:val="000000" w:themeColor="text1"/>
        </w:rPr>
        <w:t>To the extent that any commenters favor these or other interpretations, they should explain how their proposed interpretation comports with the statute</w:t>
      </w:r>
      <w:r w:rsidR="008F7402" w:rsidRPr="00863601">
        <w:rPr>
          <w:color w:val="000000" w:themeColor="text1"/>
        </w:rPr>
        <w:t>, how it would be administered or adjudicated in particular cases,</w:t>
      </w:r>
      <w:r w:rsidR="000E47C3" w:rsidRPr="00863601">
        <w:rPr>
          <w:color w:val="000000" w:themeColor="text1"/>
        </w:rPr>
        <w:t xml:space="preserve"> and describe the policy ramifications.</w:t>
      </w:r>
    </w:p>
    <w:p w:rsidR="002449CC" w:rsidRPr="00863601" w:rsidRDefault="002449CC" w:rsidP="005E5F79">
      <w:pPr>
        <w:pStyle w:val="Heading3"/>
        <w:widowControl/>
        <w:rPr>
          <w:color w:val="000000" w:themeColor="text1"/>
        </w:rPr>
      </w:pPr>
      <w:bookmarkStart w:id="104" w:name="_Toc398540288"/>
      <w:bookmarkStart w:id="105" w:name="_Toc398565510"/>
      <w:bookmarkStart w:id="106" w:name="_Toc398624345"/>
      <w:bookmarkStart w:id="107" w:name="_Toc398746603"/>
      <w:bookmarkStart w:id="108" w:name="_Toc399148307"/>
      <w:bookmarkStart w:id="109" w:name="_Toc399260524"/>
      <w:bookmarkStart w:id="110" w:name="_Toc399316542"/>
      <w:bookmarkStart w:id="111" w:name="_Toc401241700"/>
      <w:bookmarkStart w:id="112" w:name="_Toc401259703"/>
      <w:bookmarkStart w:id="113" w:name="_Toc401312827"/>
      <w:bookmarkStart w:id="114" w:name="_Toc401850534"/>
      <w:bookmarkStart w:id="115" w:name="_Toc402169632"/>
      <w:bookmarkStart w:id="116" w:name="_Toc405301016"/>
      <w:bookmarkStart w:id="117" w:name="_Toc405884720"/>
      <w:bookmarkStart w:id="118" w:name="_Toc406609210"/>
      <w:bookmarkStart w:id="119" w:name="_Toc343875908"/>
      <w:bookmarkStart w:id="120" w:name="_Toc345939756"/>
      <w:bookmarkStart w:id="121" w:name="_Toc345939966"/>
      <w:bookmarkStart w:id="122" w:name="_Toc346121504"/>
      <w:bookmarkStart w:id="123" w:name="_Toc346192526"/>
      <w:bookmarkStart w:id="124" w:name="_Toc346192603"/>
      <w:bookmarkStart w:id="125" w:name="_Toc347490989"/>
      <w:r w:rsidRPr="00863601">
        <w:rPr>
          <w:color w:val="000000" w:themeColor="text1"/>
          <w:lang w:eastAsia="ar-SA"/>
        </w:rPr>
        <w:t>Proposed</w:t>
      </w:r>
      <w:r w:rsidRPr="00863601">
        <w:rPr>
          <w:i/>
          <w:color w:val="000000" w:themeColor="text1"/>
        </w:rPr>
        <w:t xml:space="preserve"> </w:t>
      </w:r>
      <w:r w:rsidRPr="00863601">
        <w:rPr>
          <w:color w:val="000000" w:themeColor="text1"/>
        </w:rPr>
        <w:t>“Linear Programming Interpretation”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63601">
        <w:rPr>
          <w:color w:val="000000" w:themeColor="text1"/>
        </w:rPr>
        <w:t xml:space="preserve">   </w:t>
      </w:r>
    </w:p>
    <w:p w:rsidR="0095021E" w:rsidRPr="00863601" w:rsidRDefault="0095021E" w:rsidP="005E5F79">
      <w:pPr>
        <w:pStyle w:val="ParaNum"/>
        <w:widowControl/>
        <w:rPr>
          <w:color w:val="000000" w:themeColor="text1"/>
        </w:rPr>
      </w:pPr>
      <w:r w:rsidRPr="00863601">
        <w:rPr>
          <w:color w:val="000000" w:themeColor="text1"/>
        </w:rPr>
        <w:t xml:space="preserve">Under our proposed rule, we </w:t>
      </w:r>
      <w:r w:rsidR="008C1C04" w:rsidRPr="00863601">
        <w:rPr>
          <w:color w:val="000000" w:themeColor="text1"/>
        </w:rPr>
        <w:t>would</w:t>
      </w:r>
      <w:r w:rsidRPr="00863601">
        <w:rPr>
          <w:color w:val="000000" w:themeColor="text1"/>
        </w:rPr>
        <w:t xml:space="preserve"> interpret the term “channels of video programming” </w:t>
      </w:r>
      <w:r w:rsidRPr="00863601">
        <w:rPr>
          <w:color w:val="000000" w:themeColor="text1"/>
          <w:szCs w:val="22"/>
        </w:rPr>
        <w:t>to mean prescheduled streams</w:t>
      </w:r>
      <w:r w:rsidR="006212CD" w:rsidRPr="00863601">
        <w:rPr>
          <w:color w:val="000000" w:themeColor="text1"/>
          <w:szCs w:val="22"/>
        </w:rPr>
        <w:t xml:space="preserve"> </w:t>
      </w:r>
      <w:r w:rsidRPr="00863601">
        <w:rPr>
          <w:color w:val="000000" w:themeColor="text1"/>
          <w:szCs w:val="22"/>
        </w:rPr>
        <w:t xml:space="preserve">of video programming </w:t>
      </w:r>
      <w:r w:rsidR="00A251DA" w:rsidRPr="00863601">
        <w:rPr>
          <w:color w:val="000000" w:themeColor="text1"/>
          <w:szCs w:val="22"/>
        </w:rPr>
        <w:t xml:space="preserve">(which we refer to in this </w:t>
      </w:r>
      <w:r w:rsidR="00A251DA" w:rsidRPr="00863601">
        <w:rPr>
          <w:i/>
          <w:color w:val="000000" w:themeColor="text1"/>
          <w:szCs w:val="22"/>
        </w:rPr>
        <w:t>NPRM</w:t>
      </w:r>
      <w:r w:rsidR="00A251DA" w:rsidRPr="00863601">
        <w:rPr>
          <w:color w:val="000000" w:themeColor="text1"/>
          <w:szCs w:val="22"/>
        </w:rPr>
        <w:t xml:space="preserve"> as “linear” programming)</w:t>
      </w:r>
      <w:r w:rsidR="00110BA1" w:rsidRPr="00863601">
        <w:rPr>
          <w:color w:val="000000" w:themeColor="text1"/>
          <w:szCs w:val="22"/>
        </w:rPr>
        <w:t>,</w:t>
      </w:r>
      <w:r w:rsidR="00A251DA" w:rsidRPr="00863601">
        <w:rPr>
          <w:color w:val="000000" w:themeColor="text1"/>
          <w:szCs w:val="22"/>
        </w:rPr>
        <w:t xml:space="preserve"> </w:t>
      </w:r>
      <w:r w:rsidRPr="00863601">
        <w:rPr>
          <w:color w:val="000000" w:themeColor="text1"/>
          <w:szCs w:val="22"/>
        </w:rPr>
        <w:t xml:space="preserve">without regard to </w:t>
      </w:r>
      <w:r w:rsidR="00640D52" w:rsidRPr="00863601">
        <w:rPr>
          <w:color w:val="000000" w:themeColor="text1"/>
          <w:szCs w:val="22"/>
        </w:rPr>
        <w:t>whether the same entity is also providing the transmission path</w:t>
      </w:r>
      <w:r w:rsidRPr="00863601">
        <w:rPr>
          <w:color w:val="000000" w:themeColor="text1"/>
          <w:szCs w:val="22"/>
        </w:rPr>
        <w:t>.</w:t>
      </w:r>
      <w:r w:rsidRPr="00863601">
        <w:rPr>
          <w:rStyle w:val="FootnoteReference"/>
          <w:color w:val="000000" w:themeColor="text1"/>
          <w:szCs w:val="22"/>
        </w:rPr>
        <w:footnoteReference w:id="42"/>
      </w:r>
      <w:r w:rsidR="00BB0F40" w:rsidRPr="00863601">
        <w:rPr>
          <w:color w:val="000000" w:themeColor="text1"/>
          <w:szCs w:val="22"/>
        </w:rPr>
        <w:t xml:space="preserve">  We </w:t>
      </w:r>
      <w:r w:rsidR="00E94323" w:rsidRPr="00863601">
        <w:rPr>
          <w:color w:val="000000" w:themeColor="text1"/>
          <w:szCs w:val="22"/>
        </w:rPr>
        <w:t xml:space="preserve">believe that this is the </w:t>
      </w:r>
      <w:r w:rsidR="00BB407D" w:rsidRPr="00863601">
        <w:rPr>
          <w:color w:val="000000" w:themeColor="text1"/>
          <w:szCs w:val="22"/>
        </w:rPr>
        <w:t xml:space="preserve">better </w:t>
      </w:r>
      <w:r w:rsidR="00E94323" w:rsidRPr="00863601">
        <w:rPr>
          <w:color w:val="000000" w:themeColor="text1"/>
          <w:szCs w:val="22"/>
        </w:rPr>
        <w:t>interpretation for three reasons</w:t>
      </w:r>
      <w:r w:rsidR="00D43BCA" w:rsidRPr="00863601">
        <w:rPr>
          <w:color w:val="000000" w:themeColor="text1"/>
          <w:szCs w:val="22"/>
        </w:rPr>
        <w:t xml:space="preserve">: (i) it is </w:t>
      </w:r>
      <w:r w:rsidR="00935F1C" w:rsidRPr="00863601">
        <w:rPr>
          <w:color w:val="000000" w:themeColor="text1"/>
          <w:szCs w:val="22"/>
        </w:rPr>
        <w:t xml:space="preserve">a reasonable interpretation of </w:t>
      </w:r>
      <w:r w:rsidR="00D43BCA" w:rsidRPr="00863601">
        <w:rPr>
          <w:color w:val="000000" w:themeColor="text1"/>
          <w:szCs w:val="22"/>
        </w:rPr>
        <w:t>the Act</w:t>
      </w:r>
      <w:r w:rsidR="001F7C66" w:rsidRPr="00863601">
        <w:rPr>
          <w:color w:val="000000" w:themeColor="text1"/>
          <w:szCs w:val="22"/>
        </w:rPr>
        <w:t xml:space="preserve"> and </w:t>
      </w:r>
      <w:r w:rsidR="00935F1C" w:rsidRPr="00863601">
        <w:rPr>
          <w:color w:val="000000" w:themeColor="text1"/>
          <w:szCs w:val="22"/>
        </w:rPr>
        <w:t xml:space="preserve">most consistent with </w:t>
      </w:r>
      <w:r w:rsidR="001F7C66" w:rsidRPr="00863601">
        <w:rPr>
          <w:color w:val="000000" w:themeColor="text1"/>
          <w:szCs w:val="22"/>
        </w:rPr>
        <w:t>Congressional intent</w:t>
      </w:r>
      <w:r w:rsidR="00D43BCA" w:rsidRPr="00863601">
        <w:rPr>
          <w:color w:val="000000" w:themeColor="text1"/>
          <w:szCs w:val="22"/>
        </w:rPr>
        <w:t xml:space="preserve">, (ii) it </w:t>
      </w:r>
      <w:r w:rsidR="00BB0F40" w:rsidRPr="00863601">
        <w:rPr>
          <w:color w:val="000000" w:themeColor="text1"/>
          <w:szCs w:val="22"/>
        </w:rPr>
        <w:t>best aligns with consumer expectations and industry developments</w:t>
      </w:r>
      <w:r w:rsidR="00D43BCA" w:rsidRPr="00863601">
        <w:rPr>
          <w:color w:val="000000" w:themeColor="text1"/>
          <w:szCs w:val="22"/>
        </w:rPr>
        <w:t xml:space="preserve">, and (iii) it is consistent with the common meaning of the word channel.  </w:t>
      </w:r>
      <w:r w:rsidR="007A24FF" w:rsidRPr="00863601">
        <w:rPr>
          <w:color w:val="000000" w:themeColor="text1"/>
          <w:szCs w:val="22"/>
        </w:rPr>
        <w:t xml:space="preserve">We seek comment on </w:t>
      </w:r>
      <w:r w:rsidR="00D43BCA" w:rsidRPr="00863601">
        <w:rPr>
          <w:color w:val="000000" w:themeColor="text1"/>
          <w:szCs w:val="22"/>
        </w:rPr>
        <w:t xml:space="preserve">the </w:t>
      </w:r>
      <w:r w:rsidR="007A24FF" w:rsidRPr="00863601">
        <w:rPr>
          <w:color w:val="000000" w:themeColor="text1"/>
          <w:szCs w:val="22"/>
        </w:rPr>
        <w:t>interpretation as set forth below.</w:t>
      </w:r>
      <w:r w:rsidR="00A251DA" w:rsidRPr="00863601">
        <w:rPr>
          <w:color w:val="000000" w:themeColor="text1"/>
          <w:szCs w:val="22"/>
        </w:rPr>
        <w:t xml:space="preserve">  We seek comment </w:t>
      </w:r>
      <w:r w:rsidR="00110BA1" w:rsidRPr="00863601">
        <w:rPr>
          <w:color w:val="000000" w:themeColor="text1"/>
          <w:szCs w:val="22"/>
        </w:rPr>
        <w:t xml:space="preserve">also </w:t>
      </w:r>
      <w:r w:rsidR="00A251DA" w:rsidRPr="00863601">
        <w:rPr>
          <w:color w:val="000000" w:themeColor="text1"/>
          <w:szCs w:val="22"/>
        </w:rPr>
        <w:t xml:space="preserve">on </w:t>
      </w:r>
      <w:r w:rsidR="007D61CF" w:rsidRPr="00863601">
        <w:rPr>
          <w:color w:val="000000" w:themeColor="text1"/>
          <w:szCs w:val="22"/>
        </w:rPr>
        <w:t>our proposal to</w:t>
      </w:r>
      <w:r w:rsidR="00A251DA" w:rsidRPr="00863601">
        <w:rPr>
          <w:color w:val="000000" w:themeColor="text1"/>
        </w:rPr>
        <w:t xml:space="preserve"> define “linear video” </w:t>
      </w:r>
      <w:r w:rsidR="00793A38" w:rsidRPr="00863601">
        <w:rPr>
          <w:color w:val="000000" w:themeColor="text1"/>
        </w:rPr>
        <w:t>as a “</w:t>
      </w:r>
      <w:r w:rsidR="00793A38" w:rsidRPr="00863601">
        <w:rPr>
          <w:color w:val="000000" w:themeColor="text1"/>
          <w:szCs w:val="22"/>
        </w:rPr>
        <w:t>s</w:t>
      </w:r>
      <w:r w:rsidR="00793A38" w:rsidRPr="00863601">
        <w:rPr>
          <w:color w:val="000000" w:themeColor="text1"/>
        </w:rPr>
        <w:t>tream of video programing that is prescheduled by the programmer.”</w:t>
      </w:r>
      <w:r w:rsidR="00A251DA" w:rsidRPr="00863601">
        <w:rPr>
          <w:rStyle w:val="FootnoteReference"/>
          <w:color w:val="000000" w:themeColor="text1"/>
        </w:rPr>
        <w:footnoteReference w:id="43"/>
      </w:r>
    </w:p>
    <w:p w:rsidR="00FC34F8" w:rsidRPr="00863601" w:rsidRDefault="00530E07" w:rsidP="005E5F79">
      <w:pPr>
        <w:pStyle w:val="ParaNum"/>
        <w:widowControl/>
        <w:rPr>
          <w:color w:val="000000" w:themeColor="text1"/>
          <w:lang w:eastAsia="ar-SA"/>
        </w:rPr>
      </w:pPr>
      <w:r w:rsidRPr="00863601">
        <w:rPr>
          <w:color w:val="000000" w:themeColor="text1"/>
        </w:rPr>
        <w:t xml:space="preserve">We tentatively conclude that our proposed </w:t>
      </w:r>
      <w:r w:rsidR="00793A38" w:rsidRPr="00863601">
        <w:rPr>
          <w:color w:val="000000" w:themeColor="text1"/>
        </w:rPr>
        <w:t>L</w:t>
      </w:r>
      <w:r w:rsidR="00A251DA" w:rsidRPr="00863601">
        <w:rPr>
          <w:color w:val="000000" w:themeColor="text1"/>
        </w:rPr>
        <w:t xml:space="preserve">inear </w:t>
      </w:r>
      <w:r w:rsidR="00793A38" w:rsidRPr="00863601">
        <w:rPr>
          <w:color w:val="000000" w:themeColor="text1"/>
        </w:rPr>
        <w:t>P</w:t>
      </w:r>
      <w:r w:rsidR="00A251DA" w:rsidRPr="00863601">
        <w:rPr>
          <w:color w:val="000000" w:themeColor="text1"/>
        </w:rPr>
        <w:t xml:space="preserve">rogramming </w:t>
      </w:r>
      <w:r w:rsidR="00793A38" w:rsidRPr="00863601">
        <w:rPr>
          <w:color w:val="000000" w:themeColor="text1"/>
        </w:rPr>
        <w:t>I</w:t>
      </w:r>
      <w:r w:rsidRPr="00863601">
        <w:rPr>
          <w:color w:val="000000" w:themeColor="text1"/>
        </w:rPr>
        <w:t xml:space="preserve">nterpretation is consistent with the language of the statute.  </w:t>
      </w:r>
      <w:r w:rsidR="001351E2" w:rsidRPr="00863601">
        <w:rPr>
          <w:color w:val="000000" w:themeColor="text1"/>
        </w:rPr>
        <w:t xml:space="preserve">The statutory definition of MVPD begins by stating that an MVPD is a “person </w:t>
      </w:r>
      <w:r w:rsidR="001351E2" w:rsidRPr="00863601">
        <w:rPr>
          <w:i/>
          <w:color w:val="000000" w:themeColor="text1"/>
        </w:rPr>
        <w:t>such as, but not limited to</w:t>
      </w:r>
      <w:r w:rsidR="001351E2" w:rsidRPr="00863601">
        <w:rPr>
          <w:color w:val="000000" w:themeColor="text1"/>
        </w:rPr>
        <w:t>, a cable operator, a multichannel multipoint distribution service, a direct broadcast satellite service, or a television receive-only satellite program distributor . . . .”</w:t>
      </w:r>
      <w:r w:rsidR="001351E2" w:rsidRPr="00863601">
        <w:rPr>
          <w:rStyle w:val="FootnoteReference"/>
          <w:color w:val="000000" w:themeColor="text1"/>
          <w:szCs w:val="22"/>
        </w:rPr>
        <w:footnoteReference w:id="44"/>
      </w:r>
      <w:r w:rsidR="001351E2" w:rsidRPr="00863601">
        <w:rPr>
          <w:color w:val="000000" w:themeColor="text1"/>
        </w:rPr>
        <w:t xml:space="preserve">  In the </w:t>
      </w:r>
      <w:r w:rsidR="001351E2" w:rsidRPr="00863601">
        <w:rPr>
          <w:i/>
          <w:color w:val="000000" w:themeColor="text1"/>
        </w:rPr>
        <w:t>Sky Angel Standstill Denial</w:t>
      </w:r>
      <w:r w:rsidR="001351E2" w:rsidRPr="00863601">
        <w:rPr>
          <w:color w:val="000000" w:themeColor="text1"/>
        </w:rPr>
        <w:t>, the Media Bureau stated that, although the list is preceded by the phrase “not limited to,” making it clear that the list is illustrative rather than exclusive, it is also preceded by the phrase “such as,” which suggests that other covered entities should be “similar” to those listed.</w:t>
      </w:r>
      <w:r w:rsidR="001351E2" w:rsidRPr="00863601">
        <w:rPr>
          <w:rStyle w:val="FootnoteReference"/>
          <w:color w:val="000000" w:themeColor="text1"/>
          <w:szCs w:val="22"/>
        </w:rPr>
        <w:footnoteReference w:id="45"/>
      </w:r>
      <w:r w:rsidR="001351E2" w:rsidRPr="00863601">
        <w:rPr>
          <w:color w:val="000000" w:themeColor="text1"/>
        </w:rPr>
        <w:t xml:space="preserve">  </w:t>
      </w:r>
      <w:r w:rsidR="00C93B0D" w:rsidRPr="00863601">
        <w:rPr>
          <w:color w:val="000000" w:themeColor="text1"/>
        </w:rPr>
        <w:t>We tentatively conclude that the essential element that binds</w:t>
      </w:r>
      <w:r w:rsidR="00793A38" w:rsidRPr="00863601">
        <w:rPr>
          <w:color w:val="000000" w:themeColor="text1"/>
        </w:rPr>
        <w:t xml:space="preserve"> the</w:t>
      </w:r>
      <w:r w:rsidR="00C93B0D" w:rsidRPr="00863601">
        <w:rPr>
          <w:color w:val="000000" w:themeColor="text1"/>
        </w:rPr>
        <w:t xml:space="preserve"> illustrative entities listed in </w:t>
      </w:r>
      <w:r w:rsidR="00A251DA" w:rsidRPr="00863601">
        <w:rPr>
          <w:color w:val="000000" w:themeColor="text1"/>
        </w:rPr>
        <w:t>the provision</w:t>
      </w:r>
      <w:r w:rsidR="00C93B0D" w:rsidRPr="00863601">
        <w:rPr>
          <w:color w:val="000000" w:themeColor="text1"/>
        </w:rPr>
        <w:t xml:space="preserve"> </w:t>
      </w:r>
      <w:r w:rsidR="005E7033" w:rsidRPr="00863601">
        <w:rPr>
          <w:color w:val="000000" w:themeColor="text1"/>
        </w:rPr>
        <w:t>is</w:t>
      </w:r>
      <w:r w:rsidR="00C93B0D" w:rsidRPr="00863601">
        <w:rPr>
          <w:color w:val="000000" w:themeColor="text1"/>
        </w:rPr>
        <w:t xml:space="preserve"> that each makes multiple streams of </w:t>
      </w:r>
      <w:r w:rsidR="00E456D9" w:rsidRPr="00863601">
        <w:rPr>
          <w:color w:val="000000" w:themeColor="text1"/>
        </w:rPr>
        <w:t xml:space="preserve">prescheduled </w:t>
      </w:r>
      <w:r w:rsidR="00C93B0D" w:rsidRPr="00863601">
        <w:rPr>
          <w:color w:val="000000" w:themeColor="text1"/>
        </w:rPr>
        <w:t xml:space="preserve">video </w:t>
      </w:r>
      <w:r w:rsidR="00E456D9" w:rsidRPr="00863601">
        <w:rPr>
          <w:color w:val="000000" w:themeColor="text1"/>
        </w:rPr>
        <w:t xml:space="preserve">programming </w:t>
      </w:r>
      <w:r w:rsidR="00C93B0D" w:rsidRPr="00863601">
        <w:rPr>
          <w:color w:val="000000" w:themeColor="text1"/>
        </w:rPr>
        <w:t xml:space="preserve">available for purchase, </w:t>
      </w:r>
      <w:r w:rsidR="001F7C66" w:rsidRPr="00863601">
        <w:rPr>
          <w:color w:val="000000" w:themeColor="text1"/>
        </w:rPr>
        <w:t>rather than that</w:t>
      </w:r>
      <w:r w:rsidR="00C93B0D" w:rsidRPr="00863601">
        <w:rPr>
          <w:color w:val="000000" w:themeColor="text1"/>
        </w:rPr>
        <w:t xml:space="preserve"> the entity controls the physical distribution network.</w:t>
      </w:r>
      <w:r w:rsidR="004C0D1C" w:rsidRPr="00863601">
        <w:rPr>
          <w:rStyle w:val="FootnoteReference"/>
          <w:color w:val="000000" w:themeColor="text1"/>
        </w:rPr>
        <w:footnoteReference w:id="46"/>
      </w:r>
      <w:r w:rsidR="004C0D1C" w:rsidRPr="00863601">
        <w:rPr>
          <w:color w:val="000000" w:themeColor="text1"/>
          <w:szCs w:val="22"/>
        </w:rPr>
        <w:t xml:space="preserve">  </w:t>
      </w:r>
      <w:r w:rsidR="00FC34F8" w:rsidRPr="00863601">
        <w:rPr>
          <w:color w:val="000000" w:themeColor="text1"/>
        </w:rPr>
        <w:t>Therefore, we believe that our interpretation is consistent with the illustrative list of MVPDs that the statutory definition provides</w:t>
      </w:r>
      <w:r w:rsidR="002B42C0" w:rsidRPr="00863601">
        <w:rPr>
          <w:color w:val="000000" w:themeColor="text1"/>
        </w:rPr>
        <w:t>.</w:t>
      </w:r>
    </w:p>
    <w:p w:rsidR="001351E2" w:rsidRPr="00863601" w:rsidRDefault="002B42C0" w:rsidP="005E5F79">
      <w:pPr>
        <w:pStyle w:val="ParaNum"/>
        <w:widowControl/>
        <w:rPr>
          <w:color w:val="000000" w:themeColor="text1"/>
          <w:lang w:eastAsia="ar-SA"/>
        </w:rPr>
      </w:pPr>
      <w:r w:rsidRPr="00863601">
        <w:rPr>
          <w:color w:val="000000" w:themeColor="text1"/>
        </w:rPr>
        <w:t xml:space="preserve">In addition, </w:t>
      </w:r>
      <w:r w:rsidR="000A139E" w:rsidRPr="00863601">
        <w:rPr>
          <w:color w:val="000000" w:themeColor="text1"/>
        </w:rPr>
        <w:t>t</w:t>
      </w:r>
      <w:r w:rsidR="00C93B0D" w:rsidRPr="00863601">
        <w:rPr>
          <w:color w:val="000000" w:themeColor="text1"/>
        </w:rPr>
        <w:t>he Commission has previously held that an entity need not own or operate the facilities that it uses to distribute video programming to subscribers in order to qualify as an MVPD.</w:t>
      </w:r>
      <w:r w:rsidR="00C93B0D" w:rsidRPr="00863601">
        <w:rPr>
          <w:rStyle w:val="FootnoteReference"/>
          <w:color w:val="000000" w:themeColor="text1"/>
        </w:rPr>
        <w:footnoteReference w:id="47"/>
      </w:r>
      <w:r w:rsidR="00C93B0D" w:rsidRPr="00863601">
        <w:rPr>
          <w:color w:val="000000" w:themeColor="text1"/>
        </w:rPr>
        <w:t xml:space="preserve">  Rather, an MVPD may use a third party’s distribution facilities in order to make video programming available to subscribers.</w:t>
      </w:r>
      <w:r w:rsidR="00C93B0D" w:rsidRPr="00863601">
        <w:rPr>
          <w:rStyle w:val="FootnoteReference"/>
          <w:color w:val="000000" w:themeColor="text1"/>
        </w:rPr>
        <w:footnoteReference w:id="48"/>
      </w:r>
      <w:r w:rsidR="00C93B0D" w:rsidRPr="00863601">
        <w:rPr>
          <w:color w:val="000000" w:themeColor="text1"/>
        </w:rPr>
        <w:t xml:space="preserve">  </w:t>
      </w:r>
      <w:r w:rsidR="00FC34F8" w:rsidRPr="00863601">
        <w:rPr>
          <w:color w:val="000000" w:themeColor="text1"/>
        </w:rPr>
        <w:t xml:space="preserve">We </w:t>
      </w:r>
      <w:r w:rsidR="001E3395" w:rsidRPr="00863601">
        <w:rPr>
          <w:color w:val="000000" w:themeColor="text1"/>
        </w:rPr>
        <w:t xml:space="preserve">find, therefore, that our </w:t>
      </w:r>
      <w:r w:rsidR="00FC34F8" w:rsidRPr="00863601">
        <w:rPr>
          <w:color w:val="000000" w:themeColor="text1"/>
        </w:rPr>
        <w:t>proposed interpretation is consistent with Commission precedent</w:t>
      </w:r>
      <w:r w:rsidR="000B06F2" w:rsidRPr="00863601">
        <w:rPr>
          <w:color w:val="000000" w:themeColor="text1"/>
        </w:rPr>
        <w:t>.</w:t>
      </w:r>
      <w:r w:rsidR="00C93B0D" w:rsidRPr="00863601">
        <w:rPr>
          <w:color w:val="000000" w:themeColor="text1"/>
        </w:rPr>
        <w:t xml:space="preserve">  </w:t>
      </w:r>
      <w:r w:rsidR="00E3057F" w:rsidRPr="00863601">
        <w:rPr>
          <w:color w:val="000000" w:themeColor="text1"/>
        </w:rPr>
        <w:t>We seek comment on this finding.</w:t>
      </w:r>
      <w:r w:rsidR="00C93B0D" w:rsidRPr="00863601">
        <w:rPr>
          <w:color w:val="000000" w:themeColor="text1"/>
        </w:rPr>
        <w:t xml:space="preserve"> </w:t>
      </w:r>
    </w:p>
    <w:p w:rsidR="00724676" w:rsidRPr="00863601" w:rsidRDefault="000B06F2" w:rsidP="005E5F79">
      <w:pPr>
        <w:pStyle w:val="ParaNum"/>
        <w:widowControl/>
        <w:rPr>
          <w:color w:val="000000" w:themeColor="text1"/>
          <w:szCs w:val="22"/>
          <w:lang w:eastAsia="ar-SA"/>
        </w:rPr>
      </w:pPr>
      <w:r w:rsidRPr="00863601">
        <w:rPr>
          <w:color w:val="000000" w:themeColor="text1"/>
          <w:szCs w:val="22"/>
        </w:rPr>
        <w:t xml:space="preserve">We also </w:t>
      </w:r>
      <w:r w:rsidR="00D24B83" w:rsidRPr="00863601">
        <w:rPr>
          <w:color w:val="000000" w:themeColor="text1"/>
          <w:szCs w:val="22"/>
        </w:rPr>
        <w:t>find the term “channel” used in the context of the MVPD definition</w:t>
      </w:r>
      <w:r w:rsidRPr="00863601">
        <w:rPr>
          <w:color w:val="000000" w:themeColor="text1"/>
          <w:szCs w:val="22"/>
        </w:rPr>
        <w:t xml:space="preserve"> </w:t>
      </w:r>
      <w:r w:rsidR="00D24B83" w:rsidRPr="00863601">
        <w:rPr>
          <w:color w:val="000000" w:themeColor="text1"/>
          <w:szCs w:val="22"/>
        </w:rPr>
        <w:t>(</w:t>
      </w:r>
      <w:r w:rsidR="00D24B83" w:rsidRPr="00863601">
        <w:rPr>
          <w:i/>
          <w:color w:val="000000" w:themeColor="text1"/>
          <w:szCs w:val="22"/>
        </w:rPr>
        <w:t>i.e.,</w:t>
      </w:r>
      <w:r w:rsidR="00D24B83" w:rsidRPr="00863601">
        <w:rPr>
          <w:color w:val="000000" w:themeColor="text1"/>
          <w:szCs w:val="22"/>
        </w:rPr>
        <w:t xml:space="preserve"> </w:t>
      </w:r>
      <w:r w:rsidR="00A7457F" w:rsidRPr="00863601">
        <w:rPr>
          <w:color w:val="000000" w:themeColor="text1"/>
          <w:szCs w:val="22"/>
        </w:rPr>
        <w:t>“multiple</w:t>
      </w:r>
      <w:r w:rsidRPr="00863601">
        <w:rPr>
          <w:color w:val="000000" w:themeColor="text1"/>
          <w:szCs w:val="22"/>
        </w:rPr>
        <w:t xml:space="preserve"> channel</w:t>
      </w:r>
      <w:r w:rsidR="00A7457F" w:rsidRPr="00863601">
        <w:rPr>
          <w:color w:val="000000" w:themeColor="text1"/>
          <w:szCs w:val="22"/>
        </w:rPr>
        <w:t>s of video programming”</w:t>
      </w:r>
      <w:r w:rsidR="00D24B83" w:rsidRPr="00863601">
        <w:rPr>
          <w:color w:val="000000" w:themeColor="text1"/>
          <w:szCs w:val="22"/>
        </w:rPr>
        <w:t xml:space="preserve">) to be ambiguous.  Further, we tentatively conclude that Congress did not intend the term “channel” </w:t>
      </w:r>
      <w:r w:rsidR="000879F3" w:rsidRPr="00863601">
        <w:rPr>
          <w:color w:val="000000" w:themeColor="text1"/>
          <w:szCs w:val="22"/>
        </w:rPr>
        <w:t xml:space="preserve">in this context </w:t>
      </w:r>
      <w:r w:rsidR="00D24B83" w:rsidRPr="00863601">
        <w:rPr>
          <w:color w:val="000000" w:themeColor="text1"/>
          <w:szCs w:val="22"/>
        </w:rPr>
        <w:t xml:space="preserve">to be interpreted in accordance with the definition </w:t>
      </w:r>
      <w:r w:rsidR="00D62E53" w:rsidRPr="00863601">
        <w:rPr>
          <w:color w:val="000000" w:themeColor="text1"/>
          <w:szCs w:val="22"/>
        </w:rPr>
        <w:t>in</w:t>
      </w:r>
      <w:r w:rsidR="00D24B83" w:rsidRPr="00863601">
        <w:rPr>
          <w:color w:val="000000" w:themeColor="text1"/>
          <w:szCs w:val="22"/>
        </w:rPr>
        <w:t xml:space="preserve"> Section 602(4) of the Act,</w:t>
      </w:r>
      <w:r w:rsidR="00CA6274" w:rsidRPr="00863601">
        <w:rPr>
          <w:rStyle w:val="FootnoteReference"/>
          <w:color w:val="000000" w:themeColor="text1"/>
          <w:szCs w:val="22"/>
        </w:rPr>
        <w:footnoteReference w:id="49"/>
      </w:r>
      <w:r w:rsidR="000879F3" w:rsidRPr="00863601">
        <w:rPr>
          <w:color w:val="000000" w:themeColor="text1"/>
          <w:szCs w:val="22"/>
        </w:rPr>
        <w:t xml:space="preserve"> </w:t>
      </w:r>
      <w:r w:rsidR="00D24B83" w:rsidRPr="00863601">
        <w:rPr>
          <w:color w:val="000000" w:themeColor="text1"/>
          <w:szCs w:val="22"/>
        </w:rPr>
        <w:t>but rather intended the term to be given its ordinary and common meaning.</w:t>
      </w:r>
      <w:r w:rsidR="00A251DA" w:rsidRPr="00863601">
        <w:rPr>
          <w:color w:val="000000" w:themeColor="text1"/>
          <w:szCs w:val="22"/>
        </w:rPr>
        <w:t xml:space="preserve"> </w:t>
      </w:r>
      <w:r w:rsidRPr="00863601">
        <w:rPr>
          <w:color w:val="000000" w:themeColor="text1"/>
          <w:szCs w:val="22"/>
        </w:rPr>
        <w:t xml:space="preserve"> </w:t>
      </w:r>
      <w:r w:rsidR="003279BA" w:rsidRPr="00863601">
        <w:rPr>
          <w:color w:val="000000" w:themeColor="text1"/>
        </w:rPr>
        <w:t xml:space="preserve">The Act </w:t>
      </w:r>
      <w:r w:rsidR="00723E8D" w:rsidRPr="00863601">
        <w:rPr>
          <w:color w:val="000000" w:themeColor="text1"/>
        </w:rPr>
        <w:t>state</w:t>
      </w:r>
      <w:r w:rsidRPr="00863601">
        <w:rPr>
          <w:color w:val="000000" w:themeColor="text1"/>
        </w:rPr>
        <w:t>s</w:t>
      </w:r>
      <w:r w:rsidR="00723E8D" w:rsidRPr="00863601">
        <w:rPr>
          <w:color w:val="000000" w:themeColor="text1"/>
        </w:rPr>
        <w:t xml:space="preserve"> that “the term ‘</w:t>
      </w:r>
      <w:r w:rsidR="00723E8D" w:rsidRPr="00863601">
        <w:rPr>
          <w:i/>
          <w:color w:val="000000" w:themeColor="text1"/>
        </w:rPr>
        <w:t>cable</w:t>
      </w:r>
      <w:r w:rsidR="00723E8D" w:rsidRPr="00863601">
        <w:rPr>
          <w:color w:val="000000" w:themeColor="text1"/>
        </w:rPr>
        <w:t xml:space="preserve"> channel’ or ‘channel’ means a portion of the electromagnetic frequency spectrum </w:t>
      </w:r>
      <w:r w:rsidR="00723E8D" w:rsidRPr="00863601">
        <w:rPr>
          <w:i/>
          <w:color w:val="000000" w:themeColor="text1"/>
        </w:rPr>
        <w:t>which is used in a cable system</w:t>
      </w:r>
      <w:r w:rsidR="00723E8D" w:rsidRPr="00863601">
        <w:rPr>
          <w:color w:val="000000" w:themeColor="text1"/>
        </w:rPr>
        <w:t xml:space="preserve"> and which is capable of delivering a television channel (as television channel is defined by the Commission by regulation).</w:t>
      </w:r>
      <w:r w:rsidR="003279BA" w:rsidRPr="00863601">
        <w:rPr>
          <w:rStyle w:val="FootnoteReference"/>
          <w:snapToGrid/>
          <w:color w:val="000000" w:themeColor="text1"/>
          <w:kern w:val="0"/>
          <w:szCs w:val="22"/>
        </w:rPr>
        <w:footnoteReference w:id="50"/>
      </w:r>
      <w:r w:rsidR="003279BA" w:rsidRPr="00863601">
        <w:rPr>
          <w:snapToGrid/>
          <w:color w:val="000000" w:themeColor="text1"/>
          <w:szCs w:val="22"/>
        </w:rPr>
        <w:t xml:space="preserve">  </w:t>
      </w:r>
      <w:r w:rsidR="000879F3" w:rsidRPr="00863601">
        <w:rPr>
          <w:snapToGrid/>
          <w:color w:val="000000" w:themeColor="text1"/>
          <w:szCs w:val="22"/>
        </w:rPr>
        <w:t>T</w:t>
      </w:r>
      <w:r w:rsidR="00A7457F" w:rsidRPr="00863601">
        <w:rPr>
          <w:snapToGrid/>
          <w:color w:val="000000" w:themeColor="text1"/>
          <w:szCs w:val="22"/>
        </w:rPr>
        <w:t xml:space="preserve">his </w:t>
      </w:r>
      <w:r w:rsidR="003279BA" w:rsidRPr="00863601">
        <w:rPr>
          <w:snapToGrid/>
          <w:color w:val="000000" w:themeColor="text1"/>
          <w:szCs w:val="22"/>
        </w:rPr>
        <w:t xml:space="preserve">definition </w:t>
      </w:r>
      <w:r w:rsidR="003279BA" w:rsidRPr="00863601">
        <w:rPr>
          <w:color w:val="000000" w:themeColor="text1"/>
          <w:szCs w:val="22"/>
        </w:rPr>
        <w:t xml:space="preserve">was adopted in the 1984 Cable Act, which focused </w:t>
      </w:r>
      <w:r w:rsidR="00CA6274" w:rsidRPr="00863601">
        <w:rPr>
          <w:color w:val="000000" w:themeColor="text1"/>
          <w:szCs w:val="22"/>
        </w:rPr>
        <w:t xml:space="preserve">primarily </w:t>
      </w:r>
      <w:r w:rsidR="003279BA" w:rsidRPr="00863601">
        <w:rPr>
          <w:color w:val="000000" w:themeColor="text1"/>
          <w:szCs w:val="22"/>
        </w:rPr>
        <w:t>on the regulation of cable television.</w:t>
      </w:r>
      <w:r w:rsidR="003279BA" w:rsidRPr="00863601">
        <w:rPr>
          <w:rStyle w:val="FootnoteReference"/>
          <w:color w:val="000000" w:themeColor="text1"/>
          <w:szCs w:val="22"/>
        </w:rPr>
        <w:footnoteReference w:id="51"/>
      </w:r>
      <w:r w:rsidR="003279BA" w:rsidRPr="00863601">
        <w:rPr>
          <w:color w:val="000000" w:themeColor="text1"/>
          <w:szCs w:val="22"/>
        </w:rPr>
        <w:t xml:space="preserve">  </w:t>
      </w:r>
      <w:r w:rsidR="00A7457F" w:rsidRPr="00863601">
        <w:rPr>
          <w:rStyle w:val="ptext-1"/>
          <w:color w:val="000000" w:themeColor="text1"/>
          <w:szCs w:val="22"/>
        </w:rPr>
        <w:t xml:space="preserve">In contrast, the </w:t>
      </w:r>
      <w:r w:rsidR="003279BA" w:rsidRPr="00863601">
        <w:rPr>
          <w:rStyle w:val="ptext-1"/>
          <w:color w:val="000000" w:themeColor="text1"/>
          <w:szCs w:val="22"/>
        </w:rPr>
        <w:t>t</w:t>
      </w:r>
      <w:r w:rsidR="003279BA" w:rsidRPr="00863601">
        <w:rPr>
          <w:color w:val="000000" w:themeColor="text1"/>
          <w:szCs w:val="22"/>
        </w:rPr>
        <w:t>erm “MVPD”</w:t>
      </w:r>
      <w:r w:rsidR="00A7457F" w:rsidRPr="00863601">
        <w:rPr>
          <w:color w:val="000000" w:themeColor="text1"/>
          <w:szCs w:val="22"/>
        </w:rPr>
        <w:t xml:space="preserve"> </w:t>
      </w:r>
      <w:r w:rsidR="003279BA" w:rsidRPr="00863601">
        <w:rPr>
          <w:color w:val="000000" w:themeColor="text1"/>
          <w:szCs w:val="22"/>
        </w:rPr>
        <w:t>was adopted by Congress eight years later in 1992</w:t>
      </w:r>
      <w:r w:rsidR="00D97F96" w:rsidRPr="00863601">
        <w:rPr>
          <w:color w:val="000000" w:themeColor="text1"/>
          <w:szCs w:val="22"/>
        </w:rPr>
        <w:t>,</w:t>
      </w:r>
      <w:r w:rsidR="003279BA" w:rsidRPr="00863601">
        <w:rPr>
          <w:color w:val="000000" w:themeColor="text1"/>
          <w:szCs w:val="22"/>
        </w:rPr>
        <w:t xml:space="preserve"> when new competitors to cable were emerging</w:t>
      </w:r>
      <w:r w:rsidR="00D97F96" w:rsidRPr="00863601">
        <w:rPr>
          <w:color w:val="000000" w:themeColor="text1"/>
          <w:szCs w:val="22"/>
        </w:rPr>
        <w:t>,</w:t>
      </w:r>
      <w:r w:rsidR="003279BA" w:rsidRPr="00863601">
        <w:rPr>
          <w:color w:val="000000" w:themeColor="text1"/>
          <w:szCs w:val="22"/>
        </w:rPr>
        <w:t xml:space="preserve"> and is specifically </w:t>
      </w:r>
      <w:r w:rsidR="00434A8E" w:rsidRPr="00863601">
        <w:rPr>
          <w:color w:val="000000" w:themeColor="text1"/>
          <w:szCs w:val="22"/>
        </w:rPr>
        <w:t>“</w:t>
      </w:r>
      <w:r w:rsidR="003279BA" w:rsidRPr="00863601">
        <w:rPr>
          <w:color w:val="000000" w:themeColor="text1"/>
          <w:szCs w:val="22"/>
        </w:rPr>
        <w:t>not limited</w:t>
      </w:r>
      <w:r w:rsidR="00434A8E" w:rsidRPr="00863601">
        <w:rPr>
          <w:color w:val="000000" w:themeColor="text1"/>
          <w:szCs w:val="22"/>
        </w:rPr>
        <w:t>”</w:t>
      </w:r>
      <w:r w:rsidR="003279BA" w:rsidRPr="00863601">
        <w:rPr>
          <w:color w:val="000000" w:themeColor="text1"/>
          <w:szCs w:val="22"/>
        </w:rPr>
        <w:t xml:space="preserve"> </w:t>
      </w:r>
      <w:r w:rsidR="005E7033" w:rsidRPr="00863601">
        <w:rPr>
          <w:color w:val="000000" w:themeColor="text1"/>
          <w:szCs w:val="22"/>
        </w:rPr>
        <w:t xml:space="preserve">solely </w:t>
      </w:r>
      <w:r w:rsidR="003279BA" w:rsidRPr="00863601">
        <w:rPr>
          <w:color w:val="000000" w:themeColor="text1"/>
          <w:szCs w:val="22"/>
        </w:rPr>
        <w:t xml:space="preserve">to cable </w:t>
      </w:r>
      <w:r w:rsidR="00CA6274" w:rsidRPr="00863601">
        <w:rPr>
          <w:color w:val="000000" w:themeColor="text1"/>
          <w:szCs w:val="22"/>
        </w:rPr>
        <w:t>operators</w:t>
      </w:r>
      <w:r w:rsidR="003279BA" w:rsidRPr="00863601">
        <w:rPr>
          <w:color w:val="000000" w:themeColor="text1"/>
          <w:szCs w:val="22"/>
        </w:rPr>
        <w:t>.</w:t>
      </w:r>
      <w:r w:rsidR="003279BA" w:rsidRPr="00863601">
        <w:rPr>
          <w:rStyle w:val="FootnoteReference"/>
          <w:color w:val="000000" w:themeColor="text1"/>
          <w:szCs w:val="22"/>
        </w:rPr>
        <w:footnoteReference w:id="52"/>
      </w:r>
      <w:r w:rsidR="003279BA" w:rsidRPr="00863601">
        <w:rPr>
          <w:color w:val="000000" w:themeColor="text1"/>
          <w:szCs w:val="22"/>
        </w:rPr>
        <w:t xml:space="preserve">  Therefore, we tentatively conclude that </w:t>
      </w:r>
      <w:r w:rsidR="003279BA" w:rsidRPr="00863601">
        <w:rPr>
          <w:snapToGrid/>
          <w:color w:val="000000" w:themeColor="text1"/>
          <w:szCs w:val="22"/>
        </w:rPr>
        <w:t>we should not rely on the</w:t>
      </w:r>
      <w:r w:rsidR="003279BA" w:rsidRPr="00863601">
        <w:rPr>
          <w:color w:val="000000" w:themeColor="text1"/>
          <w:szCs w:val="22"/>
        </w:rPr>
        <w:t xml:space="preserve"> cable-specific definition of the term “channel” to interpret the definition of “MVPD,” which is </w:t>
      </w:r>
      <w:r w:rsidR="00DE2B59" w:rsidRPr="00863601">
        <w:rPr>
          <w:color w:val="000000" w:themeColor="text1"/>
          <w:szCs w:val="22"/>
        </w:rPr>
        <w:t xml:space="preserve">explicitly defined </w:t>
      </w:r>
      <w:r w:rsidR="003279BA" w:rsidRPr="00863601">
        <w:rPr>
          <w:color w:val="000000" w:themeColor="text1"/>
          <w:szCs w:val="22"/>
        </w:rPr>
        <w:t xml:space="preserve">to encompass video programming distributors that include, but are not limited to, cable </w:t>
      </w:r>
      <w:r w:rsidR="00CA6274" w:rsidRPr="00863601">
        <w:rPr>
          <w:color w:val="000000" w:themeColor="text1"/>
          <w:szCs w:val="22"/>
        </w:rPr>
        <w:t>operators</w:t>
      </w:r>
      <w:r w:rsidR="006F2BA4" w:rsidRPr="00863601">
        <w:rPr>
          <w:color w:val="000000" w:themeColor="text1"/>
          <w:szCs w:val="22"/>
        </w:rPr>
        <w:t>.</w:t>
      </w:r>
      <w:r w:rsidR="003279BA" w:rsidRPr="00863601">
        <w:rPr>
          <w:rStyle w:val="FootnoteReference"/>
          <w:color w:val="000000" w:themeColor="text1"/>
          <w:szCs w:val="22"/>
        </w:rPr>
        <w:footnoteReference w:id="53"/>
      </w:r>
      <w:r w:rsidR="003279BA" w:rsidRPr="00863601">
        <w:rPr>
          <w:color w:val="000000" w:themeColor="text1"/>
          <w:szCs w:val="22"/>
        </w:rPr>
        <w:t xml:space="preserve">  </w:t>
      </w:r>
    </w:p>
    <w:p w:rsidR="00337E57" w:rsidRPr="00863601" w:rsidRDefault="003279BA" w:rsidP="005E5F79">
      <w:pPr>
        <w:pStyle w:val="ParaNum"/>
        <w:widowControl/>
        <w:rPr>
          <w:color w:val="000000" w:themeColor="text1"/>
          <w:szCs w:val="22"/>
          <w:lang w:eastAsia="ar-SA"/>
        </w:rPr>
      </w:pPr>
      <w:r w:rsidRPr="00863601">
        <w:rPr>
          <w:color w:val="000000" w:themeColor="text1"/>
          <w:szCs w:val="22"/>
        </w:rPr>
        <w:t xml:space="preserve">Moreover, using the </w:t>
      </w:r>
      <w:r w:rsidR="000879F3" w:rsidRPr="00863601">
        <w:rPr>
          <w:color w:val="000000" w:themeColor="text1"/>
          <w:szCs w:val="22"/>
        </w:rPr>
        <w:t>cable-specific definition of</w:t>
      </w:r>
      <w:r w:rsidRPr="00863601">
        <w:rPr>
          <w:color w:val="000000" w:themeColor="text1"/>
          <w:szCs w:val="22"/>
        </w:rPr>
        <w:t xml:space="preserve"> “channel” </w:t>
      </w:r>
      <w:r w:rsidR="00A7457F" w:rsidRPr="00863601">
        <w:rPr>
          <w:color w:val="000000" w:themeColor="text1"/>
          <w:szCs w:val="22"/>
        </w:rPr>
        <w:t xml:space="preserve">to </w:t>
      </w:r>
      <w:r w:rsidRPr="00863601">
        <w:rPr>
          <w:color w:val="000000" w:themeColor="text1"/>
          <w:szCs w:val="22"/>
        </w:rPr>
        <w:t>interpret the definition of “MVPD” does not seem consistent with the illustrative list of MVPDs</w:t>
      </w:r>
      <w:r w:rsidR="006F2BA4" w:rsidRPr="00863601">
        <w:rPr>
          <w:color w:val="000000" w:themeColor="text1"/>
          <w:szCs w:val="22"/>
        </w:rPr>
        <w:t xml:space="preserve"> that is included in the </w:t>
      </w:r>
      <w:r w:rsidR="00257ABA" w:rsidRPr="00863601">
        <w:rPr>
          <w:color w:val="000000" w:themeColor="text1"/>
          <w:szCs w:val="22"/>
        </w:rPr>
        <w:t>definition</w:t>
      </w:r>
      <w:r w:rsidRPr="00863601">
        <w:rPr>
          <w:color w:val="000000" w:themeColor="text1"/>
          <w:szCs w:val="22"/>
        </w:rPr>
        <w:t>.</w:t>
      </w:r>
      <w:r w:rsidRPr="00863601">
        <w:rPr>
          <w:rStyle w:val="FootnoteReference"/>
          <w:color w:val="000000" w:themeColor="text1"/>
          <w:szCs w:val="22"/>
        </w:rPr>
        <w:footnoteReference w:id="54"/>
      </w:r>
      <w:r w:rsidR="006F2BA4" w:rsidRPr="00863601">
        <w:rPr>
          <w:color w:val="000000" w:themeColor="text1"/>
          <w:szCs w:val="22"/>
        </w:rPr>
        <w:t xml:space="preserve">  For example, DBS providers are specifically included in the definition as MVPDs, but the linear streams of video programming that they provide to subscribers do not align with </w:t>
      </w:r>
      <w:r w:rsidR="005A3A8B" w:rsidRPr="00863601">
        <w:rPr>
          <w:color w:val="000000" w:themeColor="text1"/>
          <w:szCs w:val="22"/>
        </w:rPr>
        <w:t xml:space="preserve">the definition of “channel” in </w:t>
      </w:r>
      <w:r w:rsidR="006F2BA4" w:rsidRPr="00863601">
        <w:rPr>
          <w:color w:val="000000" w:themeColor="text1"/>
          <w:szCs w:val="22"/>
        </w:rPr>
        <w:t>Section 602</w:t>
      </w:r>
      <w:r w:rsidR="000879F3" w:rsidRPr="00863601">
        <w:rPr>
          <w:color w:val="000000" w:themeColor="text1"/>
          <w:szCs w:val="22"/>
        </w:rPr>
        <w:t>(4)</w:t>
      </w:r>
      <w:r w:rsidR="006F2BA4" w:rsidRPr="00863601">
        <w:rPr>
          <w:color w:val="000000" w:themeColor="text1"/>
          <w:szCs w:val="22"/>
        </w:rPr>
        <w:t xml:space="preserve"> of the Act</w:t>
      </w:r>
      <w:r w:rsidR="00D97F96" w:rsidRPr="00863601">
        <w:rPr>
          <w:color w:val="000000" w:themeColor="text1"/>
          <w:szCs w:val="22"/>
        </w:rPr>
        <w:t>,</w:t>
      </w:r>
      <w:r w:rsidR="00C07068" w:rsidRPr="00863601">
        <w:rPr>
          <w:color w:val="000000" w:themeColor="text1"/>
          <w:szCs w:val="22"/>
        </w:rPr>
        <w:t xml:space="preserve"> because that definition specifically refers to the electromagnetic spectrum “used in a cable system</w:t>
      </w:r>
      <w:r w:rsidR="00F424EA" w:rsidRPr="00863601">
        <w:rPr>
          <w:color w:val="000000" w:themeColor="text1"/>
          <w:szCs w:val="22"/>
        </w:rPr>
        <w:t>.</w:t>
      </w:r>
      <w:r w:rsidR="00C07068" w:rsidRPr="00863601">
        <w:rPr>
          <w:color w:val="000000" w:themeColor="text1"/>
          <w:szCs w:val="22"/>
        </w:rPr>
        <w:t>”</w:t>
      </w:r>
      <w:r w:rsidRPr="00863601">
        <w:rPr>
          <w:color w:val="000000" w:themeColor="text1"/>
          <w:szCs w:val="22"/>
        </w:rPr>
        <w:t xml:space="preserve">  </w:t>
      </w:r>
      <w:r w:rsidR="00434A8E" w:rsidRPr="00863601">
        <w:rPr>
          <w:color w:val="000000" w:themeColor="text1"/>
          <w:szCs w:val="22"/>
        </w:rPr>
        <w:t>If</w:t>
      </w:r>
      <w:r w:rsidR="00A7457F" w:rsidRPr="00863601">
        <w:rPr>
          <w:color w:val="000000" w:themeColor="text1"/>
          <w:szCs w:val="22"/>
        </w:rPr>
        <w:t xml:space="preserve"> </w:t>
      </w:r>
      <w:r w:rsidR="00475FC7" w:rsidRPr="00863601">
        <w:rPr>
          <w:color w:val="000000" w:themeColor="text1"/>
          <w:szCs w:val="22"/>
        </w:rPr>
        <w:t xml:space="preserve">Congress intended </w:t>
      </w:r>
      <w:r w:rsidR="00312BA7" w:rsidRPr="00863601">
        <w:rPr>
          <w:color w:val="000000" w:themeColor="text1"/>
          <w:szCs w:val="22"/>
        </w:rPr>
        <w:t xml:space="preserve">an </w:t>
      </w:r>
      <w:r w:rsidR="001E3395" w:rsidRPr="00863601">
        <w:rPr>
          <w:color w:val="000000" w:themeColor="text1"/>
          <w:szCs w:val="22"/>
        </w:rPr>
        <w:t xml:space="preserve">entity </w:t>
      </w:r>
      <w:r w:rsidR="00312BA7" w:rsidRPr="00863601">
        <w:rPr>
          <w:color w:val="000000" w:themeColor="text1"/>
          <w:szCs w:val="22"/>
        </w:rPr>
        <w:t>to have control over the transmission path</w:t>
      </w:r>
      <w:r w:rsidR="001E3395" w:rsidRPr="00863601">
        <w:rPr>
          <w:color w:val="000000" w:themeColor="text1"/>
          <w:szCs w:val="22"/>
        </w:rPr>
        <w:t xml:space="preserve"> in order to be deemed an MVPD</w:t>
      </w:r>
      <w:r w:rsidR="00312BA7" w:rsidRPr="00863601">
        <w:rPr>
          <w:color w:val="000000" w:themeColor="text1"/>
          <w:szCs w:val="22"/>
        </w:rPr>
        <w:t>,</w:t>
      </w:r>
      <w:r w:rsidR="00434A8E" w:rsidRPr="00863601">
        <w:rPr>
          <w:color w:val="000000" w:themeColor="text1"/>
          <w:szCs w:val="22"/>
        </w:rPr>
        <w:t xml:space="preserve"> presumably</w:t>
      </w:r>
      <w:r w:rsidR="00312BA7" w:rsidRPr="00863601">
        <w:rPr>
          <w:color w:val="000000" w:themeColor="text1"/>
          <w:szCs w:val="22"/>
        </w:rPr>
        <w:t xml:space="preserve"> </w:t>
      </w:r>
      <w:r w:rsidR="00475FC7" w:rsidRPr="00863601">
        <w:rPr>
          <w:color w:val="000000" w:themeColor="text1"/>
          <w:szCs w:val="22"/>
        </w:rPr>
        <w:t xml:space="preserve">it would have </w:t>
      </w:r>
      <w:r w:rsidR="003C3E9C" w:rsidRPr="00863601">
        <w:rPr>
          <w:color w:val="000000" w:themeColor="text1"/>
          <w:szCs w:val="22"/>
        </w:rPr>
        <w:t xml:space="preserve">explicitly </w:t>
      </w:r>
      <w:r w:rsidR="00D97F96" w:rsidRPr="00863601">
        <w:rPr>
          <w:color w:val="000000" w:themeColor="text1"/>
          <w:szCs w:val="22"/>
        </w:rPr>
        <w:t>specified that</w:t>
      </w:r>
      <w:r w:rsidR="00475FC7" w:rsidRPr="00863601">
        <w:rPr>
          <w:color w:val="000000" w:themeColor="text1"/>
          <w:szCs w:val="22"/>
        </w:rPr>
        <w:t xml:space="preserve"> in the definition</w:t>
      </w:r>
      <w:r w:rsidR="00312BA7" w:rsidRPr="00863601">
        <w:rPr>
          <w:color w:val="000000" w:themeColor="text1"/>
          <w:szCs w:val="22"/>
        </w:rPr>
        <w:t xml:space="preserve"> of MVPD</w:t>
      </w:r>
      <w:r w:rsidR="00475FC7" w:rsidRPr="00863601">
        <w:rPr>
          <w:color w:val="000000" w:themeColor="text1"/>
          <w:szCs w:val="22"/>
        </w:rPr>
        <w:t>, as it did with the definition of cable system</w:t>
      </w:r>
      <w:r w:rsidR="00A7457F" w:rsidRPr="00863601">
        <w:rPr>
          <w:color w:val="000000" w:themeColor="text1"/>
          <w:szCs w:val="22"/>
        </w:rPr>
        <w:t>.</w:t>
      </w:r>
      <w:r w:rsidR="00A7457F" w:rsidRPr="00863601">
        <w:rPr>
          <w:rStyle w:val="FootnoteReference"/>
          <w:color w:val="000000" w:themeColor="text1"/>
          <w:szCs w:val="22"/>
        </w:rPr>
        <w:footnoteReference w:id="55"/>
      </w:r>
      <w:r w:rsidR="00A7457F" w:rsidRPr="00863601">
        <w:rPr>
          <w:color w:val="000000" w:themeColor="text1"/>
          <w:szCs w:val="22"/>
        </w:rPr>
        <w:t xml:space="preserve">  </w:t>
      </w:r>
      <w:r w:rsidR="006F2BA4" w:rsidRPr="00863601">
        <w:rPr>
          <w:color w:val="000000" w:themeColor="text1"/>
          <w:szCs w:val="22"/>
        </w:rPr>
        <w:t>Therefore, w</w:t>
      </w:r>
      <w:r w:rsidRPr="00863601">
        <w:rPr>
          <w:color w:val="000000" w:themeColor="text1"/>
          <w:szCs w:val="22"/>
        </w:rPr>
        <w:t>e tentatively conclude that</w:t>
      </w:r>
      <w:r w:rsidR="00724676" w:rsidRPr="00863601">
        <w:rPr>
          <w:color w:val="000000" w:themeColor="text1"/>
          <w:szCs w:val="22"/>
        </w:rPr>
        <w:t>,</w:t>
      </w:r>
      <w:r w:rsidRPr="00863601">
        <w:rPr>
          <w:color w:val="000000" w:themeColor="text1"/>
          <w:szCs w:val="22"/>
        </w:rPr>
        <w:t xml:space="preserve"> </w:t>
      </w:r>
      <w:r w:rsidR="00312BA7" w:rsidRPr="00863601">
        <w:rPr>
          <w:color w:val="000000" w:themeColor="text1"/>
          <w:szCs w:val="22"/>
        </w:rPr>
        <w:t xml:space="preserve">when </w:t>
      </w:r>
      <w:r w:rsidR="009E2953" w:rsidRPr="00863601">
        <w:rPr>
          <w:color w:val="000000" w:themeColor="text1"/>
          <w:szCs w:val="22"/>
        </w:rPr>
        <w:t xml:space="preserve">Congress </w:t>
      </w:r>
      <w:r w:rsidRPr="00863601">
        <w:rPr>
          <w:color w:val="000000" w:themeColor="text1"/>
          <w:szCs w:val="22"/>
        </w:rPr>
        <w:t>d</w:t>
      </w:r>
      <w:r w:rsidR="00312BA7" w:rsidRPr="00863601">
        <w:rPr>
          <w:color w:val="000000" w:themeColor="text1"/>
          <w:szCs w:val="22"/>
        </w:rPr>
        <w:t xml:space="preserve">efined an MVPD as an entity that “makes available . . . </w:t>
      </w:r>
      <w:r w:rsidR="00530E07" w:rsidRPr="00863601">
        <w:rPr>
          <w:color w:val="000000" w:themeColor="text1"/>
          <w:szCs w:val="22"/>
        </w:rPr>
        <w:t>channels of video programming</w:t>
      </w:r>
      <w:r w:rsidR="00724676" w:rsidRPr="00863601">
        <w:rPr>
          <w:color w:val="000000" w:themeColor="text1"/>
          <w:szCs w:val="22"/>
        </w:rPr>
        <w:t>,</w:t>
      </w:r>
      <w:r w:rsidR="00530E07" w:rsidRPr="00863601">
        <w:rPr>
          <w:color w:val="000000" w:themeColor="text1"/>
          <w:szCs w:val="22"/>
        </w:rPr>
        <w:t xml:space="preserve">” </w:t>
      </w:r>
      <w:r w:rsidR="00312BA7" w:rsidRPr="00863601">
        <w:rPr>
          <w:color w:val="000000" w:themeColor="text1"/>
          <w:szCs w:val="22"/>
        </w:rPr>
        <w:t>it did not intend to</w:t>
      </w:r>
      <w:r w:rsidR="000F4A46" w:rsidRPr="00863601">
        <w:rPr>
          <w:color w:val="000000" w:themeColor="text1"/>
          <w:szCs w:val="22"/>
        </w:rPr>
        <w:t xml:space="preserve"> limit the types of entities </w:t>
      </w:r>
      <w:r w:rsidR="00772FA0" w:rsidRPr="00863601">
        <w:rPr>
          <w:color w:val="000000" w:themeColor="text1"/>
          <w:szCs w:val="22"/>
        </w:rPr>
        <w:t>that meet the definition</w:t>
      </w:r>
      <w:r w:rsidR="00312BA7" w:rsidRPr="00863601">
        <w:rPr>
          <w:color w:val="000000" w:themeColor="text1"/>
          <w:szCs w:val="22"/>
        </w:rPr>
        <w:t xml:space="preserve"> to </w:t>
      </w:r>
      <w:r w:rsidR="000F4A46" w:rsidRPr="00863601">
        <w:rPr>
          <w:color w:val="000000" w:themeColor="text1"/>
          <w:szCs w:val="22"/>
        </w:rPr>
        <w:t xml:space="preserve">only those that </w:t>
      </w:r>
      <w:r w:rsidR="00312BA7" w:rsidRPr="00863601">
        <w:rPr>
          <w:color w:val="000000" w:themeColor="text1"/>
          <w:szCs w:val="22"/>
        </w:rPr>
        <w:t>control the physical method of delivery (</w:t>
      </w:r>
      <w:r w:rsidR="00312BA7" w:rsidRPr="00863601">
        <w:rPr>
          <w:i/>
          <w:color w:val="000000" w:themeColor="text1"/>
          <w:szCs w:val="22"/>
        </w:rPr>
        <w:t>i.e.</w:t>
      </w:r>
      <w:r w:rsidR="00312BA7" w:rsidRPr="00863601">
        <w:rPr>
          <w:color w:val="000000" w:themeColor="text1"/>
          <w:szCs w:val="22"/>
        </w:rPr>
        <w:t>, a transmission path)</w:t>
      </w:r>
      <w:r w:rsidRPr="00863601">
        <w:rPr>
          <w:color w:val="000000" w:themeColor="text1"/>
          <w:szCs w:val="22"/>
        </w:rPr>
        <w:t>.</w:t>
      </w:r>
      <w:r w:rsidR="007F484D" w:rsidRPr="00863601">
        <w:rPr>
          <w:color w:val="000000" w:themeColor="text1"/>
          <w:szCs w:val="22"/>
        </w:rPr>
        <w:t xml:space="preserve">  </w:t>
      </w:r>
      <w:r w:rsidR="00D97F96" w:rsidRPr="00863601">
        <w:rPr>
          <w:color w:val="000000" w:themeColor="text1"/>
        </w:rPr>
        <w:t>As</w:t>
      </w:r>
      <w:r w:rsidR="00772FA0" w:rsidRPr="00863601">
        <w:rPr>
          <w:color w:val="000000" w:themeColor="text1"/>
        </w:rPr>
        <w:t xml:space="preserve"> a </w:t>
      </w:r>
      <w:r w:rsidR="00D97F96" w:rsidRPr="00863601">
        <w:rPr>
          <w:color w:val="000000" w:themeColor="text1"/>
        </w:rPr>
        <w:t>consequence</w:t>
      </w:r>
      <w:r w:rsidR="000A139E" w:rsidRPr="00863601">
        <w:rPr>
          <w:color w:val="000000" w:themeColor="text1"/>
        </w:rPr>
        <w:t xml:space="preserve">, we believe that </w:t>
      </w:r>
      <w:r w:rsidR="00CA6274" w:rsidRPr="00863601">
        <w:rPr>
          <w:color w:val="000000" w:themeColor="text1"/>
        </w:rPr>
        <w:t xml:space="preserve">this is a </w:t>
      </w:r>
      <w:r w:rsidR="00772FA0" w:rsidRPr="00863601">
        <w:rPr>
          <w:color w:val="000000" w:themeColor="text1"/>
        </w:rPr>
        <w:t>reasonable</w:t>
      </w:r>
      <w:r w:rsidR="000A139E" w:rsidRPr="00863601">
        <w:rPr>
          <w:color w:val="000000" w:themeColor="text1"/>
        </w:rPr>
        <w:t xml:space="preserve"> interpretation </w:t>
      </w:r>
      <w:r w:rsidR="00772FA0" w:rsidRPr="00863601">
        <w:rPr>
          <w:color w:val="000000" w:themeColor="text1"/>
        </w:rPr>
        <w:t>of</w:t>
      </w:r>
      <w:r w:rsidR="000A139E" w:rsidRPr="00863601">
        <w:rPr>
          <w:color w:val="000000" w:themeColor="text1"/>
        </w:rPr>
        <w:t xml:space="preserve"> the Act.  We seek comment on this position.</w:t>
      </w:r>
    </w:p>
    <w:p w:rsidR="00FC70A5" w:rsidRPr="00863601" w:rsidRDefault="00FC70A5" w:rsidP="005E5F79">
      <w:pPr>
        <w:pStyle w:val="ParaNum"/>
        <w:widowControl/>
        <w:rPr>
          <w:color w:val="000000" w:themeColor="text1"/>
          <w:lang w:eastAsia="ar-SA"/>
        </w:rPr>
      </w:pPr>
      <w:r w:rsidRPr="00863601">
        <w:rPr>
          <w:color w:val="000000" w:themeColor="text1"/>
          <w:szCs w:val="22"/>
        </w:rPr>
        <w:t xml:space="preserve">We believe that our proposed interpretation is consistent with </w:t>
      </w:r>
      <w:r w:rsidRPr="00863601">
        <w:rPr>
          <w:color w:val="000000" w:themeColor="text1"/>
        </w:rPr>
        <w:t xml:space="preserve">Congress’s intent to define “MVPD” in a broad and technology-neutral way to ensure that it would </w:t>
      </w:r>
      <w:r w:rsidR="003C3E9C" w:rsidRPr="00863601">
        <w:rPr>
          <w:color w:val="000000" w:themeColor="text1"/>
        </w:rPr>
        <w:t xml:space="preserve">not only </w:t>
      </w:r>
      <w:r w:rsidRPr="00863601">
        <w:rPr>
          <w:color w:val="000000" w:themeColor="text1"/>
        </w:rPr>
        <w:t>cover video providers using technologies that existed in 1992, but rather be sufficiently flexible to cover providers using new technologies such as Internet delivery.</w:t>
      </w:r>
      <w:r w:rsidRPr="00863601">
        <w:rPr>
          <w:rStyle w:val="FootnoteReference"/>
          <w:color w:val="000000" w:themeColor="text1"/>
        </w:rPr>
        <w:footnoteReference w:id="56"/>
      </w:r>
      <w:r w:rsidRPr="00863601">
        <w:rPr>
          <w:color w:val="000000" w:themeColor="text1"/>
        </w:rPr>
        <w:t xml:space="preserve">  The Act imposes important pro-consumer responsibilities on MVPDs.  A</w:t>
      </w:r>
      <w:r w:rsidRPr="00863601">
        <w:rPr>
          <w:color w:val="000000" w:themeColor="text1"/>
          <w:szCs w:val="22"/>
        </w:rPr>
        <w:t>s incumbent MVPDs transition to IP delivery, we must ensure</w:t>
      </w:r>
      <w:r w:rsidRPr="00863601">
        <w:rPr>
          <w:color w:val="000000" w:themeColor="text1"/>
        </w:rPr>
        <w:t xml:space="preserve"> that the </w:t>
      </w:r>
      <w:r w:rsidRPr="00863601">
        <w:rPr>
          <w:color w:val="000000" w:themeColor="text1"/>
          <w:szCs w:val="22"/>
        </w:rPr>
        <w:t>definition of MVPD is read broadly enough to ensure that consumers do not lose the benefits those provisions are intended to confer.</w:t>
      </w:r>
      <w:r w:rsidRPr="00863601">
        <w:rPr>
          <w:color w:val="000000" w:themeColor="text1"/>
        </w:rPr>
        <w:t xml:space="preserve">  For example, we note that the goals of the program access provision of the </w:t>
      </w:r>
      <w:r w:rsidR="00724676" w:rsidRPr="00863601">
        <w:rPr>
          <w:color w:val="000000" w:themeColor="text1"/>
        </w:rPr>
        <w:t>Cable Television Consumer Protection and Competition Act of 1992 (“1992 Cable Act”)</w:t>
      </w:r>
      <w:r w:rsidRPr="00863601">
        <w:rPr>
          <w:color w:val="000000" w:themeColor="text1"/>
        </w:rPr>
        <w:t xml:space="preserve"> are to increase competition and diversity in the video programming market, to increase the availability of programming to persons in rural areas, and to spur the development of communications technologies.</w:t>
      </w:r>
      <w:r w:rsidRPr="00863601">
        <w:rPr>
          <w:rStyle w:val="FootnoteReference"/>
          <w:color w:val="000000" w:themeColor="text1"/>
        </w:rPr>
        <w:footnoteReference w:id="57"/>
      </w:r>
      <w:r w:rsidRPr="00863601">
        <w:rPr>
          <w:color w:val="000000" w:themeColor="text1"/>
        </w:rPr>
        <w:t xml:space="preserve">  It would frustrate those goals to exclude from </w:t>
      </w:r>
      <w:r w:rsidR="003C3E9C" w:rsidRPr="00863601">
        <w:rPr>
          <w:color w:val="000000" w:themeColor="text1"/>
        </w:rPr>
        <w:t>coverage</w:t>
      </w:r>
      <w:r w:rsidRPr="00863601">
        <w:rPr>
          <w:color w:val="000000" w:themeColor="text1"/>
        </w:rPr>
        <w:t xml:space="preserve"> new technologies and services that develop. </w:t>
      </w:r>
      <w:r w:rsidRPr="00863601">
        <w:rPr>
          <w:color w:val="000000" w:themeColor="text1"/>
          <w:szCs w:val="22"/>
        </w:rPr>
        <w:t>Consumers are watching more online subscription video,</w:t>
      </w:r>
      <w:r w:rsidRPr="00863601">
        <w:rPr>
          <w:rStyle w:val="FootnoteReference"/>
          <w:color w:val="000000" w:themeColor="text1"/>
          <w:szCs w:val="22"/>
        </w:rPr>
        <w:footnoteReference w:id="58"/>
      </w:r>
      <w:r w:rsidRPr="00863601">
        <w:rPr>
          <w:color w:val="000000" w:themeColor="text1"/>
          <w:szCs w:val="22"/>
        </w:rPr>
        <w:t xml:space="preserve"> and incumbent operators and new entrants alike are experimenting with or planning to launch linear video services over the Internet.</w:t>
      </w:r>
      <w:r w:rsidRPr="00863601">
        <w:rPr>
          <w:rStyle w:val="FootnoteReference"/>
          <w:color w:val="000000" w:themeColor="text1"/>
          <w:szCs w:val="22"/>
        </w:rPr>
        <w:footnoteReference w:id="59"/>
      </w:r>
      <w:r w:rsidRPr="00863601">
        <w:rPr>
          <w:color w:val="000000" w:themeColor="text1"/>
          <w:szCs w:val="22"/>
        </w:rPr>
        <w:t xml:space="preserve">  </w:t>
      </w:r>
      <w:r w:rsidR="00A7268B" w:rsidRPr="00863601">
        <w:rPr>
          <w:color w:val="000000" w:themeColor="text1"/>
          <w:szCs w:val="22"/>
        </w:rPr>
        <w:t xml:space="preserve">Therefore, we tentatively conclude that the Linear Programming Interpretation is most consistent with </w:t>
      </w:r>
      <w:r w:rsidR="00A7268B" w:rsidRPr="00863601">
        <w:rPr>
          <w:color w:val="000000" w:themeColor="text1"/>
        </w:rPr>
        <w:t>consumer expectations and industry trends</w:t>
      </w:r>
      <w:r w:rsidR="00A7268B" w:rsidRPr="00863601">
        <w:rPr>
          <w:color w:val="000000" w:themeColor="text1"/>
          <w:szCs w:val="22"/>
        </w:rPr>
        <w:t>, and w</w:t>
      </w:r>
      <w:r w:rsidRPr="00863601">
        <w:rPr>
          <w:color w:val="000000" w:themeColor="text1"/>
          <w:szCs w:val="22"/>
        </w:rPr>
        <w:t>e believe that Congress’s</w:t>
      </w:r>
      <w:r w:rsidRPr="00863601">
        <w:rPr>
          <w:color w:val="000000" w:themeColor="text1"/>
        </w:rPr>
        <w:t xml:space="preserve"> goals are best served by an interpretation of MVPD that accommodates changing technology.</w:t>
      </w:r>
      <w:r w:rsidRPr="00863601">
        <w:rPr>
          <w:rStyle w:val="FootnoteReference"/>
          <w:color w:val="000000" w:themeColor="text1"/>
        </w:rPr>
        <w:footnoteReference w:id="60"/>
      </w:r>
      <w:r w:rsidRPr="00863601">
        <w:rPr>
          <w:color w:val="000000" w:themeColor="text1"/>
        </w:rPr>
        <w:t xml:space="preserve">  We seek comment on our tentative conclusion that our proposed interpretation is most consistent with consumer expectations and industry trends.  To the extent that commenters disagree with our interpretation, they should address why an interpretation of MVPD that focuses on the physical delivery method an entity uses to provide video programming (i) would serve Congress’s goals,</w:t>
      </w:r>
      <w:r w:rsidRPr="00863601">
        <w:rPr>
          <w:rStyle w:val="FootnoteReference"/>
          <w:color w:val="000000" w:themeColor="text1"/>
        </w:rPr>
        <w:footnoteReference w:id="61"/>
      </w:r>
      <w:r w:rsidRPr="00863601">
        <w:rPr>
          <w:color w:val="000000" w:themeColor="text1"/>
        </w:rPr>
        <w:t xml:space="preserve"> </w:t>
      </w:r>
      <w:r w:rsidR="00C914F5" w:rsidRPr="00863601">
        <w:rPr>
          <w:color w:val="000000" w:themeColor="text1"/>
        </w:rPr>
        <w:t xml:space="preserve">(ii) </w:t>
      </w:r>
      <w:r w:rsidR="00BE3EFC" w:rsidRPr="00863601">
        <w:rPr>
          <w:color w:val="000000" w:themeColor="text1"/>
        </w:rPr>
        <w:t xml:space="preserve">would </w:t>
      </w:r>
      <w:r w:rsidR="00C914F5" w:rsidRPr="00863601">
        <w:rPr>
          <w:color w:val="000000" w:themeColor="text1"/>
        </w:rPr>
        <w:t xml:space="preserve">promote innovation, </w:t>
      </w:r>
      <w:r w:rsidRPr="00863601">
        <w:rPr>
          <w:color w:val="000000" w:themeColor="text1"/>
        </w:rPr>
        <w:t>and (i</w:t>
      </w:r>
      <w:r w:rsidR="002B75CA" w:rsidRPr="00863601">
        <w:rPr>
          <w:color w:val="000000" w:themeColor="text1"/>
        </w:rPr>
        <w:t>i</w:t>
      </w:r>
      <w:r w:rsidRPr="00863601">
        <w:rPr>
          <w:color w:val="000000" w:themeColor="text1"/>
        </w:rPr>
        <w:t>i) is consistent with the statute.</w:t>
      </w:r>
      <w:r w:rsidRPr="00863601">
        <w:rPr>
          <w:rStyle w:val="FootnoteReference"/>
          <w:color w:val="000000" w:themeColor="text1"/>
        </w:rPr>
        <w:footnoteReference w:id="62"/>
      </w:r>
      <w:r w:rsidRPr="00863601">
        <w:rPr>
          <w:color w:val="000000" w:themeColor="text1"/>
          <w:szCs w:val="22"/>
          <w:lang w:eastAsia="ar-SA"/>
        </w:rPr>
        <w:t xml:space="preserve"> </w:t>
      </w:r>
    </w:p>
    <w:p w:rsidR="00257ABA" w:rsidRPr="00863601" w:rsidRDefault="004A7392" w:rsidP="005E5F79">
      <w:pPr>
        <w:pStyle w:val="ParaNum"/>
        <w:widowControl/>
        <w:rPr>
          <w:color w:val="000000" w:themeColor="text1"/>
          <w:lang w:eastAsia="ar-SA"/>
        </w:rPr>
      </w:pPr>
      <w:r w:rsidRPr="00863601">
        <w:rPr>
          <w:color w:val="000000" w:themeColor="text1"/>
          <w:szCs w:val="22"/>
        </w:rPr>
        <w:t xml:space="preserve">Finally, </w:t>
      </w:r>
      <w:r w:rsidRPr="00863601">
        <w:rPr>
          <w:color w:val="000000" w:themeColor="text1"/>
        </w:rPr>
        <w:t xml:space="preserve">certain </w:t>
      </w:r>
      <w:r w:rsidR="00257ABA" w:rsidRPr="00863601">
        <w:rPr>
          <w:color w:val="000000" w:themeColor="text1"/>
        </w:rPr>
        <w:t xml:space="preserve">commenters suggest that the term “channel” can be interpreted both in the </w:t>
      </w:r>
      <w:r w:rsidR="00424B92" w:rsidRPr="00863601">
        <w:rPr>
          <w:color w:val="000000" w:themeColor="text1"/>
        </w:rPr>
        <w:t>“</w:t>
      </w:r>
      <w:r w:rsidR="00257ABA" w:rsidRPr="00863601">
        <w:rPr>
          <w:color w:val="000000" w:themeColor="text1"/>
        </w:rPr>
        <w:t>content</w:t>
      </w:r>
      <w:r w:rsidR="00424B92" w:rsidRPr="00863601">
        <w:rPr>
          <w:color w:val="000000" w:themeColor="text1"/>
        </w:rPr>
        <w:t>”</w:t>
      </w:r>
      <w:r w:rsidR="00257ABA" w:rsidRPr="00863601">
        <w:rPr>
          <w:color w:val="000000" w:themeColor="text1"/>
        </w:rPr>
        <w:t xml:space="preserve"> sense and in the </w:t>
      </w:r>
      <w:r w:rsidR="00424B92" w:rsidRPr="00863601">
        <w:rPr>
          <w:color w:val="000000" w:themeColor="text1"/>
        </w:rPr>
        <w:t>“</w:t>
      </w:r>
      <w:r w:rsidR="00257ABA" w:rsidRPr="00863601">
        <w:rPr>
          <w:color w:val="000000" w:themeColor="text1"/>
        </w:rPr>
        <w:t>container</w:t>
      </w:r>
      <w:r w:rsidR="00424B92" w:rsidRPr="00863601">
        <w:rPr>
          <w:color w:val="000000" w:themeColor="text1"/>
        </w:rPr>
        <w:t>”</w:t>
      </w:r>
      <w:r w:rsidR="00257ABA" w:rsidRPr="00863601">
        <w:rPr>
          <w:color w:val="000000" w:themeColor="text1"/>
        </w:rPr>
        <w:t xml:space="preserve"> sense</w:t>
      </w:r>
      <w:r w:rsidR="00145C36" w:rsidRPr="00863601">
        <w:rPr>
          <w:color w:val="000000" w:themeColor="text1"/>
        </w:rPr>
        <w:t>:  “In a video context, the Act uses the term both in a ‘container’ sense, to refer to a range of frequencies used to transmit programming, and in a ‘content’ sense to refer to the programming itself, or the programmer.”</w:t>
      </w:r>
      <w:r w:rsidR="00257ABA" w:rsidRPr="00863601">
        <w:rPr>
          <w:rStyle w:val="FootnoteReference"/>
          <w:color w:val="000000" w:themeColor="text1"/>
          <w:szCs w:val="22"/>
        </w:rPr>
        <w:footnoteReference w:id="63"/>
      </w:r>
      <w:r w:rsidR="00145C36" w:rsidRPr="00863601">
        <w:rPr>
          <w:color w:val="000000" w:themeColor="text1"/>
        </w:rPr>
        <w:t xml:space="preserve">  </w:t>
      </w:r>
      <w:r w:rsidR="000A139E" w:rsidRPr="00863601">
        <w:rPr>
          <w:color w:val="000000" w:themeColor="text1"/>
        </w:rPr>
        <w:t xml:space="preserve">Those commenters argue that, </w:t>
      </w:r>
      <w:r w:rsidR="00337E57" w:rsidRPr="00863601">
        <w:rPr>
          <w:color w:val="000000" w:themeColor="text1"/>
        </w:rPr>
        <w:t>based on the context,</w:t>
      </w:r>
      <w:r w:rsidR="00257ABA" w:rsidRPr="00863601">
        <w:rPr>
          <w:color w:val="000000" w:themeColor="text1"/>
        </w:rPr>
        <w:t xml:space="preserve"> the content sense applies when interpreting the definition of MVPD</w:t>
      </w:r>
      <w:r w:rsidR="00145C36" w:rsidRPr="00863601">
        <w:rPr>
          <w:color w:val="000000" w:themeColor="text1"/>
        </w:rPr>
        <w:t>, “</w:t>
      </w:r>
      <w:r w:rsidR="00145C36" w:rsidRPr="00863601">
        <w:rPr>
          <w:color w:val="000000" w:themeColor="text1"/>
          <w:szCs w:val="22"/>
        </w:rPr>
        <w:t>since only that reading is consistent with the Act’s pro-competitive purposes</w:t>
      </w:r>
      <w:r w:rsidR="00257ABA" w:rsidRPr="00863601">
        <w:rPr>
          <w:color w:val="000000" w:themeColor="text1"/>
        </w:rPr>
        <w:t>.</w:t>
      </w:r>
      <w:r w:rsidR="00145C36" w:rsidRPr="00863601">
        <w:rPr>
          <w:color w:val="000000" w:themeColor="text1"/>
        </w:rPr>
        <w:t>”</w:t>
      </w:r>
      <w:r w:rsidR="00257ABA" w:rsidRPr="00863601">
        <w:rPr>
          <w:rStyle w:val="FootnoteReference"/>
          <w:color w:val="000000" w:themeColor="text1"/>
          <w:szCs w:val="22"/>
        </w:rPr>
        <w:footnoteReference w:id="64"/>
      </w:r>
      <w:r w:rsidR="00257ABA" w:rsidRPr="00863601">
        <w:rPr>
          <w:color w:val="000000" w:themeColor="text1"/>
        </w:rPr>
        <w:t xml:space="preserve"> </w:t>
      </w:r>
      <w:r w:rsidR="00145C36" w:rsidRPr="00863601">
        <w:rPr>
          <w:color w:val="000000" w:themeColor="text1"/>
        </w:rPr>
        <w:t xml:space="preserve"> </w:t>
      </w:r>
      <w:r w:rsidR="00337E57" w:rsidRPr="00863601">
        <w:rPr>
          <w:color w:val="000000" w:themeColor="text1"/>
        </w:rPr>
        <w:t xml:space="preserve">We note that the legislative history of the 1992 Cable Act </w:t>
      </w:r>
      <w:r w:rsidR="00312BA7" w:rsidRPr="00863601">
        <w:rPr>
          <w:color w:val="000000" w:themeColor="text1"/>
        </w:rPr>
        <w:t>refers to ESPN as a “sports channel” and CNN as</w:t>
      </w:r>
      <w:r w:rsidR="00DF280D" w:rsidRPr="00863601">
        <w:rPr>
          <w:color w:val="000000" w:themeColor="text1"/>
        </w:rPr>
        <w:t xml:space="preserve"> a</w:t>
      </w:r>
      <w:r w:rsidR="00312BA7" w:rsidRPr="00863601">
        <w:rPr>
          <w:color w:val="000000" w:themeColor="text1"/>
        </w:rPr>
        <w:t xml:space="preserve"> “news channel”; given that both of these are linear programming networks, this suggests </w:t>
      </w:r>
      <w:r w:rsidR="00D97F96" w:rsidRPr="00863601">
        <w:rPr>
          <w:color w:val="000000" w:themeColor="text1"/>
        </w:rPr>
        <w:t xml:space="preserve">that </w:t>
      </w:r>
      <w:r w:rsidR="00312BA7" w:rsidRPr="00863601">
        <w:rPr>
          <w:color w:val="000000" w:themeColor="text1"/>
        </w:rPr>
        <w:t xml:space="preserve">Congress used the term channel, at least in this instance, to refer to such </w:t>
      </w:r>
      <w:r w:rsidR="00D97F96" w:rsidRPr="00863601">
        <w:rPr>
          <w:color w:val="000000" w:themeColor="text1"/>
        </w:rPr>
        <w:t xml:space="preserve">programming </w:t>
      </w:r>
      <w:r w:rsidR="00312BA7" w:rsidRPr="00863601">
        <w:rPr>
          <w:color w:val="000000" w:themeColor="text1"/>
        </w:rPr>
        <w:t xml:space="preserve">networks and not to portions of </w:t>
      </w:r>
      <w:r w:rsidR="00912262" w:rsidRPr="00863601">
        <w:rPr>
          <w:color w:val="000000" w:themeColor="text1"/>
        </w:rPr>
        <w:t xml:space="preserve">the electromagnetic frequency </w:t>
      </w:r>
      <w:r w:rsidR="00312BA7" w:rsidRPr="00863601">
        <w:rPr>
          <w:color w:val="000000" w:themeColor="text1"/>
        </w:rPr>
        <w:t>spectrum</w:t>
      </w:r>
      <w:r w:rsidR="00337E57" w:rsidRPr="00863601">
        <w:rPr>
          <w:color w:val="000000" w:themeColor="text1"/>
        </w:rPr>
        <w:t>.</w:t>
      </w:r>
      <w:r w:rsidR="00337E57" w:rsidRPr="00863601">
        <w:rPr>
          <w:rStyle w:val="FootnoteReference"/>
          <w:color w:val="000000" w:themeColor="text1"/>
          <w:szCs w:val="22"/>
        </w:rPr>
        <w:footnoteReference w:id="65"/>
      </w:r>
      <w:r w:rsidR="00337E57" w:rsidRPr="00863601">
        <w:rPr>
          <w:color w:val="000000" w:themeColor="text1"/>
        </w:rPr>
        <w:t xml:space="preserve">  Commenters provide numerous examples of the use of the term “channel” in both the content sense (</w:t>
      </w:r>
      <w:r w:rsidR="00337E57" w:rsidRPr="00863601">
        <w:rPr>
          <w:i/>
          <w:color w:val="000000" w:themeColor="text1"/>
        </w:rPr>
        <w:t>i.e</w:t>
      </w:r>
      <w:r w:rsidR="00337E57" w:rsidRPr="00863601">
        <w:rPr>
          <w:color w:val="000000" w:themeColor="text1"/>
        </w:rPr>
        <w:t>., a linear video programming network) and the container sense (</w:t>
      </w:r>
      <w:r w:rsidR="00337E57" w:rsidRPr="00863601">
        <w:rPr>
          <w:i/>
          <w:color w:val="000000" w:themeColor="text1"/>
        </w:rPr>
        <w:t>i.e</w:t>
      </w:r>
      <w:r w:rsidR="00337E57" w:rsidRPr="00863601">
        <w:rPr>
          <w:color w:val="000000" w:themeColor="text1"/>
        </w:rPr>
        <w:t>., a range of frequencies used to transmit programming) in everyday usage</w:t>
      </w:r>
      <w:r w:rsidR="00337E57" w:rsidRPr="00863601">
        <w:rPr>
          <w:rStyle w:val="FootnoteReference"/>
          <w:color w:val="000000" w:themeColor="text1"/>
          <w:szCs w:val="22"/>
        </w:rPr>
        <w:footnoteReference w:id="66"/>
      </w:r>
      <w:r w:rsidR="00337E57" w:rsidRPr="00863601">
        <w:rPr>
          <w:color w:val="000000" w:themeColor="text1"/>
        </w:rPr>
        <w:t xml:space="preserve"> and in dictionaries,</w:t>
      </w:r>
      <w:r w:rsidR="00337E57" w:rsidRPr="00863601">
        <w:rPr>
          <w:rStyle w:val="FootnoteReference"/>
          <w:color w:val="000000" w:themeColor="text1"/>
          <w:szCs w:val="22"/>
        </w:rPr>
        <w:footnoteReference w:id="67"/>
      </w:r>
      <w:r w:rsidR="00337E57" w:rsidRPr="00863601">
        <w:rPr>
          <w:color w:val="000000" w:themeColor="text1"/>
        </w:rPr>
        <w:t xml:space="preserve"> as well as by Congress</w:t>
      </w:r>
      <w:r w:rsidR="00337E57" w:rsidRPr="00863601">
        <w:rPr>
          <w:rStyle w:val="FootnoteReference"/>
          <w:color w:val="000000" w:themeColor="text1"/>
          <w:szCs w:val="22"/>
        </w:rPr>
        <w:footnoteReference w:id="68"/>
      </w:r>
      <w:r w:rsidR="00337E57" w:rsidRPr="00863601">
        <w:rPr>
          <w:color w:val="000000" w:themeColor="text1"/>
        </w:rPr>
        <w:t xml:space="preserve"> and the Commission.</w:t>
      </w:r>
      <w:r w:rsidR="00337E57" w:rsidRPr="00863601">
        <w:rPr>
          <w:rStyle w:val="FootnoteReference"/>
          <w:color w:val="000000" w:themeColor="text1"/>
          <w:szCs w:val="22"/>
        </w:rPr>
        <w:footnoteReference w:id="69"/>
      </w:r>
      <w:r w:rsidR="00337E57" w:rsidRPr="00863601">
        <w:rPr>
          <w:color w:val="000000" w:themeColor="text1"/>
        </w:rPr>
        <w:t xml:space="preserve">  </w:t>
      </w:r>
      <w:r w:rsidR="00CA6274" w:rsidRPr="00863601">
        <w:rPr>
          <w:color w:val="000000" w:themeColor="text1"/>
        </w:rPr>
        <w:t>Because</w:t>
      </w:r>
      <w:r w:rsidR="00337E57" w:rsidRPr="00863601">
        <w:rPr>
          <w:color w:val="000000" w:themeColor="text1"/>
        </w:rPr>
        <w:t xml:space="preserve"> the term “channel” </w:t>
      </w:r>
      <w:r w:rsidR="00CA6274" w:rsidRPr="00863601">
        <w:rPr>
          <w:color w:val="000000" w:themeColor="text1"/>
        </w:rPr>
        <w:t xml:space="preserve">as used in the definition of MVPD is ambiguous, </w:t>
      </w:r>
      <w:r w:rsidR="00337E57" w:rsidRPr="00863601">
        <w:rPr>
          <w:color w:val="000000" w:themeColor="text1"/>
        </w:rPr>
        <w:t xml:space="preserve">we </w:t>
      </w:r>
      <w:r w:rsidR="000B06F2" w:rsidRPr="00863601">
        <w:rPr>
          <w:color w:val="000000" w:themeColor="text1"/>
        </w:rPr>
        <w:t>tentatively</w:t>
      </w:r>
      <w:r w:rsidR="00145C36" w:rsidRPr="00863601">
        <w:rPr>
          <w:color w:val="000000" w:themeColor="text1"/>
        </w:rPr>
        <w:t xml:space="preserve"> </w:t>
      </w:r>
      <w:r w:rsidR="00337E57" w:rsidRPr="00863601">
        <w:rPr>
          <w:color w:val="000000" w:themeColor="text1"/>
        </w:rPr>
        <w:t xml:space="preserve">conclude that </w:t>
      </w:r>
      <w:r w:rsidR="00CA6274" w:rsidRPr="00863601">
        <w:rPr>
          <w:color w:val="000000" w:themeColor="text1"/>
        </w:rPr>
        <w:t xml:space="preserve">it is reasonable to read </w:t>
      </w:r>
      <w:r w:rsidR="000B06F2" w:rsidRPr="00863601">
        <w:rPr>
          <w:color w:val="000000" w:themeColor="text1"/>
        </w:rPr>
        <w:t xml:space="preserve">the term </w:t>
      </w:r>
      <w:r w:rsidR="00CA6274" w:rsidRPr="00863601">
        <w:rPr>
          <w:color w:val="000000" w:themeColor="text1"/>
        </w:rPr>
        <w:t xml:space="preserve">to </w:t>
      </w:r>
      <w:r w:rsidR="000B06F2" w:rsidRPr="00863601">
        <w:rPr>
          <w:color w:val="000000" w:themeColor="text1"/>
        </w:rPr>
        <w:t xml:space="preserve">have its </w:t>
      </w:r>
      <w:r w:rsidR="00337E57" w:rsidRPr="00863601">
        <w:rPr>
          <w:snapToGrid/>
          <w:color w:val="000000" w:themeColor="text1"/>
          <w:kern w:val="0"/>
        </w:rPr>
        <w:t xml:space="preserve">common, everyday </w:t>
      </w:r>
      <w:r w:rsidR="000B06F2" w:rsidRPr="00863601">
        <w:rPr>
          <w:snapToGrid/>
          <w:color w:val="000000" w:themeColor="text1"/>
          <w:kern w:val="0"/>
        </w:rPr>
        <w:t>meaning</w:t>
      </w:r>
      <w:r w:rsidR="00337E57" w:rsidRPr="00863601">
        <w:rPr>
          <w:snapToGrid/>
          <w:color w:val="000000" w:themeColor="text1"/>
          <w:kern w:val="0"/>
        </w:rPr>
        <w:t xml:space="preserve"> </w:t>
      </w:r>
      <w:r w:rsidR="000B06F2" w:rsidRPr="00863601">
        <w:rPr>
          <w:snapToGrid/>
          <w:color w:val="000000" w:themeColor="text1"/>
          <w:kern w:val="0"/>
        </w:rPr>
        <w:t>of</w:t>
      </w:r>
      <w:r w:rsidR="00337E57" w:rsidRPr="00863601">
        <w:rPr>
          <w:snapToGrid/>
          <w:color w:val="000000" w:themeColor="text1"/>
          <w:kern w:val="0"/>
        </w:rPr>
        <w:t xml:space="preserve"> a </w:t>
      </w:r>
      <w:r w:rsidR="0076793E" w:rsidRPr="00863601">
        <w:rPr>
          <w:snapToGrid/>
          <w:color w:val="000000" w:themeColor="text1"/>
          <w:kern w:val="0"/>
        </w:rPr>
        <w:t>stream of prescheduled video programming</w:t>
      </w:r>
      <w:r w:rsidR="00145C36" w:rsidRPr="00863601">
        <w:rPr>
          <w:snapToGrid/>
          <w:color w:val="000000" w:themeColor="text1"/>
          <w:kern w:val="0"/>
        </w:rPr>
        <w:t xml:space="preserve"> </w:t>
      </w:r>
      <w:r w:rsidR="000B06F2" w:rsidRPr="00863601">
        <w:rPr>
          <w:snapToGrid/>
          <w:color w:val="000000" w:themeColor="text1"/>
          <w:kern w:val="0"/>
        </w:rPr>
        <w:t>when we interpret the definition of</w:t>
      </w:r>
      <w:r w:rsidR="00145C36" w:rsidRPr="00863601">
        <w:rPr>
          <w:snapToGrid/>
          <w:color w:val="000000" w:themeColor="text1"/>
          <w:kern w:val="0"/>
        </w:rPr>
        <w:t xml:space="preserve"> MVPD</w:t>
      </w:r>
      <w:r w:rsidR="00710D81" w:rsidRPr="00863601">
        <w:rPr>
          <w:snapToGrid/>
          <w:color w:val="000000" w:themeColor="text1"/>
          <w:kern w:val="0"/>
        </w:rPr>
        <w:t xml:space="preserve">.  </w:t>
      </w:r>
      <w:r w:rsidR="00792916" w:rsidRPr="00863601">
        <w:rPr>
          <w:snapToGrid/>
          <w:color w:val="000000" w:themeColor="text1"/>
          <w:kern w:val="0"/>
        </w:rPr>
        <w:t xml:space="preserve">As discussed </w:t>
      </w:r>
      <w:r w:rsidR="007576CA">
        <w:rPr>
          <w:snapToGrid/>
          <w:color w:val="000000" w:themeColor="text1"/>
          <w:kern w:val="0"/>
        </w:rPr>
        <w:t>above</w:t>
      </w:r>
      <w:r w:rsidR="00792916" w:rsidRPr="00863601">
        <w:rPr>
          <w:snapToGrid/>
          <w:color w:val="000000" w:themeColor="text1"/>
          <w:kern w:val="0"/>
        </w:rPr>
        <w:t>, w</w:t>
      </w:r>
      <w:r w:rsidR="00710D81" w:rsidRPr="00863601">
        <w:rPr>
          <w:snapToGrid/>
          <w:color w:val="000000" w:themeColor="text1"/>
          <w:kern w:val="0"/>
        </w:rPr>
        <w:t>e believe</w:t>
      </w:r>
      <w:r w:rsidR="000B06F2" w:rsidRPr="00863601">
        <w:rPr>
          <w:snapToGrid/>
          <w:color w:val="000000" w:themeColor="text1"/>
          <w:kern w:val="0"/>
        </w:rPr>
        <w:t xml:space="preserve"> </w:t>
      </w:r>
      <w:r w:rsidR="00EB62BF" w:rsidRPr="00863601">
        <w:rPr>
          <w:snapToGrid/>
          <w:color w:val="000000" w:themeColor="text1"/>
          <w:kern w:val="0"/>
        </w:rPr>
        <w:t>our proposed</w:t>
      </w:r>
      <w:r w:rsidR="00710D81" w:rsidRPr="00863601">
        <w:rPr>
          <w:snapToGrid/>
          <w:color w:val="000000" w:themeColor="text1"/>
          <w:kern w:val="0"/>
        </w:rPr>
        <w:t xml:space="preserve"> </w:t>
      </w:r>
      <w:r w:rsidR="000B06F2" w:rsidRPr="00863601">
        <w:rPr>
          <w:snapToGrid/>
          <w:color w:val="000000" w:themeColor="text1"/>
          <w:kern w:val="0"/>
        </w:rPr>
        <w:t xml:space="preserve">interpretation </w:t>
      </w:r>
      <w:r w:rsidR="00145C36" w:rsidRPr="00863601">
        <w:rPr>
          <w:snapToGrid/>
          <w:color w:val="000000" w:themeColor="text1"/>
          <w:kern w:val="0"/>
        </w:rPr>
        <w:t xml:space="preserve">is most consistent with </w:t>
      </w:r>
      <w:r w:rsidR="00145C36" w:rsidRPr="00863601">
        <w:rPr>
          <w:color w:val="000000" w:themeColor="text1"/>
        </w:rPr>
        <w:t>the Act’s goals</w:t>
      </w:r>
      <w:r w:rsidR="00792916" w:rsidRPr="00863601">
        <w:rPr>
          <w:color w:val="000000" w:themeColor="text1"/>
        </w:rPr>
        <w:t xml:space="preserve"> of increased video competition and broadband deployment.</w:t>
      </w:r>
      <w:r w:rsidR="00710D81" w:rsidRPr="00863601">
        <w:rPr>
          <w:rStyle w:val="FootnoteReference"/>
          <w:color w:val="000000" w:themeColor="text1"/>
        </w:rPr>
        <w:footnoteReference w:id="70"/>
      </w:r>
      <w:r w:rsidR="000B06F2" w:rsidRPr="00863601">
        <w:rPr>
          <w:color w:val="000000" w:themeColor="text1"/>
        </w:rPr>
        <w:t xml:space="preserve"> </w:t>
      </w:r>
      <w:r w:rsidR="00792916" w:rsidRPr="00863601">
        <w:rPr>
          <w:color w:val="000000" w:themeColor="text1"/>
        </w:rPr>
        <w:t xml:space="preserve"> In addition, we believe that </w:t>
      </w:r>
      <w:r w:rsidR="00EB62BF" w:rsidRPr="00863601">
        <w:rPr>
          <w:color w:val="000000" w:themeColor="text1"/>
        </w:rPr>
        <w:t>it</w:t>
      </w:r>
      <w:r w:rsidR="00792916" w:rsidRPr="00863601">
        <w:rPr>
          <w:color w:val="000000" w:themeColor="text1"/>
        </w:rPr>
        <w:t xml:space="preserve"> is most consistent with </w:t>
      </w:r>
      <w:r w:rsidR="000B06F2" w:rsidRPr="00863601">
        <w:rPr>
          <w:color w:val="000000" w:themeColor="text1"/>
        </w:rPr>
        <w:t>consumer expectations</w:t>
      </w:r>
      <w:r w:rsidR="00792916" w:rsidRPr="00863601">
        <w:rPr>
          <w:color w:val="000000" w:themeColor="text1"/>
        </w:rPr>
        <w:t xml:space="preserve"> because</w:t>
      </w:r>
      <w:r w:rsidR="00EB62BF" w:rsidRPr="00863601">
        <w:rPr>
          <w:color w:val="000000" w:themeColor="text1"/>
        </w:rPr>
        <w:t xml:space="preserve"> consumers are focused on the content they receive, rather than the specific m</w:t>
      </w:r>
      <w:r w:rsidRPr="00863601">
        <w:rPr>
          <w:color w:val="000000" w:themeColor="text1"/>
        </w:rPr>
        <w:t>ethod used to deliver it to them</w:t>
      </w:r>
      <w:r w:rsidR="00145C36" w:rsidRPr="00863601">
        <w:rPr>
          <w:color w:val="000000" w:themeColor="text1"/>
        </w:rPr>
        <w:t>.</w:t>
      </w:r>
      <w:r w:rsidRPr="00863601">
        <w:rPr>
          <w:rStyle w:val="FootnoteReference"/>
          <w:color w:val="000000" w:themeColor="text1"/>
        </w:rPr>
        <w:footnoteReference w:id="71"/>
      </w:r>
      <w:r w:rsidR="000B06F2" w:rsidRPr="00863601">
        <w:rPr>
          <w:color w:val="000000" w:themeColor="text1"/>
        </w:rPr>
        <w:t xml:space="preserve">  We seek comment on this tentative conclusion.</w:t>
      </w:r>
    </w:p>
    <w:bookmarkEnd w:id="119"/>
    <w:bookmarkEnd w:id="120"/>
    <w:bookmarkEnd w:id="121"/>
    <w:bookmarkEnd w:id="122"/>
    <w:bookmarkEnd w:id="123"/>
    <w:bookmarkEnd w:id="124"/>
    <w:bookmarkEnd w:id="125"/>
    <w:p w:rsidR="00FE4F79" w:rsidRPr="00863601" w:rsidRDefault="000830C7" w:rsidP="005E5F79">
      <w:pPr>
        <w:pStyle w:val="ParaNum"/>
        <w:widowControl/>
        <w:rPr>
          <w:color w:val="000000" w:themeColor="text1"/>
          <w:szCs w:val="22"/>
        </w:rPr>
      </w:pPr>
      <w:r w:rsidRPr="00863601">
        <w:rPr>
          <w:i/>
          <w:color w:val="000000" w:themeColor="text1"/>
        </w:rPr>
        <w:t>Scope of the Linear Programming Interpretation</w:t>
      </w:r>
      <w:r w:rsidR="008272F1" w:rsidRPr="00863601">
        <w:rPr>
          <w:color w:val="000000" w:themeColor="text1"/>
        </w:rPr>
        <w:t xml:space="preserve">.  </w:t>
      </w:r>
      <w:r w:rsidR="00FE4F79" w:rsidRPr="00863601">
        <w:rPr>
          <w:color w:val="000000" w:themeColor="text1"/>
        </w:rPr>
        <w:t xml:space="preserve">We also seek comment on whether, under the Linear Programming Interpretation, we can </w:t>
      </w:r>
      <w:r w:rsidR="004D2EBA" w:rsidRPr="00863601">
        <w:rPr>
          <w:color w:val="000000" w:themeColor="text1"/>
        </w:rPr>
        <w:t xml:space="preserve">and should </w:t>
      </w:r>
      <w:r w:rsidR="004E3E4E" w:rsidRPr="00863601">
        <w:rPr>
          <w:color w:val="000000" w:themeColor="text1"/>
        </w:rPr>
        <w:t>carve out certain</w:t>
      </w:r>
      <w:r w:rsidR="00544EF0" w:rsidRPr="00863601">
        <w:rPr>
          <w:color w:val="000000" w:themeColor="text1"/>
        </w:rPr>
        <w:t xml:space="preserve"> types of </w:t>
      </w:r>
      <w:r w:rsidR="00AE7091" w:rsidRPr="00863601">
        <w:rPr>
          <w:color w:val="000000" w:themeColor="text1"/>
        </w:rPr>
        <w:t xml:space="preserve">entities that make available </w:t>
      </w:r>
      <w:r w:rsidR="00DE05C4" w:rsidRPr="00863601">
        <w:rPr>
          <w:color w:val="000000" w:themeColor="text1"/>
        </w:rPr>
        <w:t xml:space="preserve">multiple </w:t>
      </w:r>
      <w:r w:rsidR="00916283" w:rsidRPr="00863601">
        <w:rPr>
          <w:color w:val="000000" w:themeColor="text1"/>
        </w:rPr>
        <w:t xml:space="preserve">linear </w:t>
      </w:r>
      <w:r w:rsidR="00DE05C4" w:rsidRPr="00863601">
        <w:rPr>
          <w:color w:val="000000" w:themeColor="text1"/>
        </w:rPr>
        <w:t xml:space="preserve">streams of </w:t>
      </w:r>
      <w:r w:rsidR="00AE7091" w:rsidRPr="00863601">
        <w:rPr>
          <w:color w:val="000000" w:themeColor="text1"/>
        </w:rPr>
        <w:t>video programming</w:t>
      </w:r>
      <w:r w:rsidR="00544EF0" w:rsidRPr="00863601">
        <w:rPr>
          <w:color w:val="000000" w:themeColor="text1"/>
        </w:rPr>
        <w:t xml:space="preserve"> </w:t>
      </w:r>
      <w:r w:rsidR="004E3E4E" w:rsidRPr="00863601">
        <w:rPr>
          <w:color w:val="000000" w:themeColor="text1"/>
        </w:rPr>
        <w:t>from the</w:t>
      </w:r>
      <w:r w:rsidR="00AE7091" w:rsidRPr="00863601">
        <w:rPr>
          <w:color w:val="000000" w:themeColor="text1"/>
        </w:rPr>
        <w:t xml:space="preserve"> MVPD</w:t>
      </w:r>
      <w:r w:rsidR="004E3E4E" w:rsidRPr="00863601">
        <w:rPr>
          <w:color w:val="000000" w:themeColor="text1"/>
        </w:rPr>
        <w:t xml:space="preserve"> definition.</w:t>
      </w:r>
      <w:r w:rsidR="00AE7091" w:rsidRPr="00863601">
        <w:rPr>
          <w:color w:val="000000" w:themeColor="text1"/>
        </w:rPr>
        <w:t xml:space="preserve">  If we interpret “multiple channels of video programming” to mean multiple </w:t>
      </w:r>
      <w:r w:rsidR="00AF5577" w:rsidRPr="00863601">
        <w:rPr>
          <w:color w:val="000000" w:themeColor="text1"/>
        </w:rPr>
        <w:t xml:space="preserve">linear </w:t>
      </w:r>
      <w:r w:rsidR="00DE05C4" w:rsidRPr="00863601">
        <w:rPr>
          <w:color w:val="000000" w:themeColor="text1"/>
        </w:rPr>
        <w:t>streams of video programming</w:t>
      </w:r>
      <w:r w:rsidR="00AF5577" w:rsidRPr="00863601">
        <w:rPr>
          <w:color w:val="000000" w:themeColor="text1"/>
        </w:rPr>
        <w:t>,</w:t>
      </w:r>
      <w:r w:rsidR="00DE05C4" w:rsidRPr="00863601">
        <w:rPr>
          <w:color w:val="000000" w:themeColor="text1"/>
        </w:rPr>
        <w:t xml:space="preserve"> </w:t>
      </w:r>
      <w:r w:rsidR="004E3E4E" w:rsidRPr="00863601">
        <w:rPr>
          <w:color w:val="000000" w:themeColor="text1"/>
        </w:rPr>
        <w:t>could</w:t>
      </w:r>
      <w:r w:rsidR="00DE05C4" w:rsidRPr="00863601">
        <w:rPr>
          <w:color w:val="000000" w:themeColor="text1"/>
        </w:rPr>
        <w:t xml:space="preserve"> we</w:t>
      </w:r>
      <w:r w:rsidR="004E3E4E" w:rsidRPr="00863601">
        <w:rPr>
          <w:color w:val="000000" w:themeColor="text1"/>
        </w:rPr>
        <w:t>, consistent with</w:t>
      </w:r>
      <w:r w:rsidR="00DE05C4" w:rsidRPr="00863601">
        <w:rPr>
          <w:color w:val="000000" w:themeColor="text1"/>
        </w:rPr>
        <w:t xml:space="preserve"> the statute</w:t>
      </w:r>
      <w:r w:rsidR="004E3E4E" w:rsidRPr="00863601">
        <w:rPr>
          <w:color w:val="000000" w:themeColor="text1"/>
        </w:rPr>
        <w:t>, narrow the category of</w:t>
      </w:r>
      <w:r w:rsidRPr="00863601">
        <w:rPr>
          <w:color w:val="000000" w:themeColor="text1"/>
        </w:rPr>
        <w:t xml:space="preserve"> </w:t>
      </w:r>
      <w:r w:rsidR="00DE05C4" w:rsidRPr="00863601">
        <w:rPr>
          <w:color w:val="000000" w:themeColor="text1"/>
        </w:rPr>
        <w:t>entities</w:t>
      </w:r>
      <w:r w:rsidR="005279FE" w:rsidRPr="00863601">
        <w:rPr>
          <w:color w:val="000000" w:themeColor="text1"/>
        </w:rPr>
        <w:t xml:space="preserve"> that</w:t>
      </w:r>
      <w:r w:rsidR="00DE05C4" w:rsidRPr="00863601">
        <w:rPr>
          <w:color w:val="000000" w:themeColor="text1"/>
        </w:rPr>
        <w:t xml:space="preserve"> </w:t>
      </w:r>
      <w:r w:rsidR="00A7268B" w:rsidRPr="00863601">
        <w:rPr>
          <w:color w:val="000000" w:themeColor="text1"/>
        </w:rPr>
        <w:t>would</w:t>
      </w:r>
      <w:r w:rsidR="00544EF0" w:rsidRPr="00863601">
        <w:rPr>
          <w:color w:val="000000" w:themeColor="text1"/>
        </w:rPr>
        <w:t xml:space="preserve"> </w:t>
      </w:r>
      <w:r w:rsidR="00DE05C4" w:rsidRPr="00863601">
        <w:rPr>
          <w:color w:val="000000" w:themeColor="text1"/>
        </w:rPr>
        <w:t>qualify as MVPDs?</w:t>
      </w:r>
      <w:r w:rsidR="004C4160" w:rsidRPr="00863601">
        <w:rPr>
          <w:color w:val="000000" w:themeColor="text1"/>
        </w:rPr>
        <w:t xml:space="preserve">  </w:t>
      </w:r>
      <w:r w:rsidRPr="00863601">
        <w:rPr>
          <w:color w:val="000000" w:themeColor="text1"/>
        </w:rPr>
        <w:t xml:space="preserve">For example, are there niche </w:t>
      </w:r>
      <w:r w:rsidR="00F637CB" w:rsidRPr="00863601">
        <w:rPr>
          <w:color w:val="000000" w:themeColor="text1"/>
        </w:rPr>
        <w:t xml:space="preserve">online </w:t>
      </w:r>
      <w:r w:rsidRPr="00863601">
        <w:rPr>
          <w:color w:val="000000" w:themeColor="text1"/>
        </w:rPr>
        <w:t xml:space="preserve">subscription programming providers </w:t>
      </w:r>
      <w:r w:rsidR="00F637CB" w:rsidRPr="00863601">
        <w:rPr>
          <w:color w:val="000000" w:themeColor="text1"/>
        </w:rPr>
        <w:t xml:space="preserve">or other small entities </w:t>
      </w:r>
      <w:r w:rsidRPr="00863601">
        <w:rPr>
          <w:color w:val="000000" w:themeColor="text1"/>
        </w:rPr>
        <w:t xml:space="preserve">that would </w:t>
      </w:r>
      <w:r w:rsidR="00F637CB" w:rsidRPr="00863601">
        <w:rPr>
          <w:color w:val="000000" w:themeColor="text1"/>
        </w:rPr>
        <w:t xml:space="preserve">not be able to remain in business if they qualify as MVPDs? </w:t>
      </w:r>
      <w:r w:rsidR="00371DF2" w:rsidRPr="00863601">
        <w:rPr>
          <w:color w:val="000000" w:themeColor="text1"/>
        </w:rPr>
        <w:t xml:space="preserve"> </w:t>
      </w:r>
      <w:r w:rsidR="00D2365A" w:rsidRPr="00863601">
        <w:rPr>
          <w:color w:val="000000" w:themeColor="text1"/>
        </w:rPr>
        <w:t>A “multichannel” video programming distributor is required by definition to make</w:t>
      </w:r>
      <w:r w:rsidR="00371DF2" w:rsidRPr="00863601">
        <w:rPr>
          <w:color w:val="000000" w:themeColor="text1"/>
        </w:rPr>
        <w:t xml:space="preserve"> multiple channels of video programming available.  We seek comment on how to interpret the term “multiple” in the definition of MVPD.</w:t>
      </w:r>
      <w:r w:rsidR="00371DF2" w:rsidRPr="00863601">
        <w:rPr>
          <w:rStyle w:val="FootnoteReference"/>
          <w:color w:val="000000" w:themeColor="text1"/>
        </w:rPr>
        <w:footnoteReference w:id="72"/>
      </w:r>
      <w:r w:rsidR="00F637CB" w:rsidRPr="00863601">
        <w:rPr>
          <w:color w:val="000000" w:themeColor="text1"/>
        </w:rPr>
        <w:t xml:space="preserve"> </w:t>
      </w:r>
      <w:r w:rsidR="00371DF2" w:rsidRPr="00863601">
        <w:rPr>
          <w:color w:val="000000" w:themeColor="text1"/>
        </w:rPr>
        <w:t xml:space="preserve"> </w:t>
      </w:r>
      <w:r w:rsidR="00DE05C4" w:rsidRPr="00863601">
        <w:rPr>
          <w:color w:val="000000" w:themeColor="text1"/>
        </w:rPr>
        <w:t xml:space="preserve">Although we believe it is important to modernize our interpretation of MVPD to capture entities that provide service similar to </w:t>
      </w:r>
      <w:r w:rsidR="004D2EBA" w:rsidRPr="00863601">
        <w:rPr>
          <w:color w:val="000000" w:themeColor="text1"/>
        </w:rPr>
        <w:t xml:space="preserve">or competitive with </w:t>
      </w:r>
      <w:r w:rsidR="00DE05C4" w:rsidRPr="00863601">
        <w:rPr>
          <w:color w:val="000000" w:themeColor="text1"/>
        </w:rPr>
        <w:t xml:space="preserve">more traditional MVPD service but through new distribution methods, we also </w:t>
      </w:r>
      <w:r w:rsidR="004D2EBA" w:rsidRPr="00863601">
        <w:rPr>
          <w:color w:val="000000" w:themeColor="text1"/>
        </w:rPr>
        <w:t>wish to</w:t>
      </w:r>
      <w:r w:rsidR="00A37CBC" w:rsidRPr="00863601">
        <w:rPr>
          <w:color w:val="000000" w:themeColor="text1"/>
        </w:rPr>
        <w:t xml:space="preserve"> ensure</w:t>
      </w:r>
      <w:r w:rsidR="00DE05C4" w:rsidRPr="00863601">
        <w:rPr>
          <w:color w:val="000000" w:themeColor="text1"/>
        </w:rPr>
        <w:t xml:space="preserve"> that our rules do not impede innovation by </w:t>
      </w:r>
      <w:r w:rsidR="00544EF0" w:rsidRPr="00863601">
        <w:rPr>
          <w:color w:val="000000" w:themeColor="text1"/>
        </w:rPr>
        <w:t>imposing</w:t>
      </w:r>
      <w:r w:rsidR="00DE05C4" w:rsidRPr="00863601">
        <w:rPr>
          <w:color w:val="000000" w:themeColor="text1"/>
        </w:rPr>
        <w:t xml:space="preserve"> regulation</w:t>
      </w:r>
      <w:r w:rsidR="00506F12" w:rsidRPr="00863601">
        <w:rPr>
          <w:color w:val="000000" w:themeColor="text1"/>
        </w:rPr>
        <w:t>s on</w:t>
      </w:r>
      <w:r w:rsidR="00DE05C4" w:rsidRPr="00863601">
        <w:rPr>
          <w:color w:val="000000" w:themeColor="text1"/>
        </w:rPr>
        <w:t xml:space="preserve"> business models</w:t>
      </w:r>
      <w:r w:rsidR="00506F12" w:rsidRPr="00863601">
        <w:rPr>
          <w:color w:val="000000" w:themeColor="text1"/>
        </w:rPr>
        <w:t xml:space="preserve"> that may be better</w:t>
      </w:r>
      <w:r w:rsidR="00F15ADC" w:rsidRPr="00863601">
        <w:rPr>
          <w:color w:val="000000" w:themeColor="text1"/>
        </w:rPr>
        <w:t xml:space="preserve"> </w:t>
      </w:r>
      <w:r w:rsidR="00DE05C4" w:rsidRPr="00863601">
        <w:rPr>
          <w:color w:val="000000" w:themeColor="text1"/>
        </w:rPr>
        <w:t xml:space="preserve">left to develop unfettered by </w:t>
      </w:r>
      <w:r w:rsidR="00A37CBC" w:rsidRPr="00863601">
        <w:rPr>
          <w:color w:val="000000" w:themeColor="text1"/>
        </w:rPr>
        <w:t>the rules applicable to MVPDs</w:t>
      </w:r>
      <w:r w:rsidR="00DE05C4" w:rsidRPr="00863601">
        <w:rPr>
          <w:color w:val="000000" w:themeColor="text1"/>
        </w:rPr>
        <w:t>.</w:t>
      </w:r>
      <w:r w:rsidR="004C7E63" w:rsidRPr="00863601">
        <w:rPr>
          <w:color w:val="000000" w:themeColor="text1"/>
        </w:rPr>
        <w:t xml:space="preserve"> </w:t>
      </w:r>
      <w:r w:rsidR="001B05CD" w:rsidRPr="00863601">
        <w:rPr>
          <w:color w:val="000000" w:themeColor="text1"/>
        </w:rPr>
        <w:t xml:space="preserve"> </w:t>
      </w:r>
      <w:r w:rsidR="008822B7" w:rsidRPr="00863601">
        <w:rPr>
          <w:color w:val="000000" w:themeColor="text1"/>
        </w:rPr>
        <w:t>S</w:t>
      </w:r>
      <w:r w:rsidR="00A37CBC" w:rsidRPr="00863601" w:rsidDel="00506F12">
        <w:rPr>
          <w:color w:val="000000" w:themeColor="text1"/>
        </w:rPr>
        <w:t>hould we interpret the term MVPD to require that a certain number of channels of video programming</w:t>
      </w:r>
      <w:r w:rsidR="00FF6CFF">
        <w:rPr>
          <w:color w:val="000000" w:themeColor="text1"/>
        </w:rPr>
        <w:t>, such as twenty,</w:t>
      </w:r>
      <w:r w:rsidR="00A37CBC" w:rsidRPr="00863601" w:rsidDel="00506F12">
        <w:rPr>
          <w:color w:val="000000" w:themeColor="text1"/>
        </w:rPr>
        <w:t xml:space="preserve"> be made available?</w:t>
      </w:r>
      <w:r w:rsidR="00AE74AF" w:rsidRPr="00863601">
        <w:rPr>
          <w:rStyle w:val="FootnoteReference"/>
          <w:color w:val="000000" w:themeColor="text1"/>
        </w:rPr>
        <w:footnoteReference w:id="73"/>
      </w:r>
      <w:r w:rsidR="00A37CBC" w:rsidRPr="00863601" w:rsidDel="00506F12">
        <w:rPr>
          <w:color w:val="000000" w:themeColor="text1"/>
        </w:rPr>
        <w:t xml:space="preserve">  </w:t>
      </w:r>
      <w:r w:rsidR="00FF6CFF">
        <w:rPr>
          <w:color w:val="000000" w:themeColor="text1"/>
        </w:rPr>
        <w:t xml:space="preserve">Would twenty channels be too low or too high?  Is there justification for a different number?  </w:t>
      </w:r>
      <w:r w:rsidR="00AE74AF" w:rsidRPr="00863601">
        <w:rPr>
          <w:color w:val="000000" w:themeColor="text1"/>
        </w:rPr>
        <w:t>What if an entity makes multiple channels available nationwide, but makes only one channel available for purchase to each subscriber?</w:t>
      </w:r>
      <w:r w:rsidR="00AE74AF" w:rsidRPr="00863601">
        <w:rPr>
          <w:rStyle w:val="FootnoteReference"/>
          <w:color w:val="000000" w:themeColor="text1"/>
        </w:rPr>
        <w:footnoteReference w:id="74"/>
      </w:r>
      <w:r w:rsidR="00AE74AF" w:rsidRPr="00863601">
        <w:rPr>
          <w:color w:val="000000" w:themeColor="text1"/>
        </w:rPr>
        <w:t xml:space="preserve">  </w:t>
      </w:r>
      <w:r w:rsidR="008822B7" w:rsidRPr="00863601">
        <w:rPr>
          <w:color w:val="000000" w:themeColor="text1"/>
        </w:rPr>
        <w:t>S</w:t>
      </w:r>
      <w:r w:rsidR="00A37CBC" w:rsidRPr="00863601" w:rsidDel="00506F12">
        <w:rPr>
          <w:color w:val="000000" w:themeColor="text1"/>
        </w:rPr>
        <w:t>hould we interpret the term “channels of video programming” to require a certain number of programming hours per day or per week</w:t>
      </w:r>
      <w:r w:rsidR="004C7E63" w:rsidRPr="00863601" w:rsidDel="00506F12">
        <w:rPr>
          <w:color w:val="000000" w:themeColor="text1"/>
        </w:rPr>
        <w:t xml:space="preserve"> or to exempt certain niche programmers</w:t>
      </w:r>
      <w:r w:rsidR="00A37CBC" w:rsidRPr="00863601" w:rsidDel="00506F12">
        <w:rPr>
          <w:color w:val="000000" w:themeColor="text1"/>
        </w:rPr>
        <w:t xml:space="preserve">?  </w:t>
      </w:r>
      <w:r w:rsidR="00FF6CFF">
        <w:rPr>
          <w:color w:val="000000" w:themeColor="text1"/>
        </w:rPr>
        <w:t xml:space="preserve">Is there justification to require eighteen hours of programming per day, seven days per week, or some other number?  </w:t>
      </w:r>
      <w:r w:rsidR="00436DAD" w:rsidRPr="00863601">
        <w:rPr>
          <w:color w:val="000000" w:themeColor="text1"/>
        </w:rPr>
        <w:t xml:space="preserve">We tentatively conclude that an entity that makes linear services available via the Internet is an MVPD, and </w:t>
      </w:r>
      <w:r w:rsidR="003F363B" w:rsidRPr="00863601">
        <w:rPr>
          <w:color w:val="000000" w:themeColor="text1"/>
        </w:rPr>
        <w:t>our regulations apply to all of the</w:t>
      </w:r>
      <w:r w:rsidR="006F5B29" w:rsidRPr="00863601" w:rsidDel="00506F12">
        <w:rPr>
          <w:color w:val="000000" w:themeColor="text1"/>
        </w:rPr>
        <w:t xml:space="preserve"> MVPD</w:t>
      </w:r>
      <w:r w:rsidR="003F363B" w:rsidRPr="00863601">
        <w:rPr>
          <w:color w:val="000000" w:themeColor="text1"/>
        </w:rPr>
        <w:t>’s</w:t>
      </w:r>
      <w:r w:rsidR="006F5B29" w:rsidRPr="00863601" w:rsidDel="00506F12">
        <w:rPr>
          <w:color w:val="000000" w:themeColor="text1"/>
        </w:rPr>
        <w:t xml:space="preserve"> </w:t>
      </w:r>
      <w:r w:rsidR="003F363B" w:rsidRPr="00863601">
        <w:rPr>
          <w:color w:val="000000" w:themeColor="text1"/>
        </w:rPr>
        <w:t xml:space="preserve">video </w:t>
      </w:r>
      <w:r w:rsidR="006F5B29" w:rsidRPr="00863601" w:rsidDel="00506F12">
        <w:rPr>
          <w:color w:val="000000" w:themeColor="text1"/>
        </w:rPr>
        <w:t>service</w:t>
      </w:r>
      <w:r w:rsidR="003F363B" w:rsidRPr="00863601">
        <w:rPr>
          <w:color w:val="000000" w:themeColor="text1"/>
        </w:rPr>
        <w:t>s</w:t>
      </w:r>
      <w:r w:rsidR="00436DAD" w:rsidRPr="00863601">
        <w:rPr>
          <w:color w:val="000000" w:themeColor="text1"/>
        </w:rPr>
        <w:t>.</w:t>
      </w:r>
      <w:r w:rsidR="00651042" w:rsidRPr="00863601" w:rsidDel="00651042">
        <w:rPr>
          <w:color w:val="000000" w:themeColor="text1"/>
        </w:rPr>
        <w:t xml:space="preserve"> </w:t>
      </w:r>
      <w:r w:rsidR="00AF5577" w:rsidRPr="00863601">
        <w:rPr>
          <w:color w:val="000000" w:themeColor="text1"/>
        </w:rPr>
        <w:t>Are there</w:t>
      </w:r>
      <w:r w:rsidR="001B05CD" w:rsidRPr="00863601">
        <w:rPr>
          <w:color w:val="000000" w:themeColor="text1"/>
        </w:rPr>
        <w:t xml:space="preserve"> </w:t>
      </w:r>
      <w:r w:rsidR="00AF5577" w:rsidRPr="00863601">
        <w:rPr>
          <w:color w:val="000000" w:themeColor="text1"/>
        </w:rPr>
        <w:t>other factors that we should consider?</w:t>
      </w:r>
      <w:r w:rsidR="001B05CD" w:rsidRPr="00863601">
        <w:rPr>
          <w:color w:val="000000" w:themeColor="text1"/>
        </w:rPr>
        <w:t xml:space="preserve">  </w:t>
      </w:r>
      <w:r w:rsidR="003E46AD" w:rsidRPr="00863601">
        <w:rPr>
          <w:color w:val="000000" w:themeColor="text1"/>
        </w:rPr>
        <w:t>For example, should we exempt from the interpretation of linear programming discrete</w:t>
      </w:r>
      <w:r w:rsidR="00E2307B" w:rsidRPr="00863601">
        <w:rPr>
          <w:color w:val="000000" w:themeColor="text1"/>
        </w:rPr>
        <w:t>, intermittent</w:t>
      </w:r>
      <w:r w:rsidR="003E46AD" w:rsidRPr="00863601">
        <w:rPr>
          <w:color w:val="000000" w:themeColor="text1"/>
        </w:rPr>
        <w:t xml:space="preserve"> events that occur at prescheduled times, such as</w:t>
      </w:r>
      <w:r w:rsidR="00E3057F" w:rsidRPr="00863601">
        <w:rPr>
          <w:color w:val="000000" w:themeColor="text1"/>
        </w:rPr>
        <w:t xml:space="preserve"> live</w:t>
      </w:r>
      <w:r w:rsidR="003E46AD" w:rsidRPr="00863601">
        <w:rPr>
          <w:color w:val="000000" w:themeColor="text1"/>
        </w:rPr>
        <w:t xml:space="preserve"> individual sporting events?  While these events are prescheduled by the programming provider, they are presented </w:t>
      </w:r>
      <w:r w:rsidR="00623373" w:rsidRPr="00863601">
        <w:rPr>
          <w:color w:val="000000" w:themeColor="text1"/>
        </w:rPr>
        <w:t xml:space="preserve">sporadically, in contrast to </w:t>
      </w:r>
      <w:r w:rsidR="003E46AD" w:rsidRPr="00863601">
        <w:rPr>
          <w:color w:val="000000" w:themeColor="text1"/>
        </w:rPr>
        <w:t xml:space="preserve">most television channels </w:t>
      </w:r>
      <w:r w:rsidR="00623373" w:rsidRPr="00863601">
        <w:rPr>
          <w:color w:val="000000" w:themeColor="text1"/>
        </w:rPr>
        <w:t>that broadcast continuously throughout the day</w:t>
      </w:r>
      <w:r w:rsidR="003E46AD" w:rsidRPr="00863601">
        <w:rPr>
          <w:color w:val="000000" w:themeColor="text1"/>
        </w:rPr>
        <w:t xml:space="preserve">.  If such events are considered linear programming, </w:t>
      </w:r>
      <w:r w:rsidR="003E46AD" w:rsidRPr="00863601">
        <w:rPr>
          <w:color w:val="000000" w:themeColor="text1"/>
          <w:szCs w:val="22"/>
        </w:rPr>
        <w:t>o</w:t>
      </w:r>
      <w:r w:rsidR="00A37CBC" w:rsidRPr="00863601">
        <w:rPr>
          <w:color w:val="000000" w:themeColor="text1"/>
          <w:szCs w:val="22"/>
        </w:rPr>
        <w:t xml:space="preserve">ur proposed Linear Programming Interpretation would </w:t>
      </w:r>
      <w:r w:rsidR="003E46AD" w:rsidRPr="00863601">
        <w:rPr>
          <w:color w:val="000000" w:themeColor="text1"/>
          <w:szCs w:val="22"/>
        </w:rPr>
        <w:t xml:space="preserve">appear to </w:t>
      </w:r>
      <w:r w:rsidR="00A37CBC" w:rsidRPr="00863601">
        <w:rPr>
          <w:color w:val="000000" w:themeColor="text1"/>
          <w:szCs w:val="22"/>
        </w:rPr>
        <w:t>apply to online subscription video packages that stream multiple sporting events, such as those offered by Major League Baseball, Major League Soccer, the National Basketball Association, and the National Hockey League.</w:t>
      </w:r>
      <w:r w:rsidR="00A37CBC" w:rsidRPr="00863601">
        <w:rPr>
          <w:rStyle w:val="FootnoteReference"/>
          <w:color w:val="000000" w:themeColor="text1"/>
          <w:szCs w:val="22"/>
        </w:rPr>
        <w:footnoteReference w:id="75"/>
      </w:r>
      <w:r w:rsidR="00A37CBC" w:rsidRPr="00863601">
        <w:rPr>
          <w:color w:val="000000" w:themeColor="text1"/>
          <w:szCs w:val="22"/>
        </w:rPr>
        <w:t xml:space="preserve"> </w:t>
      </w:r>
      <w:r w:rsidR="00276306" w:rsidRPr="00863601">
        <w:rPr>
          <w:color w:val="000000" w:themeColor="text1"/>
          <w:szCs w:val="22"/>
        </w:rPr>
        <w:t xml:space="preserve"> </w:t>
      </w:r>
      <w:r w:rsidR="00A37CBC" w:rsidRPr="00863601">
        <w:rPr>
          <w:color w:val="000000" w:themeColor="text1"/>
          <w:szCs w:val="22"/>
        </w:rPr>
        <w:t>We seek comment on whether</w:t>
      </w:r>
      <w:r w:rsidR="008822B7" w:rsidRPr="00863601">
        <w:rPr>
          <w:color w:val="000000" w:themeColor="text1"/>
          <w:szCs w:val="22"/>
        </w:rPr>
        <w:t xml:space="preserve"> distributors of</w:t>
      </w:r>
      <w:r w:rsidR="00A37CBC" w:rsidRPr="00863601">
        <w:rPr>
          <w:color w:val="000000" w:themeColor="text1"/>
          <w:szCs w:val="22"/>
        </w:rPr>
        <w:t xml:space="preserve"> these types of services should be included within our interpretation of MVPD and, if not, on the statutory basis for excluding them</w:t>
      </w:r>
      <w:r w:rsidR="00E2307B" w:rsidRPr="00863601">
        <w:rPr>
          <w:color w:val="000000" w:themeColor="text1"/>
          <w:szCs w:val="22"/>
        </w:rPr>
        <w:t xml:space="preserve"> and bright-line tests that we could use to </w:t>
      </w:r>
      <w:r w:rsidR="008822B7" w:rsidRPr="00863601">
        <w:rPr>
          <w:color w:val="000000" w:themeColor="text1"/>
          <w:szCs w:val="22"/>
        </w:rPr>
        <w:t>evaluate whether such an exclusion would apply</w:t>
      </w:r>
      <w:r w:rsidR="00A37CBC" w:rsidRPr="00863601">
        <w:rPr>
          <w:color w:val="000000" w:themeColor="text1"/>
          <w:szCs w:val="22"/>
        </w:rPr>
        <w:t>.</w:t>
      </w:r>
    </w:p>
    <w:p w:rsidR="00B54AC1" w:rsidRPr="00863601" w:rsidRDefault="00594451" w:rsidP="005E5F79">
      <w:pPr>
        <w:pStyle w:val="ParaNum"/>
        <w:widowControl/>
        <w:rPr>
          <w:color w:val="000000" w:themeColor="text1"/>
          <w:szCs w:val="22"/>
        </w:rPr>
      </w:pPr>
      <w:r w:rsidRPr="00863601">
        <w:rPr>
          <w:rFonts w:eastAsia="Calibri"/>
          <w:color w:val="000000" w:themeColor="text1"/>
          <w:szCs w:val="22"/>
        </w:rPr>
        <w:t>We tentatively conclude that we should interpret MVPD so that the definition would not apply to a distributor that makes available only programming that it owns—for example, sports leagues or stand-alone program services like CBS’s new streaming service.</w:t>
      </w:r>
      <w:r w:rsidRPr="00863601">
        <w:rPr>
          <w:rStyle w:val="FootnoteReference"/>
          <w:rFonts w:eastAsia="Calibri"/>
          <w:color w:val="000000" w:themeColor="text1"/>
        </w:rPr>
        <w:footnoteReference w:id="76"/>
      </w:r>
      <w:r w:rsidR="00D039CB">
        <w:rPr>
          <w:rFonts w:eastAsia="Calibri"/>
          <w:color w:val="000000" w:themeColor="text1"/>
          <w:szCs w:val="22"/>
        </w:rPr>
        <w:t xml:space="preserve">  </w:t>
      </w:r>
      <w:r w:rsidRPr="00863601">
        <w:rPr>
          <w:rFonts w:eastAsia="Calibri"/>
          <w:color w:val="000000" w:themeColor="text1"/>
          <w:szCs w:val="22"/>
        </w:rPr>
        <w:t xml:space="preserve">A potential consequence of the Linear Programming Interpretation would be that a programmer that decides to sell two or more of its own programming networks directly to consumers online, either instead of or in addition to selling them through cable or DBS operators’ programming packages, might subject itself to the benefits and burdens of MVPD status.  For example, if Disney were to offer, for purchase by subscribers, a package of linear feeds of the Disney Channel, Disney XD, and Disney Junior for online streaming to customers, would that make Disney an MVPD?  </w:t>
      </w:r>
      <w:r w:rsidR="008F7402" w:rsidRPr="00E61E4D">
        <w:rPr>
          <w:color w:val="000000" w:themeColor="text1"/>
        </w:rPr>
        <w:t>Would this unduly limit consumer options?  Would bringing such an offering into our MVPD regulations discourage innovation?</w:t>
      </w:r>
      <w:r w:rsidR="008F7402" w:rsidRPr="00DF6593">
        <w:rPr>
          <w:color w:val="000000" w:themeColor="text1"/>
        </w:rPr>
        <w:t xml:space="preserve">  </w:t>
      </w:r>
      <w:r w:rsidRPr="00863601">
        <w:rPr>
          <w:rFonts w:eastAsia="Calibri"/>
          <w:color w:val="000000" w:themeColor="text1"/>
          <w:szCs w:val="22"/>
        </w:rPr>
        <w:t>We seek comment on our statutory authority to</w:t>
      </w:r>
      <w:r w:rsidR="00BF55A7" w:rsidRPr="00863601">
        <w:rPr>
          <w:rFonts w:eastAsia="Calibri"/>
          <w:color w:val="000000" w:themeColor="text1"/>
          <w:szCs w:val="22"/>
        </w:rPr>
        <w:t xml:space="preserve"> adopt our tentative conclusion.</w:t>
      </w:r>
    </w:p>
    <w:p w:rsidR="00096A5F" w:rsidRPr="00863601" w:rsidRDefault="00096A5F" w:rsidP="005E5F79">
      <w:pPr>
        <w:pStyle w:val="ParaNum"/>
        <w:widowControl/>
        <w:rPr>
          <w:color w:val="000000" w:themeColor="text1"/>
        </w:rPr>
      </w:pPr>
      <w:r w:rsidRPr="00863601">
        <w:rPr>
          <w:color w:val="000000" w:themeColor="text1"/>
        </w:rPr>
        <w:t xml:space="preserve">Under the Act, an entity is an MVPD </w:t>
      </w:r>
      <w:r w:rsidR="002648CB" w:rsidRPr="00863601">
        <w:rPr>
          <w:color w:val="000000" w:themeColor="text1"/>
        </w:rPr>
        <w:t xml:space="preserve">only </w:t>
      </w:r>
      <w:r w:rsidRPr="00863601">
        <w:rPr>
          <w:color w:val="000000" w:themeColor="text1"/>
        </w:rPr>
        <w:t>if it makes multiple channels of video programming “available for purchase.”</w:t>
      </w:r>
      <w:r w:rsidRPr="00863601">
        <w:rPr>
          <w:rStyle w:val="FootnoteReference"/>
          <w:color w:val="000000" w:themeColor="text1"/>
        </w:rPr>
        <w:footnoteReference w:id="77"/>
      </w:r>
      <w:r w:rsidRPr="00863601">
        <w:rPr>
          <w:color w:val="000000" w:themeColor="text1"/>
        </w:rPr>
        <w:t xml:space="preserve">  We seek comment on what it means to make video programming available for purchase, particularly as </w:t>
      </w:r>
      <w:r w:rsidR="008822B7" w:rsidRPr="00863601">
        <w:rPr>
          <w:color w:val="000000" w:themeColor="text1"/>
        </w:rPr>
        <w:t xml:space="preserve">that term </w:t>
      </w:r>
      <w:r w:rsidRPr="00863601">
        <w:rPr>
          <w:color w:val="000000" w:themeColor="text1"/>
        </w:rPr>
        <w:t xml:space="preserve">would apply if we were to adopt our proposed Linear Programming Interpretation.  We tentatively conclude that the term means making an offer </w:t>
      </w:r>
      <w:r w:rsidR="008C7F9E" w:rsidRPr="00863601">
        <w:rPr>
          <w:color w:val="000000" w:themeColor="text1"/>
        </w:rPr>
        <w:t xml:space="preserve">to consumers </w:t>
      </w:r>
      <w:r w:rsidR="00B90795" w:rsidRPr="00863601">
        <w:rPr>
          <w:color w:val="000000" w:themeColor="text1"/>
        </w:rPr>
        <w:t xml:space="preserve">to </w:t>
      </w:r>
      <w:r w:rsidRPr="00863601">
        <w:rPr>
          <w:color w:val="000000" w:themeColor="text1"/>
        </w:rPr>
        <w:t>exchange</w:t>
      </w:r>
      <w:r w:rsidR="002F1748" w:rsidRPr="00863601">
        <w:rPr>
          <w:color w:val="000000" w:themeColor="text1"/>
        </w:rPr>
        <w:t xml:space="preserve"> video</w:t>
      </w:r>
      <w:r w:rsidRPr="00863601">
        <w:rPr>
          <w:color w:val="000000" w:themeColor="text1"/>
        </w:rPr>
        <w:t xml:space="preserve"> service for money.  We seek comment on this tentative conclusion.  Are there other forms of consideration that a consumer could use to purchase services?  </w:t>
      </w:r>
      <w:r w:rsidR="002648CB" w:rsidRPr="00863601">
        <w:rPr>
          <w:color w:val="000000" w:themeColor="text1"/>
        </w:rPr>
        <w:t xml:space="preserve">If a cable or satellite company offers its subscribers access to supplemental online linear video services without </w:t>
      </w:r>
      <w:r w:rsidR="000A5B04" w:rsidRPr="00863601">
        <w:rPr>
          <w:color w:val="000000" w:themeColor="text1"/>
        </w:rPr>
        <w:t xml:space="preserve">a </w:t>
      </w:r>
      <w:r w:rsidR="002648CB" w:rsidRPr="00863601">
        <w:rPr>
          <w:color w:val="000000" w:themeColor="text1"/>
        </w:rPr>
        <w:t>separate charge</w:t>
      </w:r>
      <w:r w:rsidR="000A5B04" w:rsidRPr="00863601">
        <w:rPr>
          <w:color w:val="000000" w:themeColor="text1"/>
        </w:rPr>
        <w:t>, but</w:t>
      </w:r>
      <w:r w:rsidR="002648CB" w:rsidRPr="00863601">
        <w:rPr>
          <w:color w:val="000000" w:themeColor="text1"/>
        </w:rPr>
        <w:t xml:space="preserve"> as part of their paid television packages, does this offering constitute making the online services “available for purchase”?</w:t>
      </w:r>
      <w:r w:rsidR="002648CB" w:rsidRPr="00863601">
        <w:rPr>
          <w:rStyle w:val="FootnoteReference"/>
          <w:color w:val="000000" w:themeColor="text1"/>
        </w:rPr>
        <w:footnoteReference w:id="78"/>
      </w:r>
      <w:r w:rsidR="002648CB" w:rsidRPr="00863601">
        <w:rPr>
          <w:color w:val="000000" w:themeColor="text1"/>
        </w:rPr>
        <w:t xml:space="preserve">  </w:t>
      </w:r>
      <w:r w:rsidR="00D0777D" w:rsidRPr="00863601">
        <w:rPr>
          <w:color w:val="000000" w:themeColor="text1"/>
        </w:rPr>
        <w:t xml:space="preserve">Do any cable </w:t>
      </w:r>
      <w:r w:rsidR="00E82093" w:rsidRPr="00863601">
        <w:rPr>
          <w:color w:val="000000" w:themeColor="text1"/>
        </w:rPr>
        <w:t>or</w:t>
      </w:r>
      <w:r w:rsidR="00D0777D" w:rsidRPr="00863601">
        <w:rPr>
          <w:color w:val="000000" w:themeColor="text1"/>
        </w:rPr>
        <w:t xml:space="preserve"> satellite companies charge subscribers for those services indirectly?</w:t>
      </w:r>
      <w:r w:rsidR="00CA7DB1" w:rsidRPr="00863601">
        <w:rPr>
          <w:color w:val="000000" w:themeColor="text1"/>
        </w:rPr>
        <w:t xml:space="preserve">  Is there any way to trace general subscription fees specifically to supplemental online linear video services?</w:t>
      </w:r>
      <w:r w:rsidR="00D0777D" w:rsidRPr="00863601">
        <w:rPr>
          <w:color w:val="000000" w:themeColor="text1"/>
        </w:rPr>
        <w:t xml:space="preserve">  </w:t>
      </w:r>
      <w:r w:rsidRPr="00863601">
        <w:rPr>
          <w:color w:val="000000" w:themeColor="text1"/>
        </w:rPr>
        <w:t>We seek comment on how our proposed interpretation could affect new business models that do not conform with the traditional monthly subscription model, and whether we should treat those business models on a case-by-case basis.</w:t>
      </w:r>
    </w:p>
    <w:p w:rsidR="00096A5F" w:rsidRPr="00863601" w:rsidRDefault="00126CFA" w:rsidP="005E5F79">
      <w:pPr>
        <w:pStyle w:val="ParaNum"/>
        <w:widowControl/>
        <w:rPr>
          <w:color w:val="000000" w:themeColor="text1"/>
          <w:szCs w:val="22"/>
        </w:rPr>
      </w:pPr>
      <w:r w:rsidRPr="00863601">
        <w:rPr>
          <w:color w:val="000000" w:themeColor="text1"/>
          <w:szCs w:val="22"/>
          <w:lang w:eastAsia="ar-SA"/>
        </w:rPr>
        <w:t xml:space="preserve">We </w:t>
      </w:r>
      <w:r w:rsidR="003A081E" w:rsidRPr="00863601">
        <w:rPr>
          <w:color w:val="000000" w:themeColor="text1"/>
          <w:szCs w:val="22"/>
          <w:lang w:eastAsia="ar-SA"/>
        </w:rPr>
        <w:t xml:space="preserve">also </w:t>
      </w:r>
      <w:r w:rsidRPr="00863601">
        <w:rPr>
          <w:color w:val="000000" w:themeColor="text1"/>
          <w:szCs w:val="22"/>
          <w:lang w:eastAsia="ar-SA"/>
        </w:rPr>
        <w:t xml:space="preserve">seek comment on how our proposed interpretation would apply to </w:t>
      </w:r>
      <w:r w:rsidRPr="00863601">
        <w:rPr>
          <w:color w:val="000000" w:themeColor="text1"/>
        </w:rPr>
        <w:t xml:space="preserve">entities </w:t>
      </w:r>
      <w:r w:rsidR="00C07068" w:rsidRPr="00863601">
        <w:rPr>
          <w:color w:val="000000" w:themeColor="text1"/>
        </w:rPr>
        <w:t>that are</w:t>
      </w:r>
      <w:r w:rsidRPr="00863601">
        <w:rPr>
          <w:color w:val="000000" w:themeColor="text1"/>
        </w:rPr>
        <w:t xml:space="preserve"> located overseas but mak</w:t>
      </w:r>
      <w:r w:rsidR="003E46AD" w:rsidRPr="00863601">
        <w:rPr>
          <w:color w:val="000000" w:themeColor="text1"/>
        </w:rPr>
        <w:t>e</w:t>
      </w:r>
      <w:r w:rsidRPr="00863601">
        <w:rPr>
          <w:color w:val="000000" w:themeColor="text1"/>
        </w:rPr>
        <w:t xml:space="preserve"> linear video programming networks available for purchase in the United States over the Internet.  An entity could meet the definition of MVPD under our proposed definition even if it has no physical presence in the United States.</w:t>
      </w:r>
      <w:r w:rsidR="00E77413" w:rsidRPr="00863601">
        <w:rPr>
          <w:rStyle w:val="FootnoteReference"/>
          <w:color w:val="000000" w:themeColor="text1"/>
          <w:szCs w:val="22"/>
        </w:rPr>
        <w:footnoteReference w:id="79"/>
      </w:r>
      <w:r w:rsidRPr="00863601">
        <w:rPr>
          <w:color w:val="000000" w:themeColor="text1"/>
        </w:rPr>
        <w:t xml:space="preserve">  </w:t>
      </w:r>
      <w:r w:rsidR="00E77413" w:rsidRPr="00863601">
        <w:rPr>
          <w:color w:val="000000" w:themeColor="text1"/>
        </w:rPr>
        <w:t>We tentatively conclude that the Commission should not</w:t>
      </w:r>
      <w:r w:rsidRPr="00863601">
        <w:rPr>
          <w:color w:val="000000" w:themeColor="text1"/>
        </w:rPr>
        <w:t xml:space="preserve"> assert jurisdiction over these entities</w:t>
      </w:r>
      <w:r w:rsidR="00E77413" w:rsidRPr="00863601">
        <w:rPr>
          <w:color w:val="000000" w:themeColor="text1"/>
        </w:rPr>
        <w:t>.  If commenters disagree</w:t>
      </w:r>
      <w:r w:rsidRPr="00863601">
        <w:rPr>
          <w:color w:val="000000" w:themeColor="text1"/>
        </w:rPr>
        <w:t xml:space="preserve">, </w:t>
      </w:r>
      <w:r w:rsidR="00E77413" w:rsidRPr="00863601">
        <w:rPr>
          <w:color w:val="000000" w:themeColor="text1"/>
        </w:rPr>
        <w:t xml:space="preserve">they should provide the authority </w:t>
      </w:r>
      <w:r w:rsidRPr="00863601">
        <w:rPr>
          <w:color w:val="000000" w:themeColor="text1"/>
        </w:rPr>
        <w:t xml:space="preserve">under </w:t>
      </w:r>
      <w:r w:rsidR="00E77413" w:rsidRPr="00863601">
        <w:rPr>
          <w:color w:val="000000" w:themeColor="text1"/>
        </w:rPr>
        <w:t>which the Commission could assert jurisdiction.</w:t>
      </w:r>
      <w:r w:rsidRPr="00863601">
        <w:rPr>
          <w:color w:val="000000" w:themeColor="text1"/>
        </w:rPr>
        <w:t xml:space="preserve">  If we assert jurisdiction </w:t>
      </w:r>
      <w:r w:rsidR="00912262" w:rsidRPr="00863601">
        <w:rPr>
          <w:color w:val="000000" w:themeColor="text1"/>
        </w:rPr>
        <w:t xml:space="preserve">solely </w:t>
      </w:r>
      <w:r w:rsidRPr="00863601">
        <w:rPr>
          <w:color w:val="000000" w:themeColor="text1"/>
        </w:rPr>
        <w:t xml:space="preserve">over entities with a physical presence in the United States, will </w:t>
      </w:r>
      <w:r w:rsidR="00912262" w:rsidRPr="00863601">
        <w:rPr>
          <w:color w:val="000000" w:themeColor="text1"/>
        </w:rPr>
        <w:t xml:space="preserve">some </w:t>
      </w:r>
      <w:r w:rsidRPr="00863601">
        <w:rPr>
          <w:color w:val="000000" w:themeColor="text1"/>
        </w:rPr>
        <w:t>Internet-based distributors of video programming locate their operations overseas to avoid Commission regulation?  Would the alternative interpretation discussed below, which would consider an entity to be an MVPD only if it maintains control over a transmission path, avoid this result by requiring an MVPD to have a jurisdictional presence in the United States?</w:t>
      </w:r>
    </w:p>
    <w:p w:rsidR="002449CC" w:rsidRPr="00863601" w:rsidRDefault="002449CC" w:rsidP="005E5F79">
      <w:pPr>
        <w:pStyle w:val="Heading3"/>
        <w:widowControl/>
        <w:rPr>
          <w:color w:val="000000" w:themeColor="text1"/>
        </w:rPr>
      </w:pPr>
      <w:bookmarkStart w:id="126" w:name="_Toc398540289"/>
      <w:bookmarkStart w:id="127" w:name="_Toc398565511"/>
      <w:bookmarkStart w:id="128" w:name="_Toc398624346"/>
      <w:bookmarkStart w:id="129" w:name="_Toc398746604"/>
      <w:bookmarkStart w:id="130" w:name="_Toc399148308"/>
      <w:bookmarkStart w:id="131" w:name="_Toc399260525"/>
      <w:bookmarkStart w:id="132" w:name="_Toc399316543"/>
      <w:bookmarkStart w:id="133" w:name="_Toc401241701"/>
      <w:bookmarkStart w:id="134" w:name="_Toc401259704"/>
      <w:bookmarkStart w:id="135" w:name="_Toc401312828"/>
      <w:bookmarkStart w:id="136" w:name="_Toc401850535"/>
      <w:bookmarkStart w:id="137" w:name="_Toc402169633"/>
      <w:bookmarkStart w:id="138" w:name="_Toc405301017"/>
      <w:bookmarkStart w:id="139" w:name="_Toc405884721"/>
      <w:bookmarkStart w:id="140" w:name="_Toc406609211"/>
      <w:bookmarkStart w:id="141" w:name="_Toc395187280"/>
      <w:bookmarkStart w:id="142" w:name="_Toc343875912"/>
      <w:bookmarkStart w:id="143" w:name="_Toc345939765"/>
      <w:bookmarkStart w:id="144" w:name="_Toc345939976"/>
      <w:bookmarkStart w:id="145" w:name="_Toc346121508"/>
      <w:bookmarkStart w:id="146" w:name="_Toc346192536"/>
      <w:bookmarkStart w:id="147" w:name="_Toc346192613"/>
      <w:bookmarkStart w:id="148" w:name="_Toc347490999"/>
      <w:bookmarkStart w:id="149" w:name="_Toc349751898"/>
      <w:r w:rsidRPr="00863601">
        <w:rPr>
          <w:color w:val="000000" w:themeColor="text1"/>
        </w:rPr>
        <w:t>Alternative “Transmission Path Interpretation”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863601">
        <w:rPr>
          <w:color w:val="000000" w:themeColor="text1"/>
        </w:rPr>
        <w:t xml:space="preserve">  </w:t>
      </w:r>
    </w:p>
    <w:bookmarkEnd w:id="141"/>
    <w:p w:rsidR="00257ABA" w:rsidRPr="00863601" w:rsidRDefault="00F274CC" w:rsidP="005E5F79">
      <w:pPr>
        <w:pStyle w:val="ParaNum"/>
        <w:widowControl/>
        <w:rPr>
          <w:color w:val="000000" w:themeColor="text1"/>
          <w:szCs w:val="22"/>
        </w:rPr>
      </w:pPr>
      <w:r w:rsidRPr="00863601">
        <w:rPr>
          <w:color w:val="000000" w:themeColor="text1"/>
          <w:szCs w:val="22"/>
        </w:rPr>
        <w:t xml:space="preserve">We seek comment </w:t>
      </w:r>
      <w:r w:rsidR="007353AB" w:rsidRPr="00863601">
        <w:rPr>
          <w:color w:val="000000" w:themeColor="text1"/>
          <w:szCs w:val="22"/>
        </w:rPr>
        <w:t xml:space="preserve">also </w:t>
      </w:r>
      <w:r w:rsidR="00655A2E" w:rsidRPr="00863601">
        <w:rPr>
          <w:color w:val="000000" w:themeColor="text1"/>
          <w:szCs w:val="22"/>
        </w:rPr>
        <w:t xml:space="preserve">on </w:t>
      </w:r>
      <w:r w:rsidRPr="00863601">
        <w:rPr>
          <w:color w:val="000000" w:themeColor="text1"/>
          <w:szCs w:val="22"/>
        </w:rPr>
        <w:t>an alternative approach</w:t>
      </w:r>
      <w:r w:rsidR="00387A4D" w:rsidRPr="00863601">
        <w:rPr>
          <w:color w:val="000000" w:themeColor="text1"/>
          <w:szCs w:val="22"/>
        </w:rPr>
        <w:t xml:space="preserve"> that </w:t>
      </w:r>
      <w:r w:rsidR="007353AB" w:rsidRPr="00863601">
        <w:rPr>
          <w:color w:val="000000" w:themeColor="text1"/>
          <w:szCs w:val="22"/>
        </w:rPr>
        <w:t xml:space="preserve">would </w:t>
      </w:r>
      <w:r w:rsidR="00387A4D" w:rsidRPr="00863601">
        <w:rPr>
          <w:color w:val="000000" w:themeColor="text1"/>
          <w:szCs w:val="22"/>
        </w:rPr>
        <w:t>interpret the term channel in this context as requiring a transmission path.  This is the approach</w:t>
      </w:r>
      <w:r w:rsidRPr="00863601">
        <w:rPr>
          <w:color w:val="000000" w:themeColor="text1"/>
          <w:szCs w:val="22"/>
        </w:rPr>
        <w:t xml:space="preserve"> </w:t>
      </w:r>
      <w:r w:rsidR="007353AB" w:rsidRPr="00863601">
        <w:rPr>
          <w:color w:val="000000" w:themeColor="text1"/>
          <w:szCs w:val="22"/>
        </w:rPr>
        <w:t xml:space="preserve">for which </w:t>
      </w:r>
      <w:r w:rsidRPr="00863601">
        <w:rPr>
          <w:color w:val="000000" w:themeColor="text1"/>
          <w:szCs w:val="22"/>
        </w:rPr>
        <w:t>the Media Bureau</w:t>
      </w:r>
      <w:r w:rsidR="00387A4D" w:rsidRPr="00863601">
        <w:rPr>
          <w:color w:val="000000" w:themeColor="text1"/>
          <w:szCs w:val="22"/>
        </w:rPr>
        <w:t xml:space="preserve"> </w:t>
      </w:r>
      <w:r w:rsidR="007353AB" w:rsidRPr="00863601">
        <w:rPr>
          <w:color w:val="000000" w:themeColor="text1"/>
          <w:szCs w:val="22"/>
        </w:rPr>
        <w:t>expressed tentative support</w:t>
      </w:r>
      <w:r w:rsidR="00387A4D" w:rsidRPr="00863601">
        <w:rPr>
          <w:color w:val="000000" w:themeColor="text1"/>
          <w:szCs w:val="22"/>
        </w:rPr>
        <w:t xml:space="preserve"> in denying Sky Angel’s standstill request</w:t>
      </w:r>
      <w:r w:rsidRPr="00863601">
        <w:rPr>
          <w:color w:val="000000" w:themeColor="text1"/>
          <w:szCs w:val="22"/>
        </w:rPr>
        <w:t>.</w:t>
      </w:r>
      <w:r w:rsidRPr="00863601">
        <w:rPr>
          <w:color w:val="000000" w:themeColor="text1"/>
          <w:szCs w:val="22"/>
          <w:lang w:eastAsia="ar-SA"/>
        </w:rPr>
        <w:t xml:space="preserve">  </w:t>
      </w:r>
      <w:r w:rsidRPr="00863601">
        <w:rPr>
          <w:color w:val="000000" w:themeColor="text1"/>
          <w:szCs w:val="22"/>
        </w:rPr>
        <w:t xml:space="preserve">Citing the statutory definition of “channel” as </w:t>
      </w:r>
      <w:r w:rsidRPr="00863601">
        <w:rPr>
          <w:color w:val="000000" w:themeColor="text1"/>
          <w:kern w:val="0"/>
          <w:szCs w:val="22"/>
        </w:rPr>
        <w:t>“</w:t>
      </w:r>
      <w:r w:rsidRPr="00863601">
        <w:rPr>
          <w:i/>
          <w:color w:val="000000" w:themeColor="text1"/>
          <w:kern w:val="0"/>
          <w:szCs w:val="22"/>
        </w:rPr>
        <w:t>a portion of the electromagnetic frequency spectrum</w:t>
      </w:r>
      <w:r w:rsidRPr="00863601">
        <w:rPr>
          <w:color w:val="000000" w:themeColor="text1"/>
          <w:kern w:val="0"/>
          <w:szCs w:val="22"/>
        </w:rPr>
        <w:t xml:space="preserve"> which is used in a cable system and which is capable of delivering a television channel,”</w:t>
      </w:r>
      <w:r w:rsidRPr="00863601">
        <w:rPr>
          <w:rStyle w:val="FootnoteReference"/>
          <w:color w:val="000000" w:themeColor="text1"/>
          <w:kern w:val="0"/>
          <w:szCs w:val="22"/>
        </w:rPr>
        <w:footnoteReference w:id="80"/>
      </w:r>
      <w:r w:rsidRPr="00863601">
        <w:rPr>
          <w:color w:val="000000" w:themeColor="text1"/>
          <w:kern w:val="0"/>
          <w:szCs w:val="22"/>
        </w:rPr>
        <w:t xml:space="preserve"> t</w:t>
      </w:r>
      <w:r w:rsidRPr="00863601">
        <w:rPr>
          <w:color w:val="000000" w:themeColor="text1"/>
          <w:szCs w:val="22"/>
        </w:rPr>
        <w:t xml:space="preserve">he Media Bureau </w:t>
      </w:r>
      <w:r w:rsidR="007353AB" w:rsidRPr="00863601">
        <w:rPr>
          <w:color w:val="000000" w:themeColor="text1"/>
          <w:szCs w:val="22"/>
        </w:rPr>
        <w:t>expressed the tentative view</w:t>
      </w:r>
      <w:r w:rsidR="00B90795" w:rsidRPr="00863601">
        <w:rPr>
          <w:color w:val="000000" w:themeColor="text1"/>
          <w:szCs w:val="22"/>
        </w:rPr>
        <w:t xml:space="preserve"> </w:t>
      </w:r>
      <w:r w:rsidRPr="00863601">
        <w:rPr>
          <w:color w:val="000000" w:themeColor="text1"/>
          <w:szCs w:val="22"/>
        </w:rPr>
        <w:t>that the term “channel” as used in the definition of MVPD “</w:t>
      </w:r>
      <w:r w:rsidRPr="00863601">
        <w:rPr>
          <w:color w:val="000000" w:themeColor="text1"/>
        </w:rPr>
        <w:t>appear</w:t>
      </w:r>
      <w:r w:rsidRPr="00863601">
        <w:rPr>
          <w:color w:val="000000" w:themeColor="text1"/>
          <w:szCs w:val="22"/>
        </w:rPr>
        <w:t>[s] to include a transmission path as a necessary element.”</w:t>
      </w:r>
      <w:r w:rsidRPr="00863601">
        <w:rPr>
          <w:rStyle w:val="FootnoteReference"/>
          <w:color w:val="000000" w:themeColor="text1"/>
          <w:szCs w:val="22"/>
        </w:rPr>
        <w:footnoteReference w:id="81"/>
      </w:r>
      <w:r w:rsidRPr="00863601">
        <w:rPr>
          <w:color w:val="000000" w:themeColor="text1"/>
          <w:szCs w:val="22"/>
        </w:rPr>
        <w:t xml:space="preserve">  </w:t>
      </w:r>
      <w:r w:rsidR="00296CBA" w:rsidRPr="00863601">
        <w:rPr>
          <w:color w:val="000000" w:themeColor="text1"/>
          <w:szCs w:val="22"/>
        </w:rPr>
        <w:t>Under this interpretation,</w:t>
      </w:r>
      <w:r w:rsidR="00231D16" w:rsidRPr="00863601">
        <w:rPr>
          <w:color w:val="000000" w:themeColor="text1"/>
          <w:szCs w:val="22"/>
        </w:rPr>
        <w:t xml:space="preserve"> we would not consider Internet-based linear video providers to be MVPDs unless they control </w:t>
      </w:r>
      <w:r w:rsidR="007353AB" w:rsidRPr="00863601">
        <w:rPr>
          <w:color w:val="000000" w:themeColor="text1"/>
          <w:szCs w:val="22"/>
        </w:rPr>
        <w:t xml:space="preserve">at least some portion of </w:t>
      </w:r>
      <w:r w:rsidR="00231D16" w:rsidRPr="00863601">
        <w:rPr>
          <w:color w:val="000000" w:themeColor="text1"/>
          <w:szCs w:val="22"/>
        </w:rPr>
        <w:t>the physical means by which the programming is delivered</w:t>
      </w:r>
      <w:r w:rsidR="00DD62FD" w:rsidRPr="00863601">
        <w:rPr>
          <w:color w:val="000000" w:themeColor="text1"/>
          <w:szCs w:val="22"/>
        </w:rPr>
        <w:t>—</w:t>
      </w:r>
      <w:r w:rsidR="00231D16" w:rsidRPr="00863601">
        <w:rPr>
          <w:color w:val="000000" w:themeColor="text1"/>
          <w:szCs w:val="22"/>
        </w:rPr>
        <w:t>for example</w:t>
      </w:r>
      <w:r w:rsidR="008F73F9" w:rsidRPr="00863601">
        <w:rPr>
          <w:color w:val="000000" w:themeColor="text1"/>
          <w:szCs w:val="22"/>
        </w:rPr>
        <w:t>,</w:t>
      </w:r>
      <w:r w:rsidR="00231D16" w:rsidRPr="00863601">
        <w:rPr>
          <w:color w:val="000000" w:themeColor="text1"/>
          <w:szCs w:val="22"/>
        </w:rPr>
        <w:t xml:space="preserve"> via a physical cable that the provider owns or via spectrum that the provider is licensed to use.  </w:t>
      </w:r>
      <w:r w:rsidR="003A7229" w:rsidRPr="00863601">
        <w:rPr>
          <w:color w:val="000000" w:themeColor="text1"/>
          <w:szCs w:val="22"/>
        </w:rPr>
        <w:t xml:space="preserve">We </w:t>
      </w:r>
      <w:r w:rsidR="00296CBA" w:rsidRPr="00863601">
        <w:rPr>
          <w:color w:val="000000" w:themeColor="text1"/>
          <w:szCs w:val="22"/>
        </w:rPr>
        <w:t>seek comment on the Transmission Path Interpretation</w:t>
      </w:r>
      <w:r w:rsidR="008F73F9" w:rsidRPr="00863601">
        <w:rPr>
          <w:color w:val="000000" w:themeColor="text1"/>
          <w:szCs w:val="22"/>
        </w:rPr>
        <w:t>.</w:t>
      </w:r>
      <w:r w:rsidR="00C8742A" w:rsidRPr="00863601">
        <w:rPr>
          <w:color w:val="000000" w:themeColor="text1"/>
          <w:szCs w:val="22"/>
        </w:rPr>
        <w:t xml:space="preserve">  How </w:t>
      </w:r>
      <w:r w:rsidR="00F8425C" w:rsidRPr="00863601">
        <w:rPr>
          <w:color w:val="000000" w:themeColor="text1"/>
          <w:szCs w:val="22"/>
        </w:rPr>
        <w:t>would</w:t>
      </w:r>
      <w:r w:rsidR="00C8742A" w:rsidRPr="00863601">
        <w:rPr>
          <w:color w:val="000000" w:themeColor="text1"/>
          <w:szCs w:val="22"/>
        </w:rPr>
        <w:t xml:space="preserve"> we reconcile the Transmission Path Interpretation with </w:t>
      </w:r>
      <w:r w:rsidR="00C8742A" w:rsidRPr="00863601">
        <w:rPr>
          <w:color w:val="000000" w:themeColor="text1"/>
        </w:rPr>
        <w:t>previous Commission decisions that held that an entity need not own or operate the facilities that it uses to distribute video programming to qualify as an MVPD?</w:t>
      </w:r>
      <w:r w:rsidR="00C8742A" w:rsidRPr="00863601">
        <w:rPr>
          <w:rStyle w:val="FootnoteReference"/>
          <w:color w:val="000000" w:themeColor="text1"/>
        </w:rPr>
        <w:footnoteReference w:id="82"/>
      </w:r>
      <w:r w:rsidR="00261E00" w:rsidRPr="00863601">
        <w:rPr>
          <w:color w:val="000000" w:themeColor="text1"/>
        </w:rPr>
        <w:t xml:space="preserve">  </w:t>
      </w:r>
      <w:r w:rsidR="00F8425C" w:rsidRPr="00863601">
        <w:rPr>
          <w:color w:val="000000" w:themeColor="text1"/>
          <w:lang w:eastAsia="ar-SA"/>
        </w:rPr>
        <w:t>Would an entity have to make available multiple transmission paths (or, using the language in the definition of “channel,” multiple “portions of t</w:t>
      </w:r>
      <w:r w:rsidR="00F8425C" w:rsidRPr="00863601">
        <w:rPr>
          <w:snapToGrid/>
          <w:color w:val="000000" w:themeColor="text1"/>
          <w:kern w:val="0"/>
        </w:rPr>
        <w:t>he electromagnetic frequency spectrum”)</w:t>
      </w:r>
      <w:r w:rsidR="00F8425C" w:rsidRPr="00863601">
        <w:rPr>
          <w:color w:val="000000" w:themeColor="text1"/>
          <w:lang w:eastAsia="ar-SA"/>
        </w:rPr>
        <w:t xml:space="preserve"> to each subscriber or customer to qualify as an MVPD?  Do all traditional MVPDs make available multiple </w:t>
      </w:r>
      <w:r w:rsidR="00DF280D" w:rsidRPr="00863601">
        <w:rPr>
          <w:color w:val="000000" w:themeColor="text1"/>
          <w:lang w:eastAsia="ar-SA"/>
        </w:rPr>
        <w:t>“portions of t</w:t>
      </w:r>
      <w:r w:rsidR="00DF280D" w:rsidRPr="00863601">
        <w:rPr>
          <w:snapToGrid/>
          <w:color w:val="000000" w:themeColor="text1"/>
          <w:kern w:val="0"/>
        </w:rPr>
        <w:t xml:space="preserve">he electromagnetic frequency spectrum” </w:t>
      </w:r>
      <w:r w:rsidR="00F8425C" w:rsidRPr="00863601">
        <w:rPr>
          <w:color w:val="000000" w:themeColor="text1"/>
          <w:lang w:eastAsia="ar-SA"/>
        </w:rPr>
        <w:t>to each subscriber or customer, including cable operators using switched digital video (“SDV”) technology</w:t>
      </w:r>
      <w:r w:rsidR="00F8425C" w:rsidRPr="00863601">
        <w:rPr>
          <w:rStyle w:val="FootnoteReference"/>
          <w:color w:val="000000" w:themeColor="text1"/>
          <w:szCs w:val="22"/>
          <w:lang w:eastAsia="ar-SA"/>
        </w:rPr>
        <w:footnoteReference w:id="83"/>
      </w:r>
      <w:r w:rsidR="00F8425C" w:rsidRPr="00863601">
        <w:rPr>
          <w:color w:val="000000" w:themeColor="text1"/>
          <w:szCs w:val="22"/>
        </w:rPr>
        <w:t xml:space="preserve"> or an IP-based system in which no unique transmission path is associated with any video programming stream</w:t>
      </w:r>
      <w:r w:rsidR="00F8425C" w:rsidRPr="00863601">
        <w:rPr>
          <w:color w:val="000000" w:themeColor="text1"/>
          <w:lang w:eastAsia="ar-SA"/>
        </w:rPr>
        <w:t>?</w:t>
      </w:r>
      <w:r w:rsidR="00F8425C" w:rsidRPr="00863601">
        <w:rPr>
          <w:rStyle w:val="FootnoteReference"/>
          <w:color w:val="000000" w:themeColor="text1"/>
          <w:lang w:eastAsia="ar-SA"/>
        </w:rPr>
        <w:footnoteReference w:id="84"/>
      </w:r>
      <w:r w:rsidR="00F8425C" w:rsidRPr="00863601">
        <w:rPr>
          <w:color w:val="000000" w:themeColor="text1"/>
          <w:lang w:eastAsia="ar-SA"/>
        </w:rPr>
        <w:t xml:space="preserve">  Is there a reasonable basis to </w:t>
      </w:r>
      <w:r w:rsidR="00F8425C" w:rsidRPr="00863601">
        <w:rPr>
          <w:color w:val="000000" w:themeColor="text1"/>
          <w:szCs w:val="22"/>
          <w:lang w:eastAsia="ar-SA"/>
        </w:rPr>
        <w:t xml:space="preserve">believe that Congress intended to regulate as MVPDs only those entities that make available two or more transmission paths to each subscriber or customer, but not those that make available only one transmission path?  </w:t>
      </w:r>
      <w:r w:rsidR="00261E00" w:rsidRPr="00863601">
        <w:rPr>
          <w:color w:val="000000" w:themeColor="text1"/>
        </w:rPr>
        <w:t xml:space="preserve">If we adopt the Transmission Path Interpretation, </w:t>
      </w:r>
      <w:r w:rsidR="00261E00" w:rsidRPr="00863601">
        <w:rPr>
          <w:color w:val="000000" w:themeColor="text1"/>
          <w:szCs w:val="22"/>
        </w:rPr>
        <w:t xml:space="preserve">how can we ensure </w:t>
      </w:r>
      <w:r w:rsidR="00261E00" w:rsidRPr="00863601">
        <w:rPr>
          <w:color w:val="000000" w:themeColor="text1"/>
        </w:rPr>
        <w:t xml:space="preserve">that our regulations </w:t>
      </w:r>
      <w:r w:rsidR="003F3956" w:rsidRPr="00863601">
        <w:rPr>
          <w:color w:val="000000" w:themeColor="text1"/>
        </w:rPr>
        <w:t>keep up with technology</w:t>
      </w:r>
      <w:r w:rsidR="00096A5F" w:rsidRPr="00863601">
        <w:rPr>
          <w:color w:val="000000" w:themeColor="text1"/>
        </w:rPr>
        <w:t>, particularly as incumbent MVPDs transition their services to Internet delivery</w:t>
      </w:r>
      <w:r w:rsidR="003F3956" w:rsidRPr="00863601">
        <w:rPr>
          <w:color w:val="000000" w:themeColor="text1"/>
        </w:rPr>
        <w:t>?</w:t>
      </w:r>
    </w:p>
    <w:p w:rsidR="00126CFA" w:rsidRPr="00863601" w:rsidRDefault="00CD0012" w:rsidP="005E5F79">
      <w:pPr>
        <w:pStyle w:val="ParaNum"/>
        <w:widowControl/>
        <w:rPr>
          <w:color w:val="000000" w:themeColor="text1"/>
        </w:rPr>
      </w:pPr>
      <w:r w:rsidRPr="00863601">
        <w:rPr>
          <w:color w:val="000000" w:themeColor="text1"/>
        </w:rPr>
        <w:t xml:space="preserve">We also seek comment on whether Congress intended to promote only facilities-based competition in the video distribution market, </w:t>
      </w:r>
      <w:r w:rsidR="000118B8" w:rsidRPr="00863601">
        <w:rPr>
          <w:color w:val="000000" w:themeColor="text1"/>
        </w:rPr>
        <w:t xml:space="preserve">which might </w:t>
      </w:r>
      <w:r w:rsidRPr="00863601">
        <w:rPr>
          <w:color w:val="000000" w:themeColor="text1"/>
        </w:rPr>
        <w:t xml:space="preserve">support the Transmission Path Interpretation.  </w:t>
      </w:r>
      <w:r w:rsidR="00F96281" w:rsidRPr="00863601">
        <w:rPr>
          <w:color w:val="000000" w:themeColor="text1"/>
        </w:rPr>
        <w:t>The Conference Report accompanying the 1992 Cable Act includes a statement that Congress intended to promote “facilities-based” competition.</w:t>
      </w:r>
      <w:r w:rsidR="00F96281" w:rsidRPr="00863601">
        <w:rPr>
          <w:rStyle w:val="FootnoteReference"/>
          <w:color w:val="000000" w:themeColor="text1"/>
          <w:szCs w:val="22"/>
        </w:rPr>
        <w:footnoteReference w:id="85"/>
      </w:r>
      <w:r w:rsidR="00F96281" w:rsidRPr="00863601">
        <w:rPr>
          <w:color w:val="000000" w:themeColor="text1"/>
        </w:rPr>
        <w:t xml:space="preserve">  Moreover, the Commission has previously stated that “‘[f]acilities-based competition’ is a term used in the legislative history of the Act to emphasize that program competition can only become possible if alternative facilities to deliver programming to subscribers are first created.  The focus in the 1992 Cable Act is on assuring that facilities-based competition develops.”</w:t>
      </w:r>
      <w:r w:rsidR="00F96281" w:rsidRPr="00863601">
        <w:rPr>
          <w:rStyle w:val="FootnoteReference"/>
          <w:color w:val="000000" w:themeColor="text1"/>
          <w:szCs w:val="22"/>
        </w:rPr>
        <w:footnoteReference w:id="86"/>
      </w:r>
      <w:r w:rsidR="00F96281" w:rsidRPr="00863601">
        <w:rPr>
          <w:color w:val="000000" w:themeColor="text1"/>
        </w:rPr>
        <w:t xml:space="preserve">  </w:t>
      </w:r>
      <w:r w:rsidR="000118B8" w:rsidRPr="00863601">
        <w:rPr>
          <w:color w:val="000000" w:themeColor="text1"/>
        </w:rPr>
        <w:t>On the other hand,</w:t>
      </w:r>
      <w:r w:rsidR="00F101E0" w:rsidRPr="00863601">
        <w:rPr>
          <w:color w:val="000000" w:themeColor="text1"/>
        </w:rPr>
        <w:t xml:space="preserve"> the ABC/CBS/NBC Affiliates </w:t>
      </w:r>
      <w:r w:rsidR="000118B8" w:rsidRPr="00863601">
        <w:rPr>
          <w:color w:val="000000" w:themeColor="text1"/>
        </w:rPr>
        <w:t>note that</w:t>
      </w:r>
      <w:r w:rsidR="00F101E0" w:rsidRPr="00863601">
        <w:rPr>
          <w:color w:val="000000" w:themeColor="text1"/>
        </w:rPr>
        <w:t xml:space="preserve"> “there is but one reference to ‘facilities-based competition’ in the lengthy House Report. . . .  Certainly, that single reference cannot support the incorporation of a ‘transmission path’ requirement into a statutory definition that does not, on its face, contain any such restriction.”</w:t>
      </w:r>
      <w:r w:rsidR="00F101E0" w:rsidRPr="00863601">
        <w:rPr>
          <w:rStyle w:val="FootnoteReference"/>
          <w:color w:val="000000" w:themeColor="text1"/>
        </w:rPr>
        <w:footnoteReference w:id="87"/>
      </w:r>
      <w:r w:rsidR="00F101E0" w:rsidRPr="00863601">
        <w:rPr>
          <w:color w:val="000000" w:themeColor="text1"/>
        </w:rPr>
        <w:t xml:space="preserve">  Accordingly, we seek comment on whether Congress sought to increase facilities-based competition </w:t>
      </w:r>
      <w:r w:rsidR="000118B8" w:rsidRPr="00863601">
        <w:rPr>
          <w:color w:val="000000" w:themeColor="text1"/>
        </w:rPr>
        <w:t>exclusively</w:t>
      </w:r>
      <w:r w:rsidR="00F101E0" w:rsidRPr="00863601">
        <w:rPr>
          <w:color w:val="000000" w:themeColor="text1"/>
        </w:rPr>
        <w:t xml:space="preserve">, or sought to encourage competition to </w:t>
      </w:r>
      <w:r w:rsidR="000118B8" w:rsidRPr="00863601">
        <w:rPr>
          <w:color w:val="000000" w:themeColor="text1"/>
        </w:rPr>
        <w:t xml:space="preserve">incumbent </w:t>
      </w:r>
      <w:r w:rsidR="00F101E0" w:rsidRPr="00863601">
        <w:rPr>
          <w:color w:val="000000" w:themeColor="text1"/>
        </w:rPr>
        <w:t>cable operators more generally, regardless of how the competitive service is delivered.</w:t>
      </w:r>
      <w:r w:rsidR="00126CFA" w:rsidRPr="00863601">
        <w:rPr>
          <w:color w:val="000000" w:themeColor="text1"/>
        </w:rPr>
        <w:t xml:space="preserve">  </w:t>
      </w:r>
    </w:p>
    <w:p w:rsidR="00C73B45" w:rsidRPr="00863601" w:rsidRDefault="00096A5F" w:rsidP="005E5F79">
      <w:pPr>
        <w:pStyle w:val="ParaNum"/>
        <w:widowControl/>
        <w:rPr>
          <w:color w:val="000000" w:themeColor="text1"/>
        </w:rPr>
      </w:pPr>
      <w:bookmarkStart w:id="150" w:name="_Toc398540290"/>
      <w:bookmarkStart w:id="151" w:name="_Toc398565512"/>
      <w:bookmarkStart w:id="152" w:name="_Toc398624347"/>
      <w:bookmarkStart w:id="153" w:name="_Toc395187281"/>
      <w:bookmarkEnd w:id="142"/>
      <w:bookmarkEnd w:id="143"/>
      <w:bookmarkEnd w:id="144"/>
      <w:bookmarkEnd w:id="145"/>
      <w:bookmarkEnd w:id="146"/>
      <w:bookmarkEnd w:id="147"/>
      <w:bookmarkEnd w:id="148"/>
      <w:bookmarkEnd w:id="149"/>
      <w:r w:rsidRPr="00863601">
        <w:rPr>
          <w:i/>
          <w:color w:val="000000" w:themeColor="text1"/>
        </w:rPr>
        <w:t>Scope</w:t>
      </w:r>
      <w:r w:rsidR="00BD7C29" w:rsidRPr="00863601">
        <w:rPr>
          <w:i/>
          <w:color w:val="000000" w:themeColor="text1"/>
        </w:rPr>
        <w:t xml:space="preserve"> of the Transmission Path Interpretation</w:t>
      </w:r>
      <w:r w:rsidR="009D6CEB" w:rsidRPr="00863601">
        <w:rPr>
          <w:color w:val="000000" w:themeColor="text1"/>
        </w:rPr>
        <w:t>.</w:t>
      </w:r>
      <w:r w:rsidR="00BD7C29" w:rsidRPr="00863601">
        <w:rPr>
          <w:color w:val="000000" w:themeColor="text1"/>
        </w:rPr>
        <w:t xml:space="preserve">  As we note above, incumbent MVPDs </w:t>
      </w:r>
      <w:r w:rsidR="002F1748" w:rsidRPr="00863601">
        <w:rPr>
          <w:color w:val="000000" w:themeColor="text1"/>
        </w:rPr>
        <w:t xml:space="preserve">are </w:t>
      </w:r>
      <w:r w:rsidR="00BD7C29" w:rsidRPr="00863601">
        <w:rPr>
          <w:color w:val="000000" w:themeColor="text1"/>
        </w:rPr>
        <w:t>obtain</w:t>
      </w:r>
      <w:r w:rsidR="002F1748" w:rsidRPr="00863601">
        <w:rPr>
          <w:color w:val="000000" w:themeColor="text1"/>
        </w:rPr>
        <w:t>ing</w:t>
      </w:r>
      <w:r w:rsidR="00BD7C29" w:rsidRPr="00863601">
        <w:rPr>
          <w:color w:val="000000" w:themeColor="text1"/>
        </w:rPr>
        <w:t xml:space="preserve"> rights to distribute content online at a rapid pace and appear prepared to launch online linear video services that are not tied to their facilities.</w:t>
      </w:r>
      <w:r w:rsidR="00BD7C29" w:rsidRPr="00863601">
        <w:rPr>
          <w:rStyle w:val="FootnoteReference"/>
          <w:color w:val="000000" w:themeColor="text1"/>
        </w:rPr>
        <w:footnoteReference w:id="88"/>
      </w:r>
      <w:r w:rsidR="00BD7C29" w:rsidRPr="00863601">
        <w:rPr>
          <w:color w:val="000000" w:themeColor="text1"/>
        </w:rPr>
        <w:t xml:space="preserve">  We seek comment on our regulatory authority under the Transmission Path Interpretation</w:t>
      </w:r>
      <w:r w:rsidR="00314446" w:rsidRPr="00863601">
        <w:rPr>
          <w:color w:val="000000" w:themeColor="text1"/>
        </w:rPr>
        <w:t xml:space="preserve"> in these cases</w:t>
      </w:r>
      <w:r w:rsidR="00BD7C29" w:rsidRPr="00863601">
        <w:rPr>
          <w:color w:val="000000" w:themeColor="text1"/>
        </w:rPr>
        <w:t>.</w:t>
      </w:r>
      <w:r w:rsidR="00A75668" w:rsidRPr="00863601">
        <w:rPr>
          <w:rStyle w:val="FootnoteReference"/>
          <w:color w:val="000000" w:themeColor="text1"/>
        </w:rPr>
        <w:footnoteReference w:id="89"/>
      </w:r>
      <w:r w:rsidR="00BD7C29" w:rsidRPr="00863601">
        <w:rPr>
          <w:color w:val="000000" w:themeColor="text1"/>
        </w:rPr>
        <w:t xml:space="preserve">  </w:t>
      </w:r>
      <w:r w:rsidR="004B33AA" w:rsidRPr="00863601">
        <w:rPr>
          <w:color w:val="000000" w:themeColor="text1"/>
        </w:rPr>
        <w:t xml:space="preserve">The Transmission Path Interpretation seems </w:t>
      </w:r>
      <w:r w:rsidR="007E79D9" w:rsidRPr="00863601">
        <w:rPr>
          <w:color w:val="000000" w:themeColor="text1"/>
        </w:rPr>
        <w:t>difficult to apply</w:t>
      </w:r>
      <w:r w:rsidR="00E63205" w:rsidRPr="00863601">
        <w:rPr>
          <w:color w:val="000000" w:themeColor="text1"/>
        </w:rPr>
        <w:t xml:space="preserve"> in certain cases</w:t>
      </w:r>
      <w:r w:rsidR="004B33AA" w:rsidRPr="00863601">
        <w:rPr>
          <w:color w:val="000000" w:themeColor="text1"/>
        </w:rPr>
        <w:t xml:space="preserve"> because </w:t>
      </w:r>
      <w:r w:rsidR="00C73B45" w:rsidRPr="00863601">
        <w:rPr>
          <w:color w:val="000000" w:themeColor="text1"/>
        </w:rPr>
        <w:t xml:space="preserve">an </w:t>
      </w:r>
      <w:r w:rsidR="00314446" w:rsidRPr="00863601">
        <w:rPr>
          <w:color w:val="000000" w:themeColor="text1"/>
        </w:rPr>
        <w:t xml:space="preserve">entity’s status </w:t>
      </w:r>
      <w:r w:rsidR="00E63205" w:rsidRPr="00863601">
        <w:rPr>
          <w:color w:val="000000" w:themeColor="text1"/>
        </w:rPr>
        <w:t>would</w:t>
      </w:r>
      <w:r w:rsidR="004B33AA" w:rsidRPr="00863601">
        <w:rPr>
          <w:color w:val="000000" w:themeColor="text1"/>
        </w:rPr>
        <w:t xml:space="preserve"> </w:t>
      </w:r>
      <w:r w:rsidR="00314446" w:rsidRPr="00863601">
        <w:rPr>
          <w:color w:val="000000" w:themeColor="text1"/>
        </w:rPr>
        <w:t>change depending on how and where the subscriber receives the content</w:t>
      </w:r>
      <w:r w:rsidR="004B33AA" w:rsidRPr="00863601">
        <w:rPr>
          <w:color w:val="000000" w:themeColor="text1"/>
        </w:rPr>
        <w:t xml:space="preserve">.  </w:t>
      </w:r>
      <w:r w:rsidR="00C73B45" w:rsidRPr="00863601">
        <w:rPr>
          <w:color w:val="000000" w:themeColor="text1"/>
        </w:rPr>
        <w:t>For example, consider a subscriber who views video at her home on a tablet over broadband infrastructure that the video distributor owns, and then visits a local coffee shop and views video on that same table</w:t>
      </w:r>
      <w:r w:rsidR="009265C2" w:rsidRPr="00863601">
        <w:rPr>
          <w:color w:val="000000" w:themeColor="text1"/>
        </w:rPr>
        <w:t>t</w:t>
      </w:r>
      <w:r w:rsidR="00BD314A" w:rsidRPr="00863601">
        <w:rPr>
          <w:color w:val="000000" w:themeColor="text1"/>
        </w:rPr>
        <w:t xml:space="preserve"> via the Internet</w:t>
      </w:r>
      <w:r w:rsidR="00C73B45" w:rsidRPr="00863601">
        <w:rPr>
          <w:color w:val="000000" w:themeColor="text1"/>
        </w:rPr>
        <w:t xml:space="preserve"> </w:t>
      </w:r>
      <w:r w:rsidR="00BD314A" w:rsidRPr="00863601">
        <w:rPr>
          <w:color w:val="000000" w:themeColor="text1"/>
        </w:rPr>
        <w:t xml:space="preserve">using </w:t>
      </w:r>
      <w:r w:rsidR="00C73B45" w:rsidRPr="00863601">
        <w:rPr>
          <w:color w:val="000000" w:themeColor="text1"/>
        </w:rPr>
        <w:t xml:space="preserve">broadband infrastructure that the video distributor does not own.  </w:t>
      </w:r>
      <w:r w:rsidR="004B33AA" w:rsidRPr="00863601">
        <w:rPr>
          <w:color w:val="000000" w:themeColor="text1"/>
        </w:rPr>
        <w:t xml:space="preserve">In that case, </w:t>
      </w:r>
      <w:r w:rsidR="00C73B45" w:rsidRPr="00863601">
        <w:rPr>
          <w:color w:val="000000" w:themeColor="text1"/>
        </w:rPr>
        <w:t xml:space="preserve">the video provider </w:t>
      </w:r>
      <w:r w:rsidR="004B33AA" w:rsidRPr="00863601">
        <w:rPr>
          <w:color w:val="000000" w:themeColor="text1"/>
        </w:rPr>
        <w:t xml:space="preserve">would be </w:t>
      </w:r>
      <w:r w:rsidR="00C73B45" w:rsidRPr="00863601">
        <w:rPr>
          <w:color w:val="000000" w:themeColor="text1"/>
        </w:rPr>
        <w:t>an MVPD at the subscriber’s home, but not at the coffee shop</w:t>
      </w:r>
      <w:r w:rsidR="004B33AA" w:rsidRPr="00863601">
        <w:rPr>
          <w:color w:val="000000" w:themeColor="text1"/>
        </w:rPr>
        <w:t xml:space="preserve">.  We believe that this would </w:t>
      </w:r>
      <w:r w:rsidR="00314446" w:rsidRPr="00863601">
        <w:rPr>
          <w:color w:val="000000" w:themeColor="text1"/>
        </w:rPr>
        <w:t xml:space="preserve">lead to </w:t>
      </w:r>
      <w:r w:rsidR="003A7229" w:rsidRPr="00863601">
        <w:rPr>
          <w:color w:val="000000" w:themeColor="text1"/>
        </w:rPr>
        <w:t>regulatory uncertainty</w:t>
      </w:r>
      <w:r w:rsidR="00314446" w:rsidRPr="00863601">
        <w:rPr>
          <w:color w:val="000000" w:themeColor="text1"/>
        </w:rPr>
        <w:t>, thus providing more support for the Linear Programming Interpretation</w:t>
      </w:r>
      <w:r w:rsidR="004B33AA" w:rsidRPr="00863601">
        <w:rPr>
          <w:color w:val="000000" w:themeColor="text1"/>
        </w:rPr>
        <w:t xml:space="preserve">.  We seek comment on this analysis.  </w:t>
      </w:r>
    </w:p>
    <w:p w:rsidR="009D6CEB" w:rsidRPr="00863601" w:rsidRDefault="00326225" w:rsidP="005E5F79">
      <w:pPr>
        <w:pStyle w:val="ParaNum"/>
        <w:widowControl/>
        <w:rPr>
          <w:color w:val="000000" w:themeColor="text1"/>
        </w:rPr>
      </w:pPr>
      <w:r w:rsidRPr="00863601">
        <w:rPr>
          <w:color w:val="000000" w:themeColor="text1"/>
        </w:rPr>
        <w:t>W</w:t>
      </w:r>
      <w:r w:rsidR="00C73B45" w:rsidRPr="00863601">
        <w:rPr>
          <w:color w:val="000000" w:themeColor="text1"/>
        </w:rPr>
        <w:t xml:space="preserve">e </w:t>
      </w:r>
      <w:r w:rsidR="003A7229" w:rsidRPr="00863601">
        <w:rPr>
          <w:color w:val="000000" w:themeColor="text1"/>
        </w:rPr>
        <w:t>invit</w:t>
      </w:r>
      <w:r w:rsidR="00C73B45" w:rsidRPr="00863601">
        <w:rPr>
          <w:color w:val="000000" w:themeColor="text1"/>
        </w:rPr>
        <w:t>e</w:t>
      </w:r>
      <w:r w:rsidR="003A7229" w:rsidRPr="00863601">
        <w:rPr>
          <w:color w:val="000000" w:themeColor="text1"/>
        </w:rPr>
        <w:t xml:space="preserve"> comment on any other interpretation the Commission should consider</w:t>
      </w:r>
      <w:r w:rsidRPr="00863601">
        <w:rPr>
          <w:color w:val="000000" w:themeColor="text1"/>
        </w:rPr>
        <w:t xml:space="preserve"> in addition to the Linear Programming Interpretation and the Transmission Path Interpretation</w:t>
      </w:r>
      <w:r w:rsidR="00C73B45" w:rsidRPr="00863601">
        <w:rPr>
          <w:color w:val="000000" w:themeColor="text1"/>
        </w:rPr>
        <w:t>.</w:t>
      </w:r>
    </w:p>
    <w:p w:rsidR="00B661C3" w:rsidRPr="00863601" w:rsidRDefault="004B71D0" w:rsidP="005E5F79">
      <w:pPr>
        <w:pStyle w:val="Heading2"/>
        <w:widowControl/>
      </w:pPr>
      <w:bookmarkStart w:id="154" w:name="_Toc398540291"/>
      <w:bookmarkStart w:id="155" w:name="_Toc398565513"/>
      <w:bookmarkStart w:id="156" w:name="_Toc398624348"/>
      <w:bookmarkStart w:id="157" w:name="_Toc398746605"/>
      <w:bookmarkStart w:id="158" w:name="_Toc399148309"/>
      <w:bookmarkStart w:id="159" w:name="_Toc399260526"/>
      <w:bookmarkStart w:id="160" w:name="_Toc399316544"/>
      <w:bookmarkStart w:id="161" w:name="_Toc401241702"/>
      <w:bookmarkStart w:id="162" w:name="_Toc401259705"/>
      <w:bookmarkStart w:id="163" w:name="_Toc401312829"/>
      <w:bookmarkStart w:id="164" w:name="_Toc401850536"/>
      <w:bookmarkStart w:id="165" w:name="_Toc402169634"/>
      <w:bookmarkStart w:id="166" w:name="_Toc405301018"/>
      <w:bookmarkStart w:id="167" w:name="_Toc405884722"/>
      <w:bookmarkStart w:id="168" w:name="_Toc406609212"/>
      <w:bookmarkEnd w:id="150"/>
      <w:bookmarkEnd w:id="151"/>
      <w:bookmarkEnd w:id="152"/>
      <w:r w:rsidRPr="009D1D43">
        <w:t>Regulatory I</w:t>
      </w:r>
      <w:r w:rsidR="00983365" w:rsidRPr="00EA2EF6">
        <w:t xml:space="preserve">mplications of </w:t>
      </w:r>
      <w:r w:rsidR="00A835BD" w:rsidRPr="00EA2EF6">
        <w:t>Alternative Interpretations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00B661C3" w:rsidRPr="00863601">
        <w:t xml:space="preserve">  </w:t>
      </w:r>
    </w:p>
    <w:p w:rsidR="00835E10" w:rsidRPr="00863601" w:rsidRDefault="00B661C3" w:rsidP="005E5F79">
      <w:pPr>
        <w:pStyle w:val="ParaNum"/>
        <w:widowControl/>
        <w:rPr>
          <w:color w:val="000000" w:themeColor="text1"/>
        </w:rPr>
      </w:pPr>
      <w:r w:rsidRPr="00863601">
        <w:rPr>
          <w:color w:val="000000" w:themeColor="text1"/>
          <w:szCs w:val="22"/>
        </w:rPr>
        <w:t>Below, we seek comment on the policy</w:t>
      </w:r>
      <w:r w:rsidR="00F322C3" w:rsidRPr="00863601">
        <w:rPr>
          <w:color w:val="000000" w:themeColor="text1"/>
          <w:szCs w:val="22"/>
        </w:rPr>
        <w:t xml:space="preserve"> </w:t>
      </w:r>
      <w:r w:rsidRPr="00863601">
        <w:rPr>
          <w:color w:val="000000" w:themeColor="text1"/>
          <w:szCs w:val="22"/>
        </w:rPr>
        <w:t>ramifications</w:t>
      </w:r>
      <w:r w:rsidR="00B311E1" w:rsidRPr="00863601">
        <w:rPr>
          <w:color w:val="000000" w:themeColor="text1"/>
          <w:szCs w:val="22"/>
        </w:rPr>
        <w:t xml:space="preserve"> of the various interpretations set forth above</w:t>
      </w:r>
      <w:r w:rsidR="00127821" w:rsidRPr="00863601">
        <w:rPr>
          <w:color w:val="000000" w:themeColor="text1"/>
          <w:szCs w:val="22"/>
        </w:rPr>
        <w:t>.</w:t>
      </w:r>
      <w:r w:rsidRPr="00863601">
        <w:rPr>
          <w:color w:val="000000" w:themeColor="text1"/>
          <w:szCs w:val="22"/>
        </w:rPr>
        <w:t xml:space="preserve">  To the extent possible, we encourage commenters to quantify any costs and benefits and submit supporting data.</w:t>
      </w:r>
      <w:bookmarkStart w:id="169" w:name="_Toc346192547"/>
      <w:bookmarkStart w:id="170" w:name="_Toc346192624"/>
      <w:r w:rsidR="00F235DC" w:rsidRPr="00863601">
        <w:rPr>
          <w:color w:val="000000" w:themeColor="text1"/>
          <w:szCs w:val="22"/>
        </w:rPr>
        <w:t xml:space="preserve">  In addition to the specific effects that we ask about below, we invite commenters to identify other possible effects of the Linear Programming Interpretation and the Transmission Path Interpretation and how those effects should influence our interpretation.</w:t>
      </w:r>
    </w:p>
    <w:p w:rsidR="00A314BF" w:rsidRPr="00863601" w:rsidRDefault="00A314BF" w:rsidP="005E5F79">
      <w:pPr>
        <w:pStyle w:val="ParaNum"/>
        <w:widowControl/>
        <w:rPr>
          <w:color w:val="000000" w:themeColor="text1"/>
        </w:rPr>
      </w:pPr>
      <w:r w:rsidRPr="00863601">
        <w:rPr>
          <w:color w:val="000000" w:themeColor="text1"/>
        </w:rPr>
        <w:t>We realize that under our proposed Linear Programming Interpretation, several new and planned services may be considered MVPD services.  On the one hand, DISH, Sony, and Verizon have each announced linear Internet-based subscription video services whose launch is imminent.</w:t>
      </w:r>
      <w:r w:rsidRPr="00863601">
        <w:rPr>
          <w:rStyle w:val="FootnoteReference"/>
          <w:color w:val="000000" w:themeColor="text1"/>
        </w:rPr>
        <w:footnoteReference w:id="90"/>
      </w:r>
      <w:r w:rsidRPr="00863601">
        <w:rPr>
          <w:color w:val="000000" w:themeColor="text1"/>
        </w:rPr>
        <w:t>  These services reportedly will carry programming from some of the largest content companies in the world.</w:t>
      </w:r>
      <w:r w:rsidRPr="00863601">
        <w:rPr>
          <w:rStyle w:val="FootnoteReference"/>
          <w:color w:val="000000" w:themeColor="text1"/>
        </w:rPr>
        <w:footnoteReference w:id="91"/>
      </w:r>
      <w:r w:rsidRPr="00863601">
        <w:rPr>
          <w:color w:val="000000" w:themeColor="text1"/>
        </w:rPr>
        <w:t xml:space="preserve">  On the other hand, Aereo, FilmOn, and Sky Angel launched or planned to launch Internet-based subscription video services, but </w:t>
      </w:r>
      <w:r w:rsidR="000B2C23">
        <w:rPr>
          <w:color w:val="000000" w:themeColor="text1"/>
        </w:rPr>
        <w:t xml:space="preserve">they claim that </w:t>
      </w:r>
      <w:r w:rsidRPr="00863601">
        <w:rPr>
          <w:color w:val="000000" w:themeColor="text1"/>
        </w:rPr>
        <w:t>regulatory uncertainty has limited their ability to develop a subscriber base, limited investment in their services, and hin</w:t>
      </w:r>
      <w:r w:rsidR="009B25F8" w:rsidRPr="00863601">
        <w:rPr>
          <w:color w:val="000000" w:themeColor="text1"/>
        </w:rPr>
        <w:t>dered their ability to compete.</w:t>
      </w:r>
      <w:r w:rsidR="009B25F8" w:rsidRPr="00863601">
        <w:rPr>
          <w:rStyle w:val="FootnoteReference"/>
          <w:color w:val="000000" w:themeColor="text1"/>
        </w:rPr>
        <w:footnoteReference w:id="92"/>
      </w:r>
      <w:r w:rsidRPr="00863601">
        <w:rPr>
          <w:color w:val="000000" w:themeColor="text1"/>
        </w:rPr>
        <w:t xml:space="preserve">  In light of these contrasting examples, we seek comment on whether the privileges and obligations set forth in this section tilt in favor of or against our proposed Linear Programming Interpretation.  Would the proposal (i) give innovative companies access to programming that consumers want, or (ii) unduly </w:t>
      </w:r>
      <w:r w:rsidR="000B2C23">
        <w:rPr>
          <w:color w:val="000000" w:themeColor="text1"/>
        </w:rPr>
        <w:t xml:space="preserve">and unnecessarily </w:t>
      </w:r>
      <w:r w:rsidRPr="00863601">
        <w:rPr>
          <w:color w:val="000000" w:themeColor="text1"/>
        </w:rPr>
        <w:t xml:space="preserve">burden companies </w:t>
      </w:r>
      <w:r w:rsidR="000B2C23">
        <w:rPr>
          <w:color w:val="000000" w:themeColor="text1"/>
        </w:rPr>
        <w:t>seeking to offer innovative new services</w:t>
      </w:r>
      <w:r w:rsidRPr="00863601">
        <w:rPr>
          <w:color w:val="000000" w:themeColor="text1"/>
        </w:rPr>
        <w:t xml:space="preserve">? </w:t>
      </w:r>
    </w:p>
    <w:p w:rsidR="00B661C3" w:rsidRPr="00863601" w:rsidRDefault="00C90DFA" w:rsidP="005E5F79">
      <w:pPr>
        <w:pStyle w:val="Heading3"/>
        <w:widowControl/>
        <w:rPr>
          <w:color w:val="000000" w:themeColor="text1"/>
        </w:rPr>
      </w:pPr>
      <w:bookmarkStart w:id="171" w:name="_Toc343164327"/>
      <w:bookmarkStart w:id="172" w:name="_Toc343169003"/>
      <w:bookmarkStart w:id="173" w:name="_Toc343875917"/>
      <w:bookmarkStart w:id="174" w:name="_Toc345939770"/>
      <w:bookmarkStart w:id="175" w:name="_Toc345939981"/>
      <w:bookmarkStart w:id="176" w:name="_Toc346121517"/>
      <w:bookmarkStart w:id="177" w:name="_Toc346192549"/>
      <w:bookmarkStart w:id="178" w:name="_Toc346192626"/>
      <w:bookmarkStart w:id="179" w:name="_Toc347491013"/>
      <w:bookmarkStart w:id="180" w:name="_Toc349751914"/>
      <w:bookmarkStart w:id="181" w:name="_Toc395187291"/>
      <w:bookmarkStart w:id="182" w:name="_Toc398540292"/>
      <w:bookmarkStart w:id="183" w:name="_Toc398565514"/>
      <w:bookmarkStart w:id="184" w:name="_Toc398624349"/>
      <w:bookmarkStart w:id="185" w:name="_Toc398746606"/>
      <w:bookmarkStart w:id="186" w:name="_Toc399148310"/>
      <w:bookmarkStart w:id="187" w:name="_Toc399260527"/>
      <w:bookmarkStart w:id="188" w:name="_Toc399316545"/>
      <w:bookmarkStart w:id="189" w:name="_Toc401241703"/>
      <w:bookmarkStart w:id="190" w:name="_Toc401259706"/>
      <w:bookmarkStart w:id="191" w:name="_Toc401312830"/>
      <w:bookmarkStart w:id="192" w:name="_Toc401850537"/>
      <w:bookmarkStart w:id="193" w:name="_Toc402169635"/>
      <w:bookmarkStart w:id="194" w:name="_Toc405301019"/>
      <w:bookmarkStart w:id="195" w:name="_Toc405884723"/>
      <w:bookmarkStart w:id="196" w:name="_Toc406609213"/>
      <w:bookmarkEnd w:id="169"/>
      <w:bookmarkEnd w:id="170"/>
      <w:r w:rsidRPr="00863601">
        <w:rPr>
          <w:color w:val="000000" w:themeColor="text1"/>
        </w:rPr>
        <w:t xml:space="preserve">Application of MVPD-Specific Regulatory </w:t>
      </w:r>
      <w:r w:rsidR="00553A81" w:rsidRPr="00863601">
        <w:rPr>
          <w:color w:val="000000" w:themeColor="text1"/>
        </w:rPr>
        <w:t>Privileges</w:t>
      </w:r>
      <w:r w:rsidRPr="00863601">
        <w:rPr>
          <w:color w:val="000000" w:themeColor="text1"/>
        </w:rPr>
        <w:t xml:space="preserve"> and Obligations </w:t>
      </w:r>
      <w:bookmarkEnd w:id="171"/>
      <w:bookmarkEnd w:id="172"/>
      <w:bookmarkEnd w:id="173"/>
      <w:bookmarkEnd w:id="174"/>
      <w:bookmarkEnd w:id="175"/>
      <w:r w:rsidRPr="00863601">
        <w:rPr>
          <w:color w:val="000000" w:themeColor="text1"/>
        </w:rPr>
        <w:t>to Internet-Based Distributors of Video Programming</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B661C3" w:rsidRPr="00863601" w:rsidRDefault="00B661C3" w:rsidP="005E5F79">
      <w:pPr>
        <w:pStyle w:val="ParaNum"/>
        <w:widowControl/>
        <w:rPr>
          <w:color w:val="000000" w:themeColor="text1"/>
          <w:szCs w:val="22"/>
        </w:rPr>
      </w:pPr>
      <w:r w:rsidRPr="00863601">
        <w:rPr>
          <w:color w:val="000000" w:themeColor="text1"/>
          <w:szCs w:val="22"/>
        </w:rPr>
        <w:t xml:space="preserve">As discussed in further detail below, </w:t>
      </w:r>
      <w:r w:rsidR="00001660" w:rsidRPr="00863601">
        <w:rPr>
          <w:color w:val="000000" w:themeColor="text1"/>
          <w:szCs w:val="22"/>
        </w:rPr>
        <w:t>our proposed</w:t>
      </w:r>
      <w:r w:rsidR="00C90DFA" w:rsidRPr="00863601">
        <w:rPr>
          <w:color w:val="000000" w:themeColor="text1"/>
          <w:szCs w:val="22"/>
        </w:rPr>
        <w:t xml:space="preserve"> </w:t>
      </w:r>
      <w:r w:rsidR="00001660" w:rsidRPr="00863601">
        <w:rPr>
          <w:color w:val="000000" w:themeColor="text1"/>
          <w:szCs w:val="22"/>
        </w:rPr>
        <w:t>i</w:t>
      </w:r>
      <w:r w:rsidR="00C90DFA" w:rsidRPr="00863601">
        <w:rPr>
          <w:color w:val="000000" w:themeColor="text1"/>
          <w:szCs w:val="22"/>
        </w:rPr>
        <w:t xml:space="preserve">nterpretation </w:t>
      </w:r>
      <w:r w:rsidR="001E3395" w:rsidRPr="00863601">
        <w:rPr>
          <w:color w:val="000000" w:themeColor="text1"/>
          <w:szCs w:val="22"/>
        </w:rPr>
        <w:t>would</w:t>
      </w:r>
      <w:r w:rsidRPr="00863601">
        <w:rPr>
          <w:color w:val="000000" w:themeColor="text1"/>
          <w:szCs w:val="22"/>
        </w:rPr>
        <w:t xml:space="preserve"> </w:t>
      </w:r>
      <w:r w:rsidR="00A9335B" w:rsidRPr="00863601">
        <w:rPr>
          <w:color w:val="000000" w:themeColor="text1"/>
          <w:szCs w:val="22"/>
        </w:rPr>
        <w:t xml:space="preserve">ensure that incumbent MVPDs do not evade our regulations by migrating their services to the Internet.  It would also </w:t>
      </w:r>
      <w:r w:rsidRPr="00863601">
        <w:rPr>
          <w:color w:val="000000" w:themeColor="text1"/>
          <w:szCs w:val="22"/>
        </w:rPr>
        <w:t xml:space="preserve">allow Internet-based distributors of video programming, including those that do not control any facilities, to take advantage of the </w:t>
      </w:r>
      <w:r w:rsidR="00553A81" w:rsidRPr="00863601">
        <w:rPr>
          <w:color w:val="000000" w:themeColor="text1"/>
          <w:szCs w:val="22"/>
        </w:rPr>
        <w:t>privileges</w:t>
      </w:r>
      <w:r w:rsidRPr="00863601">
        <w:rPr>
          <w:color w:val="000000" w:themeColor="text1"/>
          <w:szCs w:val="22"/>
        </w:rPr>
        <w:t xml:space="preserve"> of MVPD status but </w:t>
      </w:r>
      <w:r w:rsidR="001E3395" w:rsidRPr="00863601">
        <w:rPr>
          <w:color w:val="000000" w:themeColor="text1"/>
          <w:szCs w:val="22"/>
        </w:rPr>
        <w:t>would</w:t>
      </w:r>
      <w:r w:rsidR="006F565E" w:rsidRPr="00863601">
        <w:rPr>
          <w:color w:val="000000" w:themeColor="text1"/>
          <w:szCs w:val="22"/>
        </w:rPr>
        <w:t xml:space="preserve"> </w:t>
      </w:r>
      <w:r w:rsidRPr="00863601">
        <w:rPr>
          <w:color w:val="000000" w:themeColor="text1"/>
          <w:szCs w:val="22"/>
        </w:rPr>
        <w:t xml:space="preserve">also </w:t>
      </w:r>
      <w:r w:rsidR="006F565E" w:rsidRPr="00863601">
        <w:rPr>
          <w:color w:val="000000" w:themeColor="text1"/>
          <w:szCs w:val="22"/>
        </w:rPr>
        <w:t xml:space="preserve">require them </w:t>
      </w:r>
      <w:r w:rsidRPr="00863601">
        <w:rPr>
          <w:color w:val="000000" w:themeColor="text1"/>
          <w:szCs w:val="22"/>
        </w:rPr>
        <w:t>to comply with the legal obligations applicable to MVPDs</w:t>
      </w:r>
      <w:r w:rsidR="008A274B" w:rsidRPr="00863601">
        <w:rPr>
          <w:color w:val="000000" w:themeColor="text1"/>
          <w:szCs w:val="22"/>
        </w:rPr>
        <w:t>.</w:t>
      </w:r>
      <w:r w:rsidR="00A9335B" w:rsidRPr="00863601">
        <w:rPr>
          <w:color w:val="000000" w:themeColor="text1"/>
          <w:szCs w:val="22"/>
        </w:rPr>
        <w:t xml:space="preserve"> </w:t>
      </w:r>
      <w:r w:rsidR="006F565E" w:rsidRPr="00863601">
        <w:rPr>
          <w:color w:val="000000" w:themeColor="text1"/>
          <w:szCs w:val="22"/>
        </w:rPr>
        <w:t xml:space="preserve">Conversely, </w:t>
      </w:r>
      <w:r w:rsidR="00C90DFA" w:rsidRPr="00863601">
        <w:rPr>
          <w:color w:val="000000" w:themeColor="text1"/>
          <w:szCs w:val="22"/>
        </w:rPr>
        <w:t xml:space="preserve">the Transmission Path Interpretation </w:t>
      </w:r>
      <w:r w:rsidR="003A7229" w:rsidRPr="00863601">
        <w:rPr>
          <w:color w:val="000000" w:themeColor="text1"/>
          <w:szCs w:val="22"/>
        </w:rPr>
        <w:t>could</w:t>
      </w:r>
      <w:r w:rsidR="001E3395" w:rsidRPr="00863601">
        <w:rPr>
          <w:color w:val="000000" w:themeColor="text1"/>
          <w:szCs w:val="22"/>
        </w:rPr>
        <w:t xml:space="preserve"> </w:t>
      </w:r>
      <w:r w:rsidRPr="00863601">
        <w:rPr>
          <w:color w:val="000000" w:themeColor="text1"/>
          <w:szCs w:val="22"/>
        </w:rPr>
        <w:t>allow m</w:t>
      </w:r>
      <w:r w:rsidR="0089746F" w:rsidRPr="00863601">
        <w:rPr>
          <w:color w:val="000000" w:themeColor="text1"/>
          <w:szCs w:val="22"/>
        </w:rPr>
        <w:t>any if not most</w:t>
      </w:r>
      <w:r w:rsidRPr="00863601">
        <w:rPr>
          <w:color w:val="000000" w:themeColor="text1"/>
          <w:szCs w:val="22"/>
        </w:rPr>
        <w:t xml:space="preserve"> Internet-based distributors of video programming to</w:t>
      </w:r>
      <w:r w:rsidR="006F565E" w:rsidRPr="00863601">
        <w:rPr>
          <w:color w:val="000000" w:themeColor="text1"/>
          <w:szCs w:val="22"/>
        </w:rPr>
        <w:t xml:space="preserve"> avoid </w:t>
      </w:r>
      <w:r w:rsidRPr="00863601">
        <w:rPr>
          <w:color w:val="000000" w:themeColor="text1"/>
          <w:szCs w:val="22"/>
        </w:rPr>
        <w:t xml:space="preserve">regulation, </w:t>
      </w:r>
      <w:r w:rsidR="00C90DFA" w:rsidRPr="00863601">
        <w:rPr>
          <w:color w:val="000000" w:themeColor="text1"/>
          <w:szCs w:val="22"/>
        </w:rPr>
        <w:t xml:space="preserve">including obligations that </w:t>
      </w:r>
      <w:r w:rsidR="00BC24A4" w:rsidRPr="00863601">
        <w:rPr>
          <w:color w:val="000000" w:themeColor="text1"/>
          <w:szCs w:val="22"/>
        </w:rPr>
        <w:t>promote important</w:t>
      </w:r>
      <w:r w:rsidR="00C90DFA" w:rsidRPr="00863601">
        <w:rPr>
          <w:color w:val="000000" w:themeColor="text1"/>
          <w:szCs w:val="22"/>
        </w:rPr>
        <w:t xml:space="preserve"> public interest benefits</w:t>
      </w:r>
      <w:r w:rsidR="00B42CF1" w:rsidRPr="00863601">
        <w:rPr>
          <w:color w:val="000000" w:themeColor="text1"/>
          <w:szCs w:val="22"/>
        </w:rPr>
        <w:t>, and would also deprive them of certain regulatory privileges</w:t>
      </w:r>
      <w:r w:rsidRPr="00863601">
        <w:rPr>
          <w:color w:val="000000" w:themeColor="text1"/>
          <w:szCs w:val="22"/>
        </w:rPr>
        <w:t>.  We seek comment on these policy ramifications below.</w:t>
      </w:r>
    </w:p>
    <w:p w:rsidR="00B661C3" w:rsidRPr="00863601" w:rsidRDefault="00F322C3" w:rsidP="005E5F79">
      <w:pPr>
        <w:pStyle w:val="Heading4"/>
        <w:widowControl/>
        <w:rPr>
          <w:color w:val="000000" w:themeColor="text1"/>
          <w:lang w:eastAsia="ar-SA"/>
        </w:rPr>
      </w:pPr>
      <w:bookmarkStart w:id="197" w:name="_Toc343164329"/>
      <w:bookmarkStart w:id="198" w:name="_Toc343169005"/>
      <w:bookmarkStart w:id="199" w:name="_Toc343875919"/>
      <w:bookmarkStart w:id="200" w:name="_Toc345939772"/>
      <w:bookmarkStart w:id="201" w:name="_Toc345939983"/>
      <w:bookmarkStart w:id="202" w:name="_Toc346121518"/>
      <w:bookmarkStart w:id="203" w:name="_Toc346192550"/>
      <w:bookmarkStart w:id="204" w:name="_Toc346192627"/>
      <w:bookmarkStart w:id="205" w:name="_Toc347491014"/>
      <w:bookmarkStart w:id="206" w:name="_Toc349751915"/>
      <w:bookmarkStart w:id="207" w:name="_Toc395187292"/>
      <w:bookmarkStart w:id="208" w:name="_Toc398540293"/>
      <w:bookmarkStart w:id="209" w:name="_Toc398565515"/>
      <w:bookmarkStart w:id="210" w:name="_Toc398624350"/>
      <w:bookmarkStart w:id="211" w:name="_Toc398746607"/>
      <w:bookmarkStart w:id="212" w:name="_Toc399148311"/>
      <w:bookmarkStart w:id="213" w:name="_Toc399260528"/>
      <w:bookmarkStart w:id="214" w:name="_Toc399316546"/>
      <w:bookmarkStart w:id="215" w:name="_Toc401241704"/>
      <w:bookmarkStart w:id="216" w:name="_Toc401259707"/>
      <w:bookmarkStart w:id="217" w:name="_Toc401312831"/>
      <w:bookmarkStart w:id="218" w:name="_Toc401850538"/>
      <w:bookmarkStart w:id="219" w:name="_Toc402169636"/>
      <w:bookmarkStart w:id="220" w:name="_Toc405301020"/>
      <w:bookmarkStart w:id="221" w:name="_Toc405884724"/>
      <w:bookmarkStart w:id="222" w:name="_Toc406609214"/>
      <w:r w:rsidRPr="00863601">
        <w:rPr>
          <w:color w:val="000000" w:themeColor="text1"/>
          <w:lang w:eastAsia="ar-SA"/>
        </w:rPr>
        <w:t>G</w:t>
      </w:r>
      <w:r w:rsidR="00B661C3" w:rsidRPr="00863601">
        <w:rPr>
          <w:color w:val="000000" w:themeColor="text1"/>
          <w:lang w:eastAsia="ar-SA"/>
        </w:rPr>
        <w:t xml:space="preserve">eneral </w:t>
      </w:r>
      <w:r w:rsidR="00B317F7" w:rsidRPr="00863601">
        <w:rPr>
          <w:color w:val="000000" w:themeColor="text1"/>
          <w:lang w:eastAsia="ar-SA"/>
        </w:rPr>
        <w:t>Privileges</w:t>
      </w:r>
      <w:r w:rsidR="00B661C3" w:rsidRPr="00863601">
        <w:rPr>
          <w:color w:val="000000" w:themeColor="text1"/>
          <w:lang w:eastAsia="ar-SA"/>
        </w:rPr>
        <w:t xml:space="preserve"> and Obligations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9B1522" w:rsidRPr="00863601" w:rsidRDefault="00B661C3" w:rsidP="005E5F79">
      <w:pPr>
        <w:pStyle w:val="ParaNum"/>
        <w:widowControl/>
        <w:rPr>
          <w:color w:val="000000" w:themeColor="text1"/>
          <w:szCs w:val="22"/>
        </w:rPr>
      </w:pPr>
      <w:r w:rsidRPr="00863601">
        <w:rPr>
          <w:color w:val="000000" w:themeColor="text1"/>
          <w:szCs w:val="22"/>
          <w:lang w:eastAsia="ar-SA"/>
        </w:rPr>
        <w:t xml:space="preserve">An entity that meets the definition of an MVPD is subject to both </w:t>
      </w:r>
      <w:r w:rsidR="00553A81" w:rsidRPr="00863601">
        <w:rPr>
          <w:color w:val="000000" w:themeColor="text1"/>
          <w:szCs w:val="22"/>
          <w:lang w:eastAsia="ar-SA"/>
        </w:rPr>
        <w:t>privileges</w:t>
      </w:r>
      <w:r w:rsidRPr="00863601">
        <w:rPr>
          <w:color w:val="000000" w:themeColor="text1"/>
          <w:szCs w:val="22"/>
          <w:lang w:eastAsia="ar-SA"/>
        </w:rPr>
        <w:t xml:space="preserve"> and legal obligations</w:t>
      </w:r>
      <w:r w:rsidR="006F565E" w:rsidRPr="00863601">
        <w:rPr>
          <w:color w:val="000000" w:themeColor="text1"/>
          <w:szCs w:val="22"/>
          <w:lang w:eastAsia="ar-SA"/>
        </w:rPr>
        <w:t xml:space="preserve"> under the Communications Act and the Commission’s rules</w:t>
      </w:r>
      <w:r w:rsidRPr="00863601">
        <w:rPr>
          <w:color w:val="000000" w:themeColor="text1"/>
          <w:szCs w:val="22"/>
          <w:lang w:eastAsia="ar-SA"/>
        </w:rPr>
        <w:t xml:space="preserve">.  The regulatory </w:t>
      </w:r>
      <w:r w:rsidR="00B317F7" w:rsidRPr="00863601">
        <w:rPr>
          <w:color w:val="000000" w:themeColor="text1"/>
          <w:szCs w:val="22"/>
          <w:lang w:eastAsia="ar-SA"/>
        </w:rPr>
        <w:t>privileges</w:t>
      </w:r>
      <w:r w:rsidRPr="00863601">
        <w:rPr>
          <w:color w:val="000000" w:themeColor="text1"/>
          <w:szCs w:val="22"/>
          <w:lang w:eastAsia="ar-SA"/>
        </w:rPr>
        <w:t xml:space="preserve"> of MVPD status include the right to seek relief under the program access rules</w:t>
      </w:r>
      <w:r w:rsidRPr="00863601">
        <w:rPr>
          <w:color w:val="000000" w:themeColor="text1"/>
          <w:szCs w:val="22"/>
          <w:vertAlign w:val="superscript"/>
          <w:lang w:eastAsia="ar-SA"/>
        </w:rPr>
        <w:footnoteReference w:id="93"/>
      </w:r>
      <w:r w:rsidRPr="00863601">
        <w:rPr>
          <w:color w:val="000000" w:themeColor="text1"/>
          <w:szCs w:val="22"/>
          <w:lang w:eastAsia="ar-SA"/>
        </w:rPr>
        <w:t xml:space="preserve"> and the retransmission consent rules.</w:t>
      </w:r>
      <w:r w:rsidRPr="00863601">
        <w:rPr>
          <w:color w:val="000000" w:themeColor="text1"/>
          <w:szCs w:val="22"/>
          <w:vertAlign w:val="superscript"/>
          <w:lang w:eastAsia="ar-SA"/>
        </w:rPr>
        <w:footnoteReference w:id="94"/>
      </w:r>
      <w:r w:rsidRPr="00863601">
        <w:rPr>
          <w:color w:val="000000" w:themeColor="text1"/>
          <w:szCs w:val="22"/>
          <w:lang w:eastAsia="ar-SA"/>
        </w:rPr>
        <w:t xml:space="preserve">  Among the regulatory obligations of MVPDs are statutory and regulatory requirements relating to (i) program carriage;</w:t>
      </w:r>
      <w:r w:rsidRPr="00863601">
        <w:rPr>
          <w:color w:val="000000" w:themeColor="text1"/>
          <w:szCs w:val="22"/>
          <w:vertAlign w:val="superscript"/>
          <w:lang w:eastAsia="ar-SA"/>
        </w:rPr>
        <w:footnoteReference w:id="95"/>
      </w:r>
      <w:r w:rsidRPr="00863601">
        <w:rPr>
          <w:color w:val="000000" w:themeColor="text1"/>
          <w:szCs w:val="22"/>
          <w:lang w:eastAsia="ar-SA"/>
        </w:rPr>
        <w:t xml:space="preserve"> (ii) the competitive availability of navigation devices (including the integration ban);</w:t>
      </w:r>
      <w:r w:rsidRPr="00863601">
        <w:rPr>
          <w:color w:val="000000" w:themeColor="text1"/>
          <w:szCs w:val="22"/>
          <w:vertAlign w:val="superscript"/>
          <w:lang w:eastAsia="ar-SA"/>
        </w:rPr>
        <w:footnoteReference w:id="96"/>
      </w:r>
      <w:r w:rsidRPr="00863601">
        <w:rPr>
          <w:color w:val="000000" w:themeColor="text1"/>
          <w:szCs w:val="22"/>
          <w:lang w:eastAsia="ar-SA"/>
        </w:rPr>
        <w:t xml:space="preserve"> (iii) good faith </w:t>
      </w:r>
      <w:r w:rsidR="006D03FC" w:rsidRPr="00863601">
        <w:rPr>
          <w:color w:val="000000" w:themeColor="text1"/>
          <w:szCs w:val="22"/>
          <w:lang w:eastAsia="ar-SA"/>
        </w:rPr>
        <w:t xml:space="preserve">negotiation </w:t>
      </w:r>
      <w:r w:rsidRPr="00863601">
        <w:rPr>
          <w:color w:val="000000" w:themeColor="text1"/>
          <w:szCs w:val="22"/>
          <w:lang w:eastAsia="ar-SA"/>
        </w:rPr>
        <w:t>with broadcasters for retransmission consent;</w:t>
      </w:r>
      <w:r w:rsidRPr="00863601">
        <w:rPr>
          <w:color w:val="000000" w:themeColor="text1"/>
          <w:szCs w:val="22"/>
          <w:vertAlign w:val="superscript"/>
          <w:lang w:eastAsia="ar-SA"/>
        </w:rPr>
        <w:footnoteReference w:id="97"/>
      </w:r>
      <w:r w:rsidRPr="00863601">
        <w:rPr>
          <w:color w:val="000000" w:themeColor="text1"/>
          <w:szCs w:val="22"/>
          <w:lang w:eastAsia="ar-SA"/>
        </w:rPr>
        <w:t xml:space="preserve"> (iv) Equal Employment Opportunity (“EEO”);</w:t>
      </w:r>
      <w:r w:rsidRPr="00863601">
        <w:rPr>
          <w:color w:val="000000" w:themeColor="text1"/>
          <w:szCs w:val="22"/>
          <w:vertAlign w:val="superscript"/>
          <w:lang w:eastAsia="ar-SA"/>
        </w:rPr>
        <w:footnoteReference w:id="98"/>
      </w:r>
      <w:r w:rsidRPr="00863601">
        <w:rPr>
          <w:color w:val="000000" w:themeColor="text1"/>
          <w:szCs w:val="22"/>
          <w:lang w:eastAsia="ar-SA"/>
        </w:rPr>
        <w:t xml:space="preserve"> (v) closed captioning;</w:t>
      </w:r>
      <w:r w:rsidRPr="00863601">
        <w:rPr>
          <w:color w:val="000000" w:themeColor="text1"/>
          <w:szCs w:val="22"/>
          <w:vertAlign w:val="superscript"/>
          <w:lang w:eastAsia="ar-SA"/>
        </w:rPr>
        <w:footnoteReference w:id="99"/>
      </w:r>
      <w:r w:rsidRPr="00863601">
        <w:rPr>
          <w:color w:val="000000" w:themeColor="text1"/>
          <w:szCs w:val="22"/>
          <w:lang w:eastAsia="ar-SA"/>
        </w:rPr>
        <w:t xml:space="preserve"> </w:t>
      </w:r>
      <w:r w:rsidR="006D03FC" w:rsidRPr="00863601">
        <w:rPr>
          <w:color w:val="000000" w:themeColor="text1"/>
          <w:szCs w:val="22"/>
          <w:lang w:eastAsia="ar-SA"/>
        </w:rPr>
        <w:t>(vi) video description;</w:t>
      </w:r>
      <w:r w:rsidR="006D03FC" w:rsidRPr="00863601">
        <w:rPr>
          <w:rStyle w:val="FootnoteReference"/>
          <w:color w:val="000000" w:themeColor="text1"/>
          <w:szCs w:val="22"/>
          <w:lang w:eastAsia="ar-SA"/>
        </w:rPr>
        <w:footnoteReference w:id="100"/>
      </w:r>
      <w:r w:rsidR="006D03FC" w:rsidRPr="00863601">
        <w:rPr>
          <w:color w:val="000000" w:themeColor="text1"/>
          <w:szCs w:val="22"/>
          <w:lang w:eastAsia="ar-SA"/>
        </w:rPr>
        <w:t xml:space="preserve"> (vii) access to emergency information;</w:t>
      </w:r>
      <w:r w:rsidR="006D03FC" w:rsidRPr="00863601">
        <w:rPr>
          <w:rStyle w:val="FootnoteReference"/>
          <w:color w:val="000000" w:themeColor="text1"/>
          <w:szCs w:val="22"/>
          <w:lang w:eastAsia="ar-SA"/>
        </w:rPr>
        <w:footnoteReference w:id="101"/>
      </w:r>
      <w:r w:rsidR="006D03FC" w:rsidRPr="00863601">
        <w:rPr>
          <w:color w:val="000000" w:themeColor="text1"/>
          <w:szCs w:val="22"/>
          <w:lang w:eastAsia="ar-SA"/>
        </w:rPr>
        <w:t xml:space="preserve"> </w:t>
      </w:r>
      <w:r w:rsidRPr="00863601">
        <w:rPr>
          <w:color w:val="000000" w:themeColor="text1"/>
          <w:szCs w:val="22"/>
          <w:lang w:eastAsia="ar-SA"/>
        </w:rPr>
        <w:t>(vi) signal leakage;</w:t>
      </w:r>
      <w:r w:rsidRPr="00863601">
        <w:rPr>
          <w:color w:val="000000" w:themeColor="text1"/>
          <w:szCs w:val="22"/>
          <w:vertAlign w:val="superscript"/>
          <w:lang w:eastAsia="ar-SA"/>
        </w:rPr>
        <w:footnoteReference w:id="102"/>
      </w:r>
      <w:r w:rsidRPr="00863601">
        <w:rPr>
          <w:color w:val="000000" w:themeColor="text1"/>
          <w:szCs w:val="22"/>
          <w:lang w:eastAsia="ar-SA"/>
        </w:rPr>
        <w:t xml:space="preserve"> (vii) inside wirin</w:t>
      </w:r>
      <w:r w:rsidR="006D03FC" w:rsidRPr="00863601">
        <w:rPr>
          <w:color w:val="000000" w:themeColor="text1"/>
          <w:szCs w:val="22"/>
          <w:lang w:eastAsia="ar-SA"/>
        </w:rPr>
        <w:t>g</w:t>
      </w:r>
      <w:r w:rsidRPr="00863601">
        <w:rPr>
          <w:color w:val="000000" w:themeColor="text1"/>
          <w:szCs w:val="22"/>
          <w:lang w:eastAsia="ar-SA"/>
        </w:rPr>
        <w:t>;</w:t>
      </w:r>
      <w:r w:rsidRPr="00863601">
        <w:rPr>
          <w:color w:val="000000" w:themeColor="text1"/>
          <w:szCs w:val="22"/>
          <w:vertAlign w:val="superscript"/>
          <w:lang w:eastAsia="ar-SA"/>
        </w:rPr>
        <w:footnoteReference w:id="103"/>
      </w:r>
      <w:r w:rsidRPr="00863601">
        <w:rPr>
          <w:color w:val="000000" w:themeColor="text1"/>
          <w:szCs w:val="22"/>
          <w:lang w:eastAsia="ar-SA"/>
        </w:rPr>
        <w:t xml:space="preserve"> </w:t>
      </w:r>
      <w:r w:rsidR="003B164E" w:rsidRPr="00863601">
        <w:rPr>
          <w:color w:val="000000" w:themeColor="text1"/>
          <w:szCs w:val="22"/>
          <w:lang w:eastAsia="ar-SA"/>
        </w:rPr>
        <w:t xml:space="preserve">and </w:t>
      </w:r>
      <w:r w:rsidRPr="00863601">
        <w:rPr>
          <w:color w:val="000000" w:themeColor="text1"/>
          <w:szCs w:val="22"/>
          <w:lang w:eastAsia="ar-SA"/>
        </w:rPr>
        <w:t xml:space="preserve">(viii) </w:t>
      </w:r>
      <w:r w:rsidR="006D03FC" w:rsidRPr="00863601">
        <w:rPr>
          <w:color w:val="000000" w:themeColor="text1"/>
          <w:szCs w:val="22"/>
          <w:lang w:eastAsia="ar-SA"/>
        </w:rPr>
        <w:t xml:space="preserve">the </w:t>
      </w:r>
      <w:r w:rsidR="006D03FC" w:rsidRPr="00863601">
        <w:rPr>
          <w:color w:val="000000" w:themeColor="text1"/>
        </w:rPr>
        <w:t>loudness of commercials.</w:t>
      </w:r>
      <w:r w:rsidR="00143B0E" w:rsidRPr="00863601">
        <w:rPr>
          <w:color w:val="000000" w:themeColor="text1"/>
          <w:szCs w:val="22"/>
          <w:vertAlign w:val="superscript"/>
        </w:rPr>
        <w:footnoteReference w:id="104"/>
      </w:r>
      <w:r w:rsidRPr="00863601">
        <w:rPr>
          <w:color w:val="000000" w:themeColor="text1"/>
          <w:szCs w:val="22"/>
          <w:lang w:eastAsia="ar-SA"/>
        </w:rPr>
        <w:t xml:space="preserve"> </w:t>
      </w:r>
    </w:p>
    <w:p w:rsidR="008F7402" w:rsidRPr="00863601" w:rsidRDefault="003A7229" w:rsidP="005E5F79">
      <w:pPr>
        <w:pStyle w:val="ParaNum"/>
        <w:widowControl/>
        <w:rPr>
          <w:color w:val="000000" w:themeColor="text1"/>
          <w:szCs w:val="22"/>
        </w:rPr>
      </w:pPr>
      <w:r w:rsidRPr="00863601">
        <w:rPr>
          <w:color w:val="000000" w:themeColor="text1"/>
          <w:szCs w:val="22"/>
        </w:rPr>
        <w:t>To the extent that an</w:t>
      </w:r>
      <w:r w:rsidR="00B661C3" w:rsidRPr="00863601">
        <w:rPr>
          <w:color w:val="000000" w:themeColor="text1"/>
          <w:szCs w:val="22"/>
        </w:rPr>
        <w:t xml:space="preserve"> Internet-based distributor of video programming fall</w:t>
      </w:r>
      <w:r w:rsidRPr="00863601">
        <w:rPr>
          <w:color w:val="000000" w:themeColor="text1"/>
          <w:szCs w:val="22"/>
        </w:rPr>
        <w:t>s</w:t>
      </w:r>
      <w:r w:rsidR="00B661C3" w:rsidRPr="00863601">
        <w:rPr>
          <w:color w:val="000000" w:themeColor="text1"/>
          <w:szCs w:val="22"/>
        </w:rPr>
        <w:t xml:space="preserve"> within the definition of an MVPD, </w:t>
      </w:r>
      <w:r w:rsidRPr="00863601">
        <w:rPr>
          <w:color w:val="000000" w:themeColor="text1"/>
          <w:szCs w:val="22"/>
        </w:rPr>
        <w:t xml:space="preserve">it </w:t>
      </w:r>
      <w:r w:rsidR="00B661C3" w:rsidRPr="00863601">
        <w:rPr>
          <w:color w:val="000000" w:themeColor="text1"/>
          <w:szCs w:val="22"/>
        </w:rPr>
        <w:t xml:space="preserve">will be able to take advantage of the </w:t>
      </w:r>
      <w:r w:rsidR="00B317F7" w:rsidRPr="00863601">
        <w:rPr>
          <w:color w:val="000000" w:themeColor="text1"/>
          <w:szCs w:val="22"/>
        </w:rPr>
        <w:t>privileges</w:t>
      </w:r>
      <w:r w:rsidR="00B661C3" w:rsidRPr="00863601">
        <w:rPr>
          <w:color w:val="000000" w:themeColor="text1"/>
          <w:szCs w:val="22"/>
        </w:rPr>
        <w:t xml:space="preserve"> of MVPD status but will also be subject to </w:t>
      </w:r>
      <w:r w:rsidRPr="00863601">
        <w:rPr>
          <w:color w:val="000000" w:themeColor="text1"/>
          <w:szCs w:val="22"/>
        </w:rPr>
        <w:t xml:space="preserve">MVPD </w:t>
      </w:r>
      <w:r w:rsidR="00B661C3" w:rsidRPr="00863601">
        <w:rPr>
          <w:color w:val="000000" w:themeColor="text1"/>
          <w:szCs w:val="22"/>
        </w:rPr>
        <w:t>obligations, unless the Commission</w:t>
      </w:r>
      <w:r w:rsidR="00D14A1B" w:rsidRPr="00863601">
        <w:rPr>
          <w:color w:val="000000" w:themeColor="text1"/>
          <w:szCs w:val="22"/>
        </w:rPr>
        <w:t xml:space="preserve"> waive</w:t>
      </w:r>
      <w:r w:rsidRPr="00863601">
        <w:rPr>
          <w:color w:val="000000" w:themeColor="text1"/>
          <w:szCs w:val="22"/>
        </w:rPr>
        <w:t>s</w:t>
      </w:r>
      <w:r w:rsidR="00D14A1B" w:rsidRPr="00863601">
        <w:rPr>
          <w:color w:val="000000" w:themeColor="text1"/>
          <w:szCs w:val="22"/>
        </w:rPr>
        <w:t xml:space="preserve"> </w:t>
      </w:r>
      <w:r w:rsidRPr="00863601">
        <w:rPr>
          <w:color w:val="000000" w:themeColor="text1"/>
          <w:szCs w:val="22"/>
        </w:rPr>
        <w:t>some or all</w:t>
      </w:r>
      <w:r w:rsidR="00D14A1B" w:rsidRPr="00863601">
        <w:rPr>
          <w:color w:val="000000" w:themeColor="text1"/>
          <w:szCs w:val="22"/>
        </w:rPr>
        <w:t xml:space="preserve"> of them</w:t>
      </w:r>
      <w:r w:rsidR="00E3057F" w:rsidRPr="00863601">
        <w:rPr>
          <w:color w:val="000000" w:themeColor="text1"/>
          <w:szCs w:val="22"/>
        </w:rPr>
        <w:t xml:space="preserve"> if authorized to do so</w:t>
      </w:r>
      <w:r w:rsidR="00B661C3" w:rsidRPr="00863601">
        <w:rPr>
          <w:color w:val="000000" w:themeColor="text1"/>
          <w:szCs w:val="22"/>
        </w:rPr>
        <w:t>.</w:t>
      </w:r>
      <w:r w:rsidR="00B54AC1" w:rsidRPr="00863601">
        <w:rPr>
          <w:color w:val="000000" w:themeColor="text1"/>
          <w:szCs w:val="22"/>
        </w:rPr>
        <w:t xml:space="preserve">  </w:t>
      </w:r>
      <w:r w:rsidR="00B661C3" w:rsidRPr="00863601">
        <w:rPr>
          <w:color w:val="000000" w:themeColor="text1"/>
          <w:szCs w:val="22"/>
        </w:rPr>
        <w:t xml:space="preserve">We seek comment on the </w:t>
      </w:r>
      <w:r w:rsidR="00A9335B" w:rsidRPr="00863601">
        <w:rPr>
          <w:color w:val="000000" w:themeColor="text1"/>
          <w:szCs w:val="22"/>
        </w:rPr>
        <w:t>overall</w:t>
      </w:r>
      <w:r w:rsidR="00B661C3" w:rsidRPr="00863601">
        <w:rPr>
          <w:color w:val="000000" w:themeColor="text1"/>
          <w:szCs w:val="22"/>
        </w:rPr>
        <w:t xml:space="preserve"> cost</w:t>
      </w:r>
      <w:r w:rsidR="00DA18B7" w:rsidRPr="00863601">
        <w:rPr>
          <w:color w:val="000000" w:themeColor="text1"/>
          <w:szCs w:val="22"/>
        </w:rPr>
        <w:t>s</w:t>
      </w:r>
      <w:r w:rsidR="00B661C3" w:rsidRPr="00863601">
        <w:rPr>
          <w:color w:val="000000" w:themeColor="text1"/>
          <w:szCs w:val="22"/>
        </w:rPr>
        <w:t xml:space="preserve"> and benefits of </w:t>
      </w:r>
      <w:r w:rsidR="00A9335B" w:rsidRPr="00863601">
        <w:rPr>
          <w:color w:val="000000" w:themeColor="text1"/>
          <w:szCs w:val="22"/>
        </w:rPr>
        <w:t>applying</w:t>
      </w:r>
      <w:r w:rsidR="00B661C3" w:rsidRPr="00863601">
        <w:rPr>
          <w:color w:val="000000" w:themeColor="text1"/>
          <w:szCs w:val="22"/>
        </w:rPr>
        <w:t xml:space="preserve"> these </w:t>
      </w:r>
      <w:r w:rsidR="00DA18B7" w:rsidRPr="00863601">
        <w:rPr>
          <w:color w:val="000000" w:themeColor="text1"/>
          <w:szCs w:val="22"/>
        </w:rPr>
        <w:t xml:space="preserve">regulatory </w:t>
      </w:r>
      <w:r w:rsidR="00B317F7" w:rsidRPr="00863601">
        <w:rPr>
          <w:color w:val="000000" w:themeColor="text1"/>
          <w:szCs w:val="22"/>
        </w:rPr>
        <w:t>privileges</w:t>
      </w:r>
      <w:r w:rsidR="00B661C3" w:rsidRPr="00863601">
        <w:rPr>
          <w:color w:val="000000" w:themeColor="text1"/>
          <w:szCs w:val="22"/>
        </w:rPr>
        <w:t xml:space="preserve"> and obligations to Internet-based distributors of video programming, including </w:t>
      </w:r>
      <w:r w:rsidR="00A9335B" w:rsidRPr="00863601">
        <w:rPr>
          <w:color w:val="000000" w:themeColor="text1"/>
          <w:szCs w:val="22"/>
        </w:rPr>
        <w:t>incumbent operators who migrate to Internet delivery</w:t>
      </w:r>
      <w:r w:rsidR="00B661C3" w:rsidRPr="00863601">
        <w:rPr>
          <w:color w:val="000000" w:themeColor="text1"/>
          <w:szCs w:val="22"/>
        </w:rPr>
        <w:t xml:space="preserve">.  We also seek comment on specific </w:t>
      </w:r>
      <w:r w:rsidR="00B317F7" w:rsidRPr="00863601">
        <w:rPr>
          <w:color w:val="000000" w:themeColor="text1"/>
          <w:szCs w:val="22"/>
        </w:rPr>
        <w:t>privileges</w:t>
      </w:r>
      <w:r w:rsidR="00F322C3" w:rsidRPr="00863601">
        <w:rPr>
          <w:color w:val="000000" w:themeColor="text1"/>
          <w:szCs w:val="22"/>
        </w:rPr>
        <w:t xml:space="preserve"> and obligations below.</w:t>
      </w:r>
      <w:r w:rsidR="000C6079" w:rsidRPr="00863601">
        <w:rPr>
          <w:color w:val="000000" w:themeColor="text1"/>
          <w:szCs w:val="22"/>
        </w:rPr>
        <w:t xml:space="preserve">  </w:t>
      </w:r>
      <w:r w:rsidR="00B54AC1" w:rsidRPr="00863601">
        <w:rPr>
          <w:color w:val="000000" w:themeColor="text1"/>
          <w:szCs w:val="22"/>
        </w:rPr>
        <w:t>Would waiver or exemption from certain regulations be an appropriate approach for regulating Internet-based distributors?  If so, what regulations should be waived or modified to exempt Internet-based distributors</w:t>
      </w:r>
      <w:r w:rsidR="008272F1" w:rsidRPr="00863601">
        <w:rPr>
          <w:color w:val="000000" w:themeColor="text1"/>
          <w:szCs w:val="22"/>
        </w:rPr>
        <w:t>, and do we have authority to do so under the Act</w:t>
      </w:r>
      <w:r w:rsidR="00B54AC1" w:rsidRPr="00863601">
        <w:rPr>
          <w:color w:val="000000" w:themeColor="text1"/>
          <w:szCs w:val="22"/>
        </w:rPr>
        <w:t xml:space="preserve">?  </w:t>
      </w:r>
      <w:r w:rsidR="008F7402" w:rsidRPr="00863601">
        <w:rPr>
          <w:color w:val="000000" w:themeColor="text1"/>
        </w:rPr>
        <w:t>Alternatively, does the statute permit us to allow these entities to choose whether they wish to be classified as MVPDs?</w:t>
      </w:r>
    </w:p>
    <w:p w:rsidR="00E007C1" w:rsidRPr="00863601" w:rsidRDefault="000C6079" w:rsidP="005E5F79">
      <w:pPr>
        <w:pStyle w:val="ParaNum"/>
        <w:widowControl/>
        <w:rPr>
          <w:color w:val="000000" w:themeColor="text1"/>
          <w:szCs w:val="22"/>
        </w:rPr>
      </w:pPr>
      <w:r w:rsidRPr="00863601">
        <w:rPr>
          <w:color w:val="000000" w:themeColor="text1"/>
        </w:rPr>
        <w:t xml:space="preserve">Would subjecting Internet-based distributors to MVPD regulations deter investment in new </w:t>
      </w:r>
      <w:r w:rsidR="00A9335B" w:rsidRPr="00863601">
        <w:rPr>
          <w:color w:val="000000" w:themeColor="text1"/>
        </w:rPr>
        <w:t>technologies</w:t>
      </w:r>
      <w:r w:rsidRPr="00863601">
        <w:rPr>
          <w:color w:val="000000" w:themeColor="text1"/>
        </w:rPr>
        <w:t xml:space="preserve"> and </w:t>
      </w:r>
      <w:r w:rsidRPr="00863601">
        <w:rPr>
          <w:color w:val="000000" w:themeColor="text1"/>
          <w:szCs w:val="22"/>
        </w:rPr>
        <w:t xml:space="preserve">drive some current </w:t>
      </w:r>
      <w:r w:rsidR="00A9335B" w:rsidRPr="00863601">
        <w:rPr>
          <w:color w:val="000000" w:themeColor="text1"/>
          <w:szCs w:val="22"/>
        </w:rPr>
        <w:t xml:space="preserve">or prospective </w:t>
      </w:r>
      <w:r w:rsidRPr="00863601">
        <w:rPr>
          <w:color w:val="000000" w:themeColor="text1"/>
        </w:rPr>
        <w:t xml:space="preserve">Internet-based distributors </w:t>
      </w:r>
      <w:r w:rsidRPr="00863601">
        <w:rPr>
          <w:color w:val="000000" w:themeColor="text1"/>
          <w:szCs w:val="22"/>
        </w:rPr>
        <w:t>from the market?</w:t>
      </w:r>
      <w:r w:rsidR="001D0036" w:rsidRPr="00863601">
        <w:rPr>
          <w:rStyle w:val="FootnoteReference"/>
          <w:color w:val="000000" w:themeColor="text1"/>
          <w:szCs w:val="22"/>
        </w:rPr>
        <w:footnoteReference w:id="105"/>
      </w:r>
      <w:r w:rsidRPr="00863601">
        <w:rPr>
          <w:color w:val="000000" w:themeColor="text1"/>
          <w:szCs w:val="22"/>
        </w:rPr>
        <w:t xml:space="preserve">  </w:t>
      </w:r>
      <w:r w:rsidR="00B215C9" w:rsidRPr="00863601">
        <w:rPr>
          <w:color w:val="000000" w:themeColor="text1"/>
          <w:szCs w:val="22"/>
        </w:rPr>
        <w:t xml:space="preserve">On the other hand, would </w:t>
      </w:r>
      <w:r w:rsidR="00B215C9" w:rsidRPr="00863601">
        <w:rPr>
          <w:color w:val="000000" w:themeColor="text1"/>
        </w:rPr>
        <w:t xml:space="preserve">subjecting Internet-based distributors to MVPD regulations provide regulatory certainty that could </w:t>
      </w:r>
      <w:r w:rsidR="00A9335B" w:rsidRPr="00863601">
        <w:rPr>
          <w:color w:val="000000" w:themeColor="text1"/>
        </w:rPr>
        <w:t xml:space="preserve">reassure consumers and </w:t>
      </w:r>
      <w:r w:rsidR="00B215C9" w:rsidRPr="00863601">
        <w:rPr>
          <w:color w:val="000000" w:themeColor="text1"/>
        </w:rPr>
        <w:t xml:space="preserve">spur investment </w:t>
      </w:r>
      <w:r w:rsidR="00A9335B" w:rsidRPr="00863601">
        <w:rPr>
          <w:color w:val="000000" w:themeColor="text1"/>
        </w:rPr>
        <w:t>by service providers</w:t>
      </w:r>
      <w:r w:rsidR="00B215C9" w:rsidRPr="00863601">
        <w:rPr>
          <w:color w:val="000000" w:themeColor="text1"/>
        </w:rPr>
        <w:t>?</w:t>
      </w:r>
      <w:r w:rsidR="00D14A1B" w:rsidRPr="00863601">
        <w:rPr>
          <w:color w:val="000000" w:themeColor="text1"/>
        </w:rPr>
        <w:t xml:space="preserve">  To what extent should we </w:t>
      </w:r>
      <w:r w:rsidR="00E3057F" w:rsidRPr="00863601">
        <w:rPr>
          <w:color w:val="000000" w:themeColor="text1"/>
        </w:rPr>
        <w:t>consider increasing consumer adoption of non-traditional MVPDs as a factor in regulatory treatment of entities that provide similar services but use different delivery mechanisms</w:t>
      </w:r>
      <w:r w:rsidR="00D14A1B" w:rsidRPr="00863601">
        <w:rPr>
          <w:color w:val="000000" w:themeColor="text1"/>
        </w:rPr>
        <w:t>?</w:t>
      </w:r>
      <w:r w:rsidR="00B54AC1" w:rsidRPr="00863601">
        <w:rPr>
          <w:rStyle w:val="FootnoteReference"/>
          <w:color w:val="000000" w:themeColor="text1"/>
          <w:szCs w:val="22"/>
        </w:rPr>
        <w:footnoteReference w:id="106"/>
      </w:r>
      <w:r w:rsidR="006F565E" w:rsidRPr="00863601">
        <w:rPr>
          <w:color w:val="000000" w:themeColor="text1"/>
          <w:szCs w:val="22"/>
        </w:rPr>
        <w:t xml:space="preserve">  </w:t>
      </w:r>
      <w:r w:rsidR="00B54AC1" w:rsidRPr="00863601">
        <w:rPr>
          <w:color w:val="000000" w:themeColor="text1"/>
          <w:szCs w:val="22"/>
        </w:rPr>
        <w:t>If</w:t>
      </w:r>
      <w:r w:rsidR="00B661C3" w:rsidRPr="00863601">
        <w:rPr>
          <w:color w:val="000000" w:themeColor="text1"/>
          <w:szCs w:val="22"/>
        </w:rPr>
        <w:t xml:space="preserve"> </w:t>
      </w:r>
      <w:r w:rsidR="00A7268B" w:rsidRPr="00863601">
        <w:rPr>
          <w:color w:val="000000" w:themeColor="text1"/>
          <w:szCs w:val="22"/>
        </w:rPr>
        <w:t xml:space="preserve">Internet-based distributors </w:t>
      </w:r>
      <w:r w:rsidR="00384972" w:rsidRPr="00863601">
        <w:rPr>
          <w:color w:val="000000" w:themeColor="text1"/>
          <w:szCs w:val="22"/>
        </w:rPr>
        <w:t>compete with</w:t>
      </w:r>
      <w:r w:rsidR="00B661C3" w:rsidRPr="00863601">
        <w:rPr>
          <w:color w:val="000000" w:themeColor="text1"/>
          <w:szCs w:val="22"/>
        </w:rPr>
        <w:t xml:space="preserve"> traditional MVPDs</w:t>
      </w:r>
      <w:r w:rsidR="00A7268B" w:rsidRPr="00863601">
        <w:rPr>
          <w:color w:val="000000" w:themeColor="text1"/>
          <w:szCs w:val="22"/>
        </w:rPr>
        <w:t>,</w:t>
      </w:r>
      <w:r w:rsidR="00724676" w:rsidRPr="00863601">
        <w:rPr>
          <w:rStyle w:val="FootnoteReference"/>
          <w:color w:val="000000" w:themeColor="text1"/>
          <w:szCs w:val="22"/>
        </w:rPr>
        <w:footnoteReference w:id="107"/>
      </w:r>
      <w:r w:rsidR="00A7268B" w:rsidRPr="00863601">
        <w:rPr>
          <w:color w:val="000000" w:themeColor="text1"/>
          <w:szCs w:val="22"/>
        </w:rPr>
        <w:t xml:space="preserve"> should they</w:t>
      </w:r>
      <w:r w:rsidR="0086054E" w:rsidRPr="00863601">
        <w:rPr>
          <w:color w:val="000000" w:themeColor="text1"/>
          <w:szCs w:val="22"/>
        </w:rPr>
        <w:t xml:space="preserve"> </w:t>
      </w:r>
      <w:r w:rsidR="00B661C3" w:rsidRPr="00863601">
        <w:rPr>
          <w:color w:val="000000" w:themeColor="text1"/>
          <w:szCs w:val="22"/>
        </w:rPr>
        <w:t>be subject to the same regulatory obligations</w:t>
      </w:r>
      <w:r w:rsidR="00A7268B" w:rsidRPr="00863601">
        <w:rPr>
          <w:color w:val="000000" w:themeColor="text1"/>
          <w:szCs w:val="22"/>
        </w:rPr>
        <w:t xml:space="preserve"> as traditional MVPDs</w:t>
      </w:r>
      <w:r w:rsidR="00B661C3" w:rsidRPr="00863601">
        <w:rPr>
          <w:color w:val="000000" w:themeColor="text1"/>
          <w:szCs w:val="22"/>
        </w:rPr>
        <w:t>?</w:t>
      </w:r>
      <w:r w:rsidR="00B8243A" w:rsidRPr="00863601">
        <w:rPr>
          <w:rStyle w:val="FootnoteReference"/>
          <w:color w:val="000000" w:themeColor="text1"/>
          <w:szCs w:val="22"/>
        </w:rPr>
        <w:footnoteReference w:id="108"/>
      </w:r>
      <w:r w:rsidR="00B661C3" w:rsidRPr="00863601">
        <w:rPr>
          <w:color w:val="000000" w:themeColor="text1"/>
          <w:szCs w:val="22"/>
        </w:rPr>
        <w:t xml:space="preserve">  </w:t>
      </w:r>
    </w:p>
    <w:p w:rsidR="007B0360" w:rsidRPr="00863601" w:rsidRDefault="00B661C3" w:rsidP="005E5F79">
      <w:pPr>
        <w:pStyle w:val="Heading4"/>
        <w:widowControl/>
        <w:rPr>
          <w:color w:val="000000" w:themeColor="text1"/>
        </w:rPr>
      </w:pPr>
      <w:bookmarkStart w:id="223" w:name="_Toc343164330"/>
      <w:bookmarkStart w:id="224" w:name="_Toc343169006"/>
      <w:bookmarkStart w:id="225" w:name="_Toc343875920"/>
      <w:bookmarkStart w:id="226" w:name="_Toc345939773"/>
      <w:bookmarkStart w:id="227" w:name="_Toc345939984"/>
      <w:bookmarkStart w:id="228" w:name="_Toc346121519"/>
      <w:bookmarkStart w:id="229" w:name="_Toc346192551"/>
      <w:bookmarkStart w:id="230" w:name="_Toc346192628"/>
      <w:bookmarkStart w:id="231" w:name="_Toc347491015"/>
      <w:bookmarkStart w:id="232" w:name="_Toc349751916"/>
      <w:bookmarkStart w:id="233" w:name="_Toc395187293"/>
      <w:bookmarkStart w:id="234" w:name="_Toc398540294"/>
      <w:bookmarkStart w:id="235" w:name="_Toc398565516"/>
      <w:bookmarkStart w:id="236" w:name="_Toc398624351"/>
      <w:bookmarkStart w:id="237" w:name="_Toc398746608"/>
      <w:bookmarkStart w:id="238" w:name="_Toc399148312"/>
      <w:bookmarkStart w:id="239" w:name="_Toc399260529"/>
      <w:bookmarkStart w:id="240" w:name="_Toc399316547"/>
      <w:bookmarkStart w:id="241" w:name="_Toc401241705"/>
      <w:bookmarkStart w:id="242" w:name="_Toc401259708"/>
      <w:bookmarkStart w:id="243" w:name="_Toc401312832"/>
      <w:bookmarkStart w:id="244" w:name="_Toc401850539"/>
      <w:bookmarkStart w:id="245" w:name="_Toc402169637"/>
      <w:bookmarkStart w:id="246" w:name="_Toc405301021"/>
      <w:bookmarkStart w:id="247" w:name="_Toc405884725"/>
      <w:bookmarkStart w:id="248" w:name="_Toc406609215"/>
      <w:r w:rsidRPr="00863601">
        <w:rPr>
          <w:color w:val="000000" w:themeColor="text1"/>
        </w:rPr>
        <w:t xml:space="preserve">Specific </w:t>
      </w:r>
      <w:r w:rsidR="0086054E" w:rsidRPr="00863601">
        <w:rPr>
          <w:color w:val="000000" w:themeColor="text1"/>
        </w:rPr>
        <w:t>Privileges</w:t>
      </w:r>
      <w:r w:rsidRPr="00863601">
        <w:rPr>
          <w:color w:val="000000" w:themeColor="text1"/>
        </w:rPr>
        <w:t xml:space="preserve"> and Obligations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863601">
        <w:rPr>
          <w:color w:val="000000" w:themeColor="text1"/>
        </w:rPr>
        <w:t xml:space="preserve">   </w:t>
      </w:r>
      <w:r w:rsidR="009F5E37" w:rsidRPr="00863601">
        <w:rPr>
          <w:color w:val="000000" w:themeColor="text1"/>
          <w:szCs w:val="22"/>
        </w:rPr>
        <w:t xml:space="preserve"> </w:t>
      </w:r>
    </w:p>
    <w:p w:rsidR="00B661C3" w:rsidRPr="00863601" w:rsidRDefault="0086054E" w:rsidP="005E5F79">
      <w:pPr>
        <w:pStyle w:val="Heading5"/>
        <w:widowControl/>
        <w:rPr>
          <w:color w:val="000000" w:themeColor="text1"/>
          <w:szCs w:val="22"/>
        </w:rPr>
      </w:pPr>
      <w:bookmarkStart w:id="249" w:name="_Toc399148313"/>
      <w:bookmarkStart w:id="250" w:name="_Toc399260531"/>
      <w:bookmarkStart w:id="251" w:name="_Toc399316548"/>
      <w:bookmarkStart w:id="252" w:name="_Toc401241706"/>
      <w:bookmarkStart w:id="253" w:name="_Toc401259709"/>
      <w:bookmarkStart w:id="254" w:name="_Toc401312833"/>
      <w:bookmarkStart w:id="255" w:name="_Toc401850540"/>
      <w:bookmarkStart w:id="256" w:name="_Toc402169638"/>
      <w:bookmarkStart w:id="257" w:name="_Toc405301022"/>
      <w:bookmarkStart w:id="258" w:name="_Toc405884726"/>
      <w:bookmarkStart w:id="259" w:name="_Toc406609216"/>
      <w:r w:rsidRPr="00863601">
        <w:rPr>
          <w:color w:val="000000" w:themeColor="text1"/>
          <w:szCs w:val="22"/>
        </w:rPr>
        <w:t>Privileges</w:t>
      </w:r>
      <w:bookmarkEnd w:id="249"/>
      <w:bookmarkEnd w:id="250"/>
      <w:bookmarkEnd w:id="251"/>
      <w:bookmarkEnd w:id="252"/>
      <w:bookmarkEnd w:id="253"/>
      <w:bookmarkEnd w:id="254"/>
      <w:bookmarkEnd w:id="255"/>
      <w:bookmarkEnd w:id="256"/>
      <w:bookmarkEnd w:id="257"/>
      <w:bookmarkEnd w:id="258"/>
      <w:bookmarkEnd w:id="259"/>
    </w:p>
    <w:p w:rsidR="009F5E37" w:rsidRPr="00863601" w:rsidRDefault="009F5E37" w:rsidP="005E5F79">
      <w:pPr>
        <w:pStyle w:val="ParaNum"/>
        <w:widowControl/>
        <w:rPr>
          <w:color w:val="000000" w:themeColor="text1"/>
          <w:szCs w:val="22"/>
        </w:rPr>
      </w:pPr>
      <w:r w:rsidRPr="00863601">
        <w:rPr>
          <w:color w:val="000000" w:themeColor="text1"/>
          <w:szCs w:val="22"/>
        </w:rPr>
        <w:t xml:space="preserve">Below, we seek comment on </w:t>
      </w:r>
      <w:r w:rsidR="00E41C8D" w:rsidRPr="00863601">
        <w:rPr>
          <w:color w:val="000000" w:themeColor="text1"/>
          <w:szCs w:val="22"/>
        </w:rPr>
        <w:t xml:space="preserve">the </w:t>
      </w:r>
      <w:r w:rsidRPr="00863601">
        <w:rPr>
          <w:color w:val="000000" w:themeColor="text1"/>
          <w:szCs w:val="22"/>
        </w:rPr>
        <w:t xml:space="preserve">specific </w:t>
      </w:r>
      <w:r w:rsidR="0086054E" w:rsidRPr="00863601">
        <w:rPr>
          <w:color w:val="000000" w:themeColor="text1"/>
          <w:szCs w:val="22"/>
        </w:rPr>
        <w:t>privileges</w:t>
      </w:r>
      <w:r w:rsidRPr="00863601">
        <w:rPr>
          <w:color w:val="000000" w:themeColor="text1"/>
          <w:szCs w:val="22"/>
        </w:rPr>
        <w:t xml:space="preserve"> of MVPD status and how they would apply to Internet-based distributors of video programming.  Would applying the </w:t>
      </w:r>
      <w:r w:rsidR="0086054E" w:rsidRPr="00863601">
        <w:rPr>
          <w:color w:val="000000" w:themeColor="text1"/>
          <w:szCs w:val="22"/>
        </w:rPr>
        <w:t>privileges</w:t>
      </w:r>
      <w:r w:rsidRPr="00863601">
        <w:rPr>
          <w:color w:val="000000" w:themeColor="text1"/>
          <w:szCs w:val="22"/>
        </w:rPr>
        <w:t xml:space="preserve"> of MVPD status to Internet-based distributors of video programming impose costs on third</w:t>
      </w:r>
      <w:r w:rsidR="0086054E" w:rsidRPr="00863601">
        <w:rPr>
          <w:color w:val="000000" w:themeColor="text1"/>
          <w:szCs w:val="22"/>
        </w:rPr>
        <w:t xml:space="preserve"> </w:t>
      </w:r>
      <w:r w:rsidRPr="00863601">
        <w:rPr>
          <w:color w:val="000000" w:themeColor="text1"/>
          <w:szCs w:val="22"/>
        </w:rPr>
        <w:t xml:space="preserve">parties, such as cable-affiliated programmers and broadcasters?  </w:t>
      </w:r>
      <w:r w:rsidR="00E41C8D" w:rsidRPr="00863601">
        <w:rPr>
          <w:color w:val="000000" w:themeColor="text1"/>
          <w:szCs w:val="22"/>
        </w:rPr>
        <w:t xml:space="preserve">To what extent would </w:t>
      </w:r>
      <w:r w:rsidRPr="00863601">
        <w:rPr>
          <w:color w:val="000000" w:themeColor="text1"/>
          <w:szCs w:val="22"/>
        </w:rPr>
        <w:t xml:space="preserve">the public be harmed if these </w:t>
      </w:r>
      <w:r w:rsidR="0086054E" w:rsidRPr="00863601">
        <w:rPr>
          <w:color w:val="000000" w:themeColor="text1"/>
          <w:szCs w:val="22"/>
        </w:rPr>
        <w:t>privileges</w:t>
      </w:r>
      <w:r w:rsidRPr="00863601">
        <w:rPr>
          <w:color w:val="000000" w:themeColor="text1"/>
          <w:szCs w:val="22"/>
        </w:rPr>
        <w:t xml:space="preserve"> did not extend to Internet-based distributors of video programming?  </w:t>
      </w:r>
    </w:p>
    <w:p w:rsidR="00B661C3" w:rsidRPr="00863601" w:rsidRDefault="00B661C3" w:rsidP="005E5F79">
      <w:pPr>
        <w:pStyle w:val="Heading6"/>
        <w:keepNext/>
        <w:widowControl/>
        <w:rPr>
          <w:color w:val="000000" w:themeColor="text1"/>
          <w:szCs w:val="22"/>
        </w:rPr>
      </w:pPr>
      <w:bookmarkStart w:id="260" w:name="_Toc343164332"/>
      <w:bookmarkStart w:id="261" w:name="_Toc343169008"/>
      <w:bookmarkStart w:id="262" w:name="_Toc343875922"/>
      <w:bookmarkStart w:id="263" w:name="_Toc345939775"/>
      <w:bookmarkStart w:id="264" w:name="_Toc345939986"/>
      <w:bookmarkStart w:id="265" w:name="_Toc346192553"/>
      <w:bookmarkStart w:id="266" w:name="_Toc346192630"/>
      <w:bookmarkStart w:id="267" w:name="_Toc347491017"/>
      <w:bookmarkStart w:id="268" w:name="_Toc349751918"/>
      <w:r w:rsidRPr="00863601">
        <w:rPr>
          <w:color w:val="000000" w:themeColor="text1"/>
          <w:szCs w:val="22"/>
        </w:rPr>
        <w:t>Program Access</w:t>
      </w:r>
      <w:bookmarkEnd w:id="260"/>
      <w:bookmarkEnd w:id="261"/>
      <w:bookmarkEnd w:id="262"/>
      <w:bookmarkEnd w:id="263"/>
      <w:bookmarkEnd w:id="264"/>
      <w:bookmarkEnd w:id="265"/>
      <w:bookmarkEnd w:id="266"/>
      <w:bookmarkEnd w:id="267"/>
      <w:bookmarkEnd w:id="268"/>
    </w:p>
    <w:p w:rsidR="009B1522" w:rsidRPr="00863601" w:rsidRDefault="00024EE2" w:rsidP="005E5F79">
      <w:pPr>
        <w:pStyle w:val="ParaNum"/>
        <w:widowControl/>
        <w:rPr>
          <w:color w:val="000000" w:themeColor="text1"/>
          <w:szCs w:val="22"/>
        </w:rPr>
      </w:pPr>
      <w:r w:rsidRPr="00863601">
        <w:rPr>
          <w:snapToGrid/>
          <w:color w:val="000000" w:themeColor="text1"/>
          <w:szCs w:val="22"/>
        </w:rPr>
        <w:t>As required by Section 628</w:t>
      </w:r>
      <w:r w:rsidR="00D538CC" w:rsidRPr="00863601">
        <w:rPr>
          <w:snapToGrid/>
          <w:color w:val="000000" w:themeColor="text1"/>
          <w:szCs w:val="22"/>
        </w:rPr>
        <w:t xml:space="preserve"> of the Act</w:t>
      </w:r>
      <w:r w:rsidRPr="00863601">
        <w:rPr>
          <w:snapToGrid/>
          <w:color w:val="000000" w:themeColor="text1"/>
          <w:szCs w:val="22"/>
        </w:rPr>
        <w:t>, the Commission’s program access rules provide certain protections to MVPDs in their efforts to license cable-affiliated programming.</w:t>
      </w:r>
      <w:r w:rsidR="00D538CC" w:rsidRPr="00863601">
        <w:rPr>
          <w:snapToGrid/>
          <w:color w:val="000000" w:themeColor="text1"/>
          <w:szCs w:val="22"/>
          <w:vertAlign w:val="superscript"/>
        </w:rPr>
        <w:footnoteReference w:id="109"/>
      </w:r>
      <w:r w:rsidRPr="00863601">
        <w:rPr>
          <w:snapToGrid/>
          <w:color w:val="000000" w:themeColor="text1"/>
          <w:szCs w:val="22"/>
        </w:rPr>
        <w:t xml:space="preserve">  The</w:t>
      </w:r>
      <w:r w:rsidR="00D538CC" w:rsidRPr="00863601">
        <w:rPr>
          <w:snapToGrid/>
          <w:color w:val="000000" w:themeColor="text1"/>
          <w:szCs w:val="22"/>
        </w:rPr>
        <w:t>se</w:t>
      </w:r>
      <w:r w:rsidRPr="00863601">
        <w:rPr>
          <w:snapToGrid/>
          <w:color w:val="000000" w:themeColor="text1"/>
          <w:szCs w:val="22"/>
        </w:rPr>
        <w:t xml:space="preserve"> rules:  (i) prohibit a cable operator</w:t>
      </w:r>
      <w:r w:rsidR="004B5A9E" w:rsidRPr="00863601">
        <w:rPr>
          <w:snapToGrid/>
          <w:color w:val="000000" w:themeColor="text1"/>
          <w:szCs w:val="22"/>
        </w:rPr>
        <w:t xml:space="preserve"> or</w:t>
      </w:r>
      <w:r w:rsidR="00D538CC" w:rsidRPr="00863601">
        <w:rPr>
          <w:snapToGrid/>
          <w:color w:val="000000" w:themeColor="text1"/>
          <w:szCs w:val="22"/>
        </w:rPr>
        <w:t xml:space="preserve"> </w:t>
      </w:r>
      <w:r w:rsidRPr="00863601">
        <w:rPr>
          <w:snapToGrid/>
          <w:color w:val="000000" w:themeColor="text1"/>
          <w:szCs w:val="22"/>
        </w:rPr>
        <w:t>its affiliated, satellite-delivered programmer from engaging in “</w:t>
      </w:r>
      <w:r w:rsidR="00D538CC" w:rsidRPr="00863601">
        <w:rPr>
          <w:color w:val="000000" w:themeColor="text1"/>
          <w:szCs w:val="22"/>
        </w:rPr>
        <w:t>unfair methods of competition or unfair or deceptive acts or practices” that have the “purpose or effect” of “hinder[ing] significantly or prevent[ing]” an MVPD from providing programming to subscribers or consumers</w:t>
      </w:r>
      <w:r w:rsidR="00D738FA" w:rsidRPr="00863601">
        <w:rPr>
          <w:color w:val="000000" w:themeColor="text1"/>
          <w:szCs w:val="22"/>
        </w:rPr>
        <w:t xml:space="preserve"> </w:t>
      </w:r>
      <w:r w:rsidR="00D738FA" w:rsidRPr="00863601">
        <w:rPr>
          <w:snapToGrid/>
          <w:color w:val="000000" w:themeColor="text1"/>
          <w:szCs w:val="22"/>
        </w:rPr>
        <w:t>(the “un</w:t>
      </w:r>
      <w:r w:rsidR="00004BCE" w:rsidRPr="00863601">
        <w:rPr>
          <w:snapToGrid/>
          <w:color w:val="000000" w:themeColor="text1"/>
          <w:szCs w:val="22"/>
        </w:rPr>
        <w:t xml:space="preserve">fair act” </w:t>
      </w:r>
      <w:r w:rsidR="00017CC0" w:rsidRPr="00863601">
        <w:rPr>
          <w:snapToGrid/>
          <w:color w:val="000000" w:themeColor="text1"/>
          <w:szCs w:val="22"/>
        </w:rPr>
        <w:t>prohibition</w:t>
      </w:r>
      <w:r w:rsidR="00D738FA" w:rsidRPr="00863601">
        <w:rPr>
          <w:snapToGrid/>
          <w:color w:val="000000" w:themeColor="text1"/>
          <w:szCs w:val="22"/>
        </w:rPr>
        <w:t>)</w:t>
      </w:r>
      <w:r w:rsidR="00D538CC" w:rsidRPr="00863601">
        <w:rPr>
          <w:color w:val="000000" w:themeColor="text1"/>
          <w:szCs w:val="22"/>
        </w:rPr>
        <w:t>;</w:t>
      </w:r>
      <w:r w:rsidR="00D738FA" w:rsidRPr="00863601">
        <w:rPr>
          <w:rStyle w:val="FootnoteReference"/>
          <w:color w:val="000000" w:themeColor="text1"/>
          <w:szCs w:val="22"/>
        </w:rPr>
        <w:footnoteReference w:id="110"/>
      </w:r>
      <w:r w:rsidR="00D538CC" w:rsidRPr="00863601">
        <w:rPr>
          <w:color w:val="000000" w:themeColor="text1"/>
          <w:szCs w:val="22"/>
        </w:rPr>
        <w:t xml:space="preserve"> (ii) </w:t>
      </w:r>
      <w:r w:rsidR="00D738FA" w:rsidRPr="00863601">
        <w:rPr>
          <w:color w:val="000000" w:themeColor="text1"/>
          <w:szCs w:val="22"/>
        </w:rPr>
        <w:t xml:space="preserve">prohibit a cable operator </w:t>
      </w:r>
      <w:r w:rsidRPr="00863601">
        <w:rPr>
          <w:snapToGrid/>
          <w:color w:val="000000" w:themeColor="text1"/>
          <w:szCs w:val="22"/>
        </w:rPr>
        <w:t>from unduly or improperly influencing the decision of its affiliated</w:t>
      </w:r>
      <w:r w:rsidR="00D738FA" w:rsidRPr="00863601">
        <w:rPr>
          <w:snapToGrid/>
          <w:color w:val="000000" w:themeColor="text1"/>
          <w:szCs w:val="22"/>
        </w:rPr>
        <w:t>,</w:t>
      </w:r>
      <w:r w:rsidRPr="00863601">
        <w:rPr>
          <w:snapToGrid/>
          <w:color w:val="000000" w:themeColor="text1"/>
          <w:szCs w:val="22"/>
        </w:rPr>
        <w:t xml:space="preserve"> satellite</w:t>
      </w:r>
      <w:r w:rsidR="00D738FA" w:rsidRPr="00863601">
        <w:rPr>
          <w:snapToGrid/>
          <w:color w:val="000000" w:themeColor="text1"/>
          <w:szCs w:val="22"/>
        </w:rPr>
        <w:t>-delivered programmer t</w:t>
      </w:r>
      <w:r w:rsidRPr="00863601">
        <w:rPr>
          <w:snapToGrid/>
          <w:color w:val="000000" w:themeColor="text1"/>
          <w:szCs w:val="22"/>
        </w:rPr>
        <w:t xml:space="preserve">o sell, or unduly or improperly influencing the </w:t>
      </w:r>
      <w:r w:rsidR="00D738FA" w:rsidRPr="00863601">
        <w:rPr>
          <w:snapToGrid/>
          <w:color w:val="000000" w:themeColor="text1"/>
          <w:szCs w:val="22"/>
        </w:rPr>
        <w:t>programmer</w:t>
      </w:r>
      <w:r w:rsidRPr="00863601">
        <w:rPr>
          <w:snapToGrid/>
          <w:color w:val="000000" w:themeColor="text1"/>
          <w:szCs w:val="22"/>
        </w:rPr>
        <w:t>’s prices, terms, and conditions for the sale of, satellite</w:t>
      </w:r>
      <w:r w:rsidR="00D738FA" w:rsidRPr="00863601">
        <w:rPr>
          <w:snapToGrid/>
          <w:color w:val="000000" w:themeColor="text1"/>
          <w:szCs w:val="22"/>
        </w:rPr>
        <w:t>-delivered</w:t>
      </w:r>
      <w:r w:rsidRPr="00863601">
        <w:rPr>
          <w:snapToGrid/>
          <w:color w:val="000000" w:themeColor="text1"/>
          <w:szCs w:val="22"/>
        </w:rPr>
        <w:t xml:space="preserve"> programming to any unaffiliated MVPD (the “undue or improper influence” rule);</w:t>
      </w:r>
      <w:r w:rsidRPr="00863601">
        <w:rPr>
          <w:snapToGrid/>
          <w:color w:val="000000" w:themeColor="text1"/>
          <w:szCs w:val="22"/>
          <w:vertAlign w:val="superscript"/>
        </w:rPr>
        <w:footnoteReference w:id="111"/>
      </w:r>
      <w:r w:rsidRPr="00863601">
        <w:rPr>
          <w:snapToGrid/>
          <w:color w:val="000000" w:themeColor="text1"/>
          <w:szCs w:val="22"/>
        </w:rPr>
        <w:t xml:space="preserve"> and (ii</w:t>
      </w:r>
      <w:r w:rsidR="001C1AB5" w:rsidRPr="00863601">
        <w:rPr>
          <w:snapToGrid/>
          <w:color w:val="000000" w:themeColor="text1"/>
          <w:szCs w:val="22"/>
        </w:rPr>
        <w:t>i</w:t>
      </w:r>
      <w:r w:rsidRPr="00863601">
        <w:rPr>
          <w:snapToGrid/>
          <w:color w:val="000000" w:themeColor="text1"/>
          <w:szCs w:val="22"/>
        </w:rPr>
        <w:t xml:space="preserve">) </w:t>
      </w:r>
      <w:r w:rsidR="00701F45" w:rsidRPr="00863601">
        <w:rPr>
          <w:snapToGrid/>
          <w:color w:val="000000" w:themeColor="text1"/>
          <w:szCs w:val="22"/>
        </w:rPr>
        <w:t xml:space="preserve">prohibit </w:t>
      </w:r>
      <w:r w:rsidRPr="00863601">
        <w:rPr>
          <w:snapToGrid/>
          <w:color w:val="000000" w:themeColor="text1"/>
          <w:szCs w:val="22"/>
        </w:rPr>
        <w:t>a cable-affiliated</w:t>
      </w:r>
      <w:r w:rsidR="00701F45" w:rsidRPr="00863601">
        <w:rPr>
          <w:snapToGrid/>
          <w:color w:val="000000" w:themeColor="text1"/>
          <w:szCs w:val="22"/>
        </w:rPr>
        <w:t>,</w:t>
      </w:r>
      <w:r w:rsidRPr="00863601">
        <w:rPr>
          <w:snapToGrid/>
          <w:color w:val="000000" w:themeColor="text1"/>
          <w:szCs w:val="22"/>
        </w:rPr>
        <w:t xml:space="preserve"> satellite</w:t>
      </w:r>
      <w:r w:rsidR="00701F45" w:rsidRPr="00863601">
        <w:rPr>
          <w:snapToGrid/>
          <w:color w:val="000000" w:themeColor="text1"/>
          <w:szCs w:val="22"/>
        </w:rPr>
        <w:t>-delivered programmer</w:t>
      </w:r>
      <w:r w:rsidRPr="00863601">
        <w:rPr>
          <w:snapToGrid/>
          <w:color w:val="000000" w:themeColor="text1"/>
          <w:szCs w:val="22"/>
        </w:rPr>
        <w:t xml:space="preserve"> from discriminating in the prices, terms, and conditions of sale or delivery of satellite</w:t>
      </w:r>
      <w:r w:rsidR="00701F45" w:rsidRPr="00863601">
        <w:rPr>
          <w:snapToGrid/>
          <w:color w:val="000000" w:themeColor="text1"/>
          <w:szCs w:val="22"/>
        </w:rPr>
        <w:t xml:space="preserve">-delivered </w:t>
      </w:r>
      <w:r w:rsidRPr="00863601">
        <w:rPr>
          <w:snapToGrid/>
          <w:color w:val="000000" w:themeColor="text1"/>
          <w:szCs w:val="22"/>
        </w:rPr>
        <w:t>programming among or between competing MVPDs (the “non-discrimination” rule)</w:t>
      </w:r>
      <w:r w:rsidR="00701F45" w:rsidRPr="00863601">
        <w:rPr>
          <w:snapToGrid/>
          <w:color w:val="000000" w:themeColor="text1"/>
          <w:szCs w:val="22"/>
        </w:rPr>
        <w:t>.</w:t>
      </w:r>
      <w:r w:rsidRPr="00863601">
        <w:rPr>
          <w:snapToGrid/>
          <w:color w:val="000000" w:themeColor="text1"/>
          <w:szCs w:val="22"/>
          <w:vertAlign w:val="superscript"/>
        </w:rPr>
        <w:footnoteReference w:id="112"/>
      </w:r>
      <w:r w:rsidR="00701F45" w:rsidRPr="00863601">
        <w:rPr>
          <w:snapToGrid/>
          <w:color w:val="000000" w:themeColor="text1"/>
          <w:szCs w:val="22"/>
        </w:rPr>
        <w:t xml:space="preserve">  </w:t>
      </w:r>
      <w:r w:rsidR="00B661C3" w:rsidRPr="00863601">
        <w:rPr>
          <w:color w:val="000000" w:themeColor="text1"/>
          <w:szCs w:val="22"/>
        </w:rPr>
        <w:t xml:space="preserve">To the extent that an MVPD believes that a cable-affiliated programmer </w:t>
      </w:r>
      <w:r w:rsidR="00701F45" w:rsidRPr="00863601">
        <w:rPr>
          <w:color w:val="000000" w:themeColor="text1"/>
          <w:szCs w:val="22"/>
        </w:rPr>
        <w:t xml:space="preserve">has violated </w:t>
      </w:r>
      <w:r w:rsidR="00B661C3" w:rsidRPr="00863601">
        <w:rPr>
          <w:color w:val="000000" w:themeColor="text1"/>
          <w:szCs w:val="22"/>
        </w:rPr>
        <w:t>these rules, it may file a complaint with the Commission.</w:t>
      </w:r>
      <w:r w:rsidR="00701F45" w:rsidRPr="00863601">
        <w:rPr>
          <w:rStyle w:val="FootnoteReference"/>
          <w:color w:val="000000" w:themeColor="text1"/>
          <w:szCs w:val="22"/>
        </w:rPr>
        <w:footnoteReference w:id="113"/>
      </w:r>
      <w:r w:rsidR="00B661C3" w:rsidRPr="00863601">
        <w:rPr>
          <w:color w:val="000000" w:themeColor="text1"/>
          <w:szCs w:val="22"/>
        </w:rPr>
        <w:t xml:space="preserve">  </w:t>
      </w:r>
    </w:p>
    <w:p w:rsidR="009B1522" w:rsidRPr="00863601" w:rsidRDefault="00472C1C" w:rsidP="005E5F79">
      <w:pPr>
        <w:pStyle w:val="ParaNum"/>
        <w:widowControl/>
        <w:rPr>
          <w:color w:val="000000" w:themeColor="text1"/>
          <w:szCs w:val="22"/>
        </w:rPr>
      </w:pPr>
      <w:r w:rsidRPr="00863601">
        <w:rPr>
          <w:color w:val="000000" w:themeColor="text1"/>
        </w:rPr>
        <w:t xml:space="preserve">If </w:t>
      </w:r>
      <w:r w:rsidR="000C6079" w:rsidRPr="00863601">
        <w:rPr>
          <w:color w:val="000000" w:themeColor="text1"/>
        </w:rPr>
        <w:t xml:space="preserve">the program access rules </w:t>
      </w:r>
      <w:r w:rsidRPr="00863601">
        <w:rPr>
          <w:color w:val="000000" w:themeColor="text1"/>
        </w:rPr>
        <w:t xml:space="preserve">were to apply, would </w:t>
      </w:r>
      <w:r w:rsidR="000C6079" w:rsidRPr="00863601">
        <w:rPr>
          <w:color w:val="000000" w:themeColor="text1"/>
          <w:szCs w:val="22"/>
        </w:rPr>
        <w:t xml:space="preserve">cable-affiliated programmers </w:t>
      </w:r>
      <w:r w:rsidRPr="00863601">
        <w:rPr>
          <w:color w:val="000000" w:themeColor="text1"/>
          <w:szCs w:val="22"/>
        </w:rPr>
        <w:t xml:space="preserve">be required </w:t>
      </w:r>
      <w:r w:rsidR="000C6079" w:rsidRPr="00863601">
        <w:rPr>
          <w:color w:val="000000" w:themeColor="text1"/>
          <w:szCs w:val="22"/>
        </w:rPr>
        <w:t xml:space="preserve">to negotiate with </w:t>
      </w:r>
      <w:r w:rsidR="007F74A6" w:rsidRPr="00863601">
        <w:rPr>
          <w:color w:val="000000" w:themeColor="text1"/>
          <w:szCs w:val="22"/>
        </w:rPr>
        <w:t xml:space="preserve">and license programming to potentially </w:t>
      </w:r>
      <w:r w:rsidR="000C6079" w:rsidRPr="00863601">
        <w:rPr>
          <w:color w:val="000000" w:themeColor="text1"/>
          <w:szCs w:val="22"/>
        </w:rPr>
        <w:t xml:space="preserve">large numbers of </w:t>
      </w:r>
      <w:r w:rsidR="000C6079" w:rsidRPr="00863601">
        <w:rPr>
          <w:color w:val="000000" w:themeColor="text1"/>
        </w:rPr>
        <w:t>Internet-based distributors</w:t>
      </w:r>
      <w:r w:rsidR="000C6079" w:rsidRPr="00863601">
        <w:rPr>
          <w:color w:val="000000" w:themeColor="text1"/>
          <w:szCs w:val="22"/>
        </w:rPr>
        <w:t>?</w:t>
      </w:r>
      <w:r w:rsidR="00C274B9" w:rsidRPr="00863601">
        <w:rPr>
          <w:rStyle w:val="FootnoteReference"/>
          <w:color w:val="000000" w:themeColor="text1"/>
          <w:szCs w:val="22"/>
        </w:rPr>
        <w:footnoteReference w:id="114"/>
      </w:r>
      <w:r w:rsidR="007F74A6" w:rsidRPr="00863601">
        <w:rPr>
          <w:color w:val="000000" w:themeColor="text1"/>
          <w:szCs w:val="22"/>
        </w:rPr>
        <w:t xml:space="preserve">  </w:t>
      </w:r>
      <w:r w:rsidR="00D12318" w:rsidRPr="00863601">
        <w:rPr>
          <w:color w:val="000000" w:themeColor="text1"/>
          <w:szCs w:val="22"/>
        </w:rPr>
        <w:t>How will this impact the value of cable-affiliated programming to traditional MVPDs</w:t>
      </w:r>
      <w:r w:rsidR="00804F83" w:rsidRPr="00863601">
        <w:rPr>
          <w:color w:val="000000" w:themeColor="text1"/>
          <w:szCs w:val="22"/>
        </w:rPr>
        <w:t>, especially as compared to non-cable-affiliated programming</w:t>
      </w:r>
      <w:r w:rsidR="00D12318" w:rsidRPr="00863601">
        <w:rPr>
          <w:color w:val="000000" w:themeColor="text1"/>
          <w:szCs w:val="22"/>
        </w:rPr>
        <w:t>?</w:t>
      </w:r>
      <w:r w:rsidR="00D12318" w:rsidRPr="00863601">
        <w:rPr>
          <w:rStyle w:val="FootnoteReference"/>
          <w:color w:val="000000" w:themeColor="text1"/>
          <w:szCs w:val="22"/>
        </w:rPr>
        <w:footnoteReference w:id="115"/>
      </w:r>
      <w:r w:rsidR="00D12318" w:rsidRPr="00863601">
        <w:rPr>
          <w:color w:val="000000" w:themeColor="text1"/>
          <w:szCs w:val="22"/>
        </w:rPr>
        <w:t xml:space="preserve">  </w:t>
      </w:r>
      <w:r w:rsidR="00201371" w:rsidRPr="00863601">
        <w:rPr>
          <w:color w:val="000000" w:themeColor="text1"/>
          <w:szCs w:val="22"/>
        </w:rPr>
        <w:t xml:space="preserve">To the extent that licensing programming to a particular Internet-based distributor presents </w:t>
      </w:r>
      <w:r w:rsidR="00DF2CD2" w:rsidRPr="00863601">
        <w:rPr>
          <w:color w:val="000000" w:themeColor="text1"/>
          <w:szCs w:val="22"/>
        </w:rPr>
        <w:t xml:space="preserve">reasonable concerns about </w:t>
      </w:r>
      <w:r w:rsidR="00201371" w:rsidRPr="00863601">
        <w:rPr>
          <w:color w:val="000000" w:themeColor="text1"/>
        </w:rPr>
        <w:t>signal security and piracy, do the program access rules adequately address this issue by recognizing th</w:t>
      </w:r>
      <w:r w:rsidR="00381FF5" w:rsidRPr="00863601">
        <w:rPr>
          <w:color w:val="000000" w:themeColor="text1"/>
        </w:rPr>
        <w:t xml:space="preserve">ese </w:t>
      </w:r>
      <w:r w:rsidR="00201371" w:rsidRPr="00863601">
        <w:rPr>
          <w:color w:val="000000" w:themeColor="text1"/>
        </w:rPr>
        <w:t xml:space="preserve">concerns as a legitimate </w:t>
      </w:r>
      <w:r w:rsidR="00DF2CD2" w:rsidRPr="00863601">
        <w:rPr>
          <w:color w:val="000000" w:themeColor="text1"/>
        </w:rPr>
        <w:t xml:space="preserve">reason for </w:t>
      </w:r>
      <w:r w:rsidR="00381FF5" w:rsidRPr="00863601">
        <w:rPr>
          <w:color w:val="000000" w:themeColor="text1"/>
          <w:szCs w:val="22"/>
        </w:rPr>
        <w:t xml:space="preserve">a cable-affiliated programmer to withhold programming from an </w:t>
      </w:r>
      <w:r w:rsidR="00201371" w:rsidRPr="00863601">
        <w:rPr>
          <w:color w:val="000000" w:themeColor="text1"/>
        </w:rPr>
        <w:t>MVPD?</w:t>
      </w:r>
      <w:r w:rsidR="00381FF5" w:rsidRPr="00863601">
        <w:rPr>
          <w:rStyle w:val="FootnoteReference"/>
          <w:color w:val="000000" w:themeColor="text1"/>
        </w:rPr>
        <w:footnoteReference w:id="116"/>
      </w:r>
      <w:r w:rsidR="00201371" w:rsidRPr="00863601">
        <w:rPr>
          <w:color w:val="000000" w:themeColor="text1"/>
        </w:rPr>
        <w:t xml:space="preserve">  </w:t>
      </w:r>
      <w:r w:rsidR="00B42CF1" w:rsidRPr="00863601">
        <w:rPr>
          <w:color w:val="000000" w:themeColor="text1"/>
          <w:szCs w:val="22"/>
        </w:rPr>
        <w:t xml:space="preserve">Would extending the reach of the program access rules have a positive effect for consumers?  </w:t>
      </w:r>
    </w:p>
    <w:p w:rsidR="009B1522" w:rsidRPr="00863601" w:rsidRDefault="00004236" w:rsidP="005E5F79">
      <w:pPr>
        <w:pStyle w:val="ParaNum"/>
        <w:widowControl/>
        <w:rPr>
          <w:color w:val="000000" w:themeColor="text1"/>
          <w:szCs w:val="22"/>
        </w:rPr>
      </w:pPr>
      <w:r w:rsidRPr="00863601">
        <w:rPr>
          <w:color w:val="000000" w:themeColor="text1"/>
        </w:rPr>
        <w:t xml:space="preserve">We also seek comment on whether and how </w:t>
      </w:r>
      <w:r w:rsidR="00BF1414" w:rsidRPr="00863601">
        <w:rPr>
          <w:color w:val="000000" w:themeColor="text1"/>
        </w:rPr>
        <w:t xml:space="preserve">our proposed rule and alternative interpretations would impact </w:t>
      </w:r>
      <w:r w:rsidRPr="00863601">
        <w:rPr>
          <w:color w:val="000000" w:themeColor="text1"/>
        </w:rPr>
        <w:t>competition in the video distribution market (bot</w:t>
      </w:r>
      <w:r w:rsidR="00BF1414" w:rsidRPr="00863601">
        <w:rPr>
          <w:color w:val="000000" w:themeColor="text1"/>
        </w:rPr>
        <w:t>h at present and in the future), specifically with respect to t</w:t>
      </w:r>
      <w:r w:rsidRPr="00863601">
        <w:rPr>
          <w:color w:val="000000" w:themeColor="text1"/>
        </w:rPr>
        <w:t>he program access</w:t>
      </w:r>
      <w:r w:rsidR="00CF3018" w:rsidRPr="00863601">
        <w:rPr>
          <w:color w:val="000000" w:themeColor="text1"/>
        </w:rPr>
        <w:t xml:space="preserve"> rules</w:t>
      </w:r>
      <w:r w:rsidRPr="00863601">
        <w:rPr>
          <w:color w:val="000000" w:themeColor="text1"/>
        </w:rPr>
        <w:t>.</w:t>
      </w:r>
      <w:r w:rsidRPr="00863601">
        <w:rPr>
          <w:rStyle w:val="FootnoteReference"/>
          <w:color w:val="000000" w:themeColor="text1"/>
        </w:rPr>
        <w:footnoteReference w:id="117"/>
      </w:r>
      <w:r w:rsidR="006E181D" w:rsidRPr="00863601">
        <w:rPr>
          <w:color w:val="000000" w:themeColor="text1"/>
        </w:rPr>
        <w:t xml:space="preserve">  </w:t>
      </w:r>
      <w:r w:rsidR="00EC3038" w:rsidRPr="00863601">
        <w:rPr>
          <w:color w:val="000000" w:themeColor="text1"/>
        </w:rPr>
        <w:t>A</w:t>
      </w:r>
      <w:r w:rsidR="00760A04" w:rsidRPr="00863601">
        <w:rPr>
          <w:color w:val="000000" w:themeColor="text1"/>
        </w:rPr>
        <w:t>mong other things, t</w:t>
      </w:r>
      <w:r w:rsidR="00760A04" w:rsidRPr="00863601">
        <w:rPr>
          <w:color w:val="000000" w:themeColor="text1"/>
          <w:szCs w:val="22"/>
        </w:rPr>
        <w:t>he program access rules are intended to prevent cable-affiliated programmers from discriminating among similarly situated MVPDs.</w:t>
      </w:r>
      <w:r w:rsidR="00760A04" w:rsidRPr="00863601">
        <w:rPr>
          <w:rStyle w:val="FootnoteReference"/>
          <w:color w:val="000000" w:themeColor="text1"/>
          <w:szCs w:val="22"/>
        </w:rPr>
        <w:footnoteReference w:id="118"/>
      </w:r>
      <w:r w:rsidR="00760A04" w:rsidRPr="00863601">
        <w:rPr>
          <w:color w:val="000000" w:themeColor="text1"/>
          <w:szCs w:val="22"/>
        </w:rPr>
        <w:t xml:space="preserve">  If </w:t>
      </w:r>
      <w:r w:rsidR="00EC3038" w:rsidRPr="00863601">
        <w:rPr>
          <w:color w:val="000000" w:themeColor="text1"/>
          <w:szCs w:val="22"/>
        </w:rPr>
        <w:t>Internet-based</w:t>
      </w:r>
      <w:r w:rsidR="00760A04" w:rsidRPr="00863601">
        <w:rPr>
          <w:color w:val="000000" w:themeColor="text1"/>
          <w:szCs w:val="22"/>
        </w:rPr>
        <w:t xml:space="preserve"> distributors of video programming are</w:t>
      </w:r>
      <w:r w:rsidR="00DB67C1" w:rsidRPr="00863601">
        <w:rPr>
          <w:color w:val="000000" w:themeColor="text1"/>
          <w:szCs w:val="22"/>
        </w:rPr>
        <w:t xml:space="preserve"> deemed</w:t>
      </w:r>
      <w:r w:rsidR="00760A04" w:rsidRPr="00863601">
        <w:rPr>
          <w:color w:val="000000" w:themeColor="text1"/>
          <w:szCs w:val="22"/>
        </w:rPr>
        <w:t xml:space="preserve"> not </w:t>
      </w:r>
      <w:r w:rsidR="00DB67C1" w:rsidRPr="00863601">
        <w:rPr>
          <w:color w:val="000000" w:themeColor="text1"/>
          <w:szCs w:val="22"/>
        </w:rPr>
        <w:t xml:space="preserve">to be </w:t>
      </w:r>
      <w:r w:rsidR="00760A04" w:rsidRPr="00863601">
        <w:rPr>
          <w:color w:val="000000" w:themeColor="text1"/>
          <w:szCs w:val="22"/>
        </w:rPr>
        <w:t>MVPDs because they do not make available transmission path</w:t>
      </w:r>
      <w:r w:rsidR="00EC3038" w:rsidRPr="00863601">
        <w:rPr>
          <w:color w:val="000000" w:themeColor="text1"/>
          <w:szCs w:val="22"/>
        </w:rPr>
        <w:t>s</w:t>
      </w:r>
      <w:r w:rsidR="008B0A9F" w:rsidRPr="00863601">
        <w:rPr>
          <w:color w:val="000000" w:themeColor="text1"/>
          <w:szCs w:val="22"/>
        </w:rPr>
        <w:t xml:space="preserve"> (and therefore </w:t>
      </w:r>
      <w:r w:rsidR="001469C5" w:rsidRPr="00863601">
        <w:rPr>
          <w:color w:val="000000" w:themeColor="text1"/>
          <w:szCs w:val="22"/>
        </w:rPr>
        <w:t>are</w:t>
      </w:r>
      <w:r w:rsidR="008B0A9F" w:rsidRPr="00863601">
        <w:rPr>
          <w:color w:val="000000" w:themeColor="text1"/>
          <w:szCs w:val="22"/>
        </w:rPr>
        <w:t xml:space="preserve"> ineligible for the benefits of the program access rules)</w:t>
      </w:r>
      <w:r w:rsidR="00760A04" w:rsidRPr="00863601">
        <w:rPr>
          <w:color w:val="000000" w:themeColor="text1"/>
          <w:szCs w:val="22"/>
        </w:rPr>
        <w:t>,</w:t>
      </w:r>
      <w:r w:rsidR="008B0A9F" w:rsidRPr="00863601">
        <w:rPr>
          <w:color w:val="000000" w:themeColor="text1"/>
          <w:szCs w:val="22"/>
        </w:rPr>
        <w:t xml:space="preserve"> </w:t>
      </w:r>
      <w:r w:rsidR="00472C1C" w:rsidRPr="00863601">
        <w:rPr>
          <w:color w:val="000000" w:themeColor="text1"/>
          <w:szCs w:val="22"/>
        </w:rPr>
        <w:t>would there be any regulatory or other constraint that</w:t>
      </w:r>
      <w:r w:rsidR="008B0A9F" w:rsidRPr="00863601">
        <w:rPr>
          <w:color w:val="000000" w:themeColor="text1"/>
          <w:szCs w:val="22"/>
        </w:rPr>
        <w:t xml:space="preserve"> </w:t>
      </w:r>
      <w:r w:rsidR="00760A04" w:rsidRPr="00863601">
        <w:rPr>
          <w:color w:val="000000" w:themeColor="text1"/>
          <w:szCs w:val="22"/>
        </w:rPr>
        <w:t>would prevent a cable-affiliated</w:t>
      </w:r>
      <w:r w:rsidR="008B0A9F" w:rsidRPr="00863601">
        <w:rPr>
          <w:color w:val="000000" w:themeColor="text1"/>
          <w:szCs w:val="22"/>
        </w:rPr>
        <w:t xml:space="preserve"> </w:t>
      </w:r>
      <w:r w:rsidR="00760A04" w:rsidRPr="00863601">
        <w:rPr>
          <w:color w:val="000000" w:themeColor="text1"/>
          <w:szCs w:val="22"/>
        </w:rPr>
        <w:t xml:space="preserve">programmer from making </w:t>
      </w:r>
      <w:r w:rsidR="00EC3038" w:rsidRPr="00863601">
        <w:rPr>
          <w:color w:val="000000" w:themeColor="text1"/>
          <w:szCs w:val="22"/>
        </w:rPr>
        <w:t>its affiliated programming</w:t>
      </w:r>
      <w:r w:rsidR="00760A04" w:rsidRPr="00863601">
        <w:rPr>
          <w:color w:val="000000" w:themeColor="text1"/>
          <w:szCs w:val="22"/>
        </w:rPr>
        <w:t xml:space="preserve"> available for online distribution to only certain </w:t>
      </w:r>
      <w:r w:rsidR="00EC3038" w:rsidRPr="00863601">
        <w:rPr>
          <w:color w:val="000000" w:themeColor="text1"/>
          <w:szCs w:val="22"/>
        </w:rPr>
        <w:t>Internet-based</w:t>
      </w:r>
      <w:r w:rsidR="00760A04" w:rsidRPr="00863601">
        <w:rPr>
          <w:color w:val="000000" w:themeColor="text1"/>
          <w:szCs w:val="22"/>
        </w:rPr>
        <w:t xml:space="preserve"> distributors of video programming, such as those owned by its affiliated cable operator</w:t>
      </w:r>
      <w:r w:rsidR="008B0A9F" w:rsidRPr="00863601">
        <w:rPr>
          <w:color w:val="000000" w:themeColor="text1"/>
          <w:szCs w:val="22"/>
        </w:rPr>
        <w:t>,</w:t>
      </w:r>
      <w:r w:rsidR="000C6079" w:rsidRPr="00863601">
        <w:rPr>
          <w:color w:val="000000" w:themeColor="text1"/>
          <w:szCs w:val="22"/>
        </w:rPr>
        <w:t xml:space="preserve"> but </w:t>
      </w:r>
      <w:r w:rsidR="00883B0C" w:rsidRPr="00863601">
        <w:rPr>
          <w:color w:val="000000" w:themeColor="text1"/>
          <w:szCs w:val="22"/>
        </w:rPr>
        <w:t xml:space="preserve">not </w:t>
      </w:r>
      <w:r w:rsidR="000C6079" w:rsidRPr="00863601">
        <w:rPr>
          <w:color w:val="000000" w:themeColor="text1"/>
          <w:szCs w:val="22"/>
        </w:rPr>
        <w:t>to those owned by other MVPDs</w:t>
      </w:r>
      <w:r w:rsidR="00760A04" w:rsidRPr="00863601">
        <w:rPr>
          <w:color w:val="000000" w:themeColor="text1"/>
          <w:szCs w:val="22"/>
        </w:rPr>
        <w:t>?</w:t>
      </w:r>
      <w:r w:rsidR="00DA2849" w:rsidRPr="00863601">
        <w:rPr>
          <w:rStyle w:val="FootnoteReference"/>
          <w:color w:val="000000" w:themeColor="text1"/>
          <w:szCs w:val="22"/>
        </w:rPr>
        <w:footnoteReference w:id="119"/>
      </w:r>
      <w:r w:rsidR="00760A04" w:rsidRPr="00863601">
        <w:rPr>
          <w:color w:val="000000" w:themeColor="text1"/>
          <w:szCs w:val="22"/>
        </w:rPr>
        <w:t xml:space="preserve">  In such a scenario, because the cable-affiliated programmer would not be differentiating among “MVPDs,” would </w:t>
      </w:r>
      <w:r w:rsidR="007E79D9" w:rsidRPr="00863601">
        <w:rPr>
          <w:color w:val="000000" w:themeColor="text1"/>
          <w:szCs w:val="22"/>
        </w:rPr>
        <w:t xml:space="preserve">different treatment </w:t>
      </w:r>
      <w:r w:rsidR="00760A04" w:rsidRPr="00863601">
        <w:rPr>
          <w:color w:val="000000" w:themeColor="text1"/>
          <w:szCs w:val="22"/>
        </w:rPr>
        <w:t>be permissible under the program access rules?</w:t>
      </w:r>
      <w:r w:rsidR="00EC3038" w:rsidRPr="00863601">
        <w:rPr>
          <w:color w:val="000000" w:themeColor="text1"/>
          <w:szCs w:val="22"/>
        </w:rPr>
        <w:t xml:space="preserve">  How </w:t>
      </w:r>
      <w:r w:rsidR="00DB67C1" w:rsidRPr="00863601">
        <w:rPr>
          <w:color w:val="000000" w:themeColor="text1"/>
          <w:szCs w:val="22"/>
        </w:rPr>
        <w:t xml:space="preserve">would </w:t>
      </w:r>
      <w:r w:rsidR="00EC3038" w:rsidRPr="00863601">
        <w:rPr>
          <w:color w:val="000000" w:themeColor="text1"/>
          <w:szCs w:val="22"/>
        </w:rPr>
        <w:t>this impact competition in the video distribution market?</w:t>
      </w:r>
      <w:r w:rsidR="001972DC" w:rsidRPr="00863601">
        <w:rPr>
          <w:color w:val="000000" w:themeColor="text1"/>
          <w:szCs w:val="22"/>
        </w:rPr>
        <w:t xml:space="preserve">  </w:t>
      </w:r>
      <w:r w:rsidR="005F0E3C" w:rsidRPr="00863601">
        <w:rPr>
          <w:color w:val="000000" w:themeColor="text1"/>
          <w:szCs w:val="22"/>
        </w:rPr>
        <w:t xml:space="preserve">Cablevision contends that </w:t>
      </w:r>
      <w:r w:rsidR="001972DC" w:rsidRPr="00863601">
        <w:rPr>
          <w:color w:val="000000" w:themeColor="text1"/>
          <w:szCs w:val="22"/>
        </w:rPr>
        <w:t xml:space="preserve">extending the program access rules to Internet-based distributors </w:t>
      </w:r>
      <w:r w:rsidR="0086054E" w:rsidRPr="00863601">
        <w:rPr>
          <w:color w:val="000000" w:themeColor="text1"/>
          <w:szCs w:val="22"/>
        </w:rPr>
        <w:t xml:space="preserve">would </w:t>
      </w:r>
      <w:r w:rsidR="001972DC" w:rsidRPr="00863601">
        <w:rPr>
          <w:color w:val="000000" w:themeColor="text1"/>
          <w:szCs w:val="22"/>
        </w:rPr>
        <w:t>give them too much flexibility compared to existing MVPD competitors</w:t>
      </w:r>
      <w:r w:rsidR="005F0E3C" w:rsidRPr="00863601">
        <w:rPr>
          <w:color w:val="000000" w:themeColor="text1"/>
          <w:szCs w:val="22"/>
        </w:rPr>
        <w:t>.</w:t>
      </w:r>
      <w:r w:rsidR="005F0E3C" w:rsidRPr="00863601">
        <w:rPr>
          <w:rStyle w:val="FootnoteReference"/>
          <w:color w:val="000000" w:themeColor="text1"/>
          <w:szCs w:val="22"/>
        </w:rPr>
        <w:footnoteReference w:id="120"/>
      </w:r>
      <w:r w:rsidR="005F0E3C" w:rsidRPr="00863601">
        <w:rPr>
          <w:color w:val="000000" w:themeColor="text1"/>
          <w:szCs w:val="22"/>
        </w:rPr>
        <w:t xml:space="preserve">  Is this a concern</w:t>
      </w:r>
      <w:r w:rsidR="00472C1C" w:rsidRPr="00863601">
        <w:rPr>
          <w:color w:val="000000" w:themeColor="text1"/>
          <w:szCs w:val="22"/>
        </w:rPr>
        <w:t xml:space="preserve"> that we should </w:t>
      </w:r>
      <w:r w:rsidR="00384972" w:rsidRPr="00863601">
        <w:rPr>
          <w:color w:val="000000" w:themeColor="text1"/>
          <w:szCs w:val="22"/>
        </w:rPr>
        <w:t>consider</w:t>
      </w:r>
      <w:r w:rsidR="005F0E3C" w:rsidRPr="00863601">
        <w:rPr>
          <w:color w:val="000000" w:themeColor="text1"/>
          <w:szCs w:val="22"/>
        </w:rPr>
        <w:t>, and if so, why?</w:t>
      </w:r>
      <w:r w:rsidR="00CA7DB1" w:rsidRPr="00863601">
        <w:rPr>
          <w:color w:val="000000" w:themeColor="text1"/>
          <w:szCs w:val="22"/>
        </w:rPr>
        <w:t xml:space="preserve">  We note that the Commission receives few program access complaints; should this affect our analysis?  </w:t>
      </w:r>
      <w:r w:rsidR="00F72592" w:rsidRPr="00863601">
        <w:rPr>
          <w:color w:val="000000" w:themeColor="text1"/>
          <w:szCs w:val="22"/>
        </w:rPr>
        <w:t xml:space="preserve">Or does </w:t>
      </w:r>
      <w:r w:rsidR="00CA7DB1" w:rsidRPr="00863601">
        <w:rPr>
          <w:color w:val="000000" w:themeColor="text1"/>
          <w:szCs w:val="22"/>
        </w:rPr>
        <w:t xml:space="preserve">it reflect that </w:t>
      </w:r>
      <w:r w:rsidR="00F72592" w:rsidRPr="00863601">
        <w:rPr>
          <w:color w:val="000000" w:themeColor="text1"/>
          <w:szCs w:val="22"/>
        </w:rPr>
        <w:t xml:space="preserve">programmers are following </w:t>
      </w:r>
      <w:r w:rsidR="00CA7DB1" w:rsidRPr="00863601">
        <w:rPr>
          <w:color w:val="000000" w:themeColor="text1"/>
          <w:szCs w:val="22"/>
        </w:rPr>
        <w:t xml:space="preserve">our program access rules </w:t>
      </w:r>
      <w:r w:rsidR="00F72592" w:rsidRPr="00863601">
        <w:rPr>
          <w:color w:val="000000" w:themeColor="text1"/>
          <w:szCs w:val="22"/>
        </w:rPr>
        <w:t>and they are working</w:t>
      </w:r>
      <w:r w:rsidR="00CA7DB1" w:rsidRPr="00863601">
        <w:rPr>
          <w:color w:val="000000" w:themeColor="text1"/>
          <w:szCs w:val="22"/>
        </w:rPr>
        <w:t>?</w:t>
      </w:r>
    </w:p>
    <w:p w:rsidR="00B661C3" w:rsidRPr="00863601" w:rsidRDefault="00B661C3" w:rsidP="005E5F79">
      <w:pPr>
        <w:pStyle w:val="Heading6"/>
        <w:widowControl/>
        <w:rPr>
          <w:color w:val="000000" w:themeColor="text1"/>
        </w:rPr>
      </w:pPr>
      <w:bookmarkStart w:id="271" w:name="_Toc343164333"/>
      <w:bookmarkStart w:id="272" w:name="_Toc343169009"/>
      <w:bookmarkStart w:id="273" w:name="_Toc343875923"/>
      <w:bookmarkStart w:id="274" w:name="_Toc345939776"/>
      <w:bookmarkStart w:id="275" w:name="_Toc345939987"/>
      <w:bookmarkStart w:id="276" w:name="_Toc346192554"/>
      <w:bookmarkStart w:id="277" w:name="_Toc346192631"/>
      <w:bookmarkStart w:id="278" w:name="_Toc347491018"/>
      <w:bookmarkStart w:id="279" w:name="_Toc349751919"/>
      <w:r w:rsidRPr="00863601">
        <w:rPr>
          <w:color w:val="000000" w:themeColor="text1"/>
        </w:rPr>
        <w:t>Retransmission Consent</w:t>
      </w:r>
      <w:bookmarkEnd w:id="271"/>
      <w:bookmarkEnd w:id="272"/>
      <w:bookmarkEnd w:id="273"/>
      <w:bookmarkEnd w:id="274"/>
      <w:bookmarkEnd w:id="275"/>
      <w:bookmarkEnd w:id="276"/>
      <w:bookmarkEnd w:id="277"/>
      <w:bookmarkEnd w:id="278"/>
      <w:bookmarkEnd w:id="279"/>
    </w:p>
    <w:p w:rsidR="0078296C" w:rsidRPr="00863601" w:rsidRDefault="007227EF" w:rsidP="005E5F79">
      <w:pPr>
        <w:pStyle w:val="ParaNum"/>
        <w:widowControl/>
        <w:rPr>
          <w:color w:val="000000" w:themeColor="text1"/>
          <w:szCs w:val="22"/>
        </w:rPr>
      </w:pPr>
      <w:r w:rsidRPr="00863601">
        <w:rPr>
          <w:snapToGrid/>
          <w:color w:val="000000" w:themeColor="text1"/>
          <w:szCs w:val="22"/>
        </w:rPr>
        <w:t>Section 325</w:t>
      </w:r>
      <w:r w:rsidR="00481270" w:rsidRPr="00863601">
        <w:rPr>
          <w:snapToGrid/>
          <w:color w:val="000000" w:themeColor="text1"/>
          <w:szCs w:val="22"/>
        </w:rPr>
        <w:t>(b)</w:t>
      </w:r>
      <w:r w:rsidRPr="00863601">
        <w:rPr>
          <w:snapToGrid/>
          <w:color w:val="000000" w:themeColor="text1"/>
          <w:szCs w:val="22"/>
        </w:rPr>
        <w:t xml:space="preserve"> of the Act benefits MVPDs by requiring broadcasters to negotiate in good faith with MVPDs for retransmission consent</w:t>
      </w:r>
      <w:r w:rsidRPr="00863601">
        <w:rPr>
          <w:rStyle w:val="FootnoteReference"/>
          <w:snapToGrid/>
          <w:color w:val="000000" w:themeColor="text1"/>
          <w:szCs w:val="22"/>
        </w:rPr>
        <w:footnoteReference w:id="121"/>
      </w:r>
      <w:r w:rsidR="007951F6" w:rsidRPr="00863601">
        <w:rPr>
          <w:snapToGrid/>
          <w:color w:val="000000" w:themeColor="text1"/>
          <w:szCs w:val="22"/>
        </w:rPr>
        <w:t xml:space="preserve"> and prohibit</w:t>
      </w:r>
      <w:r w:rsidR="0078296C" w:rsidRPr="00863601">
        <w:rPr>
          <w:snapToGrid/>
          <w:color w:val="000000" w:themeColor="text1"/>
          <w:szCs w:val="22"/>
        </w:rPr>
        <w:t>ing</w:t>
      </w:r>
      <w:r w:rsidR="007951F6" w:rsidRPr="00863601">
        <w:rPr>
          <w:snapToGrid/>
          <w:color w:val="000000" w:themeColor="text1"/>
          <w:szCs w:val="22"/>
        </w:rPr>
        <w:t xml:space="preserve"> broadcasters from negotiating exclusive retransmission consent agreements with any MVPD.</w:t>
      </w:r>
      <w:r w:rsidR="007951F6" w:rsidRPr="00863601">
        <w:rPr>
          <w:rStyle w:val="FootnoteReference"/>
          <w:snapToGrid/>
          <w:color w:val="000000" w:themeColor="text1"/>
          <w:szCs w:val="22"/>
        </w:rPr>
        <w:footnoteReference w:id="122"/>
      </w:r>
      <w:r w:rsidR="007951F6" w:rsidRPr="00863601">
        <w:rPr>
          <w:snapToGrid/>
          <w:color w:val="000000" w:themeColor="text1"/>
          <w:szCs w:val="22"/>
        </w:rPr>
        <w:t xml:space="preserve">  </w:t>
      </w:r>
      <w:r w:rsidRPr="00863601">
        <w:rPr>
          <w:snapToGrid/>
          <w:color w:val="000000" w:themeColor="text1"/>
          <w:szCs w:val="22"/>
        </w:rPr>
        <w:t>Absent these provisions, broadcaster</w:t>
      </w:r>
      <w:r w:rsidR="0078296C" w:rsidRPr="00863601">
        <w:rPr>
          <w:snapToGrid/>
          <w:color w:val="000000" w:themeColor="text1"/>
          <w:szCs w:val="22"/>
        </w:rPr>
        <w:t xml:space="preserve">s could potentially </w:t>
      </w:r>
      <w:r w:rsidRPr="00863601">
        <w:rPr>
          <w:snapToGrid/>
          <w:color w:val="000000" w:themeColor="text1"/>
          <w:szCs w:val="22"/>
        </w:rPr>
        <w:t>refuse to negotiate with and</w:t>
      </w:r>
      <w:r w:rsidR="00D20AF7" w:rsidRPr="00863601">
        <w:rPr>
          <w:snapToGrid/>
          <w:color w:val="000000" w:themeColor="text1"/>
          <w:szCs w:val="22"/>
        </w:rPr>
        <w:t xml:space="preserve"> thereby </w:t>
      </w:r>
      <w:r w:rsidRPr="00863601">
        <w:rPr>
          <w:snapToGrid/>
          <w:color w:val="000000" w:themeColor="text1"/>
          <w:szCs w:val="22"/>
        </w:rPr>
        <w:t xml:space="preserve">withhold </w:t>
      </w:r>
      <w:r w:rsidR="0078296C" w:rsidRPr="00863601">
        <w:rPr>
          <w:snapToGrid/>
          <w:color w:val="000000" w:themeColor="text1"/>
          <w:szCs w:val="22"/>
        </w:rPr>
        <w:t>their</w:t>
      </w:r>
      <w:r w:rsidRPr="00863601">
        <w:rPr>
          <w:snapToGrid/>
          <w:color w:val="000000" w:themeColor="text1"/>
          <w:szCs w:val="22"/>
        </w:rPr>
        <w:t xml:space="preserve"> signals from MVPDs that wish to carry these signals.</w:t>
      </w:r>
      <w:r w:rsidR="00D20AF7" w:rsidRPr="00863601">
        <w:rPr>
          <w:rStyle w:val="FootnoteReference"/>
          <w:snapToGrid/>
          <w:color w:val="000000" w:themeColor="text1"/>
          <w:szCs w:val="22"/>
        </w:rPr>
        <w:footnoteReference w:id="123"/>
      </w:r>
      <w:r w:rsidR="00DD3C82" w:rsidRPr="00863601">
        <w:rPr>
          <w:snapToGrid/>
          <w:color w:val="000000" w:themeColor="text1"/>
          <w:szCs w:val="22"/>
        </w:rPr>
        <w:t xml:space="preserve">  </w:t>
      </w:r>
      <w:r w:rsidR="0078296C" w:rsidRPr="00863601">
        <w:rPr>
          <w:color w:val="000000" w:themeColor="text1"/>
          <w:szCs w:val="22"/>
        </w:rPr>
        <w:t>To the extent that an MVPD believes that a broadcaster has violated these provisions, it may file a complaint with the Commission.</w:t>
      </w:r>
      <w:r w:rsidR="0078296C" w:rsidRPr="00863601">
        <w:rPr>
          <w:rStyle w:val="FootnoteReference"/>
          <w:color w:val="000000" w:themeColor="text1"/>
          <w:szCs w:val="22"/>
        </w:rPr>
        <w:footnoteReference w:id="124"/>
      </w:r>
    </w:p>
    <w:p w:rsidR="00B661C3" w:rsidRPr="00863601" w:rsidRDefault="00F828CC" w:rsidP="005E5F79">
      <w:pPr>
        <w:pStyle w:val="ParaNum"/>
        <w:widowControl/>
        <w:rPr>
          <w:color w:val="000000" w:themeColor="text1"/>
          <w:szCs w:val="22"/>
        </w:rPr>
      </w:pPr>
      <w:r w:rsidRPr="00863601">
        <w:rPr>
          <w:snapToGrid/>
          <w:color w:val="000000" w:themeColor="text1"/>
          <w:kern w:val="0"/>
        </w:rPr>
        <w:t>We seek comment on the</w:t>
      </w:r>
      <w:r w:rsidR="007227EF" w:rsidRPr="00863601">
        <w:rPr>
          <w:color w:val="000000" w:themeColor="text1"/>
        </w:rPr>
        <w:t xml:space="preserve"> impact </w:t>
      </w:r>
      <w:r w:rsidRPr="00863601">
        <w:rPr>
          <w:color w:val="000000" w:themeColor="text1"/>
        </w:rPr>
        <w:t xml:space="preserve">that our proposed interpretation of the definition of MVPD and alternative interpretations </w:t>
      </w:r>
      <w:r w:rsidR="00C013FC" w:rsidRPr="00863601">
        <w:rPr>
          <w:color w:val="000000" w:themeColor="text1"/>
        </w:rPr>
        <w:t xml:space="preserve">would </w:t>
      </w:r>
      <w:r w:rsidR="007227EF" w:rsidRPr="00863601">
        <w:rPr>
          <w:color w:val="000000" w:themeColor="text1"/>
        </w:rPr>
        <w:t>have on</w:t>
      </w:r>
      <w:r w:rsidR="00AC3191" w:rsidRPr="00863601">
        <w:rPr>
          <w:color w:val="000000" w:themeColor="text1"/>
        </w:rPr>
        <w:t xml:space="preserve"> the</w:t>
      </w:r>
      <w:r w:rsidR="007227EF" w:rsidRPr="00863601">
        <w:rPr>
          <w:color w:val="000000" w:themeColor="text1"/>
        </w:rPr>
        <w:t xml:space="preserve"> retransmission consent </w:t>
      </w:r>
      <w:r w:rsidR="00AC3191" w:rsidRPr="00863601">
        <w:rPr>
          <w:color w:val="000000" w:themeColor="text1"/>
        </w:rPr>
        <w:t>process</w:t>
      </w:r>
      <w:r w:rsidR="00C013FC" w:rsidRPr="00863601">
        <w:rPr>
          <w:color w:val="000000" w:themeColor="text1"/>
        </w:rPr>
        <w:t>.</w:t>
      </w:r>
      <w:r w:rsidR="00C013FC" w:rsidRPr="00863601">
        <w:rPr>
          <w:rStyle w:val="FootnoteReference"/>
          <w:color w:val="000000" w:themeColor="text1"/>
        </w:rPr>
        <w:footnoteReference w:id="125"/>
      </w:r>
      <w:r w:rsidR="00EF291D" w:rsidRPr="00863601">
        <w:rPr>
          <w:color w:val="000000" w:themeColor="text1"/>
        </w:rPr>
        <w:t xml:space="preserve"> </w:t>
      </w:r>
      <w:r w:rsidR="00C013FC" w:rsidRPr="00863601">
        <w:rPr>
          <w:color w:val="000000" w:themeColor="text1"/>
        </w:rPr>
        <w:t xml:space="preserve"> </w:t>
      </w:r>
      <w:r w:rsidR="00EE6BCC" w:rsidRPr="00863601">
        <w:rPr>
          <w:color w:val="000000" w:themeColor="text1"/>
        </w:rPr>
        <w:t xml:space="preserve">Under our proposal, would </w:t>
      </w:r>
      <w:r w:rsidR="007227EF" w:rsidRPr="00863601">
        <w:rPr>
          <w:color w:val="000000" w:themeColor="text1"/>
        </w:rPr>
        <w:t xml:space="preserve">the </w:t>
      </w:r>
      <w:r w:rsidR="00DD3C82" w:rsidRPr="00863601">
        <w:rPr>
          <w:color w:val="000000" w:themeColor="text1"/>
        </w:rPr>
        <w:t xml:space="preserve">retransmission consent </w:t>
      </w:r>
      <w:r w:rsidR="007227EF" w:rsidRPr="00863601">
        <w:rPr>
          <w:color w:val="000000" w:themeColor="text1"/>
        </w:rPr>
        <w:t xml:space="preserve">rules force </w:t>
      </w:r>
      <w:r w:rsidR="00DD3C82" w:rsidRPr="00863601">
        <w:rPr>
          <w:color w:val="000000" w:themeColor="text1"/>
        </w:rPr>
        <w:t xml:space="preserve">broadcasters </w:t>
      </w:r>
      <w:r w:rsidR="007227EF" w:rsidRPr="00863601">
        <w:rPr>
          <w:color w:val="000000" w:themeColor="text1"/>
          <w:szCs w:val="22"/>
        </w:rPr>
        <w:t xml:space="preserve">to negotiate with and license </w:t>
      </w:r>
      <w:r w:rsidR="0078296C" w:rsidRPr="00863601">
        <w:rPr>
          <w:color w:val="000000" w:themeColor="text1"/>
          <w:szCs w:val="22"/>
        </w:rPr>
        <w:t xml:space="preserve">their signals </w:t>
      </w:r>
      <w:r w:rsidR="007227EF" w:rsidRPr="00863601">
        <w:rPr>
          <w:color w:val="000000" w:themeColor="text1"/>
          <w:szCs w:val="22"/>
        </w:rPr>
        <w:t xml:space="preserve">to potentially large numbers of </w:t>
      </w:r>
      <w:r w:rsidR="007227EF" w:rsidRPr="00863601">
        <w:rPr>
          <w:color w:val="000000" w:themeColor="text1"/>
        </w:rPr>
        <w:t>Internet-based distributors</w:t>
      </w:r>
      <w:r w:rsidR="007227EF" w:rsidRPr="00863601">
        <w:rPr>
          <w:color w:val="000000" w:themeColor="text1"/>
          <w:szCs w:val="22"/>
        </w:rPr>
        <w:t>?</w:t>
      </w:r>
      <w:r w:rsidR="007227EF" w:rsidRPr="00863601">
        <w:rPr>
          <w:rStyle w:val="FootnoteReference"/>
          <w:color w:val="000000" w:themeColor="text1"/>
          <w:szCs w:val="22"/>
        </w:rPr>
        <w:footnoteReference w:id="126"/>
      </w:r>
      <w:r w:rsidR="007227EF" w:rsidRPr="00863601">
        <w:rPr>
          <w:color w:val="000000" w:themeColor="text1"/>
          <w:szCs w:val="22"/>
        </w:rPr>
        <w:t xml:space="preserve">  </w:t>
      </w:r>
      <w:r w:rsidR="00DD3C82" w:rsidRPr="00863601">
        <w:rPr>
          <w:color w:val="000000" w:themeColor="text1"/>
          <w:szCs w:val="22"/>
        </w:rPr>
        <w:t>W</w:t>
      </w:r>
      <w:r w:rsidR="007227EF" w:rsidRPr="00863601">
        <w:rPr>
          <w:color w:val="000000" w:themeColor="text1"/>
        </w:rPr>
        <w:t xml:space="preserve">e seek comment </w:t>
      </w:r>
      <w:r w:rsidR="00D04D7C" w:rsidRPr="00863601">
        <w:rPr>
          <w:color w:val="000000" w:themeColor="text1"/>
        </w:rPr>
        <w:t xml:space="preserve">also </w:t>
      </w:r>
      <w:r w:rsidR="007227EF" w:rsidRPr="00863601">
        <w:rPr>
          <w:color w:val="000000" w:themeColor="text1"/>
        </w:rPr>
        <w:t xml:space="preserve">on whether and how competition in the video distribution market (both at present and in the future) would be impacted if Internet-based distributors of video programming are not considered MVPDs and therefore are not able to </w:t>
      </w:r>
      <w:r w:rsidR="00DD3C82" w:rsidRPr="00863601">
        <w:rPr>
          <w:color w:val="000000" w:themeColor="text1"/>
        </w:rPr>
        <w:t>benefit from the retransmission consent rules</w:t>
      </w:r>
      <w:r w:rsidR="007227EF" w:rsidRPr="00863601">
        <w:rPr>
          <w:color w:val="000000" w:themeColor="text1"/>
        </w:rPr>
        <w:t>.</w:t>
      </w:r>
      <w:r w:rsidR="007227EF" w:rsidRPr="00863601">
        <w:rPr>
          <w:rStyle w:val="FootnoteReference"/>
          <w:color w:val="000000" w:themeColor="text1"/>
        </w:rPr>
        <w:footnoteReference w:id="127"/>
      </w:r>
      <w:r w:rsidR="007227EF" w:rsidRPr="00863601">
        <w:rPr>
          <w:color w:val="000000" w:themeColor="text1"/>
        </w:rPr>
        <w:t xml:space="preserve">  </w:t>
      </w:r>
      <w:r w:rsidR="007227EF" w:rsidRPr="00863601">
        <w:rPr>
          <w:snapToGrid/>
          <w:color w:val="000000" w:themeColor="text1"/>
          <w:szCs w:val="22"/>
        </w:rPr>
        <w:t xml:space="preserve">   </w:t>
      </w:r>
    </w:p>
    <w:p w:rsidR="00DC5749" w:rsidRPr="00863601" w:rsidRDefault="00741D0B" w:rsidP="005E5F79">
      <w:pPr>
        <w:pStyle w:val="ParaNum"/>
        <w:widowControl/>
        <w:rPr>
          <w:color w:val="000000" w:themeColor="text1"/>
        </w:rPr>
      </w:pPr>
      <w:r w:rsidRPr="00863601">
        <w:rPr>
          <w:color w:val="000000" w:themeColor="text1"/>
          <w:szCs w:val="22"/>
        </w:rPr>
        <w:t xml:space="preserve">Section 325(b)(1)(A) of the Act provides that “no cable system or other </w:t>
      </w:r>
      <w:r w:rsidRPr="00863601">
        <w:rPr>
          <w:i/>
          <w:color w:val="000000" w:themeColor="text1"/>
          <w:szCs w:val="22"/>
        </w:rPr>
        <w:t>multichannel video programming distributor</w:t>
      </w:r>
      <w:r w:rsidR="001175E5" w:rsidRPr="00863601">
        <w:rPr>
          <w:color w:val="000000" w:themeColor="text1"/>
          <w:szCs w:val="22"/>
        </w:rPr>
        <w:t>” shall</w:t>
      </w:r>
      <w:r w:rsidRPr="00863601">
        <w:rPr>
          <w:color w:val="000000" w:themeColor="text1"/>
          <w:szCs w:val="22"/>
        </w:rPr>
        <w:t xml:space="preserve"> retransmit a broadcast signal without the broadcaster’s consent.</w:t>
      </w:r>
      <w:r w:rsidRPr="00863601">
        <w:rPr>
          <w:rStyle w:val="FootnoteReference"/>
          <w:color w:val="000000" w:themeColor="text1"/>
          <w:szCs w:val="22"/>
        </w:rPr>
        <w:footnoteReference w:id="128"/>
      </w:r>
      <w:r w:rsidRPr="00863601">
        <w:rPr>
          <w:color w:val="000000" w:themeColor="text1"/>
          <w:szCs w:val="22"/>
        </w:rPr>
        <w:t xml:space="preserve">  </w:t>
      </w:r>
      <w:r w:rsidR="000B27E5" w:rsidRPr="00863601">
        <w:rPr>
          <w:color w:val="000000" w:themeColor="text1"/>
          <w:szCs w:val="22"/>
        </w:rPr>
        <w:t xml:space="preserve">But </w:t>
      </w:r>
      <w:r w:rsidRPr="00863601">
        <w:rPr>
          <w:color w:val="000000" w:themeColor="text1"/>
          <w:szCs w:val="22"/>
        </w:rPr>
        <w:t xml:space="preserve">an entity wishing to retransmit </w:t>
      </w:r>
      <w:r w:rsidR="006B1086" w:rsidRPr="00863601">
        <w:rPr>
          <w:color w:val="000000" w:themeColor="text1"/>
        </w:rPr>
        <w:t>a broadcast signal</w:t>
      </w:r>
      <w:r w:rsidR="000B2C23">
        <w:rPr>
          <w:color w:val="000000" w:themeColor="text1"/>
        </w:rPr>
        <w:t xml:space="preserve"> also</w:t>
      </w:r>
      <w:r w:rsidR="006B1086" w:rsidRPr="00863601">
        <w:rPr>
          <w:color w:val="000000" w:themeColor="text1"/>
        </w:rPr>
        <w:t xml:space="preserve"> must obtain authorization to publicly perform the copyrighted works within the broadcast signal.</w:t>
      </w:r>
      <w:r w:rsidR="00B90A6A" w:rsidRPr="00863601">
        <w:rPr>
          <w:rStyle w:val="FootnoteReference"/>
          <w:color w:val="000000" w:themeColor="text1"/>
        </w:rPr>
        <w:footnoteReference w:id="129"/>
      </w:r>
      <w:r w:rsidR="006B1086" w:rsidRPr="00863601">
        <w:rPr>
          <w:color w:val="000000" w:themeColor="text1"/>
        </w:rPr>
        <w:t xml:space="preserve">  </w:t>
      </w:r>
      <w:r w:rsidR="008E378D" w:rsidRPr="00863601">
        <w:rPr>
          <w:color w:val="000000" w:themeColor="text1"/>
          <w:szCs w:val="22"/>
        </w:rPr>
        <w:t xml:space="preserve">If </w:t>
      </w:r>
      <w:r w:rsidR="000B2C23">
        <w:rPr>
          <w:color w:val="000000" w:themeColor="text1"/>
          <w:szCs w:val="22"/>
        </w:rPr>
        <w:t xml:space="preserve">we adopt the Linear Programming Interpretation and </w:t>
      </w:r>
      <w:r w:rsidR="008E378D" w:rsidRPr="00863601">
        <w:rPr>
          <w:color w:val="000000" w:themeColor="text1"/>
          <w:szCs w:val="22"/>
        </w:rPr>
        <w:t>th</w:t>
      </w:r>
      <w:r w:rsidR="009B25F8" w:rsidRPr="00863601">
        <w:rPr>
          <w:color w:val="000000" w:themeColor="text1"/>
          <w:szCs w:val="22"/>
        </w:rPr>
        <w:t xml:space="preserve">e </w:t>
      </w:r>
      <w:r w:rsidR="00DC16F0" w:rsidRPr="00863601">
        <w:rPr>
          <w:color w:val="000000" w:themeColor="text1"/>
          <w:szCs w:val="22"/>
        </w:rPr>
        <w:t xml:space="preserve">Copyright Office does not afford statutory licenses to Internet-based </w:t>
      </w:r>
      <w:r w:rsidR="000B2C23">
        <w:rPr>
          <w:color w:val="000000" w:themeColor="text1"/>
          <w:szCs w:val="22"/>
        </w:rPr>
        <w:t xml:space="preserve">video </w:t>
      </w:r>
      <w:r w:rsidR="00DC16F0" w:rsidRPr="00863601">
        <w:rPr>
          <w:color w:val="000000" w:themeColor="text1"/>
          <w:szCs w:val="22"/>
        </w:rPr>
        <w:t>providers</w:t>
      </w:r>
      <w:r w:rsidR="000B2C23" w:rsidRPr="00863601">
        <w:rPr>
          <w:color w:val="000000" w:themeColor="text1"/>
          <w:szCs w:val="22"/>
        </w:rPr>
        <w:t xml:space="preserve">, </w:t>
      </w:r>
      <w:r w:rsidR="000B2C23">
        <w:rPr>
          <w:color w:val="000000" w:themeColor="text1"/>
          <w:szCs w:val="22"/>
        </w:rPr>
        <w:t>how would we construe a broadcaster’s obligation to negotiate in good faith?  What effect should the answer to that question have on our policy analysis</w:t>
      </w:r>
      <w:r w:rsidR="00582FD2" w:rsidRPr="00863601">
        <w:rPr>
          <w:color w:val="000000" w:themeColor="text1"/>
          <w:szCs w:val="22"/>
        </w:rPr>
        <w:t>?</w:t>
      </w:r>
      <w:r w:rsidR="00DC16F0" w:rsidRPr="00863601">
        <w:rPr>
          <w:rStyle w:val="FootnoteReference"/>
          <w:color w:val="000000" w:themeColor="text1"/>
          <w:szCs w:val="22"/>
        </w:rPr>
        <w:footnoteReference w:id="130"/>
      </w:r>
    </w:p>
    <w:p w:rsidR="00B661C3" w:rsidRPr="00863601" w:rsidRDefault="00B661C3" w:rsidP="005E5F79">
      <w:pPr>
        <w:pStyle w:val="Heading5"/>
        <w:widowControl/>
        <w:rPr>
          <w:color w:val="000000" w:themeColor="text1"/>
        </w:rPr>
      </w:pPr>
      <w:bookmarkStart w:id="281" w:name="_Toc343164334"/>
      <w:bookmarkStart w:id="282" w:name="_Toc343169010"/>
      <w:bookmarkStart w:id="283" w:name="_Toc343875924"/>
      <w:bookmarkStart w:id="284" w:name="_Toc345939777"/>
      <w:bookmarkStart w:id="285" w:name="_Toc345939988"/>
      <w:bookmarkStart w:id="286" w:name="_Toc346121521"/>
      <w:bookmarkStart w:id="287" w:name="_Toc346192555"/>
      <w:bookmarkStart w:id="288" w:name="_Toc346192632"/>
      <w:bookmarkStart w:id="289" w:name="_Toc347491019"/>
      <w:bookmarkStart w:id="290" w:name="_Toc349751920"/>
      <w:bookmarkStart w:id="291" w:name="_Toc395187295"/>
      <w:bookmarkStart w:id="292" w:name="_Toc398540296"/>
      <w:bookmarkStart w:id="293" w:name="_Toc398565518"/>
      <w:bookmarkStart w:id="294" w:name="_Toc398624353"/>
      <w:bookmarkStart w:id="295" w:name="_Toc398746610"/>
      <w:bookmarkStart w:id="296" w:name="_Toc399148314"/>
      <w:bookmarkStart w:id="297" w:name="_Toc399260532"/>
      <w:bookmarkStart w:id="298" w:name="_Toc399316549"/>
      <w:bookmarkStart w:id="299" w:name="_Toc401241707"/>
      <w:bookmarkStart w:id="300" w:name="_Toc401259710"/>
      <w:bookmarkStart w:id="301" w:name="_Toc401312834"/>
      <w:bookmarkStart w:id="302" w:name="_Toc401850541"/>
      <w:bookmarkStart w:id="303" w:name="_Toc402169639"/>
      <w:bookmarkStart w:id="304" w:name="_Toc405301023"/>
      <w:bookmarkStart w:id="305" w:name="_Toc405884727"/>
      <w:bookmarkStart w:id="306" w:name="_Toc406609217"/>
      <w:r w:rsidRPr="00863601">
        <w:rPr>
          <w:color w:val="000000" w:themeColor="text1"/>
        </w:rPr>
        <w:t>Obligations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14554" w:rsidRPr="00863601" w:rsidRDefault="009F5E37" w:rsidP="005E5F79">
      <w:pPr>
        <w:pStyle w:val="ParaNum"/>
        <w:widowControl/>
        <w:rPr>
          <w:color w:val="000000" w:themeColor="text1"/>
        </w:rPr>
      </w:pPr>
      <w:r w:rsidRPr="00863601">
        <w:rPr>
          <w:color w:val="000000" w:themeColor="text1"/>
          <w:szCs w:val="22"/>
        </w:rPr>
        <w:t xml:space="preserve">Below, we seek comment on specific obligations </w:t>
      </w:r>
      <w:r w:rsidR="004D2D4C" w:rsidRPr="00863601">
        <w:rPr>
          <w:color w:val="000000" w:themeColor="text1"/>
          <w:szCs w:val="22"/>
        </w:rPr>
        <w:t>imposed on</w:t>
      </w:r>
      <w:r w:rsidRPr="00863601">
        <w:rPr>
          <w:color w:val="000000" w:themeColor="text1"/>
          <w:szCs w:val="22"/>
        </w:rPr>
        <w:t xml:space="preserve"> MVPDs and how th</w:t>
      </w:r>
      <w:r w:rsidR="004D2D4C" w:rsidRPr="00863601">
        <w:rPr>
          <w:color w:val="000000" w:themeColor="text1"/>
          <w:szCs w:val="22"/>
        </w:rPr>
        <w:t>ose obligations</w:t>
      </w:r>
      <w:r w:rsidRPr="00863601">
        <w:rPr>
          <w:color w:val="000000" w:themeColor="text1"/>
          <w:szCs w:val="22"/>
        </w:rPr>
        <w:t xml:space="preserve"> would apply to Internet-based distributors of video programming.  How costly would it be for Internet-based distributors of video programming to comply with these regulations?  </w:t>
      </w:r>
      <w:r w:rsidR="00BF4845" w:rsidRPr="00863601">
        <w:rPr>
          <w:color w:val="000000" w:themeColor="text1"/>
          <w:szCs w:val="22"/>
        </w:rPr>
        <w:t>Would</w:t>
      </w:r>
      <w:r w:rsidR="00B14554" w:rsidRPr="00863601">
        <w:rPr>
          <w:color w:val="000000" w:themeColor="text1"/>
          <w:szCs w:val="22"/>
        </w:rPr>
        <w:t xml:space="preserve"> the public be harmed if these obligations did not extend to Internet-based distributors of video programming</w:t>
      </w:r>
      <w:r w:rsidR="00BF4845" w:rsidRPr="00863601">
        <w:rPr>
          <w:color w:val="000000" w:themeColor="text1"/>
          <w:szCs w:val="22"/>
        </w:rPr>
        <w:t xml:space="preserve"> and such distribution became prevalent</w:t>
      </w:r>
      <w:r w:rsidR="00B14554" w:rsidRPr="00863601">
        <w:rPr>
          <w:color w:val="000000" w:themeColor="text1"/>
          <w:szCs w:val="22"/>
        </w:rPr>
        <w:t>?</w:t>
      </w:r>
    </w:p>
    <w:p w:rsidR="009F5E37" w:rsidRPr="00863601" w:rsidRDefault="009F5E37" w:rsidP="005E5F79">
      <w:pPr>
        <w:pStyle w:val="ParaNum"/>
        <w:widowControl/>
        <w:rPr>
          <w:color w:val="000000" w:themeColor="text1"/>
        </w:rPr>
      </w:pPr>
      <w:r w:rsidRPr="00863601">
        <w:rPr>
          <w:color w:val="000000" w:themeColor="text1"/>
          <w:szCs w:val="22"/>
        </w:rPr>
        <w:t xml:space="preserve">The interpretation of MVPD that we ultimately adopt in this proceeding may subject certain Internet-based distributors of video programming to Commission regulation that are </w:t>
      </w:r>
      <w:r w:rsidR="00895A1D" w:rsidRPr="00863601">
        <w:rPr>
          <w:color w:val="000000" w:themeColor="text1"/>
          <w:szCs w:val="22"/>
        </w:rPr>
        <w:t xml:space="preserve">not </w:t>
      </w:r>
      <w:r w:rsidRPr="00863601">
        <w:rPr>
          <w:color w:val="000000" w:themeColor="text1"/>
          <w:szCs w:val="22"/>
        </w:rPr>
        <w:t xml:space="preserve">currently </w:t>
      </w:r>
      <w:r w:rsidR="003F1EBA" w:rsidRPr="00863601">
        <w:rPr>
          <w:color w:val="000000" w:themeColor="text1"/>
          <w:szCs w:val="22"/>
        </w:rPr>
        <w:t xml:space="preserve">subject to </w:t>
      </w:r>
      <w:r w:rsidR="00E50FE4" w:rsidRPr="00863601">
        <w:rPr>
          <w:color w:val="000000" w:themeColor="text1"/>
          <w:szCs w:val="22"/>
        </w:rPr>
        <w:t>such regulation</w:t>
      </w:r>
      <w:r w:rsidRPr="00863601">
        <w:rPr>
          <w:color w:val="000000" w:themeColor="text1"/>
          <w:szCs w:val="22"/>
        </w:rPr>
        <w:t xml:space="preserve">.  </w:t>
      </w:r>
      <w:r w:rsidR="00895A1D" w:rsidRPr="00863601">
        <w:rPr>
          <w:color w:val="000000" w:themeColor="text1"/>
          <w:szCs w:val="22"/>
        </w:rPr>
        <w:t xml:space="preserve">What </w:t>
      </w:r>
      <w:r w:rsidRPr="00863601">
        <w:rPr>
          <w:color w:val="000000" w:themeColor="text1"/>
          <w:szCs w:val="22"/>
        </w:rPr>
        <w:t xml:space="preserve">transition period </w:t>
      </w:r>
      <w:r w:rsidR="00895A1D" w:rsidRPr="00863601">
        <w:rPr>
          <w:color w:val="000000" w:themeColor="text1"/>
          <w:szCs w:val="22"/>
        </w:rPr>
        <w:t>should we</w:t>
      </w:r>
      <w:r w:rsidRPr="00863601">
        <w:rPr>
          <w:color w:val="000000" w:themeColor="text1"/>
          <w:szCs w:val="22"/>
        </w:rPr>
        <w:t xml:space="preserve"> allow these entities to come into compliance with </w:t>
      </w:r>
      <w:r w:rsidR="00895A1D" w:rsidRPr="00863601">
        <w:rPr>
          <w:color w:val="000000" w:themeColor="text1"/>
          <w:szCs w:val="22"/>
        </w:rPr>
        <w:t>each of the relevant</w:t>
      </w:r>
      <w:r w:rsidRPr="00863601">
        <w:rPr>
          <w:color w:val="000000" w:themeColor="text1"/>
          <w:szCs w:val="22"/>
        </w:rPr>
        <w:t xml:space="preserve"> rules? </w:t>
      </w:r>
    </w:p>
    <w:p w:rsidR="00B661C3" w:rsidRPr="00863601" w:rsidRDefault="00664DE8" w:rsidP="005E5F79">
      <w:pPr>
        <w:pStyle w:val="Heading6"/>
        <w:widowControl/>
        <w:rPr>
          <w:color w:val="000000" w:themeColor="text1"/>
          <w:lang w:eastAsia="ar-SA"/>
        </w:rPr>
      </w:pPr>
      <w:bookmarkStart w:id="307" w:name="_Toc343164335"/>
      <w:bookmarkStart w:id="308" w:name="_Toc343169011"/>
      <w:bookmarkStart w:id="309" w:name="_Toc343875925"/>
      <w:bookmarkStart w:id="310" w:name="_Toc345939778"/>
      <w:bookmarkStart w:id="311" w:name="_Toc345939989"/>
      <w:bookmarkStart w:id="312" w:name="_Toc346192556"/>
      <w:bookmarkStart w:id="313" w:name="_Toc346192633"/>
      <w:bookmarkStart w:id="314" w:name="_Toc347491020"/>
      <w:bookmarkStart w:id="315" w:name="_Toc349751921"/>
      <w:r w:rsidRPr="00863601">
        <w:rPr>
          <w:color w:val="000000" w:themeColor="text1"/>
          <w:lang w:eastAsia="ar-SA"/>
        </w:rPr>
        <w:t>P</w:t>
      </w:r>
      <w:r w:rsidR="005F349F" w:rsidRPr="00863601">
        <w:rPr>
          <w:color w:val="000000" w:themeColor="text1"/>
          <w:lang w:eastAsia="ar-SA"/>
        </w:rPr>
        <w:t>rogram C</w:t>
      </w:r>
      <w:r w:rsidR="00B661C3" w:rsidRPr="00863601">
        <w:rPr>
          <w:color w:val="000000" w:themeColor="text1"/>
          <w:lang w:eastAsia="ar-SA"/>
        </w:rPr>
        <w:t>arriage</w:t>
      </w:r>
      <w:bookmarkEnd w:id="307"/>
      <w:bookmarkEnd w:id="308"/>
      <w:bookmarkEnd w:id="309"/>
      <w:bookmarkEnd w:id="310"/>
      <w:bookmarkEnd w:id="311"/>
      <w:bookmarkEnd w:id="312"/>
      <w:bookmarkEnd w:id="313"/>
      <w:bookmarkEnd w:id="314"/>
      <w:bookmarkEnd w:id="315"/>
    </w:p>
    <w:p w:rsidR="009B1522" w:rsidRPr="00863601" w:rsidRDefault="00455388" w:rsidP="005E5F79">
      <w:pPr>
        <w:pStyle w:val="ParaNum"/>
        <w:widowControl/>
        <w:rPr>
          <w:color w:val="000000" w:themeColor="text1"/>
          <w:szCs w:val="22"/>
          <w:lang w:eastAsia="ar-SA"/>
        </w:rPr>
      </w:pPr>
      <w:r w:rsidRPr="00863601">
        <w:rPr>
          <w:color w:val="000000" w:themeColor="text1"/>
          <w:szCs w:val="22"/>
          <w:lang w:eastAsia="ar-SA"/>
        </w:rPr>
        <w:t xml:space="preserve">The program carriage rules prohibit MVPDs from </w:t>
      </w:r>
      <w:r w:rsidR="0011237E" w:rsidRPr="00863601">
        <w:rPr>
          <w:color w:val="000000" w:themeColor="text1"/>
          <w:szCs w:val="22"/>
        </w:rPr>
        <w:t>(i) requir</w:t>
      </w:r>
      <w:r w:rsidR="004A4052" w:rsidRPr="00863601">
        <w:rPr>
          <w:color w:val="000000" w:themeColor="text1"/>
          <w:szCs w:val="22"/>
        </w:rPr>
        <w:t xml:space="preserve">ing </w:t>
      </w:r>
      <w:r w:rsidR="0011237E" w:rsidRPr="00863601">
        <w:rPr>
          <w:color w:val="000000" w:themeColor="text1"/>
          <w:szCs w:val="22"/>
        </w:rPr>
        <w:t>a financial interest in a video programming vendor’s program service as a condition for carriage;</w:t>
      </w:r>
      <w:r w:rsidR="0011237E" w:rsidRPr="00863601">
        <w:rPr>
          <w:rStyle w:val="FootnoteReference"/>
          <w:color w:val="000000" w:themeColor="text1"/>
          <w:szCs w:val="22"/>
        </w:rPr>
        <w:footnoteReference w:id="131"/>
      </w:r>
      <w:r w:rsidR="0011237E" w:rsidRPr="00863601">
        <w:rPr>
          <w:color w:val="000000" w:themeColor="text1"/>
          <w:szCs w:val="22"/>
        </w:rPr>
        <w:t xml:space="preserve"> (ii) coerc</w:t>
      </w:r>
      <w:r w:rsidR="004A4052" w:rsidRPr="00863601">
        <w:rPr>
          <w:color w:val="000000" w:themeColor="text1"/>
          <w:szCs w:val="22"/>
        </w:rPr>
        <w:t xml:space="preserve">ing </w:t>
      </w:r>
      <w:r w:rsidR="0011237E" w:rsidRPr="00863601">
        <w:rPr>
          <w:color w:val="000000" w:themeColor="text1"/>
          <w:szCs w:val="22"/>
        </w:rPr>
        <w:t>a video programming vendor to provide, or retaliat</w:t>
      </w:r>
      <w:r w:rsidR="004A4052" w:rsidRPr="00863601">
        <w:rPr>
          <w:color w:val="000000" w:themeColor="text1"/>
          <w:szCs w:val="22"/>
        </w:rPr>
        <w:t xml:space="preserve">ing </w:t>
      </w:r>
      <w:r w:rsidR="0011237E" w:rsidRPr="00863601">
        <w:rPr>
          <w:color w:val="000000" w:themeColor="text1"/>
          <w:szCs w:val="22"/>
        </w:rPr>
        <w:t>against a vendor for failing to provide, exclusive rights as a condition of carriage;</w:t>
      </w:r>
      <w:r w:rsidR="0011237E" w:rsidRPr="00863601">
        <w:rPr>
          <w:rStyle w:val="FootnoteReference"/>
          <w:color w:val="000000" w:themeColor="text1"/>
          <w:szCs w:val="22"/>
        </w:rPr>
        <w:t xml:space="preserve"> </w:t>
      </w:r>
      <w:r w:rsidR="0011237E" w:rsidRPr="00863601">
        <w:rPr>
          <w:rStyle w:val="FootnoteReference"/>
          <w:color w:val="000000" w:themeColor="text1"/>
          <w:szCs w:val="22"/>
        </w:rPr>
        <w:footnoteReference w:id="132"/>
      </w:r>
      <w:r w:rsidR="0011237E" w:rsidRPr="00863601">
        <w:rPr>
          <w:color w:val="000000" w:themeColor="text1"/>
          <w:szCs w:val="22"/>
        </w:rPr>
        <w:t xml:space="preserve"> or (iii) unreasonably restrain</w:t>
      </w:r>
      <w:r w:rsidR="004A4052" w:rsidRPr="00863601">
        <w:rPr>
          <w:color w:val="000000" w:themeColor="text1"/>
          <w:szCs w:val="22"/>
        </w:rPr>
        <w:t xml:space="preserve">ing </w:t>
      </w:r>
      <w:r w:rsidR="0011237E" w:rsidRPr="00863601">
        <w:rPr>
          <w:color w:val="000000" w:themeColor="text1"/>
          <w:szCs w:val="22"/>
        </w:rPr>
        <w:t>the ability of an unaffiliated video programming vendor to compete fairly by discriminating in video programming distribution on the basis of affiliation or nonaffiliation of vendors in the selection, terms, or conditions for carriage.</w:t>
      </w:r>
      <w:r w:rsidR="0011237E" w:rsidRPr="00863601">
        <w:rPr>
          <w:rStyle w:val="FootnoteReference"/>
          <w:color w:val="000000" w:themeColor="text1"/>
          <w:szCs w:val="22"/>
        </w:rPr>
        <w:footnoteReference w:id="133"/>
      </w:r>
      <w:r w:rsidR="004A4052" w:rsidRPr="00863601">
        <w:rPr>
          <w:color w:val="000000" w:themeColor="text1"/>
          <w:szCs w:val="22"/>
        </w:rPr>
        <w:t xml:space="preserve">  </w:t>
      </w:r>
      <w:r w:rsidRPr="00863601">
        <w:rPr>
          <w:color w:val="000000" w:themeColor="text1"/>
          <w:szCs w:val="22"/>
        </w:rPr>
        <w:t>To the extent that a programm</w:t>
      </w:r>
      <w:r w:rsidR="004A4052" w:rsidRPr="00863601">
        <w:rPr>
          <w:color w:val="000000" w:themeColor="text1"/>
          <w:szCs w:val="22"/>
        </w:rPr>
        <w:t xml:space="preserve">ing vendor </w:t>
      </w:r>
      <w:r w:rsidRPr="00863601">
        <w:rPr>
          <w:color w:val="000000" w:themeColor="text1"/>
          <w:szCs w:val="22"/>
        </w:rPr>
        <w:t>believes that an MVPD is not in compliance with these rules, it may file a complaint with the Commission.</w:t>
      </w:r>
      <w:r w:rsidR="004A4052" w:rsidRPr="00863601">
        <w:rPr>
          <w:rStyle w:val="FootnoteReference"/>
          <w:color w:val="000000" w:themeColor="text1"/>
          <w:szCs w:val="22"/>
        </w:rPr>
        <w:footnoteReference w:id="134"/>
      </w:r>
      <w:r w:rsidRPr="00863601">
        <w:rPr>
          <w:color w:val="000000" w:themeColor="text1"/>
          <w:szCs w:val="22"/>
        </w:rPr>
        <w:t xml:space="preserve">  </w:t>
      </w:r>
    </w:p>
    <w:p w:rsidR="00B661C3" w:rsidRPr="00863601" w:rsidRDefault="00455388" w:rsidP="005E5F79">
      <w:pPr>
        <w:pStyle w:val="ParaNum"/>
        <w:widowControl/>
        <w:rPr>
          <w:color w:val="000000" w:themeColor="text1"/>
          <w:szCs w:val="22"/>
          <w:lang w:eastAsia="ar-SA"/>
        </w:rPr>
      </w:pPr>
      <w:r w:rsidRPr="00863601">
        <w:rPr>
          <w:color w:val="000000" w:themeColor="text1"/>
          <w:szCs w:val="22"/>
        </w:rPr>
        <w:t xml:space="preserve">What </w:t>
      </w:r>
      <w:r w:rsidR="002A05E7" w:rsidRPr="00863601">
        <w:rPr>
          <w:color w:val="000000" w:themeColor="text1"/>
          <w:szCs w:val="22"/>
        </w:rPr>
        <w:t xml:space="preserve">practical </w:t>
      </w:r>
      <w:r w:rsidRPr="00863601">
        <w:rPr>
          <w:color w:val="000000" w:themeColor="text1"/>
          <w:szCs w:val="22"/>
        </w:rPr>
        <w:t>impact</w:t>
      </w:r>
      <w:r w:rsidR="002A05E7" w:rsidRPr="00863601">
        <w:rPr>
          <w:color w:val="000000" w:themeColor="text1"/>
          <w:szCs w:val="22"/>
        </w:rPr>
        <w:t xml:space="preserve">, if any, </w:t>
      </w:r>
      <w:r w:rsidR="00ED6717" w:rsidRPr="00863601">
        <w:rPr>
          <w:color w:val="000000" w:themeColor="text1"/>
          <w:szCs w:val="22"/>
        </w:rPr>
        <w:t>would</w:t>
      </w:r>
      <w:r w:rsidR="002A05E7" w:rsidRPr="00863601">
        <w:rPr>
          <w:color w:val="000000" w:themeColor="text1"/>
          <w:szCs w:val="22"/>
        </w:rPr>
        <w:t xml:space="preserve"> </w:t>
      </w:r>
      <w:r w:rsidRPr="00863601">
        <w:rPr>
          <w:color w:val="000000" w:themeColor="text1"/>
          <w:szCs w:val="22"/>
        </w:rPr>
        <w:t>these rules have on Internet-based distributors of video programming?</w:t>
      </w:r>
      <w:r w:rsidR="006E181D" w:rsidRPr="00863601">
        <w:rPr>
          <w:rStyle w:val="FootnoteReference"/>
          <w:color w:val="000000" w:themeColor="text1"/>
          <w:szCs w:val="22"/>
        </w:rPr>
        <w:footnoteReference w:id="135"/>
      </w:r>
      <w:r w:rsidRPr="00863601">
        <w:rPr>
          <w:color w:val="000000" w:themeColor="text1"/>
          <w:szCs w:val="22"/>
        </w:rPr>
        <w:t xml:space="preserve">  </w:t>
      </w:r>
      <w:r w:rsidR="00513D76" w:rsidRPr="00863601">
        <w:rPr>
          <w:color w:val="000000" w:themeColor="text1"/>
          <w:szCs w:val="22"/>
        </w:rPr>
        <w:t xml:space="preserve">As we note above, large, established </w:t>
      </w:r>
      <w:r w:rsidR="00777D34" w:rsidRPr="00863601">
        <w:rPr>
          <w:color w:val="000000" w:themeColor="text1"/>
          <w:szCs w:val="22"/>
        </w:rPr>
        <w:t>cable operators, DBS providers, and technology companies</w:t>
      </w:r>
      <w:r w:rsidR="00513D76" w:rsidRPr="00863601">
        <w:rPr>
          <w:color w:val="000000" w:themeColor="text1"/>
          <w:szCs w:val="22"/>
        </w:rPr>
        <w:t xml:space="preserve"> have announced plans to launch</w:t>
      </w:r>
      <w:r w:rsidR="00777D34" w:rsidRPr="00863601">
        <w:rPr>
          <w:color w:val="000000" w:themeColor="text1"/>
          <w:szCs w:val="22"/>
        </w:rPr>
        <w:t xml:space="preserve"> Internet-based video programming</w:t>
      </w:r>
      <w:r w:rsidR="00513D76" w:rsidRPr="00863601">
        <w:rPr>
          <w:color w:val="000000" w:themeColor="text1"/>
          <w:szCs w:val="22"/>
        </w:rPr>
        <w:t xml:space="preserve"> services that would be MVPD</w:t>
      </w:r>
      <w:r w:rsidR="00777D34" w:rsidRPr="00863601">
        <w:rPr>
          <w:color w:val="000000" w:themeColor="text1"/>
          <w:szCs w:val="22"/>
        </w:rPr>
        <w:t xml:space="preserve"> service</w:t>
      </w:r>
      <w:r w:rsidR="00513D76" w:rsidRPr="00863601">
        <w:rPr>
          <w:color w:val="000000" w:themeColor="text1"/>
          <w:szCs w:val="22"/>
        </w:rPr>
        <w:t>s under the Linear Programming Interpretation.</w:t>
      </w:r>
      <w:r w:rsidR="00513D76" w:rsidRPr="00863601">
        <w:rPr>
          <w:rStyle w:val="FootnoteReference"/>
          <w:color w:val="000000" w:themeColor="text1"/>
          <w:szCs w:val="22"/>
        </w:rPr>
        <w:footnoteReference w:id="136"/>
      </w:r>
      <w:r w:rsidR="00513D76" w:rsidRPr="00863601">
        <w:rPr>
          <w:color w:val="000000" w:themeColor="text1"/>
          <w:szCs w:val="22"/>
        </w:rPr>
        <w:t xml:space="preserve">  </w:t>
      </w:r>
      <w:r w:rsidR="00777D34" w:rsidRPr="00863601">
        <w:rPr>
          <w:color w:val="000000" w:themeColor="text1"/>
          <w:szCs w:val="22"/>
          <w:lang w:eastAsia="ar-SA"/>
        </w:rPr>
        <w:t xml:space="preserve">If these companies follow through with these plans, absent application of the program carriage rules </w:t>
      </w:r>
      <w:r w:rsidR="003F1EBA" w:rsidRPr="00863601">
        <w:rPr>
          <w:color w:val="000000" w:themeColor="text1"/>
          <w:szCs w:val="22"/>
          <w:lang w:eastAsia="ar-SA"/>
        </w:rPr>
        <w:t xml:space="preserve">there may be no regulatory constraint preventing them from </w:t>
      </w:r>
      <w:r w:rsidR="002A05E7" w:rsidRPr="00863601">
        <w:rPr>
          <w:color w:val="000000" w:themeColor="text1"/>
          <w:szCs w:val="22"/>
          <w:lang w:eastAsia="ar-SA"/>
        </w:rPr>
        <w:t>demand</w:t>
      </w:r>
      <w:r w:rsidR="003F1EBA" w:rsidRPr="00863601">
        <w:rPr>
          <w:color w:val="000000" w:themeColor="text1"/>
          <w:szCs w:val="22"/>
          <w:lang w:eastAsia="ar-SA"/>
        </w:rPr>
        <w:t>ing</w:t>
      </w:r>
      <w:r w:rsidR="002A05E7" w:rsidRPr="00863601">
        <w:rPr>
          <w:color w:val="000000" w:themeColor="text1"/>
          <w:szCs w:val="22"/>
          <w:lang w:eastAsia="ar-SA"/>
        </w:rPr>
        <w:t xml:space="preserve"> </w:t>
      </w:r>
      <w:r w:rsidR="00E943ED" w:rsidRPr="00863601">
        <w:rPr>
          <w:color w:val="000000" w:themeColor="text1"/>
          <w:szCs w:val="22"/>
        </w:rPr>
        <w:t xml:space="preserve">a financial interest or exclusive rights </w:t>
      </w:r>
      <w:r w:rsidR="002A05E7" w:rsidRPr="00863601">
        <w:rPr>
          <w:color w:val="000000" w:themeColor="text1"/>
          <w:szCs w:val="22"/>
        </w:rPr>
        <w:t xml:space="preserve">from programmers </w:t>
      </w:r>
      <w:r w:rsidR="00E943ED" w:rsidRPr="00863601">
        <w:rPr>
          <w:color w:val="000000" w:themeColor="text1"/>
          <w:szCs w:val="22"/>
        </w:rPr>
        <w:t>as a condition for carriage</w:t>
      </w:r>
      <w:r w:rsidR="00513D76" w:rsidRPr="00863601">
        <w:rPr>
          <w:color w:val="000000" w:themeColor="text1"/>
          <w:szCs w:val="22"/>
        </w:rPr>
        <w:t>.</w:t>
      </w:r>
      <w:r w:rsidR="00E943ED" w:rsidRPr="00863601">
        <w:rPr>
          <w:rStyle w:val="FootnoteReference"/>
          <w:color w:val="000000" w:themeColor="text1"/>
          <w:szCs w:val="22"/>
        </w:rPr>
        <w:footnoteReference w:id="137"/>
      </w:r>
      <w:r w:rsidR="00E943ED" w:rsidRPr="00863601">
        <w:rPr>
          <w:color w:val="000000" w:themeColor="text1"/>
          <w:szCs w:val="22"/>
        </w:rPr>
        <w:t xml:space="preserve"> </w:t>
      </w:r>
      <w:r w:rsidR="00513D76" w:rsidRPr="00863601">
        <w:rPr>
          <w:color w:val="000000" w:themeColor="text1"/>
          <w:szCs w:val="22"/>
        </w:rPr>
        <w:t xml:space="preserve"> </w:t>
      </w:r>
      <w:r w:rsidR="00777D34" w:rsidRPr="00863601">
        <w:rPr>
          <w:color w:val="000000" w:themeColor="text1"/>
          <w:szCs w:val="22"/>
        </w:rPr>
        <w:t xml:space="preserve">Does this argue in favor of adopting an interpretation of MVPD that would </w:t>
      </w:r>
      <w:r w:rsidR="003F1EBA" w:rsidRPr="00863601">
        <w:rPr>
          <w:color w:val="000000" w:themeColor="text1"/>
          <w:szCs w:val="22"/>
        </w:rPr>
        <w:t xml:space="preserve">cover providers of </w:t>
      </w:r>
      <w:r w:rsidR="00777D34" w:rsidRPr="00863601">
        <w:rPr>
          <w:color w:val="000000" w:themeColor="text1"/>
          <w:szCs w:val="22"/>
        </w:rPr>
        <w:t xml:space="preserve">these services </w:t>
      </w:r>
      <w:r w:rsidR="003F1EBA" w:rsidRPr="00863601">
        <w:rPr>
          <w:color w:val="000000" w:themeColor="text1"/>
          <w:szCs w:val="22"/>
        </w:rPr>
        <w:t xml:space="preserve">under </w:t>
      </w:r>
      <w:r w:rsidR="00777D34" w:rsidRPr="00863601">
        <w:rPr>
          <w:color w:val="000000" w:themeColor="text1"/>
          <w:szCs w:val="22"/>
        </w:rPr>
        <w:t xml:space="preserve">the program carriage rules?  </w:t>
      </w:r>
      <w:r w:rsidR="00513D76" w:rsidRPr="00863601">
        <w:rPr>
          <w:color w:val="000000" w:themeColor="text1"/>
          <w:szCs w:val="22"/>
        </w:rPr>
        <w:t>Moreover, as more Internet-based distributors</w:t>
      </w:r>
      <w:r w:rsidRPr="00863601">
        <w:rPr>
          <w:color w:val="000000" w:themeColor="text1"/>
        </w:rPr>
        <w:t xml:space="preserve"> invest </w:t>
      </w:r>
      <w:r w:rsidR="006A5034" w:rsidRPr="00863601">
        <w:rPr>
          <w:color w:val="000000" w:themeColor="text1"/>
        </w:rPr>
        <w:t xml:space="preserve">in </w:t>
      </w:r>
      <w:r w:rsidRPr="00863601">
        <w:rPr>
          <w:color w:val="000000" w:themeColor="text1"/>
        </w:rPr>
        <w:t xml:space="preserve">their own programming, they may have an incentive to favor </w:t>
      </w:r>
      <w:r w:rsidR="005730BE" w:rsidRPr="00863601">
        <w:rPr>
          <w:color w:val="000000" w:themeColor="text1"/>
        </w:rPr>
        <w:t xml:space="preserve">their affiliated programming over unaffiliated </w:t>
      </w:r>
      <w:r w:rsidR="00E943ED" w:rsidRPr="00863601">
        <w:rPr>
          <w:color w:val="000000" w:themeColor="text1"/>
        </w:rPr>
        <w:t>programming</w:t>
      </w:r>
      <w:r w:rsidR="005730BE" w:rsidRPr="00863601">
        <w:rPr>
          <w:color w:val="000000" w:themeColor="text1"/>
        </w:rPr>
        <w:t xml:space="preserve"> on the basis of affiliation</w:t>
      </w:r>
      <w:r w:rsidR="00513D76" w:rsidRPr="00863601">
        <w:rPr>
          <w:color w:val="000000" w:themeColor="text1"/>
        </w:rPr>
        <w:t>.</w:t>
      </w:r>
      <w:r w:rsidR="00513D76" w:rsidRPr="00863601">
        <w:rPr>
          <w:rStyle w:val="FootnoteReference"/>
          <w:color w:val="000000" w:themeColor="text1"/>
        </w:rPr>
        <w:footnoteReference w:id="138"/>
      </w:r>
      <w:r w:rsidR="00513D76" w:rsidRPr="00863601">
        <w:rPr>
          <w:color w:val="000000" w:themeColor="text1"/>
        </w:rPr>
        <w:t xml:space="preserve">  </w:t>
      </w:r>
      <w:r w:rsidR="004025DF" w:rsidRPr="00863601">
        <w:rPr>
          <w:color w:val="000000" w:themeColor="text1"/>
        </w:rPr>
        <w:t xml:space="preserve">We seek comment on the effect that the alternative interpretations will have on </w:t>
      </w:r>
      <w:r w:rsidR="005730BE" w:rsidRPr="00863601">
        <w:rPr>
          <w:color w:val="000000" w:themeColor="text1"/>
        </w:rPr>
        <w:t>negotiations with programmers</w:t>
      </w:r>
      <w:r w:rsidR="007D54DA" w:rsidRPr="00863601">
        <w:rPr>
          <w:color w:val="000000" w:themeColor="text1"/>
        </w:rPr>
        <w:t xml:space="preserve"> </w:t>
      </w:r>
      <w:r w:rsidR="004025DF" w:rsidRPr="00863601">
        <w:rPr>
          <w:color w:val="000000" w:themeColor="text1"/>
        </w:rPr>
        <w:t>and Internet-based video programming services.</w:t>
      </w:r>
      <w:r w:rsidR="005730BE" w:rsidRPr="00863601">
        <w:rPr>
          <w:color w:val="000000" w:themeColor="text1"/>
        </w:rPr>
        <w:t xml:space="preserve">  </w:t>
      </w:r>
      <w:r w:rsidR="004025DF" w:rsidRPr="00863601">
        <w:rPr>
          <w:color w:val="000000" w:themeColor="text1"/>
        </w:rPr>
        <w:t xml:space="preserve">What are </w:t>
      </w:r>
      <w:r w:rsidR="00777D34" w:rsidRPr="00863601">
        <w:rPr>
          <w:color w:val="000000" w:themeColor="text1"/>
        </w:rPr>
        <w:t xml:space="preserve">the costs and benefits of </w:t>
      </w:r>
      <w:r w:rsidR="004025DF" w:rsidRPr="00863601">
        <w:rPr>
          <w:color w:val="000000" w:themeColor="text1"/>
        </w:rPr>
        <w:t xml:space="preserve">applying </w:t>
      </w:r>
      <w:r w:rsidR="00777D34" w:rsidRPr="00863601">
        <w:rPr>
          <w:color w:val="000000" w:themeColor="text1"/>
        </w:rPr>
        <w:t xml:space="preserve">the program carriage obligations </w:t>
      </w:r>
      <w:r w:rsidR="004025DF" w:rsidRPr="00863601">
        <w:rPr>
          <w:color w:val="000000" w:themeColor="text1"/>
        </w:rPr>
        <w:t>to Internet-based video programming services</w:t>
      </w:r>
      <w:r w:rsidR="00777D34" w:rsidRPr="00863601">
        <w:rPr>
          <w:color w:val="000000" w:themeColor="text1"/>
        </w:rPr>
        <w:t>?</w:t>
      </w:r>
    </w:p>
    <w:p w:rsidR="00B661C3" w:rsidRPr="00863601" w:rsidRDefault="00B661C3" w:rsidP="005E5F79">
      <w:pPr>
        <w:pStyle w:val="Heading6"/>
        <w:widowControl/>
        <w:rPr>
          <w:color w:val="000000" w:themeColor="text1"/>
          <w:lang w:eastAsia="ar-SA"/>
        </w:rPr>
      </w:pPr>
      <w:bookmarkStart w:id="316" w:name="_Toc343164337"/>
      <w:bookmarkStart w:id="317" w:name="_Toc343169013"/>
      <w:bookmarkStart w:id="318" w:name="_Toc343875927"/>
      <w:bookmarkStart w:id="319" w:name="_Toc345939780"/>
      <w:bookmarkStart w:id="320" w:name="_Toc345939991"/>
      <w:bookmarkStart w:id="321" w:name="_Toc346192558"/>
      <w:bookmarkStart w:id="322" w:name="_Toc346192635"/>
      <w:bookmarkStart w:id="323" w:name="_Toc347491022"/>
      <w:bookmarkStart w:id="324" w:name="_Toc349751923"/>
      <w:r w:rsidRPr="00863601">
        <w:rPr>
          <w:color w:val="000000" w:themeColor="text1"/>
          <w:lang w:eastAsia="ar-SA"/>
        </w:rPr>
        <w:t>Retransmission Consent</w:t>
      </w:r>
      <w:bookmarkEnd w:id="316"/>
      <w:bookmarkEnd w:id="317"/>
      <w:bookmarkEnd w:id="318"/>
      <w:bookmarkEnd w:id="319"/>
      <w:bookmarkEnd w:id="320"/>
      <w:bookmarkEnd w:id="321"/>
      <w:bookmarkEnd w:id="322"/>
      <w:bookmarkEnd w:id="323"/>
      <w:bookmarkEnd w:id="324"/>
    </w:p>
    <w:p w:rsidR="00371DF2" w:rsidRPr="00863601" w:rsidRDefault="00371DF2" w:rsidP="005E5F79">
      <w:pPr>
        <w:pStyle w:val="ParaNum"/>
        <w:widowControl/>
        <w:rPr>
          <w:color w:val="000000" w:themeColor="text1"/>
          <w:szCs w:val="22"/>
          <w:lang w:eastAsia="ar-SA"/>
        </w:rPr>
      </w:pPr>
      <w:r w:rsidRPr="00863601">
        <w:rPr>
          <w:color w:val="000000" w:themeColor="text1"/>
          <w:szCs w:val="22"/>
        </w:rPr>
        <w:t xml:space="preserve">As discussed above, Section 325(b)(1)(A) of the Act provides that “No cable system or other </w:t>
      </w:r>
      <w:r w:rsidRPr="00863601">
        <w:rPr>
          <w:i/>
          <w:color w:val="000000" w:themeColor="text1"/>
          <w:szCs w:val="22"/>
        </w:rPr>
        <w:t>multichannel video programming distributor</w:t>
      </w:r>
      <w:r w:rsidRPr="00863601">
        <w:rPr>
          <w:color w:val="000000" w:themeColor="text1"/>
          <w:szCs w:val="22"/>
        </w:rPr>
        <w:t xml:space="preserve"> shall retransmit the signal of a broadcasting station, or any part thereof, except— (A) with the express authority of the originating station . . . .”</w:t>
      </w:r>
      <w:r w:rsidRPr="00863601">
        <w:rPr>
          <w:rStyle w:val="FootnoteReference"/>
          <w:color w:val="000000" w:themeColor="text1"/>
          <w:szCs w:val="22"/>
        </w:rPr>
        <w:footnoteReference w:id="139"/>
      </w:r>
      <w:r w:rsidRPr="00863601">
        <w:rPr>
          <w:color w:val="000000" w:themeColor="text1"/>
          <w:szCs w:val="22"/>
        </w:rPr>
        <w:t xml:space="preserve">  Thus, to the extent that an Internet-based distributor of video programming qualifies as an MVPD, it must receive the consent of the broadcaster before retransmitting the broadcaster’s signal.  Moreover, </w:t>
      </w:r>
      <w:r w:rsidRPr="00863601">
        <w:rPr>
          <w:snapToGrid/>
          <w:color w:val="000000" w:themeColor="text1"/>
          <w:szCs w:val="22"/>
        </w:rPr>
        <w:t>Section 325(b) of the Act imposes an obligation on MVPDs to negotiate in good faith with broadcasters in obtaining retransmission consent.</w:t>
      </w:r>
      <w:r w:rsidRPr="00863601">
        <w:rPr>
          <w:rStyle w:val="FootnoteReference"/>
          <w:color w:val="000000" w:themeColor="text1"/>
          <w:szCs w:val="22"/>
        </w:rPr>
        <w:footnoteReference w:id="140"/>
      </w:r>
      <w:r w:rsidRPr="00863601">
        <w:rPr>
          <w:snapToGrid/>
          <w:color w:val="000000" w:themeColor="text1"/>
          <w:szCs w:val="22"/>
        </w:rPr>
        <w:t xml:space="preserve">  </w:t>
      </w:r>
      <w:r w:rsidRPr="00863601">
        <w:rPr>
          <w:color w:val="000000" w:themeColor="text1"/>
          <w:szCs w:val="22"/>
        </w:rPr>
        <w:t>If a broadcaster believes that an MVPD has violated these provisions, it may file a complaint with the Commission.</w:t>
      </w:r>
      <w:r w:rsidRPr="00863601">
        <w:rPr>
          <w:rStyle w:val="FootnoteReference"/>
          <w:color w:val="000000" w:themeColor="text1"/>
          <w:szCs w:val="22"/>
        </w:rPr>
        <w:footnoteReference w:id="141"/>
      </w:r>
      <w:r w:rsidRPr="00863601">
        <w:rPr>
          <w:color w:val="000000" w:themeColor="text1"/>
          <w:szCs w:val="22"/>
        </w:rPr>
        <w:t xml:space="preserve">  </w:t>
      </w:r>
    </w:p>
    <w:p w:rsidR="00A836AB" w:rsidRPr="00863601" w:rsidRDefault="00371DF2" w:rsidP="005E5F79">
      <w:pPr>
        <w:pStyle w:val="ParaNum"/>
        <w:widowControl/>
        <w:rPr>
          <w:color w:val="000000" w:themeColor="text1"/>
        </w:rPr>
      </w:pPr>
      <w:r w:rsidRPr="00863601">
        <w:rPr>
          <w:color w:val="000000" w:themeColor="text1"/>
          <w:szCs w:val="22"/>
        </w:rPr>
        <w:t xml:space="preserve">We seek comment above on how the retransmission consent rules can benefit MVPDs, as we propose to interpret that </w:t>
      </w:r>
      <w:r w:rsidR="00FD539E" w:rsidRPr="00863601">
        <w:rPr>
          <w:color w:val="000000" w:themeColor="text1"/>
          <w:szCs w:val="22"/>
        </w:rPr>
        <w:t>term</w:t>
      </w:r>
      <w:r w:rsidRPr="00863601">
        <w:rPr>
          <w:color w:val="000000" w:themeColor="text1"/>
          <w:szCs w:val="22"/>
        </w:rPr>
        <w:t xml:space="preserve">.  We now </w:t>
      </w:r>
      <w:r w:rsidRPr="00863601">
        <w:rPr>
          <w:snapToGrid/>
          <w:color w:val="000000" w:themeColor="text1"/>
          <w:kern w:val="0"/>
          <w:szCs w:val="22"/>
        </w:rPr>
        <w:t>seek comment on the practical impact the obligations of MVPDs under the retransmission consent rules would have on I</w:t>
      </w:r>
      <w:r w:rsidRPr="00863601">
        <w:rPr>
          <w:color w:val="000000" w:themeColor="text1"/>
          <w:szCs w:val="22"/>
        </w:rPr>
        <w:t xml:space="preserve">nternet-based distributors of video programming that qualify as MVPDs.  </w:t>
      </w:r>
      <w:r w:rsidR="00A836AB" w:rsidRPr="00863601">
        <w:rPr>
          <w:color w:val="000000" w:themeColor="text1"/>
          <w:szCs w:val="22"/>
        </w:rPr>
        <w:t xml:space="preserve">What impact will the obligation to negotiate in good faith with broadcasters have on the resources of </w:t>
      </w:r>
      <w:r w:rsidR="00A836AB" w:rsidRPr="00863601">
        <w:rPr>
          <w:snapToGrid/>
          <w:color w:val="000000" w:themeColor="text1"/>
          <w:kern w:val="0"/>
          <w:szCs w:val="22"/>
        </w:rPr>
        <w:t>I</w:t>
      </w:r>
      <w:r w:rsidR="00A836AB" w:rsidRPr="00863601">
        <w:rPr>
          <w:color w:val="000000" w:themeColor="text1"/>
          <w:szCs w:val="22"/>
        </w:rPr>
        <w:t xml:space="preserve">nternet-based distributors of video programming that qualify as MVPDs?  In particular, will </w:t>
      </w:r>
      <w:r w:rsidR="00A836AB" w:rsidRPr="00863601">
        <w:rPr>
          <w:snapToGrid/>
          <w:color w:val="000000" w:themeColor="text1"/>
          <w:kern w:val="0"/>
          <w:szCs w:val="22"/>
        </w:rPr>
        <w:t>I</w:t>
      </w:r>
      <w:r w:rsidR="00A836AB" w:rsidRPr="00863601">
        <w:rPr>
          <w:color w:val="000000" w:themeColor="text1"/>
          <w:szCs w:val="22"/>
        </w:rPr>
        <w:t xml:space="preserve">nternet-based distributors of video programming that operate on a nationwide basis have to engage in negotiations with thousands of broadcasters throughout the nation?  </w:t>
      </w:r>
    </w:p>
    <w:p w:rsidR="00371DF2" w:rsidRPr="00863601" w:rsidRDefault="00A836AB" w:rsidP="005E5F79">
      <w:pPr>
        <w:pStyle w:val="ParaNum"/>
        <w:widowControl/>
        <w:rPr>
          <w:color w:val="000000" w:themeColor="text1"/>
        </w:rPr>
      </w:pPr>
      <w:r w:rsidRPr="00863601">
        <w:rPr>
          <w:color w:val="000000" w:themeColor="text1"/>
          <w:szCs w:val="22"/>
        </w:rPr>
        <w:t xml:space="preserve">Are some </w:t>
      </w:r>
      <w:r w:rsidRPr="00863601">
        <w:rPr>
          <w:snapToGrid/>
          <w:color w:val="000000" w:themeColor="text1"/>
          <w:kern w:val="0"/>
          <w:szCs w:val="22"/>
        </w:rPr>
        <w:t>I</w:t>
      </w:r>
      <w:r w:rsidRPr="00863601">
        <w:rPr>
          <w:color w:val="000000" w:themeColor="text1"/>
          <w:szCs w:val="22"/>
        </w:rPr>
        <w:t>nternet-based distributors of video programming likely to prefer not to carry broadcast signals?  For example, to the extent that an Internet-based provider provides service nationwide it may prefer not to offer local content.  In that case, would the good faith negotiation requirements allow these distributors to simply reject all carriage terms offered by a broadcaster and to refrain from making any carriage offers of their own?  Or, would this conduct amount to a violation of the duty to negotiate in good faith?</w:t>
      </w:r>
      <w:r w:rsidRPr="00863601">
        <w:rPr>
          <w:rStyle w:val="FootnoteReference"/>
          <w:color w:val="000000" w:themeColor="text1"/>
          <w:szCs w:val="22"/>
        </w:rPr>
        <w:t xml:space="preserve"> </w:t>
      </w:r>
      <w:r w:rsidRPr="00863601">
        <w:rPr>
          <w:rStyle w:val="FootnoteReference"/>
          <w:color w:val="000000" w:themeColor="text1"/>
          <w:szCs w:val="22"/>
        </w:rPr>
        <w:footnoteReference w:id="142"/>
      </w:r>
      <w:r w:rsidRPr="00863601">
        <w:rPr>
          <w:color w:val="000000" w:themeColor="text1"/>
          <w:szCs w:val="22"/>
        </w:rPr>
        <w:t xml:space="preserve">  Would it matter whether the distributor declined to negotiate with any broadcast stations?  How will the answers to these questions impact the business models of </w:t>
      </w:r>
      <w:r w:rsidRPr="00863601">
        <w:rPr>
          <w:snapToGrid/>
          <w:color w:val="000000" w:themeColor="text1"/>
          <w:kern w:val="0"/>
          <w:szCs w:val="22"/>
        </w:rPr>
        <w:t>I</w:t>
      </w:r>
      <w:r w:rsidRPr="00863601">
        <w:rPr>
          <w:color w:val="000000" w:themeColor="text1"/>
          <w:szCs w:val="22"/>
        </w:rPr>
        <w:t xml:space="preserve">nternet-based distributors of video programming that qualify as MVPDs but would prefer not to carry broadcast signals?  </w:t>
      </w:r>
      <w:r w:rsidR="00371DF2" w:rsidRPr="00863601">
        <w:rPr>
          <w:color w:val="000000" w:themeColor="text1"/>
          <w:szCs w:val="22"/>
        </w:rPr>
        <w:t xml:space="preserve">Is it likely or possible that Internet-based distributors will want to carry broadcast </w:t>
      </w:r>
      <w:r w:rsidR="00371DF2" w:rsidRPr="00863601">
        <w:rPr>
          <w:i/>
          <w:color w:val="000000" w:themeColor="text1"/>
          <w:szCs w:val="22"/>
        </w:rPr>
        <w:t>network</w:t>
      </w:r>
      <w:r w:rsidR="00371DF2" w:rsidRPr="00863601">
        <w:rPr>
          <w:color w:val="000000" w:themeColor="text1"/>
          <w:szCs w:val="22"/>
        </w:rPr>
        <w:t xml:space="preserve"> programming, or to carry broadcast stations nationwide?  </w:t>
      </w:r>
      <w:r w:rsidR="00371DF2" w:rsidRPr="00863601">
        <w:rPr>
          <w:color w:val="000000" w:themeColor="text1"/>
        </w:rPr>
        <w:t xml:space="preserve">  </w:t>
      </w:r>
    </w:p>
    <w:p w:rsidR="00371DF2" w:rsidRPr="00E61E4D" w:rsidRDefault="005061B5" w:rsidP="005E5F79">
      <w:pPr>
        <w:pStyle w:val="ParaNum"/>
        <w:widowControl/>
        <w:rPr>
          <w:color w:val="000000" w:themeColor="text1"/>
        </w:rPr>
      </w:pPr>
      <w:r w:rsidRPr="00863601">
        <w:rPr>
          <w:color w:val="000000" w:themeColor="text1"/>
          <w:szCs w:val="22"/>
        </w:rPr>
        <w:t>How do network affiliation agreements impact the carriage of broadcast stations on Internet-based MVPDs?  Specifically, to what extent do existing network affiliation agreements limit or prohibit local network stations’ ability to grant retransmission consent rights to Internet-based MVPDs?</w:t>
      </w:r>
      <w:r w:rsidRPr="00863601">
        <w:rPr>
          <w:rStyle w:val="FootnoteReference"/>
          <w:color w:val="000000" w:themeColor="text1"/>
          <w:szCs w:val="22"/>
        </w:rPr>
        <w:footnoteReference w:id="143"/>
      </w:r>
      <w:r w:rsidRPr="00863601">
        <w:rPr>
          <w:color w:val="000000" w:themeColor="text1"/>
          <w:szCs w:val="22"/>
        </w:rPr>
        <w:t xml:space="preserve">  </w:t>
      </w:r>
      <w:r w:rsidR="000B2C23">
        <w:rPr>
          <w:color w:val="000000" w:themeColor="text1"/>
          <w:szCs w:val="22"/>
        </w:rPr>
        <w:t>Would limiting or prohibiting these provisions harm localism?</w:t>
      </w:r>
      <w:r w:rsidR="00E0115A" w:rsidRPr="00863601">
        <w:rPr>
          <w:color w:val="000000" w:themeColor="text1"/>
          <w:szCs w:val="22"/>
        </w:rPr>
        <w:t xml:space="preserve">  </w:t>
      </w:r>
    </w:p>
    <w:p w:rsidR="00E007C1" w:rsidRPr="00E61E4D" w:rsidRDefault="00C250B0" w:rsidP="007576CA">
      <w:pPr>
        <w:pStyle w:val="Heading6"/>
        <w:keepNext/>
        <w:widowControl/>
        <w:rPr>
          <w:color w:val="000000" w:themeColor="text1"/>
          <w:szCs w:val="22"/>
          <w:lang w:eastAsia="ar-SA"/>
        </w:rPr>
      </w:pPr>
      <w:bookmarkStart w:id="325" w:name="_Toc347491024"/>
      <w:bookmarkStart w:id="326" w:name="_Toc349751925"/>
      <w:bookmarkStart w:id="327" w:name="_Toc343164339"/>
      <w:bookmarkStart w:id="328" w:name="_Toc343169015"/>
      <w:bookmarkStart w:id="329" w:name="_Toc343875929"/>
      <w:bookmarkStart w:id="330" w:name="_Toc345939782"/>
      <w:bookmarkStart w:id="331" w:name="_Toc345939993"/>
      <w:bookmarkStart w:id="332" w:name="_Toc346192560"/>
      <w:bookmarkStart w:id="333" w:name="_Toc346192637"/>
      <w:r w:rsidRPr="00E61E4D">
        <w:rPr>
          <w:color w:val="000000" w:themeColor="text1"/>
          <w:szCs w:val="22"/>
          <w:lang w:eastAsia="ar-SA"/>
        </w:rPr>
        <w:t xml:space="preserve">Other </w:t>
      </w:r>
      <w:r w:rsidR="00243428" w:rsidRPr="00E61E4D">
        <w:rPr>
          <w:color w:val="000000" w:themeColor="text1"/>
          <w:szCs w:val="22"/>
          <w:lang w:eastAsia="ar-SA"/>
        </w:rPr>
        <w:t xml:space="preserve">MVPD </w:t>
      </w:r>
      <w:r w:rsidRPr="00E61E4D">
        <w:rPr>
          <w:color w:val="000000" w:themeColor="text1"/>
          <w:szCs w:val="22"/>
          <w:lang w:eastAsia="ar-SA"/>
        </w:rPr>
        <w:t>Obligations</w:t>
      </w:r>
      <w:bookmarkEnd w:id="325"/>
      <w:bookmarkEnd w:id="326"/>
      <w:r w:rsidR="00B661C3" w:rsidRPr="00E61E4D">
        <w:rPr>
          <w:color w:val="000000" w:themeColor="text1"/>
          <w:szCs w:val="22"/>
          <w:lang w:eastAsia="ar-SA"/>
        </w:rPr>
        <w:t xml:space="preserve"> </w:t>
      </w:r>
      <w:bookmarkEnd w:id="327"/>
      <w:bookmarkEnd w:id="328"/>
      <w:bookmarkEnd w:id="329"/>
      <w:bookmarkEnd w:id="330"/>
      <w:bookmarkEnd w:id="331"/>
      <w:bookmarkEnd w:id="332"/>
      <w:bookmarkEnd w:id="333"/>
    </w:p>
    <w:p w:rsidR="008E0C76" w:rsidRPr="00863601" w:rsidRDefault="00C250B0" w:rsidP="005E5F79">
      <w:pPr>
        <w:pStyle w:val="ParaNum"/>
        <w:widowControl/>
        <w:rPr>
          <w:color w:val="000000" w:themeColor="text1"/>
          <w:szCs w:val="22"/>
          <w:lang w:eastAsia="ar-SA"/>
        </w:rPr>
      </w:pPr>
      <w:r w:rsidRPr="00E61E4D">
        <w:rPr>
          <w:i/>
          <w:color w:val="000000" w:themeColor="text1"/>
          <w:szCs w:val="22"/>
          <w:lang w:eastAsia="ar-SA"/>
        </w:rPr>
        <w:t>Closed Captioning</w:t>
      </w:r>
      <w:r w:rsidRPr="00E61E4D">
        <w:rPr>
          <w:color w:val="000000" w:themeColor="text1"/>
          <w:szCs w:val="22"/>
          <w:lang w:eastAsia="ar-SA"/>
        </w:rPr>
        <w:t xml:space="preserve">.  </w:t>
      </w:r>
      <w:r w:rsidR="003F0920" w:rsidRPr="00E61E4D">
        <w:rPr>
          <w:color w:val="000000" w:themeColor="text1"/>
          <w:szCs w:val="22"/>
          <w:lang w:eastAsia="ar-SA"/>
        </w:rPr>
        <w:t>Section 79.1 of the Commission’s rules (the “television closed captioning rules”) requires MVPDs</w:t>
      </w:r>
      <w:r w:rsidR="003F0920" w:rsidRPr="00863601">
        <w:rPr>
          <w:rStyle w:val="FootnoteReference"/>
          <w:color w:val="000000" w:themeColor="text1"/>
          <w:szCs w:val="22"/>
          <w:lang w:eastAsia="ar-SA"/>
        </w:rPr>
        <w:footnoteReference w:id="144"/>
      </w:r>
      <w:r w:rsidR="003F0920" w:rsidRPr="00863601">
        <w:rPr>
          <w:color w:val="000000" w:themeColor="text1"/>
          <w:szCs w:val="22"/>
          <w:lang w:eastAsia="ar-SA"/>
        </w:rPr>
        <w:t xml:space="preserve"> to provide closed captioning, defined as the “</w:t>
      </w:r>
      <w:r w:rsidR="003F0920" w:rsidRPr="00863601">
        <w:rPr>
          <w:color w:val="000000" w:themeColor="text1"/>
          <w:szCs w:val="22"/>
        </w:rPr>
        <w:t>visual display of the audio portion of video programming pursuant to the technical specifications set forth in this part</w:t>
      </w:r>
      <w:r w:rsidR="003F0920" w:rsidRPr="00863601">
        <w:rPr>
          <w:snapToGrid/>
          <w:color w:val="000000" w:themeColor="text1"/>
          <w:szCs w:val="22"/>
        </w:rPr>
        <w:t>.”</w:t>
      </w:r>
      <w:r w:rsidR="003F0920" w:rsidRPr="00863601">
        <w:rPr>
          <w:rStyle w:val="FootnoteReference"/>
          <w:snapToGrid/>
          <w:color w:val="000000" w:themeColor="text1"/>
          <w:szCs w:val="22"/>
        </w:rPr>
        <w:footnoteReference w:id="145"/>
      </w:r>
      <w:r w:rsidR="0087316A" w:rsidRPr="00863601">
        <w:rPr>
          <w:snapToGrid/>
          <w:color w:val="000000" w:themeColor="text1"/>
          <w:szCs w:val="22"/>
        </w:rPr>
        <w:t xml:space="preserve">  Internet video services are not subject to these requirements.</w:t>
      </w:r>
      <w:r w:rsidR="0087316A" w:rsidRPr="00863601">
        <w:rPr>
          <w:rStyle w:val="FootnoteReference"/>
          <w:snapToGrid/>
          <w:color w:val="000000" w:themeColor="text1"/>
          <w:szCs w:val="22"/>
        </w:rPr>
        <w:footnoteReference w:id="146"/>
      </w:r>
      <w:r w:rsidR="0087316A" w:rsidRPr="00863601">
        <w:rPr>
          <w:snapToGrid/>
          <w:color w:val="000000" w:themeColor="text1"/>
          <w:szCs w:val="22"/>
        </w:rPr>
        <w:t xml:space="preserve">  </w:t>
      </w:r>
      <w:r w:rsidR="0017392B" w:rsidRPr="00863601">
        <w:rPr>
          <w:snapToGrid/>
          <w:color w:val="000000" w:themeColor="text1"/>
          <w:kern w:val="0"/>
          <w:szCs w:val="22"/>
        </w:rPr>
        <w:t>I</w:t>
      </w:r>
      <w:r w:rsidR="0017392B" w:rsidRPr="00863601">
        <w:rPr>
          <w:color w:val="000000" w:themeColor="text1"/>
          <w:szCs w:val="22"/>
        </w:rPr>
        <w:t>nternet-based distributor</w:t>
      </w:r>
      <w:r w:rsidR="0087316A" w:rsidRPr="00863601">
        <w:rPr>
          <w:color w:val="000000" w:themeColor="text1"/>
          <w:szCs w:val="22"/>
        </w:rPr>
        <w:t>s</w:t>
      </w:r>
      <w:r w:rsidR="0017392B" w:rsidRPr="00863601">
        <w:rPr>
          <w:color w:val="000000" w:themeColor="text1"/>
          <w:szCs w:val="22"/>
        </w:rPr>
        <w:t xml:space="preserve"> of video programming, however, </w:t>
      </w:r>
      <w:r w:rsidR="0087316A" w:rsidRPr="00863601">
        <w:rPr>
          <w:color w:val="000000" w:themeColor="text1"/>
          <w:szCs w:val="22"/>
        </w:rPr>
        <w:t>are</w:t>
      </w:r>
      <w:r w:rsidR="0017392B" w:rsidRPr="00863601">
        <w:rPr>
          <w:color w:val="000000" w:themeColor="text1"/>
          <w:szCs w:val="22"/>
        </w:rPr>
        <w:t xml:space="preserve"> subject to the Commission’s</w:t>
      </w:r>
      <w:r w:rsidR="00A313EE" w:rsidRPr="00863601">
        <w:rPr>
          <w:color w:val="000000" w:themeColor="text1"/>
          <w:szCs w:val="22"/>
        </w:rPr>
        <w:t xml:space="preserve"> Internet protocol</w:t>
      </w:r>
      <w:r w:rsidR="0017392B" w:rsidRPr="00863601">
        <w:rPr>
          <w:color w:val="000000" w:themeColor="text1"/>
          <w:szCs w:val="22"/>
        </w:rPr>
        <w:t xml:space="preserve"> </w:t>
      </w:r>
      <w:r w:rsidR="00A313EE" w:rsidRPr="00863601">
        <w:rPr>
          <w:color w:val="000000" w:themeColor="text1"/>
          <w:szCs w:val="22"/>
        </w:rPr>
        <w:t>(“</w:t>
      </w:r>
      <w:r w:rsidR="0017392B" w:rsidRPr="00863601">
        <w:rPr>
          <w:color w:val="000000" w:themeColor="text1"/>
          <w:szCs w:val="22"/>
        </w:rPr>
        <w:t>IP</w:t>
      </w:r>
      <w:r w:rsidR="00A313EE" w:rsidRPr="00863601">
        <w:rPr>
          <w:color w:val="000000" w:themeColor="text1"/>
          <w:szCs w:val="22"/>
        </w:rPr>
        <w:t>”)</w:t>
      </w:r>
      <w:r w:rsidR="0017392B" w:rsidRPr="00863601">
        <w:rPr>
          <w:color w:val="000000" w:themeColor="text1"/>
          <w:szCs w:val="22"/>
        </w:rPr>
        <w:t xml:space="preserve"> closed captioning requirements</w:t>
      </w:r>
      <w:r w:rsidR="00A60BD0" w:rsidRPr="00863601">
        <w:rPr>
          <w:color w:val="000000" w:themeColor="text1"/>
          <w:szCs w:val="22"/>
        </w:rPr>
        <w:t xml:space="preserve"> set forth in Section 79.4 of the Commission’s rules </w:t>
      </w:r>
      <w:r w:rsidR="00A60BD0" w:rsidRPr="00863601">
        <w:rPr>
          <w:color w:val="000000" w:themeColor="text1"/>
          <w:szCs w:val="22"/>
          <w:lang w:eastAsia="ar-SA"/>
        </w:rPr>
        <w:t>(the “IP closed captioning rules”)</w:t>
      </w:r>
      <w:r w:rsidR="0017392B" w:rsidRPr="00863601">
        <w:rPr>
          <w:color w:val="000000" w:themeColor="text1"/>
          <w:szCs w:val="22"/>
        </w:rPr>
        <w:t xml:space="preserve"> to the extent that </w:t>
      </w:r>
      <w:r w:rsidR="0087316A" w:rsidRPr="00863601">
        <w:rPr>
          <w:color w:val="000000" w:themeColor="text1"/>
          <w:szCs w:val="22"/>
        </w:rPr>
        <w:t>they</w:t>
      </w:r>
      <w:r w:rsidR="0017392B" w:rsidRPr="00863601">
        <w:rPr>
          <w:color w:val="000000" w:themeColor="text1"/>
          <w:szCs w:val="22"/>
        </w:rPr>
        <w:t xml:space="preserve"> </w:t>
      </w:r>
      <w:r w:rsidR="009F66BF" w:rsidRPr="00863601">
        <w:rPr>
          <w:color w:val="000000" w:themeColor="text1"/>
          <w:szCs w:val="22"/>
        </w:rPr>
        <w:t>make video programming available directly to end user</w:t>
      </w:r>
      <w:r w:rsidR="0087316A" w:rsidRPr="00863601">
        <w:rPr>
          <w:color w:val="000000" w:themeColor="text1"/>
          <w:szCs w:val="22"/>
        </w:rPr>
        <w:t>s</w:t>
      </w:r>
      <w:r w:rsidR="009F66BF" w:rsidRPr="00863601">
        <w:rPr>
          <w:color w:val="000000" w:themeColor="text1"/>
          <w:szCs w:val="22"/>
        </w:rPr>
        <w:t xml:space="preserve"> through a distribution method that uses IP.</w:t>
      </w:r>
      <w:r w:rsidR="0017392B" w:rsidRPr="00863601">
        <w:rPr>
          <w:rStyle w:val="FootnoteReference"/>
          <w:color w:val="000000" w:themeColor="text1"/>
          <w:szCs w:val="22"/>
        </w:rPr>
        <w:footnoteReference w:id="147"/>
      </w:r>
      <w:r w:rsidR="0017392B" w:rsidRPr="00863601">
        <w:rPr>
          <w:color w:val="000000" w:themeColor="text1"/>
          <w:szCs w:val="22"/>
        </w:rPr>
        <w:t xml:space="preserve">  The IP closed</w:t>
      </w:r>
      <w:r w:rsidR="003515CD" w:rsidRPr="00863601">
        <w:rPr>
          <w:color w:val="000000" w:themeColor="text1"/>
          <w:szCs w:val="22"/>
        </w:rPr>
        <w:t xml:space="preserve"> </w:t>
      </w:r>
      <w:r w:rsidR="0017392B" w:rsidRPr="00863601">
        <w:rPr>
          <w:color w:val="000000" w:themeColor="text1"/>
          <w:szCs w:val="22"/>
        </w:rPr>
        <w:t>captioning rules</w:t>
      </w:r>
      <w:r w:rsidR="00D65044" w:rsidRPr="00863601">
        <w:rPr>
          <w:color w:val="000000" w:themeColor="text1"/>
          <w:szCs w:val="22"/>
        </w:rPr>
        <w:t xml:space="preserve"> are narrower than the television closed captioning rules, insofar as the IP closed-captioning rules require closed captioning of IP-delivered video programming </w:t>
      </w:r>
      <w:r w:rsidR="00E52034" w:rsidRPr="00863601">
        <w:rPr>
          <w:color w:val="000000" w:themeColor="text1"/>
          <w:szCs w:val="22"/>
        </w:rPr>
        <w:t xml:space="preserve">only </w:t>
      </w:r>
      <w:r w:rsidR="00EA5EEC" w:rsidRPr="00863601">
        <w:rPr>
          <w:color w:val="000000" w:themeColor="text1"/>
          <w:szCs w:val="22"/>
        </w:rPr>
        <w:t xml:space="preserve">if the programming is </w:t>
      </w:r>
      <w:r w:rsidR="00D65044" w:rsidRPr="00863601">
        <w:rPr>
          <w:color w:val="000000" w:themeColor="text1"/>
          <w:szCs w:val="22"/>
        </w:rPr>
        <w:t>published or exhibited on television with captions,</w:t>
      </w:r>
      <w:r w:rsidR="00D65044" w:rsidRPr="00863601">
        <w:rPr>
          <w:rStyle w:val="FootnoteReference"/>
          <w:color w:val="000000" w:themeColor="text1"/>
          <w:szCs w:val="22"/>
        </w:rPr>
        <w:footnoteReference w:id="148"/>
      </w:r>
      <w:r w:rsidR="00D65044" w:rsidRPr="00863601">
        <w:rPr>
          <w:color w:val="000000" w:themeColor="text1"/>
          <w:szCs w:val="22"/>
        </w:rPr>
        <w:t xml:space="preserve"> whereas the television closed captioning rules require closed captioning for all new nonexempt English-</w:t>
      </w:r>
      <w:r w:rsidR="00A539A3" w:rsidRPr="00863601">
        <w:rPr>
          <w:color w:val="000000" w:themeColor="text1"/>
          <w:szCs w:val="22"/>
        </w:rPr>
        <w:t xml:space="preserve"> </w:t>
      </w:r>
      <w:r w:rsidR="00D65044" w:rsidRPr="00863601">
        <w:rPr>
          <w:color w:val="000000" w:themeColor="text1"/>
          <w:szCs w:val="22"/>
        </w:rPr>
        <w:t>and Spanish-language video programming.</w:t>
      </w:r>
      <w:r w:rsidR="00D65044" w:rsidRPr="00863601">
        <w:rPr>
          <w:rStyle w:val="FootnoteReference"/>
          <w:color w:val="000000" w:themeColor="text1"/>
          <w:szCs w:val="22"/>
        </w:rPr>
        <w:footnoteReference w:id="149"/>
      </w:r>
      <w:r w:rsidR="00D65044" w:rsidRPr="00863601">
        <w:rPr>
          <w:color w:val="000000" w:themeColor="text1"/>
          <w:szCs w:val="22"/>
        </w:rPr>
        <w:t xml:space="preserve">  The Commission has explained that the </w:t>
      </w:r>
      <w:r w:rsidR="00E52034" w:rsidRPr="00863601">
        <w:rPr>
          <w:color w:val="000000" w:themeColor="text1"/>
          <w:szCs w:val="22"/>
        </w:rPr>
        <w:t>“I</w:t>
      </w:r>
      <w:r w:rsidR="00D65044" w:rsidRPr="00863601">
        <w:rPr>
          <w:color w:val="000000" w:themeColor="text1"/>
          <w:szCs w:val="22"/>
        </w:rPr>
        <w:t>P closed captioning rules do not apply to traditional managed video services that MVPDs provide to their MVPD customers within their service footprint, regardless of the transmission protocol used; rather, such services are already subject to Section 79.1 of the Commission’s rules.”</w:t>
      </w:r>
      <w:r w:rsidR="00826A6D" w:rsidRPr="00863601">
        <w:rPr>
          <w:rStyle w:val="FootnoteReference"/>
          <w:color w:val="000000" w:themeColor="text1"/>
          <w:szCs w:val="22"/>
        </w:rPr>
        <w:footnoteReference w:id="150"/>
      </w:r>
      <w:r w:rsidR="0017392B" w:rsidRPr="00863601">
        <w:rPr>
          <w:color w:val="000000" w:themeColor="text1"/>
          <w:szCs w:val="22"/>
        </w:rPr>
        <w:t xml:space="preserve"> </w:t>
      </w:r>
      <w:r w:rsidR="009F66BF" w:rsidRPr="00863601">
        <w:rPr>
          <w:color w:val="000000" w:themeColor="text1"/>
          <w:szCs w:val="22"/>
        </w:rPr>
        <w:t xml:space="preserve"> </w:t>
      </w:r>
      <w:r w:rsidR="0087316A" w:rsidRPr="00863601">
        <w:rPr>
          <w:color w:val="000000" w:themeColor="text1"/>
          <w:szCs w:val="22"/>
        </w:rPr>
        <w:t xml:space="preserve">To the extent that some </w:t>
      </w:r>
      <w:r w:rsidR="0087316A" w:rsidRPr="00863601">
        <w:rPr>
          <w:snapToGrid/>
          <w:color w:val="000000" w:themeColor="text1"/>
          <w:kern w:val="0"/>
          <w:szCs w:val="22"/>
        </w:rPr>
        <w:t>I</w:t>
      </w:r>
      <w:r w:rsidR="0087316A" w:rsidRPr="00863601">
        <w:rPr>
          <w:color w:val="000000" w:themeColor="text1"/>
          <w:szCs w:val="22"/>
        </w:rPr>
        <w:t>nternet-based distributors of video programming qualify as MVPDs, how will this impact their obligations with respect to closed captioning?</w:t>
      </w:r>
      <w:r w:rsidRPr="00863601">
        <w:rPr>
          <w:rStyle w:val="FootnoteReference"/>
          <w:color w:val="000000" w:themeColor="text1"/>
          <w:szCs w:val="22"/>
        </w:rPr>
        <w:footnoteReference w:id="151"/>
      </w:r>
      <w:r w:rsidR="0087316A" w:rsidRPr="00863601">
        <w:rPr>
          <w:color w:val="000000" w:themeColor="text1"/>
          <w:szCs w:val="22"/>
        </w:rPr>
        <w:t xml:space="preserve">  </w:t>
      </w:r>
      <w:r w:rsidR="00E22296" w:rsidRPr="00863601">
        <w:rPr>
          <w:color w:val="000000" w:themeColor="text1"/>
          <w:szCs w:val="22"/>
        </w:rPr>
        <w:t>Will</w:t>
      </w:r>
      <w:r w:rsidR="00243428" w:rsidRPr="00863601">
        <w:rPr>
          <w:color w:val="000000" w:themeColor="text1"/>
          <w:szCs w:val="22"/>
        </w:rPr>
        <w:t xml:space="preserve"> they be subject to Section 79.1 or 79.4</w:t>
      </w:r>
      <w:r w:rsidR="00FB7B10" w:rsidRPr="00863601">
        <w:rPr>
          <w:color w:val="000000" w:themeColor="text1"/>
          <w:szCs w:val="22"/>
        </w:rPr>
        <w:t xml:space="preserve"> </w:t>
      </w:r>
      <w:r w:rsidR="00727694" w:rsidRPr="00863601">
        <w:rPr>
          <w:color w:val="000000" w:themeColor="text1"/>
          <w:szCs w:val="22"/>
        </w:rPr>
        <w:t>of the Commission’s rules</w:t>
      </w:r>
      <w:r w:rsidR="00243428" w:rsidRPr="00863601">
        <w:rPr>
          <w:color w:val="000000" w:themeColor="text1"/>
          <w:szCs w:val="22"/>
        </w:rPr>
        <w:t xml:space="preserve">, or </w:t>
      </w:r>
      <w:r w:rsidR="00E22296" w:rsidRPr="00863601">
        <w:rPr>
          <w:color w:val="000000" w:themeColor="text1"/>
          <w:szCs w:val="22"/>
        </w:rPr>
        <w:t>will</w:t>
      </w:r>
      <w:r w:rsidR="00243428" w:rsidRPr="00863601">
        <w:rPr>
          <w:color w:val="000000" w:themeColor="text1"/>
          <w:szCs w:val="22"/>
        </w:rPr>
        <w:t xml:space="preserve"> the Commission need to develop another set of requirements tailored to </w:t>
      </w:r>
      <w:r w:rsidR="00EA344A" w:rsidRPr="00863601">
        <w:rPr>
          <w:color w:val="000000" w:themeColor="text1"/>
          <w:szCs w:val="22"/>
        </w:rPr>
        <w:t>these services</w:t>
      </w:r>
      <w:r w:rsidR="00E37509" w:rsidRPr="00863601">
        <w:rPr>
          <w:color w:val="000000" w:themeColor="text1"/>
          <w:szCs w:val="22"/>
        </w:rPr>
        <w:t>?</w:t>
      </w:r>
      <w:r w:rsidR="00E37509" w:rsidRPr="00863601">
        <w:rPr>
          <w:rStyle w:val="FootnoteReference"/>
          <w:color w:val="000000" w:themeColor="text1"/>
          <w:szCs w:val="22"/>
        </w:rPr>
        <w:footnoteReference w:id="152"/>
      </w:r>
      <w:r w:rsidR="00E37509" w:rsidRPr="00863601">
        <w:rPr>
          <w:color w:val="000000" w:themeColor="text1"/>
          <w:szCs w:val="22"/>
        </w:rPr>
        <w:t xml:space="preserve"> </w:t>
      </w:r>
      <w:r w:rsidR="000B4362" w:rsidRPr="00863601">
        <w:rPr>
          <w:color w:val="000000" w:themeColor="text1"/>
          <w:szCs w:val="22"/>
        </w:rPr>
        <w:t xml:space="preserve"> </w:t>
      </w:r>
      <w:r w:rsidR="00593706" w:rsidRPr="00863601">
        <w:rPr>
          <w:color w:val="000000" w:themeColor="text1"/>
          <w:szCs w:val="22"/>
        </w:rPr>
        <w:t>Will we need to amend our closed captioning rules</w:t>
      </w:r>
      <w:r w:rsidR="000B4362" w:rsidRPr="00863601">
        <w:rPr>
          <w:color w:val="000000" w:themeColor="text1"/>
          <w:szCs w:val="22"/>
        </w:rPr>
        <w:t xml:space="preserve"> </w:t>
      </w:r>
      <w:r w:rsidR="00593706" w:rsidRPr="00863601">
        <w:rPr>
          <w:color w:val="000000" w:themeColor="text1"/>
          <w:szCs w:val="22"/>
        </w:rPr>
        <w:t>if we adopt the Linear Programming Interpretation, and if so, how?</w:t>
      </w:r>
    </w:p>
    <w:p w:rsidR="00C059F1" w:rsidRPr="00863601" w:rsidRDefault="00B14554" w:rsidP="005E5F79">
      <w:pPr>
        <w:pStyle w:val="ParaNum"/>
        <w:widowControl/>
        <w:rPr>
          <w:snapToGrid/>
          <w:color w:val="000000" w:themeColor="text1"/>
          <w:szCs w:val="22"/>
        </w:rPr>
      </w:pPr>
      <w:bookmarkStart w:id="334" w:name="_Toc347491025"/>
      <w:bookmarkStart w:id="335" w:name="_Toc349751926"/>
      <w:bookmarkStart w:id="336" w:name="_Toc343164340"/>
      <w:bookmarkStart w:id="337" w:name="_Toc343169016"/>
      <w:bookmarkStart w:id="338" w:name="_Toc343875930"/>
      <w:bookmarkStart w:id="339" w:name="_Toc345939783"/>
      <w:bookmarkStart w:id="340" w:name="_Toc345939994"/>
      <w:bookmarkStart w:id="341" w:name="_Toc346192561"/>
      <w:bookmarkStart w:id="342" w:name="_Toc346192638"/>
      <w:r w:rsidRPr="00863601">
        <w:rPr>
          <w:i/>
          <w:color w:val="000000" w:themeColor="text1"/>
          <w:szCs w:val="22"/>
          <w:lang w:eastAsia="ar-SA"/>
        </w:rPr>
        <w:t xml:space="preserve">Video </w:t>
      </w:r>
      <w:r w:rsidRPr="00863601">
        <w:rPr>
          <w:i/>
          <w:color w:val="000000" w:themeColor="text1"/>
          <w:szCs w:val="22"/>
        </w:rPr>
        <w:t>Description</w:t>
      </w:r>
      <w:bookmarkEnd w:id="334"/>
      <w:bookmarkEnd w:id="335"/>
      <w:r w:rsidR="00C250B0" w:rsidRPr="00863601">
        <w:rPr>
          <w:color w:val="000000" w:themeColor="text1"/>
          <w:szCs w:val="22"/>
        </w:rPr>
        <w:t xml:space="preserve">.  </w:t>
      </w:r>
      <w:r w:rsidR="0043114A" w:rsidRPr="00863601">
        <w:rPr>
          <w:color w:val="000000" w:themeColor="text1"/>
          <w:lang w:eastAsia="ar-SA"/>
        </w:rPr>
        <w:t>As required by the CVAA,</w:t>
      </w:r>
      <w:r w:rsidR="0043114A" w:rsidRPr="00863601">
        <w:rPr>
          <w:rStyle w:val="FootnoteReference"/>
          <w:color w:val="000000" w:themeColor="text1"/>
          <w:szCs w:val="22"/>
          <w:lang w:eastAsia="ar-SA"/>
        </w:rPr>
        <w:footnoteReference w:id="153"/>
      </w:r>
      <w:r w:rsidR="0043114A" w:rsidRPr="00863601">
        <w:rPr>
          <w:color w:val="000000" w:themeColor="text1"/>
          <w:lang w:eastAsia="ar-SA"/>
        </w:rPr>
        <w:t xml:space="preserve"> the Commission’s rules require MVPD systems that serve 50,000 or more subscribers to provide 50 hours per quarter of video description, which makes video programming accessible to people who are blind or visually impaired</w:t>
      </w:r>
      <w:r w:rsidR="0043114A" w:rsidRPr="00863601">
        <w:rPr>
          <w:snapToGrid/>
          <w:color w:val="000000" w:themeColor="text1"/>
        </w:rPr>
        <w:t>,</w:t>
      </w:r>
      <w:r w:rsidR="0043114A" w:rsidRPr="00863601">
        <w:rPr>
          <w:rStyle w:val="FootnoteReference"/>
          <w:snapToGrid/>
          <w:color w:val="000000" w:themeColor="text1"/>
          <w:szCs w:val="22"/>
        </w:rPr>
        <w:footnoteReference w:id="154"/>
      </w:r>
      <w:r w:rsidR="0043114A" w:rsidRPr="00863601">
        <w:rPr>
          <w:snapToGrid/>
          <w:color w:val="000000" w:themeColor="text1"/>
        </w:rPr>
        <w:t xml:space="preserve"> on each of the five most popular nonbroadcast networks.</w:t>
      </w:r>
      <w:r w:rsidR="0043114A" w:rsidRPr="00863601">
        <w:rPr>
          <w:rFonts w:eastAsiaTheme="minorHAnsi" w:cstheme="minorBidi"/>
          <w:snapToGrid/>
          <w:color w:val="000000" w:themeColor="text1"/>
          <w:kern w:val="0"/>
          <w:sz w:val="20"/>
          <w:szCs w:val="22"/>
          <w:vertAlign w:val="superscript"/>
        </w:rPr>
        <w:footnoteReference w:id="155"/>
      </w:r>
      <w:r w:rsidR="0043114A" w:rsidRPr="00863601">
        <w:rPr>
          <w:snapToGrid/>
          <w:color w:val="000000" w:themeColor="text1"/>
        </w:rPr>
        <w:t xml:space="preserve">  In general, MVPDs of any size must pass through any video description provided with programming they carry, including broadcast channels, as long as they have the technical capability to do so.</w:t>
      </w:r>
      <w:r w:rsidR="0043114A" w:rsidRPr="00863601">
        <w:rPr>
          <w:rStyle w:val="FootnoteReference"/>
          <w:snapToGrid/>
          <w:color w:val="000000" w:themeColor="text1"/>
          <w:szCs w:val="22"/>
        </w:rPr>
        <w:footnoteReference w:id="156"/>
      </w:r>
      <w:r w:rsidR="0043114A" w:rsidRPr="00863601">
        <w:rPr>
          <w:snapToGrid/>
          <w:color w:val="000000" w:themeColor="text1"/>
        </w:rPr>
        <w:t xml:space="preserve">  </w:t>
      </w:r>
      <w:r w:rsidR="00F72592" w:rsidRPr="00863601">
        <w:rPr>
          <w:color w:val="000000" w:themeColor="text1"/>
        </w:rPr>
        <w:t>Section 79.105 of the Commission’s rules requires apparatus designed to receive or play back video programming to decode and make available the secondary audio stream, if technically feasible, to facilitate the transmission and delivery of video description.</w:t>
      </w:r>
      <w:r w:rsidR="00F72592" w:rsidRPr="00863601">
        <w:rPr>
          <w:rStyle w:val="FootnoteReference"/>
          <w:color w:val="000000" w:themeColor="text1"/>
        </w:rPr>
        <w:footnoteReference w:id="157"/>
      </w:r>
      <w:r w:rsidR="00F72592" w:rsidRPr="00863601">
        <w:rPr>
          <w:color w:val="000000" w:themeColor="text1"/>
        </w:rPr>
        <w:t xml:space="preserve">  </w:t>
      </w:r>
      <w:r w:rsidR="0043114A" w:rsidRPr="00863601">
        <w:rPr>
          <w:snapToGrid/>
          <w:color w:val="000000" w:themeColor="text1"/>
          <w:kern w:val="0"/>
        </w:rPr>
        <w:t xml:space="preserve">We seek comment on the </w:t>
      </w:r>
      <w:r w:rsidR="00E702AD" w:rsidRPr="00863601">
        <w:rPr>
          <w:snapToGrid/>
          <w:color w:val="000000" w:themeColor="text1"/>
          <w:kern w:val="0"/>
        </w:rPr>
        <w:t xml:space="preserve">costs as well as the </w:t>
      </w:r>
      <w:r w:rsidR="0043114A" w:rsidRPr="00863601">
        <w:rPr>
          <w:snapToGrid/>
          <w:color w:val="000000" w:themeColor="text1"/>
          <w:kern w:val="0"/>
        </w:rPr>
        <w:t>practical impact these obligations will have on an I</w:t>
      </w:r>
      <w:r w:rsidR="0043114A" w:rsidRPr="00863601">
        <w:rPr>
          <w:color w:val="000000" w:themeColor="text1"/>
        </w:rPr>
        <w:t>nternet-based distributor of video programming that qualifies as an MVPD.</w:t>
      </w:r>
      <w:r w:rsidR="0043114A" w:rsidRPr="00863601">
        <w:rPr>
          <w:rStyle w:val="FootnoteReference"/>
          <w:color w:val="000000" w:themeColor="text1"/>
        </w:rPr>
        <w:footnoteReference w:id="158"/>
      </w:r>
      <w:r w:rsidR="0043114A" w:rsidRPr="00863601">
        <w:rPr>
          <w:color w:val="000000" w:themeColor="text1"/>
        </w:rPr>
        <w:t xml:space="preserve">  </w:t>
      </w:r>
      <w:r w:rsidR="0043114A" w:rsidRPr="00863601">
        <w:rPr>
          <w:color w:val="000000" w:themeColor="text1"/>
          <w:lang w:eastAsia="ar-SA"/>
        </w:rPr>
        <w:t xml:space="preserve">Are there attributes of </w:t>
      </w:r>
      <w:r w:rsidR="0043114A" w:rsidRPr="00863601">
        <w:rPr>
          <w:snapToGrid/>
          <w:color w:val="000000" w:themeColor="text1"/>
          <w:kern w:val="0"/>
        </w:rPr>
        <w:t>I</w:t>
      </w:r>
      <w:r w:rsidR="0043114A" w:rsidRPr="00863601">
        <w:rPr>
          <w:color w:val="000000" w:themeColor="text1"/>
        </w:rPr>
        <w:t xml:space="preserve">nternet-based distributors of video programming </w:t>
      </w:r>
      <w:r w:rsidR="0043114A" w:rsidRPr="00863601">
        <w:rPr>
          <w:color w:val="000000" w:themeColor="text1"/>
          <w:lang w:eastAsia="ar-SA"/>
        </w:rPr>
        <w:t>that make compliance with these requirements more burdensome than for traditional MVPDs?</w:t>
      </w:r>
      <w:r w:rsidR="0043114A" w:rsidRPr="00863601">
        <w:rPr>
          <w:rStyle w:val="FootnoteReference"/>
          <w:color w:val="000000" w:themeColor="text1"/>
          <w:lang w:eastAsia="ar-SA"/>
        </w:rPr>
        <w:footnoteReference w:id="159"/>
      </w:r>
      <w:r w:rsidR="00A4078F" w:rsidRPr="00863601">
        <w:rPr>
          <w:color w:val="000000" w:themeColor="text1"/>
          <w:lang w:eastAsia="ar-SA"/>
        </w:rPr>
        <w:t xml:space="preserve">  </w:t>
      </w:r>
      <w:r w:rsidR="00A4078F" w:rsidRPr="00863601">
        <w:rPr>
          <w:color w:val="000000" w:themeColor="text1"/>
        </w:rPr>
        <w:t>We also seek comment on our authority to extend our video description regulations to Internet-delivered MVPDs under the Linear Programming Interpretation.</w:t>
      </w:r>
      <w:r w:rsidR="00A4078F" w:rsidRPr="00863601">
        <w:rPr>
          <w:rStyle w:val="FootnoteReference"/>
          <w:color w:val="000000" w:themeColor="text1"/>
        </w:rPr>
        <w:footnoteReference w:id="160"/>
      </w:r>
      <w:r w:rsidR="00593706" w:rsidRPr="00863601">
        <w:rPr>
          <w:color w:val="000000" w:themeColor="text1"/>
        </w:rPr>
        <w:t xml:space="preserve">  </w:t>
      </w:r>
      <w:r w:rsidR="00593706" w:rsidRPr="00863601">
        <w:rPr>
          <w:color w:val="000000" w:themeColor="text1"/>
          <w:szCs w:val="22"/>
        </w:rPr>
        <w:t>Will we need to amend our video description rules if we adopt the Linear Programming Interpretation, and if so, how?</w:t>
      </w:r>
    </w:p>
    <w:p w:rsidR="00B14554" w:rsidRPr="00863601" w:rsidRDefault="001237AF" w:rsidP="005E5F79">
      <w:pPr>
        <w:pStyle w:val="ParaNum"/>
        <w:widowControl/>
        <w:rPr>
          <w:color w:val="000000" w:themeColor="text1"/>
          <w:lang w:eastAsia="ar-SA"/>
        </w:rPr>
      </w:pPr>
      <w:r w:rsidRPr="00863601">
        <w:rPr>
          <w:i/>
          <w:color w:val="000000" w:themeColor="text1"/>
        </w:rPr>
        <w:t>Accessibility of Emergency Information</w:t>
      </w:r>
      <w:r w:rsidRPr="00863601">
        <w:rPr>
          <w:color w:val="000000" w:themeColor="text1"/>
        </w:rPr>
        <w:t xml:space="preserve">.  </w:t>
      </w:r>
      <w:r w:rsidR="00595DBD" w:rsidRPr="00863601">
        <w:rPr>
          <w:color w:val="000000" w:themeColor="text1"/>
        </w:rPr>
        <w:t>Section 79.2 of the Commission’s rules require</w:t>
      </w:r>
      <w:r w:rsidR="002051EA" w:rsidRPr="00863601">
        <w:rPr>
          <w:color w:val="000000" w:themeColor="text1"/>
        </w:rPr>
        <w:t>s</w:t>
      </w:r>
      <w:r w:rsidR="00595DBD" w:rsidRPr="00863601">
        <w:rPr>
          <w:color w:val="000000" w:themeColor="text1"/>
        </w:rPr>
        <w:t xml:space="preserve"> MVPDs to comply with certain </w:t>
      </w:r>
      <w:r w:rsidR="00595DBD" w:rsidRPr="00863601">
        <w:rPr>
          <w:color w:val="000000" w:themeColor="text1"/>
          <w:szCs w:val="22"/>
        </w:rPr>
        <w:t>requirements pertaining to the accessibility of emergency information by persons with disabilities.</w:t>
      </w:r>
      <w:r w:rsidR="00595DBD" w:rsidRPr="00863601">
        <w:rPr>
          <w:rStyle w:val="FootnoteReference"/>
          <w:color w:val="000000" w:themeColor="text1"/>
          <w:szCs w:val="22"/>
        </w:rPr>
        <w:footnoteReference w:id="161"/>
      </w:r>
      <w:r w:rsidR="00595DBD" w:rsidRPr="00863601">
        <w:rPr>
          <w:color w:val="000000" w:themeColor="text1"/>
          <w:szCs w:val="22"/>
        </w:rPr>
        <w:t xml:space="preserve">  </w:t>
      </w:r>
      <w:r w:rsidR="00A72F45" w:rsidRPr="00863601">
        <w:rPr>
          <w:color w:val="000000" w:themeColor="text1"/>
          <w:szCs w:val="22"/>
        </w:rPr>
        <w:t xml:space="preserve">And </w:t>
      </w:r>
      <w:r w:rsidR="00A72F45" w:rsidRPr="00863601">
        <w:rPr>
          <w:color w:val="000000" w:themeColor="text1"/>
        </w:rPr>
        <w:t xml:space="preserve">to make emergency information accessible to individuals who are blind or visually impaired, Section 79.105 of the Commission’s rules </w:t>
      </w:r>
      <w:r w:rsidR="00A72F45" w:rsidRPr="00863601">
        <w:rPr>
          <w:color w:val="000000" w:themeColor="text1"/>
          <w:szCs w:val="22"/>
        </w:rPr>
        <w:t>requires a</w:t>
      </w:r>
      <w:r w:rsidR="00A72F45" w:rsidRPr="00863601">
        <w:rPr>
          <w:color w:val="000000" w:themeColor="text1"/>
        </w:rPr>
        <w:t>pparatus designed to receive or play back video programming to decode and make available the secondary audio stream, if technically feasible.</w:t>
      </w:r>
      <w:r w:rsidR="00A72F45" w:rsidRPr="00863601">
        <w:rPr>
          <w:rStyle w:val="FootnoteReference"/>
          <w:color w:val="000000" w:themeColor="text1"/>
        </w:rPr>
        <w:footnoteReference w:id="162"/>
      </w:r>
      <w:r w:rsidR="00A72F45" w:rsidRPr="00863601">
        <w:rPr>
          <w:color w:val="000000" w:themeColor="text1"/>
          <w:szCs w:val="22"/>
        </w:rPr>
        <w:t xml:space="preserve">  </w:t>
      </w:r>
      <w:r w:rsidR="009C43DB" w:rsidRPr="00863601">
        <w:rPr>
          <w:snapToGrid/>
          <w:color w:val="000000" w:themeColor="text1"/>
          <w:kern w:val="0"/>
        </w:rPr>
        <w:t xml:space="preserve">We seek comment on the </w:t>
      </w:r>
      <w:r w:rsidR="00E702AD" w:rsidRPr="00863601">
        <w:rPr>
          <w:snapToGrid/>
          <w:color w:val="000000" w:themeColor="text1"/>
          <w:kern w:val="0"/>
        </w:rPr>
        <w:t xml:space="preserve">costs as well as the </w:t>
      </w:r>
      <w:r w:rsidR="009C43DB" w:rsidRPr="00863601">
        <w:rPr>
          <w:snapToGrid/>
          <w:color w:val="000000" w:themeColor="text1"/>
          <w:kern w:val="0"/>
        </w:rPr>
        <w:t>practical impact these obligations will have on I</w:t>
      </w:r>
      <w:r w:rsidR="009C43DB" w:rsidRPr="00863601">
        <w:rPr>
          <w:color w:val="000000" w:themeColor="text1"/>
        </w:rPr>
        <w:t>nternet-based distributors of video programming that qualify as MVPDs.</w:t>
      </w:r>
      <w:r w:rsidR="00FF01A2" w:rsidRPr="00863601">
        <w:rPr>
          <w:rStyle w:val="FootnoteReference"/>
          <w:color w:val="000000" w:themeColor="text1"/>
        </w:rPr>
        <w:footnoteReference w:id="163"/>
      </w:r>
      <w:r w:rsidR="005E22F9" w:rsidRPr="00863601">
        <w:rPr>
          <w:color w:val="000000" w:themeColor="text1"/>
        </w:rPr>
        <w:t xml:space="preserve"> </w:t>
      </w:r>
      <w:r w:rsidR="00593706" w:rsidRPr="00863601">
        <w:rPr>
          <w:color w:val="000000" w:themeColor="text1"/>
        </w:rPr>
        <w:t xml:space="preserve"> </w:t>
      </w:r>
      <w:r w:rsidR="00593706" w:rsidRPr="00863601">
        <w:rPr>
          <w:color w:val="000000" w:themeColor="text1"/>
          <w:szCs w:val="22"/>
        </w:rPr>
        <w:t>Will we need to amend our emergency information accessibility rules if we adopt the Linear Programming Interpretation, and if so, how?</w:t>
      </w:r>
    </w:p>
    <w:p w:rsidR="00173A4A" w:rsidRPr="00863601" w:rsidRDefault="00173A4A" w:rsidP="005E5F79">
      <w:pPr>
        <w:pStyle w:val="ParaNum"/>
        <w:widowControl/>
        <w:rPr>
          <w:color w:val="000000" w:themeColor="text1"/>
          <w:lang w:eastAsia="ar-SA"/>
        </w:rPr>
      </w:pPr>
      <w:r w:rsidRPr="00863601">
        <w:rPr>
          <w:i/>
          <w:color w:val="000000" w:themeColor="text1"/>
        </w:rPr>
        <w:t>Accessible User Interfaces, Guides, and Menus</w:t>
      </w:r>
      <w:r w:rsidRPr="00863601">
        <w:rPr>
          <w:color w:val="000000" w:themeColor="text1"/>
        </w:rPr>
        <w:t xml:space="preserve">.  </w:t>
      </w:r>
      <w:r w:rsidR="0035729B" w:rsidRPr="00863601">
        <w:rPr>
          <w:color w:val="000000" w:themeColor="text1"/>
        </w:rPr>
        <w:t xml:space="preserve">Section 79.108 of the Commission’s rules requires MVPDs to </w:t>
      </w:r>
      <w:r w:rsidR="00522F8A" w:rsidRPr="00863601">
        <w:rPr>
          <w:color w:val="000000" w:themeColor="text1"/>
        </w:rPr>
        <w:t>“ensure that the on-screen text menus and guides provided by navigation devices for the display or selection of multichannel video programming are audibly accessible in real time upon request by individuals who are blind or visually impaired.</w:t>
      </w:r>
      <w:r w:rsidR="0098483C" w:rsidRPr="00863601">
        <w:rPr>
          <w:color w:val="000000" w:themeColor="text1"/>
        </w:rPr>
        <w:t>”</w:t>
      </w:r>
      <w:r w:rsidR="0035729B" w:rsidRPr="00863601">
        <w:rPr>
          <w:rStyle w:val="FootnoteReference"/>
          <w:color w:val="000000" w:themeColor="text1"/>
        </w:rPr>
        <w:footnoteReference w:id="164"/>
      </w:r>
      <w:r w:rsidRPr="00863601">
        <w:rPr>
          <w:i/>
          <w:color w:val="000000" w:themeColor="text1"/>
        </w:rPr>
        <w:t xml:space="preserve"> </w:t>
      </w:r>
      <w:r w:rsidR="00F86EA4" w:rsidRPr="00863601">
        <w:rPr>
          <w:color w:val="000000" w:themeColor="text1"/>
        </w:rPr>
        <w:t xml:space="preserve"> </w:t>
      </w:r>
      <w:r w:rsidR="00DD2809" w:rsidRPr="00863601">
        <w:rPr>
          <w:snapToGrid/>
          <w:color w:val="000000" w:themeColor="text1"/>
          <w:kern w:val="0"/>
        </w:rPr>
        <w:t>We seek comment on the costs and the practical impact these obligations will have on I</w:t>
      </w:r>
      <w:r w:rsidR="00DD2809" w:rsidRPr="00863601">
        <w:rPr>
          <w:color w:val="000000" w:themeColor="text1"/>
        </w:rPr>
        <w:t>nternet-based distributors of video programming that qualify as MVPDs, particularly in light of the fact that digital apparatus (aside from navigation devices) that are designed to receive digital video (including IP video) must be accessible to and useable by individuals who are blind or visually impaired.</w:t>
      </w:r>
      <w:r w:rsidR="00DD2809" w:rsidRPr="00863601">
        <w:rPr>
          <w:rStyle w:val="FootnoteReference"/>
          <w:color w:val="000000" w:themeColor="text1"/>
        </w:rPr>
        <w:footnoteReference w:id="165"/>
      </w:r>
      <w:r w:rsidR="00593706" w:rsidRPr="00863601">
        <w:rPr>
          <w:color w:val="000000" w:themeColor="text1"/>
        </w:rPr>
        <w:t xml:space="preserve">  </w:t>
      </w:r>
      <w:r w:rsidR="00593706" w:rsidRPr="00863601">
        <w:rPr>
          <w:color w:val="000000" w:themeColor="text1"/>
          <w:szCs w:val="22"/>
        </w:rPr>
        <w:t>Will we need to amend our user interface accessibility rules if we adopt the Linear Programming Interpretation, and if so, how?</w:t>
      </w:r>
    </w:p>
    <w:bookmarkEnd w:id="336"/>
    <w:bookmarkEnd w:id="337"/>
    <w:bookmarkEnd w:id="338"/>
    <w:bookmarkEnd w:id="339"/>
    <w:bookmarkEnd w:id="340"/>
    <w:bookmarkEnd w:id="341"/>
    <w:bookmarkEnd w:id="342"/>
    <w:p w:rsidR="00FD09B4" w:rsidRPr="00863601" w:rsidRDefault="00FD09B4" w:rsidP="005E5F79">
      <w:pPr>
        <w:pStyle w:val="ParaNum"/>
        <w:widowControl/>
        <w:rPr>
          <w:rFonts w:eastAsia="Calibri"/>
          <w:snapToGrid/>
          <w:color w:val="000000" w:themeColor="text1"/>
          <w:szCs w:val="22"/>
        </w:rPr>
      </w:pPr>
      <w:r w:rsidRPr="00863601">
        <w:rPr>
          <w:i/>
          <w:color w:val="000000" w:themeColor="text1"/>
          <w:lang w:eastAsia="ar-SA"/>
        </w:rPr>
        <w:t>Equal Employment Opportunities (“EEO”)</w:t>
      </w:r>
      <w:r w:rsidRPr="00863601">
        <w:rPr>
          <w:color w:val="000000" w:themeColor="text1"/>
          <w:lang w:eastAsia="ar-SA"/>
        </w:rPr>
        <w:t>.  The Commission’s EEO rules apply to MVPDs.</w:t>
      </w:r>
      <w:r w:rsidRPr="00863601">
        <w:rPr>
          <w:rStyle w:val="FootnoteReference"/>
          <w:color w:val="000000" w:themeColor="text1"/>
          <w:szCs w:val="22"/>
          <w:lang w:eastAsia="ar-SA"/>
        </w:rPr>
        <w:footnoteReference w:id="166"/>
      </w:r>
      <w:r w:rsidRPr="00863601">
        <w:rPr>
          <w:color w:val="000000" w:themeColor="text1"/>
          <w:lang w:eastAsia="ar-SA"/>
        </w:rPr>
        <w:t xml:space="preserve">  In general terms, </w:t>
      </w:r>
      <w:r w:rsidRPr="00863601">
        <w:rPr>
          <w:rFonts w:eastAsia="Calibri"/>
          <w:snapToGrid/>
          <w:color w:val="000000" w:themeColor="text1"/>
        </w:rPr>
        <w:t>these rules (i) require MVPDs to provide equal opportunity in employment to all qualified persons and prohibit MVPDs from discriminating in employment based on race, color, religion, national origin, age, or sex;</w:t>
      </w:r>
      <w:r w:rsidRPr="00863601">
        <w:rPr>
          <w:rFonts w:eastAsia="Calibri"/>
          <w:snapToGrid/>
          <w:color w:val="000000" w:themeColor="text1"/>
          <w:vertAlign w:val="superscript"/>
        </w:rPr>
        <w:footnoteReference w:id="167"/>
      </w:r>
      <w:r w:rsidRPr="00863601">
        <w:rPr>
          <w:rFonts w:eastAsia="Calibri"/>
          <w:snapToGrid/>
          <w:color w:val="000000" w:themeColor="text1"/>
        </w:rPr>
        <w:t xml:space="preserve"> (ii) require MVPDs to engage in certain outreach and recruitment activities;</w:t>
      </w:r>
      <w:r w:rsidRPr="00863601">
        <w:rPr>
          <w:rFonts w:eastAsia="Calibri"/>
          <w:snapToGrid/>
          <w:color w:val="000000" w:themeColor="text1"/>
          <w:vertAlign w:val="superscript"/>
        </w:rPr>
        <w:footnoteReference w:id="168"/>
      </w:r>
      <w:r w:rsidRPr="00863601">
        <w:rPr>
          <w:rFonts w:eastAsia="Calibri"/>
          <w:snapToGrid/>
          <w:color w:val="000000" w:themeColor="text1"/>
        </w:rPr>
        <w:t xml:space="preserve"> and (iii) require MVPDs to comply with certain reporting and recordkeeping requirements.</w:t>
      </w:r>
      <w:r w:rsidRPr="00863601">
        <w:rPr>
          <w:rFonts w:eastAsia="Calibri"/>
          <w:snapToGrid/>
          <w:color w:val="000000" w:themeColor="text1"/>
          <w:vertAlign w:val="superscript"/>
        </w:rPr>
        <w:footnoteReference w:id="169"/>
      </w:r>
      <w:r w:rsidRPr="00863601">
        <w:rPr>
          <w:rFonts w:eastAsia="Calibri"/>
          <w:snapToGrid/>
          <w:color w:val="000000" w:themeColor="text1"/>
        </w:rPr>
        <w:t xml:space="preserve">  </w:t>
      </w:r>
      <w:r w:rsidRPr="00863601">
        <w:rPr>
          <w:snapToGrid/>
          <w:color w:val="000000" w:themeColor="text1"/>
          <w:kern w:val="0"/>
        </w:rPr>
        <w:t>We seek comment on the practical impact these obligations will have on I</w:t>
      </w:r>
      <w:r w:rsidRPr="00863601">
        <w:rPr>
          <w:color w:val="000000" w:themeColor="text1"/>
        </w:rPr>
        <w:t xml:space="preserve">nternet-based distributors of video programming that qualify as MVPDs.  Do </w:t>
      </w:r>
      <w:r w:rsidRPr="00863601">
        <w:rPr>
          <w:snapToGrid/>
          <w:color w:val="000000" w:themeColor="text1"/>
          <w:kern w:val="0"/>
        </w:rPr>
        <w:t>I</w:t>
      </w:r>
      <w:r w:rsidRPr="00863601">
        <w:rPr>
          <w:color w:val="000000" w:themeColor="text1"/>
        </w:rPr>
        <w:t xml:space="preserve">nternet-based </w:t>
      </w:r>
      <w:r w:rsidRPr="00863601">
        <w:rPr>
          <w:color w:val="000000" w:themeColor="text1"/>
          <w:szCs w:val="22"/>
        </w:rPr>
        <w:t>distributors of video programming currently meet some or all of these requirements?</w:t>
      </w:r>
      <w:r w:rsidRPr="00863601">
        <w:rPr>
          <w:rStyle w:val="FootnoteReference"/>
          <w:color w:val="000000" w:themeColor="text1"/>
          <w:szCs w:val="22"/>
        </w:rPr>
        <w:footnoteReference w:id="170"/>
      </w:r>
      <w:r w:rsidRPr="00863601">
        <w:rPr>
          <w:color w:val="000000" w:themeColor="text1"/>
          <w:szCs w:val="22"/>
          <w:lang w:eastAsia="ar-SA"/>
        </w:rPr>
        <w:t xml:space="preserve">  </w:t>
      </w:r>
      <w:r w:rsidR="00593706" w:rsidRPr="00863601">
        <w:rPr>
          <w:color w:val="000000" w:themeColor="text1"/>
          <w:szCs w:val="22"/>
        </w:rPr>
        <w:t>Will we need to amend our EEO rules if we adopt the Linear Programming Interpretation, and if so, how?</w:t>
      </w:r>
    </w:p>
    <w:p w:rsidR="00FD09B4" w:rsidRPr="00863601" w:rsidRDefault="00FD09B4" w:rsidP="005E5F79">
      <w:pPr>
        <w:pStyle w:val="ParaNum"/>
        <w:widowControl/>
        <w:rPr>
          <w:rFonts w:eastAsia="Calibri"/>
          <w:snapToGrid/>
          <w:color w:val="000000" w:themeColor="text1"/>
          <w:szCs w:val="22"/>
        </w:rPr>
      </w:pPr>
      <w:bookmarkStart w:id="343" w:name="_Ref271644755"/>
      <w:r w:rsidRPr="00863601">
        <w:rPr>
          <w:i/>
          <w:color w:val="000000" w:themeColor="text1"/>
        </w:rPr>
        <w:t>Navigation Devices</w:t>
      </w:r>
      <w:r w:rsidRPr="00863601">
        <w:rPr>
          <w:color w:val="000000" w:themeColor="text1"/>
        </w:rPr>
        <w:t>.  Section 629 of the Act directs the Commission to adopt regulations to assure the commercial availability of navigation devices used by consumers to access services from MVPDs.</w:t>
      </w:r>
      <w:bookmarkEnd w:id="343"/>
      <w:r w:rsidRPr="00863601">
        <w:rPr>
          <w:rStyle w:val="FootnoteReference"/>
          <w:color w:val="000000" w:themeColor="text1"/>
          <w:spacing w:val="-3"/>
          <w:szCs w:val="22"/>
        </w:rPr>
        <w:footnoteReference w:id="171"/>
      </w:r>
      <w:r w:rsidRPr="00863601">
        <w:rPr>
          <w:color w:val="000000" w:themeColor="text1"/>
        </w:rPr>
        <w:t xml:space="preserve">  The Commission has adopted several regulations that allow consumers to attach non-harmful devices to MVPD networks, require MVPDs to offer separate conditional access elements if they use navigation devices to perform conditional access functions, and prohibit MVPDs from using integrated conditional access in the devices that they lease or sell to their consumers.</w:t>
      </w:r>
      <w:r w:rsidRPr="00863601">
        <w:rPr>
          <w:rStyle w:val="FootnoteReference"/>
          <w:color w:val="000000" w:themeColor="text1"/>
        </w:rPr>
        <w:footnoteReference w:id="172"/>
      </w:r>
      <w:r w:rsidRPr="00863601">
        <w:rPr>
          <w:color w:val="000000" w:themeColor="text1"/>
        </w:rPr>
        <w:t xml:space="preserve">  </w:t>
      </w:r>
      <w:r w:rsidRPr="00863601">
        <w:rPr>
          <w:snapToGrid/>
          <w:color w:val="000000" w:themeColor="text1"/>
          <w:kern w:val="0"/>
        </w:rPr>
        <w:t xml:space="preserve">We seek comment on the practical impact </w:t>
      </w:r>
      <w:r w:rsidR="00E702AD" w:rsidRPr="00863601">
        <w:rPr>
          <w:snapToGrid/>
          <w:color w:val="000000" w:themeColor="text1"/>
          <w:kern w:val="0"/>
        </w:rPr>
        <w:t xml:space="preserve">as well as the costs </w:t>
      </w:r>
      <w:r w:rsidRPr="00863601">
        <w:rPr>
          <w:snapToGrid/>
          <w:color w:val="000000" w:themeColor="text1"/>
          <w:kern w:val="0"/>
        </w:rPr>
        <w:t>these obligations will have on I</w:t>
      </w:r>
      <w:r w:rsidRPr="00863601">
        <w:rPr>
          <w:color w:val="000000" w:themeColor="text1"/>
        </w:rPr>
        <w:t xml:space="preserve">nternet-based distributors of video programming that qualify as MVPDs.  </w:t>
      </w:r>
      <w:r w:rsidR="00593706" w:rsidRPr="00863601">
        <w:rPr>
          <w:color w:val="000000" w:themeColor="text1"/>
        </w:rPr>
        <w:t xml:space="preserve">To what extent do Internet-based distributors of video programming use navigation devices in the provision of their video programming service?  If </w:t>
      </w:r>
      <w:r w:rsidR="008C297C" w:rsidRPr="00863601">
        <w:rPr>
          <w:color w:val="000000" w:themeColor="text1"/>
        </w:rPr>
        <w:t xml:space="preserve">they </w:t>
      </w:r>
      <w:r w:rsidR="00593706" w:rsidRPr="00863601">
        <w:rPr>
          <w:color w:val="000000" w:themeColor="text1"/>
        </w:rPr>
        <w:t>do use such devices, do they</w:t>
      </w:r>
      <w:r w:rsidRPr="00863601">
        <w:rPr>
          <w:color w:val="000000" w:themeColor="text1"/>
        </w:rPr>
        <w:t xml:space="preserve"> currently meet these requirements?  What devices do they use to provide programming to subscribers?</w:t>
      </w:r>
      <w:r w:rsidR="00FF01A2" w:rsidRPr="00863601">
        <w:rPr>
          <w:color w:val="000000" w:themeColor="text1"/>
        </w:rPr>
        <w:t xml:space="preserve">  Sky Angel, for example, states that its service cannot be viewed without its “proprietary set-top box, which Sky Angel directly and remotely controls at all times for purposes ranging from periodic service and software updates to service activation or termination.”</w:t>
      </w:r>
      <w:r w:rsidRPr="00863601">
        <w:rPr>
          <w:rStyle w:val="FootnoteReference"/>
          <w:color w:val="000000" w:themeColor="text1"/>
        </w:rPr>
        <w:footnoteReference w:id="173"/>
      </w:r>
      <w:r w:rsidRPr="00863601">
        <w:rPr>
          <w:color w:val="000000" w:themeColor="text1"/>
        </w:rPr>
        <w:t xml:space="preserve">  Do </w:t>
      </w:r>
      <w:r w:rsidR="00FF01A2" w:rsidRPr="00863601">
        <w:rPr>
          <w:color w:val="000000" w:themeColor="text1"/>
        </w:rPr>
        <w:t xml:space="preserve">Internet-based distributors </w:t>
      </w:r>
      <w:r w:rsidRPr="00863601">
        <w:rPr>
          <w:color w:val="000000" w:themeColor="text1"/>
        </w:rPr>
        <w:t>meet the requirements for an exemption from the integration ban?</w:t>
      </w:r>
      <w:r w:rsidRPr="00863601">
        <w:rPr>
          <w:rStyle w:val="FootnoteReference"/>
          <w:color w:val="000000" w:themeColor="text1"/>
        </w:rPr>
        <w:footnoteReference w:id="174"/>
      </w:r>
      <w:r w:rsidRPr="00863601">
        <w:rPr>
          <w:color w:val="000000" w:themeColor="text1"/>
        </w:rPr>
        <w:t xml:space="preserve">  </w:t>
      </w:r>
      <w:r w:rsidRPr="00863601">
        <w:rPr>
          <w:color w:val="000000" w:themeColor="text1"/>
          <w:lang w:eastAsia="ar-SA"/>
        </w:rPr>
        <w:t>Are there aspects of Internet-based video services that make compliance with these requirements more burdensome than for traditional MVPDs?</w:t>
      </w:r>
      <w:r w:rsidR="00593706" w:rsidRPr="00863601">
        <w:rPr>
          <w:color w:val="000000" w:themeColor="text1"/>
          <w:lang w:eastAsia="ar-SA"/>
        </w:rPr>
        <w:t xml:space="preserve">  </w:t>
      </w:r>
      <w:r w:rsidR="00593706" w:rsidRPr="00863601">
        <w:rPr>
          <w:color w:val="000000" w:themeColor="text1"/>
          <w:szCs w:val="22"/>
        </w:rPr>
        <w:t>Will we need to amend our navigation device rules if we adopt the Linear Programming Interpretation, and if so, how?</w:t>
      </w:r>
    </w:p>
    <w:p w:rsidR="00B661C3" w:rsidRPr="00863601" w:rsidRDefault="001237AF" w:rsidP="005E5F79">
      <w:pPr>
        <w:pStyle w:val="ParaNum"/>
        <w:widowControl/>
        <w:rPr>
          <w:color w:val="000000" w:themeColor="text1"/>
          <w:szCs w:val="22"/>
          <w:lang w:eastAsia="ar-SA"/>
        </w:rPr>
      </w:pPr>
      <w:r w:rsidRPr="00863601">
        <w:rPr>
          <w:i/>
          <w:color w:val="000000" w:themeColor="text1"/>
          <w:lang w:eastAsia="ar-SA"/>
        </w:rPr>
        <w:t>Signal Leakage</w:t>
      </w:r>
      <w:r w:rsidRPr="00863601">
        <w:rPr>
          <w:color w:val="000000" w:themeColor="text1"/>
          <w:lang w:eastAsia="ar-SA"/>
        </w:rPr>
        <w:t xml:space="preserve">.  </w:t>
      </w:r>
      <w:r w:rsidR="00AB3138" w:rsidRPr="00863601">
        <w:rPr>
          <w:color w:val="000000" w:themeColor="text1"/>
          <w:lang w:eastAsia="ar-SA"/>
        </w:rPr>
        <w:t xml:space="preserve">The Commission’s rules require </w:t>
      </w:r>
      <w:r w:rsidR="00306731" w:rsidRPr="00863601">
        <w:rPr>
          <w:color w:val="000000" w:themeColor="text1"/>
          <w:lang w:eastAsia="ar-SA"/>
        </w:rPr>
        <w:t>specified</w:t>
      </w:r>
      <w:r w:rsidR="00163E72" w:rsidRPr="00863601">
        <w:rPr>
          <w:color w:val="000000" w:themeColor="text1"/>
          <w:lang w:eastAsia="ar-SA"/>
        </w:rPr>
        <w:t xml:space="preserve"> </w:t>
      </w:r>
      <w:r w:rsidR="00AB3138" w:rsidRPr="00863601">
        <w:rPr>
          <w:color w:val="000000" w:themeColor="text1"/>
          <w:lang w:eastAsia="ar-SA"/>
        </w:rPr>
        <w:t>MVPDs to comply with certain technical rules pertaining to signal leakage</w:t>
      </w:r>
      <w:r w:rsidR="00B14554" w:rsidRPr="00863601">
        <w:rPr>
          <w:color w:val="000000" w:themeColor="text1"/>
          <w:lang w:eastAsia="ar-SA"/>
        </w:rPr>
        <w:t>,</w:t>
      </w:r>
      <w:r w:rsidR="00B661C3" w:rsidRPr="00863601">
        <w:rPr>
          <w:color w:val="000000" w:themeColor="text1"/>
          <w:szCs w:val="22"/>
          <w:vertAlign w:val="superscript"/>
          <w:lang w:eastAsia="ar-SA"/>
        </w:rPr>
        <w:footnoteReference w:id="175"/>
      </w:r>
      <w:r w:rsidR="006212D5" w:rsidRPr="00863601">
        <w:rPr>
          <w:color w:val="000000" w:themeColor="text1"/>
          <w:lang w:eastAsia="ar-SA"/>
        </w:rPr>
        <w:t xml:space="preserve"> as well as reporting</w:t>
      </w:r>
      <w:r w:rsidR="006212D5" w:rsidRPr="00863601">
        <w:rPr>
          <w:rStyle w:val="FootnoteReference"/>
          <w:color w:val="000000" w:themeColor="text1"/>
          <w:lang w:eastAsia="ar-SA"/>
        </w:rPr>
        <w:footnoteReference w:id="176"/>
      </w:r>
      <w:r w:rsidR="006212D5" w:rsidRPr="00863601">
        <w:rPr>
          <w:color w:val="000000" w:themeColor="text1"/>
          <w:lang w:eastAsia="ar-SA"/>
        </w:rPr>
        <w:t xml:space="preserve"> and notification</w:t>
      </w:r>
      <w:r w:rsidR="006212D5" w:rsidRPr="00863601">
        <w:rPr>
          <w:rStyle w:val="FootnoteReference"/>
          <w:color w:val="000000" w:themeColor="text1"/>
          <w:lang w:eastAsia="ar-SA"/>
        </w:rPr>
        <w:footnoteReference w:id="177"/>
      </w:r>
      <w:r w:rsidR="006212D5" w:rsidRPr="00863601">
        <w:rPr>
          <w:color w:val="000000" w:themeColor="text1"/>
          <w:lang w:eastAsia="ar-SA"/>
        </w:rPr>
        <w:t xml:space="preserve"> requirements related thereto.</w:t>
      </w:r>
      <w:r w:rsidR="006212D5" w:rsidRPr="00863601">
        <w:rPr>
          <w:rStyle w:val="FootnoteReference"/>
          <w:color w:val="000000" w:themeColor="text1"/>
          <w:lang w:eastAsia="ar-SA"/>
        </w:rPr>
        <w:footnoteReference w:id="178"/>
      </w:r>
      <w:r w:rsidR="001B01C8" w:rsidRPr="00863601">
        <w:rPr>
          <w:color w:val="000000" w:themeColor="text1"/>
          <w:lang w:eastAsia="ar-SA"/>
        </w:rPr>
        <w:t xml:space="preserve">  </w:t>
      </w:r>
      <w:r w:rsidR="004F54EB" w:rsidRPr="00863601">
        <w:rPr>
          <w:color w:val="000000" w:themeColor="text1"/>
          <w:lang w:eastAsia="ar-SA"/>
        </w:rPr>
        <w:t>We expect that in general MVPDs that use Internet protocol to deliver video will not use aeronautical frequencies and thus will not be subject to these requirements.</w:t>
      </w:r>
      <w:r w:rsidR="004F54EB" w:rsidRPr="00863601">
        <w:rPr>
          <w:rStyle w:val="FootnoteReference"/>
          <w:color w:val="000000" w:themeColor="text1"/>
        </w:rPr>
        <w:t xml:space="preserve"> </w:t>
      </w:r>
      <w:r w:rsidR="004F54EB" w:rsidRPr="00863601">
        <w:rPr>
          <w:rStyle w:val="FootnoteReference"/>
          <w:color w:val="000000" w:themeColor="text1"/>
        </w:rPr>
        <w:footnoteReference w:id="179"/>
      </w:r>
      <w:r w:rsidR="004F54EB" w:rsidRPr="00863601">
        <w:rPr>
          <w:color w:val="000000" w:themeColor="text1"/>
        </w:rPr>
        <w:t xml:space="preserve"> </w:t>
      </w:r>
      <w:r w:rsidR="004F54EB" w:rsidRPr="00863601">
        <w:rPr>
          <w:color w:val="000000" w:themeColor="text1"/>
          <w:lang w:eastAsia="ar-SA"/>
        </w:rPr>
        <w:t xml:space="preserve"> </w:t>
      </w:r>
      <w:r w:rsidR="001B01C8" w:rsidRPr="00863601">
        <w:rPr>
          <w:snapToGrid/>
          <w:color w:val="000000" w:themeColor="text1"/>
          <w:kern w:val="0"/>
        </w:rPr>
        <w:t>We seek comment on</w:t>
      </w:r>
      <w:r w:rsidR="004F54EB" w:rsidRPr="00863601">
        <w:rPr>
          <w:snapToGrid/>
          <w:color w:val="000000" w:themeColor="text1"/>
          <w:kern w:val="0"/>
        </w:rPr>
        <w:t xml:space="preserve"> this expectation, and</w:t>
      </w:r>
      <w:r w:rsidR="001B01C8" w:rsidRPr="00863601">
        <w:rPr>
          <w:snapToGrid/>
          <w:color w:val="000000" w:themeColor="text1"/>
          <w:kern w:val="0"/>
        </w:rPr>
        <w:t xml:space="preserve"> </w:t>
      </w:r>
      <w:r w:rsidR="00E22296" w:rsidRPr="00863601">
        <w:rPr>
          <w:snapToGrid/>
          <w:color w:val="000000" w:themeColor="text1"/>
          <w:kern w:val="0"/>
        </w:rPr>
        <w:t>any</w:t>
      </w:r>
      <w:r w:rsidR="001B01C8" w:rsidRPr="00863601">
        <w:rPr>
          <w:snapToGrid/>
          <w:color w:val="000000" w:themeColor="text1"/>
          <w:kern w:val="0"/>
        </w:rPr>
        <w:t xml:space="preserve"> practical impact these obligations will have on I</w:t>
      </w:r>
      <w:r w:rsidR="001B01C8" w:rsidRPr="00863601">
        <w:rPr>
          <w:color w:val="000000" w:themeColor="text1"/>
        </w:rPr>
        <w:t xml:space="preserve">nternet-based distributors of video programming that qualify as MVPDs.  </w:t>
      </w:r>
      <w:r w:rsidR="00593706" w:rsidRPr="00863601">
        <w:rPr>
          <w:color w:val="000000" w:themeColor="text1"/>
          <w:szCs w:val="22"/>
        </w:rPr>
        <w:t>Will we need to amend our signal leakage rules if we adopt the Linear Programming Interpretation, and if so, how?</w:t>
      </w:r>
    </w:p>
    <w:p w:rsidR="00B661C3" w:rsidRPr="00863601" w:rsidRDefault="001237AF" w:rsidP="005E5F79">
      <w:pPr>
        <w:pStyle w:val="ParaNum"/>
        <w:widowControl/>
        <w:rPr>
          <w:color w:val="000000" w:themeColor="text1"/>
          <w:szCs w:val="22"/>
          <w:lang w:eastAsia="ar-SA"/>
        </w:rPr>
      </w:pPr>
      <w:r w:rsidRPr="00863601">
        <w:rPr>
          <w:i/>
          <w:color w:val="000000" w:themeColor="text1"/>
          <w:szCs w:val="22"/>
          <w:lang w:eastAsia="ar-SA"/>
        </w:rPr>
        <w:t>Inside Wiring</w:t>
      </w:r>
      <w:r w:rsidRPr="00863601">
        <w:rPr>
          <w:color w:val="000000" w:themeColor="text1"/>
          <w:szCs w:val="22"/>
          <w:lang w:eastAsia="ar-SA"/>
        </w:rPr>
        <w:t xml:space="preserve">.  </w:t>
      </w:r>
      <w:r w:rsidR="00701176" w:rsidRPr="00863601">
        <w:rPr>
          <w:color w:val="000000" w:themeColor="text1"/>
          <w:szCs w:val="22"/>
          <w:lang w:eastAsia="ar-SA"/>
        </w:rPr>
        <w:t xml:space="preserve">The Commission’s cable inside wiring rules apply to </w:t>
      </w:r>
      <w:r w:rsidR="00325EBB" w:rsidRPr="00863601">
        <w:rPr>
          <w:color w:val="000000" w:themeColor="text1"/>
          <w:szCs w:val="22"/>
          <w:lang w:eastAsia="ar-SA"/>
        </w:rPr>
        <w:t xml:space="preserve">all </w:t>
      </w:r>
      <w:r w:rsidR="00701176" w:rsidRPr="00863601">
        <w:rPr>
          <w:color w:val="000000" w:themeColor="text1"/>
          <w:szCs w:val="22"/>
          <w:lang w:eastAsia="ar-SA"/>
        </w:rPr>
        <w:t>MVPDs.</w:t>
      </w:r>
      <w:r w:rsidR="00B661C3" w:rsidRPr="00863601">
        <w:rPr>
          <w:color w:val="000000" w:themeColor="text1"/>
          <w:szCs w:val="22"/>
          <w:vertAlign w:val="superscript"/>
          <w:lang w:eastAsia="ar-SA"/>
        </w:rPr>
        <w:footnoteReference w:id="180"/>
      </w:r>
      <w:r w:rsidR="00325EBB" w:rsidRPr="00863601">
        <w:rPr>
          <w:color w:val="000000" w:themeColor="text1"/>
          <w:szCs w:val="22"/>
          <w:lang w:eastAsia="ar-SA"/>
        </w:rPr>
        <w:t xml:space="preserve">  In general terms, these rules govern the di</w:t>
      </w:r>
      <w:r w:rsidR="00B954D5" w:rsidRPr="00863601">
        <w:rPr>
          <w:color w:val="000000" w:themeColor="text1"/>
          <w:szCs w:val="22"/>
          <w:lang w:eastAsia="ar-SA"/>
        </w:rPr>
        <w:t>sposition of home wiring</w:t>
      </w:r>
      <w:r w:rsidR="00B954D5" w:rsidRPr="00863601">
        <w:rPr>
          <w:rStyle w:val="FootnoteReference"/>
          <w:color w:val="000000" w:themeColor="text1"/>
          <w:szCs w:val="22"/>
          <w:lang w:eastAsia="ar-SA"/>
        </w:rPr>
        <w:footnoteReference w:id="181"/>
      </w:r>
      <w:r w:rsidR="00B954D5" w:rsidRPr="00863601">
        <w:rPr>
          <w:color w:val="000000" w:themeColor="text1"/>
          <w:szCs w:val="22"/>
          <w:lang w:eastAsia="ar-SA"/>
        </w:rPr>
        <w:t xml:space="preserve"> and home run wiring</w:t>
      </w:r>
      <w:r w:rsidR="00B954D5" w:rsidRPr="00863601">
        <w:rPr>
          <w:rStyle w:val="FootnoteReference"/>
          <w:color w:val="000000" w:themeColor="text1"/>
          <w:szCs w:val="22"/>
          <w:lang w:eastAsia="ar-SA"/>
        </w:rPr>
        <w:footnoteReference w:id="182"/>
      </w:r>
      <w:r w:rsidR="00B954D5" w:rsidRPr="00863601">
        <w:rPr>
          <w:color w:val="000000" w:themeColor="text1"/>
          <w:szCs w:val="22"/>
          <w:lang w:eastAsia="ar-SA"/>
        </w:rPr>
        <w:t xml:space="preserve"> after a subscriber terminates service.  To what extent</w:t>
      </w:r>
      <w:r w:rsidR="006C6522" w:rsidRPr="00863601">
        <w:rPr>
          <w:color w:val="000000" w:themeColor="text1"/>
          <w:szCs w:val="22"/>
          <w:lang w:eastAsia="ar-SA"/>
        </w:rPr>
        <w:t>, if any,</w:t>
      </w:r>
      <w:r w:rsidR="00B954D5" w:rsidRPr="00863601">
        <w:rPr>
          <w:color w:val="000000" w:themeColor="text1"/>
          <w:szCs w:val="22"/>
          <w:lang w:eastAsia="ar-SA"/>
        </w:rPr>
        <w:t xml:space="preserve"> would t</w:t>
      </w:r>
      <w:r w:rsidR="00B954D5" w:rsidRPr="00863601">
        <w:rPr>
          <w:snapToGrid/>
          <w:color w:val="000000" w:themeColor="text1"/>
          <w:kern w:val="0"/>
        </w:rPr>
        <w:t xml:space="preserve">hese obligations </w:t>
      </w:r>
      <w:r w:rsidR="00F86EA4" w:rsidRPr="00863601">
        <w:rPr>
          <w:snapToGrid/>
          <w:color w:val="000000" w:themeColor="text1"/>
          <w:kern w:val="0"/>
        </w:rPr>
        <w:t>affect</w:t>
      </w:r>
      <w:r w:rsidR="00B954D5" w:rsidRPr="00863601">
        <w:rPr>
          <w:snapToGrid/>
          <w:color w:val="000000" w:themeColor="text1"/>
          <w:kern w:val="0"/>
        </w:rPr>
        <w:t xml:space="preserve"> I</w:t>
      </w:r>
      <w:r w:rsidR="00B954D5" w:rsidRPr="00863601">
        <w:rPr>
          <w:color w:val="000000" w:themeColor="text1"/>
        </w:rPr>
        <w:t>nternet-based distributors of video programming that qualify as MVPDs</w:t>
      </w:r>
      <w:r w:rsidR="00DA4B9C" w:rsidRPr="00863601">
        <w:rPr>
          <w:color w:val="000000" w:themeColor="text1"/>
        </w:rPr>
        <w:t xml:space="preserve">, </w:t>
      </w:r>
      <w:r w:rsidR="00B954D5" w:rsidRPr="00863601">
        <w:rPr>
          <w:color w:val="000000" w:themeColor="text1"/>
        </w:rPr>
        <w:t>especially if they do not control the “last mile” of the transmission path used to deliver video programming to consumers</w:t>
      </w:r>
      <w:r w:rsidR="00F86EA4" w:rsidRPr="00863601">
        <w:rPr>
          <w:color w:val="000000" w:themeColor="text1"/>
        </w:rPr>
        <w:t xml:space="preserve"> but are affiliated with </w:t>
      </w:r>
      <w:r w:rsidR="001C011B" w:rsidRPr="00863601">
        <w:rPr>
          <w:color w:val="000000" w:themeColor="text1"/>
        </w:rPr>
        <w:t>an entity that controls the transmission path</w:t>
      </w:r>
      <w:r w:rsidR="00DA4B9C" w:rsidRPr="00863601">
        <w:rPr>
          <w:color w:val="000000" w:themeColor="text1"/>
        </w:rPr>
        <w:t>?</w:t>
      </w:r>
      <w:r w:rsidR="00820B5A" w:rsidRPr="00863601">
        <w:rPr>
          <w:color w:val="000000" w:themeColor="text1"/>
        </w:rPr>
        <w:t xml:space="preserve">  </w:t>
      </w:r>
      <w:r w:rsidR="00DA2849" w:rsidRPr="00863601">
        <w:rPr>
          <w:color w:val="000000" w:themeColor="text1"/>
        </w:rPr>
        <w:t xml:space="preserve">We expect that if we adopt </w:t>
      </w:r>
      <w:r w:rsidR="003F363B" w:rsidRPr="00863601">
        <w:rPr>
          <w:color w:val="000000" w:themeColor="text1"/>
        </w:rPr>
        <w:t>the Linear Programming Interpretation</w:t>
      </w:r>
      <w:r w:rsidR="00DA2849" w:rsidRPr="00863601">
        <w:rPr>
          <w:color w:val="000000" w:themeColor="text1"/>
        </w:rPr>
        <w:t xml:space="preserve"> that these inside wiring rules would not apply to Internet-based dist</w:t>
      </w:r>
      <w:r w:rsidR="003F363B" w:rsidRPr="00863601">
        <w:rPr>
          <w:color w:val="000000" w:themeColor="text1"/>
        </w:rPr>
        <w:t>ributors of video programming.</w:t>
      </w:r>
    </w:p>
    <w:p w:rsidR="00E007C1" w:rsidRPr="00863601" w:rsidRDefault="001237AF" w:rsidP="005E5F79">
      <w:pPr>
        <w:pStyle w:val="ParaNum"/>
        <w:widowControl/>
        <w:rPr>
          <w:color w:val="000000" w:themeColor="text1"/>
          <w:szCs w:val="22"/>
          <w:lang w:eastAsia="ar-SA"/>
        </w:rPr>
      </w:pPr>
      <w:r w:rsidRPr="00863601">
        <w:rPr>
          <w:i/>
          <w:color w:val="000000" w:themeColor="text1"/>
          <w:szCs w:val="22"/>
          <w:lang w:eastAsia="ar-SA"/>
        </w:rPr>
        <w:t>Commercial Loudness</w:t>
      </w:r>
      <w:r w:rsidRPr="00863601">
        <w:rPr>
          <w:color w:val="000000" w:themeColor="text1"/>
          <w:szCs w:val="22"/>
          <w:lang w:eastAsia="ar-SA"/>
        </w:rPr>
        <w:t xml:space="preserve">.  </w:t>
      </w:r>
      <w:r w:rsidR="00DC7B37" w:rsidRPr="00863601">
        <w:rPr>
          <w:color w:val="000000" w:themeColor="text1"/>
          <w:szCs w:val="22"/>
          <w:lang w:eastAsia="ar-SA"/>
        </w:rPr>
        <w:t xml:space="preserve">As required by the </w:t>
      </w:r>
      <w:r w:rsidR="00DC7B37" w:rsidRPr="00863601">
        <w:rPr>
          <w:color w:val="000000" w:themeColor="text1"/>
        </w:rPr>
        <w:t>CALM Act,</w:t>
      </w:r>
      <w:r w:rsidR="00DC7B37" w:rsidRPr="00863601">
        <w:rPr>
          <w:rStyle w:val="FootnoteReference"/>
          <w:color w:val="000000" w:themeColor="text1"/>
          <w:szCs w:val="22"/>
        </w:rPr>
        <w:footnoteReference w:id="183"/>
      </w:r>
      <w:r w:rsidR="00DC7B37" w:rsidRPr="00863601">
        <w:rPr>
          <w:color w:val="000000" w:themeColor="text1"/>
        </w:rPr>
        <w:t xml:space="preserve"> the Commission’s rules require MVPDs to ensure that commercials are transmitted to consumers at</w:t>
      </w:r>
      <w:r w:rsidR="00870CB6" w:rsidRPr="00863601">
        <w:rPr>
          <w:color w:val="000000" w:themeColor="text1"/>
        </w:rPr>
        <w:t xml:space="preserve"> </w:t>
      </w:r>
      <w:r w:rsidR="007E468D" w:rsidRPr="00863601">
        <w:rPr>
          <w:color w:val="000000" w:themeColor="text1"/>
        </w:rPr>
        <w:t xml:space="preserve">an </w:t>
      </w:r>
      <w:r w:rsidR="00DC7B37" w:rsidRPr="00863601">
        <w:rPr>
          <w:color w:val="000000" w:themeColor="text1"/>
        </w:rPr>
        <w:t>appropriate loudness level in accordance with a specified industry standard.</w:t>
      </w:r>
      <w:r w:rsidR="00DC7B37" w:rsidRPr="00863601">
        <w:rPr>
          <w:rStyle w:val="FootnoteReference"/>
          <w:color w:val="000000" w:themeColor="text1"/>
        </w:rPr>
        <w:footnoteReference w:id="184"/>
      </w:r>
      <w:r w:rsidR="00555628" w:rsidRPr="00863601">
        <w:rPr>
          <w:color w:val="000000" w:themeColor="text1"/>
        </w:rPr>
        <w:t xml:space="preserve">  Depending on the size of the MVPD and the type of the commercial at issue (</w:t>
      </w:r>
      <w:r w:rsidR="00555628" w:rsidRPr="00863601">
        <w:rPr>
          <w:i/>
          <w:color w:val="000000" w:themeColor="text1"/>
        </w:rPr>
        <w:t>i.e</w:t>
      </w:r>
      <w:r w:rsidR="00555628" w:rsidRPr="00863601">
        <w:rPr>
          <w:color w:val="000000" w:themeColor="text1"/>
        </w:rPr>
        <w:t xml:space="preserve">., inserted by the MVPD or embedded in the programing by a third-party), the Commission’s rules may require an MVPD to install equipment </w:t>
      </w:r>
      <w:r w:rsidR="004B7DD6" w:rsidRPr="00863601">
        <w:rPr>
          <w:color w:val="000000" w:themeColor="text1"/>
        </w:rPr>
        <w:t xml:space="preserve">and associated software </w:t>
      </w:r>
      <w:r w:rsidR="00555628" w:rsidRPr="00863601">
        <w:rPr>
          <w:color w:val="000000" w:themeColor="text1"/>
        </w:rPr>
        <w:t>or perform spot checks or both.</w:t>
      </w:r>
      <w:r w:rsidR="00555628" w:rsidRPr="00863601">
        <w:rPr>
          <w:rStyle w:val="FootnoteReference"/>
          <w:color w:val="000000" w:themeColor="text1"/>
        </w:rPr>
        <w:footnoteReference w:id="185"/>
      </w:r>
      <w:r w:rsidR="00555628" w:rsidRPr="00863601">
        <w:rPr>
          <w:color w:val="000000" w:themeColor="text1"/>
        </w:rPr>
        <w:t xml:space="preserve">  </w:t>
      </w:r>
      <w:r w:rsidR="00AB6236" w:rsidRPr="00863601">
        <w:rPr>
          <w:color w:val="000000" w:themeColor="text1"/>
        </w:rPr>
        <w:t xml:space="preserve">Do these requirements need to be modified to apply to </w:t>
      </w:r>
      <w:r w:rsidR="00DC7B37" w:rsidRPr="00863601">
        <w:rPr>
          <w:color w:val="000000" w:themeColor="text1"/>
        </w:rPr>
        <w:t>I</w:t>
      </w:r>
      <w:r w:rsidR="00DC7B37" w:rsidRPr="00863601">
        <w:rPr>
          <w:color w:val="000000" w:themeColor="text1"/>
          <w:szCs w:val="22"/>
        </w:rPr>
        <w:t>nternet-based distributors of video programming</w:t>
      </w:r>
      <w:r w:rsidR="00870CB6" w:rsidRPr="00863601">
        <w:rPr>
          <w:color w:val="000000" w:themeColor="text1"/>
          <w:szCs w:val="22"/>
        </w:rPr>
        <w:t xml:space="preserve"> that qualify as MVPDs</w:t>
      </w:r>
      <w:r w:rsidR="00AD4FF5" w:rsidRPr="00863601">
        <w:rPr>
          <w:color w:val="000000" w:themeColor="text1"/>
          <w:szCs w:val="22"/>
        </w:rPr>
        <w:t>, and if so, how</w:t>
      </w:r>
      <w:r w:rsidR="00DC7B37" w:rsidRPr="00863601">
        <w:rPr>
          <w:color w:val="000000" w:themeColor="text1"/>
          <w:szCs w:val="22"/>
        </w:rPr>
        <w:t xml:space="preserve">?  </w:t>
      </w:r>
      <w:r w:rsidR="00AD4FF5" w:rsidRPr="00863601">
        <w:rPr>
          <w:color w:val="000000" w:themeColor="text1"/>
          <w:szCs w:val="22"/>
        </w:rPr>
        <w:t xml:space="preserve">If the requirements do need to be modified, are there ways to make the rules less burdensome for </w:t>
      </w:r>
      <w:r w:rsidR="00AD4FF5" w:rsidRPr="00863601">
        <w:rPr>
          <w:color w:val="000000" w:themeColor="text1"/>
        </w:rPr>
        <w:t>I</w:t>
      </w:r>
      <w:r w:rsidR="00AD4FF5" w:rsidRPr="00863601">
        <w:rPr>
          <w:color w:val="000000" w:themeColor="text1"/>
          <w:szCs w:val="22"/>
        </w:rPr>
        <w:t>nternet-based distributors of video programming while meeting our statutory mandates?</w:t>
      </w:r>
      <w:r w:rsidR="00DC7B37" w:rsidRPr="00863601">
        <w:rPr>
          <w:color w:val="000000" w:themeColor="text1"/>
          <w:szCs w:val="22"/>
          <w:lang w:eastAsia="ar-SA"/>
        </w:rPr>
        <w:t xml:space="preserve"> </w:t>
      </w:r>
      <w:r w:rsidR="00593706" w:rsidRPr="00863601">
        <w:rPr>
          <w:color w:val="000000" w:themeColor="text1"/>
          <w:szCs w:val="22"/>
          <w:lang w:eastAsia="ar-SA"/>
        </w:rPr>
        <w:t xml:space="preserve"> </w:t>
      </w:r>
    </w:p>
    <w:p w:rsidR="005A3B55" w:rsidRPr="00863601" w:rsidRDefault="001237AF" w:rsidP="005E5F79">
      <w:pPr>
        <w:pStyle w:val="ParaNum"/>
        <w:widowControl/>
        <w:rPr>
          <w:color w:val="000000" w:themeColor="text1"/>
          <w:szCs w:val="22"/>
          <w:lang w:eastAsia="ar-SA"/>
        </w:rPr>
      </w:pPr>
      <w:r w:rsidRPr="00863601">
        <w:rPr>
          <w:i/>
          <w:color w:val="000000" w:themeColor="text1"/>
          <w:szCs w:val="22"/>
        </w:rPr>
        <w:t>MDU Access</w:t>
      </w:r>
      <w:r w:rsidRPr="00863601">
        <w:rPr>
          <w:color w:val="000000" w:themeColor="text1"/>
          <w:szCs w:val="22"/>
        </w:rPr>
        <w:t xml:space="preserve">.  </w:t>
      </w:r>
      <w:r w:rsidR="005A3B55" w:rsidRPr="00863601">
        <w:rPr>
          <w:color w:val="000000" w:themeColor="text1"/>
          <w:szCs w:val="22"/>
        </w:rPr>
        <w:t>The Commission’s rules prohibit cable operators, common carrie</w:t>
      </w:r>
      <w:r w:rsidR="00E22296" w:rsidRPr="00863601">
        <w:rPr>
          <w:color w:val="000000" w:themeColor="text1"/>
          <w:szCs w:val="22"/>
        </w:rPr>
        <w:t>r</w:t>
      </w:r>
      <w:r w:rsidR="005A3B55" w:rsidRPr="00863601">
        <w:rPr>
          <w:color w:val="000000" w:themeColor="text1"/>
          <w:szCs w:val="22"/>
        </w:rPr>
        <w:t>s (or their affiliates) that provide video programming, and OVS operators from enforcing or executing any provision in a contract that grants to it the exclusive right to provide any video programming service to a Multiple Dwelling Unit.</w:t>
      </w:r>
      <w:r w:rsidR="005A3B55" w:rsidRPr="00863601">
        <w:rPr>
          <w:rStyle w:val="FootnoteReference"/>
          <w:color w:val="000000" w:themeColor="text1"/>
          <w:szCs w:val="22"/>
        </w:rPr>
        <w:footnoteReference w:id="186"/>
      </w:r>
      <w:r w:rsidR="005A3B55" w:rsidRPr="00863601">
        <w:rPr>
          <w:color w:val="000000" w:themeColor="text1"/>
          <w:szCs w:val="22"/>
        </w:rPr>
        <w:t xml:space="preserve">  The Commission has sought comment on whether to extend this prohibition to other MVPDs.</w:t>
      </w:r>
      <w:r w:rsidR="005A3B55" w:rsidRPr="00863601">
        <w:rPr>
          <w:rStyle w:val="FootnoteReference"/>
          <w:color w:val="000000" w:themeColor="text1"/>
          <w:szCs w:val="22"/>
        </w:rPr>
        <w:footnoteReference w:id="187"/>
      </w:r>
      <w:r w:rsidR="005A3B55" w:rsidRPr="00863601">
        <w:rPr>
          <w:color w:val="000000" w:themeColor="text1"/>
          <w:szCs w:val="22"/>
        </w:rPr>
        <w:t xml:space="preserve">  To the extent the Commission were to do so, what impact</w:t>
      </w:r>
      <w:r w:rsidR="006C6522" w:rsidRPr="00863601">
        <w:rPr>
          <w:color w:val="000000" w:themeColor="text1"/>
          <w:szCs w:val="22"/>
        </w:rPr>
        <w:t>, if any,</w:t>
      </w:r>
      <w:r w:rsidR="005A3B55" w:rsidRPr="00863601">
        <w:rPr>
          <w:color w:val="000000" w:themeColor="text1"/>
          <w:szCs w:val="22"/>
        </w:rPr>
        <w:t xml:space="preserve"> would this prohibition have on Internet-based distributors of video programming that qualify as MVPDs?</w:t>
      </w:r>
      <w:r w:rsidR="00820B5A" w:rsidRPr="00863601">
        <w:rPr>
          <w:color w:val="000000" w:themeColor="text1"/>
          <w:szCs w:val="22"/>
        </w:rPr>
        <w:t xml:space="preserve"> </w:t>
      </w:r>
      <w:r w:rsidR="00754BF4" w:rsidRPr="00863601">
        <w:rPr>
          <w:color w:val="000000" w:themeColor="text1"/>
          <w:szCs w:val="22"/>
        </w:rPr>
        <w:t xml:space="preserve"> </w:t>
      </w:r>
      <w:r w:rsidR="00FA5AAA" w:rsidRPr="00863601">
        <w:rPr>
          <w:color w:val="000000" w:themeColor="text1"/>
          <w:szCs w:val="22"/>
        </w:rPr>
        <w:t>Is there any way a landlord could restrict a tenant’s ability to access certain content over the Internet</w:t>
      </w:r>
      <w:r w:rsidR="00820B5A" w:rsidRPr="00863601">
        <w:rPr>
          <w:color w:val="000000" w:themeColor="text1"/>
          <w:szCs w:val="22"/>
        </w:rPr>
        <w:t xml:space="preserve"> to prevent a tenant from accessing an Internet-based linear video service</w:t>
      </w:r>
      <w:r w:rsidR="00FA5AAA" w:rsidRPr="00863601">
        <w:rPr>
          <w:color w:val="000000" w:themeColor="text1"/>
          <w:szCs w:val="22"/>
        </w:rPr>
        <w:t xml:space="preserve">? </w:t>
      </w:r>
      <w:r w:rsidR="00593706" w:rsidRPr="00863601">
        <w:rPr>
          <w:color w:val="000000" w:themeColor="text1"/>
          <w:szCs w:val="22"/>
        </w:rPr>
        <w:t xml:space="preserve"> Will we need to amend our MDU access rules if we adopt the Linear Programming Interpretation, and if so, how?</w:t>
      </w:r>
    </w:p>
    <w:p w:rsidR="00B30504" w:rsidRPr="00863601" w:rsidRDefault="001237AF" w:rsidP="005E5F79">
      <w:pPr>
        <w:pStyle w:val="ParaNum"/>
        <w:widowControl/>
        <w:rPr>
          <w:color w:val="000000" w:themeColor="text1"/>
          <w:szCs w:val="22"/>
          <w:lang w:eastAsia="ar-SA"/>
        </w:rPr>
      </w:pPr>
      <w:r w:rsidRPr="00863601">
        <w:rPr>
          <w:i/>
          <w:color w:val="000000" w:themeColor="text1"/>
          <w:szCs w:val="22"/>
          <w:lang w:eastAsia="ar-SA"/>
        </w:rPr>
        <w:t>Other Regulatory Issues</w:t>
      </w:r>
      <w:r w:rsidRPr="00863601">
        <w:rPr>
          <w:color w:val="000000" w:themeColor="text1"/>
          <w:szCs w:val="22"/>
          <w:lang w:eastAsia="ar-SA"/>
        </w:rPr>
        <w:t xml:space="preserve">.  </w:t>
      </w:r>
      <w:r w:rsidR="003B164E" w:rsidRPr="00863601">
        <w:rPr>
          <w:color w:val="000000" w:themeColor="text1"/>
          <w:szCs w:val="22"/>
          <w:lang w:eastAsia="ar-SA"/>
        </w:rPr>
        <w:t xml:space="preserve">We also seek comment on how other regulations should account for </w:t>
      </w:r>
      <w:r w:rsidR="003B164E" w:rsidRPr="00863601">
        <w:rPr>
          <w:color w:val="000000" w:themeColor="text1"/>
          <w:szCs w:val="22"/>
        </w:rPr>
        <w:t>Internet-based distributors of video programming</w:t>
      </w:r>
      <w:r w:rsidR="003B164E" w:rsidRPr="00863601">
        <w:rPr>
          <w:color w:val="000000" w:themeColor="text1"/>
          <w:szCs w:val="22"/>
          <w:lang w:eastAsia="ar-SA"/>
        </w:rPr>
        <w:t xml:space="preserve"> that qualify as MVPDs.  </w:t>
      </w:r>
      <w:r w:rsidR="00AC53B0" w:rsidRPr="00863601">
        <w:rPr>
          <w:color w:val="000000" w:themeColor="text1"/>
          <w:szCs w:val="22"/>
          <w:lang w:eastAsia="ar-SA"/>
        </w:rPr>
        <w:t xml:space="preserve">For example, should we extend </w:t>
      </w:r>
      <w:r w:rsidR="00464704" w:rsidRPr="00863601">
        <w:rPr>
          <w:color w:val="000000" w:themeColor="text1"/>
          <w:szCs w:val="22"/>
          <w:lang w:eastAsia="ar-SA"/>
        </w:rPr>
        <w:t xml:space="preserve">any </w:t>
      </w:r>
      <w:r w:rsidR="00AC53B0" w:rsidRPr="00863601">
        <w:rPr>
          <w:color w:val="000000" w:themeColor="text1"/>
          <w:szCs w:val="22"/>
          <w:lang w:eastAsia="ar-SA"/>
        </w:rPr>
        <w:t>cable or satellite-specific regulations to MVPDs more generally?  If so, what would be our statutory basis for doing so?</w:t>
      </w:r>
    </w:p>
    <w:p w:rsidR="00B661C3" w:rsidRPr="00863601" w:rsidRDefault="00B90A6A" w:rsidP="005E5F79">
      <w:pPr>
        <w:pStyle w:val="Heading3"/>
        <w:widowControl/>
        <w:rPr>
          <w:color w:val="000000" w:themeColor="text1"/>
          <w:szCs w:val="22"/>
        </w:rPr>
      </w:pPr>
      <w:bookmarkStart w:id="344" w:name="_Toc349751935"/>
      <w:bookmarkStart w:id="345" w:name="_Toc395187298"/>
      <w:bookmarkStart w:id="346" w:name="_Toc398540299"/>
      <w:bookmarkStart w:id="347" w:name="_Toc398565521"/>
      <w:bookmarkStart w:id="348" w:name="_Toc398624356"/>
      <w:bookmarkStart w:id="349" w:name="_Toc398746612"/>
      <w:bookmarkStart w:id="350" w:name="_Toc399148316"/>
      <w:bookmarkStart w:id="351" w:name="_Toc399260534"/>
      <w:bookmarkStart w:id="352" w:name="_Toc399316550"/>
      <w:bookmarkStart w:id="353" w:name="_Toc401241708"/>
      <w:bookmarkStart w:id="354" w:name="_Toc401259711"/>
      <w:bookmarkStart w:id="355" w:name="_Toc401312835"/>
      <w:bookmarkStart w:id="356" w:name="_Toc401850542"/>
      <w:bookmarkStart w:id="357" w:name="_Toc402169640"/>
      <w:bookmarkStart w:id="358" w:name="_Toc405301024"/>
      <w:bookmarkStart w:id="359" w:name="_Toc405884728"/>
      <w:bookmarkStart w:id="360" w:name="_Toc406609218"/>
      <w:r w:rsidRPr="00863601">
        <w:rPr>
          <w:color w:val="000000" w:themeColor="text1"/>
          <w:szCs w:val="22"/>
        </w:rPr>
        <w:t>Impact on Content Owners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B661C3" w:rsidRPr="00863601" w:rsidRDefault="00555DE0" w:rsidP="005E5F79">
      <w:pPr>
        <w:pStyle w:val="ParaNum"/>
        <w:widowControl/>
        <w:rPr>
          <w:color w:val="000000" w:themeColor="text1"/>
          <w:szCs w:val="22"/>
        </w:rPr>
      </w:pPr>
      <w:r w:rsidRPr="00863601">
        <w:rPr>
          <w:color w:val="000000" w:themeColor="text1"/>
          <w:szCs w:val="22"/>
        </w:rPr>
        <w:t>As discussed in this section, o</w:t>
      </w:r>
      <w:r w:rsidR="00A37EC2" w:rsidRPr="00863601">
        <w:rPr>
          <w:color w:val="000000" w:themeColor="text1"/>
          <w:szCs w:val="22"/>
        </w:rPr>
        <w:t xml:space="preserve">ur interpretation of the definition of an MVPD </w:t>
      </w:r>
      <w:r w:rsidR="00B90A6A" w:rsidRPr="00863601">
        <w:rPr>
          <w:color w:val="000000" w:themeColor="text1"/>
          <w:szCs w:val="22"/>
        </w:rPr>
        <w:t xml:space="preserve">may </w:t>
      </w:r>
      <w:r w:rsidR="00A37EC2" w:rsidRPr="00863601">
        <w:rPr>
          <w:color w:val="000000" w:themeColor="text1"/>
          <w:szCs w:val="22"/>
        </w:rPr>
        <w:t xml:space="preserve">impact </w:t>
      </w:r>
      <w:r w:rsidR="00B90A6A" w:rsidRPr="00863601">
        <w:rPr>
          <w:color w:val="000000" w:themeColor="text1"/>
          <w:szCs w:val="22"/>
        </w:rPr>
        <w:t xml:space="preserve">content owners in their </w:t>
      </w:r>
      <w:r w:rsidR="00B661C3" w:rsidRPr="00863601">
        <w:rPr>
          <w:color w:val="000000" w:themeColor="text1"/>
          <w:szCs w:val="22"/>
        </w:rPr>
        <w:t xml:space="preserve">negotiations </w:t>
      </w:r>
      <w:r w:rsidR="00B90A6A" w:rsidRPr="00863601">
        <w:rPr>
          <w:color w:val="000000" w:themeColor="text1"/>
          <w:szCs w:val="22"/>
        </w:rPr>
        <w:t xml:space="preserve">with broadcasters, cable networks, and MVPDs.  </w:t>
      </w:r>
      <w:r w:rsidRPr="00863601">
        <w:rPr>
          <w:color w:val="000000" w:themeColor="text1"/>
          <w:szCs w:val="22"/>
        </w:rPr>
        <w:t>We seek comment on these issues below.</w:t>
      </w:r>
      <w:r w:rsidR="00A37EC2" w:rsidRPr="00863601">
        <w:rPr>
          <w:color w:val="000000" w:themeColor="text1"/>
          <w:szCs w:val="22"/>
        </w:rPr>
        <w:t xml:space="preserve">  </w:t>
      </w:r>
    </w:p>
    <w:p w:rsidR="00B661C3" w:rsidRPr="00863601" w:rsidRDefault="00B661C3" w:rsidP="005E5F79">
      <w:pPr>
        <w:pStyle w:val="Heading4"/>
        <w:widowControl/>
        <w:rPr>
          <w:color w:val="000000" w:themeColor="text1"/>
          <w:szCs w:val="22"/>
        </w:rPr>
      </w:pPr>
      <w:bookmarkStart w:id="361" w:name="_Toc343164347"/>
      <w:bookmarkStart w:id="362" w:name="_Toc343169023"/>
      <w:bookmarkStart w:id="363" w:name="_Toc343875937"/>
      <w:bookmarkStart w:id="364" w:name="_Toc345939790"/>
      <w:bookmarkStart w:id="365" w:name="_Toc345940001"/>
      <w:bookmarkStart w:id="366" w:name="_Toc346121524"/>
      <w:bookmarkStart w:id="367" w:name="_Toc346192567"/>
      <w:bookmarkStart w:id="368" w:name="_Toc346192644"/>
      <w:bookmarkStart w:id="369" w:name="_Toc347491035"/>
      <w:bookmarkStart w:id="370" w:name="_Toc349751936"/>
      <w:bookmarkStart w:id="371" w:name="_Toc395187299"/>
      <w:bookmarkStart w:id="372" w:name="_Toc398540300"/>
      <w:bookmarkStart w:id="373" w:name="_Toc398565522"/>
      <w:bookmarkStart w:id="374" w:name="_Toc398624357"/>
      <w:bookmarkStart w:id="375" w:name="_Toc398746613"/>
      <w:bookmarkStart w:id="376" w:name="_Toc399148317"/>
      <w:bookmarkStart w:id="377" w:name="_Toc399260535"/>
      <w:bookmarkStart w:id="378" w:name="_Toc399316551"/>
      <w:bookmarkStart w:id="379" w:name="_Toc401241709"/>
      <w:bookmarkStart w:id="380" w:name="_Toc401259712"/>
      <w:bookmarkStart w:id="381" w:name="_Toc401312836"/>
      <w:bookmarkStart w:id="382" w:name="_Toc401850543"/>
      <w:bookmarkStart w:id="383" w:name="_Toc402169641"/>
      <w:bookmarkStart w:id="384" w:name="_Toc405301025"/>
      <w:bookmarkStart w:id="385" w:name="_Toc405884729"/>
      <w:bookmarkStart w:id="386" w:name="_Toc406609219"/>
      <w:r w:rsidRPr="00863601">
        <w:rPr>
          <w:color w:val="000000" w:themeColor="text1"/>
          <w:szCs w:val="22"/>
        </w:rPr>
        <w:t>Broadcast Content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63601">
        <w:rPr>
          <w:color w:val="000000" w:themeColor="text1"/>
          <w:szCs w:val="22"/>
        </w:rPr>
        <w:t xml:space="preserve"> </w:t>
      </w:r>
    </w:p>
    <w:p w:rsidR="000229AB" w:rsidRPr="00863601" w:rsidRDefault="00FD51C0" w:rsidP="005E5F79">
      <w:pPr>
        <w:pStyle w:val="ParaNum"/>
        <w:widowControl/>
        <w:rPr>
          <w:color w:val="000000" w:themeColor="text1"/>
          <w:szCs w:val="22"/>
        </w:rPr>
      </w:pPr>
      <w:r w:rsidRPr="00863601">
        <w:rPr>
          <w:color w:val="000000" w:themeColor="text1"/>
          <w:szCs w:val="22"/>
        </w:rPr>
        <w:t>Section 111 of the Copyright Act provides “cable systems” (as defined by the Copyright Act) a statutory license to retransmit copyrighted broadcast performances if the “cable system” pays a statutory fee for those performances.</w:t>
      </w:r>
      <w:r w:rsidRPr="00863601">
        <w:rPr>
          <w:rStyle w:val="FootnoteReference"/>
          <w:color w:val="000000" w:themeColor="text1"/>
          <w:szCs w:val="22"/>
        </w:rPr>
        <w:footnoteReference w:id="188"/>
      </w:r>
      <w:r w:rsidRPr="00863601">
        <w:rPr>
          <w:color w:val="000000" w:themeColor="text1"/>
          <w:szCs w:val="22"/>
        </w:rPr>
        <w:t xml:space="preserve">  </w:t>
      </w:r>
      <w:r w:rsidR="00383B61" w:rsidRPr="00863601">
        <w:rPr>
          <w:color w:val="000000" w:themeColor="text1"/>
          <w:szCs w:val="22"/>
        </w:rPr>
        <w:t>Some c</w:t>
      </w:r>
      <w:r w:rsidR="00201371" w:rsidRPr="00863601">
        <w:rPr>
          <w:color w:val="000000" w:themeColor="text1"/>
          <w:szCs w:val="22"/>
        </w:rPr>
        <w:t xml:space="preserve">ontent creators and owners </w:t>
      </w:r>
      <w:r w:rsidR="00383B61" w:rsidRPr="00863601">
        <w:rPr>
          <w:color w:val="000000" w:themeColor="text1"/>
          <w:szCs w:val="22"/>
        </w:rPr>
        <w:t>contend that the Commission</w:t>
      </w:r>
      <w:r w:rsidR="004F12AC" w:rsidRPr="00863601">
        <w:rPr>
          <w:color w:val="000000" w:themeColor="text1"/>
          <w:szCs w:val="22"/>
        </w:rPr>
        <w:t>,</w:t>
      </w:r>
      <w:r w:rsidR="00383B61" w:rsidRPr="00863601">
        <w:rPr>
          <w:color w:val="000000" w:themeColor="text1"/>
          <w:szCs w:val="22"/>
        </w:rPr>
        <w:t xml:space="preserve"> in interpreting the definition of MVPD in the Communications Act</w:t>
      </w:r>
      <w:r w:rsidR="004F12AC" w:rsidRPr="00863601">
        <w:rPr>
          <w:color w:val="000000" w:themeColor="text1"/>
          <w:szCs w:val="22"/>
        </w:rPr>
        <w:t>,</w:t>
      </w:r>
      <w:r w:rsidR="00383B61" w:rsidRPr="00863601">
        <w:rPr>
          <w:color w:val="000000" w:themeColor="text1"/>
          <w:szCs w:val="22"/>
        </w:rPr>
        <w:t xml:space="preserve"> should be cognizant of the interplay between</w:t>
      </w:r>
      <w:r w:rsidRPr="00863601">
        <w:rPr>
          <w:color w:val="000000" w:themeColor="text1"/>
          <w:szCs w:val="22"/>
        </w:rPr>
        <w:t xml:space="preserve"> Section 111 of</w:t>
      </w:r>
      <w:r w:rsidR="00383B61" w:rsidRPr="00863601">
        <w:rPr>
          <w:color w:val="000000" w:themeColor="text1"/>
          <w:szCs w:val="22"/>
        </w:rPr>
        <w:t xml:space="preserve"> the Copyright Act and the Communications Act</w:t>
      </w:r>
      <w:r w:rsidR="00383B61" w:rsidRPr="00863601">
        <w:rPr>
          <w:rStyle w:val="FootnoteReference"/>
          <w:color w:val="000000" w:themeColor="text1"/>
          <w:szCs w:val="22"/>
        </w:rPr>
        <w:footnoteReference w:id="189"/>
      </w:r>
      <w:r w:rsidR="00383B61" w:rsidRPr="00863601">
        <w:rPr>
          <w:color w:val="000000" w:themeColor="text1"/>
          <w:szCs w:val="22"/>
        </w:rPr>
        <w:t xml:space="preserve"> and even suggest that a Commission decision interpreting the definition of MVPD to include Internet-based distributors would conflict with copyright law.</w:t>
      </w:r>
      <w:r w:rsidR="00383B61" w:rsidRPr="00863601">
        <w:rPr>
          <w:rStyle w:val="FootnoteReference"/>
          <w:color w:val="000000" w:themeColor="text1"/>
          <w:szCs w:val="22"/>
        </w:rPr>
        <w:footnoteReference w:id="190"/>
      </w:r>
      <w:r w:rsidR="00383B61" w:rsidRPr="00863601">
        <w:rPr>
          <w:color w:val="000000" w:themeColor="text1"/>
          <w:szCs w:val="22"/>
        </w:rPr>
        <w:t xml:space="preserve">  </w:t>
      </w:r>
      <w:r w:rsidR="00C23E5D" w:rsidRPr="00863601">
        <w:rPr>
          <w:color w:val="000000" w:themeColor="text1"/>
          <w:szCs w:val="22"/>
        </w:rPr>
        <w:t>But the market and legal landscape has changed significantly since content creators and owners made those claims</w:t>
      </w:r>
      <w:r w:rsidR="00383B61" w:rsidRPr="00863601">
        <w:rPr>
          <w:color w:val="000000" w:themeColor="text1"/>
          <w:szCs w:val="22"/>
        </w:rPr>
        <w:t>.</w:t>
      </w:r>
      <w:r w:rsidR="00C23E5D" w:rsidRPr="00863601">
        <w:rPr>
          <w:rStyle w:val="FootnoteReference"/>
          <w:color w:val="000000" w:themeColor="text1"/>
          <w:szCs w:val="22"/>
        </w:rPr>
        <w:footnoteReference w:id="191"/>
      </w:r>
      <w:r w:rsidR="00383B61" w:rsidRPr="00863601">
        <w:rPr>
          <w:color w:val="000000" w:themeColor="text1"/>
          <w:szCs w:val="22"/>
        </w:rPr>
        <w:t xml:space="preserve">  </w:t>
      </w:r>
      <w:r w:rsidR="00C23E5D" w:rsidRPr="00863601">
        <w:rPr>
          <w:color w:val="000000" w:themeColor="text1"/>
          <w:szCs w:val="22"/>
        </w:rPr>
        <w:t xml:space="preserve">Therefore, </w:t>
      </w:r>
      <w:r w:rsidR="00383B61" w:rsidRPr="00863601">
        <w:rPr>
          <w:color w:val="000000" w:themeColor="text1"/>
          <w:szCs w:val="22"/>
        </w:rPr>
        <w:t xml:space="preserve">we ask commenters to </w:t>
      </w:r>
      <w:r w:rsidR="00C23E5D" w:rsidRPr="00863601">
        <w:rPr>
          <w:color w:val="000000" w:themeColor="text1"/>
          <w:szCs w:val="22"/>
        </w:rPr>
        <w:t>update</w:t>
      </w:r>
      <w:r w:rsidR="00383B61" w:rsidRPr="00863601">
        <w:rPr>
          <w:color w:val="000000" w:themeColor="text1"/>
          <w:szCs w:val="22"/>
        </w:rPr>
        <w:t xml:space="preserve"> the </w:t>
      </w:r>
      <w:r w:rsidR="00C23E5D" w:rsidRPr="00863601">
        <w:rPr>
          <w:color w:val="000000" w:themeColor="text1"/>
          <w:szCs w:val="22"/>
        </w:rPr>
        <w:t>record with respect to how</w:t>
      </w:r>
      <w:r w:rsidR="00383B61" w:rsidRPr="00863601">
        <w:rPr>
          <w:color w:val="000000" w:themeColor="text1"/>
          <w:szCs w:val="22"/>
        </w:rPr>
        <w:t xml:space="preserve"> </w:t>
      </w:r>
      <w:r w:rsidR="00F91BF4" w:rsidRPr="00863601">
        <w:rPr>
          <w:color w:val="000000" w:themeColor="text1"/>
          <w:szCs w:val="22"/>
        </w:rPr>
        <w:t xml:space="preserve">expanding </w:t>
      </w:r>
      <w:r w:rsidR="00C23E5D" w:rsidRPr="00863601">
        <w:rPr>
          <w:color w:val="000000" w:themeColor="text1"/>
          <w:szCs w:val="22"/>
        </w:rPr>
        <w:t xml:space="preserve">the definition </w:t>
      </w:r>
      <w:r w:rsidR="00383B61" w:rsidRPr="00863601">
        <w:rPr>
          <w:color w:val="000000" w:themeColor="text1"/>
          <w:szCs w:val="22"/>
        </w:rPr>
        <w:t xml:space="preserve">of MVPD in the Communications Act to include some Internet-based distributors </w:t>
      </w:r>
      <w:r w:rsidR="00C23E5D" w:rsidRPr="00863601">
        <w:rPr>
          <w:color w:val="000000" w:themeColor="text1"/>
          <w:szCs w:val="22"/>
        </w:rPr>
        <w:t>interrelates</w:t>
      </w:r>
      <w:r w:rsidR="00383B61" w:rsidRPr="00863601">
        <w:rPr>
          <w:color w:val="000000" w:themeColor="text1"/>
          <w:szCs w:val="22"/>
        </w:rPr>
        <w:t xml:space="preserve"> with copyright law.</w:t>
      </w:r>
    </w:p>
    <w:p w:rsidR="00B661C3" w:rsidRPr="00863601" w:rsidRDefault="00B661C3" w:rsidP="005E5F79">
      <w:pPr>
        <w:pStyle w:val="Heading4"/>
        <w:widowControl/>
        <w:rPr>
          <w:color w:val="000000" w:themeColor="text1"/>
          <w:szCs w:val="22"/>
        </w:rPr>
      </w:pPr>
      <w:bookmarkStart w:id="387" w:name="_Toc343164348"/>
      <w:bookmarkStart w:id="388" w:name="_Toc343169024"/>
      <w:bookmarkStart w:id="389" w:name="_Toc343875938"/>
      <w:bookmarkStart w:id="390" w:name="_Toc345939791"/>
      <w:bookmarkStart w:id="391" w:name="_Toc345940002"/>
      <w:bookmarkStart w:id="392" w:name="_Toc346121525"/>
      <w:bookmarkStart w:id="393" w:name="_Toc346192568"/>
      <w:bookmarkStart w:id="394" w:name="_Toc346192645"/>
      <w:bookmarkStart w:id="395" w:name="_Toc347491036"/>
      <w:bookmarkStart w:id="396" w:name="_Toc349751937"/>
      <w:bookmarkStart w:id="397" w:name="_Toc395187300"/>
      <w:bookmarkStart w:id="398" w:name="_Toc398540301"/>
      <w:bookmarkStart w:id="399" w:name="_Toc398565523"/>
      <w:bookmarkStart w:id="400" w:name="_Toc398624358"/>
      <w:bookmarkStart w:id="401" w:name="_Toc398746614"/>
      <w:bookmarkStart w:id="402" w:name="_Toc399148318"/>
      <w:bookmarkStart w:id="403" w:name="_Toc399260536"/>
      <w:bookmarkStart w:id="404" w:name="_Toc399316552"/>
      <w:bookmarkStart w:id="405" w:name="_Toc401241710"/>
      <w:bookmarkStart w:id="406" w:name="_Toc401259713"/>
      <w:bookmarkStart w:id="407" w:name="_Toc401312837"/>
      <w:bookmarkStart w:id="408" w:name="_Toc401850544"/>
      <w:bookmarkStart w:id="409" w:name="_Toc402169642"/>
      <w:bookmarkStart w:id="410" w:name="_Toc405301026"/>
      <w:bookmarkStart w:id="411" w:name="_Toc405884730"/>
      <w:bookmarkStart w:id="412" w:name="_Toc406609220"/>
      <w:r w:rsidRPr="00863601">
        <w:rPr>
          <w:color w:val="000000" w:themeColor="text1"/>
          <w:szCs w:val="22"/>
        </w:rPr>
        <w:t>Cable-Affiliated Content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863601">
        <w:rPr>
          <w:color w:val="000000" w:themeColor="text1"/>
          <w:szCs w:val="22"/>
        </w:rPr>
        <w:t xml:space="preserve"> </w:t>
      </w:r>
    </w:p>
    <w:p w:rsidR="0015004D" w:rsidRPr="00863601" w:rsidRDefault="00555DE0" w:rsidP="005E5F79">
      <w:pPr>
        <w:pStyle w:val="ParaNum"/>
        <w:widowControl/>
        <w:rPr>
          <w:color w:val="000000" w:themeColor="text1"/>
          <w:szCs w:val="22"/>
        </w:rPr>
      </w:pPr>
      <w:r w:rsidRPr="00863601">
        <w:rPr>
          <w:color w:val="000000" w:themeColor="text1"/>
        </w:rPr>
        <w:t xml:space="preserve">Through application of the program access rules, Internet-based distributors that qualify as MVPDs will be entitled to non-discriminatory access to cable-affiliated </w:t>
      </w:r>
      <w:r w:rsidR="00507DF4" w:rsidRPr="00863601">
        <w:rPr>
          <w:color w:val="000000" w:themeColor="text1"/>
        </w:rPr>
        <w:t>networks</w:t>
      </w:r>
      <w:r w:rsidRPr="00863601">
        <w:rPr>
          <w:color w:val="000000" w:themeColor="text1"/>
        </w:rPr>
        <w:t>.</w:t>
      </w:r>
      <w:r w:rsidR="004D0ABB" w:rsidRPr="00863601">
        <w:rPr>
          <w:rStyle w:val="FootnoteReference"/>
          <w:color w:val="000000" w:themeColor="text1"/>
        </w:rPr>
        <w:footnoteReference w:id="192"/>
      </w:r>
      <w:r w:rsidRPr="00863601">
        <w:rPr>
          <w:color w:val="000000" w:themeColor="text1"/>
        </w:rPr>
        <w:t xml:space="preserve">  </w:t>
      </w:r>
      <w:r w:rsidR="004D0ABB" w:rsidRPr="00863601">
        <w:rPr>
          <w:color w:val="000000" w:themeColor="text1"/>
        </w:rPr>
        <w:t>G</w:t>
      </w:r>
      <w:r w:rsidRPr="00863601">
        <w:rPr>
          <w:color w:val="000000" w:themeColor="text1"/>
        </w:rPr>
        <w:t xml:space="preserve">enerally speaking, a </w:t>
      </w:r>
      <w:r w:rsidR="00E220D0" w:rsidRPr="00863601">
        <w:rPr>
          <w:color w:val="000000" w:themeColor="text1"/>
        </w:rPr>
        <w:t>programmer</w:t>
      </w:r>
      <w:r w:rsidRPr="00863601">
        <w:rPr>
          <w:color w:val="000000" w:themeColor="text1"/>
        </w:rPr>
        <w:t xml:space="preserve"> licenses content </w:t>
      </w:r>
      <w:r w:rsidR="004D0ABB" w:rsidRPr="00863601">
        <w:rPr>
          <w:color w:val="000000" w:themeColor="text1"/>
        </w:rPr>
        <w:t xml:space="preserve">from </w:t>
      </w:r>
      <w:r w:rsidRPr="00863601">
        <w:rPr>
          <w:color w:val="000000" w:themeColor="text1"/>
        </w:rPr>
        <w:t xml:space="preserve">various content creators, </w:t>
      </w:r>
      <w:r w:rsidR="004D0ABB" w:rsidRPr="00863601">
        <w:rPr>
          <w:color w:val="000000" w:themeColor="text1"/>
        </w:rPr>
        <w:t>aggregates</w:t>
      </w:r>
      <w:r w:rsidRPr="00863601">
        <w:rPr>
          <w:color w:val="000000" w:themeColor="text1"/>
        </w:rPr>
        <w:t xml:space="preserve"> the content in</w:t>
      </w:r>
      <w:r w:rsidR="004D0ABB" w:rsidRPr="00863601">
        <w:rPr>
          <w:color w:val="000000" w:themeColor="text1"/>
        </w:rPr>
        <w:t>to</w:t>
      </w:r>
      <w:r w:rsidRPr="00863601">
        <w:rPr>
          <w:color w:val="000000" w:themeColor="text1"/>
        </w:rPr>
        <w:t xml:space="preserve"> a network, and then licenses the network to MVPDs for distribution.</w:t>
      </w:r>
      <w:r w:rsidR="00E648B3" w:rsidRPr="00863601">
        <w:rPr>
          <w:rStyle w:val="FootnoteReference"/>
          <w:color w:val="000000" w:themeColor="text1"/>
        </w:rPr>
        <w:footnoteReference w:id="193"/>
      </w:r>
      <w:r w:rsidRPr="00863601">
        <w:rPr>
          <w:color w:val="000000" w:themeColor="text1"/>
        </w:rPr>
        <w:t xml:space="preserve">  Discovery</w:t>
      </w:r>
      <w:r w:rsidR="004D0ABB" w:rsidRPr="00863601">
        <w:rPr>
          <w:color w:val="000000" w:themeColor="text1"/>
        </w:rPr>
        <w:t xml:space="preserve"> </w:t>
      </w:r>
      <w:r w:rsidRPr="00863601">
        <w:rPr>
          <w:color w:val="000000" w:themeColor="text1"/>
        </w:rPr>
        <w:t>claims</w:t>
      </w:r>
      <w:r w:rsidR="004D0ABB" w:rsidRPr="00863601">
        <w:rPr>
          <w:color w:val="000000" w:themeColor="text1"/>
        </w:rPr>
        <w:t>, however,</w:t>
      </w:r>
      <w:r w:rsidRPr="00863601">
        <w:rPr>
          <w:color w:val="000000" w:themeColor="text1"/>
        </w:rPr>
        <w:t xml:space="preserve"> that </w:t>
      </w:r>
      <w:r w:rsidR="004D0ABB" w:rsidRPr="00863601">
        <w:rPr>
          <w:color w:val="000000" w:themeColor="text1"/>
        </w:rPr>
        <w:t xml:space="preserve">cable-affiliated </w:t>
      </w:r>
      <w:r w:rsidR="00507DF4" w:rsidRPr="00863601">
        <w:rPr>
          <w:color w:val="000000" w:themeColor="text1"/>
        </w:rPr>
        <w:t xml:space="preserve">networks </w:t>
      </w:r>
      <w:r w:rsidR="004D0ABB" w:rsidRPr="00863601">
        <w:rPr>
          <w:color w:val="000000" w:themeColor="text1"/>
        </w:rPr>
        <w:t xml:space="preserve">cannot license </w:t>
      </w:r>
      <w:r w:rsidR="00507DF4" w:rsidRPr="00863601">
        <w:rPr>
          <w:color w:val="000000" w:themeColor="text1"/>
        </w:rPr>
        <w:t xml:space="preserve">all of the </w:t>
      </w:r>
      <w:r w:rsidR="004D0ABB" w:rsidRPr="00863601">
        <w:rPr>
          <w:color w:val="000000" w:themeColor="text1"/>
        </w:rPr>
        <w:t xml:space="preserve">content </w:t>
      </w:r>
      <w:r w:rsidR="00507DF4" w:rsidRPr="00863601">
        <w:rPr>
          <w:color w:val="000000" w:themeColor="text1"/>
        </w:rPr>
        <w:t>displayed on their networks for distribution on the Internet because they frequently do not possess the right to authorize Internet distribution</w:t>
      </w:r>
      <w:r w:rsidR="0092251D" w:rsidRPr="00863601">
        <w:rPr>
          <w:color w:val="000000" w:themeColor="text1"/>
        </w:rPr>
        <w:t xml:space="preserve"> of that content</w:t>
      </w:r>
      <w:r w:rsidR="00507DF4" w:rsidRPr="00863601">
        <w:rPr>
          <w:color w:val="000000" w:themeColor="text1"/>
        </w:rPr>
        <w:t>.</w:t>
      </w:r>
      <w:r w:rsidR="0014068D" w:rsidRPr="00863601">
        <w:rPr>
          <w:rStyle w:val="FootnoteReference"/>
          <w:color w:val="000000" w:themeColor="text1"/>
        </w:rPr>
        <w:footnoteReference w:id="194"/>
      </w:r>
      <w:r w:rsidR="00507DF4" w:rsidRPr="00863601">
        <w:rPr>
          <w:color w:val="000000" w:themeColor="text1"/>
        </w:rPr>
        <w:t xml:space="preserve">  </w:t>
      </w:r>
      <w:r w:rsidR="0092251D" w:rsidRPr="00863601">
        <w:rPr>
          <w:color w:val="000000" w:themeColor="text1"/>
        </w:rPr>
        <w:t xml:space="preserve">Rather, </w:t>
      </w:r>
      <w:r w:rsidR="00507DF4" w:rsidRPr="00863601">
        <w:rPr>
          <w:color w:val="000000" w:themeColor="text1"/>
        </w:rPr>
        <w:t xml:space="preserve">Discovery argues that </w:t>
      </w:r>
      <w:r w:rsidR="0014068D" w:rsidRPr="00863601">
        <w:rPr>
          <w:color w:val="000000" w:themeColor="text1"/>
        </w:rPr>
        <w:t xml:space="preserve">(i) </w:t>
      </w:r>
      <w:r w:rsidRPr="00863601">
        <w:rPr>
          <w:color w:val="000000" w:themeColor="text1"/>
        </w:rPr>
        <w:t xml:space="preserve">content creators frequently retain </w:t>
      </w:r>
      <w:r w:rsidR="004D0ABB" w:rsidRPr="00863601">
        <w:rPr>
          <w:color w:val="000000" w:themeColor="text1"/>
        </w:rPr>
        <w:t xml:space="preserve">for themselves </w:t>
      </w:r>
      <w:r w:rsidRPr="00863601">
        <w:rPr>
          <w:color w:val="000000" w:themeColor="text1"/>
        </w:rPr>
        <w:t>the rights to Internet distribution</w:t>
      </w:r>
      <w:r w:rsidR="004D0ABB" w:rsidRPr="00863601">
        <w:rPr>
          <w:color w:val="000000" w:themeColor="text1"/>
        </w:rPr>
        <w:t xml:space="preserve"> in order to generate a separate revenue stream</w:t>
      </w:r>
      <w:r w:rsidR="0014068D" w:rsidRPr="00863601">
        <w:rPr>
          <w:color w:val="000000" w:themeColor="text1"/>
        </w:rPr>
        <w:t xml:space="preserve"> by </w:t>
      </w:r>
      <w:r w:rsidR="004D0ABB" w:rsidRPr="00863601">
        <w:rPr>
          <w:color w:val="000000" w:themeColor="text1"/>
        </w:rPr>
        <w:t>display</w:t>
      </w:r>
      <w:r w:rsidR="0014068D" w:rsidRPr="00863601">
        <w:rPr>
          <w:color w:val="000000" w:themeColor="text1"/>
        </w:rPr>
        <w:t>ing</w:t>
      </w:r>
      <w:r w:rsidR="004D0ABB" w:rsidRPr="00863601">
        <w:rPr>
          <w:color w:val="000000" w:themeColor="text1"/>
        </w:rPr>
        <w:t xml:space="preserve"> the content on their own websites or </w:t>
      </w:r>
      <w:r w:rsidR="0014068D" w:rsidRPr="00863601">
        <w:rPr>
          <w:color w:val="000000" w:themeColor="text1"/>
        </w:rPr>
        <w:t>by</w:t>
      </w:r>
      <w:r w:rsidR="004D0ABB" w:rsidRPr="00863601">
        <w:rPr>
          <w:color w:val="000000" w:themeColor="text1"/>
        </w:rPr>
        <w:t xml:space="preserve"> sell</w:t>
      </w:r>
      <w:r w:rsidR="0014068D" w:rsidRPr="00863601">
        <w:rPr>
          <w:color w:val="000000" w:themeColor="text1"/>
        </w:rPr>
        <w:t>ing the content</w:t>
      </w:r>
      <w:r w:rsidR="004D0ABB" w:rsidRPr="00863601">
        <w:rPr>
          <w:color w:val="000000" w:themeColor="text1"/>
        </w:rPr>
        <w:t xml:space="preserve"> to other video providers</w:t>
      </w:r>
      <w:r w:rsidR="0014068D" w:rsidRPr="00863601">
        <w:rPr>
          <w:color w:val="000000" w:themeColor="text1"/>
        </w:rPr>
        <w:t>;</w:t>
      </w:r>
      <w:r w:rsidR="004D0ABB" w:rsidRPr="00863601">
        <w:rPr>
          <w:rStyle w:val="FootnoteReference"/>
          <w:color w:val="000000" w:themeColor="text1"/>
        </w:rPr>
        <w:footnoteReference w:id="195"/>
      </w:r>
      <w:r w:rsidR="0014068D" w:rsidRPr="00863601">
        <w:rPr>
          <w:color w:val="000000" w:themeColor="text1"/>
        </w:rPr>
        <w:t xml:space="preserve"> </w:t>
      </w:r>
      <w:r w:rsidR="006C38EF" w:rsidRPr="00863601">
        <w:rPr>
          <w:color w:val="000000" w:themeColor="text1"/>
        </w:rPr>
        <w:t xml:space="preserve">and </w:t>
      </w:r>
      <w:r w:rsidR="0014068D" w:rsidRPr="00863601">
        <w:rPr>
          <w:color w:val="000000" w:themeColor="text1"/>
        </w:rPr>
        <w:t xml:space="preserve">(ii) obtaining Internet distribution rights is simply too expensive for </w:t>
      </w:r>
      <w:r w:rsidR="004F12AC" w:rsidRPr="00863601">
        <w:rPr>
          <w:color w:val="000000" w:themeColor="text1"/>
        </w:rPr>
        <w:t xml:space="preserve">some </w:t>
      </w:r>
      <w:r w:rsidR="0014068D" w:rsidRPr="00863601">
        <w:rPr>
          <w:color w:val="000000" w:themeColor="text1"/>
        </w:rPr>
        <w:t>networks.</w:t>
      </w:r>
      <w:r w:rsidR="0014068D" w:rsidRPr="00863601">
        <w:rPr>
          <w:rStyle w:val="FootnoteReference"/>
          <w:color w:val="000000" w:themeColor="text1"/>
        </w:rPr>
        <w:footnoteReference w:id="196"/>
      </w:r>
      <w:r w:rsidR="004D0ABB" w:rsidRPr="00863601">
        <w:rPr>
          <w:color w:val="000000" w:themeColor="text1"/>
        </w:rPr>
        <w:t xml:space="preserve">  </w:t>
      </w:r>
      <w:r w:rsidR="00DC16F0" w:rsidRPr="00863601">
        <w:rPr>
          <w:color w:val="000000" w:themeColor="text1"/>
        </w:rPr>
        <w:t>What effect should the Copyright Office’s decisions have on our statutory and policy analysis?</w:t>
      </w:r>
    </w:p>
    <w:p w:rsidR="00D12318" w:rsidRPr="00863601" w:rsidRDefault="00507DF4" w:rsidP="005E5F79">
      <w:pPr>
        <w:pStyle w:val="ParaNum"/>
        <w:widowControl/>
        <w:rPr>
          <w:color w:val="000000" w:themeColor="text1"/>
          <w:szCs w:val="22"/>
        </w:rPr>
      </w:pPr>
      <w:r w:rsidRPr="00863601">
        <w:rPr>
          <w:color w:val="000000" w:themeColor="text1"/>
        </w:rPr>
        <w:t xml:space="preserve">To what extent do cable-affiliated </w:t>
      </w:r>
      <w:r w:rsidR="0092251D" w:rsidRPr="00863601">
        <w:rPr>
          <w:color w:val="000000" w:themeColor="text1"/>
        </w:rPr>
        <w:t>networks</w:t>
      </w:r>
      <w:r w:rsidRPr="00863601">
        <w:rPr>
          <w:color w:val="000000" w:themeColor="text1"/>
        </w:rPr>
        <w:t xml:space="preserve"> possess</w:t>
      </w:r>
      <w:r w:rsidR="006C38EF" w:rsidRPr="00863601">
        <w:rPr>
          <w:color w:val="000000" w:themeColor="text1"/>
        </w:rPr>
        <w:t xml:space="preserve"> – or have the ability to negotiate for</w:t>
      </w:r>
      <w:r w:rsidR="00055155" w:rsidRPr="00863601">
        <w:rPr>
          <w:color w:val="000000" w:themeColor="text1"/>
        </w:rPr>
        <w:t xml:space="preserve"> – </w:t>
      </w:r>
      <w:r w:rsidRPr="00863601">
        <w:rPr>
          <w:color w:val="000000" w:themeColor="text1"/>
        </w:rPr>
        <w:t xml:space="preserve">the right to authorize distribution of content </w:t>
      </w:r>
      <w:r w:rsidR="0092251D" w:rsidRPr="00863601">
        <w:rPr>
          <w:color w:val="000000" w:themeColor="text1"/>
        </w:rPr>
        <w:t xml:space="preserve">displayed on their network </w:t>
      </w:r>
      <w:r w:rsidRPr="00863601">
        <w:rPr>
          <w:color w:val="000000" w:themeColor="text1"/>
        </w:rPr>
        <w:t xml:space="preserve">over the Internet?  </w:t>
      </w:r>
      <w:r w:rsidR="002E55C4" w:rsidRPr="00863601">
        <w:rPr>
          <w:color w:val="000000" w:themeColor="text1"/>
        </w:rPr>
        <w:t xml:space="preserve">If we adopt the Linear Video Interpretation, what impact does that have on existing rights for content distribution?  </w:t>
      </w:r>
      <w:r w:rsidR="0092251D" w:rsidRPr="00863601">
        <w:rPr>
          <w:color w:val="000000" w:themeColor="text1"/>
        </w:rPr>
        <w:t xml:space="preserve">We note that some cable-affiliated networks are made available </w:t>
      </w:r>
      <w:r w:rsidR="0014068D" w:rsidRPr="00863601">
        <w:rPr>
          <w:color w:val="000000" w:themeColor="text1"/>
        </w:rPr>
        <w:t>over the Internet</w:t>
      </w:r>
      <w:r w:rsidR="00265DE5" w:rsidRPr="00863601">
        <w:rPr>
          <w:color w:val="000000" w:themeColor="text1"/>
        </w:rPr>
        <w:t xml:space="preserve"> to authenticated </w:t>
      </w:r>
      <w:r w:rsidR="00A721C9" w:rsidRPr="00863601">
        <w:rPr>
          <w:color w:val="000000" w:themeColor="text1"/>
        </w:rPr>
        <w:t>MVPD</w:t>
      </w:r>
      <w:r w:rsidR="00265DE5" w:rsidRPr="00863601">
        <w:rPr>
          <w:color w:val="000000" w:themeColor="text1"/>
        </w:rPr>
        <w:t xml:space="preserve"> subscriber</w:t>
      </w:r>
      <w:r w:rsidR="00A721C9" w:rsidRPr="00863601">
        <w:rPr>
          <w:color w:val="000000" w:themeColor="text1"/>
        </w:rPr>
        <w:t>s</w:t>
      </w:r>
      <w:r w:rsidR="00265DE5" w:rsidRPr="00863601">
        <w:rPr>
          <w:color w:val="000000" w:themeColor="text1"/>
        </w:rPr>
        <w:t>.</w:t>
      </w:r>
      <w:r w:rsidR="0014068D" w:rsidRPr="00863601">
        <w:rPr>
          <w:rStyle w:val="FootnoteReference"/>
          <w:color w:val="000000" w:themeColor="text1"/>
        </w:rPr>
        <w:footnoteReference w:id="197"/>
      </w:r>
      <w:r w:rsidR="00265DE5" w:rsidRPr="00863601">
        <w:rPr>
          <w:color w:val="000000" w:themeColor="text1"/>
        </w:rPr>
        <w:t xml:space="preserve">  </w:t>
      </w:r>
      <w:r w:rsidR="0015004D" w:rsidRPr="00863601">
        <w:rPr>
          <w:color w:val="000000" w:themeColor="text1"/>
        </w:rPr>
        <w:t>Does this reflect that cable-affiliated programmers possess the right to authorize distribution of content displayed on their network over the Internet?</w:t>
      </w:r>
      <w:r w:rsidR="00265DE5" w:rsidRPr="00863601">
        <w:rPr>
          <w:rStyle w:val="FootnoteReference"/>
          <w:color w:val="000000" w:themeColor="text1"/>
        </w:rPr>
        <w:footnoteReference w:id="198"/>
      </w:r>
      <w:r w:rsidR="0015004D" w:rsidRPr="00863601">
        <w:rPr>
          <w:color w:val="000000" w:themeColor="text1"/>
        </w:rPr>
        <w:t xml:space="preserve">  Does the concern about lack of rights to authorize Internet distribution of content apply </w:t>
      </w:r>
      <w:r w:rsidR="00C54141" w:rsidRPr="00863601">
        <w:rPr>
          <w:color w:val="000000" w:themeColor="text1"/>
        </w:rPr>
        <w:t xml:space="preserve">only </w:t>
      </w:r>
      <w:r w:rsidR="00805D12" w:rsidRPr="00863601">
        <w:rPr>
          <w:color w:val="000000" w:themeColor="text1"/>
        </w:rPr>
        <w:t xml:space="preserve">with respect </w:t>
      </w:r>
      <w:r w:rsidR="0015004D" w:rsidRPr="00863601">
        <w:rPr>
          <w:color w:val="000000" w:themeColor="text1"/>
        </w:rPr>
        <w:t>to content not owned by the network?  To what extent do cable-affiliated networks own the content displayed on their network</w:t>
      </w:r>
      <w:r w:rsidR="00C54141" w:rsidRPr="00863601">
        <w:rPr>
          <w:color w:val="000000" w:themeColor="text1"/>
        </w:rPr>
        <w:t>s</w:t>
      </w:r>
      <w:r w:rsidR="0015004D" w:rsidRPr="00863601">
        <w:rPr>
          <w:color w:val="000000" w:themeColor="text1"/>
        </w:rPr>
        <w:t xml:space="preserve"> (or </w:t>
      </w:r>
      <w:r w:rsidR="00805D12" w:rsidRPr="00863601">
        <w:rPr>
          <w:color w:val="000000" w:themeColor="text1"/>
        </w:rPr>
        <w:t xml:space="preserve">are affiliated with </w:t>
      </w:r>
      <w:r w:rsidR="004B3751" w:rsidRPr="00863601">
        <w:rPr>
          <w:color w:val="000000" w:themeColor="text1"/>
        </w:rPr>
        <w:t xml:space="preserve">the </w:t>
      </w:r>
      <w:r w:rsidR="00805D12" w:rsidRPr="00863601">
        <w:rPr>
          <w:color w:val="000000" w:themeColor="text1"/>
        </w:rPr>
        <w:t xml:space="preserve">content creators or </w:t>
      </w:r>
      <w:r w:rsidR="0015004D" w:rsidRPr="00863601">
        <w:rPr>
          <w:color w:val="000000" w:themeColor="text1"/>
        </w:rPr>
        <w:t>otherwise possesses all of the rights with respect to distribution of that content)?</w:t>
      </w:r>
      <w:r w:rsidR="00573347" w:rsidRPr="00863601">
        <w:rPr>
          <w:color w:val="000000" w:themeColor="text1"/>
        </w:rPr>
        <w:t xml:space="preserve">  To what extent is the content displayed on cable-affiliated networks owned by entities unaffiliated with the network?</w:t>
      </w:r>
      <w:r w:rsidR="00F91BF4" w:rsidRPr="00863601">
        <w:rPr>
          <w:color w:val="000000" w:themeColor="text1"/>
        </w:rPr>
        <w:t xml:space="preserve"> </w:t>
      </w:r>
      <w:r w:rsidR="00573347" w:rsidRPr="00863601">
        <w:rPr>
          <w:color w:val="000000" w:themeColor="text1"/>
        </w:rPr>
        <w:t xml:space="preserve"> </w:t>
      </w:r>
    </w:p>
    <w:p w:rsidR="00B661C3" w:rsidRPr="00863601" w:rsidRDefault="00C90878" w:rsidP="005E5F79">
      <w:pPr>
        <w:pStyle w:val="ParaNum"/>
        <w:widowControl/>
        <w:rPr>
          <w:color w:val="000000" w:themeColor="text1"/>
          <w:szCs w:val="22"/>
        </w:rPr>
      </w:pPr>
      <w:r>
        <w:rPr>
          <w:color w:val="000000" w:themeColor="text1"/>
          <w:szCs w:val="22"/>
        </w:rPr>
        <w:t xml:space="preserve">Would or should the adoption of the proposed definition of an MVPD have any effect on a cable-affiliated network that does not possess the right to authorize Internet distribution of content displayed on its network?  In other words, would or should </w:t>
      </w:r>
      <w:r w:rsidR="0015004D" w:rsidRPr="00863601">
        <w:rPr>
          <w:color w:val="000000" w:themeColor="text1"/>
          <w:szCs w:val="22"/>
        </w:rPr>
        <w:t xml:space="preserve">the network be required to obtain such </w:t>
      </w:r>
      <w:r w:rsidR="000E0BA2" w:rsidRPr="00863601">
        <w:rPr>
          <w:color w:val="000000" w:themeColor="text1"/>
          <w:szCs w:val="22"/>
        </w:rPr>
        <w:t>rights</w:t>
      </w:r>
      <w:r w:rsidR="0015004D" w:rsidRPr="00863601">
        <w:rPr>
          <w:color w:val="000000" w:themeColor="text1"/>
          <w:szCs w:val="22"/>
        </w:rPr>
        <w:t xml:space="preserve"> to comply with the program access rules if certain Internet-based distributors qualify as MVPDs?  </w:t>
      </w:r>
      <w:r w:rsidR="000B2C23">
        <w:rPr>
          <w:color w:val="000000" w:themeColor="text1"/>
          <w:szCs w:val="22"/>
        </w:rPr>
        <w:t>W</w:t>
      </w:r>
      <w:r>
        <w:rPr>
          <w:color w:val="000000" w:themeColor="text1"/>
          <w:szCs w:val="22"/>
        </w:rPr>
        <w:t xml:space="preserve">e seek comment </w:t>
      </w:r>
      <w:r w:rsidR="0015004D" w:rsidRPr="00863601">
        <w:rPr>
          <w:color w:val="000000" w:themeColor="text1"/>
          <w:szCs w:val="22"/>
        </w:rPr>
        <w:t xml:space="preserve">on how </w:t>
      </w:r>
      <w:r>
        <w:rPr>
          <w:color w:val="000000" w:themeColor="text1"/>
          <w:szCs w:val="22"/>
        </w:rPr>
        <w:t xml:space="preserve">the resolution of this question would </w:t>
      </w:r>
      <w:r w:rsidR="0015004D" w:rsidRPr="00863601">
        <w:rPr>
          <w:color w:val="000000" w:themeColor="text1"/>
          <w:szCs w:val="22"/>
        </w:rPr>
        <w:t>impact content creators</w:t>
      </w:r>
      <w:r>
        <w:rPr>
          <w:color w:val="000000" w:themeColor="text1"/>
          <w:szCs w:val="22"/>
        </w:rPr>
        <w:t>,</w:t>
      </w:r>
      <w:r w:rsidR="0015004D" w:rsidRPr="00863601">
        <w:rPr>
          <w:color w:val="000000" w:themeColor="text1"/>
          <w:szCs w:val="22"/>
        </w:rPr>
        <w:t xml:space="preserve"> cable-affiliated prog</w:t>
      </w:r>
      <w:r w:rsidR="00D12318" w:rsidRPr="00863601">
        <w:rPr>
          <w:color w:val="000000" w:themeColor="text1"/>
          <w:szCs w:val="22"/>
        </w:rPr>
        <w:t>rammers</w:t>
      </w:r>
      <w:r>
        <w:rPr>
          <w:color w:val="000000" w:themeColor="text1"/>
          <w:szCs w:val="22"/>
        </w:rPr>
        <w:t>, and MVPDs, either traditional or Internet-based</w:t>
      </w:r>
      <w:r w:rsidR="00D12318" w:rsidRPr="00863601">
        <w:rPr>
          <w:color w:val="000000" w:themeColor="text1"/>
          <w:szCs w:val="22"/>
        </w:rPr>
        <w:t xml:space="preserve">.  </w:t>
      </w:r>
      <w:r w:rsidR="007558BC">
        <w:rPr>
          <w:color w:val="000000" w:themeColor="text1"/>
          <w:szCs w:val="22"/>
        </w:rPr>
        <w:t>We also seek comment on our authority to require entities to enter into contracts for these distribution rights.</w:t>
      </w:r>
    </w:p>
    <w:p w:rsidR="00B661C3" w:rsidRPr="00863601" w:rsidRDefault="00B661C3" w:rsidP="005E5F79">
      <w:pPr>
        <w:pStyle w:val="Heading4"/>
        <w:widowControl/>
        <w:rPr>
          <w:color w:val="000000" w:themeColor="text1"/>
          <w:szCs w:val="22"/>
        </w:rPr>
      </w:pPr>
      <w:bookmarkStart w:id="413" w:name="_Toc343164349"/>
      <w:bookmarkStart w:id="414" w:name="_Toc343169025"/>
      <w:bookmarkStart w:id="415" w:name="_Toc343875939"/>
      <w:bookmarkStart w:id="416" w:name="_Toc345939792"/>
      <w:bookmarkStart w:id="417" w:name="_Toc345940003"/>
      <w:bookmarkStart w:id="418" w:name="_Toc346121526"/>
      <w:bookmarkStart w:id="419" w:name="_Toc346192569"/>
      <w:bookmarkStart w:id="420" w:name="_Toc346192646"/>
      <w:bookmarkStart w:id="421" w:name="_Toc347491037"/>
      <w:bookmarkStart w:id="422" w:name="_Toc349751938"/>
      <w:bookmarkStart w:id="423" w:name="_Toc395187301"/>
      <w:bookmarkStart w:id="424" w:name="_Toc398540302"/>
      <w:bookmarkStart w:id="425" w:name="_Toc398565524"/>
      <w:bookmarkStart w:id="426" w:name="_Toc398624359"/>
      <w:bookmarkStart w:id="427" w:name="_Toc398746615"/>
      <w:bookmarkStart w:id="428" w:name="_Toc399148319"/>
      <w:bookmarkStart w:id="429" w:name="_Toc399260537"/>
      <w:bookmarkStart w:id="430" w:name="_Toc399316553"/>
      <w:bookmarkStart w:id="431" w:name="_Toc401241711"/>
      <w:bookmarkStart w:id="432" w:name="_Toc401259714"/>
      <w:bookmarkStart w:id="433" w:name="_Toc401312838"/>
      <w:bookmarkStart w:id="434" w:name="_Toc401850545"/>
      <w:bookmarkStart w:id="435" w:name="_Toc402169643"/>
      <w:bookmarkStart w:id="436" w:name="_Toc405301027"/>
      <w:bookmarkStart w:id="437" w:name="_Toc405884731"/>
      <w:bookmarkStart w:id="438" w:name="_Toc406609221"/>
      <w:r w:rsidRPr="00863601">
        <w:rPr>
          <w:color w:val="000000" w:themeColor="text1"/>
          <w:szCs w:val="22"/>
        </w:rPr>
        <w:t>Non-Broadcast, Non-Cable-Affiliated Content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B661C3" w:rsidRPr="00863601" w:rsidRDefault="009D1D43" w:rsidP="005E5F79">
      <w:pPr>
        <w:pStyle w:val="ParaNum"/>
        <w:widowControl/>
        <w:rPr>
          <w:color w:val="000000" w:themeColor="text1"/>
          <w:szCs w:val="22"/>
        </w:rPr>
      </w:pPr>
      <w:r>
        <w:rPr>
          <w:color w:val="000000" w:themeColor="text1"/>
          <w:szCs w:val="22"/>
        </w:rPr>
        <w:t xml:space="preserve">If we were to require cable-affiliated networks </w:t>
      </w:r>
      <w:r w:rsidR="00F66811" w:rsidRPr="00863601">
        <w:rPr>
          <w:color w:val="000000" w:themeColor="text1"/>
          <w:szCs w:val="22"/>
        </w:rPr>
        <w:t xml:space="preserve"> to obtain Internet distribution rights from content creators to comply with the program access rules, what impact, if any, </w:t>
      </w:r>
      <w:r>
        <w:rPr>
          <w:color w:val="000000" w:themeColor="text1"/>
          <w:szCs w:val="22"/>
        </w:rPr>
        <w:t>would or should</w:t>
      </w:r>
      <w:r w:rsidRPr="00863601">
        <w:rPr>
          <w:color w:val="000000" w:themeColor="text1"/>
          <w:szCs w:val="22"/>
        </w:rPr>
        <w:t xml:space="preserve"> </w:t>
      </w:r>
      <w:r w:rsidR="00F66811" w:rsidRPr="00863601">
        <w:rPr>
          <w:color w:val="000000" w:themeColor="text1"/>
          <w:szCs w:val="22"/>
        </w:rPr>
        <w:t>this have on non-cable-affiliated networks?  For example, Ovation claims that, if cable-affiliated networks are required to obtain Internet distribution rights, “m</w:t>
      </w:r>
      <w:r w:rsidR="00F66811" w:rsidRPr="00863601">
        <w:rPr>
          <w:color w:val="000000" w:themeColor="text1"/>
        </w:rPr>
        <w:t>arketplace pressures would foreseeably require other networks to do the same.”</w:t>
      </w:r>
      <w:r w:rsidR="00F66811" w:rsidRPr="00863601">
        <w:rPr>
          <w:rStyle w:val="FootnoteReference"/>
          <w:color w:val="000000" w:themeColor="text1"/>
        </w:rPr>
        <w:footnoteReference w:id="199"/>
      </w:r>
      <w:r w:rsidR="00F66811" w:rsidRPr="00863601">
        <w:rPr>
          <w:color w:val="000000" w:themeColor="text1"/>
        </w:rPr>
        <w:t xml:space="preserve">  We seek comment on this concern.</w:t>
      </w:r>
      <w:r w:rsidR="00E9016E" w:rsidRPr="00863601">
        <w:rPr>
          <w:color w:val="000000" w:themeColor="text1"/>
        </w:rPr>
        <w:t xml:space="preserve">  </w:t>
      </w:r>
    </w:p>
    <w:p w:rsidR="006C07AC" w:rsidRPr="00863601" w:rsidRDefault="0048714A" w:rsidP="005E5F79">
      <w:pPr>
        <w:pStyle w:val="Heading2"/>
        <w:widowControl/>
      </w:pPr>
      <w:bookmarkStart w:id="439" w:name="_Toc401241713"/>
      <w:bookmarkStart w:id="440" w:name="_Toc401259716"/>
      <w:bookmarkStart w:id="441" w:name="_Toc401312840"/>
      <w:bookmarkStart w:id="442" w:name="_Toc401850547"/>
      <w:bookmarkStart w:id="443" w:name="_Toc402169645"/>
      <w:bookmarkStart w:id="444" w:name="_Toc405301029"/>
      <w:bookmarkStart w:id="445" w:name="_Toc405884733"/>
      <w:bookmarkStart w:id="446" w:name="_Toc406609223"/>
      <w:r w:rsidRPr="009D1D43">
        <w:t>Regulatory</w:t>
      </w:r>
      <w:r w:rsidR="0073164B" w:rsidRPr="009D1D43">
        <w:t xml:space="preserve"> Treatm</w:t>
      </w:r>
      <w:r w:rsidR="0073164B" w:rsidRPr="00EA2EF6">
        <w:t>ent</w:t>
      </w:r>
      <w:r w:rsidRPr="00EA2EF6">
        <w:t xml:space="preserve"> of </w:t>
      </w:r>
      <w:r w:rsidR="006C07AC" w:rsidRPr="00863601">
        <w:t>Cable Operators</w:t>
      </w:r>
      <w:r w:rsidRPr="00863601">
        <w:t xml:space="preserve"> </w:t>
      </w:r>
      <w:r w:rsidR="00C21F2F" w:rsidRPr="00863601">
        <w:t xml:space="preserve">and DBS Providers </w:t>
      </w:r>
      <w:r w:rsidRPr="00863601">
        <w:t xml:space="preserve">that </w:t>
      </w:r>
      <w:r w:rsidR="006C58CD" w:rsidRPr="00863601">
        <w:t xml:space="preserve">Provide </w:t>
      </w:r>
      <w:r w:rsidR="00A15FA1" w:rsidRPr="00863601">
        <w:t>Linear Video</w:t>
      </w:r>
      <w:r w:rsidR="0065338A" w:rsidRPr="00863601">
        <w:t xml:space="preserve"> Service</w:t>
      </w:r>
      <w:bookmarkEnd w:id="439"/>
      <w:r w:rsidR="006C58CD" w:rsidRPr="00863601">
        <w:t>s via IP</w:t>
      </w:r>
      <w:bookmarkEnd w:id="440"/>
      <w:bookmarkEnd w:id="441"/>
      <w:bookmarkEnd w:id="442"/>
      <w:bookmarkEnd w:id="443"/>
      <w:bookmarkEnd w:id="444"/>
      <w:bookmarkEnd w:id="445"/>
      <w:bookmarkEnd w:id="446"/>
    </w:p>
    <w:p w:rsidR="006C07AC" w:rsidRPr="00863601" w:rsidRDefault="00B70B31" w:rsidP="005E5F79">
      <w:pPr>
        <w:pStyle w:val="ParaNum"/>
        <w:widowControl/>
        <w:rPr>
          <w:color w:val="000000" w:themeColor="text1"/>
        </w:rPr>
      </w:pPr>
      <w:r w:rsidRPr="00863601">
        <w:rPr>
          <w:color w:val="000000" w:themeColor="text1"/>
        </w:rPr>
        <w:t xml:space="preserve">It seems evident </w:t>
      </w:r>
      <w:r w:rsidR="00D77587" w:rsidRPr="00863601">
        <w:rPr>
          <w:color w:val="000000" w:themeColor="text1"/>
        </w:rPr>
        <w:t xml:space="preserve">that merely using IP to deliver cable service does not alter the classification </w:t>
      </w:r>
      <w:r w:rsidR="00B1707D" w:rsidRPr="00863601">
        <w:rPr>
          <w:color w:val="000000" w:themeColor="text1"/>
        </w:rPr>
        <w:t xml:space="preserve">of a facility as a cable system or </w:t>
      </w:r>
      <w:r w:rsidR="00D77587" w:rsidRPr="00863601">
        <w:rPr>
          <w:color w:val="000000" w:themeColor="text1"/>
        </w:rPr>
        <w:t xml:space="preserve">of </w:t>
      </w:r>
      <w:r w:rsidR="00B1707D" w:rsidRPr="00863601">
        <w:rPr>
          <w:color w:val="000000" w:themeColor="text1"/>
        </w:rPr>
        <w:t>an</w:t>
      </w:r>
      <w:r w:rsidR="00D77587" w:rsidRPr="00863601">
        <w:rPr>
          <w:color w:val="000000" w:themeColor="text1"/>
        </w:rPr>
        <w:t xml:space="preserve"> entity as a cable operator.</w:t>
      </w:r>
      <w:r w:rsidR="004C5AFD" w:rsidRPr="00863601">
        <w:rPr>
          <w:color w:val="000000" w:themeColor="text1"/>
        </w:rPr>
        <w:t xml:space="preserve">  That is, to the extent an operator </w:t>
      </w:r>
      <w:r w:rsidR="00464704" w:rsidRPr="00863601">
        <w:rPr>
          <w:color w:val="000000" w:themeColor="text1"/>
        </w:rPr>
        <w:t>may</w:t>
      </w:r>
      <w:r w:rsidR="00AB6236" w:rsidRPr="00863601">
        <w:rPr>
          <w:color w:val="000000" w:themeColor="text1"/>
        </w:rPr>
        <w:t xml:space="preserve"> provide video programming services over its own facilities using</w:t>
      </w:r>
      <w:r w:rsidR="00464704" w:rsidRPr="00863601">
        <w:rPr>
          <w:color w:val="000000" w:themeColor="text1"/>
        </w:rPr>
        <w:t xml:space="preserve"> </w:t>
      </w:r>
      <w:r w:rsidR="00AB6236" w:rsidRPr="00863601">
        <w:rPr>
          <w:color w:val="000000" w:themeColor="text1"/>
        </w:rPr>
        <w:t xml:space="preserve">IP </w:t>
      </w:r>
      <w:r w:rsidR="00464704" w:rsidRPr="00863601">
        <w:rPr>
          <w:color w:val="000000" w:themeColor="text1"/>
        </w:rPr>
        <w:t xml:space="preserve">delivery within its footprint </w:t>
      </w:r>
      <w:r w:rsidR="00AB6236" w:rsidRPr="00863601">
        <w:rPr>
          <w:color w:val="000000" w:themeColor="text1"/>
        </w:rPr>
        <w:t xml:space="preserve">it </w:t>
      </w:r>
      <w:r w:rsidR="004C5AFD" w:rsidRPr="00863601">
        <w:rPr>
          <w:color w:val="000000" w:themeColor="text1"/>
        </w:rPr>
        <w:t>remain</w:t>
      </w:r>
      <w:r w:rsidR="00AB6236" w:rsidRPr="00863601">
        <w:rPr>
          <w:color w:val="000000" w:themeColor="text1"/>
        </w:rPr>
        <w:t>s</w:t>
      </w:r>
      <w:r w:rsidR="004C5AFD" w:rsidRPr="00863601">
        <w:rPr>
          <w:color w:val="000000" w:themeColor="text1"/>
        </w:rPr>
        <w:t xml:space="preserve"> subject to regulation as</w:t>
      </w:r>
      <w:r w:rsidR="00FB3ADB" w:rsidRPr="00863601">
        <w:rPr>
          <w:color w:val="000000" w:themeColor="text1"/>
        </w:rPr>
        <w:t xml:space="preserve"> a</w:t>
      </w:r>
      <w:r w:rsidR="004C5AFD" w:rsidRPr="00863601">
        <w:rPr>
          <w:color w:val="000000" w:themeColor="text1"/>
        </w:rPr>
        <w:t xml:space="preserve"> cable </w:t>
      </w:r>
      <w:r w:rsidR="00FB3ADB" w:rsidRPr="00863601">
        <w:rPr>
          <w:color w:val="000000" w:themeColor="text1"/>
        </w:rPr>
        <w:t>operator</w:t>
      </w:r>
      <w:r w:rsidR="004C5AFD" w:rsidRPr="00863601">
        <w:rPr>
          <w:color w:val="000000" w:themeColor="text1"/>
        </w:rPr>
        <w:t>.</w:t>
      </w:r>
      <w:r w:rsidR="00D77587" w:rsidRPr="00863601">
        <w:rPr>
          <w:color w:val="000000" w:themeColor="text1"/>
        </w:rPr>
        <w:t xml:space="preserve"> </w:t>
      </w:r>
      <w:r w:rsidR="00AB6236" w:rsidRPr="00863601">
        <w:rPr>
          <w:color w:val="000000" w:themeColor="text1"/>
        </w:rPr>
        <w:t>At the same time, w</w:t>
      </w:r>
      <w:r w:rsidR="00B91A0C" w:rsidRPr="00863601">
        <w:rPr>
          <w:color w:val="000000" w:themeColor="text1"/>
        </w:rPr>
        <w:t>e understand that some cable operators</w:t>
      </w:r>
      <w:r w:rsidR="00467553" w:rsidRPr="00863601">
        <w:rPr>
          <w:color w:val="000000" w:themeColor="text1"/>
        </w:rPr>
        <w:t xml:space="preserve"> and DBS providers</w:t>
      </w:r>
      <w:r w:rsidR="00B91A0C" w:rsidRPr="00863601">
        <w:rPr>
          <w:color w:val="000000" w:themeColor="text1"/>
        </w:rPr>
        <w:t xml:space="preserve"> are exploring new business models that might be indistinguishable from other </w:t>
      </w:r>
      <w:r w:rsidR="000C0687" w:rsidRPr="00863601">
        <w:rPr>
          <w:color w:val="000000" w:themeColor="text1"/>
        </w:rPr>
        <w:t>over-the-top (“OTT”)</w:t>
      </w:r>
      <w:r w:rsidR="00B91A0C" w:rsidRPr="00863601">
        <w:rPr>
          <w:color w:val="000000" w:themeColor="text1"/>
        </w:rPr>
        <w:t xml:space="preserve"> services.</w:t>
      </w:r>
      <w:r w:rsidR="000C0687" w:rsidRPr="00863601">
        <w:rPr>
          <w:rStyle w:val="FootnoteReference"/>
          <w:color w:val="000000" w:themeColor="text1"/>
        </w:rPr>
        <w:footnoteReference w:id="200"/>
      </w:r>
      <w:r w:rsidR="00B91A0C" w:rsidRPr="00863601">
        <w:rPr>
          <w:color w:val="000000" w:themeColor="text1"/>
        </w:rPr>
        <w:t xml:space="preserve">  </w:t>
      </w:r>
      <w:r w:rsidR="00602F97" w:rsidRPr="00863601">
        <w:rPr>
          <w:color w:val="000000" w:themeColor="text1"/>
        </w:rPr>
        <w:t>As mentioned above, cable operators</w:t>
      </w:r>
      <w:r w:rsidR="00467553" w:rsidRPr="00863601">
        <w:rPr>
          <w:color w:val="000000" w:themeColor="text1"/>
        </w:rPr>
        <w:t xml:space="preserve"> and DBS providers</w:t>
      </w:r>
      <w:r w:rsidR="00602F97" w:rsidRPr="00863601">
        <w:rPr>
          <w:color w:val="000000" w:themeColor="text1"/>
        </w:rPr>
        <w:t xml:space="preserve"> are obtaining rights for online distribution of content, and some </w:t>
      </w:r>
      <w:r w:rsidR="00467553" w:rsidRPr="00863601">
        <w:rPr>
          <w:color w:val="000000" w:themeColor="text1"/>
        </w:rPr>
        <w:t xml:space="preserve">have launched or </w:t>
      </w:r>
      <w:r w:rsidR="00602F97" w:rsidRPr="00863601">
        <w:rPr>
          <w:color w:val="000000" w:themeColor="text1"/>
        </w:rPr>
        <w:t>may soon launch Internet-based video programming services.</w:t>
      </w:r>
      <w:r w:rsidR="000A2605" w:rsidRPr="00863601">
        <w:rPr>
          <w:rStyle w:val="FootnoteReference"/>
          <w:color w:val="000000" w:themeColor="text1"/>
        </w:rPr>
        <w:footnoteReference w:id="201"/>
      </w:r>
      <w:r w:rsidR="00602F97" w:rsidRPr="00863601">
        <w:rPr>
          <w:color w:val="000000" w:themeColor="text1"/>
        </w:rPr>
        <w:t xml:space="preserve">  </w:t>
      </w:r>
      <w:r w:rsidR="00AB6236" w:rsidRPr="00863601">
        <w:rPr>
          <w:color w:val="000000" w:themeColor="text1"/>
        </w:rPr>
        <w:t>Below, w</w:t>
      </w:r>
      <w:r w:rsidR="00B91A0C" w:rsidRPr="00863601">
        <w:rPr>
          <w:color w:val="000000" w:themeColor="text1"/>
        </w:rPr>
        <w:t>e seek</w:t>
      </w:r>
      <w:r w:rsidR="00D77587" w:rsidRPr="00863601">
        <w:rPr>
          <w:color w:val="000000" w:themeColor="text1"/>
        </w:rPr>
        <w:t xml:space="preserve"> comment on </w:t>
      </w:r>
      <w:r w:rsidR="00B91A0C" w:rsidRPr="00863601">
        <w:rPr>
          <w:color w:val="000000" w:themeColor="text1"/>
        </w:rPr>
        <w:t xml:space="preserve">the regulatory treatment of </w:t>
      </w:r>
      <w:r w:rsidR="00AB6236" w:rsidRPr="00863601">
        <w:rPr>
          <w:color w:val="000000" w:themeColor="text1"/>
        </w:rPr>
        <w:t xml:space="preserve">national </w:t>
      </w:r>
      <w:r w:rsidR="00B91A0C" w:rsidRPr="00863601">
        <w:rPr>
          <w:color w:val="000000" w:themeColor="text1"/>
        </w:rPr>
        <w:t xml:space="preserve">OTT video services </w:t>
      </w:r>
      <w:r w:rsidR="00FB3ADB" w:rsidRPr="00863601">
        <w:rPr>
          <w:color w:val="000000" w:themeColor="text1"/>
        </w:rPr>
        <w:t xml:space="preserve">that </w:t>
      </w:r>
      <w:r w:rsidR="00B91A0C" w:rsidRPr="00863601">
        <w:rPr>
          <w:color w:val="000000" w:themeColor="text1"/>
        </w:rPr>
        <w:t xml:space="preserve">a cable operator </w:t>
      </w:r>
      <w:r w:rsidR="00467553" w:rsidRPr="00863601">
        <w:rPr>
          <w:color w:val="000000" w:themeColor="text1"/>
        </w:rPr>
        <w:t xml:space="preserve">or DBS provider </w:t>
      </w:r>
      <w:r w:rsidR="00FB3ADB" w:rsidRPr="00863601">
        <w:rPr>
          <w:color w:val="000000" w:themeColor="text1"/>
        </w:rPr>
        <w:t>may provide nationally</w:t>
      </w:r>
      <w:r w:rsidR="00D96C9E" w:rsidRPr="00863601">
        <w:rPr>
          <w:color w:val="000000" w:themeColor="text1"/>
        </w:rPr>
        <w:t>–</w:t>
      </w:r>
      <w:r w:rsidR="00D77587" w:rsidRPr="00863601">
        <w:rPr>
          <w:color w:val="000000" w:themeColor="text1"/>
        </w:rPr>
        <w:t xml:space="preserve">as </w:t>
      </w:r>
      <w:r w:rsidR="00464704" w:rsidRPr="00863601">
        <w:rPr>
          <w:color w:val="000000" w:themeColor="text1"/>
        </w:rPr>
        <w:t>contrasted to the</w:t>
      </w:r>
      <w:r w:rsidR="00467553" w:rsidRPr="00863601">
        <w:rPr>
          <w:color w:val="000000" w:themeColor="text1"/>
        </w:rPr>
        <w:t xml:space="preserve"> traditional</w:t>
      </w:r>
      <w:r w:rsidR="00464704" w:rsidRPr="00863601">
        <w:rPr>
          <w:color w:val="000000" w:themeColor="text1"/>
        </w:rPr>
        <w:t xml:space="preserve"> services it offers</w:t>
      </w:r>
      <w:r w:rsidR="00D77587" w:rsidRPr="00863601">
        <w:rPr>
          <w:color w:val="000000" w:themeColor="text1"/>
        </w:rPr>
        <w:t xml:space="preserve">.  </w:t>
      </w:r>
    </w:p>
    <w:p w:rsidR="0005096E" w:rsidRPr="00863601" w:rsidRDefault="006C58CD" w:rsidP="005E5F79">
      <w:pPr>
        <w:pStyle w:val="Heading3"/>
        <w:widowControl/>
        <w:rPr>
          <w:color w:val="000000" w:themeColor="text1"/>
        </w:rPr>
      </w:pPr>
      <w:bookmarkStart w:id="447" w:name="_Toc401259717"/>
      <w:bookmarkStart w:id="448" w:name="_Toc401312841"/>
      <w:bookmarkStart w:id="449" w:name="_Toc401850548"/>
      <w:bookmarkStart w:id="450" w:name="_Toc402169646"/>
      <w:bookmarkStart w:id="451" w:name="_Toc405301030"/>
      <w:bookmarkStart w:id="452" w:name="_Toc405884734"/>
      <w:bookmarkStart w:id="453" w:name="_Toc406609224"/>
      <w:r w:rsidRPr="00863601">
        <w:rPr>
          <w:color w:val="000000" w:themeColor="text1"/>
        </w:rPr>
        <w:t>Cable Service Provided via IP Over the Operator’s Facilities</w:t>
      </w:r>
      <w:bookmarkEnd w:id="447"/>
      <w:bookmarkEnd w:id="448"/>
      <w:bookmarkEnd w:id="449"/>
      <w:bookmarkEnd w:id="450"/>
      <w:bookmarkEnd w:id="451"/>
      <w:bookmarkEnd w:id="452"/>
      <w:bookmarkEnd w:id="453"/>
    </w:p>
    <w:p w:rsidR="0095003D" w:rsidRPr="00863601" w:rsidRDefault="006C58CD" w:rsidP="005E5F79">
      <w:pPr>
        <w:pStyle w:val="ParaNum"/>
        <w:widowControl/>
        <w:rPr>
          <w:color w:val="000000" w:themeColor="text1"/>
        </w:rPr>
      </w:pPr>
      <w:r w:rsidRPr="00863601">
        <w:rPr>
          <w:color w:val="000000" w:themeColor="text1"/>
        </w:rPr>
        <w:t>The Act defines</w:t>
      </w:r>
      <w:r w:rsidRPr="00863601">
        <w:rPr>
          <w:color w:val="000000" w:themeColor="text1"/>
          <w:szCs w:val="22"/>
        </w:rPr>
        <w:t xml:space="preserve"> </w:t>
      </w:r>
      <w:r w:rsidRPr="00863601">
        <w:rPr>
          <w:color w:val="000000" w:themeColor="text1"/>
        </w:rPr>
        <w:t>a cable operator as, essentially, an entity that provides cable service over a cable system.</w:t>
      </w:r>
      <w:r w:rsidR="003E08E4" w:rsidRPr="00863601">
        <w:rPr>
          <w:rStyle w:val="FootnoteReference"/>
          <w:color w:val="000000" w:themeColor="text1"/>
        </w:rPr>
        <w:footnoteReference w:id="202"/>
      </w:r>
      <w:r w:rsidRPr="00863601">
        <w:rPr>
          <w:color w:val="000000" w:themeColor="text1"/>
        </w:rPr>
        <w:t xml:space="preserve">  </w:t>
      </w:r>
      <w:r w:rsidR="00284189" w:rsidRPr="00863601">
        <w:rPr>
          <w:color w:val="000000" w:themeColor="text1"/>
        </w:rPr>
        <w:t xml:space="preserve">Thus, we must interpret the three terms – cable service, cable system, and cable operator – </w:t>
      </w:r>
      <w:r w:rsidR="0007243C" w:rsidRPr="00863601">
        <w:rPr>
          <w:color w:val="000000" w:themeColor="text1"/>
        </w:rPr>
        <w:t xml:space="preserve">together </w:t>
      </w:r>
      <w:r w:rsidR="00284189" w:rsidRPr="00863601">
        <w:rPr>
          <w:color w:val="000000" w:themeColor="text1"/>
        </w:rPr>
        <w:t xml:space="preserve">to determine the proper regulatory treatment of </w:t>
      </w:r>
      <w:r w:rsidR="00464704" w:rsidRPr="00863601">
        <w:rPr>
          <w:color w:val="000000" w:themeColor="text1"/>
        </w:rPr>
        <w:t>IP-based</w:t>
      </w:r>
      <w:r w:rsidR="00284189" w:rsidRPr="00863601">
        <w:rPr>
          <w:color w:val="000000" w:themeColor="text1"/>
        </w:rPr>
        <w:t xml:space="preserve"> services provided by cable operators.  </w:t>
      </w:r>
      <w:r w:rsidR="003751E8" w:rsidRPr="00863601">
        <w:rPr>
          <w:color w:val="000000" w:themeColor="text1"/>
          <w:szCs w:val="22"/>
        </w:rPr>
        <w:t>The Act defines cable service as “(A) the one-way transmission to subscribers of (i) video programming, or (ii) other programming service, and (B) subscriber interaction, if any, which is required for the selection or use of such video programming or other programming service.”</w:t>
      </w:r>
      <w:r w:rsidR="003751E8" w:rsidRPr="00863601">
        <w:rPr>
          <w:rStyle w:val="FootnoteReference"/>
          <w:color w:val="000000" w:themeColor="text1"/>
          <w:szCs w:val="22"/>
        </w:rPr>
        <w:footnoteReference w:id="203"/>
      </w:r>
      <w:r w:rsidR="003751E8" w:rsidRPr="00863601">
        <w:rPr>
          <w:color w:val="000000" w:themeColor="text1"/>
          <w:szCs w:val="22"/>
        </w:rPr>
        <w:t xml:space="preserve"> </w:t>
      </w:r>
      <w:r w:rsidR="00284189" w:rsidRPr="00863601">
        <w:rPr>
          <w:color w:val="000000" w:themeColor="text1"/>
        </w:rPr>
        <w:t xml:space="preserve"> The Commission and other authorities have previously concluded that the statute’s definition of “cable service” includes linear IP video service.</w:t>
      </w:r>
      <w:r w:rsidR="00284189" w:rsidRPr="00863601">
        <w:rPr>
          <w:color w:val="000000" w:themeColor="text1"/>
          <w:vertAlign w:val="superscript"/>
        </w:rPr>
        <w:footnoteReference w:id="204"/>
      </w:r>
      <w:r w:rsidR="00284189" w:rsidRPr="00863601">
        <w:rPr>
          <w:color w:val="000000" w:themeColor="text1"/>
        </w:rPr>
        <w:t xml:space="preserve">   </w:t>
      </w:r>
    </w:p>
    <w:p w:rsidR="001844C1" w:rsidRPr="00863601" w:rsidRDefault="0095003D" w:rsidP="005E5F79">
      <w:pPr>
        <w:pStyle w:val="ParaNum"/>
        <w:widowControl/>
        <w:rPr>
          <w:color w:val="000000" w:themeColor="text1"/>
        </w:rPr>
      </w:pPr>
      <w:r w:rsidRPr="00863601">
        <w:rPr>
          <w:color w:val="000000" w:themeColor="text1"/>
        </w:rPr>
        <w:t>Second, to the extent a cable operator uses “a set of closed transmission paths” to provide cable service, as one providing IP video programming over its copper</w:t>
      </w:r>
      <w:r w:rsidR="007266B9" w:rsidRPr="00863601">
        <w:rPr>
          <w:color w:val="000000" w:themeColor="text1"/>
        </w:rPr>
        <w:t xml:space="preserve"> wire</w:t>
      </w:r>
      <w:r w:rsidRPr="00863601">
        <w:rPr>
          <w:color w:val="000000" w:themeColor="text1"/>
        </w:rPr>
        <w:t xml:space="preserve"> </w:t>
      </w:r>
      <w:r w:rsidR="0007243C" w:rsidRPr="00863601">
        <w:rPr>
          <w:color w:val="000000" w:themeColor="text1"/>
        </w:rPr>
        <w:t xml:space="preserve">(including coaxial cable) </w:t>
      </w:r>
      <w:r w:rsidRPr="00863601">
        <w:rPr>
          <w:color w:val="000000" w:themeColor="text1"/>
        </w:rPr>
        <w:t xml:space="preserve">or fiber </w:t>
      </w:r>
      <w:r w:rsidR="007266B9" w:rsidRPr="00863601">
        <w:rPr>
          <w:color w:val="000000" w:themeColor="text1"/>
        </w:rPr>
        <w:t>optic cable</w:t>
      </w:r>
      <w:r w:rsidRPr="00863601">
        <w:rPr>
          <w:color w:val="000000" w:themeColor="text1"/>
        </w:rPr>
        <w:t xml:space="preserve"> does,</w:t>
      </w:r>
      <w:r w:rsidR="007266B9" w:rsidRPr="00863601">
        <w:rPr>
          <w:color w:val="000000" w:themeColor="text1"/>
          <w:vertAlign w:val="superscript"/>
        </w:rPr>
        <w:footnoteReference w:id="205"/>
      </w:r>
      <w:r w:rsidRPr="00863601">
        <w:rPr>
          <w:color w:val="000000" w:themeColor="text1"/>
        </w:rPr>
        <w:t xml:space="preserve"> its facility meets the definition of </w:t>
      </w:r>
      <w:r w:rsidR="001844C1" w:rsidRPr="00863601">
        <w:rPr>
          <w:color w:val="000000" w:themeColor="text1"/>
        </w:rPr>
        <w:t>cable system</w:t>
      </w:r>
      <w:r w:rsidRPr="00863601">
        <w:rPr>
          <w:color w:val="000000" w:themeColor="text1"/>
        </w:rPr>
        <w:t>:</w:t>
      </w:r>
    </w:p>
    <w:p w:rsidR="00FC6977" w:rsidRPr="00863601" w:rsidRDefault="00FC6977" w:rsidP="005E5F79">
      <w:pPr>
        <w:widowControl/>
        <w:ind w:left="720" w:right="630"/>
        <w:rPr>
          <w:color w:val="000000" w:themeColor="text1"/>
          <w:szCs w:val="22"/>
        </w:rPr>
      </w:pPr>
      <w:r w:rsidRPr="00863601">
        <w:rPr>
          <w:color w:val="000000" w:themeColor="text1"/>
          <w:szCs w:val="22"/>
        </w:rPr>
        <w:t>a facility, consisting of a set of closed transmission paths and associated signal generation, reception, and control equipment that is designed to provide cable service which includes video programming and which is provided to multiple subscribers within a community, but such term does not include (A) a facility that serves only to retransmit the television signals of 1 or more television broadcast stations; (B) a facility that serves subscribers without using any public right-of-way; (C) a facility of a common carrier which is subject, in whole or in part, to the provisions of subchapter II of this chapter, except that such facility shall be considered a cable system (other than for purposes of </w:t>
      </w:r>
      <w:hyperlink r:id="rId8" w:tgtFrame="_top" w:history="1">
        <w:r w:rsidRPr="00863601">
          <w:rPr>
            <w:color w:val="000000" w:themeColor="text1"/>
            <w:szCs w:val="22"/>
          </w:rPr>
          <w:t>section 541(c)</w:t>
        </w:r>
      </w:hyperlink>
      <w:r w:rsidRPr="00863601">
        <w:rPr>
          <w:color w:val="000000" w:themeColor="text1"/>
          <w:szCs w:val="22"/>
        </w:rPr>
        <w:t> of this title) to the extent such facility is used in the transmission of video programming directly to subscribers, unless the extent of such use is solely to provide interactive on-demand services; (D) an open video system that complies with </w:t>
      </w:r>
      <w:hyperlink r:id="rId9" w:tgtFrame="_top" w:history="1">
        <w:r w:rsidRPr="00863601">
          <w:rPr>
            <w:color w:val="000000" w:themeColor="text1"/>
            <w:szCs w:val="22"/>
          </w:rPr>
          <w:t>section 573</w:t>
        </w:r>
      </w:hyperlink>
      <w:r w:rsidRPr="00863601">
        <w:rPr>
          <w:color w:val="000000" w:themeColor="text1"/>
          <w:szCs w:val="22"/>
        </w:rPr>
        <w:t> of this title; or (E) any facilities of any electric utility used solely for operating its electric utility system.</w:t>
      </w:r>
      <w:r w:rsidRPr="00863601">
        <w:rPr>
          <w:rStyle w:val="FootnoteReference"/>
          <w:color w:val="000000" w:themeColor="text1"/>
          <w:szCs w:val="22"/>
        </w:rPr>
        <w:footnoteReference w:id="206"/>
      </w:r>
    </w:p>
    <w:p w:rsidR="009801E8" w:rsidRPr="00863601" w:rsidRDefault="00A85811" w:rsidP="005E5F79">
      <w:pPr>
        <w:widowControl/>
        <w:rPr>
          <w:color w:val="000000" w:themeColor="text1"/>
        </w:rPr>
      </w:pPr>
      <w:r w:rsidRPr="00863601">
        <w:rPr>
          <w:color w:val="000000" w:themeColor="text1"/>
        </w:rPr>
        <w:t xml:space="preserve"> </w:t>
      </w:r>
      <w:r w:rsidR="00F71607" w:rsidRPr="00863601">
        <w:rPr>
          <w:color w:val="000000" w:themeColor="text1"/>
        </w:rPr>
        <w:t xml:space="preserve">  </w:t>
      </w:r>
    </w:p>
    <w:p w:rsidR="00E6526F" w:rsidRPr="00863601" w:rsidRDefault="007266B9" w:rsidP="005E5F79">
      <w:pPr>
        <w:pStyle w:val="ParaNum"/>
        <w:widowControl/>
        <w:rPr>
          <w:color w:val="000000" w:themeColor="text1"/>
        </w:rPr>
      </w:pPr>
      <w:r w:rsidRPr="00863601">
        <w:rPr>
          <w:color w:val="000000" w:themeColor="text1"/>
        </w:rPr>
        <w:t xml:space="preserve">Finally, </w:t>
      </w:r>
      <w:r w:rsidR="00D62265" w:rsidRPr="00863601">
        <w:rPr>
          <w:color w:val="000000" w:themeColor="text1"/>
        </w:rPr>
        <w:t xml:space="preserve">an entity that delivers cable services via IP is a cable operator </w:t>
      </w:r>
      <w:r w:rsidR="00E6526F" w:rsidRPr="00863601">
        <w:rPr>
          <w:color w:val="000000" w:themeColor="text1"/>
        </w:rPr>
        <w:t>to the extent it delive</w:t>
      </w:r>
      <w:r w:rsidR="00802F4E" w:rsidRPr="00863601">
        <w:rPr>
          <w:color w:val="000000" w:themeColor="text1"/>
        </w:rPr>
        <w:t xml:space="preserve">rs those services as managed </w:t>
      </w:r>
      <w:r w:rsidR="00C40762" w:rsidRPr="00863601">
        <w:rPr>
          <w:color w:val="000000" w:themeColor="text1"/>
        </w:rPr>
        <w:t xml:space="preserve">video </w:t>
      </w:r>
      <w:r w:rsidR="00802F4E" w:rsidRPr="00863601">
        <w:rPr>
          <w:color w:val="000000" w:themeColor="text1"/>
        </w:rPr>
        <w:t xml:space="preserve">services over </w:t>
      </w:r>
      <w:r w:rsidR="00E6526F" w:rsidRPr="00863601">
        <w:rPr>
          <w:color w:val="000000" w:themeColor="text1"/>
        </w:rPr>
        <w:t>its own facilities</w:t>
      </w:r>
      <w:r w:rsidR="00FB3ADB" w:rsidRPr="00863601">
        <w:rPr>
          <w:color w:val="000000" w:themeColor="text1"/>
        </w:rPr>
        <w:t xml:space="preserve"> and within its footprint</w:t>
      </w:r>
      <w:r w:rsidR="00D62265" w:rsidRPr="00863601">
        <w:rPr>
          <w:color w:val="000000" w:themeColor="text1"/>
        </w:rPr>
        <w:t>.</w:t>
      </w:r>
      <w:r w:rsidR="00E63205" w:rsidRPr="00863601">
        <w:rPr>
          <w:rStyle w:val="FootnoteReference"/>
          <w:color w:val="000000" w:themeColor="text1"/>
        </w:rPr>
        <w:footnoteReference w:id="207"/>
      </w:r>
      <w:r w:rsidR="00D62265" w:rsidRPr="00863601">
        <w:rPr>
          <w:color w:val="000000" w:themeColor="text1"/>
        </w:rPr>
        <w:t xml:space="preserve">  </w:t>
      </w:r>
      <w:r w:rsidR="00E30572" w:rsidRPr="00863601">
        <w:rPr>
          <w:color w:val="000000" w:themeColor="text1"/>
        </w:rPr>
        <w:t>This is compelled by th</w:t>
      </w:r>
      <w:r w:rsidR="00E00CBD" w:rsidRPr="00863601">
        <w:rPr>
          <w:color w:val="000000" w:themeColor="text1"/>
        </w:rPr>
        <w:t>e Act</w:t>
      </w:r>
      <w:r w:rsidR="00E30572" w:rsidRPr="00863601">
        <w:rPr>
          <w:color w:val="000000" w:themeColor="text1"/>
        </w:rPr>
        <w:t>’s definition of</w:t>
      </w:r>
      <w:r w:rsidR="00E00CBD" w:rsidRPr="00863601">
        <w:rPr>
          <w:color w:val="000000" w:themeColor="text1"/>
        </w:rPr>
        <w:t xml:space="preserve"> a cable operator as a “person or group of persons (A) who provides cable service over a cable system and directly or through one or more affiliates owns a significant interest in such cable system, or (B) who otherwise controls or is responsible for, through any arrangement, the management and operation of such a cable system.”</w:t>
      </w:r>
      <w:r w:rsidR="00E00CBD" w:rsidRPr="00863601">
        <w:rPr>
          <w:rStyle w:val="FootnoteReference"/>
          <w:color w:val="000000" w:themeColor="text1"/>
        </w:rPr>
        <w:footnoteReference w:id="208"/>
      </w:r>
    </w:p>
    <w:p w:rsidR="0048714A" w:rsidRPr="00863601" w:rsidRDefault="00772AFA" w:rsidP="005E5F79">
      <w:pPr>
        <w:pStyle w:val="ParaNum"/>
        <w:widowControl/>
        <w:rPr>
          <w:color w:val="000000" w:themeColor="text1"/>
        </w:rPr>
      </w:pPr>
      <w:r w:rsidRPr="00863601">
        <w:rPr>
          <w:color w:val="000000" w:themeColor="text1"/>
        </w:rPr>
        <w:t>I</w:t>
      </w:r>
      <w:r w:rsidR="000A6795" w:rsidRPr="00863601">
        <w:rPr>
          <w:color w:val="000000" w:themeColor="text1"/>
        </w:rPr>
        <w:t>P</w:t>
      </w:r>
      <w:r w:rsidRPr="00863601">
        <w:rPr>
          <w:color w:val="000000" w:themeColor="text1"/>
        </w:rPr>
        <w:t>-based service provided by a cable operator over its facilities</w:t>
      </w:r>
      <w:r w:rsidR="008D5111" w:rsidRPr="00863601">
        <w:rPr>
          <w:color w:val="000000" w:themeColor="text1"/>
        </w:rPr>
        <w:t xml:space="preserve"> and within its footprint</w:t>
      </w:r>
      <w:r w:rsidRPr="00863601">
        <w:rPr>
          <w:color w:val="000000" w:themeColor="text1"/>
        </w:rPr>
        <w:t xml:space="preserve"> must be regulated as a cable service not only </w:t>
      </w:r>
      <w:r w:rsidR="00844037" w:rsidRPr="00863601">
        <w:rPr>
          <w:color w:val="000000" w:themeColor="text1"/>
        </w:rPr>
        <w:t xml:space="preserve">because it is </w:t>
      </w:r>
      <w:r w:rsidRPr="00863601">
        <w:rPr>
          <w:color w:val="000000" w:themeColor="text1"/>
        </w:rPr>
        <w:t xml:space="preserve">compelled by the statutory definitions; it is also good policy, as it ensures that cable operators </w:t>
      </w:r>
      <w:r w:rsidR="0007243C" w:rsidRPr="00863601">
        <w:rPr>
          <w:color w:val="000000" w:themeColor="text1"/>
        </w:rPr>
        <w:t xml:space="preserve">will </w:t>
      </w:r>
      <w:r w:rsidR="00E3057F" w:rsidRPr="00863601">
        <w:rPr>
          <w:color w:val="000000" w:themeColor="text1"/>
        </w:rPr>
        <w:t xml:space="preserve">continue to </w:t>
      </w:r>
      <w:r w:rsidR="0007243C" w:rsidRPr="00863601">
        <w:rPr>
          <w:color w:val="000000" w:themeColor="text1"/>
        </w:rPr>
        <w:t xml:space="preserve">be </w:t>
      </w:r>
      <w:r w:rsidR="00E3057F" w:rsidRPr="00863601">
        <w:rPr>
          <w:color w:val="000000" w:themeColor="text1"/>
        </w:rPr>
        <w:t xml:space="preserve">subject to </w:t>
      </w:r>
      <w:r w:rsidR="005D6F5D" w:rsidRPr="00863601">
        <w:rPr>
          <w:color w:val="000000" w:themeColor="text1"/>
        </w:rPr>
        <w:t xml:space="preserve">the </w:t>
      </w:r>
      <w:r w:rsidR="005834D1" w:rsidRPr="00863601">
        <w:rPr>
          <w:color w:val="000000" w:themeColor="text1"/>
        </w:rPr>
        <w:t xml:space="preserve">pro-competitive, consumer-focused </w:t>
      </w:r>
      <w:r w:rsidR="00181EDD" w:rsidRPr="00863601">
        <w:rPr>
          <w:color w:val="000000" w:themeColor="text1"/>
        </w:rPr>
        <w:t>regulation</w:t>
      </w:r>
      <w:r w:rsidR="005834D1" w:rsidRPr="00863601">
        <w:rPr>
          <w:color w:val="000000" w:themeColor="text1"/>
        </w:rPr>
        <w:t>s</w:t>
      </w:r>
      <w:r w:rsidRPr="00863601">
        <w:rPr>
          <w:color w:val="000000" w:themeColor="text1"/>
        </w:rPr>
        <w:t xml:space="preserve"> that apply to cable </w:t>
      </w:r>
      <w:r w:rsidR="00E3057F" w:rsidRPr="00863601">
        <w:rPr>
          <w:color w:val="000000" w:themeColor="text1"/>
        </w:rPr>
        <w:t xml:space="preserve">even if they provide </w:t>
      </w:r>
      <w:r w:rsidRPr="00863601">
        <w:rPr>
          <w:color w:val="000000" w:themeColor="text1"/>
        </w:rPr>
        <w:t>their service</w:t>
      </w:r>
      <w:r w:rsidR="0007243C" w:rsidRPr="00863601">
        <w:rPr>
          <w:color w:val="000000" w:themeColor="text1"/>
        </w:rPr>
        <w:t>s</w:t>
      </w:r>
      <w:r w:rsidRPr="00863601">
        <w:rPr>
          <w:color w:val="000000" w:themeColor="text1"/>
        </w:rPr>
        <w:t xml:space="preserve"> via</w:t>
      </w:r>
      <w:r w:rsidR="005D3973" w:rsidRPr="00863601">
        <w:rPr>
          <w:color w:val="000000" w:themeColor="text1"/>
        </w:rPr>
        <w:t xml:space="preserve"> IP</w:t>
      </w:r>
      <w:r w:rsidRPr="00863601">
        <w:rPr>
          <w:color w:val="000000" w:themeColor="text1"/>
        </w:rPr>
        <w:t>.</w:t>
      </w:r>
    </w:p>
    <w:p w:rsidR="00772AFA" w:rsidRPr="00863601" w:rsidRDefault="006318E7" w:rsidP="005E5F79">
      <w:pPr>
        <w:pStyle w:val="ParaNum"/>
        <w:widowControl/>
        <w:rPr>
          <w:color w:val="000000" w:themeColor="text1"/>
        </w:rPr>
      </w:pPr>
      <w:r w:rsidRPr="00863601">
        <w:rPr>
          <w:color w:val="000000" w:themeColor="text1"/>
        </w:rPr>
        <w:t xml:space="preserve">Congress and the Commission </w:t>
      </w:r>
      <w:r w:rsidR="00E3057F" w:rsidRPr="00863601">
        <w:rPr>
          <w:color w:val="000000" w:themeColor="text1"/>
        </w:rPr>
        <w:t xml:space="preserve">advanced </w:t>
      </w:r>
      <w:r w:rsidR="00361628" w:rsidRPr="00863601">
        <w:rPr>
          <w:color w:val="000000" w:themeColor="text1"/>
        </w:rPr>
        <w:t xml:space="preserve">several pro-competitive, consumer-focused values when they adopted </w:t>
      </w:r>
      <w:r w:rsidRPr="00863601">
        <w:rPr>
          <w:color w:val="000000" w:themeColor="text1"/>
        </w:rPr>
        <w:t xml:space="preserve">the cable-specific provisions of the Act and the </w:t>
      </w:r>
      <w:r w:rsidR="009D40ED" w:rsidRPr="00863601">
        <w:rPr>
          <w:color w:val="000000" w:themeColor="text1"/>
        </w:rPr>
        <w:t>rules implementing these important provisions</w:t>
      </w:r>
      <w:r w:rsidR="006C59EE" w:rsidRPr="00863601">
        <w:rPr>
          <w:color w:val="000000" w:themeColor="text1"/>
        </w:rPr>
        <w:t xml:space="preserve">. </w:t>
      </w:r>
      <w:r w:rsidR="00F33E14" w:rsidRPr="00863601">
        <w:rPr>
          <w:color w:val="000000" w:themeColor="text1"/>
        </w:rPr>
        <w:t xml:space="preserve">The </w:t>
      </w:r>
      <w:r w:rsidR="00B50043" w:rsidRPr="00863601">
        <w:rPr>
          <w:color w:val="000000" w:themeColor="text1"/>
        </w:rPr>
        <w:t xml:space="preserve">Act and our rules include </w:t>
      </w:r>
      <w:r w:rsidR="00772AFA" w:rsidRPr="00863601">
        <w:rPr>
          <w:color w:val="000000" w:themeColor="text1"/>
        </w:rPr>
        <w:t xml:space="preserve">many </w:t>
      </w:r>
      <w:r w:rsidR="00F33E14" w:rsidRPr="00863601">
        <w:rPr>
          <w:color w:val="000000" w:themeColor="text1"/>
        </w:rPr>
        <w:t xml:space="preserve">cable-specific </w:t>
      </w:r>
      <w:r w:rsidR="00B50043" w:rsidRPr="00863601">
        <w:rPr>
          <w:color w:val="000000" w:themeColor="text1"/>
        </w:rPr>
        <w:t>requirements, including the following</w:t>
      </w:r>
      <w:r w:rsidR="00772AFA" w:rsidRPr="00863601">
        <w:rPr>
          <w:color w:val="000000" w:themeColor="text1"/>
        </w:rPr>
        <w:t>.</w:t>
      </w:r>
      <w:r w:rsidR="00F33E14" w:rsidRPr="00863601">
        <w:rPr>
          <w:color w:val="000000" w:themeColor="text1"/>
        </w:rPr>
        <w:t>:  annual regulatory fees;</w:t>
      </w:r>
      <w:r w:rsidR="00F33E14" w:rsidRPr="00863601">
        <w:rPr>
          <w:rStyle w:val="FootnoteReference"/>
          <w:color w:val="000000" w:themeColor="text1"/>
        </w:rPr>
        <w:footnoteReference w:id="209"/>
      </w:r>
      <w:r w:rsidR="00F33E14" w:rsidRPr="00863601">
        <w:rPr>
          <w:color w:val="000000" w:themeColor="text1"/>
        </w:rPr>
        <w:t xml:space="preserve"> Emergency Alert System (“EAS”) requirements;</w:t>
      </w:r>
      <w:r w:rsidR="00F33E14" w:rsidRPr="00863601">
        <w:rPr>
          <w:rStyle w:val="FootnoteReference"/>
          <w:color w:val="000000" w:themeColor="text1"/>
        </w:rPr>
        <w:footnoteReference w:id="210"/>
      </w:r>
      <w:r w:rsidR="00F33E14" w:rsidRPr="00863601">
        <w:rPr>
          <w:color w:val="000000" w:themeColor="text1"/>
        </w:rPr>
        <w:t xml:space="preserve"> the V-Chip;</w:t>
      </w:r>
      <w:r w:rsidR="00F33E14" w:rsidRPr="00863601">
        <w:rPr>
          <w:rStyle w:val="FootnoteReference"/>
          <w:color w:val="000000" w:themeColor="text1"/>
        </w:rPr>
        <w:footnoteReference w:id="211"/>
      </w:r>
      <w:r w:rsidR="00F33E14" w:rsidRPr="00863601">
        <w:rPr>
          <w:color w:val="000000" w:themeColor="text1"/>
        </w:rPr>
        <w:t xml:space="preserve"> commercial limits in children’s programs;</w:t>
      </w:r>
      <w:r w:rsidR="00F33E14" w:rsidRPr="00863601">
        <w:rPr>
          <w:rStyle w:val="FootnoteReference"/>
          <w:color w:val="000000" w:themeColor="text1"/>
        </w:rPr>
        <w:footnoteReference w:id="212"/>
      </w:r>
      <w:r w:rsidR="00F33E14" w:rsidRPr="00863601">
        <w:rPr>
          <w:color w:val="000000" w:themeColor="text1"/>
        </w:rPr>
        <w:t xml:space="preserve"> n</w:t>
      </w:r>
      <w:r w:rsidR="00F33E14" w:rsidRPr="00863601">
        <w:rPr>
          <w:color w:val="000000" w:themeColor="text1"/>
          <w:szCs w:val="22"/>
        </w:rPr>
        <w:t>etwork non-duplication;</w:t>
      </w:r>
      <w:r w:rsidR="00F33E14" w:rsidRPr="00863601">
        <w:rPr>
          <w:rStyle w:val="FootnoteReference"/>
          <w:color w:val="000000" w:themeColor="text1"/>
          <w:szCs w:val="22"/>
        </w:rPr>
        <w:footnoteReference w:id="213"/>
      </w:r>
      <w:r w:rsidR="00F33E14" w:rsidRPr="00863601">
        <w:rPr>
          <w:color w:val="000000" w:themeColor="text1"/>
          <w:szCs w:val="22"/>
        </w:rPr>
        <w:t xml:space="preserve"> syndicated program exclusivity;</w:t>
      </w:r>
      <w:r w:rsidR="00F33E14" w:rsidRPr="00863601">
        <w:rPr>
          <w:rStyle w:val="FootnoteReference"/>
          <w:color w:val="000000" w:themeColor="text1"/>
          <w:szCs w:val="22"/>
        </w:rPr>
        <w:footnoteReference w:id="214"/>
      </w:r>
      <w:r w:rsidR="00F33E14" w:rsidRPr="00863601">
        <w:rPr>
          <w:color w:val="000000" w:themeColor="text1"/>
          <w:szCs w:val="22"/>
        </w:rPr>
        <w:t xml:space="preserve"> notice to broadcasters regarding:  (i) deletion or repositioning of a broadcast signal,</w:t>
      </w:r>
      <w:r w:rsidR="00F33E14" w:rsidRPr="00863601">
        <w:rPr>
          <w:rStyle w:val="FootnoteReference"/>
          <w:color w:val="000000" w:themeColor="text1"/>
          <w:szCs w:val="22"/>
        </w:rPr>
        <w:footnoteReference w:id="215"/>
      </w:r>
      <w:r w:rsidR="00F33E14" w:rsidRPr="00863601">
        <w:rPr>
          <w:color w:val="000000" w:themeColor="text1"/>
          <w:szCs w:val="22"/>
        </w:rPr>
        <w:t xml:space="preserve"> (ii) a change in designation of principal headend,</w:t>
      </w:r>
      <w:r w:rsidR="00F33E14" w:rsidRPr="00863601">
        <w:rPr>
          <w:rStyle w:val="FootnoteReference"/>
          <w:color w:val="000000" w:themeColor="text1"/>
          <w:szCs w:val="22"/>
        </w:rPr>
        <w:footnoteReference w:id="216"/>
      </w:r>
      <w:r w:rsidR="00F33E14" w:rsidRPr="00863601">
        <w:rPr>
          <w:color w:val="000000" w:themeColor="text1"/>
          <w:szCs w:val="22"/>
        </w:rPr>
        <w:t xml:space="preserve"> (iii) change in technical configuration,</w:t>
      </w:r>
      <w:r w:rsidR="00F33E14" w:rsidRPr="00863601">
        <w:rPr>
          <w:rStyle w:val="FootnoteReference"/>
          <w:color w:val="000000" w:themeColor="text1"/>
          <w:szCs w:val="22"/>
        </w:rPr>
        <w:footnoteReference w:id="217"/>
      </w:r>
      <w:r w:rsidR="00F33E14" w:rsidRPr="00863601">
        <w:rPr>
          <w:color w:val="000000" w:themeColor="text1"/>
          <w:szCs w:val="22"/>
        </w:rPr>
        <w:t xml:space="preserve"> (iv) the provision of service to 1000 subscribers, thereby entitling broadcast stations to exercise non-duplication protection or syndicated exclusivity protection;</w:t>
      </w:r>
      <w:r w:rsidR="00F33E14" w:rsidRPr="00863601">
        <w:rPr>
          <w:rStyle w:val="FootnoteReference"/>
          <w:color w:val="000000" w:themeColor="text1"/>
          <w:szCs w:val="22"/>
        </w:rPr>
        <w:footnoteReference w:id="218"/>
      </w:r>
      <w:r w:rsidR="00F33E14" w:rsidRPr="00863601">
        <w:rPr>
          <w:color w:val="000000" w:themeColor="text1"/>
          <w:szCs w:val="22"/>
        </w:rPr>
        <w:t xml:space="preserve"> political programming and candidate access rules;</w:t>
      </w:r>
      <w:r w:rsidR="00F33E14" w:rsidRPr="00863601">
        <w:rPr>
          <w:rStyle w:val="FootnoteReference"/>
          <w:color w:val="000000" w:themeColor="text1"/>
          <w:szCs w:val="22"/>
        </w:rPr>
        <w:footnoteReference w:id="219"/>
      </w:r>
      <w:r w:rsidR="00F33E14" w:rsidRPr="00863601">
        <w:rPr>
          <w:color w:val="000000" w:themeColor="text1"/>
          <w:szCs w:val="22"/>
        </w:rPr>
        <w:t xml:space="preserve"> sponsorship identification;</w:t>
      </w:r>
      <w:r w:rsidR="00F33E14" w:rsidRPr="00863601">
        <w:rPr>
          <w:rStyle w:val="FootnoteReference"/>
          <w:color w:val="000000" w:themeColor="text1"/>
          <w:szCs w:val="22"/>
        </w:rPr>
        <w:footnoteReference w:id="220"/>
      </w:r>
      <w:r w:rsidR="00F33E14" w:rsidRPr="00863601">
        <w:rPr>
          <w:color w:val="000000" w:themeColor="text1"/>
          <w:szCs w:val="22"/>
        </w:rPr>
        <w:t xml:space="preserve"> lotteries;</w:t>
      </w:r>
      <w:r w:rsidR="00F33E14" w:rsidRPr="00863601">
        <w:rPr>
          <w:rStyle w:val="FootnoteReference"/>
          <w:color w:val="000000" w:themeColor="text1"/>
          <w:szCs w:val="22"/>
        </w:rPr>
        <w:footnoteReference w:id="221"/>
      </w:r>
      <w:r w:rsidR="00F33E14" w:rsidRPr="00863601">
        <w:rPr>
          <w:color w:val="000000" w:themeColor="text1"/>
          <w:szCs w:val="22"/>
        </w:rPr>
        <w:t xml:space="preserve"> public inspection file;</w:t>
      </w:r>
      <w:r w:rsidR="00F33E14" w:rsidRPr="00863601">
        <w:rPr>
          <w:rStyle w:val="FootnoteReference"/>
          <w:color w:val="000000" w:themeColor="text1"/>
          <w:szCs w:val="22"/>
        </w:rPr>
        <w:footnoteReference w:id="222"/>
      </w:r>
      <w:r w:rsidR="00F33E14" w:rsidRPr="00863601">
        <w:rPr>
          <w:color w:val="000000" w:themeColor="text1"/>
          <w:szCs w:val="22"/>
        </w:rPr>
        <w:t xml:space="preserve"> public, educational, or governmental channels (“PEG”);</w:t>
      </w:r>
      <w:r w:rsidR="00F33E14" w:rsidRPr="00863601">
        <w:rPr>
          <w:rStyle w:val="FootnoteReference"/>
          <w:color w:val="000000" w:themeColor="text1"/>
          <w:szCs w:val="22"/>
        </w:rPr>
        <w:footnoteReference w:id="223"/>
      </w:r>
      <w:r w:rsidR="00F33E14" w:rsidRPr="00863601">
        <w:rPr>
          <w:color w:val="000000" w:themeColor="text1"/>
          <w:szCs w:val="22"/>
        </w:rPr>
        <w:t xml:space="preserve"> program access;</w:t>
      </w:r>
      <w:r w:rsidR="00F33E14" w:rsidRPr="00863601">
        <w:rPr>
          <w:rStyle w:val="FootnoteReference"/>
          <w:color w:val="000000" w:themeColor="text1"/>
          <w:szCs w:val="22"/>
        </w:rPr>
        <w:footnoteReference w:id="224"/>
      </w:r>
      <w:r w:rsidR="00F33E14" w:rsidRPr="00863601">
        <w:rPr>
          <w:color w:val="000000" w:themeColor="text1"/>
          <w:szCs w:val="22"/>
        </w:rPr>
        <w:t xml:space="preserve"> leased access;</w:t>
      </w:r>
      <w:r w:rsidR="00F33E14" w:rsidRPr="00863601">
        <w:rPr>
          <w:rStyle w:val="FootnoteReference"/>
          <w:color w:val="000000" w:themeColor="text1"/>
          <w:szCs w:val="22"/>
        </w:rPr>
        <w:footnoteReference w:id="225"/>
      </w:r>
      <w:r w:rsidR="00F33E14" w:rsidRPr="00863601">
        <w:rPr>
          <w:color w:val="000000" w:themeColor="text1"/>
          <w:szCs w:val="22"/>
        </w:rPr>
        <w:t xml:space="preserve"> various reporting requirements;</w:t>
      </w:r>
      <w:r w:rsidR="00F33E14" w:rsidRPr="00863601">
        <w:rPr>
          <w:rStyle w:val="FootnoteReference"/>
          <w:color w:val="000000" w:themeColor="text1"/>
          <w:szCs w:val="22"/>
        </w:rPr>
        <w:footnoteReference w:id="226"/>
      </w:r>
      <w:r w:rsidR="00F33E14" w:rsidRPr="00863601">
        <w:rPr>
          <w:color w:val="000000" w:themeColor="text1"/>
          <w:szCs w:val="22"/>
        </w:rPr>
        <w:t xml:space="preserve"> cross-ownership restrictions;</w:t>
      </w:r>
      <w:r w:rsidR="00F33E14" w:rsidRPr="00863601">
        <w:rPr>
          <w:rStyle w:val="FootnoteReference"/>
          <w:color w:val="000000" w:themeColor="text1"/>
          <w:szCs w:val="22"/>
        </w:rPr>
        <w:footnoteReference w:id="227"/>
      </w:r>
      <w:r w:rsidR="00F33E14" w:rsidRPr="00863601">
        <w:rPr>
          <w:color w:val="000000" w:themeColor="text1"/>
          <w:szCs w:val="22"/>
        </w:rPr>
        <w:t xml:space="preserve"> prohibition on buy outs;</w:t>
      </w:r>
      <w:r w:rsidR="00F33E14" w:rsidRPr="00863601">
        <w:rPr>
          <w:rStyle w:val="FootnoteReference"/>
          <w:color w:val="000000" w:themeColor="text1"/>
          <w:szCs w:val="22"/>
        </w:rPr>
        <w:footnoteReference w:id="228"/>
      </w:r>
      <w:r w:rsidR="00F33E14" w:rsidRPr="00863601">
        <w:rPr>
          <w:color w:val="000000" w:themeColor="text1"/>
          <w:szCs w:val="22"/>
        </w:rPr>
        <w:t xml:space="preserve"> national subscriber limits (horizontal ownership restriction);</w:t>
      </w:r>
      <w:r w:rsidR="00F33E14" w:rsidRPr="00863601">
        <w:rPr>
          <w:rStyle w:val="FootnoteReference"/>
          <w:color w:val="000000" w:themeColor="text1"/>
          <w:szCs w:val="22"/>
        </w:rPr>
        <w:footnoteReference w:id="229"/>
      </w:r>
      <w:r w:rsidR="00F33E14" w:rsidRPr="00863601">
        <w:rPr>
          <w:color w:val="000000" w:themeColor="text1"/>
          <w:szCs w:val="22"/>
        </w:rPr>
        <w:t xml:space="preserve"> limits on carriage of vertically integrated programming;</w:t>
      </w:r>
      <w:r w:rsidR="00F33E14" w:rsidRPr="00863601">
        <w:rPr>
          <w:rStyle w:val="FootnoteReference"/>
          <w:color w:val="000000" w:themeColor="text1"/>
          <w:szCs w:val="22"/>
        </w:rPr>
        <w:footnoteReference w:id="230"/>
      </w:r>
      <w:r w:rsidR="00F33E14" w:rsidRPr="00863601">
        <w:rPr>
          <w:color w:val="000000" w:themeColor="text1"/>
          <w:szCs w:val="22"/>
        </w:rPr>
        <w:t xml:space="preserve"> various franchising requirements;</w:t>
      </w:r>
      <w:r w:rsidR="00F33E14" w:rsidRPr="00863601">
        <w:rPr>
          <w:rStyle w:val="FootnoteReference"/>
          <w:color w:val="000000" w:themeColor="text1"/>
          <w:szCs w:val="22"/>
        </w:rPr>
        <w:footnoteReference w:id="231"/>
      </w:r>
      <w:r w:rsidR="00F33E14" w:rsidRPr="00863601">
        <w:rPr>
          <w:color w:val="000000" w:themeColor="text1"/>
          <w:szCs w:val="22"/>
        </w:rPr>
        <w:t xml:space="preserve"> rate regulation, including a requirement to offer a basic service tier, a prohibition on negative option billing, an obligation to offer a tier buy-through option, and requirements pertaining to information on subscriber bills;</w:t>
      </w:r>
      <w:r w:rsidR="00F33E14" w:rsidRPr="00863601">
        <w:rPr>
          <w:rStyle w:val="FootnoteReference"/>
          <w:color w:val="000000" w:themeColor="text1"/>
          <w:szCs w:val="22"/>
        </w:rPr>
        <w:footnoteReference w:id="232"/>
      </w:r>
      <w:r w:rsidR="00F33E14" w:rsidRPr="00863601">
        <w:rPr>
          <w:color w:val="000000" w:themeColor="text1"/>
          <w:szCs w:val="22"/>
        </w:rPr>
        <w:t xml:space="preserve"> regulation of services, facilities, and equipment, including minimum technical standards and notification to customers of changes in rates, programming services, or channel positions;</w:t>
      </w:r>
      <w:r w:rsidR="00F33E14" w:rsidRPr="00863601">
        <w:rPr>
          <w:rStyle w:val="FootnoteReference"/>
          <w:color w:val="000000" w:themeColor="text1"/>
          <w:szCs w:val="22"/>
        </w:rPr>
        <w:footnoteReference w:id="233"/>
      </w:r>
      <w:r w:rsidR="00F33E14" w:rsidRPr="00863601">
        <w:rPr>
          <w:color w:val="000000" w:themeColor="text1"/>
          <w:szCs w:val="22"/>
        </w:rPr>
        <w:t xml:space="preserve"> consumer protection and customer service;</w:t>
      </w:r>
      <w:r w:rsidR="00F33E14" w:rsidRPr="00863601">
        <w:rPr>
          <w:rStyle w:val="FootnoteReference"/>
          <w:color w:val="000000" w:themeColor="text1"/>
          <w:szCs w:val="22"/>
        </w:rPr>
        <w:footnoteReference w:id="234"/>
      </w:r>
      <w:r w:rsidR="00F33E14" w:rsidRPr="00863601">
        <w:rPr>
          <w:color w:val="000000" w:themeColor="text1"/>
          <w:szCs w:val="22"/>
        </w:rPr>
        <w:t xml:space="preserve"> consumer electronics equipment compatibility, including prohibition on scrambling or encrypting the basic service tier;</w:t>
      </w:r>
      <w:r w:rsidR="00F33E14" w:rsidRPr="00863601">
        <w:rPr>
          <w:rStyle w:val="FootnoteReference"/>
          <w:color w:val="000000" w:themeColor="text1"/>
          <w:szCs w:val="22"/>
        </w:rPr>
        <w:footnoteReference w:id="235"/>
      </w:r>
      <w:r w:rsidR="00F33E14" w:rsidRPr="00863601">
        <w:rPr>
          <w:color w:val="000000" w:themeColor="text1"/>
          <w:szCs w:val="22"/>
        </w:rPr>
        <w:t xml:space="preserve"> support for unidirectional digital cable product</w:t>
      </w:r>
      <w:r w:rsidR="00BD1138" w:rsidRPr="00863601">
        <w:rPr>
          <w:color w:val="000000" w:themeColor="text1"/>
          <w:szCs w:val="22"/>
        </w:rPr>
        <w:t>s</w:t>
      </w:r>
      <w:r w:rsidR="00F33E14" w:rsidRPr="00863601">
        <w:rPr>
          <w:color w:val="000000" w:themeColor="text1"/>
          <w:szCs w:val="22"/>
        </w:rPr>
        <w:t xml:space="preserve"> (Plug and Play);</w:t>
      </w:r>
      <w:r w:rsidR="00F33E14" w:rsidRPr="00863601">
        <w:rPr>
          <w:rStyle w:val="FootnoteReference"/>
          <w:color w:val="000000" w:themeColor="text1"/>
          <w:szCs w:val="22"/>
        </w:rPr>
        <w:footnoteReference w:id="236"/>
      </w:r>
      <w:r w:rsidR="00F33E14" w:rsidRPr="00863601">
        <w:rPr>
          <w:color w:val="000000" w:themeColor="text1"/>
          <w:szCs w:val="22"/>
        </w:rPr>
        <w:t xml:space="preserve"> protection of subscriber privacy;</w:t>
      </w:r>
      <w:r w:rsidR="00F33E14" w:rsidRPr="00863601">
        <w:rPr>
          <w:rStyle w:val="FootnoteReference"/>
          <w:color w:val="000000" w:themeColor="text1"/>
          <w:szCs w:val="22"/>
        </w:rPr>
        <w:footnoteReference w:id="237"/>
      </w:r>
      <w:r w:rsidR="00F33E14" w:rsidRPr="00863601">
        <w:rPr>
          <w:color w:val="000000" w:themeColor="text1"/>
          <w:szCs w:val="22"/>
        </w:rPr>
        <w:t xml:space="preserve"> transmission of obscene programming;</w:t>
      </w:r>
      <w:r w:rsidR="00F33E14" w:rsidRPr="00863601">
        <w:rPr>
          <w:rStyle w:val="FootnoteReference"/>
          <w:color w:val="000000" w:themeColor="text1"/>
          <w:szCs w:val="22"/>
        </w:rPr>
        <w:footnoteReference w:id="238"/>
      </w:r>
      <w:r w:rsidR="00F33E14" w:rsidRPr="00863601">
        <w:rPr>
          <w:color w:val="000000" w:themeColor="text1"/>
          <w:szCs w:val="22"/>
        </w:rPr>
        <w:t xml:space="preserve"> and scrambling of cable channels for non-subscribers.</w:t>
      </w:r>
      <w:r w:rsidR="00F33E14" w:rsidRPr="00863601">
        <w:rPr>
          <w:rStyle w:val="FootnoteReference"/>
          <w:color w:val="000000" w:themeColor="text1"/>
          <w:szCs w:val="22"/>
        </w:rPr>
        <w:footnoteReference w:id="239"/>
      </w:r>
      <w:r w:rsidR="00F33E14" w:rsidRPr="00863601">
        <w:rPr>
          <w:color w:val="000000" w:themeColor="text1"/>
        </w:rPr>
        <w:t xml:space="preserve">  </w:t>
      </w:r>
    </w:p>
    <w:p w:rsidR="008311B9" w:rsidRPr="00863601" w:rsidRDefault="000A6795" w:rsidP="005E5F79">
      <w:pPr>
        <w:pStyle w:val="ParaNum"/>
        <w:widowControl/>
        <w:rPr>
          <w:color w:val="000000" w:themeColor="text1"/>
        </w:rPr>
      </w:pPr>
      <w:r w:rsidRPr="00863601">
        <w:rPr>
          <w:color w:val="000000" w:themeColor="text1"/>
        </w:rPr>
        <w:t xml:space="preserve">In particular, </w:t>
      </w:r>
      <w:r w:rsidR="00736234" w:rsidRPr="00863601">
        <w:rPr>
          <w:color w:val="000000" w:themeColor="text1"/>
        </w:rPr>
        <w:t>these obligations on cable operators are</w:t>
      </w:r>
      <w:r w:rsidRPr="00863601">
        <w:rPr>
          <w:color w:val="000000" w:themeColor="text1"/>
        </w:rPr>
        <w:t xml:space="preserve"> critical for </w:t>
      </w:r>
      <w:r w:rsidR="00903911" w:rsidRPr="00863601">
        <w:rPr>
          <w:color w:val="000000" w:themeColor="text1"/>
        </w:rPr>
        <w:t xml:space="preserve">noncommercial, local, and independent broadcasters.  </w:t>
      </w:r>
      <w:r w:rsidR="00AB0004" w:rsidRPr="00863601">
        <w:rPr>
          <w:color w:val="000000" w:themeColor="text1"/>
        </w:rPr>
        <w:t>Sections 614 and 615 of the Communications Act and implementing rules adopted by the Commission</w:t>
      </w:r>
      <w:r w:rsidR="00FE24D5" w:rsidRPr="00863601">
        <w:rPr>
          <w:color w:val="000000" w:themeColor="text1"/>
        </w:rPr>
        <w:t xml:space="preserve"> entitle </w:t>
      </w:r>
      <w:r w:rsidR="00FE24D5" w:rsidRPr="00863601">
        <w:rPr>
          <w:color w:val="000000" w:themeColor="text1"/>
          <w:szCs w:val="22"/>
        </w:rPr>
        <w:t>commercial and noncommercial television broadcasters to carriage on local cable television systems</w:t>
      </w:r>
      <w:r w:rsidR="007E3C45" w:rsidRPr="00863601">
        <w:rPr>
          <w:color w:val="000000" w:themeColor="text1"/>
        </w:rPr>
        <w:t>.</w:t>
      </w:r>
      <w:r w:rsidR="00C96B00" w:rsidRPr="00863601">
        <w:rPr>
          <w:rStyle w:val="FootnoteReference"/>
          <w:color w:val="000000" w:themeColor="text1"/>
          <w:szCs w:val="22"/>
        </w:rPr>
        <w:footnoteReference w:id="240"/>
      </w:r>
      <w:r w:rsidR="007E3C45" w:rsidRPr="00863601">
        <w:rPr>
          <w:color w:val="000000" w:themeColor="text1"/>
        </w:rPr>
        <w:t xml:space="preserve">  When the Commission proposed implementing regulations, it </w:t>
      </w:r>
      <w:r w:rsidR="00C96B00" w:rsidRPr="00863601">
        <w:rPr>
          <w:color w:val="000000" w:themeColor="text1"/>
        </w:rPr>
        <w:t xml:space="preserve">noted that </w:t>
      </w:r>
      <w:r w:rsidR="00FE24D5" w:rsidRPr="00863601">
        <w:rPr>
          <w:color w:val="000000" w:themeColor="text1"/>
          <w:shd w:val="clear" w:color="auto" w:fill="FFFFFF"/>
        </w:rPr>
        <w:t xml:space="preserve">Congress </w:t>
      </w:r>
      <w:r w:rsidR="00844037" w:rsidRPr="00863601">
        <w:rPr>
          <w:color w:val="000000" w:themeColor="text1"/>
          <w:shd w:val="clear" w:color="auto" w:fill="FFFFFF"/>
        </w:rPr>
        <w:t xml:space="preserve">emphasized strongly that the public </w:t>
      </w:r>
      <w:r w:rsidR="00FE24D5" w:rsidRPr="00863601">
        <w:rPr>
          <w:color w:val="000000" w:themeColor="text1"/>
          <w:shd w:val="clear" w:color="auto" w:fill="FFFFFF"/>
        </w:rPr>
        <w:t xml:space="preserve">interest </w:t>
      </w:r>
      <w:r w:rsidR="00844037" w:rsidRPr="00863601">
        <w:rPr>
          <w:color w:val="000000" w:themeColor="text1"/>
          <w:shd w:val="clear" w:color="auto" w:fill="FFFFFF"/>
        </w:rPr>
        <w:t xml:space="preserve">demands </w:t>
      </w:r>
      <w:r w:rsidR="00FE24D5" w:rsidRPr="00863601">
        <w:rPr>
          <w:color w:val="000000" w:themeColor="text1"/>
          <w:shd w:val="clear" w:color="auto" w:fill="FFFFFF"/>
        </w:rPr>
        <w:t xml:space="preserve">that cable subscribers </w:t>
      </w:r>
      <w:r w:rsidR="00736234" w:rsidRPr="00863601">
        <w:rPr>
          <w:color w:val="000000" w:themeColor="text1"/>
          <w:shd w:val="clear" w:color="auto" w:fill="FFFFFF"/>
        </w:rPr>
        <w:t>be</w:t>
      </w:r>
      <w:r w:rsidR="00844037" w:rsidRPr="00863601">
        <w:rPr>
          <w:color w:val="000000" w:themeColor="text1"/>
          <w:shd w:val="clear" w:color="auto" w:fill="FFFFFF"/>
        </w:rPr>
        <w:t xml:space="preserve"> able to </w:t>
      </w:r>
      <w:r w:rsidR="00FE24D5" w:rsidRPr="00863601">
        <w:rPr>
          <w:color w:val="000000" w:themeColor="text1"/>
          <w:shd w:val="clear" w:color="auto" w:fill="FFFFFF"/>
        </w:rPr>
        <w:t xml:space="preserve">access </w:t>
      </w:r>
      <w:r w:rsidR="00844037" w:rsidRPr="00863601">
        <w:rPr>
          <w:color w:val="000000" w:themeColor="text1"/>
          <w:shd w:val="clear" w:color="auto" w:fill="FFFFFF"/>
        </w:rPr>
        <w:t xml:space="preserve">their </w:t>
      </w:r>
      <w:r w:rsidR="00FE24D5" w:rsidRPr="00863601">
        <w:rPr>
          <w:color w:val="000000" w:themeColor="text1"/>
          <w:shd w:val="clear" w:color="auto" w:fill="FFFFFF"/>
        </w:rPr>
        <w:t>local commercial and noncommercial broadcast stations.</w:t>
      </w:r>
      <w:r w:rsidR="00FE24D5" w:rsidRPr="00863601">
        <w:rPr>
          <w:rStyle w:val="FootnoteReference"/>
          <w:color w:val="000000" w:themeColor="text1"/>
          <w:szCs w:val="22"/>
          <w:shd w:val="clear" w:color="auto" w:fill="FFFFFF"/>
        </w:rPr>
        <w:footnoteReference w:id="241"/>
      </w:r>
      <w:r w:rsidR="008E09BE" w:rsidRPr="00863601">
        <w:rPr>
          <w:color w:val="000000" w:themeColor="text1"/>
        </w:rPr>
        <w:t xml:space="preserve">  </w:t>
      </w:r>
      <w:r w:rsidR="00844037" w:rsidRPr="00863601">
        <w:rPr>
          <w:color w:val="000000" w:themeColor="text1"/>
        </w:rPr>
        <w:t>T</w:t>
      </w:r>
      <w:r w:rsidR="00C96B00" w:rsidRPr="00863601">
        <w:rPr>
          <w:color w:val="000000" w:themeColor="text1"/>
        </w:rPr>
        <w:t>h</w:t>
      </w:r>
      <w:r w:rsidR="00403CF6" w:rsidRPr="00863601">
        <w:rPr>
          <w:color w:val="000000" w:themeColor="text1"/>
        </w:rPr>
        <w:t xml:space="preserve">at </w:t>
      </w:r>
      <w:r w:rsidR="00736234" w:rsidRPr="00863601">
        <w:rPr>
          <w:color w:val="000000" w:themeColor="text1"/>
        </w:rPr>
        <w:t xml:space="preserve">congressional policy directive </w:t>
      </w:r>
      <w:r w:rsidR="0007243C" w:rsidRPr="00863601">
        <w:rPr>
          <w:color w:val="000000" w:themeColor="text1"/>
        </w:rPr>
        <w:t>persists</w:t>
      </w:r>
      <w:r w:rsidR="00C96B00" w:rsidRPr="00863601">
        <w:rPr>
          <w:color w:val="000000" w:themeColor="text1"/>
        </w:rPr>
        <w:t xml:space="preserve"> to</w:t>
      </w:r>
      <w:r w:rsidR="009D40ED" w:rsidRPr="00863601">
        <w:rPr>
          <w:color w:val="000000" w:themeColor="text1"/>
        </w:rPr>
        <w:t>day</w:t>
      </w:r>
      <w:r w:rsidR="0007243C" w:rsidRPr="00863601">
        <w:rPr>
          <w:color w:val="000000" w:themeColor="text1"/>
        </w:rPr>
        <w:t>;</w:t>
      </w:r>
      <w:r w:rsidR="00C96B00" w:rsidRPr="00863601">
        <w:rPr>
          <w:color w:val="000000" w:themeColor="text1"/>
        </w:rPr>
        <w:t xml:space="preserve"> and </w:t>
      </w:r>
      <w:r w:rsidR="005D3973" w:rsidRPr="00863601">
        <w:rPr>
          <w:color w:val="000000" w:themeColor="text1"/>
        </w:rPr>
        <w:t xml:space="preserve">the continued application of these requirements to cable operators that provide video programming over IP will ensure that local broadcasters </w:t>
      </w:r>
      <w:r w:rsidR="0007243C" w:rsidRPr="00863601">
        <w:rPr>
          <w:color w:val="000000" w:themeColor="text1"/>
        </w:rPr>
        <w:t>will be</w:t>
      </w:r>
      <w:r w:rsidR="005D3973" w:rsidRPr="00863601">
        <w:rPr>
          <w:color w:val="000000" w:themeColor="text1"/>
        </w:rPr>
        <w:t xml:space="preserve"> carried, and that other cable-centric regulations </w:t>
      </w:r>
      <w:r w:rsidR="0007243C" w:rsidRPr="00863601">
        <w:rPr>
          <w:color w:val="000000" w:themeColor="text1"/>
        </w:rPr>
        <w:t xml:space="preserve">will </w:t>
      </w:r>
      <w:r w:rsidR="005D3973" w:rsidRPr="00863601">
        <w:rPr>
          <w:color w:val="000000" w:themeColor="text1"/>
        </w:rPr>
        <w:t xml:space="preserve">apply, regardless of </w:t>
      </w:r>
      <w:r w:rsidR="009522E9" w:rsidRPr="00863601">
        <w:rPr>
          <w:color w:val="000000" w:themeColor="text1"/>
        </w:rPr>
        <w:t>the method that the cable operator uses to deliver the cable service</w:t>
      </w:r>
      <w:r w:rsidR="007E3C45" w:rsidRPr="00863601">
        <w:rPr>
          <w:color w:val="000000" w:themeColor="text1"/>
        </w:rPr>
        <w:t>.</w:t>
      </w:r>
      <w:r w:rsidR="007E3C45" w:rsidRPr="00863601">
        <w:rPr>
          <w:rStyle w:val="FootnoteReference"/>
          <w:color w:val="000000" w:themeColor="text1"/>
        </w:rPr>
        <w:footnoteReference w:id="242"/>
      </w:r>
    </w:p>
    <w:p w:rsidR="0034721E" w:rsidRPr="00863601" w:rsidRDefault="0034721E" w:rsidP="005E5F79">
      <w:pPr>
        <w:pStyle w:val="Heading3"/>
        <w:widowControl/>
        <w:rPr>
          <w:color w:val="000000" w:themeColor="text1"/>
        </w:rPr>
      </w:pPr>
      <w:bookmarkStart w:id="456" w:name="_Toc401312842"/>
      <w:bookmarkStart w:id="457" w:name="_Toc401850549"/>
      <w:bookmarkStart w:id="458" w:name="_Toc402169647"/>
      <w:bookmarkStart w:id="459" w:name="_Toc405301031"/>
      <w:bookmarkStart w:id="460" w:name="_Toc405884735"/>
      <w:bookmarkStart w:id="461" w:name="_Toc406609225"/>
      <w:bookmarkStart w:id="462" w:name="_Toc401259718"/>
      <w:r w:rsidRPr="00863601">
        <w:rPr>
          <w:color w:val="000000" w:themeColor="text1"/>
        </w:rPr>
        <w:t xml:space="preserve">Cable Operators </w:t>
      </w:r>
      <w:r w:rsidR="00826621" w:rsidRPr="00863601">
        <w:rPr>
          <w:color w:val="000000" w:themeColor="text1"/>
        </w:rPr>
        <w:t xml:space="preserve">Offering </w:t>
      </w:r>
      <w:r w:rsidRPr="00863601">
        <w:rPr>
          <w:color w:val="000000" w:themeColor="text1"/>
        </w:rPr>
        <w:t>OTT Services</w:t>
      </w:r>
      <w:bookmarkEnd w:id="456"/>
      <w:bookmarkEnd w:id="457"/>
      <w:bookmarkEnd w:id="458"/>
      <w:bookmarkEnd w:id="459"/>
      <w:bookmarkEnd w:id="460"/>
      <w:bookmarkEnd w:id="461"/>
      <w:r w:rsidRPr="00863601">
        <w:rPr>
          <w:color w:val="000000" w:themeColor="text1"/>
        </w:rPr>
        <w:t xml:space="preserve"> </w:t>
      </w:r>
      <w:bookmarkEnd w:id="462"/>
    </w:p>
    <w:p w:rsidR="008311B9" w:rsidRPr="00863601" w:rsidRDefault="0037415B" w:rsidP="005E5F79">
      <w:pPr>
        <w:pStyle w:val="ParaNum"/>
        <w:widowControl/>
        <w:rPr>
          <w:color w:val="000000" w:themeColor="text1"/>
        </w:rPr>
      </w:pPr>
      <w:r w:rsidRPr="00863601">
        <w:rPr>
          <w:color w:val="000000" w:themeColor="text1"/>
        </w:rPr>
        <w:t xml:space="preserve">We </w:t>
      </w:r>
      <w:r w:rsidR="00B0388C" w:rsidRPr="00863601">
        <w:rPr>
          <w:color w:val="000000" w:themeColor="text1"/>
        </w:rPr>
        <w:t xml:space="preserve">tentatively conclude that </w:t>
      </w:r>
      <w:r w:rsidRPr="00863601">
        <w:rPr>
          <w:color w:val="000000" w:themeColor="text1"/>
        </w:rPr>
        <w:t xml:space="preserve">video programming services </w:t>
      </w:r>
      <w:r w:rsidR="00B0388C" w:rsidRPr="00863601">
        <w:rPr>
          <w:color w:val="000000" w:themeColor="text1"/>
        </w:rPr>
        <w:t>that a</w:t>
      </w:r>
      <w:r w:rsidRPr="00863601">
        <w:rPr>
          <w:color w:val="000000" w:themeColor="text1"/>
        </w:rPr>
        <w:t xml:space="preserve"> cable operator </w:t>
      </w:r>
      <w:r w:rsidR="00B0388C" w:rsidRPr="00863601">
        <w:rPr>
          <w:color w:val="000000" w:themeColor="text1"/>
        </w:rPr>
        <w:t xml:space="preserve">may </w:t>
      </w:r>
      <w:r w:rsidR="00802F4E" w:rsidRPr="00863601">
        <w:rPr>
          <w:color w:val="000000" w:themeColor="text1"/>
        </w:rPr>
        <w:t xml:space="preserve">offer </w:t>
      </w:r>
      <w:r w:rsidR="00B0388C" w:rsidRPr="00863601">
        <w:rPr>
          <w:color w:val="000000" w:themeColor="text1"/>
        </w:rPr>
        <w:t xml:space="preserve">over the Internet </w:t>
      </w:r>
      <w:r w:rsidRPr="00863601">
        <w:rPr>
          <w:color w:val="000000" w:themeColor="text1"/>
        </w:rPr>
        <w:t xml:space="preserve">should </w:t>
      </w:r>
      <w:r w:rsidR="00B0388C" w:rsidRPr="00863601">
        <w:rPr>
          <w:color w:val="000000" w:themeColor="text1"/>
        </w:rPr>
        <w:t xml:space="preserve">not </w:t>
      </w:r>
      <w:r w:rsidRPr="00863601">
        <w:rPr>
          <w:color w:val="000000" w:themeColor="text1"/>
        </w:rPr>
        <w:t>be regulated as cable service</w:t>
      </w:r>
      <w:r w:rsidR="00B0388C" w:rsidRPr="00863601">
        <w:rPr>
          <w:color w:val="000000" w:themeColor="text1"/>
        </w:rPr>
        <w:t>s</w:t>
      </w:r>
      <w:r w:rsidRPr="00863601">
        <w:rPr>
          <w:color w:val="000000" w:themeColor="text1"/>
        </w:rPr>
        <w:t xml:space="preserve">.  </w:t>
      </w:r>
      <w:r w:rsidR="00216BCA" w:rsidRPr="00863601">
        <w:rPr>
          <w:color w:val="000000" w:themeColor="text1"/>
        </w:rPr>
        <w:t xml:space="preserve">Some cable operators have announced plans to offer video programming services via </w:t>
      </w:r>
      <w:r w:rsidR="00DC16F0" w:rsidRPr="00863601">
        <w:rPr>
          <w:color w:val="000000" w:themeColor="text1"/>
        </w:rPr>
        <w:t xml:space="preserve">the </w:t>
      </w:r>
      <w:r w:rsidR="00216BCA" w:rsidRPr="00863601">
        <w:rPr>
          <w:color w:val="000000" w:themeColor="text1"/>
        </w:rPr>
        <w:t>Internet.</w:t>
      </w:r>
      <w:r w:rsidR="00724676" w:rsidRPr="00863601">
        <w:rPr>
          <w:rStyle w:val="FootnoteReference"/>
          <w:color w:val="000000" w:themeColor="text1"/>
        </w:rPr>
        <w:footnoteReference w:id="243"/>
      </w:r>
      <w:r w:rsidR="00216BCA" w:rsidRPr="00863601">
        <w:rPr>
          <w:color w:val="000000" w:themeColor="text1"/>
        </w:rPr>
        <w:t xml:space="preserve">  </w:t>
      </w:r>
      <w:r w:rsidRPr="00863601">
        <w:rPr>
          <w:color w:val="000000" w:themeColor="text1"/>
        </w:rPr>
        <w:t xml:space="preserve">If </w:t>
      </w:r>
      <w:r w:rsidR="008311B9" w:rsidRPr="00863601">
        <w:rPr>
          <w:color w:val="000000" w:themeColor="text1"/>
        </w:rPr>
        <w:t xml:space="preserve">a </w:t>
      </w:r>
      <w:r w:rsidRPr="00863601">
        <w:rPr>
          <w:color w:val="000000" w:themeColor="text1"/>
        </w:rPr>
        <w:t>cable operator</w:t>
      </w:r>
      <w:r w:rsidR="008311B9" w:rsidRPr="00863601">
        <w:rPr>
          <w:color w:val="000000" w:themeColor="text1"/>
        </w:rPr>
        <w:t xml:space="preserve"> delivers </w:t>
      </w:r>
      <w:r w:rsidRPr="00863601">
        <w:rPr>
          <w:color w:val="000000" w:themeColor="text1"/>
        </w:rPr>
        <w:t>video programming</w:t>
      </w:r>
      <w:r w:rsidR="008311B9" w:rsidRPr="00863601">
        <w:rPr>
          <w:color w:val="000000" w:themeColor="text1"/>
        </w:rPr>
        <w:t xml:space="preserve"> service over the Internet</w:t>
      </w:r>
      <w:r w:rsidRPr="00863601">
        <w:rPr>
          <w:color w:val="000000" w:themeColor="text1"/>
        </w:rPr>
        <w:t xml:space="preserve">, </w:t>
      </w:r>
      <w:r w:rsidR="00802F4E" w:rsidRPr="00863601">
        <w:rPr>
          <w:color w:val="000000" w:themeColor="text1"/>
        </w:rPr>
        <w:t xml:space="preserve">rather than as </w:t>
      </w:r>
      <w:r w:rsidR="00AA78B9" w:rsidRPr="00863601">
        <w:rPr>
          <w:color w:val="000000" w:themeColor="text1"/>
        </w:rPr>
        <w:t xml:space="preserve">a </w:t>
      </w:r>
      <w:r w:rsidR="00802F4E" w:rsidRPr="00863601">
        <w:rPr>
          <w:color w:val="000000" w:themeColor="text1"/>
        </w:rPr>
        <w:t xml:space="preserve">managed </w:t>
      </w:r>
      <w:r w:rsidR="00AA78B9" w:rsidRPr="00863601">
        <w:rPr>
          <w:color w:val="000000" w:themeColor="text1"/>
        </w:rPr>
        <w:t xml:space="preserve">video </w:t>
      </w:r>
      <w:r w:rsidR="00802F4E" w:rsidRPr="00863601">
        <w:rPr>
          <w:color w:val="000000" w:themeColor="text1"/>
        </w:rPr>
        <w:t xml:space="preserve">service over its own facilities, </w:t>
      </w:r>
      <w:r w:rsidR="00E743F1" w:rsidRPr="00863601">
        <w:rPr>
          <w:color w:val="000000" w:themeColor="text1"/>
        </w:rPr>
        <w:t>we tentatively conclude that this</w:t>
      </w:r>
      <w:r w:rsidR="008311B9" w:rsidRPr="00863601">
        <w:rPr>
          <w:color w:val="000000" w:themeColor="text1"/>
        </w:rPr>
        <w:t xml:space="preserve"> entity </w:t>
      </w:r>
      <w:r w:rsidR="00E743F1" w:rsidRPr="00863601">
        <w:rPr>
          <w:color w:val="000000" w:themeColor="text1"/>
        </w:rPr>
        <w:t xml:space="preserve">would </w:t>
      </w:r>
      <w:r w:rsidR="008311B9" w:rsidRPr="00863601">
        <w:rPr>
          <w:color w:val="000000" w:themeColor="text1"/>
        </w:rPr>
        <w:t xml:space="preserve">be </w:t>
      </w:r>
      <w:r w:rsidR="00216BCA" w:rsidRPr="00863601">
        <w:rPr>
          <w:color w:val="000000" w:themeColor="text1"/>
        </w:rPr>
        <w:t xml:space="preserve">(i) </w:t>
      </w:r>
      <w:r w:rsidR="008311B9" w:rsidRPr="00863601">
        <w:rPr>
          <w:color w:val="000000" w:themeColor="text1"/>
        </w:rPr>
        <w:t xml:space="preserve">a cable operator with respect to </w:t>
      </w:r>
      <w:r w:rsidR="00AA78B9" w:rsidRPr="00863601">
        <w:rPr>
          <w:color w:val="000000" w:themeColor="text1"/>
        </w:rPr>
        <w:t xml:space="preserve">its managed video </w:t>
      </w:r>
      <w:r w:rsidR="00802F4E" w:rsidRPr="00863601">
        <w:rPr>
          <w:color w:val="000000" w:themeColor="text1"/>
        </w:rPr>
        <w:t>service</w:t>
      </w:r>
      <w:r w:rsidR="00FB3ADB" w:rsidRPr="00863601">
        <w:rPr>
          <w:color w:val="000000" w:themeColor="text1"/>
        </w:rPr>
        <w:t>,</w:t>
      </w:r>
      <w:r w:rsidR="00AA78B9" w:rsidRPr="00863601">
        <w:rPr>
          <w:color w:val="000000" w:themeColor="text1"/>
        </w:rPr>
        <w:t xml:space="preserve"> and</w:t>
      </w:r>
      <w:r w:rsidR="00802F4E" w:rsidRPr="00863601">
        <w:rPr>
          <w:color w:val="000000" w:themeColor="text1"/>
        </w:rPr>
        <w:t xml:space="preserve"> </w:t>
      </w:r>
      <w:r w:rsidR="00216BCA" w:rsidRPr="00863601">
        <w:rPr>
          <w:color w:val="000000" w:themeColor="text1"/>
        </w:rPr>
        <w:t xml:space="preserve">(ii) </w:t>
      </w:r>
      <w:r w:rsidR="008311B9" w:rsidRPr="00863601">
        <w:rPr>
          <w:color w:val="000000" w:themeColor="text1"/>
        </w:rPr>
        <w:t>a non-cable MVPD under our proposed Linear Programming Interpretation</w:t>
      </w:r>
      <w:r w:rsidR="00216BCA" w:rsidRPr="00863601">
        <w:rPr>
          <w:color w:val="000000" w:themeColor="text1"/>
        </w:rPr>
        <w:t xml:space="preserve"> with respect to its </w:t>
      </w:r>
      <w:r w:rsidR="00AA78B9" w:rsidRPr="00863601">
        <w:rPr>
          <w:color w:val="000000" w:themeColor="text1"/>
        </w:rPr>
        <w:t>OTT service</w:t>
      </w:r>
      <w:r w:rsidR="00536C86" w:rsidRPr="00863601">
        <w:rPr>
          <w:color w:val="000000" w:themeColor="text1"/>
        </w:rPr>
        <w:t xml:space="preserve">.  </w:t>
      </w:r>
      <w:r w:rsidR="008E6171" w:rsidRPr="00863601">
        <w:rPr>
          <w:color w:val="000000" w:themeColor="text1"/>
        </w:rPr>
        <w:t xml:space="preserve">To the extent a consumer </w:t>
      </w:r>
      <w:r w:rsidR="00FB3ADB" w:rsidRPr="00863601">
        <w:rPr>
          <w:color w:val="000000" w:themeColor="text1"/>
        </w:rPr>
        <w:t xml:space="preserve">located within a cable </w:t>
      </w:r>
      <w:r w:rsidR="008E6171" w:rsidRPr="00863601">
        <w:rPr>
          <w:color w:val="000000" w:themeColor="text1"/>
        </w:rPr>
        <w:t xml:space="preserve">operator’s </w:t>
      </w:r>
      <w:r w:rsidR="00FB3ADB" w:rsidRPr="00863601">
        <w:rPr>
          <w:color w:val="000000" w:themeColor="text1"/>
        </w:rPr>
        <w:t xml:space="preserve">footprint may access the cable operator’s </w:t>
      </w:r>
      <w:r w:rsidR="008E6171" w:rsidRPr="00863601">
        <w:rPr>
          <w:color w:val="000000" w:themeColor="text1"/>
        </w:rPr>
        <w:t xml:space="preserve">OTT service using that cable operator’s broadband facilities for Internet access, how should this arrangement be classified?  </w:t>
      </w:r>
      <w:r w:rsidR="00802F4E" w:rsidRPr="00863601">
        <w:rPr>
          <w:color w:val="000000" w:themeColor="text1"/>
        </w:rPr>
        <w:t>We tentatively conclude that such a</w:t>
      </w:r>
      <w:r w:rsidR="00DC16F0" w:rsidRPr="00863601">
        <w:rPr>
          <w:color w:val="000000" w:themeColor="text1"/>
        </w:rPr>
        <w:t>n</w:t>
      </w:r>
      <w:r w:rsidR="008E6171" w:rsidRPr="00863601">
        <w:rPr>
          <w:color w:val="000000" w:themeColor="text1"/>
        </w:rPr>
        <w:t xml:space="preserve"> OTT</w:t>
      </w:r>
      <w:r w:rsidR="00802F4E" w:rsidRPr="00863601">
        <w:rPr>
          <w:color w:val="000000" w:themeColor="text1"/>
        </w:rPr>
        <w:t xml:space="preserve"> service, </w:t>
      </w:r>
      <w:r w:rsidR="00731E3B" w:rsidRPr="00863601">
        <w:rPr>
          <w:color w:val="000000" w:themeColor="text1"/>
        </w:rPr>
        <w:t xml:space="preserve">if provided to consumers without regard to whether they subscribe to the cable operator’s managed video service, </w:t>
      </w:r>
      <w:r w:rsidR="00802F4E" w:rsidRPr="00863601">
        <w:rPr>
          <w:color w:val="000000" w:themeColor="text1"/>
        </w:rPr>
        <w:t>would be a non-cable MVPD service</w:t>
      </w:r>
      <w:r w:rsidR="007558BC">
        <w:rPr>
          <w:color w:val="000000" w:themeColor="text1"/>
        </w:rPr>
        <w:t xml:space="preserve"> inside and outside of the operator’s footprint</w:t>
      </w:r>
      <w:r w:rsidR="008E6171" w:rsidRPr="00863601">
        <w:rPr>
          <w:color w:val="000000" w:themeColor="text1"/>
        </w:rPr>
        <w:t xml:space="preserve">, even if </w:t>
      </w:r>
      <w:r w:rsidR="00731E3B" w:rsidRPr="00863601">
        <w:rPr>
          <w:color w:val="000000" w:themeColor="text1"/>
        </w:rPr>
        <w:t>it is accessible over that cable operator’s broadband facilities</w:t>
      </w:r>
      <w:r w:rsidR="008E6171" w:rsidRPr="00863601">
        <w:rPr>
          <w:color w:val="000000" w:themeColor="text1"/>
        </w:rPr>
        <w:t xml:space="preserve">. </w:t>
      </w:r>
      <w:r w:rsidR="00802F4E" w:rsidRPr="00863601">
        <w:rPr>
          <w:color w:val="000000" w:themeColor="text1"/>
        </w:rPr>
        <w:t xml:space="preserve"> </w:t>
      </w:r>
      <w:r w:rsidR="007B7E85" w:rsidRPr="00863601">
        <w:rPr>
          <w:color w:val="000000" w:themeColor="text1"/>
        </w:rPr>
        <w:t xml:space="preserve">We seek comment on whether there is any reason that our tentative conclusion should change if a cable operator provides </w:t>
      </w:r>
      <w:r w:rsidR="007D6F97" w:rsidRPr="00863601">
        <w:rPr>
          <w:color w:val="000000" w:themeColor="text1"/>
        </w:rPr>
        <w:t>an</w:t>
      </w:r>
      <w:r w:rsidR="007B7E85" w:rsidRPr="00863601">
        <w:rPr>
          <w:color w:val="000000" w:themeColor="text1"/>
        </w:rPr>
        <w:t xml:space="preserve"> OTT service </w:t>
      </w:r>
      <w:r w:rsidR="007D6F97" w:rsidRPr="00863601">
        <w:rPr>
          <w:color w:val="000000" w:themeColor="text1"/>
        </w:rPr>
        <w:t xml:space="preserve">within its footprint only, </w:t>
      </w:r>
      <w:r w:rsidR="007B7E85" w:rsidRPr="00863601">
        <w:rPr>
          <w:color w:val="000000" w:themeColor="text1"/>
        </w:rPr>
        <w:t>rather than national</w:t>
      </w:r>
      <w:r w:rsidR="007D6F97" w:rsidRPr="00863601">
        <w:rPr>
          <w:color w:val="000000" w:themeColor="text1"/>
        </w:rPr>
        <w:t>ly</w:t>
      </w:r>
      <w:r w:rsidR="007B7E85" w:rsidRPr="00863601">
        <w:rPr>
          <w:color w:val="000000" w:themeColor="text1"/>
        </w:rPr>
        <w:t xml:space="preserve">.  </w:t>
      </w:r>
      <w:r w:rsidR="00B826EF" w:rsidRPr="00863601">
        <w:rPr>
          <w:color w:val="000000" w:themeColor="text1"/>
        </w:rPr>
        <w:t xml:space="preserve">Would our analysis change if the OTT service were bundled with the cable service?  </w:t>
      </w:r>
      <w:r w:rsidR="007B7E85" w:rsidRPr="00863601">
        <w:rPr>
          <w:color w:val="000000" w:themeColor="text1"/>
        </w:rPr>
        <w:t>Finally, w</w:t>
      </w:r>
      <w:r w:rsidRPr="00863601">
        <w:rPr>
          <w:color w:val="000000" w:themeColor="text1"/>
        </w:rPr>
        <w:t xml:space="preserve">e seek comment on </w:t>
      </w:r>
      <w:r w:rsidR="00FB0AF1" w:rsidRPr="00863601">
        <w:rPr>
          <w:color w:val="000000" w:themeColor="text1"/>
        </w:rPr>
        <w:t xml:space="preserve">the likely forms that new </w:t>
      </w:r>
      <w:r w:rsidR="008E6171" w:rsidRPr="00863601">
        <w:rPr>
          <w:color w:val="000000" w:themeColor="text1"/>
        </w:rPr>
        <w:t xml:space="preserve">OTT </w:t>
      </w:r>
      <w:r w:rsidR="00FB0AF1" w:rsidRPr="00863601">
        <w:rPr>
          <w:color w:val="000000" w:themeColor="text1"/>
        </w:rPr>
        <w:t xml:space="preserve">services will take, and on </w:t>
      </w:r>
      <w:r w:rsidRPr="00863601">
        <w:rPr>
          <w:color w:val="000000" w:themeColor="text1"/>
        </w:rPr>
        <w:t>both the application of the statutory definition</w:t>
      </w:r>
      <w:r w:rsidR="00FB0AF1" w:rsidRPr="00863601">
        <w:rPr>
          <w:color w:val="000000" w:themeColor="text1"/>
        </w:rPr>
        <w:t>s</w:t>
      </w:r>
      <w:r w:rsidRPr="00863601">
        <w:rPr>
          <w:color w:val="000000" w:themeColor="text1"/>
        </w:rPr>
        <w:t xml:space="preserve"> discussed above to such services</w:t>
      </w:r>
      <w:r w:rsidR="00FB0AF1" w:rsidRPr="00863601">
        <w:rPr>
          <w:color w:val="000000" w:themeColor="text1"/>
        </w:rPr>
        <w:t xml:space="preserve"> and the </w:t>
      </w:r>
      <w:r w:rsidRPr="00863601">
        <w:rPr>
          <w:color w:val="000000" w:themeColor="text1"/>
        </w:rPr>
        <w:t>policy</w:t>
      </w:r>
      <w:r w:rsidR="00FB0AF1" w:rsidRPr="00863601">
        <w:rPr>
          <w:color w:val="000000" w:themeColor="text1"/>
        </w:rPr>
        <w:t xml:space="preserve"> implications of classifying these services.  </w:t>
      </w:r>
    </w:p>
    <w:p w:rsidR="00C21F2F" w:rsidRPr="00863601" w:rsidRDefault="00C21F2F" w:rsidP="005E5F79">
      <w:pPr>
        <w:pStyle w:val="Heading3"/>
        <w:widowControl/>
        <w:rPr>
          <w:color w:val="000000" w:themeColor="text1"/>
        </w:rPr>
      </w:pPr>
      <w:bookmarkStart w:id="463" w:name="_Toc401850550"/>
      <w:bookmarkStart w:id="464" w:name="_Toc402169648"/>
      <w:bookmarkStart w:id="465" w:name="_Toc405301032"/>
      <w:bookmarkStart w:id="466" w:name="_Toc405884736"/>
      <w:bookmarkStart w:id="467" w:name="_Toc406609226"/>
      <w:bookmarkStart w:id="468" w:name="_Toc236556730"/>
      <w:bookmarkStart w:id="469" w:name="_Toc236558370"/>
      <w:bookmarkStart w:id="470" w:name="_Toc236558444"/>
      <w:bookmarkStart w:id="471" w:name="_Toc236558579"/>
      <w:bookmarkStart w:id="472" w:name="_Toc236563104"/>
      <w:bookmarkStart w:id="473" w:name="_Toc236660246"/>
      <w:bookmarkStart w:id="474" w:name="_Toc236660594"/>
      <w:bookmarkStart w:id="475" w:name="_Toc236730356"/>
      <w:bookmarkStart w:id="476" w:name="_Toc236801574"/>
      <w:bookmarkStart w:id="477" w:name="_Toc236815374"/>
      <w:bookmarkStart w:id="478" w:name="_Toc236815644"/>
      <w:bookmarkStart w:id="479" w:name="_Toc236819590"/>
      <w:bookmarkStart w:id="480" w:name="_Toc236821882"/>
      <w:bookmarkStart w:id="481" w:name="_Toc237088683"/>
      <w:bookmarkStart w:id="482" w:name="_Toc269998316"/>
      <w:bookmarkStart w:id="483" w:name="_Toc269998371"/>
      <w:bookmarkStart w:id="484" w:name="_Toc280612395"/>
      <w:bookmarkStart w:id="485" w:name="_Toc280612434"/>
      <w:bookmarkStart w:id="486" w:name="_Toc280966643"/>
      <w:bookmarkStart w:id="487" w:name="_Toc280966680"/>
      <w:bookmarkStart w:id="488" w:name="_Toc281216250"/>
      <w:bookmarkStart w:id="489" w:name="_Toc281221619"/>
      <w:bookmarkStart w:id="490" w:name="_Toc283193785"/>
      <w:bookmarkStart w:id="491" w:name="_Toc283194415"/>
      <w:bookmarkStart w:id="492" w:name="_Toc283196757"/>
      <w:bookmarkStart w:id="493" w:name="_Toc283197019"/>
      <w:bookmarkStart w:id="494" w:name="_Toc283202534"/>
      <w:bookmarkStart w:id="495" w:name="_Toc283223472"/>
      <w:bookmarkStart w:id="496" w:name="_Toc283367893"/>
      <w:bookmarkStart w:id="497" w:name="_Toc284348863"/>
      <w:bookmarkStart w:id="498" w:name="_Toc284587589"/>
      <w:bookmarkStart w:id="499" w:name="_Toc284587952"/>
      <w:bookmarkStart w:id="500" w:name="_Toc284929155"/>
      <w:bookmarkStart w:id="501" w:name="_Toc285010018"/>
      <w:bookmarkStart w:id="502" w:name="_Toc290988890"/>
      <w:bookmarkStart w:id="503" w:name="_Toc322688647"/>
      <w:bookmarkStart w:id="504" w:name="_Toc343169028"/>
      <w:bookmarkStart w:id="505" w:name="_Toc343875942"/>
      <w:bookmarkStart w:id="506" w:name="_Toc345939795"/>
      <w:bookmarkStart w:id="507" w:name="_Toc345940006"/>
      <w:bookmarkStart w:id="508" w:name="_Toc346121529"/>
      <w:bookmarkStart w:id="509" w:name="_Toc346192572"/>
      <w:bookmarkStart w:id="510" w:name="_Toc346192649"/>
      <w:bookmarkStart w:id="511" w:name="_Toc347491040"/>
      <w:bookmarkStart w:id="512" w:name="_Toc349751941"/>
      <w:bookmarkStart w:id="513" w:name="_Toc395187303"/>
      <w:bookmarkStart w:id="514" w:name="_Toc398540303"/>
      <w:bookmarkStart w:id="515" w:name="_Toc398565525"/>
      <w:bookmarkStart w:id="516" w:name="_Toc398624360"/>
      <w:bookmarkStart w:id="517" w:name="_Toc398746617"/>
      <w:bookmarkStart w:id="518" w:name="_Toc399148321"/>
      <w:bookmarkStart w:id="519" w:name="_Toc399260539"/>
      <w:bookmarkStart w:id="520" w:name="_Toc399316555"/>
      <w:bookmarkStart w:id="521" w:name="_Toc401241717"/>
      <w:bookmarkStart w:id="522" w:name="_Toc401259719"/>
      <w:bookmarkStart w:id="523" w:name="_Toc401312843"/>
      <w:r w:rsidRPr="00863601">
        <w:rPr>
          <w:color w:val="000000" w:themeColor="text1"/>
        </w:rPr>
        <w:t>DBS Providers Offering OTT Services</w:t>
      </w:r>
      <w:bookmarkEnd w:id="463"/>
      <w:bookmarkEnd w:id="464"/>
      <w:bookmarkEnd w:id="465"/>
      <w:bookmarkEnd w:id="466"/>
      <w:bookmarkEnd w:id="467"/>
      <w:r w:rsidRPr="00863601">
        <w:rPr>
          <w:color w:val="000000" w:themeColor="text1"/>
        </w:rPr>
        <w:t xml:space="preserve"> </w:t>
      </w:r>
    </w:p>
    <w:p w:rsidR="00C21F2F" w:rsidRPr="00863601" w:rsidRDefault="00C21F2F" w:rsidP="005E5F79">
      <w:pPr>
        <w:pStyle w:val="ParaNum"/>
        <w:widowControl/>
        <w:rPr>
          <w:color w:val="000000" w:themeColor="text1"/>
        </w:rPr>
      </w:pPr>
      <w:r w:rsidRPr="00863601">
        <w:rPr>
          <w:color w:val="000000" w:themeColor="text1"/>
        </w:rPr>
        <w:t>Some DBS providers</w:t>
      </w:r>
      <w:r w:rsidR="00CE02E9" w:rsidRPr="00863601">
        <w:rPr>
          <w:color w:val="000000" w:themeColor="text1"/>
        </w:rPr>
        <w:t xml:space="preserve"> offer linear OTT services</w:t>
      </w:r>
      <w:r w:rsidRPr="00863601">
        <w:rPr>
          <w:color w:val="000000" w:themeColor="text1"/>
        </w:rPr>
        <w:t xml:space="preserve"> </w:t>
      </w:r>
      <w:r w:rsidR="00CE02E9" w:rsidRPr="00863601">
        <w:rPr>
          <w:color w:val="000000" w:themeColor="text1"/>
        </w:rPr>
        <w:t xml:space="preserve">(and </w:t>
      </w:r>
      <w:r w:rsidRPr="00863601">
        <w:rPr>
          <w:color w:val="000000" w:themeColor="text1"/>
        </w:rPr>
        <w:t xml:space="preserve">have announced plans to </w:t>
      </w:r>
      <w:r w:rsidR="00CE02E9" w:rsidRPr="00863601">
        <w:rPr>
          <w:color w:val="000000" w:themeColor="text1"/>
        </w:rPr>
        <w:t>expand those services)</w:t>
      </w:r>
      <w:r w:rsidRPr="00863601">
        <w:rPr>
          <w:color w:val="000000" w:themeColor="text1"/>
        </w:rPr>
        <w:t xml:space="preserve"> via </w:t>
      </w:r>
      <w:r w:rsidR="00DC16F0" w:rsidRPr="00863601">
        <w:rPr>
          <w:color w:val="000000" w:themeColor="text1"/>
        </w:rPr>
        <w:t xml:space="preserve">the </w:t>
      </w:r>
      <w:r w:rsidRPr="00863601">
        <w:rPr>
          <w:color w:val="000000" w:themeColor="text1"/>
        </w:rPr>
        <w:t>Internet.</w:t>
      </w:r>
      <w:r w:rsidR="00CE02E9" w:rsidRPr="00863601">
        <w:rPr>
          <w:rStyle w:val="FootnoteReference"/>
          <w:color w:val="000000" w:themeColor="text1"/>
        </w:rPr>
        <w:footnoteReference w:id="244"/>
      </w:r>
      <w:r w:rsidRPr="00863601">
        <w:rPr>
          <w:color w:val="000000" w:themeColor="text1"/>
        </w:rPr>
        <w:t xml:space="preserve">  </w:t>
      </w:r>
      <w:r w:rsidR="00CE02E9" w:rsidRPr="00863601">
        <w:rPr>
          <w:color w:val="000000" w:themeColor="text1"/>
        </w:rPr>
        <w:t xml:space="preserve">To the extent that DBS providers offer video programming services </w:t>
      </w:r>
      <w:r w:rsidRPr="00863601">
        <w:rPr>
          <w:color w:val="000000" w:themeColor="text1"/>
        </w:rPr>
        <w:t>over the Internet</w:t>
      </w:r>
      <w:r w:rsidR="00CE02E9" w:rsidRPr="00863601">
        <w:rPr>
          <w:color w:val="000000" w:themeColor="text1"/>
        </w:rPr>
        <w:t>, we tentatively conclude that those services</w:t>
      </w:r>
      <w:r w:rsidRPr="00863601">
        <w:rPr>
          <w:color w:val="000000" w:themeColor="text1"/>
        </w:rPr>
        <w:t xml:space="preserve"> should not be regulated as DBS </w:t>
      </w:r>
      <w:r w:rsidR="00CE02E9" w:rsidRPr="00863601">
        <w:rPr>
          <w:color w:val="000000" w:themeColor="text1"/>
        </w:rPr>
        <w:t>s</w:t>
      </w:r>
      <w:r w:rsidRPr="00863601">
        <w:rPr>
          <w:color w:val="000000" w:themeColor="text1"/>
        </w:rPr>
        <w:t>ervice</w:t>
      </w:r>
      <w:r w:rsidR="000D7180" w:rsidRPr="00863601">
        <w:rPr>
          <w:color w:val="000000" w:themeColor="text1"/>
        </w:rPr>
        <w:t>, and therefore should not be subject to the regulatory and statutory obligations and privileges of such services</w:t>
      </w:r>
      <w:r w:rsidR="001D6E4E">
        <w:rPr>
          <w:color w:val="000000" w:themeColor="text1"/>
        </w:rPr>
        <w:t>.</w:t>
      </w:r>
      <w:r w:rsidR="001D6E4E" w:rsidRPr="001D6E4E">
        <w:t xml:space="preserve"> </w:t>
      </w:r>
      <w:r w:rsidR="001D6E4E">
        <w:t>If we adopt our proposed Linear Programming Interpretation, those services would be MVPD services subject to the regulatory and statutory obligations and privileges of such services</w:t>
      </w:r>
      <w:r w:rsidRPr="00863601">
        <w:rPr>
          <w:color w:val="000000" w:themeColor="text1"/>
        </w:rPr>
        <w:t>.</w:t>
      </w:r>
      <w:r w:rsidR="002C41EA" w:rsidRPr="00863601">
        <w:rPr>
          <w:rStyle w:val="FootnoteReference"/>
          <w:color w:val="000000" w:themeColor="text1"/>
        </w:rPr>
        <w:footnoteReference w:id="245"/>
      </w:r>
      <w:r w:rsidR="000D7180" w:rsidRPr="00863601">
        <w:rPr>
          <w:color w:val="000000" w:themeColor="text1"/>
        </w:rPr>
        <w:t xml:space="preserve">  </w:t>
      </w:r>
      <w:r w:rsidR="00CE02E9" w:rsidRPr="00863601">
        <w:rPr>
          <w:color w:val="000000" w:themeColor="text1"/>
        </w:rPr>
        <w:t xml:space="preserve">We reach this tentative conclusion because that service does not use the providers’ satellite facilities, but rather relies on the Internet for delivery.  </w:t>
      </w:r>
      <w:r w:rsidR="000D7180" w:rsidRPr="00863601">
        <w:rPr>
          <w:color w:val="000000" w:themeColor="text1"/>
        </w:rPr>
        <w:t>We believe that this tentative conclusion is consistent with the Act and our rules.</w:t>
      </w:r>
      <w:r w:rsidRPr="00863601">
        <w:rPr>
          <w:rStyle w:val="FootnoteReference"/>
          <w:color w:val="000000" w:themeColor="text1"/>
        </w:rPr>
        <w:footnoteReference w:id="246"/>
      </w:r>
      <w:r w:rsidRPr="00863601">
        <w:rPr>
          <w:color w:val="000000" w:themeColor="text1"/>
        </w:rPr>
        <w:t xml:space="preserve">  We seek comment on this tentative conclusion.</w:t>
      </w:r>
    </w:p>
    <w:p w:rsidR="00643D46" w:rsidRPr="00863601" w:rsidRDefault="00643D46" w:rsidP="005E5F79">
      <w:pPr>
        <w:pStyle w:val="Heading1"/>
        <w:keepNext w:val="0"/>
        <w:widowControl/>
        <w:suppressAutoHyphens w:val="0"/>
        <w:rPr>
          <w:rFonts w:ascii="Times New Roman" w:hAnsi="Times New Roman"/>
          <w:color w:val="000000" w:themeColor="text1"/>
          <w:szCs w:val="22"/>
        </w:rPr>
      </w:pPr>
      <w:bookmarkStart w:id="524" w:name="_Toc401850551"/>
      <w:bookmarkStart w:id="525" w:name="_Toc402169649"/>
      <w:bookmarkStart w:id="526" w:name="_Toc405301033"/>
      <w:bookmarkStart w:id="527" w:name="_Toc405884737"/>
      <w:bookmarkStart w:id="528" w:name="_Toc406609227"/>
      <w:r w:rsidRPr="00863601">
        <w:rPr>
          <w:rFonts w:ascii="Times New Roman" w:hAnsi="Times New Roman"/>
          <w:color w:val="000000" w:themeColor="text1"/>
          <w:szCs w:val="22"/>
        </w:rPr>
        <w:t>PROCEDURAL MATTERS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880B72" w:rsidRPr="00863601" w:rsidRDefault="00643D46" w:rsidP="005E5F79">
      <w:pPr>
        <w:pStyle w:val="ParaNum"/>
        <w:widowControl/>
        <w:rPr>
          <w:color w:val="000000" w:themeColor="text1"/>
          <w:szCs w:val="22"/>
        </w:rPr>
      </w:pPr>
      <w:r w:rsidRPr="00863601">
        <w:rPr>
          <w:color w:val="000000" w:themeColor="text1"/>
          <w:szCs w:val="22"/>
          <w:u w:val="single"/>
        </w:rPr>
        <w:t>Authority</w:t>
      </w:r>
      <w:r w:rsidRPr="00863601">
        <w:rPr>
          <w:color w:val="000000" w:themeColor="text1"/>
          <w:szCs w:val="22"/>
        </w:rPr>
        <w:t xml:space="preserve">.  This </w:t>
      </w:r>
      <w:r w:rsidRPr="00863601">
        <w:rPr>
          <w:i/>
          <w:color w:val="000000" w:themeColor="text1"/>
          <w:szCs w:val="22"/>
        </w:rPr>
        <w:t>Notice</w:t>
      </w:r>
      <w:r w:rsidR="00C311AF" w:rsidRPr="00863601">
        <w:rPr>
          <w:i/>
          <w:color w:val="000000" w:themeColor="text1"/>
          <w:szCs w:val="22"/>
        </w:rPr>
        <w:t xml:space="preserve"> of Proposed Rulemaking</w:t>
      </w:r>
      <w:r w:rsidRPr="00863601">
        <w:rPr>
          <w:color w:val="000000" w:themeColor="text1"/>
          <w:szCs w:val="22"/>
        </w:rPr>
        <w:t xml:space="preserve"> is issued pursuant to authority contained in Sections 4(i), 4(j), </w:t>
      </w:r>
      <w:r w:rsidR="00794445" w:rsidRPr="00863601">
        <w:rPr>
          <w:color w:val="000000" w:themeColor="text1"/>
          <w:szCs w:val="22"/>
        </w:rPr>
        <w:t xml:space="preserve">303(r), </w:t>
      </w:r>
      <w:r w:rsidR="00EE0297" w:rsidRPr="00863601">
        <w:rPr>
          <w:color w:val="000000" w:themeColor="text1"/>
          <w:szCs w:val="22"/>
        </w:rPr>
        <w:t xml:space="preserve">325, </w:t>
      </w:r>
      <w:r w:rsidRPr="00863601">
        <w:rPr>
          <w:color w:val="000000" w:themeColor="text1"/>
          <w:szCs w:val="22"/>
        </w:rPr>
        <w:t>403</w:t>
      </w:r>
      <w:r w:rsidR="00EE0297" w:rsidRPr="00863601">
        <w:rPr>
          <w:color w:val="000000" w:themeColor="text1"/>
          <w:szCs w:val="22"/>
        </w:rPr>
        <w:t>, 616, 628, 629, 634 and 713</w:t>
      </w:r>
      <w:r w:rsidRPr="00863601">
        <w:rPr>
          <w:color w:val="000000" w:themeColor="text1"/>
          <w:szCs w:val="22"/>
        </w:rPr>
        <w:t xml:space="preserve"> of the Communications Act of 1934, as amended, 47 U.S.C §§ 154(i), 154(j), </w:t>
      </w:r>
      <w:r w:rsidR="00794445" w:rsidRPr="00863601">
        <w:rPr>
          <w:color w:val="000000" w:themeColor="text1"/>
          <w:szCs w:val="22"/>
        </w:rPr>
        <w:t xml:space="preserve">303(r), </w:t>
      </w:r>
      <w:r w:rsidR="00EE0297" w:rsidRPr="00863601">
        <w:rPr>
          <w:color w:val="000000" w:themeColor="text1"/>
          <w:szCs w:val="22"/>
        </w:rPr>
        <w:t xml:space="preserve">325, </w:t>
      </w:r>
      <w:r w:rsidRPr="00863601">
        <w:rPr>
          <w:color w:val="000000" w:themeColor="text1"/>
          <w:szCs w:val="22"/>
        </w:rPr>
        <w:t>403</w:t>
      </w:r>
      <w:r w:rsidR="00EE0297" w:rsidRPr="00863601">
        <w:rPr>
          <w:color w:val="000000" w:themeColor="text1"/>
          <w:szCs w:val="22"/>
        </w:rPr>
        <w:t>, 536, 548, 549, 554, and 613</w:t>
      </w:r>
      <w:r w:rsidRPr="00863601">
        <w:rPr>
          <w:color w:val="000000" w:themeColor="text1"/>
          <w:szCs w:val="22"/>
        </w:rPr>
        <w:t xml:space="preserve">.  </w:t>
      </w:r>
    </w:p>
    <w:p w:rsidR="00880B72" w:rsidRPr="00863601" w:rsidRDefault="00643D46" w:rsidP="005E5F79">
      <w:pPr>
        <w:pStyle w:val="ParaNum"/>
        <w:widowControl/>
        <w:rPr>
          <w:color w:val="000000" w:themeColor="text1"/>
        </w:rPr>
      </w:pPr>
      <w:r w:rsidRPr="00863601">
        <w:rPr>
          <w:color w:val="000000" w:themeColor="text1"/>
          <w:szCs w:val="22"/>
          <w:u w:val="single"/>
        </w:rPr>
        <w:t>Ex Parte Rules</w:t>
      </w:r>
      <w:r w:rsidRPr="00863601">
        <w:rPr>
          <w:color w:val="000000" w:themeColor="text1"/>
          <w:szCs w:val="22"/>
        </w:rPr>
        <w:t xml:space="preserve">.  </w:t>
      </w:r>
      <w:r w:rsidR="00EF3D34" w:rsidRPr="00863601">
        <w:rPr>
          <w:color w:val="000000" w:themeColor="text1"/>
        </w:rPr>
        <w:t xml:space="preserve">The proceeding initiated by this </w:t>
      </w:r>
      <w:r w:rsidR="00EF3D34" w:rsidRPr="00863601">
        <w:rPr>
          <w:i/>
          <w:color w:val="000000" w:themeColor="text1"/>
        </w:rPr>
        <w:t xml:space="preserve">Notice of Proposed Rulemaking </w:t>
      </w:r>
      <w:r w:rsidR="00EF3D34" w:rsidRPr="00863601">
        <w:rPr>
          <w:color w:val="000000" w:themeColor="text1"/>
        </w:rPr>
        <w:t xml:space="preserve">shall be treated as “permit-but-disclose” proceedings in accordance with the Commission’s </w:t>
      </w:r>
      <w:r w:rsidR="00EF3D34" w:rsidRPr="00863601">
        <w:rPr>
          <w:i/>
          <w:iCs/>
          <w:color w:val="000000" w:themeColor="text1"/>
        </w:rPr>
        <w:t xml:space="preserve">ex parte </w:t>
      </w:r>
      <w:r w:rsidR="00EF3D34" w:rsidRPr="00863601">
        <w:rPr>
          <w:color w:val="000000" w:themeColor="text1"/>
        </w:rPr>
        <w:t>rules.</w:t>
      </w:r>
      <w:r w:rsidR="00EF3D34" w:rsidRPr="00863601">
        <w:rPr>
          <w:color w:val="000000" w:themeColor="text1"/>
          <w:vertAlign w:val="superscript"/>
        </w:rPr>
        <w:footnoteReference w:id="247"/>
      </w:r>
      <w:r w:rsidR="00EF3D34" w:rsidRPr="00863601">
        <w:rPr>
          <w:color w:val="000000" w:themeColor="text1"/>
        </w:rPr>
        <w:t xml:space="preserve">  Persons making </w:t>
      </w:r>
      <w:r w:rsidR="00EF3D34" w:rsidRPr="00863601">
        <w:rPr>
          <w:i/>
          <w:color w:val="000000" w:themeColor="text1"/>
        </w:rPr>
        <w:t xml:space="preserve">ex parte </w:t>
      </w:r>
      <w:r w:rsidR="00EF3D34" w:rsidRPr="00863601">
        <w:rPr>
          <w:color w:val="000000" w:themeColor="text1"/>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EF3D34" w:rsidRPr="00863601">
        <w:rPr>
          <w:i/>
          <w:iCs/>
          <w:color w:val="000000" w:themeColor="text1"/>
        </w:rPr>
        <w:t xml:space="preserve">ex parte </w:t>
      </w:r>
      <w:r w:rsidR="00EF3D34" w:rsidRPr="00863601">
        <w:rPr>
          <w:color w:val="000000" w:themeColor="text1"/>
        </w:rPr>
        <w:t xml:space="preserve">presentations are reminded that memoranda summarizing the presentation must: (1) list all persons attending or otherwise participating in the meeting at which the </w:t>
      </w:r>
      <w:r w:rsidR="00EF3D34" w:rsidRPr="00863601">
        <w:rPr>
          <w:i/>
          <w:iCs/>
          <w:color w:val="000000" w:themeColor="text1"/>
        </w:rPr>
        <w:t xml:space="preserve">ex parte </w:t>
      </w:r>
      <w:r w:rsidR="00EF3D34" w:rsidRPr="00863601">
        <w:rPr>
          <w:color w:val="000000" w:themeColor="text1"/>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EF3D34" w:rsidRPr="00863601">
        <w:rPr>
          <w:i/>
          <w:iCs/>
          <w:color w:val="000000" w:themeColor="text1"/>
        </w:rPr>
        <w:t xml:space="preserve">ex parte </w:t>
      </w:r>
      <w:r w:rsidR="00EF3D34" w:rsidRPr="00863601">
        <w:rPr>
          <w:color w:val="000000" w:themeColor="text1"/>
        </w:rPr>
        <w:t xml:space="preserve">meetings are deemed to be written </w:t>
      </w:r>
      <w:r w:rsidR="00EF3D34" w:rsidRPr="00863601">
        <w:rPr>
          <w:i/>
          <w:iCs/>
          <w:color w:val="000000" w:themeColor="text1"/>
        </w:rPr>
        <w:t>ex parte</w:t>
      </w:r>
      <w:r w:rsidR="00EF3D34" w:rsidRPr="00863601">
        <w:rPr>
          <w:color w:val="000000" w:themeColor="text1"/>
        </w:rPr>
        <w:t xml:space="preserve"> presentations and must be filed consistent with rule 1.1206(b).  In proceedings governed by rule 1.49(f) or for which the Commission has made available a method of electronic filing, written </w:t>
      </w:r>
      <w:r w:rsidR="00EF3D34" w:rsidRPr="00863601">
        <w:rPr>
          <w:i/>
          <w:iCs/>
          <w:color w:val="000000" w:themeColor="text1"/>
        </w:rPr>
        <w:t xml:space="preserve">ex parte </w:t>
      </w:r>
      <w:r w:rsidR="00EF3D34" w:rsidRPr="00863601">
        <w:rPr>
          <w:color w:val="000000" w:themeColor="text1"/>
        </w:rPr>
        <w:t xml:space="preserve">presentations and memoranda summarizing oral </w:t>
      </w:r>
      <w:r w:rsidR="00EF3D34" w:rsidRPr="00863601">
        <w:rPr>
          <w:i/>
          <w:iCs/>
          <w:color w:val="000000" w:themeColor="text1"/>
        </w:rPr>
        <w:t xml:space="preserve">ex parte </w:t>
      </w:r>
      <w:r w:rsidR="00EF3D34" w:rsidRPr="00863601">
        <w:rPr>
          <w:color w:val="000000" w:themeColor="text1"/>
        </w:rPr>
        <w:t>presentations, and all attachments thereto, must be filed through the electronic comment filing system available for that proceeding, and must be filed in their native format (</w:t>
      </w:r>
      <w:r w:rsidR="00EF3D34" w:rsidRPr="00863601">
        <w:rPr>
          <w:i/>
          <w:iCs/>
          <w:color w:val="000000" w:themeColor="text1"/>
        </w:rPr>
        <w:t>e.g.</w:t>
      </w:r>
      <w:r w:rsidR="00EF3D34" w:rsidRPr="00863601">
        <w:rPr>
          <w:color w:val="000000" w:themeColor="text1"/>
        </w:rPr>
        <w:t xml:space="preserve">, .doc, .xml, .ppt, searchable .pdf).  Participants in this proceeding should familiarize themselves with the Commission’s </w:t>
      </w:r>
      <w:r w:rsidR="00EF3D34" w:rsidRPr="00863601">
        <w:rPr>
          <w:i/>
          <w:iCs/>
          <w:color w:val="000000" w:themeColor="text1"/>
        </w:rPr>
        <w:t xml:space="preserve">ex parte </w:t>
      </w:r>
      <w:r w:rsidR="00EF3D34" w:rsidRPr="00863601">
        <w:rPr>
          <w:color w:val="000000" w:themeColor="text1"/>
        </w:rPr>
        <w:t>rules.</w:t>
      </w:r>
    </w:p>
    <w:p w:rsidR="00794445" w:rsidRPr="00863601" w:rsidRDefault="00794445" w:rsidP="005E5F79">
      <w:pPr>
        <w:pStyle w:val="ParaNum"/>
        <w:widowControl/>
        <w:rPr>
          <w:color w:val="000000" w:themeColor="text1"/>
          <w:szCs w:val="22"/>
        </w:rPr>
      </w:pPr>
      <w:r w:rsidRPr="00863601">
        <w:rPr>
          <w:color w:val="000000" w:themeColor="text1"/>
          <w:szCs w:val="22"/>
          <w:u w:val="single"/>
        </w:rPr>
        <w:t>Filing Requirements</w:t>
      </w:r>
      <w:r w:rsidRPr="00863601">
        <w:rPr>
          <w:color w:val="000000" w:themeColor="text1"/>
          <w:szCs w:val="22"/>
        </w:rPr>
        <w:t>.  Pursuant to Sections 1.415 and 1.419 of the Commission’s rules,</w:t>
      </w:r>
      <w:r w:rsidRPr="00863601">
        <w:rPr>
          <w:rStyle w:val="FootnoteReference"/>
          <w:color w:val="000000" w:themeColor="text1"/>
          <w:szCs w:val="22"/>
        </w:rPr>
        <w:footnoteReference w:id="248"/>
      </w:r>
      <w:r w:rsidRPr="00863601">
        <w:rPr>
          <w:color w:val="000000" w:themeColor="text1"/>
          <w:szCs w:val="22"/>
        </w:rPr>
        <w:t xml:space="preserve"> interested parties may file comments and reply comments on or before the dates indicated on the first page of this document.  Comments may be filed using the Commission’s Electronic Comment Filing System (“ECFS”).</w:t>
      </w:r>
      <w:r w:rsidRPr="00863601">
        <w:rPr>
          <w:rStyle w:val="FootnoteReference"/>
          <w:color w:val="000000" w:themeColor="text1"/>
          <w:szCs w:val="22"/>
        </w:rPr>
        <w:footnoteReference w:id="249"/>
      </w:r>
    </w:p>
    <w:p w:rsidR="00794445" w:rsidRPr="00863601" w:rsidRDefault="00794445" w:rsidP="005E5F79">
      <w:pPr>
        <w:pStyle w:val="ParaNum"/>
        <w:widowControl/>
        <w:numPr>
          <w:ilvl w:val="0"/>
          <w:numId w:val="3"/>
        </w:numPr>
        <w:rPr>
          <w:color w:val="000000" w:themeColor="text1"/>
          <w:szCs w:val="22"/>
        </w:rPr>
      </w:pPr>
      <w:r w:rsidRPr="00863601">
        <w:rPr>
          <w:color w:val="000000" w:themeColor="text1"/>
          <w:szCs w:val="22"/>
          <w:u w:val="single"/>
        </w:rPr>
        <w:t>Electronic Filers</w:t>
      </w:r>
      <w:r w:rsidRPr="00863601">
        <w:rPr>
          <w:color w:val="000000" w:themeColor="text1"/>
          <w:szCs w:val="22"/>
        </w:rPr>
        <w:t xml:space="preserve">:  Comments may be filed electronically using the Internet by accessing the ECFS:  </w:t>
      </w:r>
      <w:hyperlink r:id="rId10" w:history="1">
        <w:r w:rsidRPr="00863601">
          <w:rPr>
            <w:rStyle w:val="Hyperlink"/>
            <w:color w:val="000000" w:themeColor="text1"/>
            <w:szCs w:val="22"/>
          </w:rPr>
          <w:t>http://fjallfoss.fcc.gov/ecfs2/</w:t>
        </w:r>
      </w:hyperlink>
      <w:r w:rsidRPr="00863601">
        <w:rPr>
          <w:color w:val="000000" w:themeColor="text1"/>
          <w:szCs w:val="22"/>
        </w:rPr>
        <w:t>.</w:t>
      </w:r>
    </w:p>
    <w:p w:rsidR="00794445" w:rsidRPr="00863601" w:rsidRDefault="00794445" w:rsidP="005E5F79">
      <w:pPr>
        <w:pStyle w:val="ParaNum"/>
        <w:widowControl/>
        <w:numPr>
          <w:ilvl w:val="0"/>
          <w:numId w:val="3"/>
        </w:numPr>
        <w:rPr>
          <w:color w:val="000000" w:themeColor="text1"/>
          <w:szCs w:val="22"/>
        </w:rPr>
      </w:pPr>
      <w:r w:rsidRPr="00863601">
        <w:rPr>
          <w:color w:val="000000" w:themeColor="text1"/>
          <w:szCs w:val="22"/>
          <w:u w:val="single"/>
        </w:rPr>
        <w:t>Paper Filers</w:t>
      </w:r>
      <w:r w:rsidRPr="00863601">
        <w:rPr>
          <w:color w:val="000000" w:themeColor="text1"/>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94445" w:rsidRPr="00863601" w:rsidRDefault="00794445" w:rsidP="005E5F79">
      <w:pPr>
        <w:pStyle w:val="ParaNum"/>
        <w:widowControl/>
        <w:numPr>
          <w:ilvl w:val="0"/>
          <w:numId w:val="0"/>
        </w:numPr>
        <w:ind w:left="1080"/>
        <w:rPr>
          <w:color w:val="000000" w:themeColor="text1"/>
          <w:szCs w:val="22"/>
        </w:rPr>
      </w:pPr>
      <w:r w:rsidRPr="00863601">
        <w:rPr>
          <w:color w:val="000000" w:themeColor="text1"/>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94445" w:rsidRPr="00863601" w:rsidRDefault="00794445" w:rsidP="005E5F79">
      <w:pPr>
        <w:pStyle w:val="ParaNum"/>
        <w:widowControl/>
        <w:numPr>
          <w:ilvl w:val="1"/>
          <w:numId w:val="3"/>
        </w:numPr>
        <w:rPr>
          <w:color w:val="000000" w:themeColor="text1"/>
          <w:szCs w:val="22"/>
        </w:rPr>
      </w:pPr>
      <w:r w:rsidRPr="00863601">
        <w:rPr>
          <w:color w:val="000000" w:themeColor="text1"/>
          <w:szCs w:val="22"/>
        </w:rPr>
        <w:t>All hand-delivered or messenger-delivered paper filings for the Commission’s Secretary must be delivered to FCC Headquarters at 445 12</w:t>
      </w:r>
      <w:r w:rsidRPr="00863601">
        <w:rPr>
          <w:color w:val="000000" w:themeColor="text1"/>
          <w:szCs w:val="22"/>
          <w:vertAlign w:val="superscript"/>
        </w:rPr>
        <w:t>th</w:t>
      </w:r>
      <w:r w:rsidRPr="00863601">
        <w:rPr>
          <w:color w:val="000000" w:themeColor="text1"/>
          <w:szCs w:val="22"/>
        </w:rPr>
        <w:t xml:space="preserve"> St., SW, Room TW-A325, Washington, DC 20554.  The filing hours are 8:00 a.m. to 7:00 p.m.  All hand deliveries must be held together with rubber bands or fasteners.  Any envelopes and boxes must be disposed of </w:t>
      </w:r>
      <w:r w:rsidRPr="00863601">
        <w:rPr>
          <w:color w:val="000000" w:themeColor="text1"/>
          <w:szCs w:val="22"/>
          <w:u w:val="single"/>
        </w:rPr>
        <w:t>before</w:t>
      </w:r>
      <w:r w:rsidRPr="00863601">
        <w:rPr>
          <w:color w:val="000000" w:themeColor="text1"/>
          <w:szCs w:val="22"/>
        </w:rPr>
        <w:t xml:space="preserve"> entering the building.  </w:t>
      </w:r>
    </w:p>
    <w:p w:rsidR="00794445" w:rsidRPr="00863601" w:rsidRDefault="00794445" w:rsidP="005E5F79">
      <w:pPr>
        <w:pStyle w:val="ParaNum"/>
        <w:widowControl/>
        <w:numPr>
          <w:ilvl w:val="1"/>
          <w:numId w:val="3"/>
        </w:numPr>
        <w:rPr>
          <w:color w:val="000000" w:themeColor="text1"/>
          <w:szCs w:val="22"/>
        </w:rPr>
      </w:pPr>
      <w:r w:rsidRPr="00863601">
        <w:rPr>
          <w:color w:val="000000" w:themeColor="text1"/>
          <w:szCs w:val="22"/>
        </w:rPr>
        <w:t>Commercial overnight mail (other than U.S. Postal Service Express Mail and Priority Mail) must be sent to 9300 East Hampton Drive, Capitol Heights, MD 20743.</w:t>
      </w:r>
    </w:p>
    <w:p w:rsidR="00794445" w:rsidRPr="00863601" w:rsidRDefault="00794445" w:rsidP="005E5F79">
      <w:pPr>
        <w:pStyle w:val="ParaNum"/>
        <w:widowControl/>
        <w:numPr>
          <w:ilvl w:val="1"/>
          <w:numId w:val="3"/>
        </w:numPr>
        <w:rPr>
          <w:color w:val="000000" w:themeColor="text1"/>
          <w:szCs w:val="22"/>
        </w:rPr>
      </w:pPr>
      <w:r w:rsidRPr="00863601">
        <w:rPr>
          <w:color w:val="000000" w:themeColor="text1"/>
          <w:szCs w:val="22"/>
        </w:rPr>
        <w:t>U.S. Postal Service first-class, Express, and Priority mail must be addressed to 445 12</w:t>
      </w:r>
      <w:r w:rsidRPr="00863601">
        <w:rPr>
          <w:color w:val="000000" w:themeColor="text1"/>
          <w:szCs w:val="22"/>
          <w:vertAlign w:val="superscript"/>
        </w:rPr>
        <w:t>th</w:t>
      </w:r>
      <w:r w:rsidRPr="00863601">
        <w:rPr>
          <w:color w:val="000000" w:themeColor="text1"/>
          <w:szCs w:val="22"/>
        </w:rPr>
        <w:t xml:space="preserve"> Street, SW, Washington DC 20554.</w:t>
      </w:r>
    </w:p>
    <w:p w:rsidR="00880B72" w:rsidRPr="00863601" w:rsidRDefault="00794445" w:rsidP="005E5F79">
      <w:pPr>
        <w:pStyle w:val="ParaNum"/>
        <w:widowControl/>
        <w:rPr>
          <w:color w:val="000000" w:themeColor="text1"/>
          <w:szCs w:val="22"/>
        </w:rPr>
      </w:pPr>
      <w:r w:rsidRPr="00863601">
        <w:rPr>
          <w:color w:val="000000" w:themeColor="text1"/>
          <w:szCs w:val="22"/>
          <w:u w:val="single"/>
        </w:rPr>
        <w:t>Availability of Documents</w:t>
      </w:r>
      <w:r w:rsidRPr="00863601">
        <w:rPr>
          <w:color w:val="000000" w:themeColor="text1"/>
          <w:szCs w:val="22"/>
        </w:rPr>
        <w:t>.  Comments</w:t>
      </w:r>
      <w:r w:rsidR="004A2F03" w:rsidRPr="00863601">
        <w:rPr>
          <w:color w:val="000000" w:themeColor="text1"/>
          <w:szCs w:val="22"/>
        </w:rPr>
        <w:t xml:space="preserve"> and </w:t>
      </w:r>
      <w:r w:rsidRPr="00863601">
        <w:rPr>
          <w:color w:val="000000" w:themeColor="text1"/>
          <w:szCs w:val="22"/>
        </w:rPr>
        <w:t>reply comments</w:t>
      </w:r>
      <w:r w:rsidR="004A2F03" w:rsidRPr="00863601">
        <w:rPr>
          <w:color w:val="000000" w:themeColor="text1"/>
          <w:szCs w:val="22"/>
        </w:rPr>
        <w:t xml:space="preserve"> </w:t>
      </w:r>
      <w:r w:rsidRPr="00863601">
        <w:rPr>
          <w:color w:val="000000" w:themeColor="text1"/>
          <w:szCs w:val="22"/>
        </w:rPr>
        <w:t>will be available for public inspection during regular business hours in the FCC Reference Center, Federal Communications Commission, 445 12</w:t>
      </w:r>
      <w:r w:rsidRPr="00863601">
        <w:rPr>
          <w:color w:val="000000" w:themeColor="text1"/>
          <w:szCs w:val="22"/>
          <w:vertAlign w:val="superscript"/>
        </w:rPr>
        <w:t>th</w:t>
      </w:r>
      <w:r w:rsidRPr="00863601">
        <w:rPr>
          <w:color w:val="000000" w:themeColor="text1"/>
          <w:szCs w:val="22"/>
        </w:rPr>
        <w:t xml:space="preserve"> Street, S.W., CY-A257, Washington, D.C., 20554.  These documents will also be available via ECFS.  Documents will be available electronically in ASCII, Microsoft Word, and/or Adobe Acrobat.</w:t>
      </w:r>
    </w:p>
    <w:p w:rsidR="00880B72" w:rsidRPr="00863601" w:rsidRDefault="00794445" w:rsidP="005E5F79">
      <w:pPr>
        <w:pStyle w:val="ParaNum"/>
        <w:widowControl/>
        <w:rPr>
          <w:color w:val="000000" w:themeColor="text1"/>
          <w:szCs w:val="22"/>
        </w:rPr>
      </w:pPr>
      <w:r w:rsidRPr="00863601">
        <w:rPr>
          <w:color w:val="000000" w:themeColor="text1"/>
          <w:szCs w:val="22"/>
          <w:u w:val="single"/>
        </w:rPr>
        <w:t>People with Disabilities</w:t>
      </w:r>
      <w:r w:rsidRPr="00863601">
        <w:rPr>
          <w:color w:val="000000" w:themeColor="text1"/>
          <w:szCs w:val="22"/>
        </w:rPr>
        <w:t>.</w:t>
      </w:r>
      <w:r w:rsidRPr="00863601">
        <w:rPr>
          <w:i/>
          <w:color w:val="000000" w:themeColor="text1"/>
          <w:szCs w:val="22"/>
        </w:rPr>
        <w:t xml:space="preserve">  </w:t>
      </w:r>
      <w:r w:rsidRPr="00863601">
        <w:rPr>
          <w:color w:val="000000" w:themeColor="text1"/>
          <w:szCs w:val="22"/>
        </w:rPr>
        <w:t xml:space="preserve">To request materials in accessible formats for people with disabilities (braille, large print, electronic files, audio format), send an e-mail to </w:t>
      </w:r>
      <w:hyperlink r:id="rId11" w:history="1">
        <w:r w:rsidRPr="00863601">
          <w:rPr>
            <w:rStyle w:val="Hyperlink"/>
            <w:color w:val="000000" w:themeColor="text1"/>
            <w:szCs w:val="22"/>
          </w:rPr>
          <w:t>fcc504@fcc.gov</w:t>
        </w:r>
      </w:hyperlink>
      <w:r w:rsidRPr="00863601">
        <w:rPr>
          <w:color w:val="000000" w:themeColor="text1"/>
          <w:szCs w:val="22"/>
        </w:rPr>
        <w:t xml:space="preserve"> or call the FCC’s Consumer and Governmental Affairs Bureau at (202) 418-0530 (voice), (202) 418-0432 (TTY).  </w:t>
      </w:r>
    </w:p>
    <w:p w:rsidR="00794445" w:rsidRPr="00863601" w:rsidRDefault="00794445" w:rsidP="005E5F79">
      <w:pPr>
        <w:pStyle w:val="ParaNum"/>
        <w:widowControl/>
        <w:rPr>
          <w:color w:val="000000" w:themeColor="text1"/>
          <w:szCs w:val="22"/>
        </w:rPr>
      </w:pPr>
      <w:r w:rsidRPr="00863601">
        <w:rPr>
          <w:color w:val="000000" w:themeColor="text1"/>
          <w:szCs w:val="22"/>
          <w:u w:val="single"/>
        </w:rPr>
        <w:t>Additional Information</w:t>
      </w:r>
      <w:r w:rsidRPr="00863601">
        <w:rPr>
          <w:color w:val="000000" w:themeColor="text1"/>
          <w:szCs w:val="22"/>
        </w:rPr>
        <w:t>.  For additional information on this proceeding, contact</w:t>
      </w:r>
      <w:r w:rsidR="003A4D97" w:rsidRPr="00863601">
        <w:rPr>
          <w:color w:val="000000" w:themeColor="text1"/>
          <w:szCs w:val="22"/>
        </w:rPr>
        <w:t xml:space="preserve"> Brendan Murray</w:t>
      </w:r>
      <w:r w:rsidRPr="00863601">
        <w:rPr>
          <w:color w:val="000000" w:themeColor="text1"/>
          <w:szCs w:val="22"/>
        </w:rPr>
        <w:t xml:space="preserve"> </w:t>
      </w:r>
      <w:hyperlink r:id="rId12" w:history="1">
        <w:r w:rsidR="003F26E6" w:rsidRPr="003F26E6">
          <w:rPr>
            <w:rStyle w:val="Hyperlink"/>
          </w:rPr>
          <w:t>mailto:</w:t>
        </w:r>
      </w:hyperlink>
      <w:r w:rsidRPr="00863601">
        <w:rPr>
          <w:color w:val="000000" w:themeColor="text1"/>
          <w:szCs w:val="22"/>
        </w:rPr>
        <w:t>of the Media Bureau, Policy Division, (202) 418-</w:t>
      </w:r>
      <w:r w:rsidR="003A4D97" w:rsidRPr="00863601">
        <w:rPr>
          <w:color w:val="000000" w:themeColor="text1"/>
          <w:szCs w:val="22"/>
        </w:rPr>
        <w:t>1573</w:t>
      </w:r>
      <w:r w:rsidRPr="00863601">
        <w:rPr>
          <w:color w:val="000000" w:themeColor="text1"/>
          <w:szCs w:val="22"/>
        </w:rPr>
        <w:t>.</w:t>
      </w:r>
    </w:p>
    <w:p w:rsidR="00C311AF" w:rsidRPr="00863601" w:rsidRDefault="00C311AF" w:rsidP="005E5F79">
      <w:pPr>
        <w:pStyle w:val="ParaNum"/>
        <w:widowControl/>
        <w:rPr>
          <w:color w:val="000000" w:themeColor="text1"/>
        </w:rPr>
      </w:pPr>
      <w:bookmarkStart w:id="529" w:name="_Toc378863298"/>
      <w:bookmarkStart w:id="530" w:name="_Toc378868615"/>
      <w:bookmarkStart w:id="531" w:name="_Toc379787525"/>
      <w:bookmarkStart w:id="532" w:name="_Toc379902607"/>
      <w:bookmarkStart w:id="533" w:name="_Toc379903293"/>
      <w:bookmarkStart w:id="534" w:name="_Toc379907072"/>
      <w:bookmarkStart w:id="535" w:name="_Toc380482113"/>
      <w:bookmarkStart w:id="536" w:name="_Toc380483106"/>
      <w:bookmarkStart w:id="537" w:name="_Toc380569179"/>
      <w:bookmarkStart w:id="538" w:name="_Toc380580367"/>
      <w:bookmarkStart w:id="539" w:name="_Toc380581435"/>
      <w:bookmarkStart w:id="540" w:name="_Toc380584425"/>
      <w:bookmarkStart w:id="541" w:name="_Toc380673903"/>
      <w:bookmarkStart w:id="542" w:name="_Toc383514782"/>
      <w:bookmarkStart w:id="543" w:name="_Toc384814355"/>
      <w:bookmarkStart w:id="544" w:name="_Toc384814434"/>
      <w:bookmarkStart w:id="545" w:name="_Toc384814868"/>
      <w:bookmarkStart w:id="546" w:name="_Toc384817910"/>
      <w:bookmarkStart w:id="547" w:name="_Toc387054614"/>
      <w:bookmarkStart w:id="548" w:name="_Toc387154760"/>
      <w:bookmarkStart w:id="549" w:name="_Toc387155785"/>
      <w:bookmarkStart w:id="550" w:name="_Toc387222349"/>
      <w:r w:rsidRPr="00863601">
        <w:rPr>
          <w:color w:val="000000" w:themeColor="text1"/>
          <w:szCs w:val="22"/>
          <w:u w:val="single"/>
        </w:rPr>
        <w:t>Regulatory Flexibility Analysis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863601">
        <w:rPr>
          <w:color w:val="000000" w:themeColor="text1"/>
          <w:szCs w:val="22"/>
        </w:rPr>
        <w:t xml:space="preserve">.  </w:t>
      </w:r>
      <w:r w:rsidRPr="00863601">
        <w:rPr>
          <w:color w:val="000000" w:themeColor="text1"/>
        </w:rPr>
        <w:t xml:space="preserve">As required by the Regulatory Flexibility Act of 1980, see 5 U.S.C. § 604, the Commission has prepared an Initial Regulatory Flexibility Analysis (IRFA) of the possible significant economic impact on small entities of the policies and rules addressed in this document.  The IRFA is set forth in Appendix </w:t>
      </w:r>
      <w:r w:rsidR="00D3557A" w:rsidRPr="00863601">
        <w:rPr>
          <w:color w:val="000000" w:themeColor="text1"/>
        </w:rPr>
        <w:t>B</w:t>
      </w:r>
      <w:r w:rsidRPr="00863601">
        <w:rPr>
          <w:color w:val="000000" w:themeColor="text1"/>
        </w:rPr>
        <w:t xml:space="preserve">.  Written public comments are requested in the IRFA.  These comments must be filed in accordance with the same filing deadlines as comments filed in response to this </w:t>
      </w:r>
      <w:r w:rsidRPr="00863601">
        <w:rPr>
          <w:i/>
          <w:color w:val="000000" w:themeColor="text1"/>
        </w:rPr>
        <w:t>Notice of Proposed Rulemaking</w:t>
      </w:r>
      <w:r w:rsidRPr="00863601">
        <w:rPr>
          <w:color w:val="000000" w:themeColor="text1"/>
        </w:rPr>
        <w:t xml:space="preserve"> as set forth on the first page of this document, and have a separate and distinct heading designating them as responses to the IRFA.</w:t>
      </w:r>
    </w:p>
    <w:p w:rsidR="00623373" w:rsidRPr="00863601" w:rsidRDefault="00623373" w:rsidP="005E5F79">
      <w:pPr>
        <w:pStyle w:val="ParaNum"/>
        <w:widowControl/>
        <w:rPr>
          <w:color w:val="000000" w:themeColor="text1"/>
        </w:rPr>
      </w:pPr>
      <w:bookmarkStart w:id="551" w:name="SR;48784"/>
      <w:bookmarkStart w:id="552" w:name="SR;48785"/>
      <w:bookmarkStart w:id="553" w:name="SR;48786"/>
      <w:bookmarkStart w:id="554" w:name="SR;48787"/>
      <w:bookmarkStart w:id="555" w:name="sp_999_86"/>
      <w:bookmarkStart w:id="556" w:name="SDU_86"/>
      <w:bookmarkEnd w:id="551"/>
      <w:bookmarkEnd w:id="552"/>
      <w:bookmarkEnd w:id="553"/>
      <w:bookmarkEnd w:id="554"/>
      <w:bookmarkEnd w:id="555"/>
      <w:bookmarkEnd w:id="556"/>
      <w:r w:rsidRPr="00863601">
        <w:rPr>
          <w:color w:val="000000" w:themeColor="text1"/>
          <w:szCs w:val="22"/>
          <w:u w:val="single"/>
        </w:rPr>
        <w:t>Initial Paperwork Reduction Act Analysis.</w:t>
      </w:r>
      <w:r w:rsidRPr="00863601">
        <w:rPr>
          <w:rFonts w:ascii="Verdana" w:hAnsi="Verdana"/>
          <w:color w:val="000000" w:themeColor="text1"/>
          <w:sz w:val="20"/>
          <w:shd w:val="clear" w:color="auto" w:fill="FFFFFF"/>
        </w:rPr>
        <w:t xml:space="preserve"> </w:t>
      </w:r>
      <w:r w:rsidRPr="00863601">
        <w:rPr>
          <w:color w:val="000000" w:themeColor="text1"/>
        </w:rPr>
        <w:t>This Notice of Proposed Rulemaking seeks comment on a potential new or revised information collection requirement. If the Commission adopts any new or revised information collection requirement, the Commission will publish a separate notice in the Federal Register inviting the public to comment on the requirement, as required by the Paperwork Reduction Act of 1995, </w:t>
      </w:r>
      <w:hyperlink r:id="rId13" w:tgtFrame="_top" w:history="1">
        <w:r w:rsidRPr="00863601">
          <w:rPr>
            <w:color w:val="000000" w:themeColor="text1"/>
          </w:rPr>
          <w:t>Public Law 104-13</w:t>
        </w:r>
      </w:hyperlink>
      <w:r w:rsidRPr="00863601">
        <w:rPr>
          <w:color w:val="000000" w:themeColor="text1"/>
        </w:rPr>
        <w:t> (</w:t>
      </w:r>
      <w:hyperlink r:id="rId14" w:tgtFrame="_top" w:history="1">
        <w:r w:rsidRPr="00863601">
          <w:rPr>
            <w:color w:val="000000" w:themeColor="text1"/>
          </w:rPr>
          <w:t>44 U.S.C. 3501</w:t>
        </w:r>
      </w:hyperlink>
      <w:r w:rsidRPr="00863601">
        <w:rPr>
          <w:color w:val="000000" w:themeColor="text1"/>
        </w:rPr>
        <w:t>-</w:t>
      </w:r>
      <w:hyperlink r:id="rId15" w:tgtFrame="_top" w:history="1">
        <w:r w:rsidRPr="00863601">
          <w:rPr>
            <w:color w:val="000000" w:themeColor="text1"/>
          </w:rPr>
          <w:t>3520</w:t>
        </w:r>
      </w:hyperlink>
      <w:r w:rsidRPr="00863601">
        <w:rPr>
          <w:color w:val="000000" w:themeColor="text1"/>
        </w:rPr>
        <w:t>). In addition, pursuant to the Small Business Paperwork Relief Act of 2002, </w:t>
      </w:r>
      <w:hyperlink r:id="rId16" w:tgtFrame="_top" w:history="1">
        <w:r w:rsidRPr="00863601">
          <w:rPr>
            <w:color w:val="000000" w:themeColor="text1"/>
          </w:rPr>
          <w:t>Public Law 107-198</w:t>
        </w:r>
      </w:hyperlink>
      <w:r w:rsidRPr="00863601">
        <w:rPr>
          <w:color w:val="000000" w:themeColor="text1"/>
        </w:rPr>
        <w:t>, </w:t>
      </w:r>
      <w:hyperlink r:id="rId17" w:tgtFrame="_top" w:history="1">
        <w:r w:rsidRPr="00863601">
          <w:rPr>
            <w:color w:val="000000" w:themeColor="text1"/>
          </w:rPr>
          <w:t>44 U.S.C. 3506(c)(4)</w:t>
        </w:r>
      </w:hyperlink>
      <w:r w:rsidRPr="00863601">
        <w:rPr>
          <w:color w:val="000000" w:themeColor="text1"/>
        </w:rPr>
        <w:t>, the Commission seeks specific comment on how it might “further reduce the information collection burden for small business concerns with fewer than 25 employees.”</w:t>
      </w:r>
    </w:p>
    <w:p w:rsidR="00794445" w:rsidRPr="00863601" w:rsidRDefault="00794445" w:rsidP="005E5F79">
      <w:pPr>
        <w:pStyle w:val="Heading1"/>
        <w:widowControl/>
        <w:numPr>
          <w:ilvl w:val="0"/>
          <w:numId w:val="0"/>
        </w:numPr>
        <w:rPr>
          <w:rFonts w:ascii="Times New Roman" w:hAnsi="Times New Roman"/>
          <w:color w:val="000000" w:themeColor="text1"/>
          <w:szCs w:val="22"/>
        </w:rPr>
      </w:pPr>
      <w:bookmarkStart w:id="557" w:name="_Toc343169029"/>
      <w:bookmarkStart w:id="558" w:name="_Toc343875943"/>
      <w:bookmarkStart w:id="559" w:name="_Toc345939796"/>
      <w:bookmarkStart w:id="560" w:name="_Toc345940007"/>
      <w:bookmarkStart w:id="561" w:name="_Toc346121530"/>
      <w:bookmarkStart w:id="562" w:name="_Toc346192573"/>
      <w:bookmarkStart w:id="563" w:name="_Toc346192650"/>
      <w:bookmarkStart w:id="564" w:name="_Toc347491041"/>
      <w:bookmarkStart w:id="565" w:name="_Toc349751942"/>
      <w:bookmarkStart w:id="566" w:name="_Toc395187304"/>
      <w:bookmarkStart w:id="567" w:name="_Toc398540304"/>
      <w:bookmarkStart w:id="568" w:name="_Toc398565526"/>
      <w:bookmarkStart w:id="569" w:name="_Toc398624361"/>
      <w:bookmarkStart w:id="570" w:name="_Toc398746618"/>
      <w:bookmarkStart w:id="571" w:name="_Toc399148322"/>
      <w:bookmarkStart w:id="572" w:name="_Toc399260540"/>
      <w:bookmarkStart w:id="573" w:name="_Toc399316556"/>
      <w:bookmarkStart w:id="574" w:name="_Toc401241718"/>
      <w:bookmarkStart w:id="575" w:name="_Toc401259720"/>
      <w:bookmarkStart w:id="576" w:name="_Toc401312844"/>
      <w:bookmarkStart w:id="577" w:name="_Toc401850552"/>
      <w:bookmarkStart w:id="578" w:name="_Toc402169650"/>
      <w:bookmarkStart w:id="579" w:name="_Toc405301034"/>
      <w:bookmarkStart w:id="580" w:name="_Toc405884738"/>
      <w:bookmarkStart w:id="581" w:name="_Toc406609228"/>
      <w:r w:rsidRPr="00863601">
        <w:rPr>
          <w:rFonts w:ascii="Times New Roman" w:hAnsi="Times New Roman"/>
          <w:color w:val="000000" w:themeColor="text1"/>
          <w:szCs w:val="22"/>
        </w:rPr>
        <w:t>V.</w:t>
      </w:r>
      <w:r w:rsidRPr="00863601">
        <w:rPr>
          <w:rFonts w:ascii="Times New Roman" w:hAnsi="Times New Roman"/>
          <w:color w:val="000000" w:themeColor="text1"/>
          <w:szCs w:val="22"/>
        </w:rPr>
        <w:tab/>
        <w:t>ORDERING CLAUSES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794445" w:rsidRPr="00863601" w:rsidRDefault="00794445" w:rsidP="00111FB6">
      <w:pPr>
        <w:pStyle w:val="ParaNum"/>
        <w:keepNext/>
        <w:widowControl/>
        <w:rPr>
          <w:color w:val="000000" w:themeColor="text1"/>
          <w:szCs w:val="22"/>
        </w:rPr>
      </w:pPr>
      <w:r w:rsidRPr="00863601">
        <w:rPr>
          <w:color w:val="000000" w:themeColor="text1"/>
          <w:szCs w:val="22"/>
        </w:rPr>
        <w:t xml:space="preserve">Accordingly, </w:t>
      </w:r>
      <w:r w:rsidRPr="00863601">
        <w:rPr>
          <w:b/>
          <w:color w:val="000000" w:themeColor="text1"/>
          <w:szCs w:val="22"/>
        </w:rPr>
        <w:t>IT IS ORDERED</w:t>
      </w:r>
      <w:r w:rsidRPr="00863601">
        <w:rPr>
          <w:color w:val="000000" w:themeColor="text1"/>
          <w:szCs w:val="22"/>
        </w:rPr>
        <w:t xml:space="preserve">, pursuant to the authority contained in </w:t>
      </w:r>
      <w:r w:rsidR="00070147" w:rsidRPr="00863601">
        <w:rPr>
          <w:color w:val="000000" w:themeColor="text1"/>
          <w:szCs w:val="22"/>
        </w:rPr>
        <w:t>Sections 4(i), 4(j), 303(r), 325, 403, 616, 628, 629, 634 and 713 of the Communications Act of 1934, as amended, 47 U.S.C §§ 154(i), 154(j), 303(r), 325, 403, 536, 548, 549, 554, and 613</w:t>
      </w:r>
      <w:r w:rsidRPr="00863601">
        <w:rPr>
          <w:color w:val="000000" w:themeColor="text1"/>
          <w:szCs w:val="22"/>
        </w:rPr>
        <w:t xml:space="preserve">, that this </w:t>
      </w:r>
      <w:r w:rsidR="00C311AF" w:rsidRPr="00863601">
        <w:rPr>
          <w:i/>
          <w:color w:val="000000" w:themeColor="text1"/>
          <w:szCs w:val="22"/>
        </w:rPr>
        <w:t>Notice of Proposed Rulemaking</w:t>
      </w:r>
      <w:r w:rsidRPr="00863601">
        <w:rPr>
          <w:i/>
          <w:color w:val="000000" w:themeColor="text1"/>
          <w:szCs w:val="22"/>
        </w:rPr>
        <w:t xml:space="preserve"> </w:t>
      </w:r>
      <w:r w:rsidRPr="00863601">
        <w:rPr>
          <w:b/>
          <w:color w:val="000000" w:themeColor="text1"/>
          <w:szCs w:val="22"/>
        </w:rPr>
        <w:t>IS ADOPTED</w:t>
      </w:r>
      <w:r w:rsidRPr="00863601">
        <w:rPr>
          <w:color w:val="000000" w:themeColor="text1"/>
          <w:szCs w:val="22"/>
        </w:rPr>
        <w:t>.</w:t>
      </w:r>
    </w:p>
    <w:p w:rsidR="00C311AF" w:rsidRPr="00863601" w:rsidRDefault="00C311AF" w:rsidP="00111FB6">
      <w:pPr>
        <w:pStyle w:val="ParaNum"/>
        <w:keepNext/>
        <w:widowControl/>
        <w:rPr>
          <w:color w:val="000000" w:themeColor="text1"/>
        </w:rPr>
      </w:pPr>
      <w:r w:rsidRPr="00863601">
        <w:rPr>
          <w:b/>
          <w:color w:val="000000" w:themeColor="text1"/>
        </w:rPr>
        <w:t>IT IS FURTHER ORDERED</w:t>
      </w:r>
      <w:r w:rsidRPr="00863601">
        <w:rPr>
          <w:color w:val="000000" w:themeColor="text1"/>
        </w:rPr>
        <w:t xml:space="preserve"> </w:t>
      </w:r>
      <w:r w:rsidRPr="00863601">
        <w:rPr>
          <w:color w:val="000000" w:themeColor="text1"/>
          <w:szCs w:val="22"/>
        </w:rPr>
        <w:t>that</w:t>
      </w:r>
      <w:r w:rsidRPr="00863601">
        <w:rPr>
          <w:color w:val="000000" w:themeColor="text1"/>
        </w:rPr>
        <w:t xml:space="preserve"> the Commission’s Consumer and Governmental Affairs Bureau, Reference Information Center, </w:t>
      </w:r>
      <w:r w:rsidRPr="00863601">
        <w:rPr>
          <w:b/>
          <w:color w:val="000000" w:themeColor="text1"/>
        </w:rPr>
        <w:t>SHALL SEND</w:t>
      </w:r>
      <w:r w:rsidRPr="00863601">
        <w:rPr>
          <w:color w:val="000000" w:themeColor="text1"/>
        </w:rPr>
        <w:t xml:space="preserve"> a copy of this </w:t>
      </w:r>
      <w:r w:rsidRPr="00863601">
        <w:rPr>
          <w:i/>
          <w:color w:val="000000" w:themeColor="text1"/>
        </w:rPr>
        <w:t>Notice</w:t>
      </w:r>
      <w:r w:rsidRPr="00863601">
        <w:rPr>
          <w:color w:val="000000" w:themeColor="text1"/>
        </w:rPr>
        <w:t xml:space="preserve"> </w:t>
      </w:r>
      <w:r w:rsidRPr="00863601">
        <w:rPr>
          <w:i/>
          <w:color w:val="000000" w:themeColor="text1"/>
        </w:rPr>
        <w:t>of Proposed Rulemaking</w:t>
      </w:r>
      <w:r w:rsidRPr="00863601">
        <w:rPr>
          <w:color w:val="000000" w:themeColor="text1"/>
        </w:rPr>
        <w:t xml:space="preserve"> including the Regulatory Flexibility Analysis, to the Chief Counsel for Advocacy of the Small Business Administration.</w:t>
      </w:r>
    </w:p>
    <w:p w:rsidR="00D74FBE" w:rsidRPr="00863601" w:rsidRDefault="00E648B3" w:rsidP="00111FB6">
      <w:pPr>
        <w:keepNext/>
        <w:widowControl/>
        <w:rPr>
          <w:color w:val="000000" w:themeColor="text1"/>
        </w:rPr>
      </w:pPr>
      <w:r w:rsidRPr="00863601">
        <w:rPr>
          <w:color w:val="000000" w:themeColor="text1"/>
          <w:szCs w:val="22"/>
        </w:rPr>
        <w:tab/>
      </w:r>
      <w:bookmarkStart w:id="582" w:name="comebackhere"/>
      <w:bookmarkEnd w:id="582"/>
      <w:r w:rsidR="00D74FBE" w:rsidRPr="00863601">
        <w:rPr>
          <w:color w:val="000000" w:themeColor="text1"/>
        </w:rPr>
        <w:tab/>
      </w:r>
      <w:r w:rsidR="00D74FBE" w:rsidRPr="00863601">
        <w:rPr>
          <w:color w:val="000000" w:themeColor="text1"/>
        </w:rPr>
        <w:tab/>
      </w:r>
      <w:r w:rsidR="00D74FBE" w:rsidRPr="00863601">
        <w:rPr>
          <w:color w:val="000000" w:themeColor="text1"/>
        </w:rPr>
        <w:tab/>
      </w:r>
      <w:r w:rsidR="00D74FBE" w:rsidRPr="00863601">
        <w:rPr>
          <w:color w:val="000000" w:themeColor="text1"/>
        </w:rPr>
        <w:tab/>
      </w:r>
      <w:r w:rsidR="00D74FBE" w:rsidRPr="00863601">
        <w:rPr>
          <w:color w:val="000000" w:themeColor="text1"/>
        </w:rPr>
        <w:tab/>
        <w:t>FEDERAL COMMUNICATIONS COMMISSION</w:t>
      </w:r>
    </w:p>
    <w:p w:rsidR="00D74FBE" w:rsidRPr="00863601" w:rsidRDefault="00D74FBE" w:rsidP="00111FB6">
      <w:pPr>
        <w:keepNext/>
        <w:widowControl/>
        <w:rPr>
          <w:color w:val="000000" w:themeColor="text1"/>
        </w:rPr>
      </w:pPr>
    </w:p>
    <w:p w:rsidR="00D74FBE" w:rsidRPr="00863601" w:rsidRDefault="00D74FBE" w:rsidP="00111FB6">
      <w:pPr>
        <w:keepNext/>
        <w:widowControl/>
        <w:rPr>
          <w:color w:val="000000" w:themeColor="text1"/>
        </w:rPr>
      </w:pPr>
    </w:p>
    <w:p w:rsidR="00D74FBE" w:rsidRPr="00863601" w:rsidRDefault="00D74FBE" w:rsidP="00111FB6">
      <w:pPr>
        <w:keepNext/>
        <w:widowControl/>
        <w:rPr>
          <w:color w:val="000000" w:themeColor="text1"/>
        </w:rPr>
      </w:pPr>
    </w:p>
    <w:p w:rsidR="00D74FBE" w:rsidRPr="00863601" w:rsidRDefault="00D74FBE" w:rsidP="00111FB6">
      <w:pPr>
        <w:keepNext/>
        <w:widowControl/>
        <w:rPr>
          <w:color w:val="000000" w:themeColor="text1"/>
        </w:rPr>
      </w:pPr>
    </w:p>
    <w:p w:rsidR="00D74FBE" w:rsidRPr="00863601" w:rsidRDefault="00D74FBE" w:rsidP="00111FB6">
      <w:pPr>
        <w:keepNext/>
        <w:widowControl/>
        <w:rPr>
          <w:color w:val="000000" w:themeColor="text1"/>
        </w:rPr>
      </w:pPr>
      <w:r w:rsidRPr="00863601">
        <w:rPr>
          <w:color w:val="000000" w:themeColor="text1"/>
        </w:rPr>
        <w:tab/>
      </w:r>
      <w:r w:rsidRPr="00863601">
        <w:rPr>
          <w:color w:val="000000" w:themeColor="text1"/>
        </w:rPr>
        <w:tab/>
      </w:r>
      <w:r w:rsidRPr="00863601">
        <w:rPr>
          <w:color w:val="000000" w:themeColor="text1"/>
        </w:rPr>
        <w:tab/>
      </w:r>
      <w:r w:rsidRPr="00863601">
        <w:rPr>
          <w:color w:val="000000" w:themeColor="text1"/>
        </w:rPr>
        <w:tab/>
      </w:r>
      <w:r w:rsidRPr="00863601">
        <w:rPr>
          <w:color w:val="000000" w:themeColor="text1"/>
        </w:rPr>
        <w:tab/>
      </w:r>
      <w:r w:rsidRPr="00863601">
        <w:rPr>
          <w:color w:val="000000" w:themeColor="text1"/>
        </w:rPr>
        <w:tab/>
        <w:t>Marlene H. Dortch</w:t>
      </w:r>
    </w:p>
    <w:p w:rsidR="00766102" w:rsidRPr="00863601" w:rsidRDefault="00D74FBE" w:rsidP="00111FB6">
      <w:pPr>
        <w:keepNext/>
        <w:widowControl/>
        <w:rPr>
          <w:color w:val="000000" w:themeColor="text1"/>
        </w:rPr>
        <w:sectPr w:rsidR="00766102" w:rsidRPr="00863601" w:rsidSect="00111FB6">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code="1"/>
          <w:pgMar w:top="1440" w:right="1440" w:bottom="720" w:left="1440" w:header="634" w:footer="720" w:gutter="0"/>
          <w:cols w:space="720"/>
          <w:noEndnote/>
          <w:titlePg/>
          <w:docGrid w:linePitch="299"/>
        </w:sectPr>
      </w:pPr>
      <w:r w:rsidRPr="00863601">
        <w:rPr>
          <w:color w:val="000000" w:themeColor="text1"/>
        </w:rPr>
        <w:tab/>
      </w:r>
      <w:r w:rsidRPr="00863601">
        <w:rPr>
          <w:color w:val="000000" w:themeColor="text1"/>
        </w:rPr>
        <w:tab/>
      </w:r>
      <w:r w:rsidRPr="00863601">
        <w:rPr>
          <w:color w:val="000000" w:themeColor="text1"/>
        </w:rPr>
        <w:tab/>
      </w:r>
      <w:r w:rsidRPr="00863601">
        <w:rPr>
          <w:color w:val="000000" w:themeColor="text1"/>
        </w:rPr>
        <w:tab/>
      </w:r>
      <w:r w:rsidRPr="00863601">
        <w:rPr>
          <w:color w:val="000000" w:themeColor="text1"/>
        </w:rPr>
        <w:tab/>
      </w:r>
      <w:r w:rsidRPr="00863601">
        <w:rPr>
          <w:color w:val="000000" w:themeColor="text1"/>
        </w:rPr>
        <w:tab/>
        <w:t>Secretary</w:t>
      </w:r>
    </w:p>
    <w:p w:rsidR="007076C1" w:rsidRPr="00863601" w:rsidRDefault="007076C1" w:rsidP="005E5F79">
      <w:pPr>
        <w:widowControl/>
        <w:jc w:val="center"/>
        <w:rPr>
          <w:b/>
          <w:color w:val="000000" w:themeColor="text1"/>
          <w:szCs w:val="22"/>
        </w:rPr>
      </w:pPr>
      <w:r w:rsidRPr="00863601">
        <w:rPr>
          <w:b/>
          <w:color w:val="000000" w:themeColor="text1"/>
          <w:szCs w:val="22"/>
        </w:rPr>
        <w:t>APPENDIX A</w:t>
      </w:r>
    </w:p>
    <w:p w:rsidR="007076C1" w:rsidRPr="00863601" w:rsidRDefault="007076C1" w:rsidP="005E5F79">
      <w:pPr>
        <w:widowControl/>
        <w:jc w:val="center"/>
        <w:rPr>
          <w:b/>
          <w:color w:val="000000" w:themeColor="text1"/>
          <w:szCs w:val="22"/>
        </w:rPr>
      </w:pPr>
    </w:p>
    <w:p w:rsidR="007076C1" w:rsidRPr="00863601" w:rsidRDefault="007076C1" w:rsidP="005E5F79">
      <w:pPr>
        <w:widowControl/>
        <w:jc w:val="center"/>
        <w:rPr>
          <w:b/>
          <w:color w:val="000000" w:themeColor="text1"/>
          <w:szCs w:val="22"/>
        </w:rPr>
      </w:pPr>
      <w:r w:rsidRPr="00863601">
        <w:rPr>
          <w:b/>
          <w:color w:val="000000" w:themeColor="text1"/>
          <w:szCs w:val="22"/>
        </w:rPr>
        <w:t>Proposed Rules</w:t>
      </w:r>
    </w:p>
    <w:p w:rsidR="007076C1" w:rsidRPr="00863601" w:rsidRDefault="007076C1" w:rsidP="005E5F79">
      <w:pPr>
        <w:widowControl/>
        <w:jc w:val="center"/>
        <w:rPr>
          <w:b/>
          <w:color w:val="000000" w:themeColor="text1"/>
          <w:szCs w:val="22"/>
        </w:rPr>
      </w:pPr>
    </w:p>
    <w:p w:rsidR="007076C1" w:rsidRPr="00863601" w:rsidRDefault="007076C1" w:rsidP="005E5F79">
      <w:pPr>
        <w:pStyle w:val="ParaNum"/>
        <w:widowControl/>
        <w:numPr>
          <w:ilvl w:val="0"/>
          <w:numId w:val="10"/>
        </w:numPr>
        <w:spacing w:after="220"/>
        <w:rPr>
          <w:color w:val="000000" w:themeColor="text1"/>
          <w:szCs w:val="22"/>
        </w:rPr>
      </w:pPr>
      <w:r w:rsidRPr="00863601">
        <w:rPr>
          <w:color w:val="000000" w:themeColor="text1"/>
          <w:szCs w:val="22"/>
        </w:rPr>
        <w:t>Amend § 76.5 to read as follows:</w:t>
      </w:r>
    </w:p>
    <w:p w:rsidR="007076C1" w:rsidRPr="00863601" w:rsidRDefault="007076C1" w:rsidP="005E5F79">
      <w:pPr>
        <w:pStyle w:val="Heading2"/>
        <w:widowControl/>
        <w:numPr>
          <w:ilvl w:val="0"/>
          <w:numId w:val="0"/>
        </w:numPr>
        <w:ind w:left="1440"/>
      </w:pPr>
      <w:bookmarkStart w:id="583" w:name="_Toc395187305"/>
      <w:bookmarkStart w:id="584" w:name="_Toc398540305"/>
      <w:bookmarkStart w:id="585" w:name="_Toc398565527"/>
      <w:bookmarkStart w:id="586" w:name="_Toc398624362"/>
      <w:bookmarkStart w:id="587" w:name="_Toc398746619"/>
      <w:bookmarkStart w:id="588" w:name="_Toc399148323"/>
      <w:bookmarkStart w:id="589" w:name="_Toc399260541"/>
      <w:bookmarkStart w:id="590" w:name="_Toc399316557"/>
      <w:bookmarkStart w:id="591" w:name="_Toc401241719"/>
      <w:bookmarkStart w:id="592" w:name="_Toc401259721"/>
      <w:bookmarkStart w:id="593" w:name="_Toc401312845"/>
      <w:bookmarkStart w:id="594" w:name="_Toc401850553"/>
      <w:bookmarkStart w:id="595" w:name="_Toc402169651"/>
      <w:bookmarkStart w:id="596" w:name="_Toc405301035"/>
      <w:bookmarkStart w:id="597" w:name="_Toc405884739"/>
      <w:bookmarkStart w:id="598" w:name="_Toc406609229"/>
      <w:r w:rsidRPr="009D1D43">
        <w:t>§</w:t>
      </w:r>
      <w:r w:rsidR="0044700F" w:rsidRPr="00EA2EF6">
        <w:t xml:space="preserve"> </w:t>
      </w:r>
      <w:r w:rsidRPr="00EA2EF6">
        <w:t>76.5   Definitions.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7076C1" w:rsidRPr="00E61E4D" w:rsidRDefault="0010471A" w:rsidP="005E5F79">
      <w:pPr>
        <w:pStyle w:val="ParaNum"/>
        <w:widowControl/>
        <w:numPr>
          <w:ilvl w:val="0"/>
          <w:numId w:val="0"/>
        </w:numPr>
        <w:ind w:firstLine="540"/>
        <w:rPr>
          <w:color w:val="000000" w:themeColor="text1"/>
        </w:rPr>
      </w:pPr>
      <w:r w:rsidRPr="00E61E4D">
        <w:rPr>
          <w:color w:val="000000" w:themeColor="text1"/>
        </w:rPr>
        <w:t xml:space="preserve">* * </w:t>
      </w:r>
      <w:r w:rsidR="007076C1" w:rsidRPr="00E61E4D">
        <w:rPr>
          <w:color w:val="000000" w:themeColor="text1"/>
        </w:rPr>
        <w:t>* * *</w:t>
      </w:r>
    </w:p>
    <w:p w:rsidR="00793A38" w:rsidRPr="00E61E4D" w:rsidRDefault="00793A38" w:rsidP="005E5F79">
      <w:pPr>
        <w:pStyle w:val="ParaNum"/>
        <w:widowControl/>
        <w:numPr>
          <w:ilvl w:val="0"/>
          <w:numId w:val="0"/>
        </w:numPr>
        <w:ind w:firstLine="540"/>
        <w:rPr>
          <w:color w:val="000000" w:themeColor="text1"/>
          <w:szCs w:val="22"/>
        </w:rPr>
      </w:pPr>
      <w:r w:rsidRPr="00E61E4D">
        <w:rPr>
          <w:color w:val="000000" w:themeColor="text1"/>
          <w:szCs w:val="22"/>
        </w:rPr>
        <w:t xml:space="preserve">(rr) </w:t>
      </w:r>
      <w:r w:rsidRPr="00E61E4D">
        <w:rPr>
          <w:i/>
          <w:color w:val="000000" w:themeColor="text1"/>
          <w:szCs w:val="22"/>
        </w:rPr>
        <w:t>Linear Video</w:t>
      </w:r>
      <w:r w:rsidRPr="00E61E4D">
        <w:rPr>
          <w:color w:val="000000" w:themeColor="text1"/>
          <w:szCs w:val="22"/>
        </w:rPr>
        <w:t>.  A s</w:t>
      </w:r>
      <w:r w:rsidRPr="00E61E4D">
        <w:rPr>
          <w:color w:val="000000" w:themeColor="text1"/>
        </w:rPr>
        <w:t>tream of video programing that is prescheduled by the programmer.</w:t>
      </w:r>
    </w:p>
    <w:p w:rsidR="0044700F" w:rsidRPr="00E61E4D" w:rsidRDefault="00793A38" w:rsidP="005E5F79">
      <w:pPr>
        <w:pStyle w:val="NormalWeb"/>
        <w:shd w:val="clear" w:color="auto" w:fill="FFFFFF"/>
        <w:ind w:firstLine="480"/>
        <w:rPr>
          <w:color w:val="000000" w:themeColor="text1"/>
          <w:sz w:val="22"/>
          <w:szCs w:val="22"/>
        </w:rPr>
      </w:pPr>
      <w:r w:rsidRPr="00E61E4D">
        <w:rPr>
          <w:color w:val="000000" w:themeColor="text1"/>
          <w:sz w:val="22"/>
          <w:szCs w:val="22"/>
        </w:rPr>
        <w:t xml:space="preserve"> </w:t>
      </w:r>
      <w:r w:rsidR="007076C1" w:rsidRPr="00E61E4D">
        <w:rPr>
          <w:color w:val="000000" w:themeColor="text1"/>
          <w:sz w:val="22"/>
          <w:szCs w:val="22"/>
        </w:rPr>
        <w:t>(</w:t>
      </w:r>
      <w:r w:rsidRPr="00E61E4D">
        <w:rPr>
          <w:color w:val="000000" w:themeColor="text1"/>
          <w:sz w:val="22"/>
          <w:szCs w:val="22"/>
        </w:rPr>
        <w:t>ss</w:t>
      </w:r>
      <w:r w:rsidR="007076C1" w:rsidRPr="00E61E4D">
        <w:rPr>
          <w:color w:val="000000" w:themeColor="text1"/>
          <w:sz w:val="22"/>
          <w:szCs w:val="22"/>
        </w:rPr>
        <w:t xml:space="preserve">) </w:t>
      </w:r>
      <w:r w:rsidR="007076C1" w:rsidRPr="00E61E4D">
        <w:rPr>
          <w:i/>
          <w:color w:val="000000" w:themeColor="text1"/>
          <w:sz w:val="22"/>
          <w:szCs w:val="22"/>
        </w:rPr>
        <w:t>Multichannel Video Programming Distributor</w:t>
      </w:r>
      <w:r w:rsidR="007076C1" w:rsidRPr="00E61E4D">
        <w:rPr>
          <w:color w:val="000000" w:themeColor="text1"/>
          <w:sz w:val="22"/>
          <w:szCs w:val="22"/>
        </w:rPr>
        <w:t xml:space="preserve">.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As used in this paragraph, channel means </w:t>
      </w:r>
      <w:r w:rsidRPr="00E61E4D">
        <w:rPr>
          <w:color w:val="000000" w:themeColor="text1"/>
          <w:sz w:val="22"/>
          <w:szCs w:val="22"/>
        </w:rPr>
        <w:t>linear</w:t>
      </w:r>
      <w:r w:rsidR="007076C1" w:rsidRPr="00E61E4D">
        <w:rPr>
          <w:color w:val="000000" w:themeColor="text1"/>
          <w:sz w:val="22"/>
          <w:szCs w:val="22"/>
        </w:rPr>
        <w:t xml:space="preserve"> </w:t>
      </w:r>
      <w:r w:rsidR="00E05ADE" w:rsidRPr="00E61E4D">
        <w:rPr>
          <w:color w:val="000000" w:themeColor="text1"/>
          <w:sz w:val="22"/>
          <w:szCs w:val="22"/>
        </w:rPr>
        <w:t xml:space="preserve">video </w:t>
      </w:r>
      <w:r w:rsidR="007076C1" w:rsidRPr="00E61E4D">
        <w:rPr>
          <w:color w:val="000000" w:themeColor="text1"/>
          <w:sz w:val="22"/>
          <w:szCs w:val="22"/>
        </w:rPr>
        <w:t>without regard to the means by which the programming is distributed.</w:t>
      </w:r>
    </w:p>
    <w:p w:rsidR="00FD539E" w:rsidRPr="00E61E4D" w:rsidRDefault="00FD539E" w:rsidP="005E5F79">
      <w:pPr>
        <w:pStyle w:val="ParaNum"/>
        <w:widowControl/>
        <w:numPr>
          <w:ilvl w:val="0"/>
          <w:numId w:val="10"/>
        </w:numPr>
        <w:spacing w:after="220"/>
        <w:rPr>
          <w:color w:val="000000" w:themeColor="text1"/>
          <w:szCs w:val="22"/>
        </w:rPr>
      </w:pPr>
      <w:r w:rsidRPr="00E61E4D">
        <w:rPr>
          <w:color w:val="000000" w:themeColor="text1"/>
          <w:szCs w:val="22"/>
        </w:rPr>
        <w:t>Amend § 76.64(d) to read as follows:</w:t>
      </w:r>
    </w:p>
    <w:p w:rsidR="00FD539E" w:rsidRPr="00EA2EF6" w:rsidRDefault="00FD539E" w:rsidP="005E5F79">
      <w:pPr>
        <w:pStyle w:val="Heading2"/>
        <w:widowControl/>
        <w:numPr>
          <w:ilvl w:val="0"/>
          <w:numId w:val="0"/>
        </w:numPr>
        <w:ind w:left="1440"/>
      </w:pPr>
      <w:bookmarkStart w:id="599" w:name="_Toc401850554"/>
      <w:bookmarkStart w:id="600" w:name="_Toc402169652"/>
      <w:bookmarkStart w:id="601" w:name="_Toc405301036"/>
      <w:bookmarkStart w:id="602" w:name="_Toc405884740"/>
      <w:bookmarkStart w:id="603" w:name="_Toc406609230"/>
      <w:r w:rsidRPr="009D1D43">
        <w:t>§ 76.64</w:t>
      </w:r>
      <w:r w:rsidRPr="009D1D43">
        <w:tab/>
        <w:t>Retransmission Consent.</w:t>
      </w:r>
      <w:bookmarkEnd w:id="599"/>
      <w:bookmarkEnd w:id="600"/>
      <w:bookmarkEnd w:id="601"/>
      <w:bookmarkEnd w:id="602"/>
      <w:bookmarkEnd w:id="603"/>
    </w:p>
    <w:p w:rsidR="00FD539E" w:rsidRPr="00E61E4D" w:rsidRDefault="00FD539E" w:rsidP="005E5F79">
      <w:pPr>
        <w:pStyle w:val="ParaNum"/>
        <w:widowControl/>
        <w:numPr>
          <w:ilvl w:val="0"/>
          <w:numId w:val="0"/>
        </w:numPr>
        <w:ind w:firstLine="540"/>
        <w:rPr>
          <w:color w:val="000000" w:themeColor="text1"/>
        </w:rPr>
      </w:pPr>
      <w:r w:rsidRPr="00E61E4D">
        <w:rPr>
          <w:color w:val="000000" w:themeColor="text1"/>
        </w:rPr>
        <w:t>* * * * *</w:t>
      </w:r>
    </w:p>
    <w:p w:rsidR="00FD539E" w:rsidRPr="00E61E4D" w:rsidRDefault="00FD539E" w:rsidP="005E5F79">
      <w:pPr>
        <w:pStyle w:val="NormalWeb"/>
        <w:shd w:val="clear" w:color="auto" w:fill="FFFFFF"/>
        <w:ind w:firstLine="480"/>
        <w:rPr>
          <w:color w:val="000000" w:themeColor="text1"/>
          <w:sz w:val="22"/>
          <w:szCs w:val="22"/>
        </w:rPr>
      </w:pPr>
      <w:r w:rsidRPr="00E61E4D">
        <w:rPr>
          <w:color w:val="000000" w:themeColor="text1"/>
          <w:sz w:val="22"/>
          <w:szCs w:val="22"/>
        </w:rPr>
        <w:t>(d) [Reserved]</w:t>
      </w:r>
    </w:p>
    <w:p w:rsidR="00B45ABF" w:rsidRPr="00E61E4D" w:rsidRDefault="00FD539E" w:rsidP="005E5F79">
      <w:pPr>
        <w:pStyle w:val="ParaNum"/>
        <w:widowControl/>
        <w:numPr>
          <w:ilvl w:val="0"/>
          <w:numId w:val="0"/>
        </w:numPr>
        <w:ind w:firstLine="540"/>
        <w:rPr>
          <w:color w:val="000000" w:themeColor="text1"/>
          <w:szCs w:val="22"/>
        </w:rPr>
      </w:pPr>
      <w:r w:rsidRPr="00E61E4D">
        <w:rPr>
          <w:color w:val="000000" w:themeColor="text1"/>
          <w:szCs w:val="22"/>
        </w:rPr>
        <w:t>* * * * *</w:t>
      </w:r>
    </w:p>
    <w:p w:rsidR="00B45ABF" w:rsidRPr="00E61E4D" w:rsidRDefault="00B45ABF" w:rsidP="005E5F79">
      <w:pPr>
        <w:widowControl/>
        <w:rPr>
          <w:color w:val="000000" w:themeColor="text1"/>
          <w:szCs w:val="22"/>
        </w:rPr>
      </w:pPr>
    </w:p>
    <w:p w:rsidR="0044700F" w:rsidRPr="00E61E4D" w:rsidRDefault="00B45ABF" w:rsidP="005E5F79">
      <w:pPr>
        <w:pStyle w:val="ParaNum"/>
        <w:widowControl/>
        <w:numPr>
          <w:ilvl w:val="0"/>
          <w:numId w:val="10"/>
        </w:numPr>
        <w:spacing w:after="220"/>
        <w:rPr>
          <w:color w:val="000000" w:themeColor="text1"/>
          <w:szCs w:val="22"/>
        </w:rPr>
      </w:pPr>
      <w:r w:rsidRPr="00E61E4D" w:rsidDel="00B45ABF">
        <w:rPr>
          <w:color w:val="000000" w:themeColor="text1"/>
          <w:szCs w:val="22"/>
        </w:rPr>
        <w:t xml:space="preserve"> </w:t>
      </w:r>
      <w:r w:rsidRPr="00E61E4D" w:rsidDel="00B45ABF">
        <w:rPr>
          <w:snapToGrid/>
          <w:color w:val="000000" w:themeColor="text1"/>
          <w:kern w:val="0"/>
          <w:szCs w:val="22"/>
        </w:rPr>
        <w:t xml:space="preserve"> </w:t>
      </w:r>
      <w:r w:rsidR="0044700F" w:rsidRPr="00E61E4D">
        <w:rPr>
          <w:color w:val="000000" w:themeColor="text1"/>
          <w:szCs w:val="22"/>
        </w:rPr>
        <w:t>Amend § 76.71(a) to read as follows:</w:t>
      </w:r>
    </w:p>
    <w:p w:rsidR="0044700F" w:rsidRPr="00EA2EF6" w:rsidRDefault="0044700F" w:rsidP="005E5F79">
      <w:pPr>
        <w:pStyle w:val="Heading2"/>
        <w:widowControl/>
        <w:numPr>
          <w:ilvl w:val="0"/>
          <w:numId w:val="0"/>
        </w:numPr>
        <w:ind w:left="1440"/>
      </w:pPr>
      <w:bookmarkStart w:id="604" w:name="_Toc395187307"/>
      <w:bookmarkStart w:id="605" w:name="_Toc398540307"/>
      <w:bookmarkStart w:id="606" w:name="_Toc398565529"/>
      <w:bookmarkStart w:id="607" w:name="_Toc398624364"/>
      <w:bookmarkStart w:id="608" w:name="_Toc398746621"/>
      <w:bookmarkStart w:id="609" w:name="_Toc399148325"/>
      <w:bookmarkStart w:id="610" w:name="_Toc399260543"/>
      <w:bookmarkStart w:id="611" w:name="_Toc399316559"/>
      <w:bookmarkStart w:id="612" w:name="_Toc401241721"/>
      <w:bookmarkStart w:id="613" w:name="_Toc401259723"/>
      <w:bookmarkStart w:id="614" w:name="_Toc401312847"/>
      <w:bookmarkStart w:id="615" w:name="_Toc401850555"/>
      <w:bookmarkStart w:id="616" w:name="_Toc402169653"/>
      <w:bookmarkStart w:id="617" w:name="_Toc405301037"/>
      <w:bookmarkStart w:id="618" w:name="_Toc405884741"/>
      <w:bookmarkStart w:id="619" w:name="_Toc406609231"/>
      <w:r w:rsidRPr="009D1D43">
        <w:t>§ 76.71</w:t>
      </w:r>
      <w:r w:rsidRPr="009D1D43">
        <w:tab/>
        <w:t>Scope of application.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44700F" w:rsidRPr="00E61E4D" w:rsidRDefault="0044700F" w:rsidP="005E5F79">
      <w:pPr>
        <w:pStyle w:val="ParaNum"/>
        <w:widowControl/>
        <w:numPr>
          <w:ilvl w:val="0"/>
          <w:numId w:val="0"/>
        </w:numPr>
        <w:ind w:firstLine="540"/>
        <w:rPr>
          <w:snapToGrid/>
          <w:color w:val="000000" w:themeColor="text1"/>
          <w:kern w:val="0"/>
          <w:szCs w:val="22"/>
        </w:rPr>
      </w:pPr>
      <w:r w:rsidRPr="00E61E4D">
        <w:rPr>
          <w:color w:val="000000" w:themeColor="text1"/>
          <w:szCs w:val="22"/>
          <w:shd w:val="clear" w:color="auto" w:fill="FFFFFF"/>
        </w:rPr>
        <w:t xml:space="preserve"> (a) </w:t>
      </w:r>
      <w:r w:rsidRPr="00E61E4D">
        <w:rPr>
          <w:snapToGrid/>
          <w:color w:val="000000" w:themeColor="text1"/>
          <w:kern w:val="0"/>
          <w:szCs w:val="22"/>
        </w:rPr>
        <w:t>The provisions of this subpart shall apply to any corporation, partnership, association, joint-stock company, or trust engaged primarily in the management or operation of any cable system. Cable entities subject to these provisions include those systems defined in </w:t>
      </w:r>
      <w:hyperlink r:id="rId24" w:tgtFrame="_top" w:history="1">
        <w:r w:rsidRPr="00E61E4D">
          <w:rPr>
            <w:snapToGrid/>
            <w:color w:val="000000" w:themeColor="text1"/>
            <w:kern w:val="0"/>
            <w:szCs w:val="22"/>
          </w:rPr>
          <w:t>§ 76.5(a)</w:t>
        </w:r>
      </w:hyperlink>
      <w:r w:rsidRPr="00E61E4D">
        <w:rPr>
          <w:snapToGrid/>
          <w:color w:val="000000" w:themeColor="text1"/>
          <w:kern w:val="0"/>
          <w:szCs w:val="22"/>
        </w:rPr>
        <w:t xml:space="preserve">, all satellite master antenna television systems serving 50 or more subscribers, and any multichannel video programming distributor. </w:t>
      </w:r>
      <w:r w:rsidRPr="00E61E4D">
        <w:rPr>
          <w:strike/>
          <w:snapToGrid/>
          <w:color w:val="000000" w:themeColor="text1"/>
          <w:kern w:val="0"/>
          <w:szCs w:val="22"/>
        </w:rPr>
        <w:t xml:space="preserve">For purposes of the provisions of this subpart, a multichannel video programming distributor is an entity such as, but not limited to, a cable operator, a BRS/EBS provider, a direct broadcast satellite service, a television receive-only satellite program distributor, or a video dialtone program service provider, who makes available for purchase, by subscribers or customers, multiple channels of video programming, whether or not a licensee. </w:t>
      </w:r>
      <w:r w:rsidRPr="00E61E4D">
        <w:rPr>
          <w:snapToGrid/>
          <w:color w:val="000000" w:themeColor="text1"/>
          <w:kern w:val="0"/>
          <w:szCs w:val="22"/>
        </w:rPr>
        <w:t>Multichannel video programming distributors do not include any entity which lacks control over the video programming distributed. For purposes of this subpart, an entity has control over the video programming it distributes, if it selects video programming channels or programs and determines how they are prese</w:t>
      </w:r>
      <w:r w:rsidR="002051EA" w:rsidRPr="00E61E4D">
        <w:rPr>
          <w:snapToGrid/>
          <w:color w:val="000000" w:themeColor="text1"/>
          <w:kern w:val="0"/>
          <w:szCs w:val="22"/>
        </w:rPr>
        <w:t>nted for sale to consumers. Not</w:t>
      </w:r>
      <w:r w:rsidRPr="00E61E4D">
        <w:rPr>
          <w:snapToGrid/>
          <w:color w:val="000000" w:themeColor="text1"/>
          <w:kern w:val="0"/>
          <w:szCs w:val="22"/>
        </w:rPr>
        <w:t>withstanding the foregoing, the regulations in this subpart are not applicable to the owners or originators (of programs or channels of programming) that distribute six or fewer channels of commonly-owned video programming over a leased transport facility</w:t>
      </w:r>
      <w:r w:rsidR="00AE5C63" w:rsidRPr="00E61E4D">
        <w:rPr>
          <w:snapToGrid/>
          <w:color w:val="000000" w:themeColor="text1"/>
          <w:kern w:val="0"/>
          <w:szCs w:val="22"/>
        </w:rPr>
        <w:t>.</w:t>
      </w:r>
      <w:r w:rsidR="00E25FE1" w:rsidRPr="00E61E4D">
        <w:rPr>
          <w:snapToGrid/>
          <w:color w:val="000000" w:themeColor="text1"/>
          <w:kern w:val="0"/>
          <w:szCs w:val="22"/>
        </w:rPr>
        <w:t xml:space="preserve"> </w:t>
      </w:r>
      <w:r w:rsidRPr="00E61E4D">
        <w:rPr>
          <w:snapToGrid/>
          <w:color w:val="000000" w:themeColor="text1"/>
          <w:kern w:val="0"/>
          <w:szCs w:val="22"/>
        </w:rPr>
        <w:t>For purposes of this subpart, programming services are “commonly-owned” if the same entity holds a majority of the stock (or is a general partner) of each program service.</w:t>
      </w:r>
    </w:p>
    <w:p w:rsidR="0044700F" w:rsidRPr="00E61E4D" w:rsidRDefault="0044700F" w:rsidP="005E5F79">
      <w:pPr>
        <w:pStyle w:val="ParaNum"/>
        <w:widowControl/>
        <w:numPr>
          <w:ilvl w:val="0"/>
          <w:numId w:val="0"/>
        </w:numPr>
        <w:ind w:firstLine="540"/>
        <w:rPr>
          <w:snapToGrid/>
          <w:color w:val="000000" w:themeColor="text1"/>
          <w:kern w:val="0"/>
          <w:szCs w:val="22"/>
        </w:rPr>
      </w:pPr>
      <w:r w:rsidRPr="00E61E4D">
        <w:rPr>
          <w:snapToGrid/>
          <w:color w:val="000000" w:themeColor="text1"/>
          <w:kern w:val="0"/>
          <w:szCs w:val="22"/>
        </w:rPr>
        <w:t>* * * * *</w:t>
      </w:r>
    </w:p>
    <w:p w:rsidR="0044700F" w:rsidRPr="00E61E4D" w:rsidRDefault="0044700F" w:rsidP="005E5F79">
      <w:pPr>
        <w:pStyle w:val="ParaNum"/>
        <w:widowControl/>
        <w:numPr>
          <w:ilvl w:val="0"/>
          <w:numId w:val="10"/>
        </w:numPr>
        <w:spacing w:after="220"/>
        <w:rPr>
          <w:color w:val="000000" w:themeColor="text1"/>
          <w:szCs w:val="22"/>
        </w:rPr>
      </w:pPr>
      <w:r w:rsidRPr="00E61E4D">
        <w:rPr>
          <w:color w:val="000000" w:themeColor="text1"/>
          <w:szCs w:val="22"/>
        </w:rPr>
        <w:t xml:space="preserve">Amend § </w:t>
      </w:r>
      <w:r w:rsidRPr="00E61E4D">
        <w:rPr>
          <w:color w:val="000000" w:themeColor="text1"/>
        </w:rPr>
        <w:t xml:space="preserve">76.905(d) to read as follows: </w:t>
      </w:r>
    </w:p>
    <w:p w:rsidR="00326D22" w:rsidRPr="00EA2EF6" w:rsidRDefault="00326D22" w:rsidP="005E5F79">
      <w:pPr>
        <w:pStyle w:val="Heading2"/>
        <w:widowControl/>
        <w:numPr>
          <w:ilvl w:val="0"/>
          <w:numId w:val="0"/>
        </w:numPr>
        <w:ind w:left="1440"/>
      </w:pPr>
      <w:bookmarkStart w:id="620" w:name="_Toc395187308"/>
      <w:bookmarkStart w:id="621" w:name="_Toc398540308"/>
      <w:bookmarkStart w:id="622" w:name="_Toc398565530"/>
      <w:bookmarkStart w:id="623" w:name="_Toc398624365"/>
      <w:bookmarkStart w:id="624" w:name="_Toc398746622"/>
      <w:bookmarkStart w:id="625" w:name="_Toc399148326"/>
      <w:bookmarkStart w:id="626" w:name="_Toc399260544"/>
      <w:bookmarkStart w:id="627" w:name="_Toc399316560"/>
      <w:bookmarkStart w:id="628" w:name="_Toc401241722"/>
      <w:bookmarkStart w:id="629" w:name="_Toc401259724"/>
      <w:bookmarkStart w:id="630" w:name="_Toc401312848"/>
      <w:bookmarkStart w:id="631" w:name="_Toc401850556"/>
      <w:bookmarkStart w:id="632" w:name="_Toc402169654"/>
      <w:bookmarkStart w:id="633" w:name="_Toc405301038"/>
      <w:bookmarkStart w:id="634" w:name="_Toc405884742"/>
      <w:bookmarkStart w:id="635" w:name="_Toc406609232"/>
      <w:r w:rsidRPr="009D1D43">
        <w:t>§ 76.905</w:t>
      </w:r>
      <w:r w:rsidRPr="009D1D43">
        <w:tab/>
        <w:t>Standards for identi</w:t>
      </w:r>
      <w:r w:rsidRPr="00EA2EF6">
        <w:t>fication of cable systems subject to effective competition.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326D22" w:rsidRPr="00E61E4D" w:rsidRDefault="00326D22" w:rsidP="005E5F79">
      <w:pPr>
        <w:pStyle w:val="ParaNum"/>
        <w:widowControl/>
        <w:numPr>
          <w:ilvl w:val="0"/>
          <w:numId w:val="0"/>
        </w:numPr>
        <w:ind w:firstLine="540"/>
        <w:rPr>
          <w:color w:val="000000" w:themeColor="text1"/>
        </w:rPr>
      </w:pPr>
      <w:r w:rsidRPr="00E61E4D">
        <w:rPr>
          <w:color w:val="000000" w:themeColor="text1"/>
        </w:rPr>
        <w:t>* * * * *</w:t>
      </w:r>
    </w:p>
    <w:p w:rsidR="00326D22" w:rsidRPr="00E61E4D" w:rsidRDefault="00326D22" w:rsidP="005E5F79">
      <w:pPr>
        <w:pStyle w:val="NormalWeb"/>
        <w:shd w:val="clear" w:color="auto" w:fill="FFFFFF"/>
        <w:ind w:firstLine="480"/>
        <w:rPr>
          <w:color w:val="000000" w:themeColor="text1"/>
          <w:sz w:val="22"/>
          <w:szCs w:val="22"/>
        </w:rPr>
      </w:pPr>
      <w:r w:rsidRPr="00E61E4D">
        <w:rPr>
          <w:color w:val="000000" w:themeColor="text1"/>
          <w:sz w:val="22"/>
          <w:szCs w:val="22"/>
        </w:rPr>
        <w:t>(d) [Reserved]</w:t>
      </w:r>
    </w:p>
    <w:p w:rsidR="00326D22" w:rsidRPr="00E61E4D" w:rsidRDefault="00326D22" w:rsidP="005E5F79">
      <w:pPr>
        <w:pStyle w:val="ParaNum"/>
        <w:widowControl/>
        <w:numPr>
          <w:ilvl w:val="0"/>
          <w:numId w:val="0"/>
        </w:numPr>
        <w:ind w:firstLine="540"/>
        <w:rPr>
          <w:color w:val="000000" w:themeColor="text1"/>
          <w:szCs w:val="22"/>
        </w:rPr>
      </w:pPr>
      <w:r w:rsidRPr="00E61E4D">
        <w:rPr>
          <w:color w:val="000000" w:themeColor="text1"/>
          <w:szCs w:val="22"/>
        </w:rPr>
        <w:t>* * * * *</w:t>
      </w:r>
    </w:p>
    <w:p w:rsidR="0044700F" w:rsidRPr="00E61E4D" w:rsidRDefault="0044700F" w:rsidP="005E5F79">
      <w:pPr>
        <w:pStyle w:val="ParaNum"/>
        <w:widowControl/>
        <w:numPr>
          <w:ilvl w:val="0"/>
          <w:numId w:val="10"/>
        </w:numPr>
        <w:spacing w:after="220"/>
        <w:rPr>
          <w:color w:val="000000" w:themeColor="text1"/>
          <w:szCs w:val="22"/>
        </w:rPr>
      </w:pPr>
      <w:r w:rsidRPr="00E61E4D">
        <w:rPr>
          <w:color w:val="000000" w:themeColor="text1"/>
          <w:szCs w:val="22"/>
        </w:rPr>
        <w:t xml:space="preserve">Amend § </w:t>
      </w:r>
      <w:r w:rsidRPr="00E61E4D">
        <w:rPr>
          <w:color w:val="000000" w:themeColor="text1"/>
        </w:rPr>
        <w:t>76.1000(e) to read as follows:</w:t>
      </w:r>
    </w:p>
    <w:p w:rsidR="00326D22" w:rsidRPr="00EA2EF6" w:rsidRDefault="00326D22" w:rsidP="005E5F79">
      <w:pPr>
        <w:pStyle w:val="Heading2"/>
        <w:widowControl/>
        <w:numPr>
          <w:ilvl w:val="0"/>
          <w:numId w:val="0"/>
        </w:numPr>
        <w:ind w:left="1440"/>
      </w:pPr>
      <w:bookmarkStart w:id="636" w:name="_Toc395187309"/>
      <w:bookmarkStart w:id="637" w:name="_Toc398540309"/>
      <w:bookmarkStart w:id="638" w:name="_Toc398565531"/>
      <w:bookmarkStart w:id="639" w:name="_Toc398624366"/>
      <w:bookmarkStart w:id="640" w:name="_Toc398746623"/>
      <w:bookmarkStart w:id="641" w:name="_Toc399148327"/>
      <w:bookmarkStart w:id="642" w:name="_Toc399260545"/>
      <w:bookmarkStart w:id="643" w:name="_Toc399316561"/>
      <w:bookmarkStart w:id="644" w:name="_Toc401241723"/>
      <w:bookmarkStart w:id="645" w:name="_Toc401259725"/>
      <w:bookmarkStart w:id="646" w:name="_Toc401312849"/>
      <w:bookmarkStart w:id="647" w:name="_Toc401850557"/>
      <w:bookmarkStart w:id="648" w:name="_Toc402169655"/>
      <w:bookmarkStart w:id="649" w:name="_Toc405301039"/>
      <w:bookmarkStart w:id="650" w:name="_Toc405884743"/>
      <w:bookmarkStart w:id="651" w:name="_Toc406609233"/>
      <w:r w:rsidRPr="009D1D43">
        <w:t>§ 76.1000</w:t>
      </w:r>
      <w:r w:rsidRPr="009D1D43">
        <w:tab/>
        <w:t>Definitions.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326D22" w:rsidRPr="00E61E4D" w:rsidRDefault="00326D22" w:rsidP="005E5F79">
      <w:pPr>
        <w:pStyle w:val="ParaNum"/>
        <w:widowControl/>
        <w:numPr>
          <w:ilvl w:val="0"/>
          <w:numId w:val="0"/>
        </w:numPr>
        <w:ind w:firstLine="540"/>
        <w:rPr>
          <w:color w:val="000000" w:themeColor="text1"/>
        </w:rPr>
      </w:pPr>
      <w:r w:rsidRPr="00E61E4D">
        <w:rPr>
          <w:color w:val="000000" w:themeColor="text1"/>
        </w:rPr>
        <w:t>* * * * *</w:t>
      </w:r>
    </w:p>
    <w:p w:rsidR="00E01345" w:rsidRPr="00E61E4D" w:rsidRDefault="00326D22" w:rsidP="005E5F79">
      <w:pPr>
        <w:pStyle w:val="ParaNum"/>
        <w:widowControl/>
        <w:numPr>
          <w:ilvl w:val="0"/>
          <w:numId w:val="0"/>
        </w:numPr>
        <w:ind w:firstLine="540"/>
        <w:rPr>
          <w:snapToGrid/>
          <w:color w:val="000000" w:themeColor="text1"/>
          <w:kern w:val="0"/>
          <w:szCs w:val="22"/>
        </w:rPr>
      </w:pPr>
      <w:r w:rsidRPr="00E61E4D">
        <w:rPr>
          <w:color w:val="000000" w:themeColor="text1"/>
          <w:szCs w:val="22"/>
        </w:rPr>
        <w:t xml:space="preserve">(e) </w:t>
      </w:r>
      <w:r w:rsidR="00E01345" w:rsidRPr="00E61E4D">
        <w:rPr>
          <w:snapToGrid/>
          <w:color w:val="000000" w:themeColor="text1"/>
          <w:kern w:val="0"/>
          <w:szCs w:val="22"/>
        </w:rPr>
        <w:t xml:space="preserve">Multichannel video programming distributor. The term “multichannel video programming distributor” means an entity that falls under the definition provided in </w:t>
      </w:r>
      <w:r w:rsidR="00E01345" w:rsidRPr="00E61E4D">
        <w:rPr>
          <w:color w:val="000000" w:themeColor="text1"/>
        </w:rPr>
        <w:t>Section 76.5(rr)</w:t>
      </w:r>
      <w:r w:rsidR="00E01345" w:rsidRPr="00E61E4D">
        <w:rPr>
          <w:snapToGrid/>
          <w:color w:val="000000" w:themeColor="text1"/>
          <w:kern w:val="0"/>
          <w:szCs w:val="22"/>
        </w:rPr>
        <w:t xml:space="preserve"> </w:t>
      </w:r>
      <w:r w:rsidR="00E01345" w:rsidRPr="00E61E4D">
        <w:rPr>
          <w:strike/>
          <w:snapToGrid/>
          <w:color w:val="000000" w:themeColor="text1"/>
          <w:kern w:val="0"/>
          <w:szCs w:val="22"/>
        </w:rPr>
        <w:t>engaged in the business of making available for purchase, by subscribers or customers, multiple channels of video programming. Such entities include, but are not limited to, a cable operator, a BRS/EBS provider, a direct broadcast satellite service, a television receive-only satellite program distributor, and a satellite master antenna television system operator,</w:t>
      </w:r>
      <w:r w:rsidR="00E01345" w:rsidRPr="00E61E4D">
        <w:rPr>
          <w:snapToGrid/>
          <w:color w:val="000000" w:themeColor="text1"/>
          <w:kern w:val="0"/>
          <w:szCs w:val="22"/>
        </w:rPr>
        <w:t xml:space="preserve"> as well as buying groups or agents of all such entities.</w:t>
      </w:r>
    </w:p>
    <w:p w:rsidR="00326D22" w:rsidRPr="00E61E4D" w:rsidRDefault="00E01345" w:rsidP="005E5F79">
      <w:pPr>
        <w:pStyle w:val="ParaNum"/>
        <w:widowControl/>
        <w:numPr>
          <w:ilvl w:val="0"/>
          <w:numId w:val="0"/>
        </w:numPr>
        <w:ind w:left="540"/>
        <w:rPr>
          <w:color w:val="000000" w:themeColor="text1"/>
          <w:szCs w:val="22"/>
        </w:rPr>
      </w:pPr>
      <w:r w:rsidRPr="00E61E4D">
        <w:rPr>
          <w:snapToGrid/>
          <w:color w:val="000000" w:themeColor="text1"/>
          <w:kern w:val="0"/>
          <w:szCs w:val="22"/>
        </w:rPr>
        <w:br/>
      </w:r>
      <w:r w:rsidRPr="00E61E4D">
        <w:rPr>
          <w:color w:val="000000" w:themeColor="text1"/>
          <w:szCs w:val="22"/>
        </w:rPr>
        <w:t>Note to paragraph (e): A video programming provider that provides more than one channel of video programming on an open video system is a multichannel video programming distributor for purposes of this subpart O and Section 76.1507.</w:t>
      </w:r>
    </w:p>
    <w:p w:rsidR="00326D22" w:rsidRPr="00E61E4D" w:rsidRDefault="00326D22" w:rsidP="005E5F79">
      <w:pPr>
        <w:pStyle w:val="ParaNum"/>
        <w:widowControl/>
        <w:numPr>
          <w:ilvl w:val="0"/>
          <w:numId w:val="0"/>
        </w:numPr>
        <w:ind w:firstLine="540"/>
        <w:rPr>
          <w:color w:val="000000" w:themeColor="text1"/>
          <w:szCs w:val="22"/>
        </w:rPr>
      </w:pPr>
      <w:r w:rsidRPr="00E61E4D">
        <w:rPr>
          <w:color w:val="000000" w:themeColor="text1"/>
          <w:szCs w:val="22"/>
        </w:rPr>
        <w:t>* * * * *</w:t>
      </w:r>
    </w:p>
    <w:p w:rsidR="0044700F" w:rsidRPr="00E61E4D" w:rsidRDefault="0044700F" w:rsidP="005E5F79">
      <w:pPr>
        <w:pStyle w:val="ParaNum"/>
        <w:widowControl/>
        <w:numPr>
          <w:ilvl w:val="0"/>
          <w:numId w:val="10"/>
        </w:numPr>
        <w:spacing w:after="220"/>
        <w:rPr>
          <w:color w:val="000000" w:themeColor="text1"/>
          <w:szCs w:val="22"/>
        </w:rPr>
      </w:pPr>
      <w:r w:rsidRPr="00E61E4D">
        <w:rPr>
          <w:color w:val="000000" w:themeColor="text1"/>
          <w:szCs w:val="22"/>
        </w:rPr>
        <w:t xml:space="preserve">Amend § </w:t>
      </w:r>
      <w:r w:rsidRPr="00E61E4D">
        <w:rPr>
          <w:color w:val="000000" w:themeColor="text1"/>
        </w:rPr>
        <w:t>76.1200(b) to read as follows:</w:t>
      </w:r>
    </w:p>
    <w:p w:rsidR="00326D22" w:rsidRPr="00EA2EF6" w:rsidRDefault="00326D22" w:rsidP="005E5F79">
      <w:pPr>
        <w:pStyle w:val="Heading2"/>
        <w:widowControl/>
        <w:numPr>
          <w:ilvl w:val="0"/>
          <w:numId w:val="0"/>
        </w:numPr>
        <w:ind w:left="1440"/>
      </w:pPr>
      <w:bookmarkStart w:id="652" w:name="_Toc395187310"/>
      <w:bookmarkStart w:id="653" w:name="_Toc398540310"/>
      <w:bookmarkStart w:id="654" w:name="_Toc398565532"/>
      <w:bookmarkStart w:id="655" w:name="_Toc398624367"/>
      <w:bookmarkStart w:id="656" w:name="_Toc398746624"/>
      <w:bookmarkStart w:id="657" w:name="_Toc399148328"/>
      <w:bookmarkStart w:id="658" w:name="_Toc399260546"/>
      <w:bookmarkStart w:id="659" w:name="_Toc399316562"/>
      <w:bookmarkStart w:id="660" w:name="_Toc401241724"/>
      <w:bookmarkStart w:id="661" w:name="_Toc401259726"/>
      <w:bookmarkStart w:id="662" w:name="_Toc401312850"/>
      <w:bookmarkStart w:id="663" w:name="_Toc401850558"/>
      <w:bookmarkStart w:id="664" w:name="_Toc402169656"/>
      <w:bookmarkStart w:id="665" w:name="_Toc405301040"/>
      <w:bookmarkStart w:id="666" w:name="_Toc405884744"/>
      <w:bookmarkStart w:id="667" w:name="_Toc406609234"/>
      <w:r w:rsidRPr="009D1D43">
        <w:t>§ 76.1200</w:t>
      </w:r>
      <w:r w:rsidRPr="009D1D43">
        <w:tab/>
        <w:t>Definitions.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326D22" w:rsidRPr="00E61E4D" w:rsidRDefault="00326D22" w:rsidP="005E5F79">
      <w:pPr>
        <w:pStyle w:val="ParaNum"/>
        <w:widowControl/>
        <w:numPr>
          <w:ilvl w:val="0"/>
          <w:numId w:val="0"/>
        </w:numPr>
        <w:ind w:firstLine="540"/>
        <w:rPr>
          <w:color w:val="000000" w:themeColor="text1"/>
        </w:rPr>
      </w:pPr>
      <w:r w:rsidRPr="00E61E4D">
        <w:rPr>
          <w:color w:val="000000" w:themeColor="text1"/>
        </w:rPr>
        <w:t>* * * * *</w:t>
      </w:r>
    </w:p>
    <w:p w:rsidR="00326D22" w:rsidRPr="00E61E4D" w:rsidRDefault="00326D22" w:rsidP="005E5F79">
      <w:pPr>
        <w:pStyle w:val="NormalWeb"/>
        <w:shd w:val="clear" w:color="auto" w:fill="FFFFFF"/>
        <w:ind w:firstLine="480"/>
        <w:rPr>
          <w:color w:val="000000" w:themeColor="text1"/>
          <w:sz w:val="22"/>
          <w:szCs w:val="22"/>
        </w:rPr>
      </w:pPr>
      <w:r w:rsidRPr="00E61E4D">
        <w:rPr>
          <w:color w:val="000000" w:themeColor="text1"/>
          <w:sz w:val="22"/>
          <w:szCs w:val="22"/>
        </w:rPr>
        <w:t>(b) [Reserved]</w:t>
      </w:r>
    </w:p>
    <w:p w:rsidR="00326D22" w:rsidRPr="00E61E4D" w:rsidRDefault="00326D22" w:rsidP="005E5F79">
      <w:pPr>
        <w:pStyle w:val="ParaNum"/>
        <w:widowControl/>
        <w:numPr>
          <w:ilvl w:val="0"/>
          <w:numId w:val="0"/>
        </w:numPr>
        <w:ind w:firstLine="540"/>
        <w:rPr>
          <w:color w:val="000000" w:themeColor="text1"/>
          <w:szCs w:val="22"/>
        </w:rPr>
      </w:pPr>
      <w:r w:rsidRPr="00E61E4D">
        <w:rPr>
          <w:color w:val="000000" w:themeColor="text1"/>
          <w:szCs w:val="22"/>
        </w:rPr>
        <w:t>* * * * *</w:t>
      </w:r>
    </w:p>
    <w:p w:rsidR="0044700F" w:rsidRPr="00E61E4D" w:rsidRDefault="0044700F" w:rsidP="005E5F79">
      <w:pPr>
        <w:pStyle w:val="ParaNum"/>
        <w:widowControl/>
        <w:numPr>
          <w:ilvl w:val="0"/>
          <w:numId w:val="10"/>
        </w:numPr>
        <w:spacing w:after="220"/>
        <w:rPr>
          <w:color w:val="000000" w:themeColor="text1"/>
          <w:szCs w:val="22"/>
        </w:rPr>
      </w:pPr>
      <w:r w:rsidRPr="00E61E4D">
        <w:rPr>
          <w:color w:val="000000" w:themeColor="text1"/>
          <w:szCs w:val="22"/>
        </w:rPr>
        <w:t xml:space="preserve">Amend § </w:t>
      </w:r>
      <w:r w:rsidRPr="00E61E4D">
        <w:rPr>
          <w:color w:val="000000" w:themeColor="text1"/>
        </w:rPr>
        <w:t>76.1300(d) to read as follows:</w:t>
      </w:r>
    </w:p>
    <w:p w:rsidR="00326D22" w:rsidRPr="00EA2EF6" w:rsidRDefault="00326D22" w:rsidP="005E5F79">
      <w:pPr>
        <w:pStyle w:val="Heading2"/>
        <w:widowControl/>
        <w:numPr>
          <w:ilvl w:val="0"/>
          <w:numId w:val="0"/>
        </w:numPr>
        <w:ind w:left="1440"/>
      </w:pPr>
      <w:bookmarkStart w:id="668" w:name="_Toc395187311"/>
      <w:bookmarkStart w:id="669" w:name="_Toc398540311"/>
      <w:bookmarkStart w:id="670" w:name="_Toc398565533"/>
      <w:bookmarkStart w:id="671" w:name="_Toc398624368"/>
      <w:bookmarkStart w:id="672" w:name="_Toc398746625"/>
      <w:bookmarkStart w:id="673" w:name="_Toc399148329"/>
      <w:bookmarkStart w:id="674" w:name="_Toc399260547"/>
      <w:bookmarkStart w:id="675" w:name="_Toc399316563"/>
      <w:bookmarkStart w:id="676" w:name="_Toc401241725"/>
      <w:bookmarkStart w:id="677" w:name="_Toc401259727"/>
      <w:bookmarkStart w:id="678" w:name="_Toc401312851"/>
      <w:bookmarkStart w:id="679" w:name="_Toc401850559"/>
      <w:bookmarkStart w:id="680" w:name="_Toc402169657"/>
      <w:bookmarkStart w:id="681" w:name="_Toc405301041"/>
      <w:bookmarkStart w:id="682" w:name="_Toc405884745"/>
      <w:bookmarkStart w:id="683" w:name="_Toc406609235"/>
      <w:r w:rsidRPr="009D1D43">
        <w:t>§ 76.1300</w:t>
      </w:r>
      <w:r w:rsidRPr="009D1D43">
        <w:tab/>
        <w:t>Definitions.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326D22" w:rsidRPr="00E61E4D" w:rsidRDefault="00326D22" w:rsidP="005E5F79">
      <w:pPr>
        <w:pStyle w:val="ParaNum"/>
        <w:widowControl/>
        <w:numPr>
          <w:ilvl w:val="0"/>
          <w:numId w:val="0"/>
        </w:numPr>
        <w:ind w:firstLine="540"/>
        <w:rPr>
          <w:color w:val="000000" w:themeColor="text1"/>
        </w:rPr>
      </w:pPr>
      <w:r w:rsidRPr="00E61E4D">
        <w:rPr>
          <w:color w:val="000000" w:themeColor="text1"/>
        </w:rPr>
        <w:t>* * * * *</w:t>
      </w:r>
    </w:p>
    <w:p w:rsidR="00326D22" w:rsidRPr="00E61E4D" w:rsidRDefault="00326D22" w:rsidP="005E5F79">
      <w:pPr>
        <w:pStyle w:val="ParaNum"/>
        <w:widowControl/>
        <w:numPr>
          <w:ilvl w:val="0"/>
          <w:numId w:val="0"/>
        </w:numPr>
        <w:ind w:firstLine="540"/>
        <w:rPr>
          <w:color w:val="000000" w:themeColor="text1"/>
          <w:szCs w:val="22"/>
        </w:rPr>
      </w:pPr>
      <w:r w:rsidRPr="00E61E4D">
        <w:rPr>
          <w:color w:val="000000" w:themeColor="text1"/>
          <w:szCs w:val="22"/>
        </w:rPr>
        <w:t xml:space="preserve">(d) </w:t>
      </w:r>
      <w:bookmarkStart w:id="684" w:name="I3BE7357D43FD11E083E0CD9471F91F0D"/>
      <w:bookmarkEnd w:id="684"/>
      <w:r w:rsidR="00E01345" w:rsidRPr="00E61E4D">
        <w:rPr>
          <w:color w:val="000000" w:themeColor="text1"/>
          <w:szCs w:val="22"/>
        </w:rPr>
        <w:t xml:space="preserve">Multichannel video programming distributor. The term “multichannel video programming distributor” means an entity </w:t>
      </w:r>
      <w:r w:rsidR="00E01345" w:rsidRPr="00E61E4D">
        <w:rPr>
          <w:snapToGrid/>
          <w:color w:val="000000" w:themeColor="text1"/>
          <w:kern w:val="0"/>
          <w:szCs w:val="22"/>
        </w:rPr>
        <w:t xml:space="preserve">that falls under the definition provided in </w:t>
      </w:r>
      <w:r w:rsidR="00E01345" w:rsidRPr="00E61E4D">
        <w:rPr>
          <w:color w:val="000000" w:themeColor="text1"/>
        </w:rPr>
        <w:t>Section 76.5(rr)</w:t>
      </w:r>
      <w:r w:rsidR="00E01345" w:rsidRPr="00E61E4D">
        <w:rPr>
          <w:strike/>
          <w:color w:val="000000" w:themeColor="text1"/>
          <w:szCs w:val="22"/>
        </w:rPr>
        <w:t>engaged in the business of making available for purchase, by subscribers or customers, multiple channels of video programming. Such entities include, but are not limited to, a cable operator, a BRS/EBS provider, a direct broadcast satellite service, a television receive-only satellite program distributor, and a satellite master antenna television system operator,</w:t>
      </w:r>
      <w:r w:rsidR="00E01345" w:rsidRPr="00E61E4D">
        <w:rPr>
          <w:color w:val="000000" w:themeColor="text1"/>
          <w:szCs w:val="22"/>
        </w:rPr>
        <w:t xml:space="preserve"> as well as buying groups or agents of all such entities.</w:t>
      </w:r>
    </w:p>
    <w:p w:rsidR="00326D22" w:rsidRPr="00E61E4D" w:rsidRDefault="00326D22" w:rsidP="005E5F79">
      <w:pPr>
        <w:pStyle w:val="ParaNum"/>
        <w:widowControl/>
        <w:numPr>
          <w:ilvl w:val="0"/>
          <w:numId w:val="0"/>
        </w:numPr>
        <w:ind w:firstLine="540"/>
        <w:rPr>
          <w:color w:val="000000" w:themeColor="text1"/>
          <w:szCs w:val="22"/>
        </w:rPr>
      </w:pPr>
      <w:r w:rsidRPr="00E61E4D">
        <w:rPr>
          <w:color w:val="000000" w:themeColor="text1"/>
          <w:szCs w:val="22"/>
        </w:rPr>
        <w:t>* * * * *</w:t>
      </w:r>
    </w:p>
    <w:p w:rsidR="003F6435" w:rsidRPr="00E61E4D" w:rsidRDefault="003F6435" w:rsidP="005E5F79">
      <w:pPr>
        <w:widowControl/>
        <w:rPr>
          <w:color w:val="000000" w:themeColor="text1"/>
          <w:szCs w:val="22"/>
        </w:rPr>
      </w:pPr>
      <w:r w:rsidRPr="00E61E4D">
        <w:rPr>
          <w:color w:val="000000" w:themeColor="text1"/>
          <w:szCs w:val="22"/>
        </w:rPr>
        <w:br w:type="page"/>
      </w:r>
    </w:p>
    <w:p w:rsidR="00184229" w:rsidRPr="00E61E4D" w:rsidRDefault="00184229" w:rsidP="005E5F79">
      <w:pPr>
        <w:widowControl/>
        <w:jc w:val="center"/>
        <w:rPr>
          <w:b/>
          <w:color w:val="000000" w:themeColor="text1"/>
        </w:rPr>
      </w:pPr>
      <w:r w:rsidRPr="00E61E4D">
        <w:rPr>
          <w:b/>
          <w:color w:val="000000" w:themeColor="text1"/>
        </w:rPr>
        <w:t xml:space="preserve">APPENDIX </w:t>
      </w:r>
      <w:r w:rsidR="007076C1" w:rsidRPr="00E61E4D">
        <w:rPr>
          <w:b/>
          <w:color w:val="000000" w:themeColor="text1"/>
        </w:rPr>
        <w:t>B</w:t>
      </w:r>
    </w:p>
    <w:p w:rsidR="00184229" w:rsidRPr="00E61E4D" w:rsidRDefault="00184229" w:rsidP="005E5F79">
      <w:pPr>
        <w:pStyle w:val="ParaNum"/>
        <w:widowControl/>
        <w:numPr>
          <w:ilvl w:val="0"/>
          <w:numId w:val="0"/>
        </w:numPr>
        <w:spacing w:after="0"/>
        <w:jc w:val="center"/>
        <w:rPr>
          <w:b/>
          <w:color w:val="000000" w:themeColor="text1"/>
        </w:rPr>
      </w:pPr>
    </w:p>
    <w:p w:rsidR="00184229" w:rsidRPr="00E61E4D" w:rsidRDefault="00184229" w:rsidP="005E5F79">
      <w:pPr>
        <w:pStyle w:val="ParaNum"/>
        <w:widowControl/>
        <w:numPr>
          <w:ilvl w:val="0"/>
          <w:numId w:val="0"/>
        </w:numPr>
        <w:spacing w:after="0"/>
        <w:jc w:val="center"/>
        <w:rPr>
          <w:b/>
          <w:i/>
          <w:color w:val="000000" w:themeColor="text1"/>
        </w:rPr>
      </w:pPr>
      <w:r w:rsidRPr="00E61E4D">
        <w:rPr>
          <w:b/>
          <w:color w:val="000000" w:themeColor="text1"/>
        </w:rPr>
        <w:t>Initial Regulatory Flexibility Act Analysis</w:t>
      </w:r>
    </w:p>
    <w:p w:rsidR="00184229" w:rsidRPr="00E61E4D" w:rsidRDefault="00184229" w:rsidP="005E5F79">
      <w:pPr>
        <w:pStyle w:val="ParaNum"/>
        <w:widowControl/>
        <w:numPr>
          <w:ilvl w:val="0"/>
          <w:numId w:val="0"/>
        </w:numPr>
        <w:spacing w:after="0"/>
        <w:rPr>
          <w:b/>
          <w:color w:val="000000" w:themeColor="text1"/>
        </w:rPr>
      </w:pPr>
    </w:p>
    <w:p w:rsidR="00184229" w:rsidRPr="00E61E4D" w:rsidRDefault="00184229" w:rsidP="005E5F79">
      <w:pPr>
        <w:pStyle w:val="ParaNum"/>
        <w:widowControl/>
        <w:numPr>
          <w:ilvl w:val="0"/>
          <w:numId w:val="4"/>
        </w:numPr>
        <w:tabs>
          <w:tab w:val="clear" w:pos="1080"/>
          <w:tab w:val="num" w:pos="1440"/>
        </w:tabs>
        <w:rPr>
          <w:color w:val="000000" w:themeColor="text1"/>
        </w:rPr>
      </w:pPr>
      <w:r w:rsidRPr="00E61E4D">
        <w:rPr>
          <w:color w:val="000000" w:themeColor="text1"/>
        </w:rPr>
        <w:t>As required by the Regulatory Flexibility Act of 1980, as amended (“RFA”)</w:t>
      </w:r>
      <w:r w:rsidRPr="00E61E4D">
        <w:rPr>
          <w:rStyle w:val="FootnoteReference"/>
          <w:color w:val="000000" w:themeColor="text1"/>
          <w:szCs w:val="22"/>
        </w:rPr>
        <w:footnoteReference w:id="250"/>
      </w:r>
      <w:r w:rsidRPr="00E61E4D">
        <w:rPr>
          <w:color w:val="000000" w:themeColor="text1"/>
        </w:rPr>
        <w:t xml:space="preserve"> the Commission has prepared this present Initial Regulatory Flexibility Analysis (“IRFA”) concerning the possible significant economic impact on small entities by the polic</w:t>
      </w:r>
      <w:r w:rsidR="00EC6019" w:rsidRPr="00E61E4D">
        <w:rPr>
          <w:color w:val="000000" w:themeColor="text1"/>
        </w:rPr>
        <w:t xml:space="preserve">ies and rules proposed in this </w:t>
      </w:r>
      <w:r w:rsidRPr="00E61E4D">
        <w:rPr>
          <w:color w:val="000000" w:themeColor="text1"/>
        </w:rPr>
        <w:t>Notice of Proposed Rulemaking (“</w:t>
      </w:r>
      <w:r w:rsidRPr="00E61E4D">
        <w:rPr>
          <w:i/>
          <w:color w:val="000000" w:themeColor="text1"/>
        </w:rPr>
        <w:t>NPRM</w:t>
      </w:r>
      <w:r w:rsidRPr="00E61E4D">
        <w:rPr>
          <w:color w:val="000000" w:themeColor="text1"/>
        </w:rPr>
        <w:t xml:space="preserve">”).  </w:t>
      </w:r>
      <w:r w:rsidRPr="00E61E4D">
        <w:rPr>
          <w:color w:val="000000" w:themeColor="text1"/>
          <w:szCs w:val="22"/>
        </w:rPr>
        <w:t>Written</w:t>
      </w:r>
      <w:r w:rsidRPr="00E61E4D">
        <w:rPr>
          <w:color w:val="000000" w:themeColor="text1"/>
        </w:rPr>
        <w:t xml:space="preserve"> public comments are requested on this IRFA.  Comments must be identified as responses to the IRFA and must be filed by the deadlines for comments provided on the first page of the </w:t>
      </w:r>
      <w:r w:rsidRPr="00E61E4D">
        <w:rPr>
          <w:i/>
          <w:color w:val="000000" w:themeColor="text1"/>
        </w:rPr>
        <w:t>NPRM</w:t>
      </w:r>
      <w:r w:rsidRPr="00E61E4D">
        <w:rPr>
          <w:color w:val="000000" w:themeColor="text1"/>
        </w:rPr>
        <w:t xml:space="preserve">.  The </w:t>
      </w:r>
      <w:r w:rsidRPr="00E61E4D">
        <w:rPr>
          <w:color w:val="000000" w:themeColor="text1"/>
          <w:szCs w:val="22"/>
        </w:rPr>
        <w:t>Commission</w:t>
      </w:r>
      <w:r w:rsidRPr="00E61E4D">
        <w:rPr>
          <w:color w:val="000000" w:themeColor="text1"/>
        </w:rPr>
        <w:t xml:space="preserve"> will send a copy of the </w:t>
      </w:r>
      <w:r w:rsidRPr="00E61E4D">
        <w:rPr>
          <w:i/>
          <w:color w:val="000000" w:themeColor="text1"/>
        </w:rPr>
        <w:t>NPRM,</w:t>
      </w:r>
      <w:r w:rsidRPr="00E61E4D">
        <w:rPr>
          <w:color w:val="000000" w:themeColor="text1"/>
        </w:rPr>
        <w:t xml:space="preserve"> including this IRFA, to the Chief Counsel for Advocacy of the Small Business Administration (“SBA”).</w:t>
      </w:r>
      <w:r w:rsidRPr="00E61E4D">
        <w:rPr>
          <w:rStyle w:val="FootnoteReference"/>
          <w:color w:val="000000" w:themeColor="text1"/>
          <w:szCs w:val="22"/>
        </w:rPr>
        <w:footnoteReference w:id="251"/>
      </w:r>
      <w:r w:rsidRPr="00E61E4D">
        <w:rPr>
          <w:color w:val="000000" w:themeColor="text1"/>
        </w:rPr>
        <w:t xml:space="preserve">  In addition, the </w:t>
      </w:r>
      <w:r w:rsidRPr="00E61E4D">
        <w:rPr>
          <w:i/>
          <w:color w:val="000000" w:themeColor="text1"/>
        </w:rPr>
        <w:t>NPRM</w:t>
      </w:r>
      <w:r w:rsidRPr="00E61E4D">
        <w:rPr>
          <w:color w:val="000000" w:themeColor="text1"/>
        </w:rPr>
        <w:t xml:space="preserve"> and IRFA (or summaries thereof) will be published in the Federal Register.</w:t>
      </w:r>
      <w:r w:rsidRPr="00E61E4D">
        <w:rPr>
          <w:rStyle w:val="FootnoteReference"/>
          <w:color w:val="000000" w:themeColor="text1"/>
          <w:szCs w:val="22"/>
        </w:rPr>
        <w:footnoteReference w:id="252"/>
      </w:r>
    </w:p>
    <w:p w:rsidR="00184229" w:rsidRPr="00EA2EF6" w:rsidRDefault="00184229" w:rsidP="005E5F79">
      <w:pPr>
        <w:pStyle w:val="Heading2"/>
        <w:widowControl/>
        <w:numPr>
          <w:ilvl w:val="1"/>
          <w:numId w:val="9"/>
        </w:numPr>
      </w:pPr>
      <w:bookmarkStart w:id="685" w:name="_Toc94523116"/>
      <w:bookmarkStart w:id="686" w:name="_Toc94529951"/>
      <w:bookmarkStart w:id="687" w:name="_Toc94695356"/>
      <w:bookmarkStart w:id="688" w:name="_Toc95053168"/>
      <w:bookmarkStart w:id="689" w:name="_Toc95185665"/>
      <w:bookmarkStart w:id="690" w:name="_Toc263955113"/>
      <w:bookmarkStart w:id="691" w:name="_Toc264045073"/>
      <w:bookmarkStart w:id="692" w:name="_Toc264358615"/>
      <w:bookmarkStart w:id="693" w:name="_Toc264469654"/>
      <w:bookmarkStart w:id="694" w:name="_Toc264626496"/>
      <w:bookmarkStart w:id="695" w:name="_Toc382228451"/>
      <w:bookmarkStart w:id="696" w:name="_Toc384014171"/>
      <w:bookmarkStart w:id="697" w:name="_Toc384039698"/>
      <w:bookmarkStart w:id="698" w:name="_Toc395187312"/>
      <w:bookmarkStart w:id="699" w:name="_Toc398540312"/>
      <w:bookmarkStart w:id="700" w:name="_Toc398565534"/>
      <w:bookmarkStart w:id="701" w:name="_Toc398624369"/>
      <w:bookmarkStart w:id="702" w:name="_Toc398746626"/>
      <w:bookmarkStart w:id="703" w:name="_Toc399148330"/>
      <w:bookmarkStart w:id="704" w:name="_Toc399260548"/>
      <w:bookmarkStart w:id="705" w:name="_Toc399316564"/>
      <w:bookmarkStart w:id="706" w:name="_Toc401241726"/>
      <w:bookmarkStart w:id="707" w:name="_Toc401259728"/>
      <w:bookmarkStart w:id="708" w:name="_Toc401312852"/>
      <w:bookmarkStart w:id="709" w:name="_Toc401850560"/>
      <w:bookmarkStart w:id="710" w:name="_Toc402169658"/>
      <w:bookmarkStart w:id="711" w:name="_Toc405301042"/>
      <w:bookmarkStart w:id="712" w:name="_Toc405884746"/>
      <w:bookmarkStart w:id="713" w:name="_Toc406609236"/>
      <w:r w:rsidRPr="009D1D43">
        <w:t>Need for, and Objectives of, the Proposed Rule Changes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B82337" w:rsidRPr="00E61E4D" w:rsidRDefault="00184229" w:rsidP="005E5F79">
      <w:pPr>
        <w:pStyle w:val="ParaNum"/>
        <w:widowControl/>
        <w:rPr>
          <w:color w:val="000000" w:themeColor="text1"/>
          <w:szCs w:val="22"/>
        </w:rPr>
      </w:pPr>
      <w:bookmarkStart w:id="714" w:name="_Toc94523117"/>
      <w:bookmarkStart w:id="715" w:name="_Toc94529952"/>
      <w:bookmarkStart w:id="716" w:name="_Toc94695357"/>
      <w:bookmarkStart w:id="717" w:name="_Toc95053169"/>
      <w:bookmarkStart w:id="718" w:name="_Toc95185666"/>
      <w:r w:rsidRPr="00E61E4D">
        <w:rPr>
          <w:color w:val="000000" w:themeColor="text1"/>
          <w:szCs w:val="22"/>
        </w:rPr>
        <w:t xml:space="preserve">The </w:t>
      </w:r>
      <w:r w:rsidRPr="00E61E4D">
        <w:rPr>
          <w:i/>
          <w:color w:val="000000" w:themeColor="text1"/>
          <w:szCs w:val="22"/>
        </w:rPr>
        <w:t>NPRM</w:t>
      </w:r>
      <w:r w:rsidRPr="00E61E4D">
        <w:rPr>
          <w:color w:val="000000" w:themeColor="text1"/>
          <w:szCs w:val="22"/>
        </w:rPr>
        <w:t xml:space="preserve"> seeks comment on </w:t>
      </w:r>
      <w:r w:rsidR="00EC6019" w:rsidRPr="00E61E4D">
        <w:rPr>
          <w:color w:val="000000" w:themeColor="text1"/>
          <w:szCs w:val="22"/>
        </w:rPr>
        <w:t>a proposed interpretation of the definition of “multichannel video programming distributor</w:t>
      </w:r>
      <w:r w:rsidR="00EE4F61" w:rsidRPr="00E61E4D">
        <w:rPr>
          <w:color w:val="000000" w:themeColor="text1"/>
          <w:szCs w:val="22"/>
        </w:rPr>
        <w:t>,</w:t>
      </w:r>
      <w:r w:rsidR="00EC6019" w:rsidRPr="00E61E4D">
        <w:rPr>
          <w:color w:val="000000" w:themeColor="text1"/>
          <w:szCs w:val="22"/>
        </w:rPr>
        <w:t>”</w:t>
      </w:r>
      <w:r w:rsidR="00EE4F61" w:rsidRPr="00E61E4D">
        <w:rPr>
          <w:color w:val="000000" w:themeColor="text1"/>
          <w:szCs w:val="22"/>
        </w:rPr>
        <w:t xml:space="preserve"> or MVPD.</w:t>
      </w:r>
      <w:r w:rsidR="00F1679A" w:rsidRPr="00E61E4D">
        <w:rPr>
          <w:color w:val="000000" w:themeColor="text1"/>
          <w:szCs w:val="22"/>
        </w:rPr>
        <w:t xml:space="preserve"> </w:t>
      </w:r>
      <w:r w:rsidR="00EE4F61" w:rsidRPr="00E61E4D">
        <w:rPr>
          <w:color w:val="000000" w:themeColor="text1"/>
          <w:szCs w:val="22"/>
        </w:rPr>
        <w:t xml:space="preserve"> </w:t>
      </w:r>
      <w:r w:rsidR="00B82337" w:rsidRPr="00E61E4D">
        <w:rPr>
          <w:color w:val="000000" w:themeColor="text1"/>
          <w:szCs w:val="22"/>
        </w:rPr>
        <w:t xml:space="preserve">The Communications Act defines MVPD as </w:t>
      </w:r>
    </w:p>
    <w:p w:rsidR="00B82337" w:rsidRPr="00E61E4D" w:rsidRDefault="00B82337" w:rsidP="005E5F79">
      <w:pPr>
        <w:pStyle w:val="ParaNum"/>
        <w:widowControl/>
        <w:numPr>
          <w:ilvl w:val="0"/>
          <w:numId w:val="0"/>
        </w:numPr>
        <w:ind w:left="720" w:right="720"/>
        <w:rPr>
          <w:color w:val="000000" w:themeColor="text1"/>
          <w:szCs w:val="22"/>
        </w:rPr>
      </w:pPr>
      <w:r w:rsidRPr="00E61E4D">
        <w:rPr>
          <w:color w:val="000000" w:themeColor="text1"/>
          <w:szCs w:val="22"/>
        </w:rPr>
        <w:t>[A]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r w:rsidRPr="00E61E4D">
        <w:rPr>
          <w:rStyle w:val="FootnoteReference"/>
          <w:color w:val="000000" w:themeColor="text1"/>
          <w:szCs w:val="22"/>
        </w:rPr>
        <w:footnoteReference w:id="253"/>
      </w:r>
    </w:p>
    <w:p w:rsidR="00EE4F61" w:rsidRPr="00E61E4D" w:rsidRDefault="00EE4F61" w:rsidP="005E5F79">
      <w:pPr>
        <w:pStyle w:val="ParaNum"/>
        <w:widowControl/>
        <w:rPr>
          <w:color w:val="000000" w:themeColor="text1"/>
          <w:szCs w:val="22"/>
        </w:rPr>
      </w:pPr>
      <w:r w:rsidRPr="00E61E4D">
        <w:rPr>
          <w:color w:val="000000" w:themeColor="text1"/>
          <w:szCs w:val="22"/>
        </w:rPr>
        <w:t xml:space="preserve">Under </w:t>
      </w:r>
      <w:r w:rsidR="004D00FC" w:rsidRPr="00E61E4D">
        <w:rPr>
          <w:color w:val="000000" w:themeColor="text1"/>
          <w:szCs w:val="22"/>
        </w:rPr>
        <w:t xml:space="preserve">the Commission’s proposed </w:t>
      </w:r>
      <w:r w:rsidRPr="00E61E4D">
        <w:rPr>
          <w:color w:val="000000" w:themeColor="text1"/>
          <w:szCs w:val="22"/>
        </w:rPr>
        <w:t>interpretation</w:t>
      </w:r>
      <w:r w:rsidR="00B82337" w:rsidRPr="00E61E4D">
        <w:rPr>
          <w:color w:val="000000" w:themeColor="text1"/>
          <w:szCs w:val="22"/>
        </w:rPr>
        <w:t xml:space="preserve"> of this definition</w:t>
      </w:r>
      <w:r w:rsidR="00AE3E52" w:rsidRPr="00E61E4D">
        <w:rPr>
          <w:color w:val="000000" w:themeColor="text1"/>
          <w:szCs w:val="22"/>
        </w:rPr>
        <w:t xml:space="preserve">, </w:t>
      </w:r>
      <w:r w:rsidRPr="00E61E4D">
        <w:rPr>
          <w:color w:val="000000" w:themeColor="text1"/>
          <w:szCs w:val="22"/>
        </w:rPr>
        <w:t>providers of multiple streams of pre-scheduled online video (i.e., linear video channels) that are available for purchase will be considered MVPDs</w:t>
      </w:r>
      <w:r w:rsidR="00F1679A" w:rsidRPr="00E61E4D">
        <w:rPr>
          <w:color w:val="000000" w:themeColor="text1"/>
          <w:szCs w:val="22"/>
        </w:rPr>
        <w:t>.</w:t>
      </w:r>
      <w:r w:rsidRPr="00E61E4D">
        <w:rPr>
          <w:color w:val="000000" w:themeColor="text1"/>
          <w:szCs w:val="22"/>
        </w:rPr>
        <w:t xml:space="preserve">  We believe that this interpretation reflects the changing market for video services as more subscription linear video is made available online.</w:t>
      </w:r>
      <w:r w:rsidR="004D00FC" w:rsidRPr="00E61E4D">
        <w:rPr>
          <w:color w:val="000000" w:themeColor="text1"/>
          <w:szCs w:val="22"/>
        </w:rPr>
        <w:t xml:space="preserve">  </w:t>
      </w:r>
      <w:r w:rsidR="00EC4995" w:rsidRPr="00E61E4D">
        <w:rPr>
          <w:color w:val="000000" w:themeColor="text1"/>
          <w:szCs w:val="22"/>
        </w:rPr>
        <w:t xml:space="preserve">As an alternative, we seek comment on an interpretation </w:t>
      </w:r>
      <w:r w:rsidR="00AE3E52" w:rsidRPr="00E61E4D">
        <w:rPr>
          <w:color w:val="000000" w:themeColor="text1"/>
          <w:szCs w:val="22"/>
        </w:rPr>
        <w:t xml:space="preserve">of the definition of MVPD </w:t>
      </w:r>
      <w:r w:rsidR="00EC4995" w:rsidRPr="00E61E4D">
        <w:rPr>
          <w:color w:val="000000" w:themeColor="text1"/>
          <w:szCs w:val="22"/>
        </w:rPr>
        <w:t xml:space="preserve">that would require an entity to </w:t>
      </w:r>
      <w:r w:rsidR="00AE3E52" w:rsidRPr="00E61E4D">
        <w:rPr>
          <w:color w:val="000000" w:themeColor="text1"/>
          <w:szCs w:val="22"/>
        </w:rPr>
        <w:t xml:space="preserve">also </w:t>
      </w:r>
      <w:r w:rsidR="00EC4995" w:rsidRPr="00E61E4D">
        <w:rPr>
          <w:color w:val="000000" w:themeColor="text1"/>
          <w:szCs w:val="22"/>
        </w:rPr>
        <w:t xml:space="preserve">control the physical means—the “transmission path—that the entity uses to deliver </w:t>
      </w:r>
      <w:r w:rsidR="00AE3E52" w:rsidRPr="00E61E4D">
        <w:rPr>
          <w:color w:val="000000" w:themeColor="text1"/>
          <w:szCs w:val="22"/>
        </w:rPr>
        <w:t>its</w:t>
      </w:r>
      <w:r w:rsidR="00EC4995" w:rsidRPr="00E61E4D">
        <w:rPr>
          <w:color w:val="000000" w:themeColor="text1"/>
          <w:szCs w:val="22"/>
        </w:rPr>
        <w:t xml:space="preserve"> video programming.  </w:t>
      </w:r>
      <w:r w:rsidR="00790D11" w:rsidRPr="00E61E4D">
        <w:rPr>
          <w:color w:val="000000" w:themeColor="text1"/>
          <w:szCs w:val="22"/>
        </w:rPr>
        <w:t xml:space="preserve">We believe that </w:t>
      </w:r>
      <w:r w:rsidR="00AE3E52" w:rsidRPr="00E61E4D">
        <w:rPr>
          <w:color w:val="000000" w:themeColor="text1"/>
          <w:szCs w:val="22"/>
        </w:rPr>
        <w:t xml:space="preserve">it is important for the Commission to provide guidance on the </w:t>
      </w:r>
      <w:r w:rsidR="004D00FC" w:rsidRPr="00E61E4D">
        <w:rPr>
          <w:color w:val="000000" w:themeColor="text1"/>
          <w:szCs w:val="22"/>
        </w:rPr>
        <w:t xml:space="preserve">definition </w:t>
      </w:r>
      <w:r w:rsidR="00AE3E52" w:rsidRPr="00E61E4D">
        <w:rPr>
          <w:color w:val="000000" w:themeColor="text1"/>
          <w:szCs w:val="22"/>
        </w:rPr>
        <w:t xml:space="preserve">of MVPD because </w:t>
      </w:r>
      <w:r w:rsidR="004D00FC" w:rsidRPr="00E61E4D">
        <w:rPr>
          <w:color w:val="000000" w:themeColor="text1"/>
        </w:rPr>
        <w:t xml:space="preserve">companies are experimenting with new business models based on Internet distribution.  </w:t>
      </w:r>
    </w:p>
    <w:p w:rsidR="00184229" w:rsidRPr="00E61E4D" w:rsidRDefault="00EE4F61" w:rsidP="005E5F79">
      <w:pPr>
        <w:pStyle w:val="ParaNum"/>
        <w:widowControl/>
        <w:rPr>
          <w:color w:val="000000" w:themeColor="text1"/>
          <w:szCs w:val="22"/>
        </w:rPr>
      </w:pPr>
      <w:r w:rsidRPr="00E61E4D">
        <w:rPr>
          <w:color w:val="000000" w:themeColor="text1"/>
          <w:szCs w:val="22"/>
        </w:rPr>
        <w:t>We seek comment from the public about the effect that this interpretation will have.  We seek comment on the potential benefits of this rule change for online video providers, namely program access</w:t>
      </w:r>
      <w:r w:rsidRPr="00E61E4D">
        <w:rPr>
          <w:color w:val="000000" w:themeColor="text1"/>
          <w:szCs w:val="22"/>
          <w:vertAlign w:val="superscript"/>
          <w:lang w:eastAsia="ar-SA"/>
        </w:rPr>
        <w:footnoteReference w:id="254"/>
      </w:r>
      <w:r w:rsidRPr="00E61E4D">
        <w:rPr>
          <w:color w:val="000000" w:themeColor="text1"/>
          <w:szCs w:val="22"/>
        </w:rPr>
        <w:t xml:space="preserve"> and retransmission consent</w:t>
      </w:r>
      <w:r w:rsidRPr="00E61E4D">
        <w:rPr>
          <w:color w:val="000000" w:themeColor="text1"/>
          <w:szCs w:val="22"/>
          <w:vertAlign w:val="superscript"/>
          <w:lang w:eastAsia="ar-SA"/>
        </w:rPr>
        <w:footnoteReference w:id="255"/>
      </w:r>
      <w:r w:rsidRPr="00E61E4D">
        <w:rPr>
          <w:color w:val="000000" w:themeColor="text1"/>
          <w:szCs w:val="22"/>
        </w:rPr>
        <w:t xml:space="preserve"> protections.  We also seek comment on the potential burdens on online video providers </w:t>
      </w:r>
      <w:r w:rsidRPr="00E61E4D">
        <w:rPr>
          <w:color w:val="000000" w:themeColor="text1"/>
          <w:szCs w:val="22"/>
          <w:lang w:eastAsia="ar-SA"/>
        </w:rPr>
        <w:t>relating to (i) program carriage;</w:t>
      </w:r>
      <w:r w:rsidRPr="00E61E4D">
        <w:rPr>
          <w:color w:val="000000" w:themeColor="text1"/>
          <w:szCs w:val="22"/>
          <w:vertAlign w:val="superscript"/>
          <w:lang w:eastAsia="ar-SA"/>
        </w:rPr>
        <w:footnoteReference w:id="256"/>
      </w:r>
      <w:r w:rsidRPr="00E61E4D">
        <w:rPr>
          <w:color w:val="000000" w:themeColor="text1"/>
          <w:szCs w:val="22"/>
          <w:lang w:eastAsia="ar-SA"/>
        </w:rPr>
        <w:t xml:space="preserve"> (ii) the competitive availability of navigation devices (including the integration ban);</w:t>
      </w:r>
      <w:r w:rsidRPr="00E61E4D">
        <w:rPr>
          <w:color w:val="000000" w:themeColor="text1"/>
          <w:szCs w:val="22"/>
          <w:vertAlign w:val="superscript"/>
          <w:lang w:eastAsia="ar-SA"/>
        </w:rPr>
        <w:footnoteReference w:id="257"/>
      </w:r>
      <w:r w:rsidRPr="00E61E4D">
        <w:rPr>
          <w:color w:val="000000" w:themeColor="text1"/>
          <w:szCs w:val="22"/>
          <w:lang w:eastAsia="ar-SA"/>
        </w:rPr>
        <w:t xml:space="preserve"> (iii) good faith negotiation with broadcasters for retransmission consent;</w:t>
      </w:r>
      <w:r w:rsidRPr="00E61E4D">
        <w:rPr>
          <w:color w:val="000000" w:themeColor="text1"/>
          <w:szCs w:val="22"/>
          <w:vertAlign w:val="superscript"/>
          <w:lang w:eastAsia="ar-SA"/>
        </w:rPr>
        <w:footnoteReference w:id="258"/>
      </w:r>
      <w:r w:rsidRPr="00E61E4D">
        <w:rPr>
          <w:color w:val="000000" w:themeColor="text1"/>
          <w:szCs w:val="22"/>
          <w:lang w:eastAsia="ar-SA"/>
        </w:rPr>
        <w:t xml:space="preserve"> (iv) Equal Employment Opportunity (“EEO”);</w:t>
      </w:r>
      <w:r w:rsidRPr="00E61E4D">
        <w:rPr>
          <w:color w:val="000000" w:themeColor="text1"/>
          <w:szCs w:val="22"/>
          <w:vertAlign w:val="superscript"/>
          <w:lang w:eastAsia="ar-SA"/>
        </w:rPr>
        <w:footnoteReference w:id="259"/>
      </w:r>
      <w:r w:rsidRPr="00E61E4D">
        <w:rPr>
          <w:color w:val="000000" w:themeColor="text1"/>
          <w:szCs w:val="22"/>
          <w:lang w:eastAsia="ar-SA"/>
        </w:rPr>
        <w:t xml:space="preserve"> (v) closed captioning;</w:t>
      </w:r>
      <w:r w:rsidRPr="00E61E4D">
        <w:rPr>
          <w:color w:val="000000" w:themeColor="text1"/>
          <w:szCs w:val="22"/>
          <w:vertAlign w:val="superscript"/>
          <w:lang w:eastAsia="ar-SA"/>
        </w:rPr>
        <w:footnoteReference w:id="260"/>
      </w:r>
      <w:r w:rsidRPr="00E61E4D">
        <w:rPr>
          <w:color w:val="000000" w:themeColor="text1"/>
          <w:szCs w:val="22"/>
          <w:lang w:eastAsia="ar-SA"/>
        </w:rPr>
        <w:t xml:space="preserve"> (vi) video description;</w:t>
      </w:r>
      <w:r w:rsidRPr="00E61E4D">
        <w:rPr>
          <w:rStyle w:val="FootnoteReference"/>
          <w:color w:val="000000" w:themeColor="text1"/>
          <w:szCs w:val="22"/>
          <w:lang w:eastAsia="ar-SA"/>
        </w:rPr>
        <w:footnoteReference w:id="261"/>
      </w:r>
      <w:r w:rsidRPr="00E61E4D">
        <w:rPr>
          <w:color w:val="000000" w:themeColor="text1"/>
          <w:szCs w:val="22"/>
          <w:lang w:eastAsia="ar-SA"/>
        </w:rPr>
        <w:t xml:space="preserve"> (vii) access to emergency information;</w:t>
      </w:r>
      <w:r w:rsidRPr="00E61E4D">
        <w:rPr>
          <w:rStyle w:val="FootnoteReference"/>
          <w:color w:val="000000" w:themeColor="text1"/>
          <w:szCs w:val="22"/>
          <w:lang w:eastAsia="ar-SA"/>
        </w:rPr>
        <w:footnoteReference w:id="262"/>
      </w:r>
      <w:r w:rsidRPr="00E61E4D">
        <w:rPr>
          <w:color w:val="000000" w:themeColor="text1"/>
          <w:szCs w:val="22"/>
          <w:lang w:eastAsia="ar-SA"/>
        </w:rPr>
        <w:t xml:space="preserve"> (vi) signal leakage;</w:t>
      </w:r>
      <w:r w:rsidRPr="00E61E4D">
        <w:rPr>
          <w:color w:val="000000" w:themeColor="text1"/>
          <w:szCs w:val="22"/>
          <w:vertAlign w:val="superscript"/>
          <w:lang w:eastAsia="ar-SA"/>
        </w:rPr>
        <w:footnoteReference w:id="263"/>
      </w:r>
      <w:r w:rsidRPr="00E61E4D">
        <w:rPr>
          <w:color w:val="000000" w:themeColor="text1"/>
          <w:szCs w:val="22"/>
          <w:lang w:eastAsia="ar-SA"/>
        </w:rPr>
        <w:t xml:space="preserve"> (vii) inside wiring;</w:t>
      </w:r>
      <w:r w:rsidRPr="00E61E4D">
        <w:rPr>
          <w:color w:val="000000" w:themeColor="text1"/>
          <w:szCs w:val="22"/>
          <w:vertAlign w:val="superscript"/>
          <w:lang w:eastAsia="ar-SA"/>
        </w:rPr>
        <w:footnoteReference w:id="264"/>
      </w:r>
      <w:r w:rsidRPr="00E61E4D">
        <w:rPr>
          <w:color w:val="000000" w:themeColor="text1"/>
          <w:szCs w:val="22"/>
          <w:lang w:eastAsia="ar-SA"/>
        </w:rPr>
        <w:t xml:space="preserve"> and (viii) the </w:t>
      </w:r>
      <w:r w:rsidRPr="00E61E4D">
        <w:rPr>
          <w:color w:val="000000" w:themeColor="text1"/>
        </w:rPr>
        <w:t>loudness of commercials.  We invite comment on any other effects that these rules may have.</w:t>
      </w:r>
    </w:p>
    <w:p w:rsidR="00184229" w:rsidRPr="00EA2EF6" w:rsidRDefault="00184229" w:rsidP="005E5F79">
      <w:pPr>
        <w:pStyle w:val="Heading2"/>
        <w:widowControl/>
      </w:pPr>
      <w:bookmarkStart w:id="719" w:name="_Toc263955114"/>
      <w:bookmarkStart w:id="720" w:name="_Toc264045074"/>
      <w:bookmarkStart w:id="721" w:name="_Toc264358616"/>
      <w:bookmarkStart w:id="722" w:name="_Toc264469655"/>
      <w:bookmarkStart w:id="723" w:name="_Toc264626497"/>
      <w:bookmarkStart w:id="724" w:name="_Toc382228452"/>
      <w:bookmarkStart w:id="725" w:name="_Toc384014172"/>
      <w:bookmarkStart w:id="726" w:name="_Toc384039699"/>
      <w:bookmarkStart w:id="727" w:name="_Toc395187313"/>
      <w:bookmarkStart w:id="728" w:name="_Toc398540313"/>
      <w:bookmarkStart w:id="729" w:name="_Toc398565535"/>
      <w:bookmarkStart w:id="730" w:name="_Toc398624370"/>
      <w:bookmarkStart w:id="731" w:name="_Toc398746627"/>
      <w:bookmarkStart w:id="732" w:name="_Toc399148331"/>
      <w:bookmarkStart w:id="733" w:name="_Toc399260549"/>
      <w:bookmarkStart w:id="734" w:name="_Toc399316565"/>
      <w:bookmarkStart w:id="735" w:name="_Toc401241727"/>
      <w:bookmarkStart w:id="736" w:name="_Toc401259729"/>
      <w:bookmarkStart w:id="737" w:name="_Toc401312853"/>
      <w:bookmarkStart w:id="738" w:name="_Toc401850561"/>
      <w:bookmarkStart w:id="739" w:name="_Toc402169659"/>
      <w:bookmarkStart w:id="740" w:name="_Toc405301043"/>
      <w:bookmarkStart w:id="741" w:name="_Toc405884747"/>
      <w:bookmarkStart w:id="742" w:name="_Toc406609237"/>
      <w:r w:rsidRPr="009D1D43">
        <w:t>Legal Basis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184229" w:rsidRPr="00E61E4D" w:rsidRDefault="00184229" w:rsidP="005E5F79">
      <w:pPr>
        <w:pStyle w:val="ParaNum"/>
        <w:widowControl/>
        <w:rPr>
          <w:color w:val="000000" w:themeColor="text1"/>
          <w:szCs w:val="22"/>
        </w:rPr>
      </w:pPr>
      <w:r w:rsidRPr="00E61E4D">
        <w:rPr>
          <w:color w:val="000000" w:themeColor="text1"/>
          <w:szCs w:val="22"/>
        </w:rPr>
        <w:t xml:space="preserve">The proposed action is authorized pursuant to Sections </w:t>
      </w:r>
      <w:r w:rsidR="00070147" w:rsidRPr="00E61E4D">
        <w:rPr>
          <w:color w:val="000000" w:themeColor="text1"/>
          <w:szCs w:val="22"/>
        </w:rPr>
        <w:t>4(i), 4(j), 303(r), 325, 403, 616, 628, 629, 634 and 713 of the Communications Act of 1934, as amended, 47 U.S.C §§ 154(i), 154(j), 303(r), 325, 403, 536, 548, 549, 554, and 613</w:t>
      </w:r>
      <w:r w:rsidRPr="00E61E4D">
        <w:rPr>
          <w:color w:val="000000" w:themeColor="text1"/>
          <w:szCs w:val="22"/>
        </w:rPr>
        <w:t>.</w:t>
      </w:r>
    </w:p>
    <w:p w:rsidR="00184229" w:rsidRPr="00EA2EF6" w:rsidRDefault="00184229" w:rsidP="005E5F79">
      <w:pPr>
        <w:pStyle w:val="Heading2"/>
        <w:widowControl/>
      </w:pPr>
      <w:bookmarkStart w:id="743" w:name="_Toc94523118"/>
      <w:bookmarkStart w:id="744" w:name="_Toc94529953"/>
      <w:bookmarkStart w:id="745" w:name="_Toc94695358"/>
      <w:bookmarkStart w:id="746" w:name="_Toc95053170"/>
      <w:bookmarkStart w:id="747" w:name="_Toc95185667"/>
      <w:bookmarkStart w:id="748" w:name="_Toc263955115"/>
      <w:bookmarkStart w:id="749" w:name="_Toc264045075"/>
      <w:bookmarkStart w:id="750" w:name="_Toc264358617"/>
      <w:bookmarkStart w:id="751" w:name="_Toc264469656"/>
      <w:bookmarkStart w:id="752" w:name="_Toc264626498"/>
      <w:bookmarkStart w:id="753" w:name="_Toc382228453"/>
      <w:bookmarkStart w:id="754" w:name="_Toc384014173"/>
      <w:bookmarkStart w:id="755" w:name="_Toc384039700"/>
      <w:bookmarkStart w:id="756" w:name="_Toc395187314"/>
      <w:bookmarkStart w:id="757" w:name="_Toc398540314"/>
      <w:bookmarkStart w:id="758" w:name="_Toc398565536"/>
      <w:bookmarkStart w:id="759" w:name="_Toc398624371"/>
      <w:bookmarkStart w:id="760" w:name="_Toc398746628"/>
      <w:bookmarkStart w:id="761" w:name="_Toc399148332"/>
      <w:bookmarkStart w:id="762" w:name="_Toc399260550"/>
      <w:bookmarkStart w:id="763" w:name="_Toc399316566"/>
      <w:bookmarkStart w:id="764" w:name="_Toc401241728"/>
      <w:bookmarkStart w:id="765" w:name="_Toc401259730"/>
      <w:bookmarkStart w:id="766" w:name="_Toc401312854"/>
      <w:bookmarkStart w:id="767" w:name="_Toc401850562"/>
      <w:bookmarkStart w:id="768" w:name="_Toc402169660"/>
      <w:bookmarkStart w:id="769" w:name="_Toc405301044"/>
      <w:bookmarkStart w:id="770" w:name="_Toc405884748"/>
      <w:bookmarkStart w:id="771" w:name="_Toc406609238"/>
      <w:r w:rsidRPr="009D1D43">
        <w:t>Description and Estimate of the Number of Small Entities to Which the Proposed Rules Will Apply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184229" w:rsidRPr="00E61E4D" w:rsidRDefault="00184229" w:rsidP="005E5F79">
      <w:pPr>
        <w:pStyle w:val="ParaNum"/>
        <w:widowControl/>
        <w:tabs>
          <w:tab w:val="num" w:pos="360"/>
        </w:tabs>
        <w:rPr>
          <w:color w:val="000000" w:themeColor="text1"/>
          <w:szCs w:val="22"/>
        </w:rPr>
      </w:pPr>
      <w:bookmarkStart w:id="772" w:name="_Toc263955118"/>
      <w:bookmarkStart w:id="773" w:name="_Toc264045078"/>
      <w:bookmarkStart w:id="774" w:name="_Toc264358620"/>
      <w:bookmarkStart w:id="775" w:name="_Toc264469659"/>
      <w:bookmarkStart w:id="776" w:name="_Toc264626501"/>
      <w:r w:rsidRPr="00E61E4D">
        <w:rPr>
          <w:color w:val="000000" w:themeColor="text1"/>
          <w:szCs w:val="22"/>
        </w:rPr>
        <w:t>The RFA directs agencies to provide a description of, and where feasible, an estimate of the number of small entities that may be affected by the proposed rules, if adopted.</w:t>
      </w:r>
      <w:r w:rsidRPr="00E61E4D">
        <w:rPr>
          <w:rStyle w:val="FootnoteReference"/>
          <w:color w:val="000000" w:themeColor="text1"/>
          <w:szCs w:val="22"/>
        </w:rPr>
        <w:footnoteReference w:id="265"/>
      </w:r>
      <w:r w:rsidRPr="00E61E4D">
        <w:rPr>
          <w:color w:val="000000" w:themeColor="text1"/>
          <w:szCs w:val="22"/>
        </w:rPr>
        <w:t xml:space="preserve">  The RFA generally defines the term “small entity” as having the same meaning as the terms “small business,” “small organization,” and “small governmental jurisdiction.”</w:t>
      </w:r>
      <w:r w:rsidRPr="00E61E4D">
        <w:rPr>
          <w:rStyle w:val="FootnoteReference"/>
          <w:color w:val="000000" w:themeColor="text1"/>
          <w:szCs w:val="22"/>
        </w:rPr>
        <w:footnoteReference w:id="266"/>
      </w:r>
      <w:r w:rsidRPr="00E61E4D">
        <w:rPr>
          <w:color w:val="000000" w:themeColor="text1"/>
          <w:szCs w:val="22"/>
        </w:rPr>
        <w:t xml:space="preserve">  In addition, the term “small business” has the same meaning as the term “small business concern” under the Small Business Act.</w:t>
      </w:r>
      <w:r w:rsidRPr="00E61E4D">
        <w:rPr>
          <w:rStyle w:val="FootnoteReference"/>
          <w:color w:val="000000" w:themeColor="text1"/>
          <w:szCs w:val="22"/>
        </w:rPr>
        <w:footnoteReference w:id="267"/>
      </w:r>
      <w:r w:rsidRPr="00E61E4D">
        <w:rPr>
          <w:color w:val="000000" w:themeColor="text1"/>
          <w:szCs w:val="22"/>
        </w:rPr>
        <w:t xml:space="preserve">  A small business concern is one which:  (1) is independently owned and operated; (2) is not dominant in its field of operation; and (3) satisfies any additional criteria established by the SBA.</w:t>
      </w:r>
      <w:r w:rsidRPr="00E61E4D">
        <w:rPr>
          <w:rStyle w:val="FootnoteReference"/>
          <w:color w:val="000000" w:themeColor="text1"/>
          <w:szCs w:val="22"/>
        </w:rPr>
        <w:footnoteReference w:id="268"/>
      </w:r>
      <w:r w:rsidRPr="00E61E4D">
        <w:rPr>
          <w:color w:val="000000" w:themeColor="text1"/>
          <w:szCs w:val="22"/>
        </w:rPr>
        <w:t xml:space="preserve">  Below, we provide a description of such small entities, as well as an estimate of the number of such small entities, where feasible.</w:t>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rPr>
        <w:t>Cable Television Distribution Services.</w:t>
      </w:r>
      <w:r w:rsidRPr="00E61E4D">
        <w:rPr>
          <w:color w:val="000000" w:themeColor="text1"/>
        </w:rPr>
        <w:t xml:space="preserve">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E61E4D">
        <w:rPr>
          <w:rStyle w:val="FootnoteReference"/>
          <w:color w:val="000000" w:themeColor="text1"/>
        </w:rPr>
        <w:footnoteReference w:id="269"/>
      </w:r>
      <w:r w:rsidRPr="00E61E4D">
        <w:rPr>
          <w:color w:val="000000" w:themeColor="text1"/>
        </w:rPr>
        <w:t xml:space="preserve">  The </w:t>
      </w:r>
      <w:r w:rsidRPr="00E61E4D">
        <w:rPr>
          <w:color w:val="000000" w:themeColor="text1"/>
          <w:szCs w:val="22"/>
        </w:rPr>
        <w:t>SBA</w:t>
      </w:r>
      <w:r w:rsidRPr="00E61E4D">
        <w:rPr>
          <w:color w:val="000000" w:themeColor="text1"/>
        </w:rPr>
        <w:t xml:space="preserve"> has developed a small business size standard for this category, which is:  all such businesses having 1,500 or fewer employees.</w:t>
      </w:r>
      <w:r w:rsidRPr="00E61E4D">
        <w:rPr>
          <w:rStyle w:val="FootnoteReference"/>
          <w:color w:val="000000" w:themeColor="text1"/>
        </w:rPr>
        <w:footnoteReference w:id="270"/>
      </w:r>
      <w:r w:rsidRPr="00E61E4D">
        <w:rPr>
          <w:color w:val="000000" w:themeColor="text1"/>
        </w:rPr>
        <w:t xml:space="preserve">  Census data for 2007 shows that there were </w:t>
      </w:r>
      <w:r w:rsidR="000E6677" w:rsidRPr="00E61E4D">
        <w:rPr>
          <w:color w:val="000000" w:themeColor="text1"/>
        </w:rPr>
        <w:t>3,188</w:t>
      </w:r>
      <w:r w:rsidRPr="00E61E4D">
        <w:rPr>
          <w:color w:val="000000" w:themeColor="text1"/>
        </w:rPr>
        <w:t xml:space="preserve"> that operated </w:t>
      </w:r>
      <w:r w:rsidR="000E6677" w:rsidRPr="00E61E4D">
        <w:rPr>
          <w:color w:val="000000" w:themeColor="text1"/>
        </w:rPr>
        <w:t xml:space="preserve">for </w:t>
      </w:r>
      <w:r w:rsidRPr="00E61E4D">
        <w:rPr>
          <w:color w:val="000000" w:themeColor="text1"/>
        </w:rPr>
        <w:t xml:space="preserve">that </w:t>
      </w:r>
      <w:r w:rsidR="000E6677" w:rsidRPr="00E61E4D">
        <w:rPr>
          <w:color w:val="000000" w:themeColor="text1"/>
        </w:rPr>
        <w:t>entire</w:t>
      </w:r>
      <w:r w:rsidRPr="00E61E4D">
        <w:rPr>
          <w:color w:val="000000" w:themeColor="text1"/>
        </w:rPr>
        <w:t xml:space="preserve"> year.</w:t>
      </w:r>
      <w:r w:rsidRPr="00E61E4D">
        <w:rPr>
          <w:rStyle w:val="FootnoteReference"/>
          <w:color w:val="000000" w:themeColor="text1"/>
        </w:rPr>
        <w:footnoteReference w:id="271"/>
      </w:r>
      <w:r w:rsidRPr="00E61E4D">
        <w:rPr>
          <w:color w:val="000000" w:themeColor="text1"/>
        </w:rPr>
        <w:t xml:space="preserve">  Of this total, </w:t>
      </w:r>
      <w:r w:rsidR="000E6677" w:rsidRPr="00E61E4D">
        <w:rPr>
          <w:color w:val="000000" w:themeColor="text1"/>
        </w:rPr>
        <w:t>2,940 firms</w:t>
      </w:r>
      <w:r w:rsidRPr="00E61E4D">
        <w:rPr>
          <w:color w:val="000000" w:themeColor="text1"/>
        </w:rPr>
        <w:t xml:space="preserve"> had fewer than 100 employees, and </w:t>
      </w:r>
      <w:r w:rsidR="000E6677" w:rsidRPr="00E61E4D">
        <w:rPr>
          <w:color w:val="000000" w:themeColor="text1"/>
        </w:rPr>
        <w:t>248 firms</w:t>
      </w:r>
      <w:r w:rsidRPr="00E61E4D">
        <w:rPr>
          <w:color w:val="000000" w:themeColor="text1"/>
        </w:rPr>
        <w:t xml:space="preserve"> had 100 or more employees.</w:t>
      </w:r>
      <w:r w:rsidRPr="00E61E4D">
        <w:rPr>
          <w:rStyle w:val="FootnoteReference"/>
          <w:color w:val="000000" w:themeColor="text1"/>
        </w:rPr>
        <w:footnoteReference w:id="272"/>
      </w:r>
      <w:r w:rsidRPr="00E61E4D">
        <w:rPr>
          <w:color w:val="000000" w:themeColor="text1"/>
        </w:rPr>
        <w:t xml:space="preserve">  Therefore, under this size standard, we estimate that the majority of such businesses can be considered small entities.</w:t>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szCs w:val="22"/>
        </w:rPr>
        <w:t>Cable Companies and Systems.</w:t>
      </w:r>
      <w:r w:rsidRPr="00E61E4D">
        <w:rPr>
          <w:color w:val="000000" w:themeColor="text1"/>
          <w:szCs w:val="22"/>
        </w:rPr>
        <w:t xml:space="preserve">  The Commission has also developed its own small business size standards, for the purpose of cable rate regulation.  Under the Commission’s rules, a “small cable company” is one serving 400,000 or fewer subscribers nationwide.</w:t>
      </w:r>
      <w:r w:rsidRPr="00E61E4D">
        <w:rPr>
          <w:rStyle w:val="FootnoteReference"/>
          <w:color w:val="000000" w:themeColor="text1"/>
          <w:szCs w:val="22"/>
        </w:rPr>
        <w:footnoteReference w:id="273"/>
      </w:r>
      <w:r w:rsidRPr="00E61E4D">
        <w:rPr>
          <w:color w:val="000000" w:themeColor="text1"/>
          <w:szCs w:val="22"/>
        </w:rPr>
        <w:t xml:space="preserve">  Industry data </w:t>
      </w:r>
      <w:r w:rsidRPr="00E61E4D">
        <w:rPr>
          <w:color w:val="000000" w:themeColor="text1"/>
        </w:rPr>
        <w:t xml:space="preserve">shows </w:t>
      </w:r>
      <w:r w:rsidRPr="00E61E4D">
        <w:rPr>
          <w:color w:val="000000" w:themeColor="text1"/>
          <w:szCs w:val="22"/>
        </w:rPr>
        <w:t xml:space="preserve">that </w:t>
      </w:r>
      <w:r w:rsidRPr="00E61E4D">
        <w:rPr>
          <w:color w:val="000000" w:themeColor="text1"/>
        </w:rPr>
        <w:t>there were 1,100 cable companies at the end of December 2012.</w:t>
      </w:r>
      <w:r w:rsidRPr="00E61E4D">
        <w:rPr>
          <w:rStyle w:val="FootnoteReference"/>
          <w:color w:val="000000" w:themeColor="text1"/>
        </w:rPr>
        <w:footnoteReference w:id="274"/>
      </w:r>
      <w:r w:rsidRPr="00E61E4D">
        <w:rPr>
          <w:color w:val="000000" w:themeColor="text1"/>
        </w:rPr>
        <w:t xml:space="preserve">  Of this total, </w:t>
      </w:r>
      <w:r w:rsidRPr="00E61E4D">
        <w:rPr>
          <w:color w:val="000000" w:themeColor="text1"/>
          <w:szCs w:val="22"/>
        </w:rPr>
        <w:t>all but ten cable operators nationwide are small under this size standard.</w:t>
      </w:r>
      <w:r w:rsidRPr="00E61E4D">
        <w:rPr>
          <w:rStyle w:val="FootnoteReference"/>
          <w:color w:val="000000" w:themeColor="text1"/>
          <w:szCs w:val="22"/>
        </w:rPr>
        <w:footnoteReference w:id="275"/>
      </w:r>
      <w:r w:rsidRPr="00E61E4D">
        <w:rPr>
          <w:color w:val="000000" w:themeColor="text1"/>
          <w:szCs w:val="22"/>
        </w:rPr>
        <w:t xml:space="preserve">  In addition, under the </w:t>
      </w:r>
      <w:r w:rsidRPr="00E61E4D">
        <w:rPr>
          <w:color w:val="000000" w:themeColor="text1"/>
        </w:rPr>
        <w:t>Commission’s</w:t>
      </w:r>
      <w:r w:rsidRPr="00E61E4D">
        <w:rPr>
          <w:color w:val="000000" w:themeColor="text1"/>
          <w:szCs w:val="22"/>
        </w:rPr>
        <w:t xml:space="preserve"> </w:t>
      </w:r>
      <w:r w:rsidRPr="00E61E4D">
        <w:rPr>
          <w:color w:val="000000" w:themeColor="text1"/>
        </w:rPr>
        <w:t xml:space="preserve">rate regulation </w:t>
      </w:r>
      <w:r w:rsidRPr="00E61E4D">
        <w:rPr>
          <w:color w:val="000000" w:themeColor="text1"/>
          <w:szCs w:val="22"/>
        </w:rPr>
        <w:t>rules, a “small system” is a cable system serving 15,000 or fewer subscribers.</w:t>
      </w:r>
      <w:r w:rsidRPr="00E61E4D">
        <w:rPr>
          <w:rStyle w:val="FootnoteReference"/>
          <w:color w:val="000000" w:themeColor="text1"/>
          <w:szCs w:val="22"/>
        </w:rPr>
        <w:footnoteReference w:id="276"/>
      </w:r>
      <w:r w:rsidRPr="00E61E4D">
        <w:rPr>
          <w:color w:val="000000" w:themeColor="text1"/>
          <w:szCs w:val="22"/>
        </w:rPr>
        <w:t xml:space="preserve">  </w:t>
      </w:r>
      <w:r w:rsidRPr="00E61E4D">
        <w:rPr>
          <w:color w:val="000000" w:themeColor="text1"/>
        </w:rPr>
        <w:t xml:space="preserve">Current Commission records show 4,945 cable </w:t>
      </w:r>
      <w:r w:rsidRPr="00E61E4D">
        <w:rPr>
          <w:color w:val="000000" w:themeColor="text1"/>
          <w:szCs w:val="22"/>
        </w:rPr>
        <w:t>systems nationwide</w:t>
      </w:r>
      <w:r w:rsidRPr="00E61E4D">
        <w:rPr>
          <w:color w:val="000000" w:themeColor="text1"/>
        </w:rPr>
        <w:t>.</w:t>
      </w:r>
      <w:r w:rsidRPr="00E61E4D">
        <w:rPr>
          <w:rStyle w:val="FootnoteReference"/>
          <w:color w:val="000000" w:themeColor="text1"/>
        </w:rPr>
        <w:footnoteReference w:id="277"/>
      </w:r>
      <w:r w:rsidRPr="00E61E4D">
        <w:rPr>
          <w:color w:val="000000" w:themeColor="text1"/>
        </w:rPr>
        <w:t xml:space="preserve">  Of this total,</w:t>
      </w:r>
      <w:r w:rsidRPr="00E61E4D">
        <w:rPr>
          <w:color w:val="000000" w:themeColor="text1"/>
          <w:szCs w:val="22"/>
        </w:rPr>
        <w:t xml:space="preserve"> </w:t>
      </w:r>
      <w:r w:rsidRPr="00E61E4D">
        <w:rPr>
          <w:color w:val="000000" w:themeColor="text1"/>
        </w:rPr>
        <w:t>4,</w:t>
      </w:r>
      <w:r w:rsidRPr="00E61E4D">
        <w:rPr>
          <w:color w:val="000000" w:themeColor="text1"/>
          <w:szCs w:val="22"/>
        </w:rPr>
        <w:t>380 cable</w:t>
      </w:r>
      <w:r w:rsidRPr="00E61E4D">
        <w:rPr>
          <w:color w:val="000000" w:themeColor="text1"/>
        </w:rPr>
        <w:t xml:space="preserve"> </w:t>
      </w:r>
      <w:r w:rsidRPr="00E61E4D">
        <w:rPr>
          <w:color w:val="000000" w:themeColor="text1"/>
          <w:szCs w:val="22"/>
        </w:rPr>
        <w:t xml:space="preserve">systems have </w:t>
      </w:r>
      <w:r w:rsidRPr="00E61E4D">
        <w:rPr>
          <w:color w:val="000000" w:themeColor="text1"/>
        </w:rPr>
        <w:t xml:space="preserve">less than 20,000 </w:t>
      </w:r>
      <w:r w:rsidRPr="00E61E4D">
        <w:rPr>
          <w:color w:val="000000" w:themeColor="text1"/>
          <w:szCs w:val="22"/>
        </w:rPr>
        <w:t xml:space="preserve">subscribers, and </w:t>
      </w:r>
      <w:r w:rsidRPr="00E61E4D">
        <w:rPr>
          <w:color w:val="000000" w:themeColor="text1"/>
        </w:rPr>
        <w:t xml:space="preserve">565 </w:t>
      </w:r>
      <w:r w:rsidRPr="00E61E4D">
        <w:rPr>
          <w:color w:val="000000" w:themeColor="text1"/>
          <w:szCs w:val="22"/>
        </w:rPr>
        <w:t>systems have 20</w:t>
      </w:r>
      <w:r w:rsidRPr="00E61E4D">
        <w:rPr>
          <w:color w:val="000000" w:themeColor="text1"/>
        </w:rPr>
        <w:t>,000</w:t>
      </w:r>
      <w:r w:rsidRPr="00E61E4D">
        <w:rPr>
          <w:color w:val="000000" w:themeColor="text1"/>
          <w:szCs w:val="22"/>
        </w:rPr>
        <w:t xml:space="preserve"> or more</w:t>
      </w:r>
      <w:r w:rsidRPr="00E61E4D">
        <w:rPr>
          <w:color w:val="000000" w:themeColor="text1"/>
        </w:rPr>
        <w:t xml:space="preserve"> </w:t>
      </w:r>
      <w:r w:rsidRPr="00E61E4D">
        <w:rPr>
          <w:color w:val="000000" w:themeColor="text1"/>
          <w:szCs w:val="22"/>
        </w:rPr>
        <w:t>subscribers</w:t>
      </w:r>
      <w:r w:rsidRPr="00E61E4D">
        <w:rPr>
          <w:color w:val="000000" w:themeColor="text1"/>
        </w:rPr>
        <w:t>, based on the same records</w:t>
      </w:r>
      <w:r w:rsidRPr="00E61E4D">
        <w:rPr>
          <w:color w:val="000000" w:themeColor="text1"/>
          <w:szCs w:val="22"/>
        </w:rPr>
        <w:t xml:space="preserve">.  Thus, under this standard, </w:t>
      </w:r>
      <w:r w:rsidRPr="00E61E4D">
        <w:rPr>
          <w:color w:val="000000" w:themeColor="text1"/>
        </w:rPr>
        <w:t xml:space="preserve">we estimate that </w:t>
      </w:r>
      <w:r w:rsidRPr="00E61E4D">
        <w:rPr>
          <w:color w:val="000000" w:themeColor="text1"/>
          <w:szCs w:val="22"/>
        </w:rPr>
        <w:t>most cable systems are small entities.</w:t>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rPr>
        <w:t>Cable System Operators (Telecom Act Standard)</w:t>
      </w:r>
      <w:r w:rsidRPr="00E61E4D">
        <w:rPr>
          <w:color w:val="000000" w:themeColor="text1"/>
        </w:rPr>
        <w:t>.</w:t>
      </w:r>
      <w:r w:rsidRPr="00E61E4D">
        <w:rPr>
          <w:b/>
          <w:color w:val="000000" w:themeColor="text1"/>
        </w:rPr>
        <w:t xml:space="preserve">  </w:t>
      </w:r>
      <w:r w:rsidRPr="00E61E4D">
        <w:rPr>
          <w:color w:val="000000" w:themeColor="text1"/>
        </w:rPr>
        <w:t xml:space="preserve">The Communications Act of 1934, as amended, also contains a size standard for small cable system operators, which is “a cable operator that, directly or through an affiliate, serves in the aggregate fewer than 1 percent of all subscribers in the United States and is </w:t>
      </w:r>
      <w:r w:rsidRPr="00E61E4D">
        <w:rPr>
          <w:color w:val="000000" w:themeColor="text1"/>
          <w:szCs w:val="22"/>
        </w:rPr>
        <w:t>not</w:t>
      </w:r>
      <w:r w:rsidRPr="00E61E4D">
        <w:rPr>
          <w:color w:val="000000" w:themeColor="text1"/>
        </w:rPr>
        <w:t xml:space="preserve"> affiliated with any entity or entities whose gross annual revenues in the aggregate exceed $250,000,000.”</w:t>
      </w:r>
      <w:r w:rsidRPr="00E61E4D">
        <w:rPr>
          <w:rStyle w:val="FootnoteReference"/>
          <w:color w:val="000000" w:themeColor="text1"/>
          <w:szCs w:val="22"/>
        </w:rPr>
        <w:footnoteReference w:id="278"/>
      </w:r>
      <w:r w:rsidRPr="00E61E4D">
        <w:rPr>
          <w:color w:val="000000" w:themeColor="text1"/>
        </w:rPr>
        <w:t xml:space="preserve">  There are approximately 56.4 million incumbent cable video subscribers in the United States today.</w:t>
      </w:r>
      <w:r w:rsidRPr="00E61E4D">
        <w:rPr>
          <w:rStyle w:val="FootnoteReference"/>
          <w:color w:val="000000" w:themeColor="text1"/>
        </w:rPr>
        <w:footnoteReference w:id="279"/>
      </w:r>
      <w:r w:rsidRPr="00E61E4D">
        <w:rPr>
          <w:color w:val="000000" w:themeColor="text1"/>
        </w:rPr>
        <w:t xml:space="preserve">  Accordingly, an operator serving fewer than 564,000 subscribers shall be deemed a small operator if its annual revenues, when combined with the total annual revenues of all its affiliates, do not exceed $250 million in the aggregate.</w:t>
      </w:r>
      <w:r w:rsidRPr="00E61E4D">
        <w:rPr>
          <w:rStyle w:val="FootnoteReference"/>
          <w:color w:val="000000" w:themeColor="text1"/>
          <w:szCs w:val="22"/>
        </w:rPr>
        <w:footnoteReference w:id="280"/>
      </w:r>
      <w:r w:rsidRPr="00E61E4D">
        <w:rPr>
          <w:color w:val="000000" w:themeColor="text1"/>
        </w:rPr>
        <w:t xml:space="preserve">  Based on available data, we find that </w:t>
      </w:r>
      <w:r w:rsidRPr="00E61E4D">
        <w:rPr>
          <w:color w:val="000000" w:themeColor="text1"/>
          <w:szCs w:val="22"/>
        </w:rPr>
        <w:t>all but ten incumbent</w:t>
      </w:r>
      <w:r w:rsidRPr="00E61E4D">
        <w:rPr>
          <w:color w:val="000000" w:themeColor="text1"/>
        </w:rPr>
        <w:t xml:space="preserve"> </w:t>
      </w:r>
      <w:r w:rsidRPr="00E61E4D">
        <w:rPr>
          <w:color w:val="000000" w:themeColor="text1"/>
          <w:szCs w:val="22"/>
        </w:rPr>
        <w:t xml:space="preserve">cable operators are small entities </w:t>
      </w:r>
      <w:r w:rsidRPr="00E61E4D">
        <w:rPr>
          <w:color w:val="000000" w:themeColor="text1"/>
        </w:rPr>
        <w:t>under this size standard.</w:t>
      </w:r>
      <w:r w:rsidRPr="00E61E4D">
        <w:rPr>
          <w:rStyle w:val="FootnoteReference"/>
          <w:color w:val="000000" w:themeColor="text1"/>
          <w:szCs w:val="22"/>
        </w:rPr>
        <w:footnoteReference w:id="281"/>
      </w:r>
      <w:r w:rsidRPr="00E61E4D">
        <w:rPr>
          <w:color w:val="000000" w:themeColor="text1"/>
        </w:rPr>
        <w:t xml:space="preserve">  We note that the Commission neither requests nor collects information on whether cable system operators are affiliated with entities whose gross annual revenues exceed $250 million.</w:t>
      </w:r>
      <w:r w:rsidRPr="00E61E4D">
        <w:rPr>
          <w:rStyle w:val="FootnoteReference"/>
          <w:color w:val="000000" w:themeColor="text1"/>
        </w:rPr>
        <w:footnoteReference w:id="282"/>
      </w:r>
      <w:r w:rsidRPr="00E61E4D">
        <w:rPr>
          <w:color w:val="000000" w:themeColor="text1"/>
        </w:rPr>
        <w:t xml:space="preserve">  Although it seems certain that some of these cable system operators are affiliated with entities whose gross annual revenues exceed $250,000,000, we are </w:t>
      </w:r>
      <w:r w:rsidRPr="00E61E4D">
        <w:rPr>
          <w:color w:val="000000" w:themeColor="text1"/>
          <w:szCs w:val="22"/>
        </w:rPr>
        <w:t>unable</w:t>
      </w:r>
      <w:r w:rsidRPr="00E61E4D">
        <w:rPr>
          <w:color w:val="000000" w:themeColor="text1"/>
        </w:rPr>
        <w:t xml:space="preserve"> at this time to estimate with greater precision the number of cable system operators that would qualify as small cable operators under the definition in the Communications Act.</w:t>
      </w:r>
    </w:p>
    <w:p w:rsidR="00184229" w:rsidRPr="00E61E4D" w:rsidRDefault="00184229" w:rsidP="005E5F79">
      <w:pPr>
        <w:pStyle w:val="ParaNum"/>
        <w:widowControl/>
        <w:tabs>
          <w:tab w:val="num" w:pos="360"/>
          <w:tab w:val="num" w:pos="720"/>
        </w:tabs>
        <w:rPr>
          <w:color w:val="000000" w:themeColor="text1"/>
          <w:szCs w:val="22"/>
        </w:rPr>
      </w:pPr>
      <w:r w:rsidRPr="00E61E4D">
        <w:rPr>
          <w:i/>
          <w:color w:val="000000" w:themeColor="text1"/>
          <w:szCs w:val="22"/>
        </w:rPr>
        <w:t>Television Broadcasting</w:t>
      </w:r>
      <w:r w:rsidRPr="00E61E4D">
        <w:rPr>
          <w:color w:val="000000" w:themeColor="text1"/>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E61E4D">
        <w:rPr>
          <w:rStyle w:val="FootnoteReference"/>
          <w:color w:val="000000" w:themeColor="text1"/>
          <w:szCs w:val="22"/>
        </w:rPr>
        <w:footnoteReference w:id="283"/>
      </w:r>
      <w:r w:rsidRPr="00E61E4D">
        <w:rPr>
          <w:color w:val="000000" w:themeColor="text1"/>
          <w:szCs w:val="22"/>
        </w:rPr>
        <w:t xml:space="preserve">  The SBA has created the following small business size standard for</w:t>
      </w:r>
      <w:r w:rsidRPr="00E61E4D">
        <w:rPr>
          <w:color w:val="000000" w:themeColor="text1"/>
        </w:rPr>
        <w:t xml:space="preserve"> </w:t>
      </w:r>
      <w:r w:rsidRPr="00E61E4D">
        <w:rPr>
          <w:color w:val="000000" w:themeColor="text1"/>
          <w:szCs w:val="22"/>
        </w:rPr>
        <w:t>such businesses:  those having $3</w:t>
      </w:r>
      <w:r w:rsidR="000E6677" w:rsidRPr="00E61E4D">
        <w:rPr>
          <w:color w:val="000000" w:themeColor="text1"/>
          <w:szCs w:val="22"/>
        </w:rPr>
        <w:t>8</w:t>
      </w:r>
      <w:r w:rsidRPr="00E61E4D">
        <w:rPr>
          <w:color w:val="000000" w:themeColor="text1"/>
          <w:szCs w:val="22"/>
        </w:rPr>
        <w:t>.5 million or less in annual receipts.</w:t>
      </w:r>
      <w:r w:rsidRPr="00E61E4D">
        <w:rPr>
          <w:rStyle w:val="FootnoteReference"/>
          <w:color w:val="000000" w:themeColor="text1"/>
          <w:szCs w:val="22"/>
        </w:rPr>
        <w:footnoteReference w:id="284"/>
      </w:r>
      <w:r w:rsidRPr="00E61E4D">
        <w:rPr>
          <w:color w:val="000000" w:themeColor="text1"/>
          <w:szCs w:val="22"/>
        </w:rPr>
        <w:t xml:space="preserve">  The 2007 U.S. Census indicates that </w:t>
      </w:r>
      <w:r w:rsidR="000E6677" w:rsidRPr="00E61E4D">
        <w:rPr>
          <w:color w:val="000000" w:themeColor="text1"/>
        </w:rPr>
        <w:t>808 firms in this category operated in that year.  Of that number, 709 had annual receipts of $25,000,000 or less, and 99 had annual receipts of more than $25,000,000.</w:t>
      </w:r>
      <w:r w:rsidR="000E6677" w:rsidRPr="00E61E4D">
        <w:rPr>
          <w:rStyle w:val="FootnoteReference"/>
          <w:color w:val="000000" w:themeColor="text1"/>
        </w:rPr>
        <w:footnoteReference w:id="285"/>
      </w:r>
      <w:r w:rsidR="000E6677" w:rsidRPr="00E61E4D">
        <w:rPr>
          <w:color w:val="000000" w:themeColor="text1"/>
        </w:rPr>
        <w:t xml:space="preserve">  </w:t>
      </w:r>
      <w:r w:rsidRPr="00E61E4D">
        <w:rPr>
          <w:color w:val="000000" w:themeColor="text1"/>
          <w:szCs w:val="22"/>
        </w:rPr>
        <w:t>Since the Census has no additional classifications on the basis of which to identify the number of stations whose receipts exceeded $</w:t>
      </w:r>
      <w:r w:rsidR="000E6677" w:rsidRPr="00E61E4D">
        <w:rPr>
          <w:color w:val="000000" w:themeColor="text1"/>
          <w:szCs w:val="22"/>
        </w:rPr>
        <w:t>38</w:t>
      </w:r>
      <w:r w:rsidRPr="00E61E4D">
        <w:rPr>
          <w:color w:val="000000" w:themeColor="text1"/>
          <w:szCs w:val="22"/>
        </w:rPr>
        <w:t>.5 million in that year, the Commission concludes that the majority of television stations were small under the applicable SBA size standard.</w:t>
      </w:r>
    </w:p>
    <w:p w:rsidR="00195266" w:rsidRPr="00E61E4D" w:rsidRDefault="00195266" w:rsidP="005E5F79">
      <w:pPr>
        <w:pStyle w:val="ParaNum"/>
        <w:widowControl/>
        <w:tabs>
          <w:tab w:val="num" w:pos="450"/>
        </w:tabs>
        <w:rPr>
          <w:color w:val="000000" w:themeColor="text1"/>
        </w:rPr>
      </w:pPr>
      <w:r w:rsidRPr="00E61E4D">
        <w:rPr>
          <w:color w:val="000000" w:themeColor="text1"/>
        </w:rPr>
        <w:t>Apart from the U.S. Census, the Commission has estimated the number of licensed commercial television stations to be 1,387 stations.</w:t>
      </w:r>
      <w:r w:rsidRPr="00E61E4D">
        <w:rPr>
          <w:color w:val="000000" w:themeColor="text1"/>
          <w:sz w:val="20"/>
          <w:vertAlign w:val="superscript"/>
        </w:rPr>
        <w:footnoteReference w:id="286"/>
      </w:r>
      <w:r w:rsidRPr="00E61E4D">
        <w:rPr>
          <w:color w:val="000000" w:themeColor="text1"/>
        </w:rPr>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Pr="00E61E4D">
        <w:rPr>
          <w:color w:val="000000" w:themeColor="text1"/>
          <w:sz w:val="20"/>
          <w:szCs w:val="22"/>
          <w:vertAlign w:val="superscript"/>
        </w:rPr>
        <w:footnoteReference w:id="287"/>
      </w:r>
      <w:r w:rsidRPr="00E61E4D">
        <w:rPr>
          <w:color w:val="000000" w:themeColor="text1"/>
          <w:szCs w:val="22"/>
        </w:rPr>
        <w:t xml:space="preserve"> </w:t>
      </w:r>
      <w:r w:rsidRPr="00E61E4D">
        <w:rPr>
          <w:color w:val="000000" w:themeColor="text1"/>
        </w:rPr>
        <w:t xml:space="preserve"> NCE stations are non-profit, and therefore considered to be small entities.</w:t>
      </w:r>
      <w:r w:rsidRPr="00E61E4D">
        <w:rPr>
          <w:color w:val="000000" w:themeColor="text1"/>
          <w:sz w:val="20"/>
          <w:vertAlign w:val="superscript"/>
        </w:rPr>
        <w:footnoteReference w:id="288"/>
      </w:r>
      <w:r w:rsidRPr="00E61E4D">
        <w:rPr>
          <w:color w:val="000000" w:themeColor="text1"/>
        </w:rPr>
        <w:t xml:space="preserve">  Based on these data, we estimate that the majority of television broadcast stations are small entities.  </w:t>
      </w:r>
    </w:p>
    <w:p w:rsidR="00184229" w:rsidRPr="00E61E4D" w:rsidRDefault="00184229" w:rsidP="005E5F79">
      <w:pPr>
        <w:pStyle w:val="ParaNum"/>
        <w:widowControl/>
        <w:tabs>
          <w:tab w:val="num" w:pos="360"/>
          <w:tab w:val="num" w:pos="720"/>
        </w:tabs>
        <w:rPr>
          <w:color w:val="000000" w:themeColor="text1"/>
          <w:szCs w:val="22"/>
        </w:rPr>
      </w:pPr>
      <w:r w:rsidRPr="00E61E4D">
        <w:rPr>
          <w:color w:val="000000" w:themeColor="text1"/>
          <w:szCs w:val="22"/>
        </w:rPr>
        <w:t>We note, however, that in assessing whether a business concern qualifies as small under the above definition, business (control) affiliations</w:t>
      </w:r>
      <w:r w:rsidRPr="00E61E4D">
        <w:rPr>
          <w:color w:val="000000" w:themeColor="text1"/>
          <w:szCs w:val="22"/>
          <w:vertAlign w:val="superscript"/>
        </w:rPr>
        <w:footnoteReference w:id="289"/>
      </w:r>
      <w:r w:rsidRPr="00E61E4D">
        <w:rPr>
          <w:color w:val="000000" w:themeColor="text1"/>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184229" w:rsidRPr="00E61E4D" w:rsidRDefault="00184229" w:rsidP="005E5F79">
      <w:pPr>
        <w:pStyle w:val="ParaNum"/>
        <w:widowControl/>
        <w:tabs>
          <w:tab w:val="num" w:pos="360"/>
          <w:tab w:val="num" w:pos="720"/>
        </w:tabs>
        <w:rPr>
          <w:color w:val="000000" w:themeColor="text1"/>
          <w:szCs w:val="22"/>
        </w:rPr>
      </w:pPr>
      <w:r w:rsidRPr="00E61E4D">
        <w:rPr>
          <w:color w:val="000000" w:themeColor="text1"/>
          <w:szCs w:val="22"/>
        </w:rPr>
        <w:t>In addition, the Commission has estimated the number of licensed noncommercial educational (NCE) television stations to be 396.</w:t>
      </w:r>
      <w:r w:rsidRPr="00E61E4D">
        <w:rPr>
          <w:rStyle w:val="FootnoteReference"/>
          <w:color w:val="000000" w:themeColor="text1"/>
          <w:szCs w:val="22"/>
        </w:rPr>
        <w:footnoteReference w:id="290"/>
      </w:r>
      <w:r w:rsidRPr="00E61E4D">
        <w:rPr>
          <w:color w:val="000000" w:themeColor="text1"/>
          <w:szCs w:val="22"/>
        </w:rPr>
        <w:t xml:space="preserve">  These stations are non-profit, and therefore considered to be small entities.</w:t>
      </w:r>
      <w:r w:rsidRPr="00E61E4D">
        <w:rPr>
          <w:rStyle w:val="FootnoteReference"/>
          <w:color w:val="000000" w:themeColor="text1"/>
          <w:szCs w:val="22"/>
        </w:rPr>
        <w:footnoteReference w:id="291"/>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szCs w:val="22"/>
        </w:rPr>
        <w:t>Direct Broadcast Satellite (DBS) Service.</w:t>
      </w:r>
      <w:r w:rsidRPr="00E61E4D">
        <w:rPr>
          <w:color w:val="000000" w:themeColor="text1"/>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E61E4D">
        <w:rPr>
          <w:rStyle w:val="FootnoteReference"/>
          <w:color w:val="000000" w:themeColor="text1"/>
          <w:szCs w:val="22"/>
        </w:rPr>
        <w:footnoteReference w:id="292"/>
      </w:r>
      <w:r w:rsidRPr="00E61E4D">
        <w:rPr>
          <w:color w:val="000000" w:themeColor="text1"/>
          <w:szCs w:val="22"/>
        </w:rPr>
        <w:t xml:space="preserve"> which was developed for small wireline</w:t>
      </w:r>
      <w:r w:rsidRPr="00E61E4D">
        <w:rPr>
          <w:color w:val="000000" w:themeColor="text1"/>
        </w:rPr>
        <w:t xml:space="preserve"> </w:t>
      </w:r>
      <w:r w:rsidRPr="00E61E4D">
        <w:rPr>
          <w:color w:val="000000" w:themeColor="text1"/>
          <w:szCs w:val="22"/>
        </w:rPr>
        <w:t>businesses.  Under this category, the SBA deems a wireline business to be small if it has 1,500 or fewer employees.</w:t>
      </w:r>
      <w:r w:rsidRPr="00E61E4D">
        <w:rPr>
          <w:rStyle w:val="FootnoteReference"/>
          <w:color w:val="000000" w:themeColor="text1"/>
          <w:szCs w:val="22"/>
        </w:rPr>
        <w:footnoteReference w:id="293"/>
      </w:r>
      <w:r w:rsidRPr="00E61E4D">
        <w:rPr>
          <w:color w:val="000000" w:themeColor="text1"/>
          <w:szCs w:val="22"/>
        </w:rPr>
        <w:t xml:space="preserve">  </w:t>
      </w:r>
      <w:r w:rsidRPr="00E61E4D">
        <w:rPr>
          <w:color w:val="000000" w:themeColor="text1"/>
        </w:rPr>
        <w:t xml:space="preserve">Census data for 2007 shows that there were </w:t>
      </w:r>
      <w:r w:rsidR="00195266" w:rsidRPr="00E61E4D">
        <w:rPr>
          <w:color w:val="000000" w:themeColor="text1"/>
        </w:rPr>
        <w:t>3,188 firms</w:t>
      </w:r>
      <w:r w:rsidRPr="00E61E4D">
        <w:rPr>
          <w:color w:val="000000" w:themeColor="text1"/>
        </w:rPr>
        <w:t xml:space="preserve"> that operated </w:t>
      </w:r>
      <w:r w:rsidR="00195266" w:rsidRPr="00E61E4D">
        <w:rPr>
          <w:color w:val="000000" w:themeColor="text1"/>
        </w:rPr>
        <w:t xml:space="preserve">for </w:t>
      </w:r>
      <w:r w:rsidRPr="00E61E4D">
        <w:rPr>
          <w:color w:val="000000" w:themeColor="text1"/>
        </w:rPr>
        <w:t xml:space="preserve">that </w:t>
      </w:r>
      <w:r w:rsidR="00195266" w:rsidRPr="00E61E4D">
        <w:rPr>
          <w:color w:val="000000" w:themeColor="text1"/>
        </w:rPr>
        <w:t>entire</w:t>
      </w:r>
      <w:r w:rsidRPr="00E61E4D">
        <w:rPr>
          <w:color w:val="000000" w:themeColor="text1"/>
        </w:rPr>
        <w:t xml:space="preserve"> year.</w:t>
      </w:r>
      <w:r w:rsidRPr="00E61E4D">
        <w:rPr>
          <w:rStyle w:val="FootnoteReference"/>
          <w:color w:val="000000" w:themeColor="text1"/>
        </w:rPr>
        <w:footnoteReference w:id="294"/>
      </w:r>
      <w:r w:rsidRPr="00E61E4D">
        <w:rPr>
          <w:color w:val="000000" w:themeColor="text1"/>
        </w:rPr>
        <w:t xml:space="preserve">  Of this total, </w:t>
      </w:r>
      <w:r w:rsidR="00195266" w:rsidRPr="00E61E4D">
        <w:rPr>
          <w:color w:val="000000" w:themeColor="text1"/>
        </w:rPr>
        <w:t>2,940 firms</w:t>
      </w:r>
      <w:r w:rsidRPr="00E61E4D">
        <w:rPr>
          <w:color w:val="000000" w:themeColor="text1"/>
        </w:rPr>
        <w:t xml:space="preserve"> had fewer than 100 employees, and </w:t>
      </w:r>
      <w:r w:rsidR="00195266" w:rsidRPr="00E61E4D">
        <w:rPr>
          <w:color w:val="000000" w:themeColor="text1"/>
        </w:rPr>
        <w:t>248</w:t>
      </w:r>
      <w:r w:rsidRPr="00E61E4D">
        <w:rPr>
          <w:color w:val="000000" w:themeColor="text1"/>
        </w:rPr>
        <w:t xml:space="preserve"> </w:t>
      </w:r>
      <w:r w:rsidR="00195266" w:rsidRPr="00E61E4D">
        <w:rPr>
          <w:color w:val="000000" w:themeColor="text1"/>
        </w:rPr>
        <w:t xml:space="preserve">firms </w:t>
      </w:r>
      <w:r w:rsidRPr="00E61E4D">
        <w:rPr>
          <w:color w:val="000000" w:themeColor="text1"/>
        </w:rPr>
        <w:t>had 100 or more employees.</w:t>
      </w:r>
      <w:r w:rsidRPr="00E61E4D">
        <w:rPr>
          <w:rStyle w:val="FootnoteReference"/>
          <w:color w:val="000000" w:themeColor="text1"/>
        </w:rPr>
        <w:footnoteReference w:id="295"/>
      </w:r>
      <w:r w:rsidRPr="00E61E4D">
        <w:rPr>
          <w:color w:val="000000" w:themeColor="text1"/>
        </w:rPr>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w:t>
      </w:r>
      <w:r w:rsidR="00195266" w:rsidRPr="00E61E4D">
        <w:rPr>
          <w:color w:val="000000" w:themeColor="text1"/>
        </w:rPr>
        <w:t>As of 2002, the SBA defined a small</w:t>
      </w:r>
      <w:r w:rsidRPr="00E61E4D">
        <w:rPr>
          <w:color w:val="000000" w:themeColor="text1"/>
        </w:rPr>
        <w:t xml:space="preserve"> Cable and Other Program Distribution </w:t>
      </w:r>
      <w:r w:rsidR="00195266" w:rsidRPr="00E61E4D">
        <w:rPr>
          <w:color w:val="000000" w:themeColor="text1"/>
        </w:rPr>
        <w:t>provider as</w:t>
      </w:r>
      <w:r w:rsidRPr="00E61E4D">
        <w:rPr>
          <w:color w:val="000000" w:themeColor="text1"/>
        </w:rPr>
        <w:t xml:space="preserve"> one with $12.5 million or less in annual receipts.</w:t>
      </w:r>
      <w:r w:rsidRPr="00E61E4D">
        <w:rPr>
          <w:rStyle w:val="FootnoteReference"/>
          <w:color w:val="000000" w:themeColor="text1"/>
        </w:rPr>
        <w:footnoteReference w:id="296"/>
      </w:r>
      <w:r w:rsidRPr="00E61E4D">
        <w:rPr>
          <w:color w:val="000000" w:themeColor="text1"/>
          <w:szCs w:val="22"/>
        </w:rPr>
        <w:t xml:space="preserve">  Currently, only two entities provide DBS service, which requires a great investment of capital for operation:  DIRECTV and DISH Network.</w:t>
      </w:r>
      <w:r w:rsidRPr="00E61E4D">
        <w:rPr>
          <w:rStyle w:val="FootnoteReference"/>
          <w:color w:val="000000" w:themeColor="text1"/>
          <w:szCs w:val="22"/>
        </w:rPr>
        <w:footnoteReference w:id="297"/>
      </w:r>
      <w:r w:rsidRPr="00E61E4D">
        <w:rPr>
          <w:color w:val="000000" w:themeColor="text1"/>
          <w:szCs w:val="22"/>
        </w:rPr>
        <w:t xml:space="preserve">  Each currently </w:t>
      </w:r>
      <w:r w:rsidR="001175E5" w:rsidRPr="00E61E4D">
        <w:rPr>
          <w:color w:val="000000" w:themeColor="text1"/>
          <w:szCs w:val="22"/>
        </w:rPr>
        <w:t>offers</w:t>
      </w:r>
      <w:r w:rsidRPr="00E61E4D">
        <w:rPr>
          <w:color w:val="000000" w:themeColor="text1"/>
          <w:szCs w:val="22"/>
        </w:rPr>
        <w:t xml:space="preserve"> subscription services.  DIRECTV and DISH Network each report annual revenues that are in excess of the threshold for a small business.  Because DBS service requires significant capital, we believe it is unlikely that a small entity as defined under the </w:t>
      </w:r>
      <w:r w:rsidRPr="00E61E4D">
        <w:rPr>
          <w:color w:val="000000" w:themeColor="text1"/>
        </w:rPr>
        <w:t>superseded SBA size standard</w:t>
      </w:r>
      <w:r w:rsidRPr="00E61E4D">
        <w:rPr>
          <w:color w:val="000000" w:themeColor="text1"/>
          <w:szCs w:val="22"/>
        </w:rPr>
        <w:t xml:space="preserve"> would have the financial wherewithal to become a DBS service provider.  </w:t>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szCs w:val="22"/>
        </w:rPr>
        <w:t>Satellite Master Antenna Television (SMATV) Systems, also known as Private Cable Operators (PCOs)</w:t>
      </w:r>
      <w:r w:rsidRPr="00E61E4D">
        <w:rPr>
          <w:color w:val="000000" w:themeColor="text1"/>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E61E4D">
        <w:rPr>
          <w:rStyle w:val="FootnoteReference"/>
          <w:color w:val="000000" w:themeColor="text1"/>
          <w:szCs w:val="22"/>
        </w:rPr>
        <w:footnoteReference w:id="298"/>
      </w:r>
      <w:r w:rsidRPr="00E61E4D">
        <w:rPr>
          <w:color w:val="000000" w:themeColor="text1"/>
          <w:szCs w:val="22"/>
        </w:rPr>
        <w:t xml:space="preserve"> which was developed for small wireline businesses.  Under this category, the SBA deems a wireline business to be small if it has 1,500 or fewer employees.</w:t>
      </w:r>
      <w:r w:rsidRPr="00E61E4D">
        <w:rPr>
          <w:rStyle w:val="FootnoteReference"/>
          <w:color w:val="000000" w:themeColor="text1"/>
          <w:szCs w:val="22"/>
        </w:rPr>
        <w:footnoteReference w:id="299"/>
      </w:r>
      <w:r w:rsidRPr="00E61E4D">
        <w:rPr>
          <w:color w:val="000000" w:themeColor="text1"/>
          <w:szCs w:val="22"/>
        </w:rPr>
        <w:t xml:space="preserve">  </w:t>
      </w:r>
      <w:r w:rsidRPr="00E61E4D">
        <w:rPr>
          <w:color w:val="000000" w:themeColor="text1"/>
        </w:rPr>
        <w:t xml:space="preserve">Census data for 2007 </w:t>
      </w:r>
      <w:r w:rsidR="00195266" w:rsidRPr="00E61E4D">
        <w:rPr>
          <w:color w:val="000000" w:themeColor="text1"/>
        </w:rPr>
        <w:t>shows that there were 3,188 firms that operated for that entire year.</w:t>
      </w:r>
      <w:r w:rsidR="00195266" w:rsidRPr="00E61E4D">
        <w:rPr>
          <w:rStyle w:val="FootnoteReference"/>
          <w:color w:val="000000" w:themeColor="text1"/>
        </w:rPr>
        <w:footnoteReference w:id="300"/>
      </w:r>
      <w:r w:rsidR="00195266" w:rsidRPr="00E61E4D">
        <w:rPr>
          <w:color w:val="000000" w:themeColor="text1"/>
        </w:rPr>
        <w:t xml:space="preserve">  Of this total, 2,940 firms had fewer than 100 employees, and 248 firms had 100 or more employees.</w:t>
      </w:r>
      <w:r w:rsidR="00195266" w:rsidRPr="00E61E4D">
        <w:rPr>
          <w:rStyle w:val="FootnoteReference"/>
          <w:color w:val="000000" w:themeColor="text1"/>
        </w:rPr>
        <w:footnoteReference w:id="301"/>
      </w:r>
      <w:r w:rsidR="00195266" w:rsidRPr="00E61E4D">
        <w:rPr>
          <w:color w:val="000000" w:themeColor="text1"/>
        </w:rPr>
        <w:t xml:space="preserve">  </w:t>
      </w:r>
      <w:r w:rsidRPr="00E61E4D">
        <w:rPr>
          <w:color w:val="000000" w:themeColor="text1"/>
        </w:rPr>
        <w:t>Therefore, under this size standard, the majority of such businesses can be considered small entities.</w:t>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rPr>
        <w:t>Home Satellite Dish (HSD) Service.</w:t>
      </w:r>
      <w:r w:rsidRPr="00E61E4D">
        <w:rPr>
          <w:color w:val="000000" w:themeColor="text1"/>
        </w:rPr>
        <w:t xml:space="preserve">  HSD or the large dish segment of the satellite industry is the original satellite-to-home service offered to consumers, and involves the home reception of signals transmitted by </w:t>
      </w:r>
      <w:r w:rsidRPr="00E61E4D">
        <w:rPr>
          <w:color w:val="000000" w:themeColor="text1"/>
          <w:szCs w:val="22"/>
        </w:rPr>
        <w:t>satellites</w:t>
      </w:r>
      <w:r w:rsidRPr="00E61E4D">
        <w:rPr>
          <w:color w:val="000000" w:themeColor="text1"/>
        </w:rPr>
        <w:t xml:space="preserve">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sidRPr="00E61E4D">
        <w:rPr>
          <w:rStyle w:val="FootnoteReference"/>
          <w:color w:val="000000" w:themeColor="text1"/>
          <w:szCs w:val="22"/>
        </w:rPr>
        <w:footnoteReference w:id="302"/>
      </w:r>
      <w:r w:rsidRPr="00E61E4D">
        <w:rPr>
          <w:color w:val="000000" w:themeColor="text1"/>
        </w:rPr>
        <w:t xml:space="preserve">  The SBA has developed a small business size standard for this category, which is:  all such businesses having 1,500 or fewer employees.</w:t>
      </w:r>
      <w:r w:rsidRPr="00E61E4D">
        <w:rPr>
          <w:rStyle w:val="FootnoteReference"/>
          <w:color w:val="000000" w:themeColor="text1"/>
        </w:rPr>
        <w:footnoteReference w:id="303"/>
      </w:r>
      <w:r w:rsidRPr="00E61E4D">
        <w:rPr>
          <w:color w:val="000000" w:themeColor="text1"/>
        </w:rPr>
        <w:t xml:space="preserve">  Census data for 2007 </w:t>
      </w:r>
      <w:r w:rsidR="00195266" w:rsidRPr="00E61E4D">
        <w:rPr>
          <w:color w:val="000000" w:themeColor="text1"/>
        </w:rPr>
        <w:t>shows that there were 3,188 firms that operated for that entire year.</w:t>
      </w:r>
      <w:r w:rsidR="00195266" w:rsidRPr="00E61E4D">
        <w:rPr>
          <w:rStyle w:val="FootnoteReference"/>
          <w:color w:val="000000" w:themeColor="text1"/>
        </w:rPr>
        <w:footnoteReference w:id="304"/>
      </w:r>
      <w:r w:rsidR="00195266" w:rsidRPr="00E61E4D">
        <w:rPr>
          <w:color w:val="000000" w:themeColor="text1"/>
        </w:rPr>
        <w:t xml:space="preserve">  Of this total, 2,940 firms had fewer than 100 employees, and 248 firms had 100 or more employees.</w:t>
      </w:r>
      <w:r w:rsidR="00195266" w:rsidRPr="00E61E4D">
        <w:rPr>
          <w:rStyle w:val="FootnoteReference"/>
          <w:color w:val="000000" w:themeColor="text1"/>
        </w:rPr>
        <w:footnoteReference w:id="305"/>
      </w:r>
      <w:r w:rsidR="00195266" w:rsidRPr="00E61E4D">
        <w:rPr>
          <w:color w:val="000000" w:themeColor="text1"/>
        </w:rPr>
        <w:t xml:space="preserve">  </w:t>
      </w:r>
      <w:r w:rsidRPr="00E61E4D">
        <w:rPr>
          <w:color w:val="000000" w:themeColor="text1"/>
        </w:rPr>
        <w:t>Therefore, under this size standard, the majority of such businesses can be considered small entities.</w:t>
      </w:r>
    </w:p>
    <w:p w:rsidR="00184229" w:rsidRPr="00E61E4D" w:rsidRDefault="00184229" w:rsidP="005E5F79">
      <w:pPr>
        <w:pStyle w:val="ParaNum"/>
        <w:widowControl/>
        <w:tabs>
          <w:tab w:val="num" w:pos="360"/>
          <w:tab w:val="num" w:pos="720"/>
        </w:tabs>
        <w:rPr>
          <w:color w:val="000000" w:themeColor="text1"/>
        </w:rPr>
      </w:pPr>
      <w:r w:rsidRPr="00E61E4D">
        <w:rPr>
          <w:i/>
          <w:iCs/>
          <w:color w:val="000000" w:themeColor="text1"/>
        </w:rPr>
        <w:t>Open Video Systems.</w:t>
      </w:r>
      <w:r w:rsidRPr="00E61E4D">
        <w:rPr>
          <w:color w:val="000000" w:themeColor="text1"/>
        </w:rPr>
        <w:t>  The open video system (OVS) framework was established in 1996, and is one of four statutorily recognized options for the provision of video programming services by local exchange carriers.</w:t>
      </w:r>
      <w:r w:rsidRPr="00E61E4D">
        <w:rPr>
          <w:rStyle w:val="FootnoteReference"/>
          <w:color w:val="000000" w:themeColor="text1"/>
        </w:rPr>
        <w:footnoteReference w:id="306"/>
      </w:r>
      <w:r w:rsidRPr="00E61E4D">
        <w:rPr>
          <w:color w:val="000000" w:themeColor="text1"/>
        </w:rPr>
        <w:t>  The OVS framework provides opportunities for the distribution of video programming other than through cable systems.  Because OVS operators provide subscription services,</w:t>
      </w:r>
      <w:r w:rsidRPr="00E61E4D">
        <w:rPr>
          <w:rStyle w:val="FootnoteReference"/>
          <w:color w:val="000000" w:themeColor="text1"/>
        </w:rPr>
        <w:footnoteReference w:id="307"/>
      </w:r>
      <w:r w:rsidRPr="00E61E4D">
        <w:rPr>
          <w:color w:val="000000" w:themeColor="text1"/>
        </w:rPr>
        <w:t xml:space="preserve"> OVS falls within the SBA small business size standard covering cable services, which is “Wired Telecommunications Carriers.”</w:t>
      </w:r>
      <w:r w:rsidRPr="00E61E4D">
        <w:rPr>
          <w:rStyle w:val="FootnoteReference"/>
          <w:color w:val="000000" w:themeColor="text1"/>
        </w:rPr>
        <w:footnoteReference w:id="308"/>
      </w:r>
      <w:r w:rsidRPr="00E61E4D">
        <w:rPr>
          <w:color w:val="000000" w:themeColor="text1"/>
        </w:rPr>
        <w:t>  The SBA has developed a small business size standard for this category, which is:  all such businesses having 1,500 or fewer employees.</w:t>
      </w:r>
      <w:r w:rsidRPr="00E61E4D">
        <w:rPr>
          <w:rStyle w:val="FootnoteReference"/>
          <w:color w:val="000000" w:themeColor="text1"/>
        </w:rPr>
        <w:footnoteReference w:id="309"/>
      </w:r>
      <w:r w:rsidRPr="00E61E4D">
        <w:rPr>
          <w:color w:val="000000" w:themeColor="text1"/>
        </w:rPr>
        <w:t xml:space="preserve">  Census data for 2007 shows that there were </w:t>
      </w:r>
      <w:r w:rsidR="00195266" w:rsidRPr="00E61E4D">
        <w:rPr>
          <w:color w:val="000000" w:themeColor="text1"/>
        </w:rPr>
        <w:t>3,188 firms that operated for that entire year.</w:t>
      </w:r>
      <w:r w:rsidR="00195266" w:rsidRPr="00E61E4D">
        <w:rPr>
          <w:rStyle w:val="FootnoteReference"/>
          <w:color w:val="000000" w:themeColor="text1"/>
        </w:rPr>
        <w:footnoteReference w:id="310"/>
      </w:r>
      <w:r w:rsidR="00195266" w:rsidRPr="00E61E4D">
        <w:rPr>
          <w:color w:val="000000" w:themeColor="text1"/>
        </w:rPr>
        <w:t xml:space="preserve">  Of this total, 2,940 firms had fewer than 100 employees, and 248 firms had 100 or more employees.</w:t>
      </w:r>
      <w:r w:rsidR="00195266" w:rsidRPr="00E61E4D">
        <w:rPr>
          <w:rStyle w:val="FootnoteReference"/>
          <w:color w:val="000000" w:themeColor="text1"/>
        </w:rPr>
        <w:footnoteReference w:id="311"/>
      </w:r>
      <w:r w:rsidR="00195266" w:rsidRPr="00E61E4D">
        <w:rPr>
          <w:color w:val="000000" w:themeColor="text1"/>
        </w:rPr>
        <w:t xml:space="preserve">  </w:t>
      </w:r>
      <w:r w:rsidRPr="00E61E4D">
        <w:rPr>
          <w:color w:val="000000" w:themeColor="text1"/>
        </w:rPr>
        <w:t>Therefore, under this size standard, we estimate that the majority of these businesses can be considered small entities.  In addition, we note that the Commission has certified some OVS operators, with some now providing service.</w:t>
      </w:r>
      <w:r w:rsidRPr="00E61E4D">
        <w:rPr>
          <w:rStyle w:val="FootnoteReference"/>
          <w:color w:val="000000" w:themeColor="text1"/>
        </w:rPr>
        <w:footnoteReference w:id="312"/>
      </w:r>
      <w:r w:rsidRPr="00E61E4D">
        <w:rPr>
          <w:color w:val="000000" w:themeColor="text1"/>
        </w:rPr>
        <w:t>  Broadband service providers (BSPs) are currently the only significant holders of OVS certifications or local OVS franchises.</w:t>
      </w:r>
      <w:r w:rsidRPr="00E61E4D">
        <w:rPr>
          <w:rStyle w:val="FootnoteReference"/>
          <w:color w:val="000000" w:themeColor="text1"/>
        </w:rPr>
        <w:footnoteReference w:id="313"/>
      </w:r>
      <w:r w:rsidRPr="00E61E4D">
        <w:rPr>
          <w:color w:val="000000" w:themeColor="text1"/>
        </w:rPr>
        <w:t>  The Commission does not have financial or employment information regarding the other entities authorized to provide OVS, some of which may not yet be operational.  Thus, again, at least some of the OVS operators may qualify as small entities.</w:t>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rPr>
        <w:t>Cable and Other Subscription Programming.</w:t>
      </w:r>
      <w:r w:rsidRPr="00E61E4D">
        <w:rPr>
          <w:color w:val="000000" w:themeColor="text1"/>
        </w:rPr>
        <w:t xml:space="preserve">  The Census Bureau defines this category as follows: “This industry comprises establishments primarily engaged in operating studios and facilities for the broadcasting of programs on a subscription or fee basis. . . . These establishments produce programming in their own facilities or acquire programming from external sources.  The programming material is usually delivered to a third party, such as cable systems or direct-to-home satellite systems, for transmission to viewers.”</w:t>
      </w:r>
      <w:r w:rsidRPr="00E61E4D">
        <w:rPr>
          <w:rStyle w:val="FootnoteReference"/>
          <w:color w:val="000000" w:themeColor="text1"/>
          <w:szCs w:val="22"/>
        </w:rPr>
        <w:footnoteReference w:id="314"/>
      </w:r>
      <w:r w:rsidRPr="00E61E4D">
        <w:rPr>
          <w:color w:val="000000" w:themeColor="text1"/>
        </w:rPr>
        <w:t xml:space="preserve">  The SBA has developed a small business size standard for this category, which is:  all such businesses having $</w:t>
      </w:r>
      <w:r w:rsidR="00195266" w:rsidRPr="00E61E4D">
        <w:rPr>
          <w:color w:val="000000" w:themeColor="text1"/>
        </w:rPr>
        <w:t>38</w:t>
      </w:r>
      <w:r w:rsidRPr="00E61E4D">
        <w:rPr>
          <w:color w:val="000000" w:themeColor="text1"/>
        </w:rPr>
        <w:t>.5 million dollars or less in annual revenues.</w:t>
      </w:r>
      <w:r w:rsidRPr="00E61E4D">
        <w:rPr>
          <w:rStyle w:val="FootnoteReference"/>
          <w:color w:val="000000" w:themeColor="text1"/>
        </w:rPr>
        <w:footnoteReference w:id="315"/>
      </w:r>
      <w:r w:rsidRPr="00E61E4D">
        <w:rPr>
          <w:color w:val="000000" w:themeColor="text1"/>
        </w:rPr>
        <w:t xml:space="preserve">  Census data for 2007 show that there were </w:t>
      </w:r>
      <w:r w:rsidR="007862BC" w:rsidRPr="00E61E4D">
        <w:rPr>
          <w:color w:val="000000" w:themeColor="text1"/>
        </w:rPr>
        <w:t>396 firms</w:t>
      </w:r>
      <w:r w:rsidRPr="00E61E4D">
        <w:rPr>
          <w:color w:val="000000" w:themeColor="text1"/>
        </w:rPr>
        <w:t xml:space="preserve"> that operated </w:t>
      </w:r>
      <w:r w:rsidR="007862BC" w:rsidRPr="00E61E4D">
        <w:rPr>
          <w:color w:val="000000" w:themeColor="text1"/>
        </w:rPr>
        <w:t xml:space="preserve">for </w:t>
      </w:r>
      <w:r w:rsidRPr="00E61E4D">
        <w:rPr>
          <w:color w:val="000000" w:themeColor="text1"/>
        </w:rPr>
        <w:t xml:space="preserve">that </w:t>
      </w:r>
      <w:r w:rsidR="007862BC" w:rsidRPr="00E61E4D">
        <w:rPr>
          <w:color w:val="000000" w:themeColor="text1"/>
        </w:rPr>
        <w:t>entire</w:t>
      </w:r>
      <w:r w:rsidRPr="00E61E4D">
        <w:rPr>
          <w:color w:val="000000" w:themeColor="text1"/>
        </w:rPr>
        <w:t xml:space="preserve"> year.</w:t>
      </w:r>
      <w:r w:rsidRPr="00E61E4D">
        <w:rPr>
          <w:rStyle w:val="FootnoteReference"/>
          <w:color w:val="000000" w:themeColor="text1"/>
          <w:szCs w:val="22"/>
        </w:rPr>
        <w:footnoteReference w:id="316"/>
      </w:r>
      <w:r w:rsidRPr="00E61E4D">
        <w:rPr>
          <w:color w:val="000000" w:themeColor="text1"/>
        </w:rPr>
        <w:t xml:space="preserve">  Of that number, </w:t>
      </w:r>
      <w:r w:rsidR="007862BC" w:rsidRPr="00E61E4D">
        <w:rPr>
          <w:color w:val="000000" w:themeColor="text1"/>
        </w:rPr>
        <w:t xml:space="preserve">349 </w:t>
      </w:r>
      <w:r w:rsidRPr="00E61E4D">
        <w:rPr>
          <w:color w:val="000000" w:themeColor="text1"/>
        </w:rPr>
        <w:t>operated with annual revenues of $</w:t>
      </w:r>
      <w:r w:rsidR="007862BC" w:rsidRPr="00E61E4D">
        <w:rPr>
          <w:color w:val="000000" w:themeColor="text1"/>
        </w:rPr>
        <w:t>24</w:t>
      </w:r>
      <w:r w:rsidRPr="00E61E4D">
        <w:rPr>
          <w:color w:val="000000" w:themeColor="text1"/>
        </w:rPr>
        <w:t>,999,999 dollars or less.</w:t>
      </w:r>
      <w:r w:rsidRPr="00E61E4D">
        <w:rPr>
          <w:rStyle w:val="FootnoteReference"/>
          <w:color w:val="000000" w:themeColor="text1"/>
          <w:szCs w:val="22"/>
        </w:rPr>
        <w:footnoteReference w:id="317"/>
      </w:r>
      <w:r w:rsidRPr="00E61E4D">
        <w:rPr>
          <w:color w:val="000000" w:themeColor="text1"/>
        </w:rPr>
        <w:t xml:space="preserve">  </w:t>
      </w:r>
      <w:r w:rsidR="007862BC" w:rsidRPr="00E61E4D">
        <w:rPr>
          <w:color w:val="000000" w:themeColor="text1"/>
        </w:rPr>
        <w:t>Forty</w:t>
      </w:r>
      <w:r w:rsidRPr="00E61E4D">
        <w:rPr>
          <w:color w:val="000000" w:themeColor="text1"/>
        </w:rPr>
        <w:t>-seven (</w:t>
      </w:r>
      <w:r w:rsidR="007862BC" w:rsidRPr="00E61E4D">
        <w:rPr>
          <w:color w:val="000000" w:themeColor="text1"/>
        </w:rPr>
        <w:t>4</w:t>
      </w:r>
      <w:r w:rsidRPr="00E61E4D">
        <w:rPr>
          <w:color w:val="000000" w:themeColor="text1"/>
        </w:rPr>
        <w:t xml:space="preserve">7) operated with annual revenues of </w:t>
      </w:r>
      <w:r w:rsidR="007862BC" w:rsidRPr="00E61E4D">
        <w:rPr>
          <w:color w:val="000000" w:themeColor="text1"/>
        </w:rPr>
        <w:t>$25,000,000 or greater</w:t>
      </w:r>
      <w:r w:rsidRPr="00E61E4D">
        <w:rPr>
          <w:rStyle w:val="FootnoteReference"/>
          <w:color w:val="000000" w:themeColor="text1"/>
          <w:szCs w:val="22"/>
        </w:rPr>
        <w:footnoteReference w:id="318"/>
      </w:r>
      <w:r w:rsidRPr="00E61E4D">
        <w:rPr>
          <w:color w:val="000000" w:themeColor="text1"/>
        </w:rPr>
        <w:t xml:space="preserve">  Thus, under this size standard, the majority of such businesses can be considered small entities. </w:t>
      </w:r>
      <w:r w:rsidRPr="00E61E4D">
        <w:rPr>
          <w:color w:val="000000" w:themeColor="text1"/>
        </w:rPr>
        <w:tab/>
      </w:r>
    </w:p>
    <w:p w:rsidR="00184229" w:rsidRPr="00E61E4D" w:rsidRDefault="00184229" w:rsidP="005E5F79">
      <w:pPr>
        <w:pStyle w:val="ParaNum"/>
        <w:widowControl/>
        <w:tabs>
          <w:tab w:val="num" w:pos="360"/>
          <w:tab w:val="num" w:pos="720"/>
        </w:tabs>
        <w:rPr>
          <w:color w:val="000000" w:themeColor="text1"/>
        </w:rPr>
      </w:pPr>
      <w:r w:rsidRPr="00E61E4D">
        <w:rPr>
          <w:i/>
          <w:color w:val="000000" w:themeColor="text1"/>
          <w:szCs w:val="22"/>
        </w:rPr>
        <w:t>Motion Picture and Video Production.</w:t>
      </w:r>
      <w:r w:rsidRPr="00E61E4D">
        <w:rPr>
          <w:color w:val="000000" w:themeColor="text1"/>
          <w:szCs w:val="22"/>
        </w:rPr>
        <w:t xml:space="preserve">  These entities may be indirectly affected by our action.  The Census Bureau defines this category as follows:  “This industry comprises establishments primarily engaged in producing, or producing and distributing motion pictures, videos, television programs, or television commercials.”</w:t>
      </w:r>
      <w:r w:rsidRPr="00E61E4D">
        <w:rPr>
          <w:rStyle w:val="FootnoteReference"/>
          <w:color w:val="000000" w:themeColor="text1"/>
          <w:szCs w:val="22"/>
        </w:rPr>
        <w:footnoteReference w:id="319"/>
      </w:r>
      <w:r w:rsidRPr="00E61E4D">
        <w:rPr>
          <w:color w:val="000000" w:themeColor="text1"/>
          <w:szCs w:val="22"/>
        </w:rPr>
        <w:t xml:space="preserve">  We note that establishments in this category may be engaged in various industries, including cable programming.  The SBA has developed a small business size standard for this category, which is:  all such businesses having $</w:t>
      </w:r>
      <w:r w:rsidR="001615C5" w:rsidRPr="00E61E4D">
        <w:rPr>
          <w:color w:val="000000" w:themeColor="text1"/>
          <w:szCs w:val="22"/>
        </w:rPr>
        <w:t xml:space="preserve">32.5 </w:t>
      </w:r>
      <w:r w:rsidRPr="00E61E4D">
        <w:rPr>
          <w:color w:val="000000" w:themeColor="text1"/>
          <w:szCs w:val="22"/>
        </w:rPr>
        <w:t>million dollars or less in annual revenues.</w:t>
      </w:r>
      <w:r w:rsidRPr="00E61E4D">
        <w:rPr>
          <w:rStyle w:val="FootnoteReference"/>
          <w:color w:val="000000" w:themeColor="text1"/>
          <w:szCs w:val="22"/>
        </w:rPr>
        <w:footnoteReference w:id="320"/>
      </w:r>
      <w:r w:rsidRPr="00E61E4D">
        <w:rPr>
          <w:color w:val="000000" w:themeColor="text1"/>
          <w:szCs w:val="22"/>
        </w:rPr>
        <w:t xml:space="preserve">  Census data for 2007 show that there were </w:t>
      </w:r>
      <w:r w:rsidR="001615C5" w:rsidRPr="00E61E4D">
        <w:rPr>
          <w:color w:val="000000" w:themeColor="text1"/>
          <w:szCs w:val="22"/>
        </w:rPr>
        <w:t>9,095 firms</w:t>
      </w:r>
      <w:r w:rsidRPr="00E61E4D">
        <w:rPr>
          <w:color w:val="000000" w:themeColor="text1"/>
          <w:szCs w:val="22"/>
        </w:rPr>
        <w:t xml:space="preserve"> that that operated that year.</w:t>
      </w:r>
      <w:r w:rsidRPr="00E61E4D">
        <w:rPr>
          <w:rStyle w:val="FootnoteReference"/>
          <w:color w:val="000000" w:themeColor="text1"/>
          <w:szCs w:val="22"/>
        </w:rPr>
        <w:footnoteReference w:id="321"/>
      </w:r>
      <w:r w:rsidRPr="00E61E4D">
        <w:rPr>
          <w:color w:val="000000" w:themeColor="text1"/>
          <w:szCs w:val="22"/>
        </w:rPr>
        <w:t xml:space="preserve">  Of that number, </w:t>
      </w:r>
      <w:r w:rsidR="005176FA" w:rsidRPr="00E61E4D">
        <w:rPr>
          <w:color w:val="000000" w:themeColor="text1"/>
          <w:szCs w:val="22"/>
        </w:rPr>
        <w:t>8,995 had</w:t>
      </w:r>
      <w:r w:rsidRPr="00E61E4D">
        <w:rPr>
          <w:color w:val="000000" w:themeColor="text1"/>
          <w:szCs w:val="22"/>
        </w:rPr>
        <w:t xml:space="preserve"> annual receipts of</w:t>
      </w:r>
      <w:r w:rsidR="005176FA" w:rsidRPr="00E61E4D">
        <w:rPr>
          <w:color w:val="000000" w:themeColor="text1"/>
          <w:szCs w:val="22"/>
        </w:rPr>
        <w:t xml:space="preserve"> </w:t>
      </w:r>
      <w:r w:rsidRPr="00E61E4D">
        <w:rPr>
          <w:color w:val="000000" w:themeColor="text1"/>
          <w:szCs w:val="22"/>
        </w:rPr>
        <w:t xml:space="preserve">$24,999,999 or less, and </w:t>
      </w:r>
      <w:r w:rsidR="005176FA" w:rsidRPr="00E61E4D">
        <w:rPr>
          <w:color w:val="000000" w:themeColor="text1"/>
          <w:szCs w:val="22"/>
        </w:rPr>
        <w:t xml:space="preserve">100 </w:t>
      </w:r>
      <w:r w:rsidRPr="00E61E4D">
        <w:rPr>
          <w:color w:val="000000" w:themeColor="text1"/>
          <w:szCs w:val="22"/>
        </w:rPr>
        <w:t>had annual receipts ranging from not less than $25,000,000 to $100,000,000 or more.</w:t>
      </w:r>
      <w:r w:rsidRPr="00E61E4D">
        <w:rPr>
          <w:rStyle w:val="FootnoteReference"/>
          <w:color w:val="000000" w:themeColor="text1"/>
          <w:szCs w:val="22"/>
        </w:rPr>
        <w:footnoteReference w:id="322"/>
      </w:r>
      <w:r w:rsidRPr="00E61E4D">
        <w:rPr>
          <w:color w:val="000000" w:themeColor="text1"/>
          <w:szCs w:val="22"/>
        </w:rPr>
        <w:t xml:space="preserve">  </w:t>
      </w:r>
      <w:r w:rsidRPr="00E61E4D">
        <w:rPr>
          <w:color w:val="000000" w:themeColor="text1"/>
        </w:rPr>
        <w:t xml:space="preserve">Thus, under this size standard, the majority of such businesses can be considered small entities. </w:t>
      </w:r>
      <w:r w:rsidRPr="00E61E4D">
        <w:rPr>
          <w:color w:val="000000" w:themeColor="text1"/>
        </w:rPr>
        <w:tab/>
      </w:r>
    </w:p>
    <w:p w:rsidR="003A4D97" w:rsidRPr="00E61E4D" w:rsidRDefault="00184229" w:rsidP="005E5F79">
      <w:pPr>
        <w:pStyle w:val="ParaNum"/>
        <w:widowControl/>
        <w:tabs>
          <w:tab w:val="num" w:pos="360"/>
          <w:tab w:val="num" w:pos="720"/>
        </w:tabs>
        <w:rPr>
          <w:color w:val="000000" w:themeColor="text1"/>
        </w:rPr>
      </w:pPr>
      <w:r w:rsidRPr="00E61E4D">
        <w:rPr>
          <w:i/>
          <w:color w:val="000000" w:themeColor="text1"/>
        </w:rPr>
        <w:t>Motion Picture and Video Distribution</w:t>
      </w:r>
      <w:r w:rsidRPr="00E61E4D">
        <w:rPr>
          <w:rFonts w:ascii="Verdana" w:hAnsi="Verdana"/>
          <w:color w:val="000000" w:themeColor="text1"/>
          <w:sz w:val="19"/>
          <w:szCs w:val="19"/>
        </w:rPr>
        <w:t xml:space="preserve">.  </w:t>
      </w:r>
      <w:r w:rsidRPr="00E61E4D">
        <w:rPr>
          <w:color w:val="000000" w:themeColor="text1"/>
          <w:szCs w:val="22"/>
        </w:rPr>
        <w:t>The Census Bureau defines this category as follows:  “This industry comprises establishments primarily engaged in acquiring distribution rights and distributing film and video productions to motion picture theaters, television networks and stations, and exhibitors.”</w:t>
      </w:r>
      <w:r w:rsidRPr="00E61E4D">
        <w:rPr>
          <w:rStyle w:val="FootnoteReference"/>
          <w:color w:val="000000" w:themeColor="text1"/>
          <w:szCs w:val="22"/>
        </w:rPr>
        <w:footnoteReference w:id="323"/>
      </w:r>
      <w:r w:rsidRPr="00E61E4D">
        <w:rPr>
          <w:color w:val="000000" w:themeColor="text1"/>
          <w:szCs w:val="22"/>
        </w:rPr>
        <w:t xml:space="preserve">  We note that establishments in this category may be engaged in various industries, including cable programming.  The SBA has developed a small business size standard for this category, which is:  all such businesses having $</w:t>
      </w:r>
      <w:r w:rsidR="005176FA" w:rsidRPr="00E61E4D">
        <w:rPr>
          <w:color w:val="000000" w:themeColor="text1"/>
          <w:szCs w:val="22"/>
        </w:rPr>
        <w:t>32</w:t>
      </w:r>
      <w:r w:rsidRPr="00E61E4D">
        <w:rPr>
          <w:color w:val="000000" w:themeColor="text1"/>
          <w:szCs w:val="22"/>
        </w:rPr>
        <w:t xml:space="preserve"> million dollars or less in annual revenues.</w:t>
      </w:r>
      <w:r w:rsidRPr="00E61E4D">
        <w:rPr>
          <w:rStyle w:val="FootnoteReference"/>
          <w:color w:val="000000" w:themeColor="text1"/>
          <w:szCs w:val="22"/>
        </w:rPr>
        <w:footnoteReference w:id="324"/>
      </w:r>
      <w:r w:rsidRPr="00E61E4D">
        <w:rPr>
          <w:color w:val="000000" w:themeColor="text1"/>
          <w:szCs w:val="22"/>
        </w:rPr>
        <w:t xml:space="preserve">  Census data for 2007 show that there were </w:t>
      </w:r>
      <w:r w:rsidR="005176FA" w:rsidRPr="00E61E4D">
        <w:rPr>
          <w:color w:val="000000" w:themeColor="text1"/>
          <w:szCs w:val="22"/>
        </w:rPr>
        <w:t xml:space="preserve">450 firms </w:t>
      </w:r>
      <w:r w:rsidRPr="00E61E4D">
        <w:rPr>
          <w:color w:val="000000" w:themeColor="text1"/>
          <w:szCs w:val="22"/>
        </w:rPr>
        <w:t xml:space="preserve">that operated </w:t>
      </w:r>
      <w:r w:rsidR="005176FA" w:rsidRPr="00E61E4D">
        <w:rPr>
          <w:color w:val="000000" w:themeColor="text1"/>
          <w:szCs w:val="22"/>
        </w:rPr>
        <w:t>for</w:t>
      </w:r>
      <w:r w:rsidRPr="00E61E4D">
        <w:rPr>
          <w:color w:val="000000" w:themeColor="text1"/>
          <w:szCs w:val="22"/>
        </w:rPr>
        <w:t xml:space="preserve"> that </w:t>
      </w:r>
      <w:r w:rsidR="005176FA" w:rsidRPr="00E61E4D">
        <w:rPr>
          <w:color w:val="000000" w:themeColor="text1"/>
          <w:szCs w:val="22"/>
        </w:rPr>
        <w:t xml:space="preserve">entire </w:t>
      </w:r>
      <w:r w:rsidRPr="00E61E4D">
        <w:rPr>
          <w:color w:val="000000" w:themeColor="text1"/>
          <w:szCs w:val="22"/>
        </w:rPr>
        <w:t>year.</w:t>
      </w:r>
      <w:r w:rsidRPr="00E61E4D">
        <w:rPr>
          <w:rStyle w:val="FootnoteReference"/>
          <w:color w:val="000000" w:themeColor="text1"/>
          <w:szCs w:val="22"/>
        </w:rPr>
        <w:footnoteReference w:id="325"/>
      </w:r>
      <w:r w:rsidRPr="00E61E4D">
        <w:rPr>
          <w:color w:val="000000" w:themeColor="text1"/>
          <w:szCs w:val="22"/>
        </w:rPr>
        <w:t xml:space="preserve">  Of that number, </w:t>
      </w:r>
      <w:r w:rsidR="005176FA" w:rsidRPr="00E61E4D">
        <w:rPr>
          <w:color w:val="000000" w:themeColor="text1"/>
          <w:szCs w:val="22"/>
        </w:rPr>
        <w:t xml:space="preserve">434 </w:t>
      </w:r>
      <w:r w:rsidRPr="00E61E4D">
        <w:rPr>
          <w:color w:val="000000" w:themeColor="text1"/>
          <w:szCs w:val="22"/>
        </w:rPr>
        <w:t>had annual receipts of</w:t>
      </w:r>
      <w:r w:rsidR="005176FA" w:rsidRPr="00E61E4D">
        <w:rPr>
          <w:color w:val="000000" w:themeColor="text1"/>
          <w:szCs w:val="22"/>
        </w:rPr>
        <w:t xml:space="preserve"> </w:t>
      </w:r>
      <w:r w:rsidRPr="00E61E4D">
        <w:rPr>
          <w:color w:val="000000" w:themeColor="text1"/>
          <w:szCs w:val="22"/>
        </w:rPr>
        <w:t xml:space="preserve">$24,999,999 or less, and </w:t>
      </w:r>
      <w:r w:rsidR="005176FA" w:rsidRPr="00E61E4D">
        <w:rPr>
          <w:color w:val="000000" w:themeColor="text1"/>
          <w:szCs w:val="22"/>
        </w:rPr>
        <w:t xml:space="preserve">16 </w:t>
      </w:r>
      <w:r w:rsidRPr="00E61E4D">
        <w:rPr>
          <w:color w:val="000000" w:themeColor="text1"/>
          <w:szCs w:val="22"/>
        </w:rPr>
        <w:t>had annual receipts ranging from not less than $25,000,000 to $100,000,000 or more.</w:t>
      </w:r>
      <w:r w:rsidRPr="00E61E4D">
        <w:rPr>
          <w:rStyle w:val="FootnoteReference"/>
          <w:color w:val="000000" w:themeColor="text1"/>
          <w:szCs w:val="22"/>
        </w:rPr>
        <w:footnoteReference w:id="326"/>
      </w:r>
      <w:r w:rsidRPr="00E61E4D">
        <w:rPr>
          <w:color w:val="000000" w:themeColor="text1"/>
          <w:szCs w:val="22"/>
        </w:rPr>
        <w:t xml:space="preserve">  </w:t>
      </w:r>
      <w:r w:rsidRPr="00E61E4D">
        <w:rPr>
          <w:color w:val="000000" w:themeColor="text1"/>
        </w:rPr>
        <w:t xml:space="preserve">Thus, under this size standard, the majority of such businesses can be considered small entities. </w:t>
      </w:r>
    </w:p>
    <w:p w:rsidR="00184229" w:rsidRPr="00E61E4D" w:rsidRDefault="003A4D97" w:rsidP="005E5F79">
      <w:pPr>
        <w:pStyle w:val="ParaNum"/>
        <w:widowControl/>
        <w:rPr>
          <w:color w:val="000000" w:themeColor="text1"/>
          <w:szCs w:val="22"/>
        </w:rPr>
      </w:pPr>
      <w:r w:rsidRPr="00E61E4D">
        <w:rPr>
          <w:i/>
          <w:color w:val="000000" w:themeColor="text1"/>
        </w:rPr>
        <w:t xml:space="preserve">Internet Publishing and Broadcasting and Web Search Portals.  </w:t>
      </w:r>
      <w:r w:rsidRPr="00E61E4D">
        <w:rPr>
          <w:color w:val="000000" w:themeColor="text1"/>
        </w:rPr>
        <w:t>The Census Bureau defines this category as follows:  “This industry comprises 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  The publishing and broadcasting establishments in this industry do not provide traditional (non-Internet) versions of the content that they publish or broadcast.  They provide textual, audio, and/or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w:t>
      </w:r>
      <w:r w:rsidRPr="00E61E4D">
        <w:rPr>
          <w:rStyle w:val="FootnoteReference"/>
          <w:color w:val="000000" w:themeColor="text1"/>
        </w:rPr>
        <w:footnoteReference w:id="327"/>
      </w:r>
      <w:r w:rsidRPr="00E61E4D">
        <w:rPr>
          <w:color w:val="000000" w:themeColor="text1"/>
        </w:rPr>
        <w:t xml:space="preserve">  The SBA has developed a small business size standard for this category, which is:  all such businesses having 500 or fewer employees.</w:t>
      </w:r>
      <w:r w:rsidRPr="00E61E4D">
        <w:rPr>
          <w:rStyle w:val="FootnoteReference"/>
          <w:color w:val="000000" w:themeColor="text1"/>
        </w:rPr>
        <w:footnoteReference w:id="328"/>
      </w:r>
      <w:r w:rsidRPr="00E61E4D">
        <w:rPr>
          <w:color w:val="000000" w:themeColor="text1"/>
        </w:rPr>
        <w:t xml:space="preserve">  Census data for 2007 shows that there were 2,705 firms that operated for the entire year.</w:t>
      </w:r>
      <w:r w:rsidRPr="00E61E4D">
        <w:rPr>
          <w:rStyle w:val="FootnoteReference"/>
          <w:color w:val="000000" w:themeColor="text1"/>
        </w:rPr>
        <w:footnoteReference w:id="329"/>
      </w:r>
      <w:r w:rsidRPr="00E61E4D">
        <w:rPr>
          <w:color w:val="000000" w:themeColor="text1"/>
        </w:rPr>
        <w:t xml:space="preserve">  Of this total, 2,682 firms had fewer than 500 employees, and 13 firms had between 500 and 999 employees.</w:t>
      </w:r>
      <w:r w:rsidRPr="00E61E4D">
        <w:rPr>
          <w:rStyle w:val="FootnoteReference"/>
          <w:color w:val="000000" w:themeColor="text1"/>
        </w:rPr>
        <w:footnoteReference w:id="330"/>
      </w:r>
      <w:r w:rsidRPr="00E61E4D">
        <w:rPr>
          <w:color w:val="000000" w:themeColor="text1"/>
        </w:rPr>
        <w:t xml:space="preserve">  Therefore, under this size standard, the majority of such businesses can be considered small.</w:t>
      </w:r>
      <w:r w:rsidR="00184229" w:rsidRPr="00E61E4D">
        <w:rPr>
          <w:color w:val="000000" w:themeColor="text1"/>
        </w:rPr>
        <w:tab/>
      </w:r>
    </w:p>
    <w:p w:rsidR="00184229" w:rsidRPr="00EA2EF6" w:rsidRDefault="00184229" w:rsidP="005E5F79">
      <w:pPr>
        <w:pStyle w:val="Heading2"/>
        <w:widowControl/>
      </w:pPr>
      <w:bookmarkStart w:id="778" w:name="_Toc382228454"/>
      <w:bookmarkStart w:id="779" w:name="_Toc384014174"/>
      <w:bookmarkStart w:id="780" w:name="_Toc384039701"/>
      <w:bookmarkStart w:id="781" w:name="_Toc395187315"/>
      <w:bookmarkStart w:id="782" w:name="_Toc398540315"/>
      <w:bookmarkStart w:id="783" w:name="_Toc398565537"/>
      <w:bookmarkStart w:id="784" w:name="_Toc398624372"/>
      <w:bookmarkStart w:id="785" w:name="_Toc398746629"/>
      <w:bookmarkStart w:id="786" w:name="_Toc399148333"/>
      <w:bookmarkStart w:id="787" w:name="_Toc399260551"/>
      <w:bookmarkStart w:id="788" w:name="_Toc399316567"/>
      <w:bookmarkStart w:id="789" w:name="_Toc401241729"/>
      <w:bookmarkStart w:id="790" w:name="_Toc401259731"/>
      <w:bookmarkStart w:id="791" w:name="_Toc401312855"/>
      <w:bookmarkStart w:id="792" w:name="_Toc401850563"/>
      <w:bookmarkStart w:id="793" w:name="_Toc402169661"/>
      <w:bookmarkStart w:id="794" w:name="_Toc405301045"/>
      <w:bookmarkStart w:id="795" w:name="_Toc405884749"/>
      <w:bookmarkStart w:id="796" w:name="_Toc406609239"/>
      <w:r w:rsidRPr="009D1D43">
        <w:t>Description of</w:t>
      </w:r>
      <w:r w:rsidRPr="00EA2EF6">
        <w:t xml:space="preserve"> Projected Reporting, Recordkeeping, and Other Compliance Requirements</w:t>
      </w:r>
      <w:bookmarkEnd w:id="772"/>
      <w:bookmarkEnd w:id="773"/>
      <w:bookmarkEnd w:id="774"/>
      <w:bookmarkEnd w:id="775"/>
      <w:bookmarkEnd w:id="776"/>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184229" w:rsidRPr="00E61E4D" w:rsidRDefault="001B05CD" w:rsidP="005E5F79">
      <w:pPr>
        <w:pStyle w:val="ParaNum"/>
        <w:widowControl/>
        <w:rPr>
          <w:color w:val="000000" w:themeColor="text1"/>
          <w:szCs w:val="22"/>
        </w:rPr>
      </w:pPr>
      <w:r w:rsidRPr="00E61E4D">
        <w:rPr>
          <w:color w:val="000000" w:themeColor="text1"/>
        </w:rPr>
        <w:t xml:space="preserve">The </w:t>
      </w:r>
      <w:r w:rsidRPr="00E61E4D">
        <w:rPr>
          <w:i/>
          <w:color w:val="000000" w:themeColor="text1"/>
        </w:rPr>
        <w:t>NPRM</w:t>
      </w:r>
      <w:r w:rsidRPr="00E61E4D">
        <w:rPr>
          <w:color w:val="000000" w:themeColor="text1"/>
        </w:rPr>
        <w:t xml:space="preserve"> proposes to expand the scope of entities that would be subject to recordkeeping requirements.</w:t>
      </w:r>
      <w:r w:rsidR="00184229" w:rsidRPr="00E61E4D">
        <w:rPr>
          <w:color w:val="000000" w:themeColor="text1"/>
        </w:rPr>
        <w:t xml:space="preserve">  The </w:t>
      </w:r>
      <w:r w:rsidR="00184229" w:rsidRPr="00E61E4D">
        <w:rPr>
          <w:i/>
          <w:color w:val="000000" w:themeColor="text1"/>
        </w:rPr>
        <w:t xml:space="preserve">NPRM </w:t>
      </w:r>
      <w:r w:rsidR="00184229" w:rsidRPr="00E61E4D">
        <w:rPr>
          <w:color w:val="000000" w:themeColor="text1"/>
        </w:rPr>
        <w:t>seeks comment on the Commission</w:t>
      </w:r>
      <w:r w:rsidR="0015737E" w:rsidRPr="00E61E4D">
        <w:rPr>
          <w:color w:val="000000" w:themeColor="text1"/>
        </w:rPr>
        <w:t>’s</w:t>
      </w:r>
      <w:r w:rsidR="00184229" w:rsidRPr="00E61E4D">
        <w:rPr>
          <w:color w:val="000000" w:themeColor="text1"/>
        </w:rPr>
        <w:t xml:space="preserve"> </w:t>
      </w:r>
      <w:r w:rsidR="0015737E" w:rsidRPr="00E61E4D">
        <w:rPr>
          <w:color w:val="000000" w:themeColor="text1"/>
        </w:rPr>
        <w:t>proposal to interpret the definition of “multichannel video programming distributor” to include online linear subscription video providers</w:t>
      </w:r>
      <w:r w:rsidR="00184229" w:rsidRPr="00E61E4D">
        <w:rPr>
          <w:color w:val="000000" w:themeColor="text1"/>
          <w:szCs w:val="22"/>
        </w:rPr>
        <w:t>.</w:t>
      </w:r>
      <w:r w:rsidR="0015737E" w:rsidRPr="00E61E4D">
        <w:rPr>
          <w:color w:val="000000" w:themeColor="text1"/>
          <w:szCs w:val="22"/>
        </w:rPr>
        <w:t xml:space="preserve">  If the Commission adopts its proposed interpretation, online linear subscription video providers will be required to follow the Commission’s regulations that apply to </w:t>
      </w:r>
      <w:r w:rsidR="003A4D97" w:rsidRPr="00E61E4D">
        <w:rPr>
          <w:color w:val="000000" w:themeColor="text1"/>
        </w:rPr>
        <w:t>MVPDs</w:t>
      </w:r>
      <w:r w:rsidRPr="00E61E4D">
        <w:rPr>
          <w:color w:val="000000" w:themeColor="text1"/>
        </w:rPr>
        <w:t>, which include recordkeeping requirements</w:t>
      </w:r>
      <w:r w:rsidR="0015737E" w:rsidRPr="00E61E4D">
        <w:rPr>
          <w:color w:val="000000" w:themeColor="text1"/>
        </w:rPr>
        <w:t xml:space="preserve">.  The Commission seeks comment on the effect that this will have on </w:t>
      </w:r>
      <w:r w:rsidR="0015737E" w:rsidRPr="00E61E4D">
        <w:rPr>
          <w:color w:val="000000" w:themeColor="text1"/>
          <w:szCs w:val="22"/>
        </w:rPr>
        <w:t>online linear subscription video providers.</w:t>
      </w:r>
    </w:p>
    <w:p w:rsidR="00350AB9" w:rsidRPr="00E61E4D" w:rsidRDefault="00350AB9" w:rsidP="005E5F79">
      <w:pPr>
        <w:pStyle w:val="ParaNum"/>
        <w:widowControl/>
        <w:rPr>
          <w:color w:val="000000" w:themeColor="text1"/>
          <w:szCs w:val="22"/>
        </w:rPr>
      </w:pPr>
      <w:bookmarkStart w:id="797" w:name="_Toc263955119"/>
      <w:bookmarkStart w:id="798" w:name="_Toc264045079"/>
      <w:bookmarkStart w:id="799" w:name="_Toc264358621"/>
      <w:bookmarkStart w:id="800" w:name="_Toc264469660"/>
      <w:bookmarkStart w:id="801" w:name="_Toc264626502"/>
      <w:bookmarkStart w:id="802" w:name="_Toc382228455"/>
      <w:bookmarkStart w:id="803" w:name="_Toc384014175"/>
      <w:bookmarkStart w:id="804" w:name="_Toc384039702"/>
      <w:bookmarkStart w:id="805" w:name="_Toc395187316"/>
      <w:bookmarkStart w:id="806" w:name="_Toc398540316"/>
      <w:bookmarkStart w:id="807" w:name="_Toc398565538"/>
      <w:bookmarkStart w:id="808" w:name="_Toc398624373"/>
      <w:bookmarkStart w:id="809" w:name="_Toc398746630"/>
      <w:bookmarkStart w:id="810" w:name="_Toc399148334"/>
      <w:bookmarkStart w:id="811" w:name="_Toc399260552"/>
      <w:bookmarkStart w:id="812" w:name="_Toc399316568"/>
      <w:bookmarkStart w:id="813" w:name="_Toc401241730"/>
      <w:bookmarkStart w:id="814" w:name="_Toc401259732"/>
      <w:bookmarkStart w:id="815" w:name="_Toc401312856"/>
      <w:bookmarkStart w:id="816" w:name="_Toc401850564"/>
      <w:bookmarkStart w:id="817" w:name="_Toc402169662"/>
      <w:r w:rsidRPr="00E61E4D">
        <w:rPr>
          <w:color w:val="000000" w:themeColor="text1"/>
          <w:szCs w:val="22"/>
        </w:rPr>
        <w:t xml:space="preserve">Specifically, small entities </w:t>
      </w:r>
      <w:r w:rsidR="001620D1" w:rsidRPr="00E61E4D">
        <w:rPr>
          <w:color w:val="000000" w:themeColor="text1"/>
          <w:szCs w:val="22"/>
        </w:rPr>
        <w:t xml:space="preserve">that are deemed MVPDs </w:t>
      </w:r>
      <w:r w:rsidRPr="00E61E4D">
        <w:rPr>
          <w:color w:val="000000" w:themeColor="text1"/>
          <w:szCs w:val="22"/>
        </w:rPr>
        <w:t xml:space="preserve">would be subject to </w:t>
      </w:r>
      <w:r w:rsidR="00472305" w:rsidRPr="00E61E4D">
        <w:rPr>
          <w:color w:val="000000" w:themeColor="text1"/>
          <w:szCs w:val="22"/>
        </w:rPr>
        <w:t>seven</w:t>
      </w:r>
      <w:r w:rsidR="001620D1" w:rsidRPr="00E61E4D">
        <w:rPr>
          <w:color w:val="000000" w:themeColor="text1"/>
          <w:szCs w:val="22"/>
        </w:rPr>
        <w:t xml:space="preserve"> main areas of regulation as MVPDs.  The first area is </w:t>
      </w:r>
      <w:r w:rsidR="001620D1" w:rsidRPr="00E61E4D">
        <w:rPr>
          <w:color w:val="000000" w:themeColor="text1"/>
          <w:szCs w:val="22"/>
          <w:lang w:eastAsia="ar-SA"/>
        </w:rPr>
        <w:t xml:space="preserve">program carriage, which prohibits MVPDs from </w:t>
      </w:r>
      <w:r w:rsidR="001620D1" w:rsidRPr="00E61E4D">
        <w:rPr>
          <w:color w:val="000000" w:themeColor="text1"/>
          <w:szCs w:val="22"/>
        </w:rPr>
        <w:t>(i) requiring a financial interest in a video programming vendor’s program service as a condition for carriage;</w:t>
      </w:r>
      <w:r w:rsidR="001620D1" w:rsidRPr="00E61E4D">
        <w:rPr>
          <w:rStyle w:val="FootnoteReference"/>
          <w:color w:val="000000" w:themeColor="text1"/>
          <w:szCs w:val="22"/>
        </w:rPr>
        <w:footnoteReference w:id="331"/>
      </w:r>
      <w:r w:rsidR="001620D1" w:rsidRPr="00E61E4D">
        <w:rPr>
          <w:color w:val="000000" w:themeColor="text1"/>
          <w:szCs w:val="22"/>
        </w:rPr>
        <w:t xml:space="preserve"> (ii) coercing a video programming vendor to provide, or retaliating against a vendor for failing to provide, exclusive rights as a condition of carriage;</w:t>
      </w:r>
      <w:r w:rsidR="001620D1" w:rsidRPr="00E61E4D">
        <w:rPr>
          <w:rStyle w:val="FootnoteReference"/>
          <w:color w:val="000000" w:themeColor="text1"/>
          <w:szCs w:val="22"/>
        </w:rPr>
        <w:t xml:space="preserve"> </w:t>
      </w:r>
      <w:r w:rsidR="001620D1" w:rsidRPr="00E61E4D">
        <w:rPr>
          <w:rStyle w:val="FootnoteReference"/>
          <w:color w:val="000000" w:themeColor="text1"/>
          <w:szCs w:val="22"/>
        </w:rPr>
        <w:footnoteReference w:id="332"/>
      </w:r>
      <w:r w:rsidR="001620D1" w:rsidRPr="00E61E4D">
        <w:rPr>
          <w:color w:val="000000" w:themeColor="text1"/>
          <w:szCs w:val="22"/>
        </w:rPr>
        <w:t xml:space="preserve"> or (iii) unreasonably restraining the ability of an unaffiliated video programming vendor to compete fairly by discriminating in video programming distribution on the basis of affiliation or nonaffiliation of vendors in the selection, terms, or conditions for carriage.</w:t>
      </w:r>
      <w:r w:rsidRPr="00E61E4D">
        <w:rPr>
          <w:color w:val="000000" w:themeColor="text1"/>
          <w:szCs w:val="22"/>
          <w:vertAlign w:val="superscript"/>
          <w:lang w:eastAsia="ar-SA"/>
        </w:rPr>
        <w:footnoteReference w:id="333"/>
      </w:r>
      <w:r w:rsidRPr="00E61E4D">
        <w:rPr>
          <w:color w:val="000000" w:themeColor="text1"/>
          <w:szCs w:val="22"/>
          <w:lang w:eastAsia="ar-SA"/>
        </w:rPr>
        <w:t xml:space="preserve"> </w:t>
      </w:r>
      <w:r w:rsidR="001620D1" w:rsidRPr="00E61E4D">
        <w:rPr>
          <w:color w:val="000000" w:themeColor="text1"/>
          <w:szCs w:val="22"/>
          <w:lang w:eastAsia="ar-SA"/>
        </w:rPr>
        <w:t>T</w:t>
      </w:r>
      <w:r w:rsidRPr="00E61E4D">
        <w:rPr>
          <w:color w:val="000000" w:themeColor="text1"/>
          <w:szCs w:val="22"/>
          <w:lang w:eastAsia="ar-SA"/>
        </w:rPr>
        <w:t xml:space="preserve">he </w:t>
      </w:r>
      <w:r w:rsidR="001620D1" w:rsidRPr="00E61E4D">
        <w:rPr>
          <w:color w:val="000000" w:themeColor="text1"/>
          <w:szCs w:val="22"/>
          <w:lang w:eastAsia="ar-SA"/>
        </w:rPr>
        <w:t xml:space="preserve">second area is </w:t>
      </w:r>
      <w:r w:rsidRPr="00E61E4D">
        <w:rPr>
          <w:color w:val="000000" w:themeColor="text1"/>
          <w:szCs w:val="22"/>
          <w:lang w:eastAsia="ar-SA"/>
        </w:rPr>
        <w:t>competitive availability of navigation devices</w:t>
      </w:r>
      <w:r w:rsidR="001620D1" w:rsidRPr="00E61E4D">
        <w:rPr>
          <w:color w:val="000000" w:themeColor="text1"/>
          <w:szCs w:val="22"/>
          <w:lang w:eastAsia="ar-SA"/>
        </w:rPr>
        <w:t>, which requires MVPDs to allow consumers to attach non-harmful devices to their networks, separate security from their receiver devices, and explain to interested parties how to make compatible devices.</w:t>
      </w:r>
      <w:r w:rsidRPr="00E61E4D">
        <w:rPr>
          <w:color w:val="000000" w:themeColor="text1"/>
          <w:szCs w:val="22"/>
          <w:vertAlign w:val="superscript"/>
          <w:lang w:eastAsia="ar-SA"/>
        </w:rPr>
        <w:footnoteReference w:id="334"/>
      </w:r>
      <w:r w:rsidRPr="00E61E4D">
        <w:rPr>
          <w:color w:val="000000" w:themeColor="text1"/>
          <w:szCs w:val="22"/>
          <w:lang w:eastAsia="ar-SA"/>
        </w:rPr>
        <w:t xml:space="preserve"> </w:t>
      </w:r>
      <w:r w:rsidR="001620D1" w:rsidRPr="00E61E4D">
        <w:rPr>
          <w:color w:val="000000" w:themeColor="text1"/>
          <w:szCs w:val="22"/>
          <w:lang w:eastAsia="ar-SA"/>
        </w:rPr>
        <w:t xml:space="preserve"> The third area is</w:t>
      </w:r>
      <w:r w:rsidRPr="00E61E4D">
        <w:rPr>
          <w:color w:val="000000" w:themeColor="text1"/>
          <w:szCs w:val="22"/>
          <w:lang w:eastAsia="ar-SA"/>
        </w:rPr>
        <w:t xml:space="preserve"> retransmission consent</w:t>
      </w:r>
      <w:r w:rsidR="001620D1" w:rsidRPr="00E61E4D">
        <w:rPr>
          <w:color w:val="000000" w:themeColor="text1"/>
          <w:szCs w:val="22"/>
          <w:lang w:eastAsia="ar-SA"/>
        </w:rPr>
        <w:t>, which requires MVPDs to negotiate in good faith with broadcasters for carriage.</w:t>
      </w:r>
      <w:r w:rsidRPr="00E61E4D">
        <w:rPr>
          <w:color w:val="000000" w:themeColor="text1"/>
          <w:szCs w:val="22"/>
          <w:vertAlign w:val="superscript"/>
          <w:lang w:eastAsia="ar-SA"/>
        </w:rPr>
        <w:footnoteReference w:id="335"/>
      </w:r>
      <w:r w:rsidRPr="00E61E4D">
        <w:rPr>
          <w:color w:val="000000" w:themeColor="text1"/>
          <w:szCs w:val="22"/>
          <w:lang w:eastAsia="ar-SA"/>
        </w:rPr>
        <w:t xml:space="preserve"> </w:t>
      </w:r>
      <w:r w:rsidR="001620D1" w:rsidRPr="00E61E4D">
        <w:rPr>
          <w:color w:val="000000" w:themeColor="text1"/>
          <w:szCs w:val="22"/>
          <w:lang w:eastAsia="ar-SA"/>
        </w:rPr>
        <w:t xml:space="preserve"> The fourth area is </w:t>
      </w:r>
      <w:r w:rsidRPr="00E61E4D">
        <w:rPr>
          <w:color w:val="000000" w:themeColor="text1"/>
          <w:szCs w:val="22"/>
          <w:lang w:eastAsia="ar-SA"/>
        </w:rPr>
        <w:t>Equal Employment Opportunity (“EEO”)</w:t>
      </w:r>
      <w:r w:rsidR="001620D1" w:rsidRPr="00E61E4D">
        <w:rPr>
          <w:color w:val="000000" w:themeColor="text1"/>
          <w:szCs w:val="22"/>
          <w:lang w:eastAsia="ar-SA"/>
        </w:rPr>
        <w:t xml:space="preserve">, which </w:t>
      </w:r>
      <w:r w:rsidR="001620D1" w:rsidRPr="00E61E4D">
        <w:rPr>
          <w:rFonts w:eastAsia="Calibri"/>
          <w:snapToGrid/>
          <w:color w:val="000000" w:themeColor="text1"/>
        </w:rPr>
        <w:t>(i) require MVPDs to provide equal opportunity in employment to all qualified persons and prohibit MVPDs from discriminating in employment based on race, color, religion, national origin, age, or sex;</w:t>
      </w:r>
      <w:r w:rsidR="001620D1" w:rsidRPr="00E61E4D">
        <w:rPr>
          <w:rFonts w:eastAsia="Calibri"/>
          <w:snapToGrid/>
          <w:color w:val="000000" w:themeColor="text1"/>
          <w:vertAlign w:val="superscript"/>
        </w:rPr>
        <w:footnoteReference w:id="336"/>
      </w:r>
      <w:r w:rsidR="001620D1" w:rsidRPr="00E61E4D">
        <w:rPr>
          <w:rFonts w:eastAsia="Calibri"/>
          <w:snapToGrid/>
          <w:color w:val="000000" w:themeColor="text1"/>
        </w:rPr>
        <w:t xml:space="preserve"> (ii) require MVPDs to engage in certain outreach and recruitment activities;</w:t>
      </w:r>
      <w:r w:rsidR="001620D1" w:rsidRPr="00E61E4D">
        <w:rPr>
          <w:rFonts w:eastAsia="Calibri"/>
          <w:snapToGrid/>
          <w:color w:val="000000" w:themeColor="text1"/>
          <w:vertAlign w:val="superscript"/>
        </w:rPr>
        <w:footnoteReference w:id="337"/>
      </w:r>
      <w:r w:rsidR="001620D1" w:rsidRPr="00E61E4D">
        <w:rPr>
          <w:rFonts w:eastAsia="Calibri"/>
          <w:snapToGrid/>
          <w:color w:val="000000" w:themeColor="text1"/>
        </w:rPr>
        <w:t xml:space="preserve"> and (iii) require MVPDs to comply with certain reporting and recordkeeping requirements.</w:t>
      </w:r>
      <w:r w:rsidR="001620D1" w:rsidRPr="00E61E4D">
        <w:rPr>
          <w:rFonts w:eastAsia="Calibri"/>
          <w:snapToGrid/>
          <w:color w:val="000000" w:themeColor="text1"/>
          <w:vertAlign w:val="superscript"/>
        </w:rPr>
        <w:footnoteReference w:id="338"/>
      </w:r>
      <w:r w:rsidR="00472305" w:rsidRPr="00E61E4D">
        <w:rPr>
          <w:color w:val="000000" w:themeColor="text1"/>
          <w:szCs w:val="22"/>
          <w:lang w:eastAsia="ar-SA"/>
        </w:rPr>
        <w:t xml:space="preserve">  The fifth area is</w:t>
      </w:r>
      <w:r w:rsidRPr="00E61E4D">
        <w:rPr>
          <w:color w:val="000000" w:themeColor="text1"/>
          <w:szCs w:val="22"/>
          <w:lang w:eastAsia="ar-SA"/>
        </w:rPr>
        <w:t xml:space="preserve"> closed captioning</w:t>
      </w:r>
      <w:r w:rsidR="00472305" w:rsidRPr="00E61E4D">
        <w:rPr>
          <w:color w:val="000000" w:themeColor="text1"/>
          <w:szCs w:val="22"/>
          <w:lang w:eastAsia="ar-SA"/>
        </w:rPr>
        <w:t>, which requires MVPDs to provide closed captioning, defined as the “</w:t>
      </w:r>
      <w:r w:rsidR="00472305" w:rsidRPr="00E61E4D">
        <w:rPr>
          <w:color w:val="000000" w:themeColor="text1"/>
          <w:szCs w:val="22"/>
        </w:rPr>
        <w:t>visual display of the audio portion of video programming pursuant to the technical specifications set forth in this part</w:t>
      </w:r>
      <w:r w:rsidR="00472305" w:rsidRPr="00E61E4D">
        <w:rPr>
          <w:snapToGrid/>
          <w:color w:val="000000" w:themeColor="text1"/>
          <w:szCs w:val="22"/>
        </w:rPr>
        <w:t>.”</w:t>
      </w:r>
      <w:r w:rsidR="00472305" w:rsidRPr="00E61E4D">
        <w:rPr>
          <w:rStyle w:val="FootnoteReference"/>
          <w:snapToGrid/>
          <w:color w:val="000000" w:themeColor="text1"/>
          <w:szCs w:val="22"/>
        </w:rPr>
        <w:footnoteReference w:id="339"/>
      </w:r>
      <w:r w:rsidRPr="00E61E4D">
        <w:rPr>
          <w:color w:val="000000" w:themeColor="text1"/>
          <w:szCs w:val="22"/>
          <w:lang w:eastAsia="ar-SA"/>
        </w:rPr>
        <w:t xml:space="preserve"> </w:t>
      </w:r>
      <w:r w:rsidR="00472305" w:rsidRPr="00E61E4D">
        <w:rPr>
          <w:color w:val="000000" w:themeColor="text1"/>
          <w:szCs w:val="22"/>
          <w:lang w:eastAsia="ar-SA"/>
        </w:rPr>
        <w:t xml:space="preserve">The sixth area </w:t>
      </w:r>
      <w:r w:rsidRPr="00E61E4D">
        <w:rPr>
          <w:color w:val="000000" w:themeColor="text1"/>
          <w:szCs w:val="22"/>
          <w:lang w:eastAsia="ar-SA"/>
        </w:rPr>
        <w:t xml:space="preserve">video description </w:t>
      </w:r>
      <w:r w:rsidR="00472305" w:rsidRPr="00E61E4D">
        <w:rPr>
          <w:color w:val="000000" w:themeColor="text1"/>
          <w:szCs w:val="22"/>
          <w:lang w:eastAsia="ar-SA"/>
        </w:rPr>
        <w:t>and</w:t>
      </w:r>
      <w:r w:rsidRPr="00E61E4D">
        <w:rPr>
          <w:color w:val="000000" w:themeColor="text1"/>
          <w:szCs w:val="22"/>
          <w:lang w:eastAsia="ar-SA"/>
        </w:rPr>
        <w:t xml:space="preserve"> access to emergency information</w:t>
      </w:r>
      <w:r w:rsidR="00472305" w:rsidRPr="00E61E4D">
        <w:rPr>
          <w:color w:val="000000" w:themeColor="text1"/>
          <w:szCs w:val="22"/>
          <w:lang w:eastAsia="ar-SA"/>
        </w:rPr>
        <w:t>, which require MVPDs to make programming and emergency information accessible to the blind and visually impaired.</w:t>
      </w:r>
      <w:r w:rsidRPr="00E61E4D">
        <w:rPr>
          <w:rStyle w:val="FootnoteReference"/>
          <w:color w:val="000000" w:themeColor="text1"/>
          <w:szCs w:val="22"/>
          <w:lang w:eastAsia="ar-SA"/>
        </w:rPr>
        <w:footnoteReference w:id="340"/>
      </w:r>
      <w:r w:rsidRPr="00E61E4D">
        <w:rPr>
          <w:color w:val="000000" w:themeColor="text1"/>
          <w:szCs w:val="22"/>
          <w:lang w:eastAsia="ar-SA"/>
        </w:rPr>
        <w:t xml:space="preserve"> </w:t>
      </w:r>
      <w:r w:rsidR="00472305" w:rsidRPr="00E61E4D">
        <w:rPr>
          <w:color w:val="000000" w:themeColor="text1"/>
          <w:szCs w:val="22"/>
          <w:lang w:eastAsia="ar-SA"/>
        </w:rPr>
        <w:t>And finally, MVPDs are required to meet certain standards to mitigate</w:t>
      </w:r>
      <w:r w:rsidRPr="00E61E4D">
        <w:rPr>
          <w:color w:val="000000" w:themeColor="text1"/>
          <w:szCs w:val="22"/>
          <w:lang w:eastAsia="ar-SA"/>
        </w:rPr>
        <w:t xml:space="preserve"> the </w:t>
      </w:r>
      <w:r w:rsidRPr="00E61E4D">
        <w:rPr>
          <w:color w:val="000000" w:themeColor="text1"/>
        </w:rPr>
        <w:t>loudness of commercials.</w:t>
      </w:r>
      <w:r w:rsidR="00B82337" w:rsidRPr="00E61E4D">
        <w:rPr>
          <w:rStyle w:val="FootnoteReference"/>
          <w:color w:val="000000" w:themeColor="text1"/>
        </w:rPr>
        <w:footnoteReference w:id="341"/>
      </w:r>
    </w:p>
    <w:p w:rsidR="00184229" w:rsidRPr="00EA2EF6" w:rsidRDefault="00184229" w:rsidP="005E5F79">
      <w:pPr>
        <w:pStyle w:val="Heading2"/>
        <w:widowControl/>
      </w:pPr>
      <w:bookmarkStart w:id="818" w:name="_Toc405301046"/>
      <w:bookmarkStart w:id="819" w:name="_Toc405884750"/>
      <w:bookmarkStart w:id="820" w:name="_Toc406609240"/>
      <w:r w:rsidRPr="009D1D43">
        <w:t>Steps Taken to Minimize Significant Economic Impact on Small Entities, a</w:t>
      </w:r>
      <w:r w:rsidRPr="00EA2EF6">
        <w:t>nd Significant Alternatives Considered</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184229" w:rsidRPr="00E61E4D" w:rsidRDefault="00184229" w:rsidP="005E5F79">
      <w:pPr>
        <w:pStyle w:val="ParaNum"/>
        <w:widowControl/>
        <w:rPr>
          <w:color w:val="000000" w:themeColor="text1"/>
          <w:szCs w:val="22"/>
        </w:rPr>
      </w:pPr>
      <w:r w:rsidRPr="00E61E4D">
        <w:rPr>
          <w:color w:val="000000" w:themeColor="text1"/>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61E4D">
        <w:rPr>
          <w:rStyle w:val="FootnoteReference"/>
          <w:color w:val="000000" w:themeColor="text1"/>
          <w:szCs w:val="22"/>
        </w:rPr>
        <w:footnoteReference w:id="342"/>
      </w:r>
    </w:p>
    <w:p w:rsidR="00184229" w:rsidRPr="00E61E4D" w:rsidRDefault="00184229" w:rsidP="005E5F79">
      <w:pPr>
        <w:pStyle w:val="ParaNum"/>
        <w:widowControl/>
        <w:tabs>
          <w:tab w:val="num" w:pos="360"/>
        </w:tabs>
        <w:rPr>
          <w:snapToGrid/>
          <w:color w:val="000000" w:themeColor="text1"/>
          <w:kern w:val="0"/>
          <w:szCs w:val="22"/>
        </w:rPr>
      </w:pPr>
      <w:r w:rsidRPr="00E61E4D">
        <w:rPr>
          <w:color w:val="000000" w:themeColor="text1"/>
          <w:szCs w:val="22"/>
        </w:rPr>
        <w:t xml:space="preserve">The </w:t>
      </w:r>
      <w:r w:rsidRPr="00E61E4D">
        <w:rPr>
          <w:i/>
          <w:color w:val="000000" w:themeColor="text1"/>
          <w:szCs w:val="22"/>
        </w:rPr>
        <w:t>NPRM</w:t>
      </w:r>
      <w:r w:rsidRPr="00E61E4D">
        <w:rPr>
          <w:color w:val="000000" w:themeColor="text1"/>
          <w:szCs w:val="22"/>
        </w:rPr>
        <w:t xml:space="preserve"> </w:t>
      </w:r>
      <w:r w:rsidR="00B82337" w:rsidRPr="00E61E4D">
        <w:rPr>
          <w:color w:val="000000" w:themeColor="text1"/>
          <w:szCs w:val="22"/>
        </w:rPr>
        <w:t>proposes to interpret the term MVPD to include all multichannel, subscription linear video providers, including Internet-based providers.  The MVPD</w:t>
      </w:r>
      <w:r w:rsidRPr="00E61E4D">
        <w:rPr>
          <w:color w:val="000000" w:themeColor="text1"/>
          <w:szCs w:val="22"/>
        </w:rPr>
        <w:t xml:space="preserve"> seeks comment on whether</w:t>
      </w:r>
      <w:r w:rsidR="0015737E" w:rsidRPr="00E61E4D">
        <w:rPr>
          <w:color w:val="000000" w:themeColor="text1"/>
          <w:szCs w:val="22"/>
        </w:rPr>
        <w:t xml:space="preserve"> to phase in application of its rules to online linear subscription video providers, or whether to waive the rules in certain instances</w:t>
      </w:r>
      <w:r w:rsidRPr="00E61E4D">
        <w:rPr>
          <w:color w:val="000000" w:themeColor="text1"/>
          <w:szCs w:val="22"/>
        </w:rPr>
        <w:t>.</w:t>
      </w:r>
      <w:r w:rsidR="0015737E" w:rsidRPr="00E61E4D">
        <w:rPr>
          <w:color w:val="000000" w:themeColor="text1"/>
          <w:szCs w:val="22"/>
        </w:rPr>
        <w:t xml:space="preserve">  The Commission </w:t>
      </w:r>
      <w:r w:rsidR="00790D11" w:rsidRPr="00E61E4D">
        <w:rPr>
          <w:color w:val="000000" w:themeColor="text1"/>
          <w:szCs w:val="22"/>
        </w:rPr>
        <w:t>has never proposed an interpretation of the term MVPD, and now</w:t>
      </w:r>
      <w:r w:rsidR="0015737E" w:rsidRPr="00E61E4D">
        <w:rPr>
          <w:color w:val="000000" w:themeColor="text1"/>
          <w:szCs w:val="22"/>
        </w:rPr>
        <w:t xml:space="preserve"> seeks comment on the effect of the proposed interpretation, specifically whether the interpretation will burden online linear subscription video providers without a corresponding public interest benefit.  The Commission proposes this interpretation, however, because it believes that it will </w:t>
      </w:r>
      <w:r w:rsidR="00F1679A" w:rsidRPr="00E61E4D">
        <w:rPr>
          <w:color w:val="000000" w:themeColor="text1"/>
          <w:szCs w:val="22"/>
        </w:rPr>
        <w:t xml:space="preserve">provide </w:t>
      </w:r>
      <w:r w:rsidR="0015737E" w:rsidRPr="00E61E4D">
        <w:rPr>
          <w:color w:val="000000" w:themeColor="text1"/>
          <w:szCs w:val="22"/>
        </w:rPr>
        <w:t xml:space="preserve">small </w:t>
      </w:r>
      <w:r w:rsidR="00F1679A" w:rsidRPr="00E61E4D">
        <w:rPr>
          <w:color w:val="000000" w:themeColor="text1"/>
          <w:szCs w:val="22"/>
        </w:rPr>
        <w:t xml:space="preserve">entities with access to programming that will allow those entities to compete with larger incumbent providers.  </w:t>
      </w:r>
      <w:r w:rsidR="00B82337" w:rsidRPr="00E61E4D">
        <w:rPr>
          <w:color w:val="000000" w:themeColor="text1"/>
          <w:szCs w:val="22"/>
        </w:rPr>
        <w:t xml:space="preserve">The Commission understands that with MVPD status comes certain regulatory obligations (as summarized in Section D above), </w:t>
      </w:r>
      <w:r w:rsidR="004D246E" w:rsidRPr="00E61E4D">
        <w:rPr>
          <w:color w:val="000000" w:themeColor="text1"/>
          <w:szCs w:val="22"/>
        </w:rPr>
        <w:t>and</w:t>
      </w:r>
      <w:r w:rsidR="00B82337" w:rsidRPr="00E61E4D">
        <w:rPr>
          <w:color w:val="000000" w:themeColor="text1"/>
          <w:szCs w:val="22"/>
        </w:rPr>
        <w:t xml:space="preserve"> the Commission </w:t>
      </w:r>
      <w:r w:rsidR="004D246E" w:rsidRPr="00E61E4D">
        <w:rPr>
          <w:color w:val="000000" w:themeColor="text1"/>
          <w:szCs w:val="22"/>
        </w:rPr>
        <w:t xml:space="preserve">seeks comment on whether </w:t>
      </w:r>
      <w:r w:rsidR="00B82337" w:rsidRPr="00E61E4D">
        <w:rPr>
          <w:color w:val="000000" w:themeColor="text1"/>
          <w:szCs w:val="22"/>
        </w:rPr>
        <w:t>the regulatory privileges—</w:t>
      </w:r>
      <w:r w:rsidR="00B82337" w:rsidRPr="00E61E4D">
        <w:rPr>
          <w:i/>
          <w:color w:val="000000" w:themeColor="text1"/>
          <w:szCs w:val="22"/>
        </w:rPr>
        <w:t>i.e.</w:t>
      </w:r>
      <w:r w:rsidR="00B82337" w:rsidRPr="00E61E4D">
        <w:rPr>
          <w:color w:val="000000" w:themeColor="text1"/>
          <w:szCs w:val="22"/>
        </w:rPr>
        <w:t xml:space="preserve">, access to broadcast and cable-affiliated programming—outweigh those obligations.  </w:t>
      </w:r>
      <w:r w:rsidR="00F1679A" w:rsidRPr="00E61E4D">
        <w:rPr>
          <w:color w:val="000000" w:themeColor="text1"/>
          <w:szCs w:val="22"/>
        </w:rPr>
        <w:t xml:space="preserve">The Commission </w:t>
      </w:r>
      <w:r w:rsidR="004D246E" w:rsidRPr="00E61E4D">
        <w:rPr>
          <w:color w:val="000000" w:themeColor="text1"/>
          <w:szCs w:val="22"/>
        </w:rPr>
        <w:t xml:space="preserve">also </w:t>
      </w:r>
      <w:r w:rsidR="00F1679A" w:rsidRPr="00E61E4D">
        <w:rPr>
          <w:color w:val="000000" w:themeColor="text1"/>
          <w:szCs w:val="22"/>
        </w:rPr>
        <w:t>seeks comment on whether the interpretation will have the desired effect</w:t>
      </w:r>
      <w:r w:rsidR="004D246E" w:rsidRPr="00E61E4D">
        <w:rPr>
          <w:color w:val="000000" w:themeColor="text1"/>
          <w:szCs w:val="22"/>
        </w:rPr>
        <w:t xml:space="preserve"> of increasing video competition</w:t>
      </w:r>
      <w:r w:rsidR="00F1679A" w:rsidRPr="00E61E4D">
        <w:rPr>
          <w:color w:val="000000" w:themeColor="text1"/>
          <w:szCs w:val="22"/>
        </w:rPr>
        <w:t>.</w:t>
      </w:r>
      <w:r w:rsidR="00350AB9" w:rsidRPr="00E61E4D">
        <w:rPr>
          <w:color w:val="000000" w:themeColor="text1"/>
          <w:szCs w:val="22"/>
        </w:rPr>
        <w:t xml:space="preserve">  To limit the burdens on small entities, the Commission also seeks comment on whether to waive regulations to the extent allowable under the Communications Act.  And the Commission invites alternative interpretations of the term MVPD that would limit burdens on small entities.</w:t>
      </w:r>
    </w:p>
    <w:p w:rsidR="00184229" w:rsidRPr="00EA2EF6" w:rsidRDefault="00184229" w:rsidP="005E5F79">
      <w:pPr>
        <w:pStyle w:val="Heading2"/>
        <w:widowControl/>
      </w:pPr>
      <w:bookmarkStart w:id="821" w:name="_Toc263955120"/>
      <w:bookmarkStart w:id="822" w:name="_Toc264045080"/>
      <w:bookmarkStart w:id="823" w:name="_Toc264358622"/>
      <w:bookmarkStart w:id="824" w:name="_Toc264469661"/>
      <w:bookmarkStart w:id="825" w:name="_Toc264626503"/>
      <w:bookmarkStart w:id="826" w:name="_Toc382228456"/>
      <w:bookmarkStart w:id="827" w:name="_Toc384014176"/>
      <w:bookmarkStart w:id="828" w:name="_Toc384039703"/>
      <w:bookmarkStart w:id="829" w:name="_Toc395187317"/>
      <w:bookmarkStart w:id="830" w:name="_Toc398540317"/>
      <w:bookmarkStart w:id="831" w:name="_Toc398565539"/>
      <w:bookmarkStart w:id="832" w:name="_Toc398624374"/>
      <w:bookmarkStart w:id="833" w:name="_Toc398746631"/>
      <w:bookmarkStart w:id="834" w:name="_Toc399148335"/>
      <w:bookmarkStart w:id="835" w:name="_Toc399260553"/>
      <w:bookmarkStart w:id="836" w:name="_Toc399316569"/>
      <w:bookmarkStart w:id="837" w:name="_Toc401241731"/>
      <w:bookmarkStart w:id="838" w:name="_Toc401259733"/>
      <w:bookmarkStart w:id="839" w:name="_Toc401312857"/>
      <w:bookmarkStart w:id="840" w:name="_Toc401850565"/>
      <w:bookmarkStart w:id="841" w:name="_Toc402169663"/>
      <w:bookmarkStart w:id="842" w:name="_Toc405301047"/>
      <w:bookmarkStart w:id="843" w:name="_Toc405884751"/>
      <w:bookmarkStart w:id="844" w:name="_Toc406609241"/>
      <w:bookmarkStart w:id="845" w:name="start_from_here"/>
      <w:r w:rsidRPr="009D1D43">
        <w:t>Federal Rules that May Duplicate, Overlap, or C</w:t>
      </w:r>
      <w:r w:rsidRPr="00EA2EF6">
        <w:t>onflict With the Proposed Rule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184229" w:rsidRDefault="00184229" w:rsidP="005E5F79">
      <w:pPr>
        <w:pStyle w:val="ParaNum"/>
        <w:widowControl/>
        <w:numPr>
          <w:ilvl w:val="0"/>
          <w:numId w:val="0"/>
        </w:numPr>
        <w:spacing w:after="0"/>
        <w:rPr>
          <w:color w:val="000000" w:themeColor="text1"/>
          <w:szCs w:val="22"/>
        </w:rPr>
      </w:pPr>
      <w:r w:rsidRPr="00E61E4D">
        <w:rPr>
          <w:color w:val="000000" w:themeColor="text1"/>
          <w:szCs w:val="22"/>
        </w:rPr>
        <w:t xml:space="preserve"> </w:t>
      </w:r>
      <w:r w:rsidRPr="00E61E4D">
        <w:rPr>
          <w:color w:val="000000" w:themeColor="text1"/>
          <w:szCs w:val="22"/>
        </w:rPr>
        <w:tab/>
        <w:t>None.</w:t>
      </w:r>
    </w:p>
    <w:p w:rsidR="00C32F52" w:rsidRDefault="00C32F52" w:rsidP="005E5F79">
      <w:pPr>
        <w:pStyle w:val="ParaNum"/>
        <w:widowControl/>
        <w:numPr>
          <w:ilvl w:val="0"/>
          <w:numId w:val="0"/>
        </w:numPr>
        <w:spacing w:after="0"/>
        <w:rPr>
          <w:color w:val="000000" w:themeColor="text1"/>
          <w:szCs w:val="22"/>
        </w:rPr>
      </w:pPr>
    </w:p>
    <w:p w:rsidR="00C32F52" w:rsidRDefault="00C32F52">
      <w:pPr>
        <w:widowControl/>
        <w:rPr>
          <w:color w:val="000000" w:themeColor="text1"/>
          <w:szCs w:val="22"/>
        </w:rPr>
      </w:pPr>
      <w:r>
        <w:rPr>
          <w:color w:val="000000" w:themeColor="text1"/>
          <w:szCs w:val="22"/>
        </w:rPr>
        <w:br w:type="page"/>
      </w:r>
    </w:p>
    <w:p w:rsidR="00C32F52" w:rsidRPr="00C32F52" w:rsidRDefault="00C32F52" w:rsidP="00C32F52">
      <w:pPr>
        <w:jc w:val="center"/>
        <w:rPr>
          <w:b/>
          <w:szCs w:val="22"/>
        </w:rPr>
      </w:pPr>
      <w:r w:rsidRPr="00C32F52">
        <w:rPr>
          <w:b/>
          <w:szCs w:val="22"/>
        </w:rPr>
        <w:t>STATEMENT OF</w:t>
      </w:r>
    </w:p>
    <w:p w:rsidR="00C32F52" w:rsidRPr="00C32F52" w:rsidRDefault="00C32F52" w:rsidP="00C32F52">
      <w:pPr>
        <w:jc w:val="center"/>
        <w:rPr>
          <w:b/>
          <w:szCs w:val="22"/>
        </w:rPr>
      </w:pPr>
      <w:r w:rsidRPr="00C32F52">
        <w:rPr>
          <w:b/>
          <w:szCs w:val="22"/>
        </w:rPr>
        <w:t>CHAIRMAN TOM WHEELER</w:t>
      </w:r>
    </w:p>
    <w:p w:rsidR="00C32F52" w:rsidRDefault="00C32F52" w:rsidP="00C32F52">
      <w:pPr>
        <w:rPr>
          <w:szCs w:val="22"/>
        </w:rPr>
      </w:pPr>
    </w:p>
    <w:p w:rsidR="00C32F52" w:rsidRDefault="00C32F52" w:rsidP="00C32F52">
      <w:pPr>
        <w:ind w:left="720" w:hanging="720"/>
        <w:rPr>
          <w:szCs w:val="22"/>
        </w:rPr>
      </w:pPr>
      <w:r>
        <w:rPr>
          <w:szCs w:val="22"/>
        </w:rPr>
        <w:t>Re:</w:t>
      </w:r>
      <w:r>
        <w:rPr>
          <w:szCs w:val="22"/>
        </w:rPr>
        <w:tab/>
      </w:r>
      <w:r w:rsidRPr="00C32F52">
        <w:rPr>
          <w:i/>
          <w:color w:val="000000" w:themeColor="text1"/>
          <w:szCs w:val="22"/>
        </w:rPr>
        <w:t>Promoting Innovation and Competition in the Provision of Multichannel Video Programming Distribution Services</w:t>
      </w:r>
      <w:r>
        <w:rPr>
          <w:color w:val="000000" w:themeColor="text1"/>
          <w:szCs w:val="22"/>
        </w:rPr>
        <w:t>, MB Docket No. 14-</w:t>
      </w:r>
      <w:r w:rsidR="00CE3FB0">
        <w:rPr>
          <w:color w:val="000000" w:themeColor="text1"/>
          <w:szCs w:val="22"/>
        </w:rPr>
        <w:t>261.</w:t>
      </w:r>
    </w:p>
    <w:p w:rsidR="00C32F52" w:rsidRPr="00C32F52" w:rsidRDefault="00C32F52" w:rsidP="00C32F52">
      <w:pPr>
        <w:rPr>
          <w:szCs w:val="22"/>
        </w:rPr>
      </w:pPr>
    </w:p>
    <w:p w:rsidR="00C32F52" w:rsidRPr="00C32F52" w:rsidRDefault="00C32F52" w:rsidP="00C32F52">
      <w:pPr>
        <w:ind w:firstLine="720"/>
        <w:rPr>
          <w:szCs w:val="22"/>
        </w:rPr>
      </w:pPr>
      <w:r w:rsidRPr="00C32F52">
        <w:rPr>
          <w:szCs w:val="22"/>
        </w:rPr>
        <w:t>Today, we begin a process to expand Internet video competition with cable and satellite services.  Our proposal will mean more alternatives for consumers beyond the traditional cable or satellite bundle, including giving consumers more options to buy the programming they want.  When digital technology made video simply zeroes and ones, it opened up the opportunity for new Internet-based competition to cable and satellite services.  Yet efforts by new entrants to develop new video services have faltered because they could not get access to programming content that was owned by cable networks or broadcasters.</w:t>
      </w:r>
    </w:p>
    <w:p w:rsidR="00C32F52" w:rsidRPr="00C32F52" w:rsidRDefault="00C32F52" w:rsidP="00C32F52">
      <w:pPr>
        <w:ind w:firstLine="720"/>
        <w:rPr>
          <w:szCs w:val="22"/>
        </w:rPr>
      </w:pPr>
    </w:p>
    <w:p w:rsidR="00C32F52" w:rsidRPr="00C32F52" w:rsidRDefault="00C32F52" w:rsidP="00C32F52">
      <w:pPr>
        <w:rPr>
          <w:rFonts w:cs="Verdana"/>
          <w:szCs w:val="22"/>
        </w:rPr>
      </w:pPr>
      <w:r w:rsidRPr="00C32F52">
        <w:rPr>
          <w:szCs w:val="22"/>
        </w:rPr>
        <w:tab/>
        <w:t xml:space="preserve">With this Notice of Proposed Rulemaking, the Commission moves to </w:t>
      </w:r>
      <w:r w:rsidRPr="00C32F52">
        <w:rPr>
          <w:rFonts w:cs="Verdana"/>
          <w:szCs w:val="22"/>
        </w:rPr>
        <w:t xml:space="preserve">update the Commission’s rules to give video providers who operate over the Internet – or any other method of transmission – the same access to programming that cable and satellite operators have.  Big company control over access to programming should not keep programs from being available on the Internet.  Today, we propose to break that bottleneck.  </w:t>
      </w:r>
    </w:p>
    <w:p w:rsidR="00C32F52" w:rsidRPr="00C32F52" w:rsidRDefault="00C32F52" w:rsidP="00C32F52">
      <w:pPr>
        <w:rPr>
          <w:rFonts w:cs="Verdana"/>
          <w:szCs w:val="22"/>
        </w:rPr>
      </w:pPr>
    </w:p>
    <w:p w:rsidR="00C32F52" w:rsidRPr="00C32F52" w:rsidRDefault="00C32F52" w:rsidP="00C32F52">
      <w:pPr>
        <w:rPr>
          <w:szCs w:val="22"/>
        </w:rPr>
      </w:pPr>
      <w:r w:rsidRPr="00C32F52">
        <w:rPr>
          <w:rFonts w:cs="Verdana"/>
          <w:szCs w:val="22"/>
        </w:rPr>
        <w:tab/>
        <w:t xml:space="preserve">More specifically, we propose to update our interpretation of the definition of a multichannel video programming distributor (MVPD) to make it technology-neutral.  Video is </w:t>
      </w:r>
      <w:r w:rsidRPr="00C32F52">
        <w:rPr>
          <w:szCs w:val="22"/>
        </w:rPr>
        <w:t>no longer tied to a certain transmission technology, so our interpretation</w:t>
      </w:r>
      <w:r w:rsidRPr="00C32F52" w:rsidDel="000D6380">
        <w:rPr>
          <w:szCs w:val="22"/>
        </w:rPr>
        <w:t xml:space="preserve"> </w:t>
      </w:r>
      <w:r w:rsidRPr="00C32F52">
        <w:rPr>
          <w:szCs w:val="22"/>
        </w:rPr>
        <w:t xml:space="preserve">of MVPD should not be tied to transmission facilities. Under our proposal, any providers that make multiple linear streams of video programming available for purchase would be considered MVPDs, regardless of the technology used to deliver the programming.  The effect of this change will be to improve the availability of programming that over-the-top providers need and consumers want. </w:t>
      </w:r>
    </w:p>
    <w:p w:rsidR="00C32F52" w:rsidRPr="00C32F52" w:rsidRDefault="00C32F52" w:rsidP="00C32F52">
      <w:pPr>
        <w:rPr>
          <w:szCs w:val="22"/>
        </w:rPr>
      </w:pPr>
    </w:p>
    <w:p w:rsidR="00C32F52" w:rsidRPr="00C32F52" w:rsidRDefault="00C32F52" w:rsidP="00C32F52">
      <w:pPr>
        <w:ind w:firstLine="720"/>
        <w:rPr>
          <w:szCs w:val="22"/>
        </w:rPr>
      </w:pPr>
      <w:r w:rsidRPr="00C32F52">
        <w:rPr>
          <w:szCs w:val="22"/>
        </w:rPr>
        <w:t xml:space="preserve">History has shown us how such a change can expand consumer choice. Back in 1992, Congress said that DBS competitors should be able to negotiate in good faith for video content, even if it is owned by cable companies and broadcasters.  Greater access to high-demand content spurred the growth of the satellite video business in the 1990s. We propose to do the same thing for over-the-top video providers who deliver content, not via cable or satellite, but via the Internet.  </w:t>
      </w:r>
    </w:p>
    <w:p w:rsidR="00C32F52" w:rsidRPr="00C32F52" w:rsidRDefault="00C32F52" w:rsidP="00C32F52">
      <w:pPr>
        <w:ind w:firstLine="720"/>
        <w:rPr>
          <w:szCs w:val="22"/>
        </w:rPr>
      </w:pPr>
    </w:p>
    <w:p w:rsidR="00C32F52" w:rsidRPr="00C32F52" w:rsidRDefault="00C32F52" w:rsidP="00C32F52">
      <w:pPr>
        <w:ind w:firstLine="720"/>
        <w:rPr>
          <w:szCs w:val="22"/>
        </w:rPr>
      </w:pPr>
      <w:r w:rsidRPr="00C32F52">
        <w:rPr>
          <w:szCs w:val="22"/>
        </w:rPr>
        <w:t xml:space="preserve">By facilitating access to such content, we expect Internet-based linear programming services to develop as a competitor to cable and satellite. Consumers should have more opportunities to buy the channels they want instead of having to pay for channels they don’t want. </w:t>
      </w:r>
    </w:p>
    <w:p w:rsidR="00C32F52" w:rsidRPr="00C32F52" w:rsidRDefault="00C32F52" w:rsidP="00C32F52">
      <w:pPr>
        <w:ind w:firstLine="720"/>
        <w:rPr>
          <w:szCs w:val="22"/>
        </w:rPr>
      </w:pPr>
    </w:p>
    <w:p w:rsidR="00C32F52" w:rsidRPr="00C32F52" w:rsidRDefault="00C32F52" w:rsidP="00C32F52">
      <w:pPr>
        <w:ind w:firstLine="720"/>
        <w:rPr>
          <w:szCs w:val="22"/>
        </w:rPr>
      </w:pPr>
      <w:r w:rsidRPr="00C32F52">
        <w:rPr>
          <w:szCs w:val="22"/>
        </w:rPr>
        <w:t xml:space="preserve">Our proposals will also help stimulate additional broadband deployment.  An updated definition of MVPD would permit a new broadband competitor to offer customers the ability to reach a variety of over-the-top video packages, without having to enter the video business itself. </w:t>
      </w:r>
    </w:p>
    <w:p w:rsidR="00C32F52" w:rsidRPr="00C32F52" w:rsidRDefault="00C32F52" w:rsidP="00C32F52">
      <w:pPr>
        <w:ind w:firstLine="720"/>
        <w:rPr>
          <w:szCs w:val="22"/>
        </w:rPr>
      </w:pPr>
    </w:p>
    <w:p w:rsidR="00C32F52" w:rsidRDefault="00C32F52" w:rsidP="00C32F52">
      <w:pPr>
        <w:ind w:firstLine="720"/>
        <w:rPr>
          <w:szCs w:val="22"/>
        </w:rPr>
      </w:pPr>
      <w:r w:rsidRPr="00C32F52">
        <w:rPr>
          <w:szCs w:val="22"/>
        </w:rPr>
        <w:t xml:space="preserve"> This NPRM marks the beginning, not the end of the process. While it proposes to interpret the term MVPD to encompass distributors of multiple linear video programming streams, including Internet-based services, it also asks for comment on an alternative interpretation that would require an MVPD to have control over a transmission path. The NPRM also asks for comment on: </w:t>
      </w:r>
    </w:p>
    <w:p w:rsidR="00C32F52" w:rsidRPr="00C32F52" w:rsidRDefault="00C32F52" w:rsidP="00C32F52">
      <w:pPr>
        <w:pStyle w:val="ListParagraph"/>
        <w:numPr>
          <w:ilvl w:val="1"/>
          <w:numId w:val="69"/>
        </w:numPr>
        <w:spacing w:line="240" w:lineRule="auto"/>
      </w:pPr>
      <w:r w:rsidRPr="00C32F52">
        <w:t>How each interpretation would impact MVPDs, consumers, and content owners, and how each would promote competition and broadband adoption;</w:t>
      </w:r>
    </w:p>
    <w:p w:rsidR="00C32F52" w:rsidRPr="00C32F52" w:rsidRDefault="00C32F52" w:rsidP="00C32F52">
      <w:pPr>
        <w:pStyle w:val="ListParagraph"/>
        <w:numPr>
          <w:ilvl w:val="1"/>
          <w:numId w:val="69"/>
        </w:numPr>
        <w:spacing w:line="240" w:lineRule="auto"/>
      </w:pPr>
      <w:r w:rsidRPr="00C32F52">
        <w:t xml:space="preserve">How the Commission should apply its retransmission consent “good faith” negotiation rules with respect to Internet-based MVPDs to protect local broadcasters; and </w:t>
      </w:r>
    </w:p>
    <w:p w:rsidR="00C32F52" w:rsidRPr="00C32F52" w:rsidRDefault="00C32F52" w:rsidP="00C32F52">
      <w:pPr>
        <w:pStyle w:val="ListParagraph"/>
        <w:numPr>
          <w:ilvl w:val="1"/>
          <w:numId w:val="69"/>
        </w:numPr>
        <w:spacing w:line="240" w:lineRule="auto"/>
      </w:pPr>
      <w:r w:rsidRPr="00C32F52">
        <w:t>Whether these proposals would affect the regulatory status of IP-delivered video services by cable operators and DBS providers.</w:t>
      </w:r>
    </w:p>
    <w:p w:rsidR="00C32F52" w:rsidRPr="00C32F52" w:rsidRDefault="00C32F52" w:rsidP="00C32F52">
      <w:pPr>
        <w:ind w:firstLine="720"/>
        <w:rPr>
          <w:szCs w:val="22"/>
        </w:rPr>
      </w:pPr>
      <w:r w:rsidRPr="00C32F52">
        <w:rPr>
          <w:szCs w:val="22"/>
        </w:rPr>
        <w:t xml:space="preserve">This proposal is a big win for consumers and part of the Commission’s broader efforts to speed the transition to all-IP networks in a way that serves the public interest – enabling innovation, while preserving core values like competition and consumer choice. </w:t>
      </w:r>
    </w:p>
    <w:p w:rsidR="00C32F52" w:rsidRDefault="00C32F52" w:rsidP="005E5F79">
      <w:pPr>
        <w:pStyle w:val="ParaNum"/>
        <w:widowControl/>
        <w:numPr>
          <w:ilvl w:val="0"/>
          <w:numId w:val="0"/>
        </w:numPr>
        <w:spacing w:after="0"/>
        <w:rPr>
          <w:color w:val="000000" w:themeColor="text1"/>
          <w:szCs w:val="22"/>
        </w:rPr>
      </w:pPr>
    </w:p>
    <w:p w:rsidR="00CE3FB0" w:rsidRDefault="005020D7">
      <w:pPr>
        <w:widowControl/>
        <w:rPr>
          <w:color w:val="000000" w:themeColor="text1"/>
          <w:szCs w:val="22"/>
        </w:rPr>
      </w:pPr>
      <w:r>
        <w:rPr>
          <w:color w:val="000000" w:themeColor="text1"/>
          <w:szCs w:val="22"/>
        </w:rPr>
        <w:br w:type="page"/>
      </w:r>
    </w:p>
    <w:p w:rsidR="005020D7" w:rsidRPr="005020D7" w:rsidRDefault="005020D7" w:rsidP="005020D7">
      <w:pPr>
        <w:jc w:val="center"/>
        <w:rPr>
          <w:b/>
          <w:szCs w:val="22"/>
        </w:rPr>
      </w:pPr>
      <w:r w:rsidRPr="005020D7">
        <w:rPr>
          <w:b/>
          <w:szCs w:val="22"/>
        </w:rPr>
        <w:t xml:space="preserve">STATEMENT OF </w:t>
      </w:r>
    </w:p>
    <w:p w:rsidR="005020D7" w:rsidRDefault="005020D7" w:rsidP="005020D7">
      <w:pPr>
        <w:jc w:val="center"/>
        <w:rPr>
          <w:b/>
          <w:szCs w:val="22"/>
        </w:rPr>
      </w:pPr>
      <w:r w:rsidRPr="005020D7">
        <w:rPr>
          <w:b/>
          <w:szCs w:val="22"/>
        </w:rPr>
        <w:t>COMMISSIONER MIGNON L. CLYBURN</w:t>
      </w:r>
    </w:p>
    <w:p w:rsidR="005020D7" w:rsidRPr="005020D7" w:rsidRDefault="005020D7" w:rsidP="005020D7">
      <w:pPr>
        <w:jc w:val="center"/>
        <w:rPr>
          <w:b/>
          <w:szCs w:val="22"/>
        </w:rPr>
      </w:pPr>
    </w:p>
    <w:p w:rsidR="005020D7" w:rsidRDefault="005020D7" w:rsidP="005020D7">
      <w:pPr>
        <w:ind w:left="720" w:hanging="720"/>
        <w:rPr>
          <w:szCs w:val="22"/>
        </w:rPr>
      </w:pPr>
      <w:r>
        <w:rPr>
          <w:szCs w:val="22"/>
        </w:rPr>
        <w:t>Re:</w:t>
      </w:r>
      <w:r>
        <w:rPr>
          <w:szCs w:val="22"/>
        </w:rPr>
        <w:tab/>
      </w:r>
      <w:r w:rsidRPr="00C32F52">
        <w:rPr>
          <w:i/>
          <w:color w:val="000000" w:themeColor="text1"/>
          <w:szCs w:val="22"/>
        </w:rPr>
        <w:t>Promoting Innovation and Competition in the Provision of Multichannel Video Programming Distribution Services</w:t>
      </w:r>
      <w:r>
        <w:rPr>
          <w:color w:val="000000" w:themeColor="text1"/>
          <w:szCs w:val="22"/>
        </w:rPr>
        <w:t>, MB Docket No. 14-</w:t>
      </w:r>
      <w:r w:rsidR="00CE3FB0">
        <w:rPr>
          <w:color w:val="000000" w:themeColor="text1"/>
          <w:szCs w:val="22"/>
        </w:rPr>
        <w:t>261.</w:t>
      </w:r>
    </w:p>
    <w:p w:rsidR="005020D7" w:rsidRPr="00282A37" w:rsidRDefault="005020D7" w:rsidP="005020D7">
      <w:pPr>
        <w:contextualSpacing/>
        <w:jc w:val="center"/>
        <w:rPr>
          <w:sz w:val="24"/>
          <w:szCs w:val="24"/>
        </w:rPr>
      </w:pPr>
    </w:p>
    <w:p w:rsidR="005020D7" w:rsidRPr="005020D7" w:rsidRDefault="005020D7" w:rsidP="005020D7">
      <w:pPr>
        <w:ind w:firstLine="720"/>
        <w:rPr>
          <w:szCs w:val="22"/>
        </w:rPr>
      </w:pPr>
      <w:r w:rsidRPr="005020D7">
        <w:rPr>
          <w:szCs w:val="22"/>
        </w:rPr>
        <w:t xml:space="preserve">Change is both constant and continuous.  </w:t>
      </w:r>
    </w:p>
    <w:p w:rsidR="005020D7" w:rsidRPr="005020D7" w:rsidRDefault="005020D7" w:rsidP="005020D7">
      <w:pPr>
        <w:ind w:firstLine="720"/>
        <w:rPr>
          <w:szCs w:val="22"/>
        </w:rPr>
      </w:pPr>
    </w:p>
    <w:p w:rsidR="005020D7" w:rsidRPr="005020D7" w:rsidRDefault="005020D7" w:rsidP="005020D7">
      <w:pPr>
        <w:ind w:firstLine="720"/>
        <w:rPr>
          <w:szCs w:val="22"/>
        </w:rPr>
      </w:pPr>
      <w:r w:rsidRPr="005020D7">
        <w:rPr>
          <w:szCs w:val="22"/>
        </w:rPr>
        <w:t>As the media landscape evolves to reflect consumer demands and innovation, so too must our policies and regulatory regime.  This has been a constant refrain for the FCC, as we seek to keep pace with the invariable changes in the global communications market.</w:t>
      </w:r>
    </w:p>
    <w:p w:rsidR="005020D7" w:rsidRPr="005020D7" w:rsidRDefault="005020D7" w:rsidP="005020D7">
      <w:pPr>
        <w:ind w:firstLine="720"/>
        <w:rPr>
          <w:szCs w:val="22"/>
        </w:rPr>
      </w:pPr>
    </w:p>
    <w:p w:rsidR="005020D7" w:rsidRPr="005020D7" w:rsidRDefault="005020D7" w:rsidP="005020D7">
      <w:pPr>
        <w:ind w:firstLine="720"/>
        <w:rPr>
          <w:szCs w:val="22"/>
        </w:rPr>
      </w:pPr>
      <w:r w:rsidRPr="005020D7">
        <w:rPr>
          <w:szCs w:val="22"/>
        </w:rPr>
        <w:t>Our tastes, fashions, viewpoints and values are influenced by content transferred over our television, radio, desktop, or handheld devices, and for those providers of content, this presents opportunity and obstacles, and holds both risk and reward.</w:t>
      </w:r>
    </w:p>
    <w:p w:rsidR="005020D7" w:rsidRPr="005020D7" w:rsidRDefault="005020D7" w:rsidP="005020D7">
      <w:pPr>
        <w:ind w:firstLine="720"/>
        <w:rPr>
          <w:szCs w:val="22"/>
        </w:rPr>
      </w:pPr>
    </w:p>
    <w:p w:rsidR="005020D7" w:rsidRPr="005020D7" w:rsidRDefault="005020D7" w:rsidP="005020D7">
      <w:pPr>
        <w:ind w:firstLine="720"/>
        <w:rPr>
          <w:szCs w:val="22"/>
        </w:rPr>
      </w:pPr>
      <w:r w:rsidRPr="005020D7">
        <w:rPr>
          <w:szCs w:val="22"/>
        </w:rPr>
        <w:t>Sound regulation typically requires a careful balancing of competing interests.  In this context, it means our goals should be to define “multichannel video programming distributor” as broadly as possible to accommodate a new set of choices and offerings for consumers, while concurrently opening the avenue for innovation and new players.  Multiple channels of video programming, including linear video providers who may not own their own facilities, should be included.   We also want to insure that nascent, internet- based, services are not given competitive advantages over established MVPDs, who have well-defined obligations under the law.</w:t>
      </w:r>
    </w:p>
    <w:p w:rsidR="005020D7" w:rsidRPr="005020D7" w:rsidRDefault="005020D7" w:rsidP="005020D7">
      <w:pPr>
        <w:ind w:firstLine="720"/>
        <w:rPr>
          <w:szCs w:val="22"/>
        </w:rPr>
      </w:pPr>
    </w:p>
    <w:p w:rsidR="005020D7" w:rsidRPr="005020D7" w:rsidRDefault="005020D7" w:rsidP="005020D7">
      <w:pPr>
        <w:ind w:firstLine="720"/>
        <w:rPr>
          <w:szCs w:val="22"/>
        </w:rPr>
      </w:pPr>
      <w:r w:rsidRPr="005020D7">
        <w:rPr>
          <w:szCs w:val="22"/>
        </w:rPr>
        <w:t>With this vote, I believe we have adequately balanced these interests, by accomplishing three noteworthy public interest objectives:  First, and foremost, we seek to provide more choice for consumers – always a positive goal.  Second, we create a path for new entrants by encouraging a level playing-field of competition in a rich market.  Third, we modernize our regulations so they comport with the new realities of a dynamic industry, and remain relevant in a competitive market as a result.</w:t>
      </w:r>
    </w:p>
    <w:p w:rsidR="005020D7" w:rsidRPr="005020D7" w:rsidRDefault="005020D7" w:rsidP="005020D7">
      <w:pPr>
        <w:ind w:firstLine="720"/>
        <w:rPr>
          <w:szCs w:val="22"/>
        </w:rPr>
      </w:pPr>
    </w:p>
    <w:p w:rsidR="005020D7" w:rsidRPr="005020D7" w:rsidRDefault="005020D7" w:rsidP="005020D7">
      <w:pPr>
        <w:ind w:firstLine="720"/>
        <w:rPr>
          <w:szCs w:val="22"/>
        </w:rPr>
      </w:pPr>
      <w:r w:rsidRPr="005020D7">
        <w:rPr>
          <w:szCs w:val="22"/>
        </w:rPr>
        <w:t>As the video marketplace continues to grow in ways, perhaps, unforeseen, I believe today’s decision to expand the definition of MVPD will prove to be prescient.</w:t>
      </w:r>
    </w:p>
    <w:p w:rsidR="00CE3FB0" w:rsidRDefault="00CE3FB0" w:rsidP="00CE3FB0">
      <w:pPr>
        <w:ind w:left="720" w:hanging="720"/>
        <w:rPr>
          <w:szCs w:val="22"/>
        </w:rPr>
      </w:pPr>
      <w:r>
        <w:rPr>
          <w:szCs w:val="22"/>
        </w:rPr>
        <w:br w:type="page"/>
      </w:r>
    </w:p>
    <w:p w:rsidR="00CE3FB0" w:rsidRPr="005020D7" w:rsidRDefault="00CE3FB0" w:rsidP="00CE3FB0">
      <w:pPr>
        <w:jc w:val="center"/>
        <w:rPr>
          <w:b/>
          <w:szCs w:val="22"/>
        </w:rPr>
      </w:pPr>
      <w:r w:rsidRPr="005020D7">
        <w:rPr>
          <w:b/>
          <w:szCs w:val="22"/>
        </w:rPr>
        <w:t xml:space="preserve">STATEMENT OF </w:t>
      </w:r>
    </w:p>
    <w:p w:rsidR="00CE3FB0" w:rsidRDefault="00CE3FB0" w:rsidP="00CE3FB0">
      <w:pPr>
        <w:ind w:left="720" w:hanging="720"/>
        <w:jc w:val="center"/>
        <w:rPr>
          <w:b/>
          <w:szCs w:val="22"/>
        </w:rPr>
      </w:pPr>
      <w:r w:rsidRPr="005020D7">
        <w:rPr>
          <w:b/>
          <w:szCs w:val="22"/>
        </w:rPr>
        <w:t>COMMISSIONER</w:t>
      </w:r>
      <w:r>
        <w:rPr>
          <w:b/>
          <w:szCs w:val="22"/>
        </w:rPr>
        <w:t xml:space="preserve"> JESSICA ROSENWORCEL</w:t>
      </w:r>
    </w:p>
    <w:p w:rsidR="00CE3FB0" w:rsidRDefault="00CE3FB0" w:rsidP="00CE3FB0">
      <w:pPr>
        <w:ind w:left="720" w:hanging="720"/>
        <w:jc w:val="center"/>
        <w:rPr>
          <w:szCs w:val="22"/>
        </w:rPr>
      </w:pPr>
    </w:p>
    <w:p w:rsidR="00CE3FB0" w:rsidRDefault="00CE3FB0" w:rsidP="00CE3FB0">
      <w:pPr>
        <w:ind w:left="720" w:hanging="720"/>
        <w:rPr>
          <w:szCs w:val="22"/>
        </w:rPr>
      </w:pPr>
      <w:r>
        <w:rPr>
          <w:szCs w:val="22"/>
        </w:rPr>
        <w:t>Re:</w:t>
      </w:r>
      <w:r>
        <w:rPr>
          <w:szCs w:val="22"/>
        </w:rPr>
        <w:tab/>
      </w:r>
      <w:r w:rsidRPr="00C32F52">
        <w:rPr>
          <w:i/>
          <w:color w:val="000000" w:themeColor="text1"/>
          <w:szCs w:val="22"/>
        </w:rPr>
        <w:t>Promoting Innovation and Competition in the Provision of Multichannel Video Programming Distribution Services</w:t>
      </w:r>
      <w:r>
        <w:rPr>
          <w:color w:val="000000" w:themeColor="text1"/>
          <w:szCs w:val="22"/>
        </w:rPr>
        <w:t>, MB Docket No. 14-261.</w:t>
      </w:r>
    </w:p>
    <w:p w:rsidR="00D64DFA" w:rsidRPr="00D64DFA" w:rsidRDefault="00D64DFA" w:rsidP="00D64DFA">
      <w:pPr>
        <w:widowControl/>
        <w:rPr>
          <w:rFonts w:eastAsiaTheme="minorHAnsi"/>
          <w:snapToGrid/>
          <w:kern w:val="0"/>
          <w:szCs w:val="22"/>
        </w:rPr>
      </w:pPr>
    </w:p>
    <w:p w:rsidR="00D64DFA" w:rsidRPr="00D64DFA" w:rsidRDefault="00D64DFA" w:rsidP="00D64DFA">
      <w:pPr>
        <w:widowControl/>
        <w:rPr>
          <w:rFonts w:eastAsiaTheme="minorHAnsi"/>
          <w:snapToGrid/>
          <w:kern w:val="0"/>
          <w:szCs w:val="22"/>
        </w:rPr>
      </w:pPr>
      <w:r w:rsidRPr="00D64DFA">
        <w:rPr>
          <w:rFonts w:eastAsiaTheme="minorHAnsi"/>
          <w:snapToGrid/>
          <w:kern w:val="0"/>
          <w:sz w:val="24"/>
          <w:szCs w:val="24"/>
        </w:rPr>
        <w:tab/>
      </w:r>
      <w:r w:rsidRPr="00D64DFA">
        <w:rPr>
          <w:rFonts w:eastAsiaTheme="minorHAnsi"/>
          <w:snapToGrid/>
          <w:kern w:val="0"/>
          <w:szCs w:val="22"/>
        </w:rPr>
        <w:t xml:space="preserve">The future of watching video does not look like the past.  That’s because over the next few years, television will change more than it has over the last several decades.  </w:t>
      </w:r>
    </w:p>
    <w:p w:rsidR="00D64DFA" w:rsidRPr="00D64DFA" w:rsidRDefault="00D64DFA" w:rsidP="00D64DFA">
      <w:pPr>
        <w:widowControl/>
        <w:rPr>
          <w:rFonts w:eastAsiaTheme="minorHAnsi"/>
          <w:snapToGrid/>
          <w:kern w:val="0"/>
          <w:szCs w:val="22"/>
        </w:rPr>
      </w:pPr>
    </w:p>
    <w:p w:rsidR="00D64DFA" w:rsidRPr="00D64DFA" w:rsidRDefault="00D64DFA" w:rsidP="00D64DFA">
      <w:pPr>
        <w:widowControl/>
        <w:ind w:firstLine="720"/>
        <w:rPr>
          <w:rFonts w:eastAsiaTheme="minorHAnsi"/>
          <w:snapToGrid/>
          <w:kern w:val="0"/>
          <w:szCs w:val="22"/>
        </w:rPr>
      </w:pPr>
      <w:r w:rsidRPr="00D64DFA">
        <w:rPr>
          <w:rFonts w:eastAsiaTheme="minorHAnsi"/>
          <w:snapToGrid/>
          <w:kern w:val="0"/>
          <w:szCs w:val="22"/>
        </w:rPr>
        <w:t xml:space="preserve">The way we watch will change—where we watch, when we watch, and how we watch.  </w:t>
      </w:r>
    </w:p>
    <w:p w:rsidR="00D64DFA" w:rsidRPr="00D64DFA" w:rsidRDefault="00D64DFA" w:rsidP="00D64DFA">
      <w:pPr>
        <w:widowControl/>
        <w:rPr>
          <w:rFonts w:eastAsiaTheme="minorHAnsi"/>
          <w:snapToGrid/>
          <w:kern w:val="0"/>
          <w:szCs w:val="22"/>
        </w:rPr>
      </w:pPr>
      <w:r w:rsidRPr="00D64DFA">
        <w:rPr>
          <w:rFonts w:eastAsiaTheme="minorHAnsi"/>
          <w:snapToGrid/>
          <w:kern w:val="0"/>
          <w:szCs w:val="22"/>
        </w:rPr>
        <w:t xml:space="preserve">Families huddling together in one room basking in the glow of a single screen will give way to gatherings with many screens and multiple programs.  I know.  It is already happening with my family in my home—and it is surely happening in countless others just like it, all across the country.  </w:t>
      </w:r>
    </w:p>
    <w:p w:rsidR="00D64DFA" w:rsidRPr="00D64DFA" w:rsidRDefault="00D64DFA" w:rsidP="00D64DFA">
      <w:pPr>
        <w:widowControl/>
        <w:rPr>
          <w:rFonts w:eastAsiaTheme="minorHAnsi"/>
          <w:snapToGrid/>
          <w:kern w:val="0"/>
          <w:szCs w:val="22"/>
        </w:rPr>
      </w:pPr>
    </w:p>
    <w:p w:rsidR="00D64DFA" w:rsidRPr="00D64DFA" w:rsidRDefault="00D64DFA" w:rsidP="00D64DFA">
      <w:pPr>
        <w:widowControl/>
        <w:rPr>
          <w:rFonts w:eastAsiaTheme="minorHAnsi"/>
          <w:snapToGrid/>
          <w:kern w:val="0"/>
          <w:szCs w:val="22"/>
        </w:rPr>
      </w:pPr>
      <w:r w:rsidRPr="00D64DFA">
        <w:rPr>
          <w:rFonts w:eastAsiaTheme="minorHAnsi"/>
          <w:snapToGrid/>
          <w:kern w:val="0"/>
          <w:szCs w:val="22"/>
        </w:rPr>
        <w:tab/>
        <w:t xml:space="preserve">While online video has arrived, it is still in the early stages of development.  The world’s largest media companies and smallest upstarts are experimenting with innovative programming, business models, and pricing.  As a result, the video market is evolving at a breathtaking pace, driven by both new technology and changing consumer expectations.  </w:t>
      </w:r>
    </w:p>
    <w:p w:rsidR="00D64DFA" w:rsidRPr="00D64DFA" w:rsidRDefault="00D64DFA" w:rsidP="00D64DFA">
      <w:pPr>
        <w:widowControl/>
        <w:rPr>
          <w:rFonts w:eastAsiaTheme="minorHAnsi"/>
          <w:snapToGrid/>
          <w:kern w:val="0"/>
          <w:szCs w:val="22"/>
        </w:rPr>
      </w:pPr>
    </w:p>
    <w:p w:rsidR="00D64DFA" w:rsidRPr="00D64DFA" w:rsidRDefault="00D64DFA" w:rsidP="00D64DFA">
      <w:pPr>
        <w:widowControl/>
        <w:rPr>
          <w:rFonts w:eastAsiaTheme="minorHAnsi"/>
          <w:snapToGrid/>
          <w:kern w:val="0"/>
          <w:szCs w:val="22"/>
        </w:rPr>
      </w:pPr>
      <w:r w:rsidRPr="00D64DFA">
        <w:rPr>
          <w:rFonts w:eastAsiaTheme="minorHAnsi"/>
          <w:snapToGrid/>
          <w:kern w:val="0"/>
          <w:szCs w:val="22"/>
        </w:rPr>
        <w:tab/>
        <w:t xml:space="preserve">At the Commission we have an obligation to promote competition in the delivery of video services.  We have the authority to update our rules to reflect the fact that video services are being offered over new platforms.  We have the authority to interpret the statutory term multichannel video programming distributor (MVPD) to include providers of multiple streams of  linear, over-the-top television.  But I believe acknowledging authority is only the start of our inquiry.  We also need to consider if we should alter our rules—and how.  That’s because our answer will impact the kind of video offerings that come to the market, the speed with which they arrive, and the prices consumers pay.  </w:t>
      </w:r>
    </w:p>
    <w:p w:rsidR="00D64DFA" w:rsidRPr="00D64DFA" w:rsidRDefault="00D64DFA" w:rsidP="00D64DFA">
      <w:pPr>
        <w:widowControl/>
        <w:rPr>
          <w:rFonts w:eastAsiaTheme="minorHAnsi"/>
          <w:snapToGrid/>
          <w:kern w:val="0"/>
          <w:szCs w:val="22"/>
        </w:rPr>
      </w:pPr>
    </w:p>
    <w:p w:rsidR="00D64DFA" w:rsidRPr="00D64DFA" w:rsidRDefault="00D64DFA" w:rsidP="00D64DFA">
      <w:pPr>
        <w:widowControl/>
        <w:rPr>
          <w:rFonts w:eastAsiaTheme="minorHAnsi"/>
          <w:snapToGrid/>
          <w:kern w:val="0"/>
          <w:szCs w:val="22"/>
        </w:rPr>
      </w:pPr>
      <w:r w:rsidRPr="00D64DFA">
        <w:rPr>
          <w:rFonts w:eastAsiaTheme="minorHAnsi"/>
          <w:snapToGrid/>
          <w:kern w:val="0"/>
          <w:szCs w:val="22"/>
        </w:rPr>
        <w:tab/>
        <w:t>For this reason, I want to thank Chairman Wheeler and my colleagues for accommodating my request that this rulemaking seek comment on allowing, under certain circumstances, the ability to elect MVPD status.  New service types are emerging fast—faster than any rulemaking process at this agency.  What new video models succeed, what degree of self-curated viewing they enable, and what prices consumers are willing to pay are still up for grabs.  If this kind of election can be administered easily, new providers would be able to avoid the legal conundrum involved in determining the regulatory status of novel services, seeking regulatory exemption, or pursuing a wa</w:t>
      </w:r>
      <w:r w:rsidR="00BC5E77">
        <w:rPr>
          <w:rFonts w:eastAsiaTheme="minorHAnsi"/>
          <w:snapToGrid/>
          <w:kern w:val="0"/>
          <w:szCs w:val="22"/>
        </w:rPr>
        <w:t>iv</w:t>
      </w:r>
      <w:r w:rsidRPr="00D64DFA">
        <w:rPr>
          <w:rFonts w:eastAsiaTheme="minorHAnsi"/>
          <w:snapToGrid/>
          <w:kern w:val="0"/>
          <w:szCs w:val="22"/>
        </w:rPr>
        <w:t>er of our rules before launching in the market.  Moreover, this could be an elegant compromise for new services—between those who believe we should steer clear of policies for Internet-distributed video and those who believe clear rules are essential to get their service off the ground.</w:t>
      </w:r>
    </w:p>
    <w:p w:rsidR="00D64DFA" w:rsidRPr="00D64DFA" w:rsidRDefault="00D64DFA" w:rsidP="00D64DFA">
      <w:pPr>
        <w:widowControl/>
        <w:rPr>
          <w:rFonts w:eastAsiaTheme="minorHAnsi"/>
          <w:snapToGrid/>
          <w:kern w:val="0"/>
          <w:szCs w:val="22"/>
        </w:rPr>
      </w:pPr>
    </w:p>
    <w:p w:rsidR="00D64DFA" w:rsidRPr="00D64DFA" w:rsidRDefault="00D64DFA" w:rsidP="00D64DFA">
      <w:pPr>
        <w:widowControl/>
        <w:rPr>
          <w:rFonts w:eastAsiaTheme="minorHAnsi"/>
          <w:snapToGrid/>
          <w:kern w:val="0"/>
          <w:szCs w:val="22"/>
        </w:rPr>
      </w:pPr>
      <w:r w:rsidRPr="00D64DFA">
        <w:rPr>
          <w:rFonts w:eastAsiaTheme="minorHAnsi"/>
          <w:snapToGrid/>
          <w:kern w:val="0"/>
          <w:szCs w:val="22"/>
        </w:rPr>
        <w:tab/>
        <w:t xml:space="preserve">I look forward to the record that develops in response to the many questions in this rulemaking.  But more than that, I look forward to the wide range of innovative video services that are developing.  The future of watching—anytime and anywhere—is bound to be exciting. </w:t>
      </w:r>
    </w:p>
    <w:p w:rsidR="00CE3FB0" w:rsidRDefault="00CE3FB0">
      <w:pPr>
        <w:widowControl/>
        <w:rPr>
          <w:szCs w:val="22"/>
        </w:rPr>
      </w:pPr>
    </w:p>
    <w:p w:rsidR="00CE3FB0" w:rsidRDefault="00CE3FB0">
      <w:pPr>
        <w:widowControl/>
        <w:rPr>
          <w:szCs w:val="22"/>
        </w:rPr>
      </w:pPr>
    </w:p>
    <w:p w:rsidR="00CE3FB0" w:rsidRDefault="00CE3FB0">
      <w:pPr>
        <w:widowControl/>
        <w:rPr>
          <w:szCs w:val="22"/>
        </w:rPr>
      </w:pPr>
    </w:p>
    <w:p w:rsidR="00CE3FB0" w:rsidRDefault="00CE3FB0">
      <w:pPr>
        <w:widowControl/>
        <w:rPr>
          <w:szCs w:val="22"/>
        </w:rPr>
        <w:sectPr w:rsidR="00CE3FB0" w:rsidSect="00CD1521">
          <w:headerReference w:type="default" r:id="rId25"/>
          <w:footerReference w:type="default" r:id="rId26"/>
          <w:footnotePr>
            <w:numRestart w:val="eachSect"/>
          </w:footnotePr>
          <w:endnotePr>
            <w:numFmt w:val="decimal"/>
          </w:endnotePr>
          <w:pgSz w:w="12240" w:h="15840"/>
          <w:pgMar w:top="1265" w:right="1440" w:bottom="720" w:left="1440" w:header="630" w:footer="720" w:gutter="0"/>
          <w:cols w:space="720"/>
          <w:noEndnote/>
          <w:docGrid w:linePitch="299"/>
        </w:sectPr>
      </w:pPr>
    </w:p>
    <w:p w:rsidR="00CE3FB0" w:rsidRPr="00CE3FB0" w:rsidRDefault="00CE3FB0" w:rsidP="00CE3FB0">
      <w:pPr>
        <w:widowControl/>
        <w:spacing w:after="240"/>
        <w:jc w:val="center"/>
        <w:rPr>
          <w:rFonts w:eastAsiaTheme="minorHAnsi"/>
          <w:b/>
          <w:snapToGrid/>
          <w:kern w:val="0"/>
          <w:szCs w:val="22"/>
        </w:rPr>
      </w:pPr>
      <w:r w:rsidRPr="00CE3FB0">
        <w:rPr>
          <w:rFonts w:eastAsiaTheme="minorHAnsi"/>
          <w:b/>
          <w:snapToGrid/>
          <w:kern w:val="0"/>
          <w:szCs w:val="22"/>
        </w:rPr>
        <w:t>CONCURRING STATEMENT OF</w:t>
      </w:r>
      <w:r w:rsidRPr="00CE3FB0">
        <w:rPr>
          <w:rFonts w:eastAsiaTheme="minorHAnsi"/>
          <w:b/>
          <w:snapToGrid/>
          <w:kern w:val="0"/>
          <w:szCs w:val="22"/>
        </w:rPr>
        <w:br/>
        <w:t>COMMISSIONER AJIT PAI</w:t>
      </w:r>
    </w:p>
    <w:p w:rsidR="00CE3FB0" w:rsidRPr="00CE3FB0" w:rsidRDefault="00CE3FB0" w:rsidP="00CE3FB0">
      <w:pPr>
        <w:widowControl/>
        <w:spacing w:after="120"/>
        <w:ind w:left="720" w:hanging="720"/>
        <w:rPr>
          <w:rFonts w:eastAsiaTheme="minorHAnsi"/>
          <w:snapToGrid/>
          <w:kern w:val="0"/>
          <w:szCs w:val="22"/>
        </w:rPr>
      </w:pPr>
      <w:r w:rsidRPr="00CE3FB0">
        <w:rPr>
          <w:rFonts w:eastAsiaTheme="minorHAnsi"/>
          <w:snapToGrid/>
          <w:kern w:val="0"/>
          <w:szCs w:val="22"/>
        </w:rPr>
        <w:t>Re:</w:t>
      </w:r>
      <w:r w:rsidRPr="00CE3FB0">
        <w:rPr>
          <w:rFonts w:eastAsiaTheme="minorHAnsi"/>
          <w:snapToGrid/>
          <w:kern w:val="0"/>
          <w:szCs w:val="22"/>
        </w:rPr>
        <w:tab/>
      </w:r>
      <w:r w:rsidRPr="00CE3FB0">
        <w:rPr>
          <w:rFonts w:eastAsiaTheme="minorHAnsi"/>
          <w:i/>
          <w:snapToGrid/>
          <w:kern w:val="0"/>
          <w:szCs w:val="22"/>
        </w:rPr>
        <w:t>Promoting Innovation and Competition in the Provision of Multichannel Video Programming Distribution Service</w:t>
      </w:r>
      <w:r>
        <w:rPr>
          <w:rFonts w:eastAsiaTheme="minorHAnsi"/>
          <w:snapToGrid/>
          <w:kern w:val="0"/>
          <w:szCs w:val="22"/>
        </w:rPr>
        <w:t>, MB Docket No. 14-261</w:t>
      </w:r>
      <w:r w:rsidRPr="00CE3FB0">
        <w:rPr>
          <w:rFonts w:eastAsiaTheme="minorHAnsi"/>
          <w:snapToGrid/>
          <w:kern w:val="0"/>
          <w:szCs w:val="22"/>
        </w:rPr>
        <w:t>.</w:t>
      </w:r>
    </w:p>
    <w:p w:rsidR="00CE3FB0" w:rsidRPr="00CE3FB0" w:rsidRDefault="00CE3FB0" w:rsidP="00CE3FB0">
      <w:pPr>
        <w:widowControl/>
        <w:spacing w:after="120"/>
        <w:ind w:firstLine="720"/>
        <w:rPr>
          <w:rFonts w:eastAsiaTheme="minorHAnsi"/>
          <w:snapToGrid/>
          <w:kern w:val="0"/>
          <w:szCs w:val="22"/>
        </w:rPr>
      </w:pPr>
      <w:r w:rsidRPr="00CE3FB0">
        <w:rPr>
          <w:rFonts w:eastAsiaTheme="minorHAnsi"/>
          <w:snapToGrid/>
          <w:kern w:val="0"/>
          <w:szCs w:val="22"/>
        </w:rPr>
        <w:t>The video marketplace is changing, and changing fast.  Internet-based video distribution—a flickering hope at the dawn of the Internet age—is a real and growing phenomenon.  New entrants are cutting new paths, while established competitors are feeling pressure to adapt their business models.  More than ever before, consumers are in the driver’s seat when it comes to video content.</w:t>
      </w:r>
    </w:p>
    <w:p w:rsidR="00CE3FB0" w:rsidRPr="00CE3FB0" w:rsidRDefault="00CE3FB0" w:rsidP="00CE3FB0">
      <w:pPr>
        <w:widowControl/>
        <w:spacing w:after="120"/>
        <w:ind w:firstLine="720"/>
        <w:rPr>
          <w:rFonts w:eastAsiaTheme="minorHAnsi"/>
          <w:snapToGrid/>
          <w:kern w:val="0"/>
          <w:szCs w:val="22"/>
        </w:rPr>
      </w:pPr>
      <w:r w:rsidRPr="00CE3FB0">
        <w:rPr>
          <w:rFonts w:eastAsiaTheme="minorHAnsi"/>
          <w:snapToGrid/>
          <w:kern w:val="0"/>
          <w:szCs w:val="22"/>
        </w:rPr>
        <w:t>In evolving markets like these, the government should be hesitant to extend the outdated regulations and classifications of old.  It’s for this reason that I can’t vote to approve this Notice of Proposed Rulemaking.  In my view, the Commission’s fundamental proposal—that certain Internet-based distributors of video programming should be regulated as multichannel video programming distributors (MVPDs), a mouthful of a term older than Internet video itself—is premature.  And the legal analysis contained in the Notice is heavily slanted to support that result.</w:t>
      </w:r>
    </w:p>
    <w:p w:rsidR="00CE3FB0" w:rsidRPr="00CE3FB0" w:rsidRDefault="00CE3FB0" w:rsidP="00CE3FB0">
      <w:pPr>
        <w:widowControl/>
        <w:spacing w:after="120"/>
        <w:ind w:firstLine="720"/>
        <w:rPr>
          <w:rFonts w:eastAsiaTheme="minorHAnsi"/>
          <w:snapToGrid/>
          <w:kern w:val="0"/>
          <w:szCs w:val="22"/>
        </w:rPr>
      </w:pPr>
      <w:r w:rsidRPr="00CE3FB0">
        <w:rPr>
          <w:rFonts w:eastAsiaTheme="minorHAnsi"/>
          <w:snapToGrid/>
          <w:kern w:val="0"/>
          <w:szCs w:val="22"/>
        </w:rPr>
        <w:t>To be sure, this proposal is being packaged as a way to increase video competition.   But given the dramatic, organic explosion in online video content over the last few years, I have my doubts as to whether additional regulation in this space is necessary.  Indeed, I fear that it could impede continued innovation.  I am also worried that this proposal will pave the way for more comprehensive regulation of Internet-based services.</w:t>
      </w:r>
    </w:p>
    <w:p w:rsidR="00CE3FB0" w:rsidRPr="00CE3FB0" w:rsidRDefault="00CE3FB0" w:rsidP="00CE3FB0">
      <w:pPr>
        <w:widowControl/>
        <w:spacing w:after="120"/>
        <w:ind w:firstLine="720"/>
        <w:rPr>
          <w:rFonts w:eastAsiaTheme="minorHAnsi"/>
          <w:snapToGrid/>
          <w:kern w:val="0"/>
          <w:szCs w:val="22"/>
        </w:rPr>
      </w:pPr>
      <w:r w:rsidRPr="00CE3FB0">
        <w:rPr>
          <w:rFonts w:eastAsiaTheme="minorHAnsi"/>
          <w:snapToGrid/>
          <w:kern w:val="0"/>
          <w:szCs w:val="22"/>
        </w:rPr>
        <w:t>Nonetheless, I am voting to concur for two reasons.  First, I agree that it is time for the Commission to resolve the question of whether Internet-based distributors of video programming can be MVPDs, an issue that has been pending at the Commission for over four years.  And second, the Notice has improved significantly since it was first circulated, as a result of changes that Commissioner O’Rielly, Commissioner Rosenworcel, and I suggested.</w:t>
      </w:r>
    </w:p>
    <w:p w:rsidR="00CE3FB0" w:rsidRPr="00CE3FB0" w:rsidRDefault="00CE3FB0" w:rsidP="00CE3FB0">
      <w:pPr>
        <w:widowControl/>
        <w:spacing w:after="120"/>
        <w:ind w:firstLine="720"/>
        <w:rPr>
          <w:rFonts w:eastAsiaTheme="minorHAnsi"/>
          <w:snapToGrid/>
          <w:kern w:val="0"/>
          <w:szCs w:val="22"/>
        </w:rPr>
      </w:pPr>
      <w:r w:rsidRPr="00CE3FB0">
        <w:rPr>
          <w:rFonts w:eastAsiaTheme="minorHAnsi"/>
          <w:snapToGrid/>
          <w:kern w:val="0"/>
          <w:szCs w:val="22"/>
        </w:rPr>
        <w:t>Among other things, the Notice now tentatively concludes that programmers’ websites should be shielded from additional regulation.  It also tentatively concludes that there should be regulatory parity between cable operators offering video programming over the Internet and other entities doing the same.  Additionally, it asks in a more forthright manner about the interplay between the Commission’s regulatory decisions and decisions that will need to be made independently by the U.S. Copyright Office.  In particular, if the Commission were to decide that Internet-based distributors of video programming are MVPDs, subjecting broadcasters to the obligation to negotiate in good faith with them regarding retransmission consent, what would it mean in practice if the Copyright Office maintained its position that such Internet-based distributors do not qualify for the compulsory license?  Would that be a workable regulatory scheme?  While I had hoped to get public input on other questions as well,</w:t>
      </w:r>
      <w:r w:rsidRPr="00CE3FB0">
        <w:rPr>
          <w:rFonts w:eastAsiaTheme="minorHAnsi"/>
          <w:snapToGrid/>
          <w:kern w:val="0"/>
          <w:szCs w:val="22"/>
          <w:vertAlign w:val="superscript"/>
        </w:rPr>
        <w:footnoteReference w:id="343"/>
      </w:r>
      <w:r w:rsidRPr="00CE3FB0">
        <w:rPr>
          <w:rFonts w:eastAsiaTheme="minorHAnsi"/>
          <w:snapToGrid/>
          <w:kern w:val="0"/>
          <w:szCs w:val="22"/>
        </w:rPr>
        <w:t xml:space="preserve"> doing so with respect to the issues mentioned above is significant.</w:t>
      </w:r>
    </w:p>
    <w:p w:rsidR="00CE3FB0" w:rsidRPr="00CE3FB0" w:rsidRDefault="00CE3FB0" w:rsidP="00CE3FB0">
      <w:pPr>
        <w:widowControl/>
        <w:spacing w:after="120"/>
        <w:ind w:firstLine="720"/>
        <w:rPr>
          <w:rFonts w:eastAsiaTheme="minorHAnsi" w:cstheme="minorBidi"/>
          <w:snapToGrid/>
          <w:kern w:val="0"/>
          <w:szCs w:val="22"/>
        </w:rPr>
      </w:pPr>
      <w:r w:rsidRPr="00CE3FB0">
        <w:rPr>
          <w:rFonts w:eastAsiaTheme="minorHAnsi"/>
          <w:snapToGrid/>
          <w:kern w:val="0"/>
          <w:szCs w:val="22"/>
        </w:rPr>
        <w:t>I look forward to reviewing the record compiled in response to this Notice and to working collaboratively with my colleagues to create a regulatory framework that preserves for many years more what millions of consumers view as a golden age of video.</w:t>
      </w:r>
    </w:p>
    <w:p w:rsidR="00CE3FB0" w:rsidRDefault="00CE3FB0">
      <w:pPr>
        <w:widowControl/>
        <w:rPr>
          <w:szCs w:val="22"/>
        </w:rPr>
        <w:sectPr w:rsidR="00CE3FB0" w:rsidSect="00E61E4D">
          <w:footerReference w:type="first" r:id="rId27"/>
          <w:footnotePr>
            <w:numRestart w:val="eachSect"/>
          </w:footnotePr>
          <w:endnotePr>
            <w:numFmt w:val="decimal"/>
          </w:endnotePr>
          <w:pgSz w:w="12240" w:h="15840"/>
          <w:pgMar w:top="1265" w:right="1440" w:bottom="720" w:left="1440" w:header="630" w:footer="720" w:gutter="0"/>
          <w:cols w:space="720"/>
          <w:noEndnote/>
          <w:titlePg/>
          <w:docGrid w:linePitch="299"/>
        </w:sectPr>
      </w:pPr>
    </w:p>
    <w:p w:rsidR="00CE3FB0" w:rsidRDefault="00CE3FB0" w:rsidP="00CE3FB0">
      <w:pPr>
        <w:widowControl/>
        <w:jc w:val="center"/>
        <w:rPr>
          <w:rFonts w:eastAsiaTheme="minorHAnsi"/>
          <w:b/>
          <w:snapToGrid/>
          <w:kern w:val="0"/>
          <w:szCs w:val="22"/>
        </w:rPr>
      </w:pPr>
      <w:r>
        <w:rPr>
          <w:rFonts w:eastAsiaTheme="minorHAnsi"/>
          <w:b/>
          <w:snapToGrid/>
          <w:kern w:val="0"/>
          <w:szCs w:val="22"/>
        </w:rPr>
        <w:t xml:space="preserve">CONCURRING STATEMENT OF </w:t>
      </w:r>
    </w:p>
    <w:p w:rsidR="00CE3FB0" w:rsidRPr="00CE3FB0" w:rsidRDefault="00CE3FB0" w:rsidP="00CE3FB0">
      <w:pPr>
        <w:widowControl/>
        <w:jc w:val="center"/>
        <w:rPr>
          <w:rFonts w:eastAsiaTheme="minorHAnsi"/>
          <w:b/>
          <w:snapToGrid/>
          <w:kern w:val="0"/>
          <w:szCs w:val="22"/>
        </w:rPr>
      </w:pPr>
      <w:r>
        <w:rPr>
          <w:rFonts w:eastAsiaTheme="minorHAnsi"/>
          <w:b/>
          <w:snapToGrid/>
          <w:kern w:val="0"/>
          <w:szCs w:val="22"/>
        </w:rPr>
        <w:t>COMMISSIONER MICHAEL O’RIELLY</w:t>
      </w:r>
    </w:p>
    <w:p w:rsidR="00CE3FB0" w:rsidRPr="00CE3FB0" w:rsidRDefault="00CE3FB0" w:rsidP="00CE3FB0">
      <w:pPr>
        <w:widowControl/>
        <w:jc w:val="center"/>
        <w:rPr>
          <w:rFonts w:eastAsiaTheme="minorHAnsi"/>
          <w:b/>
          <w:snapToGrid/>
          <w:kern w:val="0"/>
          <w:szCs w:val="22"/>
        </w:rPr>
      </w:pPr>
    </w:p>
    <w:p w:rsidR="00CE3FB0" w:rsidRPr="00CE3FB0" w:rsidRDefault="00CE3FB0" w:rsidP="00CE3FB0">
      <w:pPr>
        <w:widowControl/>
        <w:ind w:left="720" w:hanging="720"/>
        <w:rPr>
          <w:rFonts w:eastAsiaTheme="minorHAnsi"/>
          <w:snapToGrid/>
          <w:kern w:val="0"/>
          <w:szCs w:val="22"/>
        </w:rPr>
      </w:pPr>
      <w:r w:rsidRPr="00CE3FB0">
        <w:rPr>
          <w:rFonts w:eastAsiaTheme="minorHAnsi"/>
          <w:i/>
          <w:snapToGrid/>
          <w:kern w:val="0"/>
          <w:szCs w:val="22"/>
        </w:rPr>
        <w:t xml:space="preserve">Re: </w:t>
      </w:r>
      <w:r w:rsidRPr="00CE3FB0">
        <w:rPr>
          <w:rFonts w:eastAsiaTheme="minorHAnsi"/>
          <w:i/>
          <w:snapToGrid/>
          <w:kern w:val="0"/>
          <w:szCs w:val="22"/>
        </w:rPr>
        <w:tab/>
        <w:t>Promoting Innovation and Competition in the Provision of Multichannel Video Programming Di</w:t>
      </w:r>
      <w:r>
        <w:rPr>
          <w:rFonts w:eastAsiaTheme="minorHAnsi"/>
          <w:i/>
          <w:snapToGrid/>
          <w:kern w:val="0"/>
          <w:szCs w:val="22"/>
        </w:rPr>
        <w:t xml:space="preserve">stribution Services, </w:t>
      </w:r>
      <w:r w:rsidRPr="00CE3FB0">
        <w:rPr>
          <w:rFonts w:eastAsiaTheme="minorHAnsi"/>
          <w:snapToGrid/>
          <w:kern w:val="0"/>
          <w:szCs w:val="22"/>
        </w:rPr>
        <w:t>MB Docket No</w:t>
      </w:r>
      <w:r w:rsidRPr="00CE3FB0">
        <w:rPr>
          <w:rFonts w:eastAsiaTheme="minorHAnsi"/>
          <w:i/>
          <w:snapToGrid/>
          <w:kern w:val="0"/>
          <w:szCs w:val="22"/>
        </w:rPr>
        <w:t xml:space="preserve">. </w:t>
      </w:r>
      <w:r w:rsidRPr="00CE3FB0">
        <w:rPr>
          <w:rFonts w:eastAsiaTheme="minorHAnsi"/>
          <w:snapToGrid/>
          <w:kern w:val="0"/>
          <w:szCs w:val="22"/>
        </w:rPr>
        <w:t>14-261</w:t>
      </w:r>
      <w:r>
        <w:rPr>
          <w:rFonts w:eastAsiaTheme="minorHAnsi"/>
          <w:snapToGrid/>
          <w:kern w:val="0"/>
          <w:szCs w:val="22"/>
        </w:rPr>
        <w:t>.</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I marvel at and embrace what the Internet and the many innovative programmers and designers have been able to bring to the world.  Over the last 20 years or so, the Internet has revolutionized all communication capabilities.  It is the ultimate disruptive force.  Nowhere is this more evident than in the offering of video programming.  According to industry experts, video already accounts for two-thirds of U.S. Internet traffic today and is estimated to increase to approximately 80 percent in just three years.</w:t>
      </w:r>
      <w:r w:rsidRPr="00CE3FB0">
        <w:rPr>
          <w:rFonts w:eastAsiaTheme="minorHAnsi"/>
          <w:snapToGrid/>
          <w:kern w:val="0"/>
          <w:szCs w:val="22"/>
          <w:vertAlign w:val="superscript"/>
        </w:rPr>
        <w:footnoteReference w:id="344"/>
      </w:r>
      <w:r w:rsidRPr="00CE3FB0">
        <w:rPr>
          <w:rFonts w:eastAsiaTheme="minorHAnsi"/>
          <w:snapToGrid/>
          <w:kern w:val="0"/>
          <w:szCs w:val="22"/>
        </w:rPr>
        <w:t xml:space="preserve">  Once the domain of a few select providers, the video marketplace is changing right before our very eyes.  Business models are adapting on the fly, and a robust video offering on the Internet is becoming more of a necessity for those companies seeking to compete in the years ahead.    </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 xml:space="preserve">With all of this dynamism in the online video marketplace, it makes this item particularly puzzling.  While I can appreciate that the Commission may be trying to be forward looking, this item misses the mark.  The Internet—and online video in particular—has grown to where it is today outside of our regulatory clutches, and the FCC trying to jump into this space now, especially without clear direction provided by the Congress, is highly questionable.  As a government agency with little to no authority over the Internet, the best thing that the Commission can do is not get in the way. </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Although I am amenable to seeking comment on these ideas and will concur to this notice, I am unlikely to support a future order based on the central proposal set forth in today’s item.  Specifically, it sets up a regime to treat an over-the-top (OTT) video programming provider as a Multichannel Video Programming Distributor (MVPD) if it is offering multiple streams of prescheduled video programming.  I am concerned that the Commission’s actions—either intentionally or unintentionally—may skew the marketplace in a harmful way.  For instance, OTT video providers may seek to follow this model, if adopted, in order to take advantage of some of the perceived benefits instead of pursuing other more promising or innovative offerings that the market and consumers may prefer.  Or, will some entities decide not to pursue a linear online offering—or worse remove content from the Internet—because of regulation?  The structure proposed could have significant unintended consequences on this nascent industry still trying to define itself in the immediate term and on the entire video industry in the years to come.  So why are we doing this?</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 xml:space="preserve">A review of the supposed benefits of the item results in a short and undistinguished list.  For instance, declaring an OTT video offering as an MVPD would allow it to take advantage of the Commission’s Program Access and Retransmission Consent Rules.  These prevent certain entities from improperly withholding cable-affiliated programming from competitors and require that negotiations between parties for broadcast programming be in good faith.  These rules, however, do not guarantee a successful outcome, which is determined by private marketplace negotiations; they only bring parties to the table.  But, OTT video providers are doing more than just talking these days.  You only have to look at the deals cut by Sony, Dish and others to see that negotiations can commence and agreements can be struck without FCC involvement.                 </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It has also been asserted by some people that, as a response to Commission action, the Registrar of Copyrights at the United States Copyright Office could extend compulsory copyright to online video programmers wishing to transmit broadcast signals.  My indications are that the Copyright Office is not poised to act nor seeking our advice or input.  Moreover, having spent some time over the years working on potential amendments to the Copyright Act, I am not sure how much flexibility the Registrar would have to deem an MVPD potentially covered by this item as eligible for a compulsory copyright license.  In fact, the U.S. District Court for the Southern District of New York has stated that being like a cable system does not make it a cable system for purposes of a compulsory copyright license.</w:t>
      </w:r>
      <w:r w:rsidRPr="00CE3FB0">
        <w:rPr>
          <w:rFonts w:eastAsiaTheme="minorHAnsi"/>
          <w:snapToGrid/>
          <w:kern w:val="0"/>
          <w:szCs w:val="22"/>
          <w:vertAlign w:val="superscript"/>
        </w:rPr>
        <w:footnoteReference w:id="345"/>
      </w:r>
      <w:r w:rsidRPr="00CE3FB0">
        <w:rPr>
          <w:rFonts w:eastAsiaTheme="minorHAnsi"/>
          <w:snapToGrid/>
          <w:kern w:val="0"/>
          <w:szCs w:val="22"/>
        </w:rPr>
        <w:t xml:space="preserve">  Likewise, the statute seems to be fairly clear in its use of the terms “cable system” and “satellite carrier,” as opposed to “MVPD.”</w:t>
      </w:r>
      <w:r w:rsidRPr="00CE3FB0">
        <w:rPr>
          <w:rFonts w:eastAsiaTheme="minorHAnsi"/>
          <w:snapToGrid/>
          <w:kern w:val="0"/>
          <w:szCs w:val="22"/>
          <w:vertAlign w:val="superscript"/>
        </w:rPr>
        <w:footnoteReference w:id="346"/>
      </w:r>
      <w:r w:rsidRPr="00CE3FB0">
        <w:rPr>
          <w:rFonts w:eastAsiaTheme="minorHAnsi"/>
          <w:snapToGrid/>
          <w:kern w:val="0"/>
          <w:szCs w:val="22"/>
        </w:rPr>
        <w:t xml:space="preserve">       </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 xml:space="preserve">While there may be a few tangible upsides to this item, there are also potential downsides.  And this regime is not permissive; if an OTT meets the criteria, the Commission would presumably declare the OTT to be an MVPD—even if the OTT doesn’t want such a declaration.   I hope to engage with stakeholders going forward to understand how these burdens could impact current and future business models or plans.  </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 xml:space="preserve">Moreover, I am deeply concerned by the suggestion that a cable-affiliated network could be required to obtain the online rights to all of its programs, which it may not own today, to make them available to OTT MVPDs.  This suggested mandate would occur even if the cable provider didn’t want the rights for its own business purposes.  In effect, we would be forcing a company to negotiate and purchase copyrights for purposes of selling a more complete video package to an OTT MVPD.  Really?  Not only is this beyond offensive, it may just violate the U.S. Constitution.  It is extremely unlikely that I would support such a requirement in any final version, and it may taint my view of an entire item.                 </w:t>
      </w:r>
    </w:p>
    <w:p w:rsidR="00CE3FB0" w:rsidRPr="00CE3FB0" w:rsidRDefault="00CE3FB0" w:rsidP="00CE3FB0">
      <w:pPr>
        <w:widowControl/>
        <w:rPr>
          <w:rFonts w:eastAsiaTheme="minorHAnsi"/>
          <w:snapToGrid/>
          <w:kern w:val="0"/>
          <w:szCs w:val="22"/>
        </w:rPr>
      </w:pPr>
      <w:r w:rsidRPr="00CE3FB0">
        <w:rPr>
          <w:rFonts w:eastAsiaTheme="minorHAnsi"/>
          <w:snapToGrid/>
          <w:kern w:val="0"/>
          <w:szCs w:val="22"/>
        </w:rPr>
        <w:t xml:space="preserve">  </w:t>
      </w: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 xml:space="preserve">Finally, and maybe most importantly, I am extremely troubled that the Commission may be headed down a path to capture OTT video providers within Title VI of the Communications Act.  Although it would not subject such providers to the full panoply of requirements, shoehorning Internet video providers—the quintessential edge providers—into a framework that many people, including those in leadership in Congress, have deemed in need of review or overhaul is just plain wrong.  As I have previously stated, this effort, combined with a number of other items seeking to subsume Internet offerings into Title II, would seem to leave little of the Internet free from the grasp of the Communications Act, a law not written for the Internet age.  How is it that some edge providers fail to see that the Commission will seek to extend its authority to their business models or plans?     </w:t>
      </w:r>
    </w:p>
    <w:p w:rsidR="00CE3FB0" w:rsidRPr="00CE3FB0" w:rsidRDefault="00CE3FB0" w:rsidP="00CE3FB0">
      <w:pPr>
        <w:widowControl/>
        <w:rPr>
          <w:rFonts w:eastAsiaTheme="minorHAnsi"/>
          <w:snapToGrid/>
          <w:kern w:val="0"/>
          <w:szCs w:val="22"/>
        </w:rPr>
      </w:pPr>
    </w:p>
    <w:p w:rsidR="00CE3FB0" w:rsidRPr="00CE3FB0" w:rsidRDefault="00CE3FB0" w:rsidP="00CE3FB0">
      <w:pPr>
        <w:widowControl/>
        <w:ind w:firstLine="720"/>
        <w:rPr>
          <w:rFonts w:eastAsiaTheme="minorHAnsi"/>
          <w:snapToGrid/>
          <w:kern w:val="0"/>
          <w:szCs w:val="22"/>
        </w:rPr>
      </w:pPr>
      <w:r w:rsidRPr="00CE3FB0">
        <w:rPr>
          <w:rFonts w:eastAsiaTheme="minorHAnsi"/>
          <w:snapToGrid/>
          <w:kern w:val="0"/>
          <w:szCs w:val="22"/>
        </w:rPr>
        <w:t>Although I have serious concerns about the direction in which the Commission is headed, I would like to thank the Chairman and my fellow colleagues for working together to get this item to a better place.  A number of harsher proposals, such as mandatory carriage requirements, were removed or modified at my request.  I would also like to recognize the Media Bureau staff who spent many late nights working on this notice.</w:t>
      </w:r>
    </w:p>
    <w:p w:rsidR="005020D7" w:rsidRPr="005020D7" w:rsidRDefault="005020D7" w:rsidP="005020D7">
      <w:pPr>
        <w:ind w:firstLine="720"/>
        <w:rPr>
          <w:szCs w:val="22"/>
        </w:rPr>
      </w:pPr>
    </w:p>
    <w:sectPr w:rsidR="005020D7" w:rsidRPr="005020D7" w:rsidSect="00E61E4D">
      <w:footnotePr>
        <w:numRestart w:val="eachSect"/>
      </w:footnotePr>
      <w:endnotePr>
        <w:numFmt w:val="decimal"/>
      </w:endnotePr>
      <w:pgSz w:w="12240" w:h="15840"/>
      <w:pgMar w:top="1265" w:right="1440" w:bottom="720" w:left="1440" w:header="63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C091D" w15:done="0"/>
  <w15:commentEx w15:paraId="346ABEA2" w15:done="0"/>
  <w15:commentEx w15:paraId="208A3F64" w15:done="0"/>
  <w15:commentEx w15:paraId="67027C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E2" w:rsidRDefault="000F7AE2">
      <w:pPr>
        <w:spacing w:line="20" w:lineRule="exact"/>
      </w:pPr>
    </w:p>
    <w:p w:rsidR="000F7AE2" w:rsidRDefault="000F7AE2"/>
  </w:endnote>
  <w:endnote w:type="continuationSeparator" w:id="0">
    <w:p w:rsidR="000F7AE2" w:rsidRDefault="000F7AE2">
      <w:r>
        <w:t xml:space="preserve"> </w:t>
      </w:r>
    </w:p>
    <w:p w:rsidR="000F7AE2" w:rsidRDefault="000F7AE2"/>
  </w:endnote>
  <w:endnote w:type="continuationNotice" w:id="1">
    <w:p w:rsidR="000F7AE2" w:rsidRDefault="000F7AE2">
      <w:r>
        <w:t xml:space="preserve"> </w:t>
      </w:r>
    </w:p>
    <w:p w:rsidR="000F7AE2" w:rsidRDefault="000F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E6" w:rsidRDefault="003F2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830381"/>
      <w:docPartObj>
        <w:docPartGallery w:val="Page Numbers (Bottom of Page)"/>
        <w:docPartUnique/>
      </w:docPartObj>
    </w:sdtPr>
    <w:sdtEndPr>
      <w:rPr>
        <w:noProof/>
      </w:rPr>
    </w:sdtEndPr>
    <w:sdtContent>
      <w:p w:rsidR="00111FB6" w:rsidRDefault="00111FB6">
        <w:pPr>
          <w:pStyle w:val="Footer"/>
          <w:jc w:val="center"/>
        </w:pPr>
        <w:r>
          <w:fldChar w:fldCharType="begin"/>
        </w:r>
        <w:r>
          <w:instrText xml:space="preserve"> PAGE   \* MERGEFORMAT </w:instrText>
        </w:r>
        <w:r>
          <w:fldChar w:fldCharType="separate"/>
        </w:r>
        <w:r w:rsidR="003E31F8">
          <w:rPr>
            <w:noProof/>
          </w:rPr>
          <w:t>34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21" w:rsidRDefault="00CD152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76539"/>
      <w:docPartObj>
        <w:docPartGallery w:val="Page Numbers (Bottom of Page)"/>
        <w:docPartUnique/>
      </w:docPartObj>
    </w:sdtPr>
    <w:sdtEndPr>
      <w:rPr>
        <w:noProof/>
      </w:rPr>
    </w:sdtEndPr>
    <w:sdtContent>
      <w:p w:rsidR="00111FB6" w:rsidRDefault="00111FB6">
        <w:pPr>
          <w:pStyle w:val="Footer"/>
          <w:jc w:val="center"/>
        </w:pPr>
        <w:r>
          <w:fldChar w:fldCharType="begin"/>
        </w:r>
        <w:r>
          <w:instrText xml:space="preserve"> PAGE   \* MERGEFORMAT </w:instrText>
        </w:r>
        <w:r>
          <w:fldChar w:fldCharType="separate"/>
        </w:r>
        <w:r w:rsidR="003E31F8">
          <w:rPr>
            <w:noProof/>
          </w:rPr>
          <w:t>57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89128"/>
      <w:docPartObj>
        <w:docPartGallery w:val="Page Numbers (Bottom of Page)"/>
        <w:docPartUnique/>
      </w:docPartObj>
    </w:sdtPr>
    <w:sdtEndPr>
      <w:rPr>
        <w:noProof/>
      </w:rPr>
    </w:sdtEndPr>
    <w:sdtContent>
      <w:p w:rsidR="00D64DFA" w:rsidRDefault="00D64DFA">
        <w:pPr>
          <w:pStyle w:val="Footer"/>
          <w:jc w:val="center"/>
        </w:pPr>
        <w:r>
          <w:fldChar w:fldCharType="begin"/>
        </w:r>
        <w:r>
          <w:instrText xml:space="preserve"> PAGE   \* MERGEFORMAT </w:instrText>
        </w:r>
        <w:r>
          <w:fldChar w:fldCharType="separate"/>
        </w:r>
        <w:r w:rsidR="003E31F8">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E2" w:rsidRDefault="000F7AE2">
      <w:r>
        <w:separator/>
      </w:r>
    </w:p>
  </w:footnote>
  <w:footnote w:type="continuationSeparator" w:id="0">
    <w:p w:rsidR="000F7AE2" w:rsidRDefault="000F7AE2">
      <w:r>
        <w:rPr>
          <w:sz w:val="20"/>
        </w:rPr>
        <w:t xml:space="preserve">(Continued from previous page) </w:t>
      </w:r>
      <w:r>
        <w:rPr>
          <w:sz w:val="20"/>
        </w:rPr>
        <w:separator/>
      </w:r>
    </w:p>
  </w:footnote>
  <w:footnote w:type="continuationNotice" w:id="1">
    <w:p w:rsidR="000F7AE2" w:rsidRDefault="000F7AE2" w:rsidP="003437D5">
      <w:pPr>
        <w:jc w:val="right"/>
        <w:rPr>
          <w:sz w:val="20"/>
        </w:rPr>
      </w:pPr>
      <w:r>
        <w:rPr>
          <w:sz w:val="20"/>
        </w:rPr>
        <w:t>(continued….)</w:t>
      </w:r>
    </w:p>
  </w:footnote>
  <w:footnote w:id="2">
    <w:p w:rsidR="00CE3FB0" w:rsidRDefault="00CE3FB0" w:rsidP="000C0687">
      <w:pPr>
        <w:pStyle w:val="FootnoteText"/>
      </w:pPr>
      <w:r>
        <w:rPr>
          <w:rStyle w:val="FootnoteReference"/>
        </w:rPr>
        <w:footnoteRef/>
      </w:r>
      <w:r>
        <w:t xml:space="preserve">  We see daily news that cable operators and satellite television providers are obtaining rights for online distribution of content</w:t>
      </w:r>
      <w:r>
        <w:rPr>
          <w:snapToGrid w:val="0"/>
        </w:rPr>
        <w:t xml:space="preserve">.  </w:t>
      </w:r>
      <w:r>
        <w:t xml:space="preserve">Sam Adams and Christian Plumb, </w:t>
      </w:r>
      <w:r>
        <w:rPr>
          <w:i/>
          <w:iCs/>
        </w:rPr>
        <w:t>Verizon CEO says to launch Web TV product in 2015</w:t>
      </w:r>
      <w:r>
        <w:t xml:space="preserve">, </w:t>
      </w:r>
      <w:r>
        <w:rPr>
          <w:smallCaps/>
        </w:rPr>
        <w:t>Reuters</w:t>
      </w:r>
      <w:r>
        <w:t xml:space="preserve">, September 11, 2014, available at </w:t>
      </w:r>
      <w:hyperlink r:id="rId1" w:history="1">
        <w:r>
          <w:rPr>
            <w:rStyle w:val="Hyperlink"/>
          </w:rPr>
          <w:t>http://www.reuters.com/article/2014/09/11/us-verizon-comms-towers-idUSKBN0H61KB20140911</w:t>
        </w:r>
      </w:hyperlink>
      <w:r>
        <w:t xml:space="preserve"> (reporting that Sony, Dish Network, DIRECTV and Verizon are each developing Internet-delivered streaming video services that are a “viable alternative to cable TV service.”); Edmund Lee, Scott Moritz and Alex Sherman, </w:t>
      </w:r>
      <w:r>
        <w:rPr>
          <w:i/>
          <w:iCs/>
        </w:rPr>
        <w:t>Dish Leads in Race to Offer Online TV to Compete With Cable</w:t>
      </w:r>
      <w:r>
        <w:t xml:space="preserve">, </w:t>
      </w:r>
      <w:r>
        <w:rPr>
          <w:smallCaps/>
        </w:rPr>
        <w:t>Bloomberg</w:t>
      </w:r>
      <w:r>
        <w:t xml:space="preserve">, March 15, 2014, </w:t>
      </w:r>
      <w:r>
        <w:rPr>
          <w:i/>
          <w:iCs/>
        </w:rPr>
        <w:t>available at</w:t>
      </w:r>
      <w:r>
        <w:t xml:space="preserve"> </w:t>
      </w:r>
      <w:hyperlink r:id="rId2" w:history="1">
        <w:r>
          <w:rPr>
            <w:rStyle w:val="Hyperlink"/>
          </w:rPr>
          <w:t>http://www.bloomberg.com/news/2014-03-04/dish-takes-lead-in-race-to-offer-streaming-tv-to-rival-cable.html</w:t>
        </w:r>
      </w:hyperlink>
      <w:r>
        <w:t xml:space="preserve"> (“If Dish goes ahead with an online service, competitors could follow -- including cable companies like Comcast and Cablevision Systems Corp., which could move out of their traditional regions to offer TV nationwide, said Bernard Gershon, a digital media consultant in New York.”); Chris Young, </w:t>
      </w:r>
      <w:r>
        <w:rPr>
          <w:i/>
          <w:iCs/>
        </w:rPr>
        <w:t>Industry awaits linear OTT experiment</w:t>
      </w:r>
      <w:r>
        <w:t xml:space="preserve">, </w:t>
      </w:r>
      <w:r>
        <w:rPr>
          <w:smallCaps/>
        </w:rPr>
        <w:t>SNL Kagan</w:t>
      </w:r>
      <w:r>
        <w:t xml:space="preserve">, July 18, 2014, </w:t>
      </w:r>
      <w:r>
        <w:rPr>
          <w:i/>
          <w:iCs/>
        </w:rPr>
        <w:t>available at</w:t>
      </w:r>
      <w:r>
        <w:t xml:space="preserve"> </w:t>
      </w:r>
      <w:hyperlink r:id="rId3" w:history="1">
        <w:r>
          <w:rPr>
            <w:rStyle w:val="Hyperlink"/>
          </w:rPr>
          <w:t>http://www.snl.com/interactivex/article.aspx?id=28627040&amp;KPLT=2</w:t>
        </w:r>
      </w:hyperlink>
      <w:r>
        <w:t xml:space="preserve">; Comcast branches out cloud DVR, live streaming service, </w:t>
      </w:r>
      <w:r>
        <w:rPr>
          <w:smallCaps/>
        </w:rPr>
        <w:t>CED Magazine</w:t>
      </w:r>
      <w:r>
        <w:t xml:space="preserve">, May 8, 2014, </w:t>
      </w:r>
      <w:r>
        <w:rPr>
          <w:i/>
          <w:iCs/>
        </w:rPr>
        <w:t>available at</w:t>
      </w:r>
      <w:r>
        <w:t xml:space="preserve"> </w:t>
      </w:r>
      <w:hyperlink r:id="rId4" w:history="1">
        <w:r>
          <w:rPr>
            <w:rStyle w:val="Hyperlink"/>
          </w:rPr>
          <w:t>http://www.cedmagazine.com/news/2014/05/comcast-branches-out-cloud-dvr-live-streaming-service</w:t>
        </w:r>
      </w:hyperlink>
      <w:r>
        <w:t xml:space="preserve"> (“Like other video service providers, Comcast is focused on offering live streaming out of the home.”).  AT&amp;T’s U-Verse service is delivered via Internet Protocol (“IP”) today.  </w:t>
      </w:r>
      <w:r w:rsidRPr="005A2756">
        <w:rPr>
          <w:i/>
        </w:rPr>
        <w:t>See</w:t>
      </w:r>
      <w:r>
        <w:t xml:space="preserve"> </w:t>
      </w:r>
      <w:r w:rsidRPr="005A2756">
        <w:rPr>
          <w:smallCaps/>
        </w:rPr>
        <w:t>AT&amp;T, What is IPTV?</w:t>
      </w:r>
      <w:r>
        <w:rPr>
          <w:smallCaps/>
        </w:rPr>
        <w:t xml:space="preserve"> (2009)</w:t>
      </w:r>
      <w:r>
        <w:t xml:space="preserve">, </w:t>
      </w:r>
      <w:r w:rsidRPr="005A2756">
        <w:rPr>
          <w:i/>
        </w:rPr>
        <w:t>available at</w:t>
      </w:r>
      <w:r>
        <w:t xml:space="preserve"> </w:t>
      </w:r>
      <w:r w:rsidRPr="0042579E">
        <w:t>https://www.att.com/Common/about_us/files/pdf/IPTV_background.pdf</w:t>
      </w:r>
      <w:r>
        <w:t>.  In recognition of the increasing prevalence of Internet distribution of video, the National Cable &amp; Telecommunications Association has renamed its annual Cable Show as INTX: the Internet and Television Expo, “</w:t>
      </w:r>
      <w:r>
        <w:rPr>
          <w:color w:val="000000"/>
        </w:rPr>
        <w:t xml:space="preserve">in an effort to broaden the three-day gathering to include online video providers and distributors beyond the traditional Cable Show crowd.”  Kent Gibbons, </w:t>
      </w:r>
      <w:r>
        <w:rPr>
          <w:i/>
          <w:iCs/>
          <w:color w:val="000000"/>
        </w:rPr>
        <w:t>NCTA: ‘Cable Show’ Convention Becoming INTX</w:t>
      </w:r>
      <w:r>
        <w:rPr>
          <w:color w:val="000000"/>
        </w:rPr>
        <w:t xml:space="preserve">, </w:t>
      </w:r>
      <w:r>
        <w:rPr>
          <w:smallCaps/>
          <w:color w:val="000000"/>
        </w:rPr>
        <w:t>Multichannel News</w:t>
      </w:r>
      <w:r>
        <w:rPr>
          <w:color w:val="000000"/>
        </w:rPr>
        <w:t xml:space="preserve"> (Sept. 17, 2014), </w:t>
      </w:r>
      <w:hyperlink r:id="rId5" w:history="1">
        <w:r>
          <w:rPr>
            <w:rStyle w:val="Hyperlink"/>
          </w:rPr>
          <w:t>http://www.multichannel.com/ncta-cable-show-convention-becoming-intx/383922</w:t>
        </w:r>
      </w:hyperlink>
      <w:r>
        <w:rPr>
          <w:color w:val="000000"/>
        </w:rPr>
        <w:t>.</w:t>
      </w:r>
    </w:p>
  </w:footnote>
  <w:footnote w:id="3">
    <w:p w:rsidR="00CE3FB0" w:rsidRDefault="00CE3FB0" w:rsidP="000901EF">
      <w:pPr>
        <w:pStyle w:val="FootnoteText"/>
      </w:pPr>
      <w:r>
        <w:rPr>
          <w:rStyle w:val="FootnoteReference"/>
        </w:rPr>
        <w:footnoteRef/>
      </w:r>
      <w:r>
        <w:t xml:space="preserve"> For readability throughout this </w:t>
      </w:r>
      <w:r w:rsidRPr="009F5429">
        <w:rPr>
          <w:i/>
        </w:rPr>
        <w:t>NPRM</w:t>
      </w:r>
      <w:r>
        <w:t xml:space="preserve">, we use the </w:t>
      </w:r>
      <w:r w:rsidRPr="009D6D5D">
        <w:t xml:space="preserve">term </w:t>
      </w:r>
      <w:r w:rsidRPr="0061532E">
        <w:t xml:space="preserve">“Internet-delivered” to refer to any service delivered using IP whether or not it uses the public Internet, except for cable service.  </w:t>
      </w:r>
      <w:r w:rsidRPr="0061532E">
        <w:rPr>
          <w:i/>
        </w:rPr>
        <w:t>See</w:t>
      </w:r>
      <w:r w:rsidRPr="0061532E">
        <w:t xml:space="preserve"> </w:t>
      </w:r>
      <w:r w:rsidRPr="00AB181D">
        <w:rPr>
          <w:i/>
        </w:rPr>
        <w:t>infra</w:t>
      </w:r>
      <w:r>
        <w:t xml:space="preserve"> ¶</w:t>
      </w:r>
      <w:r w:rsidRPr="0061532E">
        <w:t xml:space="preserve"> </w:t>
      </w:r>
      <w:r>
        <w:t>71</w:t>
      </w:r>
      <w:r w:rsidRPr="0061532E">
        <w:t>.</w:t>
      </w:r>
    </w:p>
  </w:footnote>
  <w:footnote w:id="4">
    <w:p w:rsidR="00CE3FB0" w:rsidRDefault="00CE3FB0" w:rsidP="00865F2D">
      <w:pPr>
        <w:pStyle w:val="FootnoteText"/>
      </w:pPr>
      <w:r>
        <w:rPr>
          <w:rStyle w:val="FootnoteReference"/>
        </w:rPr>
        <w:footnoteRef/>
      </w:r>
      <w:r>
        <w:t xml:space="preserve"> </w:t>
      </w:r>
      <w:r w:rsidRPr="0041733C">
        <w:rPr>
          <w:i/>
        </w:rPr>
        <w:t>See</w:t>
      </w:r>
      <w:r>
        <w:t xml:space="preserve"> Letter from Seth Greenstein, Counsel to Aereo, to Marlene H. Dortch, Secretary, Federal Communications Commission, MB Docket No. 12-83, at 2 (filed Oct. 10, 2014) (“Particularly in the wake of adverse judicial and agency decisions over the last several years, linear online streaming services likely cannot attract the level of investment necessary to create meaningful competition to incumbent business models without a clear path of regulatory certainty.”). </w:t>
      </w:r>
    </w:p>
  </w:footnote>
  <w:footnote w:id="5">
    <w:p w:rsidR="00CE3FB0" w:rsidRPr="005917ED" w:rsidRDefault="00CE3FB0">
      <w:pPr>
        <w:pStyle w:val="FootnoteText"/>
      </w:pPr>
      <w:r>
        <w:rPr>
          <w:rStyle w:val="FootnoteReference"/>
        </w:rPr>
        <w:footnoteRef/>
      </w:r>
      <w:r>
        <w:t xml:space="preserve"> </w:t>
      </w:r>
      <w:r w:rsidRPr="0041733C">
        <w:rPr>
          <w:i/>
        </w:rPr>
        <w:t xml:space="preserve">See </w:t>
      </w:r>
      <w:r>
        <w:rPr>
          <w:i/>
        </w:rPr>
        <w:t>supra</w:t>
      </w:r>
      <w:r>
        <w:t xml:space="preserve"> n.1.  </w:t>
      </w:r>
      <w:r w:rsidRPr="00E61E4D">
        <w:rPr>
          <w:i/>
        </w:rPr>
        <w:t>See also</w:t>
      </w:r>
      <w:r>
        <w:t xml:space="preserve"> </w:t>
      </w:r>
      <w:r w:rsidRPr="005917ED">
        <w:t>Brian Santo and Mike Robuck</w:t>
      </w:r>
      <w:r>
        <w:t xml:space="preserve">, </w:t>
      </w:r>
      <w:r w:rsidRPr="00E61E4D">
        <w:rPr>
          <w:i/>
        </w:rPr>
        <w:t>DOCSIS 3.1 takes center stage at Cable-Tec Expo</w:t>
      </w:r>
      <w:r>
        <w:t xml:space="preserve">, </w:t>
      </w:r>
      <w:r w:rsidRPr="00E61E4D">
        <w:rPr>
          <w:smallCaps/>
        </w:rPr>
        <w:t>CED Magazine</w:t>
      </w:r>
      <w:r>
        <w:t xml:space="preserve">, (Nov. 21, 2012, 9:56 AM), </w:t>
      </w:r>
      <w:r w:rsidRPr="005917ED">
        <w:t>http://www.cedmagazine.com/articles/2012/11/docsis-31-takes-center-stage-at-cable-tec-expo</w:t>
      </w:r>
      <w:r>
        <w:t>.</w:t>
      </w:r>
    </w:p>
  </w:footnote>
  <w:footnote w:id="6">
    <w:p w:rsidR="00CE3FB0" w:rsidRDefault="00CE3FB0" w:rsidP="000C0687">
      <w:pPr>
        <w:pStyle w:val="FootnoteText"/>
      </w:pPr>
      <w:r>
        <w:rPr>
          <w:rStyle w:val="FootnoteReference"/>
        </w:rPr>
        <w:footnoteRef/>
      </w:r>
      <w:r>
        <w:t xml:space="preserve"> </w:t>
      </w:r>
      <w:r w:rsidRPr="0041733C">
        <w:rPr>
          <w:i/>
        </w:rPr>
        <w:t xml:space="preserve">See </w:t>
      </w:r>
      <w:r>
        <w:rPr>
          <w:i/>
        </w:rPr>
        <w:t>supra</w:t>
      </w:r>
      <w:r>
        <w:t xml:space="preserve"> n.1.</w:t>
      </w:r>
    </w:p>
  </w:footnote>
  <w:footnote w:id="7">
    <w:p w:rsidR="00CE3FB0" w:rsidRDefault="00CE3FB0" w:rsidP="008A2774">
      <w:pPr>
        <w:pStyle w:val="FootnoteText"/>
      </w:pPr>
      <w:r>
        <w:rPr>
          <w:rStyle w:val="FootnoteReference"/>
        </w:rPr>
        <w:footnoteRef/>
      </w:r>
      <w:r>
        <w:t xml:space="preserve"> </w:t>
      </w:r>
      <w:r w:rsidRPr="00E61E4D">
        <w:rPr>
          <w:i/>
        </w:rPr>
        <w:t>See</w:t>
      </w:r>
      <w:r>
        <w:rPr>
          <w:i/>
        </w:rPr>
        <w:t xml:space="preserve"> </w:t>
      </w:r>
      <w:r w:rsidRPr="00380697">
        <w:rPr>
          <w:i/>
        </w:rPr>
        <w:t>Technology Transitions; AT&amp;T Petition to Launch a Proceeding Concerning the TDM-to-IP Transition; Connect America Fund; Structure and Practices of the Video Relay Service Program; Telecommunications Relay Services And Speech-to-Speech Services for Individuals with Hearing and Speech Disabilities; Numbering Policies for Modern Communications</w:t>
      </w:r>
      <w:r>
        <w:t xml:space="preserve">, </w:t>
      </w:r>
      <w:r w:rsidRPr="009A4FB7">
        <w:t>29 FCC Rcd 1433</w:t>
      </w:r>
      <w:r>
        <w:t xml:space="preserve">, 1446, ¶ 37 (2014) (“we seek both to advance new network technologies and learn how best to protect and enhance the core statutory values of public safety, universal access, competition, and consumer protection.”); </w:t>
      </w:r>
      <w:r w:rsidRPr="00E61E4D">
        <w:rPr>
          <w:i/>
        </w:rPr>
        <w:t>Closed Captioning of Internet Protocol-Delivered Video Programming: Implementation of the Twenty-First Century Communications and Video Accessibility Act of 2010</w:t>
      </w:r>
      <w:r>
        <w:t>, 27 FCC Rcd 787, 791-2, ¶ 5 (2012) (recounting the evolution of video distribution methods).</w:t>
      </w:r>
    </w:p>
  </w:footnote>
  <w:footnote w:id="8">
    <w:p w:rsidR="00CE3FB0" w:rsidRPr="00B82746" w:rsidRDefault="00CE3FB0" w:rsidP="000C5B54">
      <w:pPr>
        <w:pStyle w:val="FootnoteText"/>
        <w:rPr>
          <w:b/>
        </w:rPr>
      </w:pPr>
      <w:r>
        <w:rPr>
          <w:rStyle w:val="FootnoteReference"/>
        </w:rPr>
        <w:footnoteRef/>
      </w:r>
      <w:r>
        <w:t xml:space="preserve"> </w:t>
      </w:r>
      <w:r w:rsidRPr="00B82746">
        <w:rPr>
          <w:i/>
        </w:rPr>
        <w:t>Revision of the Commission’s Program Access Rules</w:t>
      </w:r>
      <w:r>
        <w:t xml:space="preserve">, Report and Order and Further Notice of Proposed Rulemaking, </w:t>
      </w:r>
      <w:r w:rsidRPr="000C5B54">
        <w:t>27 FCC Rcd 12605</w:t>
      </w:r>
      <w:r>
        <w:t>, 12608, ¶ 3 (2012).</w:t>
      </w:r>
    </w:p>
  </w:footnote>
  <w:footnote w:id="9">
    <w:p w:rsidR="00CE3FB0" w:rsidRDefault="00CE3FB0">
      <w:pPr>
        <w:pStyle w:val="FootnoteText"/>
      </w:pPr>
      <w:r>
        <w:rPr>
          <w:rStyle w:val="FootnoteReference"/>
        </w:rPr>
        <w:footnoteRef/>
      </w:r>
      <w:r>
        <w:t xml:space="preserve"> </w:t>
      </w:r>
      <w:r w:rsidRPr="007F6F4B">
        <w:rPr>
          <w:i/>
        </w:rPr>
        <w:t xml:space="preserve"> </w:t>
      </w:r>
      <w:r w:rsidRPr="00B82746">
        <w:t xml:space="preserve">S. Rep. No. 92, 102nd Cong., 1st Sess. (1991), </w:t>
      </w:r>
      <w:r w:rsidRPr="007F6F4B">
        <w:rPr>
          <w:i/>
        </w:rPr>
        <w:t>reprinted in</w:t>
      </w:r>
      <w:r w:rsidRPr="00B82746">
        <w:t xml:space="preserve"> 1992 U.S.C.C.A.N. 1133, 1169</w:t>
      </w:r>
      <w:r>
        <w:t>.</w:t>
      </w:r>
    </w:p>
  </w:footnote>
  <w:footnote w:id="10">
    <w:p w:rsidR="00CE3FB0" w:rsidRPr="002459CD" w:rsidRDefault="00CE3FB0" w:rsidP="00184229">
      <w:pPr>
        <w:pStyle w:val="FootnoteText"/>
      </w:pPr>
      <w:r w:rsidRPr="002459CD">
        <w:rPr>
          <w:rStyle w:val="FootnoteReference"/>
        </w:rPr>
        <w:footnoteRef/>
      </w:r>
      <w:r w:rsidRPr="002459CD">
        <w:t xml:space="preserve"> 47 U.S.C. § 522(13); </w:t>
      </w:r>
      <w:r w:rsidRPr="002459CD">
        <w:rPr>
          <w:i/>
        </w:rPr>
        <w:t>see also</w:t>
      </w:r>
      <w:r w:rsidRPr="002459CD">
        <w:t xml:space="preserve"> 47 C.F.R. §</w:t>
      </w:r>
      <w:r>
        <w:t xml:space="preserve">§ </w:t>
      </w:r>
      <w:r w:rsidRPr="002459CD">
        <w:t>76.64(d)</w:t>
      </w:r>
      <w:r>
        <w:t xml:space="preserve">, </w:t>
      </w:r>
      <w:r w:rsidRPr="002459CD">
        <w:t>76.71(a)</w:t>
      </w:r>
      <w:r>
        <w:t xml:space="preserve">, </w:t>
      </w:r>
      <w:r w:rsidRPr="002459CD">
        <w:t>76.905(d)</w:t>
      </w:r>
      <w:r>
        <w:t xml:space="preserve">, </w:t>
      </w:r>
      <w:r w:rsidRPr="002459CD">
        <w:t>76.1000(e)</w:t>
      </w:r>
      <w:r>
        <w:t xml:space="preserve">, </w:t>
      </w:r>
      <w:r w:rsidRPr="002459CD">
        <w:t>76.1200(b)</w:t>
      </w:r>
      <w:r>
        <w:t xml:space="preserve">, </w:t>
      </w:r>
      <w:r w:rsidRPr="002459CD">
        <w:t xml:space="preserve">76.1300(d).    </w:t>
      </w:r>
    </w:p>
  </w:footnote>
  <w:footnote w:id="11">
    <w:p w:rsidR="00CE3FB0" w:rsidRPr="002459CD" w:rsidRDefault="00CE3FB0" w:rsidP="00184229">
      <w:pPr>
        <w:pStyle w:val="FootnoteText"/>
      </w:pPr>
      <w:r w:rsidRPr="002459CD">
        <w:rPr>
          <w:rStyle w:val="FootnoteReference"/>
        </w:rPr>
        <w:footnoteRef/>
      </w:r>
      <w:r w:rsidRPr="002459CD">
        <w:t xml:space="preserve"> 47 U.S.C. § 522(4).  The Commission’s regulations define a “television channel” as “a band of frequencies 6 MHz wide in the television broadcast band and designated either by number or by the extreme lower and upper frequencies.”  47 C.F.R. § 73.681; </w:t>
      </w:r>
      <w:r w:rsidRPr="002459CD">
        <w:rPr>
          <w:i/>
          <w:color w:val="000000"/>
        </w:rPr>
        <w:t>see also</w:t>
      </w:r>
      <w:r w:rsidRPr="002459CD">
        <w:rPr>
          <w:color w:val="000000"/>
        </w:rPr>
        <w:t xml:space="preserve"> 47 C.F.R. §§ 73.603, 73.606, 73.682(a)(1)</w:t>
      </w:r>
      <w:r w:rsidRPr="002459CD">
        <w:t xml:space="preserve">.  </w:t>
      </w:r>
      <w:r w:rsidRPr="002459CD">
        <w:rPr>
          <w:rStyle w:val="ptext-1"/>
        </w:rPr>
        <w:t xml:space="preserve">The Commission’s regulations also define a </w:t>
      </w:r>
      <w:r w:rsidRPr="002459CD">
        <w:t>“cable television channel” as a “signaling path provided by a cable television system.”  47 C.F.R. § 76.5(r)-(u).</w:t>
      </w:r>
    </w:p>
  </w:footnote>
  <w:footnote w:id="12">
    <w:p w:rsidR="00CE3FB0" w:rsidRPr="002459CD" w:rsidRDefault="00CE3FB0" w:rsidP="00184229">
      <w:pPr>
        <w:pStyle w:val="FootnoteText"/>
      </w:pPr>
      <w:r w:rsidRPr="002459CD">
        <w:rPr>
          <w:rStyle w:val="FootnoteReference"/>
        </w:rPr>
        <w:footnoteRef/>
      </w:r>
      <w:r w:rsidRPr="002459CD">
        <w:t xml:space="preserve"> 47 U.S.C. § 522(20).  </w:t>
      </w:r>
    </w:p>
  </w:footnote>
  <w:footnote w:id="13">
    <w:p w:rsidR="00CE3FB0" w:rsidRPr="00572AE6" w:rsidRDefault="00CE3FB0" w:rsidP="00184229">
      <w:pPr>
        <w:pStyle w:val="FootnoteText"/>
      </w:pPr>
      <w:r w:rsidRPr="002459CD">
        <w:rPr>
          <w:rStyle w:val="FootnoteReference"/>
        </w:rPr>
        <w:footnoteRef/>
      </w:r>
      <w:r w:rsidRPr="002459CD">
        <w:t xml:space="preserve"> </w:t>
      </w:r>
      <w:r w:rsidRPr="002459CD">
        <w:rPr>
          <w:i/>
        </w:rPr>
        <w:t>See</w:t>
      </w:r>
      <w:r w:rsidRPr="002459CD">
        <w:t xml:space="preserve"> </w:t>
      </w:r>
      <w:r w:rsidRPr="002459CD">
        <w:rPr>
          <w:i/>
        </w:rPr>
        <w:t>Sky Angel U.S., LLC</w:t>
      </w:r>
      <w:r w:rsidRPr="002459CD">
        <w:t>, Order, 25 FCC Rcd 3879, 3882-83, ¶ 7 (MB, 2010)</w:t>
      </w:r>
      <w:r w:rsidRPr="002459CD">
        <w:rPr>
          <w:i/>
        </w:rPr>
        <w:t xml:space="preserve"> </w:t>
      </w:r>
      <w:r w:rsidRPr="002459CD">
        <w:t>(“</w:t>
      </w:r>
      <w:r w:rsidRPr="002459CD">
        <w:rPr>
          <w:i/>
        </w:rPr>
        <w:t>Sky Angel Standstill Denial</w:t>
      </w:r>
      <w:r w:rsidRPr="002459CD">
        <w:t>”).</w:t>
      </w:r>
      <w:r>
        <w:t xml:space="preserve">  The procedural background of this case is complex:  In March 2010, Sky Angel </w:t>
      </w:r>
      <w:r w:rsidRPr="00C23A35">
        <w:rPr>
          <w:szCs w:val="22"/>
        </w:rPr>
        <w:t xml:space="preserve">filed a program access complaint against Discovery Communications, LLC and its affiliate, Animal Planet, L.L.C. (collectively, “Discovery”), as well as a petition for a standstill </w:t>
      </w:r>
      <w:r>
        <w:rPr>
          <w:szCs w:val="22"/>
        </w:rPr>
        <w:t>extending rights it had under</w:t>
      </w:r>
      <w:r w:rsidRPr="00C23A35">
        <w:rPr>
          <w:szCs w:val="22"/>
        </w:rPr>
        <w:t xml:space="preserve"> its affiliation agreement with Discovery</w:t>
      </w:r>
      <w:r>
        <w:rPr>
          <w:szCs w:val="22"/>
        </w:rPr>
        <w:t xml:space="preserve">.  </w:t>
      </w:r>
      <w:r w:rsidRPr="002459CD">
        <w:rPr>
          <w:i/>
        </w:rPr>
        <w:t>See</w:t>
      </w:r>
      <w:r w:rsidRPr="002459CD">
        <w:t xml:space="preserve"> Sky Angel Program Access Complaint; Sky Angel U.S., LLC, Emergency Petition for Temporary Standstill, MB Docket No. 12-80, File No. CSR-8605-P (March 24, 2010).</w:t>
      </w:r>
      <w:r>
        <w:t xml:space="preserve">  </w:t>
      </w:r>
      <w:r>
        <w:rPr>
          <w:szCs w:val="22"/>
        </w:rPr>
        <w:t>When Sky Angel filed its</w:t>
      </w:r>
      <w:r w:rsidRPr="00C23A35">
        <w:rPr>
          <w:szCs w:val="22"/>
        </w:rPr>
        <w:t xml:space="preserve"> complaint, </w:t>
      </w:r>
      <w:r>
        <w:rPr>
          <w:szCs w:val="22"/>
        </w:rPr>
        <w:t>it</w:t>
      </w:r>
      <w:r w:rsidRPr="00C23A35">
        <w:rPr>
          <w:szCs w:val="22"/>
        </w:rPr>
        <w:t xml:space="preserve"> provide</w:t>
      </w:r>
      <w:r>
        <w:rPr>
          <w:szCs w:val="22"/>
        </w:rPr>
        <w:t>d</w:t>
      </w:r>
      <w:r w:rsidRPr="00C23A35">
        <w:rPr>
          <w:szCs w:val="22"/>
        </w:rPr>
        <w:t xml:space="preserve"> a </w:t>
      </w:r>
      <w:r>
        <w:rPr>
          <w:szCs w:val="22"/>
        </w:rPr>
        <w:t xml:space="preserve">national </w:t>
      </w:r>
      <w:r w:rsidRPr="00C23A35">
        <w:rPr>
          <w:szCs w:val="22"/>
        </w:rPr>
        <w:t>subscription-based service of approximately eighty channels of video and audio programming</w:t>
      </w:r>
      <w:r>
        <w:rPr>
          <w:szCs w:val="22"/>
        </w:rPr>
        <w:t xml:space="preserve"> including</w:t>
      </w:r>
      <w:r w:rsidRPr="00C23A35">
        <w:rPr>
          <w:szCs w:val="22"/>
        </w:rPr>
        <w:t xml:space="preserve"> MLB Network, NFL Network, Hallmark Channel, and Weather Channel</w:t>
      </w:r>
      <w:r>
        <w:rPr>
          <w:szCs w:val="22"/>
        </w:rPr>
        <w:t xml:space="preserve"> via </w:t>
      </w:r>
      <w:r w:rsidRPr="00C23A35">
        <w:rPr>
          <w:szCs w:val="22"/>
        </w:rPr>
        <w:t>a set-top box that has a broadband Internet input and video outputs that connect directly to a television set</w:t>
      </w:r>
      <w:r>
        <w:rPr>
          <w:szCs w:val="22"/>
        </w:rPr>
        <w:t xml:space="preserve">.  </w:t>
      </w:r>
      <w:r w:rsidRPr="002459CD">
        <w:rPr>
          <w:i/>
        </w:rPr>
        <w:t>See</w:t>
      </w:r>
      <w:r w:rsidRPr="002459CD">
        <w:t xml:space="preserve"> Sky Angel Complaint at 1</w:t>
      </w:r>
      <w:r>
        <w:t>-9.  Sky Angel filed its complaint and standstill request with the Commission a</w:t>
      </w:r>
      <w:r w:rsidRPr="00665736">
        <w:rPr>
          <w:szCs w:val="22"/>
        </w:rPr>
        <w:t xml:space="preserve">fter receiving notice that Discovery intended to terminate its affiliation agreement with Sky Angel covering certain Discovery networks.  The Media Bureau denied the standstill </w:t>
      </w:r>
      <w:r>
        <w:rPr>
          <w:szCs w:val="22"/>
        </w:rPr>
        <w:t>request</w:t>
      </w:r>
      <w:r w:rsidRPr="00665736">
        <w:rPr>
          <w:szCs w:val="22"/>
        </w:rPr>
        <w:t xml:space="preserve"> on the basis that Sky Angel failed to carry its burden of demonstrating that it is likely to succeed in showing on the merits that it is an MVPD entitled to seek relief under the program access rules.</w:t>
      </w:r>
      <w:r>
        <w:rPr>
          <w:szCs w:val="22"/>
        </w:rPr>
        <w:t xml:space="preserve">  </w:t>
      </w:r>
      <w:r w:rsidRPr="002459CD">
        <w:rPr>
          <w:i/>
        </w:rPr>
        <w:t>Sky Angel Standstill Denial</w:t>
      </w:r>
      <w:r>
        <w:t xml:space="preserve">, </w:t>
      </w:r>
      <w:r w:rsidRPr="002459CD">
        <w:t xml:space="preserve">25 FCC Rcd </w:t>
      </w:r>
      <w:r>
        <w:t>at</w:t>
      </w:r>
      <w:r w:rsidRPr="002459CD">
        <w:t xml:space="preserve"> 3882-83, ¶ 7</w:t>
      </w:r>
      <w:r>
        <w:t>.  Sky Angel subsequently filed a renewed petition for standstill.  See Sky Angel</w:t>
      </w:r>
      <w:r w:rsidRPr="000E5E4D">
        <w:t xml:space="preserve"> </w:t>
      </w:r>
      <w:r w:rsidRPr="002459CD">
        <w:t xml:space="preserve">U.S., LLC, </w:t>
      </w:r>
      <w:r>
        <w:t xml:space="preserve">Renewed </w:t>
      </w:r>
      <w:r w:rsidRPr="002459CD">
        <w:t>Petition for Temporary Standstill, MB Docket No. 12-80 (Ma</w:t>
      </w:r>
      <w:r>
        <w:t>y</w:t>
      </w:r>
      <w:r w:rsidRPr="002459CD">
        <w:t xml:space="preserve"> 2</w:t>
      </w:r>
      <w:r>
        <w:t>7</w:t>
      </w:r>
      <w:r w:rsidRPr="002459CD">
        <w:t>, 201</w:t>
      </w:r>
      <w:r>
        <w:t>1</w:t>
      </w:r>
      <w:r w:rsidRPr="002459CD">
        <w:t>).</w:t>
      </w:r>
    </w:p>
  </w:footnote>
  <w:footnote w:id="14">
    <w:p w:rsidR="00CE3FB0" w:rsidRPr="002459CD" w:rsidRDefault="00CE3FB0" w:rsidP="00184229">
      <w:pPr>
        <w:pStyle w:val="FootnoteText"/>
      </w:pPr>
      <w:r w:rsidRPr="002459CD">
        <w:rPr>
          <w:rStyle w:val="FootnoteReference"/>
        </w:rPr>
        <w:footnoteRef/>
      </w:r>
      <w:r w:rsidRPr="002459CD">
        <w:t xml:space="preserve"> </w:t>
      </w:r>
      <w:r w:rsidRPr="002459CD">
        <w:rPr>
          <w:i/>
        </w:rPr>
        <w:t>See Sky Angel Standstill Denial</w:t>
      </w:r>
      <w:r>
        <w:t xml:space="preserve">, </w:t>
      </w:r>
      <w:r w:rsidRPr="002459CD">
        <w:t xml:space="preserve">25 FCC Rcd </w:t>
      </w:r>
      <w:r>
        <w:t>at</w:t>
      </w:r>
      <w:r w:rsidRPr="002459CD">
        <w:t xml:space="preserve"> 3882-83, ¶ 7.</w:t>
      </w:r>
    </w:p>
  </w:footnote>
  <w:footnote w:id="15">
    <w:p w:rsidR="00CE3FB0" w:rsidRPr="002459CD" w:rsidRDefault="00CE3FB0" w:rsidP="00184229">
      <w:pPr>
        <w:pStyle w:val="FootnoteText"/>
      </w:pPr>
      <w:r w:rsidRPr="002459CD">
        <w:rPr>
          <w:rStyle w:val="FootnoteReference"/>
        </w:rPr>
        <w:footnoteRef/>
      </w:r>
      <w:r w:rsidRPr="002459CD">
        <w:t xml:space="preserve"> </w:t>
      </w:r>
      <w:r w:rsidRPr="002459CD">
        <w:rPr>
          <w:i/>
        </w:rPr>
        <w:t>See id</w:t>
      </w:r>
      <w:r w:rsidRPr="002459CD">
        <w:t>.</w:t>
      </w:r>
    </w:p>
  </w:footnote>
  <w:footnote w:id="16">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Sky Angel U.S., LLC, Petition for Writ of Mandamus, Case No. 12-1119 (filed Feb. 27, 2012).</w:t>
      </w:r>
    </w:p>
  </w:footnote>
  <w:footnote w:id="17">
    <w:p w:rsidR="00CE3FB0" w:rsidRPr="002459CD" w:rsidRDefault="00CE3FB0" w:rsidP="00184229">
      <w:pPr>
        <w:pStyle w:val="FootnoteText"/>
      </w:pPr>
      <w:r w:rsidRPr="002459CD">
        <w:rPr>
          <w:rStyle w:val="FootnoteReference"/>
        </w:rPr>
        <w:footnoteRef/>
      </w:r>
      <w:r w:rsidRPr="002459CD">
        <w:t xml:space="preserve"> </w:t>
      </w:r>
      <w:r w:rsidRPr="002459CD">
        <w:rPr>
          <w:i/>
        </w:rPr>
        <w:t>Sky Angel U.S., LLC</w:t>
      </w:r>
      <w:r w:rsidRPr="002459CD">
        <w:t>, Order, Case No. 12-1119 (D.C. Cir. 2012).</w:t>
      </w:r>
    </w:p>
  </w:footnote>
  <w:footnote w:id="18">
    <w:p w:rsidR="00CE3FB0" w:rsidRPr="00B72BFE" w:rsidRDefault="00CE3FB0" w:rsidP="009E2953">
      <w:pPr>
        <w:pStyle w:val="FootnoteText"/>
      </w:pPr>
      <w:r w:rsidRPr="002A2225">
        <w:rPr>
          <w:rStyle w:val="FootnoteReference"/>
        </w:rPr>
        <w:footnoteRef/>
      </w:r>
      <w:r w:rsidRPr="002A2225">
        <w:rPr>
          <w:i/>
        </w:rPr>
        <w:t xml:space="preserve"> See Media Bureau Seeks Comment on Interpretation of the Terms “Multichannel Video Programming Distributor” and “Channel” as Raised in Pending Program Access Complaint Proceeding</w:t>
      </w:r>
      <w:r w:rsidRPr="002A2225">
        <w:t xml:space="preserve">, MB Docket No. 12-83, Public Notice, 27 FCC </w:t>
      </w:r>
      <w:r w:rsidRPr="00B72BFE">
        <w:t>Rcd 3079 (MB 2012) (“</w:t>
      </w:r>
      <w:r w:rsidRPr="00B72BFE">
        <w:rPr>
          <w:i/>
        </w:rPr>
        <w:t>March 2012 Public Notice</w:t>
      </w:r>
      <w:r w:rsidRPr="00B72BFE">
        <w:t xml:space="preserve">”).  </w:t>
      </w:r>
    </w:p>
  </w:footnote>
  <w:footnote w:id="19">
    <w:p w:rsidR="00CE3FB0" w:rsidRDefault="00CE3FB0" w:rsidP="00184229">
      <w:pPr>
        <w:pStyle w:val="FootnoteText"/>
      </w:pPr>
      <w:r>
        <w:rPr>
          <w:rStyle w:val="FootnoteReference"/>
        </w:rPr>
        <w:footnoteRef/>
      </w:r>
      <w:r>
        <w:t xml:space="preserve"> S</w:t>
      </w:r>
      <w:r w:rsidRPr="00D532A2">
        <w:t xml:space="preserve">upplemental </w:t>
      </w:r>
      <w:r>
        <w:t>C</w:t>
      </w:r>
      <w:r w:rsidRPr="00D532A2">
        <w:t xml:space="preserve">omments of </w:t>
      </w:r>
      <w:r>
        <w:t>S</w:t>
      </w:r>
      <w:r w:rsidRPr="00D532A2">
        <w:t xml:space="preserve">ky </w:t>
      </w:r>
      <w:r>
        <w:t>A</w:t>
      </w:r>
      <w:r w:rsidRPr="00D532A2">
        <w:t xml:space="preserve">ngel </w:t>
      </w:r>
      <w:r>
        <w:t>U</w:t>
      </w:r>
      <w:r w:rsidRPr="00D532A2">
        <w:t>.</w:t>
      </w:r>
      <w:r>
        <w:t>S</w:t>
      </w:r>
      <w:r w:rsidRPr="00D532A2">
        <w:t xml:space="preserve">., </w:t>
      </w:r>
      <w:r>
        <w:t xml:space="preserve">LLC, MB Docket No. 12-80, </w:t>
      </w:r>
      <w:r w:rsidRPr="002459CD">
        <w:t>File No. CSR-8605-P</w:t>
      </w:r>
      <w:r>
        <w:t>, at 1 (June 10, 2014).</w:t>
      </w:r>
    </w:p>
  </w:footnote>
  <w:footnote w:id="20">
    <w:p w:rsidR="00CE3FB0" w:rsidRDefault="00CE3FB0" w:rsidP="00184229">
      <w:pPr>
        <w:pStyle w:val="FootnoteText"/>
      </w:pPr>
      <w:r>
        <w:rPr>
          <w:rStyle w:val="FootnoteReference"/>
        </w:rPr>
        <w:footnoteRef/>
      </w:r>
      <w:r>
        <w:t xml:space="preserve"> </w:t>
      </w:r>
      <w:r w:rsidRPr="00184229">
        <w:rPr>
          <w:i/>
        </w:rPr>
        <w:t>American Broadcasting Companies, Inc. v. Aereo, Inc</w:t>
      </w:r>
      <w:r w:rsidRPr="005F24BE">
        <w:t>.</w:t>
      </w:r>
      <w:r>
        <w:t>, 134 S.Ct. 2498 (2014).</w:t>
      </w:r>
    </w:p>
  </w:footnote>
  <w:footnote w:id="21">
    <w:p w:rsidR="00CE3FB0" w:rsidRPr="003F3021" w:rsidRDefault="00CE3FB0" w:rsidP="003F3021">
      <w:pPr>
        <w:pStyle w:val="FootnoteText"/>
      </w:pPr>
      <w:r>
        <w:rPr>
          <w:rStyle w:val="FootnoteReference"/>
        </w:rPr>
        <w:footnoteRef/>
      </w:r>
      <w:r>
        <w:t xml:space="preserve"> Letter from Jacqueline C. Charlesworth, General Counsel and Associate Register of Copyrights, U.S. Copyright Office, to Matthew Calabro, </w:t>
      </w:r>
      <w:r w:rsidRPr="00E82885">
        <w:t xml:space="preserve">Director of </w:t>
      </w:r>
      <w:r>
        <w:t>Financial Planning &amp; Analysis</w:t>
      </w:r>
      <w:r w:rsidRPr="00E82885">
        <w:t xml:space="preserve"> and Revenue</w:t>
      </w:r>
      <w:r>
        <w:t xml:space="preserve">, Aereo, Inc. (July 16, 2014).  The letter rejected Aereo’s argument that it is a cable operator under the Copyright Act but indicated that the Copyright Office might revisit that conclusion if the Commission should find Aereo to be an MVPD under the Communications Act.  On October 23, 2014, the Federal District Court for the Southern District of New York granted certain broadcast stations’ request for a preliminary injunction to stop Aereo’s live and near-live streaming of their broadcast signals over the Internet.  The court appeared to leave open the possibility that Aereo could be entitled to a statutory copyright license if the Copyright Office and this Commission changed our interpretations of our respective statutes.  </w:t>
      </w:r>
      <w:r w:rsidRPr="00AB181D">
        <w:rPr>
          <w:i/>
        </w:rPr>
        <w:t>See American Broadcasting Companies, Inc. et al. v. Aereo, Inc.</w:t>
      </w:r>
      <w:r>
        <w:t xml:space="preserve">, </w:t>
      </w:r>
      <w:r w:rsidRPr="002A6DF9">
        <w:t>Nos. 12–cv–1540, 12–cv–1543</w:t>
      </w:r>
      <w:r>
        <w:t xml:space="preserve">, </w:t>
      </w:r>
      <w:r w:rsidRPr="002A6DF9">
        <w:t>2014 WL 5393867</w:t>
      </w:r>
      <w:r>
        <w:t>, at *5, n.3 (SDNY Oct. 23, 2014).</w:t>
      </w:r>
    </w:p>
  </w:footnote>
  <w:footnote w:id="22">
    <w:p w:rsidR="00CE3FB0" w:rsidRDefault="00CE3FB0">
      <w:pPr>
        <w:pStyle w:val="FootnoteText"/>
      </w:pPr>
      <w:r>
        <w:rPr>
          <w:rStyle w:val="FootnoteReference"/>
        </w:rPr>
        <w:footnoteRef/>
      </w:r>
      <w:r>
        <w:t xml:space="preserve"> Eriq Gardner, </w:t>
      </w:r>
      <w:r w:rsidRPr="00B92002">
        <w:rPr>
          <w:i/>
        </w:rPr>
        <w:t>Appeals Court Denies Aereo’s Request for New Hearing</w:t>
      </w:r>
      <w:r>
        <w:t xml:space="preserve">, </w:t>
      </w:r>
      <w:r w:rsidRPr="00B92002">
        <w:rPr>
          <w:smallCaps/>
        </w:rPr>
        <w:t>The Hollywood Reporter</w:t>
      </w:r>
      <w:r>
        <w:t xml:space="preserve"> (Aug. 22, 2014, 6:38 AM), </w:t>
      </w:r>
      <w:r w:rsidRPr="00E456D9">
        <w:t>http://www.hollywoodreporter.com/thr-esq/appeals-court-denies-aereos-request-727009</w:t>
      </w:r>
      <w:r>
        <w:t>.</w:t>
      </w:r>
    </w:p>
  </w:footnote>
  <w:footnote w:id="23">
    <w:p w:rsidR="00CE3FB0" w:rsidRDefault="00CE3FB0">
      <w:pPr>
        <w:pStyle w:val="FootnoteText"/>
      </w:pPr>
      <w:r>
        <w:rPr>
          <w:rStyle w:val="FootnoteReference"/>
        </w:rPr>
        <w:footnoteRef/>
      </w:r>
      <w:r>
        <w:t xml:space="preserve"> </w:t>
      </w:r>
      <w:r w:rsidRPr="00467260">
        <w:rPr>
          <w:i/>
        </w:rPr>
        <w:t>See</w:t>
      </w:r>
      <w:r>
        <w:t xml:space="preserve"> Chet Kanojia, </w:t>
      </w:r>
      <w:r w:rsidRPr="00467260">
        <w:rPr>
          <w:i/>
        </w:rPr>
        <w:t>The Next Chapter</w:t>
      </w:r>
      <w:r>
        <w:t xml:space="preserve">, </w:t>
      </w:r>
      <w:r w:rsidRPr="00467260">
        <w:rPr>
          <w:smallCaps/>
        </w:rPr>
        <w:t>Aereo Blog</w:t>
      </w:r>
      <w:r>
        <w:t xml:space="preserve"> (Nov. 21, 2014), </w:t>
      </w:r>
      <w:hyperlink r:id="rId6" w:history="1">
        <w:r w:rsidRPr="00333930">
          <w:rPr>
            <w:rStyle w:val="Hyperlink"/>
          </w:rPr>
          <w:t>http://blog.aereo.com/2014/11/next-chapter/</w:t>
        </w:r>
      </w:hyperlink>
      <w:r>
        <w:t>.</w:t>
      </w:r>
    </w:p>
  </w:footnote>
  <w:footnote w:id="24">
    <w:p w:rsidR="00CE3FB0" w:rsidRDefault="00CE3FB0" w:rsidP="00E94323">
      <w:pPr>
        <w:pStyle w:val="FootnoteText"/>
      </w:pPr>
      <w:r>
        <w:rPr>
          <w:rStyle w:val="FootnoteReference"/>
        </w:rPr>
        <w:footnoteRef/>
      </w:r>
      <w:r>
        <w:t xml:space="preserve"> </w:t>
      </w:r>
      <w:r w:rsidRPr="00B72BFE">
        <w:t>Unless otherwise noted, all comments and reply comments discussed and cited herein were filed on May 14, 2012 and June 13, 2012, respectively, in MB Docket No. 12-83.</w:t>
      </w:r>
    </w:p>
  </w:footnote>
  <w:footnote w:id="25">
    <w:p w:rsidR="00CE3FB0" w:rsidRDefault="00CE3FB0" w:rsidP="009A4FB7">
      <w:pPr>
        <w:pStyle w:val="FootnoteText"/>
      </w:pPr>
      <w:r>
        <w:rPr>
          <w:rStyle w:val="FootnoteReference"/>
        </w:rPr>
        <w:footnoteRef/>
      </w:r>
      <w:r>
        <w:t xml:space="preserve"> </w:t>
      </w:r>
      <w:r w:rsidRPr="002459CD">
        <w:rPr>
          <w:i/>
        </w:rPr>
        <w:t>See</w:t>
      </w:r>
      <w:r w:rsidRPr="002459CD">
        <w:t xml:space="preserve"> </w:t>
      </w:r>
      <w:r w:rsidRPr="00CC651E">
        <w:rPr>
          <w:i/>
        </w:rPr>
        <w:t xml:space="preserve">“Permit But Disclose” Ex Parte Procedures Established </w:t>
      </w:r>
      <w:r>
        <w:rPr>
          <w:i/>
        </w:rPr>
        <w:t>f</w:t>
      </w:r>
      <w:r w:rsidRPr="00CC651E">
        <w:rPr>
          <w:i/>
        </w:rPr>
        <w:t xml:space="preserve">or Docket Seeking Comment </w:t>
      </w:r>
      <w:r>
        <w:rPr>
          <w:i/>
        </w:rPr>
        <w:t>o</w:t>
      </w:r>
      <w:r w:rsidRPr="00CC651E">
        <w:rPr>
          <w:i/>
        </w:rPr>
        <w:t xml:space="preserve">n Interpretation </w:t>
      </w:r>
      <w:r>
        <w:rPr>
          <w:i/>
        </w:rPr>
        <w:t>o</w:t>
      </w:r>
      <w:r w:rsidRPr="00CC651E">
        <w:rPr>
          <w:i/>
        </w:rPr>
        <w:t xml:space="preserve">f </w:t>
      </w:r>
      <w:r>
        <w:rPr>
          <w:i/>
        </w:rPr>
        <w:t>t</w:t>
      </w:r>
      <w:r w:rsidRPr="00CC651E">
        <w:rPr>
          <w:i/>
        </w:rPr>
        <w:t>he Terms</w:t>
      </w:r>
      <w:r>
        <w:rPr>
          <w:i/>
        </w:rPr>
        <w:t xml:space="preserve"> </w:t>
      </w:r>
      <w:r w:rsidRPr="00CC651E">
        <w:rPr>
          <w:i/>
        </w:rPr>
        <w:t>“Multichannel Video Program</w:t>
      </w:r>
      <w:r>
        <w:rPr>
          <w:i/>
        </w:rPr>
        <w:t>ming Distributor” and “Channel” a</w:t>
      </w:r>
      <w:r w:rsidRPr="00CC651E">
        <w:rPr>
          <w:i/>
        </w:rPr>
        <w:t xml:space="preserve">s Raised </w:t>
      </w:r>
      <w:r>
        <w:rPr>
          <w:i/>
        </w:rPr>
        <w:t>i</w:t>
      </w:r>
      <w:r w:rsidRPr="00CC651E">
        <w:rPr>
          <w:i/>
        </w:rPr>
        <w:t>n Pending Program Access Complaint Proceeding</w:t>
      </w:r>
      <w:r w:rsidRPr="002459CD">
        <w:t xml:space="preserve">, </w:t>
      </w:r>
      <w:r>
        <w:t>Public Notice</w:t>
      </w:r>
      <w:r w:rsidRPr="002459CD">
        <w:t xml:space="preserve">, </w:t>
      </w:r>
      <w:r>
        <w:t>DA 14-1214</w:t>
      </w:r>
      <w:r w:rsidRPr="002459CD">
        <w:t xml:space="preserve"> (MB</w:t>
      </w:r>
      <w:r>
        <w:t xml:space="preserve"> rel. September 30,</w:t>
      </w:r>
      <w:r w:rsidRPr="002459CD">
        <w:t xml:space="preserve"> 201</w:t>
      </w:r>
      <w:r>
        <w:t>4</w:t>
      </w:r>
      <w:r w:rsidRPr="002459CD">
        <w:t>).</w:t>
      </w:r>
    </w:p>
  </w:footnote>
  <w:footnote w:id="26">
    <w:p w:rsidR="00CE3FB0" w:rsidRDefault="00CE3FB0">
      <w:pPr>
        <w:pStyle w:val="FootnoteText"/>
      </w:pPr>
      <w:r>
        <w:rPr>
          <w:rStyle w:val="FootnoteReference"/>
        </w:rPr>
        <w:footnoteRef/>
      </w:r>
      <w:r>
        <w:t xml:space="preserve"> </w:t>
      </w:r>
      <w:r w:rsidRPr="0061532E">
        <w:rPr>
          <w:i/>
        </w:rPr>
        <w:t>See supra</w:t>
      </w:r>
      <w:r>
        <w:t xml:space="preserve"> n.2.</w:t>
      </w:r>
    </w:p>
  </w:footnote>
  <w:footnote w:id="27">
    <w:p w:rsidR="00CE3FB0" w:rsidRPr="002459CD" w:rsidRDefault="00CE3FB0" w:rsidP="00184229">
      <w:pPr>
        <w:pStyle w:val="FootnoteText"/>
      </w:pPr>
      <w:r w:rsidRPr="002459CD">
        <w:rPr>
          <w:rStyle w:val="FootnoteReference"/>
        </w:rPr>
        <w:footnoteRef/>
      </w:r>
      <w:r w:rsidRPr="002459CD">
        <w:t xml:space="preserve"> </w:t>
      </w:r>
      <w:r>
        <w:t xml:space="preserve">In this </w:t>
      </w:r>
      <w:r w:rsidRPr="0061532E">
        <w:rPr>
          <w:i/>
        </w:rPr>
        <w:t>NPRM</w:t>
      </w:r>
      <w:r>
        <w:t xml:space="preserve">, we use the terms linear and pre-scheduled interchangeably, consistent with prior Commission use.  </w:t>
      </w:r>
      <w:r w:rsidRPr="002459CD">
        <w:rPr>
          <w:i/>
        </w:rPr>
        <w:t xml:space="preserve">See </w:t>
      </w:r>
      <w:r w:rsidRPr="00753F89">
        <w:rPr>
          <w:i/>
        </w:rPr>
        <w:t xml:space="preserve">Annual Assessment </w:t>
      </w:r>
      <w:r>
        <w:rPr>
          <w:i/>
        </w:rPr>
        <w:t>o</w:t>
      </w:r>
      <w:r w:rsidRPr="00753F89">
        <w:rPr>
          <w:i/>
        </w:rPr>
        <w:t xml:space="preserve">f </w:t>
      </w:r>
      <w:r>
        <w:rPr>
          <w:i/>
        </w:rPr>
        <w:t>t</w:t>
      </w:r>
      <w:r w:rsidRPr="00753F89">
        <w:rPr>
          <w:i/>
        </w:rPr>
        <w:t xml:space="preserve">he Status </w:t>
      </w:r>
      <w:r>
        <w:rPr>
          <w:i/>
        </w:rPr>
        <w:t>o</w:t>
      </w:r>
      <w:r w:rsidRPr="00753F89">
        <w:rPr>
          <w:i/>
        </w:rPr>
        <w:t xml:space="preserve">f Competition </w:t>
      </w:r>
      <w:r>
        <w:rPr>
          <w:i/>
        </w:rPr>
        <w:t>i</w:t>
      </w:r>
      <w:r w:rsidRPr="00753F89">
        <w:rPr>
          <w:i/>
        </w:rPr>
        <w:t xml:space="preserve">n </w:t>
      </w:r>
      <w:r>
        <w:rPr>
          <w:i/>
        </w:rPr>
        <w:t>t</w:t>
      </w:r>
      <w:r w:rsidRPr="00753F89">
        <w:rPr>
          <w:i/>
        </w:rPr>
        <w:t xml:space="preserve">he Market </w:t>
      </w:r>
      <w:r>
        <w:rPr>
          <w:i/>
        </w:rPr>
        <w:t>f</w:t>
      </w:r>
      <w:r w:rsidRPr="00753F89">
        <w:rPr>
          <w:i/>
        </w:rPr>
        <w:t xml:space="preserve">or </w:t>
      </w:r>
      <w:r>
        <w:rPr>
          <w:i/>
        </w:rPr>
        <w:t>t</w:t>
      </w:r>
      <w:r w:rsidRPr="00753F89">
        <w:rPr>
          <w:i/>
        </w:rPr>
        <w:t xml:space="preserve">he Delivery </w:t>
      </w:r>
      <w:r>
        <w:rPr>
          <w:i/>
        </w:rPr>
        <w:t>o</w:t>
      </w:r>
      <w:r w:rsidRPr="00753F89">
        <w:rPr>
          <w:i/>
        </w:rPr>
        <w:t>f Video Programming</w:t>
      </w:r>
      <w:r>
        <w:t xml:space="preserve">, Notice of Inquiry, </w:t>
      </w:r>
      <w:r w:rsidRPr="00753F89">
        <w:t>29 FCC Rcd 1597</w:t>
      </w:r>
      <w:r>
        <w:t xml:space="preserve">, 1603, </w:t>
      </w:r>
      <w:r w:rsidRPr="002459CD">
        <w:t>¶</w:t>
      </w:r>
      <w:r>
        <w:t xml:space="preserve"> 15, n.23 (2014)</w:t>
      </w:r>
      <w:r w:rsidRPr="00753F89">
        <w:rPr>
          <w:i/>
        </w:rPr>
        <w:t xml:space="preserve"> </w:t>
      </w:r>
      <w:r>
        <w:t>(“</w:t>
      </w:r>
      <w:r w:rsidRPr="00753F89">
        <w:t>A linear channel is one that distributes programming at a scheduled time. Non-linear programming, such as video-on-demand (</w:t>
      </w:r>
      <w:r>
        <w:t>‘</w:t>
      </w:r>
      <w:r w:rsidRPr="00753F89">
        <w:t>VOD</w:t>
      </w:r>
      <w:r>
        <w:t>’</w:t>
      </w:r>
      <w:r w:rsidRPr="00753F89">
        <w:t>) and online video content, is available at a time of the viewer</w:t>
      </w:r>
      <w:r>
        <w:t>’</w:t>
      </w:r>
      <w:r w:rsidRPr="00753F89">
        <w:t>s choosing.</w:t>
      </w:r>
      <w:r>
        <w:t>”);</w:t>
      </w:r>
      <w:r w:rsidRPr="00753F89">
        <w:t xml:space="preserve"> </w:t>
      </w:r>
      <w:r w:rsidRPr="002459CD">
        <w:rPr>
          <w:i/>
        </w:rPr>
        <w:t>Implementation of Section 304 of the Telecommunications Act of 1996</w:t>
      </w:r>
      <w:r w:rsidRPr="002459CD">
        <w:t xml:space="preserve">, Fourth Further Notice of Proposed Rulemaking, 25 FCC Rcd 4303, 4308, ¶ 14 n.43 (2010) (“The term </w:t>
      </w:r>
      <w:bookmarkStart w:id="84" w:name="SR;6158"/>
      <w:bookmarkStart w:id="85" w:name="SearchTerm"/>
      <w:bookmarkEnd w:id="84"/>
      <w:r w:rsidRPr="002459CD">
        <w:t xml:space="preserve">‘linear </w:t>
      </w:r>
      <w:bookmarkStart w:id="86" w:name="SR;6159"/>
      <w:bookmarkEnd w:id="86"/>
      <w:r w:rsidRPr="002459CD">
        <w:t xml:space="preserve">programming’ is generally understood to refer to video programming that is </w:t>
      </w:r>
      <w:bookmarkStart w:id="87" w:name="SR;6170"/>
      <w:bookmarkEnd w:id="85"/>
      <w:bookmarkEnd w:id="87"/>
      <w:r w:rsidRPr="002459CD">
        <w:t xml:space="preserve">prescheduled by the programming provider.  </w:t>
      </w:r>
      <w:r w:rsidRPr="002459CD">
        <w:rPr>
          <w:i/>
        </w:rPr>
        <w:t>Cf.</w:t>
      </w:r>
      <w:r w:rsidRPr="002459CD">
        <w:t xml:space="preserve"> 47 U.S.C. § 522(12) (defining ‘interactive on-demand services’ to exclude ‘services providing video programming prescheduled by the programming provider’).”).  </w:t>
      </w:r>
    </w:p>
  </w:footnote>
  <w:footnote w:id="28">
    <w:p w:rsidR="00CE3FB0" w:rsidRPr="00D3557A" w:rsidRDefault="00CE3FB0">
      <w:pPr>
        <w:pStyle w:val="FootnoteText"/>
      </w:pPr>
      <w:r>
        <w:rPr>
          <w:rStyle w:val="FootnoteReference"/>
        </w:rPr>
        <w:footnoteRef/>
      </w:r>
      <w:r>
        <w:t xml:space="preserve"> We use the term “on-demand” to refer to programming that is not prescheduled by the programming provider.  </w:t>
      </w:r>
      <w:r w:rsidRPr="0041733C">
        <w:rPr>
          <w:i/>
        </w:rPr>
        <w:t>See</w:t>
      </w:r>
      <w:r w:rsidRPr="00BE0B62">
        <w:t xml:space="preserve"> 47 U.S.C. § 522(12) (defining “</w:t>
      </w:r>
      <w:r w:rsidRPr="00D3557A">
        <w:t>interactive on-demand service” as “</w:t>
      </w:r>
      <w:r w:rsidRPr="00216BCA">
        <w:rPr>
          <w:shd w:val="clear" w:color="auto" w:fill="FFFFFF"/>
        </w:rPr>
        <w:t xml:space="preserve">a service providing video programming to subscribers over switched networks on an on-demand, point-to-point basis, but does not include services providing </w:t>
      </w:r>
      <w:r w:rsidRPr="00216BCA">
        <w:rPr>
          <w:i/>
          <w:shd w:val="clear" w:color="auto" w:fill="FFFFFF"/>
        </w:rPr>
        <w:t>video programming prescheduled by the programming provider</w:t>
      </w:r>
      <w:r w:rsidRPr="00216BCA">
        <w:rPr>
          <w:shd w:val="clear" w:color="auto" w:fill="FFFFFF"/>
        </w:rPr>
        <w:t>.” (emphasis added</w:t>
      </w:r>
      <w:r w:rsidRPr="003859EB">
        <w:rPr>
          <w:shd w:val="clear" w:color="auto" w:fill="FFFFFF"/>
        </w:rPr>
        <w:t>))</w:t>
      </w:r>
      <w:r>
        <w:rPr>
          <w:shd w:val="clear" w:color="auto" w:fill="FFFFFF"/>
        </w:rPr>
        <w:t>.</w:t>
      </w:r>
    </w:p>
  </w:footnote>
  <w:footnote w:id="29">
    <w:p w:rsidR="00CE3FB0" w:rsidRPr="002459CD" w:rsidRDefault="00CE3FB0" w:rsidP="00184229">
      <w:pPr>
        <w:pStyle w:val="FootnoteText"/>
      </w:pPr>
      <w:r w:rsidRPr="002459CD">
        <w:rPr>
          <w:rStyle w:val="FootnoteReference"/>
        </w:rPr>
        <w:footnoteRef/>
      </w:r>
      <w:r w:rsidRPr="002459CD">
        <w:t xml:space="preserve"> </w:t>
      </w:r>
      <w:r w:rsidRPr="002459CD">
        <w:rPr>
          <w:i/>
        </w:rPr>
        <w:t>See Annual Assessment of the Status of Competition in the Market for Delivery of Video Programming</w:t>
      </w:r>
      <w:r w:rsidRPr="002459CD">
        <w:t>, Fourteenth Report, 27 FCC Rcd 8610, 8722, ¶ 246, 8725, ¶ 252, 8726, ¶ 254 (2012) (“</w:t>
      </w:r>
      <w:r w:rsidRPr="002459CD">
        <w:rPr>
          <w:i/>
        </w:rPr>
        <w:t>14</w:t>
      </w:r>
      <w:r w:rsidRPr="002459CD">
        <w:rPr>
          <w:i/>
          <w:vertAlign w:val="superscript"/>
        </w:rPr>
        <w:t>th</w:t>
      </w:r>
      <w:r w:rsidRPr="002459CD">
        <w:rPr>
          <w:i/>
        </w:rPr>
        <w:t xml:space="preserve"> Annual Report</w:t>
      </w:r>
      <w:r w:rsidRPr="002459CD">
        <w:t>”).</w:t>
      </w:r>
    </w:p>
  </w:footnote>
  <w:footnote w:id="30">
    <w:p w:rsidR="00CE3FB0" w:rsidRPr="003E36C7" w:rsidRDefault="00CE3FB0" w:rsidP="00184229">
      <w:pPr>
        <w:pStyle w:val="FootnoteText"/>
      </w:pPr>
      <w:r w:rsidRPr="002459CD">
        <w:rPr>
          <w:rStyle w:val="FootnoteReference"/>
        </w:rPr>
        <w:footnoteRef/>
      </w:r>
      <w:r w:rsidRPr="002459CD">
        <w:t xml:space="preserve"> </w:t>
      </w:r>
      <w:r w:rsidRPr="002459CD">
        <w:rPr>
          <w:color w:val="000000"/>
        </w:rPr>
        <w:t>“</w:t>
      </w:r>
      <w:r>
        <w:rPr>
          <w:color w:val="000000"/>
        </w:rPr>
        <w:t>E</w:t>
      </w:r>
      <w:r w:rsidRPr="002459CD">
        <w:rPr>
          <w:color w:val="000000"/>
        </w:rPr>
        <w:t xml:space="preserve">lectronic sell through” (“EST”) </w:t>
      </w:r>
      <w:r>
        <w:rPr>
          <w:color w:val="000000"/>
        </w:rPr>
        <w:t>services are a subset of “on demand”</w:t>
      </w:r>
      <w:r w:rsidRPr="002459CD">
        <w:rPr>
          <w:color w:val="000000"/>
        </w:rPr>
        <w:t xml:space="preserve"> services that make content available to consumers on a download-to-own basis.  </w:t>
      </w:r>
      <w:r w:rsidRPr="002459CD">
        <w:rPr>
          <w:i/>
          <w:color w:val="000000"/>
        </w:rPr>
        <w:t>See</w:t>
      </w:r>
      <w:r w:rsidRPr="002459CD">
        <w:rPr>
          <w:color w:val="000000"/>
        </w:rPr>
        <w:t xml:space="preserve"> </w:t>
      </w:r>
      <w:r w:rsidRPr="002459CD">
        <w:t xml:space="preserve">Anytime On Demand, </w:t>
      </w:r>
      <w:r w:rsidRPr="002459CD">
        <w:rPr>
          <w:i/>
        </w:rPr>
        <w:t>Media Centre: Glossary of Terms</w:t>
      </w:r>
      <w:r w:rsidRPr="002459CD">
        <w:t xml:space="preserve">, </w:t>
      </w:r>
      <w:hyperlink r:id="rId7" w:anchor="electronic" w:history="1">
        <w:r w:rsidRPr="003E36C7">
          <w:rPr>
            <w:rStyle w:val="Hyperlink"/>
          </w:rPr>
          <w:t>http://www.anytimeondemand.com/glossary_of_terms.html#electronic</w:t>
        </w:r>
      </w:hyperlink>
      <w:r w:rsidRPr="003E36C7">
        <w:t xml:space="preserve">; </w:t>
      </w:r>
      <w:r w:rsidRPr="003E36C7">
        <w:rPr>
          <w:i/>
        </w:rPr>
        <w:t xml:space="preserve">Project Concord, Inc. v. </w:t>
      </w:r>
      <w:r w:rsidRPr="003E36C7">
        <w:rPr>
          <w:i/>
          <w:lang w:val="es-ES"/>
        </w:rPr>
        <w:t>NBCUniversal Media, LLC</w:t>
      </w:r>
      <w:r w:rsidRPr="003E36C7">
        <w:rPr>
          <w:lang w:val="es-ES"/>
        </w:rPr>
        <w:t xml:space="preserve">, Order on Review, DA 12-1958 (Nov. 13, 2012), at ¶ 12 n.55.  We use the term </w:t>
      </w:r>
      <w:r>
        <w:rPr>
          <w:lang w:val="es-ES"/>
        </w:rPr>
        <w:t>T</w:t>
      </w:r>
      <w:r w:rsidRPr="003E36C7">
        <w:rPr>
          <w:lang w:val="es-ES"/>
        </w:rPr>
        <w:t xml:space="preserve">ransactional </w:t>
      </w:r>
      <w:r>
        <w:rPr>
          <w:lang w:val="es-ES"/>
        </w:rPr>
        <w:t>O</w:t>
      </w:r>
      <w:r w:rsidRPr="003E36C7">
        <w:rPr>
          <w:lang w:val="es-ES"/>
        </w:rPr>
        <w:t>n</w:t>
      </w:r>
      <w:r>
        <w:rPr>
          <w:lang w:val="es-ES"/>
        </w:rPr>
        <w:t>-D</w:t>
      </w:r>
      <w:r w:rsidRPr="003E36C7">
        <w:rPr>
          <w:lang w:val="es-ES"/>
        </w:rPr>
        <w:t xml:space="preserve">emand to refer to both rental and download-to-own services. </w:t>
      </w:r>
    </w:p>
  </w:footnote>
  <w:footnote w:id="31">
    <w:p w:rsidR="00CE3FB0" w:rsidRPr="003E36C7" w:rsidRDefault="00CE3FB0" w:rsidP="00184229">
      <w:pPr>
        <w:pStyle w:val="FootnoteText"/>
      </w:pPr>
      <w:r w:rsidRPr="003E36C7">
        <w:rPr>
          <w:rStyle w:val="FootnoteReference"/>
        </w:rPr>
        <w:footnoteRef/>
      </w:r>
      <w:r w:rsidRPr="003E36C7">
        <w:t xml:space="preserve"> </w:t>
      </w:r>
      <w:r w:rsidRPr="003E36C7">
        <w:rPr>
          <w:i/>
        </w:rPr>
        <w:t>See</w:t>
      </w:r>
      <w:r w:rsidRPr="003E36C7">
        <w:t xml:space="preserve"> </w:t>
      </w:r>
      <w:r w:rsidRPr="003E36C7">
        <w:rPr>
          <w:i/>
        </w:rPr>
        <w:t>14</w:t>
      </w:r>
      <w:r w:rsidRPr="003E36C7">
        <w:rPr>
          <w:i/>
          <w:vertAlign w:val="superscript"/>
        </w:rPr>
        <w:t>th</w:t>
      </w:r>
      <w:r w:rsidRPr="003E36C7">
        <w:rPr>
          <w:i/>
        </w:rPr>
        <w:t xml:space="preserve"> Annual Report</w:t>
      </w:r>
      <w:r w:rsidRPr="003E36C7">
        <w:t>, 27 FCC Rcd at 8724, ¶ 249, 8725-26, ¶¶ 253-54, 8727, ¶¶ 256-57.</w:t>
      </w:r>
    </w:p>
  </w:footnote>
  <w:footnote w:id="32">
    <w:p w:rsidR="00CE3FB0" w:rsidRDefault="00CE3FB0">
      <w:pPr>
        <w:pStyle w:val="FootnoteText"/>
      </w:pPr>
      <w:r>
        <w:rPr>
          <w:rStyle w:val="FootnoteReference"/>
        </w:rPr>
        <w:footnoteRef/>
      </w:r>
      <w:r>
        <w:t xml:space="preserve"> </w:t>
      </w:r>
      <w:r w:rsidRPr="00793834">
        <w:rPr>
          <w:i/>
        </w:rPr>
        <w:t>See</w:t>
      </w:r>
      <w:r>
        <w:t xml:space="preserve"> 47 U.S.C. </w:t>
      </w:r>
      <w:r w:rsidRPr="003E36C7">
        <w:t>§</w:t>
      </w:r>
      <w:r>
        <w:t xml:space="preserve"> 522(20) (defining “video programming”).</w:t>
      </w:r>
    </w:p>
  </w:footnote>
  <w:footnote w:id="33">
    <w:p w:rsidR="00CE3FB0" w:rsidRPr="003E36C7" w:rsidRDefault="00CE3FB0" w:rsidP="00184229">
      <w:pPr>
        <w:pStyle w:val="FootnoteText"/>
      </w:pPr>
      <w:r w:rsidRPr="003E36C7">
        <w:rPr>
          <w:rStyle w:val="FootnoteReference"/>
        </w:rPr>
        <w:footnoteRef/>
      </w:r>
      <w:r w:rsidRPr="003E36C7">
        <w:t xml:space="preserve"> 47 U.S.C. § 522(13); </w:t>
      </w:r>
      <w:r w:rsidRPr="003E36C7">
        <w:rPr>
          <w:i/>
        </w:rPr>
        <w:t>see</w:t>
      </w:r>
      <w:r w:rsidRPr="003E36C7">
        <w:t xml:space="preserve"> </w:t>
      </w:r>
      <w:r w:rsidRPr="003E36C7">
        <w:rPr>
          <w:i/>
        </w:rPr>
        <w:t>14</w:t>
      </w:r>
      <w:r w:rsidRPr="003E36C7">
        <w:rPr>
          <w:i/>
          <w:vertAlign w:val="superscript"/>
        </w:rPr>
        <w:t>th</w:t>
      </w:r>
      <w:r w:rsidRPr="003E36C7">
        <w:rPr>
          <w:i/>
        </w:rPr>
        <w:t xml:space="preserve"> Annual Report</w:t>
      </w:r>
      <w:r w:rsidRPr="003E36C7">
        <w:t>, 27 FCC Rcd at 8722, ¶ 246, 8723, ¶ 248.</w:t>
      </w:r>
    </w:p>
  </w:footnote>
  <w:footnote w:id="34">
    <w:p w:rsidR="00CE3FB0" w:rsidRDefault="00CE3FB0">
      <w:pPr>
        <w:pStyle w:val="FootnoteText"/>
      </w:pPr>
      <w:r>
        <w:rPr>
          <w:rStyle w:val="FootnoteReference"/>
        </w:rPr>
        <w:footnoteRef/>
      </w:r>
      <w:r>
        <w:t xml:space="preserve"> This </w:t>
      </w:r>
      <w:r w:rsidRPr="001E0C50">
        <w:rPr>
          <w:i/>
        </w:rPr>
        <w:t>NPRM</w:t>
      </w:r>
      <w:r>
        <w:t xml:space="preserve"> does not define or opine on which services or providers are in the same relevant product market as a service designated as an MVPD.</w:t>
      </w:r>
    </w:p>
  </w:footnote>
  <w:footnote w:id="35">
    <w:p w:rsidR="00CE3FB0" w:rsidRPr="002459CD" w:rsidRDefault="00CE3FB0" w:rsidP="00F1679A">
      <w:pPr>
        <w:pStyle w:val="FootnoteText"/>
      </w:pPr>
      <w:r w:rsidRPr="002459CD">
        <w:rPr>
          <w:rStyle w:val="FootnoteReference"/>
        </w:rPr>
        <w:footnoteRef/>
      </w:r>
      <w:r w:rsidRPr="002459CD">
        <w:t xml:space="preserve"> 47 U.S.C. § 522(13).</w:t>
      </w:r>
    </w:p>
  </w:footnote>
  <w:footnote w:id="36">
    <w:p w:rsidR="00CE3FB0" w:rsidRPr="002459CD" w:rsidRDefault="00CE3FB0" w:rsidP="00F1679A">
      <w:pPr>
        <w:pStyle w:val="FootnoteText"/>
      </w:pPr>
      <w:r w:rsidRPr="002459CD">
        <w:rPr>
          <w:rStyle w:val="FootnoteReference"/>
        </w:rPr>
        <w:footnoteRef/>
      </w:r>
      <w:r w:rsidRPr="002459CD">
        <w:t xml:space="preserve"> The Act defines “video programming” as “</w:t>
      </w:r>
      <w:r w:rsidRPr="002459CD">
        <w:rPr>
          <w:color w:val="000000"/>
        </w:rPr>
        <w:t xml:space="preserve">programming provided by, or generally considered comparable to programming provided by, a television broadcast station.”  </w:t>
      </w:r>
      <w:r w:rsidRPr="002459CD">
        <w:t>47 U.S.C. § 522(20).  Although the Commission stated a decade ago that “Internet video, called ‘</w:t>
      </w:r>
      <w:r w:rsidRPr="002459CD">
        <w:rPr>
          <w:color w:val="000000"/>
        </w:rPr>
        <w:t xml:space="preserve">streaming video’ . . . has not yet achieved television quality . . . and therefore is not consistent with the definition of video programming,” it recently reached the opposite conclusion in light of technological developments.  </w:t>
      </w:r>
      <w:r w:rsidRPr="002459CD">
        <w:rPr>
          <w:i/>
        </w:rPr>
        <w:t>Compare Inquiry Concerning High-Speed Access to the Internet Over Cable and Other Facilities</w:t>
      </w:r>
      <w:r w:rsidRPr="002459CD">
        <w:t xml:space="preserve">, Declaratory Ruling and Notice of Proposed Rulemaking, 17 FCC Rcd 4798, 4834, ¶ 63 n.236 (2002) </w:t>
      </w:r>
      <w:r w:rsidRPr="002459CD">
        <w:rPr>
          <w:i/>
        </w:rPr>
        <w:t>with</w:t>
      </w:r>
      <w:r w:rsidRPr="002459CD">
        <w:t xml:space="preserve"> </w:t>
      </w:r>
      <w:r w:rsidRPr="002459CD">
        <w:rPr>
          <w:i/>
        </w:rPr>
        <w:t>Preserving the Open Internet</w:t>
      </w:r>
      <w:r w:rsidRPr="002459CD">
        <w:t>, Report and Order, 25 FCC Rcd 17905, 17976, ¶ 129 n.408 (2010)</w:t>
      </w:r>
      <w:r>
        <w:t xml:space="preserve">, </w:t>
      </w:r>
      <w:r w:rsidRPr="00184229">
        <w:rPr>
          <w:i/>
        </w:rPr>
        <w:t>vacated on other grounds</w:t>
      </w:r>
      <w:r>
        <w:t>,</w:t>
      </w:r>
      <w:r w:rsidRPr="00184229">
        <w:t xml:space="preserve"> </w:t>
      </w:r>
      <w:r w:rsidRPr="00184229">
        <w:rPr>
          <w:i/>
        </w:rPr>
        <w:t>Verizon v. FCC</w:t>
      </w:r>
      <w:r>
        <w:t xml:space="preserve">, </w:t>
      </w:r>
      <w:r w:rsidRPr="00184229">
        <w:t>740 F.3d 623</w:t>
      </w:r>
      <w:r>
        <w:t xml:space="preserve"> (DC Cir 2014)</w:t>
      </w:r>
      <w:r w:rsidRPr="002459CD">
        <w:t xml:space="preserve"> (“intervening improvements in streaming technology and broadband availability enable such programming to be ‘comparable to programming provided by . . . a television broadcast station’”) (quoting definition of “video programming” in 47 U.S.C. § 522(20))</w:t>
      </w:r>
      <w:r>
        <w:t>.</w:t>
      </w:r>
    </w:p>
  </w:footnote>
  <w:footnote w:id="37">
    <w:p w:rsidR="00CE3FB0" w:rsidRPr="002459CD" w:rsidRDefault="00CE3FB0" w:rsidP="00F1679A">
      <w:pPr>
        <w:pStyle w:val="FootnoteText"/>
      </w:pPr>
      <w:r w:rsidRPr="002459CD">
        <w:rPr>
          <w:rStyle w:val="FootnoteReference"/>
        </w:rPr>
        <w:footnoteRef/>
      </w:r>
      <w:r w:rsidRPr="002459CD">
        <w:t xml:space="preserve"> 47 U.S.C. § 522(4).  </w:t>
      </w:r>
    </w:p>
  </w:footnote>
  <w:footnote w:id="38">
    <w:p w:rsidR="00CE3FB0" w:rsidRPr="002459CD" w:rsidRDefault="00CE3FB0" w:rsidP="00F1679A">
      <w:pPr>
        <w:pStyle w:val="FootnoteText"/>
      </w:pPr>
      <w:r w:rsidRPr="002459CD">
        <w:rPr>
          <w:rStyle w:val="FootnoteReference"/>
        </w:rPr>
        <w:footnoteRef/>
      </w:r>
      <w:r w:rsidRPr="002459CD">
        <w:t xml:space="preserve"> </w:t>
      </w:r>
      <w:r w:rsidRPr="002459CD">
        <w:rPr>
          <w:i/>
        </w:rPr>
        <w:t>See</w:t>
      </w:r>
      <w:r w:rsidRPr="002459CD">
        <w:t xml:space="preserve"> </w:t>
      </w:r>
      <w:r w:rsidRPr="002459CD">
        <w:rPr>
          <w:i/>
        </w:rPr>
        <w:t>March 2012 Public Notice</w:t>
      </w:r>
      <w:r w:rsidRPr="002459CD">
        <w:t>, 27 FCC Rcd at 3079, ¶ 1.</w:t>
      </w:r>
    </w:p>
  </w:footnote>
  <w:footnote w:id="39">
    <w:p w:rsidR="00CE3FB0" w:rsidRPr="002459CD" w:rsidRDefault="00CE3FB0" w:rsidP="00F1679A">
      <w:pPr>
        <w:pStyle w:val="FootnoteText"/>
      </w:pPr>
      <w:r w:rsidRPr="002459CD">
        <w:rPr>
          <w:rStyle w:val="FootnoteReference"/>
        </w:rPr>
        <w:footnoteRef/>
      </w:r>
      <w:r w:rsidRPr="002459CD">
        <w:t xml:space="preserve"> </w:t>
      </w:r>
      <w:r w:rsidRPr="002459CD">
        <w:rPr>
          <w:i/>
        </w:rPr>
        <w:t>See</w:t>
      </w:r>
      <w:r w:rsidRPr="002459CD">
        <w:t xml:space="preserve"> </w:t>
      </w:r>
      <w:r>
        <w:rPr>
          <w:i/>
        </w:rPr>
        <w:t>id.</w:t>
      </w:r>
      <w:r w:rsidRPr="002459CD">
        <w:t>.</w:t>
      </w:r>
    </w:p>
  </w:footnote>
  <w:footnote w:id="40">
    <w:p w:rsidR="00CE3FB0" w:rsidRDefault="00CE3FB0">
      <w:pPr>
        <w:pStyle w:val="FootnoteText"/>
      </w:pPr>
      <w:r>
        <w:rPr>
          <w:rStyle w:val="FootnoteReference"/>
        </w:rPr>
        <w:footnoteRef/>
      </w:r>
      <w:r>
        <w:t xml:space="preserve"> </w:t>
      </w:r>
      <w:r w:rsidRPr="00665736">
        <w:rPr>
          <w:szCs w:val="22"/>
        </w:rPr>
        <w:t>In denying Sky Angel</w:t>
      </w:r>
      <w:r>
        <w:rPr>
          <w:szCs w:val="22"/>
        </w:rPr>
        <w:t>’s</w:t>
      </w:r>
      <w:r w:rsidRPr="000D71A8">
        <w:rPr>
          <w:szCs w:val="22"/>
        </w:rPr>
        <w:t xml:space="preserve"> </w:t>
      </w:r>
      <w:r w:rsidRPr="00665736">
        <w:rPr>
          <w:szCs w:val="22"/>
        </w:rPr>
        <w:t xml:space="preserve">standstill request, the Media Bureau </w:t>
      </w:r>
      <w:r>
        <w:rPr>
          <w:szCs w:val="22"/>
        </w:rPr>
        <w:t>expressed tentative approval of</w:t>
      </w:r>
      <w:r w:rsidRPr="00665736">
        <w:rPr>
          <w:szCs w:val="22"/>
        </w:rPr>
        <w:t xml:space="preserve"> the Transmission Path Interpretation</w:t>
      </w:r>
      <w:r>
        <w:rPr>
          <w:szCs w:val="22"/>
        </w:rPr>
        <w:t>.</w:t>
      </w:r>
      <w:r w:rsidRPr="0095021E">
        <w:rPr>
          <w:i/>
        </w:rPr>
        <w:t xml:space="preserve"> </w:t>
      </w:r>
      <w:r>
        <w:rPr>
          <w:i/>
        </w:rPr>
        <w:t xml:space="preserve"> </w:t>
      </w:r>
      <w:r w:rsidRPr="002459CD">
        <w:rPr>
          <w:i/>
        </w:rPr>
        <w:t>See</w:t>
      </w:r>
      <w:r w:rsidRPr="002459CD">
        <w:t xml:space="preserve"> </w:t>
      </w:r>
      <w:r w:rsidRPr="002459CD">
        <w:rPr>
          <w:i/>
        </w:rPr>
        <w:t>Sky Angel Standstill Denial</w:t>
      </w:r>
      <w:r w:rsidRPr="002459CD">
        <w:t xml:space="preserve">, 25 FCC Rcd </w:t>
      </w:r>
      <w:r>
        <w:t xml:space="preserve">at </w:t>
      </w:r>
      <w:r w:rsidRPr="002459CD">
        <w:t>3882-83, ¶ 7</w:t>
      </w:r>
      <w:r>
        <w:t xml:space="preserve">.  </w:t>
      </w:r>
      <w:r w:rsidRPr="002459CD">
        <w:t xml:space="preserve">In </w:t>
      </w:r>
      <w:r>
        <w:t>doing so</w:t>
      </w:r>
      <w:r w:rsidRPr="002459CD">
        <w:t xml:space="preserve">, the Media Bureau cautioned that </w:t>
      </w:r>
      <w:r>
        <w:t>its action</w:t>
      </w:r>
      <w:r w:rsidRPr="002459CD">
        <w:t xml:space="preserve"> “should not be read to state or imply that the Commission, or the Bureau acting on delegated authority, will ultimately conclude, in resolving the underlying complaint, that Sky Angel does not meet the definition of an MVPD.”  </w:t>
      </w:r>
      <w:r w:rsidRPr="002459CD">
        <w:rPr>
          <w:i/>
        </w:rPr>
        <w:t>Id</w:t>
      </w:r>
      <w:r w:rsidRPr="002459CD">
        <w:t xml:space="preserve">. at 3884, ¶ 10.  </w:t>
      </w:r>
      <w:r w:rsidRPr="002459CD">
        <w:rPr>
          <w:kern w:val="28"/>
        </w:rPr>
        <w:t xml:space="preserve">We also note that staff-level decisions are not binding on the Commission.  </w:t>
      </w:r>
      <w:r w:rsidRPr="002459CD">
        <w:rPr>
          <w:i/>
        </w:rPr>
        <w:t>See</w:t>
      </w:r>
      <w:r w:rsidRPr="002459CD">
        <w:t xml:space="preserve"> </w:t>
      </w:r>
      <w:r w:rsidRPr="002459CD">
        <w:rPr>
          <w:i/>
        </w:rPr>
        <w:t>Comcast Corp. v. FCC</w:t>
      </w:r>
      <w:r w:rsidRPr="002459CD">
        <w:t>, 526 F.3d 763, 769 (D.C. Cir. 2008).</w:t>
      </w:r>
    </w:p>
  </w:footnote>
  <w:footnote w:id="41">
    <w:p w:rsidR="00CE3FB0" w:rsidRDefault="00CE3FB0">
      <w:pPr>
        <w:pStyle w:val="FootnoteText"/>
      </w:pPr>
      <w:r>
        <w:rPr>
          <w:rStyle w:val="FootnoteReference"/>
        </w:rPr>
        <w:footnoteRef/>
      </w:r>
      <w:r>
        <w:t xml:space="preserve"> </w:t>
      </w:r>
      <w:r w:rsidRPr="00537BD7" w:rsidDel="000E47C3">
        <w:rPr>
          <w:i/>
        </w:rPr>
        <w:t>See</w:t>
      </w:r>
      <w:r w:rsidRPr="00537BD7" w:rsidDel="000E47C3">
        <w:t xml:space="preserve"> </w:t>
      </w:r>
      <w:r w:rsidRPr="00537BD7">
        <w:t xml:space="preserve">Sky Angel Comments at 19-20; </w:t>
      </w:r>
      <w:r w:rsidRPr="00F2142E">
        <w:t>Comments of Syncbak, Inc.</w:t>
      </w:r>
      <w:r w:rsidRPr="00537BD7">
        <w:t xml:space="preserve"> at 3 </w:t>
      </w:r>
      <w:r>
        <w:t>(“</w:t>
      </w:r>
      <w:r w:rsidRPr="00537BD7">
        <w:t>Syncbak Comments</w:t>
      </w:r>
      <w:r>
        <w:t xml:space="preserve">”) (calling for a “functional equivalency” standard); </w:t>
      </w:r>
      <w:r w:rsidRPr="00D039CB">
        <w:rPr>
          <w:i/>
        </w:rPr>
        <w:t>see also</w:t>
      </w:r>
      <w:r w:rsidRPr="00684D49">
        <w:t xml:space="preserve"> Reply Comments of M3X Media, Inc. at 3-4</w:t>
      </w:r>
      <w:r w:rsidRPr="00BF7460">
        <w:t xml:space="preserve"> </w:t>
      </w:r>
      <w:r>
        <w:t>(“</w:t>
      </w:r>
      <w:r w:rsidRPr="00684D49">
        <w:t>M3X Reply Comments</w:t>
      </w:r>
      <w:r>
        <w:t>”)</w:t>
      </w:r>
      <w:r w:rsidRPr="00684D49">
        <w:t>; Reply Comments of Syncbak, Inc</w:t>
      </w:r>
      <w:r>
        <w:t xml:space="preserve">. </w:t>
      </w:r>
      <w:r w:rsidRPr="00684D49">
        <w:t>at 6</w:t>
      </w:r>
      <w:r>
        <w:t xml:space="preserve"> (“</w:t>
      </w:r>
      <w:r w:rsidRPr="00684D49">
        <w:t>Syncbak Reply Comments</w:t>
      </w:r>
      <w:r>
        <w:t>”) (suggesting that the Commission should allow entities to choose whether to have MVPD status)</w:t>
      </w:r>
      <w:r w:rsidRPr="00684D49">
        <w:t xml:space="preserve">; </w:t>
      </w:r>
      <w:r w:rsidRPr="00684D49">
        <w:rPr>
          <w:i/>
        </w:rPr>
        <w:t>see also infra</w:t>
      </w:r>
      <w:r w:rsidRPr="00684D49">
        <w:t xml:space="preserve"> ¶¶ </w:t>
      </w:r>
      <w:r>
        <w:t>33-64</w:t>
      </w:r>
      <w:r w:rsidRPr="00684D49">
        <w:t xml:space="preserve"> (discussing the regulatory </w:t>
      </w:r>
      <w:r>
        <w:t>privileges</w:t>
      </w:r>
      <w:r w:rsidRPr="00684D49">
        <w:t xml:space="preserve"> and obligations of MVPD status).</w:t>
      </w:r>
      <w:r>
        <w:t xml:space="preserve">  </w:t>
      </w:r>
    </w:p>
  </w:footnote>
  <w:footnote w:id="42">
    <w:p w:rsidR="00CE3FB0" w:rsidRDefault="00CE3FB0">
      <w:pPr>
        <w:pStyle w:val="FootnoteText"/>
      </w:pPr>
      <w:r>
        <w:rPr>
          <w:rStyle w:val="FootnoteReference"/>
        </w:rPr>
        <w:footnoteRef/>
      </w:r>
      <w:r>
        <w:t xml:space="preserve"> </w:t>
      </w:r>
      <w:r w:rsidRPr="0095021E">
        <w:rPr>
          <w:i/>
        </w:rPr>
        <w:t>See</w:t>
      </w:r>
      <w:r>
        <w:t xml:space="preserve"> Appendix A (proposing new rule section 76.5(ss)).</w:t>
      </w:r>
    </w:p>
  </w:footnote>
  <w:footnote w:id="43">
    <w:p w:rsidR="00CE3FB0" w:rsidRDefault="00CE3FB0" w:rsidP="00A251DA">
      <w:pPr>
        <w:pStyle w:val="FootnoteText"/>
      </w:pPr>
      <w:r>
        <w:rPr>
          <w:rStyle w:val="FootnoteReference"/>
        </w:rPr>
        <w:footnoteRef/>
      </w:r>
      <w:r>
        <w:t xml:space="preserve"> </w:t>
      </w:r>
      <w:r w:rsidRPr="0095021E">
        <w:rPr>
          <w:i/>
        </w:rPr>
        <w:t>See</w:t>
      </w:r>
      <w:r>
        <w:t xml:space="preserve"> Appendix A (proposing new rule section 76.5(rr)).  The Commission has used the word “linear” to refer generally to prescheduled video programming.  </w:t>
      </w:r>
      <w:r w:rsidRPr="00B92002">
        <w:rPr>
          <w:i/>
        </w:rPr>
        <w:t>See supra</w:t>
      </w:r>
      <w:r>
        <w:t xml:space="preserve"> n.26.  </w:t>
      </w:r>
    </w:p>
  </w:footnote>
  <w:footnote w:id="44">
    <w:p w:rsidR="00CE3FB0" w:rsidRPr="00CF76C5" w:rsidRDefault="00CE3FB0" w:rsidP="001351E2">
      <w:pPr>
        <w:pStyle w:val="FootnoteText"/>
      </w:pPr>
      <w:r w:rsidRPr="00CF76C5">
        <w:rPr>
          <w:rStyle w:val="FootnoteReference"/>
        </w:rPr>
        <w:footnoteRef/>
      </w:r>
      <w:r w:rsidRPr="00CF76C5">
        <w:t xml:space="preserve"> 47 U.S.C. § 522(13) (emphasis added).</w:t>
      </w:r>
    </w:p>
  </w:footnote>
  <w:footnote w:id="45">
    <w:p w:rsidR="00CE3FB0" w:rsidRPr="00F96281" w:rsidRDefault="00CE3FB0" w:rsidP="001351E2">
      <w:pPr>
        <w:pStyle w:val="FootnoteText"/>
      </w:pPr>
      <w:r w:rsidRPr="00CF76C5">
        <w:rPr>
          <w:rStyle w:val="FootnoteReference"/>
        </w:rPr>
        <w:footnoteRef/>
      </w:r>
      <w:r w:rsidRPr="00CF76C5">
        <w:t xml:space="preserve"> </w:t>
      </w:r>
      <w:r w:rsidRPr="00CF76C5">
        <w:rPr>
          <w:i/>
        </w:rPr>
        <w:t>Sky Angel Standstill Denial</w:t>
      </w:r>
      <w:r w:rsidRPr="00CF76C5">
        <w:t xml:space="preserve">, 25 FCC Rcd at 3883, n.41; </w:t>
      </w:r>
      <w:r w:rsidRPr="00CF76C5">
        <w:rPr>
          <w:i/>
        </w:rPr>
        <w:t>see also</w:t>
      </w:r>
      <w:r w:rsidRPr="00CF76C5">
        <w:t xml:space="preserve"> ACA Comments at 7-8; Cablevision Comments at 9; </w:t>
      </w:r>
      <w:r w:rsidRPr="00F96281">
        <w:t>Discovery Comments at 4.</w:t>
      </w:r>
    </w:p>
  </w:footnote>
  <w:footnote w:id="46">
    <w:p w:rsidR="00CE3FB0" w:rsidRPr="00C077D3" w:rsidRDefault="00CE3FB0" w:rsidP="004C0D1C">
      <w:pPr>
        <w:pStyle w:val="FootnoteText"/>
      </w:pPr>
      <w:r w:rsidRPr="003F0ED1">
        <w:rPr>
          <w:rStyle w:val="FootnoteReference"/>
        </w:rPr>
        <w:footnoteRef/>
      </w:r>
      <w:r w:rsidRPr="003F0ED1">
        <w:t xml:space="preserve"> </w:t>
      </w:r>
      <w:r w:rsidRPr="00E560BC">
        <w:rPr>
          <w:i/>
        </w:rPr>
        <w:t>See</w:t>
      </w:r>
      <w:r>
        <w:t xml:space="preserve"> Comments of Public Knowledge at </w:t>
      </w:r>
      <w:r w:rsidRPr="000C73D6">
        <w:t>8-9</w:t>
      </w:r>
      <w:r>
        <w:t xml:space="preserve"> (“Public Knowledge Comments”)</w:t>
      </w:r>
      <w:r w:rsidRPr="00C077D3">
        <w:t xml:space="preserve">; </w:t>
      </w:r>
      <w:r w:rsidRPr="00B92002">
        <w:rPr>
          <w:i/>
        </w:rPr>
        <w:t>see also</w:t>
      </w:r>
      <w:r>
        <w:t xml:space="preserve"> </w:t>
      </w:r>
      <w:r w:rsidRPr="00C077D3">
        <w:t xml:space="preserve">ABC/CBS/NBC Affiliates Reply Comments at 4 (“The statute contains no express limitation predicated on the technological </w:t>
      </w:r>
      <w:r w:rsidRPr="00C077D3">
        <w:rPr>
          <w:i/>
          <w:iCs/>
        </w:rPr>
        <w:t xml:space="preserve">method </w:t>
      </w:r>
      <w:r w:rsidRPr="00C077D3">
        <w:t>by which video programming is delivered to subscribers or customers . . . .”) (emphasis in original).</w:t>
      </w:r>
      <w:r w:rsidRPr="00F424EA">
        <w:t xml:space="preserve"> </w:t>
      </w:r>
      <w:r>
        <w:t>Consistent with this interpretation, DIRECTV and SkyAngel note that</w:t>
      </w:r>
      <w:r w:rsidRPr="00C93B0D">
        <w:t xml:space="preserve"> one of the statutory examples – “a television receive-only satellite program distributor” – does not provide or control the transmission path used to provide video programming to subscribers or customers, thereby </w:t>
      </w:r>
      <w:r>
        <w:t>supporting our tentative conclusion.</w:t>
      </w:r>
      <w:r w:rsidRPr="00F424EA">
        <w:rPr>
          <w:i/>
        </w:rPr>
        <w:t xml:space="preserve"> </w:t>
      </w:r>
      <w:r w:rsidRPr="00F96281">
        <w:rPr>
          <w:i/>
        </w:rPr>
        <w:t>See</w:t>
      </w:r>
      <w:r w:rsidRPr="00F96281">
        <w:t xml:space="preserve"> DIRECTV Comments at 8-10; Sky Angel Comments at 16-</w:t>
      </w:r>
      <w:r>
        <w:t>17;</w:t>
      </w:r>
      <w:r w:rsidRPr="006D2F56">
        <w:rPr>
          <w:i/>
        </w:rPr>
        <w:t xml:space="preserve"> </w:t>
      </w:r>
      <w:r>
        <w:rPr>
          <w:i/>
        </w:rPr>
        <w:t>s</w:t>
      </w:r>
      <w:r w:rsidRPr="002B42C0">
        <w:rPr>
          <w:i/>
        </w:rPr>
        <w:t>ee also</w:t>
      </w:r>
      <w:r w:rsidRPr="00F96281">
        <w:t xml:space="preserve"> </w:t>
      </w:r>
      <w:r w:rsidRPr="00326AFF">
        <w:rPr>
          <w:i/>
          <w:color w:val="000000"/>
        </w:rPr>
        <w:t>Implementation of Sections of the Cable Television Consumer Protection and Competition Act of 1992: Rate Regulation</w:t>
      </w:r>
      <w:r w:rsidRPr="00326AFF">
        <w:rPr>
          <w:color w:val="000000"/>
        </w:rPr>
        <w:t xml:space="preserve">, </w:t>
      </w:r>
      <w:r w:rsidRPr="00826A4D">
        <w:rPr>
          <w:color w:val="000000"/>
        </w:rPr>
        <w:t>Report and Order and Further Notice of Proposed Rulemaking</w:t>
      </w:r>
      <w:r w:rsidRPr="00326AFF">
        <w:rPr>
          <w:color w:val="000000"/>
        </w:rPr>
        <w:t xml:space="preserve">, 8 FCC Rcd 5631, 5651-52, ¶ 23 (1993) (“TCI asserts that, by including television receive-only satellite programming distributors in the definition of a multichannel video programming distributor, Congress showed that a distributor need not be facilities-based in order to come within the scope of the effective competition test.  We agree with TCI that a qualifying distributor need not </w:t>
      </w:r>
      <w:r w:rsidRPr="00DB4163">
        <w:rPr>
          <w:color w:val="000000"/>
        </w:rPr>
        <w:t>own</w:t>
      </w:r>
      <w:r w:rsidRPr="00326AFF">
        <w:rPr>
          <w:color w:val="000000"/>
        </w:rPr>
        <w:t xml:space="preserve"> its own basic transmission and distribution facilities.”) </w:t>
      </w:r>
      <w:r>
        <w:rPr>
          <w:color w:val="000000"/>
        </w:rPr>
        <w:t>(“</w:t>
      </w:r>
      <w:r w:rsidRPr="009955D9">
        <w:rPr>
          <w:i/>
          <w:color w:val="000000"/>
        </w:rPr>
        <w:t>1993 Rate Regulation Order</w:t>
      </w:r>
      <w:r>
        <w:rPr>
          <w:color w:val="000000"/>
        </w:rPr>
        <w:t>”);</w:t>
      </w:r>
      <w:r w:rsidRPr="00473AF3">
        <w:rPr>
          <w:color w:val="000000"/>
        </w:rPr>
        <w:t xml:space="preserve"> </w:t>
      </w:r>
      <w:r w:rsidRPr="00F96281">
        <w:t>ABC/CBS/NBC Affiliates Reply Comments at 7-9; DIRECTV Reply Comments at 3-5; Sky Angel Reply Comments at 15-16</w:t>
      </w:r>
      <w:r>
        <w:t xml:space="preserve">. Other commenters dispute DIRECTV and Sky Angel’s assertion that </w:t>
      </w:r>
      <w:r w:rsidRPr="00326AFF">
        <w:rPr>
          <w:color w:val="000000"/>
        </w:rPr>
        <w:t xml:space="preserve">receive-only satellite programming distributors </w:t>
      </w:r>
      <w:r>
        <w:rPr>
          <w:color w:val="000000"/>
        </w:rPr>
        <w:t>are not facilities based</w:t>
      </w:r>
      <w:r>
        <w:t>.</w:t>
      </w:r>
      <w:r w:rsidRPr="00573D91">
        <w:t xml:space="preserve"> </w:t>
      </w:r>
      <w:r>
        <w:rPr>
          <w:i/>
        </w:rPr>
        <w:t>S</w:t>
      </w:r>
      <w:r w:rsidRPr="00F96281">
        <w:rPr>
          <w:i/>
        </w:rPr>
        <w:t xml:space="preserve">ee </w:t>
      </w:r>
      <w:r w:rsidRPr="00F96281">
        <w:t>Cablevision Comments at 8; Comcast/NBCU Reply Comments at 5-6; NCTA Reply Comments at 4-5.</w:t>
      </w:r>
    </w:p>
  </w:footnote>
  <w:footnote w:id="47">
    <w:p w:rsidR="00CE3FB0" w:rsidRPr="00001429" w:rsidRDefault="00CE3FB0" w:rsidP="00375BEA">
      <w:pPr>
        <w:pStyle w:val="FootnoteText"/>
      </w:pPr>
      <w:r w:rsidRPr="00354B97">
        <w:rPr>
          <w:rStyle w:val="FootnoteReference"/>
        </w:rPr>
        <w:footnoteRef/>
      </w:r>
      <w:r w:rsidRPr="00354B97">
        <w:t xml:space="preserve"> </w:t>
      </w:r>
      <w:r w:rsidRPr="00354B97">
        <w:rPr>
          <w:i/>
        </w:rPr>
        <w:t>See Implementation of Section 302 of the</w:t>
      </w:r>
      <w:r>
        <w:rPr>
          <w:i/>
        </w:rPr>
        <w:t xml:space="preserve"> Telecommunications Act of 1996</w:t>
      </w:r>
      <w:r>
        <w:t>, Third Report and Order and Second Order on Reconsideration, 11 FCC Rcd 20227, 20301, ¶ 171 (1996) (“[W]e find Rainbow’s argument that video programming providers cannot qualify as MVPDs because they may not operate the vehicle for distribution to be unsupported by the plain language of Section 602(13), which imposes no such requirement.”) (“</w:t>
      </w:r>
      <w:r>
        <w:rPr>
          <w:i/>
        </w:rPr>
        <w:t>OVS Second Order on Recon</w:t>
      </w:r>
      <w:r>
        <w:t>”); s</w:t>
      </w:r>
      <w:r w:rsidRPr="002B42C0">
        <w:rPr>
          <w:i/>
        </w:rPr>
        <w:t>ee also</w:t>
      </w:r>
      <w:r w:rsidRPr="009955D9">
        <w:rPr>
          <w:i/>
        </w:rPr>
        <w:t>1993 Rate Regulation Order</w:t>
      </w:r>
      <w:r>
        <w:t xml:space="preserve">, </w:t>
      </w:r>
      <w:r w:rsidRPr="00326AFF">
        <w:t xml:space="preserve">8 FCC Rcd </w:t>
      </w:r>
      <w:r>
        <w:t xml:space="preserve">at </w:t>
      </w:r>
      <w:r w:rsidRPr="00326AFF">
        <w:t>5651-52, ¶ 23</w:t>
      </w:r>
      <w:r>
        <w:t>.</w:t>
      </w:r>
    </w:p>
  </w:footnote>
  <w:footnote w:id="48">
    <w:p w:rsidR="00CE3FB0" w:rsidRPr="007868A7" w:rsidRDefault="00CE3FB0" w:rsidP="00C93B0D">
      <w:pPr>
        <w:pStyle w:val="FootnoteText"/>
      </w:pPr>
      <w:r>
        <w:rPr>
          <w:rStyle w:val="FootnoteReference"/>
        </w:rPr>
        <w:footnoteRef/>
      </w:r>
      <w:r>
        <w:t xml:space="preserve"> </w:t>
      </w:r>
      <w:r>
        <w:rPr>
          <w:color w:val="000000"/>
        </w:rPr>
        <w:t>The Commission noted that the effective competition test in Section 623 of the Act suggests that an MVPD can use another entity’s facilities (</w:t>
      </w:r>
      <w:r>
        <w:rPr>
          <w:i/>
          <w:iCs/>
          <w:color w:val="000000"/>
        </w:rPr>
        <w:t>e.g.,</w:t>
      </w:r>
      <w:r>
        <w:rPr>
          <w:color w:val="000000"/>
        </w:rPr>
        <w:t xml:space="preserve"> that of a local exchange carrier or its affiliate) to provide video programming.  </w:t>
      </w:r>
      <w:r>
        <w:rPr>
          <w:i/>
          <w:color w:val="000000"/>
        </w:rPr>
        <w:t>See OVS Second Order on Recon</w:t>
      </w:r>
      <w:r>
        <w:rPr>
          <w:color w:val="000000"/>
        </w:rPr>
        <w:t xml:space="preserve">, </w:t>
      </w:r>
      <w:r>
        <w:rPr>
          <w:bCs/>
          <w:color w:val="000000"/>
        </w:rPr>
        <w:t>11 FCC Rcd at 20301, ¶ 171</w:t>
      </w:r>
      <w:r>
        <w:rPr>
          <w:color w:val="000000"/>
        </w:rPr>
        <w:t xml:space="preserve">; </w:t>
      </w:r>
      <w:r w:rsidRPr="007868A7">
        <w:rPr>
          <w:i/>
          <w:color w:val="000000"/>
        </w:rPr>
        <w:t>see also</w:t>
      </w:r>
      <w:r w:rsidRPr="007868A7">
        <w:rPr>
          <w:color w:val="000000"/>
        </w:rPr>
        <w:t xml:space="preserve"> 47 U.S.C. </w:t>
      </w:r>
      <w:r>
        <w:rPr>
          <w:color w:val="000000"/>
        </w:rPr>
        <w:t xml:space="preserve">§ </w:t>
      </w:r>
      <w:r w:rsidRPr="007868A7">
        <w:rPr>
          <w:color w:val="000000"/>
        </w:rPr>
        <w:t>543(l)(1)(D) (referring to video programming provided by “a local exchange carrier or its affiliate (or any multichannel video programming distributor using the facilities of such carrier or its affiliate)”).</w:t>
      </w:r>
    </w:p>
  </w:footnote>
  <w:footnote w:id="49">
    <w:p w:rsidR="00CE3FB0" w:rsidRDefault="00CE3FB0">
      <w:pPr>
        <w:pStyle w:val="FootnoteText"/>
      </w:pPr>
      <w:r>
        <w:rPr>
          <w:rStyle w:val="FootnoteReference"/>
        </w:rPr>
        <w:footnoteRef/>
      </w:r>
      <w:r>
        <w:t xml:space="preserve"> </w:t>
      </w:r>
      <w:r w:rsidRPr="00CB53EB">
        <w:t>47 U.S.C. § 522(4)</w:t>
      </w:r>
      <w:r>
        <w:t>.</w:t>
      </w:r>
    </w:p>
  </w:footnote>
  <w:footnote w:id="50">
    <w:p w:rsidR="00CE3FB0" w:rsidRPr="00CB53EB" w:rsidRDefault="00CE3FB0" w:rsidP="003279BA">
      <w:pPr>
        <w:pStyle w:val="FootnoteText"/>
      </w:pPr>
      <w:r w:rsidRPr="00CB53EB">
        <w:rPr>
          <w:rStyle w:val="FootnoteReference"/>
        </w:rPr>
        <w:footnoteRef/>
      </w:r>
      <w:r w:rsidRPr="00CB53EB">
        <w:t xml:space="preserve"> 47 U.S.C. § 522(4) </w:t>
      </w:r>
      <w:r>
        <w:t>(emphasis added).</w:t>
      </w:r>
      <w:r w:rsidRPr="00CB53EB">
        <w:t xml:space="preserve">  </w:t>
      </w:r>
    </w:p>
  </w:footnote>
  <w:footnote w:id="51">
    <w:p w:rsidR="00CE3FB0" w:rsidRPr="001E57B0" w:rsidRDefault="00CE3FB0" w:rsidP="003279BA">
      <w:pPr>
        <w:pStyle w:val="FootnoteText"/>
      </w:pPr>
      <w:r>
        <w:rPr>
          <w:rStyle w:val="FootnoteReference"/>
        </w:rPr>
        <w:footnoteRef/>
      </w:r>
      <w:r>
        <w:t xml:space="preserve"> </w:t>
      </w:r>
      <w:r>
        <w:rPr>
          <w:i/>
        </w:rPr>
        <w:t xml:space="preserve">See </w:t>
      </w:r>
      <w:r>
        <w:t xml:space="preserve">Cable Communications Policy Act of 1984, Pub. L. No. 98-549, § 2, 98 Stat. 2779 (“1984 Cable Act”); </w:t>
      </w:r>
      <w:r>
        <w:rPr>
          <w:i/>
        </w:rPr>
        <w:t xml:space="preserve">see </w:t>
      </w:r>
      <w:r w:rsidRPr="001E57B0">
        <w:rPr>
          <w:i/>
        </w:rPr>
        <w:t>also</w:t>
      </w:r>
      <w:r w:rsidRPr="001E57B0">
        <w:t xml:space="preserve"> H.R. Rep. No. 98-934 (1984), at 19, </w:t>
      </w:r>
      <w:r w:rsidRPr="001E57B0">
        <w:rPr>
          <w:i/>
          <w:color w:val="000000"/>
        </w:rPr>
        <w:t>reprinted in</w:t>
      </w:r>
      <w:r w:rsidRPr="001E57B0">
        <w:rPr>
          <w:color w:val="000000"/>
        </w:rPr>
        <w:t xml:space="preserve"> 1984 U.S.C.C.A.N. 4655, 4656</w:t>
      </w:r>
      <w:r w:rsidRPr="001E57B0">
        <w:t xml:space="preserve"> (stating that the bill “establishes a national policy that clarifies the current system of local, state and federal regulation of cable television”).</w:t>
      </w:r>
    </w:p>
  </w:footnote>
  <w:footnote w:id="52">
    <w:p w:rsidR="00CE3FB0" w:rsidRPr="001E57B0" w:rsidRDefault="00CE3FB0" w:rsidP="003279BA">
      <w:pPr>
        <w:pStyle w:val="FootnoteText"/>
      </w:pPr>
      <w:r w:rsidRPr="001E57B0">
        <w:rPr>
          <w:rStyle w:val="FootnoteReference"/>
        </w:rPr>
        <w:footnoteRef/>
      </w:r>
      <w:r w:rsidRPr="001E57B0">
        <w:t xml:space="preserve"> </w:t>
      </w:r>
      <w:r w:rsidRPr="001E57B0">
        <w:rPr>
          <w:i/>
        </w:rPr>
        <w:t>See</w:t>
      </w:r>
      <w:r w:rsidRPr="001E57B0">
        <w:t xml:space="preserve"> Cable Television Consumer Protection and Competition Act of 1992, Pub. L. No. 102-385, § 2, 106 Stat. 1460 (1992) (adding Section 602(13) to the Act); </w:t>
      </w:r>
      <w:r w:rsidRPr="001E57B0">
        <w:rPr>
          <w:i/>
        </w:rPr>
        <w:t>see also</w:t>
      </w:r>
      <w:r w:rsidRPr="001E57B0">
        <w:t xml:space="preserve"> 47 U.S.C. § 522(13) (defining MVPD as a “person </w:t>
      </w:r>
      <w:r w:rsidRPr="001E57B0">
        <w:rPr>
          <w:i/>
        </w:rPr>
        <w:t>such as, but not limited to</w:t>
      </w:r>
      <w:r w:rsidRPr="001E57B0">
        <w:t>, a cable operator, a multichannel multipoint distribution service, a direct broadcast satellite service, or a television receive-only satellite program distributor . . .”) (emphasis added).</w:t>
      </w:r>
    </w:p>
  </w:footnote>
  <w:footnote w:id="53">
    <w:p w:rsidR="00CE3FB0" w:rsidRPr="001E57B0" w:rsidRDefault="00CE3FB0" w:rsidP="003279BA">
      <w:pPr>
        <w:pStyle w:val="FootnoteText"/>
      </w:pPr>
      <w:r w:rsidRPr="001E57B0">
        <w:rPr>
          <w:rStyle w:val="FootnoteReference"/>
        </w:rPr>
        <w:footnoteRef/>
      </w:r>
      <w:r w:rsidRPr="001E57B0">
        <w:t xml:space="preserve"> </w:t>
      </w:r>
      <w:r w:rsidRPr="001E57B0">
        <w:rPr>
          <w:i/>
        </w:rPr>
        <w:t>See</w:t>
      </w:r>
      <w:r w:rsidRPr="001E57B0">
        <w:t xml:space="preserve"> </w:t>
      </w:r>
      <w:r>
        <w:t xml:space="preserve">Comments of </w:t>
      </w:r>
      <w:r w:rsidRPr="001E57B0">
        <w:t>DIRECT</w:t>
      </w:r>
      <w:r>
        <w:t xml:space="preserve">V, LLC </w:t>
      </w:r>
      <w:r w:rsidRPr="001E57B0">
        <w:t xml:space="preserve">at 5 </w:t>
      </w:r>
      <w:r>
        <w:t>(“</w:t>
      </w:r>
      <w:r w:rsidRPr="001E57B0">
        <w:t xml:space="preserve">There is simply no way that the cable-centric definition of </w:t>
      </w:r>
      <w:r>
        <w:t>‘</w:t>
      </w:r>
      <w:r w:rsidRPr="001E57B0">
        <w:t>channel</w:t>
      </w:r>
      <w:r>
        <w:t>’</w:t>
      </w:r>
      <w:r w:rsidRPr="001E57B0">
        <w:t xml:space="preserve"> can be squared with the list of non-cable providers listed in the definition of </w:t>
      </w:r>
      <w:r>
        <w:t>‘</w:t>
      </w:r>
      <w:r w:rsidRPr="001E57B0">
        <w:t>MVPD.</w:t>
      </w:r>
      <w:r>
        <w:t>’”) (“DIRECTV Comments”)</w:t>
      </w:r>
      <w:r w:rsidRPr="001E57B0">
        <w:t xml:space="preserve">; </w:t>
      </w:r>
      <w:r w:rsidRPr="001E57B0">
        <w:rPr>
          <w:i/>
        </w:rPr>
        <w:t>see also</w:t>
      </w:r>
      <w:r w:rsidRPr="001E57B0">
        <w:t xml:space="preserve"> ABC/CBS/NBC Affiliates Comments at 7-8; AT&amp;T Comments</w:t>
      </w:r>
      <w:r>
        <w:t xml:space="preserve"> </w:t>
      </w:r>
      <w:r w:rsidRPr="001E57B0">
        <w:t xml:space="preserve">at 5; </w:t>
      </w:r>
      <w:r>
        <w:t xml:space="preserve">Comments of </w:t>
      </w:r>
      <w:r w:rsidRPr="001E57B0">
        <w:t xml:space="preserve">Sky Angel </w:t>
      </w:r>
      <w:r>
        <w:t xml:space="preserve">U.S., LLC </w:t>
      </w:r>
      <w:r w:rsidRPr="001E57B0">
        <w:t>at 20-23</w:t>
      </w:r>
      <w:r>
        <w:t xml:space="preserve"> (“Sky Angel Comments”).</w:t>
      </w:r>
    </w:p>
  </w:footnote>
  <w:footnote w:id="54">
    <w:p w:rsidR="00CE3FB0" w:rsidRPr="008E09BE" w:rsidRDefault="00CE3FB0" w:rsidP="003279BA">
      <w:pPr>
        <w:pStyle w:val="FootnoteText"/>
      </w:pPr>
      <w:r w:rsidRPr="001E57B0">
        <w:rPr>
          <w:rStyle w:val="FootnoteReference"/>
        </w:rPr>
        <w:footnoteRef/>
      </w:r>
      <w:r w:rsidRPr="001E57B0">
        <w:t xml:space="preserve"> </w:t>
      </w:r>
      <w:r w:rsidRPr="001E57B0">
        <w:rPr>
          <w:i/>
        </w:rPr>
        <w:t xml:space="preserve">See </w:t>
      </w:r>
      <w:r w:rsidRPr="001E57B0">
        <w:t>ABC/CBS/NBC Affiliates Comments</w:t>
      </w:r>
      <w:r w:rsidRPr="00C16EE5">
        <w:t xml:space="preserve"> at 7</w:t>
      </w:r>
      <w:r>
        <w:t>;</w:t>
      </w:r>
      <w:r w:rsidRPr="001E57B0">
        <w:t xml:space="preserve"> DIRECT</w:t>
      </w:r>
      <w:r>
        <w:t>V</w:t>
      </w:r>
      <w:r w:rsidRPr="001E57B0">
        <w:t xml:space="preserve"> Comments </w:t>
      </w:r>
      <w:r>
        <w:t xml:space="preserve">at 5; Sky Angel Comments at 22.  We also note Section 336 of the Act, which addresses ancillary </w:t>
      </w:r>
      <w:r w:rsidRPr="004B33AA">
        <w:t xml:space="preserve">broadcast services.  47 U.S.C. § 336.  Under that section, the Commission is prohibited from deeming a broadcaster that offers multiple linear streams of video programming for a fee to be an MVPD.  47 U.S.C. § 336(b)(3).  This statutory provision would not have been necessary if Congress intended “channel” to mean “a portion of the electromagnetic frequency </w:t>
      </w:r>
      <w:r>
        <w:t xml:space="preserve">spectrum . . . which is capable of delivering a television channel” because </w:t>
      </w:r>
      <w:r w:rsidRPr="0008560D">
        <w:t xml:space="preserve">a broadcast station cannot provide </w:t>
      </w:r>
      <w:r w:rsidRPr="0041733C">
        <w:rPr>
          <w:i/>
        </w:rPr>
        <w:t>multiple</w:t>
      </w:r>
      <w:r w:rsidRPr="0008560D">
        <w:t xml:space="preserve"> </w:t>
      </w:r>
      <w:r>
        <w:t xml:space="preserve">portions of the electromagnetic frequency spectrum that are capable of delivering a television channel.  Compare 47 U.S.C. § </w:t>
      </w:r>
      <w:r w:rsidRPr="009D7ABC">
        <w:t>336</w:t>
      </w:r>
      <w:r>
        <w:t>(b)(3) with 47 U.S.C. § 602(4) (defining “channel”).  Section 336(b)(3) makes sense only if we read “channel” in the definition of multichannel video programming distributor to mean linear stream of video programming.</w:t>
      </w:r>
    </w:p>
  </w:footnote>
  <w:footnote w:id="55">
    <w:p w:rsidR="00CE3FB0" w:rsidRDefault="00CE3FB0" w:rsidP="00A7457F">
      <w:pPr>
        <w:pStyle w:val="FootnoteText"/>
      </w:pPr>
      <w:r>
        <w:rPr>
          <w:rStyle w:val="FootnoteReference"/>
        </w:rPr>
        <w:footnoteRef/>
      </w:r>
      <w:r>
        <w:t xml:space="preserve"> </w:t>
      </w:r>
      <w:r w:rsidRPr="00B92002">
        <w:rPr>
          <w:i/>
        </w:rPr>
        <w:t>Compare</w:t>
      </w:r>
      <w:r>
        <w:t xml:space="preserve"> 47 U.S.C. § 522(7) (defining a “cable system” as a “facility, consisting of a set of closed transmission paths”) </w:t>
      </w:r>
      <w:r w:rsidRPr="00B92002">
        <w:rPr>
          <w:i/>
        </w:rPr>
        <w:t>with</w:t>
      </w:r>
      <w:r>
        <w:t xml:space="preserve"> 47 U.S.C. § 522(13) (not referring to “transmission paths” in the definition of “multichannel video programming distributor”).   </w:t>
      </w:r>
    </w:p>
  </w:footnote>
  <w:footnote w:id="56">
    <w:p w:rsidR="00CE3FB0" w:rsidRDefault="00CE3FB0" w:rsidP="00FC70A5">
      <w:pPr>
        <w:pStyle w:val="FootnoteText"/>
      </w:pPr>
      <w:r w:rsidRPr="00C077D3">
        <w:rPr>
          <w:rStyle w:val="FootnoteReference"/>
        </w:rPr>
        <w:footnoteRef/>
      </w:r>
      <w:r w:rsidRPr="00C077D3">
        <w:t xml:space="preserve"> </w:t>
      </w:r>
      <w:r w:rsidRPr="00C077D3">
        <w:rPr>
          <w:i/>
        </w:rPr>
        <w:t>See</w:t>
      </w:r>
      <w:r w:rsidRPr="00C077D3">
        <w:t xml:space="preserve"> ABC/CBS/NBC Affiliates Comments at 4-5 (“It is well settled, and has been recognized repeatedly and in a variety of contexts, that statutory language is not frozen in time as of its enactment but can and should, consistent with legislative purpose, take account of technological developments.”) (citing </w:t>
      </w:r>
      <w:r w:rsidRPr="00C077D3">
        <w:rPr>
          <w:i/>
          <w:iCs/>
        </w:rPr>
        <w:t>United States v. Southwestern Cable Co.</w:t>
      </w:r>
      <w:r w:rsidRPr="00C077D3">
        <w:t xml:space="preserve">, 392 U.S. 157, 172 (1968)).  We note that the Commission previously characterized the definition of “MVPD” as “broad in its coverage.”  </w:t>
      </w:r>
      <w:r w:rsidRPr="00C077D3">
        <w:rPr>
          <w:i/>
        </w:rPr>
        <w:t>See Implementation of the Cable Television Consumer Protection and Competition Act of 1992; Broadcast Signal Carriage Issues</w:t>
      </w:r>
      <w:r w:rsidRPr="00C077D3">
        <w:t xml:space="preserve">, Notice of Proposed Rulemaking, 7 FCC Rcd 8055, 8065, ¶ 42 (1992); </w:t>
      </w:r>
      <w:r w:rsidRPr="00C077D3">
        <w:rPr>
          <w:i/>
        </w:rPr>
        <w:t>Implementation of Sections 12 and 19 of the Cable Television Consumer Protection and Competition Act of 1992; Development of Competition and Diversity in Video Programming Distribution and Carriage</w:t>
      </w:r>
      <w:r w:rsidRPr="00C077D3">
        <w:t>, Notice of Proposed Rulemaking, 8 FCC Rcd 194, 195, ¶ 6 n.13 (1992).</w:t>
      </w:r>
      <w:r>
        <w:t xml:space="preserve">  </w:t>
      </w:r>
    </w:p>
  </w:footnote>
  <w:footnote w:id="57">
    <w:p w:rsidR="00CE3FB0" w:rsidRPr="00283946" w:rsidRDefault="00CE3FB0" w:rsidP="00FC70A5">
      <w:pPr>
        <w:pStyle w:val="FootnoteText"/>
      </w:pPr>
      <w:r w:rsidRPr="00C077D3">
        <w:rPr>
          <w:rStyle w:val="FootnoteReference"/>
        </w:rPr>
        <w:footnoteRef/>
      </w:r>
      <w:r w:rsidRPr="00C077D3">
        <w:t xml:space="preserve"> </w:t>
      </w:r>
      <w:r w:rsidRPr="00C077D3">
        <w:rPr>
          <w:i/>
        </w:rPr>
        <w:t>See</w:t>
      </w:r>
      <w:r w:rsidRPr="00C077D3">
        <w:t xml:space="preserve"> 47 U.S.C. § 548(a) (“</w:t>
      </w:r>
      <w:r w:rsidRPr="00C077D3">
        <w:rPr>
          <w:color w:val="000000"/>
        </w:rPr>
        <w:t xml:space="preserve">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w:t>
      </w:r>
      <w:r w:rsidRPr="00283946">
        <w:rPr>
          <w:color w:val="000000"/>
        </w:rPr>
        <w:t>programming, and to spur the development of communications technologies.”).</w:t>
      </w:r>
    </w:p>
  </w:footnote>
  <w:footnote w:id="58">
    <w:p w:rsidR="00CE3FB0" w:rsidRDefault="00CE3FB0" w:rsidP="00FC70A5">
      <w:pPr>
        <w:pStyle w:val="FootnoteText"/>
      </w:pPr>
      <w:r>
        <w:rPr>
          <w:rStyle w:val="FootnoteReference"/>
        </w:rPr>
        <w:footnoteRef/>
      </w:r>
      <w:r>
        <w:t xml:space="preserve"> </w:t>
      </w:r>
      <w:r w:rsidRPr="000F53BD">
        <w:rPr>
          <w:i/>
        </w:rPr>
        <w:t>See</w:t>
      </w:r>
      <w:r>
        <w:t xml:space="preserve"> </w:t>
      </w:r>
      <w:r w:rsidRPr="000F53BD">
        <w:t>Deana Myers and Wade Holden</w:t>
      </w:r>
      <w:r>
        <w:t xml:space="preserve">, </w:t>
      </w:r>
      <w:r w:rsidRPr="000F53BD">
        <w:rPr>
          <w:i/>
        </w:rPr>
        <w:t>Online video market remains hot</w:t>
      </w:r>
      <w:r>
        <w:t xml:space="preserve">, </w:t>
      </w:r>
      <w:r w:rsidRPr="000F53BD">
        <w:rPr>
          <w:smallCaps/>
        </w:rPr>
        <w:t>SNL Kagan</w:t>
      </w:r>
      <w:r>
        <w:t xml:space="preserve">, June 30, 2014, </w:t>
      </w:r>
      <w:r w:rsidRPr="000F53BD">
        <w:rPr>
          <w:i/>
        </w:rPr>
        <w:t>available at</w:t>
      </w:r>
      <w:r>
        <w:t xml:space="preserve"> </w:t>
      </w:r>
      <w:r w:rsidRPr="007A24FF">
        <w:t>http://www.snl.com/interactivex/article.aspx?id=28507994&amp;KPLT=2</w:t>
      </w:r>
      <w:r>
        <w:t>.</w:t>
      </w:r>
    </w:p>
  </w:footnote>
  <w:footnote w:id="59">
    <w:p w:rsidR="00CE3FB0" w:rsidRDefault="00CE3FB0" w:rsidP="00FC70A5">
      <w:pPr>
        <w:pStyle w:val="FootnoteText"/>
      </w:pPr>
      <w:r>
        <w:rPr>
          <w:rStyle w:val="FootnoteReference"/>
        </w:rPr>
        <w:footnoteRef/>
      </w:r>
      <w:r>
        <w:t xml:space="preserve"> </w:t>
      </w:r>
      <w:r w:rsidRPr="009C36FC">
        <w:rPr>
          <w:i/>
        </w:rPr>
        <w:t>See</w:t>
      </w:r>
      <w:r>
        <w:t xml:space="preserve">, </w:t>
      </w:r>
      <w:r w:rsidRPr="009C36FC">
        <w:rPr>
          <w:i/>
        </w:rPr>
        <w:t>e.g.</w:t>
      </w:r>
      <w:r>
        <w:t>, DishWorld</w:t>
      </w:r>
      <w:r w:rsidRPr="00E05ADE">
        <w:t xml:space="preserve"> – Watch Live International T</w:t>
      </w:r>
      <w:r>
        <w:t>V</w:t>
      </w:r>
      <w:r w:rsidRPr="00E05ADE">
        <w:t xml:space="preserve"> Instantly, http://www.dishworld.com/ (last visited Oct. 2</w:t>
      </w:r>
      <w:r>
        <w:t>2</w:t>
      </w:r>
      <w:r w:rsidRPr="00E05ADE">
        <w:t xml:space="preserve">, 2014); </w:t>
      </w:r>
      <w:r w:rsidRPr="00AB181D">
        <w:rPr>
          <w:i/>
        </w:rPr>
        <w:t>supra</w:t>
      </w:r>
      <w:r>
        <w:t xml:space="preserve"> n.1. </w:t>
      </w:r>
    </w:p>
  </w:footnote>
  <w:footnote w:id="60">
    <w:p w:rsidR="00CE3FB0" w:rsidRPr="00283946" w:rsidRDefault="00CE3FB0" w:rsidP="00FC70A5">
      <w:pPr>
        <w:pStyle w:val="FootnoteText"/>
      </w:pPr>
      <w:r w:rsidRPr="00283946">
        <w:rPr>
          <w:rStyle w:val="FootnoteReference"/>
        </w:rPr>
        <w:footnoteRef/>
      </w:r>
      <w:r w:rsidRPr="00283946">
        <w:t xml:space="preserve"> </w:t>
      </w:r>
      <w:r w:rsidRPr="00283946">
        <w:rPr>
          <w:i/>
        </w:rPr>
        <w:t>See</w:t>
      </w:r>
      <w:r w:rsidRPr="00283946">
        <w:t xml:space="preserve"> AT&amp;T Comments at 5</w:t>
      </w:r>
      <w:r>
        <w:t xml:space="preserve"> (“[I]</w:t>
      </w:r>
      <w:r w:rsidRPr="00283946">
        <w:t>nsofar as Congress intended the 1992</w:t>
      </w:r>
      <w:r>
        <w:t xml:space="preserve"> </w:t>
      </w:r>
      <w:r w:rsidRPr="00283946">
        <w:t>amendments to the Cable Act (including the program access provisions) to promote competition</w:t>
      </w:r>
      <w:r>
        <w:t xml:space="preserve"> </w:t>
      </w:r>
      <w:r w:rsidRPr="00283946">
        <w:t>from alternative providers and technologies in the video space, it plainly did not intend to limit</w:t>
      </w:r>
      <w:r>
        <w:t xml:space="preserve"> </w:t>
      </w:r>
      <w:r w:rsidRPr="00283946">
        <w:t>the term MVPD to those using a particular technology</w:t>
      </w:r>
      <w:r>
        <w:t xml:space="preserve">.”); </w:t>
      </w:r>
      <w:r w:rsidRPr="00283946">
        <w:t xml:space="preserve">Sky Angel Comments at 15-16 (“Congress’ intent was to generally increase competition to monopoly cable operators and to spur the development of new communications technologies.  And it intended for these goals to be achieved on a ‘technology-neutral basis.’  As such, it would be wholly unreasonable to exclude every service that Congress did not expressly include in the definition.”) (quoting S. Rep. 102-92 (1991), 1992 U.S.C.C.A.N. 1133, 1159 (“Without fair and ready access on a consistent, technology-neutral basis, an independent entity … cannot sustain itself in the market.”)); </w:t>
      </w:r>
      <w:r w:rsidRPr="00283946">
        <w:rPr>
          <w:i/>
        </w:rPr>
        <w:t>but see infra</w:t>
      </w:r>
      <w:r>
        <w:t xml:space="preserve"> ¶ 30</w:t>
      </w:r>
      <w:r w:rsidRPr="00283946">
        <w:t xml:space="preserve"> (noting that Conference Report discussing the program access provision of the 1992 Cable Act stated that the “</w:t>
      </w:r>
      <w:r w:rsidRPr="00283946">
        <w:rPr>
          <w:color w:val="000000"/>
        </w:rPr>
        <w:t xml:space="preserve">conferees intend that the Commission shall encourage arrangements which promote the development of new technologies </w:t>
      </w:r>
      <w:r w:rsidRPr="00283946">
        <w:rPr>
          <w:i/>
          <w:color w:val="000000"/>
        </w:rPr>
        <w:t>providing facilities-based competition</w:t>
      </w:r>
      <w:r w:rsidRPr="00283946">
        <w:rPr>
          <w:color w:val="000000"/>
        </w:rPr>
        <w:t xml:space="preserve"> to cable and extending programming to areas not served by cable”) (emphasis added).</w:t>
      </w:r>
    </w:p>
  </w:footnote>
  <w:footnote w:id="61">
    <w:p w:rsidR="00CE3FB0" w:rsidRPr="00283C01" w:rsidRDefault="00CE3FB0" w:rsidP="00FC70A5">
      <w:pPr>
        <w:pStyle w:val="FootnoteText"/>
        <w:rPr>
          <w:color w:val="000000"/>
        </w:rPr>
      </w:pPr>
      <w:r w:rsidRPr="001C4223">
        <w:rPr>
          <w:rStyle w:val="FootnoteReference"/>
          <w:color w:val="000000"/>
        </w:rPr>
        <w:footnoteRef/>
      </w:r>
      <w:r w:rsidRPr="001C4223">
        <w:rPr>
          <w:color w:val="000000"/>
        </w:rPr>
        <w:t xml:space="preserve"> </w:t>
      </w:r>
      <w:r w:rsidRPr="001C4223">
        <w:rPr>
          <w:i/>
          <w:color w:val="000000"/>
        </w:rPr>
        <w:t>See</w:t>
      </w:r>
      <w:r w:rsidRPr="001C4223">
        <w:rPr>
          <w:color w:val="000000"/>
        </w:rPr>
        <w:t xml:space="preserve"> Reply Comments </w:t>
      </w:r>
      <w:r>
        <w:rPr>
          <w:color w:val="000000"/>
        </w:rPr>
        <w:t xml:space="preserve">of CBS Corp. </w:t>
      </w:r>
      <w:r w:rsidRPr="001C4223">
        <w:rPr>
          <w:color w:val="000000"/>
        </w:rPr>
        <w:t>at 7 (“The legislative history of the 1992 Cable Act plainly reveals the intent of Congress that</w:t>
      </w:r>
      <w:r>
        <w:rPr>
          <w:color w:val="000000"/>
        </w:rPr>
        <w:t xml:space="preserve"> </w:t>
      </w:r>
      <w:r w:rsidRPr="001C4223">
        <w:rPr>
          <w:color w:val="000000"/>
        </w:rPr>
        <w:t xml:space="preserve">broadcasters have the opportunity to consent to - </w:t>
      </w:r>
      <w:r w:rsidRPr="00283C01">
        <w:rPr>
          <w:color w:val="000000"/>
        </w:rPr>
        <w:t>and seek compensation for - the retransmission of their signals by any person or entity, whatever its nature.”)</w:t>
      </w:r>
      <w:r>
        <w:rPr>
          <w:color w:val="000000"/>
        </w:rPr>
        <w:t xml:space="preserve"> (“CBS Reply Comments”)</w:t>
      </w:r>
      <w:r w:rsidRPr="00283C01">
        <w:rPr>
          <w:color w:val="000000"/>
        </w:rPr>
        <w:t xml:space="preserve">; </w:t>
      </w:r>
      <w:r w:rsidRPr="00283C01">
        <w:rPr>
          <w:i/>
          <w:color w:val="000000"/>
        </w:rPr>
        <w:t>see also</w:t>
      </w:r>
      <w:r w:rsidRPr="00283C01">
        <w:rPr>
          <w:color w:val="000000"/>
        </w:rPr>
        <w:t xml:space="preserve"> ABC/CBS/NBC Affiliates Comments at 15-16; Disney Reply Comments at 5; </w:t>
      </w:r>
      <w:r>
        <w:rPr>
          <w:color w:val="000000"/>
        </w:rPr>
        <w:t xml:space="preserve">Fox </w:t>
      </w:r>
      <w:r w:rsidRPr="00283C01">
        <w:rPr>
          <w:color w:val="000000"/>
        </w:rPr>
        <w:t>Reply Comments at 8.</w:t>
      </w:r>
    </w:p>
  </w:footnote>
  <w:footnote w:id="62">
    <w:p w:rsidR="00CE3FB0" w:rsidRPr="00283C01" w:rsidRDefault="00CE3FB0" w:rsidP="00FC70A5">
      <w:pPr>
        <w:pStyle w:val="FootnoteText"/>
      </w:pPr>
      <w:r w:rsidRPr="00283C01">
        <w:rPr>
          <w:rStyle w:val="FootnoteReference"/>
          <w:color w:val="000000"/>
        </w:rPr>
        <w:footnoteRef/>
      </w:r>
      <w:r w:rsidRPr="00283C01">
        <w:rPr>
          <w:color w:val="000000"/>
        </w:rPr>
        <w:t xml:space="preserve"> </w:t>
      </w:r>
      <w:r w:rsidRPr="00283C01">
        <w:rPr>
          <w:i/>
          <w:color w:val="000000"/>
        </w:rPr>
        <w:t>See</w:t>
      </w:r>
      <w:r w:rsidRPr="00283C01">
        <w:rPr>
          <w:color w:val="000000"/>
        </w:rPr>
        <w:t xml:space="preserve"> ACA Comments at 19-20; Discovery Reply Comments at 13</w:t>
      </w:r>
      <w:r>
        <w:rPr>
          <w:color w:val="000000"/>
        </w:rPr>
        <w:t xml:space="preserve"> (arguing that policy goals cannot override “</w:t>
      </w:r>
      <w:r w:rsidRPr="004C0D1C">
        <w:rPr>
          <w:color w:val="000000"/>
        </w:rPr>
        <w:t>the Commission’s duty to adhere to the statute</w:t>
      </w:r>
      <w:r w:rsidRPr="00283C01">
        <w:rPr>
          <w:color w:val="000000"/>
        </w:rPr>
        <w:t>.</w:t>
      </w:r>
      <w:r>
        <w:rPr>
          <w:color w:val="000000"/>
        </w:rPr>
        <w:t>”).</w:t>
      </w:r>
    </w:p>
  </w:footnote>
  <w:footnote w:id="63">
    <w:p w:rsidR="00CE3FB0" w:rsidRPr="002A2225" w:rsidRDefault="00CE3FB0" w:rsidP="00257ABA">
      <w:pPr>
        <w:pStyle w:val="FootnoteText"/>
      </w:pPr>
      <w:r w:rsidRPr="00765AE2">
        <w:rPr>
          <w:rStyle w:val="FootnoteReference"/>
        </w:rPr>
        <w:footnoteRef/>
      </w:r>
      <w:r w:rsidRPr="00765AE2">
        <w:t xml:space="preserve"> </w:t>
      </w:r>
      <w:r w:rsidRPr="002D5AE9">
        <w:t>Public Knowledge Comments at 2-3</w:t>
      </w:r>
      <w:r>
        <w:t xml:space="preserve">; </w:t>
      </w:r>
      <w:r w:rsidRPr="002D5AE9">
        <w:rPr>
          <w:i/>
        </w:rPr>
        <w:t xml:space="preserve">see </w:t>
      </w:r>
      <w:r>
        <w:t>Reply Comments of ABC Television Affiliates Association, CBS Television Network Affiliates Association, and NBC Television Affiliates</w:t>
      </w:r>
      <w:r w:rsidRPr="00C16EE5">
        <w:t xml:space="preserve"> </w:t>
      </w:r>
      <w:r>
        <w:t>at vi-vii, 19-20, 21-22</w:t>
      </w:r>
      <w:r w:rsidRPr="00F93205">
        <w:t xml:space="preserve"> </w:t>
      </w:r>
      <w:r>
        <w:t>(“</w:t>
      </w:r>
      <w:r w:rsidRPr="00C16EE5">
        <w:t xml:space="preserve">ABC/CBS/NBC Affiliates </w:t>
      </w:r>
      <w:r>
        <w:t xml:space="preserve">Reply </w:t>
      </w:r>
      <w:r w:rsidRPr="00C16EE5">
        <w:t>Comments</w:t>
      </w:r>
      <w:r>
        <w:t>”).</w:t>
      </w:r>
    </w:p>
  </w:footnote>
  <w:footnote w:id="64">
    <w:p w:rsidR="00CE3FB0" w:rsidRPr="00145C36" w:rsidRDefault="00CE3FB0" w:rsidP="00257ABA">
      <w:pPr>
        <w:pStyle w:val="FootnoteText"/>
      </w:pPr>
      <w:r>
        <w:rPr>
          <w:rStyle w:val="FootnoteReference"/>
        </w:rPr>
        <w:footnoteRef/>
      </w:r>
      <w:r>
        <w:t xml:space="preserve"> Public Knowledge Comments at 4; </w:t>
      </w:r>
      <w:r w:rsidRPr="00B92002">
        <w:rPr>
          <w:i/>
        </w:rPr>
        <w:t>see</w:t>
      </w:r>
      <w:r>
        <w:t xml:space="preserve"> </w:t>
      </w:r>
      <w:r w:rsidRPr="00C16EE5">
        <w:t xml:space="preserve">ABC/CBS/NBC Affiliates </w:t>
      </w:r>
      <w:r>
        <w:t xml:space="preserve">Reply </w:t>
      </w:r>
      <w:r w:rsidRPr="00C16EE5">
        <w:t>Comments</w:t>
      </w:r>
      <w:r>
        <w:t xml:space="preserve"> at vi-vii, 18-20, 21-22.</w:t>
      </w:r>
      <w:r w:rsidRPr="008C0212">
        <w:rPr>
          <w:i/>
        </w:rPr>
        <w:t xml:space="preserve"> </w:t>
      </w:r>
      <w:r w:rsidRPr="00765AE2">
        <w:rPr>
          <w:i/>
        </w:rPr>
        <w:t>See</w:t>
      </w:r>
      <w:r>
        <w:rPr>
          <w:i/>
        </w:rPr>
        <w:t xml:space="preserve"> also</w:t>
      </w:r>
      <w:r w:rsidRPr="00765AE2">
        <w:t xml:space="preserve"> DIRECTV Comments at 6 (quoting </w:t>
      </w:r>
      <w:r w:rsidRPr="00765AE2">
        <w:rPr>
          <w:i/>
          <w:iCs/>
        </w:rPr>
        <w:t>Atlantic Cleaners &amp; Dyers, Inc. v. U.S.</w:t>
      </w:r>
      <w:r w:rsidRPr="00765AE2">
        <w:t xml:space="preserve">, 286 U.S. 427, 433 (1932) and </w:t>
      </w:r>
      <w:r w:rsidRPr="00765AE2">
        <w:rPr>
          <w:i/>
          <w:iCs/>
        </w:rPr>
        <w:t xml:space="preserve">Environmental Defense </w:t>
      </w:r>
      <w:r>
        <w:rPr>
          <w:i/>
          <w:iCs/>
        </w:rPr>
        <w:t xml:space="preserve">Fund </w:t>
      </w:r>
      <w:r w:rsidRPr="00765AE2">
        <w:rPr>
          <w:i/>
          <w:iCs/>
        </w:rPr>
        <w:t>v. Duke Energy Corp.</w:t>
      </w:r>
      <w:r w:rsidRPr="00765AE2">
        <w:t>, 549 U.S. 561, 575-76 (2007)</w:t>
      </w:r>
      <w:r>
        <w:t xml:space="preserve">; Sky Angel Comments at 23-24.  </w:t>
      </w:r>
      <w:r w:rsidRPr="00B92002">
        <w:rPr>
          <w:i/>
        </w:rPr>
        <w:t>But see</w:t>
      </w:r>
      <w:r>
        <w:t xml:space="preserve"> </w:t>
      </w:r>
      <w:r w:rsidRPr="00283C01">
        <w:t xml:space="preserve">Cablevision Comments at 6, 12 (“Generally, where a term is defined in a statute, the Commission is not free to ignore that defined term, even when it appears in other provisions of the statute.”) (citing </w:t>
      </w:r>
      <w:r w:rsidRPr="00283C01">
        <w:rPr>
          <w:i/>
          <w:iCs/>
        </w:rPr>
        <w:t>Sorenson v. Secretary of Treasury</w:t>
      </w:r>
      <w:r w:rsidRPr="00283C01">
        <w:t>, 475 U.S. 851, 860 (1986</w:t>
      </w:r>
      <w:r>
        <w:t>)</w:t>
      </w:r>
      <w:r w:rsidRPr="00283C01">
        <w:t xml:space="preserve"> and </w:t>
      </w:r>
      <w:r w:rsidRPr="00283C01">
        <w:rPr>
          <w:i/>
          <w:iCs/>
        </w:rPr>
        <w:t>United States v. Altamirano-Quintero</w:t>
      </w:r>
      <w:r w:rsidRPr="00283C01">
        <w:t>, 511 F. 3d 1087,</w:t>
      </w:r>
      <w:r w:rsidRPr="00394CCA">
        <w:t xml:space="preserve"> 1101 (10</w:t>
      </w:r>
      <w:r w:rsidRPr="00394CCA">
        <w:rPr>
          <w:vertAlign w:val="superscript"/>
        </w:rPr>
        <w:t>th</w:t>
      </w:r>
      <w:r w:rsidRPr="00394CCA">
        <w:t xml:space="preserve"> Cir. 2007) (explaining that where a term is defined in the statute, “we typically apply the same meaning to the term each time it appears in the statute”)); Discovery Comments at 3 (“Although the definition of ‘channel’ refers only to ‘cable systems,’ Congress is presumed to have been aware of the definition of ‘channel’ when it used that term in defining MVPD, and to have used the term deliberately.”)</w:t>
      </w:r>
      <w:r w:rsidRPr="00B37D9D">
        <w:t xml:space="preserve">; NCTA Reply Comments at 2 (noting the “well-established (and Supreme Court-endorsed) canon of statutory construction that ‘[a]s a rule, ‘[a] definition which declares what a term ‘means’ . . . excludes any meaning that is not stated.’’”) (quoting </w:t>
      </w:r>
      <w:r w:rsidRPr="00B37D9D">
        <w:rPr>
          <w:i/>
          <w:iCs/>
        </w:rPr>
        <w:t>Colautti v. Franklin</w:t>
      </w:r>
      <w:r w:rsidRPr="00B37D9D">
        <w:t>, 439 U.S. 379, 393 (1979) (</w:t>
      </w:r>
      <w:r w:rsidRPr="00B37D9D">
        <w:rPr>
          <w:iCs/>
        </w:rPr>
        <w:t>quoting</w:t>
      </w:r>
      <w:r w:rsidRPr="00B37D9D">
        <w:rPr>
          <w:i/>
          <w:iCs/>
        </w:rPr>
        <w:t xml:space="preserve"> </w:t>
      </w:r>
      <w:r w:rsidRPr="00B37D9D">
        <w:t>2A C. Sands, Statutes and Statutory Construction § 47.07 (4th ed. Supp. 1978))</w:t>
      </w:r>
      <w:r>
        <w:t>)</w:t>
      </w:r>
      <w:r w:rsidRPr="00B37D9D">
        <w:t xml:space="preserve">; </w:t>
      </w:r>
      <w:r w:rsidRPr="00B37D9D">
        <w:rPr>
          <w:i/>
        </w:rPr>
        <w:t>see also</w:t>
      </w:r>
      <w:r w:rsidRPr="00B37D9D">
        <w:t xml:space="preserve"> </w:t>
      </w:r>
      <w:r>
        <w:t xml:space="preserve">Comcast/NBCU Reply Comments </w:t>
      </w:r>
      <w:r w:rsidRPr="00765AE2">
        <w:t>at 6-8.</w:t>
      </w:r>
    </w:p>
  </w:footnote>
  <w:footnote w:id="65">
    <w:p w:rsidR="00CE3FB0" w:rsidRPr="00337E57" w:rsidRDefault="00CE3FB0" w:rsidP="00337E57">
      <w:pPr>
        <w:pStyle w:val="FootnoteText"/>
      </w:pPr>
      <w:r w:rsidRPr="00FB63AE">
        <w:rPr>
          <w:rStyle w:val="FootnoteReference"/>
        </w:rPr>
        <w:footnoteRef/>
      </w:r>
      <w:r w:rsidRPr="00FB63AE">
        <w:t xml:space="preserve"> </w:t>
      </w:r>
      <w:r w:rsidRPr="00FB63AE">
        <w:rPr>
          <w:i/>
        </w:rPr>
        <w:t>See</w:t>
      </w:r>
      <w:r w:rsidRPr="00FB63AE">
        <w:t xml:space="preserve"> S. Rep. No. 102-92 (1991), at 24, </w:t>
      </w:r>
      <w:r w:rsidRPr="00FB63AE">
        <w:rPr>
          <w:i/>
        </w:rPr>
        <w:t>reprinted in</w:t>
      </w:r>
      <w:r w:rsidRPr="00FB63AE">
        <w:t xml:space="preserve"> 1992 U.S.C.C.A.N. 1133, 1157 (“[T]here are certain major programmers that are more able to fend for themselves.  It is difficult to believe a cable system would not carry the sports </w:t>
      </w:r>
      <w:r w:rsidRPr="00FB63AE">
        <w:rPr>
          <w:i/>
        </w:rPr>
        <w:t>channel</w:t>
      </w:r>
      <w:r w:rsidRPr="00FB63AE">
        <w:t xml:space="preserve">, ESPN, or the news </w:t>
      </w:r>
      <w:r w:rsidRPr="00FB63AE">
        <w:rPr>
          <w:i/>
        </w:rPr>
        <w:t>channel</w:t>
      </w:r>
      <w:r w:rsidRPr="00FB63AE">
        <w:t xml:space="preserve">, CNN.”) (emphasis added); </w:t>
      </w:r>
      <w:r w:rsidRPr="00FB63AE">
        <w:rPr>
          <w:i/>
        </w:rPr>
        <w:t>see also</w:t>
      </w:r>
      <w:r w:rsidRPr="00FB63AE">
        <w:t xml:space="preserve"> ABC/CBS/NBC Affiliates Comments at 9</w:t>
      </w:r>
      <w:r>
        <w:t xml:space="preserve">.  </w:t>
      </w:r>
      <w:r w:rsidRPr="00337E57">
        <w:rPr>
          <w:i/>
        </w:rPr>
        <w:t>But see</w:t>
      </w:r>
      <w:r>
        <w:t xml:space="preserve"> </w:t>
      </w:r>
      <w:r w:rsidRPr="00FB63AE">
        <w:t>TWC Comments at 5</w:t>
      </w:r>
      <w:r>
        <w:t xml:space="preserve"> (</w:t>
      </w:r>
      <w:r>
        <w:rPr>
          <w:szCs w:val="22"/>
        </w:rPr>
        <w:t>noting</w:t>
      </w:r>
      <w:r w:rsidRPr="005152CB">
        <w:rPr>
          <w:szCs w:val="22"/>
        </w:rPr>
        <w:t xml:space="preserve"> that Congress referred to “networks” in the 1992 Cable Act and </w:t>
      </w:r>
      <w:r>
        <w:rPr>
          <w:szCs w:val="22"/>
        </w:rPr>
        <w:t xml:space="preserve">its </w:t>
      </w:r>
      <w:r w:rsidRPr="005152CB">
        <w:rPr>
          <w:szCs w:val="22"/>
        </w:rPr>
        <w:t>legislative history, which it claims undermines the position that Congress would have used the defined term “channel” when it actually intended to refer to a “network.”</w:t>
      </w:r>
      <w:r>
        <w:rPr>
          <w:szCs w:val="22"/>
        </w:rPr>
        <w:t>)</w:t>
      </w:r>
      <w:r w:rsidRPr="00FB63AE">
        <w:rPr>
          <w:i/>
          <w:iCs/>
        </w:rPr>
        <w:t xml:space="preserve"> </w:t>
      </w:r>
      <w:r w:rsidRPr="00FB63AE">
        <w:rPr>
          <w:iCs/>
        </w:rPr>
        <w:t xml:space="preserve">(citing 47 U.S.C. </w:t>
      </w:r>
      <w:r w:rsidRPr="00FB63AE">
        <w:t>§§ 534(b)(2)(B), (b)(5)</w:t>
      </w:r>
      <w:r>
        <w:t>,</w:t>
      </w:r>
      <w:r w:rsidRPr="00FB63AE">
        <w:t xml:space="preserve"> 535(b)(3)(C), (f)</w:t>
      </w:r>
      <w:r>
        <w:t>,</w:t>
      </w:r>
      <w:r w:rsidRPr="00FB63AE">
        <w:t xml:space="preserve"> 548(c)(3)(B); H.R. Rep. No. 102-628, at 28, 31, 40-41 (1992); S. Rep. No. 102-92 (1991), </w:t>
      </w:r>
      <w:r w:rsidRPr="00FB63AE">
        <w:rPr>
          <w:i/>
          <w:iCs/>
        </w:rPr>
        <w:t xml:space="preserve">reprinted in </w:t>
      </w:r>
      <w:r w:rsidRPr="00FB63AE">
        <w:t xml:space="preserve">1992 U.S.C.C.A.N. 1133, 1144, 1158, 1162, 1168).  </w:t>
      </w:r>
    </w:p>
  </w:footnote>
  <w:footnote w:id="66">
    <w:p w:rsidR="00CE3FB0" w:rsidRPr="00FB63AE" w:rsidRDefault="00CE3FB0" w:rsidP="00337E57">
      <w:pPr>
        <w:pStyle w:val="FootnoteText"/>
      </w:pPr>
      <w:r w:rsidRPr="00FB63AE">
        <w:rPr>
          <w:rStyle w:val="FootnoteReference"/>
        </w:rPr>
        <w:footnoteRef/>
      </w:r>
      <w:r w:rsidRPr="00FB63AE">
        <w:t xml:space="preserve"> </w:t>
      </w:r>
      <w:r w:rsidRPr="00FB63AE">
        <w:rPr>
          <w:i/>
        </w:rPr>
        <w:t xml:space="preserve">See </w:t>
      </w:r>
      <w:r w:rsidRPr="00FB63AE">
        <w:t xml:space="preserve">ABC/CBS/NBC Affiliates Reply Comments at 19-20 (“When a viewer says that her favorite </w:t>
      </w:r>
      <w:r w:rsidRPr="00FB63AE">
        <w:rPr>
          <w:i/>
          <w:iCs/>
        </w:rPr>
        <w:t xml:space="preserve">channel </w:t>
      </w:r>
      <w:r w:rsidRPr="00FB63AE">
        <w:t xml:space="preserve">is ‘Channel 5,’ she certainly does not mean that her favorite swath of spectrum is 76 MHz to 82 MHz.”) (emphasis in original); DIRECTV </w:t>
      </w:r>
      <w:r>
        <w:t xml:space="preserve">Reply </w:t>
      </w:r>
      <w:r w:rsidRPr="00FB63AE">
        <w:t xml:space="preserve">Comments at 5 </w:t>
      </w:r>
      <w:r>
        <w:t>(“</w:t>
      </w:r>
      <w:r w:rsidRPr="00FB63AE">
        <w:t xml:space="preserve">MVPDs commonly post a </w:t>
      </w:r>
      <w:r>
        <w:t>‘</w:t>
      </w:r>
      <w:r w:rsidRPr="00FB63AE">
        <w:t>Channel Lineup</w:t>
      </w:r>
      <w:r>
        <w:t>’</w:t>
      </w:r>
      <w:r w:rsidRPr="00FB63AE">
        <w:t xml:space="preserve"> that lists the programming</w:t>
      </w:r>
      <w:r>
        <w:t xml:space="preserve"> </w:t>
      </w:r>
      <w:r w:rsidRPr="00FB63AE">
        <w:t>networks they carry, not the six megahertz of bandwidth into which their systems have been divided.</w:t>
      </w:r>
      <w:r>
        <w:t xml:space="preserve"> . . .  [M]</w:t>
      </w:r>
      <w:r w:rsidRPr="00FB63AE">
        <w:t xml:space="preserve">any networks </w:t>
      </w:r>
      <w:r>
        <w:t>[]</w:t>
      </w:r>
      <w:r w:rsidRPr="00FB63AE">
        <w:t xml:space="preserve"> call themselves </w:t>
      </w:r>
      <w:r>
        <w:t>‘</w:t>
      </w:r>
      <w:r w:rsidRPr="00FB63AE">
        <w:t>Channel,</w:t>
      </w:r>
      <w:r>
        <w:t>’ [such as] ‘</w:t>
      </w:r>
      <w:r w:rsidRPr="00FB63AE">
        <w:t>Discovery Channel.</w:t>
      </w:r>
      <w:r>
        <w:t xml:space="preserve">’”); </w:t>
      </w:r>
      <w:r w:rsidRPr="00F009D8">
        <w:rPr>
          <w:i/>
        </w:rPr>
        <w:t>see also</w:t>
      </w:r>
      <w:r>
        <w:t xml:space="preserve"> Public Knowledge Comments at 11; Sky Angel Reply Comments at 28; </w:t>
      </w:r>
      <w:r w:rsidRPr="00472390">
        <w:rPr>
          <w:i/>
        </w:rPr>
        <w:t>but see</w:t>
      </w:r>
      <w:r>
        <w:t xml:space="preserve"> Cablevision Comments at 13. </w:t>
      </w:r>
    </w:p>
  </w:footnote>
  <w:footnote w:id="67">
    <w:p w:rsidR="00CE3FB0" w:rsidRPr="00FB63AE" w:rsidRDefault="00CE3FB0" w:rsidP="00337E57">
      <w:pPr>
        <w:pStyle w:val="FootnoteText"/>
      </w:pPr>
      <w:r w:rsidRPr="00FB63AE">
        <w:rPr>
          <w:rStyle w:val="FootnoteReference"/>
        </w:rPr>
        <w:footnoteRef/>
      </w:r>
      <w:r w:rsidRPr="00FB63AE">
        <w:t xml:space="preserve"> </w:t>
      </w:r>
      <w:r w:rsidRPr="00F009D8">
        <w:rPr>
          <w:i/>
        </w:rPr>
        <w:t>See</w:t>
      </w:r>
      <w:r>
        <w:t xml:space="preserve"> Public Knowledge Comments at 7 (citing </w:t>
      </w:r>
      <w:r w:rsidRPr="00F009D8">
        <w:rPr>
          <w:i/>
        </w:rPr>
        <w:t>Oxford English Dictionary</w:t>
      </w:r>
      <w:r>
        <w:t xml:space="preserve">); </w:t>
      </w:r>
      <w:r w:rsidRPr="00FB63AE">
        <w:t>ABC/CBS/NBC Affiliates Reply Comments</w:t>
      </w:r>
      <w:r>
        <w:t xml:space="preserve"> at 19-20; </w:t>
      </w:r>
      <w:r w:rsidRPr="00F009D8">
        <w:rPr>
          <w:i/>
        </w:rPr>
        <w:t>but see</w:t>
      </w:r>
      <w:r>
        <w:t xml:space="preserve"> Cablevision Comments at 13-14 (citing </w:t>
      </w:r>
      <w:r w:rsidRPr="00F009D8">
        <w:rPr>
          <w:i/>
        </w:rPr>
        <w:t>Merriam-Webster Dictionary</w:t>
      </w:r>
      <w:r>
        <w:t xml:space="preserve"> and </w:t>
      </w:r>
      <w:r w:rsidRPr="00F009D8">
        <w:rPr>
          <w:i/>
        </w:rPr>
        <w:t>American Heritage Dictionary</w:t>
      </w:r>
      <w:r>
        <w:t xml:space="preserve">); Discovery Comments at 7 (citing </w:t>
      </w:r>
      <w:r w:rsidRPr="00F009D8">
        <w:rPr>
          <w:i/>
        </w:rPr>
        <w:t>Webster’s II New College Dictionary</w:t>
      </w:r>
      <w:r>
        <w:t xml:space="preserve">). </w:t>
      </w:r>
    </w:p>
  </w:footnote>
  <w:footnote w:id="68">
    <w:p w:rsidR="00CE3FB0" w:rsidRPr="00CF76C5" w:rsidRDefault="00CE3FB0" w:rsidP="00337E57">
      <w:pPr>
        <w:pStyle w:val="FootnoteText"/>
      </w:pPr>
      <w:r w:rsidRPr="00FB63AE">
        <w:rPr>
          <w:rStyle w:val="FootnoteReference"/>
        </w:rPr>
        <w:footnoteRef/>
      </w:r>
      <w:r w:rsidRPr="00CF76C5">
        <w:t xml:space="preserve"> </w:t>
      </w:r>
      <w:r w:rsidRPr="001F2F8F">
        <w:rPr>
          <w:i/>
        </w:rPr>
        <w:t>See</w:t>
      </w:r>
      <w:r>
        <w:t xml:space="preserve"> Sky Angel Comments at 25-28 (providing 23 references to the legislative history of the 1992 Cable Act in which members of Congress referred to a “channel” as a video programming network); </w:t>
      </w:r>
      <w:r w:rsidRPr="00FB63AE">
        <w:t>ABC/CBS/NBC Affiliates  Comments</w:t>
      </w:r>
      <w:r>
        <w:t xml:space="preserve"> at 9; ABC</w:t>
      </w:r>
      <w:r w:rsidRPr="00FB63AE">
        <w:t xml:space="preserve">/CBS/NBC Affiliates </w:t>
      </w:r>
      <w:r>
        <w:t>Reply</w:t>
      </w:r>
      <w:r w:rsidRPr="00FB63AE">
        <w:t xml:space="preserve"> Comments</w:t>
      </w:r>
      <w:r>
        <w:t xml:space="preserve"> at 20-21; </w:t>
      </w:r>
      <w:r w:rsidRPr="001F2F8F">
        <w:rPr>
          <w:i/>
        </w:rPr>
        <w:t>but see</w:t>
      </w:r>
      <w:r>
        <w:t xml:space="preserve"> Discovery Comments at 7-8 (providing examples from the U.S. Code where the term “channel” refers to a pathway); ACA Comments at 20; TWC Comments at 5.</w:t>
      </w:r>
    </w:p>
  </w:footnote>
  <w:footnote w:id="69">
    <w:p w:rsidR="00CE3FB0" w:rsidRPr="00CF76C5" w:rsidRDefault="00CE3FB0" w:rsidP="00337E57">
      <w:pPr>
        <w:pStyle w:val="FootnoteText"/>
      </w:pPr>
      <w:r w:rsidRPr="00CF76C5">
        <w:rPr>
          <w:rStyle w:val="FootnoteReference"/>
        </w:rPr>
        <w:footnoteRef/>
      </w:r>
      <w:r w:rsidRPr="00CF76C5">
        <w:t xml:space="preserve"> </w:t>
      </w:r>
      <w:r w:rsidRPr="00FB63AE">
        <w:rPr>
          <w:i/>
        </w:rPr>
        <w:t xml:space="preserve">See </w:t>
      </w:r>
      <w:r w:rsidRPr="00FB63AE">
        <w:t xml:space="preserve">ABC/CBS/NBC Affiliates Comments at </w:t>
      </w:r>
      <w:r>
        <w:t>9; DIRECTV Comments at 11; Public Knowledge Comments at 5-7; Sky Angel Comments at 28-31;</w:t>
      </w:r>
      <w:r w:rsidRPr="00472390">
        <w:rPr>
          <w:i/>
        </w:rPr>
        <w:t xml:space="preserve"> but see</w:t>
      </w:r>
      <w:r>
        <w:t xml:space="preserve"> Cablevision Comments at 14-15.</w:t>
      </w:r>
    </w:p>
  </w:footnote>
  <w:footnote w:id="70">
    <w:p w:rsidR="00CE3FB0" w:rsidRDefault="00CE3FB0">
      <w:pPr>
        <w:pStyle w:val="FootnoteText"/>
      </w:pPr>
      <w:r>
        <w:rPr>
          <w:rStyle w:val="FootnoteReference"/>
        </w:rPr>
        <w:footnoteRef/>
      </w:r>
      <w:r>
        <w:t xml:space="preserve"> </w:t>
      </w:r>
      <w:r w:rsidRPr="00AC43D1">
        <w:rPr>
          <w:i/>
        </w:rPr>
        <w:t xml:space="preserve">See </w:t>
      </w:r>
      <w:r>
        <w:rPr>
          <w:i/>
        </w:rPr>
        <w:t xml:space="preserve">supra </w:t>
      </w:r>
      <w:r>
        <w:t>¶ 23 (discussing how this interpretation would further the 1992 Cable Act’s goal of increased “</w:t>
      </w:r>
      <w:r w:rsidRPr="00C077D3">
        <w:rPr>
          <w:color w:val="000000"/>
        </w:rPr>
        <w:t>competition and diversity in the multichannel video programming market</w:t>
      </w:r>
      <w:r>
        <w:rPr>
          <w:szCs w:val="22"/>
        </w:rPr>
        <w:t>”).</w:t>
      </w:r>
    </w:p>
  </w:footnote>
  <w:footnote w:id="71">
    <w:p w:rsidR="00CE3FB0" w:rsidRDefault="00CE3FB0">
      <w:pPr>
        <w:pStyle w:val="FootnoteText"/>
      </w:pPr>
      <w:r>
        <w:rPr>
          <w:rStyle w:val="FootnoteReference"/>
        </w:rPr>
        <w:footnoteRef/>
      </w:r>
      <w:r>
        <w:t xml:space="preserve"> </w:t>
      </w:r>
      <w:r w:rsidRPr="00AC43D1">
        <w:rPr>
          <w:i/>
        </w:rPr>
        <w:t>See</w:t>
      </w:r>
      <w:r>
        <w:t xml:space="preserve"> </w:t>
      </w:r>
      <w:r w:rsidRPr="004A7392">
        <w:t>Michiel Willems</w:t>
      </w:r>
      <w:r>
        <w:t>,</w:t>
      </w:r>
      <w:r w:rsidRPr="004A7392">
        <w:t xml:space="preserve"> </w:t>
      </w:r>
      <w:r w:rsidRPr="00AC43D1">
        <w:rPr>
          <w:i/>
        </w:rPr>
        <w:t>Co-CEO of thePlatform: “TV Everywhere is the natural evolution” of subscription video</w:t>
      </w:r>
      <w:r>
        <w:t xml:space="preserve">, </w:t>
      </w:r>
      <w:r w:rsidRPr="00AC43D1">
        <w:rPr>
          <w:smallCaps/>
        </w:rPr>
        <w:t>SNL Kagan</w:t>
      </w:r>
      <w:r>
        <w:t xml:space="preserve">, Sept. 15, 2014, available at </w:t>
      </w:r>
      <w:hyperlink r:id="rId8" w:history="1">
        <w:r w:rsidRPr="0017303F">
          <w:rPr>
            <w:rStyle w:val="Hyperlink"/>
          </w:rPr>
          <w:t>https://www.snl.com/interactivex/article.aspx?id=29204558&amp;KPLT=6</w:t>
        </w:r>
      </w:hyperlink>
      <w:r w:rsidRPr="004A7392">
        <w:t xml:space="preserve"> </w:t>
      </w:r>
      <w:r>
        <w:t>(“</w:t>
      </w:r>
      <w:r w:rsidRPr="00AC43D1">
        <w:rPr>
          <w:color w:val="000000"/>
          <w:shd w:val="clear" w:color="auto" w:fill="FFFFFF"/>
        </w:rPr>
        <w:t>We even see a growing interest from operators looking at ways to deliver live linear channels via the cloud in order to support consumer demand across devices.</w:t>
      </w:r>
      <w:r>
        <w:rPr>
          <w:color w:val="000000"/>
          <w:shd w:val="clear" w:color="auto" w:fill="FFFFFF"/>
        </w:rPr>
        <w:t xml:space="preserve">”); </w:t>
      </w:r>
      <w:r w:rsidRPr="00AC43D1">
        <w:rPr>
          <w:i/>
          <w:color w:val="000000"/>
          <w:shd w:val="clear" w:color="auto" w:fill="FFFFFF"/>
        </w:rPr>
        <w:t>Advanced Television Systems and their Impact upon the Existing Television Broadcast Service</w:t>
      </w:r>
      <w:r>
        <w:rPr>
          <w:color w:val="000000"/>
          <w:shd w:val="clear" w:color="auto" w:fill="FFFFFF"/>
        </w:rPr>
        <w:t xml:space="preserve">, </w:t>
      </w:r>
      <w:r w:rsidRPr="00045481">
        <w:rPr>
          <w:color w:val="000000"/>
          <w:shd w:val="clear" w:color="auto" w:fill="FFFFFF"/>
        </w:rPr>
        <w:t>Sixth F</w:t>
      </w:r>
      <w:r>
        <w:rPr>
          <w:color w:val="000000"/>
          <w:shd w:val="clear" w:color="auto" w:fill="FFFFFF"/>
        </w:rPr>
        <w:t>urther Notice Of Proposed Rulem</w:t>
      </w:r>
      <w:r w:rsidRPr="00045481">
        <w:rPr>
          <w:color w:val="000000"/>
          <w:shd w:val="clear" w:color="auto" w:fill="FFFFFF"/>
        </w:rPr>
        <w:t>aking</w:t>
      </w:r>
      <w:r>
        <w:rPr>
          <w:color w:val="000000"/>
          <w:shd w:val="clear" w:color="auto" w:fill="FFFFFF"/>
        </w:rPr>
        <w:t xml:space="preserve">, </w:t>
      </w:r>
      <w:r w:rsidRPr="00045481">
        <w:rPr>
          <w:color w:val="000000"/>
          <w:shd w:val="clear" w:color="auto" w:fill="FFFFFF"/>
        </w:rPr>
        <w:t>11 FCC Rcd. 10968</w:t>
      </w:r>
      <w:r w:rsidRPr="00AC43D1">
        <w:rPr>
          <w:color w:val="000000"/>
          <w:shd w:val="clear" w:color="auto" w:fill="FFFFFF"/>
        </w:rPr>
        <w:t>,</w:t>
      </w:r>
      <w:r>
        <w:rPr>
          <w:i/>
          <w:color w:val="000000"/>
          <w:shd w:val="clear" w:color="auto" w:fill="FFFFFF"/>
        </w:rPr>
        <w:t xml:space="preserve"> </w:t>
      </w:r>
      <w:r>
        <w:rPr>
          <w:color w:val="000000"/>
          <w:shd w:val="clear" w:color="auto" w:fill="FFFFFF"/>
        </w:rPr>
        <w:t>11000 (1996) (suggesting that, to viewers, “</w:t>
      </w:r>
      <w:r w:rsidRPr="00045481">
        <w:rPr>
          <w:color w:val="000000"/>
          <w:shd w:val="clear" w:color="auto" w:fill="FFFFFF"/>
        </w:rPr>
        <w:t xml:space="preserve">the term </w:t>
      </w:r>
      <w:r>
        <w:rPr>
          <w:color w:val="000000"/>
          <w:shd w:val="clear" w:color="auto" w:fill="FFFFFF"/>
        </w:rPr>
        <w:t>‘</w:t>
      </w:r>
      <w:r w:rsidRPr="00045481">
        <w:rPr>
          <w:color w:val="000000"/>
          <w:shd w:val="clear" w:color="auto" w:fill="FFFFFF"/>
        </w:rPr>
        <w:t>channel</w:t>
      </w:r>
      <w:r>
        <w:rPr>
          <w:color w:val="000000"/>
          <w:shd w:val="clear" w:color="auto" w:fill="FFFFFF"/>
        </w:rPr>
        <w:t>’</w:t>
      </w:r>
      <w:r w:rsidRPr="00045481">
        <w:rPr>
          <w:color w:val="000000"/>
          <w:shd w:val="clear" w:color="auto" w:fill="FFFFFF"/>
        </w:rPr>
        <w:t xml:space="preserve"> implies a single stream of video programming</w:t>
      </w:r>
      <w:r>
        <w:rPr>
          <w:color w:val="000000"/>
          <w:shd w:val="clear" w:color="auto" w:fill="FFFFFF"/>
        </w:rPr>
        <w:t>.”).</w:t>
      </w:r>
    </w:p>
  </w:footnote>
  <w:footnote w:id="72">
    <w:p w:rsidR="00CE3FB0" w:rsidRPr="00371DF2" w:rsidRDefault="00CE3FB0" w:rsidP="00371DF2">
      <w:pPr>
        <w:pStyle w:val="FootnoteText"/>
      </w:pPr>
      <w:r>
        <w:rPr>
          <w:rStyle w:val="FootnoteReference"/>
        </w:rPr>
        <w:footnoteRef/>
      </w:r>
      <w:r>
        <w:t xml:space="preserve">  </w:t>
      </w:r>
      <w:r w:rsidRPr="00B82746">
        <w:rPr>
          <w:i/>
        </w:rPr>
        <w:t>See</w:t>
      </w:r>
      <w:r>
        <w:t xml:space="preserve"> Merriam-Webster definition of multiple, </w:t>
      </w:r>
      <w:hyperlink r:id="rId9" w:history="1">
        <w:r w:rsidRPr="002F666A">
          <w:rPr>
            <w:rStyle w:val="Hyperlink"/>
          </w:rPr>
          <w:t>http://www.merriam-webster.com/dictionary/multiple</w:t>
        </w:r>
      </w:hyperlink>
      <w:r>
        <w:t xml:space="preserve"> (defining multiple to mean “</w:t>
      </w:r>
      <w:r w:rsidRPr="008C55B8">
        <w:t>more than one</w:t>
      </w:r>
      <w:r>
        <w:t>” but also “</w:t>
      </w:r>
      <w:r w:rsidRPr="008C55B8">
        <w:t>many, manifold</w:t>
      </w:r>
      <w:r>
        <w:t xml:space="preserve">”).  </w:t>
      </w:r>
      <w:r w:rsidRPr="00371DF2">
        <w:rPr>
          <w:i/>
        </w:rPr>
        <w:t>See also</w:t>
      </w:r>
      <w:r>
        <w:t xml:space="preserve"> </w:t>
      </w:r>
      <w:r w:rsidRPr="00371DF2">
        <w:rPr>
          <w:i/>
        </w:rPr>
        <w:t>infra</w:t>
      </w:r>
      <w:r>
        <w:t xml:space="preserve"> ¶ 29 (seeking comment on the meaning of “multiple” in the context of the Transmission Path Interpretation).</w:t>
      </w:r>
    </w:p>
  </w:footnote>
  <w:footnote w:id="73">
    <w:p w:rsidR="00CE3FB0" w:rsidRDefault="00CE3FB0">
      <w:pPr>
        <w:pStyle w:val="FootnoteText"/>
      </w:pPr>
      <w:r>
        <w:rPr>
          <w:rStyle w:val="FootnoteReference"/>
        </w:rPr>
        <w:footnoteRef/>
      </w:r>
      <w:r>
        <w:t xml:space="preserve"> </w:t>
      </w:r>
      <w:r w:rsidRPr="00B82746">
        <w:rPr>
          <w:i/>
        </w:rPr>
        <w:t xml:space="preserve">See </w:t>
      </w:r>
      <w:r>
        <w:rPr>
          <w:i/>
        </w:rPr>
        <w:t>id</w:t>
      </w:r>
      <w:r w:rsidRPr="00AB181D">
        <w:t>.</w:t>
      </w:r>
      <w:r>
        <w:t xml:space="preserve">  </w:t>
      </w:r>
    </w:p>
  </w:footnote>
  <w:footnote w:id="74">
    <w:p w:rsidR="00CE3FB0" w:rsidRDefault="00CE3FB0">
      <w:pPr>
        <w:pStyle w:val="FootnoteText"/>
      </w:pPr>
      <w:r>
        <w:rPr>
          <w:rStyle w:val="FootnoteReference"/>
        </w:rPr>
        <w:footnoteRef/>
      </w:r>
      <w:r>
        <w:t xml:space="preserve"> For example, CBS recently launched an Internet-based linear subscription streaming service that provides subscribers with their local market’s CBS channel.  At launch, each subscriber can access a single channel (the channel in the subscriber’s local market); the service launched in 14 different local markets.  </w:t>
      </w:r>
      <w:r w:rsidRPr="00B82746">
        <w:rPr>
          <w:i/>
        </w:rPr>
        <w:t>See</w:t>
      </w:r>
      <w:r>
        <w:t xml:space="preserve"> Dylan Love, </w:t>
      </w:r>
      <w:r w:rsidRPr="00B82746">
        <w:rPr>
          <w:i/>
        </w:rPr>
        <w:t>CBS On ‘All Access’: We're Not Disrupting Cable TV; Just Bolstering Local TV Stations</w:t>
      </w:r>
      <w:r>
        <w:t xml:space="preserve">, </w:t>
      </w:r>
      <w:r w:rsidRPr="00B82746">
        <w:rPr>
          <w:smallCaps/>
        </w:rPr>
        <w:t>International Business Times</w:t>
      </w:r>
      <w:r>
        <w:t xml:space="preserve"> (Oct. 17, 2014, 2:45PM), </w:t>
      </w:r>
      <w:hyperlink r:id="rId10" w:history="1">
        <w:r w:rsidRPr="00D92E60">
          <w:rPr>
            <w:rStyle w:val="Hyperlink"/>
          </w:rPr>
          <w:t>http://www.ibtimes.com/cbs-all-access-were-not-disrupting-cable-tv-just-bolstering-local-tv-stations-1707086</w:t>
        </w:r>
      </w:hyperlink>
      <w:r>
        <w:t xml:space="preserve"> (quoting a CBS executive’s description of the service: “</w:t>
      </w:r>
      <w:r w:rsidRPr="001976F9">
        <w:t>We're not launching a national feed, you get your local market’s feed.</w:t>
      </w:r>
      <w:r>
        <w:t>”).</w:t>
      </w:r>
    </w:p>
  </w:footnote>
  <w:footnote w:id="75">
    <w:p w:rsidR="00CE3FB0" w:rsidRDefault="00CE3FB0" w:rsidP="00A37CBC">
      <w:pPr>
        <w:pStyle w:val="FootnoteText"/>
      </w:pPr>
      <w:r>
        <w:rPr>
          <w:rStyle w:val="FootnoteReference"/>
        </w:rPr>
        <w:footnoteRef/>
      </w:r>
      <w:r>
        <w:t xml:space="preserve"> </w:t>
      </w:r>
      <w:r w:rsidRPr="00A37CBC">
        <w:rPr>
          <w:i/>
        </w:rPr>
        <w:t>See</w:t>
      </w:r>
      <w:r w:rsidRPr="00A37CBC">
        <w:t xml:space="preserve"> MLB.tv, http://mlb.mlb.com/mlb/subscriptions/; MLS Live, </w:t>
      </w:r>
      <w:hyperlink r:id="rId11" w:history="1">
        <w:r w:rsidRPr="00A37CBC">
          <w:rPr>
            <w:rStyle w:val="Hyperlink"/>
          </w:rPr>
          <w:t>http://live.mlssoccer.com/mlsmdl/</w:t>
        </w:r>
      </w:hyperlink>
      <w:r w:rsidRPr="00A37CBC">
        <w:t xml:space="preserve">; What is NBA League Pass?, </w:t>
      </w:r>
      <w:hyperlink r:id="rId12" w:history="1">
        <w:r w:rsidRPr="00A37CBC">
          <w:rPr>
            <w:rStyle w:val="Hyperlink"/>
          </w:rPr>
          <w:t>http://www.nba.com/nba_tv/league_pass.html</w:t>
        </w:r>
      </w:hyperlink>
      <w:r w:rsidRPr="00A37CBC">
        <w:t xml:space="preserve">; NHL GameCenter Live, </w:t>
      </w:r>
      <w:hyperlink r:id="rId13" w:history="1">
        <w:r w:rsidRPr="00A37CBC">
          <w:rPr>
            <w:rStyle w:val="Hyperlink"/>
          </w:rPr>
          <w:t>https://gamecenter.nhl.com/nhlgc/secure/gclsignup?CMPID=GCL:vnty</w:t>
        </w:r>
      </w:hyperlink>
      <w:r>
        <w:t xml:space="preserve">.  </w:t>
      </w:r>
      <w:r w:rsidRPr="00A37CBC">
        <w:t xml:space="preserve">  </w:t>
      </w:r>
    </w:p>
  </w:footnote>
  <w:footnote w:id="76">
    <w:p w:rsidR="00CE3FB0" w:rsidRPr="007E69BC" w:rsidRDefault="00CE3FB0" w:rsidP="00594451">
      <w:pPr>
        <w:pStyle w:val="FootnoteText"/>
      </w:pPr>
      <w:r w:rsidRPr="007E69BC">
        <w:rPr>
          <w:rStyle w:val="FootnoteReference"/>
        </w:rPr>
        <w:footnoteRef/>
      </w:r>
      <w:r w:rsidRPr="007E69BC">
        <w:t xml:space="preserve"> </w:t>
      </w:r>
      <w:r w:rsidRPr="007E69BC">
        <w:rPr>
          <w:i/>
        </w:rPr>
        <w:t>See</w:t>
      </w:r>
      <w:r w:rsidRPr="007E69BC">
        <w:t xml:space="preserve"> </w:t>
      </w:r>
      <w:r w:rsidRPr="007E69BC">
        <w:rPr>
          <w:i/>
        </w:rPr>
        <w:t>id</w:t>
      </w:r>
      <w:r w:rsidRPr="007E69BC">
        <w:t xml:space="preserve">.; CBS All Access FAQ, </w:t>
      </w:r>
      <w:hyperlink r:id="rId14" w:history="1">
        <w:r w:rsidRPr="007E69BC">
          <w:rPr>
            <w:rStyle w:val="Hyperlink"/>
          </w:rPr>
          <w:t>https://cbsi.secure.force.com/CBSi/knowledgehome_allaccess?referer=cbs.com/vod&amp;categories=CBS_Entertainment%3AAll_Access</w:t>
        </w:r>
      </w:hyperlink>
    </w:p>
  </w:footnote>
  <w:footnote w:id="77">
    <w:p w:rsidR="00CE3FB0" w:rsidRDefault="00CE3FB0" w:rsidP="00096A5F">
      <w:pPr>
        <w:pStyle w:val="FootnoteText"/>
      </w:pPr>
      <w:r>
        <w:rPr>
          <w:rStyle w:val="FootnoteReference"/>
        </w:rPr>
        <w:footnoteRef/>
      </w:r>
      <w:r>
        <w:t xml:space="preserve"> 47 U.S.C. § 522(13).</w:t>
      </w:r>
    </w:p>
  </w:footnote>
  <w:footnote w:id="78">
    <w:p w:rsidR="00CE3FB0" w:rsidRDefault="00CE3FB0" w:rsidP="002648CB">
      <w:pPr>
        <w:pStyle w:val="FootnoteText"/>
      </w:pPr>
      <w:r>
        <w:rPr>
          <w:rStyle w:val="FootnoteReference"/>
        </w:rPr>
        <w:footnoteRef/>
      </w:r>
      <w:r>
        <w:t xml:space="preserve"> </w:t>
      </w:r>
      <w:r w:rsidRPr="00660DA3">
        <w:rPr>
          <w:i/>
        </w:rPr>
        <w:t>See</w:t>
      </w:r>
      <w:r>
        <w:t xml:space="preserve">, </w:t>
      </w:r>
      <w:r w:rsidRPr="00660DA3">
        <w:rPr>
          <w:i/>
        </w:rPr>
        <w:t>e.g.</w:t>
      </w:r>
      <w:r>
        <w:t xml:space="preserve">, Xfinity TV Go, </w:t>
      </w:r>
      <w:hyperlink r:id="rId15" w:history="1">
        <w:r w:rsidRPr="005644AB">
          <w:rPr>
            <w:rStyle w:val="Hyperlink"/>
          </w:rPr>
          <w:t>http://xfinitytv.comcast.net/watch-live-tv</w:t>
        </w:r>
      </w:hyperlink>
      <w:r>
        <w:t xml:space="preserve">; Time Warner Cable TWC TV, </w:t>
      </w:r>
      <w:hyperlink r:id="rId16" w:history="1">
        <w:r w:rsidRPr="005644AB">
          <w:rPr>
            <w:rStyle w:val="Hyperlink"/>
          </w:rPr>
          <w:t>https://video2.timewarnercable.com/</w:t>
        </w:r>
      </w:hyperlink>
      <w:r>
        <w:t xml:space="preserve">; DISH Anywhere, </w:t>
      </w:r>
      <w:r w:rsidRPr="003431DC">
        <w:t>http://www.dishanywhere.com/</w:t>
      </w:r>
      <w:r>
        <w:t>.</w:t>
      </w:r>
    </w:p>
  </w:footnote>
  <w:footnote w:id="79">
    <w:p w:rsidR="00CE3FB0" w:rsidRPr="007E443A" w:rsidRDefault="00CE3FB0" w:rsidP="00E77413">
      <w:pPr>
        <w:pStyle w:val="FootnoteText"/>
      </w:pPr>
      <w:r w:rsidRPr="007E443A">
        <w:rPr>
          <w:rStyle w:val="FootnoteReference"/>
        </w:rPr>
        <w:footnoteRef/>
      </w:r>
      <w:r w:rsidRPr="007E443A">
        <w:t xml:space="preserve"> </w:t>
      </w:r>
      <w:r w:rsidRPr="007E443A">
        <w:rPr>
          <w:i/>
        </w:rPr>
        <w:t>See</w:t>
      </w:r>
      <w:r w:rsidRPr="007E443A">
        <w:t xml:space="preserve"> Comcast Comments at 13 n.45</w:t>
      </w:r>
      <w:r>
        <w:t xml:space="preserve">; </w:t>
      </w:r>
      <w:r w:rsidRPr="007E443A">
        <w:t>NCTA Reply Comments at 7</w:t>
      </w:r>
      <w:r>
        <w:t xml:space="preserve"> (raising the question of how the Commission would enforce rules against foreign entities).</w:t>
      </w:r>
    </w:p>
  </w:footnote>
  <w:footnote w:id="80">
    <w:p w:rsidR="00CE3FB0" w:rsidRDefault="00CE3FB0" w:rsidP="00F274CC">
      <w:pPr>
        <w:pStyle w:val="FootnoteText"/>
      </w:pPr>
      <w:r>
        <w:rPr>
          <w:rStyle w:val="FootnoteReference"/>
        </w:rPr>
        <w:footnoteRef/>
      </w:r>
      <w:r>
        <w:t xml:space="preserve"> 47 U.S.C. § 522(4) (emphasis added).  </w:t>
      </w:r>
      <w:r w:rsidRPr="002459CD">
        <w:rPr>
          <w:rStyle w:val="ptext-1"/>
        </w:rPr>
        <w:t xml:space="preserve">The Commission’s regulations also define a </w:t>
      </w:r>
      <w:r w:rsidRPr="002459CD">
        <w:t>“cable television channel” as a “signaling path provided by a cable television system.”  47 C.F.R. § 76.5(r)-(u).</w:t>
      </w:r>
    </w:p>
  </w:footnote>
  <w:footnote w:id="81">
    <w:p w:rsidR="00CE3FB0" w:rsidRPr="00B92002" w:rsidRDefault="00CE3FB0" w:rsidP="00F274CC">
      <w:pPr>
        <w:pStyle w:val="FootnoteText"/>
      </w:pPr>
      <w:r>
        <w:rPr>
          <w:rStyle w:val="FootnoteReference"/>
        </w:rPr>
        <w:footnoteRef/>
      </w:r>
      <w:r>
        <w:t xml:space="preserve"> </w:t>
      </w:r>
      <w:r>
        <w:rPr>
          <w:i/>
        </w:rPr>
        <w:t>Sky Angel Standstill Denial</w:t>
      </w:r>
      <w:r>
        <w:t xml:space="preserve">, 25 FCC Rcd at 3882-83, ¶ 7.  </w:t>
      </w:r>
      <w:r>
        <w:rPr>
          <w:szCs w:val="22"/>
        </w:rPr>
        <w:t xml:space="preserve">Based on the limited record at the time, the Media Bureau found that Sky Angel did not appear to provide its subscribers with a transmission path; rather, it is the Sky Angel subscriber’s Internet service provider that provides the transmission path.  </w:t>
      </w:r>
      <w:r>
        <w:rPr>
          <w:i/>
        </w:rPr>
        <w:t>See id.</w:t>
      </w:r>
    </w:p>
  </w:footnote>
  <w:footnote w:id="82">
    <w:p w:rsidR="00CE3FB0" w:rsidRPr="00AE2841" w:rsidRDefault="00CE3FB0" w:rsidP="00C8742A">
      <w:pPr>
        <w:pStyle w:val="FootnoteText"/>
      </w:pPr>
      <w:r w:rsidRPr="00AE2841">
        <w:rPr>
          <w:rStyle w:val="FootnoteReference"/>
        </w:rPr>
        <w:footnoteRef/>
      </w:r>
      <w:r w:rsidRPr="00AE2841">
        <w:t xml:space="preserve"> </w:t>
      </w:r>
      <w:r w:rsidRPr="00354B97">
        <w:rPr>
          <w:i/>
          <w:color w:val="000000"/>
        </w:rPr>
        <w:t xml:space="preserve">See </w:t>
      </w:r>
      <w:r w:rsidRPr="00354B97">
        <w:rPr>
          <w:bCs/>
          <w:i/>
          <w:color w:val="000000"/>
        </w:rPr>
        <w:t>Implementation of Section 302 of the</w:t>
      </w:r>
      <w:r>
        <w:rPr>
          <w:bCs/>
          <w:i/>
          <w:color w:val="000000"/>
        </w:rPr>
        <w:t xml:space="preserve"> Telecommunications Act of 1996</w:t>
      </w:r>
      <w:r>
        <w:rPr>
          <w:bCs/>
          <w:color w:val="000000"/>
        </w:rPr>
        <w:t>, Third Report and Order and Second Order on Reconsideration, 11 FCC Rcd 20227, 20301, ¶ 171 (1996) (</w:t>
      </w:r>
      <w:r>
        <w:t>“[W]e find Rainbow’s argument that video programming providers cannot qualify as MVPDs because they may not operate the vehicle for distribution to be unsupported by the plain language of Section 602(13), which imposes no such requirement.”) (“</w:t>
      </w:r>
      <w:r>
        <w:rPr>
          <w:i/>
          <w:color w:val="000000"/>
        </w:rPr>
        <w:t>OVS Second Order on Recon</w:t>
      </w:r>
      <w:r>
        <w:rPr>
          <w:color w:val="000000"/>
        </w:rPr>
        <w:t xml:space="preserve">”); </w:t>
      </w:r>
      <w:r w:rsidRPr="009955D9">
        <w:rPr>
          <w:i/>
          <w:color w:val="000000"/>
        </w:rPr>
        <w:t>see also</w:t>
      </w:r>
      <w:r>
        <w:rPr>
          <w:color w:val="000000"/>
        </w:rPr>
        <w:t xml:space="preserve"> </w:t>
      </w:r>
      <w:r w:rsidRPr="00326AFF">
        <w:rPr>
          <w:i/>
          <w:color w:val="000000"/>
        </w:rPr>
        <w:t>Implementation of Sections of the Cable Television Consumer Protection and Competition Act of 1992: Rate Regulation</w:t>
      </w:r>
      <w:r w:rsidRPr="00326AFF">
        <w:rPr>
          <w:color w:val="000000"/>
        </w:rPr>
        <w:t xml:space="preserve">, </w:t>
      </w:r>
      <w:r w:rsidRPr="00826A4D">
        <w:rPr>
          <w:color w:val="000000"/>
        </w:rPr>
        <w:t>Report and Order and Further Notice of Proposed Rulemaking</w:t>
      </w:r>
      <w:r w:rsidRPr="00326AFF">
        <w:rPr>
          <w:color w:val="000000"/>
        </w:rPr>
        <w:t xml:space="preserve">, 8 FCC Rcd 5631, 5651-52, ¶ 23 (1993) (“TCI asserts that, by including television receive-only satellite programming distributors in the definition of a multichannel video programming distributor, Congress showed that a distributor need not be facilities-based in order to come within the scope of the effective competition test.  We agree with TCI that a qualifying distributor need not </w:t>
      </w:r>
      <w:r w:rsidRPr="00AC43D1">
        <w:rPr>
          <w:color w:val="000000"/>
        </w:rPr>
        <w:t>own</w:t>
      </w:r>
      <w:r w:rsidRPr="00326AFF">
        <w:rPr>
          <w:color w:val="000000"/>
        </w:rPr>
        <w:t xml:space="preserve"> its own basic transmission and distribution facilities.”) </w:t>
      </w:r>
      <w:r>
        <w:rPr>
          <w:color w:val="000000"/>
        </w:rPr>
        <w:t>(“</w:t>
      </w:r>
      <w:r w:rsidRPr="009955D9">
        <w:rPr>
          <w:i/>
          <w:color w:val="000000"/>
        </w:rPr>
        <w:t>1993 Rate Regulation Order</w:t>
      </w:r>
      <w:r>
        <w:rPr>
          <w:color w:val="000000"/>
        </w:rPr>
        <w:t>”).</w:t>
      </w:r>
      <w:r w:rsidRPr="00AE2841">
        <w:t xml:space="preserve">  </w:t>
      </w:r>
    </w:p>
  </w:footnote>
  <w:footnote w:id="83">
    <w:p w:rsidR="00CE3FB0" w:rsidRPr="00EA39E7" w:rsidRDefault="00CE3FB0" w:rsidP="00F8425C">
      <w:pPr>
        <w:pStyle w:val="FootnoteText"/>
      </w:pPr>
      <w:r>
        <w:rPr>
          <w:rStyle w:val="FootnoteReference"/>
        </w:rPr>
        <w:footnoteRef/>
      </w:r>
      <w:r>
        <w:t xml:space="preserve"> </w:t>
      </w:r>
      <w:r w:rsidRPr="00D93D97">
        <w:rPr>
          <w:szCs w:val="22"/>
          <w:lang w:eastAsia="ar-SA"/>
        </w:rPr>
        <w:t>SDV</w:t>
      </w:r>
      <w:r>
        <w:rPr>
          <w:szCs w:val="22"/>
          <w:lang w:eastAsia="ar-SA"/>
        </w:rPr>
        <w:t xml:space="preserve"> i</w:t>
      </w:r>
      <w:r w:rsidRPr="00D93D97">
        <w:rPr>
          <w:szCs w:val="22"/>
          <w:lang w:eastAsia="ar-SA"/>
        </w:rPr>
        <w:t xml:space="preserve">s </w:t>
      </w:r>
      <w:r w:rsidRPr="00D93D97">
        <w:rPr>
          <w:color w:val="000000"/>
          <w:szCs w:val="22"/>
        </w:rPr>
        <w:t>“a method of delivering programming to subscribers only when those subscribers actively request that programming, as opposed to delivering all programming feeds at the same time to all subscribers.”</w:t>
      </w:r>
      <w:r>
        <w:rPr>
          <w:color w:val="000000"/>
          <w:szCs w:val="22"/>
        </w:rPr>
        <w:t xml:space="preserve">  </w:t>
      </w:r>
      <w:r w:rsidRPr="002459CD">
        <w:rPr>
          <w:i/>
        </w:rPr>
        <w:t>Annual Assessment of the Status of Competition in the Market for Delivery of Video Programming</w:t>
      </w:r>
      <w:r w:rsidRPr="002459CD">
        <w:t xml:space="preserve">, </w:t>
      </w:r>
      <w:r>
        <w:t>Notice of Inquiry</w:t>
      </w:r>
      <w:r w:rsidRPr="002459CD">
        <w:t>, 2</w:t>
      </w:r>
      <w:r>
        <w:t>4</w:t>
      </w:r>
      <w:r w:rsidRPr="002459CD">
        <w:t xml:space="preserve"> FCC Rcd </w:t>
      </w:r>
      <w:r>
        <w:t>750</w:t>
      </w:r>
      <w:r w:rsidRPr="002459CD">
        <w:t xml:space="preserve">, </w:t>
      </w:r>
      <w:r>
        <w:t xml:space="preserve">764, </w:t>
      </w:r>
      <w:r w:rsidRPr="002459CD">
        <w:t xml:space="preserve">¶ </w:t>
      </w:r>
      <w:r>
        <w:t>30</w:t>
      </w:r>
      <w:r w:rsidRPr="002459CD">
        <w:t xml:space="preserve"> (20</w:t>
      </w:r>
      <w:r>
        <w:t>09</w:t>
      </w:r>
      <w:r w:rsidRPr="002459CD">
        <w:t>)</w:t>
      </w:r>
      <w:r>
        <w:t xml:space="preserve">; </w:t>
      </w:r>
      <w:r w:rsidRPr="00AF41C6">
        <w:rPr>
          <w:i/>
        </w:rPr>
        <w:t>Carriage of Digital Television Broadcast Signals</w:t>
      </w:r>
      <w:r w:rsidRPr="00AF41C6">
        <w:t xml:space="preserve">, </w:t>
      </w:r>
      <w:r w:rsidRPr="00AF41C6">
        <w:rPr>
          <w:color w:val="000000"/>
        </w:rPr>
        <w:t>Third Report and Order and Third Further Notice of Proposed Rule</w:t>
      </w:r>
      <w:r>
        <w:rPr>
          <w:color w:val="000000"/>
        </w:rPr>
        <w:t>m</w:t>
      </w:r>
      <w:r w:rsidRPr="00AF41C6">
        <w:rPr>
          <w:color w:val="000000"/>
        </w:rPr>
        <w:t>aking, 22 FCC Rcd 21064, 21095, ¶ 60 (2007)</w:t>
      </w:r>
      <w:r>
        <w:rPr>
          <w:color w:val="000000"/>
          <w:szCs w:val="22"/>
        </w:rPr>
        <w:t xml:space="preserve">; </w:t>
      </w:r>
      <w:r w:rsidRPr="00FC47DA">
        <w:rPr>
          <w:i/>
        </w:rPr>
        <w:t>see also</w:t>
      </w:r>
      <w:r>
        <w:t xml:space="preserve"> Sky Angel</w:t>
      </w:r>
      <w:r w:rsidRPr="002459CD">
        <w:t xml:space="preserve"> Comments at </w:t>
      </w:r>
      <w:r>
        <w:t xml:space="preserve">22 (claiming that requiring an entity to provide “multiple transmission paths” would exclude cable systems that rely on SDV technology, because these systems “transmit only a single ‘cable channel’ . . . to each home rather than simultaneously transmit ‘multiple channels’ to every subscriber”); </w:t>
      </w:r>
      <w:r w:rsidRPr="00EA39E7">
        <w:t xml:space="preserve">Sky Angel Reply Comments </w:t>
      </w:r>
      <w:r>
        <w:t>at 29 (same)</w:t>
      </w:r>
      <w:r w:rsidRPr="00EA39E7">
        <w:t>.</w:t>
      </w:r>
    </w:p>
  </w:footnote>
  <w:footnote w:id="84">
    <w:p w:rsidR="00CE3FB0" w:rsidRDefault="00CE3FB0" w:rsidP="00F8425C">
      <w:pPr>
        <w:pStyle w:val="FootnoteText"/>
      </w:pPr>
      <w:r>
        <w:rPr>
          <w:rStyle w:val="FootnoteReference"/>
        </w:rPr>
        <w:footnoteRef/>
      </w:r>
      <w:r>
        <w:t xml:space="preserve"> </w:t>
      </w:r>
      <w:r w:rsidRPr="00FE03A2">
        <w:rPr>
          <w:i/>
        </w:rPr>
        <w:t>See</w:t>
      </w:r>
      <w:r>
        <w:t xml:space="preserve"> </w:t>
      </w:r>
      <w:r w:rsidRPr="002459CD">
        <w:t>AT&amp;T Reply Comments at 2</w:t>
      </w:r>
      <w:r>
        <w:t xml:space="preserve">-3 </w:t>
      </w:r>
      <w:r w:rsidRPr="002064C0">
        <w:t>(“[I]n an IP-based network/system, such as our own Uverse TV service, which is an MVPD service, there is no unique ‘transmission path’ associated with any particular ‘channel’ or programming stream, or over which programming packets are routed.  Rather, the packets of multiple programming streams (or channels) share the same transmission path – often at the same time (such as when multiple viewers in a home are watching different channels at the same time).”)</w:t>
      </w:r>
      <w:r>
        <w:t>.</w:t>
      </w:r>
    </w:p>
  </w:footnote>
  <w:footnote w:id="85">
    <w:p w:rsidR="00CE3FB0" w:rsidRPr="002201BA" w:rsidRDefault="00CE3FB0" w:rsidP="00375BEA">
      <w:pPr>
        <w:pStyle w:val="FootnoteText"/>
      </w:pPr>
      <w:r w:rsidRPr="00F96281">
        <w:rPr>
          <w:rStyle w:val="FootnoteReference"/>
        </w:rPr>
        <w:footnoteRef/>
      </w:r>
      <w:r w:rsidRPr="00F96281">
        <w:t xml:space="preserve"> </w:t>
      </w:r>
      <w:r w:rsidRPr="00F96281">
        <w:rPr>
          <w:i/>
        </w:rPr>
        <w:t>See</w:t>
      </w:r>
      <w:r w:rsidRPr="00F96281">
        <w:t xml:space="preserve"> H.R. Rep. No. 102-862 (1992) (Conf. Rep.), at 93, </w:t>
      </w:r>
      <w:r w:rsidRPr="00F96281">
        <w:rPr>
          <w:i/>
        </w:rPr>
        <w:t>reprinted in</w:t>
      </w:r>
      <w:r w:rsidRPr="00F96281">
        <w:t xml:space="preserve"> 1992 U.S.C.C.A.N. 1231, 1275 (discussing the program access provision of the 1992 Cable Act and stating that the “</w:t>
      </w:r>
      <w:r w:rsidRPr="00F96281">
        <w:rPr>
          <w:color w:val="000000"/>
        </w:rPr>
        <w:t xml:space="preserve">conferees intend that the Commission shall encourage arrangements which promote the development of new technologies </w:t>
      </w:r>
      <w:r w:rsidRPr="00B92002">
        <w:rPr>
          <w:color w:val="000000"/>
        </w:rPr>
        <w:t>providing facilities-based competition</w:t>
      </w:r>
      <w:r w:rsidRPr="00F96281">
        <w:rPr>
          <w:color w:val="000000"/>
        </w:rPr>
        <w:t xml:space="preserve"> to cable and extending programming to areas not served by cable”)</w:t>
      </w:r>
      <w:r w:rsidRPr="002201BA">
        <w:t>.</w:t>
      </w:r>
    </w:p>
  </w:footnote>
  <w:footnote w:id="86">
    <w:p w:rsidR="00CE3FB0" w:rsidRPr="002201BA" w:rsidRDefault="00CE3FB0" w:rsidP="00F96281">
      <w:pPr>
        <w:pStyle w:val="FootnoteText"/>
      </w:pPr>
      <w:r w:rsidRPr="002201BA">
        <w:rPr>
          <w:rStyle w:val="FootnoteReference"/>
        </w:rPr>
        <w:footnoteRef/>
      </w:r>
      <w:r w:rsidRPr="002201BA">
        <w:t xml:space="preserve"> </w:t>
      </w:r>
      <w:r w:rsidRPr="002201BA">
        <w:rPr>
          <w:i/>
        </w:rPr>
        <w:t>Implementation of Sections 12 and 19 of the Cable Television Consumer Protection and Competition Act of 1992: Development of Competition and Diversity in Video Programming Distribution and Carriage</w:t>
      </w:r>
      <w:r w:rsidRPr="002201BA">
        <w:t xml:space="preserve">, First Report and Order, 8 FCC Rcd 3359, </w:t>
      </w:r>
      <w:r w:rsidRPr="002201BA">
        <w:rPr>
          <w:color w:val="000000"/>
        </w:rPr>
        <w:t xml:space="preserve">3384, n.79 </w:t>
      </w:r>
      <w:r w:rsidRPr="002201BA">
        <w:t>(1993)</w:t>
      </w:r>
      <w:r>
        <w:t xml:space="preserve"> (“</w:t>
      </w:r>
      <w:r w:rsidRPr="00E716DE">
        <w:rPr>
          <w:i/>
        </w:rPr>
        <w:t>1993 Program Access Order</w:t>
      </w:r>
      <w:r>
        <w:t>”)</w:t>
      </w:r>
      <w:r w:rsidRPr="002201BA">
        <w:t>.</w:t>
      </w:r>
    </w:p>
  </w:footnote>
  <w:footnote w:id="87">
    <w:p w:rsidR="00CE3FB0" w:rsidRDefault="00CE3FB0">
      <w:pPr>
        <w:pStyle w:val="FootnoteText"/>
      </w:pPr>
      <w:r>
        <w:rPr>
          <w:rStyle w:val="FootnoteReference"/>
        </w:rPr>
        <w:footnoteRef/>
      </w:r>
      <w:r>
        <w:t xml:space="preserve"> </w:t>
      </w:r>
      <w:r w:rsidRPr="00F96281">
        <w:t>ABC/CBS/NBC Affiliates Reply Comments at 10-11</w:t>
      </w:r>
      <w:r>
        <w:t xml:space="preserve"> </w:t>
      </w:r>
      <w:r w:rsidRPr="002201BA">
        <w:t>(emphasis in original)</w:t>
      </w:r>
      <w:r>
        <w:t xml:space="preserve">.  </w:t>
      </w:r>
      <w:r w:rsidRPr="00B92002">
        <w:rPr>
          <w:i/>
        </w:rPr>
        <w:t>See also</w:t>
      </w:r>
      <w:r w:rsidRPr="002201BA">
        <w:t xml:space="preserve"> Sky Angel Reply Comments at 16.</w:t>
      </w:r>
    </w:p>
  </w:footnote>
  <w:footnote w:id="88">
    <w:p w:rsidR="00CE3FB0" w:rsidRDefault="00CE3FB0">
      <w:pPr>
        <w:pStyle w:val="FootnoteText"/>
      </w:pPr>
      <w:r>
        <w:rPr>
          <w:rStyle w:val="FootnoteReference"/>
        </w:rPr>
        <w:footnoteRef/>
      </w:r>
      <w:r>
        <w:t xml:space="preserve"> </w:t>
      </w:r>
      <w:r w:rsidRPr="00070118">
        <w:rPr>
          <w:i/>
        </w:rPr>
        <w:t>See supra</w:t>
      </w:r>
      <w:r>
        <w:t xml:space="preserve"> n.1.</w:t>
      </w:r>
    </w:p>
  </w:footnote>
  <w:footnote w:id="89">
    <w:p w:rsidR="00CE3FB0" w:rsidRDefault="00CE3FB0">
      <w:pPr>
        <w:pStyle w:val="FootnoteText"/>
      </w:pPr>
      <w:r>
        <w:rPr>
          <w:rStyle w:val="FootnoteReference"/>
        </w:rPr>
        <w:footnoteRef/>
      </w:r>
      <w:r>
        <w:t xml:space="preserve"> </w:t>
      </w:r>
      <w:r w:rsidRPr="00336D2F">
        <w:t>We also seek comment below on</w:t>
      </w:r>
      <w:r>
        <w:t xml:space="preserve"> our tentative conclusion</w:t>
      </w:r>
      <w:r w:rsidRPr="00336D2F">
        <w:t xml:space="preserve"> </w:t>
      </w:r>
      <w:r>
        <w:t xml:space="preserve">that video programming services that a cable operator may offer over the Internet should not be regulated as cable services, but rather as </w:t>
      </w:r>
      <w:r w:rsidRPr="008311B9">
        <w:t xml:space="preserve">non-cable MVPD </w:t>
      </w:r>
      <w:r>
        <w:t xml:space="preserve">services.  </w:t>
      </w:r>
      <w:r w:rsidRPr="003859EB">
        <w:rPr>
          <w:i/>
        </w:rPr>
        <w:t>See infra</w:t>
      </w:r>
      <w:r>
        <w:t xml:space="preserve"> ¶ 78.</w:t>
      </w:r>
    </w:p>
  </w:footnote>
  <w:footnote w:id="90">
    <w:p w:rsidR="00CE3FB0" w:rsidRDefault="00CE3FB0">
      <w:pPr>
        <w:pStyle w:val="FootnoteText"/>
      </w:pPr>
      <w:r>
        <w:rPr>
          <w:rStyle w:val="FootnoteReference"/>
        </w:rPr>
        <w:footnoteRef/>
      </w:r>
      <w:r>
        <w:t xml:space="preserve"> </w:t>
      </w:r>
      <w:r w:rsidRPr="00E61E4D">
        <w:rPr>
          <w:i/>
        </w:rPr>
        <w:t>See supra</w:t>
      </w:r>
      <w:r w:rsidRPr="00A314BF">
        <w:t xml:space="preserve"> n.1.</w:t>
      </w:r>
    </w:p>
  </w:footnote>
  <w:footnote w:id="91">
    <w:p w:rsidR="00CE3FB0" w:rsidRDefault="00CE3FB0">
      <w:pPr>
        <w:pStyle w:val="FootnoteText"/>
      </w:pPr>
      <w:r>
        <w:rPr>
          <w:rStyle w:val="FootnoteReference"/>
        </w:rPr>
        <w:footnoteRef/>
      </w:r>
      <w:r>
        <w:t xml:space="preserve"> </w:t>
      </w:r>
      <w:r w:rsidRPr="00E61E4D">
        <w:rPr>
          <w:i/>
        </w:rPr>
        <w:t>See</w:t>
      </w:r>
      <w:r>
        <w:t xml:space="preserve"> Lance Whitney, </w:t>
      </w:r>
      <w:r w:rsidRPr="00E61E4D">
        <w:rPr>
          <w:i/>
        </w:rPr>
        <w:t>Sony to launch PlayStation Vue, an online TV service that challenges cable</w:t>
      </w:r>
      <w:r>
        <w:t xml:space="preserve">, </w:t>
      </w:r>
      <w:r w:rsidRPr="00E61E4D">
        <w:rPr>
          <w:smallCaps/>
        </w:rPr>
        <w:t>CNet</w:t>
      </w:r>
      <w:r>
        <w:t xml:space="preserve"> (Nov. 13, 2014, 7:02 AM), </w:t>
      </w:r>
      <w:r w:rsidRPr="00A314BF">
        <w:t xml:space="preserve">http://www.cnet.com/news/sony-to-launch-online-tv-service-to-challenge-cable-tv/; </w:t>
      </w:r>
      <w:r>
        <w:t xml:space="preserve">David Lieberman, </w:t>
      </w:r>
      <w:r w:rsidRPr="00E61E4D">
        <w:rPr>
          <w:i/>
        </w:rPr>
        <w:t>Scripps Networks Agrees To Supply Channels To Dish Network’s Planned Streaming Video Service</w:t>
      </w:r>
      <w:r>
        <w:t xml:space="preserve">, </w:t>
      </w:r>
      <w:r w:rsidRPr="00E61E4D">
        <w:rPr>
          <w:smallCaps/>
        </w:rPr>
        <w:t>Deadline</w:t>
      </w:r>
      <w:r>
        <w:rPr>
          <w:smallCaps/>
        </w:rPr>
        <w:t xml:space="preserve"> (</w:t>
      </w:r>
      <w:r w:rsidRPr="00E61E4D">
        <w:t>Sept.</w:t>
      </w:r>
      <w:r>
        <w:rPr>
          <w:smallCaps/>
        </w:rPr>
        <w:t xml:space="preserve"> </w:t>
      </w:r>
      <w:r>
        <w:t xml:space="preserve">16, 2014), </w:t>
      </w:r>
      <w:r w:rsidRPr="00A314BF">
        <w:t xml:space="preserve">http://deadline.com/2014/09/scripps-networks-offers-channels-dish-streaming-service-834957/; </w:t>
      </w:r>
      <w:r>
        <w:t xml:space="preserve">Chris Welch, </w:t>
      </w:r>
      <w:r w:rsidRPr="00E61E4D">
        <w:rPr>
          <w:i/>
        </w:rPr>
        <w:t>Verizon's internet TV service coming in mid-2015, may let you pick only channels you want</w:t>
      </w:r>
      <w:r>
        <w:t xml:space="preserve">, </w:t>
      </w:r>
      <w:r w:rsidRPr="00E61E4D">
        <w:rPr>
          <w:smallCaps/>
        </w:rPr>
        <w:t>The Verge</w:t>
      </w:r>
      <w:r>
        <w:t xml:space="preserve"> (Sept. 11, 2014, 11:37 AM), </w:t>
      </w:r>
      <w:r w:rsidRPr="00A314BF">
        <w:t xml:space="preserve">http://www.theverge.com/2014/9/11/6135737/verizon-internet-tv-coming-mid-2015.   </w:t>
      </w:r>
    </w:p>
  </w:footnote>
  <w:footnote w:id="92">
    <w:p w:rsidR="00CE3FB0" w:rsidRDefault="00CE3FB0">
      <w:pPr>
        <w:pStyle w:val="FootnoteText"/>
      </w:pPr>
      <w:r>
        <w:rPr>
          <w:rStyle w:val="FootnoteReference"/>
        </w:rPr>
        <w:footnoteRef/>
      </w:r>
      <w:r>
        <w:t xml:space="preserve"> </w:t>
      </w:r>
      <w:r w:rsidRPr="00E61E4D">
        <w:rPr>
          <w:i/>
        </w:rPr>
        <w:t>See</w:t>
      </w:r>
      <w:r>
        <w:t xml:space="preserve"> Letter from </w:t>
      </w:r>
      <w:r w:rsidRPr="009B25F8">
        <w:t xml:space="preserve">Rebecca Rini, </w:t>
      </w:r>
      <w:r>
        <w:t>C</w:t>
      </w:r>
      <w:r w:rsidRPr="009B25F8">
        <w:t>ounsel to FilmOnX, LLC</w:t>
      </w:r>
      <w:r>
        <w:t xml:space="preserve">, to Marlene H. Dortch, Secretary, Federal Communications Commission, MB Docket No. 12-83, at 2 (Nov. 10, 2014); Letter from </w:t>
      </w:r>
      <w:r w:rsidRPr="009B25F8">
        <w:t>Seth D. Greenstein</w:t>
      </w:r>
      <w:r>
        <w:t>, Counsel to Aereo, to Marlene Dortch, Secretary, Federal Communications Commission, MB Docket No. 12-83, at 2-3 (Oct. 10, 2014); Supplemental Comments of Sky Angel U.S. at 1-2, MB Docket No. 12-80 (filed June 10, 2014).</w:t>
      </w:r>
    </w:p>
  </w:footnote>
  <w:footnote w:id="93">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U.S.C. § 548; 47 C.F.R. §§ 76.1000-1004.  Among other things, these rules require cable-affiliated programmers to make their programming available to MVPDs on nondiscriminatory rates, terms, and conditions.</w:t>
      </w:r>
    </w:p>
  </w:footnote>
  <w:footnote w:id="94">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U.S.C. § 325(b)(3)(C)(ii); 47 C.F.R. § 76.65.  Among other things, these rules require broadcasters to negotiate in good faith with MVPDs for retransmission consent.</w:t>
      </w:r>
    </w:p>
  </w:footnote>
  <w:footnote w:id="95">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U.S.C. § 536; 47 C.F.R. §§ 76.1300-1302.</w:t>
      </w:r>
    </w:p>
  </w:footnote>
  <w:footnote w:id="96">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U.S.C. § 549; 47 C.F.R. §§ 76.1200-1210.</w:t>
      </w:r>
    </w:p>
  </w:footnote>
  <w:footnote w:id="97">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U.S.C. § 325(b)(3)(C)(iii); 47 C.F.R. § 76.65(b).</w:t>
      </w:r>
    </w:p>
  </w:footnote>
  <w:footnote w:id="98">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C.F.R. §§ 76.71-79, 76.1792, 76.1802.</w:t>
      </w:r>
    </w:p>
  </w:footnote>
  <w:footnote w:id="99">
    <w:p w:rsidR="00CE3FB0" w:rsidRPr="004F54EB"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C.F.R. § 79.1.  </w:t>
      </w:r>
      <w:r>
        <w:t>We note, however, that video programming delivered via Internet protocol is subject to separate closed captioning obligations under 47 C.F.R. § 79.4</w:t>
      </w:r>
      <w:r w:rsidRPr="002459CD">
        <w:t>.</w:t>
      </w:r>
    </w:p>
  </w:footnote>
  <w:footnote w:id="100">
    <w:p w:rsidR="00CE3FB0" w:rsidRDefault="00CE3FB0" w:rsidP="00184229">
      <w:pPr>
        <w:pStyle w:val="FootnoteText"/>
      </w:pPr>
      <w:r>
        <w:rPr>
          <w:rStyle w:val="FootnoteReference"/>
        </w:rPr>
        <w:footnoteRef/>
      </w:r>
      <w:r>
        <w:t xml:space="preserve"> </w:t>
      </w:r>
      <w:r w:rsidRPr="002459CD">
        <w:rPr>
          <w:i/>
        </w:rPr>
        <w:t>See</w:t>
      </w:r>
      <w:r w:rsidRPr="002459CD">
        <w:t xml:space="preserve"> 47 C.F.R. § 79.</w:t>
      </w:r>
      <w:r>
        <w:t>3</w:t>
      </w:r>
      <w:r w:rsidRPr="002459CD">
        <w:t>.</w:t>
      </w:r>
    </w:p>
  </w:footnote>
  <w:footnote w:id="101">
    <w:p w:rsidR="00CE3FB0" w:rsidRDefault="00CE3FB0" w:rsidP="00184229">
      <w:pPr>
        <w:pStyle w:val="FootnoteText"/>
      </w:pPr>
      <w:r>
        <w:rPr>
          <w:rStyle w:val="FootnoteReference"/>
        </w:rPr>
        <w:footnoteRef/>
      </w:r>
      <w:r>
        <w:t xml:space="preserve"> </w:t>
      </w:r>
      <w:r w:rsidRPr="002459CD">
        <w:rPr>
          <w:i/>
        </w:rPr>
        <w:t>See</w:t>
      </w:r>
      <w:r>
        <w:t xml:space="preserve"> 47 C.F.R. § 79.2</w:t>
      </w:r>
      <w:r w:rsidRPr="002459CD">
        <w:t>.</w:t>
      </w:r>
    </w:p>
  </w:footnote>
  <w:footnote w:id="102">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C.F.R. § 76.610; </w:t>
      </w:r>
      <w:r w:rsidRPr="002459CD">
        <w:rPr>
          <w:i/>
        </w:rPr>
        <w:t>see also</w:t>
      </w:r>
      <w:r w:rsidRPr="002459CD">
        <w:t xml:space="preserve"> 47 C.F.R. §§ 76.605(a)(12), 76.611, 76.614, 76.1803; 1.1705(a)(1) (FCC Form 320 – Basic Signal Leakage Performance Report).</w:t>
      </w:r>
      <w:r>
        <w:t xml:space="preserve">  These rules apply only to the extent that aeronautical frequencies are used.</w:t>
      </w:r>
    </w:p>
  </w:footnote>
  <w:footnote w:id="103">
    <w:p w:rsidR="00CE3FB0" w:rsidRPr="002459CD"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C.F.R. §§ 76.800-806.</w:t>
      </w:r>
      <w:r>
        <w:t xml:space="preserve">  These rules apply only to the extent the MVPD owns inside wiring.</w:t>
      </w:r>
    </w:p>
  </w:footnote>
  <w:footnote w:id="104">
    <w:p w:rsidR="00CE3FB0" w:rsidRPr="00870CB6" w:rsidRDefault="00CE3FB0" w:rsidP="00184229">
      <w:pPr>
        <w:pStyle w:val="FootnoteText"/>
      </w:pPr>
      <w:r>
        <w:rPr>
          <w:rStyle w:val="FootnoteReference"/>
        </w:rPr>
        <w:footnoteRef/>
      </w:r>
      <w:r>
        <w:t xml:space="preserve"> </w:t>
      </w:r>
      <w:r w:rsidRPr="00870CB6">
        <w:rPr>
          <w:i/>
        </w:rPr>
        <w:t>See</w:t>
      </w:r>
      <w:r w:rsidRPr="00870CB6">
        <w:t xml:space="preserve"> </w:t>
      </w:r>
      <w:r w:rsidRPr="00143B0E">
        <w:t>Commercial Advertisement L</w:t>
      </w:r>
      <w:r>
        <w:t xml:space="preserve">oudness Mitigation (“CALM”), </w:t>
      </w:r>
      <w:r w:rsidRPr="00870CB6">
        <w:t>Pub. L. No. 111-311, 124 Stat. 3294 (2010) (codified at 47 U.S.C. § 621)</w:t>
      </w:r>
      <w:r>
        <w:t xml:space="preserve">; </w:t>
      </w:r>
      <w:r w:rsidRPr="00143B0E">
        <w:rPr>
          <w:i/>
        </w:rPr>
        <w:t>see also</w:t>
      </w:r>
      <w:r>
        <w:t xml:space="preserve"> </w:t>
      </w:r>
      <w:r w:rsidRPr="00870CB6">
        <w:rPr>
          <w:spacing w:val="-2"/>
        </w:rPr>
        <w:t xml:space="preserve">47 C.F.R. § 76.607; </w:t>
      </w:r>
      <w:r w:rsidRPr="00870CB6">
        <w:rPr>
          <w:i/>
        </w:rPr>
        <w:t>Implementation of the Commercial Advertisement Loudness Mitigation (CALM) Act</w:t>
      </w:r>
      <w:r w:rsidRPr="00870CB6">
        <w:t>, Report and Order, 26 FCC Rcd 17222 (2011)</w:t>
      </w:r>
      <w:r w:rsidRPr="00870CB6">
        <w:rPr>
          <w:spacing w:val="-2"/>
        </w:rPr>
        <w:t>.</w:t>
      </w:r>
    </w:p>
  </w:footnote>
  <w:footnote w:id="105">
    <w:p w:rsidR="00CE3FB0" w:rsidRPr="004969C7" w:rsidRDefault="00CE3FB0" w:rsidP="00184229">
      <w:pPr>
        <w:pStyle w:val="FootnoteText"/>
      </w:pPr>
      <w:r w:rsidRPr="004969C7">
        <w:rPr>
          <w:rStyle w:val="FootnoteReference"/>
        </w:rPr>
        <w:footnoteRef/>
      </w:r>
      <w:r w:rsidRPr="004969C7">
        <w:t xml:space="preserve"> </w:t>
      </w:r>
      <w:r w:rsidRPr="004969C7">
        <w:rPr>
          <w:i/>
        </w:rPr>
        <w:t>See</w:t>
      </w:r>
      <w:r w:rsidRPr="004969C7">
        <w:t xml:space="preserve"> CCIA Comments at 4-5; Open Internet Coalition Comments at 5; Google Reply Comments at 3 n.11 (</w:t>
      </w:r>
      <w:r>
        <w:t>arguing that imposing MVPD requirements on online video companies will damage the still-developing market for those services</w:t>
      </w:r>
      <w:r w:rsidRPr="004969C7">
        <w:t xml:space="preserve">); </w:t>
      </w:r>
      <w:r w:rsidRPr="004969C7">
        <w:rPr>
          <w:i/>
        </w:rPr>
        <w:t>see also</w:t>
      </w:r>
      <w:r w:rsidRPr="004969C7">
        <w:t xml:space="preserve"> MPAA Comments at 3-4; Verizon Comments at 1-2; Comcast</w:t>
      </w:r>
      <w:r>
        <w:t>/NBCU</w:t>
      </w:r>
      <w:r w:rsidRPr="004969C7">
        <w:t xml:space="preserve"> Reply Comments at 11; Discovery Reply Comments at 3-5</w:t>
      </w:r>
      <w:r>
        <w:t xml:space="preserve">; </w:t>
      </w:r>
      <w:r w:rsidRPr="004A3C25">
        <w:rPr>
          <w:i/>
        </w:rPr>
        <w:t xml:space="preserve">but see </w:t>
      </w:r>
      <w:r>
        <w:t xml:space="preserve">Sky Angel Reply Comments at 35-36 (stating that commenters “greatly exaggerate” the burdens of regulations applicable to MVPDs).  </w:t>
      </w:r>
    </w:p>
  </w:footnote>
  <w:footnote w:id="106">
    <w:p w:rsidR="00CE3FB0" w:rsidRPr="004969C7" w:rsidRDefault="00CE3FB0" w:rsidP="00B54AC1">
      <w:pPr>
        <w:pStyle w:val="FootnoteText"/>
      </w:pPr>
      <w:r w:rsidRPr="00E123B3">
        <w:rPr>
          <w:rStyle w:val="FootnoteReference"/>
        </w:rPr>
        <w:footnoteRef/>
      </w:r>
      <w:r w:rsidRPr="00E123B3">
        <w:t xml:space="preserve"> </w:t>
      </w:r>
      <w:r w:rsidRPr="00E123B3">
        <w:rPr>
          <w:i/>
        </w:rPr>
        <w:t>See</w:t>
      </w:r>
      <w:r w:rsidRPr="00E123B3">
        <w:t xml:space="preserve"> DIRECTV Comments at 15-16 (“[T]he Commission must recognize the rapidly developing capabilities of OVDs and other new-entrant MVPDs which are becoming true competitors to traditional MVPDs. . . .  Non-traditional MVPDs have gone from mere curiosities to emerging competitors in a very short period of time, and continue to develop rapidly as the speed and ubiquity of broadband infrastructure</w:t>
      </w:r>
      <w:r>
        <w:t xml:space="preserve"> </w:t>
      </w:r>
      <w:r w:rsidRPr="00E123B3">
        <w:t xml:space="preserve">improves. </w:t>
      </w:r>
      <w:r>
        <w:t xml:space="preserve"> </w:t>
      </w:r>
      <w:r w:rsidRPr="00E123B3">
        <w:t xml:space="preserve">In these circumstances, it is appropriate to apply core regulatory rights and responsibilities to both traditional and non-traditional MVPDs.”); DIRECTV Reply Comments at 7-8; Reply Comments </w:t>
      </w:r>
      <w:r>
        <w:t xml:space="preserve">of the National Association of Broadcasters </w:t>
      </w:r>
      <w:r w:rsidRPr="00E123B3">
        <w:t>at 2</w:t>
      </w:r>
      <w:r>
        <w:t xml:space="preserve"> (“NAB Reply”)</w:t>
      </w:r>
      <w:r w:rsidRPr="00E123B3">
        <w:t>; Sky Angel Reply Comments at 34-35.</w:t>
      </w:r>
    </w:p>
  </w:footnote>
  <w:footnote w:id="107">
    <w:p w:rsidR="00CE3FB0" w:rsidRPr="00E123B3" w:rsidRDefault="00CE3FB0" w:rsidP="00724676">
      <w:pPr>
        <w:pStyle w:val="FootnoteText"/>
      </w:pPr>
      <w:r w:rsidRPr="004969C7">
        <w:rPr>
          <w:rStyle w:val="FootnoteReference"/>
        </w:rPr>
        <w:footnoteRef/>
      </w:r>
      <w:r w:rsidRPr="004969C7">
        <w:t xml:space="preserve"> The Commission </w:t>
      </w:r>
      <w:r>
        <w:t>has</w:t>
      </w:r>
      <w:r w:rsidRPr="004969C7">
        <w:t xml:space="preserve"> stated that online distributors of video programming “offer a tangible opportunity to bring customers substantial benefits” and that they</w:t>
      </w:r>
      <w:r>
        <w:t xml:space="preserve"> “can provide and promote more programming choices, viewing flexibility, technological innovation and lower prices.”  </w:t>
      </w:r>
      <w:r>
        <w:rPr>
          <w:i/>
        </w:rPr>
        <w:t>Comcast Corporation, General Electric Company and NBC Universal, Inc.</w:t>
      </w:r>
      <w:r>
        <w:t>, Memorandum Opinion and Order, 26 FCC Rcd 4238, 4268-69, ¶ 78 (2011) (“</w:t>
      </w:r>
      <w:r>
        <w:rPr>
          <w:i/>
        </w:rPr>
        <w:t>Comcast/NBCU Order</w:t>
      </w:r>
      <w:r>
        <w:t xml:space="preserve">”).  While the Commission concluded that consumers do not perceive online distributors as a substitute for traditional MVPD service, it stated that online distributors are a “potential competitive threat” and that they “must have a similar array of programming” if they are to “fully compete against a traditional MVPD.”  </w:t>
      </w:r>
      <w:r>
        <w:rPr>
          <w:i/>
        </w:rPr>
        <w:t>Id.</w:t>
      </w:r>
      <w:r>
        <w:t xml:space="preserve"> at 4269, ¶ 79, 4272-73, ¶ 86; </w:t>
      </w:r>
      <w:r>
        <w:rPr>
          <w:i/>
        </w:rPr>
        <w:t xml:space="preserve">see also id. </w:t>
      </w:r>
      <w:r>
        <w:t xml:space="preserve">at 4266, ¶ 70 (“Without access to online content on competitive terms, an MVPD would suffer a distinct competitive disadvantage compared to Comcast, to the detriment of competition and </w:t>
      </w:r>
      <w:r w:rsidRPr="00E123B3">
        <w:t>consumers.”)</w:t>
      </w:r>
      <w:r>
        <w:t>.</w:t>
      </w:r>
    </w:p>
  </w:footnote>
  <w:footnote w:id="108">
    <w:p w:rsidR="00CE3FB0" w:rsidRPr="00E123B3" w:rsidRDefault="00CE3FB0" w:rsidP="00184229">
      <w:pPr>
        <w:pStyle w:val="FootnoteText"/>
      </w:pPr>
      <w:r w:rsidRPr="00E123B3">
        <w:rPr>
          <w:rStyle w:val="FootnoteReference"/>
        </w:rPr>
        <w:footnoteRef/>
      </w:r>
      <w:r w:rsidRPr="00E123B3">
        <w:t xml:space="preserve"> </w:t>
      </w:r>
      <w:r w:rsidRPr="00BE669E">
        <w:t>W</w:t>
      </w:r>
      <w:r>
        <w:t xml:space="preserve">e </w:t>
      </w:r>
      <w:r w:rsidRPr="00E123B3">
        <w:t>not</w:t>
      </w:r>
      <w:r>
        <w:t>e</w:t>
      </w:r>
      <w:r w:rsidRPr="00E123B3">
        <w:t xml:space="preserve"> that even if an Internet-based distributor qualifies as an MVPD it will not be subject to a number of regulations </w:t>
      </w:r>
      <w:r>
        <w:t xml:space="preserve">and statutory requirements </w:t>
      </w:r>
      <w:r w:rsidRPr="00E123B3">
        <w:t>applic</w:t>
      </w:r>
      <w:r>
        <w:t>able to cable and DBS operators unless it also qualifies as one of those services</w:t>
      </w:r>
      <w:r w:rsidRPr="00E123B3">
        <w:t>.</w:t>
      </w:r>
      <w:r>
        <w:t xml:space="preserve">  </w:t>
      </w:r>
      <w:r w:rsidRPr="00BE669E">
        <w:rPr>
          <w:i/>
        </w:rPr>
        <w:t>See, e.g.</w:t>
      </w:r>
      <w:r>
        <w:t xml:space="preserve">, 47 C.F.R. §§ 76.92, 76.122 (network non-duplication rules, which apply to cable operators) ; </w:t>
      </w:r>
      <w:r w:rsidRPr="005502EF">
        <w:t>47 U.S</w:t>
      </w:r>
      <w:r>
        <w:t>.</w:t>
      </w:r>
      <w:r w:rsidRPr="005502EF">
        <w:t xml:space="preserve">C. §§ </w:t>
      </w:r>
      <w:r>
        <w:t xml:space="preserve">338, </w:t>
      </w:r>
      <w:r w:rsidRPr="005502EF">
        <w:t>534, 535</w:t>
      </w:r>
      <w:r>
        <w:t xml:space="preserve"> (carry-one, carry-all and must carry requirements, which apply to DBS and cable operators, respectively); 47 U.S.C. § 315,</w:t>
      </w:r>
      <w:r w:rsidRPr="008A1BC3">
        <w:t xml:space="preserve"> 335(a)</w:t>
      </w:r>
      <w:r>
        <w:t xml:space="preserve">, </w:t>
      </w:r>
      <w:r w:rsidRPr="008A1BC3">
        <w:t>47 C.F.R. §§ 76.205-206, 76.1611, 76.1701; 47 C.F.R. § 25.701(b)-(d) (</w:t>
      </w:r>
      <w:r>
        <w:t xml:space="preserve">political programming and </w:t>
      </w:r>
      <w:r w:rsidRPr="00C250B0">
        <w:rPr>
          <w:szCs w:val="22"/>
        </w:rPr>
        <w:t xml:space="preserve">candidate access </w:t>
      </w:r>
      <w:r>
        <w:rPr>
          <w:szCs w:val="22"/>
        </w:rPr>
        <w:t>obligations for DBS and cable operators)</w:t>
      </w:r>
      <w:r w:rsidRPr="008A1BC3">
        <w:t>.</w:t>
      </w:r>
      <w:r>
        <w:t xml:space="preserve"> </w:t>
      </w:r>
    </w:p>
  </w:footnote>
  <w:footnote w:id="109">
    <w:p w:rsidR="00CE3FB0" w:rsidRPr="00C96EC6" w:rsidRDefault="00CE3FB0" w:rsidP="00184229">
      <w:pPr>
        <w:pStyle w:val="FootnoteText"/>
      </w:pPr>
      <w:r w:rsidRPr="00E123B3">
        <w:rPr>
          <w:rStyle w:val="FootnoteReference"/>
        </w:rPr>
        <w:footnoteRef/>
      </w:r>
      <w:r w:rsidRPr="00E123B3">
        <w:t xml:space="preserve"> </w:t>
      </w:r>
      <w:r w:rsidRPr="00E123B3">
        <w:rPr>
          <w:i/>
        </w:rPr>
        <w:t>See</w:t>
      </w:r>
      <w:r w:rsidRPr="00E123B3">
        <w:t xml:space="preserve"> 47 U.S.C. § 548.</w:t>
      </w:r>
    </w:p>
  </w:footnote>
  <w:footnote w:id="110">
    <w:p w:rsidR="00CE3FB0" w:rsidRPr="00C96EC6" w:rsidRDefault="00CE3FB0" w:rsidP="00184229">
      <w:pPr>
        <w:pStyle w:val="FootnoteText"/>
      </w:pPr>
      <w:r w:rsidRPr="00C96EC6">
        <w:rPr>
          <w:rStyle w:val="FootnoteReference"/>
        </w:rPr>
        <w:footnoteRef/>
      </w:r>
      <w:r w:rsidRPr="00C96EC6">
        <w:t xml:space="preserve"> </w:t>
      </w:r>
      <w:r w:rsidRPr="00C96EC6">
        <w:rPr>
          <w:i/>
        </w:rPr>
        <w:t>See</w:t>
      </w:r>
      <w:r w:rsidRPr="00C96EC6">
        <w:t xml:space="preserve"> 47 U.S.C. § 548(b); 47 C.F.R. § 76.1001(a); </w:t>
      </w:r>
      <w:r w:rsidRPr="00C96EC6">
        <w:rPr>
          <w:i/>
        </w:rPr>
        <w:t xml:space="preserve">Revision of the Commission’s Program Access Rules, </w:t>
      </w:r>
      <w:r w:rsidRPr="00C96EC6">
        <w:t>Report and Order</w:t>
      </w:r>
      <w:r w:rsidRPr="00C96EC6">
        <w:rPr>
          <w:spacing w:val="-2"/>
        </w:rPr>
        <w:t>, 27 FCC Rcd 12605, 12640-45, ¶¶ 52-58</w:t>
      </w:r>
      <w:r w:rsidRPr="00C96EC6">
        <w:t xml:space="preserve"> (2012)</w:t>
      </w:r>
      <w:r>
        <w:t xml:space="preserve"> (“</w:t>
      </w:r>
      <w:r w:rsidRPr="002C2237">
        <w:rPr>
          <w:i/>
        </w:rPr>
        <w:t>2012 Program Access Order</w:t>
      </w:r>
      <w:r>
        <w:t xml:space="preserve">”) </w:t>
      </w:r>
      <w:r w:rsidRPr="00C96EC6">
        <w:t xml:space="preserve">(explaining </w:t>
      </w:r>
      <w:r>
        <w:t xml:space="preserve">the </w:t>
      </w:r>
      <w:r w:rsidRPr="00C96EC6">
        <w:t xml:space="preserve">process for challenging exclusive contracts involving satellite-delivered, cable-affiliated programming pursuant to the unfair act prohibition); </w:t>
      </w:r>
      <w:r w:rsidRPr="00C96EC6">
        <w:rPr>
          <w:i/>
        </w:rPr>
        <w:t xml:space="preserve">Review of the Commission’s Program Access Rules and Examination of Programming Tying Arrangements, </w:t>
      </w:r>
      <w:r w:rsidRPr="00C96EC6">
        <w:t>First Report and Order, 25 FCC Rcd 746 (2010)</w:t>
      </w:r>
      <w:r>
        <w:t xml:space="preserve"> (“</w:t>
      </w:r>
      <w:r w:rsidRPr="002C2237">
        <w:rPr>
          <w:i/>
        </w:rPr>
        <w:t>201</w:t>
      </w:r>
      <w:r>
        <w:rPr>
          <w:i/>
        </w:rPr>
        <w:t>0</w:t>
      </w:r>
      <w:r w:rsidRPr="002C2237">
        <w:rPr>
          <w:i/>
        </w:rPr>
        <w:t xml:space="preserve"> Program Access Order</w:t>
      </w:r>
      <w:r>
        <w:t>”)</w:t>
      </w:r>
      <w:r w:rsidRPr="00C96EC6">
        <w:t xml:space="preserve">, </w:t>
      </w:r>
      <w:r w:rsidRPr="00C96EC6">
        <w:rPr>
          <w:i/>
        </w:rPr>
        <w:t>affirmed in part and vacated in part sub nom. Cablevision Sys. Corp. et al. v. FCC</w:t>
      </w:r>
      <w:r w:rsidRPr="00C96EC6">
        <w:t>, 649 F.3d 695 (D.C. Cir. 2011) (“</w:t>
      </w:r>
      <w:r w:rsidRPr="00C96EC6">
        <w:rPr>
          <w:i/>
        </w:rPr>
        <w:t>Cablevision II</w:t>
      </w:r>
      <w:r w:rsidRPr="00C96EC6">
        <w:t>”) (establishing procedures for challenging allegedly unfair acts involving terrestrially delivered, cable-affiliated programming pursuant to the unfair act prohibition).</w:t>
      </w:r>
    </w:p>
  </w:footnote>
  <w:footnote w:id="111">
    <w:p w:rsidR="00CE3FB0" w:rsidRPr="00C96EC6" w:rsidRDefault="00CE3FB0" w:rsidP="00184229">
      <w:pPr>
        <w:pStyle w:val="FootnoteText"/>
      </w:pPr>
      <w:r w:rsidRPr="00C96EC6">
        <w:rPr>
          <w:rStyle w:val="FootnoteReference"/>
        </w:rPr>
        <w:footnoteRef/>
      </w:r>
      <w:r w:rsidRPr="00C96EC6">
        <w:t xml:space="preserve"> </w:t>
      </w:r>
      <w:r w:rsidRPr="00C96EC6">
        <w:rPr>
          <w:i/>
        </w:rPr>
        <w:t>See</w:t>
      </w:r>
      <w:r w:rsidRPr="00C96EC6">
        <w:t xml:space="preserve"> 47 U.S.C. § 548(</w:t>
      </w:r>
      <w:r>
        <w:t>c</w:t>
      </w:r>
      <w:r w:rsidRPr="00C96EC6">
        <w:t>)</w:t>
      </w:r>
      <w:r>
        <w:t xml:space="preserve">(2)(A); </w:t>
      </w:r>
      <w:r w:rsidRPr="00C96EC6">
        <w:t>47 C.F.R. § 76.1002(a).</w:t>
      </w:r>
    </w:p>
  </w:footnote>
  <w:footnote w:id="112">
    <w:p w:rsidR="00CE3FB0" w:rsidRPr="002C2237" w:rsidRDefault="00CE3FB0" w:rsidP="00184229">
      <w:pPr>
        <w:pStyle w:val="FootnoteText"/>
      </w:pPr>
      <w:r w:rsidRPr="002C2237">
        <w:rPr>
          <w:rStyle w:val="FootnoteReference"/>
        </w:rPr>
        <w:footnoteRef/>
      </w:r>
      <w:r w:rsidRPr="002C2237">
        <w:t xml:space="preserve"> </w:t>
      </w:r>
      <w:r w:rsidRPr="002C2237">
        <w:rPr>
          <w:i/>
        </w:rPr>
        <w:t>See</w:t>
      </w:r>
      <w:r w:rsidRPr="002C2237">
        <w:t xml:space="preserve"> 47 U.S.C. § 548(c)(2)(B); 47 C.F.R. § 76.1002(b).</w:t>
      </w:r>
    </w:p>
  </w:footnote>
  <w:footnote w:id="113">
    <w:p w:rsidR="00CE3FB0" w:rsidRPr="002C2237" w:rsidRDefault="00CE3FB0" w:rsidP="00184229">
      <w:pPr>
        <w:pStyle w:val="FootnoteText"/>
      </w:pPr>
      <w:r w:rsidRPr="002C2237">
        <w:rPr>
          <w:rStyle w:val="FootnoteReference"/>
        </w:rPr>
        <w:footnoteRef/>
      </w:r>
      <w:r w:rsidRPr="002C2237">
        <w:rPr>
          <w:i/>
        </w:rPr>
        <w:t xml:space="preserve"> See</w:t>
      </w:r>
      <w:r w:rsidRPr="002C2237">
        <w:t xml:space="preserve"> 47 U.S.C. § 548(d); 47 C.F.R. § 76.1003.</w:t>
      </w:r>
    </w:p>
  </w:footnote>
  <w:footnote w:id="114">
    <w:p w:rsidR="00CE3FB0" w:rsidRPr="00E2617D" w:rsidRDefault="00CE3FB0" w:rsidP="00184229">
      <w:pPr>
        <w:pStyle w:val="FootnoteText"/>
      </w:pPr>
      <w:r w:rsidRPr="001A00FC">
        <w:rPr>
          <w:rStyle w:val="FootnoteReference"/>
        </w:rPr>
        <w:footnoteRef/>
      </w:r>
      <w:r w:rsidRPr="001A00FC">
        <w:t xml:space="preserve"> </w:t>
      </w:r>
      <w:r w:rsidRPr="001A00FC">
        <w:rPr>
          <w:i/>
        </w:rPr>
        <w:t xml:space="preserve">See </w:t>
      </w:r>
      <w:r w:rsidRPr="001A00FC">
        <w:t>Comcast Comments at 11</w:t>
      </w:r>
      <w:r>
        <w:t>-12 (arguing that thousands of entities would make program access claims)</w:t>
      </w:r>
      <w:r w:rsidRPr="001A00FC">
        <w:t xml:space="preserve">; NCTA Reply Comments at 6-7; </w:t>
      </w:r>
      <w:r w:rsidRPr="001A00FC">
        <w:rPr>
          <w:i/>
        </w:rPr>
        <w:t>but see</w:t>
      </w:r>
      <w:r w:rsidRPr="001A00FC">
        <w:t xml:space="preserve"> DIRECTV Comments at 13; DIRECTV Reply Comments at 8</w:t>
      </w:r>
      <w:r w:rsidRPr="00E2617D">
        <w:t>; Sky Angel Reply Comments at 11-12</w:t>
      </w:r>
      <w:r>
        <w:t xml:space="preserve"> (asserting that few companies would qualify as MVPDs)</w:t>
      </w:r>
      <w:r w:rsidRPr="00E2617D">
        <w:t>.</w:t>
      </w:r>
    </w:p>
  </w:footnote>
  <w:footnote w:id="115">
    <w:p w:rsidR="00CE3FB0" w:rsidRPr="00A0450E" w:rsidRDefault="00CE3FB0" w:rsidP="00184229">
      <w:pPr>
        <w:pStyle w:val="FootnoteText"/>
      </w:pPr>
      <w:r w:rsidRPr="008C20DA">
        <w:rPr>
          <w:rStyle w:val="FootnoteReference"/>
        </w:rPr>
        <w:footnoteRef/>
      </w:r>
      <w:r w:rsidRPr="008C20DA">
        <w:t xml:space="preserve"> </w:t>
      </w:r>
      <w:r w:rsidRPr="008C20DA">
        <w:rPr>
          <w:i/>
        </w:rPr>
        <w:t>See</w:t>
      </w:r>
      <w:r>
        <w:t xml:space="preserve"> </w:t>
      </w:r>
      <w:r w:rsidRPr="008C20DA">
        <w:t xml:space="preserve">Discovery Comments at 13 </w:t>
      </w:r>
      <w:r>
        <w:t>(“</w:t>
      </w:r>
      <w:r w:rsidRPr="008C20DA">
        <w:t>Negotiated license fees between MVPDs and</w:t>
      </w:r>
      <w:r>
        <w:t xml:space="preserve"> </w:t>
      </w:r>
      <w:r w:rsidRPr="008C20DA">
        <w:t>programmers today are based in part on an MVPD’s expectation of whether the availability of a</w:t>
      </w:r>
      <w:r>
        <w:t xml:space="preserve"> </w:t>
      </w:r>
      <w:r w:rsidRPr="008C20DA">
        <w:t>network is likely to induce subscribers to use the MVPD’s services.</w:t>
      </w:r>
      <w:r>
        <w:t xml:space="preserve">  </w:t>
      </w:r>
      <w:r w:rsidRPr="008C20DA">
        <w:t>While nearly every MVPD</w:t>
      </w:r>
      <w:r>
        <w:t xml:space="preserve"> </w:t>
      </w:r>
      <w:r w:rsidRPr="008C20DA">
        <w:t>today faces competition from several other distributors, the number and popularity of those</w:t>
      </w:r>
      <w:r>
        <w:t xml:space="preserve"> </w:t>
      </w:r>
      <w:r w:rsidRPr="008C20DA">
        <w:t xml:space="preserve">distributors is fairly easily identified and factored into the </w:t>
      </w:r>
      <w:r w:rsidRPr="00A0450E">
        <w:t>price as necessary.  If the same programming network is available through an unknown and unlimited number of online sources, that network’s value to the facilities-based MVPD may be diminished, as may be the price the</w:t>
      </w:r>
      <w:r>
        <w:t xml:space="preserve"> </w:t>
      </w:r>
      <w:r w:rsidRPr="00A0450E">
        <w:t>MVPD is willing to pay for it.”)</w:t>
      </w:r>
      <w:r>
        <w:t>; Discovery Reply Comments at 5</w:t>
      </w:r>
      <w:r w:rsidRPr="00A0450E">
        <w:t>-7; Ovation Reply Comments at 4</w:t>
      </w:r>
      <w:r>
        <w:t>.</w:t>
      </w:r>
    </w:p>
  </w:footnote>
  <w:footnote w:id="116">
    <w:p w:rsidR="00CE3FB0" w:rsidRDefault="00CE3FB0" w:rsidP="00184229">
      <w:pPr>
        <w:pStyle w:val="FootnoteText"/>
      </w:pPr>
      <w:r w:rsidRPr="0038609C">
        <w:rPr>
          <w:rStyle w:val="FootnoteReference"/>
        </w:rPr>
        <w:footnoteRef/>
      </w:r>
      <w:r w:rsidRPr="0038609C">
        <w:t xml:space="preserve"> </w:t>
      </w:r>
      <w:r w:rsidRPr="0038609C">
        <w:rPr>
          <w:i/>
        </w:rPr>
        <w:t xml:space="preserve">See Cellularvision of New York, L.P. v. Sportschannel Associates, </w:t>
      </w:r>
      <w:r w:rsidRPr="004B5A9E">
        <w:t>Order on Reconsideration</w:t>
      </w:r>
      <w:r w:rsidRPr="009F0316">
        <w:t>, 11 FCC Rcd 3001, 3003, ¶ 11 (Cable Servs. Bur., 1996) (“</w:t>
      </w:r>
      <w:r w:rsidRPr="009F0316">
        <w:rPr>
          <w:color w:val="000000"/>
        </w:rPr>
        <w:t xml:space="preserve">While the </w:t>
      </w:r>
      <w:bookmarkStart w:id="269" w:name="SR;1766"/>
      <w:bookmarkEnd w:id="269"/>
      <w:r w:rsidRPr="009F0316">
        <w:rPr>
          <w:color w:val="000000"/>
        </w:rPr>
        <w:t xml:space="preserve">program access provisions clearly allow programmers to refuse to provide programming for a legitimate business reason, such as concerns about signal </w:t>
      </w:r>
      <w:bookmarkStart w:id="270" w:name="SR;1787"/>
      <w:bookmarkEnd w:id="270"/>
      <w:r w:rsidRPr="009F0316">
        <w:rPr>
          <w:color w:val="000000"/>
        </w:rPr>
        <w:t xml:space="preserve">security, the Commission cannot simply defer to a programmer’s assessment of whether its concerns are reasonable.”); </w:t>
      </w:r>
      <w:r w:rsidRPr="009F0316">
        <w:rPr>
          <w:i/>
          <w:color w:val="000000"/>
        </w:rPr>
        <w:t>see also</w:t>
      </w:r>
      <w:r w:rsidRPr="009F0316">
        <w:rPr>
          <w:color w:val="000000"/>
        </w:rPr>
        <w:t xml:space="preserve"> 47 U.S.C. § </w:t>
      </w:r>
      <w:r>
        <w:rPr>
          <w:color w:val="000000"/>
        </w:rPr>
        <w:t xml:space="preserve">548(c)(2)(B)(i) </w:t>
      </w:r>
      <w:r w:rsidRPr="009F0316">
        <w:rPr>
          <w:color w:val="000000"/>
        </w:rPr>
        <w:t xml:space="preserve">(providing that the program access rule prohibiting discrimination </w:t>
      </w:r>
      <w:r>
        <w:rPr>
          <w:color w:val="000000"/>
        </w:rPr>
        <w:t>does</w:t>
      </w:r>
      <w:r w:rsidRPr="009F0316">
        <w:rPr>
          <w:color w:val="000000"/>
        </w:rPr>
        <w:t xml:space="preserve"> not preclude </w:t>
      </w:r>
      <w:r>
        <w:rPr>
          <w:color w:val="000000"/>
        </w:rPr>
        <w:t xml:space="preserve">a cable-affiliated programmer from </w:t>
      </w:r>
      <w:r w:rsidRPr="009F0316">
        <w:rPr>
          <w:color w:val="000000"/>
        </w:rPr>
        <w:t>“</w:t>
      </w:r>
      <w:r w:rsidRPr="009F0316">
        <w:t>impos</w:t>
      </w:r>
      <w:r>
        <w:t xml:space="preserve">ing </w:t>
      </w:r>
      <w:r w:rsidRPr="009F0316">
        <w:t xml:space="preserve">reasonable . . . standards regarding </w:t>
      </w:r>
      <w:r>
        <w:t xml:space="preserve">. . . </w:t>
      </w:r>
      <w:r w:rsidRPr="009F0316">
        <w:t>technical quality”)</w:t>
      </w:r>
      <w:r w:rsidRPr="009F0316">
        <w:rPr>
          <w:color w:val="000000"/>
        </w:rPr>
        <w:t>; 47 C.F.R. § 76.1002(b)(1) (</w:t>
      </w:r>
      <w:r>
        <w:rPr>
          <w:color w:val="000000"/>
        </w:rPr>
        <w:t>same</w:t>
      </w:r>
      <w:r w:rsidRPr="009F0316">
        <w:t>)</w:t>
      </w:r>
      <w:r>
        <w:t xml:space="preserve">.  We also note that the statute provides permissible factors for programmers to consider when they set rates for programming.  </w:t>
      </w:r>
      <w:r w:rsidRPr="00B82746">
        <w:rPr>
          <w:i/>
        </w:rPr>
        <w:t xml:space="preserve">See </w:t>
      </w:r>
      <w:r w:rsidRPr="00BF4845">
        <w:rPr>
          <w:i/>
        </w:rPr>
        <w:t>Implementation of Sections 12 and 19 of the Cable Television Consumer Protection and Competition Act of 1992: Development of Competition and Diversity in Video Programming Distribution and Carriage</w:t>
      </w:r>
      <w:r w:rsidRPr="00B82746">
        <w:t>,</w:t>
      </w:r>
      <w:r>
        <w:t xml:space="preserve"> </w:t>
      </w:r>
      <w:r w:rsidRPr="00B82746">
        <w:t>First Report and Order, 8 FCC Rcd 3359</w:t>
      </w:r>
      <w:r w:rsidRPr="00BF4845">
        <w:rPr>
          <w:i/>
        </w:rPr>
        <w:t xml:space="preserve">, </w:t>
      </w:r>
      <w:r w:rsidRPr="00BF4845">
        <w:t xml:space="preserve">3364, ¶ 14 </w:t>
      </w:r>
      <w:r w:rsidRPr="00B82746">
        <w:t>(1993)</w:t>
      </w:r>
      <w:r w:rsidRPr="00BF4845">
        <w:t xml:space="preserve"> (“[W]e will find price discrimination to have occurred if the difference in the price charged to competing distributors is not explained by the statute</w:t>
      </w:r>
      <w:r>
        <w:t>’</w:t>
      </w:r>
      <w:r w:rsidRPr="00BF4845">
        <w:t>s permissible factors. In general terms, these factors involve (1) cost differences at the wholesale level in providing a program service to different distributors; (2) volume differences; (3) differences in creditworthiness, financial stability, or character; and (4) differences in the way the service is offered.”).</w:t>
      </w:r>
    </w:p>
  </w:footnote>
  <w:footnote w:id="117">
    <w:p w:rsidR="00CE3FB0" w:rsidRPr="00A24C25" w:rsidRDefault="00CE3FB0" w:rsidP="00184229">
      <w:pPr>
        <w:pStyle w:val="FootnoteText"/>
      </w:pPr>
      <w:r w:rsidRPr="00A24C25">
        <w:rPr>
          <w:rStyle w:val="FootnoteReference"/>
        </w:rPr>
        <w:footnoteRef/>
      </w:r>
      <w:r w:rsidRPr="00A24C25">
        <w:t xml:space="preserve"> </w:t>
      </w:r>
      <w:r w:rsidRPr="00A24C25">
        <w:rPr>
          <w:i/>
        </w:rPr>
        <w:t xml:space="preserve">See </w:t>
      </w:r>
      <w:r>
        <w:rPr>
          <w:i/>
        </w:rPr>
        <w:t>supra</w:t>
      </w:r>
      <w:r w:rsidRPr="00A24C25">
        <w:t xml:space="preserve"> n.</w:t>
      </w:r>
      <w:r>
        <w:t>106</w:t>
      </w:r>
      <w:r w:rsidRPr="00A24C25">
        <w:t xml:space="preserve"> (discussing Internet-based distributors as a potential competitive threat to traditional MVPDs); </w:t>
      </w:r>
      <w:r w:rsidRPr="00A24C25">
        <w:rPr>
          <w:i/>
        </w:rPr>
        <w:t>see also</w:t>
      </w:r>
      <w:r w:rsidRPr="00A24C25">
        <w:t xml:space="preserve"> Comments of the Writer</w:t>
      </w:r>
      <w:r>
        <w:t xml:space="preserve">s Guild of America, West, Inc. </w:t>
      </w:r>
      <w:r w:rsidRPr="00A24C25">
        <w:t xml:space="preserve">at 4 </w:t>
      </w:r>
      <w:r>
        <w:t>(“</w:t>
      </w:r>
      <w:r w:rsidRPr="00A24C25">
        <w:t>Without including these new</w:t>
      </w:r>
      <w:r>
        <w:t xml:space="preserve"> </w:t>
      </w:r>
      <w:r w:rsidRPr="00A24C25">
        <w:t>entities within the MVPD definition, vertically integrated MVPDs such as DirecTV, Comcast</w:t>
      </w:r>
      <w:r>
        <w:t xml:space="preserve"> </w:t>
      </w:r>
      <w:r w:rsidRPr="00A24C25">
        <w:t>and Cablevision could opt to withhold their programming from new competitors.</w:t>
      </w:r>
      <w:r>
        <w:t>”) (“</w:t>
      </w:r>
      <w:r w:rsidRPr="00A24C25">
        <w:t>WGA-West Comments</w:t>
      </w:r>
      <w:r>
        <w:t>”)</w:t>
      </w:r>
      <w:r w:rsidRPr="00A24C25">
        <w:t xml:space="preserve">; Sky Angel Comments at 36-39.     </w:t>
      </w:r>
    </w:p>
  </w:footnote>
  <w:footnote w:id="118">
    <w:p w:rsidR="00CE3FB0" w:rsidRPr="008F10A6" w:rsidRDefault="00CE3FB0" w:rsidP="00184229">
      <w:pPr>
        <w:pStyle w:val="FootnoteText"/>
      </w:pPr>
      <w:r w:rsidRPr="00A24C25">
        <w:rPr>
          <w:rStyle w:val="FootnoteReference"/>
        </w:rPr>
        <w:footnoteRef/>
      </w:r>
      <w:r w:rsidRPr="00A24C25">
        <w:t xml:space="preserve"> </w:t>
      </w:r>
      <w:r w:rsidRPr="00A24C25">
        <w:rPr>
          <w:i/>
        </w:rPr>
        <w:t>See</w:t>
      </w:r>
      <w:r w:rsidRPr="00A24C25">
        <w:t xml:space="preserve"> 47 U.S.C. § 548(c)(2)(B) (requiring the Commission to adopt regulations that “</w:t>
      </w:r>
      <w:r w:rsidRPr="00A24C25">
        <w:rPr>
          <w:color w:val="000000"/>
        </w:rPr>
        <w:t xml:space="preserve">prohibit discrimination by a satellite cable programming vendor in which a cable operator has an attributable interest or by a satellite broadcast programming vendor in the prices, terms, and conditions of sale or delivery of satellite cable programming or satellite broadcast programming among or between cable systems, cable operators, or other multichannel video </w:t>
      </w:r>
      <w:r w:rsidRPr="008F10A6">
        <w:rPr>
          <w:color w:val="000000"/>
        </w:rPr>
        <w:t>programming distributors, or their agents or buying groups . . . .”).</w:t>
      </w:r>
    </w:p>
  </w:footnote>
  <w:footnote w:id="119">
    <w:p w:rsidR="00CE3FB0" w:rsidRDefault="00CE3FB0">
      <w:pPr>
        <w:pStyle w:val="FootnoteText"/>
      </w:pPr>
      <w:r>
        <w:rPr>
          <w:rStyle w:val="FootnoteReference"/>
        </w:rPr>
        <w:footnoteRef/>
      </w:r>
      <w:r>
        <w:t xml:space="preserve"> We seek comment below on whether networks have the rights to license this programming for online distribution at all.  </w:t>
      </w:r>
      <w:r w:rsidRPr="00B82746">
        <w:rPr>
          <w:i/>
        </w:rPr>
        <w:t>See</w:t>
      </w:r>
      <w:r>
        <w:t xml:space="preserve"> </w:t>
      </w:r>
      <w:r w:rsidRPr="00B82746">
        <w:rPr>
          <w:i/>
        </w:rPr>
        <w:t>infra</w:t>
      </w:r>
      <w:r>
        <w:t xml:space="preserve"> </w:t>
      </w:r>
      <w:r>
        <w:rPr>
          <w:szCs w:val="22"/>
        </w:rPr>
        <w:t>¶¶ 67-69.</w:t>
      </w:r>
    </w:p>
  </w:footnote>
  <w:footnote w:id="120">
    <w:p w:rsidR="00CE3FB0" w:rsidRPr="005F0E3C" w:rsidRDefault="00CE3FB0">
      <w:pPr>
        <w:pStyle w:val="FootnoteText"/>
      </w:pPr>
      <w:r>
        <w:rPr>
          <w:rStyle w:val="FootnoteReference"/>
        </w:rPr>
        <w:footnoteRef/>
      </w:r>
      <w:r>
        <w:t xml:space="preserve"> </w:t>
      </w:r>
      <w:r w:rsidRPr="00192419">
        <w:rPr>
          <w:i/>
        </w:rPr>
        <w:t xml:space="preserve">See </w:t>
      </w:r>
      <w:r>
        <w:t>Cablevision Comments at 2 (arguing that “cable operators, saddled with legacy rules and business practices, could find [it] difficult to match” services offered by Internet-based services)</w:t>
      </w:r>
      <w:r w:rsidRPr="00192419">
        <w:t>.</w:t>
      </w:r>
      <w:r>
        <w:t xml:space="preserve">  </w:t>
      </w:r>
      <w:r w:rsidRPr="005F0E3C">
        <w:rPr>
          <w:i/>
        </w:rPr>
        <w:t>But see</w:t>
      </w:r>
      <w:r>
        <w:rPr>
          <w:i/>
        </w:rPr>
        <w:t xml:space="preserve"> </w:t>
      </w:r>
      <w:r w:rsidRPr="00192419">
        <w:t>Reply Comments of Public Knowledge</w:t>
      </w:r>
      <w:r>
        <w:t xml:space="preserve"> </w:t>
      </w:r>
      <w:r w:rsidRPr="002C2237">
        <w:t xml:space="preserve">at 9 (“online MVPDs will have capital and content costs like any others”); DIRECTV Comments </w:t>
      </w:r>
      <w:r>
        <w:t>at 13-14.</w:t>
      </w:r>
    </w:p>
  </w:footnote>
  <w:footnote w:id="121">
    <w:p w:rsidR="00CE3FB0" w:rsidRDefault="00CE3FB0" w:rsidP="00184229">
      <w:pPr>
        <w:pStyle w:val="FootnoteText"/>
      </w:pPr>
      <w:r>
        <w:rPr>
          <w:rStyle w:val="FootnoteReference"/>
        </w:rPr>
        <w:footnoteRef/>
      </w:r>
      <w:r>
        <w:t xml:space="preserve"> </w:t>
      </w:r>
      <w:r w:rsidRPr="00481270">
        <w:rPr>
          <w:i/>
        </w:rPr>
        <w:t>See</w:t>
      </w:r>
      <w:r>
        <w:t xml:space="preserve"> 47 U.S.C. § 325(b)(3)(C)(ii);</w:t>
      </w:r>
      <w:r w:rsidRPr="00481270">
        <w:t xml:space="preserve"> </w:t>
      </w:r>
      <w:r w:rsidRPr="002459CD">
        <w:t>47 C.F.R. § 76.65</w:t>
      </w:r>
      <w:r>
        <w:t xml:space="preserve">.  </w:t>
      </w:r>
      <w:r>
        <w:rPr>
          <w:szCs w:val="22"/>
        </w:rPr>
        <w:t xml:space="preserve">This provision also imposes a reciprocal obligation on MVPDs to negotiate in good faith with broadcasters for retransmission consent.  </w:t>
      </w:r>
      <w:r w:rsidRPr="00481270">
        <w:rPr>
          <w:i/>
        </w:rPr>
        <w:t>See</w:t>
      </w:r>
      <w:r>
        <w:t xml:space="preserve"> 47 U.S.C. § 325(b)(3)(C)(iii);</w:t>
      </w:r>
      <w:r w:rsidRPr="00481270">
        <w:t xml:space="preserve"> </w:t>
      </w:r>
      <w:r>
        <w:t>4</w:t>
      </w:r>
      <w:r w:rsidRPr="002459CD">
        <w:t>7 C.F.R. § 76.65</w:t>
      </w:r>
      <w:r>
        <w:t xml:space="preserve">.  We discuss this obligation below.  </w:t>
      </w:r>
      <w:r>
        <w:rPr>
          <w:i/>
          <w:szCs w:val="22"/>
        </w:rPr>
        <w:t>S</w:t>
      </w:r>
      <w:r w:rsidRPr="00DD3C82">
        <w:rPr>
          <w:i/>
          <w:szCs w:val="22"/>
        </w:rPr>
        <w:t>ee infra</w:t>
      </w:r>
      <w:r>
        <w:rPr>
          <w:szCs w:val="22"/>
        </w:rPr>
        <w:t xml:space="preserve"> ¶¶ 50-53.</w:t>
      </w:r>
    </w:p>
  </w:footnote>
  <w:footnote w:id="122">
    <w:p w:rsidR="00CE3FB0" w:rsidRDefault="00CE3FB0" w:rsidP="00184229">
      <w:pPr>
        <w:pStyle w:val="FootnoteText"/>
      </w:pPr>
      <w:r>
        <w:rPr>
          <w:rStyle w:val="FootnoteReference"/>
        </w:rPr>
        <w:footnoteRef/>
      </w:r>
      <w:r>
        <w:t xml:space="preserve"> </w:t>
      </w:r>
      <w:r w:rsidRPr="00481270">
        <w:rPr>
          <w:i/>
        </w:rPr>
        <w:t>See</w:t>
      </w:r>
      <w:r>
        <w:t xml:space="preserve"> 47 U.S.C. § 325(b)(3)(C)(ii);</w:t>
      </w:r>
      <w:r w:rsidRPr="00481270">
        <w:t xml:space="preserve"> </w:t>
      </w:r>
      <w:r w:rsidRPr="002459CD">
        <w:t>47 C.F.R. § 76.65</w:t>
      </w:r>
      <w:r>
        <w:t>(l).</w:t>
      </w:r>
    </w:p>
  </w:footnote>
  <w:footnote w:id="123">
    <w:p w:rsidR="00CE3FB0" w:rsidRPr="00D40A7A" w:rsidRDefault="00CE3FB0" w:rsidP="00184229">
      <w:pPr>
        <w:pStyle w:val="FootnoteText"/>
      </w:pPr>
      <w:r w:rsidRPr="00D40A7A">
        <w:rPr>
          <w:rStyle w:val="FootnoteReference"/>
        </w:rPr>
        <w:footnoteRef/>
      </w:r>
      <w:r w:rsidRPr="00D40A7A">
        <w:t xml:space="preserve"> Section 325(b)(1)(A) of the Act provides that “No cable system or other multichannel video programming distributor shall retransmit the signal of a broadcasting station, or any part thereof, except— </w:t>
      </w:r>
      <w:bookmarkStart w:id="280" w:name="b_1_A"/>
      <w:bookmarkEnd w:id="280"/>
      <w:r w:rsidRPr="00D40A7A">
        <w:t xml:space="preserve">(A) with the express authority of the originating station . . . .”  47 U.S.C. § 325(b)(1)(A).  </w:t>
      </w:r>
    </w:p>
  </w:footnote>
  <w:footnote w:id="124">
    <w:p w:rsidR="00CE3FB0" w:rsidRPr="00D40A7A" w:rsidRDefault="00CE3FB0" w:rsidP="00184229">
      <w:pPr>
        <w:pStyle w:val="FootnoteText"/>
      </w:pPr>
      <w:r w:rsidRPr="00D40A7A">
        <w:rPr>
          <w:rStyle w:val="FootnoteReference"/>
        </w:rPr>
        <w:footnoteRef/>
      </w:r>
      <w:r w:rsidRPr="00D40A7A">
        <w:rPr>
          <w:i/>
        </w:rPr>
        <w:t xml:space="preserve"> See</w:t>
      </w:r>
      <w:r w:rsidRPr="00D40A7A">
        <w:t xml:space="preserve"> 47 C.F.R. § 76.65(c).</w:t>
      </w:r>
    </w:p>
  </w:footnote>
  <w:footnote w:id="125">
    <w:p w:rsidR="00CE3FB0" w:rsidRPr="00D40A7A" w:rsidRDefault="00CE3FB0" w:rsidP="00184229">
      <w:pPr>
        <w:pStyle w:val="FootnoteText"/>
      </w:pPr>
      <w:r w:rsidRPr="00D40A7A">
        <w:rPr>
          <w:rStyle w:val="FootnoteReference"/>
        </w:rPr>
        <w:footnoteRef/>
      </w:r>
      <w:r w:rsidRPr="00D40A7A">
        <w:t xml:space="preserve"> We seek comment below on how the interpretation of the definition of the MVPD</w:t>
      </w:r>
      <w:r>
        <w:t xml:space="preserve"> </w:t>
      </w:r>
      <w:r w:rsidRPr="00D40A7A">
        <w:t xml:space="preserve">will impact the statutory copyright licenses.  </w:t>
      </w:r>
      <w:r w:rsidRPr="00D40A7A">
        <w:rPr>
          <w:i/>
        </w:rPr>
        <w:t>See infra</w:t>
      </w:r>
      <w:r w:rsidRPr="00D40A7A">
        <w:t xml:space="preserve"> ¶ </w:t>
      </w:r>
      <w:r>
        <w:t>66</w:t>
      </w:r>
      <w:r w:rsidRPr="00D40A7A">
        <w:t>.</w:t>
      </w:r>
    </w:p>
  </w:footnote>
  <w:footnote w:id="126">
    <w:p w:rsidR="00CE3FB0" w:rsidRPr="00D40A7A" w:rsidRDefault="00CE3FB0" w:rsidP="00184229">
      <w:pPr>
        <w:pStyle w:val="FootnoteText"/>
      </w:pPr>
      <w:r w:rsidRPr="00D40A7A">
        <w:rPr>
          <w:rStyle w:val="FootnoteReference"/>
        </w:rPr>
        <w:footnoteRef/>
      </w:r>
      <w:r w:rsidRPr="00D40A7A">
        <w:t xml:space="preserve"> </w:t>
      </w:r>
      <w:r w:rsidRPr="00D40A7A">
        <w:rPr>
          <w:i/>
        </w:rPr>
        <w:t xml:space="preserve">See </w:t>
      </w:r>
      <w:r w:rsidRPr="00D40A7A">
        <w:t xml:space="preserve">Comcast Comments at 11-12 (“If OVDs were deemed MVPDs . . . broadcasters potentially would face the prospect of having to negotiate retransmission consent agreements – and the duty to bargain in good faith – with thousands of OVDs. . . .  [T]here are bound to be disputes that will lead to complaints at the Commission, undermining ongoing marketplace negotiations and burdening Commission staff and resources.”).  </w:t>
      </w:r>
    </w:p>
  </w:footnote>
  <w:footnote w:id="127">
    <w:p w:rsidR="00CE3FB0" w:rsidRPr="00D40A7A" w:rsidRDefault="00CE3FB0" w:rsidP="00184229">
      <w:pPr>
        <w:pStyle w:val="FootnoteText"/>
      </w:pPr>
      <w:r w:rsidRPr="00D40A7A">
        <w:rPr>
          <w:rStyle w:val="FootnoteReference"/>
        </w:rPr>
        <w:footnoteRef/>
      </w:r>
      <w:r w:rsidRPr="00D40A7A">
        <w:t xml:space="preserve"> </w:t>
      </w:r>
      <w:r w:rsidRPr="00D40A7A">
        <w:rPr>
          <w:i/>
        </w:rPr>
        <w:t>See supra</w:t>
      </w:r>
      <w:r>
        <w:t xml:space="preserve"> n.106</w:t>
      </w:r>
      <w:r w:rsidRPr="00D40A7A">
        <w:t xml:space="preserve"> (discussing Internet-based distributors as a potential competitive threat to traditional MVPDs).     </w:t>
      </w:r>
    </w:p>
  </w:footnote>
  <w:footnote w:id="128">
    <w:p w:rsidR="00CE3FB0" w:rsidRPr="00D40A7A" w:rsidRDefault="00CE3FB0" w:rsidP="00184229">
      <w:pPr>
        <w:pStyle w:val="FootnoteText"/>
      </w:pPr>
      <w:r w:rsidRPr="00D40A7A">
        <w:rPr>
          <w:rStyle w:val="FootnoteReference"/>
        </w:rPr>
        <w:footnoteRef/>
      </w:r>
      <w:r w:rsidRPr="00D40A7A">
        <w:t xml:space="preserve"> 47 U.S.C. § 325(b)(1)(A) (emphasis added); </w:t>
      </w:r>
      <w:r w:rsidRPr="00D40A7A">
        <w:rPr>
          <w:i/>
        </w:rPr>
        <w:t>see also</w:t>
      </w:r>
      <w:r w:rsidRPr="00D40A7A">
        <w:t xml:space="preserve"> 47 C.F.R. § 76.64.</w:t>
      </w:r>
    </w:p>
  </w:footnote>
  <w:footnote w:id="129">
    <w:p w:rsidR="00CE3FB0" w:rsidRPr="00D40A7A" w:rsidRDefault="00CE3FB0" w:rsidP="00184229">
      <w:pPr>
        <w:pStyle w:val="FootnoteText"/>
      </w:pPr>
      <w:r w:rsidRPr="00D40A7A">
        <w:rPr>
          <w:rStyle w:val="FootnoteReference"/>
        </w:rPr>
        <w:footnoteRef/>
      </w:r>
      <w:r w:rsidRPr="00D40A7A">
        <w:t xml:space="preserve"> </w:t>
      </w:r>
      <w:r>
        <w:t xml:space="preserve">17 U.S.C. </w:t>
      </w:r>
      <w:r w:rsidRPr="00D40A7A">
        <w:t>§§</w:t>
      </w:r>
      <w:r>
        <w:t xml:space="preserve"> 106, 111; </w:t>
      </w:r>
      <w:r w:rsidRPr="00184229">
        <w:rPr>
          <w:i/>
        </w:rPr>
        <w:t>American Broadcasting Companies, Inc. v. Aereo, Inc</w:t>
      </w:r>
      <w:r w:rsidRPr="005F24BE">
        <w:t>.</w:t>
      </w:r>
      <w:r>
        <w:t>, 134 S.Ct. 2498, 2507 (2014).</w:t>
      </w:r>
    </w:p>
  </w:footnote>
  <w:footnote w:id="130">
    <w:p w:rsidR="00CE3FB0" w:rsidRPr="00DC16F0" w:rsidRDefault="00CE3FB0">
      <w:pPr>
        <w:pStyle w:val="FootnoteText"/>
      </w:pPr>
      <w:r>
        <w:rPr>
          <w:rStyle w:val="FootnoteReference"/>
        </w:rPr>
        <w:footnoteRef/>
      </w:r>
      <w:r>
        <w:t xml:space="preserve"> </w:t>
      </w:r>
      <w:r w:rsidRPr="00E61E4D">
        <w:rPr>
          <w:i/>
        </w:rPr>
        <w:t>See</w:t>
      </w:r>
      <w:r>
        <w:rPr>
          <w:i/>
        </w:rPr>
        <w:t xml:space="preserve"> also infra</w:t>
      </w:r>
      <w:r w:rsidRPr="00E61E4D">
        <w:t xml:space="preserve"> </w:t>
      </w:r>
      <w:r>
        <w:t>¶ 66.</w:t>
      </w:r>
    </w:p>
  </w:footnote>
  <w:footnote w:id="131">
    <w:p w:rsidR="00CE3FB0" w:rsidRDefault="00CE3FB0" w:rsidP="00184229">
      <w:pPr>
        <w:pStyle w:val="FootnoteText"/>
      </w:pPr>
      <w:r w:rsidRPr="00164861">
        <w:rPr>
          <w:rStyle w:val="FootnoteReference"/>
        </w:rPr>
        <w:footnoteRef/>
      </w:r>
      <w:r w:rsidRPr="00164861">
        <w:t xml:space="preserve"> </w:t>
      </w:r>
      <w:r w:rsidRPr="00164861">
        <w:rPr>
          <w:i/>
        </w:rPr>
        <w:t>See</w:t>
      </w:r>
      <w:r w:rsidRPr="00164861">
        <w:t xml:space="preserve"> 47 C.F.R. § 76.1301(a); </w:t>
      </w:r>
      <w:r w:rsidRPr="00164861">
        <w:rPr>
          <w:i/>
        </w:rPr>
        <w:t xml:space="preserve">see also </w:t>
      </w:r>
      <w:r w:rsidRPr="00164861">
        <w:t>47 U.S.C. § 536(a)(1).</w:t>
      </w:r>
    </w:p>
  </w:footnote>
  <w:footnote w:id="132">
    <w:p w:rsidR="00CE3FB0" w:rsidRDefault="00CE3FB0" w:rsidP="00184229">
      <w:pPr>
        <w:pStyle w:val="FootnoteText"/>
      </w:pPr>
      <w:r>
        <w:rPr>
          <w:rStyle w:val="FootnoteReference"/>
        </w:rPr>
        <w:footnoteRef/>
      </w:r>
      <w:r>
        <w:t xml:space="preserve"> </w:t>
      </w:r>
      <w:r>
        <w:rPr>
          <w:i/>
        </w:rPr>
        <w:t>See</w:t>
      </w:r>
      <w:r>
        <w:t xml:space="preserve"> 47 C.F.R. § 76.1301(b); </w:t>
      </w:r>
      <w:r>
        <w:rPr>
          <w:i/>
        </w:rPr>
        <w:t xml:space="preserve">see also </w:t>
      </w:r>
      <w:r>
        <w:t>47 U.S.C. § 536(a)(2).</w:t>
      </w:r>
    </w:p>
  </w:footnote>
  <w:footnote w:id="133">
    <w:p w:rsidR="00CE3FB0" w:rsidRDefault="00CE3FB0" w:rsidP="00184229">
      <w:pPr>
        <w:pStyle w:val="FootnoteText"/>
      </w:pPr>
      <w:r>
        <w:rPr>
          <w:rStyle w:val="FootnoteReference"/>
        </w:rPr>
        <w:footnoteRef/>
      </w:r>
      <w:r>
        <w:t xml:space="preserve"> </w:t>
      </w:r>
      <w:r>
        <w:rPr>
          <w:i/>
        </w:rPr>
        <w:t>See</w:t>
      </w:r>
      <w:r>
        <w:t xml:space="preserve"> 47 C.F.R. § 76.1301(c); </w:t>
      </w:r>
      <w:r>
        <w:rPr>
          <w:i/>
        </w:rPr>
        <w:t xml:space="preserve">see also </w:t>
      </w:r>
      <w:r>
        <w:t>47 U.S.C. § 536(a)(3).</w:t>
      </w:r>
    </w:p>
  </w:footnote>
  <w:footnote w:id="134">
    <w:p w:rsidR="00CE3FB0" w:rsidRPr="00E41B47" w:rsidRDefault="00CE3FB0" w:rsidP="00184229">
      <w:pPr>
        <w:pStyle w:val="FootnoteText"/>
      </w:pPr>
      <w:r>
        <w:rPr>
          <w:rStyle w:val="FootnoteReference"/>
        </w:rPr>
        <w:footnoteRef/>
      </w:r>
      <w:r>
        <w:t xml:space="preserve"> </w:t>
      </w:r>
      <w:r>
        <w:rPr>
          <w:i/>
        </w:rPr>
        <w:t>See</w:t>
      </w:r>
      <w:r>
        <w:t xml:space="preserve"> 47 U.S.C. § </w:t>
      </w:r>
      <w:r w:rsidRPr="00E41B47">
        <w:t xml:space="preserve">536(a)(4); </w:t>
      </w:r>
      <w:r w:rsidRPr="00E41B47">
        <w:rPr>
          <w:i/>
        </w:rPr>
        <w:t>see also</w:t>
      </w:r>
      <w:r w:rsidRPr="00E41B47">
        <w:t xml:space="preserve"> 47 C.F.R. § 76.1302.</w:t>
      </w:r>
    </w:p>
  </w:footnote>
  <w:footnote w:id="135">
    <w:p w:rsidR="00CE3FB0" w:rsidRPr="00E41B47" w:rsidRDefault="00CE3FB0" w:rsidP="00184229">
      <w:pPr>
        <w:pStyle w:val="FootnoteText"/>
      </w:pPr>
      <w:r w:rsidRPr="00E41B47">
        <w:rPr>
          <w:rStyle w:val="FootnoteReference"/>
        </w:rPr>
        <w:footnoteRef/>
      </w:r>
      <w:r w:rsidRPr="00E41B47">
        <w:t xml:space="preserve"> </w:t>
      </w:r>
      <w:r w:rsidRPr="00E41B47">
        <w:rPr>
          <w:i/>
        </w:rPr>
        <w:t>See</w:t>
      </w:r>
      <w:r w:rsidRPr="00E41B47">
        <w:t xml:space="preserve"> Sky Angel Reply Comments at 35 (“The program carriage rules would have little, if any effect, because they do not mandate carriage.”).     </w:t>
      </w:r>
    </w:p>
  </w:footnote>
  <w:footnote w:id="136">
    <w:p w:rsidR="00CE3FB0" w:rsidRDefault="00CE3FB0">
      <w:pPr>
        <w:pStyle w:val="FootnoteText"/>
      </w:pPr>
      <w:r>
        <w:rPr>
          <w:rStyle w:val="FootnoteReference"/>
        </w:rPr>
        <w:footnoteRef/>
      </w:r>
      <w:r>
        <w:t xml:space="preserve"> </w:t>
      </w:r>
      <w:r w:rsidRPr="00B92002">
        <w:rPr>
          <w:i/>
        </w:rPr>
        <w:t>See supra</w:t>
      </w:r>
      <w:r>
        <w:t xml:space="preserve"> n.1 (citing press reports that Sony, Dish Network, DIRECTV and Verizon each plan to launch online linear video services).</w:t>
      </w:r>
    </w:p>
  </w:footnote>
  <w:footnote w:id="137">
    <w:p w:rsidR="00CE3FB0" w:rsidRPr="00D77138" w:rsidRDefault="00CE3FB0" w:rsidP="00184229">
      <w:pPr>
        <w:pStyle w:val="FootnoteText"/>
      </w:pPr>
      <w:r w:rsidRPr="00D77138">
        <w:rPr>
          <w:rStyle w:val="FootnoteReference"/>
        </w:rPr>
        <w:footnoteRef/>
      </w:r>
      <w:r w:rsidRPr="00D77138">
        <w:t xml:space="preserve"> </w:t>
      </w:r>
      <w:r w:rsidRPr="00D77138">
        <w:rPr>
          <w:i/>
        </w:rPr>
        <w:t>See</w:t>
      </w:r>
      <w:r w:rsidRPr="00D77138">
        <w:t xml:space="preserve"> 47 C.F.R. § 76.1301(a)-(b); </w:t>
      </w:r>
      <w:r w:rsidRPr="00D77138">
        <w:rPr>
          <w:i/>
        </w:rPr>
        <w:t xml:space="preserve">see also </w:t>
      </w:r>
      <w:r w:rsidRPr="00D77138">
        <w:t>47 U.S.C. § 536(a)(1)-(2).</w:t>
      </w:r>
    </w:p>
  </w:footnote>
  <w:footnote w:id="138">
    <w:p w:rsidR="00CE3FB0" w:rsidRPr="00D77138" w:rsidRDefault="00CE3FB0" w:rsidP="00184229">
      <w:pPr>
        <w:pStyle w:val="FootnoteText"/>
      </w:pPr>
      <w:r w:rsidRPr="00D77138">
        <w:rPr>
          <w:rStyle w:val="FootnoteReference"/>
        </w:rPr>
        <w:footnoteRef/>
      </w:r>
      <w:r w:rsidRPr="00D77138">
        <w:t xml:space="preserve"> </w:t>
      </w:r>
      <w:r w:rsidRPr="00D77138">
        <w:rPr>
          <w:i/>
        </w:rPr>
        <w:t>See</w:t>
      </w:r>
      <w:r w:rsidRPr="00D77138">
        <w:t xml:space="preserve"> </w:t>
      </w:r>
      <w:r>
        <w:t xml:space="preserve">Neil Irwin, </w:t>
      </w:r>
      <w:r w:rsidRPr="00B92002">
        <w:rPr>
          <w:i/>
        </w:rPr>
        <w:t>Netflix vs. Amazon, and the New Economics of Television</w:t>
      </w:r>
      <w:r>
        <w:t xml:space="preserve">, </w:t>
      </w:r>
      <w:r w:rsidRPr="00B92002">
        <w:rPr>
          <w:smallCaps/>
        </w:rPr>
        <w:t>The N</w:t>
      </w:r>
      <w:r>
        <w:rPr>
          <w:smallCaps/>
        </w:rPr>
        <w:t xml:space="preserve">ew </w:t>
      </w:r>
      <w:r w:rsidRPr="00B92002">
        <w:rPr>
          <w:smallCaps/>
        </w:rPr>
        <w:t>Y</w:t>
      </w:r>
      <w:r>
        <w:rPr>
          <w:smallCaps/>
        </w:rPr>
        <w:t>ork</w:t>
      </w:r>
      <w:r w:rsidRPr="00B92002">
        <w:rPr>
          <w:smallCaps/>
        </w:rPr>
        <w:t xml:space="preserve"> Times</w:t>
      </w:r>
      <w:r>
        <w:t>, April 25, 2014,</w:t>
      </w:r>
      <w:r w:rsidRPr="00B92002">
        <w:rPr>
          <w:i/>
        </w:rPr>
        <w:t xml:space="preserve"> available at</w:t>
      </w:r>
      <w:r>
        <w:t xml:space="preserve"> </w:t>
      </w:r>
      <w:hyperlink r:id="rId17" w:history="1">
        <w:r w:rsidRPr="00444428">
          <w:rPr>
            <w:rStyle w:val="Hyperlink"/>
          </w:rPr>
          <w:t>http://www.nytimes.com/2014/04/27/upshot/netflix-vs-amazon-and-the-new-economics-of-television.html?abt=0002&amp;abg=0</w:t>
        </w:r>
      </w:hyperlink>
      <w:r>
        <w:t xml:space="preserve">; </w:t>
      </w:r>
      <w:r w:rsidRPr="00D77138">
        <w:t xml:space="preserve">47 C.F.R. § 76.1301(c); </w:t>
      </w:r>
      <w:r w:rsidRPr="00D77138">
        <w:rPr>
          <w:i/>
        </w:rPr>
        <w:t xml:space="preserve">see also </w:t>
      </w:r>
      <w:r w:rsidRPr="00D77138">
        <w:t>47 U.S.C. § 536(a)(3).</w:t>
      </w:r>
    </w:p>
  </w:footnote>
  <w:footnote w:id="139">
    <w:p w:rsidR="00CE3FB0" w:rsidRPr="00D77138" w:rsidRDefault="00CE3FB0" w:rsidP="00371DF2">
      <w:pPr>
        <w:pStyle w:val="FootnoteText"/>
      </w:pPr>
      <w:r w:rsidRPr="00D77138">
        <w:rPr>
          <w:rStyle w:val="FootnoteReference"/>
        </w:rPr>
        <w:footnoteRef/>
      </w:r>
      <w:r w:rsidRPr="00D77138">
        <w:t xml:space="preserve"> 47 U.S.C. § 325(b)(1)(A)</w:t>
      </w:r>
      <w:r>
        <w:t xml:space="preserve"> (emphasis added); </w:t>
      </w:r>
      <w:r w:rsidRPr="00DA634D">
        <w:rPr>
          <w:i/>
        </w:rPr>
        <w:t>see also</w:t>
      </w:r>
      <w:r>
        <w:t xml:space="preserve"> 47 C.F.R. § 76.64.</w:t>
      </w:r>
    </w:p>
  </w:footnote>
  <w:footnote w:id="140">
    <w:p w:rsidR="00CE3FB0" w:rsidRPr="004C5EA8" w:rsidRDefault="00CE3FB0" w:rsidP="00371DF2">
      <w:pPr>
        <w:pStyle w:val="FootnoteText"/>
      </w:pPr>
      <w:r w:rsidRPr="004C5EA8">
        <w:rPr>
          <w:rStyle w:val="FootnoteReference"/>
        </w:rPr>
        <w:footnoteRef/>
      </w:r>
      <w:r w:rsidRPr="004C5EA8">
        <w:t xml:space="preserve"> </w:t>
      </w:r>
      <w:r w:rsidRPr="004C5EA8">
        <w:rPr>
          <w:i/>
        </w:rPr>
        <w:t>See</w:t>
      </w:r>
      <w:r w:rsidRPr="004C5EA8">
        <w:t xml:space="preserve"> 47 U.S.C. § 325(b)(3)(C)(iii); 47 C.F.R. § 76.65.  This provision also imposes a reciprocal obligation on broadcasters to negotiate in good faith with MVPDs for retransmission consent.  </w:t>
      </w:r>
      <w:r w:rsidRPr="004C5EA8">
        <w:rPr>
          <w:i/>
        </w:rPr>
        <w:t>See</w:t>
      </w:r>
      <w:r w:rsidRPr="004C5EA8">
        <w:t xml:space="preserve"> 47 U.S.C. § 325(b)(3)(C)(ii); 47 C.F.R. § 76.65.  We discuss this obligation </w:t>
      </w:r>
      <w:r>
        <w:t>in greater detail above</w:t>
      </w:r>
      <w:r w:rsidRPr="004C5EA8">
        <w:t xml:space="preserve">.  </w:t>
      </w:r>
      <w:r w:rsidRPr="004C5EA8">
        <w:rPr>
          <w:i/>
        </w:rPr>
        <w:t xml:space="preserve">See </w:t>
      </w:r>
      <w:r>
        <w:rPr>
          <w:i/>
        </w:rPr>
        <w:t>supra</w:t>
      </w:r>
      <w:r w:rsidRPr="004C5EA8">
        <w:t xml:space="preserve"> ¶</w:t>
      </w:r>
      <w:r>
        <w:t>¶</w:t>
      </w:r>
      <w:r w:rsidRPr="004C5EA8">
        <w:t xml:space="preserve"> </w:t>
      </w:r>
      <w:r>
        <w:t>43-45</w:t>
      </w:r>
      <w:r w:rsidRPr="004C5EA8">
        <w:t>.</w:t>
      </w:r>
    </w:p>
  </w:footnote>
  <w:footnote w:id="141">
    <w:p w:rsidR="00CE3FB0" w:rsidRPr="004C5EA8" w:rsidRDefault="00CE3FB0" w:rsidP="00371DF2">
      <w:pPr>
        <w:pStyle w:val="FootnoteText"/>
      </w:pPr>
      <w:r w:rsidRPr="004C5EA8">
        <w:rPr>
          <w:rStyle w:val="FootnoteReference"/>
        </w:rPr>
        <w:footnoteRef/>
      </w:r>
      <w:r w:rsidRPr="004C5EA8">
        <w:rPr>
          <w:i/>
        </w:rPr>
        <w:t xml:space="preserve"> See</w:t>
      </w:r>
      <w:r>
        <w:t xml:space="preserve"> 47 C.F.R. § 76.65(c).</w:t>
      </w:r>
      <w:r w:rsidRPr="004C5EA8">
        <w:t xml:space="preserve">      </w:t>
      </w:r>
    </w:p>
  </w:footnote>
  <w:footnote w:id="142">
    <w:p w:rsidR="00CE3FB0" w:rsidRPr="0046165D" w:rsidRDefault="00CE3FB0" w:rsidP="00A836AB">
      <w:pPr>
        <w:pStyle w:val="FootnoteText"/>
      </w:pPr>
      <w:r w:rsidRPr="004C5EA8">
        <w:rPr>
          <w:rStyle w:val="FootnoteReference"/>
        </w:rPr>
        <w:footnoteRef/>
      </w:r>
      <w:r w:rsidRPr="004C5EA8">
        <w:rPr>
          <w:i/>
        </w:rPr>
        <w:t xml:space="preserve"> See</w:t>
      </w:r>
      <w:r w:rsidRPr="004C5EA8">
        <w:t xml:space="preserve"> 47 C.F.R. § 76.65(b)(1)(i) (providing that the refusal by a Negotiating Entity (defined to include an MVPD) to negotiate retransmission consent violates the Negotiating Entity’s duty to negotiate in good faith); 47 C.F.R. § 76.65(b)(1)(iv) (providing that the refusal by a Negotiating Entity (defined to include an MVPD) to put forth more than a single, unilateral proposal violates the Negotiating Entity’s duty to negotiate in good faith); </w:t>
      </w:r>
      <w:r w:rsidRPr="004C5EA8">
        <w:rPr>
          <w:i/>
        </w:rPr>
        <w:t>but see</w:t>
      </w:r>
      <w:r w:rsidRPr="004C5EA8">
        <w:t xml:space="preserve"> 47 C.F.R. § 76.65(a)(2) (“If a television broadcast station or multichannel video programming distributor negotiates in accordance with the rules and procedures set forth in this section, failure to reach an agreement is not an indication of a failure to negotiate in good faith.”); </w:t>
      </w:r>
      <w:r w:rsidRPr="004C5EA8">
        <w:rPr>
          <w:i/>
        </w:rPr>
        <w:t>2005 Reciprocal Bargaining Order</w:t>
      </w:r>
      <w:r w:rsidRPr="004C5EA8">
        <w:t>, 20 FCC Rcd at 10345, ¶ 14 (“[P]</w:t>
      </w:r>
      <w:r w:rsidRPr="004C5EA8">
        <w:rPr>
          <w:color w:val="000000"/>
        </w:rPr>
        <w:t>rovided that a party to a reciprocal bargaining negotiation complies with the requirements of the Commission’s rules, failure to reach agreement would not violate either Section 325(b)(3)(C) or Section 76.65 of the Commission’s rules.  Accordingly, NCTA’s argument that the reciprocal bargaining obligation will lead to another form of must carry is incorrect.”)</w:t>
      </w:r>
      <w:r w:rsidRPr="004C5EA8">
        <w:t>; Sky Angel Reply Comments at 35 (claiming that the “retransmission consent rules do not mandate carriage, but rather simply require MVPDs to act in good faith while ensuring that broadcasters are adequately compensated for the retransmission of their signals”).</w:t>
      </w:r>
    </w:p>
  </w:footnote>
  <w:footnote w:id="143">
    <w:p w:rsidR="00CE3FB0" w:rsidRPr="00406AD2" w:rsidRDefault="00CE3FB0" w:rsidP="005061B5">
      <w:pPr>
        <w:pStyle w:val="FootnoteText"/>
      </w:pPr>
      <w:r w:rsidRPr="00406AD2">
        <w:rPr>
          <w:rStyle w:val="FootnoteReference"/>
        </w:rPr>
        <w:footnoteRef/>
      </w:r>
      <w:r w:rsidRPr="00406AD2">
        <w:t xml:space="preserve"> </w:t>
      </w:r>
      <w:r w:rsidRPr="00406AD2">
        <w:rPr>
          <w:snapToGrid w:val="0"/>
        </w:rPr>
        <w:t>For example, do any network affiliation agreements prohibit a local network-affiliated station from permitting the retransmission of the entirety of its signal over the Internet?  Do they limit the retransmission of network programming over the Internet?</w:t>
      </w:r>
    </w:p>
  </w:footnote>
  <w:footnote w:id="144">
    <w:p w:rsidR="00CE3FB0" w:rsidRDefault="00CE3FB0" w:rsidP="00184229">
      <w:pPr>
        <w:pStyle w:val="FootnoteText"/>
      </w:pPr>
      <w:r>
        <w:rPr>
          <w:rStyle w:val="FootnoteReference"/>
        </w:rPr>
        <w:footnoteRef/>
      </w:r>
      <w:r>
        <w:t xml:space="preserve"> </w:t>
      </w:r>
      <w:r w:rsidRPr="003F0920">
        <w:rPr>
          <w:i/>
        </w:rPr>
        <w:t>See</w:t>
      </w:r>
      <w:r>
        <w:t xml:space="preserve"> 47 C.F.R. § 79.1(a)(2).</w:t>
      </w:r>
    </w:p>
  </w:footnote>
  <w:footnote w:id="145">
    <w:p w:rsidR="00CE3FB0" w:rsidRDefault="00CE3FB0" w:rsidP="00184229">
      <w:pPr>
        <w:pStyle w:val="FootnoteText"/>
      </w:pPr>
      <w:r>
        <w:rPr>
          <w:rStyle w:val="FootnoteReference"/>
        </w:rPr>
        <w:footnoteRef/>
      </w:r>
      <w:r>
        <w:t xml:space="preserve"> 47 C.F.R. § 79.1(a)(4); </w:t>
      </w:r>
      <w:r w:rsidRPr="003F0920">
        <w:rPr>
          <w:i/>
        </w:rPr>
        <w:t>see also</w:t>
      </w:r>
      <w:r>
        <w:t xml:space="preserve"> 47 U.S.C. § 613.  </w:t>
      </w:r>
    </w:p>
  </w:footnote>
  <w:footnote w:id="146">
    <w:p w:rsidR="00CE3FB0" w:rsidRDefault="00CE3FB0" w:rsidP="00184229">
      <w:pPr>
        <w:pStyle w:val="FootnoteText"/>
      </w:pPr>
      <w:r>
        <w:rPr>
          <w:rStyle w:val="FootnoteReference"/>
        </w:rPr>
        <w:footnoteRef/>
      </w:r>
      <w:r>
        <w:t xml:space="preserve"> </w:t>
      </w:r>
      <w:r w:rsidRPr="008F6484">
        <w:rPr>
          <w:i/>
        </w:rPr>
        <w:t xml:space="preserve">Closed Captioning and Video Description of Video Programming, </w:t>
      </w:r>
      <w:r w:rsidRPr="000C023F">
        <w:t>Report and Order</w:t>
      </w:r>
      <w:r w:rsidRPr="008F6484">
        <w:t>, 13 FCC Rcd 3272, 3385, ¶¶ 249-51 (1997) (“[W]e recognize that there are issues that need to be addressed relating to the convergence of television receivers and computers and the growth of Internet video like programming that may need to be addressed in the future. . . .  [W]e believe that further study of these issues relating to new technologies and captioning is needed.”)</w:t>
      </w:r>
      <w:r>
        <w:t xml:space="preserve">; </w:t>
      </w:r>
      <w:r w:rsidRPr="00544363">
        <w:rPr>
          <w:i/>
        </w:rPr>
        <w:t xml:space="preserve">Implementation of the Child Safe Viewing Act, </w:t>
      </w:r>
      <w:r w:rsidRPr="000C023F">
        <w:t>Report</w:t>
      </w:r>
      <w:r w:rsidRPr="00544363">
        <w:t>, 24 FCC Rcd 11413</w:t>
      </w:r>
      <w:r>
        <w:t>, 11478, ¶ 149 (2009).</w:t>
      </w:r>
    </w:p>
  </w:footnote>
  <w:footnote w:id="147">
    <w:p w:rsidR="00CE3FB0" w:rsidRDefault="00CE3FB0" w:rsidP="00184229">
      <w:pPr>
        <w:pStyle w:val="FootnoteText"/>
      </w:pPr>
      <w:r>
        <w:rPr>
          <w:rStyle w:val="FootnoteReference"/>
        </w:rPr>
        <w:footnoteRef/>
      </w:r>
      <w:r>
        <w:t xml:space="preserve"> </w:t>
      </w:r>
      <w:r w:rsidRPr="00B20EB2">
        <w:rPr>
          <w:i/>
        </w:rPr>
        <w:t>See Closed Captioning of Internet Protocol-Delivered Video Programming:  Implementation of the Twenty-First Century</w:t>
      </w:r>
      <w:r w:rsidRPr="002459CD">
        <w:rPr>
          <w:i/>
        </w:rPr>
        <w:t xml:space="preserve"> Communications and Video Accessibility Act of 2010</w:t>
      </w:r>
      <w:r w:rsidRPr="002459CD">
        <w:t>, Report and Order, 27 FCC Rcd 787 (2012)</w:t>
      </w:r>
      <w:r>
        <w:t xml:space="preserve"> (“</w:t>
      </w:r>
      <w:r w:rsidRPr="00E52034">
        <w:rPr>
          <w:i/>
        </w:rPr>
        <w:t>IP Closed</w:t>
      </w:r>
      <w:r>
        <w:rPr>
          <w:i/>
        </w:rPr>
        <w:t xml:space="preserve"> </w:t>
      </w:r>
      <w:r w:rsidRPr="00E52034">
        <w:rPr>
          <w:i/>
        </w:rPr>
        <w:t>Captioning Order</w:t>
      </w:r>
      <w:r>
        <w:t>”)</w:t>
      </w:r>
      <w:r w:rsidRPr="002459CD">
        <w:t xml:space="preserve">; </w:t>
      </w:r>
      <w:r w:rsidRPr="002459CD">
        <w:rPr>
          <w:i/>
        </w:rPr>
        <w:t xml:space="preserve">see also </w:t>
      </w:r>
      <w:r w:rsidRPr="002459CD">
        <w:t>47 U.S.C. § 613</w:t>
      </w:r>
      <w:r>
        <w:t>(c)</w:t>
      </w:r>
      <w:r w:rsidRPr="002459CD">
        <w:t>; 47 C.F.R. § 79.4</w:t>
      </w:r>
      <w:r>
        <w:t>(a)(3)</w:t>
      </w:r>
      <w:r w:rsidRPr="002459CD">
        <w:t>.</w:t>
      </w:r>
    </w:p>
  </w:footnote>
  <w:footnote w:id="148">
    <w:p w:rsidR="00CE3FB0" w:rsidRDefault="00CE3FB0" w:rsidP="00184229">
      <w:pPr>
        <w:pStyle w:val="FootnoteText"/>
      </w:pPr>
      <w:r>
        <w:rPr>
          <w:rStyle w:val="FootnoteReference"/>
        </w:rPr>
        <w:footnoteRef/>
      </w:r>
      <w:r>
        <w:t xml:space="preserve"> </w:t>
      </w:r>
      <w:r>
        <w:rPr>
          <w:i/>
        </w:rPr>
        <w:t xml:space="preserve">See </w:t>
      </w:r>
      <w:r>
        <w:t xml:space="preserve">47 U.S.C. § 613(c)(2)(A); </w:t>
      </w:r>
      <w:r w:rsidRPr="00E52034">
        <w:rPr>
          <w:i/>
        </w:rPr>
        <w:t>see also</w:t>
      </w:r>
      <w:r>
        <w:t xml:space="preserve"> 47 C.F.R. § 79.4(b); </w:t>
      </w:r>
      <w:r w:rsidRPr="00E52034">
        <w:rPr>
          <w:i/>
        </w:rPr>
        <w:t>IP Closed</w:t>
      </w:r>
      <w:r>
        <w:rPr>
          <w:i/>
        </w:rPr>
        <w:t xml:space="preserve"> </w:t>
      </w:r>
      <w:r w:rsidRPr="00E52034">
        <w:rPr>
          <w:i/>
        </w:rPr>
        <w:t>Captioning Order</w:t>
      </w:r>
      <w:r>
        <w:t xml:space="preserve">, 27 FCC Rcd at 804-05, ¶ 25 (the IP closed captioning requirement “is triggered only after the programming has been shown on television with closed captions”).     </w:t>
      </w:r>
    </w:p>
  </w:footnote>
  <w:footnote w:id="149">
    <w:p w:rsidR="00CE3FB0" w:rsidRDefault="00CE3FB0" w:rsidP="00184229">
      <w:pPr>
        <w:pStyle w:val="FootnoteText"/>
      </w:pPr>
      <w:r>
        <w:rPr>
          <w:rStyle w:val="FootnoteReference"/>
        </w:rPr>
        <w:footnoteRef/>
      </w:r>
      <w:r>
        <w:t xml:space="preserve"> </w:t>
      </w:r>
      <w:r>
        <w:rPr>
          <w:i/>
        </w:rPr>
        <w:t xml:space="preserve">See </w:t>
      </w:r>
      <w:r>
        <w:t xml:space="preserve">47 C.F.R. § 79.1(b); </w:t>
      </w:r>
      <w:r w:rsidRPr="00E52034">
        <w:rPr>
          <w:i/>
        </w:rPr>
        <w:t>IP Closed</w:t>
      </w:r>
      <w:r>
        <w:rPr>
          <w:i/>
        </w:rPr>
        <w:t xml:space="preserve"> </w:t>
      </w:r>
      <w:r w:rsidRPr="00E52034">
        <w:rPr>
          <w:i/>
        </w:rPr>
        <w:t>Captioning Order</w:t>
      </w:r>
      <w:r>
        <w:t xml:space="preserve">, 27 FCC Rcd at 795-96, ¶ 11. </w:t>
      </w:r>
      <w:r>
        <w:rPr>
          <w:i/>
        </w:rPr>
        <w:t xml:space="preserve">See </w:t>
      </w:r>
      <w:r>
        <w:t xml:space="preserve">47 C.F.R. § 79.1(b); </w:t>
      </w:r>
      <w:r w:rsidRPr="00E52034">
        <w:rPr>
          <w:i/>
        </w:rPr>
        <w:t>IP Closed</w:t>
      </w:r>
      <w:r>
        <w:rPr>
          <w:i/>
        </w:rPr>
        <w:t xml:space="preserve"> </w:t>
      </w:r>
      <w:r w:rsidRPr="00E52034">
        <w:rPr>
          <w:i/>
        </w:rPr>
        <w:t>Captioning Order</w:t>
      </w:r>
      <w:r>
        <w:t xml:space="preserve">, 27 FCC Rcd at 795-96, ¶ 11.  “New” programming refers to analog video programming first published or exhibited on or after January 1, 1998, or digital video programming first published or exhibited on or after July 1, 2002.  47 C.F.R. §§ 79.1(a)(5).  The Commission’s television closed captioning rules also require </w:t>
      </w:r>
      <w:r w:rsidRPr="0053093C">
        <w:t>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w:t>
      </w:r>
      <w:r>
        <w:t>8</w:t>
      </w:r>
      <w:r w:rsidRPr="0053093C">
        <w:t>).</w:t>
      </w:r>
      <w:r>
        <w:t xml:space="preserve">  </w:t>
      </w:r>
      <w:r>
        <w:rPr>
          <w:i/>
        </w:rPr>
        <w:t xml:space="preserve">See </w:t>
      </w:r>
      <w:r>
        <w:t xml:space="preserve">47 C.F.R. § 79.1(b); </w:t>
      </w:r>
      <w:r w:rsidRPr="00E52034">
        <w:rPr>
          <w:i/>
        </w:rPr>
        <w:t>IP Closed</w:t>
      </w:r>
      <w:r>
        <w:rPr>
          <w:i/>
        </w:rPr>
        <w:t xml:space="preserve"> </w:t>
      </w:r>
      <w:r w:rsidRPr="00E52034">
        <w:rPr>
          <w:i/>
        </w:rPr>
        <w:t>Captioning Order</w:t>
      </w:r>
      <w:r>
        <w:t>, 27 FCC Rcd at 795-96, ¶ 11.</w:t>
      </w:r>
    </w:p>
  </w:footnote>
  <w:footnote w:id="150">
    <w:p w:rsidR="00CE3FB0" w:rsidRDefault="00CE3FB0" w:rsidP="00184229">
      <w:pPr>
        <w:pStyle w:val="FootnoteText"/>
      </w:pPr>
      <w:r>
        <w:rPr>
          <w:rStyle w:val="FootnoteReference"/>
        </w:rPr>
        <w:footnoteRef/>
      </w:r>
      <w:r>
        <w:t xml:space="preserve"> </w:t>
      </w:r>
      <w:r>
        <w:rPr>
          <w:i/>
        </w:rPr>
        <w:t>See I</w:t>
      </w:r>
      <w:r w:rsidRPr="00E52034">
        <w:rPr>
          <w:i/>
        </w:rPr>
        <w:t>P Closed</w:t>
      </w:r>
      <w:r>
        <w:rPr>
          <w:i/>
        </w:rPr>
        <w:t xml:space="preserve"> </w:t>
      </w:r>
      <w:r w:rsidRPr="00E52034">
        <w:rPr>
          <w:i/>
        </w:rPr>
        <w:t>Captioning Order</w:t>
      </w:r>
      <w:r>
        <w:t>, 27 FCC Rcd at 795-96, ¶ 11.</w:t>
      </w:r>
    </w:p>
  </w:footnote>
  <w:footnote w:id="151">
    <w:p w:rsidR="00CE3FB0" w:rsidRDefault="00CE3FB0">
      <w:pPr>
        <w:pStyle w:val="FootnoteText"/>
      </w:pPr>
      <w:r>
        <w:rPr>
          <w:rStyle w:val="FootnoteReference"/>
        </w:rPr>
        <w:footnoteRef/>
      </w:r>
      <w:r>
        <w:t xml:space="preserve"> </w:t>
      </w:r>
      <w:r>
        <w:rPr>
          <w:szCs w:val="22"/>
        </w:rPr>
        <w:t>Because the Commission to date has not determined the extent to which I</w:t>
      </w:r>
      <w:r w:rsidRPr="00C56CF5">
        <w:rPr>
          <w:szCs w:val="22"/>
        </w:rPr>
        <w:t>nternet-based distributors of video programming</w:t>
      </w:r>
      <w:r>
        <w:rPr>
          <w:szCs w:val="22"/>
        </w:rPr>
        <w:t xml:space="preserve"> qualify as MVPDs (and thus would be covered by the television closed captioning rules), we expect that </w:t>
      </w:r>
      <w:r w:rsidRPr="00C56CF5">
        <w:rPr>
          <w:szCs w:val="22"/>
        </w:rPr>
        <w:t>Internet-based distributors of video programming</w:t>
      </w:r>
      <w:r>
        <w:rPr>
          <w:szCs w:val="22"/>
        </w:rPr>
        <w:t xml:space="preserve"> are currently complying with at least the IP closed captioning rules.</w:t>
      </w:r>
    </w:p>
  </w:footnote>
  <w:footnote w:id="152">
    <w:p w:rsidR="00CE3FB0" w:rsidRDefault="00CE3FB0" w:rsidP="00E37509">
      <w:pPr>
        <w:pStyle w:val="FootnoteText"/>
      </w:pPr>
      <w:r>
        <w:rPr>
          <w:rStyle w:val="FootnoteReference"/>
        </w:rPr>
        <w:footnoteRef/>
      </w:r>
      <w:r>
        <w:t xml:space="preserve"> </w:t>
      </w:r>
      <w:r>
        <w:rPr>
          <w:i/>
        </w:rPr>
        <w:t>See I</w:t>
      </w:r>
      <w:r w:rsidRPr="00E52034">
        <w:rPr>
          <w:i/>
        </w:rPr>
        <w:t>P Closed</w:t>
      </w:r>
      <w:r>
        <w:rPr>
          <w:i/>
        </w:rPr>
        <w:t xml:space="preserve"> </w:t>
      </w:r>
      <w:r w:rsidRPr="00E52034">
        <w:rPr>
          <w:i/>
        </w:rPr>
        <w:t>Captioning Order</w:t>
      </w:r>
      <w:r>
        <w:t>, 27 FCC Rcd at 795-96, ¶ 11.</w:t>
      </w:r>
    </w:p>
  </w:footnote>
  <w:footnote w:id="153">
    <w:p w:rsidR="00CE3FB0" w:rsidRDefault="00CE3FB0" w:rsidP="0043114A">
      <w:pPr>
        <w:pStyle w:val="FootnoteText"/>
      </w:pPr>
      <w:r>
        <w:rPr>
          <w:rStyle w:val="FootnoteReference"/>
        </w:rPr>
        <w:footnoteRef/>
      </w:r>
      <w:r>
        <w:t xml:space="preserve"> </w:t>
      </w:r>
      <w:r>
        <w:rPr>
          <w:i/>
        </w:rPr>
        <w:t>See</w:t>
      </w:r>
      <w:r>
        <w:t xml:space="preserve"> Twenty-First Century Communications and Video Accessibility Act of 2010, Pub. L. No. 111-260, Title II, § 202(a), 124 Stat. 2751, 2767-70 (2010) (codified at 47 U.S.C. § 613(f)) (“CVAA”); </w:t>
      </w:r>
      <w:r>
        <w:rPr>
          <w:i/>
        </w:rPr>
        <w:t>see also</w:t>
      </w:r>
      <w:r>
        <w:t xml:space="preserve"> 47 C.F.R. § 79.3; </w:t>
      </w:r>
      <w:r>
        <w:rPr>
          <w:i/>
          <w:iCs/>
          <w:color w:val="000000"/>
        </w:rPr>
        <w:t>Video Description: Implementation of the Twenty-First Century Communications and Video Accessibility Act of 2010</w:t>
      </w:r>
      <w:r>
        <w:rPr>
          <w:color w:val="000000"/>
        </w:rPr>
        <w:t>, Report and Order, 26 FCC Rcd 11847 (2011) (“</w:t>
      </w:r>
      <w:r>
        <w:rPr>
          <w:i/>
          <w:color w:val="000000"/>
        </w:rPr>
        <w:t>Video Description Order</w:t>
      </w:r>
      <w:r>
        <w:rPr>
          <w:color w:val="000000"/>
        </w:rPr>
        <w:t xml:space="preserve">”).  </w:t>
      </w:r>
    </w:p>
  </w:footnote>
  <w:footnote w:id="154">
    <w:p w:rsidR="00CE3FB0" w:rsidRDefault="00CE3FB0" w:rsidP="0043114A">
      <w:pPr>
        <w:pStyle w:val="FootnoteText"/>
      </w:pPr>
      <w:r>
        <w:rPr>
          <w:rStyle w:val="FootnoteReference"/>
        </w:rPr>
        <w:footnoteRef/>
      </w:r>
      <w:r>
        <w:t xml:space="preserve"> Video description is</w:t>
      </w:r>
      <w:r>
        <w:rPr>
          <w:rFonts w:asciiTheme="minorHAnsi" w:eastAsiaTheme="minorHAnsi" w:hAnsiTheme="minorHAnsi" w:cstheme="minorBidi"/>
          <w:sz w:val="22"/>
          <w:szCs w:val="22"/>
          <w:lang w:eastAsia="ar-SA"/>
        </w:rPr>
        <w:t xml:space="preserve"> </w:t>
      </w:r>
      <w:r>
        <w:t xml:space="preserve">defined as “the insertion of audio narrated descriptions of a television program’s key visual elements into natural pauses between the program’s dialogue.”  47 U.S.C. § 613(h)(1); 47 C.F.R. § 79.3(a)(3).  </w:t>
      </w:r>
    </w:p>
  </w:footnote>
  <w:footnote w:id="155">
    <w:p w:rsidR="00CE3FB0" w:rsidRDefault="00CE3FB0" w:rsidP="0043114A">
      <w:pPr>
        <w:pStyle w:val="FootnoteText"/>
      </w:pPr>
      <w:r>
        <w:rPr>
          <w:rStyle w:val="FootnoteReference"/>
        </w:rPr>
        <w:footnoteRef/>
      </w:r>
      <w:r>
        <w:t xml:space="preserve"> 47 C.F.R. § 79.3(b)(4).  The top five national nonbroadcast networks for the purposes of these rules are USA, the Disney Channel, TNT, Nickelodeon, and TBS.  </w:t>
      </w:r>
      <w:r>
        <w:rPr>
          <w:i/>
        </w:rPr>
        <w:t>See</w:t>
      </w:r>
      <w:r>
        <w:t xml:space="preserve"> </w:t>
      </w:r>
      <w:r>
        <w:rPr>
          <w:i/>
          <w:color w:val="000000"/>
        </w:rPr>
        <w:t>Video Description Order</w:t>
      </w:r>
      <w:r>
        <w:rPr>
          <w:color w:val="000000"/>
        </w:rPr>
        <w:t xml:space="preserve">, 26 FCC Rcd at 11854, ¶ 13.  This </w:t>
      </w:r>
      <w:r>
        <w:t xml:space="preserve">list will be updated on July 1, 2015 and at three-year intervals.  </w:t>
      </w:r>
      <w:r>
        <w:rPr>
          <w:i/>
        </w:rPr>
        <w:t>See id</w:t>
      </w:r>
      <w:r>
        <w:t xml:space="preserve">. at 11857, ¶ 18; </w:t>
      </w:r>
      <w:r>
        <w:rPr>
          <w:i/>
        </w:rPr>
        <w:t>see also</w:t>
      </w:r>
      <w:r>
        <w:t xml:space="preserve"> 47 C.F.R. § 79.3(b)(4).</w:t>
      </w:r>
    </w:p>
  </w:footnote>
  <w:footnote w:id="156">
    <w:p w:rsidR="00CE3FB0" w:rsidRDefault="00CE3FB0" w:rsidP="0043114A">
      <w:pPr>
        <w:pStyle w:val="FootnoteText"/>
      </w:pPr>
      <w:r>
        <w:rPr>
          <w:rStyle w:val="FootnoteReference"/>
        </w:rPr>
        <w:footnoteRef/>
      </w:r>
      <w:r>
        <w:t xml:space="preserve"> 47 C.F.R. § 79.3(b)(5).</w:t>
      </w:r>
    </w:p>
  </w:footnote>
  <w:footnote w:id="157">
    <w:p w:rsidR="00CE3FB0" w:rsidRDefault="00CE3FB0">
      <w:pPr>
        <w:pStyle w:val="FootnoteText"/>
      </w:pPr>
      <w:r>
        <w:rPr>
          <w:rStyle w:val="FootnoteReference"/>
        </w:rPr>
        <w:footnoteRef/>
      </w:r>
      <w:r>
        <w:t xml:space="preserve"> 47 C.F.R. § 79.105.</w:t>
      </w:r>
    </w:p>
  </w:footnote>
  <w:footnote w:id="158">
    <w:p w:rsidR="00CE3FB0" w:rsidRDefault="00CE3FB0" w:rsidP="0043114A">
      <w:pPr>
        <w:pStyle w:val="FootnoteText"/>
      </w:pPr>
      <w:r>
        <w:rPr>
          <w:rStyle w:val="FootnoteReference"/>
        </w:rPr>
        <w:footnoteRef/>
      </w:r>
      <w:r>
        <w:t xml:space="preserve"> </w:t>
      </w:r>
      <w:r>
        <w:rPr>
          <w:i/>
        </w:rPr>
        <w:t>See</w:t>
      </w:r>
      <w:r>
        <w:t xml:space="preserve"> Sky Angel Reply Comments at 36 (claiming that the video description rules are not burdensome because they “apply only to large MVPDs, and only with respect to the top-five non-broadcast networks” and because they “only require fifty hours of described programming per calendar quarter, and these descriptions likely will be provided by programmers, not MVPDs”).  As noted above, all MVPDs, not just large ones, have certain pass-through obligations.</w:t>
      </w:r>
    </w:p>
  </w:footnote>
  <w:footnote w:id="159">
    <w:p w:rsidR="00CE3FB0" w:rsidRDefault="00CE3FB0" w:rsidP="0043114A">
      <w:pPr>
        <w:pStyle w:val="FootnoteText"/>
      </w:pPr>
      <w:r>
        <w:rPr>
          <w:rStyle w:val="FootnoteReference"/>
        </w:rPr>
        <w:footnoteRef/>
      </w:r>
      <w:r>
        <w:t xml:space="preserve"> </w:t>
      </w:r>
      <w:r>
        <w:rPr>
          <w:lang w:eastAsia="ar-SA"/>
        </w:rPr>
        <w:t xml:space="preserve">In another proceeding arising under the CVAA, the Commission is considering whether MVPDs must comply with video description obligations when they allow subscribers to access linear programming on tablets, laptops, personal computers, smartphones, or similar devices.  </w:t>
      </w:r>
      <w:r>
        <w:rPr>
          <w:i/>
          <w:lang w:eastAsia="ar-SA"/>
        </w:rPr>
        <w:t>See Accessible Emergency Information, and Apparatus Requirements for Emergency Information and Video Description: Implementation Of The Twenty-First Century Communications And Video Accessibility Act Of 2010</w:t>
      </w:r>
      <w:r>
        <w:rPr>
          <w:lang w:eastAsia="ar-SA"/>
        </w:rPr>
        <w:t>, Report and Order and Further Notice of Proposed Rulemaking, 28 FCC Rcd 4871, 4927-28, ¶¶ 83-84 (2013) (“</w:t>
      </w:r>
      <w:r>
        <w:rPr>
          <w:i/>
          <w:lang w:eastAsia="ar-SA"/>
        </w:rPr>
        <w:t>Video Description Further Notice</w:t>
      </w:r>
      <w:r>
        <w:rPr>
          <w:lang w:eastAsia="ar-SA"/>
        </w:rPr>
        <w:t>”).</w:t>
      </w:r>
    </w:p>
  </w:footnote>
  <w:footnote w:id="160">
    <w:p w:rsidR="00CE3FB0" w:rsidRDefault="00CE3FB0" w:rsidP="00A4078F">
      <w:pPr>
        <w:pStyle w:val="FootnoteText"/>
      </w:pPr>
      <w:r>
        <w:rPr>
          <w:rStyle w:val="FootnoteReference"/>
        </w:rPr>
        <w:footnoteRef/>
      </w:r>
      <w:r>
        <w:t xml:space="preserve"> </w:t>
      </w:r>
      <w:r w:rsidRPr="00070118">
        <w:rPr>
          <w:i/>
        </w:rPr>
        <w:t>See Video Description: Implementation of the Twenty-First Century Communications and Video Accessibility Act of 2010</w:t>
      </w:r>
      <w:r>
        <w:t xml:space="preserve">, Report, </w:t>
      </w:r>
      <w:r w:rsidRPr="00A4078F">
        <w:t>29 FCC Rcd 8011</w:t>
      </w:r>
      <w:r>
        <w:t>, 8012, n.2 (MB 2014)</w:t>
      </w:r>
      <w:r w:rsidRPr="00A4078F">
        <w:t xml:space="preserve"> </w:t>
      </w:r>
      <w:r>
        <w:t>(“Video programming delivered using [IP] includes, but is not limited to, video programming that is available on the Internet . . . To the extent a multichannel video programming distributor [MVPD] uses IP to distribute its traditional managed video services to its MVPD customers within its service footprint, however, that service is subject to the existing video description rules that apply to MVPDs, notwithstanding the use of IP technology.”).</w:t>
      </w:r>
    </w:p>
  </w:footnote>
  <w:footnote w:id="161">
    <w:p w:rsidR="00CE3FB0" w:rsidRDefault="00CE3FB0" w:rsidP="00184229">
      <w:pPr>
        <w:pStyle w:val="FootnoteText"/>
      </w:pPr>
      <w:r>
        <w:rPr>
          <w:rStyle w:val="FootnoteReference"/>
        </w:rPr>
        <w:footnoteRef/>
      </w:r>
      <w:r>
        <w:t xml:space="preserve"> </w:t>
      </w:r>
      <w:r w:rsidRPr="00595DBD">
        <w:rPr>
          <w:i/>
          <w:szCs w:val="22"/>
        </w:rPr>
        <w:t>See</w:t>
      </w:r>
      <w:r>
        <w:rPr>
          <w:szCs w:val="22"/>
        </w:rPr>
        <w:t xml:space="preserve"> </w:t>
      </w:r>
      <w:r>
        <w:t>47 C.F.R. § 79.2.</w:t>
      </w:r>
    </w:p>
  </w:footnote>
  <w:footnote w:id="162">
    <w:p w:rsidR="00CE3FB0" w:rsidRDefault="00CE3FB0" w:rsidP="00A72F45">
      <w:pPr>
        <w:pStyle w:val="FootnoteText"/>
      </w:pPr>
      <w:r>
        <w:rPr>
          <w:rStyle w:val="FootnoteReference"/>
        </w:rPr>
        <w:footnoteRef/>
      </w:r>
      <w:r>
        <w:t xml:space="preserve"> </w:t>
      </w:r>
      <w:r w:rsidRPr="00D5495D">
        <w:rPr>
          <w:i/>
        </w:rPr>
        <w:t>See</w:t>
      </w:r>
      <w:r>
        <w:t xml:space="preserve"> 47 C.F.R. § 79.105.</w:t>
      </w:r>
    </w:p>
  </w:footnote>
  <w:footnote w:id="163">
    <w:p w:rsidR="00CE3FB0" w:rsidRPr="00B92002" w:rsidRDefault="00CE3FB0">
      <w:pPr>
        <w:pStyle w:val="FootnoteText"/>
      </w:pPr>
      <w:r>
        <w:rPr>
          <w:rStyle w:val="FootnoteReference"/>
        </w:rPr>
        <w:footnoteRef/>
      </w:r>
      <w:r>
        <w:t xml:space="preserve"> The Commission is also considering this issue in the </w:t>
      </w:r>
      <w:r w:rsidRPr="00604084">
        <w:rPr>
          <w:i/>
          <w:lang w:eastAsia="ar-SA"/>
        </w:rPr>
        <w:t>Video Description Further Notice</w:t>
      </w:r>
      <w:r>
        <w:rPr>
          <w:i/>
          <w:lang w:eastAsia="ar-SA"/>
        </w:rPr>
        <w:t>.</w:t>
      </w:r>
      <w:r>
        <w:rPr>
          <w:lang w:eastAsia="ar-SA"/>
        </w:rPr>
        <w:t xml:space="preserve">  28 FCC Rcd</w:t>
      </w:r>
      <w:r w:rsidRPr="00FF01A2">
        <w:rPr>
          <w:lang w:eastAsia="ar-SA"/>
        </w:rPr>
        <w:t xml:space="preserve"> </w:t>
      </w:r>
      <w:r>
        <w:rPr>
          <w:lang w:eastAsia="ar-SA"/>
        </w:rPr>
        <w:t>at 4926-4928, ¶¶ 80-84.</w:t>
      </w:r>
    </w:p>
  </w:footnote>
  <w:footnote w:id="164">
    <w:p w:rsidR="00CE3FB0" w:rsidRDefault="00CE3FB0">
      <w:pPr>
        <w:pStyle w:val="FootnoteText"/>
      </w:pPr>
      <w:r>
        <w:rPr>
          <w:rStyle w:val="FootnoteReference"/>
        </w:rPr>
        <w:footnoteRef/>
      </w:r>
      <w:r>
        <w:t xml:space="preserve"> 47 C.F.R. § 79.108.</w:t>
      </w:r>
    </w:p>
  </w:footnote>
  <w:footnote w:id="165">
    <w:p w:rsidR="00CE3FB0" w:rsidRDefault="00CE3FB0">
      <w:pPr>
        <w:pStyle w:val="FootnoteText"/>
      </w:pPr>
      <w:r>
        <w:rPr>
          <w:rStyle w:val="FootnoteReference"/>
        </w:rPr>
        <w:footnoteRef/>
      </w:r>
      <w:r>
        <w:t xml:space="preserve"> 47 C.F.R. § 79.107.</w:t>
      </w:r>
    </w:p>
  </w:footnote>
  <w:footnote w:id="166">
    <w:p w:rsidR="00CE3FB0" w:rsidRDefault="00CE3FB0" w:rsidP="00FD09B4">
      <w:pPr>
        <w:pStyle w:val="FootnoteText"/>
      </w:pPr>
      <w:r w:rsidRPr="0046165D">
        <w:rPr>
          <w:rStyle w:val="FootnoteReference"/>
        </w:rPr>
        <w:footnoteRef/>
      </w:r>
      <w:r w:rsidRPr="0046165D">
        <w:t xml:space="preserve"> </w:t>
      </w:r>
      <w:r w:rsidRPr="0046165D">
        <w:rPr>
          <w:i/>
        </w:rPr>
        <w:t>See</w:t>
      </w:r>
      <w:r w:rsidRPr="0046165D">
        <w:t xml:space="preserve"> 47 U.S.C. § 554(h); 47 C.F.R. § 76.71</w:t>
      </w:r>
      <w:r>
        <w:t xml:space="preserve">(a); </w:t>
      </w:r>
      <w:r w:rsidRPr="00DA634D">
        <w:rPr>
          <w:i/>
        </w:rPr>
        <w:t>see also</w:t>
      </w:r>
      <w:r>
        <w:t xml:space="preserve"> 47 C.F.R. § 25.601 (extending EEO obligations to DBS).</w:t>
      </w:r>
    </w:p>
  </w:footnote>
  <w:footnote w:id="167">
    <w:p w:rsidR="00CE3FB0" w:rsidRPr="00B20EB2" w:rsidRDefault="00CE3FB0" w:rsidP="00FD09B4">
      <w:pPr>
        <w:pStyle w:val="FootnoteText"/>
      </w:pPr>
      <w:r w:rsidRPr="00B20EB2">
        <w:rPr>
          <w:rStyle w:val="FootnoteReference"/>
        </w:rPr>
        <w:footnoteRef/>
      </w:r>
      <w:r w:rsidRPr="00B20EB2">
        <w:t xml:space="preserve"> </w:t>
      </w:r>
      <w:r w:rsidRPr="00B20EB2">
        <w:rPr>
          <w:i/>
        </w:rPr>
        <w:t>See</w:t>
      </w:r>
      <w:r w:rsidRPr="00B20EB2">
        <w:t xml:space="preserve"> 47 U.S.C. § 554(b); 47 C.F.R. § 76.73(a); </w:t>
      </w:r>
      <w:r w:rsidRPr="00B20EB2">
        <w:rPr>
          <w:i/>
        </w:rPr>
        <w:t>see also</w:t>
      </w:r>
      <w:r w:rsidRPr="00B20EB2">
        <w:t xml:space="preserve"> 47 U.S.C. § 554(c); 47 C.F.R. § 76.73(b).</w:t>
      </w:r>
    </w:p>
  </w:footnote>
  <w:footnote w:id="168">
    <w:p w:rsidR="00CE3FB0" w:rsidRPr="00B20EB2" w:rsidRDefault="00CE3FB0" w:rsidP="00FD09B4">
      <w:pPr>
        <w:pStyle w:val="FootnoteText"/>
      </w:pPr>
      <w:r w:rsidRPr="00B20EB2">
        <w:rPr>
          <w:rStyle w:val="FootnoteReference"/>
        </w:rPr>
        <w:footnoteRef/>
      </w:r>
      <w:r w:rsidRPr="00B20EB2">
        <w:t xml:space="preserve"> </w:t>
      </w:r>
      <w:r w:rsidRPr="00B20EB2">
        <w:rPr>
          <w:i/>
        </w:rPr>
        <w:t>See</w:t>
      </w:r>
      <w:r w:rsidRPr="00B20EB2">
        <w:t xml:space="preserve"> 47 C.F.R. § 76.75(a)-(b), (e).</w:t>
      </w:r>
    </w:p>
  </w:footnote>
  <w:footnote w:id="169">
    <w:p w:rsidR="00CE3FB0" w:rsidRPr="00B20EB2" w:rsidRDefault="00CE3FB0" w:rsidP="00FD09B4">
      <w:pPr>
        <w:pStyle w:val="FootnoteText"/>
      </w:pPr>
      <w:r w:rsidRPr="00B20EB2">
        <w:rPr>
          <w:rStyle w:val="FootnoteReference"/>
        </w:rPr>
        <w:footnoteRef/>
      </w:r>
      <w:r w:rsidRPr="00B20EB2">
        <w:t xml:space="preserve"> </w:t>
      </w:r>
      <w:r w:rsidRPr="00B20EB2">
        <w:rPr>
          <w:i/>
        </w:rPr>
        <w:t>See</w:t>
      </w:r>
      <w:r w:rsidRPr="00B20EB2">
        <w:t xml:space="preserve"> 47 C.F.R. §§ 76.75(c); 76.77(a), (d); 76.1702; 76.1802.</w:t>
      </w:r>
    </w:p>
  </w:footnote>
  <w:footnote w:id="170">
    <w:p w:rsidR="00CE3FB0" w:rsidRPr="00B20EB2" w:rsidRDefault="00CE3FB0" w:rsidP="00FD09B4">
      <w:pPr>
        <w:pStyle w:val="FootnoteText"/>
      </w:pPr>
      <w:r w:rsidRPr="00B20EB2">
        <w:rPr>
          <w:rStyle w:val="FootnoteReference"/>
        </w:rPr>
        <w:footnoteRef/>
      </w:r>
      <w:r w:rsidRPr="00B20EB2">
        <w:t xml:space="preserve"> Sky Angel claims that the Commission’s EEO requirements “are not oppressive, and in fact are less burdensome than many states’ generally applicable EEO laws.”  Sky Angel Reply Comments at 36.</w:t>
      </w:r>
    </w:p>
  </w:footnote>
  <w:footnote w:id="171">
    <w:p w:rsidR="00CE3FB0" w:rsidRPr="00190ED4" w:rsidRDefault="00CE3FB0" w:rsidP="00FD09B4">
      <w:pPr>
        <w:pStyle w:val="FootnoteText"/>
      </w:pPr>
      <w:r w:rsidRPr="00190ED4">
        <w:rPr>
          <w:rStyle w:val="FootnoteReference"/>
        </w:rPr>
        <w:footnoteRef/>
      </w:r>
      <w:r w:rsidRPr="00190ED4">
        <w:t xml:space="preserve"> </w:t>
      </w:r>
      <w:r w:rsidRPr="00190ED4">
        <w:rPr>
          <w:i/>
        </w:rPr>
        <w:t>See</w:t>
      </w:r>
      <w:r w:rsidRPr="00190ED4">
        <w:t xml:space="preserve"> 47 U.S.C. § 549; 47 C.F.R. §§ 76.1200-1210.</w:t>
      </w:r>
    </w:p>
  </w:footnote>
  <w:footnote w:id="172">
    <w:p w:rsidR="00CE3FB0" w:rsidRDefault="00CE3FB0" w:rsidP="00FD09B4">
      <w:pPr>
        <w:pStyle w:val="FootnoteText"/>
      </w:pPr>
      <w:r>
        <w:rPr>
          <w:rStyle w:val="FootnoteReference"/>
        </w:rPr>
        <w:footnoteRef/>
      </w:r>
      <w:r>
        <w:t xml:space="preserve"> See 47 C.F.R. </w:t>
      </w:r>
      <w:r w:rsidRPr="00D77138">
        <w:t>§§ 76.1</w:t>
      </w:r>
      <w:r>
        <w:t>2</w:t>
      </w:r>
      <w:r w:rsidRPr="00D77138">
        <w:t>01</w:t>
      </w:r>
      <w:r>
        <w:t>-76.1204</w:t>
      </w:r>
    </w:p>
  </w:footnote>
  <w:footnote w:id="173">
    <w:p w:rsidR="00CE3FB0" w:rsidRPr="00FD3C28" w:rsidRDefault="00CE3FB0" w:rsidP="00FD09B4">
      <w:pPr>
        <w:pStyle w:val="FootnoteText"/>
      </w:pPr>
      <w:r w:rsidRPr="00FD3C28">
        <w:rPr>
          <w:rStyle w:val="FootnoteReference"/>
        </w:rPr>
        <w:footnoteRef/>
      </w:r>
      <w:r w:rsidRPr="00FD3C28">
        <w:t xml:space="preserve"> Sky Angel Comments at 19.</w:t>
      </w:r>
    </w:p>
  </w:footnote>
  <w:footnote w:id="174">
    <w:p w:rsidR="00CE3FB0" w:rsidRDefault="00CE3FB0" w:rsidP="00FD09B4">
      <w:pPr>
        <w:pStyle w:val="FootnoteText"/>
      </w:pPr>
      <w:r w:rsidRPr="00FD3C28">
        <w:rPr>
          <w:rStyle w:val="FootnoteReference"/>
        </w:rPr>
        <w:footnoteRef/>
      </w:r>
      <w:r w:rsidRPr="00FD3C28">
        <w:t xml:space="preserve"> </w:t>
      </w:r>
      <w:r w:rsidRPr="00FD3C28">
        <w:rPr>
          <w:i/>
        </w:rPr>
        <w:t>See</w:t>
      </w:r>
      <w:r>
        <w:t xml:space="preserve"> </w:t>
      </w:r>
      <w:r w:rsidRPr="00FD3C28">
        <w:t xml:space="preserve">Sky Angel </w:t>
      </w:r>
      <w:r>
        <w:t xml:space="preserve">Reply </w:t>
      </w:r>
      <w:r w:rsidRPr="00FD3C28">
        <w:t xml:space="preserve">Comments at </w:t>
      </w:r>
      <w:r>
        <w:t xml:space="preserve">36 </w:t>
      </w:r>
      <w:r w:rsidRPr="00FD3C28">
        <w:t>(claiming that, “although the navigation</w:t>
      </w:r>
      <w:r>
        <w:t xml:space="preserve"> </w:t>
      </w:r>
      <w:r w:rsidRPr="00FD3C28">
        <w:t>device requirement ‘nominally applies to all MVPDs,’ the Commission ‘has applied its rules only to cable operators’”).</w:t>
      </w:r>
      <w:r>
        <w:t xml:space="preserve">  Despite Sky Angel’s claim, MVPDs are exempt from the integration ban if they support navigation devices that “o</w:t>
      </w:r>
      <w:r w:rsidRPr="00D442D4">
        <w:t>perate throughout the continental United States</w:t>
      </w:r>
      <w:r>
        <w:t xml:space="preserve">” and are available from retail sources that are not affiliated with the MVPD.  47 C.F.R. § 76.1204(a)(2)(ii).  Many of the requirements in Sections 76.1200-76.1210 apply to MVPDs, and MVPDs that disregard those rules are subject to enforcement. </w:t>
      </w:r>
    </w:p>
  </w:footnote>
  <w:footnote w:id="175">
    <w:p w:rsidR="00CE3FB0" w:rsidRPr="00B9108B" w:rsidRDefault="00CE3FB0" w:rsidP="00184229">
      <w:pPr>
        <w:pStyle w:val="FootnoteText"/>
      </w:pPr>
      <w:r w:rsidRPr="00B9108B">
        <w:rPr>
          <w:rStyle w:val="FootnoteReference"/>
        </w:rPr>
        <w:footnoteRef/>
      </w:r>
      <w:r w:rsidRPr="00B9108B">
        <w:t xml:space="preserve"> </w:t>
      </w:r>
      <w:r w:rsidRPr="00B9108B">
        <w:rPr>
          <w:i/>
        </w:rPr>
        <w:t>See</w:t>
      </w:r>
      <w:r w:rsidRPr="00B9108B">
        <w:t xml:space="preserve"> 47 C.F.R. § 76.610; </w:t>
      </w:r>
      <w:r w:rsidRPr="00B9108B">
        <w:rPr>
          <w:i/>
        </w:rPr>
        <w:t>see also</w:t>
      </w:r>
      <w:r w:rsidRPr="00B9108B">
        <w:t xml:space="preserve"> 47 C.F.R. §§ 76.605(a)(12), 76.611, 76.612, 76.613, 76.614, 76.616, 76.617.</w:t>
      </w:r>
    </w:p>
  </w:footnote>
  <w:footnote w:id="176">
    <w:p w:rsidR="00CE3FB0" w:rsidRDefault="00CE3FB0" w:rsidP="00184229">
      <w:pPr>
        <w:pStyle w:val="FootnoteText"/>
      </w:pPr>
      <w:r w:rsidRPr="00B9108B">
        <w:rPr>
          <w:rStyle w:val="FootnoteReference"/>
        </w:rPr>
        <w:footnoteRef/>
      </w:r>
      <w:r w:rsidRPr="00B9108B">
        <w:t xml:space="preserve"> </w:t>
      </w:r>
      <w:r w:rsidRPr="00B9108B">
        <w:rPr>
          <w:i/>
        </w:rPr>
        <w:t>See</w:t>
      </w:r>
      <w:r w:rsidRPr="00B9108B">
        <w:t xml:space="preserve"> 47 C.F.R. §§ 76.1803 (signal leakage</w:t>
      </w:r>
      <w:r>
        <w:t xml:space="preserve"> monitoring and reporting)</w:t>
      </w:r>
      <w:r w:rsidRPr="002459CD">
        <w:t>; 1.1705(a)(1) (FCC Form 320 – Basic Signal Leakage Performance Report)</w:t>
      </w:r>
      <w:r>
        <w:t>.</w:t>
      </w:r>
    </w:p>
  </w:footnote>
  <w:footnote w:id="177">
    <w:p w:rsidR="00CE3FB0" w:rsidRDefault="00CE3FB0" w:rsidP="00184229">
      <w:pPr>
        <w:pStyle w:val="FootnoteText"/>
      </w:pPr>
      <w:r>
        <w:rPr>
          <w:rStyle w:val="FootnoteReference"/>
        </w:rPr>
        <w:footnoteRef/>
      </w:r>
      <w:r>
        <w:t xml:space="preserve"> </w:t>
      </w:r>
      <w:r w:rsidRPr="002459CD">
        <w:rPr>
          <w:i/>
        </w:rPr>
        <w:t>See</w:t>
      </w:r>
      <w:r w:rsidRPr="002459CD">
        <w:t xml:space="preserve"> 47 C.F.R. §</w:t>
      </w:r>
      <w:r>
        <w:t>§</w:t>
      </w:r>
      <w:r w:rsidRPr="002459CD">
        <w:t xml:space="preserve"> </w:t>
      </w:r>
      <w:r>
        <w:t>76.1804.</w:t>
      </w:r>
    </w:p>
  </w:footnote>
  <w:footnote w:id="178">
    <w:p w:rsidR="00CE3FB0" w:rsidRPr="00306731" w:rsidRDefault="00CE3FB0" w:rsidP="00184229">
      <w:pPr>
        <w:pStyle w:val="FootnoteText"/>
      </w:pPr>
      <w:r>
        <w:rPr>
          <w:rStyle w:val="FootnoteReference"/>
        </w:rPr>
        <w:footnoteRef/>
      </w:r>
      <w:r>
        <w:t xml:space="preserve"> The Commission is currently considering updating these rules to facilitate the transition from analog to digital </w:t>
      </w:r>
      <w:r w:rsidRPr="00306731">
        <w:t>transmission systems.</w:t>
      </w:r>
      <w:r>
        <w:t xml:space="preserve">  </w:t>
      </w:r>
      <w:r w:rsidRPr="00D936CA">
        <w:rPr>
          <w:i/>
        </w:rPr>
        <w:t>See</w:t>
      </w:r>
      <w:r>
        <w:t xml:space="preserve"> </w:t>
      </w:r>
      <w:r>
        <w:rPr>
          <w:i/>
        </w:rPr>
        <w:t>Cable Television Technical and Operational Requirements</w:t>
      </w:r>
      <w:r>
        <w:t>, Notice of Proposed Rulemaking, 27 FCC Rcd 9678 (2012).</w:t>
      </w:r>
    </w:p>
  </w:footnote>
  <w:footnote w:id="179">
    <w:p w:rsidR="00CE3FB0" w:rsidRDefault="00CE3FB0" w:rsidP="004F54EB">
      <w:pPr>
        <w:pStyle w:val="FootnoteText"/>
      </w:pPr>
      <w:r w:rsidRPr="00306731">
        <w:rPr>
          <w:rStyle w:val="FootnoteReference"/>
        </w:rPr>
        <w:footnoteRef/>
      </w:r>
      <w:r w:rsidRPr="00306731">
        <w:t xml:space="preserve"> Section 76.610 provides that </w:t>
      </w:r>
      <w:r w:rsidRPr="00306731">
        <w:rPr>
          <w:lang w:eastAsia="ar-SA"/>
        </w:rPr>
        <w:t xml:space="preserve">the </w:t>
      </w:r>
      <w:r>
        <w:rPr>
          <w:lang w:eastAsia="ar-SA"/>
        </w:rPr>
        <w:t xml:space="preserve">specified </w:t>
      </w:r>
      <w:r w:rsidRPr="00306731">
        <w:rPr>
          <w:lang w:eastAsia="ar-SA"/>
        </w:rPr>
        <w:t xml:space="preserve">Commission rules pertaining to signal leakage </w:t>
      </w:r>
      <w:r w:rsidRPr="00306731">
        <w:t>apply to “</w:t>
      </w:r>
      <w:r w:rsidRPr="00306731">
        <w:rPr>
          <w:color w:val="000000"/>
        </w:rPr>
        <w:t>all MVPDs (cable and non-cable) transmitting carriers or other signal components carried at an average power level equal to or greater than 10</w:t>
      </w:r>
      <w:r w:rsidRPr="00306731">
        <w:rPr>
          <w:color w:val="000000"/>
          <w:vertAlign w:val="superscript"/>
        </w:rPr>
        <w:t>-4</w:t>
      </w:r>
      <w:r w:rsidRPr="00306731">
        <w:rPr>
          <w:color w:val="000000"/>
        </w:rPr>
        <w:t xml:space="preserve"> watts across a 25 kHz bandwidth in any 160 microsecond period, at any point in the cable distribution system in the frequency bands 108–137 and 225–400 MHz for any purpose.”  47 C.F.R. § 76.610.</w:t>
      </w:r>
    </w:p>
  </w:footnote>
  <w:footnote w:id="180">
    <w:p w:rsidR="00CE3FB0" w:rsidRPr="00A06C76" w:rsidRDefault="00CE3FB0" w:rsidP="00184229">
      <w:pPr>
        <w:pStyle w:val="FootnoteText"/>
      </w:pPr>
      <w:r w:rsidRPr="002459CD">
        <w:rPr>
          <w:rStyle w:val="FootnoteReference"/>
        </w:rPr>
        <w:footnoteRef/>
      </w:r>
      <w:r w:rsidRPr="002459CD">
        <w:t xml:space="preserve"> </w:t>
      </w:r>
      <w:r w:rsidRPr="002459CD">
        <w:rPr>
          <w:i/>
        </w:rPr>
        <w:t>See</w:t>
      </w:r>
      <w:r w:rsidRPr="002459CD">
        <w:t xml:space="preserve"> 47 C.F.R</w:t>
      </w:r>
      <w:r w:rsidRPr="00A06C76">
        <w:t>. §§ 76.80</w:t>
      </w:r>
      <w:r>
        <w:t>2(l), 76.804(f), 76.805, 76.8</w:t>
      </w:r>
      <w:r w:rsidRPr="00A06C76">
        <w:t>06</w:t>
      </w:r>
      <w:r>
        <w:t xml:space="preserve">(d); </w:t>
      </w:r>
      <w:r w:rsidRPr="00B2765C">
        <w:rPr>
          <w:i/>
        </w:rPr>
        <w:t>see also</w:t>
      </w:r>
      <w:r>
        <w:t xml:space="preserve"> 47 U.S.C. § 544(i).</w:t>
      </w:r>
    </w:p>
  </w:footnote>
  <w:footnote w:id="181">
    <w:p w:rsidR="00CE3FB0" w:rsidRDefault="00CE3FB0" w:rsidP="00184229">
      <w:pPr>
        <w:pStyle w:val="FootnoteText"/>
      </w:pPr>
      <w:r>
        <w:rPr>
          <w:rStyle w:val="FootnoteReference"/>
        </w:rPr>
        <w:footnoteRef/>
      </w:r>
      <w:r>
        <w:t xml:space="preserve"> </w:t>
      </w:r>
      <w:r w:rsidRPr="00A90ED3">
        <w:rPr>
          <w:i/>
        </w:rPr>
        <w:t>See</w:t>
      </w:r>
      <w:r>
        <w:t xml:space="preserve"> 47 C.F.R. § 76.5(ll) (defining “cable home wiring” as </w:t>
      </w:r>
      <w:r w:rsidRPr="00655CA5">
        <w:t>the “</w:t>
      </w:r>
      <w:r w:rsidRPr="00655CA5">
        <w:rPr>
          <w:color w:val="000000"/>
        </w:rPr>
        <w:t>internal wiring contained within the premises of a subscriber which begins at the demarcation point.  Cable home wiring includes passive splitters on the subscriber’s side of the demarcation point, but does not include any active elements such as amplifiers, converter or decoder boxes, or remote control units.”).</w:t>
      </w:r>
    </w:p>
  </w:footnote>
  <w:footnote w:id="182">
    <w:p w:rsidR="00CE3FB0" w:rsidRDefault="00CE3FB0" w:rsidP="00184229">
      <w:pPr>
        <w:pStyle w:val="FootnoteText"/>
      </w:pPr>
      <w:r>
        <w:rPr>
          <w:rStyle w:val="FootnoteReference"/>
        </w:rPr>
        <w:footnoteRef/>
      </w:r>
      <w:r>
        <w:t xml:space="preserve"> </w:t>
      </w:r>
      <w:r w:rsidRPr="00A90ED3">
        <w:rPr>
          <w:i/>
        </w:rPr>
        <w:t>See</w:t>
      </w:r>
      <w:r>
        <w:t xml:space="preserve"> 47 C.F.R. § 76.800(d) (defining “home run wiring” as the “</w:t>
      </w:r>
      <w:r w:rsidRPr="00655CA5">
        <w:rPr>
          <w:color w:val="000000"/>
        </w:rPr>
        <w:t>wiring from the demarcation point to the point at which the MVPD</w:t>
      </w:r>
      <w:r>
        <w:rPr>
          <w:color w:val="000000"/>
        </w:rPr>
        <w:t>’</w:t>
      </w:r>
      <w:r w:rsidRPr="00655CA5">
        <w:rPr>
          <w:color w:val="000000"/>
        </w:rPr>
        <w:t>s wiring becomes devoted to an individual subscriber or individual loop</w:t>
      </w:r>
      <w:r>
        <w:rPr>
          <w:color w:val="000000"/>
        </w:rPr>
        <w:t>”).</w:t>
      </w:r>
    </w:p>
  </w:footnote>
  <w:footnote w:id="183">
    <w:p w:rsidR="00CE3FB0" w:rsidRPr="00870CB6" w:rsidRDefault="00CE3FB0" w:rsidP="00184229">
      <w:pPr>
        <w:pStyle w:val="FootnoteText"/>
      </w:pPr>
      <w:r>
        <w:rPr>
          <w:rStyle w:val="FootnoteReference"/>
        </w:rPr>
        <w:footnoteRef/>
      </w:r>
      <w:r>
        <w:t xml:space="preserve"> </w:t>
      </w:r>
      <w:r w:rsidRPr="00870CB6">
        <w:rPr>
          <w:i/>
        </w:rPr>
        <w:t>See</w:t>
      </w:r>
      <w:r w:rsidRPr="00870CB6">
        <w:t xml:space="preserve"> Pub. L. No. 111-311, 124 Stat. 3294 (2010) (codified at 47 U.S.C. § 621).  </w:t>
      </w:r>
    </w:p>
  </w:footnote>
  <w:footnote w:id="184">
    <w:p w:rsidR="00CE3FB0" w:rsidRPr="00870CB6" w:rsidRDefault="00CE3FB0" w:rsidP="00184229">
      <w:pPr>
        <w:pStyle w:val="FootnoteText"/>
      </w:pPr>
      <w:r w:rsidRPr="00870CB6">
        <w:rPr>
          <w:rStyle w:val="FootnoteReference"/>
        </w:rPr>
        <w:footnoteRef/>
      </w:r>
      <w:r w:rsidRPr="00870CB6">
        <w:t xml:space="preserve"> </w:t>
      </w:r>
      <w:r w:rsidRPr="00870CB6">
        <w:rPr>
          <w:i/>
        </w:rPr>
        <w:t>See</w:t>
      </w:r>
      <w:r w:rsidRPr="00870CB6">
        <w:t xml:space="preserve"> </w:t>
      </w:r>
      <w:r w:rsidRPr="00870CB6">
        <w:rPr>
          <w:spacing w:val="-2"/>
        </w:rPr>
        <w:t xml:space="preserve">47 C.F.R. § 76.607; </w:t>
      </w:r>
      <w:r w:rsidRPr="00870CB6">
        <w:rPr>
          <w:i/>
        </w:rPr>
        <w:t>Implementation of the Commercial Advertisement Loudness Mitigation (CALM) Act</w:t>
      </w:r>
      <w:r w:rsidRPr="00870CB6">
        <w:t>, Report and Order, 26 FCC Rcd 17222 (2011)</w:t>
      </w:r>
      <w:r w:rsidRPr="00870CB6">
        <w:rPr>
          <w:spacing w:val="-2"/>
        </w:rPr>
        <w:t>.</w:t>
      </w:r>
    </w:p>
  </w:footnote>
  <w:footnote w:id="185">
    <w:p w:rsidR="00CE3FB0" w:rsidRDefault="00CE3FB0" w:rsidP="00184229">
      <w:pPr>
        <w:pStyle w:val="FootnoteText"/>
      </w:pPr>
      <w:r>
        <w:rPr>
          <w:rStyle w:val="FootnoteReference"/>
        </w:rPr>
        <w:footnoteRef/>
      </w:r>
      <w:r>
        <w:t xml:space="preserve"> </w:t>
      </w:r>
      <w:r w:rsidRPr="00870CB6">
        <w:rPr>
          <w:i/>
        </w:rPr>
        <w:t>See</w:t>
      </w:r>
      <w:r w:rsidRPr="00870CB6">
        <w:t xml:space="preserve"> </w:t>
      </w:r>
      <w:r w:rsidRPr="00870CB6">
        <w:rPr>
          <w:spacing w:val="-2"/>
        </w:rPr>
        <w:t>47 C.F.R. § 76.607</w:t>
      </w:r>
      <w:r>
        <w:rPr>
          <w:spacing w:val="-2"/>
        </w:rPr>
        <w:t>.</w:t>
      </w:r>
    </w:p>
  </w:footnote>
  <w:footnote w:id="186">
    <w:p w:rsidR="00CE3FB0" w:rsidRPr="002459CD" w:rsidRDefault="00CE3FB0" w:rsidP="00184229">
      <w:pPr>
        <w:pStyle w:val="FootnoteText"/>
      </w:pPr>
      <w:r w:rsidRPr="00A06C76">
        <w:rPr>
          <w:rStyle w:val="FootnoteReference"/>
        </w:rPr>
        <w:footnoteRef/>
      </w:r>
      <w:r w:rsidRPr="00A06C76">
        <w:t xml:space="preserve"> </w:t>
      </w:r>
      <w:r w:rsidRPr="00A06C76">
        <w:rPr>
          <w:i/>
        </w:rPr>
        <w:t>See</w:t>
      </w:r>
      <w:r w:rsidRPr="00A06C76">
        <w:t xml:space="preserve"> 47 C.F.R. § 76.2000(a); </w:t>
      </w:r>
      <w:r w:rsidRPr="00A06C76">
        <w:rPr>
          <w:i/>
        </w:rPr>
        <w:t>see also</w:t>
      </w:r>
      <w:r w:rsidRPr="00A06C76">
        <w:t xml:space="preserve"> </w:t>
      </w:r>
      <w:r w:rsidRPr="00A06C76">
        <w:rPr>
          <w:i/>
        </w:rPr>
        <w:t>Exclusive Service Contracts for Provision of Video Services in Multiple Dwelling Units and Other Real Estate Developments,</w:t>
      </w:r>
      <w:r w:rsidRPr="00A06C76">
        <w:rPr>
          <w:i/>
          <w:iCs/>
        </w:rPr>
        <w:t xml:space="preserve"> </w:t>
      </w:r>
      <w:r w:rsidRPr="00A06C76">
        <w:rPr>
          <w:iCs/>
        </w:rPr>
        <w:t>Report and Order and Further Notice of Proposed Rulemaking</w:t>
      </w:r>
      <w:r w:rsidRPr="00A06C76">
        <w:t>, 22 FCC Rcd 20235, 20260, ¶ 51 (2007) (“</w:t>
      </w:r>
      <w:r w:rsidRPr="00A06C76">
        <w:rPr>
          <w:i/>
        </w:rPr>
        <w:t>MDU Order and FNPRM</w:t>
      </w:r>
      <w:r w:rsidRPr="00A06C76">
        <w:t xml:space="preserve">”), </w:t>
      </w:r>
      <w:r w:rsidRPr="00A06C76">
        <w:rPr>
          <w:i/>
        </w:rPr>
        <w:t>aff’d sub nom</w:t>
      </w:r>
      <w:r w:rsidRPr="00A06C76">
        <w:t xml:space="preserve">. </w:t>
      </w:r>
      <w:r w:rsidRPr="00A06C76">
        <w:rPr>
          <w:i/>
        </w:rPr>
        <w:t>Nat’l Cable &amp; Telecomm. Ass’n v. FCC</w:t>
      </w:r>
      <w:r w:rsidRPr="00A06C76">
        <w:t xml:space="preserve">, 567 F.3d 659 (D.C. Cir. 2009).  The </w:t>
      </w:r>
      <w:r>
        <w:t xml:space="preserve">Commission’s </w:t>
      </w:r>
      <w:r w:rsidRPr="00A06C76">
        <w:t>rules provide that an “MDU shall include a multiple dwelling unit building (such as an apartment building, condominium building or cooperative) and any other centrally managed residential real estate development (such as a gated community, mobile home park, or garden apartment); provided however, that MDU shall not include time share units, academic campuses and dormitories, military bases, hotels, rooming houses, prisons, jails,</w:t>
      </w:r>
      <w:r w:rsidRPr="002459CD">
        <w:t xml:space="preserve"> halfway houses, hospitals, nursing homes or other assisted living facilities.”  47 C.F.R. § 76.2000(b).</w:t>
      </w:r>
    </w:p>
  </w:footnote>
  <w:footnote w:id="187">
    <w:p w:rsidR="00CE3FB0" w:rsidRPr="005A59EA" w:rsidRDefault="00CE3FB0" w:rsidP="00184229">
      <w:pPr>
        <w:pStyle w:val="FootnoteText"/>
      </w:pPr>
      <w:r>
        <w:rPr>
          <w:rStyle w:val="FootnoteReference"/>
        </w:rPr>
        <w:footnoteRef/>
      </w:r>
      <w:r>
        <w:t xml:space="preserve"> </w:t>
      </w:r>
      <w:r w:rsidRPr="005A59EA">
        <w:rPr>
          <w:i/>
        </w:rPr>
        <w:t>See</w:t>
      </w:r>
      <w:r>
        <w:t xml:space="preserve"> </w:t>
      </w:r>
      <w:r w:rsidRPr="005A59EA">
        <w:rPr>
          <w:i/>
        </w:rPr>
        <w:t>MDU Order and FNPRM</w:t>
      </w:r>
      <w:r>
        <w:t>, 22 FCC Rcd at 20264-65, ¶¶ 61-62.</w:t>
      </w:r>
    </w:p>
  </w:footnote>
  <w:footnote w:id="188">
    <w:p w:rsidR="00CE3FB0" w:rsidRDefault="00CE3FB0">
      <w:pPr>
        <w:pStyle w:val="FootnoteText"/>
      </w:pPr>
      <w:r>
        <w:rPr>
          <w:rStyle w:val="FootnoteReference"/>
        </w:rPr>
        <w:footnoteRef/>
      </w:r>
      <w:r>
        <w:t xml:space="preserve"> 17 U.S.C. § 111.</w:t>
      </w:r>
    </w:p>
  </w:footnote>
  <w:footnote w:id="189">
    <w:p w:rsidR="00CE3FB0" w:rsidRPr="00800601" w:rsidRDefault="00CE3FB0" w:rsidP="00184229">
      <w:pPr>
        <w:pStyle w:val="FootnoteText"/>
      </w:pPr>
      <w:r w:rsidRPr="00800601">
        <w:rPr>
          <w:rStyle w:val="FootnoteReference"/>
        </w:rPr>
        <w:footnoteRef/>
      </w:r>
      <w:r w:rsidRPr="00800601">
        <w:t xml:space="preserve"> </w:t>
      </w:r>
      <w:r w:rsidRPr="00800601">
        <w:rPr>
          <w:i/>
        </w:rPr>
        <w:t>See</w:t>
      </w:r>
      <w:r w:rsidRPr="00800601">
        <w:t xml:space="preserve"> </w:t>
      </w:r>
      <w:r>
        <w:t xml:space="preserve">Cablevision Comments </w:t>
      </w:r>
      <w:r w:rsidRPr="001E5E22">
        <w:t>at 16</w:t>
      </w:r>
      <w:r>
        <w:t xml:space="preserve">; </w:t>
      </w:r>
      <w:r w:rsidRPr="001E5E22">
        <w:t>Comcast Comments at 2 n.4; MPAA Comments at 2</w:t>
      </w:r>
      <w:r w:rsidRPr="00800601">
        <w:t>; Disney Reply Comments at 5</w:t>
      </w:r>
      <w:r w:rsidRPr="00800601">
        <w:rPr>
          <w:color w:val="010101"/>
        </w:rPr>
        <w:t>; Fox Reply Comments at 6</w:t>
      </w:r>
      <w:r>
        <w:t>.</w:t>
      </w:r>
    </w:p>
  </w:footnote>
  <w:footnote w:id="190">
    <w:p w:rsidR="00CE3FB0" w:rsidRPr="00800601" w:rsidRDefault="00CE3FB0" w:rsidP="00184229">
      <w:pPr>
        <w:pStyle w:val="FootnoteText"/>
      </w:pPr>
      <w:r w:rsidRPr="00800601">
        <w:rPr>
          <w:rStyle w:val="FootnoteReference"/>
        </w:rPr>
        <w:footnoteRef/>
      </w:r>
      <w:r w:rsidRPr="00800601">
        <w:t xml:space="preserve"> </w:t>
      </w:r>
      <w:r w:rsidRPr="00800601">
        <w:rPr>
          <w:i/>
        </w:rPr>
        <w:t>See</w:t>
      </w:r>
      <w:r>
        <w:t xml:space="preserve"> </w:t>
      </w:r>
      <w:r w:rsidRPr="00800601">
        <w:t>Time Warner Reply Comment</w:t>
      </w:r>
      <w:r>
        <w:t xml:space="preserve">s at 3; </w:t>
      </w:r>
      <w:r w:rsidRPr="00800601">
        <w:t>MPAA Comments at 3.</w:t>
      </w:r>
    </w:p>
  </w:footnote>
  <w:footnote w:id="191">
    <w:p w:rsidR="00CE3FB0" w:rsidRDefault="00CE3FB0">
      <w:pPr>
        <w:pStyle w:val="FootnoteText"/>
      </w:pPr>
      <w:r>
        <w:rPr>
          <w:rStyle w:val="FootnoteReference"/>
        </w:rPr>
        <w:footnoteRef/>
      </w:r>
      <w:r>
        <w:t xml:space="preserve"> </w:t>
      </w:r>
      <w:r w:rsidRPr="009A738F">
        <w:rPr>
          <w:i/>
        </w:rPr>
        <w:t>See supra</w:t>
      </w:r>
      <w:r>
        <w:t xml:space="preserve"> ¶¶ 10-11.</w:t>
      </w:r>
    </w:p>
  </w:footnote>
  <w:footnote w:id="192">
    <w:p w:rsidR="00CE3FB0" w:rsidRDefault="00CE3FB0" w:rsidP="00184229">
      <w:pPr>
        <w:pStyle w:val="FootnoteText"/>
      </w:pPr>
      <w:r>
        <w:rPr>
          <w:rStyle w:val="FootnoteReference"/>
        </w:rPr>
        <w:footnoteRef/>
      </w:r>
      <w:r>
        <w:t xml:space="preserve"> </w:t>
      </w:r>
      <w:r w:rsidRPr="009A738F">
        <w:rPr>
          <w:i/>
        </w:rPr>
        <w:t>See supra</w:t>
      </w:r>
      <w:r>
        <w:t xml:space="preserve"> ¶¶ 40-42.</w:t>
      </w:r>
    </w:p>
  </w:footnote>
  <w:footnote w:id="193">
    <w:p w:rsidR="00CE3FB0" w:rsidRDefault="00CE3FB0">
      <w:pPr>
        <w:pStyle w:val="FootnoteText"/>
      </w:pPr>
      <w:r>
        <w:rPr>
          <w:rStyle w:val="FootnoteReference"/>
        </w:rPr>
        <w:footnoteRef/>
      </w:r>
      <w:r>
        <w:t xml:space="preserve"> </w:t>
      </w:r>
      <w:r w:rsidRPr="00E220D0">
        <w:rPr>
          <w:i/>
        </w:rPr>
        <w:t>See</w:t>
      </w:r>
      <w:r w:rsidRPr="00E220D0">
        <w:t xml:space="preserve"> Discovery Comments at 10</w:t>
      </w:r>
      <w:r>
        <w:t>.</w:t>
      </w:r>
    </w:p>
  </w:footnote>
  <w:footnote w:id="194">
    <w:p w:rsidR="00CE3FB0" w:rsidRPr="00E220D0" w:rsidRDefault="00CE3FB0" w:rsidP="00184229">
      <w:pPr>
        <w:pStyle w:val="FootnoteText"/>
      </w:pPr>
      <w:r w:rsidRPr="00E220D0">
        <w:rPr>
          <w:rStyle w:val="FootnoteReference"/>
        </w:rPr>
        <w:footnoteRef/>
      </w:r>
      <w:r w:rsidRPr="00E220D0">
        <w:t xml:space="preserve"> </w:t>
      </w:r>
      <w:r w:rsidRPr="00E220D0">
        <w:rPr>
          <w:i/>
        </w:rPr>
        <w:t>See</w:t>
      </w:r>
      <w:r w:rsidRPr="00E220D0">
        <w:t xml:space="preserve"> Discovery Comments at 10; Discovery Reply Co</w:t>
      </w:r>
      <w:r>
        <w:t xml:space="preserve">mments </w:t>
      </w:r>
      <w:r w:rsidRPr="00E220D0">
        <w:t>at 6.</w:t>
      </w:r>
    </w:p>
  </w:footnote>
  <w:footnote w:id="195">
    <w:p w:rsidR="00CE3FB0" w:rsidRPr="00E220D0" w:rsidRDefault="00CE3FB0" w:rsidP="00184229">
      <w:pPr>
        <w:pStyle w:val="FootnoteText"/>
      </w:pPr>
      <w:r w:rsidRPr="00E220D0">
        <w:rPr>
          <w:rStyle w:val="FootnoteReference"/>
        </w:rPr>
        <w:footnoteRef/>
      </w:r>
      <w:r w:rsidRPr="00E220D0">
        <w:t xml:space="preserve"> </w:t>
      </w:r>
      <w:r w:rsidRPr="00E220D0">
        <w:rPr>
          <w:i/>
        </w:rPr>
        <w:t>See</w:t>
      </w:r>
      <w:r w:rsidRPr="00E220D0">
        <w:t xml:space="preserve"> Discovery Comments at 10; Discovery Reply Comments at 6.</w:t>
      </w:r>
    </w:p>
  </w:footnote>
  <w:footnote w:id="196">
    <w:p w:rsidR="00CE3FB0" w:rsidRPr="00777377" w:rsidRDefault="00CE3FB0" w:rsidP="00184229">
      <w:pPr>
        <w:pStyle w:val="FootnoteText"/>
      </w:pPr>
      <w:r w:rsidRPr="00E220D0">
        <w:rPr>
          <w:rStyle w:val="FootnoteReference"/>
        </w:rPr>
        <w:footnoteRef/>
      </w:r>
      <w:r w:rsidRPr="00E220D0">
        <w:t xml:space="preserve"> </w:t>
      </w:r>
      <w:r w:rsidRPr="00E220D0">
        <w:rPr>
          <w:i/>
        </w:rPr>
        <w:t>See</w:t>
      </w:r>
      <w:r>
        <w:t xml:space="preserve"> Discovery Comments at 11;</w:t>
      </w:r>
      <w:r w:rsidRPr="00777377">
        <w:t xml:space="preserve"> </w:t>
      </w:r>
      <w:r w:rsidRPr="00777377">
        <w:rPr>
          <w:i/>
        </w:rPr>
        <w:t>see also</w:t>
      </w:r>
      <w:r w:rsidRPr="00777377">
        <w:t xml:space="preserve"> Ovation Reply Comments at 4.</w:t>
      </w:r>
    </w:p>
  </w:footnote>
  <w:footnote w:id="197">
    <w:p w:rsidR="00CE3FB0" w:rsidRPr="00777377" w:rsidRDefault="00CE3FB0" w:rsidP="00184229">
      <w:pPr>
        <w:pStyle w:val="FootnoteText"/>
      </w:pPr>
      <w:r w:rsidRPr="00777377">
        <w:rPr>
          <w:rStyle w:val="FootnoteReference"/>
        </w:rPr>
        <w:footnoteRef/>
      </w:r>
      <w:r w:rsidRPr="00777377">
        <w:t xml:space="preserve"> </w:t>
      </w:r>
      <w:r w:rsidRPr="00777377">
        <w:rPr>
          <w:i/>
        </w:rPr>
        <w:t>14</w:t>
      </w:r>
      <w:r w:rsidRPr="00777377">
        <w:rPr>
          <w:i/>
          <w:vertAlign w:val="superscript"/>
        </w:rPr>
        <w:t>th</w:t>
      </w:r>
      <w:r w:rsidRPr="00777377">
        <w:rPr>
          <w:i/>
        </w:rPr>
        <w:t xml:space="preserve"> Annual Report</w:t>
      </w:r>
      <w:r w:rsidRPr="00777377">
        <w:t xml:space="preserve">, 27 FCC Rcd at </w:t>
      </w:r>
      <w:r>
        <w:t>8612</w:t>
      </w:r>
      <w:r w:rsidRPr="00777377">
        <w:t xml:space="preserve">, ¶ 6 (describing “TV Everywhere” as “an MVPD initiative, which allows subscribers of certain services to access video programming on stationary and mobile Internet-connected devices, including television sets, computers, tablets, and smartphones”); </w:t>
      </w:r>
      <w:r w:rsidRPr="00777377">
        <w:rPr>
          <w:i/>
        </w:rPr>
        <w:t>id</w:t>
      </w:r>
      <w:r w:rsidRPr="00777377">
        <w:t xml:space="preserve">. at </w:t>
      </w:r>
      <w:r>
        <w:t>8618</w:t>
      </w:r>
      <w:r w:rsidRPr="00777377">
        <w:t xml:space="preserve">, ¶ 21 n.30 (“TV Everywhere is an authentication system whereby certain movies and television shows are accessible online via a variety of display devices including personal computer, mobile, and television – but only if you can prove (or ‘authenticate’) that you have a subscription to an MVPD.”); </w:t>
      </w:r>
      <w:r w:rsidRPr="00777377">
        <w:rPr>
          <w:i/>
        </w:rPr>
        <w:t>id</w:t>
      </w:r>
      <w:r w:rsidRPr="00777377">
        <w:t xml:space="preserve">. at </w:t>
      </w:r>
      <w:r>
        <w:t>8738</w:t>
      </w:r>
      <w:r w:rsidRPr="00777377">
        <w:t>, ¶ 287 (“TV Everywhere services allow MVPDs to compete with unaffiliated OVDs by providing free on-demand Internet video to authenticated MVPD customers.”).</w:t>
      </w:r>
    </w:p>
  </w:footnote>
  <w:footnote w:id="198">
    <w:p w:rsidR="00CE3FB0" w:rsidRPr="00777377" w:rsidRDefault="00CE3FB0" w:rsidP="00184229">
      <w:pPr>
        <w:pStyle w:val="FootnoteText"/>
      </w:pPr>
      <w:r w:rsidRPr="00777377">
        <w:rPr>
          <w:rStyle w:val="FootnoteReference"/>
        </w:rPr>
        <w:footnoteRef/>
      </w:r>
      <w:r w:rsidRPr="00777377">
        <w:t xml:space="preserve"> </w:t>
      </w:r>
      <w:r w:rsidRPr="00777377">
        <w:rPr>
          <w:i/>
        </w:rPr>
        <w:t>But see</w:t>
      </w:r>
      <w:r w:rsidRPr="00777377">
        <w:t xml:space="preserve"> </w:t>
      </w:r>
      <w:r w:rsidRPr="00777377">
        <w:rPr>
          <w:i/>
        </w:rPr>
        <w:t>Comcast/NBCU Order</w:t>
      </w:r>
      <w:r w:rsidRPr="00777377">
        <w:t xml:space="preserve">, 26 FCC Rcd at </w:t>
      </w:r>
      <w:r>
        <w:t>4280</w:t>
      </w:r>
      <w:r w:rsidRPr="00777377">
        <w:t xml:space="preserve">, ¶ 105 (“The Applicants further note that they may lack the rights necessary to provide certain programming online on an unauthenticated basis.”). </w:t>
      </w:r>
    </w:p>
  </w:footnote>
  <w:footnote w:id="199">
    <w:p w:rsidR="00CE3FB0" w:rsidRDefault="00CE3FB0" w:rsidP="00184229">
      <w:pPr>
        <w:pStyle w:val="FootnoteText"/>
      </w:pPr>
      <w:r>
        <w:rPr>
          <w:rStyle w:val="FootnoteReference"/>
        </w:rPr>
        <w:footnoteRef/>
      </w:r>
      <w:r>
        <w:t xml:space="preserve"> Ovation Reply Comments at 4.</w:t>
      </w:r>
      <w:r w:rsidRPr="00D97625">
        <w:rPr>
          <w:i/>
        </w:rPr>
        <w:t xml:space="preserve"> </w:t>
      </w:r>
      <w:r>
        <w:rPr>
          <w:i/>
        </w:rPr>
        <w:t xml:space="preserve"> </w:t>
      </w:r>
      <w:r w:rsidRPr="00197B13">
        <w:rPr>
          <w:i/>
        </w:rPr>
        <w:t>See</w:t>
      </w:r>
      <w:r w:rsidRPr="00197B13">
        <w:t xml:space="preserve"> </w:t>
      </w:r>
      <w:r w:rsidRPr="00197B13">
        <w:rPr>
          <w:i/>
        </w:rPr>
        <w:t>Comcast/NBCU Order</w:t>
      </w:r>
      <w:r w:rsidRPr="00197B13">
        <w:t xml:space="preserve">, 26 FCC Rcd at </w:t>
      </w:r>
      <w:r>
        <w:t>4267</w:t>
      </w:r>
      <w:r w:rsidRPr="00197B13">
        <w:t>, ¶ 73 (“</w:t>
      </w:r>
      <w:r w:rsidRPr="00197B13">
        <w:rPr>
          <w:snapToGrid w:val="0"/>
        </w:rPr>
        <w:t xml:space="preserve">We also conclude that Comcast-NBCU will have increased leverage to negotiate restrictive online rights from third parties, again to the detriment of competition.  Comcast-NBCU’s demand of restrictive online rights in exchange for carriage may also cause harms to consumer choice, diversity, and broadband investment.”); </w:t>
      </w:r>
      <w:r w:rsidRPr="00197B13">
        <w:rPr>
          <w:i/>
          <w:snapToGrid w:val="0"/>
        </w:rPr>
        <w:t>see also</w:t>
      </w:r>
      <w:r w:rsidRPr="00197B13">
        <w:rPr>
          <w:snapToGrid w:val="0"/>
        </w:rPr>
        <w:t xml:space="preserve"> Public Knowledge </w:t>
      </w:r>
      <w:r w:rsidRPr="00197B13">
        <w:t xml:space="preserve">Comments at 17-18 </w:t>
      </w:r>
      <w:r w:rsidRPr="00197B13">
        <w:rPr>
          <w:lang w:val="en"/>
        </w:rPr>
        <w:t>(“</w:t>
      </w:r>
      <w:r w:rsidRPr="00197B13">
        <w:t xml:space="preserve">While the program access rules prevent an MVPD from keeping a programmer from being carried by other current MVPDs, nothing at the moment prevents a company like Comcast demanding, as a condition for being </w:t>
      </w:r>
      <w:r w:rsidRPr="00BF4DC0">
        <w:t>carried on Comcast, that the programmer stay off of online platforms.”).</w:t>
      </w:r>
    </w:p>
  </w:footnote>
  <w:footnote w:id="200">
    <w:p w:rsidR="00CE3FB0" w:rsidRDefault="00CE3FB0">
      <w:pPr>
        <w:pStyle w:val="FootnoteText"/>
      </w:pPr>
      <w:r>
        <w:rPr>
          <w:rStyle w:val="FootnoteReference"/>
        </w:rPr>
        <w:footnoteRef/>
      </w:r>
      <w:r>
        <w:t xml:space="preserve"> In this NPRM, we use the term OTT to refer to linear video services that travel over the public Internet and that cable operators do not treat as managed video services on any cable system.</w:t>
      </w:r>
    </w:p>
  </w:footnote>
  <w:footnote w:id="201">
    <w:p w:rsidR="00CE3FB0" w:rsidRDefault="00CE3FB0">
      <w:pPr>
        <w:pStyle w:val="FootnoteText"/>
      </w:pPr>
      <w:r>
        <w:rPr>
          <w:rStyle w:val="FootnoteReference"/>
        </w:rPr>
        <w:footnoteRef/>
      </w:r>
      <w:r>
        <w:t xml:space="preserve"> </w:t>
      </w:r>
      <w:r w:rsidRPr="00B82746">
        <w:rPr>
          <w:i/>
        </w:rPr>
        <w:t>See supra</w:t>
      </w:r>
      <w:r>
        <w:t xml:space="preserve"> n.1.</w:t>
      </w:r>
    </w:p>
  </w:footnote>
  <w:footnote w:id="202">
    <w:p w:rsidR="00CE3FB0" w:rsidRDefault="00CE3FB0">
      <w:pPr>
        <w:pStyle w:val="FootnoteText"/>
      </w:pPr>
      <w:r>
        <w:rPr>
          <w:rStyle w:val="FootnoteReference"/>
        </w:rPr>
        <w:footnoteRef/>
      </w:r>
      <w:r>
        <w:t xml:space="preserve"> 47 U.S.C. § 522(5).</w:t>
      </w:r>
    </w:p>
  </w:footnote>
  <w:footnote w:id="203">
    <w:p w:rsidR="00CE3FB0" w:rsidRDefault="00CE3FB0" w:rsidP="003751E8">
      <w:pPr>
        <w:pStyle w:val="FootnoteText"/>
      </w:pPr>
      <w:r>
        <w:rPr>
          <w:rStyle w:val="FootnoteReference"/>
        </w:rPr>
        <w:footnoteRef/>
      </w:r>
      <w:r>
        <w:t xml:space="preserve"> 47 U.S.C. § 522(6).  </w:t>
      </w:r>
    </w:p>
  </w:footnote>
  <w:footnote w:id="204">
    <w:p w:rsidR="00CE3FB0" w:rsidRDefault="00CE3FB0" w:rsidP="00284189">
      <w:pPr>
        <w:pStyle w:val="FootnoteText"/>
      </w:pPr>
      <w:r>
        <w:rPr>
          <w:rStyle w:val="FootnoteReference"/>
        </w:rPr>
        <w:footnoteRef/>
      </w:r>
      <w:r>
        <w:rPr>
          <w:i/>
        </w:rPr>
        <w:t xml:space="preserve"> </w:t>
      </w:r>
      <w:r w:rsidRPr="00070118">
        <w:rPr>
          <w:i/>
        </w:rPr>
        <w:t xml:space="preserve">See </w:t>
      </w:r>
      <w:r w:rsidRPr="00C14E44">
        <w:rPr>
          <w:i/>
        </w:rPr>
        <w:t>Cable Television Technical and Operational Requirements</w:t>
      </w:r>
      <w:r>
        <w:t xml:space="preserve">, 27 FCC Rcd 9678, 9681, </w:t>
      </w:r>
      <w:r w:rsidRPr="00F64F08">
        <w:t>¶</w:t>
      </w:r>
      <w:r>
        <w:t xml:space="preserve"> 5</w:t>
      </w:r>
      <w:r w:rsidRPr="0073164B">
        <w:rPr>
          <w:i/>
        </w:rPr>
        <w:t xml:space="preserve"> </w:t>
      </w:r>
      <w:r w:rsidRPr="00C14E44">
        <w:t>(</w:t>
      </w:r>
      <w:r>
        <w:t xml:space="preserve">referring to </w:t>
      </w:r>
      <w:r w:rsidRPr="00C14E44">
        <w:t>“IP delivery of cable service</w:t>
      </w:r>
      <w:r>
        <w:t>”);</w:t>
      </w:r>
      <w:r>
        <w:rPr>
          <w:i/>
        </w:rPr>
        <w:t xml:space="preserve"> </w:t>
      </w:r>
      <w:r w:rsidRPr="002421D4">
        <w:rPr>
          <w:i/>
        </w:rPr>
        <w:t>Office of Consumer Counsel v. Southern New England Telephone Co.</w:t>
      </w:r>
      <w:r>
        <w:t xml:space="preserve">, </w:t>
      </w:r>
      <w:r w:rsidRPr="009369A4">
        <w:t>515 F.Supp.2d 269</w:t>
      </w:r>
      <w:r>
        <w:t xml:space="preserve">, 276 (D. Conn. 2007), </w:t>
      </w:r>
      <w:r w:rsidRPr="002421D4">
        <w:rPr>
          <w:i/>
        </w:rPr>
        <w:t>vacated</w:t>
      </w:r>
      <w:r>
        <w:rPr>
          <w:i/>
        </w:rPr>
        <w:t xml:space="preserve"> on other grounds</w:t>
      </w:r>
      <w:r>
        <w:t>, 368 Fed.Appx. 244 (2</w:t>
      </w:r>
      <w:r w:rsidRPr="00244428">
        <w:t>d Cir.</w:t>
      </w:r>
      <w:r>
        <w:t xml:space="preserve"> </w:t>
      </w:r>
      <w:r w:rsidRPr="00244428">
        <w:t>2010</w:t>
      </w:r>
      <w:r>
        <w:t>) (“</w:t>
      </w:r>
      <w:r w:rsidRPr="002421D4">
        <w:rPr>
          <w:i/>
        </w:rPr>
        <w:t>Southern New England Telephone</w:t>
      </w:r>
      <w:r w:rsidRPr="006C66CD">
        <w:t>”)</w:t>
      </w:r>
      <w:r>
        <w:t xml:space="preserve"> (“T</w:t>
      </w:r>
      <w:r w:rsidRPr="00244428">
        <w:t xml:space="preserve">he statutory language itself appears to require the conclusion that </w:t>
      </w:r>
      <w:r>
        <w:t>[IP-based]</w:t>
      </w:r>
      <w:r w:rsidRPr="00244428">
        <w:t xml:space="preserve"> video programming service does constitute a </w:t>
      </w:r>
      <w:r>
        <w:t>‘</w:t>
      </w:r>
      <w:r w:rsidRPr="00244428">
        <w:t>cable service,</w:t>
      </w:r>
      <w:r>
        <w:t>’</w:t>
      </w:r>
      <w:r w:rsidRPr="00244428">
        <w:t xml:space="preserve"> as defined by the Cable Act.</w:t>
      </w:r>
      <w:r>
        <w:t>”).</w:t>
      </w:r>
      <w:r w:rsidDel="00C87E87">
        <w:t xml:space="preserve"> </w:t>
      </w:r>
    </w:p>
  </w:footnote>
  <w:footnote w:id="205">
    <w:p w:rsidR="00CE3FB0" w:rsidRDefault="00CE3FB0" w:rsidP="007266B9">
      <w:pPr>
        <w:pStyle w:val="FootnoteText"/>
      </w:pPr>
      <w:r>
        <w:rPr>
          <w:rStyle w:val="FootnoteReference"/>
        </w:rPr>
        <w:footnoteRef/>
      </w:r>
      <w:r>
        <w:t xml:space="preserve"> </w:t>
      </w:r>
      <w:r w:rsidRPr="007266B9">
        <w:t>The Commission previously analyzed the term “set of closed transmission paths,” and determined that Congress most likely meant a system of copper wire and/or fiber optic cable.</w:t>
      </w:r>
      <w:r>
        <w:t xml:space="preserve"> </w:t>
      </w:r>
      <w:r w:rsidRPr="00756074">
        <w:rPr>
          <w:i/>
        </w:rPr>
        <w:t>See</w:t>
      </w:r>
      <w:r>
        <w:t xml:space="preserve"> </w:t>
      </w:r>
      <w:r w:rsidRPr="00756074">
        <w:rPr>
          <w:i/>
        </w:rPr>
        <w:t>Definition of a Cable Television System</w:t>
      </w:r>
      <w:r>
        <w:t xml:space="preserve">, Report and Order, </w:t>
      </w:r>
      <w:r w:rsidRPr="00923658">
        <w:t>5 FCC R</w:t>
      </w:r>
      <w:r>
        <w:t>cd</w:t>
      </w:r>
      <w:r w:rsidRPr="00923658">
        <w:t xml:space="preserve"> 7638</w:t>
      </w:r>
      <w:r>
        <w:t>, 7639, ¶ 7 (1990) (“</w:t>
      </w:r>
      <w:r w:rsidRPr="00923658">
        <w:t xml:space="preserve">by referring to a </w:t>
      </w:r>
      <w:r>
        <w:t>‘</w:t>
      </w:r>
      <w:r w:rsidRPr="00923658">
        <w:t>closed</w:t>
      </w:r>
      <w:r>
        <w:t>’</w:t>
      </w:r>
      <w:r w:rsidRPr="00923658">
        <w:t xml:space="preserve"> transmission medium, the drafters contemplated that cable system facilities would use physically closed or shielded conducting media or </w:t>
      </w:r>
      <w:r>
        <w:t>‘</w:t>
      </w:r>
      <w:r w:rsidRPr="00923658">
        <w:t>transmission paths,</w:t>
      </w:r>
      <w:r>
        <w:t>’</w:t>
      </w:r>
      <w:r w:rsidRPr="00923658">
        <w:t xml:space="preserve"> rather than radio waves alone. While the original Senate version of the Cable Act was not passed, we have no basis for thinking that the Senate and House did not share a common understanding of the virtually identical terms </w:t>
      </w:r>
      <w:r>
        <w:t>‘</w:t>
      </w:r>
      <w:r w:rsidRPr="00923658">
        <w:t>closed transmission path</w:t>
      </w:r>
      <w:r>
        <w:t>’</w:t>
      </w:r>
      <w:r w:rsidRPr="00923658">
        <w:t xml:space="preserve"> and </w:t>
      </w:r>
      <w:r>
        <w:t>‘</w:t>
      </w:r>
      <w:r w:rsidRPr="00923658">
        <w:t>closed transmission media</w:t>
      </w:r>
      <w:r>
        <w:t>’</w:t>
      </w:r>
      <w:r w:rsidRPr="00923658">
        <w:t xml:space="preserve"> (which itself was defined as a </w:t>
      </w:r>
      <w:r>
        <w:t>‘</w:t>
      </w:r>
      <w:r w:rsidRPr="00923658">
        <w:t>transmission path</w:t>
      </w:r>
      <w:r>
        <w:t>’</w:t>
      </w:r>
      <w:r w:rsidRPr="00923658">
        <w:t>) that were used in their respective definitions of cable systems.</w:t>
      </w:r>
      <w:r>
        <w:t xml:space="preserve">”).  </w:t>
      </w:r>
      <w:r w:rsidRPr="006C58CD">
        <w:t>The Commission also defined the word subscriber</w:t>
      </w:r>
      <w:r>
        <w:t xml:space="preserve"> in the phrase</w:t>
      </w:r>
      <w:r w:rsidRPr="007266B9">
        <w:rPr>
          <w:snapToGrid w:val="0"/>
          <w:kern w:val="28"/>
          <w:sz w:val="22"/>
          <w:szCs w:val="22"/>
        </w:rPr>
        <w:t xml:space="preserve"> </w:t>
      </w:r>
      <w:r>
        <w:rPr>
          <w:snapToGrid w:val="0"/>
          <w:kern w:val="28"/>
          <w:sz w:val="22"/>
          <w:szCs w:val="22"/>
        </w:rPr>
        <w:t>“</w:t>
      </w:r>
      <w:r w:rsidRPr="007266B9">
        <w:t>provided to multiple subscribers within a community</w:t>
      </w:r>
      <w:r>
        <w:t>”</w:t>
      </w:r>
      <w:r w:rsidRPr="006C58CD">
        <w:t xml:space="preserve"> to mean “a member of the general public who receives broadcast programming distributed by a cable television system[] and does not further distribute it.”</w:t>
      </w:r>
      <w:r w:rsidRPr="006C58CD">
        <w:rPr>
          <w:i/>
          <w:snapToGrid w:val="0"/>
          <w:kern w:val="28"/>
          <w:sz w:val="22"/>
        </w:rPr>
        <w:t xml:space="preserve"> </w:t>
      </w:r>
      <w:r w:rsidRPr="006C58CD">
        <w:rPr>
          <w:i/>
        </w:rPr>
        <w:t>Definition of a Cable Television System</w:t>
      </w:r>
      <w:r w:rsidRPr="006C58CD">
        <w:t>, Report and Order, 5 FCC Rcd 7638, 7642, ¶ 32 (1990</w:t>
      </w:r>
      <w:r>
        <w:t>).</w:t>
      </w:r>
    </w:p>
  </w:footnote>
  <w:footnote w:id="206">
    <w:p w:rsidR="00CE3FB0" w:rsidRDefault="00CE3FB0">
      <w:pPr>
        <w:pStyle w:val="FootnoteText"/>
      </w:pPr>
      <w:r>
        <w:rPr>
          <w:rStyle w:val="FootnoteReference"/>
        </w:rPr>
        <w:footnoteRef/>
      </w:r>
      <w:r>
        <w:t xml:space="preserve"> 47 U.S.C. § 522(7).</w:t>
      </w:r>
    </w:p>
  </w:footnote>
  <w:footnote w:id="207">
    <w:p w:rsidR="00CE3FB0" w:rsidRDefault="00CE3FB0">
      <w:pPr>
        <w:pStyle w:val="FootnoteText"/>
      </w:pPr>
      <w:r>
        <w:rPr>
          <w:rStyle w:val="FootnoteReference"/>
        </w:rPr>
        <w:footnoteRef/>
      </w:r>
      <w:r>
        <w:t xml:space="preserve"> We note that this interpretation does not extend to services like “TV Everywhere” because they are not managed video services.  We seek comment on how to treat such services below.  </w:t>
      </w:r>
      <w:r w:rsidRPr="00B82746">
        <w:rPr>
          <w:i/>
        </w:rPr>
        <w:t>See infra</w:t>
      </w:r>
      <w:r>
        <w:t xml:space="preserve"> </w:t>
      </w:r>
      <w:r w:rsidRPr="006C58CD">
        <w:t>¶</w:t>
      </w:r>
      <w:r>
        <w:t xml:space="preserve"> 78.</w:t>
      </w:r>
    </w:p>
  </w:footnote>
  <w:footnote w:id="208">
    <w:p w:rsidR="00CE3FB0" w:rsidRDefault="00CE3FB0">
      <w:pPr>
        <w:pStyle w:val="FootnoteText"/>
      </w:pPr>
      <w:r>
        <w:rPr>
          <w:rStyle w:val="FootnoteReference"/>
        </w:rPr>
        <w:footnoteRef/>
      </w:r>
      <w:r>
        <w:t xml:space="preserve"> 47 U.S.C. § 522(5).</w:t>
      </w:r>
    </w:p>
  </w:footnote>
  <w:footnote w:id="209">
    <w:p w:rsidR="00CE3FB0" w:rsidRDefault="00CE3FB0" w:rsidP="00F33E14">
      <w:pPr>
        <w:pStyle w:val="FootnoteText"/>
      </w:pPr>
      <w:r>
        <w:rPr>
          <w:rStyle w:val="FootnoteReference"/>
        </w:rPr>
        <w:footnoteRef/>
      </w:r>
      <w:r>
        <w:t xml:space="preserve"> </w:t>
      </w:r>
      <w:r w:rsidRPr="00940370">
        <w:rPr>
          <w:i/>
        </w:rPr>
        <w:t>See</w:t>
      </w:r>
      <w:r>
        <w:t xml:space="preserve"> 47 C.F.R. § 1.1155 (this rule specifically includes facilities-based IPTV services).</w:t>
      </w:r>
    </w:p>
  </w:footnote>
  <w:footnote w:id="210">
    <w:p w:rsidR="00CE3FB0" w:rsidRDefault="00CE3FB0" w:rsidP="00F33E14">
      <w:pPr>
        <w:pStyle w:val="FootnoteText"/>
      </w:pPr>
      <w:r w:rsidRPr="006647FD">
        <w:rPr>
          <w:rStyle w:val="FootnoteReference"/>
        </w:rPr>
        <w:footnoteRef/>
      </w:r>
      <w:r w:rsidRPr="006647FD">
        <w:t xml:space="preserve"> </w:t>
      </w:r>
      <w:r w:rsidRPr="00AC322B">
        <w:rPr>
          <w:i/>
        </w:rPr>
        <w:t>See</w:t>
      </w:r>
      <w:r w:rsidRPr="00AC322B">
        <w:t xml:space="preserve"> 47 C.F.R. §§ 11.1, 11.2(c)-(d), 11.11</w:t>
      </w:r>
      <w:r>
        <w:t>;</w:t>
      </w:r>
      <w:r w:rsidRPr="00AC322B">
        <w:t xml:space="preserve"> </w:t>
      </w:r>
      <w:r w:rsidRPr="00AC322B">
        <w:rPr>
          <w:i/>
        </w:rPr>
        <w:t>see also</w:t>
      </w:r>
      <w:r>
        <w:t xml:space="preserve"> 47 C.F.R. § 76.1711 (EAS recordkeeping requirements for cable systems).</w:t>
      </w:r>
    </w:p>
  </w:footnote>
  <w:footnote w:id="211">
    <w:p w:rsidR="00CE3FB0" w:rsidRDefault="00CE3FB0" w:rsidP="00F33E14">
      <w:pPr>
        <w:pStyle w:val="FootnoteText"/>
      </w:pPr>
      <w:r>
        <w:rPr>
          <w:rStyle w:val="FootnoteReference"/>
        </w:rPr>
        <w:footnoteRef/>
      </w:r>
      <w:r>
        <w:t xml:space="preserve"> </w:t>
      </w:r>
      <w:r w:rsidRPr="002836ED">
        <w:rPr>
          <w:snapToGrid w:val="0"/>
          <w:kern w:val="28"/>
          <w:lang w:val="x-none" w:eastAsia="x-none"/>
        </w:rPr>
        <w:t>Congress adopted the V-chip requirement in 1996 as part of the Parental Choice in Television Programming Act.</w:t>
      </w:r>
      <w:r w:rsidRPr="002836ED">
        <w:rPr>
          <w:snapToGrid w:val="0"/>
          <w:kern w:val="28"/>
          <w:lang w:eastAsia="x-none"/>
        </w:rPr>
        <w:t xml:space="preserve">  </w:t>
      </w:r>
      <w:r w:rsidRPr="002836ED">
        <w:rPr>
          <w:i/>
          <w:snapToGrid w:val="0"/>
          <w:kern w:val="28"/>
          <w:lang w:val="x-none" w:eastAsia="x-none"/>
        </w:rPr>
        <w:t>See</w:t>
      </w:r>
      <w:r w:rsidRPr="002836ED">
        <w:rPr>
          <w:snapToGrid w:val="0"/>
          <w:kern w:val="28"/>
          <w:lang w:val="x-none" w:eastAsia="x-none"/>
        </w:rPr>
        <w:t xml:space="preserve"> 47 U.S.C. § 303(x) (added by The Telecommunications </w:t>
      </w:r>
      <w:r w:rsidRPr="002836ED">
        <w:rPr>
          <w:bCs/>
          <w:snapToGrid w:val="0"/>
          <w:kern w:val="28"/>
          <w:lang w:val="x-none" w:eastAsia="x-none"/>
        </w:rPr>
        <w:t>Act</w:t>
      </w:r>
      <w:r w:rsidRPr="002836ED">
        <w:rPr>
          <w:snapToGrid w:val="0"/>
          <w:kern w:val="28"/>
          <w:lang w:val="x-none" w:eastAsia="x-none"/>
        </w:rPr>
        <w:t xml:space="preserve"> of </w:t>
      </w:r>
      <w:r w:rsidRPr="002836ED">
        <w:rPr>
          <w:bCs/>
          <w:snapToGrid w:val="0"/>
          <w:kern w:val="28"/>
          <w:lang w:val="x-none" w:eastAsia="x-none"/>
        </w:rPr>
        <w:t>1996</w:t>
      </w:r>
      <w:r w:rsidRPr="002836ED">
        <w:rPr>
          <w:snapToGrid w:val="0"/>
          <w:kern w:val="28"/>
          <w:lang w:val="x-none" w:eastAsia="x-none"/>
        </w:rPr>
        <w:t>, Pub. L. No. 104-104, § 551(c), 110 Stat. 56, 141 (1996)).</w:t>
      </w:r>
      <w:r w:rsidRPr="002836ED">
        <w:rPr>
          <w:snapToGrid w:val="0"/>
          <w:kern w:val="28"/>
          <w:lang w:eastAsia="x-none"/>
        </w:rPr>
        <w:t xml:space="preserve">  Parents with </w:t>
      </w:r>
      <w:r w:rsidRPr="002836ED">
        <w:rPr>
          <w:snapToGrid w:val="0"/>
          <w:kern w:val="28"/>
          <w:lang w:val="x-none" w:eastAsia="x-none"/>
        </w:rPr>
        <w:t>a V-chip-equipped television set or converter box</w:t>
      </w:r>
      <w:r w:rsidRPr="002836ED">
        <w:rPr>
          <w:snapToGrid w:val="0"/>
          <w:kern w:val="28"/>
          <w:lang w:eastAsia="x-none"/>
        </w:rPr>
        <w:t xml:space="preserve"> can block television programming based on its rating.  </w:t>
      </w:r>
      <w:r w:rsidRPr="002836ED">
        <w:rPr>
          <w:i/>
          <w:snapToGrid w:val="0"/>
          <w:kern w:val="28"/>
          <w:lang w:val="x-none" w:eastAsia="x-none"/>
        </w:rPr>
        <w:t xml:space="preserve">See </w:t>
      </w:r>
      <w:r w:rsidRPr="002836ED">
        <w:rPr>
          <w:i/>
          <w:iCs/>
          <w:snapToGrid w:val="0"/>
          <w:kern w:val="28"/>
          <w:lang w:val="x-none" w:eastAsia="x-none"/>
        </w:rPr>
        <w:t>Implementation of Section 551 of the Telecommunications Act of 1996, Video Programming Ratings</w:t>
      </w:r>
      <w:r w:rsidRPr="002836ED">
        <w:rPr>
          <w:snapToGrid w:val="0"/>
          <w:kern w:val="28"/>
          <w:lang w:val="x-none" w:eastAsia="x-none"/>
        </w:rPr>
        <w:t>, Report and Order, 13 FCC Rcd 8232 (1998) (“</w:t>
      </w:r>
      <w:r w:rsidRPr="002836ED">
        <w:rPr>
          <w:i/>
          <w:iCs/>
          <w:snapToGrid w:val="0"/>
          <w:kern w:val="28"/>
          <w:lang w:val="x-none" w:eastAsia="x-none"/>
        </w:rPr>
        <w:t>TV Parental Guidelines Order”</w:t>
      </w:r>
      <w:r w:rsidRPr="002836ED">
        <w:rPr>
          <w:snapToGrid w:val="0"/>
          <w:kern w:val="28"/>
          <w:lang w:val="x-none" w:eastAsia="x-none"/>
        </w:rPr>
        <w:t>)</w:t>
      </w:r>
      <w:r w:rsidRPr="002836ED">
        <w:rPr>
          <w:snapToGrid w:val="0"/>
          <w:kern w:val="28"/>
          <w:lang w:eastAsia="x-none"/>
        </w:rPr>
        <w:t>.  T</w:t>
      </w:r>
      <w:r w:rsidRPr="002836ED">
        <w:rPr>
          <w:snapToGrid w:val="0"/>
          <w:kern w:val="28"/>
          <w:lang w:val="x-none" w:eastAsia="x-none"/>
        </w:rPr>
        <w:t xml:space="preserve">he V-chip requirement currently applies to </w:t>
      </w:r>
      <w:r>
        <w:rPr>
          <w:snapToGrid w:val="0"/>
          <w:kern w:val="28"/>
          <w:lang w:eastAsia="x-none"/>
        </w:rPr>
        <w:t xml:space="preserve">certain </w:t>
      </w:r>
      <w:r w:rsidRPr="002836ED">
        <w:rPr>
          <w:snapToGrid w:val="0"/>
          <w:kern w:val="28"/>
          <w:lang w:val="x-none" w:eastAsia="x-none"/>
        </w:rPr>
        <w:t xml:space="preserve">television broadcast receivers </w:t>
      </w:r>
      <w:r>
        <w:rPr>
          <w:snapToGrid w:val="0"/>
          <w:kern w:val="28"/>
          <w:lang w:eastAsia="x-none"/>
        </w:rPr>
        <w:t xml:space="preserve">(based on size) and </w:t>
      </w:r>
      <w:r w:rsidRPr="002836ED">
        <w:rPr>
          <w:bCs/>
          <w:snapToGrid w:val="0"/>
          <w:color w:val="000000"/>
          <w:kern w:val="28"/>
          <w:lang w:val="x-none" w:eastAsia="x-none"/>
        </w:rPr>
        <w:t>digital television receivers without an associated display device</w:t>
      </w:r>
      <w:r w:rsidRPr="002836ED">
        <w:rPr>
          <w:snapToGrid w:val="0"/>
          <w:color w:val="000000"/>
          <w:kern w:val="28"/>
          <w:lang w:val="x-none" w:eastAsia="x-none"/>
        </w:rPr>
        <w:t>.</w:t>
      </w:r>
      <w:r w:rsidRPr="002836ED">
        <w:rPr>
          <w:snapToGrid w:val="0"/>
          <w:color w:val="000000"/>
          <w:kern w:val="28"/>
          <w:lang w:eastAsia="x-none"/>
        </w:rPr>
        <w:t xml:space="preserve">  </w:t>
      </w:r>
      <w:r w:rsidRPr="002836ED">
        <w:rPr>
          <w:i/>
          <w:snapToGrid w:val="0"/>
          <w:color w:val="000000"/>
          <w:kern w:val="28"/>
          <w:lang w:val="x-none" w:eastAsia="x-none"/>
        </w:rPr>
        <w:t xml:space="preserve">See </w:t>
      </w:r>
      <w:r w:rsidRPr="002836ED">
        <w:rPr>
          <w:snapToGrid w:val="0"/>
          <w:color w:val="000000"/>
          <w:kern w:val="28"/>
          <w:lang w:eastAsia="x-none"/>
        </w:rPr>
        <w:t>4</w:t>
      </w:r>
      <w:r w:rsidRPr="002836ED">
        <w:rPr>
          <w:snapToGrid w:val="0"/>
          <w:kern w:val="28"/>
          <w:lang w:val="x-none" w:eastAsia="x-none"/>
        </w:rPr>
        <w:t xml:space="preserve">7 C.F.R. § 15.120(b); </w:t>
      </w:r>
      <w:r w:rsidRPr="002836ED">
        <w:rPr>
          <w:i/>
          <w:snapToGrid w:val="0"/>
          <w:kern w:val="28"/>
          <w:lang w:val="x-none" w:eastAsia="x-none"/>
        </w:rPr>
        <w:t>Technical Requirements to Enable Blocking of Video Programming Based on Program Ratings</w:t>
      </w:r>
      <w:r w:rsidRPr="002836ED">
        <w:rPr>
          <w:snapToGrid w:val="0"/>
          <w:kern w:val="28"/>
          <w:lang w:val="x-none" w:eastAsia="x-none"/>
        </w:rPr>
        <w:t xml:space="preserve">, </w:t>
      </w:r>
      <w:r w:rsidRPr="002836ED">
        <w:rPr>
          <w:snapToGrid w:val="0"/>
          <w:kern w:val="28"/>
          <w:lang w:eastAsia="x-none"/>
        </w:rPr>
        <w:t xml:space="preserve">Report and Order, </w:t>
      </w:r>
      <w:r w:rsidRPr="002836ED">
        <w:rPr>
          <w:snapToGrid w:val="0"/>
          <w:kern w:val="28"/>
          <w:lang w:val="x-none" w:eastAsia="x-none"/>
        </w:rPr>
        <w:t>13 FCC Rcd 11248 (1998).</w:t>
      </w:r>
    </w:p>
  </w:footnote>
  <w:footnote w:id="212">
    <w:p w:rsidR="00CE3FB0" w:rsidRPr="005502EF" w:rsidRDefault="00CE3FB0" w:rsidP="00F33E14">
      <w:pPr>
        <w:pStyle w:val="FootnoteText"/>
      </w:pPr>
      <w:r w:rsidRPr="005502EF">
        <w:rPr>
          <w:rStyle w:val="FootnoteReference"/>
        </w:rPr>
        <w:footnoteRef/>
      </w:r>
      <w:r w:rsidRPr="005502EF">
        <w:t xml:space="preserve"> </w:t>
      </w:r>
      <w:r w:rsidRPr="005502EF">
        <w:rPr>
          <w:i/>
        </w:rPr>
        <w:t>See</w:t>
      </w:r>
      <w:r w:rsidRPr="005502EF">
        <w:t xml:space="preserve"> 47 C.F.R. §§ 76.225</w:t>
      </w:r>
      <w:r>
        <w:t>, 76.1703.</w:t>
      </w:r>
    </w:p>
  </w:footnote>
  <w:footnote w:id="213">
    <w:p w:rsidR="00CE3FB0" w:rsidRPr="005A2EC7" w:rsidRDefault="00CE3FB0" w:rsidP="00F33E14">
      <w:pPr>
        <w:pStyle w:val="FootnoteText"/>
      </w:pPr>
      <w:r w:rsidRPr="005502EF">
        <w:rPr>
          <w:rStyle w:val="FootnoteReference"/>
        </w:rPr>
        <w:footnoteRef/>
      </w:r>
      <w:r w:rsidRPr="005502EF">
        <w:t xml:space="preserve"> </w:t>
      </w:r>
      <w:r w:rsidRPr="005502EF">
        <w:rPr>
          <w:i/>
        </w:rPr>
        <w:t>See</w:t>
      </w:r>
      <w:r w:rsidRPr="005502EF">
        <w:t xml:space="preserve"> 47 </w:t>
      </w:r>
      <w:r w:rsidRPr="005A2EC7">
        <w:t>C.F.R. §§ 76.92-95.</w:t>
      </w:r>
    </w:p>
  </w:footnote>
  <w:footnote w:id="214">
    <w:p w:rsidR="00CE3FB0" w:rsidRPr="005A2EC7" w:rsidRDefault="00CE3FB0" w:rsidP="00F33E14">
      <w:pPr>
        <w:pStyle w:val="FootnoteText"/>
      </w:pPr>
      <w:r w:rsidRPr="005A2EC7">
        <w:rPr>
          <w:rStyle w:val="FootnoteReference"/>
        </w:rPr>
        <w:footnoteRef/>
      </w:r>
      <w:r w:rsidRPr="005A2EC7">
        <w:t xml:space="preserve"> </w:t>
      </w:r>
      <w:r w:rsidRPr="005A2EC7">
        <w:rPr>
          <w:i/>
        </w:rPr>
        <w:t>See</w:t>
      </w:r>
      <w:r w:rsidRPr="005A2EC7">
        <w:t xml:space="preserve"> 47 C.F.R. §§ 76.101-110.</w:t>
      </w:r>
    </w:p>
  </w:footnote>
  <w:footnote w:id="215">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U.S.C. § 534(b)(9); </w:t>
      </w:r>
      <w:r w:rsidRPr="00B2765C">
        <w:rPr>
          <w:i/>
        </w:rPr>
        <w:t>see also</w:t>
      </w:r>
      <w:r>
        <w:t xml:space="preserve"> </w:t>
      </w:r>
      <w:r w:rsidRPr="008A1BC3">
        <w:t xml:space="preserve">47 </w:t>
      </w:r>
      <w:r>
        <w:t>C.F.R. § 76.1601</w:t>
      </w:r>
      <w:r w:rsidRPr="008A1BC3">
        <w:t>.</w:t>
      </w:r>
    </w:p>
  </w:footnote>
  <w:footnote w:id="216">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C.</w:t>
      </w:r>
      <w:r>
        <w:t>F.R. §§ 76.1607, 76.1708</w:t>
      </w:r>
      <w:r w:rsidRPr="008A1BC3">
        <w:t>.</w:t>
      </w:r>
    </w:p>
  </w:footnote>
  <w:footnote w:id="217">
    <w:p w:rsidR="00CE3FB0" w:rsidRPr="008A1BC3" w:rsidRDefault="00CE3FB0" w:rsidP="00F33E14">
      <w:pPr>
        <w:pStyle w:val="FootnoteText"/>
      </w:pPr>
      <w:r w:rsidRPr="008A1BC3">
        <w:rPr>
          <w:rStyle w:val="FootnoteReference"/>
        </w:rPr>
        <w:footnoteRef/>
      </w:r>
      <w:r w:rsidRPr="008A1BC3">
        <w:t xml:space="preserve"> </w:t>
      </w:r>
      <w:r w:rsidRPr="008A1BC3">
        <w:rPr>
          <w:i/>
        </w:rPr>
        <w:t>See</w:t>
      </w:r>
      <w:r>
        <w:t xml:space="preserve"> 47 C.F.R. § 76.1608</w:t>
      </w:r>
      <w:r w:rsidRPr="008A1BC3">
        <w:t>.</w:t>
      </w:r>
    </w:p>
  </w:footnote>
  <w:footnote w:id="218">
    <w:p w:rsidR="00CE3FB0" w:rsidRPr="008A1BC3" w:rsidRDefault="00CE3FB0" w:rsidP="00F33E14">
      <w:pPr>
        <w:pStyle w:val="FootnoteText"/>
      </w:pPr>
      <w:r w:rsidRPr="008A1BC3">
        <w:rPr>
          <w:rStyle w:val="FootnoteReference"/>
        </w:rPr>
        <w:footnoteRef/>
      </w:r>
      <w:r w:rsidRPr="008A1BC3">
        <w:t xml:space="preserve"> </w:t>
      </w:r>
      <w:r w:rsidRPr="008A1BC3">
        <w:rPr>
          <w:i/>
        </w:rPr>
        <w:t xml:space="preserve">See </w:t>
      </w:r>
      <w:r w:rsidRPr="008A1BC3">
        <w:t>47 C.F.R. § 76.1609.</w:t>
      </w:r>
    </w:p>
  </w:footnote>
  <w:footnote w:id="219">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U.S.C. § 315; </w:t>
      </w:r>
      <w:r w:rsidRPr="00B2765C">
        <w:rPr>
          <w:i/>
        </w:rPr>
        <w:t>see also</w:t>
      </w:r>
      <w:r>
        <w:t xml:space="preserve"> </w:t>
      </w:r>
      <w:r w:rsidRPr="008A1BC3">
        <w:t xml:space="preserve">47 C.F.R. §§ 76.205-206, 76.1611, 76.1701. </w:t>
      </w:r>
    </w:p>
  </w:footnote>
  <w:footnote w:id="220">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C.F.R §§ 76.1615, 76.1715.</w:t>
      </w:r>
    </w:p>
  </w:footnote>
  <w:footnote w:id="221">
    <w:p w:rsidR="00CE3FB0" w:rsidRPr="008A1BC3" w:rsidRDefault="00CE3FB0" w:rsidP="00F33E14">
      <w:pPr>
        <w:pStyle w:val="FootnoteText"/>
      </w:pPr>
      <w:r w:rsidRPr="008A1BC3">
        <w:rPr>
          <w:rStyle w:val="FootnoteReference"/>
        </w:rPr>
        <w:footnoteRef/>
      </w:r>
      <w:r w:rsidRPr="008A1BC3">
        <w:t xml:space="preserve"> </w:t>
      </w:r>
      <w:r w:rsidRPr="008A1BC3">
        <w:rPr>
          <w:i/>
        </w:rPr>
        <w:t xml:space="preserve">See </w:t>
      </w:r>
      <w:r w:rsidRPr="008A1BC3">
        <w:t>47 C.F.R. § 76.213.</w:t>
      </w:r>
    </w:p>
  </w:footnote>
  <w:footnote w:id="222">
    <w:p w:rsidR="00CE3FB0" w:rsidRPr="008A1BC3" w:rsidRDefault="00CE3FB0" w:rsidP="00F33E14">
      <w:pPr>
        <w:pStyle w:val="FootnoteText"/>
      </w:pPr>
      <w:r w:rsidRPr="00FB7B10">
        <w:rPr>
          <w:rStyle w:val="FootnoteReference"/>
        </w:rPr>
        <w:footnoteRef/>
      </w:r>
      <w:r w:rsidRPr="00FB7B10">
        <w:t xml:space="preserve"> </w:t>
      </w:r>
      <w:r w:rsidRPr="00FB7B10">
        <w:rPr>
          <w:i/>
        </w:rPr>
        <w:t>See</w:t>
      </w:r>
      <w:r w:rsidRPr="00FB7B10">
        <w:t xml:space="preserve"> 47 C.F.R. §§ 76.1700</w:t>
      </w:r>
      <w:r w:rsidRPr="00754BF4">
        <w:t>-10, 1715-</w:t>
      </w:r>
      <w:r>
        <w:t>16</w:t>
      </w:r>
      <w:r w:rsidRPr="00754BF4">
        <w:t xml:space="preserve">.  </w:t>
      </w:r>
      <w:r w:rsidRPr="00754BF4">
        <w:rPr>
          <w:i/>
        </w:rPr>
        <w:t xml:space="preserve">See also Media Bureau Seeks Comment on Petition for Rulemaking Filed by the Campaign Legal Center, Common Cause </w:t>
      </w:r>
      <w:r>
        <w:rPr>
          <w:i/>
        </w:rPr>
        <w:t>a</w:t>
      </w:r>
      <w:r w:rsidRPr="00754BF4">
        <w:rPr>
          <w:i/>
        </w:rPr>
        <w:t xml:space="preserve">nd </w:t>
      </w:r>
      <w:r>
        <w:rPr>
          <w:i/>
        </w:rPr>
        <w:t>t</w:t>
      </w:r>
      <w:r w:rsidRPr="00754BF4">
        <w:rPr>
          <w:i/>
        </w:rPr>
        <w:t xml:space="preserve">he Sunlight Foundation Seeking Expansion </w:t>
      </w:r>
      <w:r>
        <w:rPr>
          <w:i/>
        </w:rPr>
        <w:t>o</w:t>
      </w:r>
      <w:r w:rsidRPr="00754BF4">
        <w:rPr>
          <w:i/>
        </w:rPr>
        <w:t xml:space="preserve">f Online Public File Obligations </w:t>
      </w:r>
      <w:r>
        <w:rPr>
          <w:i/>
        </w:rPr>
        <w:t>t</w:t>
      </w:r>
      <w:r w:rsidRPr="00754BF4">
        <w:rPr>
          <w:i/>
        </w:rPr>
        <w:t xml:space="preserve">o Cable </w:t>
      </w:r>
      <w:r>
        <w:rPr>
          <w:i/>
        </w:rPr>
        <w:t>a</w:t>
      </w:r>
      <w:r w:rsidRPr="00754BF4">
        <w:rPr>
          <w:i/>
        </w:rPr>
        <w:t>nd Satellite TV Operators</w:t>
      </w:r>
      <w:r w:rsidRPr="00754BF4">
        <w:t xml:space="preserve">, DA 14-1149, </w:t>
      </w:r>
      <w:r w:rsidRPr="00793834">
        <w:rPr>
          <w:iCs/>
          <w:shd w:val="clear" w:color="auto" w:fill="FFFFFF"/>
        </w:rPr>
        <w:t xml:space="preserve">79 Fed. Reg. 51136 (MB 2014) (seeking comment on a petition for rulemaking to require cable </w:t>
      </w:r>
      <w:r>
        <w:rPr>
          <w:iCs/>
          <w:shd w:val="clear" w:color="auto" w:fill="FFFFFF"/>
        </w:rPr>
        <w:t xml:space="preserve">systems </w:t>
      </w:r>
      <w:r w:rsidRPr="00793834">
        <w:rPr>
          <w:iCs/>
          <w:shd w:val="clear" w:color="auto" w:fill="FFFFFF"/>
        </w:rPr>
        <w:t xml:space="preserve">and satellite </w:t>
      </w:r>
      <w:r>
        <w:rPr>
          <w:iCs/>
          <w:shd w:val="clear" w:color="auto" w:fill="FFFFFF"/>
        </w:rPr>
        <w:t xml:space="preserve">operators </w:t>
      </w:r>
      <w:r w:rsidRPr="00793834">
        <w:rPr>
          <w:iCs/>
          <w:shd w:val="clear" w:color="auto" w:fill="FFFFFF"/>
        </w:rPr>
        <w:t>to post their public files to the Commission’s online database).</w:t>
      </w:r>
    </w:p>
  </w:footnote>
  <w:footnote w:id="223">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U.S.C. §§ 531, 541(a)(4)(B)</w:t>
      </w:r>
      <w:r w:rsidRPr="008A1BC3">
        <w:rPr>
          <w:color w:val="000000"/>
        </w:rPr>
        <w:t>.</w:t>
      </w:r>
    </w:p>
  </w:footnote>
  <w:footnote w:id="224">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U.S.C. § 548; </w:t>
      </w:r>
      <w:r w:rsidRPr="00B2765C">
        <w:rPr>
          <w:i/>
        </w:rPr>
        <w:t>see also</w:t>
      </w:r>
      <w:r>
        <w:t xml:space="preserve"> </w:t>
      </w:r>
      <w:r w:rsidRPr="008A1BC3">
        <w:t>47</w:t>
      </w:r>
      <w:r>
        <w:t xml:space="preserve"> C.F.R. §§ 76.1001-1002.</w:t>
      </w:r>
    </w:p>
  </w:footnote>
  <w:footnote w:id="225">
    <w:p w:rsidR="00CE3FB0" w:rsidRPr="008A1BC3" w:rsidRDefault="00CE3FB0" w:rsidP="00F33E14">
      <w:pPr>
        <w:pStyle w:val="FootnoteText"/>
      </w:pPr>
      <w:r w:rsidRPr="008A1BC3">
        <w:rPr>
          <w:rStyle w:val="FootnoteReference"/>
        </w:rPr>
        <w:footnoteRef/>
      </w:r>
      <w:r w:rsidRPr="008A1BC3">
        <w:t xml:space="preserve"> </w:t>
      </w:r>
      <w:r w:rsidRPr="00060D3A">
        <w:rPr>
          <w:i/>
        </w:rPr>
        <w:t xml:space="preserve">See </w:t>
      </w:r>
      <w:r w:rsidRPr="008A1BC3">
        <w:t xml:space="preserve">47 U.S.C. § 532; </w:t>
      </w:r>
      <w:r w:rsidRPr="00B2765C">
        <w:rPr>
          <w:i/>
        </w:rPr>
        <w:t>see also</w:t>
      </w:r>
      <w:r>
        <w:t xml:space="preserve"> </w:t>
      </w:r>
      <w:r w:rsidRPr="008A1BC3">
        <w:t>47 C.F.R. §§ 76.701, 76.970-978</w:t>
      </w:r>
      <w:r>
        <w:t>, 76.1707.</w:t>
      </w:r>
    </w:p>
  </w:footnote>
  <w:footnote w:id="226">
    <w:p w:rsidR="00CE3FB0" w:rsidRPr="008A1BC3" w:rsidRDefault="00CE3FB0" w:rsidP="00F33E14">
      <w:pPr>
        <w:pStyle w:val="FootnoteText"/>
      </w:pPr>
      <w:r w:rsidRPr="008A1BC3">
        <w:rPr>
          <w:rStyle w:val="FootnoteReference"/>
        </w:rPr>
        <w:footnoteRef/>
      </w:r>
      <w:r w:rsidRPr="008A1BC3">
        <w:t xml:space="preserve"> </w:t>
      </w:r>
      <w:r w:rsidRPr="00060D3A">
        <w:rPr>
          <w:i/>
        </w:rPr>
        <w:t>See</w:t>
      </w:r>
      <w:r>
        <w:t xml:space="preserve"> </w:t>
      </w:r>
      <w:r w:rsidRPr="008A1BC3">
        <w:t>47 C.F.R. § 76.403 (cable television system report</w:t>
      </w:r>
      <w:r>
        <w:t>:</w:t>
      </w:r>
      <w:r w:rsidRPr="008A1BC3">
        <w:t xml:space="preserve"> </w:t>
      </w:r>
      <w:r>
        <w:t xml:space="preserve">FCC </w:t>
      </w:r>
      <w:r w:rsidRPr="008A1BC3">
        <w:t>Form 325</w:t>
      </w:r>
      <w:r>
        <w:t xml:space="preserve">); </w:t>
      </w:r>
      <w:r w:rsidRPr="008A1BC3">
        <w:t>47 C.F.R. § 76.1610 (</w:t>
      </w:r>
      <w:r>
        <w:t xml:space="preserve">change of cable system operational information (FCC </w:t>
      </w:r>
      <w:r w:rsidRPr="008A1BC3">
        <w:t>Form 324)); 47 C.F.R. § 76.1801 (</w:t>
      </w:r>
      <w:r>
        <w:t xml:space="preserve">cable </w:t>
      </w:r>
      <w:r w:rsidRPr="008A1BC3">
        <w:t>registration statement (</w:t>
      </w:r>
      <w:r>
        <w:t xml:space="preserve">FCC </w:t>
      </w:r>
      <w:r w:rsidRPr="008A1BC3">
        <w:t>Form 322))</w:t>
      </w:r>
      <w:r>
        <w:t>.</w:t>
      </w:r>
    </w:p>
  </w:footnote>
  <w:footnote w:id="227">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U.S.C. § 533(a)</w:t>
      </w:r>
      <w:r>
        <w:t>;</w:t>
      </w:r>
      <w:r w:rsidRPr="008A1BC3">
        <w:t xml:space="preserve"> </w:t>
      </w:r>
      <w:r w:rsidRPr="00B2765C">
        <w:rPr>
          <w:i/>
        </w:rPr>
        <w:t>see also</w:t>
      </w:r>
      <w:r>
        <w:t xml:space="preserve"> </w:t>
      </w:r>
      <w:r w:rsidRPr="008A1BC3">
        <w:t>47 C.F.R. § 27.1202; 47 C.F.R. § 76.501.</w:t>
      </w:r>
    </w:p>
  </w:footnote>
  <w:footnote w:id="228">
    <w:p w:rsidR="00CE3FB0" w:rsidRPr="008A1BC3" w:rsidRDefault="00CE3FB0" w:rsidP="00F33E14">
      <w:pPr>
        <w:pStyle w:val="FootnoteText"/>
      </w:pPr>
      <w:r w:rsidRPr="008A1BC3">
        <w:rPr>
          <w:rStyle w:val="FootnoteReference"/>
        </w:rPr>
        <w:footnoteRef/>
      </w:r>
      <w:r w:rsidRPr="008A1BC3">
        <w:t xml:space="preserve"> </w:t>
      </w:r>
      <w:r w:rsidRPr="008A1BC3">
        <w:rPr>
          <w:i/>
        </w:rPr>
        <w:t>See</w:t>
      </w:r>
      <w:r w:rsidRPr="008A1BC3">
        <w:t xml:space="preserve"> 47 U.S.C. § 572; </w:t>
      </w:r>
      <w:r w:rsidRPr="00B2765C">
        <w:rPr>
          <w:i/>
        </w:rPr>
        <w:t>see also</w:t>
      </w:r>
      <w:r>
        <w:t xml:space="preserve"> </w:t>
      </w:r>
      <w:r w:rsidRPr="008A1BC3">
        <w:t>47 C.F.R. §§ 76.505, 76.1404, 76.1616.</w:t>
      </w:r>
    </w:p>
  </w:footnote>
  <w:footnote w:id="229">
    <w:p w:rsidR="00CE3FB0" w:rsidRPr="008A1BC3" w:rsidRDefault="00CE3FB0" w:rsidP="00F33E14">
      <w:pPr>
        <w:pStyle w:val="FootnoteText"/>
      </w:pPr>
      <w:r w:rsidRPr="008A1BC3">
        <w:rPr>
          <w:rStyle w:val="FootnoteReference"/>
        </w:rPr>
        <w:footnoteRef/>
      </w:r>
      <w:r w:rsidRPr="008A1BC3">
        <w:t xml:space="preserve"> </w:t>
      </w:r>
      <w:r w:rsidRPr="00D33B95">
        <w:rPr>
          <w:i/>
        </w:rPr>
        <w:t>See</w:t>
      </w:r>
      <w:r>
        <w:t xml:space="preserve"> 47 U.S.C. § 533(f)(1)(A)</w:t>
      </w:r>
      <w:r w:rsidRPr="008A1BC3">
        <w:t>; 47 C.F.R. § 76.503</w:t>
      </w:r>
      <w:r>
        <w:t xml:space="preserve">(a); </w:t>
      </w:r>
      <w:r w:rsidRPr="00B2765C">
        <w:rPr>
          <w:i/>
        </w:rPr>
        <w:t>see also</w:t>
      </w:r>
      <w:r>
        <w:rPr>
          <w:i/>
          <w:color w:val="000000"/>
        </w:rPr>
        <w:t xml:space="preserve"> Comcast Corp. v. FCC</w:t>
      </w:r>
      <w:r>
        <w:rPr>
          <w:color w:val="000000"/>
        </w:rPr>
        <w:t>, 579 F.3d 1 (D.C. Cir. 2009) (vacating the Commission’s cable horizontal ownership limits).</w:t>
      </w:r>
    </w:p>
  </w:footnote>
  <w:footnote w:id="230">
    <w:p w:rsidR="00CE3FB0" w:rsidRPr="008A1BC3" w:rsidRDefault="00CE3FB0" w:rsidP="00F33E14">
      <w:pPr>
        <w:pStyle w:val="FootnoteText"/>
      </w:pPr>
      <w:r w:rsidRPr="008A1BC3">
        <w:rPr>
          <w:rStyle w:val="FootnoteReference"/>
        </w:rPr>
        <w:footnoteRef/>
      </w:r>
      <w:r w:rsidRPr="008A1BC3">
        <w:t xml:space="preserve"> </w:t>
      </w:r>
      <w:r w:rsidRPr="00D33B95">
        <w:rPr>
          <w:i/>
        </w:rPr>
        <w:t xml:space="preserve">See </w:t>
      </w:r>
      <w:r>
        <w:t>47 U.S.C. § 533(f)(1)(B)</w:t>
      </w:r>
      <w:r w:rsidRPr="008A1BC3">
        <w:t xml:space="preserve">; </w:t>
      </w:r>
      <w:r>
        <w:t xml:space="preserve"> </w:t>
      </w:r>
      <w:r w:rsidRPr="008A1BC3">
        <w:t>47 C.F.R. § 76.504</w:t>
      </w:r>
      <w:r>
        <w:t xml:space="preserve">(a); </w:t>
      </w:r>
      <w:r w:rsidRPr="00B2765C">
        <w:rPr>
          <w:i/>
        </w:rPr>
        <w:t>see also</w:t>
      </w:r>
      <w:r>
        <w:rPr>
          <w:i/>
          <w:iCs/>
          <w:color w:val="000000"/>
        </w:rPr>
        <w:t xml:space="preserve"> Time Warner Entertainment Co. v. FCC</w:t>
      </w:r>
      <w:hyperlink r:id="rId18" w:history="1">
        <w:r>
          <w:rPr>
            <w:color w:val="000000"/>
          </w:rPr>
          <w:t>, 240 F.3d 1126 (D.C. Cir. 2001)</w:t>
        </w:r>
      </w:hyperlink>
      <w:r>
        <w:rPr>
          <w:color w:val="000000"/>
        </w:rPr>
        <w:t xml:space="preserve"> (reversing and remanding the Commission’s cable vertical ownership limits).</w:t>
      </w:r>
    </w:p>
  </w:footnote>
  <w:footnote w:id="231">
    <w:p w:rsidR="00CE3FB0" w:rsidRPr="008A1BC3" w:rsidRDefault="00CE3FB0" w:rsidP="00F33E14">
      <w:pPr>
        <w:pStyle w:val="FootnoteText"/>
      </w:pPr>
      <w:r w:rsidRPr="008A1BC3">
        <w:rPr>
          <w:rStyle w:val="FootnoteReference"/>
        </w:rPr>
        <w:footnoteRef/>
      </w:r>
      <w:r w:rsidRPr="008A1BC3">
        <w:t xml:space="preserve"> </w:t>
      </w:r>
      <w:r w:rsidRPr="00A879ED">
        <w:rPr>
          <w:i/>
        </w:rPr>
        <w:t>See</w:t>
      </w:r>
      <w:r>
        <w:t xml:space="preserve"> </w:t>
      </w:r>
      <w:r w:rsidRPr="008A1BC3">
        <w:t xml:space="preserve">47 U.S.C. §§ 541, 542, 545, 546, 547, 555, 555a; </w:t>
      </w:r>
      <w:r w:rsidRPr="00B2765C">
        <w:rPr>
          <w:i/>
        </w:rPr>
        <w:t>see also</w:t>
      </w:r>
      <w:r>
        <w:t xml:space="preserve"> </w:t>
      </w:r>
      <w:r w:rsidRPr="008A1BC3">
        <w:t>47 C.F.R. §</w:t>
      </w:r>
      <w:r>
        <w:t>§ 76.41,</w:t>
      </w:r>
      <w:r w:rsidRPr="008A1BC3">
        <w:t xml:space="preserve"> 76.502</w:t>
      </w:r>
      <w:r>
        <w:t>.</w:t>
      </w:r>
      <w:r w:rsidRPr="002829A7">
        <w:t xml:space="preserve"> </w:t>
      </w:r>
    </w:p>
  </w:footnote>
  <w:footnote w:id="232">
    <w:p w:rsidR="00CE3FB0" w:rsidRPr="008A1BC3" w:rsidRDefault="00CE3FB0" w:rsidP="00F33E14">
      <w:pPr>
        <w:pStyle w:val="FootnoteText"/>
      </w:pPr>
      <w:r w:rsidRPr="008A1BC3">
        <w:rPr>
          <w:rStyle w:val="FootnoteReference"/>
        </w:rPr>
        <w:footnoteRef/>
      </w:r>
      <w:r w:rsidRPr="008A1BC3">
        <w:t xml:space="preserve"> </w:t>
      </w:r>
      <w:r w:rsidRPr="002829A7">
        <w:rPr>
          <w:i/>
        </w:rPr>
        <w:t>See</w:t>
      </w:r>
      <w:r>
        <w:t xml:space="preserve"> </w:t>
      </w:r>
      <w:r w:rsidRPr="008A1BC3">
        <w:t xml:space="preserve">47 U.S.C. § 543; </w:t>
      </w:r>
      <w:r w:rsidRPr="00B2765C">
        <w:rPr>
          <w:i/>
        </w:rPr>
        <w:t>see also</w:t>
      </w:r>
      <w:r>
        <w:t xml:space="preserve"> </w:t>
      </w:r>
      <w:r w:rsidRPr="008A1BC3">
        <w:t xml:space="preserve">47 C.F.R. §§ </w:t>
      </w:r>
      <w:r w:rsidRPr="00920FE8">
        <w:t>76.901-963, 76.980-990, 76.1402, 76.1605-1606, 76.1800, 76.1805.</w:t>
      </w:r>
    </w:p>
  </w:footnote>
  <w:footnote w:id="233">
    <w:p w:rsidR="00CE3FB0" w:rsidRPr="008A1BC3" w:rsidRDefault="00CE3FB0" w:rsidP="00F33E14">
      <w:pPr>
        <w:pStyle w:val="FootnoteText"/>
      </w:pPr>
      <w:r w:rsidRPr="008A1BC3">
        <w:rPr>
          <w:rStyle w:val="FootnoteReference"/>
        </w:rPr>
        <w:footnoteRef/>
      </w:r>
      <w:r w:rsidRPr="008A1BC3">
        <w:t xml:space="preserve"> </w:t>
      </w:r>
      <w:r w:rsidRPr="002829A7">
        <w:rPr>
          <w:i/>
        </w:rPr>
        <w:t xml:space="preserve">See </w:t>
      </w:r>
      <w:r w:rsidRPr="008A1BC3">
        <w:t xml:space="preserve">47 U.S.C. § 544; </w:t>
      </w:r>
      <w:r w:rsidRPr="00B2765C">
        <w:rPr>
          <w:i/>
        </w:rPr>
        <w:t>see also</w:t>
      </w:r>
      <w:r>
        <w:t xml:space="preserve"> </w:t>
      </w:r>
      <w:r w:rsidRPr="008A1BC3">
        <w:t>47 C.F.R. §§ 76.601</w:t>
      </w:r>
      <w:r>
        <w:t xml:space="preserve">, 76.605, 76.609, </w:t>
      </w:r>
      <w:r w:rsidRPr="008A1BC3">
        <w:t>76.1602-1604</w:t>
      </w:r>
      <w:r>
        <w:t xml:space="preserve">, 76.1618, 76.1704-06, 76.1713, 76.1717. </w:t>
      </w:r>
    </w:p>
  </w:footnote>
  <w:footnote w:id="234">
    <w:p w:rsidR="00CE3FB0" w:rsidRPr="008A1BC3" w:rsidRDefault="00CE3FB0" w:rsidP="00F33E14">
      <w:pPr>
        <w:pStyle w:val="FootnoteText"/>
      </w:pPr>
      <w:r w:rsidRPr="008A1BC3">
        <w:rPr>
          <w:rStyle w:val="FootnoteReference"/>
        </w:rPr>
        <w:footnoteRef/>
      </w:r>
      <w:r w:rsidRPr="008A1BC3">
        <w:t xml:space="preserve"> </w:t>
      </w:r>
      <w:r w:rsidRPr="006C06BF">
        <w:rPr>
          <w:i/>
        </w:rPr>
        <w:t>See</w:t>
      </w:r>
      <w:r>
        <w:t xml:space="preserve"> </w:t>
      </w:r>
      <w:r w:rsidRPr="008A1BC3">
        <w:t>47 U.S.C. § 552; 47 C.F.R. §§ 76.309</w:t>
      </w:r>
      <w:r>
        <w:t>, 76.985, 76.1619.</w:t>
      </w:r>
    </w:p>
  </w:footnote>
  <w:footnote w:id="235">
    <w:p w:rsidR="00CE3FB0" w:rsidRPr="008A1BC3" w:rsidRDefault="00CE3FB0" w:rsidP="00F33E14">
      <w:pPr>
        <w:pStyle w:val="FootnoteText"/>
      </w:pPr>
      <w:r w:rsidRPr="008A1BC3">
        <w:rPr>
          <w:rStyle w:val="FootnoteReference"/>
        </w:rPr>
        <w:footnoteRef/>
      </w:r>
      <w:r w:rsidRPr="008A1BC3">
        <w:t xml:space="preserve"> </w:t>
      </w:r>
      <w:r w:rsidRPr="005A7771">
        <w:rPr>
          <w:i/>
        </w:rPr>
        <w:t>See</w:t>
      </w:r>
      <w:r>
        <w:t xml:space="preserve"> </w:t>
      </w:r>
      <w:r w:rsidRPr="008A1BC3">
        <w:t>47 U.S.C. § 544a; 47</w:t>
      </w:r>
      <w:r>
        <w:t xml:space="preserve"> C.F.R. §§ 76.630, 76.1621-1622.</w:t>
      </w:r>
    </w:p>
  </w:footnote>
  <w:footnote w:id="236">
    <w:p w:rsidR="00CE3FB0" w:rsidRPr="008A1BC3" w:rsidRDefault="00CE3FB0" w:rsidP="00F33E14">
      <w:pPr>
        <w:pStyle w:val="FootnoteText"/>
      </w:pPr>
      <w:r w:rsidRPr="008A1BC3">
        <w:rPr>
          <w:rStyle w:val="FootnoteReference"/>
        </w:rPr>
        <w:footnoteRef/>
      </w:r>
      <w:r w:rsidRPr="008A1BC3">
        <w:t xml:space="preserve"> </w:t>
      </w:r>
      <w:r w:rsidRPr="005A7771">
        <w:rPr>
          <w:i/>
        </w:rPr>
        <w:t>See</w:t>
      </w:r>
      <w:r>
        <w:t xml:space="preserve"> </w:t>
      </w:r>
      <w:r w:rsidRPr="008A1BC3">
        <w:t>47 C.F.R. § 76.640</w:t>
      </w:r>
      <w:r>
        <w:t>.</w:t>
      </w:r>
    </w:p>
  </w:footnote>
  <w:footnote w:id="237">
    <w:p w:rsidR="00CE3FB0" w:rsidRDefault="00CE3FB0" w:rsidP="00F33E14">
      <w:pPr>
        <w:pStyle w:val="FootnoteText"/>
      </w:pPr>
      <w:r w:rsidRPr="008A1BC3">
        <w:rPr>
          <w:rStyle w:val="FootnoteReference"/>
        </w:rPr>
        <w:footnoteRef/>
      </w:r>
      <w:r>
        <w:t xml:space="preserve"> </w:t>
      </w:r>
      <w:r w:rsidRPr="005A7771">
        <w:rPr>
          <w:i/>
        </w:rPr>
        <w:t xml:space="preserve">See </w:t>
      </w:r>
      <w:r w:rsidRPr="008A1BC3">
        <w:t>47 U.S.C. § 551</w:t>
      </w:r>
      <w:r>
        <w:t>.</w:t>
      </w:r>
    </w:p>
  </w:footnote>
  <w:footnote w:id="238">
    <w:p w:rsidR="00CE3FB0" w:rsidRDefault="00CE3FB0" w:rsidP="00F33E14">
      <w:pPr>
        <w:pStyle w:val="FootnoteText"/>
      </w:pPr>
      <w:r>
        <w:rPr>
          <w:rStyle w:val="FootnoteReference"/>
        </w:rPr>
        <w:footnoteRef/>
      </w:r>
      <w:r>
        <w:t xml:space="preserve"> </w:t>
      </w:r>
      <w:r w:rsidRPr="005A7771">
        <w:rPr>
          <w:i/>
        </w:rPr>
        <w:t>See</w:t>
      </w:r>
      <w:r>
        <w:t xml:space="preserve"> </w:t>
      </w:r>
      <w:r w:rsidRPr="006952F5">
        <w:rPr>
          <w:szCs w:val="22"/>
        </w:rPr>
        <w:t>47 U.S.C. § 559</w:t>
      </w:r>
      <w:r>
        <w:rPr>
          <w:szCs w:val="22"/>
        </w:rPr>
        <w:t xml:space="preserve">; </w:t>
      </w:r>
      <w:r w:rsidRPr="006952F5">
        <w:rPr>
          <w:szCs w:val="22"/>
        </w:rPr>
        <w:t>47 C.F.R. § 76.702</w:t>
      </w:r>
      <w:r>
        <w:rPr>
          <w:szCs w:val="22"/>
        </w:rPr>
        <w:t>.</w:t>
      </w:r>
    </w:p>
  </w:footnote>
  <w:footnote w:id="239">
    <w:p w:rsidR="00CE3FB0" w:rsidRDefault="00CE3FB0" w:rsidP="00F33E14">
      <w:pPr>
        <w:pStyle w:val="FootnoteText"/>
      </w:pPr>
      <w:r>
        <w:rPr>
          <w:rStyle w:val="FootnoteReference"/>
        </w:rPr>
        <w:footnoteRef/>
      </w:r>
      <w:r>
        <w:t xml:space="preserve"> </w:t>
      </w:r>
      <w:r w:rsidRPr="005A7771">
        <w:rPr>
          <w:i/>
          <w:szCs w:val="22"/>
        </w:rPr>
        <w:t>See</w:t>
      </w:r>
      <w:r>
        <w:rPr>
          <w:szCs w:val="22"/>
        </w:rPr>
        <w:t xml:space="preserve"> </w:t>
      </w:r>
      <w:r w:rsidRPr="006952F5">
        <w:rPr>
          <w:szCs w:val="22"/>
        </w:rPr>
        <w:t>47 U.S.C. § 560</w:t>
      </w:r>
      <w:r>
        <w:rPr>
          <w:szCs w:val="22"/>
        </w:rPr>
        <w:t>.</w:t>
      </w:r>
    </w:p>
  </w:footnote>
  <w:footnote w:id="240">
    <w:p w:rsidR="00CE3FB0" w:rsidRPr="005502EF" w:rsidRDefault="00CE3FB0" w:rsidP="00C96B00">
      <w:pPr>
        <w:pStyle w:val="FootnoteText"/>
      </w:pPr>
      <w:r w:rsidRPr="005502EF">
        <w:rPr>
          <w:rStyle w:val="FootnoteReference"/>
        </w:rPr>
        <w:footnoteRef/>
      </w:r>
      <w:r w:rsidRPr="005502EF">
        <w:t xml:space="preserve"> </w:t>
      </w:r>
      <w:r w:rsidRPr="005502EF">
        <w:rPr>
          <w:i/>
        </w:rPr>
        <w:t>See</w:t>
      </w:r>
      <w:r w:rsidRPr="005502EF">
        <w:t xml:space="preserve"> 47 U.SC. §§ 534, 535</w:t>
      </w:r>
      <w:r>
        <w:t xml:space="preserve">; </w:t>
      </w:r>
      <w:r w:rsidRPr="005502EF">
        <w:t>47 C.F.R. §§ 76.55-62, 76.1614, 76.1617</w:t>
      </w:r>
      <w:r>
        <w:t xml:space="preserve">, 76.1709.  Cable operators are required to carry </w:t>
      </w:r>
      <w:r w:rsidRPr="00DC1279">
        <w:t xml:space="preserve">the primary video, accompanying audio, </w:t>
      </w:r>
      <w:r>
        <w:t xml:space="preserve">and </w:t>
      </w:r>
      <w:r w:rsidRPr="00DC1279">
        <w:t>closed caption</w:t>
      </w:r>
      <w:r>
        <w:t xml:space="preserve">ing data contained in line 21 of the vertical blanking interval </w:t>
      </w:r>
      <w:r w:rsidRPr="00DC1279">
        <w:t>and, to the extent technically feasible, program-related material carried in the vertical blanking interval or on subcarriers</w:t>
      </w:r>
      <w:r>
        <w:t xml:space="preserve">.  </w:t>
      </w:r>
      <w:r w:rsidRPr="00DC1279">
        <w:rPr>
          <w:i/>
        </w:rPr>
        <w:t>See</w:t>
      </w:r>
      <w:r>
        <w:t xml:space="preserve"> 47 U.S.C. § 534(b)(3)(A); 47 C.F.R. §§ 76.62(e)-(f), 76.606.</w:t>
      </w:r>
    </w:p>
  </w:footnote>
  <w:footnote w:id="241">
    <w:p w:rsidR="00CE3FB0" w:rsidRPr="00FE24D5" w:rsidRDefault="00CE3FB0">
      <w:pPr>
        <w:pStyle w:val="FootnoteText"/>
      </w:pPr>
      <w:r w:rsidRPr="00FE24D5">
        <w:rPr>
          <w:rStyle w:val="FootnoteReference"/>
        </w:rPr>
        <w:footnoteRef/>
      </w:r>
      <w:r w:rsidRPr="00FE24D5">
        <w:t xml:space="preserve"> </w:t>
      </w:r>
      <w:r w:rsidRPr="0041733C">
        <w:rPr>
          <w:i/>
          <w:color w:val="000000"/>
          <w:shd w:val="clear" w:color="auto" w:fill="FFFFFF"/>
        </w:rPr>
        <w:t>Implementation of the Cable Television Consumer Protection and Competition Act of 1992</w:t>
      </w:r>
      <w:bookmarkStart w:id="454" w:name="sp_999_1"/>
      <w:bookmarkStart w:id="455" w:name="SDU_1"/>
      <w:bookmarkEnd w:id="454"/>
      <w:bookmarkEnd w:id="455"/>
      <w:r w:rsidRPr="0041733C">
        <w:rPr>
          <w:i/>
          <w:color w:val="000000"/>
          <w:shd w:val="clear" w:color="auto" w:fill="FFFFFF"/>
        </w:rPr>
        <w:t>: Broadcast Signal Carriage Issues</w:t>
      </w:r>
      <w:r w:rsidRPr="0041733C">
        <w:rPr>
          <w:color w:val="000000"/>
          <w:shd w:val="clear" w:color="auto" w:fill="FFFFFF"/>
        </w:rPr>
        <w:t>, Notice of Proposed Rulemaking, 7 FCC Rcd. 8055, 8056, ¶ 4 (1992).</w:t>
      </w:r>
    </w:p>
  </w:footnote>
  <w:footnote w:id="242">
    <w:p w:rsidR="00CE3FB0" w:rsidRDefault="00CE3FB0">
      <w:pPr>
        <w:pStyle w:val="FootnoteText"/>
      </w:pPr>
      <w:r>
        <w:rPr>
          <w:rStyle w:val="FootnoteReference"/>
        </w:rPr>
        <w:footnoteRef/>
      </w:r>
      <w:r>
        <w:t xml:space="preserve"> We </w:t>
      </w:r>
      <w:r w:rsidRPr="00FE24D5">
        <w:t xml:space="preserve">laud </w:t>
      </w:r>
      <w:r>
        <w:t xml:space="preserve">private market agreements like </w:t>
      </w:r>
      <w:r w:rsidRPr="00FE24D5">
        <w:t>the public television digital c</w:t>
      </w:r>
      <w:r w:rsidRPr="008E09BE">
        <w:t>able carriage agreement</w:t>
      </w:r>
      <w:r>
        <w:t xml:space="preserve"> that NCTA and the </w:t>
      </w:r>
      <w:r w:rsidRPr="008E09BE">
        <w:t>Association of Public Television Stations</w:t>
      </w:r>
      <w:r>
        <w:t xml:space="preserve"> negotiated.  </w:t>
      </w:r>
      <w:r w:rsidRPr="0041733C">
        <w:rPr>
          <w:i/>
        </w:rPr>
        <w:t>See</w:t>
      </w:r>
      <w:r w:rsidRPr="007E3C45">
        <w:t xml:space="preserve"> </w:t>
      </w:r>
      <w:r>
        <w:t xml:space="preserve">Letter from Diane Burstein, Deputy General Counsel, NCTA, to Marlene H. Dortch, Secretary, Federal Communications Commission, </w:t>
      </w:r>
      <w:r w:rsidRPr="007E3C45">
        <w:t>CS Docket No. 98-120 (filed Feb. 2, 2005)</w:t>
      </w:r>
      <w:r>
        <w:t>.  We note, however, that the parties negotiated that agreement in the shadow of the Commission’s must carry regulations, which would have provided a safeguard to noncommercial broadcasters if those negotiations had broken down.</w:t>
      </w:r>
    </w:p>
  </w:footnote>
  <w:footnote w:id="243">
    <w:p w:rsidR="00CE3FB0" w:rsidRDefault="00CE3FB0">
      <w:pPr>
        <w:pStyle w:val="FootnoteText"/>
      </w:pPr>
      <w:r>
        <w:rPr>
          <w:rStyle w:val="FootnoteReference"/>
        </w:rPr>
        <w:footnoteRef/>
      </w:r>
      <w:r>
        <w:t xml:space="preserve"> </w:t>
      </w:r>
      <w:r w:rsidRPr="00AB181D">
        <w:rPr>
          <w:i/>
        </w:rPr>
        <w:t>See supra</w:t>
      </w:r>
      <w:r>
        <w:t xml:space="preserve"> n.1.</w:t>
      </w:r>
    </w:p>
  </w:footnote>
  <w:footnote w:id="244">
    <w:p w:rsidR="00CE3FB0" w:rsidRDefault="00CE3FB0">
      <w:pPr>
        <w:pStyle w:val="FootnoteText"/>
      </w:pPr>
      <w:r>
        <w:rPr>
          <w:rStyle w:val="FootnoteReference"/>
        </w:rPr>
        <w:footnoteRef/>
      </w:r>
      <w:r>
        <w:t xml:space="preserve"> </w:t>
      </w:r>
      <w:r w:rsidRPr="009C36FC">
        <w:rPr>
          <w:i/>
        </w:rPr>
        <w:t>See</w:t>
      </w:r>
      <w:r>
        <w:t xml:space="preserve"> </w:t>
      </w:r>
      <w:r w:rsidRPr="00E05ADE">
        <w:t>D</w:t>
      </w:r>
      <w:r>
        <w:t>ish</w:t>
      </w:r>
      <w:r w:rsidRPr="00E05ADE">
        <w:t>W</w:t>
      </w:r>
      <w:r>
        <w:t>orld</w:t>
      </w:r>
      <w:r w:rsidRPr="00E05ADE">
        <w:t xml:space="preserve"> – Watch Live International T</w:t>
      </w:r>
      <w:r>
        <w:t>V</w:t>
      </w:r>
      <w:r w:rsidRPr="00E05ADE">
        <w:t xml:space="preserve"> Instantly, http://www.dishworld.com/ (last visited Oct. 2</w:t>
      </w:r>
      <w:r>
        <w:t>2</w:t>
      </w:r>
      <w:r w:rsidRPr="00E05ADE">
        <w:t>, 2014);</w:t>
      </w:r>
      <w:r>
        <w:t xml:space="preserve"> Edmund Lee, Scott Moritz and Alex Sherman, </w:t>
      </w:r>
      <w:r>
        <w:rPr>
          <w:i/>
          <w:iCs/>
        </w:rPr>
        <w:t>Dish Leads in Race to Offer Online TV to Compete With Cable</w:t>
      </w:r>
      <w:r>
        <w:t xml:space="preserve">, </w:t>
      </w:r>
      <w:r>
        <w:rPr>
          <w:smallCaps/>
        </w:rPr>
        <w:t>Bloomberg</w:t>
      </w:r>
      <w:r>
        <w:t xml:space="preserve">, March 15, 2014, </w:t>
      </w:r>
      <w:r>
        <w:rPr>
          <w:i/>
          <w:iCs/>
        </w:rPr>
        <w:t>available at</w:t>
      </w:r>
      <w:r>
        <w:t xml:space="preserve"> </w:t>
      </w:r>
      <w:hyperlink r:id="rId19" w:history="1">
        <w:r>
          <w:rPr>
            <w:rStyle w:val="Hyperlink"/>
          </w:rPr>
          <w:t>http://www.bloomberg.com/news/2014-03-04/dish-takes-lead-in-race-to-offer-streaming-tv-to-rival-cable.html</w:t>
        </w:r>
      </w:hyperlink>
      <w:r>
        <w:rPr>
          <w:rStyle w:val="Hyperlink"/>
        </w:rPr>
        <w:t>.</w:t>
      </w:r>
    </w:p>
  </w:footnote>
  <w:footnote w:id="245">
    <w:p w:rsidR="00CE3FB0" w:rsidRDefault="00CE3FB0">
      <w:pPr>
        <w:pStyle w:val="FootnoteText"/>
      </w:pPr>
      <w:r>
        <w:rPr>
          <w:rStyle w:val="FootnoteReference"/>
        </w:rPr>
        <w:footnoteRef/>
      </w:r>
      <w:r>
        <w:t xml:space="preserve"> </w:t>
      </w:r>
      <w:r w:rsidRPr="00AB181D">
        <w:rPr>
          <w:i/>
        </w:rPr>
        <w:t>See supra</w:t>
      </w:r>
      <w:r>
        <w:t xml:space="preserve"> ¶¶ 18-28.</w:t>
      </w:r>
    </w:p>
  </w:footnote>
  <w:footnote w:id="246">
    <w:p w:rsidR="00CE3FB0" w:rsidRDefault="00CE3FB0" w:rsidP="000D7180">
      <w:pPr>
        <w:pStyle w:val="FootnoteText"/>
      </w:pPr>
      <w:r>
        <w:rPr>
          <w:rStyle w:val="FootnoteReference"/>
        </w:rPr>
        <w:footnoteRef/>
      </w:r>
      <w:r>
        <w:t xml:space="preserve"> </w:t>
      </w:r>
      <w:r w:rsidRPr="00AB181D">
        <w:rPr>
          <w:i/>
        </w:rPr>
        <w:t>See</w:t>
      </w:r>
      <w:r>
        <w:t xml:space="preserve"> 47 C.F.R. </w:t>
      </w:r>
      <w:r w:rsidRPr="004B65E4">
        <w:t>§</w:t>
      </w:r>
      <w:r>
        <w:t xml:space="preserve"> 25.103 (defining Direct Broadcast Satellite Service as “</w:t>
      </w:r>
      <w:r w:rsidRPr="00C21F2F">
        <w:t>A radiocommunication service in which signals transmitted or retransmitted by Broadcasting-Satellite Service space stations in the 12.2-12.7 GHz band are intended for direct reception by subscribers or the general public. For the purposes of this definition, the term direct reception includes individual reception and community reception.</w:t>
      </w:r>
      <w:r>
        <w:t xml:space="preserve">”).  </w:t>
      </w:r>
      <w:r w:rsidRPr="00AB181D">
        <w:rPr>
          <w:i/>
        </w:rPr>
        <w:t>See also</w:t>
      </w:r>
      <w:r>
        <w:t xml:space="preserve"> 47 U.S.C. </w:t>
      </w:r>
      <w:r w:rsidRPr="004B65E4">
        <w:t>§</w:t>
      </w:r>
      <w:r>
        <w:t xml:space="preserve"> 335(b)(5) (stating that for purposes of that subsection, “‘provider of direct broadcast satellite service’ means—(i) a licensee for a Ku-band satellite system under part 100 of title 47 of the Code of Federal Regulations; or (ii) any distributor who controls a minimum number of channels (as specified by Commission regulation) using a Ku-band fixed service satellite system for the provision of video programming directly to the home and licensed under part 25 of title 47 of the Code of Federal Regulations.”  The Commission eliminated </w:t>
      </w:r>
      <w:r w:rsidRPr="00826621">
        <w:t xml:space="preserve">Part 100 </w:t>
      </w:r>
      <w:r>
        <w:t>from the r</w:t>
      </w:r>
      <w:r w:rsidRPr="00826621">
        <w:t>ules in 2002</w:t>
      </w:r>
      <w:r>
        <w:t>;</w:t>
      </w:r>
      <w:r w:rsidRPr="00826621">
        <w:t xml:space="preserve"> DBS satellite facilities </w:t>
      </w:r>
      <w:r>
        <w:t xml:space="preserve">now </w:t>
      </w:r>
      <w:r w:rsidRPr="00826621">
        <w:t xml:space="preserve">are licensed </w:t>
      </w:r>
      <w:r>
        <w:t>under</w:t>
      </w:r>
      <w:r w:rsidRPr="00826621">
        <w:t xml:space="preserve"> Part 25 of the rules. </w:t>
      </w:r>
      <w:r w:rsidRPr="00AB181D">
        <w:rPr>
          <w:i/>
        </w:rPr>
        <w:t>Policies and Rules for the Direct Broadcast Satellite Service</w:t>
      </w:r>
      <w:r>
        <w:t>, 17 FCC Rcd 11331 (2002).).</w:t>
      </w:r>
    </w:p>
  </w:footnote>
  <w:footnote w:id="247">
    <w:p w:rsidR="00CE3FB0" w:rsidRPr="004B65E4" w:rsidRDefault="00CE3FB0" w:rsidP="00EF3D34">
      <w:pPr>
        <w:pStyle w:val="FootnoteText"/>
        <w:rPr>
          <w:i/>
          <w:iCs/>
        </w:rPr>
      </w:pPr>
      <w:r w:rsidRPr="004B65E4">
        <w:rPr>
          <w:rStyle w:val="FootnoteReference"/>
        </w:rPr>
        <w:footnoteRef/>
      </w:r>
      <w:r w:rsidRPr="004B65E4">
        <w:t xml:space="preserve"> 47 C.F.R. §§ 1.1200 </w:t>
      </w:r>
      <w:r w:rsidRPr="007527BB">
        <w:rPr>
          <w:iCs/>
        </w:rPr>
        <w:t>– 1.1216</w:t>
      </w:r>
      <w:r w:rsidRPr="004B65E4">
        <w:rPr>
          <w:i/>
          <w:iCs/>
        </w:rPr>
        <w:t>.</w:t>
      </w:r>
    </w:p>
  </w:footnote>
  <w:footnote w:id="248">
    <w:p w:rsidR="00CE3FB0" w:rsidRPr="00197B13" w:rsidRDefault="00CE3FB0" w:rsidP="00184229">
      <w:pPr>
        <w:pStyle w:val="FootnoteText"/>
      </w:pPr>
      <w:r w:rsidRPr="00BF4DC0">
        <w:rPr>
          <w:rStyle w:val="FootnoteReference"/>
        </w:rPr>
        <w:footnoteRef/>
      </w:r>
      <w:r w:rsidRPr="00BF4DC0">
        <w:t xml:space="preserve"> </w:t>
      </w:r>
      <w:r w:rsidRPr="00BF4DC0">
        <w:rPr>
          <w:i/>
        </w:rPr>
        <w:t>See</w:t>
      </w:r>
      <w:r w:rsidRPr="00BF4DC0">
        <w:t xml:space="preserve"> </w:t>
      </w:r>
      <w:r w:rsidRPr="00BF4DC0">
        <w:rPr>
          <w:i/>
        </w:rPr>
        <w:t>id</w:t>
      </w:r>
      <w:r w:rsidRPr="00BF4DC0">
        <w:t>. §§ 1.415, 1.419.</w:t>
      </w:r>
    </w:p>
  </w:footnote>
  <w:footnote w:id="249">
    <w:p w:rsidR="00CE3FB0" w:rsidRPr="002459CD" w:rsidRDefault="00CE3FB0" w:rsidP="00184229">
      <w:pPr>
        <w:pStyle w:val="FootnoteText"/>
        <w:rPr>
          <w:highlight w:val="yellow"/>
        </w:rPr>
      </w:pPr>
      <w:r w:rsidRPr="00197B13">
        <w:rPr>
          <w:rStyle w:val="FootnoteReference"/>
        </w:rPr>
        <w:footnoteRef/>
      </w:r>
      <w:r w:rsidRPr="00197B13">
        <w:t xml:space="preserve"> </w:t>
      </w:r>
      <w:r w:rsidRPr="00197B13">
        <w:rPr>
          <w:i/>
        </w:rPr>
        <w:t>See</w:t>
      </w:r>
      <w:r w:rsidRPr="00197B13">
        <w:t xml:space="preserve"> </w:t>
      </w:r>
      <w:r w:rsidRPr="00197B13">
        <w:rPr>
          <w:i/>
        </w:rPr>
        <w:t>Electronic Filing of Documents in</w:t>
      </w:r>
      <w:r w:rsidRPr="005C1302">
        <w:rPr>
          <w:i/>
        </w:rPr>
        <w:t xml:space="preserve"> Rulemaking Proceedings</w:t>
      </w:r>
      <w:r w:rsidRPr="005C1302">
        <w:t>, 63 FR 24121 (1998</w:t>
      </w:r>
      <w:r w:rsidRPr="002459CD">
        <w:t>).</w:t>
      </w:r>
    </w:p>
  </w:footnote>
  <w:footnote w:id="250">
    <w:p w:rsidR="00CE3FB0" w:rsidRDefault="00CE3FB0" w:rsidP="00184229">
      <w:pPr>
        <w:pStyle w:val="FootnoteText"/>
        <w:rPr>
          <w:highlight w:val="yellow"/>
        </w:rPr>
      </w:pPr>
      <w:r>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 – 612, has been amended by the Small Business Regulatory Enforcement Fairness Act of 1996 (SBREFA), Pub. L. No. 104-121, Title II, 110 Stat. 857 (1996).</w:t>
      </w:r>
    </w:p>
  </w:footnote>
  <w:footnote w:id="251">
    <w:p w:rsidR="00CE3FB0" w:rsidRDefault="00CE3FB0" w:rsidP="00184229">
      <w:pPr>
        <w:pStyle w:val="FootnoteText"/>
      </w:pPr>
      <w:r>
        <w:rPr>
          <w:rStyle w:val="FootnoteReference"/>
        </w:rPr>
        <w:footnoteRef/>
      </w:r>
      <w:r>
        <w:t xml:space="preserve"> </w:t>
      </w:r>
      <w:r>
        <w:rPr>
          <w:i/>
        </w:rPr>
        <w:t>See</w:t>
      </w:r>
      <w:r>
        <w:t xml:space="preserve"> 5 U.S.C. § 603(a).</w:t>
      </w:r>
    </w:p>
  </w:footnote>
  <w:footnote w:id="252">
    <w:p w:rsidR="00CE3FB0" w:rsidRDefault="00CE3FB0" w:rsidP="00184229">
      <w:pPr>
        <w:pStyle w:val="FootnoteText"/>
        <w:rPr>
          <w:highlight w:val="yellow"/>
        </w:rPr>
      </w:pPr>
      <w:r>
        <w:rPr>
          <w:rStyle w:val="FootnoteReference"/>
        </w:rPr>
        <w:footnoteRef/>
      </w:r>
      <w:r>
        <w:t xml:space="preserve"> </w:t>
      </w:r>
      <w:r>
        <w:rPr>
          <w:i/>
        </w:rPr>
        <w:t>See</w:t>
      </w:r>
      <w:r>
        <w:t xml:space="preserve"> </w:t>
      </w:r>
      <w:r>
        <w:rPr>
          <w:i/>
        </w:rPr>
        <w:t>id</w:t>
      </w:r>
      <w:r>
        <w:t>.</w:t>
      </w:r>
    </w:p>
  </w:footnote>
  <w:footnote w:id="253">
    <w:p w:rsidR="00CE3FB0" w:rsidRPr="002459CD" w:rsidRDefault="00CE3FB0" w:rsidP="00B82337">
      <w:pPr>
        <w:pStyle w:val="FootnoteText"/>
      </w:pPr>
      <w:r w:rsidRPr="002459CD">
        <w:rPr>
          <w:rStyle w:val="FootnoteReference"/>
        </w:rPr>
        <w:footnoteRef/>
      </w:r>
      <w:r w:rsidRPr="002459CD">
        <w:t xml:space="preserve"> 47 U.S.C. § 522(13); </w:t>
      </w:r>
      <w:r w:rsidRPr="002459CD">
        <w:rPr>
          <w:i/>
        </w:rPr>
        <w:t>see also</w:t>
      </w:r>
      <w:r w:rsidRPr="002459CD">
        <w:t xml:space="preserve"> 47 C.F.R. §</w:t>
      </w:r>
      <w:r>
        <w:t xml:space="preserve">§ </w:t>
      </w:r>
      <w:r w:rsidRPr="002459CD">
        <w:t>76.64(d)</w:t>
      </w:r>
      <w:r>
        <w:t xml:space="preserve">, </w:t>
      </w:r>
      <w:r w:rsidRPr="002459CD">
        <w:t>76.71(a)</w:t>
      </w:r>
      <w:r>
        <w:t xml:space="preserve">, </w:t>
      </w:r>
      <w:r w:rsidRPr="002459CD">
        <w:t>76.905(d)</w:t>
      </w:r>
      <w:r>
        <w:t xml:space="preserve">, </w:t>
      </w:r>
      <w:r w:rsidRPr="002459CD">
        <w:t>76.1000(e)</w:t>
      </w:r>
      <w:r>
        <w:t xml:space="preserve">, </w:t>
      </w:r>
      <w:r w:rsidRPr="002459CD">
        <w:t>76.1200(b)</w:t>
      </w:r>
      <w:r>
        <w:t xml:space="preserve">, </w:t>
      </w:r>
      <w:r w:rsidRPr="002459CD">
        <w:t xml:space="preserve">76.1300(d).    </w:t>
      </w:r>
    </w:p>
  </w:footnote>
  <w:footnote w:id="254">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U.S.C. § 548; 47 C.F.R. §§ 76.1000-1004.  Among other things, these rules require cable-affiliated programmers to make their programming available to MVPDs on nondiscriminatory rates, terms, and conditions.</w:t>
      </w:r>
    </w:p>
  </w:footnote>
  <w:footnote w:id="255">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U.S.C. § 325(b)(3)(C)(ii); 47 C.F.R. § 76.65.  Among other things, these rules require broadcasters to negotiate in good faith with MVPDs for retransmission consent.</w:t>
      </w:r>
    </w:p>
  </w:footnote>
  <w:footnote w:id="256">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U.S.C. § 536; 47 C.F.R. §§ 76.1300-1302.</w:t>
      </w:r>
    </w:p>
  </w:footnote>
  <w:footnote w:id="257">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U.S.C. § 549; 47 C.F.R. §§ 76.1200-1210.</w:t>
      </w:r>
    </w:p>
  </w:footnote>
  <w:footnote w:id="258">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U.S.C. § 325(b)(3)(C)(iii); 47 C.F.R. § 76.65(b).</w:t>
      </w:r>
    </w:p>
  </w:footnote>
  <w:footnote w:id="259">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C.F.R. §§ 76.71-79, 76.1792, 76.1802.</w:t>
      </w:r>
    </w:p>
  </w:footnote>
  <w:footnote w:id="260">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C.F.R. § 79.1.  </w:t>
      </w:r>
    </w:p>
  </w:footnote>
  <w:footnote w:id="261">
    <w:p w:rsidR="00CE3FB0" w:rsidRDefault="00CE3FB0" w:rsidP="00EE4F61">
      <w:pPr>
        <w:pStyle w:val="FootnoteText"/>
      </w:pPr>
      <w:r>
        <w:rPr>
          <w:rStyle w:val="FootnoteReference"/>
        </w:rPr>
        <w:footnoteRef/>
      </w:r>
      <w:r>
        <w:t xml:space="preserve"> </w:t>
      </w:r>
      <w:r w:rsidRPr="002459CD">
        <w:rPr>
          <w:i/>
        </w:rPr>
        <w:t>See</w:t>
      </w:r>
      <w:r w:rsidRPr="002459CD">
        <w:t xml:space="preserve"> 47 C.F.R. § 79.</w:t>
      </w:r>
      <w:r>
        <w:t>3</w:t>
      </w:r>
      <w:r w:rsidRPr="002459CD">
        <w:t>.</w:t>
      </w:r>
    </w:p>
  </w:footnote>
  <w:footnote w:id="262">
    <w:p w:rsidR="00CE3FB0" w:rsidRDefault="00CE3FB0" w:rsidP="00EE4F61">
      <w:pPr>
        <w:pStyle w:val="FootnoteText"/>
      </w:pPr>
      <w:r>
        <w:rPr>
          <w:rStyle w:val="FootnoteReference"/>
        </w:rPr>
        <w:footnoteRef/>
      </w:r>
      <w:r>
        <w:t xml:space="preserve"> </w:t>
      </w:r>
      <w:r w:rsidRPr="002459CD">
        <w:rPr>
          <w:i/>
        </w:rPr>
        <w:t>See</w:t>
      </w:r>
      <w:r>
        <w:t xml:space="preserve"> 47 C.F.R. § 79.2</w:t>
      </w:r>
      <w:r w:rsidRPr="002459CD">
        <w:t>.</w:t>
      </w:r>
    </w:p>
  </w:footnote>
  <w:footnote w:id="263">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C.F.R. § 76.610; </w:t>
      </w:r>
      <w:r w:rsidRPr="002459CD">
        <w:rPr>
          <w:i/>
        </w:rPr>
        <w:t>see also</w:t>
      </w:r>
      <w:r w:rsidRPr="002459CD">
        <w:t xml:space="preserve"> 47 C.F.R. §§ 76.605(a)(12), 76.611, 76.614, 76.1803; 1.1705(a)(1) (FCC Form 320 – Basic Signal Leakage Performance Report).</w:t>
      </w:r>
    </w:p>
  </w:footnote>
  <w:footnote w:id="264">
    <w:p w:rsidR="00CE3FB0" w:rsidRPr="002459CD" w:rsidRDefault="00CE3FB0" w:rsidP="00EE4F61">
      <w:pPr>
        <w:pStyle w:val="FootnoteText"/>
      </w:pPr>
      <w:r w:rsidRPr="002459CD">
        <w:rPr>
          <w:rStyle w:val="FootnoteReference"/>
        </w:rPr>
        <w:footnoteRef/>
      </w:r>
      <w:r w:rsidRPr="002459CD">
        <w:t xml:space="preserve"> </w:t>
      </w:r>
      <w:r w:rsidRPr="002459CD">
        <w:rPr>
          <w:i/>
        </w:rPr>
        <w:t>See</w:t>
      </w:r>
      <w:r w:rsidRPr="002459CD">
        <w:t xml:space="preserve"> 47 C.F.R. §§ 76.800-806.</w:t>
      </w:r>
    </w:p>
  </w:footnote>
  <w:footnote w:id="265">
    <w:p w:rsidR="00CE3FB0" w:rsidRDefault="00CE3FB0" w:rsidP="00184229">
      <w:pPr>
        <w:pStyle w:val="FootnoteText"/>
      </w:pPr>
      <w:r>
        <w:rPr>
          <w:rStyle w:val="FootnoteReference"/>
        </w:rPr>
        <w:footnoteRef/>
      </w:r>
      <w:r>
        <w:t xml:space="preserve"> 5 U.S.C. § 603(b)(3).</w:t>
      </w:r>
    </w:p>
  </w:footnote>
  <w:footnote w:id="266">
    <w:p w:rsidR="00CE3FB0" w:rsidRDefault="00CE3FB0" w:rsidP="00184229">
      <w:pPr>
        <w:pStyle w:val="FootnoteText"/>
      </w:pPr>
      <w:r>
        <w:rPr>
          <w:rStyle w:val="FootnoteReference"/>
        </w:rPr>
        <w:footnoteRef/>
      </w:r>
      <w:r>
        <w:t xml:space="preserve"> 5 U.S.C. § 601(6).</w:t>
      </w:r>
    </w:p>
  </w:footnote>
  <w:footnote w:id="267">
    <w:p w:rsidR="00CE3FB0" w:rsidRDefault="00CE3FB0" w:rsidP="00184229">
      <w:pPr>
        <w:pStyle w:val="FootnoteText"/>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68">
    <w:p w:rsidR="00CE3FB0" w:rsidRDefault="00CE3FB0" w:rsidP="00184229">
      <w:pPr>
        <w:pStyle w:val="FootnoteText"/>
      </w:pPr>
      <w:r>
        <w:rPr>
          <w:rStyle w:val="FootnoteReference"/>
        </w:rPr>
        <w:footnoteRef/>
      </w:r>
      <w:r>
        <w:t xml:space="preserve"> 15 U.S.C. § 632.</w:t>
      </w:r>
    </w:p>
  </w:footnote>
  <w:footnote w:id="269">
    <w:p w:rsidR="00CE3FB0" w:rsidRDefault="00CE3FB0" w:rsidP="00184229">
      <w:pPr>
        <w:pStyle w:val="FootnoteText"/>
      </w:pPr>
      <w:r>
        <w:rPr>
          <w:rStyle w:val="FootnoteReference"/>
        </w:rPr>
        <w:footnoteRef/>
      </w:r>
      <w:r>
        <w:t xml:space="preserve"> U.S. Census Bureau, 2012 NAICS Definitions, “</w:t>
      </w:r>
      <w:r>
        <w:rPr>
          <w:bCs/>
        </w:rPr>
        <w:t xml:space="preserve">517110 Wired Telecommunications Carriers” (partial definition), at </w:t>
      </w:r>
      <w:hyperlink r:id="rId20"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70">
    <w:p w:rsidR="00CE3FB0" w:rsidRDefault="00CE3FB0" w:rsidP="00184229">
      <w:pPr>
        <w:pStyle w:val="FootnoteText"/>
      </w:pPr>
      <w:r>
        <w:rPr>
          <w:rStyle w:val="FootnoteReference"/>
        </w:rPr>
        <w:footnoteRef/>
      </w:r>
      <w:r>
        <w:t xml:space="preserve"> 13 C.F.R. § 121.201; 2012 NAICS code 517110.</w:t>
      </w:r>
    </w:p>
  </w:footnote>
  <w:footnote w:id="271">
    <w:p w:rsidR="00CE3FB0" w:rsidRDefault="00CE3FB0" w:rsidP="00184229">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21" w:history="1">
        <w:r>
          <w:rPr>
            <w:rStyle w:val="Hyperlink"/>
          </w:rPr>
          <w:t>http://factfinder2.census.gov/faces/nav/jsf/pages/index.xhtml</w:t>
        </w:r>
      </w:hyperlink>
      <w:r>
        <w:t>.</w:t>
      </w:r>
    </w:p>
  </w:footnote>
  <w:footnote w:id="272">
    <w:p w:rsidR="00CE3FB0" w:rsidRDefault="00CE3FB0" w:rsidP="00184229">
      <w:pPr>
        <w:pStyle w:val="FootnoteText"/>
      </w:pPr>
      <w:r>
        <w:rPr>
          <w:rStyle w:val="FootnoteReference"/>
        </w:rPr>
        <w:footnoteRef/>
      </w:r>
      <w:r>
        <w:t xml:space="preserve"> </w:t>
      </w:r>
      <w:r>
        <w:rPr>
          <w:i/>
        </w:rPr>
        <w:t>Id</w:t>
      </w:r>
      <w:r>
        <w:t>.</w:t>
      </w:r>
    </w:p>
  </w:footnote>
  <w:footnote w:id="273">
    <w:p w:rsidR="00CE3FB0" w:rsidRDefault="00CE3FB0" w:rsidP="00184229">
      <w:pPr>
        <w:pStyle w:val="FootnoteText"/>
        <w:rPr>
          <w:i/>
        </w:rPr>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Cable Television Consumer Protection And Competition Act of 1992: Rate Regulation, </w:t>
      </w:r>
      <w:r>
        <w:t>MM Docket No. 92-266, MM Docket No. 93-215</w:t>
      </w:r>
      <w:r>
        <w:rPr>
          <w:i/>
        </w:rPr>
        <w:t xml:space="preserve">, </w:t>
      </w:r>
      <w:r>
        <w:t>Sixth Report and Order and Eleventh Order on Reconsideration, 10 FCC Rcd 7393, 7408, ¶ 28 (1995).</w:t>
      </w:r>
    </w:p>
  </w:footnote>
  <w:footnote w:id="274">
    <w:p w:rsidR="00CE3FB0" w:rsidRDefault="00CE3FB0" w:rsidP="00184229">
      <w:pPr>
        <w:pStyle w:val="FootnoteText"/>
      </w:pPr>
      <w:r>
        <w:rPr>
          <w:rStyle w:val="FootnoteReference"/>
        </w:rPr>
        <w:footnoteRef/>
      </w:r>
      <w:r>
        <w:t xml:space="preserve"> NCTA, Industry Data, Number of Cable Operating Companies (December 2012), </w:t>
      </w:r>
      <w:hyperlink r:id="rId22" w:history="1">
        <w:r>
          <w:rPr>
            <w:rStyle w:val="Hyperlink"/>
          </w:rPr>
          <w:t>http://www.ncta.com/Statistics.aspx</w:t>
        </w:r>
      </w:hyperlink>
      <w:r>
        <w:t xml:space="preserve"> (visited Feb. 21, 2014).  Depending upon the number of homes and the size of the geographic area served, cable operators use one or more cable systems to provide video service.  </w:t>
      </w:r>
      <w:r>
        <w:rPr>
          <w:i/>
        </w:rPr>
        <w:t xml:space="preserve">See Annual Assessment of the Status of Competition in the Market for Delivery of Video Programming, </w:t>
      </w:r>
      <w:r>
        <w:t>MB Docket No. 12-203, Fifteenth Report, 28 FCC Rcd 10496, 10505-6, ¶ 24 (2013) (“</w:t>
      </w:r>
      <w:r>
        <w:rPr>
          <w:i/>
        </w:rPr>
        <w:t>15</w:t>
      </w:r>
      <w:r>
        <w:rPr>
          <w:i/>
          <w:vertAlign w:val="superscript"/>
        </w:rPr>
        <w:t>th</w:t>
      </w:r>
      <w:r>
        <w:rPr>
          <w:i/>
        </w:rPr>
        <w:t xml:space="preserve"> Annual Competition Report</w:t>
      </w:r>
      <w:r>
        <w:t>”</w:t>
      </w:r>
      <w:r>
        <w:rPr>
          <w:i/>
        </w:rPr>
        <w:t>)</w:t>
      </w:r>
      <w:r>
        <w:t>.</w:t>
      </w:r>
    </w:p>
  </w:footnote>
  <w:footnote w:id="275">
    <w:p w:rsidR="00CE3FB0" w:rsidRDefault="00CE3FB0" w:rsidP="00184229">
      <w:pPr>
        <w:pStyle w:val="FootnoteText"/>
      </w:pPr>
      <w:r>
        <w:rPr>
          <w:rStyle w:val="FootnoteReference"/>
        </w:rPr>
        <w:footnoteRef/>
      </w:r>
      <w:r>
        <w:t xml:space="preserve"> </w:t>
      </w:r>
      <w:r>
        <w:rPr>
          <w:i/>
        </w:rPr>
        <w:t xml:space="preserve">See </w:t>
      </w:r>
      <w:r>
        <w:t xml:space="preserve">SNL Kagan, “Top Cable MSOs – 09/13 Q”; available at </w:t>
      </w:r>
      <w:hyperlink r:id="rId23" w:history="1">
        <w:r>
          <w:rPr>
            <w:rStyle w:val="Hyperlink"/>
          </w:rPr>
          <w:t>http://www.snl.com/InteractiveX/TopCableMSOs.aspx?period=2013Q3&amp;sortcol=subscribersbasic&amp;sortorder=desc</w:t>
        </w:r>
      </w:hyperlink>
      <w:r>
        <w:t>. 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24" w:history="1">
        <w:r>
          <w:rPr>
            <w:rStyle w:val="Hyperlink"/>
          </w:rPr>
          <w:t>http://www.ncta.com/industry-data</w:t>
        </w:r>
      </w:hyperlink>
      <w:r>
        <w:t xml:space="preserve"> (visited Feb. 21, 2014).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Pr>
          <w:i/>
        </w:rPr>
        <w:t>CALM Act Report and Order</w:t>
      </w:r>
      <w:r>
        <w:t>”) (defining a smaller MVPD operator as one serving 400,000 or fewer subscribers nationwide, as of December 31, 2011).</w:t>
      </w:r>
    </w:p>
  </w:footnote>
  <w:footnote w:id="276">
    <w:p w:rsidR="00CE3FB0" w:rsidRDefault="00CE3FB0" w:rsidP="00184229">
      <w:pPr>
        <w:pStyle w:val="FootnoteText"/>
      </w:pPr>
      <w:r>
        <w:rPr>
          <w:rStyle w:val="FootnoteReference"/>
        </w:rPr>
        <w:footnoteRef/>
      </w:r>
      <w:r>
        <w:t xml:space="preserve"> 47 C.F.R. § 76.901(c).  </w:t>
      </w:r>
    </w:p>
  </w:footnote>
  <w:footnote w:id="277">
    <w:p w:rsidR="00CE3FB0" w:rsidRDefault="00CE3FB0" w:rsidP="00184229">
      <w:pPr>
        <w:pStyle w:val="FootnoteText"/>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278">
    <w:p w:rsidR="00CE3FB0" w:rsidRDefault="00CE3FB0" w:rsidP="00184229">
      <w:pPr>
        <w:pStyle w:val="FootnoteText"/>
      </w:pPr>
      <w:r>
        <w:rPr>
          <w:rStyle w:val="FootnoteReference"/>
        </w:rPr>
        <w:footnoteRef/>
      </w:r>
      <w:r>
        <w:t xml:space="preserve"> 47 U.S.C. § 543(m)(2); </w:t>
      </w:r>
      <w:r>
        <w:rPr>
          <w:i/>
        </w:rPr>
        <w:t>see</w:t>
      </w:r>
      <w:r>
        <w:t xml:space="preserve"> 47 C.F.R. § 76.901(f) &amp; nn. 1-3.</w:t>
      </w:r>
    </w:p>
  </w:footnote>
  <w:footnote w:id="279">
    <w:p w:rsidR="00CE3FB0" w:rsidRDefault="00CE3FB0" w:rsidP="00184229">
      <w:pPr>
        <w:pStyle w:val="FootnoteText"/>
      </w:pPr>
      <w:r>
        <w:rPr>
          <w:rStyle w:val="FootnoteReference"/>
        </w:rPr>
        <w:footnoteRef/>
      </w:r>
      <w:r>
        <w:t xml:space="preserve"> </w:t>
      </w:r>
      <w:r>
        <w:rPr>
          <w:i/>
        </w:rPr>
        <w:t>See</w:t>
      </w:r>
      <w:r>
        <w:t xml:space="preserve"> NCTA, Industry Data, Cable Video Customers (2012), </w:t>
      </w:r>
      <w:hyperlink r:id="rId25" w:history="1">
        <w:r>
          <w:rPr>
            <w:rStyle w:val="Hyperlink"/>
          </w:rPr>
          <w:t>http://www.ncta.com/industry-data</w:t>
        </w:r>
      </w:hyperlink>
      <w:r>
        <w:t xml:space="preserve"> (visited Feb. 21, 2014).</w:t>
      </w:r>
    </w:p>
  </w:footnote>
  <w:footnote w:id="280">
    <w:p w:rsidR="00CE3FB0" w:rsidRDefault="00CE3FB0" w:rsidP="00184229">
      <w:pPr>
        <w:pStyle w:val="FootnoteTex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281">
    <w:p w:rsidR="00CE3FB0" w:rsidRDefault="00CE3FB0" w:rsidP="00184229">
      <w:pPr>
        <w:pStyle w:val="FootnoteText"/>
      </w:pPr>
      <w:r>
        <w:rPr>
          <w:rStyle w:val="FootnoteReference"/>
        </w:rPr>
        <w:footnoteRef/>
      </w:r>
      <w:r>
        <w:t xml:space="preserve"> </w:t>
      </w:r>
      <w:r>
        <w:rPr>
          <w:i/>
        </w:rPr>
        <w:t>See</w:t>
      </w:r>
      <w:r>
        <w:t xml:space="preserve"> NCTA, Industry Data, Top 25 Multichannel Video Service Customers (2012), </w:t>
      </w:r>
      <w:hyperlink r:id="rId26" w:history="1">
        <w:r>
          <w:rPr>
            <w:rStyle w:val="Hyperlink"/>
          </w:rPr>
          <w:t>http://www.ncta.com/industry-data</w:t>
        </w:r>
      </w:hyperlink>
      <w:r>
        <w:t xml:space="preserve"> (visited Feb. 21, 2014).</w:t>
      </w:r>
    </w:p>
  </w:footnote>
  <w:footnote w:id="282">
    <w:p w:rsidR="00CE3FB0" w:rsidRDefault="00CE3FB0" w:rsidP="00184229">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283">
    <w:p w:rsidR="00CE3FB0" w:rsidRDefault="00CE3FB0" w:rsidP="00184229">
      <w:pPr>
        <w:pStyle w:val="FootnoteText"/>
      </w:pPr>
      <w:r>
        <w:rPr>
          <w:rStyle w:val="FootnoteReference"/>
        </w:rPr>
        <w:footnoteRef/>
      </w:r>
      <w:r>
        <w:t xml:space="preserve"> U.S. Census Bureau, 2012 NAICS Definitions, “515120 Television Broadcasting,” at </w:t>
      </w:r>
      <w:hyperlink r:id="rId27" w:history="1">
        <w:r>
          <w:rPr>
            <w:rStyle w:val="Hyperlink"/>
          </w:rPr>
          <w:t>http://www.census.gov./cgi-bin/sssd/naics/naicsrch</w:t>
        </w:r>
      </w:hyperlink>
      <w:r>
        <w:t>.</w:t>
      </w:r>
    </w:p>
  </w:footnote>
  <w:footnote w:id="284">
    <w:p w:rsidR="00CE3FB0" w:rsidRDefault="00CE3FB0" w:rsidP="00184229">
      <w:pPr>
        <w:pStyle w:val="FootnoteText"/>
      </w:pPr>
      <w:r>
        <w:rPr>
          <w:rStyle w:val="FootnoteReference"/>
        </w:rPr>
        <w:footnoteRef/>
      </w:r>
      <w:r>
        <w:t xml:space="preserve"> 13 C.F.R. § 121.201; 2012 NAICS code 515120.</w:t>
      </w:r>
    </w:p>
  </w:footnote>
  <w:footnote w:id="285">
    <w:p w:rsidR="00CE3FB0" w:rsidRPr="006B1E34" w:rsidRDefault="00CE3FB0" w:rsidP="000E6677">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r w:rsidRPr="006B1E34">
        <w:t>http://factfinder2.census.gov/faces/tableservices/jsf/pages/productview.xhtml?pid=ECN_2007_US_51SSSZ4&amp;prodType=table</w:t>
      </w:r>
    </w:p>
  </w:footnote>
  <w:footnote w:id="286">
    <w:p w:rsidR="00CE3FB0" w:rsidRDefault="00CE3FB0" w:rsidP="00195266">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28" w:history="1">
        <w:r w:rsidRPr="00620E39">
          <w:rPr>
            <w:rStyle w:val="Hyperlink"/>
          </w:rPr>
          <w:t>https://apps.fcc.gov/edocs_public/attachmatch/DOC-328096A1.pdf</w:t>
        </w:r>
      </w:hyperlink>
      <w:r>
        <w:t>.</w:t>
      </w:r>
    </w:p>
  </w:footnote>
  <w:footnote w:id="287">
    <w:p w:rsidR="00CE3FB0" w:rsidRDefault="00CE3FB0" w:rsidP="00195266">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288">
    <w:p w:rsidR="00CE3FB0" w:rsidRDefault="00CE3FB0" w:rsidP="00195266">
      <w:pPr>
        <w:pStyle w:val="FootnoteText"/>
      </w:pPr>
      <w:r>
        <w:rPr>
          <w:rStyle w:val="FootnoteReference"/>
        </w:rPr>
        <w:footnoteRef/>
      </w:r>
      <w:r>
        <w:t xml:space="preserve">  </w:t>
      </w:r>
      <w:r>
        <w:rPr>
          <w:i/>
        </w:rPr>
        <w:t>See generally</w:t>
      </w:r>
      <w:r>
        <w:t xml:space="preserve"> 5 U.S.C. §§ 601(4), (6).</w:t>
      </w:r>
    </w:p>
  </w:footnote>
  <w:footnote w:id="289">
    <w:p w:rsidR="00CE3FB0" w:rsidRDefault="00CE3FB0" w:rsidP="00184229">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290">
    <w:p w:rsidR="00CE3FB0" w:rsidRDefault="00CE3FB0" w:rsidP="00184229">
      <w:pPr>
        <w:pStyle w:val="FootnoteText"/>
      </w:pPr>
      <w:r>
        <w:rPr>
          <w:rStyle w:val="FootnoteReference"/>
        </w:rPr>
        <w:footnoteRef/>
      </w:r>
      <w:r>
        <w:t xml:space="preserve"> </w:t>
      </w:r>
      <w:r>
        <w:rPr>
          <w:i/>
        </w:rPr>
        <w:t>See Jan. 8, 2014 Broadcast Station Totals Press Release</w:t>
      </w:r>
      <w:r>
        <w:t xml:space="preserve">. </w:t>
      </w:r>
    </w:p>
  </w:footnote>
  <w:footnote w:id="291">
    <w:p w:rsidR="00CE3FB0" w:rsidRDefault="00CE3FB0" w:rsidP="00184229">
      <w:pPr>
        <w:pStyle w:val="FootnoteText"/>
      </w:pPr>
      <w:r>
        <w:rPr>
          <w:rStyle w:val="FootnoteReference"/>
        </w:rPr>
        <w:footnoteRef/>
      </w:r>
      <w:r>
        <w:t xml:space="preserve"> </w:t>
      </w:r>
      <w:r>
        <w:rPr>
          <w:i/>
        </w:rPr>
        <w:t>See generally</w:t>
      </w:r>
      <w:r>
        <w:t xml:space="preserve"> 5 U.S.C. §§ 601(4), (6).</w:t>
      </w:r>
    </w:p>
  </w:footnote>
  <w:footnote w:id="292">
    <w:p w:rsidR="00CE3FB0" w:rsidRDefault="00CE3FB0" w:rsidP="0018422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29" w:history="1">
        <w:r>
          <w:rPr>
            <w:rStyle w:val="Hyperlink"/>
          </w:rPr>
          <w:t>http://www.census.gov/cgi-bin/sssd/naics/naicsrch</w:t>
        </w:r>
      </w:hyperlink>
      <w:r>
        <w:rPr>
          <w:rStyle w:val="Hyperlink"/>
        </w:rPr>
        <w:t>.</w:t>
      </w:r>
    </w:p>
  </w:footnote>
  <w:footnote w:id="293">
    <w:p w:rsidR="00CE3FB0" w:rsidRDefault="00CE3FB0" w:rsidP="00184229">
      <w:pPr>
        <w:pStyle w:val="FootnoteText"/>
      </w:pPr>
      <w:r>
        <w:rPr>
          <w:rStyle w:val="FootnoteReference"/>
        </w:rPr>
        <w:footnoteRef/>
      </w:r>
      <w:r>
        <w:t xml:space="preserve"> 13 C.F.R. § 121.201; 2012 NAICS code 517110.</w:t>
      </w:r>
    </w:p>
  </w:footnote>
  <w:footnote w:id="294">
    <w:p w:rsidR="00CE3FB0" w:rsidRDefault="00CE3FB0" w:rsidP="00184229">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30" w:history="1">
        <w:r>
          <w:rPr>
            <w:rStyle w:val="Hyperlink"/>
          </w:rPr>
          <w:t>http://factfinder2.census.gov/faces/nav/jsf/pages/index.xhtml</w:t>
        </w:r>
      </w:hyperlink>
      <w:r>
        <w:t>.</w:t>
      </w:r>
    </w:p>
  </w:footnote>
  <w:footnote w:id="295">
    <w:p w:rsidR="00CE3FB0" w:rsidRDefault="00CE3FB0" w:rsidP="00184229">
      <w:pPr>
        <w:pStyle w:val="FootnoteText"/>
      </w:pPr>
      <w:r>
        <w:rPr>
          <w:rStyle w:val="FootnoteReference"/>
        </w:rPr>
        <w:footnoteRef/>
      </w:r>
      <w:r>
        <w:t xml:space="preserve"> </w:t>
      </w:r>
      <w:r>
        <w:rPr>
          <w:i/>
        </w:rPr>
        <w:t>Id</w:t>
      </w:r>
      <w:r>
        <w:t>.</w:t>
      </w:r>
    </w:p>
  </w:footnote>
  <w:footnote w:id="296">
    <w:p w:rsidR="00CE3FB0" w:rsidRDefault="00CE3FB0" w:rsidP="00184229">
      <w:pPr>
        <w:pStyle w:val="FootnoteText"/>
      </w:pPr>
      <w:r>
        <w:rPr>
          <w:rStyle w:val="FootnoteReference"/>
        </w:rPr>
        <w:footnoteRef/>
      </w:r>
      <w:r>
        <w:t xml:space="preserve"> </w:t>
      </w:r>
      <w:r>
        <w:rPr>
          <w:i/>
        </w:rPr>
        <w:t>See</w:t>
      </w:r>
      <w:r>
        <w:rPr>
          <w:lang w:val="fr-FR"/>
        </w:rPr>
        <w:t xml:space="preserve"> 13 C.F.R. § 121.201, NAICS code 517510 (2002)</w:t>
      </w:r>
      <w:r>
        <w:rPr>
          <w:color w:val="000000"/>
        </w:rPr>
        <w:t>.</w:t>
      </w:r>
    </w:p>
  </w:footnote>
  <w:footnote w:id="297">
    <w:p w:rsidR="00CE3FB0" w:rsidRDefault="00CE3FB0" w:rsidP="00184229">
      <w:pPr>
        <w:pStyle w:val="FootnoteText"/>
      </w:pPr>
      <w:r>
        <w:rPr>
          <w:rStyle w:val="FootnoteReference"/>
        </w:rPr>
        <w:footnoteRef/>
      </w:r>
      <w:r>
        <w:t xml:space="preserve"> S</w:t>
      </w:r>
      <w:r>
        <w:rPr>
          <w:i/>
        </w:rPr>
        <w:t>ee</w:t>
      </w:r>
      <w:r>
        <w:t xml:space="preserve"> </w:t>
      </w:r>
      <w:r>
        <w:rPr>
          <w:i/>
        </w:rPr>
        <w:t>15</w:t>
      </w:r>
      <w:r>
        <w:rPr>
          <w:i/>
          <w:vertAlign w:val="superscript"/>
        </w:rPr>
        <w:t>th</w:t>
      </w:r>
      <w:r>
        <w:rPr>
          <w:i/>
        </w:rPr>
        <w:t xml:space="preserve"> Annual Competition Report</w:t>
      </w:r>
      <w:r>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xml:space="preserve">. at 10507, 10546, ¶¶ 27, 110-11.  </w:t>
      </w:r>
    </w:p>
  </w:footnote>
  <w:footnote w:id="298">
    <w:p w:rsidR="00CE3FB0" w:rsidRDefault="00CE3FB0" w:rsidP="00184229">
      <w:pPr>
        <w:pStyle w:val="FootnoteText"/>
      </w:pPr>
      <w:r>
        <w:rPr>
          <w:rStyle w:val="FootnoteReference"/>
        </w:rPr>
        <w:footnoteRef/>
      </w:r>
      <w:r>
        <w:t xml:space="preserve"> 13 C.F.R. § 121.201; 2012 NAICS code 517110.</w:t>
      </w:r>
    </w:p>
  </w:footnote>
  <w:footnote w:id="299">
    <w:p w:rsidR="00CE3FB0" w:rsidRDefault="00CE3FB0" w:rsidP="00184229">
      <w:pPr>
        <w:pStyle w:val="FootnoteText"/>
      </w:pPr>
      <w:r>
        <w:rPr>
          <w:rStyle w:val="FootnoteReference"/>
        </w:rPr>
        <w:footnoteRef/>
      </w:r>
      <w:r>
        <w:t xml:space="preserve"> </w:t>
      </w:r>
      <w:r>
        <w:rPr>
          <w:i/>
        </w:rPr>
        <w:t>See id</w:t>
      </w:r>
      <w:r>
        <w:t xml:space="preserve">. </w:t>
      </w:r>
    </w:p>
  </w:footnote>
  <w:footnote w:id="300">
    <w:p w:rsidR="00CE3FB0" w:rsidRDefault="00CE3FB0" w:rsidP="0019526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31" w:history="1">
        <w:r>
          <w:rPr>
            <w:rStyle w:val="Hyperlink"/>
          </w:rPr>
          <w:t>http://factfinder2.census.gov/faces/nav/jsf/pages/index.xhtml</w:t>
        </w:r>
      </w:hyperlink>
      <w:r>
        <w:t>.</w:t>
      </w:r>
    </w:p>
  </w:footnote>
  <w:footnote w:id="301">
    <w:p w:rsidR="00CE3FB0" w:rsidRDefault="00CE3FB0" w:rsidP="00195266">
      <w:pPr>
        <w:pStyle w:val="FootnoteText"/>
      </w:pPr>
      <w:r>
        <w:rPr>
          <w:rStyle w:val="FootnoteReference"/>
        </w:rPr>
        <w:footnoteRef/>
      </w:r>
      <w:r>
        <w:t xml:space="preserve"> </w:t>
      </w:r>
      <w:r>
        <w:rPr>
          <w:i/>
        </w:rPr>
        <w:t>Id</w:t>
      </w:r>
      <w:r>
        <w:t>.</w:t>
      </w:r>
    </w:p>
  </w:footnote>
  <w:footnote w:id="302">
    <w:p w:rsidR="00CE3FB0" w:rsidRDefault="00CE3FB0" w:rsidP="00184229">
      <w:pPr>
        <w:pStyle w:val="FootnoteText"/>
      </w:pPr>
      <w:r>
        <w:rPr>
          <w:rStyle w:val="FootnoteReference"/>
        </w:rPr>
        <w:footnoteRef/>
      </w:r>
      <w:r>
        <w:t xml:space="preserve"> 13 C.F.R. § 121.201; 2012 NAICS code 517110.</w:t>
      </w:r>
    </w:p>
  </w:footnote>
  <w:footnote w:id="303">
    <w:p w:rsidR="00CE3FB0" w:rsidRDefault="00CE3FB0" w:rsidP="00184229">
      <w:pPr>
        <w:pStyle w:val="FootnoteText"/>
      </w:pPr>
      <w:r>
        <w:rPr>
          <w:rStyle w:val="FootnoteReference"/>
        </w:rPr>
        <w:footnoteRef/>
      </w:r>
      <w:r>
        <w:t xml:space="preserve"> </w:t>
      </w:r>
      <w:r>
        <w:rPr>
          <w:i/>
        </w:rPr>
        <w:t>See id</w:t>
      </w:r>
      <w:r>
        <w:t>.</w:t>
      </w:r>
    </w:p>
  </w:footnote>
  <w:footnote w:id="304">
    <w:p w:rsidR="00CE3FB0" w:rsidRDefault="00CE3FB0" w:rsidP="0019526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32" w:history="1">
        <w:r>
          <w:rPr>
            <w:rStyle w:val="Hyperlink"/>
          </w:rPr>
          <w:t>http://factfinder2.census.gov/faces/nav/jsf/pages/index.xhtml</w:t>
        </w:r>
      </w:hyperlink>
      <w:r>
        <w:t>.</w:t>
      </w:r>
    </w:p>
  </w:footnote>
  <w:footnote w:id="305">
    <w:p w:rsidR="00CE3FB0" w:rsidRDefault="00CE3FB0" w:rsidP="00195266">
      <w:pPr>
        <w:pStyle w:val="FootnoteText"/>
      </w:pPr>
      <w:r>
        <w:rPr>
          <w:rStyle w:val="FootnoteReference"/>
        </w:rPr>
        <w:footnoteRef/>
      </w:r>
      <w:r>
        <w:t xml:space="preserve"> </w:t>
      </w:r>
      <w:r>
        <w:rPr>
          <w:i/>
        </w:rPr>
        <w:t>Id</w:t>
      </w:r>
      <w:r>
        <w:t>.</w:t>
      </w:r>
    </w:p>
  </w:footnote>
  <w:footnote w:id="306">
    <w:p w:rsidR="00CE3FB0" w:rsidRDefault="00CE3FB0" w:rsidP="00184229">
      <w:pPr>
        <w:pStyle w:val="FootnoteText"/>
      </w:pPr>
      <w:r>
        <w:rPr>
          <w:rStyle w:val="FootnoteReference"/>
        </w:rPr>
        <w:footnoteRef/>
      </w:r>
      <w:r>
        <w:t xml:space="preserve"> 47 U.S.C. § 571(a)(3)-(4); </w:t>
      </w:r>
      <w:r>
        <w:rPr>
          <w:i/>
        </w:rPr>
        <w:t xml:space="preserve">see </w:t>
      </w:r>
      <w:r>
        <w:rPr>
          <w:i/>
          <w:iCs/>
        </w:rPr>
        <w:t>Implementation of Section 19 of the 1992 Cable Act and Annual Assessment of the Status of Competition in the Market for the Delivery of Video Programming</w:t>
      </w:r>
      <w:r>
        <w:t>, MB Docket No. 06-189, Thirteenth Report, 24 FCC Rcd 542, 606, ¶ 135 (2009) (“</w:t>
      </w:r>
      <w:r>
        <w:rPr>
          <w:i/>
        </w:rPr>
        <w:t>13</w:t>
      </w:r>
      <w:r>
        <w:rPr>
          <w:i/>
          <w:vertAlign w:val="superscript"/>
        </w:rPr>
        <w:t>th</w:t>
      </w:r>
      <w:r>
        <w:rPr>
          <w:i/>
        </w:rPr>
        <w:t xml:space="preserve"> Annual Competition Report</w:t>
      </w:r>
      <w:r>
        <w:t>”).</w:t>
      </w:r>
    </w:p>
  </w:footnote>
  <w:footnote w:id="307">
    <w:p w:rsidR="00CE3FB0" w:rsidRDefault="00CE3FB0" w:rsidP="00184229">
      <w:pPr>
        <w:pStyle w:val="FootnoteText"/>
      </w:pPr>
      <w:r>
        <w:rPr>
          <w:rStyle w:val="FootnoteReference"/>
        </w:rPr>
        <w:footnoteRef/>
      </w:r>
      <w:r>
        <w:t xml:space="preserve"> </w:t>
      </w:r>
      <w:r>
        <w:rPr>
          <w:i/>
          <w:iCs/>
        </w:rPr>
        <w:t xml:space="preserve">See </w:t>
      </w:r>
      <w:r>
        <w:t>47 U.S.C. § 573.</w:t>
      </w:r>
    </w:p>
  </w:footnote>
  <w:footnote w:id="308">
    <w:p w:rsidR="00CE3FB0" w:rsidRDefault="00CE3FB0" w:rsidP="00184229">
      <w:pPr>
        <w:pStyle w:val="FootnoteText"/>
      </w:pPr>
      <w:r>
        <w:rPr>
          <w:rStyle w:val="FootnoteReference"/>
        </w:rPr>
        <w:footnoteRef/>
      </w:r>
      <w:r>
        <w:rPr>
          <w:i/>
        </w:rPr>
        <w:t xml:space="preserve"> 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33" w:history="1">
        <w:r>
          <w:rPr>
            <w:rStyle w:val="Hyperlink"/>
          </w:rPr>
          <w:t>http://www.census.gov/cgi-bin/sssd/naics/naicsrch</w:t>
        </w:r>
      </w:hyperlink>
      <w:r>
        <w:t>.</w:t>
      </w:r>
    </w:p>
  </w:footnote>
  <w:footnote w:id="309">
    <w:p w:rsidR="00CE3FB0" w:rsidRDefault="00CE3FB0" w:rsidP="00184229">
      <w:pPr>
        <w:pStyle w:val="FootnoteText"/>
      </w:pPr>
      <w:r>
        <w:rPr>
          <w:rStyle w:val="FootnoteReference"/>
        </w:rPr>
        <w:footnoteRef/>
      </w:r>
      <w:r>
        <w:t xml:space="preserve"> 13 C.F.R. § 121.201; 2012 NAICS code 517110.</w:t>
      </w:r>
    </w:p>
  </w:footnote>
  <w:footnote w:id="310">
    <w:p w:rsidR="00CE3FB0" w:rsidRDefault="00CE3FB0" w:rsidP="00195266">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34" w:history="1">
        <w:r>
          <w:rPr>
            <w:rStyle w:val="Hyperlink"/>
          </w:rPr>
          <w:t>http://factfinder2.census.gov/faces/nav/jsf/pages/index.xhtml</w:t>
        </w:r>
      </w:hyperlink>
      <w:r>
        <w:t>.</w:t>
      </w:r>
    </w:p>
  </w:footnote>
  <w:footnote w:id="311">
    <w:p w:rsidR="00CE3FB0" w:rsidRDefault="00CE3FB0" w:rsidP="00195266">
      <w:pPr>
        <w:pStyle w:val="FootnoteText"/>
      </w:pPr>
      <w:r>
        <w:rPr>
          <w:rStyle w:val="FootnoteReference"/>
        </w:rPr>
        <w:footnoteRef/>
      </w:r>
      <w:r>
        <w:t xml:space="preserve"> </w:t>
      </w:r>
      <w:r>
        <w:rPr>
          <w:i/>
        </w:rPr>
        <w:t>Id</w:t>
      </w:r>
      <w:r>
        <w:t>.</w:t>
      </w:r>
    </w:p>
  </w:footnote>
  <w:footnote w:id="312">
    <w:p w:rsidR="00CE3FB0" w:rsidRDefault="00CE3FB0" w:rsidP="00184229">
      <w:pPr>
        <w:pStyle w:val="FootnoteText"/>
      </w:pPr>
      <w:r>
        <w:rPr>
          <w:rStyle w:val="FootnoteReference"/>
        </w:rPr>
        <w:footnoteRef/>
      </w:r>
      <w:r>
        <w:t xml:space="preserve"> A list of OVS certifications may be found at </w:t>
      </w:r>
      <w:hyperlink r:id="rId35" w:tooltip="http://www.fcc.gov/mb/ovs/csovscer.html" w:history="1">
        <w:r>
          <w:rPr>
            <w:rStyle w:val="Hyperlink"/>
          </w:rPr>
          <w:t>http://www.fcc.gov/mb/ovs/csovscer.html</w:t>
        </w:r>
      </w:hyperlink>
      <w:r>
        <w:t>.</w:t>
      </w:r>
    </w:p>
  </w:footnote>
  <w:footnote w:id="313">
    <w:p w:rsidR="00CE3FB0" w:rsidRDefault="00CE3FB0" w:rsidP="00184229">
      <w:pPr>
        <w:pStyle w:val="FootnoteText"/>
      </w:pPr>
      <w:r>
        <w:rPr>
          <w:rStyle w:val="FootnoteReference"/>
        </w:rPr>
        <w:footnoteRef/>
      </w:r>
      <w:r>
        <w:t xml:space="preserve"> </w:t>
      </w:r>
      <w:r>
        <w:rPr>
          <w:i/>
          <w:iCs/>
        </w:rPr>
        <w:t xml:space="preserve">See </w:t>
      </w:r>
      <w:r>
        <w:rPr>
          <w:i/>
        </w:rPr>
        <w:t>13</w:t>
      </w:r>
      <w:r>
        <w:rPr>
          <w:i/>
          <w:vertAlign w:val="superscript"/>
        </w:rPr>
        <w:t>th</w:t>
      </w:r>
      <w:r>
        <w:rPr>
          <w:i/>
        </w:rPr>
        <w:t xml:space="preserve"> Annual Competition Report</w:t>
      </w:r>
      <w:r>
        <w:t>, 24 FCC Rcd at 606-07, ¶ 135.  BSPs are newer businesses that are building state-of-the-art, facilities-based networks to provide video, voice, and data services over a single network. </w:t>
      </w:r>
    </w:p>
  </w:footnote>
  <w:footnote w:id="314">
    <w:p w:rsidR="00CE3FB0" w:rsidRDefault="00CE3FB0" w:rsidP="00184229">
      <w:pPr>
        <w:pStyle w:val="FootnoteText"/>
      </w:pPr>
      <w:r>
        <w:rPr>
          <w:rStyle w:val="FootnoteReference"/>
        </w:rPr>
        <w:footnoteRef/>
      </w:r>
      <w:r>
        <w:t xml:space="preserve"> U.S. Census Bureau, 2012 NAICS Definitions, “515210 Cable and Other Subscription Programming,</w:t>
      </w:r>
      <w:r>
        <w:rPr>
          <w:bCs/>
        </w:rPr>
        <w:t xml:space="preserve">” </w:t>
      </w:r>
      <w:r>
        <w:rPr>
          <w:rStyle w:val="Hyperlink"/>
        </w:rPr>
        <w:t xml:space="preserve">at </w:t>
      </w:r>
      <w:hyperlink r:id="rId36" w:history="1">
        <w:r>
          <w:rPr>
            <w:rStyle w:val="Hyperlink"/>
          </w:rPr>
          <w:t>http://www.census.gov/cgi-bin/sssd/naics/naicsrch</w:t>
        </w:r>
      </w:hyperlink>
      <w:r>
        <w:rPr>
          <w:bCs/>
        </w:rPr>
        <w:t xml:space="preserve">. </w:t>
      </w:r>
    </w:p>
  </w:footnote>
  <w:footnote w:id="315">
    <w:p w:rsidR="00CE3FB0" w:rsidRDefault="00CE3FB0" w:rsidP="00184229">
      <w:pPr>
        <w:pStyle w:val="FootnoteText"/>
      </w:pPr>
      <w:r>
        <w:rPr>
          <w:rStyle w:val="FootnoteReference"/>
        </w:rPr>
        <w:footnoteRef/>
      </w:r>
      <w:r>
        <w:t xml:space="preserve"> 13 C.F.R. § 121.201; 2014 NAICS code 515210.</w:t>
      </w:r>
    </w:p>
  </w:footnote>
  <w:footnote w:id="316">
    <w:p w:rsidR="00CE3FB0" w:rsidRDefault="00CE3FB0" w:rsidP="00184229">
      <w:pPr>
        <w:pStyle w:val="FootnoteText"/>
      </w:pPr>
      <w:r>
        <w:rPr>
          <w:rStyle w:val="FootnoteReference"/>
        </w:rPr>
        <w:footnoteRef/>
      </w:r>
      <w:r>
        <w:t xml:space="preserve"> </w:t>
      </w:r>
      <w:r>
        <w:rPr>
          <w:i/>
        </w:rPr>
        <w:t>See</w:t>
      </w:r>
      <w:r>
        <w:rPr>
          <w:color w:val="000000"/>
        </w:rPr>
        <w:t xml:space="preserve"> </w:t>
      </w:r>
      <w:r>
        <w:t xml:space="preserve">U.S. Census Bureau, 2007 Economic Census.  </w:t>
      </w:r>
      <w:r>
        <w:rPr>
          <w:i/>
        </w:rPr>
        <w:t>See</w:t>
      </w:r>
      <w:r>
        <w:t xml:space="preserve"> U.S. Census Bureau, American FactFinder, “Information: </w:t>
      </w:r>
      <w:r w:rsidRPr="003A7A94">
        <w:rPr>
          <w:color w:val="231F20"/>
        </w:rPr>
        <w:t>Subject</w:t>
      </w:r>
      <w:r>
        <w:t xml:space="preserve"> Series – Estab and Firm Size: Receipts Size of Establishments for the United States: 2007 – 2007 Economic Census,” NAICS code 515210, Table EC0751SSSZ2; available at </w:t>
      </w:r>
      <w:hyperlink r:id="rId37" w:history="1">
        <w:r>
          <w:rPr>
            <w:rStyle w:val="Hyperlink"/>
          </w:rPr>
          <w:t>http://factfinder2.census.gov/faces/nav/jsf/pages/index.xhtml</w:t>
        </w:r>
      </w:hyperlink>
      <w:r>
        <w:rPr>
          <w:color w:val="000000"/>
        </w:rPr>
        <w:t>.</w:t>
      </w:r>
    </w:p>
  </w:footnote>
  <w:footnote w:id="317">
    <w:p w:rsidR="00CE3FB0" w:rsidRDefault="00CE3FB0" w:rsidP="00184229">
      <w:pPr>
        <w:pStyle w:val="FootnoteText"/>
      </w:pPr>
      <w:r>
        <w:rPr>
          <w:rStyle w:val="FootnoteReference"/>
        </w:rPr>
        <w:footnoteRef/>
      </w:r>
      <w:r>
        <w:t xml:space="preserve"> </w:t>
      </w:r>
      <w:r>
        <w:rPr>
          <w:i/>
        </w:rPr>
        <w:t>Id</w:t>
      </w:r>
      <w:r>
        <w:t>.</w:t>
      </w:r>
    </w:p>
  </w:footnote>
  <w:footnote w:id="318">
    <w:p w:rsidR="00CE3FB0" w:rsidRDefault="00CE3FB0" w:rsidP="00184229">
      <w:pPr>
        <w:pStyle w:val="FootnoteText"/>
      </w:pPr>
      <w:r>
        <w:rPr>
          <w:rStyle w:val="FootnoteReference"/>
        </w:rPr>
        <w:footnoteRef/>
      </w:r>
      <w:r>
        <w:t xml:space="preserve"> </w:t>
      </w:r>
      <w:r>
        <w:rPr>
          <w:i/>
        </w:rPr>
        <w:t>Id</w:t>
      </w:r>
      <w:r>
        <w:t>.</w:t>
      </w:r>
    </w:p>
  </w:footnote>
  <w:footnote w:id="319">
    <w:p w:rsidR="00CE3FB0" w:rsidRDefault="00CE3FB0" w:rsidP="00184229">
      <w:pPr>
        <w:pStyle w:val="FootnoteText"/>
        <w:rPr>
          <w:lang w:val="fr-FR"/>
        </w:rPr>
      </w:pPr>
      <w:r>
        <w:rPr>
          <w:rStyle w:val="FootnoteReference"/>
        </w:rPr>
        <w:footnoteRef/>
      </w:r>
      <w:r>
        <w:rPr>
          <w:lang w:val="fr-FR"/>
        </w:rPr>
        <w:t xml:space="preserve"> </w:t>
      </w:r>
      <w:bookmarkStart w:id="777" w:name="N512110"/>
      <w:r>
        <w:rPr>
          <w:lang w:val="fr-FR"/>
        </w:rPr>
        <w:t xml:space="preserve">U.S. Census Bureau, 2012 NAICS Definitions, NAICS Code 512110, </w:t>
      </w:r>
      <w:r>
        <w:rPr>
          <w:rStyle w:val="Hyperlink"/>
        </w:rPr>
        <w:t xml:space="preserve">at </w:t>
      </w:r>
      <w:hyperlink r:id="rId38" w:history="1">
        <w:r>
          <w:rPr>
            <w:rStyle w:val="Hyperlink"/>
          </w:rPr>
          <w:t>http://www.census.gov/cgi-bin/sssd/naics/naicsrch</w:t>
        </w:r>
      </w:hyperlink>
      <w:r>
        <w:rPr>
          <w:lang w:val="fr-FR"/>
        </w:rPr>
        <w:t>.</w:t>
      </w:r>
      <w:bookmarkEnd w:id="777"/>
    </w:p>
  </w:footnote>
  <w:footnote w:id="320">
    <w:p w:rsidR="00CE3FB0" w:rsidRDefault="00CE3FB0" w:rsidP="00184229">
      <w:pPr>
        <w:pStyle w:val="FootnoteText"/>
      </w:pPr>
      <w:r>
        <w:rPr>
          <w:rStyle w:val="FootnoteReference"/>
        </w:rPr>
        <w:footnoteRef/>
      </w:r>
      <w:r>
        <w:t xml:space="preserve"> 13 C.F.R § 121.201, 2012 NAICS code 512110.</w:t>
      </w:r>
    </w:p>
  </w:footnote>
  <w:footnote w:id="321">
    <w:p w:rsidR="00CE3FB0" w:rsidRDefault="00CE3FB0" w:rsidP="00184229">
      <w:pPr>
        <w:pStyle w:val="FootnoteText"/>
      </w:pPr>
      <w:r>
        <w:rPr>
          <w:rStyle w:val="FootnoteReference"/>
        </w:rPr>
        <w:footnoteRef/>
      </w:r>
      <w:r>
        <w:t xml:space="preserve"> </w:t>
      </w:r>
      <w:r>
        <w:rPr>
          <w:i/>
        </w:rPr>
        <w:t>See</w:t>
      </w:r>
      <w:r>
        <w:rPr>
          <w:color w:val="000000"/>
        </w:rPr>
        <w:t xml:space="preserve"> </w:t>
      </w:r>
      <w:r>
        <w:t xml:space="preserve">U.S. Census Bureau, 2007 Economic Census.  </w:t>
      </w:r>
      <w:r>
        <w:rPr>
          <w:i/>
        </w:rPr>
        <w:t>See</w:t>
      </w:r>
      <w:r>
        <w:t xml:space="preserve"> U.S. Census Bureau, American FactFinder, “Information: Subject Series – Estab and Firm Size: Receipts Size of Firms for the United States: 2007 – 2007 Economic Census,” NAICS code 512110, Table EC0751SSSZ4; available at </w:t>
      </w:r>
      <w:hyperlink r:id="rId39" w:history="1">
        <w:r>
          <w:rPr>
            <w:rStyle w:val="Hyperlink"/>
          </w:rPr>
          <w:t>http://factfinder2.census.gov/faces/nav/jsf/pages/index.xhtml</w:t>
        </w:r>
      </w:hyperlink>
      <w:r>
        <w:rPr>
          <w:color w:val="000000"/>
        </w:rPr>
        <w:t>.</w:t>
      </w:r>
    </w:p>
  </w:footnote>
  <w:footnote w:id="322">
    <w:p w:rsidR="00CE3FB0" w:rsidRDefault="00CE3FB0" w:rsidP="00184229">
      <w:pPr>
        <w:pStyle w:val="FootnoteText"/>
      </w:pPr>
      <w:r>
        <w:rPr>
          <w:rStyle w:val="FootnoteReference"/>
        </w:rPr>
        <w:footnoteRef/>
      </w:r>
      <w:r>
        <w:t xml:space="preserve"> </w:t>
      </w:r>
      <w:r>
        <w:rPr>
          <w:i/>
        </w:rPr>
        <w:t>See</w:t>
      </w:r>
      <w:r>
        <w:t xml:space="preserve"> </w:t>
      </w:r>
      <w:r>
        <w:rPr>
          <w:i/>
        </w:rPr>
        <w:t>id</w:t>
      </w:r>
      <w:r>
        <w:t>.</w:t>
      </w:r>
    </w:p>
  </w:footnote>
  <w:footnote w:id="323">
    <w:p w:rsidR="00CE3FB0" w:rsidRDefault="00CE3FB0" w:rsidP="00184229">
      <w:pPr>
        <w:pStyle w:val="FootnoteText"/>
      </w:pPr>
      <w:r>
        <w:rPr>
          <w:rStyle w:val="FootnoteReference"/>
        </w:rPr>
        <w:footnoteRef/>
      </w:r>
      <w:r>
        <w:t xml:space="preserve"> </w:t>
      </w:r>
      <w:r>
        <w:rPr>
          <w:lang w:val="fr-FR"/>
        </w:rPr>
        <w:t xml:space="preserve">U.S. Census Bureau, 2012 NAICS Definitions, NAICS Code 512120, </w:t>
      </w:r>
      <w:r>
        <w:rPr>
          <w:rStyle w:val="Hyperlink"/>
        </w:rPr>
        <w:t xml:space="preserve">at </w:t>
      </w:r>
      <w:hyperlink r:id="rId40" w:history="1">
        <w:r>
          <w:rPr>
            <w:rStyle w:val="Hyperlink"/>
          </w:rPr>
          <w:t>http://www.census.gov/cgi-bin/sssd/naics/naicsrch</w:t>
        </w:r>
      </w:hyperlink>
      <w:r>
        <w:rPr>
          <w:lang w:val="fr-FR"/>
        </w:rPr>
        <w:t>.</w:t>
      </w:r>
    </w:p>
  </w:footnote>
  <w:footnote w:id="324">
    <w:p w:rsidR="00CE3FB0" w:rsidRDefault="00CE3FB0" w:rsidP="00184229">
      <w:pPr>
        <w:pStyle w:val="FootnoteText"/>
      </w:pPr>
      <w:r>
        <w:rPr>
          <w:rStyle w:val="FootnoteReference"/>
        </w:rPr>
        <w:footnoteRef/>
      </w:r>
      <w:r>
        <w:t xml:space="preserve"> 13 C.F.R. § 121.201, 2012 NAICS code 512120.</w:t>
      </w:r>
    </w:p>
  </w:footnote>
  <w:footnote w:id="325">
    <w:p w:rsidR="00CE3FB0" w:rsidRDefault="00CE3FB0" w:rsidP="00184229">
      <w:pPr>
        <w:pStyle w:val="FootnoteText"/>
      </w:pPr>
      <w:r>
        <w:rPr>
          <w:rStyle w:val="FootnoteReference"/>
        </w:rPr>
        <w:footnoteRef/>
      </w:r>
      <w:r>
        <w:t xml:space="preserve"> </w:t>
      </w:r>
      <w:r>
        <w:rPr>
          <w:i/>
        </w:rPr>
        <w:t xml:space="preserve">See </w:t>
      </w:r>
      <w:r>
        <w:t xml:space="preserve">U.S. Census Bureau, 2007 Economic Census.  </w:t>
      </w:r>
      <w:r>
        <w:rPr>
          <w:i/>
        </w:rPr>
        <w:t>See</w:t>
      </w:r>
      <w:r>
        <w:t xml:space="preserve"> U.S. Census Bureau, American FactFinder, “Information: Subject Series – Estab and Firm Size: Receipts Size of Firms for the United States: 2007 – 2007 Economic Census,” NAICS code 512120, Table EC0751SSSZ4; available at </w:t>
      </w:r>
      <w:hyperlink r:id="rId41" w:history="1">
        <w:r>
          <w:rPr>
            <w:rStyle w:val="Hyperlink"/>
          </w:rPr>
          <w:t>http://factfinder2.census.gov/faces/nav/jsf/pages/index.xhtml</w:t>
        </w:r>
      </w:hyperlink>
      <w:r>
        <w:rPr>
          <w:color w:val="000000"/>
        </w:rPr>
        <w:t>.</w:t>
      </w:r>
      <w:r>
        <w:t xml:space="preserve"> </w:t>
      </w:r>
      <w:r>
        <w:rPr>
          <w:i/>
        </w:rPr>
        <w:t xml:space="preserve"> </w:t>
      </w:r>
    </w:p>
  </w:footnote>
  <w:footnote w:id="326">
    <w:p w:rsidR="00CE3FB0" w:rsidRDefault="00CE3FB0" w:rsidP="00184229">
      <w:pPr>
        <w:pStyle w:val="FootnoteText"/>
      </w:pPr>
      <w:r>
        <w:rPr>
          <w:rStyle w:val="FootnoteReference"/>
        </w:rPr>
        <w:footnoteRef/>
      </w:r>
      <w:r>
        <w:t xml:space="preserve"> </w:t>
      </w:r>
      <w:r>
        <w:rPr>
          <w:i/>
        </w:rPr>
        <w:t>See id.</w:t>
      </w:r>
    </w:p>
  </w:footnote>
  <w:footnote w:id="327">
    <w:p w:rsidR="00CE3FB0" w:rsidRDefault="00CE3FB0" w:rsidP="003A4D97">
      <w:pPr>
        <w:pStyle w:val="FootnoteText"/>
      </w:pPr>
      <w:r>
        <w:rPr>
          <w:rStyle w:val="FootnoteReference"/>
        </w:rPr>
        <w:footnoteRef/>
      </w:r>
      <w:r>
        <w:t xml:space="preserve"> U.S. Census Bureau, 2012 NAICS Definitions, “</w:t>
      </w:r>
      <w:r w:rsidRPr="00BF6FC1">
        <w:t>519130 Internet Publishing and Broadcasting and Web Search Portals</w:t>
      </w:r>
      <w:r>
        <w:t>”</w:t>
      </w:r>
      <w:r w:rsidRPr="00ED321A">
        <w:t xml:space="preserve"> </w:t>
      </w:r>
      <w:r>
        <w:rPr>
          <w:bCs/>
        </w:rPr>
        <w:t xml:space="preserve">at </w:t>
      </w:r>
      <w:hyperlink r:id="rId42" w:history="1">
        <w:r w:rsidRPr="00B96893">
          <w:rPr>
            <w:rStyle w:val="Hyperlink"/>
          </w:rPr>
          <w:t>http://www.census.gov/cgi-bin/sssd/naics/naicsrch</w:t>
        </w:r>
      </w:hyperlink>
      <w:r>
        <w:rPr>
          <w:bCs/>
        </w:rPr>
        <w:t>.  Examples of this category are</w:t>
      </w:r>
      <w:r w:rsidRPr="00F77F2A">
        <w:rPr>
          <w:bCs/>
        </w:rPr>
        <w:t>:  Internet book publishers, Internet sports sites, Internet entertainment sites, Internet video broadcast sites, Internet game sites, Internet news publishers, Internet periodical publishers, Internet radio stations, Internet search portals, Web search portals, and Internet search web sites.</w:t>
      </w:r>
    </w:p>
  </w:footnote>
  <w:footnote w:id="328">
    <w:p w:rsidR="00CE3FB0" w:rsidRDefault="00CE3FB0" w:rsidP="003A4D97">
      <w:pPr>
        <w:pStyle w:val="FootnoteText"/>
      </w:pPr>
      <w:r>
        <w:rPr>
          <w:rStyle w:val="FootnoteReference"/>
        </w:rPr>
        <w:footnoteRef/>
      </w:r>
      <w:r>
        <w:t xml:space="preserve"> </w:t>
      </w:r>
      <w:r w:rsidRPr="00CA33D1">
        <w:t>13 C.F.R. § 121.201</w:t>
      </w:r>
      <w:r>
        <w:t>;</w:t>
      </w:r>
      <w:r w:rsidRPr="00CA33D1">
        <w:t xml:space="preserve"> NAICS code </w:t>
      </w:r>
      <w:r>
        <w:rPr>
          <w:lang w:val="fr-FR"/>
        </w:rPr>
        <w:t>519130</w:t>
      </w:r>
      <w:r>
        <w:t>.</w:t>
      </w:r>
    </w:p>
  </w:footnote>
  <w:footnote w:id="329">
    <w:p w:rsidR="00CE3FB0" w:rsidRDefault="00CE3FB0" w:rsidP="003A4D9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259BC">
        <w:t xml:space="preserve">Information: Subject Series </w:t>
      </w:r>
      <w:r>
        <w:t>–</w:t>
      </w:r>
      <w:r w:rsidRPr="00E259BC">
        <w:t xml:space="preserve"> Estab and Firm Size: Employment Size of Firms for the United States</w:t>
      </w:r>
      <w:r w:rsidRPr="00EC62B7">
        <w:t>: 2007</w:t>
      </w:r>
      <w:r>
        <w:t xml:space="preserve"> </w:t>
      </w:r>
      <w:r w:rsidRPr="006177DF">
        <w:t>– 2007 Economic Census</w:t>
      </w:r>
      <w:r w:rsidRPr="00D261BA">
        <w:t>,</w:t>
      </w:r>
      <w:r>
        <w:t>”</w:t>
      </w:r>
      <w:r w:rsidRPr="00D261BA">
        <w:t xml:space="preserve"> NAICS code </w:t>
      </w:r>
      <w:r w:rsidRPr="00BF6FC1">
        <w:t>519130</w:t>
      </w:r>
      <w:r w:rsidRPr="00D261BA">
        <w:t xml:space="preserve">, Table </w:t>
      </w:r>
      <w:r w:rsidRPr="00E259BC">
        <w:t>EC0751SSSZ5</w:t>
      </w:r>
      <w:r>
        <w:t>; available at</w:t>
      </w:r>
      <w:r w:rsidRPr="00D261BA">
        <w:t xml:space="preserve"> </w:t>
      </w:r>
      <w:hyperlink r:id="rId43" w:history="1">
        <w:r w:rsidRPr="00BD0163">
          <w:rPr>
            <w:rStyle w:val="Hyperlink"/>
          </w:rPr>
          <w:t>http://factfinder2.census.gov/faces/nav/jsf/pages/index.xhtml</w:t>
        </w:r>
      </w:hyperlink>
      <w:r w:rsidRPr="00D261BA">
        <w:t>.</w:t>
      </w:r>
      <w:r>
        <w:t xml:space="preserve"> </w:t>
      </w:r>
    </w:p>
  </w:footnote>
  <w:footnote w:id="330">
    <w:p w:rsidR="00CE3FB0" w:rsidRDefault="00CE3FB0" w:rsidP="003A4D97">
      <w:pPr>
        <w:pStyle w:val="FootnoteText"/>
      </w:pPr>
      <w:r w:rsidRPr="007B04CE">
        <w:rPr>
          <w:rStyle w:val="FootnoteReference"/>
        </w:rPr>
        <w:footnoteRef/>
      </w:r>
      <w:r>
        <w:t xml:space="preserve"> </w:t>
      </w:r>
      <w:r>
        <w:rPr>
          <w:i/>
        </w:rPr>
        <w:t>Id</w:t>
      </w:r>
      <w:r>
        <w:t>.</w:t>
      </w:r>
    </w:p>
  </w:footnote>
  <w:footnote w:id="331">
    <w:p w:rsidR="00CE3FB0" w:rsidRDefault="00CE3FB0" w:rsidP="001620D1">
      <w:pPr>
        <w:pStyle w:val="FootnoteText"/>
      </w:pPr>
      <w:r w:rsidRPr="00164861">
        <w:rPr>
          <w:rStyle w:val="FootnoteReference"/>
        </w:rPr>
        <w:footnoteRef/>
      </w:r>
      <w:r w:rsidRPr="00164861">
        <w:t xml:space="preserve"> </w:t>
      </w:r>
      <w:r w:rsidRPr="00164861">
        <w:rPr>
          <w:i/>
        </w:rPr>
        <w:t>See</w:t>
      </w:r>
      <w:r w:rsidRPr="00164861">
        <w:t xml:space="preserve"> 47 C.F.R. § 76.1301(a); </w:t>
      </w:r>
      <w:r w:rsidRPr="00164861">
        <w:rPr>
          <w:i/>
        </w:rPr>
        <w:t xml:space="preserve">see also </w:t>
      </w:r>
      <w:r w:rsidRPr="00164861">
        <w:t>47 U.S.C. § 536(a)(1).</w:t>
      </w:r>
    </w:p>
  </w:footnote>
  <w:footnote w:id="332">
    <w:p w:rsidR="00CE3FB0" w:rsidRDefault="00CE3FB0" w:rsidP="001620D1">
      <w:pPr>
        <w:pStyle w:val="FootnoteText"/>
      </w:pPr>
      <w:r>
        <w:rPr>
          <w:rStyle w:val="FootnoteReference"/>
        </w:rPr>
        <w:footnoteRef/>
      </w:r>
      <w:r>
        <w:t xml:space="preserve"> </w:t>
      </w:r>
      <w:r>
        <w:rPr>
          <w:i/>
        </w:rPr>
        <w:t>See</w:t>
      </w:r>
      <w:r>
        <w:t xml:space="preserve"> 47 C.F.R. § 76.1301(b); </w:t>
      </w:r>
      <w:r>
        <w:rPr>
          <w:i/>
        </w:rPr>
        <w:t xml:space="preserve">see also </w:t>
      </w:r>
      <w:r>
        <w:t>47 U.S.C. § 536(a)(2).</w:t>
      </w:r>
    </w:p>
  </w:footnote>
  <w:footnote w:id="333">
    <w:p w:rsidR="00CE3FB0" w:rsidRPr="002459CD" w:rsidRDefault="00CE3FB0" w:rsidP="00350AB9">
      <w:pPr>
        <w:pStyle w:val="FootnoteText"/>
      </w:pPr>
      <w:r w:rsidRPr="002459CD">
        <w:rPr>
          <w:rStyle w:val="FootnoteReference"/>
        </w:rPr>
        <w:footnoteRef/>
      </w:r>
      <w:r w:rsidRPr="002459CD">
        <w:t xml:space="preserve"> </w:t>
      </w:r>
      <w:r w:rsidRPr="002459CD">
        <w:rPr>
          <w:i/>
        </w:rPr>
        <w:t>See</w:t>
      </w:r>
      <w:r w:rsidRPr="002459CD">
        <w:t xml:space="preserve"> 47 U.S.C. § 536; 47 C.F.R. §§ 76.1300-1302.</w:t>
      </w:r>
    </w:p>
  </w:footnote>
  <w:footnote w:id="334">
    <w:p w:rsidR="00CE3FB0" w:rsidRPr="002459CD" w:rsidRDefault="00CE3FB0" w:rsidP="00350AB9">
      <w:pPr>
        <w:pStyle w:val="FootnoteText"/>
      </w:pPr>
      <w:r w:rsidRPr="002459CD">
        <w:rPr>
          <w:rStyle w:val="FootnoteReference"/>
        </w:rPr>
        <w:footnoteRef/>
      </w:r>
      <w:r w:rsidRPr="002459CD">
        <w:t xml:space="preserve"> </w:t>
      </w:r>
      <w:r w:rsidRPr="002459CD">
        <w:rPr>
          <w:i/>
        </w:rPr>
        <w:t>See</w:t>
      </w:r>
      <w:r w:rsidRPr="002459CD">
        <w:t xml:space="preserve"> 47 U.S.C. § 549; 47 C.F.R. §§ 76.1200-1210.</w:t>
      </w:r>
      <w:r>
        <w:t xml:space="preserve">  Per Section 106 of the STELA Reauthorization Act of 2014, Pub. L. No. 113-200, the requirement that MVPDs rely on separate security in the devices that they provide to consumers terminates on December 4, 2015.</w:t>
      </w:r>
    </w:p>
  </w:footnote>
  <w:footnote w:id="335">
    <w:p w:rsidR="00CE3FB0" w:rsidRPr="002459CD" w:rsidRDefault="00CE3FB0" w:rsidP="00350AB9">
      <w:pPr>
        <w:pStyle w:val="FootnoteText"/>
      </w:pPr>
      <w:r w:rsidRPr="002459CD">
        <w:rPr>
          <w:rStyle w:val="FootnoteReference"/>
        </w:rPr>
        <w:footnoteRef/>
      </w:r>
      <w:r w:rsidRPr="002459CD">
        <w:t xml:space="preserve"> </w:t>
      </w:r>
      <w:r w:rsidRPr="002459CD">
        <w:rPr>
          <w:i/>
        </w:rPr>
        <w:t>See</w:t>
      </w:r>
      <w:r w:rsidRPr="002459CD">
        <w:t xml:space="preserve"> 47 U.S.C. § 325(b)(3)(C)(iii); 47 C.F.R. § 76.65(b).</w:t>
      </w:r>
    </w:p>
  </w:footnote>
  <w:footnote w:id="336">
    <w:p w:rsidR="00CE3FB0" w:rsidRPr="00B20EB2" w:rsidRDefault="00CE3FB0" w:rsidP="001620D1">
      <w:pPr>
        <w:pStyle w:val="FootnoteText"/>
      </w:pPr>
      <w:r w:rsidRPr="00B20EB2">
        <w:rPr>
          <w:rStyle w:val="FootnoteReference"/>
        </w:rPr>
        <w:footnoteRef/>
      </w:r>
      <w:r w:rsidRPr="00B20EB2">
        <w:t xml:space="preserve"> </w:t>
      </w:r>
      <w:r w:rsidRPr="00B20EB2">
        <w:rPr>
          <w:i/>
        </w:rPr>
        <w:t>See</w:t>
      </w:r>
      <w:r w:rsidRPr="00B20EB2">
        <w:t xml:space="preserve"> 47 U.S.C. § 554(b); 47 C.F.R. § 76.73(a); </w:t>
      </w:r>
      <w:r w:rsidRPr="00B20EB2">
        <w:rPr>
          <w:i/>
        </w:rPr>
        <w:t>see also</w:t>
      </w:r>
      <w:r w:rsidRPr="00B20EB2">
        <w:t xml:space="preserve"> 47 U.S.C. § 554(c); 47 C.F.R. § 76.73(b).</w:t>
      </w:r>
    </w:p>
  </w:footnote>
  <w:footnote w:id="337">
    <w:p w:rsidR="00CE3FB0" w:rsidRPr="00B20EB2" w:rsidRDefault="00CE3FB0" w:rsidP="001620D1">
      <w:pPr>
        <w:pStyle w:val="FootnoteText"/>
      </w:pPr>
      <w:r w:rsidRPr="00B20EB2">
        <w:rPr>
          <w:rStyle w:val="FootnoteReference"/>
        </w:rPr>
        <w:footnoteRef/>
      </w:r>
      <w:r w:rsidRPr="00B20EB2">
        <w:t xml:space="preserve"> </w:t>
      </w:r>
      <w:r w:rsidRPr="00B20EB2">
        <w:rPr>
          <w:i/>
        </w:rPr>
        <w:t>See</w:t>
      </w:r>
      <w:r w:rsidRPr="00B20EB2">
        <w:t xml:space="preserve"> 47 C.F.R. § 76.75(a)-(b), (e).</w:t>
      </w:r>
    </w:p>
  </w:footnote>
  <w:footnote w:id="338">
    <w:p w:rsidR="00CE3FB0" w:rsidRPr="00B20EB2" w:rsidRDefault="00CE3FB0" w:rsidP="001620D1">
      <w:pPr>
        <w:pStyle w:val="FootnoteText"/>
      </w:pPr>
      <w:r w:rsidRPr="00B20EB2">
        <w:rPr>
          <w:rStyle w:val="FootnoteReference"/>
        </w:rPr>
        <w:footnoteRef/>
      </w:r>
      <w:r w:rsidRPr="00B20EB2">
        <w:t xml:space="preserve"> </w:t>
      </w:r>
      <w:r w:rsidRPr="00B20EB2">
        <w:rPr>
          <w:i/>
        </w:rPr>
        <w:t>See</w:t>
      </w:r>
      <w:r w:rsidRPr="00B20EB2">
        <w:t xml:space="preserve"> 47 C.F.R. §§ 76.75(c); 76.77(a), (d); 76.1702; 76.1802.</w:t>
      </w:r>
    </w:p>
  </w:footnote>
  <w:footnote w:id="339">
    <w:p w:rsidR="00CE3FB0" w:rsidRDefault="00CE3FB0" w:rsidP="00472305">
      <w:pPr>
        <w:pStyle w:val="FootnoteText"/>
      </w:pPr>
      <w:r>
        <w:rPr>
          <w:rStyle w:val="FootnoteReference"/>
        </w:rPr>
        <w:footnoteRef/>
      </w:r>
      <w:r>
        <w:t xml:space="preserve"> 47 C.F.R. § 79.1; </w:t>
      </w:r>
      <w:r w:rsidRPr="003F0920">
        <w:rPr>
          <w:i/>
        </w:rPr>
        <w:t>see also</w:t>
      </w:r>
      <w:r>
        <w:t xml:space="preserve"> 47 U.S.C. § 613.  </w:t>
      </w:r>
    </w:p>
  </w:footnote>
  <w:footnote w:id="340">
    <w:p w:rsidR="00CE3FB0" w:rsidRDefault="00CE3FB0" w:rsidP="00350AB9">
      <w:pPr>
        <w:pStyle w:val="FootnoteText"/>
      </w:pPr>
      <w:r>
        <w:rPr>
          <w:rStyle w:val="FootnoteReference"/>
        </w:rPr>
        <w:footnoteRef/>
      </w:r>
      <w:r>
        <w:t xml:space="preserve"> </w:t>
      </w:r>
      <w:r w:rsidRPr="002459CD">
        <w:rPr>
          <w:i/>
        </w:rPr>
        <w:t>See</w:t>
      </w:r>
      <w:r>
        <w:t xml:space="preserve"> 47 C.F.R. §</w:t>
      </w:r>
      <w:r w:rsidRPr="002459CD">
        <w:t>§ 79.</w:t>
      </w:r>
      <w:r>
        <w:t>2, 79.3</w:t>
      </w:r>
      <w:r w:rsidRPr="002459CD">
        <w:t>.</w:t>
      </w:r>
    </w:p>
  </w:footnote>
  <w:footnote w:id="341">
    <w:p w:rsidR="00CE3FB0" w:rsidRPr="00870CB6" w:rsidRDefault="00CE3FB0" w:rsidP="00B82337">
      <w:pPr>
        <w:pStyle w:val="FootnoteText"/>
      </w:pPr>
      <w:r w:rsidRPr="00870CB6">
        <w:rPr>
          <w:rStyle w:val="FootnoteReference"/>
        </w:rPr>
        <w:footnoteRef/>
      </w:r>
      <w:r w:rsidRPr="00870CB6">
        <w:t xml:space="preserve"> </w:t>
      </w:r>
      <w:r w:rsidRPr="00870CB6">
        <w:rPr>
          <w:i/>
        </w:rPr>
        <w:t>See</w:t>
      </w:r>
      <w:r w:rsidRPr="00870CB6">
        <w:t xml:space="preserve"> </w:t>
      </w:r>
      <w:r w:rsidRPr="00870CB6">
        <w:rPr>
          <w:spacing w:val="-2"/>
        </w:rPr>
        <w:t xml:space="preserve">47 C.F.R. § 76.607; </w:t>
      </w:r>
      <w:r w:rsidRPr="00870CB6">
        <w:rPr>
          <w:i/>
        </w:rPr>
        <w:t>Implementation of the Commercial Advertisement Loudness Mitigation (CALM) Act</w:t>
      </w:r>
      <w:r w:rsidRPr="00870CB6">
        <w:t>, Report and Order, 26 FCC Rcd 17222 (2011)</w:t>
      </w:r>
      <w:r w:rsidRPr="00870CB6">
        <w:rPr>
          <w:spacing w:val="-2"/>
        </w:rPr>
        <w:t>.</w:t>
      </w:r>
    </w:p>
  </w:footnote>
  <w:footnote w:id="342">
    <w:p w:rsidR="00CE3FB0" w:rsidRDefault="00CE3FB0" w:rsidP="00184229">
      <w:pPr>
        <w:pStyle w:val="FootnoteText"/>
        <w:rPr>
          <w:highlight w:val="yellow"/>
        </w:rPr>
      </w:pPr>
      <w:r>
        <w:rPr>
          <w:rStyle w:val="FootnoteReference"/>
        </w:rPr>
        <w:footnoteRef/>
      </w:r>
      <w:r>
        <w:t xml:space="preserve"> 5 U.S.C. § 603(c)(1)-(c)(4)</w:t>
      </w:r>
    </w:p>
  </w:footnote>
  <w:footnote w:id="343">
    <w:p w:rsidR="00CE3FB0" w:rsidRPr="00D958CF" w:rsidRDefault="00CE3FB0" w:rsidP="00CE3FB0">
      <w:pPr>
        <w:pStyle w:val="FootnoteText"/>
      </w:pPr>
      <w:r w:rsidRPr="00D958CF">
        <w:rPr>
          <w:rStyle w:val="FootnoteReference"/>
        </w:rPr>
        <w:footnoteRef/>
      </w:r>
      <w:r w:rsidRPr="00D958CF">
        <w:t xml:space="preserve"> </w:t>
      </w:r>
      <w:r w:rsidRPr="00692B95">
        <w:t xml:space="preserve">For example, we should have asked whether the Commission’s proposal could </w:t>
      </w:r>
      <w:r>
        <w:t>require us to regulate</w:t>
      </w:r>
      <w:r w:rsidRPr="00692B95">
        <w:t xml:space="preserve"> Internet pornography.  </w:t>
      </w:r>
      <w:r>
        <w:t>T</w:t>
      </w:r>
      <w:r w:rsidRPr="00692B95">
        <w:t xml:space="preserve">his is </w:t>
      </w:r>
      <w:r>
        <w:t xml:space="preserve">obviously </w:t>
      </w:r>
      <w:r w:rsidRPr="00692B95">
        <w:t>an uncomfortable question</w:t>
      </w:r>
      <w:r>
        <w:t>, b</w:t>
      </w:r>
      <w:r w:rsidRPr="00692B95">
        <w:t xml:space="preserve">ut </w:t>
      </w:r>
      <w:r>
        <w:t>it won’t vanish through omission.</w:t>
      </w:r>
    </w:p>
  </w:footnote>
  <w:footnote w:id="344">
    <w:p w:rsidR="00CE3FB0" w:rsidRPr="00F944D3" w:rsidRDefault="00CE3FB0" w:rsidP="00CE3FB0">
      <w:pPr>
        <w:pStyle w:val="FootnoteText"/>
      </w:pPr>
      <w:r w:rsidRPr="00F944D3">
        <w:rPr>
          <w:rStyle w:val="FootnoteReference"/>
        </w:rPr>
        <w:footnoteRef/>
      </w:r>
      <w:r w:rsidRPr="00F944D3">
        <w:t xml:space="preserve"> Cisco, VNI Forecast Highlights, United States – 2018 Forecast Highlights, Internet Video, http://www.cisco.com/web/solutions/sp/vni/vni_forecast_highlights/index.html (last visited Dec. 18, 2014).</w:t>
      </w:r>
    </w:p>
  </w:footnote>
  <w:footnote w:id="345">
    <w:p w:rsidR="00CE3FB0" w:rsidRPr="00F944D3" w:rsidRDefault="00CE3FB0" w:rsidP="00CE3FB0">
      <w:pPr>
        <w:pStyle w:val="FootnoteText"/>
      </w:pPr>
      <w:r w:rsidRPr="00F944D3">
        <w:rPr>
          <w:rStyle w:val="FootnoteReference"/>
        </w:rPr>
        <w:footnoteRef/>
      </w:r>
      <w:r w:rsidRPr="00F944D3">
        <w:t xml:space="preserve"> </w:t>
      </w:r>
      <w:r w:rsidRPr="00F944D3">
        <w:rPr>
          <w:i/>
        </w:rPr>
        <w:t>See</w:t>
      </w:r>
      <w:r w:rsidRPr="00F944D3">
        <w:t xml:space="preserve"> American Broadcasting Companies, Inc. et el. V. Aereo, Inc., Nos. 12–cv–1540, 12–cv–1543, slip op. (S.D.N.Y. </w:t>
      </w:r>
      <w:r w:rsidRPr="00F944D3">
        <w:rPr>
          <w:color w:val="000000"/>
          <w:sz w:val="19"/>
          <w:szCs w:val="19"/>
        </w:rPr>
        <w:t>Oct. 23, 2014).</w:t>
      </w:r>
    </w:p>
  </w:footnote>
  <w:footnote w:id="346">
    <w:p w:rsidR="00CE3FB0" w:rsidRPr="00F944D3" w:rsidRDefault="00CE3FB0" w:rsidP="00CE3FB0">
      <w:pPr>
        <w:pStyle w:val="FootnoteText"/>
      </w:pPr>
      <w:r w:rsidRPr="00F944D3">
        <w:rPr>
          <w:rStyle w:val="FootnoteReference"/>
        </w:rPr>
        <w:footnoteRef/>
      </w:r>
      <w:r w:rsidRPr="00F944D3">
        <w:t xml:space="preserve"> </w:t>
      </w:r>
      <w:r w:rsidRPr="00F944D3">
        <w:rPr>
          <w:i/>
        </w:rPr>
        <w:t>See</w:t>
      </w:r>
      <w:r w:rsidRPr="00F944D3">
        <w:t xml:space="preserve"> 17 U.S.C. §§ 111, 119,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E6" w:rsidRDefault="003F2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B0" w:rsidRDefault="00CE3FB0" w:rsidP="00DF6593">
    <w:pPr>
      <w:pStyle w:val="Header"/>
      <w:pBdr>
        <w:bottom w:val="single" w:sz="6" w:space="1" w:color="auto"/>
      </w:pBdr>
      <w:rPr>
        <w:b w:val="0"/>
      </w:rPr>
    </w:pPr>
    <w:r>
      <w:tab/>
      <w:t>Federal Communications Commission</w:t>
    </w:r>
    <w:r>
      <w:tab/>
    </w:r>
    <w:r>
      <w:rPr>
        <w:spacing w:val="-2"/>
      </w:rPr>
      <w:t>FCC 14-210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B0" w:rsidRDefault="00CE3FB0" w:rsidP="00DF6593">
    <w:pPr>
      <w:pStyle w:val="Header"/>
      <w:rPr>
        <w:b w:val="0"/>
      </w:rPr>
    </w:pPr>
    <w:r w:rsidRPr="00467260">
      <w:rPr>
        <w:noProof/>
        <w:snapToGrid/>
      </w:rPr>
      <mc:AlternateContent>
        <mc:Choice Requires="wps">
          <w:drawing>
            <wp:anchor distT="0" distB="0" distL="114300" distR="114300" simplePos="0" relativeHeight="251661824" behindDoc="1" locked="0" layoutInCell="0" allowOverlap="1" wp14:anchorId="4EA07878" wp14:editId="7D3A79CB">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14-210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66" w:rsidRDefault="00A70E66" w:rsidP="00A70E66">
    <w:pPr>
      <w:pStyle w:val="Header"/>
      <w:rPr>
        <w:b w:val="0"/>
      </w:rPr>
    </w:pPr>
    <w:r w:rsidRPr="00467260">
      <w:rPr>
        <w:noProof/>
        <w:snapToGrid/>
      </w:rPr>
      <mc:AlternateContent>
        <mc:Choice Requires="wps">
          <w:drawing>
            <wp:anchor distT="0" distB="0" distL="114300" distR="114300" simplePos="0" relativeHeight="251663872" behindDoc="1" locked="0" layoutInCell="0" allowOverlap="1" wp14:anchorId="09C3B2B9" wp14:editId="33AC066D">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374"/>
    <w:multiLevelType w:val="hybridMultilevel"/>
    <w:tmpl w:val="D53A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D7263A"/>
    <w:multiLevelType w:val="hybridMultilevel"/>
    <w:tmpl w:val="73608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0319B7"/>
    <w:multiLevelType w:val="hybridMultilevel"/>
    <w:tmpl w:val="51B882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9DD5FB7"/>
    <w:multiLevelType w:val="hybridMultilevel"/>
    <w:tmpl w:val="20887DFA"/>
    <w:lvl w:ilvl="0" w:tplc="4A4E170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CA817E6"/>
    <w:multiLevelType w:val="hybridMultilevel"/>
    <w:tmpl w:val="059C7796"/>
    <w:lvl w:ilvl="0" w:tplc="36282A46">
      <w:start w:val="1"/>
      <w:numFmt w:val="bullet"/>
      <w:lvlText w:val=""/>
      <w:lvlJc w:val="left"/>
      <w:pPr>
        <w:tabs>
          <w:tab w:val="num" w:pos="1080"/>
        </w:tabs>
        <w:ind w:left="1080" w:hanging="360"/>
      </w:pPr>
      <w:rPr>
        <w:rFonts w:ascii="Symbol" w:hAnsi="Symbol" w:hint="default"/>
      </w:rPr>
    </w:lvl>
    <w:lvl w:ilvl="1" w:tplc="486A7314">
      <w:start w:val="1"/>
      <w:numFmt w:val="bullet"/>
      <w:lvlText w:val="o"/>
      <w:lvlJc w:val="left"/>
      <w:pPr>
        <w:tabs>
          <w:tab w:val="num" w:pos="1800"/>
        </w:tabs>
        <w:ind w:left="1800" w:hanging="360"/>
      </w:pPr>
      <w:rPr>
        <w:rFonts w:ascii="Courier New" w:hAnsi="Courier New" w:cs="Symbol" w:hint="default"/>
      </w:rPr>
    </w:lvl>
    <w:lvl w:ilvl="2" w:tplc="2DB6F796" w:tentative="1">
      <w:start w:val="1"/>
      <w:numFmt w:val="bullet"/>
      <w:lvlText w:val=""/>
      <w:lvlJc w:val="left"/>
      <w:pPr>
        <w:tabs>
          <w:tab w:val="num" w:pos="2520"/>
        </w:tabs>
        <w:ind w:left="2520" w:hanging="360"/>
      </w:pPr>
      <w:rPr>
        <w:rFonts w:ascii="Wingdings" w:hAnsi="Wingdings" w:hint="default"/>
      </w:rPr>
    </w:lvl>
    <w:lvl w:ilvl="3" w:tplc="DB1416F4" w:tentative="1">
      <w:start w:val="1"/>
      <w:numFmt w:val="bullet"/>
      <w:lvlText w:val=""/>
      <w:lvlJc w:val="left"/>
      <w:pPr>
        <w:tabs>
          <w:tab w:val="num" w:pos="3240"/>
        </w:tabs>
        <w:ind w:left="3240" w:hanging="360"/>
      </w:pPr>
      <w:rPr>
        <w:rFonts w:ascii="Symbol" w:hAnsi="Symbol" w:hint="default"/>
      </w:rPr>
    </w:lvl>
    <w:lvl w:ilvl="4" w:tplc="EF180E4A" w:tentative="1">
      <w:start w:val="1"/>
      <w:numFmt w:val="bullet"/>
      <w:lvlText w:val="o"/>
      <w:lvlJc w:val="left"/>
      <w:pPr>
        <w:tabs>
          <w:tab w:val="num" w:pos="3960"/>
        </w:tabs>
        <w:ind w:left="3960" w:hanging="360"/>
      </w:pPr>
      <w:rPr>
        <w:rFonts w:ascii="Courier New" w:hAnsi="Courier New" w:cs="Symbol" w:hint="default"/>
      </w:rPr>
    </w:lvl>
    <w:lvl w:ilvl="5" w:tplc="7A2A0CB2" w:tentative="1">
      <w:start w:val="1"/>
      <w:numFmt w:val="bullet"/>
      <w:lvlText w:val=""/>
      <w:lvlJc w:val="left"/>
      <w:pPr>
        <w:tabs>
          <w:tab w:val="num" w:pos="4680"/>
        </w:tabs>
        <w:ind w:left="4680" w:hanging="360"/>
      </w:pPr>
      <w:rPr>
        <w:rFonts w:ascii="Wingdings" w:hAnsi="Wingdings" w:hint="default"/>
      </w:rPr>
    </w:lvl>
    <w:lvl w:ilvl="6" w:tplc="7BBEC0D0" w:tentative="1">
      <w:start w:val="1"/>
      <w:numFmt w:val="bullet"/>
      <w:lvlText w:val=""/>
      <w:lvlJc w:val="left"/>
      <w:pPr>
        <w:tabs>
          <w:tab w:val="num" w:pos="5400"/>
        </w:tabs>
        <w:ind w:left="5400" w:hanging="360"/>
      </w:pPr>
      <w:rPr>
        <w:rFonts w:ascii="Symbol" w:hAnsi="Symbol" w:hint="default"/>
      </w:rPr>
    </w:lvl>
    <w:lvl w:ilvl="7" w:tplc="8182B934" w:tentative="1">
      <w:start w:val="1"/>
      <w:numFmt w:val="bullet"/>
      <w:lvlText w:val="o"/>
      <w:lvlJc w:val="left"/>
      <w:pPr>
        <w:tabs>
          <w:tab w:val="num" w:pos="6120"/>
        </w:tabs>
        <w:ind w:left="6120" w:hanging="360"/>
      </w:pPr>
      <w:rPr>
        <w:rFonts w:ascii="Courier New" w:hAnsi="Courier New" w:cs="Symbol" w:hint="default"/>
      </w:rPr>
    </w:lvl>
    <w:lvl w:ilvl="8" w:tplc="8D463A2C" w:tentative="1">
      <w:start w:val="1"/>
      <w:numFmt w:val="bullet"/>
      <w:lvlText w:val=""/>
      <w:lvlJc w:val="left"/>
      <w:pPr>
        <w:tabs>
          <w:tab w:val="num" w:pos="6840"/>
        </w:tabs>
        <w:ind w:left="6840" w:hanging="360"/>
      </w:pPr>
      <w:rPr>
        <w:rFonts w:ascii="Wingdings" w:hAnsi="Wingdings" w:hint="default"/>
      </w:rPr>
    </w:lvl>
  </w:abstractNum>
  <w:abstractNum w:abstractNumId="9">
    <w:nsid w:val="4DEB084A"/>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9BA0F8A"/>
    <w:multiLevelType w:val="singleLevel"/>
    <w:tmpl w:val="5E322D42"/>
    <w:lvl w:ilvl="0">
      <w:start w:val="1"/>
      <w:numFmt w:val="bullet"/>
      <w:pStyle w:val="ParaNumCharChar1"/>
      <w:lvlText w:val=""/>
      <w:lvlJc w:val="left"/>
      <w:pPr>
        <w:tabs>
          <w:tab w:val="num" w:pos="2520"/>
        </w:tabs>
        <w:ind w:left="2520" w:hanging="360"/>
      </w:pPr>
      <w:rPr>
        <w:rFonts w:ascii="Symbol" w:hAnsi="Symbol" w:hint="default"/>
      </w:rPr>
    </w:lvl>
  </w:abstractNum>
  <w:abstractNum w:abstractNumId="12">
    <w:nsid w:val="5D59609E"/>
    <w:multiLevelType w:val="hybridMultilevel"/>
    <w:tmpl w:val="99CCA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987367A"/>
    <w:multiLevelType w:val="hybridMultilevel"/>
    <w:tmpl w:val="397EF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E93FC4"/>
    <w:multiLevelType w:val="hybridMultilevel"/>
    <w:tmpl w:val="460CA6D0"/>
    <w:lvl w:ilvl="0" w:tplc="50509CB4">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3"/>
  </w:num>
  <w:num w:numId="2">
    <w:abstractNumId w:val="4"/>
  </w:num>
  <w:num w:numId="3">
    <w:abstractNumId w:val="8"/>
  </w:num>
  <w:num w:numId="4">
    <w:abstractNumId w:val="13"/>
    <w:lvlOverride w:ilvl="0">
      <w:startOverride w:val="1"/>
    </w:lvlOverride>
  </w:num>
  <w:num w:numId="5">
    <w:abstractNumId w:val="11"/>
  </w:num>
  <w:num w:numId="6">
    <w:abstractNumId w:val="5"/>
  </w:num>
  <w:num w:numId="7">
    <w:abstractNumId w:val="12"/>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 w:numId="13">
    <w:abstractNumId w:val="3"/>
  </w:num>
  <w:num w:numId="14">
    <w:abstractNumId w:val="1"/>
  </w:num>
  <w:num w:numId="15">
    <w:abstractNumId w:val="13"/>
  </w:num>
  <w:num w:numId="16">
    <w:abstractNumId w:val="13"/>
  </w:num>
  <w:num w:numId="17">
    <w:abstractNumId w:val="13"/>
  </w:num>
  <w:num w:numId="18">
    <w:abstractNumId w:val="13"/>
  </w:num>
  <w:num w:numId="19">
    <w:abstractNumId w:val="4"/>
  </w:num>
  <w:num w:numId="20">
    <w:abstractNumId w:val="13"/>
  </w:num>
  <w:num w:numId="21">
    <w:abstractNumId w:val="13"/>
  </w:num>
  <w:num w:numId="22">
    <w:abstractNumId w:val="13"/>
  </w:num>
  <w:num w:numId="23">
    <w:abstractNumId w:val="13"/>
  </w:num>
  <w:num w:numId="24">
    <w:abstractNumId w:val="4"/>
  </w:num>
  <w:num w:numId="25">
    <w:abstractNumId w:val="4"/>
  </w:num>
  <w:num w:numId="26">
    <w:abstractNumId w:val="4"/>
  </w:num>
  <w:num w:numId="27">
    <w:abstractNumId w:val="4"/>
  </w:num>
  <w:num w:numId="28">
    <w:abstractNumId w:val="13"/>
  </w:num>
  <w:num w:numId="29">
    <w:abstractNumId w:val="14"/>
  </w:num>
  <w:num w:numId="30">
    <w:abstractNumId w:val="13"/>
  </w:num>
  <w:num w:numId="31">
    <w:abstractNumId w:val="13"/>
  </w:num>
  <w:num w:numId="32">
    <w:abstractNumId w:val="13"/>
  </w:num>
  <w:num w:numId="33">
    <w:abstractNumId w:val="4"/>
  </w:num>
  <w:num w:numId="34">
    <w:abstractNumId w:val="4"/>
  </w:num>
  <w:num w:numId="35">
    <w:abstractNumId w:val="4"/>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3"/>
    <w:lvlOverride w:ilvl="0">
      <w:startOverride w:val="1"/>
    </w:lvlOverride>
  </w:num>
  <w:num w:numId="45">
    <w:abstractNumId w:val="13"/>
  </w:num>
  <w:num w:numId="46">
    <w:abstractNumId w:val="4"/>
  </w:num>
  <w:num w:numId="47">
    <w:abstractNumId w:val="13"/>
  </w:num>
  <w:num w:numId="48">
    <w:abstractNumId w:val="13"/>
  </w:num>
  <w:num w:numId="49">
    <w:abstractNumId w:val="13"/>
  </w:num>
  <w:num w:numId="50">
    <w:abstractNumId w:val="13"/>
    <w:lvlOverride w:ilvl="0">
      <w:startOverride w:val="1"/>
    </w:lvlOverride>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7"/>
  </w:num>
  <w:num w:numId="59">
    <w:abstractNumId w:val="4"/>
  </w:num>
  <w:num w:numId="60">
    <w:abstractNumId w:val="4"/>
  </w:num>
  <w:num w:numId="61">
    <w:abstractNumId w:val="4"/>
  </w:num>
  <w:num w:numId="62">
    <w:abstractNumId w:val="4"/>
  </w:num>
  <w:num w:numId="63">
    <w:abstractNumId w:val="4"/>
  </w:num>
  <w:num w:numId="64">
    <w:abstractNumId w:val="15"/>
  </w:num>
  <w:num w:numId="65">
    <w:abstractNumId w:val="13"/>
  </w:num>
  <w:num w:numId="66">
    <w:abstractNumId w:val="13"/>
  </w:num>
  <w:num w:numId="67">
    <w:abstractNumId w:val="4"/>
  </w:num>
  <w:num w:numId="68">
    <w:abstractNumId w:val="13"/>
  </w:num>
  <w:num w:numId="69">
    <w:abstractNumId w:val="0"/>
  </w:num>
  <w:num w:numId="70">
    <w:abstractNumId w:val="1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girls">
    <w15:presenceInfo w15:providerId="None" w15:userId="3gir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AA"/>
    <w:rsid w:val="00000206"/>
    <w:rsid w:val="00001429"/>
    <w:rsid w:val="00001660"/>
    <w:rsid w:val="0000294E"/>
    <w:rsid w:val="00004236"/>
    <w:rsid w:val="00004BCE"/>
    <w:rsid w:val="00006161"/>
    <w:rsid w:val="000118B8"/>
    <w:rsid w:val="00011C90"/>
    <w:rsid w:val="0001297C"/>
    <w:rsid w:val="00012E7A"/>
    <w:rsid w:val="00012E85"/>
    <w:rsid w:val="000133D7"/>
    <w:rsid w:val="000134CF"/>
    <w:rsid w:val="0001568E"/>
    <w:rsid w:val="00015CA6"/>
    <w:rsid w:val="00016840"/>
    <w:rsid w:val="00016C75"/>
    <w:rsid w:val="00017CC0"/>
    <w:rsid w:val="000229AB"/>
    <w:rsid w:val="00024195"/>
    <w:rsid w:val="00024EE2"/>
    <w:rsid w:val="00024FA4"/>
    <w:rsid w:val="000261CA"/>
    <w:rsid w:val="000264B3"/>
    <w:rsid w:val="000279BE"/>
    <w:rsid w:val="000300CC"/>
    <w:rsid w:val="00030BFC"/>
    <w:rsid w:val="00030ED3"/>
    <w:rsid w:val="000326B1"/>
    <w:rsid w:val="0003421D"/>
    <w:rsid w:val="00035D84"/>
    <w:rsid w:val="00040536"/>
    <w:rsid w:val="00040E00"/>
    <w:rsid w:val="00041FD4"/>
    <w:rsid w:val="000435C1"/>
    <w:rsid w:val="00045481"/>
    <w:rsid w:val="00046A3E"/>
    <w:rsid w:val="00047D6F"/>
    <w:rsid w:val="0005096E"/>
    <w:rsid w:val="00050C3D"/>
    <w:rsid w:val="000522FB"/>
    <w:rsid w:val="0005243E"/>
    <w:rsid w:val="000524DC"/>
    <w:rsid w:val="000550D1"/>
    <w:rsid w:val="00055155"/>
    <w:rsid w:val="0005692C"/>
    <w:rsid w:val="00056CAF"/>
    <w:rsid w:val="00057AF6"/>
    <w:rsid w:val="00060D3A"/>
    <w:rsid w:val="00061997"/>
    <w:rsid w:val="00061DE2"/>
    <w:rsid w:val="00062194"/>
    <w:rsid w:val="00062D3E"/>
    <w:rsid w:val="000642C1"/>
    <w:rsid w:val="00064811"/>
    <w:rsid w:val="00064B43"/>
    <w:rsid w:val="00065FF9"/>
    <w:rsid w:val="00066B55"/>
    <w:rsid w:val="00066ED4"/>
    <w:rsid w:val="00067A04"/>
    <w:rsid w:val="00067A6E"/>
    <w:rsid w:val="00070118"/>
    <w:rsid w:val="00070147"/>
    <w:rsid w:val="00070AB9"/>
    <w:rsid w:val="00071491"/>
    <w:rsid w:val="0007243C"/>
    <w:rsid w:val="00073F57"/>
    <w:rsid w:val="0007442F"/>
    <w:rsid w:val="00075DBC"/>
    <w:rsid w:val="0007616F"/>
    <w:rsid w:val="000774EF"/>
    <w:rsid w:val="0007764C"/>
    <w:rsid w:val="00080531"/>
    <w:rsid w:val="000810D5"/>
    <w:rsid w:val="00082307"/>
    <w:rsid w:val="000823D2"/>
    <w:rsid w:val="000830C7"/>
    <w:rsid w:val="0008560D"/>
    <w:rsid w:val="00086A21"/>
    <w:rsid w:val="00086C12"/>
    <w:rsid w:val="0008742A"/>
    <w:rsid w:val="000879F3"/>
    <w:rsid w:val="000901EF"/>
    <w:rsid w:val="00091A4E"/>
    <w:rsid w:val="000966F9"/>
    <w:rsid w:val="00096A5F"/>
    <w:rsid w:val="000A139E"/>
    <w:rsid w:val="000A2605"/>
    <w:rsid w:val="000A2CC6"/>
    <w:rsid w:val="000A2E5D"/>
    <w:rsid w:val="000A322C"/>
    <w:rsid w:val="000A3C0A"/>
    <w:rsid w:val="000A406A"/>
    <w:rsid w:val="000A49F3"/>
    <w:rsid w:val="000A5124"/>
    <w:rsid w:val="000A58F6"/>
    <w:rsid w:val="000A5B04"/>
    <w:rsid w:val="000A60A1"/>
    <w:rsid w:val="000A6795"/>
    <w:rsid w:val="000A7EE5"/>
    <w:rsid w:val="000B01E5"/>
    <w:rsid w:val="000B06F2"/>
    <w:rsid w:val="000B1F83"/>
    <w:rsid w:val="000B27E5"/>
    <w:rsid w:val="000B2C23"/>
    <w:rsid w:val="000B3645"/>
    <w:rsid w:val="000B3AEB"/>
    <w:rsid w:val="000B4362"/>
    <w:rsid w:val="000B5297"/>
    <w:rsid w:val="000B5C2E"/>
    <w:rsid w:val="000B677E"/>
    <w:rsid w:val="000B699A"/>
    <w:rsid w:val="000B7A30"/>
    <w:rsid w:val="000C023F"/>
    <w:rsid w:val="000C0687"/>
    <w:rsid w:val="000C1DE3"/>
    <w:rsid w:val="000C263E"/>
    <w:rsid w:val="000C4DD2"/>
    <w:rsid w:val="000C5B54"/>
    <w:rsid w:val="000C6079"/>
    <w:rsid w:val="000C73D6"/>
    <w:rsid w:val="000C7AAF"/>
    <w:rsid w:val="000C7C5E"/>
    <w:rsid w:val="000D033B"/>
    <w:rsid w:val="000D116E"/>
    <w:rsid w:val="000D2294"/>
    <w:rsid w:val="000D3426"/>
    <w:rsid w:val="000D4AE6"/>
    <w:rsid w:val="000D7180"/>
    <w:rsid w:val="000D71A8"/>
    <w:rsid w:val="000D7A60"/>
    <w:rsid w:val="000E0BA2"/>
    <w:rsid w:val="000E0CD3"/>
    <w:rsid w:val="000E1309"/>
    <w:rsid w:val="000E47C3"/>
    <w:rsid w:val="000E4B54"/>
    <w:rsid w:val="000E4B9A"/>
    <w:rsid w:val="000E5809"/>
    <w:rsid w:val="000E5E4D"/>
    <w:rsid w:val="000E6677"/>
    <w:rsid w:val="000E6A5C"/>
    <w:rsid w:val="000E70FA"/>
    <w:rsid w:val="000E7C26"/>
    <w:rsid w:val="000F1A8F"/>
    <w:rsid w:val="000F1C3C"/>
    <w:rsid w:val="000F4A46"/>
    <w:rsid w:val="000F53BD"/>
    <w:rsid w:val="000F5782"/>
    <w:rsid w:val="000F6A10"/>
    <w:rsid w:val="000F7AE2"/>
    <w:rsid w:val="000F7B4B"/>
    <w:rsid w:val="00100EBE"/>
    <w:rsid w:val="00101647"/>
    <w:rsid w:val="00102EFD"/>
    <w:rsid w:val="0010399F"/>
    <w:rsid w:val="00103BAC"/>
    <w:rsid w:val="0010471A"/>
    <w:rsid w:val="001059F9"/>
    <w:rsid w:val="00110BA1"/>
    <w:rsid w:val="0011140F"/>
    <w:rsid w:val="00111FB6"/>
    <w:rsid w:val="0011237E"/>
    <w:rsid w:val="00112ACD"/>
    <w:rsid w:val="0011333F"/>
    <w:rsid w:val="0011616A"/>
    <w:rsid w:val="001175E5"/>
    <w:rsid w:val="001216FA"/>
    <w:rsid w:val="0012302F"/>
    <w:rsid w:val="001237AF"/>
    <w:rsid w:val="00125B5E"/>
    <w:rsid w:val="00126CFA"/>
    <w:rsid w:val="00127821"/>
    <w:rsid w:val="001279C4"/>
    <w:rsid w:val="00127B6B"/>
    <w:rsid w:val="00133170"/>
    <w:rsid w:val="00133C99"/>
    <w:rsid w:val="001351E2"/>
    <w:rsid w:val="00136FBA"/>
    <w:rsid w:val="0013760B"/>
    <w:rsid w:val="001378B8"/>
    <w:rsid w:val="0014068D"/>
    <w:rsid w:val="00140BEE"/>
    <w:rsid w:val="00141C25"/>
    <w:rsid w:val="00142C06"/>
    <w:rsid w:val="00142EC9"/>
    <w:rsid w:val="00143B0E"/>
    <w:rsid w:val="0014543B"/>
    <w:rsid w:val="00145C36"/>
    <w:rsid w:val="001469C5"/>
    <w:rsid w:val="00146F6B"/>
    <w:rsid w:val="00146F93"/>
    <w:rsid w:val="0014776E"/>
    <w:rsid w:val="0015004D"/>
    <w:rsid w:val="0015094E"/>
    <w:rsid w:val="00152059"/>
    <w:rsid w:val="001532BC"/>
    <w:rsid w:val="00155C20"/>
    <w:rsid w:val="00156C00"/>
    <w:rsid w:val="00156F51"/>
    <w:rsid w:val="00157087"/>
    <w:rsid w:val="0015737E"/>
    <w:rsid w:val="0015793A"/>
    <w:rsid w:val="001615C5"/>
    <w:rsid w:val="00161921"/>
    <w:rsid w:val="00162012"/>
    <w:rsid w:val="001620D1"/>
    <w:rsid w:val="00162289"/>
    <w:rsid w:val="00162A1A"/>
    <w:rsid w:val="00162E99"/>
    <w:rsid w:val="00163E72"/>
    <w:rsid w:val="00164861"/>
    <w:rsid w:val="00170212"/>
    <w:rsid w:val="0017102E"/>
    <w:rsid w:val="00171FC7"/>
    <w:rsid w:val="001728EB"/>
    <w:rsid w:val="0017392B"/>
    <w:rsid w:val="00173A4A"/>
    <w:rsid w:val="001754B3"/>
    <w:rsid w:val="001757A6"/>
    <w:rsid w:val="00176A7D"/>
    <w:rsid w:val="0018047B"/>
    <w:rsid w:val="00180966"/>
    <w:rsid w:val="00181594"/>
    <w:rsid w:val="00181EDD"/>
    <w:rsid w:val="00182655"/>
    <w:rsid w:val="00184229"/>
    <w:rsid w:val="001844C1"/>
    <w:rsid w:val="00185390"/>
    <w:rsid w:val="00186051"/>
    <w:rsid w:val="00186290"/>
    <w:rsid w:val="001868E6"/>
    <w:rsid w:val="001870AA"/>
    <w:rsid w:val="0018719E"/>
    <w:rsid w:val="00190929"/>
    <w:rsid w:val="00191738"/>
    <w:rsid w:val="00191C28"/>
    <w:rsid w:val="00192419"/>
    <w:rsid w:val="0019333E"/>
    <w:rsid w:val="00193429"/>
    <w:rsid w:val="0019482C"/>
    <w:rsid w:val="00195266"/>
    <w:rsid w:val="001972DC"/>
    <w:rsid w:val="001976F9"/>
    <w:rsid w:val="00197B13"/>
    <w:rsid w:val="001A00FC"/>
    <w:rsid w:val="001A2A10"/>
    <w:rsid w:val="001A4FB1"/>
    <w:rsid w:val="001A53FF"/>
    <w:rsid w:val="001A61E9"/>
    <w:rsid w:val="001A6287"/>
    <w:rsid w:val="001B0066"/>
    <w:rsid w:val="001B01C8"/>
    <w:rsid w:val="001B01E0"/>
    <w:rsid w:val="001B02AE"/>
    <w:rsid w:val="001B05CD"/>
    <w:rsid w:val="001B0969"/>
    <w:rsid w:val="001B16E1"/>
    <w:rsid w:val="001B1874"/>
    <w:rsid w:val="001B22C6"/>
    <w:rsid w:val="001B38FC"/>
    <w:rsid w:val="001B404E"/>
    <w:rsid w:val="001B4843"/>
    <w:rsid w:val="001B4BEC"/>
    <w:rsid w:val="001B4FA0"/>
    <w:rsid w:val="001B5827"/>
    <w:rsid w:val="001B5D51"/>
    <w:rsid w:val="001B755C"/>
    <w:rsid w:val="001C011B"/>
    <w:rsid w:val="001C04E0"/>
    <w:rsid w:val="001C170C"/>
    <w:rsid w:val="001C1AB5"/>
    <w:rsid w:val="001C2C6E"/>
    <w:rsid w:val="001C3574"/>
    <w:rsid w:val="001C4024"/>
    <w:rsid w:val="001C4223"/>
    <w:rsid w:val="001C4498"/>
    <w:rsid w:val="001C53D2"/>
    <w:rsid w:val="001C6925"/>
    <w:rsid w:val="001C71D9"/>
    <w:rsid w:val="001C7BEA"/>
    <w:rsid w:val="001D0036"/>
    <w:rsid w:val="001D007B"/>
    <w:rsid w:val="001D036E"/>
    <w:rsid w:val="001D1942"/>
    <w:rsid w:val="001D3752"/>
    <w:rsid w:val="001D3887"/>
    <w:rsid w:val="001D43E0"/>
    <w:rsid w:val="001D4B33"/>
    <w:rsid w:val="001D4FBE"/>
    <w:rsid w:val="001D558F"/>
    <w:rsid w:val="001D5A99"/>
    <w:rsid w:val="001D5C4C"/>
    <w:rsid w:val="001D5CE3"/>
    <w:rsid w:val="001D6E4E"/>
    <w:rsid w:val="001E0BB7"/>
    <w:rsid w:val="001E1498"/>
    <w:rsid w:val="001E1751"/>
    <w:rsid w:val="001E1FBB"/>
    <w:rsid w:val="001E2864"/>
    <w:rsid w:val="001E2AE1"/>
    <w:rsid w:val="001E3395"/>
    <w:rsid w:val="001E48E5"/>
    <w:rsid w:val="001E57B0"/>
    <w:rsid w:val="001E5D92"/>
    <w:rsid w:val="001E6474"/>
    <w:rsid w:val="001E6B9F"/>
    <w:rsid w:val="001F0B61"/>
    <w:rsid w:val="001F17E8"/>
    <w:rsid w:val="001F2F8F"/>
    <w:rsid w:val="001F3B38"/>
    <w:rsid w:val="001F4D83"/>
    <w:rsid w:val="001F7C66"/>
    <w:rsid w:val="002001C2"/>
    <w:rsid w:val="00200CC7"/>
    <w:rsid w:val="0020118A"/>
    <w:rsid w:val="00201371"/>
    <w:rsid w:val="002015DF"/>
    <w:rsid w:val="002023D7"/>
    <w:rsid w:val="00202BA3"/>
    <w:rsid w:val="002051EA"/>
    <w:rsid w:val="00206A2F"/>
    <w:rsid w:val="0021209F"/>
    <w:rsid w:val="0021383B"/>
    <w:rsid w:val="00213FCF"/>
    <w:rsid w:val="002155DF"/>
    <w:rsid w:val="00215891"/>
    <w:rsid w:val="00216011"/>
    <w:rsid w:val="00216BCA"/>
    <w:rsid w:val="0021746A"/>
    <w:rsid w:val="00217C87"/>
    <w:rsid w:val="00217DCD"/>
    <w:rsid w:val="002201BA"/>
    <w:rsid w:val="002211E9"/>
    <w:rsid w:val="00221621"/>
    <w:rsid w:val="00223197"/>
    <w:rsid w:val="00223E53"/>
    <w:rsid w:val="00224FF0"/>
    <w:rsid w:val="00225CC8"/>
    <w:rsid w:val="00226231"/>
    <w:rsid w:val="00226242"/>
    <w:rsid w:val="00226940"/>
    <w:rsid w:val="002309D9"/>
    <w:rsid w:val="00231AC7"/>
    <w:rsid w:val="00231D16"/>
    <w:rsid w:val="002321FE"/>
    <w:rsid w:val="00234F61"/>
    <w:rsid w:val="002362E5"/>
    <w:rsid w:val="002412C3"/>
    <w:rsid w:val="00243428"/>
    <w:rsid w:val="00243DC4"/>
    <w:rsid w:val="00243DEF"/>
    <w:rsid w:val="00244428"/>
    <w:rsid w:val="002449CC"/>
    <w:rsid w:val="00245882"/>
    <w:rsid w:val="0024593D"/>
    <w:rsid w:val="002459CD"/>
    <w:rsid w:val="00246DF2"/>
    <w:rsid w:val="0024749F"/>
    <w:rsid w:val="00250B38"/>
    <w:rsid w:val="00250F27"/>
    <w:rsid w:val="00252E55"/>
    <w:rsid w:val="00253158"/>
    <w:rsid w:val="0025439C"/>
    <w:rsid w:val="0025495C"/>
    <w:rsid w:val="00255429"/>
    <w:rsid w:val="00255649"/>
    <w:rsid w:val="00255C7A"/>
    <w:rsid w:val="002563E7"/>
    <w:rsid w:val="00256670"/>
    <w:rsid w:val="00257ABA"/>
    <w:rsid w:val="00257C80"/>
    <w:rsid w:val="00261E00"/>
    <w:rsid w:val="002630D7"/>
    <w:rsid w:val="002630D9"/>
    <w:rsid w:val="00263DD9"/>
    <w:rsid w:val="002648CB"/>
    <w:rsid w:val="002659E6"/>
    <w:rsid w:val="00265DE5"/>
    <w:rsid w:val="00271099"/>
    <w:rsid w:val="00276306"/>
    <w:rsid w:val="002775F7"/>
    <w:rsid w:val="00281F30"/>
    <w:rsid w:val="00282544"/>
    <w:rsid w:val="002829A7"/>
    <w:rsid w:val="00282B0E"/>
    <w:rsid w:val="00283158"/>
    <w:rsid w:val="00283946"/>
    <w:rsid w:val="00283C01"/>
    <w:rsid w:val="00284189"/>
    <w:rsid w:val="00285CFC"/>
    <w:rsid w:val="0028704D"/>
    <w:rsid w:val="00287F69"/>
    <w:rsid w:val="002905CC"/>
    <w:rsid w:val="00291BBA"/>
    <w:rsid w:val="00292FC3"/>
    <w:rsid w:val="00294ABF"/>
    <w:rsid w:val="00296CBA"/>
    <w:rsid w:val="00297519"/>
    <w:rsid w:val="002A00B3"/>
    <w:rsid w:val="002A041A"/>
    <w:rsid w:val="002A05E7"/>
    <w:rsid w:val="002A2225"/>
    <w:rsid w:val="002A25C5"/>
    <w:rsid w:val="002A2C56"/>
    <w:rsid w:val="002A3C6D"/>
    <w:rsid w:val="002A4100"/>
    <w:rsid w:val="002A41C0"/>
    <w:rsid w:val="002A4972"/>
    <w:rsid w:val="002A6DF9"/>
    <w:rsid w:val="002B087B"/>
    <w:rsid w:val="002B093A"/>
    <w:rsid w:val="002B0EB5"/>
    <w:rsid w:val="002B1474"/>
    <w:rsid w:val="002B225B"/>
    <w:rsid w:val="002B28E9"/>
    <w:rsid w:val="002B3958"/>
    <w:rsid w:val="002B3E24"/>
    <w:rsid w:val="002B42C0"/>
    <w:rsid w:val="002B75CA"/>
    <w:rsid w:val="002B7C6F"/>
    <w:rsid w:val="002C119C"/>
    <w:rsid w:val="002C2237"/>
    <w:rsid w:val="002C2730"/>
    <w:rsid w:val="002C3831"/>
    <w:rsid w:val="002C41EA"/>
    <w:rsid w:val="002C41F1"/>
    <w:rsid w:val="002D00A3"/>
    <w:rsid w:val="002D1242"/>
    <w:rsid w:val="002D26A0"/>
    <w:rsid w:val="002D325A"/>
    <w:rsid w:val="002D37DF"/>
    <w:rsid w:val="002D3C78"/>
    <w:rsid w:val="002D424E"/>
    <w:rsid w:val="002D67B4"/>
    <w:rsid w:val="002D7746"/>
    <w:rsid w:val="002E0683"/>
    <w:rsid w:val="002E1145"/>
    <w:rsid w:val="002E2878"/>
    <w:rsid w:val="002E4B2D"/>
    <w:rsid w:val="002E51AD"/>
    <w:rsid w:val="002E55C4"/>
    <w:rsid w:val="002F1748"/>
    <w:rsid w:val="0030098C"/>
    <w:rsid w:val="0030202F"/>
    <w:rsid w:val="003026CA"/>
    <w:rsid w:val="00302FD0"/>
    <w:rsid w:val="00304368"/>
    <w:rsid w:val="00304843"/>
    <w:rsid w:val="00304882"/>
    <w:rsid w:val="00304C1A"/>
    <w:rsid w:val="00305800"/>
    <w:rsid w:val="003063AA"/>
    <w:rsid w:val="00306731"/>
    <w:rsid w:val="003107F1"/>
    <w:rsid w:val="0031210B"/>
    <w:rsid w:val="00312590"/>
    <w:rsid w:val="00312BA7"/>
    <w:rsid w:val="003131D2"/>
    <w:rsid w:val="00313ED2"/>
    <w:rsid w:val="003140E8"/>
    <w:rsid w:val="00314446"/>
    <w:rsid w:val="003158A5"/>
    <w:rsid w:val="00315962"/>
    <w:rsid w:val="00316728"/>
    <w:rsid w:val="00317FDC"/>
    <w:rsid w:val="00320256"/>
    <w:rsid w:val="003217F7"/>
    <w:rsid w:val="00321947"/>
    <w:rsid w:val="00321B01"/>
    <w:rsid w:val="00324760"/>
    <w:rsid w:val="00325EBB"/>
    <w:rsid w:val="00326225"/>
    <w:rsid w:val="00326D22"/>
    <w:rsid w:val="003279BA"/>
    <w:rsid w:val="00327F2E"/>
    <w:rsid w:val="00332A09"/>
    <w:rsid w:val="00332BAA"/>
    <w:rsid w:val="00333371"/>
    <w:rsid w:val="00333492"/>
    <w:rsid w:val="0033653E"/>
    <w:rsid w:val="00336D2F"/>
    <w:rsid w:val="00337E57"/>
    <w:rsid w:val="00337F3A"/>
    <w:rsid w:val="003408ED"/>
    <w:rsid w:val="0034293E"/>
    <w:rsid w:val="003431DC"/>
    <w:rsid w:val="00343611"/>
    <w:rsid w:val="003437D5"/>
    <w:rsid w:val="00345702"/>
    <w:rsid w:val="00345897"/>
    <w:rsid w:val="0034589A"/>
    <w:rsid w:val="0034596B"/>
    <w:rsid w:val="00346C31"/>
    <w:rsid w:val="003470F0"/>
    <w:rsid w:val="0034721E"/>
    <w:rsid w:val="003478C8"/>
    <w:rsid w:val="003506F1"/>
    <w:rsid w:val="00350AB9"/>
    <w:rsid w:val="003511A2"/>
    <w:rsid w:val="003515CD"/>
    <w:rsid w:val="003543EF"/>
    <w:rsid w:val="00354B97"/>
    <w:rsid w:val="0035683E"/>
    <w:rsid w:val="0035693B"/>
    <w:rsid w:val="0035729B"/>
    <w:rsid w:val="00360200"/>
    <w:rsid w:val="00360269"/>
    <w:rsid w:val="00360872"/>
    <w:rsid w:val="00361628"/>
    <w:rsid w:val="003625C5"/>
    <w:rsid w:val="00362842"/>
    <w:rsid w:val="003634A6"/>
    <w:rsid w:val="00363EA1"/>
    <w:rsid w:val="003640B6"/>
    <w:rsid w:val="00371264"/>
    <w:rsid w:val="0037156F"/>
    <w:rsid w:val="00371DF2"/>
    <w:rsid w:val="00372F4F"/>
    <w:rsid w:val="00373AB1"/>
    <w:rsid w:val="00373FA8"/>
    <w:rsid w:val="0037415B"/>
    <w:rsid w:val="003751E8"/>
    <w:rsid w:val="00375BEA"/>
    <w:rsid w:val="003774B7"/>
    <w:rsid w:val="00380AD2"/>
    <w:rsid w:val="00381422"/>
    <w:rsid w:val="00381FF5"/>
    <w:rsid w:val="00382380"/>
    <w:rsid w:val="00383460"/>
    <w:rsid w:val="003834E9"/>
    <w:rsid w:val="00383B61"/>
    <w:rsid w:val="00384972"/>
    <w:rsid w:val="00385439"/>
    <w:rsid w:val="003859EB"/>
    <w:rsid w:val="0038609C"/>
    <w:rsid w:val="00387A4D"/>
    <w:rsid w:val="00390FFC"/>
    <w:rsid w:val="003919E7"/>
    <w:rsid w:val="00392895"/>
    <w:rsid w:val="00392985"/>
    <w:rsid w:val="00392F26"/>
    <w:rsid w:val="00394CCA"/>
    <w:rsid w:val="00395888"/>
    <w:rsid w:val="003964B2"/>
    <w:rsid w:val="00397068"/>
    <w:rsid w:val="00397342"/>
    <w:rsid w:val="003A0362"/>
    <w:rsid w:val="003A081E"/>
    <w:rsid w:val="003A179D"/>
    <w:rsid w:val="003A4375"/>
    <w:rsid w:val="003A45D7"/>
    <w:rsid w:val="003A4D97"/>
    <w:rsid w:val="003A69DD"/>
    <w:rsid w:val="003A708C"/>
    <w:rsid w:val="003A7229"/>
    <w:rsid w:val="003A729B"/>
    <w:rsid w:val="003B044A"/>
    <w:rsid w:val="003B164E"/>
    <w:rsid w:val="003B1F5E"/>
    <w:rsid w:val="003B40C2"/>
    <w:rsid w:val="003B455C"/>
    <w:rsid w:val="003B58BC"/>
    <w:rsid w:val="003B6175"/>
    <w:rsid w:val="003B70DF"/>
    <w:rsid w:val="003C3E9C"/>
    <w:rsid w:val="003C5205"/>
    <w:rsid w:val="003C6831"/>
    <w:rsid w:val="003C7FE7"/>
    <w:rsid w:val="003D0DE0"/>
    <w:rsid w:val="003D0EC0"/>
    <w:rsid w:val="003D12B8"/>
    <w:rsid w:val="003D327A"/>
    <w:rsid w:val="003D3E72"/>
    <w:rsid w:val="003D45F4"/>
    <w:rsid w:val="003D5005"/>
    <w:rsid w:val="003D588E"/>
    <w:rsid w:val="003D6C6F"/>
    <w:rsid w:val="003E08E4"/>
    <w:rsid w:val="003E12F7"/>
    <w:rsid w:val="003E272E"/>
    <w:rsid w:val="003E2FD9"/>
    <w:rsid w:val="003E31F8"/>
    <w:rsid w:val="003E35EB"/>
    <w:rsid w:val="003E36C7"/>
    <w:rsid w:val="003E3AEB"/>
    <w:rsid w:val="003E46AD"/>
    <w:rsid w:val="003E4ECC"/>
    <w:rsid w:val="003E624C"/>
    <w:rsid w:val="003E70E0"/>
    <w:rsid w:val="003F0920"/>
    <w:rsid w:val="003F0ED1"/>
    <w:rsid w:val="003F1EBA"/>
    <w:rsid w:val="003F2076"/>
    <w:rsid w:val="003F26E6"/>
    <w:rsid w:val="003F3021"/>
    <w:rsid w:val="003F363B"/>
    <w:rsid w:val="003F3956"/>
    <w:rsid w:val="003F405C"/>
    <w:rsid w:val="003F572F"/>
    <w:rsid w:val="003F6435"/>
    <w:rsid w:val="003F7573"/>
    <w:rsid w:val="00400BBE"/>
    <w:rsid w:val="00400EED"/>
    <w:rsid w:val="004024E1"/>
    <w:rsid w:val="0040254A"/>
    <w:rsid w:val="004025DF"/>
    <w:rsid w:val="00403CF6"/>
    <w:rsid w:val="00404D09"/>
    <w:rsid w:val="00411AA3"/>
    <w:rsid w:val="00412D02"/>
    <w:rsid w:val="00415C39"/>
    <w:rsid w:val="0041733C"/>
    <w:rsid w:val="00420CAB"/>
    <w:rsid w:val="00421330"/>
    <w:rsid w:val="00421C01"/>
    <w:rsid w:val="00422DA0"/>
    <w:rsid w:val="00424B92"/>
    <w:rsid w:val="0042507D"/>
    <w:rsid w:val="0042579E"/>
    <w:rsid w:val="00425AF8"/>
    <w:rsid w:val="004260D2"/>
    <w:rsid w:val="00426554"/>
    <w:rsid w:val="004268BF"/>
    <w:rsid w:val="004304AE"/>
    <w:rsid w:val="0043114A"/>
    <w:rsid w:val="00431BEB"/>
    <w:rsid w:val="004323BE"/>
    <w:rsid w:val="00432586"/>
    <w:rsid w:val="004346B4"/>
    <w:rsid w:val="00434A8E"/>
    <w:rsid w:val="00434B6E"/>
    <w:rsid w:val="00434FDA"/>
    <w:rsid w:val="004350FB"/>
    <w:rsid w:val="00436DAD"/>
    <w:rsid w:val="0044049F"/>
    <w:rsid w:val="00442FB7"/>
    <w:rsid w:val="0044342C"/>
    <w:rsid w:val="00444D08"/>
    <w:rsid w:val="00445F5B"/>
    <w:rsid w:val="00446356"/>
    <w:rsid w:val="0044700F"/>
    <w:rsid w:val="00450355"/>
    <w:rsid w:val="00455388"/>
    <w:rsid w:val="00457854"/>
    <w:rsid w:val="004614CB"/>
    <w:rsid w:val="0046165D"/>
    <w:rsid w:val="00461CB8"/>
    <w:rsid w:val="0046208D"/>
    <w:rsid w:val="004638FD"/>
    <w:rsid w:val="00463BA3"/>
    <w:rsid w:val="00463D43"/>
    <w:rsid w:val="00464704"/>
    <w:rsid w:val="00464ADD"/>
    <w:rsid w:val="00465A8C"/>
    <w:rsid w:val="00467260"/>
    <w:rsid w:val="00467553"/>
    <w:rsid w:val="004705AE"/>
    <w:rsid w:val="00472066"/>
    <w:rsid w:val="00472305"/>
    <w:rsid w:val="00472390"/>
    <w:rsid w:val="00472C1C"/>
    <w:rsid w:val="00472E23"/>
    <w:rsid w:val="00473AF3"/>
    <w:rsid w:val="00475FC7"/>
    <w:rsid w:val="004805AC"/>
    <w:rsid w:val="00481270"/>
    <w:rsid w:val="00481678"/>
    <w:rsid w:val="00482419"/>
    <w:rsid w:val="00482FC5"/>
    <w:rsid w:val="00483ADC"/>
    <w:rsid w:val="00485B6A"/>
    <w:rsid w:val="00485E5B"/>
    <w:rsid w:val="00485FC8"/>
    <w:rsid w:val="0048714A"/>
    <w:rsid w:val="0049159D"/>
    <w:rsid w:val="00491D83"/>
    <w:rsid w:val="00494E57"/>
    <w:rsid w:val="00495004"/>
    <w:rsid w:val="0049537F"/>
    <w:rsid w:val="004963DB"/>
    <w:rsid w:val="00496419"/>
    <w:rsid w:val="004969C7"/>
    <w:rsid w:val="004A0716"/>
    <w:rsid w:val="004A1DD6"/>
    <w:rsid w:val="004A2F03"/>
    <w:rsid w:val="004A3659"/>
    <w:rsid w:val="004A3C25"/>
    <w:rsid w:val="004A4052"/>
    <w:rsid w:val="004A5C1A"/>
    <w:rsid w:val="004A64D0"/>
    <w:rsid w:val="004A66CA"/>
    <w:rsid w:val="004A687F"/>
    <w:rsid w:val="004A7392"/>
    <w:rsid w:val="004B05C3"/>
    <w:rsid w:val="004B0CEB"/>
    <w:rsid w:val="004B1ED2"/>
    <w:rsid w:val="004B33AA"/>
    <w:rsid w:val="004B3751"/>
    <w:rsid w:val="004B506C"/>
    <w:rsid w:val="004B5A9E"/>
    <w:rsid w:val="004B71D0"/>
    <w:rsid w:val="004B7AAE"/>
    <w:rsid w:val="004B7DD6"/>
    <w:rsid w:val="004C093D"/>
    <w:rsid w:val="004C0D1C"/>
    <w:rsid w:val="004C143D"/>
    <w:rsid w:val="004C2159"/>
    <w:rsid w:val="004C4160"/>
    <w:rsid w:val="004C55AB"/>
    <w:rsid w:val="004C5AFD"/>
    <w:rsid w:val="004C5C3A"/>
    <w:rsid w:val="004C5EA8"/>
    <w:rsid w:val="004C7E63"/>
    <w:rsid w:val="004D00FC"/>
    <w:rsid w:val="004D0ABB"/>
    <w:rsid w:val="004D1CDB"/>
    <w:rsid w:val="004D20C2"/>
    <w:rsid w:val="004D246E"/>
    <w:rsid w:val="004D2D4C"/>
    <w:rsid w:val="004D2EBA"/>
    <w:rsid w:val="004D4A2E"/>
    <w:rsid w:val="004D4DF4"/>
    <w:rsid w:val="004D5EB1"/>
    <w:rsid w:val="004D7919"/>
    <w:rsid w:val="004D7C35"/>
    <w:rsid w:val="004E22D2"/>
    <w:rsid w:val="004E25E5"/>
    <w:rsid w:val="004E2EF6"/>
    <w:rsid w:val="004E3E4E"/>
    <w:rsid w:val="004F05BE"/>
    <w:rsid w:val="004F12AC"/>
    <w:rsid w:val="004F1D54"/>
    <w:rsid w:val="004F24C8"/>
    <w:rsid w:val="004F4E1B"/>
    <w:rsid w:val="004F4F58"/>
    <w:rsid w:val="004F5023"/>
    <w:rsid w:val="004F5458"/>
    <w:rsid w:val="004F54EB"/>
    <w:rsid w:val="004F5E70"/>
    <w:rsid w:val="004F6010"/>
    <w:rsid w:val="00500179"/>
    <w:rsid w:val="00500CA4"/>
    <w:rsid w:val="0050118B"/>
    <w:rsid w:val="0050171B"/>
    <w:rsid w:val="005020D7"/>
    <w:rsid w:val="00504138"/>
    <w:rsid w:val="00505252"/>
    <w:rsid w:val="00506108"/>
    <w:rsid w:val="005061B5"/>
    <w:rsid w:val="00506F12"/>
    <w:rsid w:val="0050720A"/>
    <w:rsid w:val="005074FE"/>
    <w:rsid w:val="005075A3"/>
    <w:rsid w:val="00507DF4"/>
    <w:rsid w:val="00510B49"/>
    <w:rsid w:val="00513D76"/>
    <w:rsid w:val="005152CB"/>
    <w:rsid w:val="00516091"/>
    <w:rsid w:val="005167C2"/>
    <w:rsid w:val="00517633"/>
    <w:rsid w:val="005176FA"/>
    <w:rsid w:val="00517C6D"/>
    <w:rsid w:val="00520AFE"/>
    <w:rsid w:val="00522F8A"/>
    <w:rsid w:val="00523006"/>
    <w:rsid w:val="005240DB"/>
    <w:rsid w:val="00524A6D"/>
    <w:rsid w:val="00525AA3"/>
    <w:rsid w:val="0052761E"/>
    <w:rsid w:val="005279FE"/>
    <w:rsid w:val="00530B5E"/>
    <w:rsid w:val="00530E07"/>
    <w:rsid w:val="005315FE"/>
    <w:rsid w:val="00532F6F"/>
    <w:rsid w:val="00533826"/>
    <w:rsid w:val="00533EF9"/>
    <w:rsid w:val="0053438B"/>
    <w:rsid w:val="00536297"/>
    <w:rsid w:val="0053669D"/>
    <w:rsid w:val="00536C86"/>
    <w:rsid w:val="00537103"/>
    <w:rsid w:val="0053764F"/>
    <w:rsid w:val="00537BAA"/>
    <w:rsid w:val="00540C6D"/>
    <w:rsid w:val="00540D24"/>
    <w:rsid w:val="00541528"/>
    <w:rsid w:val="00541841"/>
    <w:rsid w:val="00542B65"/>
    <w:rsid w:val="0054351E"/>
    <w:rsid w:val="00544B48"/>
    <w:rsid w:val="00544EF0"/>
    <w:rsid w:val="00545FFE"/>
    <w:rsid w:val="0054688B"/>
    <w:rsid w:val="0054761A"/>
    <w:rsid w:val="005502EF"/>
    <w:rsid w:val="0055258F"/>
    <w:rsid w:val="005525B3"/>
    <w:rsid w:val="00553A81"/>
    <w:rsid w:val="00555628"/>
    <w:rsid w:val="00555A9E"/>
    <w:rsid w:val="00555DE0"/>
    <w:rsid w:val="00560580"/>
    <w:rsid w:val="005606A4"/>
    <w:rsid w:val="00560962"/>
    <w:rsid w:val="005609E0"/>
    <w:rsid w:val="00561B40"/>
    <w:rsid w:val="00562FED"/>
    <w:rsid w:val="0056325A"/>
    <w:rsid w:val="00563727"/>
    <w:rsid w:val="00565076"/>
    <w:rsid w:val="00565545"/>
    <w:rsid w:val="00570009"/>
    <w:rsid w:val="005709BF"/>
    <w:rsid w:val="00570F9B"/>
    <w:rsid w:val="00571AED"/>
    <w:rsid w:val="00572956"/>
    <w:rsid w:val="00572AE6"/>
    <w:rsid w:val="005730BE"/>
    <w:rsid w:val="00573347"/>
    <w:rsid w:val="00573D91"/>
    <w:rsid w:val="00577DF7"/>
    <w:rsid w:val="00580A08"/>
    <w:rsid w:val="00580B28"/>
    <w:rsid w:val="00582089"/>
    <w:rsid w:val="00582361"/>
    <w:rsid w:val="00582FD2"/>
    <w:rsid w:val="00583029"/>
    <w:rsid w:val="005834D1"/>
    <w:rsid w:val="00583B63"/>
    <w:rsid w:val="00584DDB"/>
    <w:rsid w:val="00584EA0"/>
    <w:rsid w:val="00587AD6"/>
    <w:rsid w:val="00591414"/>
    <w:rsid w:val="005917ED"/>
    <w:rsid w:val="00592C97"/>
    <w:rsid w:val="00593706"/>
    <w:rsid w:val="00594451"/>
    <w:rsid w:val="00595DBD"/>
    <w:rsid w:val="005A090D"/>
    <w:rsid w:val="005A0BFA"/>
    <w:rsid w:val="005A0F11"/>
    <w:rsid w:val="005A26F0"/>
    <w:rsid w:val="005A2756"/>
    <w:rsid w:val="005A2981"/>
    <w:rsid w:val="005A2A94"/>
    <w:rsid w:val="005A2EC7"/>
    <w:rsid w:val="005A3A8B"/>
    <w:rsid w:val="005A3B55"/>
    <w:rsid w:val="005A3DB4"/>
    <w:rsid w:val="005A5514"/>
    <w:rsid w:val="005A58C1"/>
    <w:rsid w:val="005A59EA"/>
    <w:rsid w:val="005A631F"/>
    <w:rsid w:val="005A6E45"/>
    <w:rsid w:val="005A7045"/>
    <w:rsid w:val="005A7771"/>
    <w:rsid w:val="005A7ED3"/>
    <w:rsid w:val="005B0D81"/>
    <w:rsid w:val="005B20A1"/>
    <w:rsid w:val="005B2D19"/>
    <w:rsid w:val="005B5012"/>
    <w:rsid w:val="005B65BF"/>
    <w:rsid w:val="005B68C8"/>
    <w:rsid w:val="005C013B"/>
    <w:rsid w:val="005C1302"/>
    <w:rsid w:val="005C1A51"/>
    <w:rsid w:val="005C45BE"/>
    <w:rsid w:val="005C6AAF"/>
    <w:rsid w:val="005D027E"/>
    <w:rsid w:val="005D04E9"/>
    <w:rsid w:val="005D09E8"/>
    <w:rsid w:val="005D0B74"/>
    <w:rsid w:val="005D1A4E"/>
    <w:rsid w:val="005D225B"/>
    <w:rsid w:val="005D3973"/>
    <w:rsid w:val="005D4438"/>
    <w:rsid w:val="005D46D3"/>
    <w:rsid w:val="005D4C32"/>
    <w:rsid w:val="005D4D17"/>
    <w:rsid w:val="005D568C"/>
    <w:rsid w:val="005D6F5D"/>
    <w:rsid w:val="005D7267"/>
    <w:rsid w:val="005E04E6"/>
    <w:rsid w:val="005E0978"/>
    <w:rsid w:val="005E15AA"/>
    <w:rsid w:val="005E22F9"/>
    <w:rsid w:val="005E2A57"/>
    <w:rsid w:val="005E3533"/>
    <w:rsid w:val="005E3F7E"/>
    <w:rsid w:val="005E41DF"/>
    <w:rsid w:val="005E4F88"/>
    <w:rsid w:val="005E5193"/>
    <w:rsid w:val="005E5F79"/>
    <w:rsid w:val="005E634C"/>
    <w:rsid w:val="005E7033"/>
    <w:rsid w:val="005E7063"/>
    <w:rsid w:val="005E7347"/>
    <w:rsid w:val="005E7C2C"/>
    <w:rsid w:val="005F0912"/>
    <w:rsid w:val="005F0E3C"/>
    <w:rsid w:val="005F24BE"/>
    <w:rsid w:val="005F3156"/>
    <w:rsid w:val="005F349F"/>
    <w:rsid w:val="005F3732"/>
    <w:rsid w:val="005F4B86"/>
    <w:rsid w:val="005F5128"/>
    <w:rsid w:val="005F6364"/>
    <w:rsid w:val="005F75FE"/>
    <w:rsid w:val="00601A5A"/>
    <w:rsid w:val="00602555"/>
    <w:rsid w:val="00602F97"/>
    <w:rsid w:val="00603A8B"/>
    <w:rsid w:val="00603B3D"/>
    <w:rsid w:val="00604DC4"/>
    <w:rsid w:val="006061A0"/>
    <w:rsid w:val="0060633F"/>
    <w:rsid w:val="006119A3"/>
    <w:rsid w:val="00612FF8"/>
    <w:rsid w:val="00614739"/>
    <w:rsid w:val="006148A8"/>
    <w:rsid w:val="0061532E"/>
    <w:rsid w:val="00616521"/>
    <w:rsid w:val="006179C0"/>
    <w:rsid w:val="00617B0E"/>
    <w:rsid w:val="00617F04"/>
    <w:rsid w:val="006210C5"/>
    <w:rsid w:val="006212CD"/>
    <w:rsid w:val="006212D5"/>
    <w:rsid w:val="00621AD9"/>
    <w:rsid w:val="00622AD3"/>
    <w:rsid w:val="00623168"/>
    <w:rsid w:val="006231D1"/>
    <w:rsid w:val="00623315"/>
    <w:rsid w:val="00623373"/>
    <w:rsid w:val="00630175"/>
    <w:rsid w:val="00631763"/>
    <w:rsid w:val="006318E7"/>
    <w:rsid w:val="00632B28"/>
    <w:rsid w:val="006355B2"/>
    <w:rsid w:val="00635C2B"/>
    <w:rsid w:val="00640D52"/>
    <w:rsid w:val="00643D46"/>
    <w:rsid w:val="006440C9"/>
    <w:rsid w:val="00644453"/>
    <w:rsid w:val="00644AB4"/>
    <w:rsid w:val="0064543F"/>
    <w:rsid w:val="00647293"/>
    <w:rsid w:val="00647CFE"/>
    <w:rsid w:val="0065011E"/>
    <w:rsid w:val="00651042"/>
    <w:rsid w:val="0065338A"/>
    <w:rsid w:val="00653BC9"/>
    <w:rsid w:val="00655914"/>
    <w:rsid w:val="00655A2E"/>
    <w:rsid w:val="006605E1"/>
    <w:rsid w:val="00661BE6"/>
    <w:rsid w:val="00663AF4"/>
    <w:rsid w:val="00663B34"/>
    <w:rsid w:val="0066440E"/>
    <w:rsid w:val="006647FD"/>
    <w:rsid w:val="00664DE8"/>
    <w:rsid w:val="00665736"/>
    <w:rsid w:val="00665CC2"/>
    <w:rsid w:val="00665DC6"/>
    <w:rsid w:val="00667F35"/>
    <w:rsid w:val="006710A9"/>
    <w:rsid w:val="006716AA"/>
    <w:rsid w:val="00672C18"/>
    <w:rsid w:val="006737C4"/>
    <w:rsid w:val="00682F71"/>
    <w:rsid w:val="0068320B"/>
    <w:rsid w:val="00683B0B"/>
    <w:rsid w:val="00684D49"/>
    <w:rsid w:val="006851D0"/>
    <w:rsid w:val="00685A8A"/>
    <w:rsid w:val="00685FA3"/>
    <w:rsid w:val="006867CE"/>
    <w:rsid w:val="00686904"/>
    <w:rsid w:val="006873D0"/>
    <w:rsid w:val="006903C5"/>
    <w:rsid w:val="00690F43"/>
    <w:rsid w:val="00693482"/>
    <w:rsid w:val="00693C68"/>
    <w:rsid w:val="006952F5"/>
    <w:rsid w:val="006956D1"/>
    <w:rsid w:val="00697615"/>
    <w:rsid w:val="00697837"/>
    <w:rsid w:val="006A04E8"/>
    <w:rsid w:val="006A0C51"/>
    <w:rsid w:val="006A0CCF"/>
    <w:rsid w:val="006A132C"/>
    <w:rsid w:val="006A1955"/>
    <w:rsid w:val="006A2295"/>
    <w:rsid w:val="006A25C2"/>
    <w:rsid w:val="006A3D82"/>
    <w:rsid w:val="006A5034"/>
    <w:rsid w:val="006A5AAA"/>
    <w:rsid w:val="006A6881"/>
    <w:rsid w:val="006A6C22"/>
    <w:rsid w:val="006A6C8F"/>
    <w:rsid w:val="006A7F14"/>
    <w:rsid w:val="006B1086"/>
    <w:rsid w:val="006B1334"/>
    <w:rsid w:val="006B3A54"/>
    <w:rsid w:val="006B7729"/>
    <w:rsid w:val="006B7BB4"/>
    <w:rsid w:val="006C06BF"/>
    <w:rsid w:val="006C07AC"/>
    <w:rsid w:val="006C0E33"/>
    <w:rsid w:val="006C12B3"/>
    <w:rsid w:val="006C20D5"/>
    <w:rsid w:val="006C38EF"/>
    <w:rsid w:val="006C3C32"/>
    <w:rsid w:val="006C506B"/>
    <w:rsid w:val="006C58CD"/>
    <w:rsid w:val="006C59EE"/>
    <w:rsid w:val="006C640B"/>
    <w:rsid w:val="006C6522"/>
    <w:rsid w:val="006C75F9"/>
    <w:rsid w:val="006D03FC"/>
    <w:rsid w:val="006D0675"/>
    <w:rsid w:val="006D1166"/>
    <w:rsid w:val="006D199E"/>
    <w:rsid w:val="006D2F56"/>
    <w:rsid w:val="006D3A39"/>
    <w:rsid w:val="006D3FE0"/>
    <w:rsid w:val="006D4EDB"/>
    <w:rsid w:val="006D5549"/>
    <w:rsid w:val="006D58CD"/>
    <w:rsid w:val="006D7BDF"/>
    <w:rsid w:val="006E0560"/>
    <w:rsid w:val="006E14EB"/>
    <w:rsid w:val="006E159B"/>
    <w:rsid w:val="006E1603"/>
    <w:rsid w:val="006E181D"/>
    <w:rsid w:val="006E1A44"/>
    <w:rsid w:val="006E1C31"/>
    <w:rsid w:val="006E364F"/>
    <w:rsid w:val="006E3E94"/>
    <w:rsid w:val="006E46AE"/>
    <w:rsid w:val="006E6100"/>
    <w:rsid w:val="006E62A9"/>
    <w:rsid w:val="006E68E2"/>
    <w:rsid w:val="006E725D"/>
    <w:rsid w:val="006F0CCF"/>
    <w:rsid w:val="006F14CA"/>
    <w:rsid w:val="006F175F"/>
    <w:rsid w:val="006F1C8B"/>
    <w:rsid w:val="006F2443"/>
    <w:rsid w:val="006F2BA4"/>
    <w:rsid w:val="006F49DE"/>
    <w:rsid w:val="006F565E"/>
    <w:rsid w:val="006F5B29"/>
    <w:rsid w:val="006F66CD"/>
    <w:rsid w:val="006F69B2"/>
    <w:rsid w:val="00701176"/>
    <w:rsid w:val="00701F45"/>
    <w:rsid w:val="007027B0"/>
    <w:rsid w:val="00703116"/>
    <w:rsid w:val="00706BBD"/>
    <w:rsid w:val="00706E72"/>
    <w:rsid w:val="007076C1"/>
    <w:rsid w:val="007078F2"/>
    <w:rsid w:val="00710494"/>
    <w:rsid w:val="007104F1"/>
    <w:rsid w:val="00710D81"/>
    <w:rsid w:val="00713089"/>
    <w:rsid w:val="0071398D"/>
    <w:rsid w:val="0071429F"/>
    <w:rsid w:val="00715229"/>
    <w:rsid w:val="0072133A"/>
    <w:rsid w:val="00722061"/>
    <w:rsid w:val="00722428"/>
    <w:rsid w:val="007227EF"/>
    <w:rsid w:val="00722DFF"/>
    <w:rsid w:val="007231DF"/>
    <w:rsid w:val="0072385B"/>
    <w:rsid w:val="00723C57"/>
    <w:rsid w:val="00723E8D"/>
    <w:rsid w:val="00724676"/>
    <w:rsid w:val="007248E5"/>
    <w:rsid w:val="007266B9"/>
    <w:rsid w:val="00727694"/>
    <w:rsid w:val="00730454"/>
    <w:rsid w:val="0073164B"/>
    <w:rsid w:val="00731E3B"/>
    <w:rsid w:val="007339D1"/>
    <w:rsid w:val="00733DF8"/>
    <w:rsid w:val="007342B8"/>
    <w:rsid w:val="00734D0E"/>
    <w:rsid w:val="007352B8"/>
    <w:rsid w:val="007353AB"/>
    <w:rsid w:val="00735479"/>
    <w:rsid w:val="00736234"/>
    <w:rsid w:val="00736B0B"/>
    <w:rsid w:val="007372E5"/>
    <w:rsid w:val="0073732F"/>
    <w:rsid w:val="007411EE"/>
    <w:rsid w:val="00741D0B"/>
    <w:rsid w:val="00741FA9"/>
    <w:rsid w:val="00744C6D"/>
    <w:rsid w:val="007469D8"/>
    <w:rsid w:val="00746E65"/>
    <w:rsid w:val="007515F5"/>
    <w:rsid w:val="0075251D"/>
    <w:rsid w:val="0075305C"/>
    <w:rsid w:val="00753A78"/>
    <w:rsid w:val="00753F89"/>
    <w:rsid w:val="007542F2"/>
    <w:rsid w:val="00754BF4"/>
    <w:rsid w:val="007558BC"/>
    <w:rsid w:val="00755ECB"/>
    <w:rsid w:val="007565E3"/>
    <w:rsid w:val="007574F7"/>
    <w:rsid w:val="007576CA"/>
    <w:rsid w:val="00760A04"/>
    <w:rsid w:val="00760C3A"/>
    <w:rsid w:val="00762041"/>
    <w:rsid w:val="007638A4"/>
    <w:rsid w:val="007645BA"/>
    <w:rsid w:val="00764793"/>
    <w:rsid w:val="00764FA3"/>
    <w:rsid w:val="00765AE2"/>
    <w:rsid w:val="00766102"/>
    <w:rsid w:val="007663B0"/>
    <w:rsid w:val="00766F8B"/>
    <w:rsid w:val="007676BB"/>
    <w:rsid w:val="0076793E"/>
    <w:rsid w:val="00771D32"/>
    <w:rsid w:val="00772709"/>
    <w:rsid w:val="00772739"/>
    <w:rsid w:val="00772AFA"/>
    <w:rsid w:val="00772FA0"/>
    <w:rsid w:val="00773568"/>
    <w:rsid w:val="00774957"/>
    <w:rsid w:val="007751DB"/>
    <w:rsid w:val="00776924"/>
    <w:rsid w:val="007772CB"/>
    <w:rsid w:val="00777377"/>
    <w:rsid w:val="00777D34"/>
    <w:rsid w:val="00780371"/>
    <w:rsid w:val="00780BFD"/>
    <w:rsid w:val="007813B3"/>
    <w:rsid w:val="00781410"/>
    <w:rsid w:val="0078296C"/>
    <w:rsid w:val="007832C5"/>
    <w:rsid w:val="00783F13"/>
    <w:rsid w:val="00784EAB"/>
    <w:rsid w:val="0078613A"/>
    <w:rsid w:val="0078626C"/>
    <w:rsid w:val="007862BC"/>
    <w:rsid w:val="007868A7"/>
    <w:rsid w:val="00790D11"/>
    <w:rsid w:val="007919EB"/>
    <w:rsid w:val="00791B12"/>
    <w:rsid w:val="00792916"/>
    <w:rsid w:val="007935A8"/>
    <w:rsid w:val="00793817"/>
    <w:rsid w:val="00793834"/>
    <w:rsid w:val="00793A38"/>
    <w:rsid w:val="00794445"/>
    <w:rsid w:val="007951F6"/>
    <w:rsid w:val="00795815"/>
    <w:rsid w:val="0079685B"/>
    <w:rsid w:val="00796BED"/>
    <w:rsid w:val="007A0435"/>
    <w:rsid w:val="007A1B04"/>
    <w:rsid w:val="007A1F65"/>
    <w:rsid w:val="007A24FF"/>
    <w:rsid w:val="007A4DF1"/>
    <w:rsid w:val="007A5087"/>
    <w:rsid w:val="007A674A"/>
    <w:rsid w:val="007A750E"/>
    <w:rsid w:val="007B0360"/>
    <w:rsid w:val="007B2CAA"/>
    <w:rsid w:val="007B3A6A"/>
    <w:rsid w:val="007B4EF6"/>
    <w:rsid w:val="007B6591"/>
    <w:rsid w:val="007B7E85"/>
    <w:rsid w:val="007C0407"/>
    <w:rsid w:val="007C0AA0"/>
    <w:rsid w:val="007C0B3F"/>
    <w:rsid w:val="007C19B9"/>
    <w:rsid w:val="007C1AF3"/>
    <w:rsid w:val="007C3167"/>
    <w:rsid w:val="007C5C47"/>
    <w:rsid w:val="007C63FC"/>
    <w:rsid w:val="007C69C8"/>
    <w:rsid w:val="007C6A81"/>
    <w:rsid w:val="007D273B"/>
    <w:rsid w:val="007D3179"/>
    <w:rsid w:val="007D3C80"/>
    <w:rsid w:val="007D434E"/>
    <w:rsid w:val="007D54DA"/>
    <w:rsid w:val="007D5779"/>
    <w:rsid w:val="007D5ED4"/>
    <w:rsid w:val="007D61CF"/>
    <w:rsid w:val="007D6338"/>
    <w:rsid w:val="007D658A"/>
    <w:rsid w:val="007D6F97"/>
    <w:rsid w:val="007D7727"/>
    <w:rsid w:val="007E174D"/>
    <w:rsid w:val="007E20E3"/>
    <w:rsid w:val="007E2952"/>
    <w:rsid w:val="007E2A13"/>
    <w:rsid w:val="007E2B03"/>
    <w:rsid w:val="007E3C45"/>
    <w:rsid w:val="007E3C94"/>
    <w:rsid w:val="007E3F55"/>
    <w:rsid w:val="007E443A"/>
    <w:rsid w:val="007E468D"/>
    <w:rsid w:val="007E48DB"/>
    <w:rsid w:val="007E5E84"/>
    <w:rsid w:val="007E605D"/>
    <w:rsid w:val="007E72C3"/>
    <w:rsid w:val="007E79D9"/>
    <w:rsid w:val="007E7E37"/>
    <w:rsid w:val="007F0CE0"/>
    <w:rsid w:val="007F1A24"/>
    <w:rsid w:val="007F38C1"/>
    <w:rsid w:val="007F484D"/>
    <w:rsid w:val="007F504C"/>
    <w:rsid w:val="007F679B"/>
    <w:rsid w:val="007F6809"/>
    <w:rsid w:val="007F6F4B"/>
    <w:rsid w:val="007F74A6"/>
    <w:rsid w:val="007F7951"/>
    <w:rsid w:val="00801DEB"/>
    <w:rsid w:val="008024A8"/>
    <w:rsid w:val="00802F4E"/>
    <w:rsid w:val="008033F4"/>
    <w:rsid w:val="008045F7"/>
    <w:rsid w:val="00804F83"/>
    <w:rsid w:val="00805D12"/>
    <w:rsid w:val="008110F7"/>
    <w:rsid w:val="00811ABF"/>
    <w:rsid w:val="008135CB"/>
    <w:rsid w:val="008139FE"/>
    <w:rsid w:val="00814B11"/>
    <w:rsid w:val="00814BFA"/>
    <w:rsid w:val="00814D71"/>
    <w:rsid w:val="0081660F"/>
    <w:rsid w:val="0081720C"/>
    <w:rsid w:val="0081752E"/>
    <w:rsid w:val="00817771"/>
    <w:rsid w:val="00817A6B"/>
    <w:rsid w:val="00820B5A"/>
    <w:rsid w:val="0082249E"/>
    <w:rsid w:val="008225AF"/>
    <w:rsid w:val="008236BD"/>
    <w:rsid w:val="0082581C"/>
    <w:rsid w:val="00826621"/>
    <w:rsid w:val="00826A6D"/>
    <w:rsid w:val="008272F1"/>
    <w:rsid w:val="00827D15"/>
    <w:rsid w:val="00830349"/>
    <w:rsid w:val="008311B9"/>
    <w:rsid w:val="0083545B"/>
    <w:rsid w:val="00835E10"/>
    <w:rsid w:val="00837B42"/>
    <w:rsid w:val="00837F3A"/>
    <w:rsid w:val="00840167"/>
    <w:rsid w:val="00840246"/>
    <w:rsid w:val="00840733"/>
    <w:rsid w:val="00841798"/>
    <w:rsid w:val="00844037"/>
    <w:rsid w:val="00847C14"/>
    <w:rsid w:val="00847D61"/>
    <w:rsid w:val="00847D9F"/>
    <w:rsid w:val="0085017B"/>
    <w:rsid w:val="008507E6"/>
    <w:rsid w:val="008532B9"/>
    <w:rsid w:val="0085367E"/>
    <w:rsid w:val="00854277"/>
    <w:rsid w:val="008556C2"/>
    <w:rsid w:val="00857433"/>
    <w:rsid w:val="0086054E"/>
    <w:rsid w:val="00860BE0"/>
    <w:rsid w:val="00863601"/>
    <w:rsid w:val="00863634"/>
    <w:rsid w:val="008658B8"/>
    <w:rsid w:val="00865F2D"/>
    <w:rsid w:val="0086607A"/>
    <w:rsid w:val="0086686A"/>
    <w:rsid w:val="008673D4"/>
    <w:rsid w:val="00870CB6"/>
    <w:rsid w:val="00870CC2"/>
    <w:rsid w:val="00871DDF"/>
    <w:rsid w:val="0087316A"/>
    <w:rsid w:val="0087354D"/>
    <w:rsid w:val="008735B8"/>
    <w:rsid w:val="00874EED"/>
    <w:rsid w:val="008761F6"/>
    <w:rsid w:val="00880B72"/>
    <w:rsid w:val="00880E73"/>
    <w:rsid w:val="00881AC9"/>
    <w:rsid w:val="008822B7"/>
    <w:rsid w:val="008826DC"/>
    <w:rsid w:val="00882FF2"/>
    <w:rsid w:val="0088349C"/>
    <w:rsid w:val="00883AF1"/>
    <w:rsid w:val="00883B0C"/>
    <w:rsid w:val="0088427C"/>
    <w:rsid w:val="00884683"/>
    <w:rsid w:val="00890A75"/>
    <w:rsid w:val="00890AA6"/>
    <w:rsid w:val="008923D5"/>
    <w:rsid w:val="0089325B"/>
    <w:rsid w:val="008943D1"/>
    <w:rsid w:val="00894F0B"/>
    <w:rsid w:val="00895158"/>
    <w:rsid w:val="008959A8"/>
    <w:rsid w:val="00895A1D"/>
    <w:rsid w:val="00896D83"/>
    <w:rsid w:val="00897397"/>
    <w:rsid w:val="0089746F"/>
    <w:rsid w:val="00897ED4"/>
    <w:rsid w:val="008A08FA"/>
    <w:rsid w:val="008A1B92"/>
    <w:rsid w:val="008A1BC3"/>
    <w:rsid w:val="008A1C76"/>
    <w:rsid w:val="008A274B"/>
    <w:rsid w:val="008A2774"/>
    <w:rsid w:val="008A539C"/>
    <w:rsid w:val="008A5480"/>
    <w:rsid w:val="008A660E"/>
    <w:rsid w:val="008A67CB"/>
    <w:rsid w:val="008A78AD"/>
    <w:rsid w:val="008A7917"/>
    <w:rsid w:val="008B0A9F"/>
    <w:rsid w:val="008B0B2F"/>
    <w:rsid w:val="008B0D8D"/>
    <w:rsid w:val="008B1172"/>
    <w:rsid w:val="008B175C"/>
    <w:rsid w:val="008B2D32"/>
    <w:rsid w:val="008B3E27"/>
    <w:rsid w:val="008B4209"/>
    <w:rsid w:val="008B43C7"/>
    <w:rsid w:val="008B4667"/>
    <w:rsid w:val="008B4B25"/>
    <w:rsid w:val="008B640B"/>
    <w:rsid w:val="008B6BF2"/>
    <w:rsid w:val="008C0212"/>
    <w:rsid w:val="008C1C04"/>
    <w:rsid w:val="008C20DA"/>
    <w:rsid w:val="008C2888"/>
    <w:rsid w:val="008C297C"/>
    <w:rsid w:val="008C480D"/>
    <w:rsid w:val="008C55B8"/>
    <w:rsid w:val="008C5BB9"/>
    <w:rsid w:val="008C664D"/>
    <w:rsid w:val="008C7F9E"/>
    <w:rsid w:val="008D1ED7"/>
    <w:rsid w:val="008D2150"/>
    <w:rsid w:val="008D2C1E"/>
    <w:rsid w:val="008D3D70"/>
    <w:rsid w:val="008D40E5"/>
    <w:rsid w:val="008D5111"/>
    <w:rsid w:val="008E00E0"/>
    <w:rsid w:val="008E06D4"/>
    <w:rsid w:val="008E09BE"/>
    <w:rsid w:val="008E0BAA"/>
    <w:rsid w:val="008E0C76"/>
    <w:rsid w:val="008E129A"/>
    <w:rsid w:val="008E162F"/>
    <w:rsid w:val="008E1D6F"/>
    <w:rsid w:val="008E29AA"/>
    <w:rsid w:val="008E378D"/>
    <w:rsid w:val="008E4233"/>
    <w:rsid w:val="008E423B"/>
    <w:rsid w:val="008E52AB"/>
    <w:rsid w:val="008E6171"/>
    <w:rsid w:val="008E671C"/>
    <w:rsid w:val="008E6BB5"/>
    <w:rsid w:val="008E72CE"/>
    <w:rsid w:val="008E77DB"/>
    <w:rsid w:val="008E7869"/>
    <w:rsid w:val="008F10A6"/>
    <w:rsid w:val="008F1494"/>
    <w:rsid w:val="008F16C9"/>
    <w:rsid w:val="008F2186"/>
    <w:rsid w:val="008F36FA"/>
    <w:rsid w:val="008F3A09"/>
    <w:rsid w:val="008F5C89"/>
    <w:rsid w:val="008F6BBD"/>
    <w:rsid w:val="008F73F9"/>
    <w:rsid w:val="008F7402"/>
    <w:rsid w:val="008F77A7"/>
    <w:rsid w:val="0090240A"/>
    <w:rsid w:val="00903911"/>
    <w:rsid w:val="00905057"/>
    <w:rsid w:val="00906F03"/>
    <w:rsid w:val="00911BAB"/>
    <w:rsid w:val="00912262"/>
    <w:rsid w:val="009133A2"/>
    <w:rsid w:val="00913A1D"/>
    <w:rsid w:val="00916283"/>
    <w:rsid w:val="00920FE8"/>
    <w:rsid w:val="0092127E"/>
    <w:rsid w:val="0092251D"/>
    <w:rsid w:val="00922A85"/>
    <w:rsid w:val="00923658"/>
    <w:rsid w:val="009247EC"/>
    <w:rsid w:val="00924855"/>
    <w:rsid w:val="00925795"/>
    <w:rsid w:val="009265C2"/>
    <w:rsid w:val="00926C37"/>
    <w:rsid w:val="00926CFA"/>
    <w:rsid w:val="00927ADB"/>
    <w:rsid w:val="00930407"/>
    <w:rsid w:val="00930C7E"/>
    <w:rsid w:val="009320CE"/>
    <w:rsid w:val="00934A1B"/>
    <w:rsid w:val="00934ABE"/>
    <w:rsid w:val="009358AE"/>
    <w:rsid w:val="00935F1C"/>
    <w:rsid w:val="009369A4"/>
    <w:rsid w:val="0093723C"/>
    <w:rsid w:val="00937D16"/>
    <w:rsid w:val="00940370"/>
    <w:rsid w:val="0094037A"/>
    <w:rsid w:val="00941314"/>
    <w:rsid w:val="00941B03"/>
    <w:rsid w:val="00941C7C"/>
    <w:rsid w:val="00943C82"/>
    <w:rsid w:val="00943FAD"/>
    <w:rsid w:val="00945940"/>
    <w:rsid w:val="009462D7"/>
    <w:rsid w:val="00947290"/>
    <w:rsid w:val="00947C1B"/>
    <w:rsid w:val="0095003D"/>
    <w:rsid w:val="0095021E"/>
    <w:rsid w:val="00950F9F"/>
    <w:rsid w:val="009522E9"/>
    <w:rsid w:val="0095323D"/>
    <w:rsid w:val="0095443E"/>
    <w:rsid w:val="009548B9"/>
    <w:rsid w:val="009558E5"/>
    <w:rsid w:val="00962F1C"/>
    <w:rsid w:val="00963FCE"/>
    <w:rsid w:val="00967528"/>
    <w:rsid w:val="00974EA9"/>
    <w:rsid w:val="00976063"/>
    <w:rsid w:val="00976E20"/>
    <w:rsid w:val="0097713E"/>
    <w:rsid w:val="00977570"/>
    <w:rsid w:val="009801E8"/>
    <w:rsid w:val="00982528"/>
    <w:rsid w:val="00982953"/>
    <w:rsid w:val="00983365"/>
    <w:rsid w:val="00984005"/>
    <w:rsid w:val="0098483C"/>
    <w:rsid w:val="009858EA"/>
    <w:rsid w:val="009934E2"/>
    <w:rsid w:val="009951AB"/>
    <w:rsid w:val="009955D9"/>
    <w:rsid w:val="00995781"/>
    <w:rsid w:val="00995B2B"/>
    <w:rsid w:val="00996190"/>
    <w:rsid w:val="009974A9"/>
    <w:rsid w:val="009A0D60"/>
    <w:rsid w:val="009A23ED"/>
    <w:rsid w:val="009A27F0"/>
    <w:rsid w:val="009A2A6C"/>
    <w:rsid w:val="009A2C88"/>
    <w:rsid w:val="009A351A"/>
    <w:rsid w:val="009A4405"/>
    <w:rsid w:val="009A4729"/>
    <w:rsid w:val="009A4FB7"/>
    <w:rsid w:val="009A5545"/>
    <w:rsid w:val="009A738F"/>
    <w:rsid w:val="009A7E52"/>
    <w:rsid w:val="009B0637"/>
    <w:rsid w:val="009B0F18"/>
    <w:rsid w:val="009B0F90"/>
    <w:rsid w:val="009B11CE"/>
    <w:rsid w:val="009B1522"/>
    <w:rsid w:val="009B1634"/>
    <w:rsid w:val="009B25F8"/>
    <w:rsid w:val="009B378F"/>
    <w:rsid w:val="009B42DA"/>
    <w:rsid w:val="009B778D"/>
    <w:rsid w:val="009C0C14"/>
    <w:rsid w:val="009C1376"/>
    <w:rsid w:val="009C3574"/>
    <w:rsid w:val="009C36FC"/>
    <w:rsid w:val="009C43DB"/>
    <w:rsid w:val="009C4C11"/>
    <w:rsid w:val="009C5E18"/>
    <w:rsid w:val="009C6105"/>
    <w:rsid w:val="009C7A38"/>
    <w:rsid w:val="009D0357"/>
    <w:rsid w:val="009D1D43"/>
    <w:rsid w:val="009D27AE"/>
    <w:rsid w:val="009D3ACD"/>
    <w:rsid w:val="009D40ED"/>
    <w:rsid w:val="009D4A04"/>
    <w:rsid w:val="009D4A85"/>
    <w:rsid w:val="009D5813"/>
    <w:rsid w:val="009D6204"/>
    <w:rsid w:val="009D6CEB"/>
    <w:rsid w:val="009D6D5D"/>
    <w:rsid w:val="009D75D0"/>
    <w:rsid w:val="009D785A"/>
    <w:rsid w:val="009D7ABC"/>
    <w:rsid w:val="009E2431"/>
    <w:rsid w:val="009E2953"/>
    <w:rsid w:val="009E366B"/>
    <w:rsid w:val="009E3974"/>
    <w:rsid w:val="009E5249"/>
    <w:rsid w:val="009E5B36"/>
    <w:rsid w:val="009E5E11"/>
    <w:rsid w:val="009E6D4A"/>
    <w:rsid w:val="009E705D"/>
    <w:rsid w:val="009E72C4"/>
    <w:rsid w:val="009F1915"/>
    <w:rsid w:val="009F1FCF"/>
    <w:rsid w:val="009F2562"/>
    <w:rsid w:val="009F4153"/>
    <w:rsid w:val="009F45D3"/>
    <w:rsid w:val="009F462B"/>
    <w:rsid w:val="009F4B89"/>
    <w:rsid w:val="009F51F8"/>
    <w:rsid w:val="009F5406"/>
    <w:rsid w:val="009F5E37"/>
    <w:rsid w:val="009F66BF"/>
    <w:rsid w:val="009F7CB0"/>
    <w:rsid w:val="00A039C9"/>
    <w:rsid w:val="00A0450E"/>
    <w:rsid w:val="00A04A57"/>
    <w:rsid w:val="00A04E9C"/>
    <w:rsid w:val="00A059FB"/>
    <w:rsid w:val="00A06AC8"/>
    <w:rsid w:val="00A06C76"/>
    <w:rsid w:val="00A0789B"/>
    <w:rsid w:val="00A113BE"/>
    <w:rsid w:val="00A11DB2"/>
    <w:rsid w:val="00A11EEC"/>
    <w:rsid w:val="00A13999"/>
    <w:rsid w:val="00A13A33"/>
    <w:rsid w:val="00A15FA1"/>
    <w:rsid w:val="00A16C4D"/>
    <w:rsid w:val="00A17487"/>
    <w:rsid w:val="00A17937"/>
    <w:rsid w:val="00A17BF7"/>
    <w:rsid w:val="00A22AA1"/>
    <w:rsid w:val="00A2359B"/>
    <w:rsid w:val="00A2376B"/>
    <w:rsid w:val="00A24C25"/>
    <w:rsid w:val="00A251DA"/>
    <w:rsid w:val="00A25D21"/>
    <w:rsid w:val="00A2757F"/>
    <w:rsid w:val="00A27E5E"/>
    <w:rsid w:val="00A30B37"/>
    <w:rsid w:val="00A313EE"/>
    <w:rsid w:val="00A314BF"/>
    <w:rsid w:val="00A31595"/>
    <w:rsid w:val="00A31C56"/>
    <w:rsid w:val="00A32218"/>
    <w:rsid w:val="00A32811"/>
    <w:rsid w:val="00A33380"/>
    <w:rsid w:val="00A33FE6"/>
    <w:rsid w:val="00A34490"/>
    <w:rsid w:val="00A34D77"/>
    <w:rsid w:val="00A36901"/>
    <w:rsid w:val="00A3693E"/>
    <w:rsid w:val="00A37734"/>
    <w:rsid w:val="00A37CBC"/>
    <w:rsid w:val="00A37EC2"/>
    <w:rsid w:val="00A40119"/>
    <w:rsid w:val="00A4078F"/>
    <w:rsid w:val="00A40A42"/>
    <w:rsid w:val="00A4592D"/>
    <w:rsid w:val="00A461A6"/>
    <w:rsid w:val="00A4708B"/>
    <w:rsid w:val="00A47599"/>
    <w:rsid w:val="00A47DAA"/>
    <w:rsid w:val="00A514C3"/>
    <w:rsid w:val="00A52030"/>
    <w:rsid w:val="00A539A3"/>
    <w:rsid w:val="00A5455E"/>
    <w:rsid w:val="00A54E54"/>
    <w:rsid w:val="00A578EC"/>
    <w:rsid w:val="00A57A6F"/>
    <w:rsid w:val="00A57CF0"/>
    <w:rsid w:val="00A60BD0"/>
    <w:rsid w:val="00A60CE1"/>
    <w:rsid w:val="00A60FBB"/>
    <w:rsid w:val="00A62A58"/>
    <w:rsid w:val="00A62E28"/>
    <w:rsid w:val="00A63424"/>
    <w:rsid w:val="00A63D72"/>
    <w:rsid w:val="00A64174"/>
    <w:rsid w:val="00A64746"/>
    <w:rsid w:val="00A66E1F"/>
    <w:rsid w:val="00A6759F"/>
    <w:rsid w:val="00A67CEA"/>
    <w:rsid w:val="00A70E66"/>
    <w:rsid w:val="00A711B0"/>
    <w:rsid w:val="00A721C9"/>
    <w:rsid w:val="00A7268B"/>
    <w:rsid w:val="00A72F45"/>
    <w:rsid w:val="00A7457F"/>
    <w:rsid w:val="00A75668"/>
    <w:rsid w:val="00A75974"/>
    <w:rsid w:val="00A75D08"/>
    <w:rsid w:val="00A80C4D"/>
    <w:rsid w:val="00A81CC7"/>
    <w:rsid w:val="00A81F30"/>
    <w:rsid w:val="00A82516"/>
    <w:rsid w:val="00A83484"/>
    <w:rsid w:val="00A835BD"/>
    <w:rsid w:val="00A83603"/>
    <w:rsid w:val="00A836AB"/>
    <w:rsid w:val="00A8372C"/>
    <w:rsid w:val="00A85811"/>
    <w:rsid w:val="00A872A5"/>
    <w:rsid w:val="00A879ED"/>
    <w:rsid w:val="00A903F9"/>
    <w:rsid w:val="00A90ED3"/>
    <w:rsid w:val="00A92726"/>
    <w:rsid w:val="00A9335B"/>
    <w:rsid w:val="00AA0689"/>
    <w:rsid w:val="00AA08C6"/>
    <w:rsid w:val="00AA1716"/>
    <w:rsid w:val="00AA217E"/>
    <w:rsid w:val="00AA4D8C"/>
    <w:rsid w:val="00AA53DF"/>
    <w:rsid w:val="00AA77AB"/>
    <w:rsid w:val="00AA78B9"/>
    <w:rsid w:val="00AA7B42"/>
    <w:rsid w:val="00AB0004"/>
    <w:rsid w:val="00AB1042"/>
    <w:rsid w:val="00AB166F"/>
    <w:rsid w:val="00AB181D"/>
    <w:rsid w:val="00AB2342"/>
    <w:rsid w:val="00AB3138"/>
    <w:rsid w:val="00AB3E7B"/>
    <w:rsid w:val="00AB6236"/>
    <w:rsid w:val="00AB6954"/>
    <w:rsid w:val="00AC0E4B"/>
    <w:rsid w:val="00AC11BD"/>
    <w:rsid w:val="00AC1782"/>
    <w:rsid w:val="00AC1D1B"/>
    <w:rsid w:val="00AC280B"/>
    <w:rsid w:val="00AC3191"/>
    <w:rsid w:val="00AC322B"/>
    <w:rsid w:val="00AC43D1"/>
    <w:rsid w:val="00AC53B0"/>
    <w:rsid w:val="00AC6176"/>
    <w:rsid w:val="00AC76AA"/>
    <w:rsid w:val="00AD0055"/>
    <w:rsid w:val="00AD00BB"/>
    <w:rsid w:val="00AD04AB"/>
    <w:rsid w:val="00AD0914"/>
    <w:rsid w:val="00AD0DA2"/>
    <w:rsid w:val="00AD4FF5"/>
    <w:rsid w:val="00AD63CE"/>
    <w:rsid w:val="00AD6CCD"/>
    <w:rsid w:val="00AD7029"/>
    <w:rsid w:val="00AD74F8"/>
    <w:rsid w:val="00AE089C"/>
    <w:rsid w:val="00AE2841"/>
    <w:rsid w:val="00AE36A1"/>
    <w:rsid w:val="00AE3CFA"/>
    <w:rsid w:val="00AE3E52"/>
    <w:rsid w:val="00AE4175"/>
    <w:rsid w:val="00AE4A72"/>
    <w:rsid w:val="00AE5C63"/>
    <w:rsid w:val="00AE633F"/>
    <w:rsid w:val="00AE7091"/>
    <w:rsid w:val="00AE74AF"/>
    <w:rsid w:val="00AE78B6"/>
    <w:rsid w:val="00AF0730"/>
    <w:rsid w:val="00AF2B79"/>
    <w:rsid w:val="00AF2C92"/>
    <w:rsid w:val="00AF340F"/>
    <w:rsid w:val="00AF5577"/>
    <w:rsid w:val="00AF647B"/>
    <w:rsid w:val="00AF7B9F"/>
    <w:rsid w:val="00B0107B"/>
    <w:rsid w:val="00B01339"/>
    <w:rsid w:val="00B01503"/>
    <w:rsid w:val="00B03250"/>
    <w:rsid w:val="00B03692"/>
    <w:rsid w:val="00B0388C"/>
    <w:rsid w:val="00B06D3A"/>
    <w:rsid w:val="00B072C9"/>
    <w:rsid w:val="00B07F89"/>
    <w:rsid w:val="00B10A05"/>
    <w:rsid w:val="00B1104E"/>
    <w:rsid w:val="00B14554"/>
    <w:rsid w:val="00B14C17"/>
    <w:rsid w:val="00B15B6B"/>
    <w:rsid w:val="00B169AF"/>
    <w:rsid w:val="00B1707D"/>
    <w:rsid w:val="00B174CA"/>
    <w:rsid w:val="00B20EB2"/>
    <w:rsid w:val="00B215C9"/>
    <w:rsid w:val="00B2597A"/>
    <w:rsid w:val="00B2765C"/>
    <w:rsid w:val="00B27B7E"/>
    <w:rsid w:val="00B30504"/>
    <w:rsid w:val="00B30C7A"/>
    <w:rsid w:val="00B311E1"/>
    <w:rsid w:val="00B31636"/>
    <w:rsid w:val="00B317F7"/>
    <w:rsid w:val="00B31E54"/>
    <w:rsid w:val="00B3268D"/>
    <w:rsid w:val="00B33B0A"/>
    <w:rsid w:val="00B3482B"/>
    <w:rsid w:val="00B34B1C"/>
    <w:rsid w:val="00B369FC"/>
    <w:rsid w:val="00B3782C"/>
    <w:rsid w:val="00B37D9D"/>
    <w:rsid w:val="00B42CF1"/>
    <w:rsid w:val="00B4429D"/>
    <w:rsid w:val="00B456FB"/>
    <w:rsid w:val="00B45ABF"/>
    <w:rsid w:val="00B50043"/>
    <w:rsid w:val="00B518DC"/>
    <w:rsid w:val="00B543EF"/>
    <w:rsid w:val="00B54AC1"/>
    <w:rsid w:val="00B55435"/>
    <w:rsid w:val="00B5552B"/>
    <w:rsid w:val="00B5666A"/>
    <w:rsid w:val="00B5684C"/>
    <w:rsid w:val="00B62394"/>
    <w:rsid w:val="00B633A7"/>
    <w:rsid w:val="00B653C5"/>
    <w:rsid w:val="00B653C7"/>
    <w:rsid w:val="00B661C3"/>
    <w:rsid w:val="00B7007C"/>
    <w:rsid w:val="00B70B31"/>
    <w:rsid w:val="00B72BFE"/>
    <w:rsid w:val="00B739AF"/>
    <w:rsid w:val="00B73E89"/>
    <w:rsid w:val="00B7481D"/>
    <w:rsid w:val="00B75DD2"/>
    <w:rsid w:val="00B766E6"/>
    <w:rsid w:val="00B76AA1"/>
    <w:rsid w:val="00B7701A"/>
    <w:rsid w:val="00B772D2"/>
    <w:rsid w:val="00B77AF6"/>
    <w:rsid w:val="00B82337"/>
    <w:rsid w:val="00B8243A"/>
    <w:rsid w:val="00B826EF"/>
    <w:rsid w:val="00B82746"/>
    <w:rsid w:val="00B83C0C"/>
    <w:rsid w:val="00B84C0F"/>
    <w:rsid w:val="00B85A9C"/>
    <w:rsid w:val="00B87B36"/>
    <w:rsid w:val="00B90795"/>
    <w:rsid w:val="00B90A6A"/>
    <w:rsid w:val="00B9108B"/>
    <w:rsid w:val="00B91111"/>
    <w:rsid w:val="00B915B4"/>
    <w:rsid w:val="00B91A0C"/>
    <w:rsid w:val="00B91EA7"/>
    <w:rsid w:val="00B92002"/>
    <w:rsid w:val="00B929CB"/>
    <w:rsid w:val="00B92A92"/>
    <w:rsid w:val="00B92F7D"/>
    <w:rsid w:val="00B9347B"/>
    <w:rsid w:val="00B954D5"/>
    <w:rsid w:val="00B96089"/>
    <w:rsid w:val="00BA0CAF"/>
    <w:rsid w:val="00BA3DC5"/>
    <w:rsid w:val="00BA496F"/>
    <w:rsid w:val="00BA4F89"/>
    <w:rsid w:val="00BA58F1"/>
    <w:rsid w:val="00BB039F"/>
    <w:rsid w:val="00BB08E0"/>
    <w:rsid w:val="00BB0E9B"/>
    <w:rsid w:val="00BB0F40"/>
    <w:rsid w:val="00BB13A1"/>
    <w:rsid w:val="00BB2E2C"/>
    <w:rsid w:val="00BB407D"/>
    <w:rsid w:val="00BB450D"/>
    <w:rsid w:val="00BB59D1"/>
    <w:rsid w:val="00BC1108"/>
    <w:rsid w:val="00BC1AF7"/>
    <w:rsid w:val="00BC205F"/>
    <w:rsid w:val="00BC24A4"/>
    <w:rsid w:val="00BC2BF1"/>
    <w:rsid w:val="00BC47F0"/>
    <w:rsid w:val="00BC47F4"/>
    <w:rsid w:val="00BC5C41"/>
    <w:rsid w:val="00BC5E77"/>
    <w:rsid w:val="00BC7C06"/>
    <w:rsid w:val="00BD1138"/>
    <w:rsid w:val="00BD2011"/>
    <w:rsid w:val="00BD24C5"/>
    <w:rsid w:val="00BD29CD"/>
    <w:rsid w:val="00BD2D2D"/>
    <w:rsid w:val="00BD314A"/>
    <w:rsid w:val="00BD375D"/>
    <w:rsid w:val="00BD4FC1"/>
    <w:rsid w:val="00BD6117"/>
    <w:rsid w:val="00BD6D6F"/>
    <w:rsid w:val="00BD7077"/>
    <w:rsid w:val="00BD7C29"/>
    <w:rsid w:val="00BE0B62"/>
    <w:rsid w:val="00BE3424"/>
    <w:rsid w:val="00BE3614"/>
    <w:rsid w:val="00BE399E"/>
    <w:rsid w:val="00BE3EFC"/>
    <w:rsid w:val="00BE63EC"/>
    <w:rsid w:val="00BE669E"/>
    <w:rsid w:val="00BE6AE4"/>
    <w:rsid w:val="00BE7B80"/>
    <w:rsid w:val="00BE7F1F"/>
    <w:rsid w:val="00BF0924"/>
    <w:rsid w:val="00BF1414"/>
    <w:rsid w:val="00BF4845"/>
    <w:rsid w:val="00BF4DC0"/>
    <w:rsid w:val="00BF55A7"/>
    <w:rsid w:val="00BF5B01"/>
    <w:rsid w:val="00BF62F6"/>
    <w:rsid w:val="00BF6C56"/>
    <w:rsid w:val="00BF6C58"/>
    <w:rsid w:val="00BF7460"/>
    <w:rsid w:val="00BF7F0B"/>
    <w:rsid w:val="00C013FC"/>
    <w:rsid w:val="00C01BBD"/>
    <w:rsid w:val="00C02221"/>
    <w:rsid w:val="00C02869"/>
    <w:rsid w:val="00C0326A"/>
    <w:rsid w:val="00C0349C"/>
    <w:rsid w:val="00C036A9"/>
    <w:rsid w:val="00C03D63"/>
    <w:rsid w:val="00C04ADD"/>
    <w:rsid w:val="00C04EB6"/>
    <w:rsid w:val="00C059F1"/>
    <w:rsid w:val="00C07068"/>
    <w:rsid w:val="00C077D3"/>
    <w:rsid w:val="00C10C37"/>
    <w:rsid w:val="00C10EDA"/>
    <w:rsid w:val="00C13455"/>
    <w:rsid w:val="00C13C1C"/>
    <w:rsid w:val="00C16EE5"/>
    <w:rsid w:val="00C171ED"/>
    <w:rsid w:val="00C177F2"/>
    <w:rsid w:val="00C20BC3"/>
    <w:rsid w:val="00C216E1"/>
    <w:rsid w:val="00C219AF"/>
    <w:rsid w:val="00C21E40"/>
    <w:rsid w:val="00C21F2F"/>
    <w:rsid w:val="00C226AC"/>
    <w:rsid w:val="00C234F2"/>
    <w:rsid w:val="00C23A35"/>
    <w:rsid w:val="00C23E5D"/>
    <w:rsid w:val="00C24796"/>
    <w:rsid w:val="00C250B0"/>
    <w:rsid w:val="00C2544F"/>
    <w:rsid w:val="00C25597"/>
    <w:rsid w:val="00C26035"/>
    <w:rsid w:val="00C26650"/>
    <w:rsid w:val="00C274B9"/>
    <w:rsid w:val="00C27ABF"/>
    <w:rsid w:val="00C311AF"/>
    <w:rsid w:val="00C32E2E"/>
    <w:rsid w:val="00C32EBF"/>
    <w:rsid w:val="00C32F52"/>
    <w:rsid w:val="00C353A8"/>
    <w:rsid w:val="00C369A2"/>
    <w:rsid w:val="00C37080"/>
    <w:rsid w:val="00C3758E"/>
    <w:rsid w:val="00C37789"/>
    <w:rsid w:val="00C40762"/>
    <w:rsid w:val="00C40968"/>
    <w:rsid w:val="00C40BB3"/>
    <w:rsid w:val="00C41927"/>
    <w:rsid w:val="00C42A73"/>
    <w:rsid w:val="00C42E48"/>
    <w:rsid w:val="00C443BC"/>
    <w:rsid w:val="00C4474F"/>
    <w:rsid w:val="00C450AC"/>
    <w:rsid w:val="00C45B3A"/>
    <w:rsid w:val="00C460F5"/>
    <w:rsid w:val="00C47F76"/>
    <w:rsid w:val="00C507A3"/>
    <w:rsid w:val="00C51BA5"/>
    <w:rsid w:val="00C52A2C"/>
    <w:rsid w:val="00C530C6"/>
    <w:rsid w:val="00C5394E"/>
    <w:rsid w:val="00C54141"/>
    <w:rsid w:val="00C54753"/>
    <w:rsid w:val="00C55A48"/>
    <w:rsid w:val="00C56967"/>
    <w:rsid w:val="00C56CF5"/>
    <w:rsid w:val="00C6084D"/>
    <w:rsid w:val="00C646F3"/>
    <w:rsid w:val="00C65107"/>
    <w:rsid w:val="00C671F6"/>
    <w:rsid w:val="00C674C5"/>
    <w:rsid w:val="00C674D2"/>
    <w:rsid w:val="00C73B45"/>
    <w:rsid w:val="00C74818"/>
    <w:rsid w:val="00C76588"/>
    <w:rsid w:val="00C766BA"/>
    <w:rsid w:val="00C771DD"/>
    <w:rsid w:val="00C821B9"/>
    <w:rsid w:val="00C82E2E"/>
    <w:rsid w:val="00C84BCB"/>
    <w:rsid w:val="00C85108"/>
    <w:rsid w:val="00C86297"/>
    <w:rsid w:val="00C86337"/>
    <w:rsid w:val="00C863CF"/>
    <w:rsid w:val="00C8742A"/>
    <w:rsid w:val="00C87E87"/>
    <w:rsid w:val="00C87EC3"/>
    <w:rsid w:val="00C90878"/>
    <w:rsid w:val="00C908D5"/>
    <w:rsid w:val="00C90C49"/>
    <w:rsid w:val="00C90DFA"/>
    <w:rsid w:val="00C914F5"/>
    <w:rsid w:val="00C93B0D"/>
    <w:rsid w:val="00C9479F"/>
    <w:rsid w:val="00C94959"/>
    <w:rsid w:val="00C94AA9"/>
    <w:rsid w:val="00C956EE"/>
    <w:rsid w:val="00C95C4F"/>
    <w:rsid w:val="00C96B00"/>
    <w:rsid w:val="00C96EC6"/>
    <w:rsid w:val="00C96FB0"/>
    <w:rsid w:val="00C97EDB"/>
    <w:rsid w:val="00CA0B4C"/>
    <w:rsid w:val="00CA100A"/>
    <w:rsid w:val="00CA2FBF"/>
    <w:rsid w:val="00CA4C12"/>
    <w:rsid w:val="00CA6274"/>
    <w:rsid w:val="00CA70F0"/>
    <w:rsid w:val="00CA7DB1"/>
    <w:rsid w:val="00CB0B90"/>
    <w:rsid w:val="00CB1B2F"/>
    <w:rsid w:val="00CB398C"/>
    <w:rsid w:val="00CB4A8C"/>
    <w:rsid w:val="00CB53EB"/>
    <w:rsid w:val="00CB731C"/>
    <w:rsid w:val="00CB7706"/>
    <w:rsid w:val="00CC0592"/>
    <w:rsid w:val="00CC1F34"/>
    <w:rsid w:val="00CC4860"/>
    <w:rsid w:val="00CC72E8"/>
    <w:rsid w:val="00CC7DD9"/>
    <w:rsid w:val="00CD0012"/>
    <w:rsid w:val="00CD04B6"/>
    <w:rsid w:val="00CD1521"/>
    <w:rsid w:val="00CD42B2"/>
    <w:rsid w:val="00CD47D1"/>
    <w:rsid w:val="00CD4ADC"/>
    <w:rsid w:val="00CD55B7"/>
    <w:rsid w:val="00CD6214"/>
    <w:rsid w:val="00CD6E1A"/>
    <w:rsid w:val="00CD776B"/>
    <w:rsid w:val="00CE02E9"/>
    <w:rsid w:val="00CE05DD"/>
    <w:rsid w:val="00CE0978"/>
    <w:rsid w:val="00CE0C90"/>
    <w:rsid w:val="00CE1A95"/>
    <w:rsid w:val="00CE20BB"/>
    <w:rsid w:val="00CE3EFF"/>
    <w:rsid w:val="00CE3FB0"/>
    <w:rsid w:val="00CE5E2A"/>
    <w:rsid w:val="00CE71D2"/>
    <w:rsid w:val="00CE7D80"/>
    <w:rsid w:val="00CF037F"/>
    <w:rsid w:val="00CF0EF1"/>
    <w:rsid w:val="00CF10E8"/>
    <w:rsid w:val="00CF1F7E"/>
    <w:rsid w:val="00CF2112"/>
    <w:rsid w:val="00CF2275"/>
    <w:rsid w:val="00CF3018"/>
    <w:rsid w:val="00CF4289"/>
    <w:rsid w:val="00CF4CF2"/>
    <w:rsid w:val="00CF5CC2"/>
    <w:rsid w:val="00CF6D97"/>
    <w:rsid w:val="00CF76C5"/>
    <w:rsid w:val="00D009D3"/>
    <w:rsid w:val="00D009FD"/>
    <w:rsid w:val="00D00AD7"/>
    <w:rsid w:val="00D00DC5"/>
    <w:rsid w:val="00D011A3"/>
    <w:rsid w:val="00D014EC"/>
    <w:rsid w:val="00D02D1E"/>
    <w:rsid w:val="00D039CB"/>
    <w:rsid w:val="00D03DC4"/>
    <w:rsid w:val="00D04C1E"/>
    <w:rsid w:val="00D04D7C"/>
    <w:rsid w:val="00D063D9"/>
    <w:rsid w:val="00D06717"/>
    <w:rsid w:val="00D070AC"/>
    <w:rsid w:val="00D075B4"/>
    <w:rsid w:val="00D0777D"/>
    <w:rsid w:val="00D077DB"/>
    <w:rsid w:val="00D07E21"/>
    <w:rsid w:val="00D10236"/>
    <w:rsid w:val="00D11915"/>
    <w:rsid w:val="00D12318"/>
    <w:rsid w:val="00D12689"/>
    <w:rsid w:val="00D12BD5"/>
    <w:rsid w:val="00D133E2"/>
    <w:rsid w:val="00D143DC"/>
    <w:rsid w:val="00D14A1B"/>
    <w:rsid w:val="00D15315"/>
    <w:rsid w:val="00D20857"/>
    <w:rsid w:val="00D20AF7"/>
    <w:rsid w:val="00D2151D"/>
    <w:rsid w:val="00D215EB"/>
    <w:rsid w:val="00D22326"/>
    <w:rsid w:val="00D226CC"/>
    <w:rsid w:val="00D2365A"/>
    <w:rsid w:val="00D2449C"/>
    <w:rsid w:val="00D24B83"/>
    <w:rsid w:val="00D31B5F"/>
    <w:rsid w:val="00D33264"/>
    <w:rsid w:val="00D334DC"/>
    <w:rsid w:val="00D33728"/>
    <w:rsid w:val="00D33B95"/>
    <w:rsid w:val="00D340AB"/>
    <w:rsid w:val="00D3557A"/>
    <w:rsid w:val="00D36616"/>
    <w:rsid w:val="00D36AC1"/>
    <w:rsid w:val="00D40A7A"/>
    <w:rsid w:val="00D422FF"/>
    <w:rsid w:val="00D4303A"/>
    <w:rsid w:val="00D43BCA"/>
    <w:rsid w:val="00D43F12"/>
    <w:rsid w:val="00D442D4"/>
    <w:rsid w:val="00D444E9"/>
    <w:rsid w:val="00D452AE"/>
    <w:rsid w:val="00D4544B"/>
    <w:rsid w:val="00D45E5E"/>
    <w:rsid w:val="00D46115"/>
    <w:rsid w:val="00D464C5"/>
    <w:rsid w:val="00D472C5"/>
    <w:rsid w:val="00D5039F"/>
    <w:rsid w:val="00D523BF"/>
    <w:rsid w:val="00D532A2"/>
    <w:rsid w:val="00D538CC"/>
    <w:rsid w:val="00D5427C"/>
    <w:rsid w:val="00D545D1"/>
    <w:rsid w:val="00D54CC4"/>
    <w:rsid w:val="00D56BFB"/>
    <w:rsid w:val="00D56C7A"/>
    <w:rsid w:val="00D57987"/>
    <w:rsid w:val="00D612B8"/>
    <w:rsid w:val="00D61388"/>
    <w:rsid w:val="00D62265"/>
    <w:rsid w:val="00D62E53"/>
    <w:rsid w:val="00D63CAC"/>
    <w:rsid w:val="00D64DFA"/>
    <w:rsid w:val="00D65044"/>
    <w:rsid w:val="00D653B1"/>
    <w:rsid w:val="00D6639A"/>
    <w:rsid w:val="00D71591"/>
    <w:rsid w:val="00D71C10"/>
    <w:rsid w:val="00D73443"/>
    <w:rsid w:val="00D738FA"/>
    <w:rsid w:val="00D74FBE"/>
    <w:rsid w:val="00D7615B"/>
    <w:rsid w:val="00D76438"/>
    <w:rsid w:val="00D77138"/>
    <w:rsid w:val="00D774E2"/>
    <w:rsid w:val="00D77587"/>
    <w:rsid w:val="00D8344B"/>
    <w:rsid w:val="00D8464C"/>
    <w:rsid w:val="00D84B91"/>
    <w:rsid w:val="00D85CB5"/>
    <w:rsid w:val="00D874B5"/>
    <w:rsid w:val="00D90D62"/>
    <w:rsid w:val="00D91578"/>
    <w:rsid w:val="00D91661"/>
    <w:rsid w:val="00D936CA"/>
    <w:rsid w:val="00D93D97"/>
    <w:rsid w:val="00D942D6"/>
    <w:rsid w:val="00D94E59"/>
    <w:rsid w:val="00D959C6"/>
    <w:rsid w:val="00D96BCE"/>
    <w:rsid w:val="00D96C9E"/>
    <w:rsid w:val="00D97625"/>
    <w:rsid w:val="00D97F96"/>
    <w:rsid w:val="00DA0007"/>
    <w:rsid w:val="00DA0BD9"/>
    <w:rsid w:val="00DA18B7"/>
    <w:rsid w:val="00DA207B"/>
    <w:rsid w:val="00DA2849"/>
    <w:rsid w:val="00DA4198"/>
    <w:rsid w:val="00DA47FE"/>
    <w:rsid w:val="00DA4B9C"/>
    <w:rsid w:val="00DA634D"/>
    <w:rsid w:val="00DA68DA"/>
    <w:rsid w:val="00DA7AD6"/>
    <w:rsid w:val="00DB0538"/>
    <w:rsid w:val="00DB2AF4"/>
    <w:rsid w:val="00DB2B8E"/>
    <w:rsid w:val="00DB3FEC"/>
    <w:rsid w:val="00DB67C1"/>
    <w:rsid w:val="00DB7389"/>
    <w:rsid w:val="00DC16F0"/>
    <w:rsid w:val="00DC3A71"/>
    <w:rsid w:val="00DC5749"/>
    <w:rsid w:val="00DC587A"/>
    <w:rsid w:val="00DC5C08"/>
    <w:rsid w:val="00DC65AD"/>
    <w:rsid w:val="00DC6D4C"/>
    <w:rsid w:val="00DC7B37"/>
    <w:rsid w:val="00DD05BE"/>
    <w:rsid w:val="00DD2809"/>
    <w:rsid w:val="00DD29F9"/>
    <w:rsid w:val="00DD3C6F"/>
    <w:rsid w:val="00DD3C82"/>
    <w:rsid w:val="00DD4BC3"/>
    <w:rsid w:val="00DD4D15"/>
    <w:rsid w:val="00DD62FD"/>
    <w:rsid w:val="00DD6AB1"/>
    <w:rsid w:val="00DD74B8"/>
    <w:rsid w:val="00DD7774"/>
    <w:rsid w:val="00DE05C4"/>
    <w:rsid w:val="00DE066E"/>
    <w:rsid w:val="00DE0A35"/>
    <w:rsid w:val="00DE0F06"/>
    <w:rsid w:val="00DE25F2"/>
    <w:rsid w:val="00DE2B59"/>
    <w:rsid w:val="00DE40C1"/>
    <w:rsid w:val="00DE4D70"/>
    <w:rsid w:val="00DE744E"/>
    <w:rsid w:val="00DE7E62"/>
    <w:rsid w:val="00DF06C5"/>
    <w:rsid w:val="00DF1284"/>
    <w:rsid w:val="00DF1388"/>
    <w:rsid w:val="00DF15F8"/>
    <w:rsid w:val="00DF1B48"/>
    <w:rsid w:val="00DF1C14"/>
    <w:rsid w:val="00DF243B"/>
    <w:rsid w:val="00DF280D"/>
    <w:rsid w:val="00DF2CD2"/>
    <w:rsid w:val="00DF397D"/>
    <w:rsid w:val="00DF5F2B"/>
    <w:rsid w:val="00DF6593"/>
    <w:rsid w:val="00DF69C4"/>
    <w:rsid w:val="00E007C1"/>
    <w:rsid w:val="00E00CBD"/>
    <w:rsid w:val="00E0115A"/>
    <w:rsid w:val="00E01345"/>
    <w:rsid w:val="00E02091"/>
    <w:rsid w:val="00E02713"/>
    <w:rsid w:val="00E03AF8"/>
    <w:rsid w:val="00E03B1C"/>
    <w:rsid w:val="00E04010"/>
    <w:rsid w:val="00E04679"/>
    <w:rsid w:val="00E04AF2"/>
    <w:rsid w:val="00E05ADE"/>
    <w:rsid w:val="00E05CD1"/>
    <w:rsid w:val="00E068F2"/>
    <w:rsid w:val="00E123B3"/>
    <w:rsid w:val="00E12576"/>
    <w:rsid w:val="00E143CA"/>
    <w:rsid w:val="00E15C45"/>
    <w:rsid w:val="00E21374"/>
    <w:rsid w:val="00E220D0"/>
    <w:rsid w:val="00E22296"/>
    <w:rsid w:val="00E2307B"/>
    <w:rsid w:val="00E232B0"/>
    <w:rsid w:val="00E239B1"/>
    <w:rsid w:val="00E25FE1"/>
    <w:rsid w:val="00E2617D"/>
    <w:rsid w:val="00E26699"/>
    <w:rsid w:val="00E26D81"/>
    <w:rsid w:val="00E30336"/>
    <w:rsid w:val="00E30572"/>
    <w:rsid w:val="00E3057F"/>
    <w:rsid w:val="00E31047"/>
    <w:rsid w:val="00E31E1F"/>
    <w:rsid w:val="00E330A7"/>
    <w:rsid w:val="00E33B8A"/>
    <w:rsid w:val="00E3576A"/>
    <w:rsid w:val="00E35DCF"/>
    <w:rsid w:val="00E37509"/>
    <w:rsid w:val="00E37B83"/>
    <w:rsid w:val="00E40CE0"/>
    <w:rsid w:val="00E41B47"/>
    <w:rsid w:val="00E41C8D"/>
    <w:rsid w:val="00E4469C"/>
    <w:rsid w:val="00E44A1B"/>
    <w:rsid w:val="00E4506F"/>
    <w:rsid w:val="00E456D9"/>
    <w:rsid w:val="00E46594"/>
    <w:rsid w:val="00E46E3F"/>
    <w:rsid w:val="00E46F15"/>
    <w:rsid w:val="00E474CE"/>
    <w:rsid w:val="00E50FE4"/>
    <w:rsid w:val="00E51EDD"/>
    <w:rsid w:val="00E52034"/>
    <w:rsid w:val="00E5427D"/>
    <w:rsid w:val="00E545D6"/>
    <w:rsid w:val="00E54C13"/>
    <w:rsid w:val="00E553CD"/>
    <w:rsid w:val="00E55833"/>
    <w:rsid w:val="00E560BC"/>
    <w:rsid w:val="00E569B0"/>
    <w:rsid w:val="00E57514"/>
    <w:rsid w:val="00E575F8"/>
    <w:rsid w:val="00E60BD4"/>
    <w:rsid w:val="00E61E4D"/>
    <w:rsid w:val="00E62425"/>
    <w:rsid w:val="00E63205"/>
    <w:rsid w:val="00E63D84"/>
    <w:rsid w:val="00E648B3"/>
    <w:rsid w:val="00E6526F"/>
    <w:rsid w:val="00E658E0"/>
    <w:rsid w:val="00E65E1E"/>
    <w:rsid w:val="00E6711C"/>
    <w:rsid w:val="00E702AD"/>
    <w:rsid w:val="00E716DE"/>
    <w:rsid w:val="00E743F1"/>
    <w:rsid w:val="00E755DB"/>
    <w:rsid w:val="00E76379"/>
    <w:rsid w:val="00E76E4E"/>
    <w:rsid w:val="00E77413"/>
    <w:rsid w:val="00E77829"/>
    <w:rsid w:val="00E80B80"/>
    <w:rsid w:val="00E80C6E"/>
    <w:rsid w:val="00E813E1"/>
    <w:rsid w:val="00E81D4C"/>
    <w:rsid w:val="00E82093"/>
    <w:rsid w:val="00E82562"/>
    <w:rsid w:val="00E82885"/>
    <w:rsid w:val="00E83AD9"/>
    <w:rsid w:val="00E847B8"/>
    <w:rsid w:val="00E84B10"/>
    <w:rsid w:val="00E86234"/>
    <w:rsid w:val="00E865F2"/>
    <w:rsid w:val="00E86752"/>
    <w:rsid w:val="00E87079"/>
    <w:rsid w:val="00E87630"/>
    <w:rsid w:val="00E87C90"/>
    <w:rsid w:val="00E87ECA"/>
    <w:rsid w:val="00E90034"/>
    <w:rsid w:val="00E9016E"/>
    <w:rsid w:val="00E923AF"/>
    <w:rsid w:val="00E92933"/>
    <w:rsid w:val="00E92F6A"/>
    <w:rsid w:val="00E939BA"/>
    <w:rsid w:val="00E94323"/>
    <w:rsid w:val="00E943ED"/>
    <w:rsid w:val="00E95D56"/>
    <w:rsid w:val="00E96E28"/>
    <w:rsid w:val="00E97075"/>
    <w:rsid w:val="00E97BC7"/>
    <w:rsid w:val="00E97E58"/>
    <w:rsid w:val="00EA1832"/>
    <w:rsid w:val="00EA2EF6"/>
    <w:rsid w:val="00EA344A"/>
    <w:rsid w:val="00EA39E7"/>
    <w:rsid w:val="00EA5EEC"/>
    <w:rsid w:val="00EA7C39"/>
    <w:rsid w:val="00EB17E8"/>
    <w:rsid w:val="00EB4ECD"/>
    <w:rsid w:val="00EB563F"/>
    <w:rsid w:val="00EB62BF"/>
    <w:rsid w:val="00EB6608"/>
    <w:rsid w:val="00EB709F"/>
    <w:rsid w:val="00EB71F8"/>
    <w:rsid w:val="00EC2BE2"/>
    <w:rsid w:val="00EC3038"/>
    <w:rsid w:val="00EC3046"/>
    <w:rsid w:val="00EC457C"/>
    <w:rsid w:val="00EC4995"/>
    <w:rsid w:val="00EC58ED"/>
    <w:rsid w:val="00EC6019"/>
    <w:rsid w:val="00EC6997"/>
    <w:rsid w:val="00EC7DAE"/>
    <w:rsid w:val="00ED02AA"/>
    <w:rsid w:val="00ED1965"/>
    <w:rsid w:val="00ED40FA"/>
    <w:rsid w:val="00ED54B0"/>
    <w:rsid w:val="00ED6717"/>
    <w:rsid w:val="00ED6DC0"/>
    <w:rsid w:val="00ED7394"/>
    <w:rsid w:val="00ED7BCC"/>
    <w:rsid w:val="00EE0047"/>
    <w:rsid w:val="00EE0297"/>
    <w:rsid w:val="00EE2962"/>
    <w:rsid w:val="00EE2A78"/>
    <w:rsid w:val="00EE4F61"/>
    <w:rsid w:val="00EE515A"/>
    <w:rsid w:val="00EE6BCC"/>
    <w:rsid w:val="00EF070D"/>
    <w:rsid w:val="00EF1312"/>
    <w:rsid w:val="00EF21A2"/>
    <w:rsid w:val="00EF291D"/>
    <w:rsid w:val="00EF2DFB"/>
    <w:rsid w:val="00EF3D34"/>
    <w:rsid w:val="00EF4371"/>
    <w:rsid w:val="00EF4585"/>
    <w:rsid w:val="00EF4A50"/>
    <w:rsid w:val="00EF5D54"/>
    <w:rsid w:val="00EF6246"/>
    <w:rsid w:val="00EF7D13"/>
    <w:rsid w:val="00F00868"/>
    <w:rsid w:val="00F009D8"/>
    <w:rsid w:val="00F022C6"/>
    <w:rsid w:val="00F02FFA"/>
    <w:rsid w:val="00F03F66"/>
    <w:rsid w:val="00F04ADE"/>
    <w:rsid w:val="00F05215"/>
    <w:rsid w:val="00F06656"/>
    <w:rsid w:val="00F07969"/>
    <w:rsid w:val="00F101E0"/>
    <w:rsid w:val="00F11B4B"/>
    <w:rsid w:val="00F11F05"/>
    <w:rsid w:val="00F1292B"/>
    <w:rsid w:val="00F12DDC"/>
    <w:rsid w:val="00F14400"/>
    <w:rsid w:val="00F1486D"/>
    <w:rsid w:val="00F152E9"/>
    <w:rsid w:val="00F15ADC"/>
    <w:rsid w:val="00F1679A"/>
    <w:rsid w:val="00F16FB0"/>
    <w:rsid w:val="00F20836"/>
    <w:rsid w:val="00F20B8C"/>
    <w:rsid w:val="00F2142E"/>
    <w:rsid w:val="00F2190E"/>
    <w:rsid w:val="00F2310A"/>
    <w:rsid w:val="00F235DC"/>
    <w:rsid w:val="00F237D2"/>
    <w:rsid w:val="00F23D7F"/>
    <w:rsid w:val="00F243E2"/>
    <w:rsid w:val="00F25C35"/>
    <w:rsid w:val="00F25E62"/>
    <w:rsid w:val="00F26076"/>
    <w:rsid w:val="00F26E53"/>
    <w:rsid w:val="00F274CC"/>
    <w:rsid w:val="00F27E28"/>
    <w:rsid w:val="00F27ED8"/>
    <w:rsid w:val="00F322C3"/>
    <w:rsid w:val="00F326C7"/>
    <w:rsid w:val="00F32BF3"/>
    <w:rsid w:val="00F33E14"/>
    <w:rsid w:val="00F3507A"/>
    <w:rsid w:val="00F356CC"/>
    <w:rsid w:val="00F35D89"/>
    <w:rsid w:val="00F3799E"/>
    <w:rsid w:val="00F41D54"/>
    <w:rsid w:val="00F41E99"/>
    <w:rsid w:val="00F424EA"/>
    <w:rsid w:val="00F43308"/>
    <w:rsid w:val="00F43898"/>
    <w:rsid w:val="00F43A13"/>
    <w:rsid w:val="00F45143"/>
    <w:rsid w:val="00F461A0"/>
    <w:rsid w:val="00F4633D"/>
    <w:rsid w:val="00F47D89"/>
    <w:rsid w:val="00F51B89"/>
    <w:rsid w:val="00F51E5B"/>
    <w:rsid w:val="00F521A2"/>
    <w:rsid w:val="00F5371A"/>
    <w:rsid w:val="00F558AE"/>
    <w:rsid w:val="00F57983"/>
    <w:rsid w:val="00F57D43"/>
    <w:rsid w:val="00F62430"/>
    <w:rsid w:val="00F62A80"/>
    <w:rsid w:val="00F637CB"/>
    <w:rsid w:val="00F64048"/>
    <w:rsid w:val="00F6470D"/>
    <w:rsid w:val="00F64F08"/>
    <w:rsid w:val="00F66432"/>
    <w:rsid w:val="00F66811"/>
    <w:rsid w:val="00F66C6E"/>
    <w:rsid w:val="00F670EB"/>
    <w:rsid w:val="00F6766D"/>
    <w:rsid w:val="00F679CB"/>
    <w:rsid w:val="00F71607"/>
    <w:rsid w:val="00F71784"/>
    <w:rsid w:val="00F72026"/>
    <w:rsid w:val="00F7235C"/>
    <w:rsid w:val="00F72592"/>
    <w:rsid w:val="00F734FE"/>
    <w:rsid w:val="00F7688F"/>
    <w:rsid w:val="00F81563"/>
    <w:rsid w:val="00F828CC"/>
    <w:rsid w:val="00F8425C"/>
    <w:rsid w:val="00F84B5F"/>
    <w:rsid w:val="00F84FCC"/>
    <w:rsid w:val="00F868D4"/>
    <w:rsid w:val="00F86CC6"/>
    <w:rsid w:val="00F86EA4"/>
    <w:rsid w:val="00F877A0"/>
    <w:rsid w:val="00F87BD1"/>
    <w:rsid w:val="00F9085E"/>
    <w:rsid w:val="00F90C63"/>
    <w:rsid w:val="00F91BF4"/>
    <w:rsid w:val="00F91C87"/>
    <w:rsid w:val="00F92116"/>
    <w:rsid w:val="00F930D7"/>
    <w:rsid w:val="00F93205"/>
    <w:rsid w:val="00F94F18"/>
    <w:rsid w:val="00F96281"/>
    <w:rsid w:val="00F9760C"/>
    <w:rsid w:val="00FA305A"/>
    <w:rsid w:val="00FA3E49"/>
    <w:rsid w:val="00FA5AAA"/>
    <w:rsid w:val="00FA783B"/>
    <w:rsid w:val="00FB0AF1"/>
    <w:rsid w:val="00FB0BBD"/>
    <w:rsid w:val="00FB1E1B"/>
    <w:rsid w:val="00FB304F"/>
    <w:rsid w:val="00FB3ADB"/>
    <w:rsid w:val="00FB58AB"/>
    <w:rsid w:val="00FB63AE"/>
    <w:rsid w:val="00FB6B87"/>
    <w:rsid w:val="00FB7B10"/>
    <w:rsid w:val="00FC17C6"/>
    <w:rsid w:val="00FC28F2"/>
    <w:rsid w:val="00FC2C2C"/>
    <w:rsid w:val="00FC2E24"/>
    <w:rsid w:val="00FC3313"/>
    <w:rsid w:val="00FC34F8"/>
    <w:rsid w:val="00FC3C48"/>
    <w:rsid w:val="00FC47DA"/>
    <w:rsid w:val="00FC4912"/>
    <w:rsid w:val="00FC5EB5"/>
    <w:rsid w:val="00FC694F"/>
    <w:rsid w:val="00FC6977"/>
    <w:rsid w:val="00FC70A5"/>
    <w:rsid w:val="00FC7B3E"/>
    <w:rsid w:val="00FC7EB9"/>
    <w:rsid w:val="00FD09B4"/>
    <w:rsid w:val="00FD175C"/>
    <w:rsid w:val="00FD270F"/>
    <w:rsid w:val="00FD3442"/>
    <w:rsid w:val="00FD3758"/>
    <w:rsid w:val="00FD400D"/>
    <w:rsid w:val="00FD4CC3"/>
    <w:rsid w:val="00FD51C0"/>
    <w:rsid w:val="00FD539E"/>
    <w:rsid w:val="00FD557C"/>
    <w:rsid w:val="00FD6D1F"/>
    <w:rsid w:val="00FD6E1A"/>
    <w:rsid w:val="00FE03A2"/>
    <w:rsid w:val="00FE24D5"/>
    <w:rsid w:val="00FE34E5"/>
    <w:rsid w:val="00FE3743"/>
    <w:rsid w:val="00FE4F79"/>
    <w:rsid w:val="00FE629B"/>
    <w:rsid w:val="00FE7A1F"/>
    <w:rsid w:val="00FE7EB6"/>
    <w:rsid w:val="00FE7FFD"/>
    <w:rsid w:val="00FF01A2"/>
    <w:rsid w:val="00FF1507"/>
    <w:rsid w:val="00FF2334"/>
    <w:rsid w:val="00FF3E2B"/>
    <w:rsid w:val="00FF6CFF"/>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D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2D37D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4,Heading 2 Char Char Char"/>
    <w:basedOn w:val="Normal"/>
    <w:next w:val="ParaNum"/>
    <w:link w:val="Heading2Char"/>
    <w:autoRedefine/>
    <w:qFormat/>
    <w:rsid w:val="002D37DF"/>
    <w:pPr>
      <w:keepNext/>
      <w:numPr>
        <w:ilvl w:val="1"/>
        <w:numId w:val="2"/>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2D37D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2D37DF"/>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2D37DF"/>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2D37DF"/>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2D37D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D37D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D37D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37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37DF"/>
  </w:style>
  <w:style w:type="paragraph" w:customStyle="1" w:styleId="ParaNum">
    <w:name w:val="ParaNum"/>
    <w:basedOn w:val="Normal"/>
    <w:link w:val="ParaNumChar"/>
    <w:rsid w:val="002D37DF"/>
    <w:pPr>
      <w:numPr>
        <w:numId w:val="1"/>
      </w:numPr>
      <w:tabs>
        <w:tab w:val="clear" w:pos="1080"/>
        <w:tab w:val="num" w:pos="1440"/>
      </w:tabs>
      <w:spacing w:after="120"/>
    </w:pPr>
  </w:style>
  <w:style w:type="paragraph" w:styleId="EndnoteText">
    <w:name w:val="endnote text"/>
    <w:basedOn w:val="Normal"/>
    <w:semiHidden/>
    <w:rsid w:val="002D37DF"/>
    <w:rPr>
      <w:sz w:val="20"/>
    </w:rPr>
  </w:style>
  <w:style w:type="character" w:styleId="EndnoteReference">
    <w:name w:val="endnote reference"/>
    <w:semiHidden/>
    <w:rsid w:val="002D37DF"/>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2D37DF"/>
    <w:pPr>
      <w:spacing w:after="120"/>
    </w:pPr>
  </w:style>
  <w:style w:type="character" w:styleId="FootnoteReference">
    <w:name w:val="footnote reference"/>
    <w:aliases w:val="Style 12,(NECG) Footnote Reference,Appel note de bas de p,Style 124,o,fr,Style 3,Style 13,FR,Style 17,Style 6,Footnote Reference/,Style 4,Style 7"/>
    <w:rsid w:val="002D37DF"/>
    <w:rPr>
      <w:rFonts w:ascii="Times New Roman" w:hAnsi="Times New Roman"/>
      <w:dstrike w:val="0"/>
      <w:color w:val="auto"/>
      <w:sz w:val="20"/>
      <w:vertAlign w:val="superscript"/>
    </w:rPr>
  </w:style>
  <w:style w:type="paragraph" w:styleId="TOC1">
    <w:name w:val="toc 1"/>
    <w:basedOn w:val="Normal"/>
    <w:next w:val="Normal"/>
    <w:rsid w:val="002D37DF"/>
    <w:pPr>
      <w:tabs>
        <w:tab w:val="left" w:pos="360"/>
        <w:tab w:val="right" w:leader="dot" w:pos="9360"/>
      </w:tabs>
      <w:suppressAutoHyphens/>
      <w:ind w:left="360" w:right="720" w:hanging="360"/>
    </w:pPr>
    <w:rPr>
      <w:caps/>
      <w:noProof/>
    </w:rPr>
  </w:style>
  <w:style w:type="paragraph" w:styleId="TOC2">
    <w:name w:val="toc 2"/>
    <w:basedOn w:val="Normal"/>
    <w:next w:val="Normal"/>
    <w:rsid w:val="002D37DF"/>
    <w:pPr>
      <w:tabs>
        <w:tab w:val="left" w:pos="720"/>
        <w:tab w:val="right" w:leader="dot" w:pos="9360"/>
      </w:tabs>
      <w:suppressAutoHyphens/>
      <w:ind w:left="720" w:right="720" w:hanging="360"/>
    </w:pPr>
    <w:rPr>
      <w:noProof/>
    </w:rPr>
  </w:style>
  <w:style w:type="paragraph" w:styleId="TOC3">
    <w:name w:val="toc 3"/>
    <w:basedOn w:val="Normal"/>
    <w:next w:val="Normal"/>
    <w:rsid w:val="002D37D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D37D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D37D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D37DF"/>
    <w:pPr>
      <w:tabs>
        <w:tab w:val="left" w:pos="2160"/>
        <w:tab w:val="right" w:leader="dot" w:pos="9360"/>
      </w:tabs>
      <w:suppressAutoHyphens/>
      <w:ind w:left="2160" w:hanging="360"/>
    </w:pPr>
    <w:rPr>
      <w:noProof/>
    </w:rPr>
  </w:style>
  <w:style w:type="paragraph" w:styleId="TOC7">
    <w:name w:val="toc 7"/>
    <w:basedOn w:val="Normal"/>
    <w:next w:val="Normal"/>
    <w:autoRedefine/>
    <w:rsid w:val="002D37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37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37DF"/>
    <w:pPr>
      <w:tabs>
        <w:tab w:val="left" w:pos="3240"/>
        <w:tab w:val="right" w:leader="dot" w:pos="9360"/>
      </w:tabs>
      <w:suppressAutoHyphens/>
      <w:ind w:left="3240" w:hanging="360"/>
    </w:pPr>
    <w:rPr>
      <w:noProof/>
    </w:rPr>
  </w:style>
  <w:style w:type="paragraph" w:styleId="TOAHeading">
    <w:name w:val="toa heading"/>
    <w:basedOn w:val="Normal"/>
    <w:next w:val="Normal"/>
    <w:rsid w:val="002D37DF"/>
    <w:pPr>
      <w:tabs>
        <w:tab w:val="right" w:pos="9360"/>
      </w:tabs>
      <w:suppressAutoHyphens/>
    </w:pPr>
  </w:style>
  <w:style w:type="character" w:customStyle="1" w:styleId="EquationCaption">
    <w:name w:val="_Equation Caption"/>
    <w:rsid w:val="002D37DF"/>
  </w:style>
  <w:style w:type="paragraph" w:styleId="Header">
    <w:name w:val="header"/>
    <w:basedOn w:val="Normal"/>
    <w:link w:val="HeaderChar"/>
    <w:autoRedefine/>
    <w:rsid w:val="002D37DF"/>
    <w:pPr>
      <w:tabs>
        <w:tab w:val="center" w:pos="4680"/>
        <w:tab w:val="right" w:pos="9360"/>
      </w:tabs>
    </w:pPr>
    <w:rPr>
      <w:b/>
    </w:rPr>
  </w:style>
  <w:style w:type="paragraph" w:styleId="Footer">
    <w:name w:val="footer"/>
    <w:basedOn w:val="Normal"/>
    <w:link w:val="FooterChar"/>
    <w:rsid w:val="002D37DF"/>
    <w:pPr>
      <w:tabs>
        <w:tab w:val="center" w:pos="4320"/>
        <w:tab w:val="right" w:pos="8640"/>
      </w:tabs>
    </w:pPr>
  </w:style>
  <w:style w:type="character" w:styleId="PageNumber">
    <w:name w:val="page number"/>
    <w:basedOn w:val="DefaultParagraphFont"/>
    <w:rsid w:val="002D37DF"/>
  </w:style>
  <w:style w:type="paragraph" w:styleId="BlockText">
    <w:name w:val="Block Text"/>
    <w:basedOn w:val="Normal"/>
    <w:rsid w:val="002D37DF"/>
    <w:pPr>
      <w:spacing w:after="240"/>
      <w:ind w:left="1440" w:right="1440"/>
    </w:pPr>
  </w:style>
  <w:style w:type="paragraph" w:customStyle="1" w:styleId="Paratitle">
    <w:name w:val="Para title"/>
    <w:basedOn w:val="Normal"/>
    <w:rsid w:val="002D37DF"/>
    <w:pPr>
      <w:tabs>
        <w:tab w:val="center" w:pos="9270"/>
      </w:tabs>
      <w:spacing w:after="240"/>
    </w:pPr>
    <w:rPr>
      <w:spacing w:val="-2"/>
    </w:rPr>
  </w:style>
  <w:style w:type="paragraph" w:customStyle="1" w:styleId="Bullet">
    <w:name w:val="Bullet"/>
    <w:basedOn w:val="Normal"/>
    <w:rsid w:val="002D37DF"/>
    <w:pPr>
      <w:tabs>
        <w:tab w:val="left" w:pos="2160"/>
      </w:tabs>
      <w:spacing w:after="220"/>
      <w:ind w:left="2160" w:hanging="720"/>
    </w:pPr>
  </w:style>
  <w:style w:type="paragraph" w:customStyle="1" w:styleId="TableFormat">
    <w:name w:val="TableFormat"/>
    <w:basedOn w:val="Bullet"/>
    <w:rsid w:val="002D37DF"/>
    <w:pPr>
      <w:tabs>
        <w:tab w:val="clear" w:pos="2160"/>
        <w:tab w:val="left" w:pos="5040"/>
      </w:tabs>
      <w:ind w:left="5040" w:hanging="3600"/>
    </w:pPr>
  </w:style>
  <w:style w:type="paragraph" w:customStyle="1" w:styleId="TOCTitle">
    <w:name w:val="TOC Title"/>
    <w:basedOn w:val="Normal"/>
    <w:rsid w:val="002D37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37DF"/>
    <w:pPr>
      <w:jc w:val="center"/>
    </w:pPr>
    <w:rPr>
      <w:rFonts w:ascii="Times New Roman Bold" w:hAnsi="Times New Roman Bold"/>
      <w:b/>
      <w:bCs/>
      <w:caps/>
      <w:szCs w:val="22"/>
    </w:rPr>
  </w:style>
  <w:style w:type="character" w:styleId="Hyperlink">
    <w:name w:val="Hyperlink"/>
    <w:rsid w:val="002D37DF"/>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tyle>
  <w:style w:type="character" w:customStyle="1" w:styleId="ParaNumChar">
    <w:name w:val="ParaNum Char"/>
    <w:link w:val="ParaNum"/>
    <w:rPr>
      <w:snapToGrid w:val="0"/>
      <w:kern w:val="28"/>
      <w:sz w:val="22"/>
    </w:rPr>
  </w:style>
  <w:style w:type="character" w:customStyle="1" w:styleId="ptext-3">
    <w:name w:val="ptext-3"/>
    <w:rPr>
      <w:rFonts w:cs="Times New Roman"/>
    </w:rPr>
  </w:style>
  <w:style w:type="character" w:customStyle="1" w:styleId="ParaNumChar1">
    <w:name w:val="ParaNum Char1"/>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Pr>
      <w:b/>
      <w:snapToGrid w:val="0"/>
      <w:kern w:val="28"/>
      <w:sz w:val="22"/>
    </w:rPr>
  </w:style>
  <w:style w:type="character" w:customStyle="1" w:styleId="FooterChar">
    <w:name w:val="Footer Char"/>
    <w:link w:val="Footer"/>
    <w:rPr>
      <w:snapToGrid w:val="0"/>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locked/>
    <w:rPr>
      <w:rFonts w:cs="Times New Roman"/>
      <w:lang w:val="en-US" w:eastAsia="en-US" w:bidi="ar-SA"/>
    </w:rPr>
  </w:style>
  <w:style w:type="character" w:styleId="FollowedHyperlink">
    <w:name w:val="FollowedHyperlink"/>
    <w:rPr>
      <w:color w:val="800080"/>
      <w:u w:val="single"/>
    </w:rPr>
  </w:style>
  <w:style w:type="character" w:customStyle="1" w:styleId="enumbell">
    <w:name w:val="enumbell"/>
    <w:rPr>
      <w:rFonts w:cs="Times New Roman"/>
      <w:b/>
      <w:bCs/>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9D1D43"/>
    <w:rPr>
      <w:b/>
      <w:snapToGrid w:val="0"/>
      <w:kern w:val="28"/>
      <w:sz w:val="22"/>
    </w:rPr>
  </w:style>
  <w:style w:type="character" w:customStyle="1" w:styleId="documentbody1">
    <w:name w:val="documentbody1"/>
    <w:rPr>
      <w:rFonts w:ascii="Verdana" w:hAnsi="Verdana" w:cs="Times New Roman"/>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ptext-4">
    <w:name w:val="ptext-4"/>
    <w:basedOn w:val="DefaultParagraphFont"/>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rPr>
      <w:lang w:val="en-US" w:eastAsia="en-US" w:bidi="ar-SA"/>
    </w:rPr>
  </w:style>
  <w:style w:type="paragraph" w:styleId="NormalWeb">
    <w:name w:val="Normal (Web)"/>
    <w:basedOn w:val="Normal"/>
    <w:uiPriority w:val="99"/>
    <w:pPr>
      <w:widowControl/>
      <w:spacing w:before="100" w:beforeAutospacing="1" w:after="100" w:afterAutospacing="1"/>
    </w:pPr>
    <w:rPr>
      <w:snapToGrid/>
      <w:kern w:val="0"/>
      <w:sz w:val="24"/>
      <w:szCs w:val="24"/>
    </w:rPr>
  </w:style>
  <w:style w:type="character" w:customStyle="1" w:styleId="EmailStyle611">
    <w:name w:val="EmailStyle611"/>
    <w:semiHidden/>
    <w:rPr>
      <w:rFonts w:ascii="Arial" w:hAnsi="Arial" w:cs="Arial"/>
      <w:color w:val="000080"/>
      <w:sz w:val="20"/>
      <w:szCs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napToGrid w:val="0"/>
      <w:kern w:val="28"/>
      <w:sz w:val="16"/>
      <w:szCs w:val="16"/>
    </w:rPr>
  </w:style>
  <w:style w:type="character" w:customStyle="1" w:styleId="FootnoteTextCharChar1">
    <w:name w:val="Footnote Text Char Char1"/>
    <w:aliases w:val="Footnote Text Char3 Char Char1,Footnote Text Char2 Char1 Char Char1,Footnote Text Char Char2 Char Char Char1,Footnote Text Char Char2 Char Char Char Char Char1,Footnote Text Char2 Char Char Char Char,Footnote Text Char1 Char1"/>
    <w:semiHidden/>
    <w:locked/>
    <w:rPr>
      <w:lang w:val="en-US" w:eastAsia="en-US" w:bidi="ar-SA"/>
    </w:rPr>
  </w:style>
  <w:style w:type="paragraph" w:styleId="Caption">
    <w:name w:val="caption"/>
    <w:basedOn w:val="Normal"/>
    <w:next w:val="Normal"/>
    <w:qFormat/>
    <w:pPr>
      <w:widowControl/>
      <w:spacing w:before="120" w:after="120"/>
    </w:pPr>
    <w:rPr>
      <w:b/>
      <w:snapToGrid/>
      <w:kern w:val="0"/>
    </w:rPr>
  </w:style>
  <w:style w:type="character" w:customStyle="1" w:styleId="p1">
    <w:name w:val="p1"/>
    <w:rPr>
      <w:vanish w:val="0"/>
      <w:webHidden w:val="0"/>
      <w:specVanish w:val="0"/>
    </w:rPr>
  </w:style>
  <w:style w:type="paragraph" w:customStyle="1" w:styleId="ParaNumCharChar1">
    <w:name w:val="ParaNum Char Char1"/>
    <w:basedOn w:val="Normal"/>
    <w:link w:val="ParaNumCharChar1Char"/>
    <w:pPr>
      <w:widowControl/>
      <w:numPr>
        <w:numId w:val="5"/>
      </w:numPr>
      <w:tabs>
        <w:tab w:val="left" w:pos="1440"/>
      </w:tabs>
      <w:spacing w:after="220"/>
      <w:jc w:val="both"/>
    </w:pPr>
    <w:rPr>
      <w:kern w:val="0"/>
    </w:rPr>
  </w:style>
  <w:style w:type="character" w:customStyle="1" w:styleId="ParaNumCharChar1Char">
    <w:name w:val="ParaNum Char Char1 Char"/>
    <w:link w:val="ParaNumCharChar1"/>
    <w:rPr>
      <w:snapToGrid w:val="0"/>
      <w:sz w:val="22"/>
    </w:rPr>
  </w:style>
  <w:style w:type="character" w:styleId="Emphasis">
    <w:name w:val="Emphasis"/>
    <w:qFormat/>
    <w:rPr>
      <w:i/>
      <w:iCs/>
    </w:rPr>
  </w:style>
  <w:style w:type="paragraph" w:styleId="ListParagraph">
    <w:name w:val="List Paragraph"/>
    <w:basedOn w:val="Normal"/>
    <w:uiPriority w:val="34"/>
    <w:qFormat/>
    <w:rsid w:val="00B661C3"/>
    <w:pPr>
      <w:widowControl/>
      <w:spacing w:after="200" w:line="276" w:lineRule="auto"/>
      <w:ind w:left="720"/>
      <w:contextualSpacing/>
    </w:pPr>
    <w:rPr>
      <w:rFonts w:eastAsia="Calibri"/>
      <w:snapToGrid/>
      <w:kern w:val="0"/>
      <w:szCs w:val="22"/>
    </w:rPr>
  </w:style>
  <w:style w:type="character" w:customStyle="1" w:styleId="ptext-1">
    <w:name w:val="ptext-1"/>
    <w:rsid w:val="00B661C3"/>
  </w:style>
  <w:style w:type="character" w:customStyle="1" w:styleId="informationalsmall4">
    <w:name w:val="informationalsmall4"/>
    <w:rsid w:val="006D5549"/>
    <w:rPr>
      <w:rFonts w:ascii="Verdana" w:hAnsi="Verdana" w:hint="default"/>
      <w:sz w:val="14"/>
      <w:szCs w:val="14"/>
    </w:rPr>
  </w:style>
  <w:style w:type="character" w:customStyle="1" w:styleId="FootnoteCharacters">
    <w:name w:val="Footnote Characters"/>
    <w:rsid w:val="00837B42"/>
    <w:rPr>
      <w:vertAlign w:val="superscript"/>
    </w:rPr>
  </w:style>
  <w:style w:type="character" w:customStyle="1" w:styleId="WW-FootnoteCharacters">
    <w:name w:val="WW-Footnote Characters"/>
    <w:rsid w:val="00837B42"/>
    <w:rPr>
      <w:vertAlign w:val="superscript"/>
    </w:rPr>
  </w:style>
  <w:style w:type="paragraph" w:customStyle="1" w:styleId="Default">
    <w:name w:val="Default"/>
    <w:rsid w:val="002A2225"/>
    <w:pPr>
      <w:autoSpaceDE w:val="0"/>
      <w:autoSpaceDN w:val="0"/>
      <w:adjustRightInd w:val="0"/>
    </w:pPr>
    <w:rPr>
      <w:color w:val="000000"/>
      <w:sz w:val="24"/>
      <w:szCs w:val="24"/>
    </w:rPr>
  </w:style>
  <w:style w:type="character" w:customStyle="1" w:styleId="apple-converted-space">
    <w:name w:val="apple-converted-space"/>
    <w:rsid w:val="007076C1"/>
  </w:style>
  <w:style w:type="paragraph" w:styleId="Revision">
    <w:name w:val="Revision"/>
    <w:hidden/>
    <w:uiPriority w:val="99"/>
    <w:semiHidden/>
    <w:rsid w:val="001C011B"/>
    <w:rPr>
      <w:snapToGrid w:val="0"/>
      <w:kern w:val="28"/>
      <w:sz w:val="22"/>
    </w:rPr>
  </w:style>
  <w:style w:type="character" w:customStyle="1" w:styleId="searchterm">
    <w:name w:val="searchterm"/>
    <w:basedOn w:val="DefaultParagraphFont"/>
    <w:rsid w:val="00070147"/>
  </w:style>
  <w:style w:type="character" w:styleId="Strong">
    <w:name w:val="Strong"/>
    <w:basedOn w:val="DefaultParagraphFont"/>
    <w:uiPriority w:val="22"/>
    <w:qFormat/>
    <w:rsid w:val="00623373"/>
    <w:rPr>
      <w:b/>
      <w:bCs/>
    </w:rPr>
  </w:style>
  <w:style w:type="paragraph" w:customStyle="1" w:styleId="note">
    <w:name w:val="note"/>
    <w:basedOn w:val="Normal"/>
    <w:rsid w:val="00E95D56"/>
    <w:pPr>
      <w:widowControl/>
      <w:spacing w:before="100" w:beforeAutospacing="1" w:after="100" w:afterAutospacing="1"/>
    </w:pPr>
    <w:rPr>
      <w:snapToGrid/>
      <w:kern w:val="0"/>
      <w:sz w:val="24"/>
      <w:szCs w:val="24"/>
    </w:rPr>
  </w:style>
  <w:style w:type="character" w:customStyle="1" w:styleId="starpage">
    <w:name w:val="starpage"/>
    <w:basedOn w:val="DefaultParagraphFont"/>
    <w:rsid w:val="00426554"/>
  </w:style>
  <w:style w:type="character" w:customStyle="1" w:styleId="CommentTextChar">
    <w:name w:val="Comment Text Char"/>
    <w:basedOn w:val="DefaultParagraphFont"/>
    <w:link w:val="CommentText"/>
    <w:semiHidden/>
    <w:rsid w:val="00D226CC"/>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D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2D37D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4,Heading 2 Char Char Char"/>
    <w:basedOn w:val="Normal"/>
    <w:next w:val="ParaNum"/>
    <w:link w:val="Heading2Char"/>
    <w:autoRedefine/>
    <w:qFormat/>
    <w:rsid w:val="002D37DF"/>
    <w:pPr>
      <w:keepNext/>
      <w:numPr>
        <w:ilvl w:val="1"/>
        <w:numId w:val="2"/>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2D37D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2D37DF"/>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2D37DF"/>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2D37DF"/>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2D37DF"/>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D37D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2D37D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37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37DF"/>
  </w:style>
  <w:style w:type="paragraph" w:customStyle="1" w:styleId="ParaNum">
    <w:name w:val="ParaNum"/>
    <w:basedOn w:val="Normal"/>
    <w:link w:val="ParaNumChar"/>
    <w:rsid w:val="002D37DF"/>
    <w:pPr>
      <w:numPr>
        <w:numId w:val="1"/>
      </w:numPr>
      <w:tabs>
        <w:tab w:val="clear" w:pos="1080"/>
        <w:tab w:val="num" w:pos="1440"/>
      </w:tabs>
      <w:spacing w:after="120"/>
    </w:pPr>
  </w:style>
  <w:style w:type="paragraph" w:styleId="EndnoteText">
    <w:name w:val="endnote text"/>
    <w:basedOn w:val="Normal"/>
    <w:semiHidden/>
    <w:rsid w:val="002D37DF"/>
    <w:rPr>
      <w:sz w:val="20"/>
    </w:rPr>
  </w:style>
  <w:style w:type="character" w:styleId="EndnoteReference">
    <w:name w:val="endnote reference"/>
    <w:semiHidden/>
    <w:rsid w:val="002D37DF"/>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2D37DF"/>
    <w:pPr>
      <w:spacing w:after="120"/>
    </w:pPr>
  </w:style>
  <w:style w:type="character" w:styleId="FootnoteReference">
    <w:name w:val="footnote reference"/>
    <w:aliases w:val="Style 12,(NECG) Footnote Reference,Appel note de bas de p,Style 124,o,fr,Style 3,Style 13,FR,Style 17,Style 6,Footnote Reference/,Style 4,Style 7"/>
    <w:rsid w:val="002D37DF"/>
    <w:rPr>
      <w:rFonts w:ascii="Times New Roman" w:hAnsi="Times New Roman"/>
      <w:dstrike w:val="0"/>
      <w:color w:val="auto"/>
      <w:sz w:val="20"/>
      <w:vertAlign w:val="superscript"/>
    </w:rPr>
  </w:style>
  <w:style w:type="paragraph" w:styleId="TOC1">
    <w:name w:val="toc 1"/>
    <w:basedOn w:val="Normal"/>
    <w:next w:val="Normal"/>
    <w:rsid w:val="002D37DF"/>
    <w:pPr>
      <w:tabs>
        <w:tab w:val="left" w:pos="360"/>
        <w:tab w:val="right" w:leader="dot" w:pos="9360"/>
      </w:tabs>
      <w:suppressAutoHyphens/>
      <w:ind w:left="360" w:right="720" w:hanging="360"/>
    </w:pPr>
    <w:rPr>
      <w:caps/>
      <w:noProof/>
    </w:rPr>
  </w:style>
  <w:style w:type="paragraph" w:styleId="TOC2">
    <w:name w:val="toc 2"/>
    <w:basedOn w:val="Normal"/>
    <w:next w:val="Normal"/>
    <w:rsid w:val="002D37DF"/>
    <w:pPr>
      <w:tabs>
        <w:tab w:val="left" w:pos="720"/>
        <w:tab w:val="right" w:leader="dot" w:pos="9360"/>
      </w:tabs>
      <w:suppressAutoHyphens/>
      <w:ind w:left="720" w:right="720" w:hanging="360"/>
    </w:pPr>
    <w:rPr>
      <w:noProof/>
    </w:rPr>
  </w:style>
  <w:style w:type="paragraph" w:styleId="TOC3">
    <w:name w:val="toc 3"/>
    <w:basedOn w:val="Normal"/>
    <w:next w:val="Normal"/>
    <w:rsid w:val="002D37D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D37D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D37D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D37DF"/>
    <w:pPr>
      <w:tabs>
        <w:tab w:val="left" w:pos="2160"/>
        <w:tab w:val="right" w:leader="dot" w:pos="9360"/>
      </w:tabs>
      <w:suppressAutoHyphens/>
      <w:ind w:left="2160" w:hanging="360"/>
    </w:pPr>
    <w:rPr>
      <w:noProof/>
    </w:rPr>
  </w:style>
  <w:style w:type="paragraph" w:styleId="TOC7">
    <w:name w:val="toc 7"/>
    <w:basedOn w:val="Normal"/>
    <w:next w:val="Normal"/>
    <w:autoRedefine/>
    <w:rsid w:val="002D37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37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37DF"/>
    <w:pPr>
      <w:tabs>
        <w:tab w:val="left" w:pos="3240"/>
        <w:tab w:val="right" w:leader="dot" w:pos="9360"/>
      </w:tabs>
      <w:suppressAutoHyphens/>
      <w:ind w:left="3240" w:hanging="360"/>
    </w:pPr>
    <w:rPr>
      <w:noProof/>
    </w:rPr>
  </w:style>
  <w:style w:type="paragraph" w:styleId="TOAHeading">
    <w:name w:val="toa heading"/>
    <w:basedOn w:val="Normal"/>
    <w:next w:val="Normal"/>
    <w:rsid w:val="002D37DF"/>
    <w:pPr>
      <w:tabs>
        <w:tab w:val="right" w:pos="9360"/>
      </w:tabs>
      <w:suppressAutoHyphens/>
    </w:pPr>
  </w:style>
  <w:style w:type="character" w:customStyle="1" w:styleId="EquationCaption">
    <w:name w:val="_Equation Caption"/>
    <w:rsid w:val="002D37DF"/>
  </w:style>
  <w:style w:type="paragraph" w:styleId="Header">
    <w:name w:val="header"/>
    <w:basedOn w:val="Normal"/>
    <w:link w:val="HeaderChar"/>
    <w:autoRedefine/>
    <w:rsid w:val="002D37DF"/>
    <w:pPr>
      <w:tabs>
        <w:tab w:val="center" w:pos="4680"/>
        <w:tab w:val="right" w:pos="9360"/>
      </w:tabs>
    </w:pPr>
    <w:rPr>
      <w:b/>
    </w:rPr>
  </w:style>
  <w:style w:type="paragraph" w:styleId="Footer">
    <w:name w:val="footer"/>
    <w:basedOn w:val="Normal"/>
    <w:link w:val="FooterChar"/>
    <w:rsid w:val="002D37DF"/>
    <w:pPr>
      <w:tabs>
        <w:tab w:val="center" w:pos="4320"/>
        <w:tab w:val="right" w:pos="8640"/>
      </w:tabs>
    </w:pPr>
  </w:style>
  <w:style w:type="character" w:styleId="PageNumber">
    <w:name w:val="page number"/>
    <w:basedOn w:val="DefaultParagraphFont"/>
    <w:rsid w:val="002D37DF"/>
  </w:style>
  <w:style w:type="paragraph" w:styleId="BlockText">
    <w:name w:val="Block Text"/>
    <w:basedOn w:val="Normal"/>
    <w:rsid w:val="002D37DF"/>
    <w:pPr>
      <w:spacing w:after="240"/>
      <w:ind w:left="1440" w:right="1440"/>
    </w:pPr>
  </w:style>
  <w:style w:type="paragraph" w:customStyle="1" w:styleId="Paratitle">
    <w:name w:val="Para title"/>
    <w:basedOn w:val="Normal"/>
    <w:rsid w:val="002D37DF"/>
    <w:pPr>
      <w:tabs>
        <w:tab w:val="center" w:pos="9270"/>
      </w:tabs>
      <w:spacing w:after="240"/>
    </w:pPr>
    <w:rPr>
      <w:spacing w:val="-2"/>
    </w:rPr>
  </w:style>
  <w:style w:type="paragraph" w:customStyle="1" w:styleId="Bullet">
    <w:name w:val="Bullet"/>
    <w:basedOn w:val="Normal"/>
    <w:rsid w:val="002D37DF"/>
    <w:pPr>
      <w:tabs>
        <w:tab w:val="left" w:pos="2160"/>
      </w:tabs>
      <w:spacing w:after="220"/>
      <w:ind w:left="2160" w:hanging="720"/>
    </w:pPr>
  </w:style>
  <w:style w:type="paragraph" w:customStyle="1" w:styleId="TableFormat">
    <w:name w:val="TableFormat"/>
    <w:basedOn w:val="Bullet"/>
    <w:rsid w:val="002D37DF"/>
    <w:pPr>
      <w:tabs>
        <w:tab w:val="clear" w:pos="2160"/>
        <w:tab w:val="left" w:pos="5040"/>
      </w:tabs>
      <w:ind w:left="5040" w:hanging="3600"/>
    </w:pPr>
  </w:style>
  <w:style w:type="paragraph" w:customStyle="1" w:styleId="TOCTitle">
    <w:name w:val="TOC Title"/>
    <w:basedOn w:val="Normal"/>
    <w:rsid w:val="002D37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37DF"/>
    <w:pPr>
      <w:jc w:val="center"/>
    </w:pPr>
    <w:rPr>
      <w:rFonts w:ascii="Times New Roman Bold" w:hAnsi="Times New Roman Bold"/>
      <w:b/>
      <w:bCs/>
      <w:caps/>
      <w:szCs w:val="22"/>
    </w:rPr>
  </w:style>
  <w:style w:type="character" w:styleId="Hyperlink">
    <w:name w:val="Hyperlink"/>
    <w:rsid w:val="002D37DF"/>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tyle>
  <w:style w:type="character" w:customStyle="1" w:styleId="ParaNumChar">
    <w:name w:val="ParaNum Char"/>
    <w:link w:val="ParaNum"/>
    <w:rPr>
      <w:snapToGrid w:val="0"/>
      <w:kern w:val="28"/>
      <w:sz w:val="22"/>
    </w:rPr>
  </w:style>
  <w:style w:type="character" w:customStyle="1" w:styleId="ptext-3">
    <w:name w:val="ptext-3"/>
    <w:rPr>
      <w:rFonts w:cs="Times New Roman"/>
    </w:rPr>
  </w:style>
  <w:style w:type="character" w:customStyle="1" w:styleId="ParaNumChar1">
    <w:name w:val="ParaNum Char1"/>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Pr>
      <w:b/>
      <w:snapToGrid w:val="0"/>
      <w:kern w:val="28"/>
      <w:sz w:val="22"/>
    </w:rPr>
  </w:style>
  <w:style w:type="character" w:customStyle="1" w:styleId="FooterChar">
    <w:name w:val="Footer Char"/>
    <w:link w:val="Footer"/>
    <w:rPr>
      <w:snapToGrid w:val="0"/>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locked/>
    <w:rPr>
      <w:rFonts w:cs="Times New Roman"/>
      <w:lang w:val="en-US" w:eastAsia="en-US" w:bidi="ar-SA"/>
    </w:rPr>
  </w:style>
  <w:style w:type="character" w:styleId="FollowedHyperlink">
    <w:name w:val="FollowedHyperlink"/>
    <w:rPr>
      <w:color w:val="800080"/>
      <w:u w:val="single"/>
    </w:rPr>
  </w:style>
  <w:style w:type="character" w:customStyle="1" w:styleId="enumbell">
    <w:name w:val="enumbell"/>
    <w:rPr>
      <w:rFonts w:cs="Times New Roman"/>
      <w:b/>
      <w:bCs/>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9D1D43"/>
    <w:rPr>
      <w:b/>
      <w:snapToGrid w:val="0"/>
      <w:kern w:val="28"/>
      <w:sz w:val="22"/>
    </w:rPr>
  </w:style>
  <w:style w:type="character" w:customStyle="1" w:styleId="documentbody1">
    <w:name w:val="documentbody1"/>
    <w:rPr>
      <w:rFonts w:ascii="Verdana" w:hAnsi="Verdana" w:cs="Times New Roman"/>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ptext-4">
    <w:name w:val="ptext-4"/>
    <w:basedOn w:val="DefaultParagraphFont"/>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rPr>
      <w:lang w:val="en-US" w:eastAsia="en-US" w:bidi="ar-SA"/>
    </w:rPr>
  </w:style>
  <w:style w:type="paragraph" w:styleId="NormalWeb">
    <w:name w:val="Normal (Web)"/>
    <w:basedOn w:val="Normal"/>
    <w:uiPriority w:val="99"/>
    <w:pPr>
      <w:widowControl/>
      <w:spacing w:before="100" w:beforeAutospacing="1" w:after="100" w:afterAutospacing="1"/>
    </w:pPr>
    <w:rPr>
      <w:snapToGrid/>
      <w:kern w:val="0"/>
      <w:sz w:val="24"/>
      <w:szCs w:val="24"/>
    </w:rPr>
  </w:style>
  <w:style w:type="character" w:customStyle="1" w:styleId="EmailStyle611">
    <w:name w:val="EmailStyle611"/>
    <w:semiHidden/>
    <w:rPr>
      <w:rFonts w:ascii="Arial" w:hAnsi="Arial" w:cs="Arial"/>
      <w:color w:val="000080"/>
      <w:sz w:val="20"/>
      <w:szCs w:val="20"/>
    </w:r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napToGrid w:val="0"/>
      <w:kern w:val="28"/>
      <w:sz w:val="16"/>
      <w:szCs w:val="16"/>
    </w:rPr>
  </w:style>
  <w:style w:type="character" w:customStyle="1" w:styleId="FootnoteTextCharChar1">
    <w:name w:val="Footnote Text Char Char1"/>
    <w:aliases w:val="Footnote Text Char3 Char Char1,Footnote Text Char2 Char1 Char Char1,Footnote Text Char Char2 Char Char Char1,Footnote Text Char Char2 Char Char Char Char Char1,Footnote Text Char2 Char Char Char Char,Footnote Text Char1 Char1"/>
    <w:semiHidden/>
    <w:locked/>
    <w:rPr>
      <w:lang w:val="en-US" w:eastAsia="en-US" w:bidi="ar-SA"/>
    </w:rPr>
  </w:style>
  <w:style w:type="paragraph" w:styleId="Caption">
    <w:name w:val="caption"/>
    <w:basedOn w:val="Normal"/>
    <w:next w:val="Normal"/>
    <w:qFormat/>
    <w:pPr>
      <w:widowControl/>
      <w:spacing w:before="120" w:after="120"/>
    </w:pPr>
    <w:rPr>
      <w:b/>
      <w:snapToGrid/>
      <w:kern w:val="0"/>
    </w:rPr>
  </w:style>
  <w:style w:type="character" w:customStyle="1" w:styleId="p1">
    <w:name w:val="p1"/>
    <w:rPr>
      <w:vanish w:val="0"/>
      <w:webHidden w:val="0"/>
      <w:specVanish w:val="0"/>
    </w:rPr>
  </w:style>
  <w:style w:type="paragraph" w:customStyle="1" w:styleId="ParaNumCharChar1">
    <w:name w:val="ParaNum Char Char1"/>
    <w:basedOn w:val="Normal"/>
    <w:link w:val="ParaNumCharChar1Char"/>
    <w:pPr>
      <w:widowControl/>
      <w:numPr>
        <w:numId w:val="5"/>
      </w:numPr>
      <w:tabs>
        <w:tab w:val="left" w:pos="1440"/>
      </w:tabs>
      <w:spacing w:after="220"/>
      <w:jc w:val="both"/>
    </w:pPr>
    <w:rPr>
      <w:kern w:val="0"/>
    </w:rPr>
  </w:style>
  <w:style w:type="character" w:customStyle="1" w:styleId="ParaNumCharChar1Char">
    <w:name w:val="ParaNum Char Char1 Char"/>
    <w:link w:val="ParaNumCharChar1"/>
    <w:rPr>
      <w:snapToGrid w:val="0"/>
      <w:sz w:val="22"/>
    </w:rPr>
  </w:style>
  <w:style w:type="character" w:styleId="Emphasis">
    <w:name w:val="Emphasis"/>
    <w:qFormat/>
    <w:rPr>
      <w:i/>
      <w:iCs/>
    </w:rPr>
  </w:style>
  <w:style w:type="paragraph" w:styleId="ListParagraph">
    <w:name w:val="List Paragraph"/>
    <w:basedOn w:val="Normal"/>
    <w:uiPriority w:val="34"/>
    <w:qFormat/>
    <w:rsid w:val="00B661C3"/>
    <w:pPr>
      <w:widowControl/>
      <w:spacing w:after="200" w:line="276" w:lineRule="auto"/>
      <w:ind w:left="720"/>
      <w:contextualSpacing/>
    </w:pPr>
    <w:rPr>
      <w:rFonts w:eastAsia="Calibri"/>
      <w:snapToGrid/>
      <w:kern w:val="0"/>
      <w:szCs w:val="22"/>
    </w:rPr>
  </w:style>
  <w:style w:type="character" w:customStyle="1" w:styleId="ptext-1">
    <w:name w:val="ptext-1"/>
    <w:rsid w:val="00B661C3"/>
  </w:style>
  <w:style w:type="character" w:customStyle="1" w:styleId="informationalsmall4">
    <w:name w:val="informationalsmall4"/>
    <w:rsid w:val="006D5549"/>
    <w:rPr>
      <w:rFonts w:ascii="Verdana" w:hAnsi="Verdana" w:hint="default"/>
      <w:sz w:val="14"/>
      <w:szCs w:val="14"/>
    </w:rPr>
  </w:style>
  <w:style w:type="character" w:customStyle="1" w:styleId="FootnoteCharacters">
    <w:name w:val="Footnote Characters"/>
    <w:rsid w:val="00837B42"/>
    <w:rPr>
      <w:vertAlign w:val="superscript"/>
    </w:rPr>
  </w:style>
  <w:style w:type="character" w:customStyle="1" w:styleId="WW-FootnoteCharacters">
    <w:name w:val="WW-Footnote Characters"/>
    <w:rsid w:val="00837B42"/>
    <w:rPr>
      <w:vertAlign w:val="superscript"/>
    </w:rPr>
  </w:style>
  <w:style w:type="paragraph" w:customStyle="1" w:styleId="Default">
    <w:name w:val="Default"/>
    <w:rsid w:val="002A2225"/>
    <w:pPr>
      <w:autoSpaceDE w:val="0"/>
      <w:autoSpaceDN w:val="0"/>
      <w:adjustRightInd w:val="0"/>
    </w:pPr>
    <w:rPr>
      <w:color w:val="000000"/>
      <w:sz w:val="24"/>
      <w:szCs w:val="24"/>
    </w:rPr>
  </w:style>
  <w:style w:type="character" w:customStyle="1" w:styleId="apple-converted-space">
    <w:name w:val="apple-converted-space"/>
    <w:rsid w:val="007076C1"/>
  </w:style>
  <w:style w:type="paragraph" w:styleId="Revision">
    <w:name w:val="Revision"/>
    <w:hidden/>
    <w:uiPriority w:val="99"/>
    <w:semiHidden/>
    <w:rsid w:val="001C011B"/>
    <w:rPr>
      <w:snapToGrid w:val="0"/>
      <w:kern w:val="28"/>
      <w:sz w:val="22"/>
    </w:rPr>
  </w:style>
  <w:style w:type="character" w:customStyle="1" w:styleId="searchterm">
    <w:name w:val="searchterm"/>
    <w:basedOn w:val="DefaultParagraphFont"/>
    <w:rsid w:val="00070147"/>
  </w:style>
  <w:style w:type="character" w:styleId="Strong">
    <w:name w:val="Strong"/>
    <w:basedOn w:val="DefaultParagraphFont"/>
    <w:uiPriority w:val="22"/>
    <w:qFormat/>
    <w:rsid w:val="00623373"/>
    <w:rPr>
      <w:b/>
      <w:bCs/>
    </w:rPr>
  </w:style>
  <w:style w:type="paragraph" w:customStyle="1" w:styleId="note">
    <w:name w:val="note"/>
    <w:basedOn w:val="Normal"/>
    <w:rsid w:val="00E95D56"/>
    <w:pPr>
      <w:widowControl/>
      <w:spacing w:before="100" w:beforeAutospacing="1" w:after="100" w:afterAutospacing="1"/>
    </w:pPr>
    <w:rPr>
      <w:snapToGrid/>
      <w:kern w:val="0"/>
      <w:sz w:val="24"/>
      <w:szCs w:val="24"/>
    </w:rPr>
  </w:style>
  <w:style w:type="character" w:customStyle="1" w:styleId="starpage">
    <w:name w:val="starpage"/>
    <w:basedOn w:val="DefaultParagraphFont"/>
    <w:rsid w:val="00426554"/>
  </w:style>
  <w:style w:type="character" w:customStyle="1" w:styleId="CommentTextChar">
    <w:name w:val="Comment Text Char"/>
    <w:basedOn w:val="DefaultParagraphFont"/>
    <w:link w:val="CommentText"/>
    <w:semiHidden/>
    <w:rsid w:val="00D226C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807">
      <w:bodyDiv w:val="1"/>
      <w:marLeft w:val="0"/>
      <w:marRight w:val="0"/>
      <w:marTop w:val="0"/>
      <w:marBottom w:val="0"/>
      <w:divBdr>
        <w:top w:val="none" w:sz="0" w:space="0" w:color="auto"/>
        <w:left w:val="none" w:sz="0" w:space="0" w:color="auto"/>
        <w:bottom w:val="none" w:sz="0" w:space="0" w:color="auto"/>
        <w:right w:val="none" w:sz="0" w:space="0" w:color="auto"/>
      </w:divBdr>
    </w:div>
    <w:div w:id="130683716">
      <w:bodyDiv w:val="1"/>
      <w:marLeft w:val="0"/>
      <w:marRight w:val="0"/>
      <w:marTop w:val="0"/>
      <w:marBottom w:val="0"/>
      <w:divBdr>
        <w:top w:val="none" w:sz="0" w:space="0" w:color="auto"/>
        <w:left w:val="none" w:sz="0" w:space="0" w:color="auto"/>
        <w:bottom w:val="none" w:sz="0" w:space="0" w:color="auto"/>
        <w:right w:val="none" w:sz="0" w:space="0" w:color="auto"/>
      </w:divBdr>
    </w:div>
    <w:div w:id="242642412">
      <w:bodyDiv w:val="1"/>
      <w:marLeft w:val="30"/>
      <w:marRight w:val="30"/>
      <w:marTop w:val="30"/>
      <w:marBottom w:val="30"/>
      <w:divBdr>
        <w:top w:val="none" w:sz="0" w:space="0" w:color="auto"/>
        <w:left w:val="none" w:sz="0" w:space="0" w:color="auto"/>
        <w:bottom w:val="none" w:sz="0" w:space="0" w:color="auto"/>
        <w:right w:val="none" w:sz="0" w:space="0" w:color="auto"/>
      </w:divBdr>
      <w:divsChild>
        <w:div w:id="718044776">
          <w:marLeft w:val="0"/>
          <w:marRight w:val="0"/>
          <w:marTop w:val="0"/>
          <w:marBottom w:val="0"/>
          <w:divBdr>
            <w:top w:val="none" w:sz="0" w:space="0" w:color="auto"/>
            <w:left w:val="none" w:sz="0" w:space="0" w:color="auto"/>
            <w:bottom w:val="none" w:sz="0" w:space="0" w:color="auto"/>
            <w:right w:val="none" w:sz="0" w:space="0" w:color="auto"/>
          </w:divBdr>
          <w:divsChild>
            <w:div w:id="1964458323">
              <w:marLeft w:val="45"/>
              <w:marRight w:val="45"/>
              <w:marTop w:val="45"/>
              <w:marBottom w:val="45"/>
              <w:divBdr>
                <w:top w:val="none" w:sz="0" w:space="0" w:color="auto"/>
                <w:left w:val="none" w:sz="0" w:space="0" w:color="auto"/>
                <w:bottom w:val="none" w:sz="0" w:space="0" w:color="auto"/>
                <w:right w:val="none" w:sz="0" w:space="0" w:color="auto"/>
              </w:divBdr>
              <w:divsChild>
                <w:div w:id="1575357447">
                  <w:marLeft w:val="0"/>
                  <w:marRight w:val="0"/>
                  <w:marTop w:val="0"/>
                  <w:marBottom w:val="0"/>
                  <w:divBdr>
                    <w:top w:val="none" w:sz="0" w:space="0" w:color="auto"/>
                    <w:left w:val="none" w:sz="0" w:space="0" w:color="auto"/>
                    <w:bottom w:val="none" w:sz="0" w:space="0" w:color="auto"/>
                    <w:right w:val="none" w:sz="0" w:space="0" w:color="auto"/>
                  </w:divBdr>
                  <w:divsChild>
                    <w:div w:id="3333378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7042">
      <w:bodyDiv w:val="1"/>
      <w:marLeft w:val="30"/>
      <w:marRight w:val="30"/>
      <w:marTop w:val="30"/>
      <w:marBottom w:val="30"/>
      <w:divBdr>
        <w:top w:val="none" w:sz="0" w:space="0" w:color="auto"/>
        <w:left w:val="none" w:sz="0" w:space="0" w:color="auto"/>
        <w:bottom w:val="none" w:sz="0" w:space="0" w:color="auto"/>
        <w:right w:val="none" w:sz="0" w:space="0" w:color="auto"/>
      </w:divBdr>
      <w:divsChild>
        <w:div w:id="1457604970">
          <w:marLeft w:val="0"/>
          <w:marRight w:val="0"/>
          <w:marTop w:val="0"/>
          <w:marBottom w:val="0"/>
          <w:divBdr>
            <w:top w:val="none" w:sz="0" w:space="0" w:color="auto"/>
            <w:left w:val="none" w:sz="0" w:space="0" w:color="auto"/>
            <w:bottom w:val="none" w:sz="0" w:space="0" w:color="auto"/>
            <w:right w:val="none" w:sz="0" w:space="0" w:color="auto"/>
          </w:divBdr>
          <w:divsChild>
            <w:div w:id="1815756029">
              <w:marLeft w:val="45"/>
              <w:marRight w:val="45"/>
              <w:marTop w:val="45"/>
              <w:marBottom w:val="45"/>
              <w:divBdr>
                <w:top w:val="none" w:sz="0" w:space="0" w:color="auto"/>
                <w:left w:val="none" w:sz="0" w:space="0" w:color="auto"/>
                <w:bottom w:val="none" w:sz="0" w:space="0" w:color="auto"/>
                <w:right w:val="none" w:sz="0" w:space="0" w:color="auto"/>
              </w:divBdr>
              <w:divsChild>
                <w:div w:id="1396121498">
                  <w:marLeft w:val="0"/>
                  <w:marRight w:val="0"/>
                  <w:marTop w:val="0"/>
                  <w:marBottom w:val="0"/>
                  <w:divBdr>
                    <w:top w:val="none" w:sz="0" w:space="0" w:color="auto"/>
                    <w:left w:val="none" w:sz="0" w:space="0" w:color="auto"/>
                    <w:bottom w:val="none" w:sz="0" w:space="0" w:color="auto"/>
                    <w:right w:val="none" w:sz="0" w:space="0" w:color="auto"/>
                  </w:divBdr>
                  <w:divsChild>
                    <w:div w:id="412168981">
                      <w:marLeft w:val="360"/>
                      <w:marRight w:val="0"/>
                      <w:marTop w:val="0"/>
                      <w:marBottom w:val="0"/>
                      <w:divBdr>
                        <w:top w:val="none" w:sz="0" w:space="0" w:color="auto"/>
                        <w:left w:val="none" w:sz="0" w:space="0" w:color="auto"/>
                        <w:bottom w:val="none" w:sz="0" w:space="0" w:color="auto"/>
                        <w:right w:val="none" w:sz="0" w:space="0" w:color="auto"/>
                      </w:divBdr>
                    </w:div>
                    <w:div w:id="933518138">
                      <w:marLeft w:val="360"/>
                      <w:marRight w:val="0"/>
                      <w:marTop w:val="0"/>
                      <w:marBottom w:val="0"/>
                      <w:divBdr>
                        <w:top w:val="none" w:sz="0" w:space="0" w:color="auto"/>
                        <w:left w:val="none" w:sz="0" w:space="0" w:color="auto"/>
                        <w:bottom w:val="none" w:sz="0" w:space="0" w:color="auto"/>
                        <w:right w:val="none" w:sz="0" w:space="0" w:color="auto"/>
                      </w:divBdr>
                    </w:div>
                    <w:div w:id="992634835">
                      <w:marLeft w:val="360"/>
                      <w:marRight w:val="0"/>
                      <w:marTop w:val="0"/>
                      <w:marBottom w:val="0"/>
                      <w:divBdr>
                        <w:top w:val="none" w:sz="0" w:space="0" w:color="auto"/>
                        <w:left w:val="none" w:sz="0" w:space="0" w:color="auto"/>
                        <w:bottom w:val="none" w:sz="0" w:space="0" w:color="auto"/>
                        <w:right w:val="none" w:sz="0" w:space="0" w:color="auto"/>
                      </w:divBdr>
                    </w:div>
                    <w:div w:id="16131236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0066">
      <w:bodyDiv w:val="1"/>
      <w:marLeft w:val="0"/>
      <w:marRight w:val="0"/>
      <w:marTop w:val="0"/>
      <w:marBottom w:val="0"/>
      <w:divBdr>
        <w:top w:val="none" w:sz="0" w:space="0" w:color="auto"/>
        <w:left w:val="none" w:sz="0" w:space="0" w:color="auto"/>
        <w:bottom w:val="none" w:sz="0" w:space="0" w:color="auto"/>
        <w:right w:val="none" w:sz="0" w:space="0" w:color="auto"/>
      </w:divBdr>
    </w:div>
    <w:div w:id="322857236">
      <w:bodyDiv w:val="1"/>
      <w:marLeft w:val="0"/>
      <w:marRight w:val="0"/>
      <w:marTop w:val="0"/>
      <w:marBottom w:val="0"/>
      <w:divBdr>
        <w:top w:val="none" w:sz="0" w:space="0" w:color="auto"/>
        <w:left w:val="none" w:sz="0" w:space="0" w:color="auto"/>
        <w:bottom w:val="none" w:sz="0" w:space="0" w:color="auto"/>
        <w:right w:val="none" w:sz="0" w:space="0" w:color="auto"/>
      </w:divBdr>
    </w:div>
    <w:div w:id="351300262">
      <w:bodyDiv w:val="1"/>
      <w:marLeft w:val="0"/>
      <w:marRight w:val="0"/>
      <w:marTop w:val="0"/>
      <w:marBottom w:val="0"/>
      <w:divBdr>
        <w:top w:val="none" w:sz="0" w:space="0" w:color="auto"/>
        <w:left w:val="none" w:sz="0" w:space="0" w:color="auto"/>
        <w:bottom w:val="none" w:sz="0" w:space="0" w:color="auto"/>
        <w:right w:val="none" w:sz="0" w:space="0" w:color="auto"/>
      </w:divBdr>
    </w:div>
    <w:div w:id="385103393">
      <w:bodyDiv w:val="1"/>
      <w:marLeft w:val="0"/>
      <w:marRight w:val="0"/>
      <w:marTop w:val="0"/>
      <w:marBottom w:val="0"/>
      <w:divBdr>
        <w:top w:val="none" w:sz="0" w:space="0" w:color="auto"/>
        <w:left w:val="none" w:sz="0" w:space="0" w:color="auto"/>
        <w:bottom w:val="none" w:sz="0" w:space="0" w:color="auto"/>
        <w:right w:val="none" w:sz="0" w:space="0" w:color="auto"/>
      </w:divBdr>
    </w:div>
    <w:div w:id="461463900">
      <w:bodyDiv w:val="1"/>
      <w:marLeft w:val="0"/>
      <w:marRight w:val="0"/>
      <w:marTop w:val="0"/>
      <w:marBottom w:val="0"/>
      <w:divBdr>
        <w:top w:val="none" w:sz="0" w:space="0" w:color="auto"/>
        <w:left w:val="none" w:sz="0" w:space="0" w:color="auto"/>
        <w:bottom w:val="none" w:sz="0" w:space="0" w:color="auto"/>
        <w:right w:val="none" w:sz="0" w:space="0" w:color="auto"/>
      </w:divBdr>
    </w:div>
    <w:div w:id="473104867">
      <w:bodyDiv w:val="1"/>
      <w:marLeft w:val="0"/>
      <w:marRight w:val="0"/>
      <w:marTop w:val="0"/>
      <w:marBottom w:val="0"/>
      <w:divBdr>
        <w:top w:val="none" w:sz="0" w:space="0" w:color="auto"/>
        <w:left w:val="none" w:sz="0" w:space="0" w:color="auto"/>
        <w:bottom w:val="none" w:sz="0" w:space="0" w:color="auto"/>
        <w:right w:val="none" w:sz="0" w:space="0" w:color="auto"/>
      </w:divBdr>
    </w:div>
    <w:div w:id="476261331">
      <w:bodyDiv w:val="1"/>
      <w:marLeft w:val="0"/>
      <w:marRight w:val="0"/>
      <w:marTop w:val="0"/>
      <w:marBottom w:val="0"/>
      <w:divBdr>
        <w:top w:val="none" w:sz="0" w:space="0" w:color="auto"/>
        <w:left w:val="none" w:sz="0" w:space="0" w:color="auto"/>
        <w:bottom w:val="none" w:sz="0" w:space="0" w:color="auto"/>
        <w:right w:val="none" w:sz="0" w:space="0" w:color="auto"/>
      </w:divBdr>
    </w:div>
    <w:div w:id="497890755">
      <w:bodyDiv w:val="1"/>
      <w:marLeft w:val="0"/>
      <w:marRight w:val="0"/>
      <w:marTop w:val="0"/>
      <w:marBottom w:val="0"/>
      <w:divBdr>
        <w:top w:val="none" w:sz="0" w:space="0" w:color="auto"/>
        <w:left w:val="none" w:sz="0" w:space="0" w:color="auto"/>
        <w:bottom w:val="none" w:sz="0" w:space="0" w:color="auto"/>
        <w:right w:val="none" w:sz="0" w:space="0" w:color="auto"/>
      </w:divBdr>
    </w:div>
    <w:div w:id="517161311">
      <w:bodyDiv w:val="1"/>
      <w:marLeft w:val="0"/>
      <w:marRight w:val="0"/>
      <w:marTop w:val="0"/>
      <w:marBottom w:val="0"/>
      <w:divBdr>
        <w:top w:val="none" w:sz="0" w:space="0" w:color="auto"/>
        <w:left w:val="none" w:sz="0" w:space="0" w:color="auto"/>
        <w:bottom w:val="none" w:sz="0" w:space="0" w:color="auto"/>
        <w:right w:val="none" w:sz="0" w:space="0" w:color="auto"/>
      </w:divBdr>
    </w:div>
    <w:div w:id="637993883">
      <w:bodyDiv w:val="1"/>
      <w:marLeft w:val="0"/>
      <w:marRight w:val="0"/>
      <w:marTop w:val="0"/>
      <w:marBottom w:val="0"/>
      <w:divBdr>
        <w:top w:val="none" w:sz="0" w:space="0" w:color="auto"/>
        <w:left w:val="none" w:sz="0" w:space="0" w:color="auto"/>
        <w:bottom w:val="none" w:sz="0" w:space="0" w:color="auto"/>
        <w:right w:val="none" w:sz="0" w:space="0" w:color="auto"/>
      </w:divBdr>
    </w:div>
    <w:div w:id="641420467">
      <w:bodyDiv w:val="1"/>
      <w:marLeft w:val="0"/>
      <w:marRight w:val="0"/>
      <w:marTop w:val="0"/>
      <w:marBottom w:val="0"/>
      <w:divBdr>
        <w:top w:val="none" w:sz="0" w:space="0" w:color="auto"/>
        <w:left w:val="none" w:sz="0" w:space="0" w:color="auto"/>
        <w:bottom w:val="none" w:sz="0" w:space="0" w:color="auto"/>
        <w:right w:val="none" w:sz="0" w:space="0" w:color="auto"/>
      </w:divBdr>
      <w:divsChild>
        <w:div w:id="488443409">
          <w:marLeft w:val="150"/>
          <w:marRight w:val="0"/>
          <w:marTop w:val="0"/>
          <w:marBottom w:val="0"/>
          <w:divBdr>
            <w:top w:val="none" w:sz="0" w:space="0" w:color="auto"/>
            <w:left w:val="none" w:sz="0" w:space="0" w:color="auto"/>
            <w:bottom w:val="none" w:sz="0" w:space="0" w:color="auto"/>
            <w:right w:val="none" w:sz="0" w:space="0" w:color="auto"/>
          </w:divBdr>
        </w:div>
        <w:div w:id="1645507973">
          <w:marLeft w:val="150"/>
          <w:marRight w:val="0"/>
          <w:marTop w:val="0"/>
          <w:marBottom w:val="0"/>
          <w:divBdr>
            <w:top w:val="none" w:sz="0" w:space="0" w:color="auto"/>
            <w:left w:val="none" w:sz="0" w:space="0" w:color="auto"/>
            <w:bottom w:val="none" w:sz="0" w:space="0" w:color="auto"/>
            <w:right w:val="none" w:sz="0" w:space="0" w:color="auto"/>
          </w:divBdr>
        </w:div>
      </w:divsChild>
    </w:div>
    <w:div w:id="679239677">
      <w:bodyDiv w:val="1"/>
      <w:marLeft w:val="0"/>
      <w:marRight w:val="0"/>
      <w:marTop w:val="0"/>
      <w:marBottom w:val="0"/>
      <w:divBdr>
        <w:top w:val="none" w:sz="0" w:space="0" w:color="auto"/>
        <w:left w:val="none" w:sz="0" w:space="0" w:color="auto"/>
        <w:bottom w:val="none" w:sz="0" w:space="0" w:color="auto"/>
        <w:right w:val="none" w:sz="0" w:space="0" w:color="auto"/>
      </w:divBdr>
    </w:div>
    <w:div w:id="693309869">
      <w:bodyDiv w:val="1"/>
      <w:marLeft w:val="0"/>
      <w:marRight w:val="0"/>
      <w:marTop w:val="0"/>
      <w:marBottom w:val="0"/>
      <w:divBdr>
        <w:top w:val="none" w:sz="0" w:space="0" w:color="auto"/>
        <w:left w:val="none" w:sz="0" w:space="0" w:color="auto"/>
        <w:bottom w:val="none" w:sz="0" w:space="0" w:color="auto"/>
        <w:right w:val="none" w:sz="0" w:space="0" w:color="auto"/>
      </w:divBdr>
    </w:div>
    <w:div w:id="709034744">
      <w:bodyDiv w:val="1"/>
      <w:marLeft w:val="0"/>
      <w:marRight w:val="0"/>
      <w:marTop w:val="0"/>
      <w:marBottom w:val="0"/>
      <w:divBdr>
        <w:top w:val="none" w:sz="0" w:space="0" w:color="auto"/>
        <w:left w:val="none" w:sz="0" w:space="0" w:color="auto"/>
        <w:bottom w:val="none" w:sz="0" w:space="0" w:color="auto"/>
        <w:right w:val="none" w:sz="0" w:space="0" w:color="auto"/>
      </w:divBdr>
    </w:div>
    <w:div w:id="84852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2835">
          <w:marLeft w:val="150"/>
          <w:marRight w:val="0"/>
          <w:marTop w:val="0"/>
          <w:marBottom w:val="0"/>
          <w:divBdr>
            <w:top w:val="none" w:sz="0" w:space="0" w:color="auto"/>
            <w:left w:val="none" w:sz="0" w:space="0" w:color="auto"/>
            <w:bottom w:val="none" w:sz="0" w:space="0" w:color="auto"/>
            <w:right w:val="none" w:sz="0" w:space="0" w:color="auto"/>
          </w:divBdr>
        </w:div>
        <w:div w:id="1250430324">
          <w:marLeft w:val="150"/>
          <w:marRight w:val="0"/>
          <w:marTop w:val="0"/>
          <w:marBottom w:val="0"/>
          <w:divBdr>
            <w:top w:val="none" w:sz="0" w:space="0" w:color="auto"/>
            <w:left w:val="none" w:sz="0" w:space="0" w:color="auto"/>
            <w:bottom w:val="none" w:sz="0" w:space="0" w:color="auto"/>
            <w:right w:val="none" w:sz="0" w:space="0" w:color="auto"/>
          </w:divBdr>
        </w:div>
      </w:divsChild>
    </w:div>
    <w:div w:id="1021586349">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201626986">
      <w:bodyDiv w:val="1"/>
      <w:marLeft w:val="0"/>
      <w:marRight w:val="0"/>
      <w:marTop w:val="0"/>
      <w:marBottom w:val="0"/>
      <w:divBdr>
        <w:top w:val="none" w:sz="0" w:space="0" w:color="auto"/>
        <w:left w:val="none" w:sz="0" w:space="0" w:color="auto"/>
        <w:bottom w:val="none" w:sz="0" w:space="0" w:color="auto"/>
        <w:right w:val="none" w:sz="0" w:space="0" w:color="auto"/>
      </w:divBdr>
    </w:div>
    <w:div w:id="1212154247">
      <w:bodyDiv w:val="1"/>
      <w:marLeft w:val="0"/>
      <w:marRight w:val="0"/>
      <w:marTop w:val="0"/>
      <w:marBottom w:val="0"/>
      <w:divBdr>
        <w:top w:val="none" w:sz="0" w:space="0" w:color="auto"/>
        <w:left w:val="none" w:sz="0" w:space="0" w:color="auto"/>
        <w:bottom w:val="none" w:sz="0" w:space="0" w:color="auto"/>
        <w:right w:val="none" w:sz="0" w:space="0" w:color="auto"/>
      </w:divBdr>
    </w:div>
    <w:div w:id="1233350869">
      <w:bodyDiv w:val="1"/>
      <w:marLeft w:val="0"/>
      <w:marRight w:val="0"/>
      <w:marTop w:val="0"/>
      <w:marBottom w:val="0"/>
      <w:divBdr>
        <w:top w:val="none" w:sz="0" w:space="0" w:color="auto"/>
        <w:left w:val="none" w:sz="0" w:space="0" w:color="auto"/>
        <w:bottom w:val="none" w:sz="0" w:space="0" w:color="auto"/>
        <w:right w:val="none" w:sz="0" w:space="0" w:color="auto"/>
      </w:divBdr>
    </w:div>
    <w:div w:id="1347321449">
      <w:bodyDiv w:val="1"/>
      <w:marLeft w:val="0"/>
      <w:marRight w:val="0"/>
      <w:marTop w:val="0"/>
      <w:marBottom w:val="0"/>
      <w:divBdr>
        <w:top w:val="none" w:sz="0" w:space="0" w:color="auto"/>
        <w:left w:val="none" w:sz="0" w:space="0" w:color="auto"/>
        <w:bottom w:val="none" w:sz="0" w:space="0" w:color="auto"/>
        <w:right w:val="none" w:sz="0" w:space="0" w:color="auto"/>
      </w:divBdr>
    </w:div>
    <w:div w:id="1410275509">
      <w:bodyDiv w:val="1"/>
      <w:marLeft w:val="0"/>
      <w:marRight w:val="0"/>
      <w:marTop w:val="0"/>
      <w:marBottom w:val="0"/>
      <w:divBdr>
        <w:top w:val="none" w:sz="0" w:space="0" w:color="auto"/>
        <w:left w:val="none" w:sz="0" w:space="0" w:color="auto"/>
        <w:bottom w:val="none" w:sz="0" w:space="0" w:color="auto"/>
        <w:right w:val="none" w:sz="0" w:space="0" w:color="auto"/>
      </w:divBdr>
    </w:div>
    <w:div w:id="1529024435">
      <w:bodyDiv w:val="1"/>
      <w:marLeft w:val="0"/>
      <w:marRight w:val="0"/>
      <w:marTop w:val="0"/>
      <w:marBottom w:val="0"/>
      <w:divBdr>
        <w:top w:val="none" w:sz="0" w:space="0" w:color="auto"/>
        <w:left w:val="none" w:sz="0" w:space="0" w:color="auto"/>
        <w:bottom w:val="none" w:sz="0" w:space="0" w:color="auto"/>
        <w:right w:val="none" w:sz="0" w:space="0" w:color="auto"/>
      </w:divBdr>
    </w:div>
    <w:div w:id="1564947869">
      <w:bodyDiv w:val="1"/>
      <w:marLeft w:val="0"/>
      <w:marRight w:val="0"/>
      <w:marTop w:val="0"/>
      <w:marBottom w:val="0"/>
      <w:divBdr>
        <w:top w:val="none" w:sz="0" w:space="0" w:color="auto"/>
        <w:left w:val="none" w:sz="0" w:space="0" w:color="auto"/>
        <w:bottom w:val="none" w:sz="0" w:space="0" w:color="auto"/>
        <w:right w:val="none" w:sz="0" w:space="0" w:color="auto"/>
      </w:divBdr>
    </w:div>
    <w:div w:id="1578518430">
      <w:bodyDiv w:val="1"/>
      <w:marLeft w:val="0"/>
      <w:marRight w:val="0"/>
      <w:marTop w:val="0"/>
      <w:marBottom w:val="0"/>
      <w:divBdr>
        <w:top w:val="none" w:sz="0" w:space="0" w:color="auto"/>
        <w:left w:val="none" w:sz="0" w:space="0" w:color="auto"/>
        <w:bottom w:val="none" w:sz="0" w:space="0" w:color="auto"/>
        <w:right w:val="none" w:sz="0" w:space="0" w:color="auto"/>
      </w:divBdr>
    </w:div>
    <w:div w:id="1592813316">
      <w:bodyDiv w:val="1"/>
      <w:marLeft w:val="0"/>
      <w:marRight w:val="0"/>
      <w:marTop w:val="0"/>
      <w:marBottom w:val="0"/>
      <w:divBdr>
        <w:top w:val="none" w:sz="0" w:space="0" w:color="auto"/>
        <w:left w:val="none" w:sz="0" w:space="0" w:color="auto"/>
        <w:bottom w:val="none" w:sz="0" w:space="0" w:color="auto"/>
        <w:right w:val="none" w:sz="0" w:space="0" w:color="auto"/>
      </w:divBdr>
    </w:div>
    <w:div w:id="1606768427">
      <w:bodyDiv w:val="1"/>
      <w:marLeft w:val="0"/>
      <w:marRight w:val="0"/>
      <w:marTop w:val="0"/>
      <w:marBottom w:val="0"/>
      <w:divBdr>
        <w:top w:val="none" w:sz="0" w:space="0" w:color="auto"/>
        <w:left w:val="none" w:sz="0" w:space="0" w:color="auto"/>
        <w:bottom w:val="none" w:sz="0" w:space="0" w:color="auto"/>
        <w:right w:val="none" w:sz="0" w:space="0" w:color="auto"/>
      </w:divBdr>
    </w:div>
    <w:div w:id="1751002992">
      <w:bodyDiv w:val="1"/>
      <w:marLeft w:val="0"/>
      <w:marRight w:val="0"/>
      <w:marTop w:val="0"/>
      <w:marBottom w:val="0"/>
      <w:divBdr>
        <w:top w:val="none" w:sz="0" w:space="0" w:color="auto"/>
        <w:left w:val="none" w:sz="0" w:space="0" w:color="auto"/>
        <w:bottom w:val="none" w:sz="0" w:space="0" w:color="auto"/>
        <w:right w:val="none" w:sz="0" w:space="0" w:color="auto"/>
      </w:divBdr>
    </w:div>
    <w:div w:id="1848518491">
      <w:bodyDiv w:val="1"/>
      <w:marLeft w:val="0"/>
      <w:marRight w:val="0"/>
      <w:marTop w:val="0"/>
      <w:marBottom w:val="0"/>
      <w:divBdr>
        <w:top w:val="none" w:sz="0" w:space="0" w:color="auto"/>
        <w:left w:val="none" w:sz="0" w:space="0" w:color="auto"/>
        <w:bottom w:val="none" w:sz="0" w:space="0" w:color="auto"/>
        <w:right w:val="none" w:sz="0" w:space="0" w:color="auto"/>
      </w:divBdr>
    </w:div>
    <w:div w:id="1909412490">
      <w:bodyDiv w:val="1"/>
      <w:marLeft w:val="0"/>
      <w:marRight w:val="0"/>
      <w:marTop w:val="0"/>
      <w:marBottom w:val="0"/>
      <w:divBdr>
        <w:top w:val="none" w:sz="0" w:space="0" w:color="auto"/>
        <w:left w:val="none" w:sz="0" w:space="0" w:color="auto"/>
        <w:bottom w:val="none" w:sz="0" w:space="0" w:color="auto"/>
        <w:right w:val="none" w:sz="0" w:space="0" w:color="auto"/>
      </w:divBdr>
    </w:div>
    <w:div w:id="1931086565">
      <w:bodyDiv w:val="1"/>
      <w:marLeft w:val="0"/>
      <w:marRight w:val="0"/>
      <w:marTop w:val="0"/>
      <w:marBottom w:val="0"/>
      <w:divBdr>
        <w:top w:val="none" w:sz="0" w:space="0" w:color="auto"/>
        <w:left w:val="none" w:sz="0" w:space="0" w:color="auto"/>
        <w:bottom w:val="none" w:sz="0" w:space="0" w:color="auto"/>
        <w:right w:val="none" w:sz="0" w:space="0" w:color="auto"/>
      </w:divBdr>
      <w:divsChild>
        <w:div w:id="533734996">
          <w:marLeft w:val="150"/>
          <w:marRight w:val="0"/>
          <w:marTop w:val="0"/>
          <w:marBottom w:val="0"/>
          <w:divBdr>
            <w:top w:val="none" w:sz="0" w:space="0" w:color="auto"/>
            <w:left w:val="none" w:sz="0" w:space="0" w:color="auto"/>
            <w:bottom w:val="none" w:sz="0" w:space="0" w:color="auto"/>
            <w:right w:val="none" w:sz="0" w:space="0" w:color="auto"/>
          </w:divBdr>
        </w:div>
        <w:div w:id="1793400685">
          <w:marLeft w:val="150"/>
          <w:marRight w:val="0"/>
          <w:marTop w:val="0"/>
          <w:marBottom w:val="0"/>
          <w:divBdr>
            <w:top w:val="none" w:sz="0" w:space="0" w:color="auto"/>
            <w:left w:val="none" w:sz="0" w:space="0" w:color="auto"/>
            <w:bottom w:val="none" w:sz="0" w:space="0" w:color="auto"/>
            <w:right w:val="none" w:sz="0" w:space="0" w:color="auto"/>
          </w:divBdr>
        </w:div>
      </w:divsChild>
    </w:div>
    <w:div w:id="1935283503">
      <w:bodyDiv w:val="1"/>
      <w:marLeft w:val="0"/>
      <w:marRight w:val="0"/>
      <w:marTop w:val="0"/>
      <w:marBottom w:val="0"/>
      <w:divBdr>
        <w:top w:val="none" w:sz="0" w:space="0" w:color="auto"/>
        <w:left w:val="none" w:sz="0" w:space="0" w:color="auto"/>
        <w:bottom w:val="none" w:sz="0" w:space="0" w:color="auto"/>
        <w:right w:val="none" w:sz="0" w:space="0" w:color="auto"/>
      </w:divBdr>
    </w:div>
    <w:div w:id="1948461694">
      <w:bodyDiv w:val="1"/>
      <w:marLeft w:val="0"/>
      <w:marRight w:val="0"/>
      <w:marTop w:val="0"/>
      <w:marBottom w:val="0"/>
      <w:divBdr>
        <w:top w:val="none" w:sz="0" w:space="0" w:color="auto"/>
        <w:left w:val="none" w:sz="0" w:space="0" w:color="auto"/>
        <w:bottom w:val="none" w:sz="0" w:space="0" w:color="auto"/>
        <w:right w:val="none" w:sz="0" w:space="0" w:color="auto"/>
      </w:divBdr>
    </w:div>
    <w:div w:id="2034765326">
      <w:bodyDiv w:val="1"/>
      <w:marLeft w:val="0"/>
      <w:marRight w:val="0"/>
      <w:marTop w:val="0"/>
      <w:marBottom w:val="0"/>
      <w:divBdr>
        <w:top w:val="none" w:sz="0" w:space="0" w:color="auto"/>
        <w:left w:val="none" w:sz="0" w:space="0" w:color="auto"/>
        <w:bottom w:val="none" w:sz="0" w:space="0" w:color="auto"/>
        <w:right w:val="none" w:sz="0" w:space="0" w:color="auto"/>
      </w:divBdr>
    </w:div>
    <w:div w:id="2137596275">
      <w:bodyDiv w:val="1"/>
      <w:marLeft w:val="0"/>
      <w:marRight w:val="0"/>
      <w:marTop w:val="0"/>
      <w:marBottom w:val="0"/>
      <w:divBdr>
        <w:top w:val="none" w:sz="0" w:space="0" w:color="auto"/>
        <w:left w:val="none" w:sz="0" w:space="0" w:color="auto"/>
        <w:bottom w:val="none" w:sz="0" w:space="0" w:color="auto"/>
        <w:right w:val="none" w:sz="0" w:space="0" w:color="auto"/>
      </w:divBdr>
    </w:div>
    <w:div w:id="21465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12&amp;db=1000546&amp;docname=47USCAS541&amp;rp=%2ffind%2fdefault.wl&amp;findtype=L&amp;ordoc=1932249&amp;tc=-1&amp;vr=2.0&amp;fn=_top&amp;sv=Split&amp;tf=-1&amp;referencepositiontype=T&amp;pbc=B97FE439&amp;referenceposition=SP%3b4b24000003ba5&amp;rs=WLW14.07" TargetMode="External"/><Relationship Id="rId13" Type="http://schemas.openxmlformats.org/officeDocument/2006/relationships/hyperlink" Target="http://web2.westlaw.com/find/default.wl?mt=12&amp;db=1077005&amp;docname=UUID(I709E6621BB-9C4517AFA0B-7DE603F675F)&amp;rp=%2ffind%2fdefault.wl&amp;findtype=l&amp;ordoc=2033914790&amp;tc=-1&amp;vr=2.0&amp;fn=_top&amp;sv=Split&amp;tf=-1&amp;pbc=6109438F&amp;rs=WLW14.07" TargetMode="External"/><Relationship Id="rId18" Type="http://schemas.openxmlformats.org/officeDocument/2006/relationships/header" Target="header1.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web2.westlaw.com/find/default.wl?mt=12&amp;db=1000546&amp;docname=44USCAS3506&amp;rp=%2ffind%2fdefault.wl&amp;findtype=L&amp;ordoc=2033914790&amp;tc=-1&amp;vr=2.0&amp;fn=_top&amp;sv=Split&amp;tf=-1&amp;referencepositiontype=T&amp;pbc=6109438F&amp;referenceposition=SP%3b0c120000563a1&amp;rs=WLW14.07"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eb2.westlaw.com/find/default.wl?mt=12&amp;db=1077005&amp;docname=UUID(I1482EAD8CD-DB42F7A5CCA-3C0AF73B4D4)&amp;rp=%2ffind%2fdefault.wl&amp;findtype=l&amp;ordoc=2033914790&amp;tc=-1&amp;vr=2.0&amp;fn=_top&amp;sv=Split&amp;tf=-1&amp;pbc=6109438F&amp;rs=WLW14.07" TargetMode="External"/><Relationship Id="rId20" Type="http://schemas.openxmlformats.org/officeDocument/2006/relationships/footer" Target="footer1.xml"/><Relationship Id="rId29" Type="http://schemas.openxmlformats.org/officeDocument/2006/relationships/theme" Target="theme/theme1.xml"/><Relationship Id="rId408"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24" Type="http://schemas.openxmlformats.org/officeDocument/2006/relationships/hyperlink" Target="http://web2.westlaw.com/find/default.wl?mt=12&amp;db=1000547&amp;docname=47CFRS76.5&amp;rp=%2ffind%2fdefault.wl&amp;findtype=L&amp;ordoc=5392823&amp;tc=-1&amp;vr=2.0&amp;fn=_top&amp;sv=Split&amp;tf=-1&amp;referencepositiontype=T&amp;pbc=9613251F&amp;referenceposition=SP%3b8b3b0000958a4&amp;rs=WLW14.04" TargetMode="External"/><Relationship Id="rId5" Type="http://schemas.openxmlformats.org/officeDocument/2006/relationships/webSettings" Target="webSettings.xml"/><Relationship Id="rId15" Type="http://schemas.openxmlformats.org/officeDocument/2006/relationships/hyperlink" Target="http://web2.westlaw.com/find/default.wl?mt=12&amp;db=1000546&amp;docname=44USCAS3520&amp;rp=%2ffind%2fdefault.wl&amp;findtype=L&amp;ordoc=2033914790&amp;tc=-1&amp;vr=2.0&amp;fn=_top&amp;sv=Split&amp;tf=-1&amp;pbc=6109438F&amp;rs=WLW14.07" TargetMode="External"/><Relationship Id="rId23" Type="http://schemas.openxmlformats.org/officeDocument/2006/relationships/footer" Target="footer3.xml"/><Relationship Id="rId28" Type="http://schemas.openxmlformats.org/officeDocument/2006/relationships/fontTable" Target="fontTable.xml"/><Relationship Id="rId407" Type="http://schemas.microsoft.com/office/2011/relationships/commentsExtended" Target="commentsExtended.xml"/><Relationship Id="rId10" Type="http://schemas.openxmlformats.org/officeDocument/2006/relationships/hyperlink" Target="http://fjallfoss.fcc.gov/ecfs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eb2.westlaw.com/find/default.wl?mt=12&amp;db=1000546&amp;docname=47USCAS573&amp;rp=%2ffind%2fdefault.wl&amp;findtype=L&amp;ordoc=1932249&amp;tc=-1&amp;vr=2.0&amp;fn=_top&amp;sv=Split&amp;tf=-1&amp;pbc=B97FE439&amp;rs=WLW14.07" TargetMode="External"/><Relationship Id="rId14" Type="http://schemas.openxmlformats.org/officeDocument/2006/relationships/hyperlink" Target="http://web2.westlaw.com/find/default.wl?mt=12&amp;db=1000546&amp;docname=44USCAS3501&amp;rp=%2ffind%2fdefault.wl&amp;findtype=L&amp;ordoc=2033914790&amp;tc=-1&amp;vr=2.0&amp;fn=_top&amp;sv=Split&amp;tf=-1&amp;pbc=6109438F&amp;rs=WLW14.07" TargetMode="External"/><Relationship Id="rId22" Type="http://schemas.openxmlformats.org/officeDocument/2006/relationships/header" Target="head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snl.com/interactivex/article.aspx?id=29204558&amp;KPLT=6" TargetMode="External"/><Relationship Id="rId13" Type="http://schemas.openxmlformats.org/officeDocument/2006/relationships/hyperlink" Target="https://gamecenter.nhl.com/nhlgc/secure/gclsignup?CMPID=GCL:vnty" TargetMode="External"/><Relationship Id="rId18" Type="http://schemas.openxmlformats.org/officeDocument/2006/relationships/hyperlink" Target="http://www.westlaw.com/Find/Default.wl?rs=dfa1.0&amp;vr=2.0&amp;DB=506&amp;FindType=Y&amp;SerialNum=2001172336" TargetMode="External"/><Relationship Id="rId26" Type="http://schemas.openxmlformats.org/officeDocument/2006/relationships/hyperlink" Target="http://www.ncta.com/industry-data" TargetMode="External"/><Relationship Id="rId39" Type="http://schemas.openxmlformats.org/officeDocument/2006/relationships/hyperlink" Target="http://factfinder2.census.gov/faces/nav/jsf/pages/index.xhtml" TargetMode="External"/><Relationship Id="rId3" Type="http://schemas.openxmlformats.org/officeDocument/2006/relationships/hyperlink" Target="http://www.snl.com/interactivex/article.aspx?id=28627040&amp;KPLT=2" TargetMode="External"/><Relationship Id="rId21" Type="http://schemas.openxmlformats.org/officeDocument/2006/relationships/hyperlink" Target="http://factfinder2.census.gov/faces/nav/jsf/pages/index.xhtml" TargetMode="External"/><Relationship Id="rId34" Type="http://schemas.openxmlformats.org/officeDocument/2006/relationships/hyperlink" Target="http://factfinder2.census.gov/faces/nav/jsf/pages/index.xhtml" TargetMode="External"/><Relationship Id="rId42" Type="http://schemas.openxmlformats.org/officeDocument/2006/relationships/hyperlink" Target="http://www.census.gov/cgi-bin/sssd/naics/naicsrch" TargetMode="External"/><Relationship Id="rId7" Type="http://schemas.openxmlformats.org/officeDocument/2006/relationships/hyperlink" Target="http://www.anytimeondemand.com/glossary_of_terms.html" TargetMode="External"/><Relationship Id="rId12" Type="http://schemas.openxmlformats.org/officeDocument/2006/relationships/hyperlink" Target="http://www.nba.com/nba_tv/league_pass.html" TargetMode="External"/><Relationship Id="rId17" Type="http://schemas.openxmlformats.org/officeDocument/2006/relationships/hyperlink" Target="http://www.nytimes.com/2014/04/27/upshot/netflix-vs-amazon-and-the-new-economics-of-television.html?abt=0002&amp;abg=0" TargetMode="External"/><Relationship Id="rId25" Type="http://schemas.openxmlformats.org/officeDocument/2006/relationships/hyperlink" Target="http://www.ncta.com/industry-data" TargetMode="External"/><Relationship Id="rId33" Type="http://schemas.openxmlformats.org/officeDocument/2006/relationships/hyperlink" Target="http://www.census.gov/cgi-bin/sssd/naics/naicsrch" TargetMode="External"/><Relationship Id="rId38" Type="http://schemas.openxmlformats.org/officeDocument/2006/relationships/hyperlink" Target="http://www.census.gov/cgi-bin/sssd/naics/naicsrch" TargetMode="External"/><Relationship Id="rId2" Type="http://schemas.openxmlformats.org/officeDocument/2006/relationships/hyperlink" Target="http://www.bloomberg.com/news/2014-03-04/dish-takes-lead-in-race-to-offer-streaming-tv-to-rival-cable.html" TargetMode="External"/><Relationship Id="rId16" Type="http://schemas.openxmlformats.org/officeDocument/2006/relationships/hyperlink" Target="https://video2.timewarnercable.com/" TargetMode="External"/><Relationship Id="rId20" Type="http://schemas.openxmlformats.org/officeDocument/2006/relationships/hyperlink" Target="http://www.census.gov/cgi-bin/sssd/naics/naicsrch" TargetMode="External"/><Relationship Id="rId29" Type="http://schemas.openxmlformats.org/officeDocument/2006/relationships/hyperlink" Target="http://www.census.gov/cgi-bin/sssd/naics/naicsrch" TargetMode="External"/><Relationship Id="rId41" Type="http://schemas.openxmlformats.org/officeDocument/2006/relationships/hyperlink" Target="http://factfinder2.census.gov/faces/nav/jsf/pages/index.xhtml" TargetMode="External"/><Relationship Id="rId1" Type="http://schemas.openxmlformats.org/officeDocument/2006/relationships/hyperlink" Target="http://www.reuters.com/article/2014/09/11/us-verizon-comms-towers-idUSKBN0H61KB20140911" TargetMode="External"/><Relationship Id="rId6" Type="http://schemas.openxmlformats.org/officeDocument/2006/relationships/hyperlink" Target="http://blog.aereo.com/2014/11/next-chapter/" TargetMode="External"/><Relationship Id="rId11" Type="http://schemas.openxmlformats.org/officeDocument/2006/relationships/hyperlink" Target="http://live.mlssoccer.com/mlsmdl/" TargetMode="External"/><Relationship Id="rId24" Type="http://schemas.openxmlformats.org/officeDocument/2006/relationships/hyperlink" Target="http://www.ncta.com/industry-data" TargetMode="External"/><Relationship Id="rId32" Type="http://schemas.openxmlformats.org/officeDocument/2006/relationships/hyperlink" Target="http://factfinder2.census.gov/faces/nav/jsf/pages/index.xhtml" TargetMode="External"/><Relationship Id="rId37" Type="http://schemas.openxmlformats.org/officeDocument/2006/relationships/hyperlink" Target="http://factfinder2.census.gov/faces/nav/jsf/pages/index.xhtml" TargetMode="External"/><Relationship Id="rId40" Type="http://schemas.openxmlformats.org/officeDocument/2006/relationships/hyperlink" Target="http://www.census.gov/cgi-bin/sssd/naics/naicsrch" TargetMode="External"/><Relationship Id="rId5" Type="http://schemas.openxmlformats.org/officeDocument/2006/relationships/hyperlink" Target="http://www.multichannel.com/ncta-cable-show-convention-becoming-intx/383922" TargetMode="External"/><Relationship Id="rId15" Type="http://schemas.openxmlformats.org/officeDocument/2006/relationships/hyperlink" Target="http://xfinitytv.comcast.net/watch-live-tv" TargetMode="External"/><Relationship Id="rId23" Type="http://schemas.openxmlformats.org/officeDocument/2006/relationships/hyperlink" Target="http://www.snl.com/InteractiveX/TopCableMSOs.aspx?period=2013Q3&amp;sortcol=subscribersbasic&amp;sortorder=desc" TargetMode="External"/><Relationship Id="rId28" Type="http://schemas.openxmlformats.org/officeDocument/2006/relationships/hyperlink" Target="https://apps.fcc.gov/edocs_public/attachmatch/DOC-328096A1.pdf" TargetMode="External"/><Relationship Id="rId36" Type="http://schemas.openxmlformats.org/officeDocument/2006/relationships/hyperlink" Target="http://www.census.gov/cgi-bin/sssd/naics/naicsrch" TargetMode="External"/><Relationship Id="rId10" Type="http://schemas.openxmlformats.org/officeDocument/2006/relationships/hyperlink" Target="http://www.ibtimes.com/cbs-all-access-were-not-disrupting-cable-tv-just-bolstering-local-tv-stations-1707086" TargetMode="External"/><Relationship Id="rId19" Type="http://schemas.openxmlformats.org/officeDocument/2006/relationships/hyperlink" Target="http://www.bloomberg.com/news/2014-03-04/dish-takes-lead-in-race-to-offer-streaming-tv-to-rival-cable.html" TargetMode="External"/><Relationship Id="rId31" Type="http://schemas.openxmlformats.org/officeDocument/2006/relationships/hyperlink" Target="http://factfinder2.census.gov/faces/nav/jsf/pages/index.xhtml" TargetMode="External"/><Relationship Id="rId4" Type="http://schemas.openxmlformats.org/officeDocument/2006/relationships/hyperlink" Target="http://www.cedmagazine.com/news/2014/05/comcast-branches-out-cloud-dvr-live-streaming-service" TargetMode="External"/><Relationship Id="rId9" Type="http://schemas.openxmlformats.org/officeDocument/2006/relationships/hyperlink" Target="http://www.merriam-webster.com/dictionary/multiple" TargetMode="External"/><Relationship Id="rId14" Type="http://schemas.openxmlformats.org/officeDocument/2006/relationships/hyperlink" Target="https://cbsi.secure.force.com/CBSi/knowledgehome_allaccess?referer=cbs.com/vod&amp;categories=CBS_Entertainment%3AAll_Access" TargetMode="External"/><Relationship Id="rId22" Type="http://schemas.openxmlformats.org/officeDocument/2006/relationships/hyperlink" Target="http://www.ncta.com/Statistics.aspx" TargetMode="External"/><Relationship Id="rId27" Type="http://schemas.openxmlformats.org/officeDocument/2006/relationships/hyperlink" Target="http://www.census.gov./cgi-bin/sssd/naics/naicsrch" TargetMode="External"/><Relationship Id="rId30" Type="http://schemas.openxmlformats.org/officeDocument/2006/relationships/hyperlink" Target="http://factfinder2.census.gov/faces/nav/jsf/pages/index.xhtml" TargetMode="External"/><Relationship Id="rId35" Type="http://schemas.openxmlformats.org/officeDocument/2006/relationships/hyperlink" Target="http://www.fcc.gov/mb/ovs/csovscer.html" TargetMode="External"/><Relationship Id="rId43" Type="http://schemas.openxmlformats.org/officeDocument/2006/relationships/hyperlink" Target="http://factfinder2.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20749</Words>
  <Characters>116201</Characters>
  <Application>Microsoft Office Word</Application>
  <DocSecurity>0</DocSecurity>
  <Lines>1626</Lines>
  <Paragraphs>310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137457</CharactersWithSpaces>
  <SharedDoc>false</SharedDoc>
  <HyperlinkBase> </HyperlinkBase>
  <HLinks>
    <vt:vector size="204" baseType="variant">
      <vt:variant>
        <vt:i4>5570603</vt:i4>
      </vt:variant>
      <vt:variant>
        <vt:i4>9</vt:i4>
      </vt:variant>
      <vt:variant>
        <vt:i4>0</vt:i4>
      </vt:variant>
      <vt:variant>
        <vt:i4>5</vt:i4>
      </vt:variant>
      <vt:variant>
        <vt:lpwstr>http://web2.westlaw.com/find/default.wl?mt=12&amp;db=1000547&amp;docname=47CFRS76.5&amp;rp=%2ffind%2fdefault.wl&amp;findtype=L&amp;ordoc=5392823&amp;tc=-1&amp;vr=2.0&amp;fn=_top&amp;sv=Split&amp;tf=-1&amp;referencepositiontype=T&amp;pbc=9613251F&amp;referenceposition=SP%3b8b3b0000958a4&amp;rs=WLW14.04</vt:lpwstr>
      </vt:variant>
      <vt:variant>
        <vt:lpwstr/>
      </vt: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5570630</vt:i4>
      </vt:variant>
      <vt:variant>
        <vt:i4>87</vt:i4>
      </vt:variant>
      <vt:variant>
        <vt:i4>0</vt:i4>
      </vt:variant>
      <vt:variant>
        <vt:i4>5</vt:i4>
      </vt:variant>
      <vt:variant>
        <vt:lpwstr>http://factfinder2.census.gov/faces/nav/jsf/pages/index.xhtml</vt:lpwstr>
      </vt:variant>
      <vt:variant>
        <vt:lpwstr/>
      </vt:variant>
      <vt:variant>
        <vt:i4>4522064</vt:i4>
      </vt:variant>
      <vt:variant>
        <vt:i4>84</vt:i4>
      </vt:variant>
      <vt:variant>
        <vt:i4>0</vt:i4>
      </vt:variant>
      <vt:variant>
        <vt:i4>5</vt:i4>
      </vt:variant>
      <vt:variant>
        <vt:lpwstr>http://www.census.gov/cgi-bin/sssd/naics/naicsrch</vt:lpwstr>
      </vt:variant>
      <vt:variant>
        <vt:lpwstr/>
      </vt:variant>
      <vt:variant>
        <vt:i4>5570630</vt:i4>
      </vt:variant>
      <vt:variant>
        <vt:i4>81</vt:i4>
      </vt:variant>
      <vt:variant>
        <vt:i4>0</vt:i4>
      </vt:variant>
      <vt:variant>
        <vt:i4>5</vt:i4>
      </vt:variant>
      <vt:variant>
        <vt:lpwstr>http://factfinder2.census.gov/faces/nav/jsf/pages/index.xhtml</vt:lpwstr>
      </vt:variant>
      <vt:variant>
        <vt:lpwstr/>
      </vt:variant>
      <vt:variant>
        <vt:i4>4522064</vt:i4>
      </vt:variant>
      <vt:variant>
        <vt:i4>78</vt:i4>
      </vt:variant>
      <vt:variant>
        <vt:i4>0</vt:i4>
      </vt:variant>
      <vt:variant>
        <vt:i4>5</vt:i4>
      </vt:variant>
      <vt:variant>
        <vt:lpwstr>http://www.census.gov/cgi-bin/sssd/naics/naicsrch</vt:lpwstr>
      </vt:variant>
      <vt:variant>
        <vt:lpwstr/>
      </vt:variant>
      <vt:variant>
        <vt:i4>5570630</vt:i4>
      </vt:variant>
      <vt:variant>
        <vt:i4>75</vt:i4>
      </vt:variant>
      <vt:variant>
        <vt:i4>0</vt:i4>
      </vt:variant>
      <vt:variant>
        <vt:i4>5</vt:i4>
      </vt:variant>
      <vt:variant>
        <vt:lpwstr>http://factfinder2.census.gov/faces/nav/jsf/pages/index.xhtml</vt:lpwstr>
      </vt:variant>
      <vt:variant>
        <vt:lpwstr/>
      </vt:variant>
      <vt:variant>
        <vt:i4>4522064</vt:i4>
      </vt:variant>
      <vt:variant>
        <vt:i4>72</vt:i4>
      </vt:variant>
      <vt:variant>
        <vt:i4>0</vt:i4>
      </vt:variant>
      <vt:variant>
        <vt:i4>5</vt:i4>
      </vt:variant>
      <vt:variant>
        <vt:lpwstr>http://www.census.gov/cgi-bin/sssd/naics/naicsrch</vt:lpwstr>
      </vt:variant>
      <vt:variant>
        <vt:lpwstr/>
      </vt:variant>
      <vt:variant>
        <vt:i4>5570630</vt:i4>
      </vt:variant>
      <vt:variant>
        <vt:i4>69</vt:i4>
      </vt:variant>
      <vt:variant>
        <vt:i4>0</vt:i4>
      </vt:variant>
      <vt:variant>
        <vt:i4>5</vt:i4>
      </vt:variant>
      <vt:variant>
        <vt:lpwstr>http://factfinder2.census.gov/faces/nav/jsf/pages/index.xhtml</vt:lpwstr>
      </vt:variant>
      <vt:variant>
        <vt:lpwstr/>
      </vt:variant>
      <vt:variant>
        <vt:i4>4522064</vt:i4>
      </vt:variant>
      <vt:variant>
        <vt:i4>66</vt:i4>
      </vt:variant>
      <vt:variant>
        <vt:i4>0</vt:i4>
      </vt:variant>
      <vt:variant>
        <vt:i4>5</vt:i4>
      </vt:variant>
      <vt:variant>
        <vt:lpwstr>http://www.census.gov/cgi-bin/sssd/naics/naicsrch</vt:lpwstr>
      </vt:variant>
      <vt:variant>
        <vt:lpwstr/>
      </vt:variant>
      <vt:variant>
        <vt:i4>3473507</vt:i4>
      </vt:variant>
      <vt:variant>
        <vt:i4>63</vt:i4>
      </vt:variant>
      <vt:variant>
        <vt:i4>0</vt:i4>
      </vt:variant>
      <vt:variant>
        <vt:i4>5</vt:i4>
      </vt:variant>
      <vt:variant>
        <vt:lpwstr>http://www.fcc.gov/mb/ovs/csovscer.html</vt:lpwstr>
      </vt:variant>
      <vt:variant>
        <vt:lpwstr/>
      </vt:variant>
      <vt:variant>
        <vt:i4>5570630</vt:i4>
      </vt:variant>
      <vt:variant>
        <vt:i4>60</vt:i4>
      </vt:variant>
      <vt:variant>
        <vt:i4>0</vt:i4>
      </vt:variant>
      <vt:variant>
        <vt:i4>5</vt:i4>
      </vt:variant>
      <vt:variant>
        <vt:lpwstr>http://factfinder2.census.gov/faces/nav/jsf/pages/index.xhtml</vt:lpwstr>
      </vt:variant>
      <vt:variant>
        <vt:lpwstr/>
      </vt:variant>
      <vt:variant>
        <vt:i4>4522064</vt:i4>
      </vt:variant>
      <vt:variant>
        <vt:i4>57</vt:i4>
      </vt:variant>
      <vt:variant>
        <vt:i4>0</vt:i4>
      </vt:variant>
      <vt:variant>
        <vt:i4>5</vt:i4>
      </vt:variant>
      <vt:variant>
        <vt:lpwstr>http://www.census.gov/cgi-bin/sssd/naics/naicsrch</vt:lpwstr>
      </vt:variant>
      <vt:variant>
        <vt:lpwstr/>
      </vt:variant>
      <vt:variant>
        <vt:i4>5570630</vt:i4>
      </vt:variant>
      <vt:variant>
        <vt:i4>54</vt:i4>
      </vt:variant>
      <vt:variant>
        <vt:i4>0</vt:i4>
      </vt:variant>
      <vt:variant>
        <vt:i4>5</vt:i4>
      </vt:variant>
      <vt:variant>
        <vt:lpwstr>http://factfinder2.census.gov/faces/nav/jsf/pages/index.xhtml</vt:lpwstr>
      </vt:variant>
      <vt:variant>
        <vt:lpwstr/>
      </vt:variant>
      <vt:variant>
        <vt:i4>5570630</vt:i4>
      </vt:variant>
      <vt:variant>
        <vt:i4>51</vt:i4>
      </vt:variant>
      <vt:variant>
        <vt:i4>0</vt:i4>
      </vt:variant>
      <vt:variant>
        <vt:i4>5</vt:i4>
      </vt:variant>
      <vt:variant>
        <vt:lpwstr>http://factfinder2.census.gov/faces/nav/jsf/pages/index.xhtml</vt:lpwstr>
      </vt:variant>
      <vt:variant>
        <vt:lpwstr/>
      </vt:variant>
      <vt:variant>
        <vt:i4>5570630</vt:i4>
      </vt:variant>
      <vt:variant>
        <vt:i4>48</vt:i4>
      </vt:variant>
      <vt:variant>
        <vt:i4>0</vt:i4>
      </vt:variant>
      <vt:variant>
        <vt:i4>5</vt:i4>
      </vt:variant>
      <vt:variant>
        <vt:lpwstr>http://factfinder2.census.gov/faces/nav/jsf/pages/index.xhtml</vt:lpwstr>
      </vt:variant>
      <vt:variant>
        <vt:lpwstr/>
      </vt:variant>
      <vt:variant>
        <vt:i4>4522064</vt:i4>
      </vt:variant>
      <vt:variant>
        <vt:i4>45</vt:i4>
      </vt:variant>
      <vt:variant>
        <vt:i4>0</vt:i4>
      </vt:variant>
      <vt:variant>
        <vt:i4>5</vt:i4>
      </vt:variant>
      <vt:variant>
        <vt:lpwstr>http://www.census.gov/cgi-bin/sssd/naics/naicsrch</vt:lpwstr>
      </vt:variant>
      <vt:variant>
        <vt:lpwstr/>
      </vt:variant>
      <vt:variant>
        <vt:i4>7012478</vt:i4>
      </vt:variant>
      <vt:variant>
        <vt:i4>42</vt:i4>
      </vt:variant>
      <vt:variant>
        <vt:i4>0</vt:i4>
      </vt:variant>
      <vt:variant>
        <vt:i4>5</vt:i4>
      </vt:variant>
      <vt:variant>
        <vt:lpwstr>https://www.fcc.gov/document/broadcast-station-totals-december-31-2013</vt:lpwstr>
      </vt:variant>
      <vt:variant>
        <vt:lpwstr/>
      </vt:variant>
      <vt:variant>
        <vt:i4>2097267</vt:i4>
      </vt:variant>
      <vt:variant>
        <vt:i4>39</vt:i4>
      </vt:variant>
      <vt:variant>
        <vt:i4>0</vt:i4>
      </vt:variant>
      <vt:variant>
        <vt:i4>5</vt:i4>
      </vt:variant>
      <vt:variant>
        <vt:lpwstr>http://www.census.gov./cgi-bin/sssd/naics/naicsrch</vt:lpwstr>
      </vt:variant>
      <vt:variant>
        <vt:lpwstr/>
      </vt:variant>
      <vt:variant>
        <vt:i4>5832732</vt:i4>
      </vt:variant>
      <vt:variant>
        <vt:i4>36</vt:i4>
      </vt:variant>
      <vt:variant>
        <vt:i4>0</vt:i4>
      </vt:variant>
      <vt:variant>
        <vt:i4>5</vt:i4>
      </vt:variant>
      <vt:variant>
        <vt:lpwstr>http://www.ncta.com/industry-data</vt:lpwstr>
      </vt:variant>
      <vt:variant>
        <vt:lpwstr/>
      </vt:variant>
      <vt:variant>
        <vt:i4>5832732</vt:i4>
      </vt:variant>
      <vt:variant>
        <vt:i4>33</vt:i4>
      </vt:variant>
      <vt:variant>
        <vt:i4>0</vt:i4>
      </vt:variant>
      <vt:variant>
        <vt:i4>5</vt:i4>
      </vt:variant>
      <vt:variant>
        <vt:lpwstr>http://www.ncta.com/industry-data</vt:lpwstr>
      </vt:variant>
      <vt:variant>
        <vt:lpwstr/>
      </vt:variant>
      <vt:variant>
        <vt:i4>5832732</vt:i4>
      </vt:variant>
      <vt:variant>
        <vt:i4>30</vt:i4>
      </vt:variant>
      <vt:variant>
        <vt:i4>0</vt:i4>
      </vt:variant>
      <vt:variant>
        <vt:i4>5</vt:i4>
      </vt:variant>
      <vt:variant>
        <vt:lpwstr>http://www.ncta.com/industry-data</vt:lpwstr>
      </vt:variant>
      <vt:variant>
        <vt:lpwstr/>
      </vt:variant>
      <vt:variant>
        <vt:i4>3932279</vt:i4>
      </vt:variant>
      <vt:variant>
        <vt:i4>27</vt:i4>
      </vt:variant>
      <vt:variant>
        <vt:i4>0</vt:i4>
      </vt:variant>
      <vt:variant>
        <vt:i4>5</vt:i4>
      </vt:variant>
      <vt:variant>
        <vt:lpwstr>http://www.snl.com/InteractiveX/TopCableMSOs.aspx?period=2013Q3&amp;sortcol=subscribersbasic&amp;sortorder=desc</vt:lpwstr>
      </vt:variant>
      <vt:variant>
        <vt:lpwstr/>
      </vt:variant>
      <vt:variant>
        <vt:i4>2556013</vt:i4>
      </vt:variant>
      <vt:variant>
        <vt:i4>24</vt:i4>
      </vt:variant>
      <vt:variant>
        <vt:i4>0</vt:i4>
      </vt:variant>
      <vt:variant>
        <vt:i4>5</vt:i4>
      </vt:variant>
      <vt:variant>
        <vt:lpwstr>http://www.ncta.com/Statistics.aspx</vt:lpwstr>
      </vt:variant>
      <vt:variant>
        <vt:lpwstr/>
      </vt:variant>
      <vt:variant>
        <vt:i4>5570630</vt:i4>
      </vt:variant>
      <vt:variant>
        <vt:i4>21</vt:i4>
      </vt:variant>
      <vt:variant>
        <vt:i4>0</vt:i4>
      </vt:variant>
      <vt:variant>
        <vt:i4>5</vt:i4>
      </vt:variant>
      <vt:variant>
        <vt:lpwstr>http://factfinder2.census.gov/faces/nav/jsf/pages/index.xhtml</vt:lpwstr>
      </vt:variant>
      <vt:variant>
        <vt:lpwstr/>
      </vt:variant>
      <vt:variant>
        <vt:i4>4522064</vt:i4>
      </vt:variant>
      <vt:variant>
        <vt:i4>18</vt:i4>
      </vt:variant>
      <vt:variant>
        <vt:i4>0</vt:i4>
      </vt:variant>
      <vt:variant>
        <vt:i4>5</vt:i4>
      </vt:variant>
      <vt:variant>
        <vt:lpwstr>http://www.census.gov/cgi-bin/sssd/naics/naicsrch</vt:lpwstr>
      </vt:variant>
      <vt:variant>
        <vt:lpwstr/>
      </vt:variant>
      <vt:variant>
        <vt:i4>3211376</vt:i4>
      </vt:variant>
      <vt:variant>
        <vt:i4>15</vt:i4>
      </vt:variant>
      <vt:variant>
        <vt:i4>0</vt:i4>
      </vt:variant>
      <vt:variant>
        <vt:i4>5</vt:i4>
      </vt:variant>
      <vt:variant>
        <vt:lpwstr>http://www.westlaw.com/Find/Default.wl?rs=dfa1.0&amp;vr=2.0&amp;DB=506&amp;FindType=Y&amp;SerialNum=2001172336</vt:lpwstr>
      </vt:variant>
      <vt:variant>
        <vt:lpwstr/>
      </vt:variant>
      <vt:variant>
        <vt:i4>1835101</vt:i4>
      </vt:variant>
      <vt:variant>
        <vt:i4>12</vt:i4>
      </vt:variant>
      <vt:variant>
        <vt:i4>0</vt:i4>
      </vt:variant>
      <vt:variant>
        <vt:i4>5</vt:i4>
      </vt:variant>
      <vt:variant>
        <vt:lpwstr>https://gamecenter.nhl.com/nhlgc/secure/gclsignup?CMPID=GCL:vnty</vt:lpwstr>
      </vt:variant>
      <vt:variant>
        <vt:lpwstr/>
      </vt:variant>
      <vt:variant>
        <vt:i4>2883623</vt:i4>
      </vt:variant>
      <vt:variant>
        <vt:i4>9</vt:i4>
      </vt:variant>
      <vt:variant>
        <vt:i4>0</vt:i4>
      </vt:variant>
      <vt:variant>
        <vt:i4>5</vt:i4>
      </vt:variant>
      <vt:variant>
        <vt:lpwstr>http://www.nba.com/nba_tv/league_pass.html</vt:lpwstr>
      </vt:variant>
      <vt:variant>
        <vt:lpwstr/>
      </vt:variant>
      <vt:variant>
        <vt:i4>327697</vt:i4>
      </vt:variant>
      <vt:variant>
        <vt:i4>6</vt:i4>
      </vt:variant>
      <vt:variant>
        <vt:i4>0</vt:i4>
      </vt:variant>
      <vt:variant>
        <vt:i4>5</vt:i4>
      </vt:variant>
      <vt:variant>
        <vt:lpwstr>http://live.mlssoccer.com/mlsmdl/</vt:lpwstr>
      </vt:variant>
      <vt:variant>
        <vt:lpwstr/>
      </vt:variant>
      <vt:variant>
        <vt:i4>7798883</vt:i4>
      </vt:variant>
      <vt:variant>
        <vt:i4>3</vt:i4>
      </vt:variant>
      <vt:variant>
        <vt:i4>0</vt:i4>
      </vt:variant>
      <vt:variant>
        <vt:i4>5</vt:i4>
      </vt:variant>
      <vt:variant>
        <vt:lpwstr>http://www.bloomberg.com/news/2014-03-04/dish-takes-lead-in-race-to-offer-streaming-tv-to-rival-cable.html</vt:lpwstr>
      </vt:variant>
      <vt:variant>
        <vt:lpwstr/>
      </vt:variant>
      <vt:variant>
        <vt:i4>983126</vt:i4>
      </vt:variant>
      <vt:variant>
        <vt:i4>0</vt:i4>
      </vt:variant>
      <vt:variant>
        <vt:i4>0</vt:i4>
      </vt:variant>
      <vt:variant>
        <vt:i4>5</vt:i4>
      </vt:variant>
      <vt:variant>
        <vt:lpwstr>http://www.anytimeondemand.com/glossary_of_terms.html</vt:lpwstr>
      </vt:variant>
      <vt:variant>
        <vt:lpwstr>electronic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2014-12-18T14:32:00Z</cp:lastPrinted>
  <dcterms:created xsi:type="dcterms:W3CDTF">2014-12-19T17:51:00Z</dcterms:created>
  <dcterms:modified xsi:type="dcterms:W3CDTF">2014-12-19T17:51:00Z</dcterms:modified>
  <cp:category> </cp:category>
  <cp:contentStatus> </cp:contentStatus>
</cp:coreProperties>
</file>