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08D5C" w14:textId="77777777" w:rsidR="000E59DC" w:rsidRPr="00F563A3" w:rsidRDefault="000E59DC" w:rsidP="000E59DC">
      <w:pPr>
        <w:widowControl/>
        <w:tabs>
          <w:tab w:val="center" w:pos="4770"/>
        </w:tabs>
        <w:suppressAutoHyphens/>
        <w:jc w:val="center"/>
        <w:outlineLvl w:val="0"/>
        <w:rPr>
          <w:b/>
          <w:spacing w:val="-2"/>
          <w:szCs w:val="22"/>
        </w:rPr>
      </w:pPr>
      <w:bookmarkStart w:id="0" w:name="_GoBack"/>
      <w:bookmarkEnd w:id="0"/>
      <w:r w:rsidRPr="00F563A3">
        <w:rPr>
          <w:b/>
          <w:spacing w:val="-2"/>
          <w:szCs w:val="22"/>
        </w:rPr>
        <w:t>Before the</w:t>
      </w:r>
    </w:p>
    <w:p w14:paraId="651BEE04" w14:textId="77777777" w:rsidR="000E59DC" w:rsidRPr="00F563A3" w:rsidRDefault="000E59DC" w:rsidP="000E59DC">
      <w:pPr>
        <w:widowControl/>
        <w:tabs>
          <w:tab w:val="center" w:pos="4770"/>
        </w:tabs>
        <w:suppressAutoHyphens/>
        <w:jc w:val="center"/>
        <w:outlineLvl w:val="0"/>
        <w:rPr>
          <w:b/>
          <w:spacing w:val="-2"/>
          <w:szCs w:val="22"/>
        </w:rPr>
      </w:pPr>
      <w:r w:rsidRPr="00F563A3">
        <w:rPr>
          <w:b/>
          <w:spacing w:val="-2"/>
          <w:szCs w:val="22"/>
        </w:rPr>
        <w:t>Federal Communications Commission</w:t>
      </w:r>
    </w:p>
    <w:p w14:paraId="7B87095C" w14:textId="77777777" w:rsidR="000E59DC" w:rsidRPr="00F563A3" w:rsidRDefault="000E59DC" w:rsidP="000E59DC">
      <w:pPr>
        <w:widowControl/>
        <w:tabs>
          <w:tab w:val="center" w:pos="4770"/>
        </w:tabs>
        <w:suppressAutoHyphens/>
        <w:jc w:val="center"/>
        <w:outlineLvl w:val="0"/>
        <w:rPr>
          <w:b/>
          <w:szCs w:val="22"/>
        </w:rPr>
      </w:pPr>
      <w:r w:rsidRPr="00F563A3">
        <w:rPr>
          <w:b/>
          <w:szCs w:val="22"/>
        </w:rPr>
        <w:t>Washington, D.C. 20554</w:t>
      </w:r>
    </w:p>
    <w:p w14:paraId="067EFC92" w14:textId="77777777" w:rsidR="000E59DC" w:rsidRPr="00F563A3" w:rsidRDefault="000E59DC" w:rsidP="000E59DC">
      <w:pPr>
        <w:widowControl/>
        <w:tabs>
          <w:tab w:val="center" w:pos="4680"/>
        </w:tabs>
        <w:suppressAutoHyphens/>
        <w:spacing w:line="240" w:lineRule="atLeast"/>
        <w:jc w:val="both"/>
        <w:outlineLvl w:val="0"/>
        <w:rPr>
          <w:b/>
          <w:spacing w:val="-2"/>
          <w:szCs w:val="22"/>
        </w:rPr>
      </w:pPr>
    </w:p>
    <w:p w14:paraId="50AC211D" w14:textId="77777777" w:rsidR="00BB55FD" w:rsidRDefault="00BB55FD" w:rsidP="000E59DC">
      <w:pPr>
        <w:widowControl/>
        <w:tabs>
          <w:tab w:val="center" w:pos="4680"/>
        </w:tabs>
        <w:suppressAutoHyphens/>
        <w:spacing w:line="240" w:lineRule="atLeast"/>
        <w:jc w:val="both"/>
        <w:outlineLvl w:val="0"/>
        <w:rPr>
          <w:b/>
          <w:spacing w:val="-2"/>
          <w:szCs w:val="22"/>
        </w:rPr>
      </w:pPr>
    </w:p>
    <w:p w14:paraId="767F3896" w14:textId="77777777" w:rsidR="00D33545" w:rsidRPr="00F563A3" w:rsidRDefault="00D33545" w:rsidP="000E59DC">
      <w:pPr>
        <w:widowControl/>
        <w:tabs>
          <w:tab w:val="center" w:pos="4680"/>
        </w:tabs>
        <w:suppressAutoHyphens/>
        <w:spacing w:line="240" w:lineRule="atLeast"/>
        <w:jc w:val="both"/>
        <w:outlineLvl w:val="0"/>
        <w:rPr>
          <w:b/>
          <w:spacing w:val="-2"/>
          <w:szCs w:val="22"/>
        </w:rPr>
      </w:pPr>
    </w:p>
    <w:tbl>
      <w:tblPr>
        <w:tblW w:w="9450" w:type="dxa"/>
        <w:tblInd w:w="108" w:type="dxa"/>
        <w:tblLayout w:type="fixed"/>
        <w:tblLook w:val="0000" w:firstRow="0" w:lastRow="0" w:firstColumn="0" w:lastColumn="0" w:noHBand="0" w:noVBand="0"/>
      </w:tblPr>
      <w:tblGrid>
        <w:gridCol w:w="4500"/>
        <w:gridCol w:w="270"/>
        <w:gridCol w:w="4680"/>
      </w:tblGrid>
      <w:tr w:rsidR="000E59DC" w:rsidRPr="00F563A3" w14:paraId="1E185FBF" w14:textId="77777777">
        <w:tc>
          <w:tcPr>
            <w:tcW w:w="4500" w:type="dxa"/>
          </w:tcPr>
          <w:p w14:paraId="09AAD7A5" w14:textId="77777777" w:rsidR="000E59DC" w:rsidRPr="00F563A3" w:rsidRDefault="000E59DC" w:rsidP="000E59DC">
            <w:pPr>
              <w:widowControl/>
              <w:rPr>
                <w:szCs w:val="22"/>
              </w:rPr>
            </w:pPr>
            <w:r w:rsidRPr="00F563A3">
              <w:rPr>
                <w:spacing w:val="-2"/>
                <w:szCs w:val="22"/>
              </w:rPr>
              <w:t>In the Matter of</w:t>
            </w:r>
            <w:r w:rsidRPr="00F563A3">
              <w:rPr>
                <w:szCs w:val="22"/>
              </w:rPr>
              <w:t xml:space="preserve"> </w:t>
            </w:r>
          </w:p>
          <w:p w14:paraId="7A1F7FDF" w14:textId="77777777" w:rsidR="000E59DC" w:rsidRPr="00F563A3" w:rsidRDefault="000E59DC" w:rsidP="000E59DC">
            <w:pPr>
              <w:widowControl/>
              <w:rPr>
                <w:szCs w:val="22"/>
              </w:rPr>
            </w:pPr>
          </w:p>
          <w:p w14:paraId="2579914A" w14:textId="77777777" w:rsidR="00791338" w:rsidRPr="00A830F3" w:rsidRDefault="00791338" w:rsidP="000E59DC">
            <w:pPr>
              <w:widowControl/>
              <w:rPr>
                <w:b/>
                <w:spacing w:val="-2"/>
                <w:szCs w:val="22"/>
              </w:rPr>
            </w:pPr>
            <w:r w:rsidRPr="00A830F3">
              <w:rPr>
                <w:b/>
                <w:spacing w:val="-2"/>
                <w:szCs w:val="22"/>
              </w:rPr>
              <w:t>Viacom Inc.</w:t>
            </w:r>
          </w:p>
          <w:p w14:paraId="43C7805A" w14:textId="77777777" w:rsidR="00791338" w:rsidRDefault="00791338" w:rsidP="00791338">
            <w:pPr>
              <w:widowControl/>
              <w:rPr>
                <w:spacing w:val="-2"/>
                <w:szCs w:val="22"/>
              </w:rPr>
            </w:pPr>
          </w:p>
          <w:p w14:paraId="5793C693" w14:textId="77777777" w:rsidR="00791338" w:rsidRDefault="00791338" w:rsidP="00791338">
            <w:pPr>
              <w:widowControl/>
              <w:rPr>
                <w:spacing w:val="-2"/>
                <w:szCs w:val="22"/>
              </w:rPr>
            </w:pPr>
          </w:p>
          <w:p w14:paraId="5B35D2FD" w14:textId="77777777" w:rsidR="00791338" w:rsidRDefault="00791338" w:rsidP="00791338">
            <w:pPr>
              <w:widowControl/>
              <w:rPr>
                <w:spacing w:val="-2"/>
                <w:szCs w:val="22"/>
              </w:rPr>
            </w:pPr>
          </w:p>
          <w:p w14:paraId="3AEC08BB" w14:textId="77777777" w:rsidR="00791338" w:rsidRPr="00A830F3" w:rsidRDefault="00791338" w:rsidP="00791338">
            <w:pPr>
              <w:widowControl/>
              <w:rPr>
                <w:b/>
                <w:spacing w:val="-2"/>
                <w:szCs w:val="22"/>
              </w:rPr>
            </w:pPr>
            <w:r w:rsidRPr="00A830F3">
              <w:rPr>
                <w:b/>
                <w:spacing w:val="-2"/>
                <w:szCs w:val="22"/>
              </w:rPr>
              <w:t>NBCUniversal Media</w:t>
            </w:r>
            <w:r w:rsidR="00F72F89">
              <w:rPr>
                <w:b/>
                <w:spacing w:val="-2"/>
                <w:szCs w:val="22"/>
              </w:rPr>
              <w:t>,</w:t>
            </w:r>
            <w:r w:rsidRPr="00A830F3">
              <w:rPr>
                <w:b/>
                <w:spacing w:val="-2"/>
                <w:szCs w:val="22"/>
              </w:rPr>
              <w:t xml:space="preserve"> LLC </w:t>
            </w:r>
          </w:p>
          <w:p w14:paraId="0C17B917" w14:textId="77777777" w:rsidR="00791338" w:rsidRDefault="00791338" w:rsidP="00791338">
            <w:pPr>
              <w:widowControl/>
              <w:rPr>
                <w:spacing w:val="-2"/>
                <w:szCs w:val="22"/>
              </w:rPr>
            </w:pPr>
          </w:p>
          <w:p w14:paraId="052461F4" w14:textId="77777777" w:rsidR="00791338" w:rsidRDefault="00791338" w:rsidP="00791338">
            <w:pPr>
              <w:widowControl/>
              <w:rPr>
                <w:spacing w:val="-2"/>
                <w:szCs w:val="22"/>
              </w:rPr>
            </w:pPr>
          </w:p>
          <w:p w14:paraId="5FCE82C3" w14:textId="77777777" w:rsidR="00791338" w:rsidRDefault="00791338" w:rsidP="00791338">
            <w:pPr>
              <w:widowControl/>
              <w:rPr>
                <w:spacing w:val="-2"/>
                <w:szCs w:val="22"/>
              </w:rPr>
            </w:pPr>
          </w:p>
          <w:p w14:paraId="107B6ABA" w14:textId="77777777" w:rsidR="00791338" w:rsidRPr="00A830F3" w:rsidRDefault="00791338" w:rsidP="00791338">
            <w:pPr>
              <w:widowControl/>
              <w:rPr>
                <w:b/>
                <w:spacing w:val="-2"/>
                <w:szCs w:val="22"/>
              </w:rPr>
            </w:pPr>
            <w:r w:rsidRPr="00A830F3">
              <w:rPr>
                <w:b/>
                <w:spacing w:val="-2"/>
                <w:szCs w:val="22"/>
              </w:rPr>
              <w:t>ESPN Inc.</w:t>
            </w:r>
          </w:p>
          <w:p w14:paraId="69BA2D05" w14:textId="77777777" w:rsidR="00791338" w:rsidRDefault="00791338" w:rsidP="00791338">
            <w:pPr>
              <w:widowControl/>
              <w:rPr>
                <w:szCs w:val="22"/>
              </w:rPr>
            </w:pPr>
          </w:p>
          <w:p w14:paraId="265E15A6" w14:textId="77777777" w:rsidR="00791338" w:rsidRDefault="00791338" w:rsidP="00791338">
            <w:pPr>
              <w:widowControl/>
              <w:rPr>
                <w:szCs w:val="22"/>
              </w:rPr>
            </w:pPr>
          </w:p>
          <w:p w14:paraId="02714C50" w14:textId="77777777" w:rsidR="00791338" w:rsidRPr="00F563A3" w:rsidRDefault="00791338" w:rsidP="00791338">
            <w:pPr>
              <w:widowControl/>
              <w:rPr>
                <w:szCs w:val="22"/>
              </w:rPr>
            </w:pPr>
          </w:p>
        </w:tc>
        <w:tc>
          <w:tcPr>
            <w:tcW w:w="270" w:type="dxa"/>
          </w:tcPr>
          <w:p w14:paraId="4F8945B8" w14:textId="77777777" w:rsidR="000E59DC" w:rsidRPr="00F563A3" w:rsidRDefault="000E59DC" w:rsidP="000E59DC">
            <w:pPr>
              <w:widowControl/>
              <w:tabs>
                <w:tab w:val="center" w:pos="4680"/>
              </w:tabs>
              <w:suppressAutoHyphens/>
              <w:spacing w:line="240" w:lineRule="atLeast"/>
              <w:jc w:val="both"/>
              <w:outlineLvl w:val="0"/>
              <w:rPr>
                <w:szCs w:val="22"/>
              </w:rPr>
            </w:pPr>
            <w:r w:rsidRPr="00F563A3">
              <w:rPr>
                <w:szCs w:val="22"/>
              </w:rPr>
              <w:t>)</w:t>
            </w:r>
          </w:p>
          <w:p w14:paraId="60448793" w14:textId="77777777" w:rsidR="000E59DC" w:rsidRPr="00F563A3" w:rsidRDefault="00791338" w:rsidP="000E59DC">
            <w:pPr>
              <w:widowControl/>
              <w:tabs>
                <w:tab w:val="center" w:pos="4680"/>
              </w:tabs>
              <w:suppressAutoHyphens/>
              <w:spacing w:line="240" w:lineRule="atLeast"/>
              <w:jc w:val="both"/>
              <w:outlineLvl w:val="0"/>
              <w:rPr>
                <w:szCs w:val="22"/>
              </w:rPr>
            </w:pPr>
            <w:r>
              <w:rPr>
                <w:szCs w:val="22"/>
              </w:rPr>
              <w:t>)</w:t>
            </w:r>
          </w:p>
          <w:p w14:paraId="4011FA2E" w14:textId="77777777" w:rsidR="00BB55FD" w:rsidRDefault="00791338" w:rsidP="000E59DC">
            <w:pPr>
              <w:widowControl/>
              <w:tabs>
                <w:tab w:val="center" w:pos="4680"/>
              </w:tabs>
              <w:suppressAutoHyphens/>
              <w:spacing w:line="240" w:lineRule="atLeast"/>
              <w:jc w:val="both"/>
              <w:outlineLvl w:val="0"/>
              <w:rPr>
                <w:szCs w:val="22"/>
              </w:rPr>
            </w:pPr>
            <w:r>
              <w:rPr>
                <w:szCs w:val="22"/>
              </w:rPr>
              <w:t>)</w:t>
            </w:r>
          </w:p>
          <w:p w14:paraId="0CB78025" w14:textId="77777777" w:rsidR="00791338" w:rsidRDefault="00791338" w:rsidP="000E59DC">
            <w:pPr>
              <w:widowControl/>
              <w:tabs>
                <w:tab w:val="center" w:pos="4680"/>
              </w:tabs>
              <w:suppressAutoHyphens/>
              <w:spacing w:line="240" w:lineRule="atLeast"/>
              <w:jc w:val="both"/>
              <w:outlineLvl w:val="0"/>
              <w:rPr>
                <w:szCs w:val="22"/>
              </w:rPr>
            </w:pPr>
            <w:r>
              <w:rPr>
                <w:szCs w:val="22"/>
              </w:rPr>
              <w:t>)</w:t>
            </w:r>
          </w:p>
          <w:p w14:paraId="76BBBF37" w14:textId="77777777" w:rsidR="00791338" w:rsidRDefault="00791338" w:rsidP="000E59DC">
            <w:pPr>
              <w:widowControl/>
              <w:tabs>
                <w:tab w:val="center" w:pos="4680"/>
              </w:tabs>
              <w:suppressAutoHyphens/>
              <w:spacing w:line="240" w:lineRule="atLeast"/>
              <w:jc w:val="both"/>
              <w:outlineLvl w:val="0"/>
              <w:rPr>
                <w:szCs w:val="22"/>
              </w:rPr>
            </w:pPr>
            <w:r>
              <w:rPr>
                <w:szCs w:val="22"/>
              </w:rPr>
              <w:t>)</w:t>
            </w:r>
          </w:p>
          <w:p w14:paraId="1BA38E87" w14:textId="77777777" w:rsidR="00791338" w:rsidRDefault="00791338" w:rsidP="000E59DC">
            <w:pPr>
              <w:widowControl/>
              <w:tabs>
                <w:tab w:val="center" w:pos="4680"/>
              </w:tabs>
              <w:suppressAutoHyphens/>
              <w:spacing w:line="240" w:lineRule="atLeast"/>
              <w:jc w:val="both"/>
              <w:outlineLvl w:val="0"/>
              <w:rPr>
                <w:szCs w:val="22"/>
              </w:rPr>
            </w:pPr>
            <w:r>
              <w:rPr>
                <w:szCs w:val="22"/>
              </w:rPr>
              <w:t>)</w:t>
            </w:r>
          </w:p>
          <w:p w14:paraId="6C9F9A18" w14:textId="77777777" w:rsidR="00791338" w:rsidRDefault="00791338" w:rsidP="000E59DC">
            <w:pPr>
              <w:widowControl/>
              <w:tabs>
                <w:tab w:val="center" w:pos="4680"/>
              </w:tabs>
              <w:suppressAutoHyphens/>
              <w:spacing w:line="240" w:lineRule="atLeast"/>
              <w:jc w:val="both"/>
              <w:outlineLvl w:val="0"/>
              <w:rPr>
                <w:szCs w:val="22"/>
              </w:rPr>
            </w:pPr>
            <w:r>
              <w:rPr>
                <w:szCs w:val="22"/>
              </w:rPr>
              <w:t>)</w:t>
            </w:r>
          </w:p>
          <w:p w14:paraId="41E78EBE" w14:textId="77777777" w:rsidR="00791338" w:rsidRDefault="00791338" w:rsidP="000E59DC">
            <w:pPr>
              <w:widowControl/>
              <w:tabs>
                <w:tab w:val="center" w:pos="4680"/>
              </w:tabs>
              <w:suppressAutoHyphens/>
              <w:spacing w:line="240" w:lineRule="atLeast"/>
              <w:jc w:val="both"/>
              <w:outlineLvl w:val="0"/>
              <w:rPr>
                <w:szCs w:val="22"/>
              </w:rPr>
            </w:pPr>
            <w:r>
              <w:rPr>
                <w:szCs w:val="22"/>
              </w:rPr>
              <w:t>)</w:t>
            </w:r>
          </w:p>
          <w:p w14:paraId="6B5BEAF5" w14:textId="77777777" w:rsidR="00791338" w:rsidRDefault="00791338" w:rsidP="000E59DC">
            <w:pPr>
              <w:widowControl/>
              <w:tabs>
                <w:tab w:val="center" w:pos="4680"/>
              </w:tabs>
              <w:suppressAutoHyphens/>
              <w:spacing w:line="240" w:lineRule="atLeast"/>
              <w:jc w:val="both"/>
              <w:outlineLvl w:val="0"/>
              <w:rPr>
                <w:szCs w:val="22"/>
              </w:rPr>
            </w:pPr>
            <w:r>
              <w:rPr>
                <w:szCs w:val="22"/>
              </w:rPr>
              <w:t>)</w:t>
            </w:r>
          </w:p>
          <w:p w14:paraId="4051B456" w14:textId="77777777" w:rsidR="00791338" w:rsidRDefault="00791338" w:rsidP="000E59DC">
            <w:pPr>
              <w:widowControl/>
              <w:tabs>
                <w:tab w:val="center" w:pos="4680"/>
              </w:tabs>
              <w:suppressAutoHyphens/>
              <w:spacing w:line="240" w:lineRule="atLeast"/>
              <w:jc w:val="both"/>
              <w:outlineLvl w:val="0"/>
              <w:rPr>
                <w:szCs w:val="22"/>
              </w:rPr>
            </w:pPr>
            <w:r>
              <w:rPr>
                <w:szCs w:val="22"/>
              </w:rPr>
              <w:t>)</w:t>
            </w:r>
          </w:p>
          <w:p w14:paraId="1980207C" w14:textId="77777777" w:rsidR="00791338" w:rsidRDefault="00791338" w:rsidP="000E59DC">
            <w:pPr>
              <w:widowControl/>
              <w:tabs>
                <w:tab w:val="center" w:pos="4680"/>
              </w:tabs>
              <w:suppressAutoHyphens/>
              <w:spacing w:line="240" w:lineRule="atLeast"/>
              <w:jc w:val="both"/>
              <w:outlineLvl w:val="0"/>
              <w:rPr>
                <w:szCs w:val="22"/>
              </w:rPr>
            </w:pPr>
            <w:r>
              <w:rPr>
                <w:szCs w:val="22"/>
              </w:rPr>
              <w:t>)</w:t>
            </w:r>
          </w:p>
          <w:p w14:paraId="636AF555" w14:textId="77777777" w:rsidR="00A12436" w:rsidRDefault="00A12436" w:rsidP="000E59DC">
            <w:pPr>
              <w:widowControl/>
              <w:tabs>
                <w:tab w:val="center" w:pos="4680"/>
              </w:tabs>
              <w:suppressAutoHyphens/>
              <w:spacing w:line="240" w:lineRule="atLeast"/>
              <w:jc w:val="both"/>
              <w:outlineLvl w:val="0"/>
              <w:rPr>
                <w:szCs w:val="22"/>
              </w:rPr>
            </w:pPr>
            <w:r>
              <w:rPr>
                <w:szCs w:val="22"/>
              </w:rPr>
              <w:t>)</w:t>
            </w:r>
          </w:p>
          <w:p w14:paraId="1952B83D" w14:textId="77777777" w:rsidR="00A12436" w:rsidRDefault="00A12436" w:rsidP="000E59DC">
            <w:pPr>
              <w:widowControl/>
              <w:tabs>
                <w:tab w:val="center" w:pos="4680"/>
              </w:tabs>
              <w:suppressAutoHyphens/>
              <w:spacing w:line="240" w:lineRule="atLeast"/>
              <w:jc w:val="both"/>
              <w:outlineLvl w:val="0"/>
              <w:rPr>
                <w:szCs w:val="22"/>
              </w:rPr>
            </w:pPr>
            <w:r>
              <w:rPr>
                <w:szCs w:val="22"/>
              </w:rPr>
              <w:t>)</w:t>
            </w:r>
          </w:p>
          <w:p w14:paraId="1572C764" w14:textId="77777777" w:rsidR="00A12436" w:rsidRPr="00F563A3" w:rsidRDefault="00A12436" w:rsidP="000E59DC">
            <w:pPr>
              <w:widowControl/>
              <w:tabs>
                <w:tab w:val="center" w:pos="4680"/>
              </w:tabs>
              <w:suppressAutoHyphens/>
              <w:spacing w:line="240" w:lineRule="atLeast"/>
              <w:jc w:val="both"/>
              <w:outlineLvl w:val="0"/>
              <w:rPr>
                <w:szCs w:val="22"/>
              </w:rPr>
            </w:pPr>
          </w:p>
        </w:tc>
        <w:tc>
          <w:tcPr>
            <w:tcW w:w="4680" w:type="dxa"/>
          </w:tcPr>
          <w:p w14:paraId="6F5808E3" w14:textId="77777777" w:rsidR="006A75B2" w:rsidRPr="00F563A3" w:rsidRDefault="006A75B2" w:rsidP="000E59DC">
            <w:pPr>
              <w:widowControl/>
              <w:tabs>
                <w:tab w:val="left" w:pos="252"/>
                <w:tab w:val="left" w:pos="612"/>
              </w:tabs>
              <w:rPr>
                <w:szCs w:val="22"/>
              </w:rPr>
            </w:pPr>
          </w:p>
          <w:p w14:paraId="1F59EA32" w14:textId="77777777" w:rsidR="006A75B2" w:rsidRDefault="006A75B2" w:rsidP="00BB55FD">
            <w:pPr>
              <w:widowControl/>
              <w:tabs>
                <w:tab w:val="left" w:pos="252"/>
                <w:tab w:val="left" w:pos="612"/>
              </w:tabs>
              <w:rPr>
                <w:szCs w:val="22"/>
              </w:rPr>
            </w:pPr>
          </w:p>
          <w:p w14:paraId="577A5236" w14:textId="77777777" w:rsidR="00791338" w:rsidRPr="00F563A3" w:rsidRDefault="00791338" w:rsidP="00791338">
            <w:pPr>
              <w:widowControl/>
              <w:tabs>
                <w:tab w:val="left" w:pos="72"/>
              </w:tabs>
              <w:rPr>
                <w:szCs w:val="22"/>
              </w:rPr>
            </w:pPr>
            <w:r>
              <w:rPr>
                <w:szCs w:val="22"/>
              </w:rPr>
              <w:t>File No.: EB-IHD-13-00011468</w:t>
            </w:r>
          </w:p>
          <w:p w14:paraId="0AB0B77D" w14:textId="77777777" w:rsidR="00791338" w:rsidRPr="00F563A3" w:rsidRDefault="00791338" w:rsidP="00791338">
            <w:pPr>
              <w:widowControl/>
              <w:tabs>
                <w:tab w:val="left" w:pos="252"/>
                <w:tab w:val="left" w:pos="612"/>
              </w:tabs>
              <w:rPr>
                <w:szCs w:val="22"/>
              </w:rPr>
            </w:pPr>
            <w:r w:rsidRPr="00F563A3">
              <w:rPr>
                <w:szCs w:val="22"/>
              </w:rPr>
              <w:t xml:space="preserve">NAL/Acct. No. </w:t>
            </w:r>
            <w:r w:rsidR="00256194" w:rsidRPr="00256194">
              <w:rPr>
                <w:szCs w:val="22"/>
              </w:rPr>
              <w:t xml:space="preserve">201432080027 </w:t>
            </w:r>
          </w:p>
          <w:p w14:paraId="387BF008" w14:textId="77777777" w:rsidR="00791338" w:rsidRDefault="00D5446B" w:rsidP="00BB55FD">
            <w:pPr>
              <w:widowControl/>
              <w:tabs>
                <w:tab w:val="left" w:pos="252"/>
                <w:tab w:val="left" w:pos="612"/>
              </w:tabs>
              <w:rPr>
                <w:szCs w:val="22"/>
              </w:rPr>
            </w:pPr>
            <w:r>
              <w:rPr>
                <w:szCs w:val="22"/>
              </w:rPr>
              <w:t xml:space="preserve">FRN:  </w:t>
            </w:r>
            <w:r w:rsidR="00256194" w:rsidRPr="00256194">
              <w:rPr>
                <w:szCs w:val="22"/>
              </w:rPr>
              <w:t>0014247977</w:t>
            </w:r>
          </w:p>
          <w:p w14:paraId="05B43089" w14:textId="77777777" w:rsidR="00791338" w:rsidRDefault="00791338" w:rsidP="00BB55FD">
            <w:pPr>
              <w:widowControl/>
              <w:tabs>
                <w:tab w:val="left" w:pos="252"/>
                <w:tab w:val="left" w:pos="612"/>
              </w:tabs>
              <w:rPr>
                <w:szCs w:val="22"/>
              </w:rPr>
            </w:pPr>
          </w:p>
          <w:p w14:paraId="6CB6B223" w14:textId="77777777" w:rsidR="00791338" w:rsidRPr="00F563A3" w:rsidRDefault="00791338" w:rsidP="00791338">
            <w:pPr>
              <w:widowControl/>
              <w:tabs>
                <w:tab w:val="left" w:pos="72"/>
              </w:tabs>
              <w:rPr>
                <w:szCs w:val="22"/>
              </w:rPr>
            </w:pPr>
            <w:r>
              <w:rPr>
                <w:szCs w:val="22"/>
              </w:rPr>
              <w:t>File No.: EB-IHD-13-00011381</w:t>
            </w:r>
          </w:p>
          <w:p w14:paraId="37DCD5A9" w14:textId="77777777" w:rsidR="00791338" w:rsidRPr="00F563A3" w:rsidRDefault="00256194" w:rsidP="00791338">
            <w:pPr>
              <w:widowControl/>
              <w:tabs>
                <w:tab w:val="left" w:pos="252"/>
                <w:tab w:val="left" w:pos="612"/>
              </w:tabs>
              <w:rPr>
                <w:szCs w:val="22"/>
              </w:rPr>
            </w:pPr>
            <w:r>
              <w:rPr>
                <w:szCs w:val="22"/>
              </w:rPr>
              <w:t xml:space="preserve">NAL/Acct. No. </w:t>
            </w:r>
            <w:r w:rsidRPr="00256194">
              <w:rPr>
                <w:szCs w:val="22"/>
              </w:rPr>
              <w:t>201432080028</w:t>
            </w:r>
          </w:p>
          <w:p w14:paraId="2DFD926E" w14:textId="77777777" w:rsidR="00791338" w:rsidRDefault="00D5446B" w:rsidP="00791338">
            <w:pPr>
              <w:widowControl/>
              <w:tabs>
                <w:tab w:val="left" w:pos="252"/>
                <w:tab w:val="left" w:pos="612"/>
              </w:tabs>
              <w:rPr>
                <w:szCs w:val="22"/>
              </w:rPr>
            </w:pPr>
            <w:r>
              <w:rPr>
                <w:szCs w:val="22"/>
              </w:rPr>
              <w:t xml:space="preserve">FRN:  </w:t>
            </w:r>
            <w:r w:rsidRPr="00D5446B">
              <w:rPr>
                <w:szCs w:val="22"/>
              </w:rPr>
              <w:t>0003454881</w:t>
            </w:r>
          </w:p>
          <w:p w14:paraId="73E75E39" w14:textId="77777777" w:rsidR="00791338" w:rsidRDefault="00791338" w:rsidP="00BB55FD">
            <w:pPr>
              <w:widowControl/>
              <w:tabs>
                <w:tab w:val="left" w:pos="252"/>
                <w:tab w:val="left" w:pos="612"/>
              </w:tabs>
              <w:rPr>
                <w:szCs w:val="22"/>
              </w:rPr>
            </w:pPr>
          </w:p>
          <w:p w14:paraId="0E16AFDD" w14:textId="77777777" w:rsidR="00791338" w:rsidRPr="00F563A3" w:rsidRDefault="00791338" w:rsidP="00791338">
            <w:pPr>
              <w:widowControl/>
              <w:tabs>
                <w:tab w:val="left" w:pos="72"/>
              </w:tabs>
              <w:rPr>
                <w:szCs w:val="22"/>
              </w:rPr>
            </w:pPr>
            <w:r>
              <w:rPr>
                <w:szCs w:val="22"/>
              </w:rPr>
              <w:t>File No.: EB-IHD-13-00011476</w:t>
            </w:r>
            <w:r w:rsidRPr="00F563A3">
              <w:rPr>
                <w:szCs w:val="22"/>
              </w:rPr>
              <w:t xml:space="preserve"> </w:t>
            </w:r>
          </w:p>
          <w:p w14:paraId="17656E34" w14:textId="77777777" w:rsidR="00791338" w:rsidRPr="00F563A3" w:rsidRDefault="00791338" w:rsidP="00791338">
            <w:pPr>
              <w:widowControl/>
              <w:tabs>
                <w:tab w:val="left" w:pos="252"/>
                <w:tab w:val="left" w:pos="612"/>
              </w:tabs>
              <w:rPr>
                <w:szCs w:val="22"/>
              </w:rPr>
            </w:pPr>
            <w:r w:rsidRPr="00F563A3">
              <w:rPr>
                <w:szCs w:val="22"/>
              </w:rPr>
              <w:t>NAL/Acct. No.</w:t>
            </w:r>
            <w:r w:rsidR="00256194">
              <w:rPr>
                <w:szCs w:val="22"/>
              </w:rPr>
              <w:t xml:space="preserve"> </w:t>
            </w:r>
            <w:r w:rsidR="00256194" w:rsidRPr="00256194">
              <w:rPr>
                <w:szCs w:val="22"/>
              </w:rPr>
              <w:t>201432080029</w:t>
            </w:r>
          </w:p>
          <w:p w14:paraId="29418E38" w14:textId="77777777" w:rsidR="00791338" w:rsidRDefault="00791338" w:rsidP="00791338">
            <w:pPr>
              <w:widowControl/>
              <w:tabs>
                <w:tab w:val="left" w:pos="252"/>
                <w:tab w:val="left" w:pos="612"/>
              </w:tabs>
              <w:rPr>
                <w:szCs w:val="22"/>
              </w:rPr>
            </w:pPr>
            <w:r w:rsidRPr="00D33545">
              <w:rPr>
                <w:szCs w:val="22"/>
              </w:rPr>
              <w:t xml:space="preserve">FRN: </w:t>
            </w:r>
            <w:r w:rsidR="00D5446B">
              <w:rPr>
                <w:szCs w:val="22"/>
              </w:rPr>
              <w:t xml:space="preserve"> </w:t>
            </w:r>
            <w:r w:rsidR="00D5446B" w:rsidRPr="00D5446B">
              <w:rPr>
                <w:szCs w:val="22"/>
              </w:rPr>
              <w:t>0001548064</w:t>
            </w:r>
          </w:p>
          <w:p w14:paraId="52F9BF34" w14:textId="77777777" w:rsidR="00791338" w:rsidRDefault="00791338" w:rsidP="00BB55FD">
            <w:pPr>
              <w:widowControl/>
              <w:tabs>
                <w:tab w:val="left" w:pos="252"/>
                <w:tab w:val="left" w:pos="612"/>
              </w:tabs>
              <w:rPr>
                <w:szCs w:val="22"/>
              </w:rPr>
            </w:pPr>
          </w:p>
          <w:p w14:paraId="522904F5" w14:textId="77777777" w:rsidR="00D33545" w:rsidRDefault="00D33545" w:rsidP="00BB55FD">
            <w:pPr>
              <w:widowControl/>
              <w:tabs>
                <w:tab w:val="left" w:pos="252"/>
                <w:tab w:val="left" w:pos="612"/>
              </w:tabs>
              <w:rPr>
                <w:szCs w:val="22"/>
              </w:rPr>
            </w:pPr>
          </w:p>
          <w:p w14:paraId="0AB00765" w14:textId="77777777" w:rsidR="00791338" w:rsidRPr="00F563A3" w:rsidRDefault="00791338" w:rsidP="00BB55FD">
            <w:pPr>
              <w:widowControl/>
              <w:tabs>
                <w:tab w:val="left" w:pos="252"/>
                <w:tab w:val="left" w:pos="612"/>
              </w:tabs>
              <w:rPr>
                <w:szCs w:val="22"/>
              </w:rPr>
            </w:pPr>
          </w:p>
        </w:tc>
      </w:tr>
    </w:tbl>
    <w:p w14:paraId="281DE2C0" w14:textId="77777777" w:rsidR="000E59DC" w:rsidRPr="00505DEB" w:rsidRDefault="000E59DC" w:rsidP="00505DEB">
      <w:pPr>
        <w:jc w:val="center"/>
        <w:rPr>
          <w:b/>
        </w:rPr>
      </w:pPr>
      <w:r w:rsidRPr="00505DEB">
        <w:rPr>
          <w:b/>
        </w:rPr>
        <w:t>NOTICE OF APPARENT LIABILITY FOR FORFEITURE</w:t>
      </w:r>
    </w:p>
    <w:p w14:paraId="1D90BAB7" w14:textId="77777777" w:rsidR="000E59DC" w:rsidRPr="00F563A3" w:rsidRDefault="000E59DC" w:rsidP="000E59DC">
      <w:pPr>
        <w:widowControl/>
        <w:rPr>
          <w:szCs w:val="22"/>
        </w:rPr>
      </w:pPr>
    </w:p>
    <w:p w14:paraId="5457C596" w14:textId="77777777" w:rsidR="000E59DC" w:rsidRPr="00F563A3" w:rsidRDefault="000E59DC" w:rsidP="000E59DC">
      <w:pPr>
        <w:widowControl/>
        <w:tabs>
          <w:tab w:val="left" w:pos="0"/>
          <w:tab w:val="left" w:pos="720"/>
          <w:tab w:val="left" w:pos="5760"/>
        </w:tabs>
        <w:suppressAutoHyphens/>
        <w:spacing w:line="240" w:lineRule="atLeast"/>
        <w:jc w:val="both"/>
        <w:rPr>
          <w:b/>
          <w:spacing w:val="-2"/>
          <w:szCs w:val="22"/>
        </w:rPr>
      </w:pPr>
      <w:r w:rsidRPr="00A830F3">
        <w:rPr>
          <w:b/>
          <w:spacing w:val="-2"/>
          <w:szCs w:val="22"/>
        </w:rPr>
        <w:t xml:space="preserve">Adopted:  </w:t>
      </w:r>
      <w:r w:rsidR="003F04CB">
        <w:rPr>
          <w:b/>
          <w:spacing w:val="-2"/>
          <w:szCs w:val="22"/>
        </w:rPr>
        <w:t>February 28</w:t>
      </w:r>
      <w:r w:rsidR="00441673" w:rsidRPr="00A830F3">
        <w:rPr>
          <w:b/>
          <w:spacing w:val="-2"/>
          <w:szCs w:val="22"/>
        </w:rPr>
        <w:t>, 201</w:t>
      </w:r>
      <w:r w:rsidR="007E4A70" w:rsidRPr="00A830F3">
        <w:rPr>
          <w:b/>
          <w:spacing w:val="-2"/>
          <w:szCs w:val="22"/>
        </w:rPr>
        <w:t>4</w:t>
      </w:r>
      <w:r w:rsidRPr="00F563A3">
        <w:rPr>
          <w:b/>
          <w:spacing w:val="-2"/>
          <w:szCs w:val="22"/>
        </w:rPr>
        <w:tab/>
      </w:r>
      <w:r w:rsidRPr="00A830F3">
        <w:rPr>
          <w:b/>
          <w:spacing w:val="-2"/>
          <w:szCs w:val="22"/>
        </w:rPr>
        <w:t xml:space="preserve">Released:  </w:t>
      </w:r>
      <w:r w:rsidR="003F04CB">
        <w:rPr>
          <w:b/>
          <w:spacing w:val="-2"/>
          <w:szCs w:val="22"/>
        </w:rPr>
        <w:t>March</w:t>
      </w:r>
      <w:r w:rsidR="007B3527">
        <w:rPr>
          <w:b/>
          <w:spacing w:val="-2"/>
          <w:szCs w:val="22"/>
        </w:rPr>
        <w:t xml:space="preserve"> </w:t>
      </w:r>
      <w:r w:rsidR="003F04CB">
        <w:rPr>
          <w:b/>
          <w:spacing w:val="-2"/>
          <w:szCs w:val="22"/>
        </w:rPr>
        <w:t xml:space="preserve">3, </w:t>
      </w:r>
      <w:r w:rsidR="00441673" w:rsidRPr="00A830F3">
        <w:rPr>
          <w:b/>
          <w:spacing w:val="-2"/>
          <w:szCs w:val="22"/>
        </w:rPr>
        <w:t>201</w:t>
      </w:r>
      <w:r w:rsidR="007E4A70" w:rsidRPr="00A830F3">
        <w:rPr>
          <w:b/>
          <w:spacing w:val="-2"/>
          <w:szCs w:val="22"/>
        </w:rPr>
        <w:t>4</w:t>
      </w:r>
    </w:p>
    <w:p w14:paraId="4643F3CB" w14:textId="77777777" w:rsidR="000E59DC" w:rsidRDefault="000E59DC" w:rsidP="000E59DC">
      <w:pPr>
        <w:widowControl/>
        <w:tabs>
          <w:tab w:val="left" w:pos="0"/>
          <w:tab w:val="left" w:pos="720"/>
          <w:tab w:val="left" w:pos="5760"/>
        </w:tabs>
        <w:suppressAutoHyphens/>
        <w:spacing w:line="240" w:lineRule="atLeast"/>
        <w:jc w:val="both"/>
        <w:rPr>
          <w:b/>
          <w:spacing w:val="-2"/>
          <w:szCs w:val="22"/>
        </w:rPr>
      </w:pPr>
    </w:p>
    <w:p w14:paraId="37EC8697" w14:textId="77777777" w:rsidR="00D33545" w:rsidRDefault="00D33545" w:rsidP="000E59DC">
      <w:pPr>
        <w:widowControl/>
        <w:tabs>
          <w:tab w:val="left" w:pos="0"/>
          <w:tab w:val="left" w:pos="720"/>
          <w:tab w:val="left" w:pos="5760"/>
        </w:tabs>
        <w:suppressAutoHyphens/>
        <w:spacing w:line="240" w:lineRule="atLeast"/>
        <w:rPr>
          <w:spacing w:val="-2"/>
          <w:szCs w:val="22"/>
        </w:rPr>
      </w:pPr>
    </w:p>
    <w:p w14:paraId="07F43284" w14:textId="77777777" w:rsidR="000E59DC" w:rsidRPr="00F563A3" w:rsidRDefault="000E59DC" w:rsidP="000E59DC">
      <w:pPr>
        <w:widowControl/>
        <w:tabs>
          <w:tab w:val="left" w:pos="0"/>
          <w:tab w:val="left" w:pos="720"/>
          <w:tab w:val="left" w:pos="5760"/>
        </w:tabs>
        <w:suppressAutoHyphens/>
        <w:spacing w:line="240" w:lineRule="atLeast"/>
        <w:rPr>
          <w:spacing w:val="-2"/>
          <w:szCs w:val="22"/>
        </w:rPr>
      </w:pPr>
      <w:r w:rsidRPr="00F563A3">
        <w:rPr>
          <w:spacing w:val="-2"/>
          <w:szCs w:val="22"/>
        </w:rPr>
        <w:t xml:space="preserve">By the </w:t>
      </w:r>
      <w:r w:rsidR="006A75B2" w:rsidRPr="00F563A3">
        <w:rPr>
          <w:spacing w:val="-2"/>
          <w:szCs w:val="22"/>
        </w:rPr>
        <w:t>Commission</w:t>
      </w:r>
      <w:r w:rsidR="00BB55FD" w:rsidRPr="00F563A3">
        <w:rPr>
          <w:spacing w:val="-2"/>
          <w:szCs w:val="22"/>
        </w:rPr>
        <w:t>:</w:t>
      </w:r>
    </w:p>
    <w:p w14:paraId="3E429565" w14:textId="77777777" w:rsidR="00D33545" w:rsidRDefault="00D33545" w:rsidP="000E59DC">
      <w:pPr>
        <w:widowControl/>
        <w:tabs>
          <w:tab w:val="left" w:pos="0"/>
        </w:tabs>
        <w:suppressAutoHyphens/>
        <w:spacing w:line="240" w:lineRule="atLeast"/>
        <w:jc w:val="both"/>
        <w:rPr>
          <w:szCs w:val="22"/>
        </w:rPr>
      </w:pPr>
    </w:p>
    <w:p w14:paraId="1B6A1A50" w14:textId="77777777" w:rsidR="00D33545" w:rsidRPr="00F563A3" w:rsidRDefault="00D33545" w:rsidP="000E59DC">
      <w:pPr>
        <w:widowControl/>
        <w:tabs>
          <w:tab w:val="left" w:pos="0"/>
        </w:tabs>
        <w:suppressAutoHyphens/>
        <w:spacing w:line="240" w:lineRule="atLeast"/>
        <w:jc w:val="both"/>
        <w:rPr>
          <w:szCs w:val="22"/>
        </w:rPr>
      </w:pPr>
    </w:p>
    <w:p w14:paraId="508021A3" w14:textId="77777777" w:rsidR="000E59DC" w:rsidRPr="00F563A3" w:rsidRDefault="000E59DC" w:rsidP="00D33545">
      <w:pPr>
        <w:pStyle w:val="Heading1"/>
      </w:pPr>
      <w:r w:rsidRPr="00F563A3">
        <w:t>INTRODUCTION</w:t>
      </w:r>
    </w:p>
    <w:p w14:paraId="5E975B5B" w14:textId="77777777" w:rsidR="00E06683" w:rsidRPr="004801CF" w:rsidRDefault="00E06683" w:rsidP="00D33545">
      <w:pPr>
        <w:pStyle w:val="ParaNum"/>
        <w:rPr>
          <w:spacing w:val="-2"/>
        </w:rPr>
      </w:pPr>
      <w:r w:rsidRPr="00CA4548">
        <w:t>The E</w:t>
      </w:r>
      <w:r w:rsidR="006B218A">
        <w:t xml:space="preserve">mergency </w:t>
      </w:r>
      <w:r w:rsidRPr="00CA4548">
        <w:t>A</w:t>
      </w:r>
      <w:r w:rsidR="006B218A">
        <w:t xml:space="preserve">lert </w:t>
      </w:r>
      <w:r w:rsidRPr="00CA4548">
        <w:t>S</w:t>
      </w:r>
      <w:r w:rsidR="006B218A">
        <w:t>ystem (EAS)</w:t>
      </w:r>
      <w:r w:rsidRPr="00CA4548">
        <w:t xml:space="preserve"> is a national public warning system that requires broadcasters, cable television operators, wireless cable operators, wireline video service providers, satellite digital audio radio service providers, and direct broadcast satellite providers to supply the communications capability to the President of the United States to address the American public during a national emergency.  Federal, state, and local authorities may also use the EAS to deliver important emergency information, such as AMBER alerts and weather information targeted to specific areas.  </w:t>
      </w:r>
      <w:r>
        <w:t xml:space="preserve">The </w:t>
      </w:r>
      <w:r w:rsidR="00CA53A4">
        <w:t>EAS uses a four-</w:t>
      </w:r>
      <w:r w:rsidRPr="00CA4548">
        <w:t>part message for an emergency activation.</w:t>
      </w:r>
      <w:r w:rsidRPr="00CA4548">
        <w:rPr>
          <w:rStyle w:val="FootnoteReference"/>
          <w:sz w:val="22"/>
          <w:szCs w:val="22"/>
        </w:rPr>
        <w:footnoteReference w:id="2"/>
      </w:r>
      <w:r w:rsidRPr="00CA4548">
        <w:t xml:space="preserve">  The component</w:t>
      </w:r>
      <w:r>
        <w:t xml:space="preserve"> sounds</w:t>
      </w:r>
      <w:r w:rsidRPr="00CA4548">
        <w:t xml:space="preserve"> of </w:t>
      </w:r>
      <w:r>
        <w:t xml:space="preserve">an </w:t>
      </w:r>
      <w:r w:rsidRPr="00CA4548">
        <w:t xml:space="preserve">EAS </w:t>
      </w:r>
      <w:r>
        <w:t xml:space="preserve">message </w:t>
      </w:r>
      <w:r w:rsidRPr="00CA4548">
        <w:t xml:space="preserve">serve the </w:t>
      </w:r>
      <w:r w:rsidR="00735923">
        <w:t xml:space="preserve">dual </w:t>
      </w:r>
      <w:r w:rsidRPr="00CA4548">
        <w:t>purpose</w:t>
      </w:r>
      <w:r w:rsidR="00735923">
        <w:t>s</w:t>
      </w:r>
      <w:r w:rsidRPr="00CA4548">
        <w:t xml:space="preserve"> of gaining the listener’s or viewer’s attention</w:t>
      </w:r>
      <w:r w:rsidR="00735923">
        <w:t>,</w:t>
      </w:r>
      <w:r w:rsidRPr="00CA4548">
        <w:t xml:space="preserve"> and conveying specially coded information for the equipment that is activated by the EAS message as part of an actual emergency</w:t>
      </w:r>
      <w:r>
        <w:t xml:space="preserve"> or authorized test</w:t>
      </w:r>
      <w:r w:rsidRPr="00CA4548">
        <w:t xml:space="preserve">.  In particular, the EAS codes </w:t>
      </w:r>
      <w:r>
        <w:t xml:space="preserve">consist of audible sounds in which </w:t>
      </w:r>
      <w:r w:rsidRPr="00CA4548">
        <w:t>encoded information concerning the particular alert</w:t>
      </w:r>
      <w:r>
        <w:t xml:space="preserve"> </w:t>
      </w:r>
      <w:r w:rsidR="00F72F89">
        <w:t>is</w:t>
      </w:r>
      <w:r>
        <w:t xml:space="preserve"> embedded</w:t>
      </w:r>
      <w:r w:rsidRPr="00CA4548">
        <w:t xml:space="preserve">.  </w:t>
      </w:r>
      <w:r>
        <w:t>The</w:t>
      </w:r>
      <w:r w:rsidRPr="00CA4548">
        <w:t xml:space="preserve"> separate </w:t>
      </w:r>
      <w:r>
        <w:t xml:space="preserve">EAS </w:t>
      </w:r>
      <w:r w:rsidRPr="00CA4548">
        <w:t xml:space="preserve">Attention Signal that follows the </w:t>
      </w:r>
      <w:r>
        <w:t xml:space="preserve">EAS </w:t>
      </w:r>
      <w:r w:rsidRPr="00CA4548">
        <w:t>codes is comp</w:t>
      </w:r>
      <w:r w:rsidR="00E155B6">
        <w:t>o</w:t>
      </w:r>
      <w:r w:rsidRPr="00CA4548">
        <w:t>sed of two tones that are transmitted simultaneously.</w:t>
      </w:r>
      <w:r>
        <w:rPr>
          <w:rStyle w:val="FootnoteReference"/>
          <w:sz w:val="22"/>
          <w:szCs w:val="22"/>
        </w:rPr>
        <w:footnoteReference w:id="3"/>
      </w:r>
    </w:p>
    <w:p w14:paraId="6F989689" w14:textId="77777777" w:rsidR="000E59DC" w:rsidRPr="00BF263B" w:rsidRDefault="000E59DC" w:rsidP="00D33545">
      <w:pPr>
        <w:pStyle w:val="ParaNum"/>
      </w:pPr>
      <w:r w:rsidRPr="00BF263B">
        <w:t>In this No</w:t>
      </w:r>
      <w:r w:rsidR="0049014B" w:rsidRPr="00BF263B">
        <w:t>t</w:t>
      </w:r>
      <w:r w:rsidRPr="00BF263B">
        <w:t>ice of Apparent Liability for Forfeiture</w:t>
      </w:r>
      <w:r w:rsidR="00E8534B" w:rsidRPr="00BF263B">
        <w:t xml:space="preserve"> </w:t>
      </w:r>
      <w:r w:rsidRPr="00BF263B">
        <w:t xml:space="preserve">(NAL), </w:t>
      </w:r>
      <w:r w:rsidR="006B218A" w:rsidRPr="00BF263B">
        <w:t>we find that</w:t>
      </w:r>
      <w:r w:rsidRPr="00BF263B">
        <w:t xml:space="preserve"> </w:t>
      </w:r>
      <w:r w:rsidR="00735923" w:rsidRPr="00BF263B">
        <w:t>three separate companies</w:t>
      </w:r>
      <w:r w:rsidR="008B4EF2" w:rsidRPr="00BF263B">
        <w:t>—</w:t>
      </w:r>
      <w:r w:rsidR="006B218A" w:rsidRPr="00BF263B">
        <w:t>Viacom Inc</w:t>
      </w:r>
      <w:r w:rsidR="00606D29" w:rsidRPr="00BF263B">
        <w:t>.</w:t>
      </w:r>
      <w:r w:rsidRPr="00BF263B">
        <w:t xml:space="preserve"> (</w:t>
      </w:r>
      <w:r w:rsidR="006B218A" w:rsidRPr="00BF263B">
        <w:t>Viacom</w:t>
      </w:r>
      <w:r w:rsidRPr="00BF263B">
        <w:t>)</w:t>
      </w:r>
      <w:r w:rsidR="006B218A" w:rsidRPr="00BF263B">
        <w:t>, NBCUniversal Media</w:t>
      </w:r>
      <w:r w:rsidR="00F72F89" w:rsidRPr="00BF263B">
        <w:t>,</w:t>
      </w:r>
      <w:r w:rsidR="006B218A" w:rsidRPr="00BF263B">
        <w:t xml:space="preserve"> LLC (NBCUniversal), and ESPN Inc. (ESPN)</w:t>
      </w:r>
      <w:r w:rsidR="00966195" w:rsidRPr="00BF263B">
        <w:t xml:space="preserve"> </w:t>
      </w:r>
      <w:r w:rsidR="0000745B" w:rsidRPr="00BF263B">
        <w:t>(collectively the Companies)</w:t>
      </w:r>
      <w:r w:rsidR="008B4EF2" w:rsidRPr="00BF263B">
        <w:t>—</w:t>
      </w:r>
      <w:r w:rsidRPr="00BF263B">
        <w:t xml:space="preserve">apparently willfully </w:t>
      </w:r>
      <w:r w:rsidR="00A63A04" w:rsidRPr="00BF263B">
        <w:t xml:space="preserve">and repeatedly </w:t>
      </w:r>
      <w:r w:rsidRPr="00BF263B">
        <w:t xml:space="preserve">violated Section </w:t>
      </w:r>
      <w:r w:rsidR="009B445B" w:rsidRPr="00BF263B">
        <w:t xml:space="preserve">325(a) of the </w:t>
      </w:r>
      <w:r w:rsidR="009B445B" w:rsidRPr="00BF263B">
        <w:lastRenderedPageBreak/>
        <w:t>Communications Act of 1934, as amended</w:t>
      </w:r>
      <w:r w:rsidR="00BB1BCB" w:rsidRPr="00BF263B">
        <w:t xml:space="preserve"> (Act)</w:t>
      </w:r>
      <w:r w:rsidR="006E2992" w:rsidRPr="00BF263B">
        <w:t>,</w:t>
      </w:r>
      <w:r w:rsidR="009B445B" w:rsidRPr="00F563A3">
        <w:rPr>
          <w:rStyle w:val="FootnoteReference"/>
          <w:spacing w:val="-2"/>
          <w:sz w:val="22"/>
          <w:szCs w:val="22"/>
        </w:rPr>
        <w:footnoteReference w:id="4"/>
      </w:r>
      <w:r w:rsidR="009B445B" w:rsidRPr="00BF263B">
        <w:t xml:space="preserve"> and </w:t>
      </w:r>
      <w:r w:rsidR="008B4FB7" w:rsidRPr="00BF263B">
        <w:t>Section</w:t>
      </w:r>
      <w:r w:rsidR="00244923" w:rsidRPr="00BF263B">
        <w:t xml:space="preserve"> </w:t>
      </w:r>
      <w:r w:rsidR="00606D29" w:rsidRPr="00BF263B">
        <w:t>11</w:t>
      </w:r>
      <w:r w:rsidRPr="00BF263B">
        <w:t>.</w:t>
      </w:r>
      <w:r w:rsidR="00606D29" w:rsidRPr="00BF263B">
        <w:t xml:space="preserve">45 </w:t>
      </w:r>
      <w:r w:rsidRPr="00BF263B">
        <w:t xml:space="preserve">of the Commission’s rules by </w:t>
      </w:r>
      <w:r w:rsidR="00870BB5" w:rsidRPr="00BF263B">
        <w:t xml:space="preserve">transmitting or </w:t>
      </w:r>
      <w:r w:rsidR="00BB1BCB" w:rsidRPr="00BF263B">
        <w:t xml:space="preserve">causing the transmission of </w:t>
      </w:r>
      <w:r w:rsidR="00132BC3" w:rsidRPr="00BF263B">
        <w:t xml:space="preserve">EAS </w:t>
      </w:r>
      <w:r w:rsidR="0069468C" w:rsidRPr="00BF263B">
        <w:t xml:space="preserve">codes or </w:t>
      </w:r>
      <w:r w:rsidR="00681DB5" w:rsidRPr="00BF263B">
        <w:t xml:space="preserve">the </w:t>
      </w:r>
      <w:r w:rsidR="0069468C" w:rsidRPr="00BF263B">
        <w:t>Attention</w:t>
      </w:r>
      <w:r w:rsidR="00842292" w:rsidRPr="00BF263B">
        <w:t xml:space="preserve"> Signal</w:t>
      </w:r>
      <w:r w:rsidR="006C293C" w:rsidRPr="00BF263B">
        <w:t>, or recordings</w:t>
      </w:r>
      <w:r w:rsidR="00842292" w:rsidRPr="00BF263B">
        <w:t xml:space="preserve"> or simulations thereof</w:t>
      </w:r>
      <w:r w:rsidR="001637C7" w:rsidRPr="00BF263B">
        <w:t xml:space="preserve"> (EAS Tones)</w:t>
      </w:r>
      <w:r w:rsidR="00735923" w:rsidRPr="00BF263B">
        <w:t>,</w:t>
      </w:r>
      <w:r w:rsidR="00BB1BCB" w:rsidRPr="00BF263B">
        <w:t xml:space="preserve"> in the absence of an actual emergency or authorized test of the EAS</w:t>
      </w:r>
      <w:r w:rsidR="00933692" w:rsidRPr="00BF263B">
        <w:t>.</w:t>
      </w:r>
      <w:r w:rsidRPr="001A7169">
        <w:rPr>
          <w:rStyle w:val="FootnoteReference"/>
          <w:spacing w:val="-2"/>
          <w:sz w:val="22"/>
          <w:szCs w:val="22"/>
        </w:rPr>
        <w:footnoteReference w:id="5"/>
      </w:r>
      <w:r w:rsidRPr="00BF263B">
        <w:t xml:space="preserve">  </w:t>
      </w:r>
      <w:r w:rsidR="00966195" w:rsidRPr="00BF263B">
        <w:t xml:space="preserve">Misuse of EAS </w:t>
      </w:r>
      <w:r w:rsidR="00D42CDD" w:rsidRPr="00BF263B">
        <w:t xml:space="preserve">Tones </w:t>
      </w:r>
      <w:r w:rsidR="00966195" w:rsidRPr="00BF263B">
        <w:t>raises serious public safety concerns</w:t>
      </w:r>
      <w:r w:rsidR="00FE57CD" w:rsidRPr="00BF263B">
        <w:t>.  F</w:t>
      </w:r>
      <w:r w:rsidR="00EA2EF8" w:rsidRPr="00BF263B">
        <w:t xml:space="preserve">rivolous, casual, or other </w:t>
      </w:r>
      <w:r w:rsidR="007705C7" w:rsidRPr="00BF263B">
        <w:t>use</w:t>
      </w:r>
      <w:r w:rsidR="00D913BD" w:rsidRPr="00BF263B">
        <w:t>s</w:t>
      </w:r>
      <w:r w:rsidR="007705C7" w:rsidRPr="00BF263B">
        <w:t xml:space="preserve"> of EAS </w:t>
      </w:r>
      <w:r w:rsidR="006E2992" w:rsidRPr="00BF263B">
        <w:t>T</w:t>
      </w:r>
      <w:r w:rsidR="007705C7" w:rsidRPr="00BF263B">
        <w:t xml:space="preserve">ones </w:t>
      </w:r>
      <w:r w:rsidR="00961F88" w:rsidRPr="00BF263B">
        <w:t xml:space="preserve">for </w:t>
      </w:r>
      <w:r w:rsidR="00D42CDD" w:rsidRPr="00BF263B">
        <w:t xml:space="preserve">reasons </w:t>
      </w:r>
      <w:r w:rsidR="00961F88" w:rsidRPr="00BF263B">
        <w:t xml:space="preserve">other than their </w:t>
      </w:r>
      <w:r w:rsidR="00C34AC8" w:rsidRPr="00BF263B">
        <w:t xml:space="preserve">defined </w:t>
      </w:r>
      <w:r w:rsidR="00961F88" w:rsidRPr="00BF263B">
        <w:t xml:space="preserve">purpose </w:t>
      </w:r>
      <w:r w:rsidR="007705C7" w:rsidRPr="00BF263B">
        <w:t>can desensitize viewers to the tones and thereby undermine the effectiveness of the system in the event of an actual emergency.</w:t>
      </w:r>
      <w:r w:rsidR="002534FA" w:rsidRPr="00BF263B">
        <w:t xml:space="preserve">  </w:t>
      </w:r>
      <w:r w:rsidR="00410447" w:rsidRPr="00BF263B">
        <w:t>Although admit</w:t>
      </w:r>
      <w:r w:rsidR="00F8074B" w:rsidRPr="00BF263B">
        <w:t>ting</w:t>
      </w:r>
      <w:r w:rsidR="00410447" w:rsidRPr="00BF263B">
        <w:t xml:space="preserve"> </w:t>
      </w:r>
      <w:r w:rsidR="00F8074B" w:rsidRPr="00BF263B">
        <w:t xml:space="preserve">their </w:t>
      </w:r>
      <w:r w:rsidR="00410447" w:rsidRPr="00BF263B">
        <w:t>inclu</w:t>
      </w:r>
      <w:r w:rsidR="00F8074B" w:rsidRPr="00BF263B">
        <w:t>sion of</w:t>
      </w:r>
      <w:r w:rsidR="00410447" w:rsidRPr="00BF263B">
        <w:t xml:space="preserve"> actual EAS Tones in commercials transmitted in their programming, the Companies have questioned their liability </w:t>
      </w:r>
      <w:r w:rsidR="00F8074B" w:rsidRPr="00BF263B">
        <w:t>under</w:t>
      </w:r>
      <w:r w:rsidR="00410447" w:rsidRPr="00BF263B">
        <w:t xml:space="preserve"> the Act and the </w:t>
      </w:r>
      <w:r w:rsidR="002263E3">
        <w:t xml:space="preserve">Commission’s </w:t>
      </w:r>
      <w:r w:rsidR="00410447" w:rsidRPr="00BF263B">
        <w:t xml:space="preserve">rules.  </w:t>
      </w:r>
      <w:r w:rsidR="00863AF6" w:rsidRPr="00F25A6F">
        <w:t xml:space="preserve">As fully discussed below, </w:t>
      </w:r>
      <w:r w:rsidR="00BF263B" w:rsidRPr="00F25A6F">
        <w:t xml:space="preserve">we find that the Companies </w:t>
      </w:r>
      <w:r w:rsidR="00410447" w:rsidRPr="00F25A6F">
        <w:t xml:space="preserve">apparently committed multiple violations of the Act and the </w:t>
      </w:r>
      <w:r w:rsidR="002263E3">
        <w:t xml:space="preserve">Commission’s </w:t>
      </w:r>
      <w:r w:rsidR="00410447" w:rsidRPr="00F25A6F">
        <w:t>rules</w:t>
      </w:r>
      <w:r w:rsidR="00760B4E" w:rsidRPr="00F25A6F">
        <w:t xml:space="preserve"> by transmitting or causing the transmission of the</w:t>
      </w:r>
      <w:r w:rsidR="00282CF1" w:rsidRPr="00F25A6F">
        <w:t xml:space="preserve"> EAS</w:t>
      </w:r>
      <w:r w:rsidR="00760B4E" w:rsidRPr="00F25A6F">
        <w:t xml:space="preserve"> </w:t>
      </w:r>
      <w:r w:rsidR="00F8074B" w:rsidRPr="00F25A6F">
        <w:t>Tones</w:t>
      </w:r>
      <w:r w:rsidR="00760B4E" w:rsidRPr="00F25A6F">
        <w:t xml:space="preserve"> in the absence of an actual emergency or authorized test of the EAS.  </w:t>
      </w:r>
      <w:r w:rsidR="00F8074B" w:rsidRPr="00F25A6F">
        <w:t>T</w:t>
      </w:r>
      <w:r w:rsidR="00410447" w:rsidRPr="00F25A6F">
        <w:t>he</w:t>
      </w:r>
      <w:r w:rsidR="00760B4E" w:rsidRPr="00F25A6F">
        <w:t xml:space="preserve"> prohibition</w:t>
      </w:r>
      <w:r w:rsidR="00F8074B" w:rsidRPr="00F25A6F">
        <w:t xml:space="preserve"> on such transmission</w:t>
      </w:r>
      <w:r w:rsidR="00760B4E" w:rsidRPr="00F25A6F">
        <w:t>s ha</w:t>
      </w:r>
      <w:r w:rsidR="00F8074B" w:rsidRPr="00F25A6F">
        <w:t>s</w:t>
      </w:r>
      <w:r w:rsidR="00760B4E" w:rsidRPr="00F25A6F">
        <w:t xml:space="preserve"> been in place for many years and clearly appl</w:t>
      </w:r>
      <w:r w:rsidR="00F8074B" w:rsidRPr="00F25A6F">
        <w:t>ies</w:t>
      </w:r>
      <w:r w:rsidR="00760B4E" w:rsidRPr="00F25A6F">
        <w:t xml:space="preserve"> to the Companies</w:t>
      </w:r>
      <w:r w:rsidR="00F8074B" w:rsidRPr="00F25A6F">
        <w:t>’</w:t>
      </w:r>
      <w:r w:rsidR="00BF263B" w:rsidRPr="00F25A6F">
        <w:t xml:space="preserve"> actions.  Furthermore, although we reject their assertions that actual deception or intent to deceive is required to find a violation of either the Act or the </w:t>
      </w:r>
      <w:r w:rsidR="002263E3">
        <w:t xml:space="preserve">Commission’s </w:t>
      </w:r>
      <w:r w:rsidR="00BF263B" w:rsidRPr="00F25A6F">
        <w:t xml:space="preserve">rules, the record reflects the Companies’ misuse of the EAS Tones in fact created a false sense of emergency for certain members of the public.  </w:t>
      </w:r>
      <w:r w:rsidRPr="00F25A6F">
        <w:t>As</w:t>
      </w:r>
      <w:r w:rsidR="00933692" w:rsidRPr="00F25A6F">
        <w:t xml:space="preserve"> a result, </w:t>
      </w:r>
      <w:r w:rsidR="00D8416F" w:rsidRPr="00F25A6F">
        <w:t xml:space="preserve">and based on the record before us, </w:t>
      </w:r>
      <w:r w:rsidR="00933692" w:rsidRPr="00F25A6F">
        <w:t xml:space="preserve">we </w:t>
      </w:r>
      <w:r w:rsidR="0000745B" w:rsidRPr="00F25A6F">
        <w:t>find Viacom</w:t>
      </w:r>
      <w:r w:rsidRPr="00F25A6F">
        <w:t xml:space="preserve"> apparently liable for a forfeiture in the amount </w:t>
      </w:r>
      <w:r w:rsidR="00FE18D6" w:rsidRPr="00F25A6F">
        <w:t xml:space="preserve">of </w:t>
      </w:r>
      <w:r w:rsidR="00D11E1D" w:rsidRPr="00F25A6F">
        <w:t xml:space="preserve">one million, one hundred twenty thousand dollars ($1,120,000); </w:t>
      </w:r>
      <w:r w:rsidR="0000745B" w:rsidRPr="00F25A6F">
        <w:t xml:space="preserve">we find NBCUniversal apparently liable for a forfeiture in the amount of </w:t>
      </w:r>
      <w:r w:rsidR="00B743E6" w:rsidRPr="00F25A6F">
        <w:rPr>
          <w:rStyle w:val="documentbody1"/>
          <w:rFonts w:ascii="Times New Roman" w:hAnsi="Times New Roman"/>
          <w:color w:val="000000"/>
          <w:sz w:val="22"/>
          <w:szCs w:val="22"/>
        </w:rPr>
        <w:t>five hundred thirty</w:t>
      </w:r>
      <w:r w:rsidR="00D11E1D" w:rsidRPr="00F25A6F">
        <w:rPr>
          <w:rStyle w:val="documentbody1"/>
          <w:rFonts w:ascii="Times New Roman" w:hAnsi="Times New Roman"/>
          <w:color w:val="000000"/>
          <w:sz w:val="22"/>
          <w:szCs w:val="22"/>
        </w:rPr>
        <w:t xml:space="preserve"> thousand dollars ($</w:t>
      </w:r>
      <w:r w:rsidR="00B743E6" w:rsidRPr="00F25A6F">
        <w:rPr>
          <w:rStyle w:val="documentbody1"/>
          <w:rFonts w:ascii="Times New Roman" w:hAnsi="Times New Roman"/>
          <w:color w:val="000000"/>
          <w:sz w:val="22"/>
          <w:szCs w:val="22"/>
        </w:rPr>
        <w:t>530</w:t>
      </w:r>
      <w:r w:rsidR="00D11E1D" w:rsidRPr="00F25A6F">
        <w:rPr>
          <w:rStyle w:val="documentbody1"/>
          <w:rFonts w:ascii="Times New Roman" w:hAnsi="Times New Roman"/>
          <w:color w:val="000000"/>
          <w:sz w:val="22"/>
          <w:szCs w:val="22"/>
        </w:rPr>
        <w:t>,000)</w:t>
      </w:r>
      <w:r w:rsidR="000E06B7" w:rsidRPr="00F25A6F">
        <w:t xml:space="preserve">; </w:t>
      </w:r>
      <w:r w:rsidR="0000745B" w:rsidRPr="00F25A6F">
        <w:t>and we find ESPN apparently liable for a forfeiture in the amount</w:t>
      </w:r>
      <w:r w:rsidR="007C07DD" w:rsidRPr="00F25A6F">
        <w:t xml:space="preserve"> of </w:t>
      </w:r>
      <w:r w:rsidR="00D11E1D" w:rsidRPr="00F25A6F">
        <w:rPr>
          <w:rStyle w:val="documentbody1"/>
          <w:rFonts w:ascii="Times New Roman" w:hAnsi="Times New Roman"/>
          <w:color w:val="000000"/>
          <w:sz w:val="22"/>
          <w:szCs w:val="22"/>
        </w:rPr>
        <w:t>two hundred eighty thousand dollars ($280,000).</w:t>
      </w:r>
    </w:p>
    <w:p w14:paraId="4BD3F5DD" w14:textId="77777777" w:rsidR="00DD0B1D" w:rsidRPr="00F563A3" w:rsidRDefault="000E59DC" w:rsidP="00D33545">
      <w:pPr>
        <w:pStyle w:val="Heading1"/>
      </w:pPr>
      <w:r w:rsidRPr="00F563A3">
        <w:t>BACKGROUND</w:t>
      </w:r>
    </w:p>
    <w:p w14:paraId="1D8BEEF0" w14:textId="77777777" w:rsidR="007C07DD" w:rsidRPr="007C07DD" w:rsidRDefault="00CA53A4" w:rsidP="00D33545">
      <w:pPr>
        <w:pStyle w:val="ParaNum"/>
      </w:pPr>
      <w:r>
        <w:t>In March of 2013, t</w:t>
      </w:r>
      <w:r w:rsidR="000E59DC" w:rsidRPr="00F563A3">
        <w:t xml:space="preserve">he Commission received </w:t>
      </w:r>
      <w:r w:rsidR="00842292" w:rsidRPr="00F563A3">
        <w:t xml:space="preserve">complaints alleging that </w:t>
      </w:r>
      <w:r w:rsidR="0000745B">
        <w:t>the Companies</w:t>
      </w:r>
      <w:r w:rsidR="00842292" w:rsidRPr="00F563A3">
        <w:t xml:space="preserve"> violated</w:t>
      </w:r>
      <w:r w:rsidR="00BB1BCB">
        <w:t xml:space="preserve"> Section 325(a) of the Act and </w:t>
      </w:r>
      <w:r w:rsidR="00842292" w:rsidRPr="00F563A3">
        <w:t>Section 11.45 of the Commission’</w:t>
      </w:r>
      <w:r w:rsidR="00DD0B1D" w:rsidRPr="00F563A3">
        <w:t xml:space="preserve">s </w:t>
      </w:r>
      <w:r w:rsidR="00377259">
        <w:t>r</w:t>
      </w:r>
      <w:r w:rsidR="00DD0B1D" w:rsidRPr="00F563A3">
        <w:t>ules</w:t>
      </w:r>
      <w:r w:rsidR="00544F64">
        <w:t xml:space="preserve"> </w:t>
      </w:r>
      <w:r w:rsidR="00966195">
        <w:t xml:space="preserve">(EAS Rules) </w:t>
      </w:r>
      <w:r w:rsidR="00544F64">
        <w:t>related to misuse of the EAS codes or Attention Signal</w:t>
      </w:r>
      <w:r w:rsidR="00B20886">
        <w:rPr>
          <w:rStyle w:val="FootnoteReference"/>
          <w:spacing w:val="-2"/>
          <w:sz w:val="22"/>
          <w:szCs w:val="22"/>
        </w:rPr>
        <w:footnoteReference w:id="6"/>
      </w:r>
      <w:r w:rsidR="0000745B">
        <w:t xml:space="preserve"> when </w:t>
      </w:r>
      <w:r w:rsidR="00780F4B" w:rsidRPr="00966195">
        <w:t>they</w:t>
      </w:r>
      <w:r w:rsidR="0000745B" w:rsidRPr="00966195">
        <w:t xml:space="preserve"> </w:t>
      </w:r>
      <w:r w:rsidR="00804133" w:rsidRPr="00966195">
        <w:t xml:space="preserve">each </w:t>
      </w:r>
      <w:r w:rsidR="007F5A84" w:rsidRPr="00966195">
        <w:t>play</w:t>
      </w:r>
      <w:r w:rsidR="00AA271F" w:rsidRPr="00966195">
        <w:t xml:space="preserve">ed EAS </w:t>
      </w:r>
      <w:r w:rsidR="00015839">
        <w:t>T</w:t>
      </w:r>
      <w:r w:rsidR="00AA271F" w:rsidRPr="00966195">
        <w:t>one</w:t>
      </w:r>
      <w:r w:rsidR="00804133" w:rsidRPr="00966195">
        <w:t>s</w:t>
      </w:r>
      <w:r w:rsidR="00AA271F" w:rsidRPr="00966195">
        <w:t xml:space="preserve"> </w:t>
      </w:r>
      <w:r w:rsidR="00804133" w:rsidRPr="00966195">
        <w:t xml:space="preserve">during a commercial for the </w:t>
      </w:r>
      <w:r w:rsidR="00804133">
        <w:t xml:space="preserve">movie </w:t>
      </w:r>
      <w:r w:rsidR="00F21F4C">
        <w:rPr>
          <w:i/>
        </w:rPr>
        <w:t>O</w:t>
      </w:r>
      <w:r w:rsidR="0000745B" w:rsidRPr="00F21F4C">
        <w:rPr>
          <w:i/>
        </w:rPr>
        <w:t>lympus Has Fallen</w:t>
      </w:r>
      <w:r w:rsidR="002534FA" w:rsidRPr="00562137">
        <w:rPr>
          <w:i/>
        </w:rPr>
        <w:t xml:space="preserve"> </w:t>
      </w:r>
      <w:r w:rsidR="007F5A84">
        <w:t xml:space="preserve">(the </w:t>
      </w:r>
      <w:r w:rsidR="007F5A84" w:rsidRPr="007F5A84">
        <w:rPr>
          <w:i/>
        </w:rPr>
        <w:t>No Surrender Trailer</w:t>
      </w:r>
      <w:r w:rsidR="007F5A84">
        <w:t>)</w:t>
      </w:r>
      <w:r w:rsidR="0000745B" w:rsidRPr="007C07DD">
        <w:t>.</w:t>
      </w:r>
      <w:r w:rsidR="00D84B9C">
        <w:rPr>
          <w:rStyle w:val="FootnoteReference"/>
          <w:spacing w:val="-2"/>
          <w:sz w:val="22"/>
          <w:szCs w:val="22"/>
        </w:rPr>
        <w:footnoteReference w:id="7"/>
      </w:r>
      <w:r w:rsidR="0000745B" w:rsidRPr="007C07DD">
        <w:t xml:space="preserve">  </w:t>
      </w:r>
    </w:p>
    <w:p w14:paraId="1C5A23E3" w14:textId="77777777" w:rsidR="007C07DD" w:rsidRPr="007C07DD" w:rsidRDefault="00DD0B1D" w:rsidP="00D33545">
      <w:pPr>
        <w:pStyle w:val="ParaNum"/>
      </w:pPr>
      <w:r w:rsidRPr="00F563A3">
        <w:t xml:space="preserve">The </w:t>
      </w:r>
      <w:r w:rsidR="004566AF">
        <w:t>First</w:t>
      </w:r>
      <w:r w:rsidRPr="00F563A3">
        <w:t xml:space="preserve"> C</w:t>
      </w:r>
      <w:r w:rsidR="00842292" w:rsidRPr="00F563A3">
        <w:t xml:space="preserve">omplaint, dated </w:t>
      </w:r>
      <w:r w:rsidR="004566AF">
        <w:t>March 4, 2013</w:t>
      </w:r>
      <w:r w:rsidR="00842292" w:rsidRPr="00F563A3">
        <w:t xml:space="preserve">, alleges that on </w:t>
      </w:r>
      <w:r w:rsidR="004566AF">
        <w:t>that date at 11:30 a</w:t>
      </w:r>
      <w:r w:rsidR="00842292" w:rsidRPr="00F563A3">
        <w:t xml:space="preserve">.m., </w:t>
      </w:r>
      <w:r w:rsidR="00A62494" w:rsidRPr="00F563A3">
        <w:t>the complainant viewed</w:t>
      </w:r>
      <w:r w:rsidR="004566AF">
        <w:t xml:space="preserve"> a </w:t>
      </w:r>
      <w:r w:rsidR="00780F4B">
        <w:t>“preview”</w:t>
      </w:r>
      <w:r w:rsidR="004566AF">
        <w:t xml:space="preserve"> for </w:t>
      </w:r>
      <w:r w:rsidR="004566AF" w:rsidRPr="00F21F4C">
        <w:rPr>
          <w:i/>
        </w:rPr>
        <w:t>Olympus Has Fallen</w:t>
      </w:r>
      <w:r w:rsidR="004566AF">
        <w:t xml:space="preserve"> on the Comedy Central Channel.</w:t>
      </w:r>
      <w:r w:rsidR="004566AF">
        <w:rPr>
          <w:rStyle w:val="FootnoteReference"/>
          <w:spacing w:val="-2"/>
          <w:sz w:val="22"/>
          <w:szCs w:val="22"/>
        </w:rPr>
        <w:footnoteReference w:id="8"/>
      </w:r>
      <w:r w:rsidR="004566AF">
        <w:t xml:space="preserve">  The complainant states that “[t]he EAS tones were used during an aerial fast action preview scene</w:t>
      </w:r>
      <w:r w:rsidR="00B16D0A">
        <w:t xml:space="preserve"> </w:t>
      </w:r>
      <w:r w:rsidR="004566AF">
        <w:t>. . . .  [I] do not feel [Comedy Central] should be allowed to use this tone for commercial exploitation of this movie.”</w:t>
      </w:r>
      <w:r w:rsidR="000E59DC" w:rsidRPr="00F563A3">
        <w:rPr>
          <w:rStyle w:val="FootnoteReference"/>
          <w:color w:val="000000"/>
          <w:sz w:val="22"/>
          <w:szCs w:val="22"/>
        </w:rPr>
        <w:footnoteReference w:id="9"/>
      </w:r>
      <w:r w:rsidR="000E59DC" w:rsidRPr="00F563A3">
        <w:rPr>
          <w:color w:val="000000"/>
        </w:rPr>
        <w:t xml:space="preserve">  </w:t>
      </w:r>
    </w:p>
    <w:p w14:paraId="491F85DE" w14:textId="77777777" w:rsidR="007C07DD" w:rsidRPr="007C07DD" w:rsidRDefault="004566AF" w:rsidP="00D33545">
      <w:pPr>
        <w:pStyle w:val="ParaNum"/>
        <w:rPr>
          <w:spacing w:val="-2"/>
        </w:rPr>
      </w:pPr>
      <w:r>
        <w:t xml:space="preserve">A Second Complaint, dated March </w:t>
      </w:r>
      <w:r w:rsidR="00A84E8E">
        <w:t>5</w:t>
      </w:r>
      <w:r>
        <w:t>, 2013, alleges that on</w:t>
      </w:r>
      <w:r w:rsidR="009D765D">
        <w:t xml:space="preserve"> </w:t>
      </w:r>
      <w:r w:rsidR="00CC166E">
        <w:t>March 4, 2013,</w:t>
      </w:r>
      <w:r w:rsidR="009D765D">
        <w:t xml:space="preserve"> between 4:00 p.m. and 6:00 p.m., the complainant viewed a </w:t>
      </w:r>
      <w:r w:rsidR="00780F4B">
        <w:t>“TV Spot”</w:t>
      </w:r>
      <w:r w:rsidR="009D765D">
        <w:t xml:space="preserve"> for </w:t>
      </w:r>
      <w:r w:rsidR="00F21F4C">
        <w:rPr>
          <w:i/>
        </w:rPr>
        <w:t>Olympus Has Fallen</w:t>
      </w:r>
      <w:r w:rsidR="009D765D">
        <w:t xml:space="preserve"> on ESPN, which “seemed to play artifacts of EAS digital data plus some of the two-tone [signal].”</w:t>
      </w:r>
      <w:r w:rsidR="000E59DC" w:rsidRPr="00F563A3">
        <w:rPr>
          <w:rStyle w:val="FootnoteReference"/>
          <w:color w:val="000000"/>
          <w:sz w:val="22"/>
          <w:szCs w:val="22"/>
        </w:rPr>
        <w:footnoteReference w:id="10"/>
      </w:r>
      <w:r w:rsidR="00DD0B1D" w:rsidRPr="00F563A3">
        <w:t xml:space="preserve"> </w:t>
      </w:r>
    </w:p>
    <w:p w14:paraId="595F7DA6" w14:textId="77777777" w:rsidR="00DD0B1D" w:rsidRPr="00F563A3" w:rsidRDefault="009D765D" w:rsidP="00D33545">
      <w:pPr>
        <w:pStyle w:val="ParaNum"/>
        <w:widowControl/>
        <w:rPr>
          <w:spacing w:val="-2"/>
        </w:rPr>
      </w:pPr>
      <w:r>
        <w:lastRenderedPageBreak/>
        <w:t xml:space="preserve">A Third Complaint, </w:t>
      </w:r>
      <w:r w:rsidR="00EE4E02">
        <w:t xml:space="preserve">also </w:t>
      </w:r>
      <w:r>
        <w:t xml:space="preserve">dated March 5, 2013, alleges that on that date, at 8:30 p.m., the complainant viewed a </w:t>
      </w:r>
      <w:r w:rsidR="00780F4B">
        <w:t>“commercial”</w:t>
      </w:r>
      <w:r>
        <w:t xml:space="preserve"> for </w:t>
      </w:r>
      <w:r w:rsidR="007C07DD" w:rsidRPr="00F21F4C">
        <w:rPr>
          <w:i/>
        </w:rPr>
        <w:t>Olym</w:t>
      </w:r>
      <w:r w:rsidRPr="00F21F4C">
        <w:rPr>
          <w:i/>
        </w:rPr>
        <w:t>pus Has Fallen</w:t>
      </w:r>
      <w:r>
        <w:t xml:space="preserve"> on SyFy</w:t>
      </w:r>
      <w:r w:rsidR="00601DC7">
        <w:t xml:space="preserve"> Channel</w:t>
      </w:r>
      <w:r>
        <w:t>, which “uses EAS tones.”</w:t>
      </w:r>
      <w:r>
        <w:rPr>
          <w:rStyle w:val="FootnoteReference"/>
          <w:color w:val="000000"/>
          <w:sz w:val="22"/>
          <w:szCs w:val="22"/>
        </w:rPr>
        <w:footnoteReference w:id="11"/>
      </w:r>
      <w:r>
        <w:t xml:space="preserve">  The complainant further states that “[t]his is misleading and had our entire family running to the TV to find out what was going on, only to find it was a commercial.  Very tricky, misleading, and potentially dangerous when people get used to ‘tuning out’ the EAS tones . . . .  </w:t>
      </w:r>
      <w:r w:rsidR="00CC166E">
        <w:t>[</w:t>
      </w:r>
      <w:r>
        <w:t>I</w:t>
      </w:r>
      <w:r w:rsidR="00CC166E">
        <w:t>]</w:t>
      </w:r>
      <w:r>
        <w:t>t should be illegal for anyone but the proper authorities to use the EAS tone</w:t>
      </w:r>
      <w:r w:rsidR="00002577">
        <w:t>s . . . .</w:t>
      </w:r>
      <w:r>
        <w:t>”</w:t>
      </w:r>
      <w:r w:rsidR="00F76B87">
        <w:rPr>
          <w:rStyle w:val="FootnoteReference"/>
          <w:color w:val="000000"/>
          <w:sz w:val="22"/>
          <w:szCs w:val="22"/>
        </w:rPr>
        <w:footnoteReference w:id="12"/>
      </w:r>
      <w:r w:rsidR="00002577">
        <w:t xml:space="preserve">  The complainant further notes</w:t>
      </w:r>
      <w:r>
        <w:t xml:space="preserve"> that the tone used in the </w:t>
      </w:r>
      <w:r w:rsidRPr="00F21F4C">
        <w:rPr>
          <w:i/>
        </w:rPr>
        <w:t>Olympus Has Fallen</w:t>
      </w:r>
      <w:r>
        <w:t xml:space="preserve"> trailer was “similar enough that one of my children started to quickly get out of the bathtub thinking there </w:t>
      </w:r>
      <w:r w:rsidR="001D5251">
        <w:t>w</w:t>
      </w:r>
      <w:r>
        <w:t>as an emergency</w:t>
      </w:r>
      <w:r w:rsidR="00B16D0A">
        <w:t xml:space="preserve"> </w:t>
      </w:r>
      <w:r>
        <w:t>. . . .  Around here in [S]outhwest Missouri . . . we are always on high alert for EAS tones due to tornadoes, especially approaching spring</w:t>
      </w:r>
      <w:r w:rsidR="004753E9">
        <w:t xml:space="preserve"> </w:t>
      </w:r>
      <w:r>
        <w:t>time.  It could be devastating if people learn to ignore the EAS tones and of course it is hardly fair to trick people into running to the television to watch your commercial.”</w:t>
      </w:r>
      <w:r w:rsidR="00F76B87">
        <w:rPr>
          <w:rStyle w:val="FootnoteReference"/>
          <w:color w:val="000000"/>
          <w:sz w:val="22"/>
          <w:szCs w:val="22"/>
        </w:rPr>
        <w:footnoteReference w:id="13"/>
      </w:r>
    </w:p>
    <w:p w14:paraId="3F6427A4" w14:textId="77777777" w:rsidR="00D33545" w:rsidRDefault="000E59DC" w:rsidP="00D33545">
      <w:pPr>
        <w:pStyle w:val="ParaNum"/>
      </w:pPr>
      <w:r w:rsidRPr="00F563A3">
        <w:t>In response to the</w:t>
      </w:r>
      <w:r w:rsidR="00DD0B1D" w:rsidRPr="00F563A3">
        <w:t xml:space="preserve"> </w:t>
      </w:r>
      <w:r w:rsidR="00D80E1B">
        <w:t>complaints</w:t>
      </w:r>
      <w:r w:rsidRPr="00F563A3">
        <w:t xml:space="preserve">, the </w:t>
      </w:r>
      <w:r w:rsidR="00A63A04">
        <w:t>Enforcement Bureau</w:t>
      </w:r>
      <w:r w:rsidR="003A0CF1">
        <w:t>’s</w:t>
      </w:r>
      <w:r w:rsidR="00DD0B1D" w:rsidRPr="00F563A3">
        <w:t xml:space="preserve"> Investigations and Hearings Division</w:t>
      </w:r>
      <w:r w:rsidRPr="00F563A3">
        <w:t xml:space="preserve"> </w:t>
      </w:r>
      <w:r w:rsidR="00D80E1B">
        <w:t>sent</w:t>
      </w:r>
      <w:r w:rsidR="00DD0B1D" w:rsidRPr="00F563A3">
        <w:t xml:space="preserve"> </w:t>
      </w:r>
      <w:r w:rsidR="00002577">
        <w:t>l</w:t>
      </w:r>
      <w:r w:rsidR="00DD0B1D" w:rsidRPr="00F563A3">
        <w:t>etter</w:t>
      </w:r>
      <w:r w:rsidR="00D80E1B">
        <w:t>s</w:t>
      </w:r>
      <w:r w:rsidR="00002577">
        <w:t xml:space="preserve"> of i</w:t>
      </w:r>
      <w:r w:rsidR="00DD0B1D" w:rsidRPr="00F563A3">
        <w:t xml:space="preserve">nquiry to </w:t>
      </w:r>
      <w:r w:rsidR="004F2CED">
        <w:t>Viacom</w:t>
      </w:r>
      <w:r w:rsidR="00DD0B1D" w:rsidRPr="00F563A3">
        <w:t>,</w:t>
      </w:r>
      <w:r w:rsidR="00B105EC">
        <w:rPr>
          <w:rStyle w:val="FootnoteReference"/>
          <w:spacing w:val="-2"/>
          <w:sz w:val="22"/>
          <w:szCs w:val="22"/>
        </w:rPr>
        <w:footnoteReference w:id="14"/>
      </w:r>
      <w:r w:rsidR="00DD0B1D" w:rsidRPr="00F563A3">
        <w:t xml:space="preserve"> </w:t>
      </w:r>
      <w:r w:rsidR="00D80E1B">
        <w:t>The Walt Disney Company / ESPN,</w:t>
      </w:r>
      <w:r w:rsidR="00B105EC">
        <w:rPr>
          <w:rStyle w:val="FootnoteReference"/>
          <w:spacing w:val="-2"/>
          <w:sz w:val="22"/>
          <w:szCs w:val="22"/>
        </w:rPr>
        <w:footnoteReference w:id="15"/>
      </w:r>
      <w:r w:rsidR="00D80E1B">
        <w:t xml:space="preserve"> and NBCUniversal,</w:t>
      </w:r>
      <w:r w:rsidR="00B105EC">
        <w:rPr>
          <w:rStyle w:val="FootnoteReference"/>
          <w:spacing w:val="-2"/>
          <w:sz w:val="22"/>
          <w:szCs w:val="22"/>
        </w:rPr>
        <w:footnoteReference w:id="16"/>
      </w:r>
      <w:r w:rsidR="00D80E1B">
        <w:t xml:space="preserve"> </w:t>
      </w:r>
      <w:r w:rsidR="00DD0B1D" w:rsidRPr="00F563A3">
        <w:t xml:space="preserve">dated </w:t>
      </w:r>
      <w:r w:rsidR="004F2CED">
        <w:t>April 8</w:t>
      </w:r>
      <w:r w:rsidR="00DD0B1D" w:rsidRPr="00F563A3">
        <w:t>, 2013, directing</w:t>
      </w:r>
      <w:r w:rsidR="00240043">
        <w:t xml:space="preserve"> each of</w:t>
      </w:r>
      <w:r w:rsidR="00DD0B1D" w:rsidRPr="00F563A3">
        <w:t xml:space="preserve"> </w:t>
      </w:r>
      <w:r w:rsidR="00D80E1B">
        <w:t>the Companies</w:t>
      </w:r>
      <w:r w:rsidR="00DD0B1D" w:rsidRPr="00F563A3">
        <w:t xml:space="preserve"> to submit, among other things, recordings of the </w:t>
      </w:r>
      <w:r w:rsidR="00780F4B" w:rsidRPr="00780F4B">
        <w:rPr>
          <w:i/>
        </w:rPr>
        <w:t>No Surrender Trailer</w:t>
      </w:r>
      <w:r w:rsidR="004F2CED">
        <w:t xml:space="preserve"> </w:t>
      </w:r>
      <w:r w:rsidR="00881AE1" w:rsidRPr="00F563A3">
        <w:t>and sworn</w:t>
      </w:r>
      <w:r w:rsidR="00DD0B1D" w:rsidRPr="00F563A3">
        <w:t xml:space="preserve"> written statements </w:t>
      </w:r>
      <w:r w:rsidR="00240043">
        <w:t>as to whether it had transmitted, or caused to transmit, that trailer</w:t>
      </w:r>
      <w:r w:rsidRPr="00F563A3">
        <w:t>.</w:t>
      </w:r>
      <w:r w:rsidRPr="00F563A3">
        <w:rPr>
          <w:rStyle w:val="FootnoteReference"/>
          <w:spacing w:val="-2"/>
          <w:sz w:val="22"/>
          <w:szCs w:val="22"/>
        </w:rPr>
        <w:footnoteReference w:id="17"/>
      </w:r>
      <w:r w:rsidRPr="00F563A3">
        <w:t xml:space="preserve">  </w:t>
      </w:r>
      <w:r w:rsidR="00173BF3">
        <w:t>Each of t</w:t>
      </w:r>
      <w:r w:rsidR="00D80E1B">
        <w:t xml:space="preserve">he Companies </w:t>
      </w:r>
      <w:r w:rsidR="00881AE1" w:rsidRPr="00F563A3">
        <w:t xml:space="preserve">responded </w:t>
      </w:r>
      <w:r w:rsidR="00002577">
        <w:t xml:space="preserve">to </w:t>
      </w:r>
      <w:r w:rsidR="00EB43EB">
        <w:t>its</w:t>
      </w:r>
      <w:r w:rsidR="00002577">
        <w:t xml:space="preserve"> respective letter of i</w:t>
      </w:r>
      <w:r w:rsidR="00D80E1B">
        <w:t xml:space="preserve">nquiry on </w:t>
      </w:r>
      <w:r w:rsidR="004F2CED">
        <w:t>May 22</w:t>
      </w:r>
      <w:r w:rsidR="00881AE1" w:rsidRPr="00F563A3">
        <w:t>, 2013</w:t>
      </w:r>
      <w:r w:rsidRPr="00F563A3">
        <w:t>.</w:t>
      </w:r>
      <w:r w:rsidRPr="00F563A3">
        <w:rPr>
          <w:rStyle w:val="FootnoteReference"/>
          <w:spacing w:val="-2"/>
          <w:sz w:val="22"/>
          <w:szCs w:val="22"/>
        </w:rPr>
        <w:footnoteReference w:id="18"/>
      </w:r>
      <w:r w:rsidRPr="00F563A3">
        <w:t xml:space="preserve">  </w:t>
      </w:r>
    </w:p>
    <w:p w14:paraId="00518C5C" w14:textId="77777777" w:rsidR="004F2CED" w:rsidRDefault="00B105EC" w:rsidP="00514178">
      <w:pPr>
        <w:pStyle w:val="Heading2"/>
        <w:rPr>
          <w:szCs w:val="22"/>
        </w:rPr>
      </w:pPr>
      <w:r w:rsidRPr="006700E2">
        <w:t xml:space="preserve">Viacom’s Response </w:t>
      </w:r>
      <w:r>
        <w:rPr>
          <w:szCs w:val="22"/>
        </w:rPr>
        <w:t xml:space="preserve"> </w:t>
      </w:r>
    </w:p>
    <w:p w14:paraId="5382475D" w14:textId="77777777" w:rsidR="00330CBF" w:rsidRPr="00330CBF" w:rsidRDefault="00E018F3" w:rsidP="00D33545">
      <w:pPr>
        <w:pStyle w:val="ParaNum"/>
      </w:pPr>
      <w:r>
        <w:t>In its response,</w:t>
      </w:r>
      <w:r w:rsidR="00B105EC">
        <w:t xml:space="preserve"> </w:t>
      </w:r>
      <w:r w:rsidR="00002577">
        <w:t xml:space="preserve">Viacom </w:t>
      </w:r>
      <w:r w:rsidR="00E155B6">
        <w:t>acknowledge</w:t>
      </w:r>
      <w:r w:rsidR="00617643">
        <w:t>s</w:t>
      </w:r>
      <w:r w:rsidR="00693F01">
        <w:t xml:space="preserve"> </w:t>
      </w:r>
      <w:r w:rsidR="009F1A22">
        <w:t xml:space="preserve">that the </w:t>
      </w:r>
      <w:r w:rsidR="00AC46F1">
        <w:rPr>
          <w:i/>
        </w:rPr>
        <w:t>No Surrender Trailer</w:t>
      </w:r>
      <w:r w:rsidR="00AC46F1">
        <w:t xml:space="preserve"> </w:t>
      </w:r>
      <w:r w:rsidR="00E155B6">
        <w:t>appeared</w:t>
      </w:r>
      <w:r w:rsidR="00CC1BEF">
        <w:t xml:space="preserve"> a total of</w:t>
      </w:r>
      <w:r w:rsidR="00161232">
        <w:t xml:space="preserve"> </w:t>
      </w:r>
      <w:r w:rsidR="00CC1BEF">
        <w:t>5</w:t>
      </w:r>
      <w:r w:rsidR="00044DBE">
        <w:t>7</w:t>
      </w:r>
      <w:r w:rsidR="00CC1BEF">
        <w:t xml:space="preserve"> times from </w:t>
      </w:r>
      <w:r w:rsidR="00B44D46">
        <w:t xml:space="preserve">March 4 – 8, </w:t>
      </w:r>
      <w:r w:rsidR="00CC1BEF">
        <w:t>2013</w:t>
      </w:r>
      <w:r w:rsidR="001D5251">
        <w:t>,</w:t>
      </w:r>
      <w:r w:rsidR="00CC1BEF">
        <w:t xml:space="preserve"> </w:t>
      </w:r>
      <w:r w:rsidR="009F1A22">
        <w:t xml:space="preserve">on </w:t>
      </w:r>
      <w:r w:rsidR="00AC46F1">
        <w:t>seven</w:t>
      </w:r>
      <w:r w:rsidR="009F1A22">
        <w:t xml:space="preserve"> Viacom-owned networks</w:t>
      </w:r>
      <w:r w:rsidR="00161232">
        <w:t xml:space="preserve">, as </w:t>
      </w:r>
      <w:r w:rsidR="009144EA">
        <w:t>follows:</w:t>
      </w:r>
      <w:r w:rsidR="009F1A22">
        <w:rPr>
          <w:rStyle w:val="FootnoteReference"/>
          <w:spacing w:val="-2"/>
          <w:sz w:val="22"/>
          <w:szCs w:val="22"/>
        </w:rPr>
        <w:footnoteReference w:id="19"/>
      </w:r>
      <w:r w:rsidR="00AC46F1">
        <w:t xml:space="preserve"> </w:t>
      </w:r>
    </w:p>
    <w:tbl>
      <w:tblPr>
        <w:tblStyle w:val="TableGrid"/>
        <w:tblW w:w="0" w:type="auto"/>
        <w:jc w:val="center"/>
        <w:tblLook w:val="04A0" w:firstRow="1" w:lastRow="0" w:firstColumn="1" w:lastColumn="0" w:noHBand="0" w:noVBand="1"/>
      </w:tblPr>
      <w:tblGrid>
        <w:gridCol w:w="2215"/>
        <w:gridCol w:w="2243"/>
        <w:gridCol w:w="2277"/>
      </w:tblGrid>
      <w:tr w:rsidR="00094A75" w:rsidRPr="00094A75" w14:paraId="050DFB23" w14:textId="77777777">
        <w:trPr>
          <w:jc w:val="center"/>
        </w:trPr>
        <w:tc>
          <w:tcPr>
            <w:tcW w:w="2215" w:type="dxa"/>
            <w:shd w:val="clear" w:color="auto" w:fill="D9D9D9" w:themeFill="background1" w:themeFillShade="D9"/>
          </w:tcPr>
          <w:p w14:paraId="47F89F7D" w14:textId="77777777" w:rsidR="00094A75" w:rsidRPr="00094A75" w:rsidRDefault="00094A75" w:rsidP="00B743E6">
            <w:pPr>
              <w:keepNext/>
              <w:widowControl/>
              <w:tabs>
                <w:tab w:val="left" w:pos="0"/>
              </w:tabs>
              <w:suppressAutoHyphens/>
              <w:spacing w:after="120"/>
              <w:jc w:val="both"/>
              <w:rPr>
                <w:b/>
                <w:i/>
                <w:spacing w:val="-2"/>
              </w:rPr>
            </w:pPr>
            <w:r w:rsidRPr="00094A75">
              <w:rPr>
                <w:b/>
                <w:i/>
                <w:spacing w:val="-2"/>
              </w:rPr>
              <w:t>Network</w:t>
            </w:r>
          </w:p>
        </w:tc>
        <w:tc>
          <w:tcPr>
            <w:tcW w:w="2243" w:type="dxa"/>
            <w:shd w:val="clear" w:color="auto" w:fill="D9D9D9" w:themeFill="background1" w:themeFillShade="D9"/>
          </w:tcPr>
          <w:p w14:paraId="280B6B6F" w14:textId="77777777" w:rsidR="00094A75" w:rsidRPr="00094A75" w:rsidRDefault="00094A75" w:rsidP="00B743E6">
            <w:pPr>
              <w:keepNext/>
              <w:widowControl/>
              <w:tabs>
                <w:tab w:val="left" w:pos="0"/>
              </w:tabs>
              <w:suppressAutoHyphens/>
              <w:spacing w:after="120"/>
              <w:jc w:val="both"/>
              <w:rPr>
                <w:b/>
                <w:i/>
                <w:spacing w:val="-2"/>
              </w:rPr>
            </w:pPr>
            <w:r w:rsidRPr="00094A75">
              <w:rPr>
                <w:b/>
                <w:i/>
                <w:spacing w:val="-2"/>
              </w:rPr>
              <w:t>Number of Repetitions per LOI Response</w:t>
            </w:r>
          </w:p>
        </w:tc>
        <w:tc>
          <w:tcPr>
            <w:tcW w:w="2277" w:type="dxa"/>
            <w:shd w:val="clear" w:color="auto" w:fill="D9D9D9" w:themeFill="background1" w:themeFillShade="D9"/>
          </w:tcPr>
          <w:p w14:paraId="59253FD0" w14:textId="77777777" w:rsidR="00094A75" w:rsidRPr="00094A75" w:rsidRDefault="00094A75" w:rsidP="00B743E6">
            <w:pPr>
              <w:keepNext/>
              <w:widowControl/>
              <w:tabs>
                <w:tab w:val="left" w:pos="0"/>
              </w:tabs>
              <w:suppressAutoHyphens/>
              <w:spacing w:after="120"/>
              <w:jc w:val="both"/>
              <w:rPr>
                <w:b/>
                <w:i/>
                <w:spacing w:val="-2"/>
              </w:rPr>
            </w:pPr>
            <w:r w:rsidRPr="00094A75">
              <w:rPr>
                <w:b/>
                <w:i/>
                <w:spacing w:val="-2"/>
              </w:rPr>
              <w:t>Transmission Date(s)</w:t>
            </w:r>
          </w:p>
        </w:tc>
      </w:tr>
      <w:tr w:rsidR="00094A75" w:rsidRPr="00094A75" w14:paraId="3AA2CE0A" w14:textId="77777777">
        <w:trPr>
          <w:jc w:val="center"/>
        </w:trPr>
        <w:tc>
          <w:tcPr>
            <w:tcW w:w="2215" w:type="dxa"/>
          </w:tcPr>
          <w:p w14:paraId="046828C3" w14:textId="77777777" w:rsidR="00094A75" w:rsidRPr="00094A75" w:rsidRDefault="00094A75" w:rsidP="00B743E6">
            <w:pPr>
              <w:keepNext/>
              <w:widowControl/>
              <w:tabs>
                <w:tab w:val="left" w:pos="0"/>
              </w:tabs>
              <w:suppressAutoHyphens/>
              <w:spacing w:after="120"/>
              <w:rPr>
                <w:spacing w:val="-2"/>
              </w:rPr>
            </w:pPr>
            <w:r w:rsidRPr="00094A75">
              <w:rPr>
                <w:spacing w:val="-2"/>
              </w:rPr>
              <w:t>BET</w:t>
            </w:r>
          </w:p>
        </w:tc>
        <w:tc>
          <w:tcPr>
            <w:tcW w:w="2243" w:type="dxa"/>
          </w:tcPr>
          <w:p w14:paraId="2AF0796A" w14:textId="77777777" w:rsidR="00094A75" w:rsidRPr="00094A75" w:rsidRDefault="00094A75" w:rsidP="00B743E6">
            <w:pPr>
              <w:keepNext/>
              <w:widowControl/>
              <w:tabs>
                <w:tab w:val="left" w:pos="0"/>
              </w:tabs>
              <w:suppressAutoHyphens/>
              <w:spacing w:after="120"/>
              <w:rPr>
                <w:spacing w:val="-2"/>
              </w:rPr>
            </w:pPr>
            <w:r w:rsidRPr="00094A75">
              <w:rPr>
                <w:spacing w:val="-2"/>
              </w:rPr>
              <w:t>4</w:t>
            </w:r>
          </w:p>
        </w:tc>
        <w:tc>
          <w:tcPr>
            <w:tcW w:w="2277" w:type="dxa"/>
          </w:tcPr>
          <w:p w14:paraId="666E904D" w14:textId="77777777" w:rsidR="00094A75" w:rsidRPr="00094A75" w:rsidRDefault="00094A75" w:rsidP="00B743E6">
            <w:pPr>
              <w:keepNext/>
              <w:widowControl/>
              <w:tabs>
                <w:tab w:val="left" w:pos="0"/>
              </w:tabs>
              <w:suppressAutoHyphens/>
              <w:spacing w:after="120"/>
              <w:rPr>
                <w:spacing w:val="-2"/>
              </w:rPr>
            </w:pPr>
            <w:r w:rsidRPr="00094A75">
              <w:rPr>
                <w:spacing w:val="-2"/>
              </w:rPr>
              <w:t>3/4/2013 – 3/6/2013</w:t>
            </w:r>
          </w:p>
        </w:tc>
      </w:tr>
      <w:tr w:rsidR="00094A75" w:rsidRPr="00094A75" w14:paraId="67683ECE" w14:textId="77777777">
        <w:trPr>
          <w:jc w:val="center"/>
        </w:trPr>
        <w:tc>
          <w:tcPr>
            <w:tcW w:w="2215" w:type="dxa"/>
          </w:tcPr>
          <w:p w14:paraId="12C716F9" w14:textId="77777777" w:rsidR="00094A75" w:rsidRPr="00094A75" w:rsidRDefault="00094A75" w:rsidP="00B743E6">
            <w:pPr>
              <w:keepNext/>
              <w:widowControl/>
              <w:tabs>
                <w:tab w:val="left" w:pos="0"/>
              </w:tabs>
              <w:suppressAutoHyphens/>
              <w:spacing w:after="120"/>
              <w:rPr>
                <w:spacing w:val="-2"/>
              </w:rPr>
            </w:pPr>
            <w:r w:rsidRPr="00094A75">
              <w:rPr>
                <w:spacing w:val="-2"/>
              </w:rPr>
              <w:t>Centric</w:t>
            </w:r>
          </w:p>
        </w:tc>
        <w:tc>
          <w:tcPr>
            <w:tcW w:w="2243" w:type="dxa"/>
          </w:tcPr>
          <w:p w14:paraId="7AC910EA" w14:textId="77777777" w:rsidR="00094A75" w:rsidRPr="00094A75" w:rsidRDefault="00094A75" w:rsidP="00B743E6">
            <w:pPr>
              <w:keepNext/>
              <w:widowControl/>
              <w:tabs>
                <w:tab w:val="left" w:pos="0"/>
              </w:tabs>
              <w:suppressAutoHyphens/>
              <w:spacing w:after="120"/>
              <w:rPr>
                <w:spacing w:val="-2"/>
              </w:rPr>
            </w:pPr>
            <w:r w:rsidRPr="00094A75">
              <w:rPr>
                <w:spacing w:val="-2"/>
              </w:rPr>
              <w:t>6</w:t>
            </w:r>
          </w:p>
        </w:tc>
        <w:tc>
          <w:tcPr>
            <w:tcW w:w="2277" w:type="dxa"/>
          </w:tcPr>
          <w:p w14:paraId="0E9AE5A2" w14:textId="77777777" w:rsidR="00094A75" w:rsidRPr="00094A75" w:rsidRDefault="00094A75" w:rsidP="00B743E6">
            <w:pPr>
              <w:keepNext/>
              <w:widowControl/>
              <w:tabs>
                <w:tab w:val="left" w:pos="0"/>
              </w:tabs>
              <w:suppressAutoHyphens/>
              <w:spacing w:after="120"/>
              <w:rPr>
                <w:spacing w:val="-2"/>
              </w:rPr>
            </w:pPr>
            <w:r w:rsidRPr="00094A75">
              <w:rPr>
                <w:spacing w:val="-2"/>
              </w:rPr>
              <w:t>3/4/2013 – 3/6/2013</w:t>
            </w:r>
          </w:p>
        </w:tc>
      </w:tr>
      <w:tr w:rsidR="00094A75" w:rsidRPr="00094A75" w14:paraId="25A93637" w14:textId="77777777">
        <w:trPr>
          <w:jc w:val="center"/>
        </w:trPr>
        <w:tc>
          <w:tcPr>
            <w:tcW w:w="2215" w:type="dxa"/>
          </w:tcPr>
          <w:p w14:paraId="253E6591" w14:textId="77777777" w:rsidR="00094A75" w:rsidRPr="00094A75" w:rsidRDefault="00094A75" w:rsidP="00B743E6">
            <w:pPr>
              <w:keepNext/>
              <w:widowControl/>
              <w:tabs>
                <w:tab w:val="left" w:pos="0"/>
              </w:tabs>
              <w:suppressAutoHyphens/>
              <w:spacing w:after="120"/>
              <w:rPr>
                <w:spacing w:val="-2"/>
              </w:rPr>
            </w:pPr>
            <w:r w:rsidRPr="00094A75">
              <w:rPr>
                <w:spacing w:val="-2"/>
              </w:rPr>
              <w:t>Comedy Central</w:t>
            </w:r>
          </w:p>
        </w:tc>
        <w:tc>
          <w:tcPr>
            <w:tcW w:w="2243" w:type="dxa"/>
          </w:tcPr>
          <w:p w14:paraId="65CB2166" w14:textId="77777777" w:rsidR="00094A75" w:rsidRPr="00094A75" w:rsidRDefault="00094A75" w:rsidP="00B743E6">
            <w:pPr>
              <w:keepNext/>
              <w:widowControl/>
              <w:tabs>
                <w:tab w:val="left" w:pos="0"/>
              </w:tabs>
              <w:suppressAutoHyphens/>
              <w:spacing w:after="120"/>
              <w:rPr>
                <w:spacing w:val="-2"/>
              </w:rPr>
            </w:pPr>
            <w:r w:rsidRPr="00094A75">
              <w:rPr>
                <w:spacing w:val="-2"/>
              </w:rPr>
              <w:t>7</w:t>
            </w:r>
          </w:p>
        </w:tc>
        <w:tc>
          <w:tcPr>
            <w:tcW w:w="2277" w:type="dxa"/>
          </w:tcPr>
          <w:p w14:paraId="3CCD28F6" w14:textId="77777777" w:rsidR="00094A75" w:rsidRPr="00094A75" w:rsidRDefault="00094A75" w:rsidP="00B743E6">
            <w:pPr>
              <w:keepNext/>
              <w:widowControl/>
              <w:tabs>
                <w:tab w:val="left" w:pos="0"/>
              </w:tabs>
              <w:suppressAutoHyphens/>
              <w:spacing w:after="120"/>
              <w:rPr>
                <w:spacing w:val="-2"/>
              </w:rPr>
            </w:pPr>
            <w:r w:rsidRPr="00094A75">
              <w:rPr>
                <w:spacing w:val="-2"/>
              </w:rPr>
              <w:t>3/4/2013 – 3/7/2013</w:t>
            </w:r>
          </w:p>
        </w:tc>
      </w:tr>
      <w:tr w:rsidR="00094A75" w:rsidRPr="00094A75" w14:paraId="55AA47B0" w14:textId="77777777">
        <w:trPr>
          <w:jc w:val="center"/>
        </w:trPr>
        <w:tc>
          <w:tcPr>
            <w:tcW w:w="2215" w:type="dxa"/>
          </w:tcPr>
          <w:p w14:paraId="6791B571" w14:textId="77777777" w:rsidR="00094A75" w:rsidRPr="00094A75" w:rsidRDefault="00094A75" w:rsidP="00B743E6">
            <w:pPr>
              <w:keepNext/>
              <w:widowControl/>
              <w:tabs>
                <w:tab w:val="left" w:pos="0"/>
              </w:tabs>
              <w:suppressAutoHyphens/>
              <w:spacing w:after="120"/>
              <w:rPr>
                <w:spacing w:val="-2"/>
              </w:rPr>
            </w:pPr>
            <w:r w:rsidRPr="00094A75">
              <w:rPr>
                <w:spacing w:val="-2"/>
              </w:rPr>
              <w:t>MTV</w:t>
            </w:r>
          </w:p>
        </w:tc>
        <w:tc>
          <w:tcPr>
            <w:tcW w:w="2243" w:type="dxa"/>
          </w:tcPr>
          <w:p w14:paraId="5BEAAB9B" w14:textId="77777777" w:rsidR="00094A75" w:rsidRPr="00094A75" w:rsidRDefault="00094A75" w:rsidP="00B743E6">
            <w:pPr>
              <w:keepNext/>
              <w:widowControl/>
              <w:tabs>
                <w:tab w:val="left" w:pos="0"/>
              </w:tabs>
              <w:suppressAutoHyphens/>
              <w:spacing w:after="120"/>
              <w:rPr>
                <w:spacing w:val="-2"/>
              </w:rPr>
            </w:pPr>
            <w:r w:rsidRPr="00094A75">
              <w:rPr>
                <w:spacing w:val="-2"/>
              </w:rPr>
              <w:t>10</w:t>
            </w:r>
          </w:p>
        </w:tc>
        <w:tc>
          <w:tcPr>
            <w:tcW w:w="2277" w:type="dxa"/>
          </w:tcPr>
          <w:p w14:paraId="54C6474D" w14:textId="77777777" w:rsidR="00094A75" w:rsidRPr="00094A75" w:rsidRDefault="00094A75" w:rsidP="00B743E6">
            <w:pPr>
              <w:keepNext/>
              <w:widowControl/>
              <w:tabs>
                <w:tab w:val="left" w:pos="0"/>
              </w:tabs>
              <w:suppressAutoHyphens/>
              <w:spacing w:after="120"/>
              <w:rPr>
                <w:spacing w:val="-2"/>
              </w:rPr>
            </w:pPr>
            <w:r w:rsidRPr="00094A75">
              <w:rPr>
                <w:spacing w:val="-2"/>
              </w:rPr>
              <w:t>3/4/2013 – 3/7/2013</w:t>
            </w:r>
          </w:p>
        </w:tc>
      </w:tr>
      <w:tr w:rsidR="00094A75" w:rsidRPr="00094A75" w14:paraId="63B1907B" w14:textId="77777777">
        <w:trPr>
          <w:jc w:val="center"/>
        </w:trPr>
        <w:tc>
          <w:tcPr>
            <w:tcW w:w="2215" w:type="dxa"/>
          </w:tcPr>
          <w:p w14:paraId="008D084D" w14:textId="77777777" w:rsidR="00094A75" w:rsidRPr="00094A75" w:rsidRDefault="00094A75" w:rsidP="00B743E6">
            <w:pPr>
              <w:keepNext/>
              <w:widowControl/>
              <w:tabs>
                <w:tab w:val="left" w:pos="0"/>
              </w:tabs>
              <w:suppressAutoHyphens/>
              <w:spacing w:after="120"/>
              <w:rPr>
                <w:spacing w:val="-2"/>
              </w:rPr>
            </w:pPr>
            <w:r w:rsidRPr="00094A75">
              <w:rPr>
                <w:spacing w:val="-2"/>
              </w:rPr>
              <w:t>MTV2</w:t>
            </w:r>
          </w:p>
        </w:tc>
        <w:tc>
          <w:tcPr>
            <w:tcW w:w="2243" w:type="dxa"/>
          </w:tcPr>
          <w:p w14:paraId="3D8431E3" w14:textId="77777777" w:rsidR="00094A75" w:rsidRPr="00094A75" w:rsidRDefault="00094A75" w:rsidP="00B743E6">
            <w:pPr>
              <w:keepNext/>
              <w:widowControl/>
              <w:tabs>
                <w:tab w:val="left" w:pos="0"/>
              </w:tabs>
              <w:suppressAutoHyphens/>
              <w:spacing w:after="120"/>
              <w:rPr>
                <w:spacing w:val="-2"/>
              </w:rPr>
            </w:pPr>
            <w:r w:rsidRPr="00094A75">
              <w:rPr>
                <w:spacing w:val="-2"/>
              </w:rPr>
              <w:t>6</w:t>
            </w:r>
          </w:p>
        </w:tc>
        <w:tc>
          <w:tcPr>
            <w:tcW w:w="2277" w:type="dxa"/>
          </w:tcPr>
          <w:p w14:paraId="137AA8FC" w14:textId="77777777" w:rsidR="00094A75" w:rsidRPr="00094A75" w:rsidRDefault="00094A75" w:rsidP="00B743E6">
            <w:pPr>
              <w:keepNext/>
              <w:widowControl/>
              <w:tabs>
                <w:tab w:val="left" w:pos="0"/>
              </w:tabs>
              <w:suppressAutoHyphens/>
              <w:spacing w:after="120"/>
              <w:rPr>
                <w:spacing w:val="-2"/>
              </w:rPr>
            </w:pPr>
            <w:r w:rsidRPr="00094A75">
              <w:rPr>
                <w:spacing w:val="-2"/>
              </w:rPr>
              <w:t>3/4/2013 – 3/7/2013</w:t>
            </w:r>
          </w:p>
        </w:tc>
      </w:tr>
      <w:tr w:rsidR="00094A75" w:rsidRPr="00094A75" w14:paraId="6A7C7192" w14:textId="77777777">
        <w:trPr>
          <w:jc w:val="center"/>
        </w:trPr>
        <w:tc>
          <w:tcPr>
            <w:tcW w:w="2215" w:type="dxa"/>
          </w:tcPr>
          <w:p w14:paraId="2E009CB8" w14:textId="77777777" w:rsidR="00094A75" w:rsidRPr="00094A75" w:rsidRDefault="00094A75" w:rsidP="00B743E6">
            <w:pPr>
              <w:keepNext/>
              <w:widowControl/>
              <w:tabs>
                <w:tab w:val="left" w:pos="0"/>
              </w:tabs>
              <w:suppressAutoHyphens/>
              <w:spacing w:after="120"/>
              <w:rPr>
                <w:spacing w:val="-2"/>
              </w:rPr>
            </w:pPr>
            <w:r w:rsidRPr="00094A75">
              <w:rPr>
                <w:spacing w:val="-2"/>
              </w:rPr>
              <w:t>Spike</w:t>
            </w:r>
          </w:p>
        </w:tc>
        <w:tc>
          <w:tcPr>
            <w:tcW w:w="2243" w:type="dxa"/>
          </w:tcPr>
          <w:p w14:paraId="6889171B" w14:textId="77777777" w:rsidR="00094A75" w:rsidRPr="00094A75" w:rsidRDefault="00094A75" w:rsidP="00B743E6">
            <w:pPr>
              <w:keepNext/>
              <w:widowControl/>
              <w:tabs>
                <w:tab w:val="left" w:pos="0"/>
              </w:tabs>
              <w:suppressAutoHyphens/>
              <w:spacing w:after="120"/>
              <w:rPr>
                <w:spacing w:val="-2"/>
              </w:rPr>
            </w:pPr>
            <w:r w:rsidRPr="00094A75">
              <w:rPr>
                <w:spacing w:val="-2"/>
              </w:rPr>
              <w:t>12</w:t>
            </w:r>
          </w:p>
        </w:tc>
        <w:tc>
          <w:tcPr>
            <w:tcW w:w="2277" w:type="dxa"/>
          </w:tcPr>
          <w:p w14:paraId="6E4865F6" w14:textId="77777777" w:rsidR="00094A75" w:rsidRPr="00094A75" w:rsidRDefault="00094A75" w:rsidP="00B743E6">
            <w:pPr>
              <w:keepNext/>
              <w:widowControl/>
              <w:tabs>
                <w:tab w:val="left" w:pos="0"/>
              </w:tabs>
              <w:suppressAutoHyphens/>
              <w:spacing w:after="120"/>
              <w:rPr>
                <w:spacing w:val="-2"/>
              </w:rPr>
            </w:pPr>
            <w:r w:rsidRPr="00094A75">
              <w:rPr>
                <w:spacing w:val="-2"/>
              </w:rPr>
              <w:t>3/4/2013 – 3/8/2013</w:t>
            </w:r>
          </w:p>
        </w:tc>
      </w:tr>
      <w:tr w:rsidR="00094A75" w:rsidRPr="00094A75" w14:paraId="737BDE2A" w14:textId="77777777">
        <w:trPr>
          <w:jc w:val="center"/>
        </w:trPr>
        <w:tc>
          <w:tcPr>
            <w:tcW w:w="2215" w:type="dxa"/>
          </w:tcPr>
          <w:p w14:paraId="431DDAC3" w14:textId="77777777" w:rsidR="00094A75" w:rsidRPr="00094A75" w:rsidRDefault="00094A75" w:rsidP="00B743E6">
            <w:pPr>
              <w:keepNext/>
              <w:widowControl/>
              <w:tabs>
                <w:tab w:val="left" w:pos="0"/>
              </w:tabs>
              <w:suppressAutoHyphens/>
              <w:spacing w:after="120"/>
              <w:rPr>
                <w:spacing w:val="-2"/>
              </w:rPr>
            </w:pPr>
            <w:r w:rsidRPr="00094A75">
              <w:rPr>
                <w:spacing w:val="-2"/>
              </w:rPr>
              <w:t>VH1</w:t>
            </w:r>
          </w:p>
        </w:tc>
        <w:tc>
          <w:tcPr>
            <w:tcW w:w="2243" w:type="dxa"/>
          </w:tcPr>
          <w:p w14:paraId="6B5E33D1" w14:textId="77777777" w:rsidR="00094A75" w:rsidRPr="00094A75" w:rsidRDefault="00094A75" w:rsidP="00B743E6">
            <w:pPr>
              <w:keepNext/>
              <w:widowControl/>
              <w:tabs>
                <w:tab w:val="left" w:pos="0"/>
              </w:tabs>
              <w:suppressAutoHyphens/>
              <w:spacing w:after="120"/>
              <w:rPr>
                <w:spacing w:val="-2"/>
              </w:rPr>
            </w:pPr>
            <w:r w:rsidRPr="00094A75">
              <w:rPr>
                <w:spacing w:val="-2"/>
              </w:rPr>
              <w:t>12</w:t>
            </w:r>
          </w:p>
        </w:tc>
        <w:tc>
          <w:tcPr>
            <w:tcW w:w="2277" w:type="dxa"/>
          </w:tcPr>
          <w:p w14:paraId="17F6D5FC" w14:textId="77777777" w:rsidR="00094A75" w:rsidRPr="00094A75" w:rsidRDefault="00094A75" w:rsidP="00B743E6">
            <w:pPr>
              <w:keepNext/>
              <w:widowControl/>
              <w:tabs>
                <w:tab w:val="left" w:pos="0"/>
              </w:tabs>
              <w:suppressAutoHyphens/>
              <w:spacing w:after="120"/>
              <w:rPr>
                <w:spacing w:val="-2"/>
              </w:rPr>
            </w:pPr>
            <w:r w:rsidRPr="00094A75">
              <w:rPr>
                <w:spacing w:val="-2"/>
              </w:rPr>
              <w:t>3/4/2013 – 3/7/2013</w:t>
            </w:r>
          </w:p>
        </w:tc>
      </w:tr>
      <w:tr w:rsidR="00F51FDB" w:rsidRPr="00F51FDB" w14:paraId="6FA1F1B9" w14:textId="77777777">
        <w:trPr>
          <w:jc w:val="center"/>
        </w:trPr>
        <w:tc>
          <w:tcPr>
            <w:tcW w:w="2215" w:type="dxa"/>
            <w:shd w:val="clear" w:color="auto" w:fill="D9D9D9" w:themeFill="background1" w:themeFillShade="D9"/>
          </w:tcPr>
          <w:p w14:paraId="7206E53E" w14:textId="77777777" w:rsidR="00F51FDB" w:rsidRPr="00F51FDB" w:rsidRDefault="00F51FDB" w:rsidP="009144EA">
            <w:pPr>
              <w:widowControl/>
              <w:tabs>
                <w:tab w:val="left" w:pos="0"/>
              </w:tabs>
              <w:suppressAutoHyphens/>
              <w:spacing w:after="120"/>
              <w:rPr>
                <w:b/>
                <w:spacing w:val="-2"/>
              </w:rPr>
            </w:pPr>
            <w:r w:rsidRPr="00F51FDB">
              <w:rPr>
                <w:b/>
                <w:spacing w:val="-2"/>
              </w:rPr>
              <w:t>Total</w:t>
            </w:r>
          </w:p>
        </w:tc>
        <w:tc>
          <w:tcPr>
            <w:tcW w:w="2243" w:type="dxa"/>
            <w:shd w:val="clear" w:color="auto" w:fill="D9D9D9" w:themeFill="background1" w:themeFillShade="D9"/>
          </w:tcPr>
          <w:p w14:paraId="0D95829F" w14:textId="77777777" w:rsidR="00F51FDB" w:rsidRPr="00F51FDB" w:rsidRDefault="00F51FDB" w:rsidP="009144EA">
            <w:pPr>
              <w:widowControl/>
              <w:tabs>
                <w:tab w:val="left" w:pos="0"/>
              </w:tabs>
              <w:suppressAutoHyphens/>
              <w:spacing w:after="120"/>
              <w:rPr>
                <w:b/>
                <w:spacing w:val="-2"/>
              </w:rPr>
            </w:pPr>
            <w:r w:rsidRPr="00F51FDB">
              <w:rPr>
                <w:b/>
                <w:spacing w:val="-2"/>
              </w:rPr>
              <w:t>57</w:t>
            </w:r>
          </w:p>
        </w:tc>
        <w:tc>
          <w:tcPr>
            <w:tcW w:w="2277" w:type="dxa"/>
            <w:shd w:val="clear" w:color="auto" w:fill="D9D9D9" w:themeFill="background1" w:themeFillShade="D9"/>
          </w:tcPr>
          <w:p w14:paraId="3BC0D46B" w14:textId="77777777" w:rsidR="00F51FDB" w:rsidRPr="00F51FDB" w:rsidRDefault="00F51FDB" w:rsidP="009144EA">
            <w:pPr>
              <w:widowControl/>
              <w:tabs>
                <w:tab w:val="left" w:pos="0"/>
              </w:tabs>
              <w:suppressAutoHyphens/>
              <w:spacing w:after="120"/>
              <w:rPr>
                <w:b/>
                <w:spacing w:val="-2"/>
              </w:rPr>
            </w:pPr>
          </w:p>
        </w:tc>
      </w:tr>
    </w:tbl>
    <w:p w14:paraId="32C332C7" w14:textId="77777777" w:rsidR="00DA5466" w:rsidRDefault="00DA5466" w:rsidP="001D5251">
      <w:pPr>
        <w:widowControl/>
        <w:tabs>
          <w:tab w:val="left" w:pos="0"/>
        </w:tabs>
        <w:suppressAutoHyphens/>
        <w:rPr>
          <w:spacing w:val="-2"/>
          <w:szCs w:val="22"/>
        </w:rPr>
      </w:pPr>
    </w:p>
    <w:p w14:paraId="057FDDC7" w14:textId="77777777" w:rsidR="00DA7702" w:rsidRDefault="00BA0B56" w:rsidP="00D33545">
      <w:pPr>
        <w:pStyle w:val="ParaNum"/>
      </w:pPr>
      <w:r>
        <w:t xml:space="preserve">Viacom </w:t>
      </w:r>
      <w:r w:rsidR="00D23F2B">
        <w:t>confirms</w:t>
      </w:r>
      <w:r>
        <w:t xml:space="preserve"> that the </w:t>
      </w:r>
      <w:r w:rsidRPr="00780F4B">
        <w:rPr>
          <w:i/>
        </w:rPr>
        <w:t>No Surrender Trailer</w:t>
      </w:r>
      <w:r>
        <w:t xml:space="preserve"> contained “embedded partial EAS codes and the EAS Attention Signal.”</w:t>
      </w:r>
      <w:r>
        <w:rPr>
          <w:rStyle w:val="FootnoteReference"/>
          <w:spacing w:val="-2"/>
          <w:sz w:val="22"/>
          <w:szCs w:val="22"/>
        </w:rPr>
        <w:footnoteReference w:id="20"/>
      </w:r>
      <w:r>
        <w:t xml:space="preserve">  </w:t>
      </w:r>
      <w:r w:rsidR="00E018F3">
        <w:t>Viacom</w:t>
      </w:r>
      <w:r w:rsidR="00617643">
        <w:t xml:space="preserve"> </w:t>
      </w:r>
      <w:r w:rsidR="00524664">
        <w:t xml:space="preserve">states that it </w:t>
      </w:r>
      <w:r w:rsidR="00E018F3">
        <w:t xml:space="preserve">did not produce the </w:t>
      </w:r>
      <w:r w:rsidR="00D84B9C">
        <w:t>trailer</w:t>
      </w:r>
      <w:r w:rsidR="00EE7EE3">
        <w:t xml:space="preserve">, which </w:t>
      </w:r>
      <w:r w:rsidR="00E018F3">
        <w:t xml:space="preserve">was supplied by </w:t>
      </w:r>
      <w:r w:rsidR="00356887">
        <w:t xml:space="preserve">an </w:t>
      </w:r>
      <w:r w:rsidR="00E018F3">
        <w:t>independent film company</w:t>
      </w:r>
      <w:r w:rsidR="00356887">
        <w:t>,</w:t>
      </w:r>
      <w:r w:rsidR="00E018F3">
        <w:t xml:space="preserve"> FilmDistrict Distrib</w:t>
      </w:r>
      <w:r w:rsidR="009F1A22">
        <w:t>u</w:t>
      </w:r>
      <w:r w:rsidR="00E018F3">
        <w:t>tion, LLC (FilmDistrict)</w:t>
      </w:r>
      <w:r w:rsidR="00356887">
        <w:t>,</w:t>
      </w:r>
      <w:r w:rsidR="00E018F3">
        <w:t xml:space="preserve"> and its </w:t>
      </w:r>
      <w:r w:rsidR="00E018F3" w:rsidRPr="004A4C97">
        <w:t>media</w:t>
      </w:r>
      <w:r w:rsidR="00E018F3">
        <w:t xml:space="preserve"> agency</w:t>
      </w:r>
      <w:r w:rsidR="00356887">
        <w:t>,</w:t>
      </w:r>
      <w:r w:rsidR="00661912">
        <w:t xml:space="preserve"> Horizon Media</w:t>
      </w:r>
      <w:r w:rsidR="00DA7702">
        <w:t>.</w:t>
      </w:r>
      <w:r w:rsidR="009F1A22">
        <w:rPr>
          <w:rStyle w:val="FootnoteReference"/>
          <w:spacing w:val="-2"/>
          <w:sz w:val="22"/>
          <w:szCs w:val="22"/>
        </w:rPr>
        <w:footnoteReference w:id="21"/>
      </w:r>
      <w:r w:rsidR="009F1A22">
        <w:t xml:space="preserve"> </w:t>
      </w:r>
      <w:r w:rsidR="00356887">
        <w:t xml:space="preserve"> </w:t>
      </w:r>
      <w:r w:rsidR="00233DAA">
        <w:t>A</w:t>
      </w:r>
      <w:r w:rsidR="00153D0A">
        <w:t xml:space="preserve">n individual in </w:t>
      </w:r>
      <w:r w:rsidR="00233DAA">
        <w:t>Viacom’s</w:t>
      </w:r>
      <w:r w:rsidR="00153D0A">
        <w:t xml:space="preserve"> Standards and Practices and Advertising Standards Department reviewed </w:t>
      </w:r>
      <w:r w:rsidR="00015839">
        <w:t xml:space="preserve">the </w:t>
      </w:r>
      <w:r w:rsidR="00015839">
        <w:rPr>
          <w:i/>
        </w:rPr>
        <w:t>No Surrender Trailer</w:t>
      </w:r>
      <w:r w:rsidR="00015839">
        <w:t xml:space="preserve"> a</w:t>
      </w:r>
      <w:r w:rsidR="00153D0A">
        <w:t xml:space="preserve">nd </w:t>
      </w:r>
      <w:r w:rsidR="00233DAA">
        <w:t xml:space="preserve">determined </w:t>
      </w:r>
      <w:r w:rsidR="00153D0A">
        <w:t>that</w:t>
      </w:r>
      <w:r w:rsidR="00015839">
        <w:t xml:space="preserve"> it</w:t>
      </w:r>
      <w:r w:rsidR="00153D0A">
        <w:t xml:space="preserve"> </w:t>
      </w:r>
      <w:r w:rsidR="00233DAA">
        <w:t>did not “</w:t>
      </w:r>
      <w:r w:rsidR="00153D0A">
        <w:t>conflict with Viacom’s then current (September 2012) Advertising Guidelines.”</w:t>
      </w:r>
      <w:r w:rsidR="00153D0A">
        <w:rPr>
          <w:rStyle w:val="FootnoteReference"/>
          <w:spacing w:val="-2"/>
          <w:sz w:val="22"/>
          <w:szCs w:val="22"/>
        </w:rPr>
        <w:footnoteReference w:id="22"/>
      </w:r>
      <w:r w:rsidR="00D23F2B">
        <w:t xml:space="preserve">  </w:t>
      </w:r>
      <w:r w:rsidR="002E3826">
        <w:t>According to those guidelines, Viacom “reviews commercials to ensure compliance with relevant government and industry regulations” and may revise or reject “any advertising that it determines . . . does not comply with the Guidelines</w:t>
      </w:r>
      <w:r w:rsidR="006E2992">
        <w:t xml:space="preserve"> . . . </w:t>
      </w:r>
      <w:r w:rsidR="00562137">
        <w:t>or violates applicable law</w:t>
      </w:r>
      <w:r w:rsidR="002E3826">
        <w:t>.”</w:t>
      </w:r>
      <w:r w:rsidR="002E3826">
        <w:rPr>
          <w:rStyle w:val="FootnoteReference"/>
          <w:spacing w:val="-2"/>
          <w:sz w:val="22"/>
          <w:szCs w:val="22"/>
        </w:rPr>
        <w:footnoteReference w:id="23"/>
      </w:r>
      <w:r w:rsidR="003E1377">
        <w:t xml:space="preserve">  The g</w:t>
      </w:r>
      <w:r w:rsidR="002E3826">
        <w:t>uidelines, which discuss acceptable content, d</w:t>
      </w:r>
      <w:r w:rsidR="00562137">
        <w:t>id</w:t>
      </w:r>
      <w:r w:rsidR="002E3826">
        <w:t xml:space="preserve"> not mention EAS codes.</w:t>
      </w:r>
      <w:r w:rsidR="002E3826">
        <w:rPr>
          <w:rStyle w:val="FootnoteReference"/>
          <w:spacing w:val="-2"/>
          <w:sz w:val="22"/>
          <w:szCs w:val="22"/>
        </w:rPr>
        <w:footnoteReference w:id="24"/>
      </w:r>
      <w:r w:rsidR="002E3826">
        <w:t xml:space="preserve">  </w:t>
      </w:r>
      <w:r w:rsidR="00524664">
        <w:t xml:space="preserve">Viacom included the </w:t>
      </w:r>
      <w:r w:rsidR="00524664" w:rsidRPr="00661912">
        <w:rPr>
          <w:i/>
        </w:rPr>
        <w:t>No Surrender Trailer</w:t>
      </w:r>
      <w:r w:rsidR="00524664">
        <w:t xml:space="preserve"> in</w:t>
      </w:r>
      <w:r w:rsidR="00233DAA">
        <w:t xml:space="preserve"> </w:t>
      </w:r>
      <w:r w:rsidR="00524664">
        <w:t>network programming that i</w:t>
      </w:r>
      <w:r w:rsidR="00233DAA">
        <w:t>t</w:t>
      </w:r>
      <w:r w:rsidR="00661912">
        <w:t xml:space="preserve"> </w:t>
      </w:r>
      <w:r w:rsidR="00233DAA">
        <w:t xml:space="preserve">then </w:t>
      </w:r>
      <w:r w:rsidR="00524664">
        <w:t xml:space="preserve">delivered to Multichannel </w:t>
      </w:r>
      <w:r w:rsidR="00C14A2A">
        <w:t>V</w:t>
      </w:r>
      <w:r w:rsidR="00015839">
        <w:t>ideo Programming Distributors (</w:t>
      </w:r>
      <w:r w:rsidR="00C14A2A">
        <w:t>MVPDs)</w:t>
      </w:r>
      <w:r w:rsidR="00D42CDD">
        <w:t xml:space="preserve"> </w:t>
      </w:r>
      <w:r w:rsidR="00233DAA">
        <w:t>for distribution to their subscribers.</w:t>
      </w:r>
      <w:r w:rsidR="00524664">
        <w:rPr>
          <w:rStyle w:val="FootnoteReference"/>
          <w:spacing w:val="-2"/>
          <w:sz w:val="22"/>
          <w:szCs w:val="22"/>
        </w:rPr>
        <w:footnoteReference w:id="25"/>
      </w:r>
      <w:r w:rsidR="00524664">
        <w:t xml:space="preserve"> </w:t>
      </w:r>
      <w:r w:rsidR="00233DAA">
        <w:t xml:space="preserve"> Viacom</w:t>
      </w:r>
      <w:r w:rsidR="00D913BD">
        <w:t xml:space="preserve"> </w:t>
      </w:r>
      <w:r w:rsidR="001676A5">
        <w:t xml:space="preserve">concedes that it </w:t>
      </w:r>
      <w:r w:rsidR="00524664">
        <w:t>did not transmit</w:t>
      </w:r>
      <w:r w:rsidR="00D23F2B">
        <w:t xml:space="preserve"> the </w:t>
      </w:r>
      <w:r w:rsidR="00D23F2B">
        <w:rPr>
          <w:i/>
        </w:rPr>
        <w:t>No Surrender Trailer</w:t>
      </w:r>
      <w:r w:rsidR="00D23F2B">
        <w:t xml:space="preserve"> in connection with an </w:t>
      </w:r>
      <w:r w:rsidR="00D23F2B" w:rsidRPr="002F0B4A">
        <w:rPr>
          <w:color w:val="000000"/>
        </w:rPr>
        <w:t xml:space="preserve">actual National, State or Local Area emergency </w:t>
      </w:r>
      <w:r w:rsidR="00D23F2B">
        <w:t>or authorized test of the EAS.</w:t>
      </w:r>
      <w:r w:rsidR="00D23F2B">
        <w:rPr>
          <w:rStyle w:val="FootnoteReference"/>
          <w:spacing w:val="-2"/>
          <w:sz w:val="22"/>
          <w:szCs w:val="22"/>
        </w:rPr>
        <w:footnoteReference w:id="26"/>
      </w:r>
      <w:r w:rsidR="007971E5">
        <w:t xml:space="preserve">  </w:t>
      </w:r>
    </w:p>
    <w:p w14:paraId="156BDAD6" w14:textId="77777777" w:rsidR="00CB4E76" w:rsidRDefault="004B1079" w:rsidP="00DB3C82">
      <w:pPr>
        <w:pStyle w:val="ParaNum"/>
        <w:widowControl/>
      </w:pPr>
      <w:r>
        <w:t xml:space="preserve">Viacom notes that “out of an abundance of caution” </w:t>
      </w:r>
      <w:r w:rsidR="00A63A04">
        <w:t xml:space="preserve">it </w:t>
      </w:r>
      <w:r>
        <w:t>revised its advertising guidelines in May of 2013 after receiving the Viacom LOI.</w:t>
      </w:r>
      <w:r>
        <w:rPr>
          <w:rStyle w:val="FootnoteReference"/>
          <w:spacing w:val="-2"/>
          <w:sz w:val="22"/>
          <w:szCs w:val="22"/>
        </w:rPr>
        <w:footnoteReference w:id="27"/>
      </w:r>
      <w:r>
        <w:t xml:space="preserve">  </w:t>
      </w:r>
      <w:r w:rsidR="00A63A04">
        <w:t xml:space="preserve">Further, </w:t>
      </w:r>
      <w:r>
        <w:t>Viacom states that its new advertising guidelines now prohibit advertisements that “contain the Emergency Alert System codes or Attention Signals, or a recording or simulation thereof, in any circumstance other than in a National, State or Local Area emergency or authorized test of the EAS.”</w:t>
      </w:r>
      <w:r>
        <w:rPr>
          <w:rStyle w:val="FootnoteReference"/>
          <w:spacing w:val="-2"/>
          <w:sz w:val="22"/>
          <w:szCs w:val="22"/>
        </w:rPr>
        <w:footnoteReference w:id="28"/>
      </w:r>
    </w:p>
    <w:p w14:paraId="65B6F86A" w14:textId="77777777" w:rsidR="009F1A22" w:rsidRPr="006700E2" w:rsidRDefault="005A4B83" w:rsidP="00514178">
      <w:pPr>
        <w:pStyle w:val="Heading2"/>
      </w:pPr>
      <w:r w:rsidRPr="006700E2">
        <w:t>ESPN</w:t>
      </w:r>
      <w:r w:rsidR="009F1A22" w:rsidRPr="006700E2">
        <w:t>’s Response</w:t>
      </w:r>
    </w:p>
    <w:p w14:paraId="3764EEF2" w14:textId="77777777" w:rsidR="00DA5466" w:rsidRDefault="00BB6FC5" w:rsidP="00D33545">
      <w:pPr>
        <w:pStyle w:val="ParaNum"/>
        <w:widowControl/>
      </w:pPr>
      <w:r>
        <w:t xml:space="preserve">In its response, ESPN acknowledges that the </w:t>
      </w:r>
      <w:r>
        <w:rPr>
          <w:i/>
        </w:rPr>
        <w:t>No Surrender Trailer</w:t>
      </w:r>
      <w:r>
        <w:t xml:space="preserve"> appeared a total of 13 times from March 4 – 7, 2013</w:t>
      </w:r>
      <w:r w:rsidR="001D5251">
        <w:t>,</w:t>
      </w:r>
      <w:r>
        <w:t xml:space="preserve"> on three ESPN-owned networks, as </w:t>
      </w:r>
      <w:r w:rsidR="009144EA">
        <w:t>follows:</w:t>
      </w:r>
      <w:r>
        <w:rPr>
          <w:rStyle w:val="FootnoteReference"/>
          <w:spacing w:val="-2"/>
          <w:sz w:val="22"/>
          <w:szCs w:val="22"/>
        </w:rPr>
        <w:footnoteReference w:id="29"/>
      </w:r>
      <w:r>
        <w:t xml:space="preserve"> </w:t>
      </w:r>
    </w:p>
    <w:p w14:paraId="362F9E18" w14:textId="77777777" w:rsidR="00D33545" w:rsidRDefault="00D33545" w:rsidP="00D33545"/>
    <w:tbl>
      <w:tblPr>
        <w:tblStyle w:val="TableGrid"/>
        <w:tblpPr w:leftFromText="180" w:rightFromText="180" w:vertAnchor="text" w:tblpXSpec="center" w:tblpY="1"/>
        <w:tblOverlap w:val="never"/>
        <w:tblW w:w="0" w:type="auto"/>
        <w:tblLook w:val="04A0" w:firstRow="1" w:lastRow="0" w:firstColumn="1" w:lastColumn="0" w:noHBand="0" w:noVBand="1"/>
      </w:tblPr>
      <w:tblGrid>
        <w:gridCol w:w="2215"/>
        <w:gridCol w:w="2243"/>
        <w:gridCol w:w="2277"/>
      </w:tblGrid>
      <w:tr w:rsidR="00094A75" w:rsidRPr="00094A75" w14:paraId="04F2AF57" w14:textId="77777777">
        <w:tc>
          <w:tcPr>
            <w:tcW w:w="2215" w:type="dxa"/>
            <w:shd w:val="clear" w:color="auto" w:fill="D9D9D9" w:themeFill="background1" w:themeFillShade="D9"/>
          </w:tcPr>
          <w:p w14:paraId="5BD0D2F0" w14:textId="77777777" w:rsidR="00094A75" w:rsidRPr="00094A75" w:rsidRDefault="00094A75" w:rsidP="00B743E6">
            <w:pPr>
              <w:keepNext/>
              <w:widowControl/>
              <w:tabs>
                <w:tab w:val="left" w:pos="0"/>
              </w:tabs>
              <w:suppressAutoHyphens/>
              <w:spacing w:after="240"/>
              <w:rPr>
                <w:b/>
                <w:i/>
                <w:spacing w:val="-2"/>
              </w:rPr>
            </w:pPr>
            <w:r w:rsidRPr="00094A75">
              <w:rPr>
                <w:b/>
                <w:i/>
                <w:spacing w:val="-2"/>
              </w:rPr>
              <w:t>Network</w:t>
            </w:r>
          </w:p>
        </w:tc>
        <w:tc>
          <w:tcPr>
            <w:tcW w:w="2243" w:type="dxa"/>
            <w:shd w:val="clear" w:color="auto" w:fill="D9D9D9" w:themeFill="background1" w:themeFillShade="D9"/>
          </w:tcPr>
          <w:p w14:paraId="75392151" w14:textId="77777777" w:rsidR="00094A75" w:rsidRPr="00094A75" w:rsidRDefault="00094A75" w:rsidP="00B743E6">
            <w:pPr>
              <w:keepNext/>
              <w:widowControl/>
              <w:tabs>
                <w:tab w:val="left" w:pos="0"/>
              </w:tabs>
              <w:suppressAutoHyphens/>
              <w:spacing w:after="240"/>
              <w:rPr>
                <w:b/>
                <w:i/>
                <w:spacing w:val="-2"/>
              </w:rPr>
            </w:pPr>
            <w:r w:rsidRPr="00094A75">
              <w:rPr>
                <w:b/>
                <w:i/>
                <w:spacing w:val="-2"/>
              </w:rPr>
              <w:t>Number of Repetitions per LOI Response</w:t>
            </w:r>
          </w:p>
        </w:tc>
        <w:tc>
          <w:tcPr>
            <w:tcW w:w="2277" w:type="dxa"/>
            <w:shd w:val="clear" w:color="auto" w:fill="D9D9D9" w:themeFill="background1" w:themeFillShade="D9"/>
          </w:tcPr>
          <w:p w14:paraId="2BC0225A" w14:textId="77777777" w:rsidR="00094A75" w:rsidRPr="00094A75" w:rsidRDefault="00094A75" w:rsidP="00B743E6">
            <w:pPr>
              <w:keepNext/>
              <w:widowControl/>
              <w:tabs>
                <w:tab w:val="left" w:pos="0"/>
              </w:tabs>
              <w:suppressAutoHyphens/>
              <w:spacing w:after="240"/>
              <w:rPr>
                <w:b/>
                <w:i/>
                <w:spacing w:val="-2"/>
              </w:rPr>
            </w:pPr>
            <w:r w:rsidRPr="00094A75">
              <w:rPr>
                <w:b/>
                <w:i/>
                <w:spacing w:val="-2"/>
              </w:rPr>
              <w:t>Transmission Date(s)</w:t>
            </w:r>
          </w:p>
        </w:tc>
      </w:tr>
      <w:tr w:rsidR="00094A75" w:rsidRPr="00094A75" w14:paraId="1312F784" w14:textId="77777777">
        <w:tc>
          <w:tcPr>
            <w:tcW w:w="2215" w:type="dxa"/>
          </w:tcPr>
          <w:p w14:paraId="6D3D4B82" w14:textId="77777777" w:rsidR="00094A75" w:rsidRPr="00094A75" w:rsidRDefault="00094A75" w:rsidP="00B743E6">
            <w:pPr>
              <w:keepNext/>
              <w:widowControl/>
              <w:tabs>
                <w:tab w:val="left" w:pos="0"/>
              </w:tabs>
              <w:suppressAutoHyphens/>
              <w:spacing w:after="240"/>
              <w:rPr>
                <w:spacing w:val="-2"/>
              </w:rPr>
            </w:pPr>
            <w:r w:rsidRPr="00094A75">
              <w:rPr>
                <w:spacing w:val="-2"/>
              </w:rPr>
              <w:t>ESPN</w:t>
            </w:r>
          </w:p>
        </w:tc>
        <w:tc>
          <w:tcPr>
            <w:tcW w:w="2243" w:type="dxa"/>
          </w:tcPr>
          <w:p w14:paraId="6386AF30" w14:textId="77777777" w:rsidR="00094A75" w:rsidRPr="00094A75" w:rsidRDefault="00094A75" w:rsidP="00B743E6">
            <w:pPr>
              <w:keepNext/>
              <w:widowControl/>
              <w:tabs>
                <w:tab w:val="left" w:pos="0"/>
              </w:tabs>
              <w:suppressAutoHyphens/>
              <w:spacing w:after="240"/>
              <w:rPr>
                <w:spacing w:val="-2"/>
              </w:rPr>
            </w:pPr>
            <w:r w:rsidRPr="00094A75">
              <w:rPr>
                <w:spacing w:val="-2"/>
              </w:rPr>
              <w:t>6</w:t>
            </w:r>
          </w:p>
        </w:tc>
        <w:tc>
          <w:tcPr>
            <w:tcW w:w="2277" w:type="dxa"/>
          </w:tcPr>
          <w:p w14:paraId="40FBB31B" w14:textId="77777777" w:rsidR="00094A75" w:rsidRPr="00094A75" w:rsidRDefault="00094A75" w:rsidP="00B743E6">
            <w:pPr>
              <w:keepNext/>
              <w:widowControl/>
              <w:tabs>
                <w:tab w:val="left" w:pos="0"/>
              </w:tabs>
              <w:suppressAutoHyphens/>
              <w:spacing w:after="240"/>
              <w:rPr>
                <w:spacing w:val="-2"/>
              </w:rPr>
            </w:pPr>
            <w:r w:rsidRPr="00094A75">
              <w:rPr>
                <w:spacing w:val="-2"/>
              </w:rPr>
              <w:t>3/4/2013 – 3/7/2013</w:t>
            </w:r>
          </w:p>
        </w:tc>
      </w:tr>
      <w:tr w:rsidR="00094A75" w:rsidRPr="00094A75" w14:paraId="08D848BB" w14:textId="77777777">
        <w:tc>
          <w:tcPr>
            <w:tcW w:w="2215" w:type="dxa"/>
          </w:tcPr>
          <w:p w14:paraId="59AE3B39" w14:textId="77777777" w:rsidR="00094A75" w:rsidRPr="00094A75" w:rsidRDefault="00094A75" w:rsidP="00B743E6">
            <w:pPr>
              <w:keepNext/>
              <w:widowControl/>
              <w:tabs>
                <w:tab w:val="left" w:pos="0"/>
              </w:tabs>
              <w:suppressAutoHyphens/>
              <w:spacing w:after="240"/>
              <w:rPr>
                <w:spacing w:val="-2"/>
              </w:rPr>
            </w:pPr>
            <w:r w:rsidRPr="00094A75">
              <w:rPr>
                <w:spacing w:val="-2"/>
              </w:rPr>
              <w:t>ESPN2</w:t>
            </w:r>
          </w:p>
        </w:tc>
        <w:tc>
          <w:tcPr>
            <w:tcW w:w="2243" w:type="dxa"/>
          </w:tcPr>
          <w:p w14:paraId="0C22E35C" w14:textId="77777777" w:rsidR="00094A75" w:rsidRPr="00094A75" w:rsidRDefault="00094A75" w:rsidP="00B743E6">
            <w:pPr>
              <w:keepNext/>
              <w:widowControl/>
              <w:tabs>
                <w:tab w:val="left" w:pos="0"/>
              </w:tabs>
              <w:suppressAutoHyphens/>
              <w:spacing w:after="240"/>
              <w:rPr>
                <w:spacing w:val="-2"/>
              </w:rPr>
            </w:pPr>
            <w:r w:rsidRPr="00094A75">
              <w:rPr>
                <w:spacing w:val="-2"/>
              </w:rPr>
              <w:t>1</w:t>
            </w:r>
          </w:p>
        </w:tc>
        <w:tc>
          <w:tcPr>
            <w:tcW w:w="2277" w:type="dxa"/>
          </w:tcPr>
          <w:p w14:paraId="3178F83F" w14:textId="77777777" w:rsidR="00094A75" w:rsidRPr="00094A75" w:rsidRDefault="00094A75" w:rsidP="00B743E6">
            <w:pPr>
              <w:keepNext/>
              <w:widowControl/>
              <w:tabs>
                <w:tab w:val="left" w:pos="0"/>
              </w:tabs>
              <w:suppressAutoHyphens/>
              <w:spacing w:after="240"/>
              <w:rPr>
                <w:spacing w:val="-2"/>
              </w:rPr>
            </w:pPr>
            <w:r w:rsidRPr="00094A75">
              <w:rPr>
                <w:spacing w:val="-2"/>
              </w:rPr>
              <w:t>3/6/2013</w:t>
            </w:r>
          </w:p>
        </w:tc>
      </w:tr>
      <w:tr w:rsidR="00094A75" w:rsidRPr="00094A75" w14:paraId="10F79141" w14:textId="77777777">
        <w:tc>
          <w:tcPr>
            <w:tcW w:w="2215" w:type="dxa"/>
          </w:tcPr>
          <w:p w14:paraId="6C6AD81E" w14:textId="77777777" w:rsidR="00094A75" w:rsidRPr="00094A75" w:rsidRDefault="00094A75" w:rsidP="00B743E6">
            <w:pPr>
              <w:keepNext/>
              <w:widowControl/>
              <w:tabs>
                <w:tab w:val="left" w:pos="0"/>
              </w:tabs>
              <w:suppressAutoHyphens/>
              <w:spacing w:after="240"/>
              <w:rPr>
                <w:spacing w:val="-2"/>
              </w:rPr>
            </w:pPr>
            <w:r w:rsidRPr="00094A75">
              <w:rPr>
                <w:spacing w:val="-2"/>
              </w:rPr>
              <w:t>ESPNEWS</w:t>
            </w:r>
          </w:p>
        </w:tc>
        <w:tc>
          <w:tcPr>
            <w:tcW w:w="2243" w:type="dxa"/>
          </w:tcPr>
          <w:p w14:paraId="59F1DADA" w14:textId="77777777" w:rsidR="00094A75" w:rsidRPr="00094A75" w:rsidRDefault="00094A75" w:rsidP="00B743E6">
            <w:pPr>
              <w:keepNext/>
              <w:widowControl/>
              <w:tabs>
                <w:tab w:val="left" w:pos="0"/>
              </w:tabs>
              <w:suppressAutoHyphens/>
              <w:spacing w:after="240"/>
              <w:rPr>
                <w:spacing w:val="-2"/>
              </w:rPr>
            </w:pPr>
            <w:r w:rsidRPr="00094A75">
              <w:rPr>
                <w:spacing w:val="-2"/>
              </w:rPr>
              <w:t>6</w:t>
            </w:r>
          </w:p>
        </w:tc>
        <w:tc>
          <w:tcPr>
            <w:tcW w:w="2277" w:type="dxa"/>
          </w:tcPr>
          <w:p w14:paraId="2E65C306" w14:textId="77777777" w:rsidR="00094A75" w:rsidRPr="00094A75" w:rsidRDefault="00094A75" w:rsidP="00B743E6">
            <w:pPr>
              <w:keepNext/>
              <w:widowControl/>
              <w:tabs>
                <w:tab w:val="left" w:pos="0"/>
              </w:tabs>
              <w:suppressAutoHyphens/>
              <w:spacing w:after="240"/>
              <w:rPr>
                <w:spacing w:val="-2"/>
              </w:rPr>
            </w:pPr>
            <w:r w:rsidRPr="00094A75">
              <w:rPr>
                <w:spacing w:val="-2"/>
              </w:rPr>
              <w:t>3/4/2013 – 3/6/2013</w:t>
            </w:r>
          </w:p>
        </w:tc>
      </w:tr>
      <w:tr w:rsidR="007122E7" w:rsidRPr="007122E7" w14:paraId="74F8D55D" w14:textId="77777777">
        <w:tc>
          <w:tcPr>
            <w:tcW w:w="2215" w:type="dxa"/>
            <w:shd w:val="clear" w:color="auto" w:fill="D9D9D9" w:themeFill="background1" w:themeFillShade="D9"/>
          </w:tcPr>
          <w:p w14:paraId="048C1673" w14:textId="77777777" w:rsidR="007122E7" w:rsidRPr="007122E7" w:rsidRDefault="007122E7">
            <w:pPr>
              <w:widowControl/>
              <w:tabs>
                <w:tab w:val="left" w:pos="0"/>
              </w:tabs>
              <w:suppressAutoHyphens/>
              <w:spacing w:after="240"/>
              <w:rPr>
                <w:b/>
                <w:spacing w:val="-2"/>
              </w:rPr>
            </w:pPr>
            <w:r w:rsidRPr="007122E7">
              <w:rPr>
                <w:b/>
                <w:spacing w:val="-2"/>
              </w:rPr>
              <w:t>Total</w:t>
            </w:r>
          </w:p>
        </w:tc>
        <w:tc>
          <w:tcPr>
            <w:tcW w:w="2243" w:type="dxa"/>
            <w:shd w:val="clear" w:color="auto" w:fill="D9D9D9" w:themeFill="background1" w:themeFillShade="D9"/>
          </w:tcPr>
          <w:p w14:paraId="0D45F739" w14:textId="77777777" w:rsidR="007122E7" w:rsidRPr="007122E7" w:rsidRDefault="007122E7">
            <w:pPr>
              <w:widowControl/>
              <w:tabs>
                <w:tab w:val="left" w:pos="0"/>
              </w:tabs>
              <w:suppressAutoHyphens/>
              <w:spacing w:after="240"/>
              <w:rPr>
                <w:b/>
                <w:spacing w:val="-2"/>
              </w:rPr>
            </w:pPr>
            <w:r w:rsidRPr="007122E7">
              <w:rPr>
                <w:b/>
                <w:spacing w:val="-2"/>
              </w:rPr>
              <w:t>13</w:t>
            </w:r>
          </w:p>
        </w:tc>
        <w:tc>
          <w:tcPr>
            <w:tcW w:w="2277" w:type="dxa"/>
            <w:shd w:val="clear" w:color="auto" w:fill="D9D9D9" w:themeFill="background1" w:themeFillShade="D9"/>
          </w:tcPr>
          <w:p w14:paraId="5029F716" w14:textId="77777777" w:rsidR="007122E7" w:rsidRPr="007122E7" w:rsidRDefault="007122E7">
            <w:pPr>
              <w:widowControl/>
              <w:tabs>
                <w:tab w:val="left" w:pos="0"/>
              </w:tabs>
              <w:suppressAutoHyphens/>
              <w:spacing w:after="240"/>
              <w:rPr>
                <w:b/>
                <w:spacing w:val="-2"/>
              </w:rPr>
            </w:pPr>
          </w:p>
        </w:tc>
      </w:tr>
    </w:tbl>
    <w:p w14:paraId="091E50D7" w14:textId="77777777" w:rsidR="00DA5466" w:rsidRDefault="00DA5466" w:rsidP="001D5251">
      <w:pPr>
        <w:widowControl/>
        <w:tabs>
          <w:tab w:val="left" w:pos="0"/>
        </w:tabs>
        <w:suppressAutoHyphens/>
        <w:spacing w:after="360"/>
        <w:ind w:left="720"/>
        <w:rPr>
          <w:spacing w:val="-2"/>
          <w:szCs w:val="22"/>
        </w:rPr>
      </w:pPr>
    </w:p>
    <w:p w14:paraId="6B100BEA" w14:textId="77777777" w:rsidR="00DA5466" w:rsidRDefault="00245DA5" w:rsidP="00D33545">
      <w:pPr>
        <w:pStyle w:val="ParaNum"/>
      </w:pPr>
      <w:r w:rsidRPr="001B4F73">
        <w:t xml:space="preserve">ESPN </w:t>
      </w:r>
      <w:r w:rsidR="00A01FE9">
        <w:t>confirms</w:t>
      </w:r>
      <w:r w:rsidRPr="001B4F73">
        <w:t xml:space="preserve"> that </w:t>
      </w:r>
      <w:r w:rsidR="00D84B9C" w:rsidRPr="001B4F73">
        <w:t xml:space="preserve">the </w:t>
      </w:r>
      <w:r w:rsidR="00780F4B" w:rsidRPr="001B4F73">
        <w:rPr>
          <w:i/>
        </w:rPr>
        <w:t>No Surrender Trailer</w:t>
      </w:r>
      <w:r w:rsidR="0068529D">
        <w:t xml:space="preserve">, </w:t>
      </w:r>
      <w:r w:rsidR="00456729">
        <w:t>which</w:t>
      </w:r>
      <w:r w:rsidR="00A63A04" w:rsidRPr="001B4F73">
        <w:t xml:space="preserve"> </w:t>
      </w:r>
      <w:r w:rsidR="00297855">
        <w:t xml:space="preserve">it received from Horizon Media, </w:t>
      </w:r>
      <w:r w:rsidR="00A63A04" w:rsidRPr="001B4F73">
        <w:t xml:space="preserve">included </w:t>
      </w:r>
      <w:r w:rsidR="003C2A45">
        <w:t>“tones that sounded like the EAS Attention Signal,” which “may have been incomplete tones of the EAS Attention Signal</w:t>
      </w:r>
      <w:r w:rsidRPr="001B4F73">
        <w:t>.</w:t>
      </w:r>
      <w:r w:rsidR="009D325F" w:rsidRPr="001B4F73">
        <w:t>”</w:t>
      </w:r>
      <w:r>
        <w:rPr>
          <w:rStyle w:val="FootnoteReference"/>
          <w:spacing w:val="-2"/>
          <w:sz w:val="22"/>
          <w:szCs w:val="22"/>
        </w:rPr>
        <w:footnoteReference w:id="30"/>
      </w:r>
      <w:r w:rsidRPr="001B4F73">
        <w:t xml:space="preserve"> </w:t>
      </w:r>
      <w:r w:rsidR="001B4F73" w:rsidRPr="001B4F73">
        <w:t xml:space="preserve"> </w:t>
      </w:r>
      <w:r w:rsidR="00297855" w:rsidRPr="00FA216A">
        <w:t>ESPN</w:t>
      </w:r>
      <w:r w:rsidR="00297855">
        <w:t xml:space="preserve"> states</w:t>
      </w:r>
      <w:r w:rsidR="00297855" w:rsidRPr="00FA216A">
        <w:t xml:space="preserve"> that</w:t>
      </w:r>
      <w:r w:rsidR="00297855">
        <w:t xml:space="preserve"> its</w:t>
      </w:r>
      <w:r w:rsidR="00297855" w:rsidRPr="00FA216A">
        <w:t xml:space="preserve"> staff reviewed and approved the </w:t>
      </w:r>
      <w:r w:rsidR="00297855" w:rsidRPr="00FA216A">
        <w:rPr>
          <w:i/>
        </w:rPr>
        <w:t>No Surrender Trailer</w:t>
      </w:r>
      <w:r w:rsidR="00297855" w:rsidRPr="00FA216A">
        <w:t xml:space="preserve"> “in accordance with internal policies governing trailers for a motion picture.”</w:t>
      </w:r>
      <w:r w:rsidR="00297855" w:rsidRPr="00FA216A">
        <w:rPr>
          <w:vertAlign w:val="superscript"/>
        </w:rPr>
        <w:footnoteReference w:id="31"/>
      </w:r>
      <w:r w:rsidR="00297855" w:rsidRPr="00FA216A">
        <w:t xml:space="preserve"> </w:t>
      </w:r>
      <w:r w:rsidR="00297855">
        <w:t xml:space="preserve"> </w:t>
      </w:r>
      <w:r w:rsidR="00D06D44" w:rsidRPr="001B4F73">
        <w:t xml:space="preserve">ESPN </w:t>
      </w:r>
      <w:r w:rsidR="003E1377">
        <w:t xml:space="preserve">thereafter </w:t>
      </w:r>
      <w:r w:rsidR="00D9659A">
        <w:t>inserted th</w:t>
      </w:r>
      <w:r w:rsidR="00AA276F">
        <w:t xml:space="preserve">e trailer </w:t>
      </w:r>
      <w:r w:rsidR="00D9659A">
        <w:t>into its programming</w:t>
      </w:r>
      <w:r w:rsidR="00AA276F">
        <w:t>, which ESPN</w:t>
      </w:r>
      <w:r w:rsidR="00D9659A">
        <w:t xml:space="preserve"> then distributed to MVPDs for transmission to MVPD subscribers</w:t>
      </w:r>
      <w:r w:rsidR="005F4E86">
        <w:t>.</w:t>
      </w:r>
      <w:r w:rsidR="00D9659A">
        <w:rPr>
          <w:rStyle w:val="FootnoteReference"/>
          <w:spacing w:val="-2"/>
          <w:sz w:val="22"/>
          <w:szCs w:val="22"/>
        </w:rPr>
        <w:footnoteReference w:id="32"/>
      </w:r>
      <w:r w:rsidR="005F4E86">
        <w:t xml:space="preserve">  Finally, ESPN </w:t>
      </w:r>
      <w:r w:rsidR="00297855">
        <w:t xml:space="preserve">states </w:t>
      </w:r>
      <w:r w:rsidR="0070303E">
        <w:t xml:space="preserve">that it had </w:t>
      </w:r>
      <w:r w:rsidR="00D06D44" w:rsidRPr="001B4F73">
        <w:t xml:space="preserve">not inserted </w:t>
      </w:r>
      <w:r w:rsidR="0070303E">
        <w:t xml:space="preserve">the trailer </w:t>
      </w:r>
      <w:r w:rsidR="00D06D44" w:rsidRPr="001B4F73">
        <w:t xml:space="preserve">into its programming in connection with an actual </w:t>
      </w:r>
      <w:r w:rsidR="00D06D44">
        <w:t xml:space="preserve">National, State or Local Area </w:t>
      </w:r>
      <w:r w:rsidR="00D06D44" w:rsidRPr="001B4F73">
        <w:t>emergency or a</w:t>
      </w:r>
      <w:r w:rsidR="00D06D44">
        <w:t>uthorized test of the EAS</w:t>
      </w:r>
      <w:r w:rsidR="0062377F">
        <w:t>; r</w:t>
      </w:r>
      <w:r w:rsidR="00D06D44" w:rsidRPr="001B4F73">
        <w:t>ather</w:t>
      </w:r>
      <w:r w:rsidR="00D06D44">
        <w:t>,</w:t>
      </w:r>
      <w:r w:rsidR="00D06D44" w:rsidRPr="001B4F73">
        <w:t xml:space="preserve"> “the No Surrender Spot was an advertisement directed exclusively at promoting the release of the motion picture.”</w:t>
      </w:r>
      <w:r w:rsidR="00D06D44">
        <w:rPr>
          <w:rStyle w:val="FootnoteReference"/>
          <w:spacing w:val="-2"/>
          <w:sz w:val="22"/>
          <w:szCs w:val="22"/>
        </w:rPr>
        <w:footnoteReference w:id="33"/>
      </w:r>
      <w:r w:rsidR="00D06D44">
        <w:t xml:space="preserve">  </w:t>
      </w:r>
      <w:r w:rsidR="002E6897" w:rsidRPr="001B4F73">
        <w:t xml:space="preserve">  </w:t>
      </w:r>
    </w:p>
    <w:p w14:paraId="61A5F89B" w14:textId="77777777" w:rsidR="00DA5466" w:rsidRDefault="00F21F4C" w:rsidP="00DB3C82">
      <w:pPr>
        <w:pStyle w:val="ParaNum"/>
        <w:widowControl/>
      </w:pPr>
      <w:r>
        <w:t xml:space="preserve">ESPN </w:t>
      </w:r>
      <w:r w:rsidR="005F4E86">
        <w:t>also describes</w:t>
      </w:r>
      <w:r>
        <w:t xml:space="preserve"> how </w:t>
      </w:r>
      <w:r w:rsidR="00002577">
        <w:t xml:space="preserve">it </w:t>
      </w:r>
      <w:r w:rsidR="00277317">
        <w:t>became aware</w:t>
      </w:r>
      <w:r>
        <w:t xml:space="preserve"> that the </w:t>
      </w:r>
      <w:r w:rsidR="00780F4B" w:rsidRPr="00780F4B">
        <w:rPr>
          <w:i/>
        </w:rPr>
        <w:t>No Surrender Trailer</w:t>
      </w:r>
      <w:r>
        <w:t xml:space="preserve"> included recorded portions of an actua</w:t>
      </w:r>
      <w:r w:rsidR="00512D20">
        <w:t>l EAS Tone and Attention Signal</w:t>
      </w:r>
      <w:r w:rsidR="001B4F73">
        <w:t xml:space="preserve">.  </w:t>
      </w:r>
      <w:r w:rsidR="00B84FDE">
        <w:t>O</w:t>
      </w:r>
      <w:r w:rsidR="00512D20">
        <w:t>n March 7, 2013</w:t>
      </w:r>
      <w:r w:rsidR="002E6897">
        <w:t xml:space="preserve">, </w:t>
      </w:r>
      <w:r w:rsidR="00512D20">
        <w:t>ESPN staff</w:t>
      </w:r>
      <w:r w:rsidR="002E6897">
        <w:t xml:space="preserve"> received an email message from a representative of the Society of Broadcast Engineers (SBE), stating that “a trailer for ‘Olympus Has Fallen’ ‘uses actual EAS tones’ and that</w:t>
      </w:r>
      <w:r w:rsidR="00431D20">
        <w:t xml:space="preserve"> </w:t>
      </w:r>
      <w:r w:rsidR="002E6897">
        <w:t>broadcast stations airing the advertisement may be subject to FCC fines.”</w:t>
      </w:r>
      <w:r w:rsidR="002E6897">
        <w:rPr>
          <w:rStyle w:val="FootnoteReference"/>
          <w:spacing w:val="-2"/>
          <w:sz w:val="22"/>
          <w:szCs w:val="22"/>
        </w:rPr>
        <w:footnoteReference w:id="34"/>
      </w:r>
      <w:r w:rsidR="002E6897">
        <w:t xml:space="preserve">  ESPN states that th</w:t>
      </w:r>
      <w:r w:rsidR="00B84FDE">
        <w:t>is</w:t>
      </w:r>
      <w:r w:rsidR="002E6897">
        <w:t xml:space="preserve"> SBE email prompted ESPN Commercial Operations staff to review Section 11.45 of the Commission’s rules as well as </w:t>
      </w:r>
      <w:r w:rsidR="008C1D75">
        <w:t>all of the</w:t>
      </w:r>
      <w:r w:rsidR="002E6897">
        <w:t xml:space="preserve"> “Olympus Has Fallen” </w:t>
      </w:r>
      <w:r w:rsidR="00512D20">
        <w:t>trailers</w:t>
      </w:r>
      <w:r w:rsidR="002E6897">
        <w:t xml:space="preserve"> that had been provided to ESPN.  </w:t>
      </w:r>
      <w:r w:rsidR="0033330E">
        <w:t xml:space="preserve">Out of an “abundance of caution,” </w:t>
      </w:r>
      <w:r w:rsidR="002E6897">
        <w:t xml:space="preserve">ESPN </w:t>
      </w:r>
      <w:r w:rsidR="00FA216A">
        <w:t xml:space="preserve">rescinded its prior approval of </w:t>
      </w:r>
      <w:r w:rsidR="0033330E">
        <w:t xml:space="preserve">the </w:t>
      </w:r>
      <w:r w:rsidR="0033330E" w:rsidRPr="00661912">
        <w:rPr>
          <w:i/>
        </w:rPr>
        <w:t>No Surrender Trailer</w:t>
      </w:r>
      <w:r w:rsidR="002E6897">
        <w:t xml:space="preserve"> “[a]fter determining that </w:t>
      </w:r>
      <w:r w:rsidR="003243AB">
        <w:t>. . .</w:t>
      </w:r>
      <w:r w:rsidR="002E6897">
        <w:t xml:space="preserve"> the No Surrender Spot used audible tones similar to the EAS Attention Signal.”</w:t>
      </w:r>
      <w:r w:rsidR="002E6897">
        <w:rPr>
          <w:rStyle w:val="FootnoteReference"/>
          <w:spacing w:val="-2"/>
          <w:sz w:val="22"/>
          <w:szCs w:val="22"/>
        </w:rPr>
        <w:footnoteReference w:id="35"/>
      </w:r>
      <w:r w:rsidR="002E6897">
        <w:t xml:space="preserve">  ESPN states that it </w:t>
      </w:r>
      <w:r w:rsidR="0033330E">
        <w:t>then</w:t>
      </w:r>
      <w:r w:rsidR="002E6897">
        <w:t xml:space="preserve"> </w:t>
      </w:r>
      <w:r w:rsidR="00512D20">
        <w:t xml:space="preserve">removed </w:t>
      </w:r>
      <w:r w:rsidR="002E6897">
        <w:t xml:space="preserve">the </w:t>
      </w:r>
      <w:r w:rsidR="002534FA" w:rsidRPr="0091006E">
        <w:rPr>
          <w:i/>
        </w:rPr>
        <w:t>No Surrender</w:t>
      </w:r>
      <w:r w:rsidR="0033330E">
        <w:t xml:space="preserve"> </w:t>
      </w:r>
      <w:r w:rsidR="0033330E" w:rsidRPr="00661912">
        <w:rPr>
          <w:i/>
        </w:rPr>
        <w:t>Trailer</w:t>
      </w:r>
      <w:r w:rsidR="002E6897">
        <w:t xml:space="preserve"> from its </w:t>
      </w:r>
      <w:r w:rsidR="00013106">
        <w:t xml:space="preserve">commercial advertising tracking and control </w:t>
      </w:r>
      <w:r w:rsidR="002E6897">
        <w:t>system</w:t>
      </w:r>
      <w:r w:rsidR="00512D20">
        <w:t>,</w:t>
      </w:r>
      <w:r w:rsidR="002E6897">
        <w:t xml:space="preserve"> a</w:t>
      </w:r>
      <w:r w:rsidR="00512D20">
        <w:t>nd replaced it with versions</w:t>
      </w:r>
      <w:r w:rsidR="002E6897">
        <w:t xml:space="preserve"> that did not contain an audible tone that sounded like the EAS Attention Signal.</w:t>
      </w:r>
      <w:r w:rsidR="002E6897">
        <w:rPr>
          <w:rStyle w:val="FootnoteReference"/>
          <w:spacing w:val="-2"/>
          <w:sz w:val="22"/>
          <w:szCs w:val="22"/>
        </w:rPr>
        <w:footnoteReference w:id="36"/>
      </w:r>
      <w:r w:rsidR="00931043">
        <w:t xml:space="preserve"> </w:t>
      </w:r>
    </w:p>
    <w:p w14:paraId="373F4207" w14:textId="77777777" w:rsidR="00DA5466" w:rsidRDefault="001C72BE" w:rsidP="00D33545">
      <w:pPr>
        <w:pStyle w:val="ParaNum"/>
      </w:pPr>
      <w:r>
        <w:t xml:space="preserve">ESPN </w:t>
      </w:r>
      <w:r w:rsidR="00F8615F">
        <w:t xml:space="preserve">further </w:t>
      </w:r>
      <w:r>
        <w:t xml:space="preserve">states that, </w:t>
      </w:r>
      <w:r w:rsidR="00D56DEA">
        <w:t>after</w:t>
      </w:r>
      <w:r>
        <w:t xml:space="preserve"> </w:t>
      </w:r>
      <w:r w:rsidR="00D56DEA">
        <w:t>it</w:t>
      </w:r>
      <w:r>
        <w:t xml:space="preserve"> recei</w:t>
      </w:r>
      <w:r w:rsidR="00D56DEA">
        <w:t>ved</w:t>
      </w:r>
      <w:r>
        <w:t xml:space="preserve"> the </w:t>
      </w:r>
      <w:r w:rsidR="00441711">
        <w:t xml:space="preserve">ESPN </w:t>
      </w:r>
      <w:r w:rsidR="00D56DEA">
        <w:t>LOI</w:t>
      </w:r>
      <w:r>
        <w:t xml:space="preserve">, </w:t>
      </w:r>
      <w:r w:rsidR="00D56DEA">
        <w:t>it</w:t>
      </w:r>
      <w:r>
        <w:t xml:space="preserve"> “modified its procedures and requirements for reviewing advertisements that will be inserted into programming to be distributed by any of the ESPN cable sports programming networks.  Specifically, ESPN Commercial Operations personnel will review every advertisement regarding whether it contains any audible tones that sound like the EAS Attention Signal.”</w:t>
      </w:r>
      <w:r>
        <w:rPr>
          <w:rStyle w:val="FootnoteReference"/>
          <w:spacing w:val="-2"/>
          <w:sz w:val="22"/>
          <w:szCs w:val="22"/>
        </w:rPr>
        <w:footnoteReference w:id="37"/>
      </w:r>
    </w:p>
    <w:p w14:paraId="10D4D9B7" w14:textId="77777777" w:rsidR="005A4B83" w:rsidRPr="006700E2" w:rsidRDefault="005A4B83" w:rsidP="00514178">
      <w:pPr>
        <w:pStyle w:val="Heading2"/>
      </w:pPr>
      <w:r w:rsidRPr="006700E2">
        <w:t>NBCUniversal’s Response</w:t>
      </w:r>
    </w:p>
    <w:p w14:paraId="50B10CC8" w14:textId="77777777" w:rsidR="00DA5466" w:rsidRDefault="00DA5466" w:rsidP="00D33545">
      <w:pPr>
        <w:pStyle w:val="ParaNum"/>
      </w:pPr>
      <w:r w:rsidRPr="00DA5466">
        <w:t xml:space="preserve">In its response, </w:t>
      </w:r>
      <w:r w:rsidR="00EF6738">
        <w:t>NBCUniversal</w:t>
      </w:r>
      <w:r w:rsidRPr="00DA5466">
        <w:t xml:space="preserve"> acknowledges that the </w:t>
      </w:r>
      <w:r w:rsidRPr="00DA5466">
        <w:rPr>
          <w:i/>
        </w:rPr>
        <w:t>No Surrender Trailer</w:t>
      </w:r>
      <w:r w:rsidRPr="00DA5466">
        <w:t xml:space="preserve"> appeared a total of </w:t>
      </w:r>
      <w:r w:rsidR="00EF6738">
        <w:t xml:space="preserve">33 </w:t>
      </w:r>
      <w:r w:rsidRPr="00DA5466">
        <w:t xml:space="preserve">times from March 4 – </w:t>
      </w:r>
      <w:r w:rsidR="00EF6738">
        <w:t>9</w:t>
      </w:r>
      <w:r w:rsidRPr="00DA5466">
        <w:t>, 2013</w:t>
      </w:r>
      <w:r w:rsidR="001D5251">
        <w:t>,</w:t>
      </w:r>
      <w:r w:rsidRPr="00DA5466">
        <w:t xml:space="preserve"> on seven </w:t>
      </w:r>
      <w:r w:rsidR="00EF6738">
        <w:t>NBCUniversal</w:t>
      </w:r>
      <w:r w:rsidRPr="00DA5466">
        <w:t xml:space="preserve">-owned networks, as </w:t>
      </w:r>
      <w:r w:rsidR="009144EA">
        <w:t>follows:</w:t>
      </w:r>
      <w:r w:rsidR="00013106">
        <w:rPr>
          <w:rStyle w:val="FootnoteReference"/>
          <w:spacing w:val="-2"/>
          <w:sz w:val="22"/>
          <w:szCs w:val="22"/>
        </w:rPr>
        <w:footnoteReference w:id="38"/>
      </w:r>
      <w:r w:rsidRPr="00DA5466">
        <w:t xml:space="preserve"> </w:t>
      </w:r>
    </w:p>
    <w:p w14:paraId="3344438D" w14:textId="77777777" w:rsidR="00D33545" w:rsidRPr="00DA5466" w:rsidRDefault="00D33545" w:rsidP="00D33545"/>
    <w:tbl>
      <w:tblPr>
        <w:tblStyle w:val="TableGrid"/>
        <w:tblW w:w="0" w:type="auto"/>
        <w:jc w:val="center"/>
        <w:tblLook w:val="04A0" w:firstRow="1" w:lastRow="0" w:firstColumn="1" w:lastColumn="0" w:noHBand="0" w:noVBand="1"/>
      </w:tblPr>
      <w:tblGrid>
        <w:gridCol w:w="2215"/>
        <w:gridCol w:w="2243"/>
        <w:gridCol w:w="2277"/>
      </w:tblGrid>
      <w:tr w:rsidR="00094A75" w:rsidRPr="00094A75" w14:paraId="279FC412" w14:textId="77777777">
        <w:trPr>
          <w:jc w:val="center"/>
        </w:trPr>
        <w:tc>
          <w:tcPr>
            <w:tcW w:w="2215" w:type="dxa"/>
            <w:shd w:val="clear" w:color="auto" w:fill="D9D9D9" w:themeFill="background1" w:themeFillShade="D9"/>
          </w:tcPr>
          <w:p w14:paraId="5CE04B77" w14:textId="77777777" w:rsidR="00094A75" w:rsidRPr="00094A75" w:rsidRDefault="00094A75" w:rsidP="00B743E6">
            <w:pPr>
              <w:keepNext/>
              <w:widowControl/>
              <w:tabs>
                <w:tab w:val="left" w:pos="0"/>
              </w:tabs>
              <w:suppressAutoHyphens/>
              <w:spacing w:after="240"/>
              <w:rPr>
                <w:b/>
                <w:i/>
                <w:spacing w:val="-2"/>
              </w:rPr>
            </w:pPr>
            <w:r w:rsidRPr="00094A75">
              <w:rPr>
                <w:b/>
                <w:i/>
                <w:spacing w:val="-2"/>
              </w:rPr>
              <w:t>Network</w:t>
            </w:r>
          </w:p>
        </w:tc>
        <w:tc>
          <w:tcPr>
            <w:tcW w:w="2243" w:type="dxa"/>
            <w:shd w:val="clear" w:color="auto" w:fill="D9D9D9" w:themeFill="background1" w:themeFillShade="D9"/>
          </w:tcPr>
          <w:p w14:paraId="23BC0CDE" w14:textId="77777777" w:rsidR="00094A75" w:rsidRPr="00094A75" w:rsidRDefault="00094A75" w:rsidP="00B743E6">
            <w:pPr>
              <w:keepNext/>
              <w:widowControl/>
              <w:tabs>
                <w:tab w:val="left" w:pos="0"/>
              </w:tabs>
              <w:suppressAutoHyphens/>
              <w:spacing w:after="240"/>
              <w:rPr>
                <w:b/>
                <w:i/>
                <w:spacing w:val="-2"/>
              </w:rPr>
            </w:pPr>
            <w:r w:rsidRPr="00094A75">
              <w:rPr>
                <w:b/>
                <w:i/>
                <w:spacing w:val="-2"/>
              </w:rPr>
              <w:t>Number of Repetitions per LOI Response</w:t>
            </w:r>
          </w:p>
        </w:tc>
        <w:tc>
          <w:tcPr>
            <w:tcW w:w="2277" w:type="dxa"/>
            <w:shd w:val="clear" w:color="auto" w:fill="D9D9D9" w:themeFill="background1" w:themeFillShade="D9"/>
          </w:tcPr>
          <w:p w14:paraId="00466510" w14:textId="77777777" w:rsidR="00094A75" w:rsidRPr="00094A75" w:rsidRDefault="00094A75" w:rsidP="00B743E6">
            <w:pPr>
              <w:keepNext/>
              <w:widowControl/>
              <w:tabs>
                <w:tab w:val="left" w:pos="0"/>
              </w:tabs>
              <w:suppressAutoHyphens/>
              <w:spacing w:after="240"/>
              <w:rPr>
                <w:b/>
                <w:i/>
                <w:spacing w:val="-2"/>
              </w:rPr>
            </w:pPr>
            <w:r w:rsidRPr="00094A75">
              <w:rPr>
                <w:b/>
                <w:i/>
                <w:spacing w:val="-2"/>
              </w:rPr>
              <w:t>Transmission Date(s)</w:t>
            </w:r>
          </w:p>
        </w:tc>
      </w:tr>
      <w:tr w:rsidR="00094A75" w:rsidRPr="00094A75" w14:paraId="3115D27E" w14:textId="77777777">
        <w:trPr>
          <w:jc w:val="center"/>
        </w:trPr>
        <w:tc>
          <w:tcPr>
            <w:tcW w:w="2215" w:type="dxa"/>
          </w:tcPr>
          <w:p w14:paraId="3731B54B" w14:textId="77777777" w:rsidR="00094A75" w:rsidRPr="00094A75" w:rsidRDefault="00094A75" w:rsidP="00B743E6">
            <w:pPr>
              <w:keepNext/>
              <w:widowControl/>
              <w:tabs>
                <w:tab w:val="left" w:pos="0"/>
              </w:tabs>
              <w:suppressAutoHyphens/>
              <w:spacing w:after="240"/>
              <w:rPr>
                <w:spacing w:val="-2"/>
              </w:rPr>
            </w:pPr>
            <w:r w:rsidRPr="00094A75">
              <w:rPr>
                <w:spacing w:val="-2"/>
              </w:rPr>
              <w:t>SyFy</w:t>
            </w:r>
          </w:p>
        </w:tc>
        <w:tc>
          <w:tcPr>
            <w:tcW w:w="2243" w:type="dxa"/>
          </w:tcPr>
          <w:p w14:paraId="0904BC71" w14:textId="77777777" w:rsidR="00094A75" w:rsidRPr="00094A75" w:rsidRDefault="00094A75" w:rsidP="00B743E6">
            <w:pPr>
              <w:keepNext/>
              <w:widowControl/>
              <w:tabs>
                <w:tab w:val="left" w:pos="0"/>
              </w:tabs>
              <w:suppressAutoHyphens/>
              <w:spacing w:after="240"/>
              <w:rPr>
                <w:spacing w:val="-2"/>
              </w:rPr>
            </w:pPr>
            <w:r w:rsidRPr="00094A75">
              <w:rPr>
                <w:spacing w:val="-2"/>
              </w:rPr>
              <w:t>4</w:t>
            </w:r>
          </w:p>
        </w:tc>
        <w:tc>
          <w:tcPr>
            <w:tcW w:w="2277" w:type="dxa"/>
          </w:tcPr>
          <w:p w14:paraId="15BDE563" w14:textId="77777777" w:rsidR="00094A75" w:rsidRPr="00094A75" w:rsidRDefault="00094A75" w:rsidP="00B743E6">
            <w:pPr>
              <w:keepNext/>
              <w:widowControl/>
              <w:tabs>
                <w:tab w:val="left" w:pos="0"/>
              </w:tabs>
              <w:suppressAutoHyphens/>
              <w:spacing w:after="240"/>
              <w:rPr>
                <w:spacing w:val="-2"/>
              </w:rPr>
            </w:pPr>
            <w:r w:rsidRPr="00094A75">
              <w:rPr>
                <w:spacing w:val="-2"/>
              </w:rPr>
              <w:t>3/5/2013 – 3/7/2013</w:t>
            </w:r>
          </w:p>
        </w:tc>
      </w:tr>
      <w:tr w:rsidR="00094A75" w:rsidRPr="00094A75" w14:paraId="5F630966" w14:textId="77777777">
        <w:trPr>
          <w:jc w:val="center"/>
        </w:trPr>
        <w:tc>
          <w:tcPr>
            <w:tcW w:w="2215" w:type="dxa"/>
          </w:tcPr>
          <w:p w14:paraId="2D390936" w14:textId="77777777" w:rsidR="00094A75" w:rsidRPr="00094A75" w:rsidRDefault="00094A75" w:rsidP="00B743E6">
            <w:pPr>
              <w:keepNext/>
              <w:widowControl/>
              <w:tabs>
                <w:tab w:val="left" w:pos="0"/>
              </w:tabs>
              <w:suppressAutoHyphens/>
              <w:spacing w:after="240"/>
              <w:rPr>
                <w:spacing w:val="-2"/>
              </w:rPr>
            </w:pPr>
            <w:r w:rsidRPr="00094A75">
              <w:rPr>
                <w:spacing w:val="-2"/>
              </w:rPr>
              <w:t>USA</w:t>
            </w:r>
          </w:p>
        </w:tc>
        <w:tc>
          <w:tcPr>
            <w:tcW w:w="2243" w:type="dxa"/>
          </w:tcPr>
          <w:p w14:paraId="00232381" w14:textId="77777777" w:rsidR="00094A75" w:rsidRPr="00094A75" w:rsidRDefault="00094A75" w:rsidP="00B743E6">
            <w:pPr>
              <w:keepNext/>
              <w:widowControl/>
              <w:tabs>
                <w:tab w:val="left" w:pos="0"/>
              </w:tabs>
              <w:suppressAutoHyphens/>
              <w:spacing w:after="240"/>
              <w:rPr>
                <w:spacing w:val="-2"/>
              </w:rPr>
            </w:pPr>
            <w:r w:rsidRPr="00094A75">
              <w:rPr>
                <w:spacing w:val="-2"/>
              </w:rPr>
              <w:t>1</w:t>
            </w:r>
          </w:p>
        </w:tc>
        <w:tc>
          <w:tcPr>
            <w:tcW w:w="2277" w:type="dxa"/>
          </w:tcPr>
          <w:p w14:paraId="5F15B8E5" w14:textId="77777777" w:rsidR="00094A75" w:rsidRPr="00094A75" w:rsidRDefault="00094A75" w:rsidP="00B743E6">
            <w:pPr>
              <w:keepNext/>
              <w:widowControl/>
              <w:tabs>
                <w:tab w:val="left" w:pos="0"/>
              </w:tabs>
              <w:suppressAutoHyphens/>
              <w:spacing w:after="240"/>
              <w:rPr>
                <w:spacing w:val="-2"/>
              </w:rPr>
            </w:pPr>
            <w:r w:rsidRPr="00094A75">
              <w:rPr>
                <w:spacing w:val="-2"/>
              </w:rPr>
              <w:t>3/5/2013</w:t>
            </w:r>
          </w:p>
        </w:tc>
      </w:tr>
      <w:tr w:rsidR="00094A75" w:rsidRPr="00094A75" w14:paraId="280B6945" w14:textId="77777777">
        <w:trPr>
          <w:jc w:val="center"/>
        </w:trPr>
        <w:tc>
          <w:tcPr>
            <w:tcW w:w="2215" w:type="dxa"/>
          </w:tcPr>
          <w:p w14:paraId="756C7EF8" w14:textId="77777777" w:rsidR="00094A75" w:rsidRPr="00094A75" w:rsidRDefault="00094A75" w:rsidP="00B743E6">
            <w:pPr>
              <w:keepNext/>
              <w:widowControl/>
              <w:tabs>
                <w:tab w:val="left" w:pos="0"/>
              </w:tabs>
              <w:suppressAutoHyphens/>
              <w:spacing w:after="240"/>
              <w:rPr>
                <w:spacing w:val="-2"/>
              </w:rPr>
            </w:pPr>
            <w:r w:rsidRPr="00094A75">
              <w:rPr>
                <w:spacing w:val="-2"/>
              </w:rPr>
              <w:t>RSN Bay Area</w:t>
            </w:r>
          </w:p>
        </w:tc>
        <w:tc>
          <w:tcPr>
            <w:tcW w:w="2243" w:type="dxa"/>
          </w:tcPr>
          <w:p w14:paraId="5E4FE608" w14:textId="77777777" w:rsidR="00094A75" w:rsidRPr="00094A75" w:rsidRDefault="00094A75" w:rsidP="00B743E6">
            <w:pPr>
              <w:keepNext/>
              <w:widowControl/>
              <w:tabs>
                <w:tab w:val="left" w:pos="0"/>
              </w:tabs>
              <w:suppressAutoHyphens/>
              <w:spacing w:after="240"/>
              <w:rPr>
                <w:spacing w:val="-2"/>
              </w:rPr>
            </w:pPr>
            <w:r w:rsidRPr="00094A75">
              <w:rPr>
                <w:spacing w:val="-2"/>
              </w:rPr>
              <w:t>3</w:t>
            </w:r>
          </w:p>
        </w:tc>
        <w:tc>
          <w:tcPr>
            <w:tcW w:w="2277" w:type="dxa"/>
          </w:tcPr>
          <w:p w14:paraId="3A389726" w14:textId="77777777" w:rsidR="00094A75" w:rsidRPr="00094A75" w:rsidRDefault="00094A75" w:rsidP="00B743E6">
            <w:pPr>
              <w:keepNext/>
              <w:widowControl/>
              <w:tabs>
                <w:tab w:val="left" w:pos="0"/>
              </w:tabs>
              <w:suppressAutoHyphens/>
              <w:spacing w:after="240"/>
              <w:rPr>
                <w:spacing w:val="-2"/>
              </w:rPr>
            </w:pPr>
            <w:r w:rsidRPr="00094A75">
              <w:rPr>
                <w:spacing w:val="-2"/>
              </w:rPr>
              <w:t>3/4/2013 – 3/9/2013</w:t>
            </w:r>
          </w:p>
        </w:tc>
      </w:tr>
      <w:tr w:rsidR="00094A75" w:rsidRPr="00094A75" w14:paraId="6F0CF051" w14:textId="77777777">
        <w:trPr>
          <w:jc w:val="center"/>
        </w:trPr>
        <w:tc>
          <w:tcPr>
            <w:tcW w:w="2215" w:type="dxa"/>
          </w:tcPr>
          <w:p w14:paraId="58D23516" w14:textId="77777777" w:rsidR="00094A75" w:rsidRPr="00094A75" w:rsidRDefault="00094A75" w:rsidP="00B743E6">
            <w:pPr>
              <w:keepNext/>
              <w:widowControl/>
              <w:tabs>
                <w:tab w:val="left" w:pos="0"/>
              </w:tabs>
              <w:suppressAutoHyphens/>
              <w:spacing w:after="240"/>
              <w:rPr>
                <w:spacing w:val="-2"/>
              </w:rPr>
            </w:pPr>
            <w:r w:rsidRPr="00094A75">
              <w:rPr>
                <w:spacing w:val="-2"/>
              </w:rPr>
              <w:t>RSN California</w:t>
            </w:r>
          </w:p>
        </w:tc>
        <w:tc>
          <w:tcPr>
            <w:tcW w:w="2243" w:type="dxa"/>
          </w:tcPr>
          <w:p w14:paraId="134B6F9A" w14:textId="77777777" w:rsidR="00094A75" w:rsidRPr="00094A75" w:rsidRDefault="00094A75" w:rsidP="00B743E6">
            <w:pPr>
              <w:keepNext/>
              <w:widowControl/>
              <w:tabs>
                <w:tab w:val="left" w:pos="0"/>
              </w:tabs>
              <w:suppressAutoHyphens/>
              <w:spacing w:after="240"/>
              <w:rPr>
                <w:spacing w:val="-2"/>
              </w:rPr>
            </w:pPr>
            <w:r w:rsidRPr="00094A75">
              <w:rPr>
                <w:spacing w:val="-2"/>
              </w:rPr>
              <w:t>21</w:t>
            </w:r>
          </w:p>
        </w:tc>
        <w:tc>
          <w:tcPr>
            <w:tcW w:w="2277" w:type="dxa"/>
          </w:tcPr>
          <w:p w14:paraId="50051BEB" w14:textId="77777777" w:rsidR="00094A75" w:rsidRPr="00094A75" w:rsidRDefault="00094A75" w:rsidP="00B743E6">
            <w:pPr>
              <w:keepNext/>
              <w:widowControl/>
              <w:tabs>
                <w:tab w:val="left" w:pos="0"/>
              </w:tabs>
              <w:suppressAutoHyphens/>
              <w:spacing w:after="240"/>
              <w:rPr>
                <w:spacing w:val="-2"/>
              </w:rPr>
            </w:pPr>
            <w:r w:rsidRPr="00094A75">
              <w:rPr>
                <w:spacing w:val="-2"/>
              </w:rPr>
              <w:t>3/4/2013 – 3/7/2013</w:t>
            </w:r>
          </w:p>
        </w:tc>
      </w:tr>
      <w:tr w:rsidR="00094A75" w:rsidRPr="00094A75" w14:paraId="29285F03" w14:textId="77777777">
        <w:trPr>
          <w:jc w:val="center"/>
        </w:trPr>
        <w:tc>
          <w:tcPr>
            <w:tcW w:w="2215" w:type="dxa"/>
          </w:tcPr>
          <w:p w14:paraId="5E6C4D7C" w14:textId="77777777" w:rsidR="00094A75" w:rsidRPr="00094A75" w:rsidRDefault="00094A75" w:rsidP="00B743E6">
            <w:pPr>
              <w:keepNext/>
              <w:widowControl/>
              <w:tabs>
                <w:tab w:val="left" w:pos="0"/>
              </w:tabs>
              <w:suppressAutoHyphens/>
              <w:spacing w:after="240"/>
              <w:rPr>
                <w:spacing w:val="-2"/>
              </w:rPr>
            </w:pPr>
            <w:r w:rsidRPr="00094A75">
              <w:rPr>
                <w:spacing w:val="-2"/>
              </w:rPr>
              <w:t>RSN Houston</w:t>
            </w:r>
          </w:p>
        </w:tc>
        <w:tc>
          <w:tcPr>
            <w:tcW w:w="2243" w:type="dxa"/>
          </w:tcPr>
          <w:p w14:paraId="7BE563D6" w14:textId="77777777" w:rsidR="00094A75" w:rsidRPr="00094A75" w:rsidRDefault="00094A75" w:rsidP="00B743E6">
            <w:pPr>
              <w:keepNext/>
              <w:widowControl/>
              <w:tabs>
                <w:tab w:val="left" w:pos="0"/>
              </w:tabs>
              <w:suppressAutoHyphens/>
              <w:spacing w:after="240"/>
              <w:rPr>
                <w:spacing w:val="-2"/>
              </w:rPr>
            </w:pPr>
            <w:r w:rsidRPr="00094A75">
              <w:rPr>
                <w:spacing w:val="-2"/>
              </w:rPr>
              <w:t>1</w:t>
            </w:r>
          </w:p>
        </w:tc>
        <w:tc>
          <w:tcPr>
            <w:tcW w:w="2277" w:type="dxa"/>
          </w:tcPr>
          <w:p w14:paraId="2A34081F" w14:textId="77777777" w:rsidR="00094A75" w:rsidRPr="00094A75" w:rsidRDefault="00094A75" w:rsidP="00B743E6">
            <w:pPr>
              <w:keepNext/>
              <w:widowControl/>
              <w:tabs>
                <w:tab w:val="left" w:pos="0"/>
              </w:tabs>
              <w:suppressAutoHyphens/>
              <w:spacing w:after="240"/>
              <w:rPr>
                <w:spacing w:val="-2"/>
              </w:rPr>
            </w:pPr>
            <w:r w:rsidRPr="00094A75">
              <w:rPr>
                <w:spacing w:val="-2"/>
              </w:rPr>
              <w:t>3/4/2013</w:t>
            </w:r>
          </w:p>
        </w:tc>
      </w:tr>
      <w:tr w:rsidR="00094A75" w:rsidRPr="00094A75" w14:paraId="10311513" w14:textId="77777777">
        <w:trPr>
          <w:jc w:val="center"/>
        </w:trPr>
        <w:tc>
          <w:tcPr>
            <w:tcW w:w="2215" w:type="dxa"/>
          </w:tcPr>
          <w:p w14:paraId="0CD1B016" w14:textId="77777777" w:rsidR="00094A75" w:rsidRPr="00094A75" w:rsidRDefault="00094A75" w:rsidP="00B743E6">
            <w:pPr>
              <w:keepNext/>
              <w:widowControl/>
              <w:tabs>
                <w:tab w:val="left" w:pos="0"/>
              </w:tabs>
              <w:suppressAutoHyphens/>
              <w:spacing w:after="240"/>
              <w:rPr>
                <w:spacing w:val="-2"/>
              </w:rPr>
            </w:pPr>
            <w:r w:rsidRPr="00094A75">
              <w:rPr>
                <w:spacing w:val="-2"/>
              </w:rPr>
              <w:t>RSN New England</w:t>
            </w:r>
          </w:p>
        </w:tc>
        <w:tc>
          <w:tcPr>
            <w:tcW w:w="2243" w:type="dxa"/>
          </w:tcPr>
          <w:p w14:paraId="635D0618" w14:textId="77777777" w:rsidR="00094A75" w:rsidRPr="00094A75" w:rsidRDefault="00094A75" w:rsidP="00B743E6">
            <w:pPr>
              <w:keepNext/>
              <w:widowControl/>
              <w:tabs>
                <w:tab w:val="left" w:pos="0"/>
              </w:tabs>
              <w:suppressAutoHyphens/>
              <w:spacing w:after="240"/>
              <w:rPr>
                <w:spacing w:val="-2"/>
              </w:rPr>
            </w:pPr>
            <w:r w:rsidRPr="00094A75">
              <w:rPr>
                <w:spacing w:val="-2"/>
              </w:rPr>
              <w:t>1</w:t>
            </w:r>
          </w:p>
        </w:tc>
        <w:tc>
          <w:tcPr>
            <w:tcW w:w="2277" w:type="dxa"/>
          </w:tcPr>
          <w:p w14:paraId="02BFB937" w14:textId="77777777" w:rsidR="00094A75" w:rsidRPr="00094A75" w:rsidRDefault="00094A75" w:rsidP="00B743E6">
            <w:pPr>
              <w:keepNext/>
              <w:widowControl/>
              <w:tabs>
                <w:tab w:val="left" w:pos="0"/>
              </w:tabs>
              <w:suppressAutoHyphens/>
              <w:spacing w:after="240"/>
              <w:rPr>
                <w:spacing w:val="-2"/>
              </w:rPr>
            </w:pPr>
            <w:r w:rsidRPr="00094A75">
              <w:rPr>
                <w:spacing w:val="-2"/>
              </w:rPr>
              <w:t>3/4/2013</w:t>
            </w:r>
          </w:p>
        </w:tc>
      </w:tr>
      <w:tr w:rsidR="00094A75" w:rsidRPr="00094A75" w14:paraId="5CBB960B" w14:textId="77777777">
        <w:trPr>
          <w:jc w:val="center"/>
        </w:trPr>
        <w:tc>
          <w:tcPr>
            <w:tcW w:w="2215" w:type="dxa"/>
          </w:tcPr>
          <w:p w14:paraId="4602462F" w14:textId="77777777" w:rsidR="00094A75" w:rsidRPr="00094A75" w:rsidRDefault="00094A75" w:rsidP="00B743E6">
            <w:pPr>
              <w:keepNext/>
              <w:widowControl/>
              <w:tabs>
                <w:tab w:val="left" w:pos="0"/>
              </w:tabs>
              <w:suppressAutoHyphens/>
              <w:spacing w:after="240"/>
              <w:rPr>
                <w:spacing w:val="-2"/>
              </w:rPr>
            </w:pPr>
            <w:r w:rsidRPr="00094A75">
              <w:rPr>
                <w:spacing w:val="-2"/>
              </w:rPr>
              <w:t>RSN Mid Atlantic</w:t>
            </w:r>
          </w:p>
        </w:tc>
        <w:tc>
          <w:tcPr>
            <w:tcW w:w="2243" w:type="dxa"/>
          </w:tcPr>
          <w:p w14:paraId="604B401B" w14:textId="77777777" w:rsidR="00094A75" w:rsidRPr="00094A75" w:rsidRDefault="00094A75" w:rsidP="00B743E6">
            <w:pPr>
              <w:keepNext/>
              <w:widowControl/>
              <w:tabs>
                <w:tab w:val="left" w:pos="0"/>
              </w:tabs>
              <w:suppressAutoHyphens/>
              <w:spacing w:after="240"/>
              <w:rPr>
                <w:spacing w:val="-2"/>
              </w:rPr>
            </w:pPr>
            <w:r w:rsidRPr="00094A75">
              <w:rPr>
                <w:spacing w:val="-2"/>
              </w:rPr>
              <w:t>2</w:t>
            </w:r>
          </w:p>
        </w:tc>
        <w:tc>
          <w:tcPr>
            <w:tcW w:w="2277" w:type="dxa"/>
          </w:tcPr>
          <w:p w14:paraId="41E72D24" w14:textId="77777777" w:rsidR="00094A75" w:rsidRPr="00094A75" w:rsidRDefault="00094A75" w:rsidP="00B743E6">
            <w:pPr>
              <w:keepNext/>
              <w:widowControl/>
              <w:tabs>
                <w:tab w:val="left" w:pos="0"/>
              </w:tabs>
              <w:suppressAutoHyphens/>
              <w:spacing w:after="240"/>
              <w:rPr>
                <w:spacing w:val="-2"/>
              </w:rPr>
            </w:pPr>
            <w:r w:rsidRPr="00094A75">
              <w:rPr>
                <w:spacing w:val="-2"/>
              </w:rPr>
              <w:t>3/5/2013</w:t>
            </w:r>
          </w:p>
        </w:tc>
      </w:tr>
      <w:tr w:rsidR="007122E7" w:rsidRPr="00094A75" w14:paraId="24C5DA55" w14:textId="77777777">
        <w:trPr>
          <w:jc w:val="center"/>
        </w:trPr>
        <w:tc>
          <w:tcPr>
            <w:tcW w:w="2215" w:type="dxa"/>
            <w:shd w:val="clear" w:color="auto" w:fill="D9D9D9" w:themeFill="background1" w:themeFillShade="D9"/>
          </w:tcPr>
          <w:p w14:paraId="23780747" w14:textId="77777777" w:rsidR="007122E7" w:rsidRPr="007122E7" w:rsidRDefault="007122E7" w:rsidP="009144EA">
            <w:pPr>
              <w:widowControl/>
              <w:tabs>
                <w:tab w:val="left" w:pos="0"/>
              </w:tabs>
              <w:suppressAutoHyphens/>
              <w:spacing w:after="240"/>
              <w:rPr>
                <w:b/>
                <w:spacing w:val="-2"/>
              </w:rPr>
            </w:pPr>
            <w:r>
              <w:rPr>
                <w:b/>
                <w:spacing w:val="-2"/>
              </w:rPr>
              <w:t>Total</w:t>
            </w:r>
          </w:p>
        </w:tc>
        <w:tc>
          <w:tcPr>
            <w:tcW w:w="2243" w:type="dxa"/>
            <w:shd w:val="clear" w:color="auto" w:fill="D9D9D9" w:themeFill="background1" w:themeFillShade="D9"/>
          </w:tcPr>
          <w:p w14:paraId="4EBBFC1E" w14:textId="77777777" w:rsidR="007122E7" w:rsidRPr="007122E7" w:rsidRDefault="007122E7" w:rsidP="009144EA">
            <w:pPr>
              <w:widowControl/>
              <w:tabs>
                <w:tab w:val="left" w:pos="0"/>
              </w:tabs>
              <w:suppressAutoHyphens/>
              <w:spacing w:after="240"/>
              <w:rPr>
                <w:b/>
                <w:spacing w:val="-2"/>
              </w:rPr>
            </w:pPr>
            <w:r>
              <w:rPr>
                <w:b/>
                <w:spacing w:val="-2"/>
              </w:rPr>
              <w:t>33</w:t>
            </w:r>
          </w:p>
        </w:tc>
        <w:tc>
          <w:tcPr>
            <w:tcW w:w="2277" w:type="dxa"/>
            <w:shd w:val="clear" w:color="auto" w:fill="D9D9D9" w:themeFill="background1" w:themeFillShade="D9"/>
          </w:tcPr>
          <w:p w14:paraId="1CC3F620" w14:textId="77777777" w:rsidR="007122E7" w:rsidRPr="00094A75" w:rsidRDefault="007122E7" w:rsidP="009144EA">
            <w:pPr>
              <w:widowControl/>
              <w:tabs>
                <w:tab w:val="left" w:pos="0"/>
              </w:tabs>
              <w:suppressAutoHyphens/>
              <w:spacing w:after="240"/>
              <w:rPr>
                <w:spacing w:val="-2"/>
              </w:rPr>
            </w:pPr>
          </w:p>
        </w:tc>
      </w:tr>
    </w:tbl>
    <w:p w14:paraId="5555A4E7" w14:textId="77777777" w:rsidR="00DA5466" w:rsidRPr="00DA5466" w:rsidRDefault="00DA5466" w:rsidP="00E13142">
      <w:pPr>
        <w:widowControl/>
        <w:tabs>
          <w:tab w:val="left" w:pos="0"/>
        </w:tabs>
        <w:suppressAutoHyphens/>
        <w:spacing w:after="220"/>
        <w:rPr>
          <w:color w:val="000000"/>
          <w:szCs w:val="22"/>
        </w:rPr>
      </w:pPr>
    </w:p>
    <w:p w14:paraId="51A40A55" w14:textId="77777777" w:rsidR="00D33545" w:rsidRDefault="002534FA" w:rsidP="003F04CB">
      <w:pPr>
        <w:widowControl/>
        <w:spacing w:after="120"/>
        <w:rPr>
          <w:szCs w:val="22"/>
        </w:rPr>
      </w:pPr>
      <w:r w:rsidRPr="0091006E">
        <w:t>NBCUniversal acknowledges that “</w:t>
      </w:r>
      <w:r w:rsidR="00431D20">
        <w:t>[t]</w:t>
      </w:r>
      <w:r w:rsidRPr="0091006E">
        <w:t>he FCC’s rules specify that the EAS Attention Signal is comprised of two fundamental frequencies, 853 Hz and 960 Hz, transmitted simultaneously for between eight and 25 seconds</w:t>
      </w:r>
      <w:r w:rsidR="00A01FE9">
        <w:rPr>
          <w:szCs w:val="22"/>
        </w:rPr>
        <w:t xml:space="preserve">” and confirms that </w:t>
      </w:r>
      <w:r w:rsidR="0091006E">
        <w:rPr>
          <w:szCs w:val="22"/>
        </w:rPr>
        <w:t xml:space="preserve">the </w:t>
      </w:r>
      <w:r w:rsidR="0091006E" w:rsidRPr="00431D20">
        <w:rPr>
          <w:i/>
          <w:spacing w:val="-2"/>
          <w:szCs w:val="22"/>
        </w:rPr>
        <w:t>No Surrender Trailer</w:t>
      </w:r>
      <w:r w:rsidR="0091006E" w:rsidRPr="0091006E">
        <w:t xml:space="preserve"> </w:t>
      </w:r>
      <w:r w:rsidR="0091006E">
        <w:t>“</w:t>
      </w:r>
      <w:r w:rsidRPr="0091006E">
        <w:t>contained three instances of the fundamental frequencies of the Attention Signal . . . although for much shorter durations (approximately four seconds, one second and one second) than specified in the FCC’s rules.”</w:t>
      </w:r>
      <w:r>
        <w:rPr>
          <w:rStyle w:val="FootnoteReference"/>
          <w:color w:val="000000"/>
          <w:sz w:val="22"/>
        </w:rPr>
        <w:footnoteReference w:id="39"/>
      </w:r>
      <w:r w:rsidRPr="0091006E">
        <w:t xml:space="preserve">  </w:t>
      </w:r>
      <w:r w:rsidR="009948D7" w:rsidRPr="00FA0CDB">
        <w:t xml:space="preserve">NBCUniversal </w:t>
      </w:r>
      <w:r w:rsidR="009948D7">
        <w:rPr>
          <w:szCs w:val="22"/>
        </w:rPr>
        <w:t>states</w:t>
      </w:r>
      <w:r w:rsidR="009948D7" w:rsidRPr="00FA0CDB">
        <w:t xml:space="preserve"> that</w:t>
      </w:r>
      <w:r w:rsidR="009948D7">
        <w:t xml:space="preserve">, because the trailer did not fall within certain “red flag categories” enumerated in its advertising standards, </w:t>
      </w:r>
      <w:r w:rsidR="009948D7" w:rsidRPr="00A37F1C">
        <w:t xml:space="preserve">it </w:t>
      </w:r>
      <w:r w:rsidR="009948D7">
        <w:t>included</w:t>
      </w:r>
      <w:r w:rsidR="009948D7">
        <w:rPr>
          <w:szCs w:val="22"/>
        </w:rPr>
        <w:t xml:space="preserve"> </w:t>
      </w:r>
      <w:r w:rsidR="009948D7" w:rsidRPr="00FA0CDB">
        <w:t xml:space="preserve">the </w:t>
      </w:r>
      <w:r w:rsidR="009948D7" w:rsidRPr="00FA0CDB">
        <w:rPr>
          <w:i/>
        </w:rPr>
        <w:t xml:space="preserve">No Surrender Trailer </w:t>
      </w:r>
      <w:r w:rsidR="009948D7">
        <w:rPr>
          <w:spacing w:val="-2"/>
          <w:szCs w:val="22"/>
        </w:rPr>
        <w:t>in programming it provided to MVPDs “for transmission to their subscribers.”</w:t>
      </w:r>
      <w:r w:rsidR="003A29F7">
        <w:rPr>
          <w:rStyle w:val="FootnoteReference"/>
          <w:spacing w:val="-2"/>
          <w:sz w:val="22"/>
          <w:szCs w:val="22"/>
        </w:rPr>
        <w:footnoteReference w:id="40"/>
      </w:r>
      <w:r w:rsidR="003A29F7">
        <w:rPr>
          <w:spacing w:val="-2"/>
          <w:szCs w:val="22"/>
        </w:rPr>
        <w:t xml:space="preserve">  </w:t>
      </w:r>
      <w:r w:rsidR="00D06D44" w:rsidRPr="003A29F7">
        <w:rPr>
          <w:szCs w:val="22"/>
        </w:rPr>
        <w:t>NBCUniversal</w:t>
      </w:r>
      <w:r w:rsidR="00D06D44" w:rsidRPr="00030726">
        <w:rPr>
          <w:szCs w:val="22"/>
        </w:rPr>
        <w:t xml:space="preserve"> </w:t>
      </w:r>
      <w:r w:rsidR="001676A5">
        <w:rPr>
          <w:szCs w:val="22"/>
        </w:rPr>
        <w:t xml:space="preserve">concedes that it </w:t>
      </w:r>
      <w:r w:rsidR="000D0083">
        <w:rPr>
          <w:szCs w:val="22"/>
        </w:rPr>
        <w:t>did not transmit</w:t>
      </w:r>
      <w:r w:rsidR="00D06D44" w:rsidRPr="00030726">
        <w:rPr>
          <w:szCs w:val="22"/>
        </w:rPr>
        <w:t xml:space="preserve"> the </w:t>
      </w:r>
      <w:r w:rsidR="00D06D44" w:rsidRPr="00030726">
        <w:rPr>
          <w:i/>
          <w:spacing w:val="-2"/>
          <w:szCs w:val="22"/>
        </w:rPr>
        <w:t>No Surrender Trailer</w:t>
      </w:r>
      <w:r w:rsidRPr="00A14824">
        <w:t xml:space="preserve"> in connection with an actual </w:t>
      </w:r>
      <w:r w:rsidR="00041E3F">
        <w:t>N</w:t>
      </w:r>
      <w:r w:rsidRPr="00A14824">
        <w:t xml:space="preserve">ational, </w:t>
      </w:r>
      <w:r w:rsidR="00041E3F">
        <w:t>S</w:t>
      </w:r>
      <w:r w:rsidRPr="00A14824">
        <w:t xml:space="preserve">tate or </w:t>
      </w:r>
      <w:r w:rsidR="00041E3F">
        <w:t>L</w:t>
      </w:r>
      <w:r w:rsidRPr="00A14824">
        <w:t xml:space="preserve">ocal </w:t>
      </w:r>
      <w:r w:rsidR="00041E3F">
        <w:t xml:space="preserve">Area </w:t>
      </w:r>
      <w:r w:rsidRPr="00A14824">
        <w:t xml:space="preserve">emergency or authorized test of the EAS, but </w:t>
      </w:r>
      <w:r w:rsidR="004C1A9F">
        <w:rPr>
          <w:szCs w:val="22"/>
        </w:rPr>
        <w:t xml:space="preserve">rather to </w:t>
      </w:r>
      <w:r w:rsidR="00D06D44" w:rsidRPr="00030726">
        <w:rPr>
          <w:szCs w:val="22"/>
        </w:rPr>
        <w:t>promot</w:t>
      </w:r>
      <w:r w:rsidR="004C1A9F">
        <w:rPr>
          <w:szCs w:val="22"/>
        </w:rPr>
        <w:t>e</w:t>
      </w:r>
      <w:r w:rsidRPr="00A14824">
        <w:t xml:space="preserve"> a </w:t>
      </w:r>
      <w:r w:rsidR="004C1A9F">
        <w:rPr>
          <w:szCs w:val="22"/>
        </w:rPr>
        <w:t>movie</w:t>
      </w:r>
      <w:r w:rsidRPr="00A14824">
        <w:t xml:space="preserve"> that portrayed an attack on the White House.</w:t>
      </w:r>
      <w:r>
        <w:rPr>
          <w:rStyle w:val="FootnoteReference"/>
          <w:color w:val="000000"/>
          <w:sz w:val="22"/>
        </w:rPr>
        <w:footnoteReference w:id="41"/>
      </w:r>
      <w:r w:rsidR="000D0083">
        <w:rPr>
          <w:szCs w:val="22"/>
        </w:rPr>
        <w:t xml:space="preserve"> </w:t>
      </w:r>
    </w:p>
    <w:p w14:paraId="1D2D459C" w14:textId="77777777" w:rsidR="00DA5466" w:rsidRDefault="009A414D" w:rsidP="00D33545">
      <w:pPr>
        <w:pStyle w:val="ParaNum"/>
        <w:widowControl/>
      </w:pPr>
      <w:r w:rsidRPr="00884112">
        <w:t xml:space="preserve">NBCUniversal </w:t>
      </w:r>
      <w:r w:rsidR="00F05CFF">
        <w:t>explains</w:t>
      </w:r>
      <w:r w:rsidRPr="00884112">
        <w:t xml:space="preserve"> that the ad campaign for </w:t>
      </w:r>
      <w:r w:rsidRPr="00884112">
        <w:rPr>
          <w:i/>
        </w:rPr>
        <w:t>Olympus Has Fallen</w:t>
      </w:r>
      <w:r w:rsidRPr="00884112">
        <w:t xml:space="preserve"> commenced on or about March 4, 2013</w:t>
      </w:r>
      <w:r>
        <w:t xml:space="preserve">, and that the </w:t>
      </w:r>
      <w:r>
        <w:rPr>
          <w:i/>
        </w:rPr>
        <w:t>No Surrender Trailer</w:t>
      </w:r>
      <w:r>
        <w:t xml:space="preserve"> was distributed to media outlets, including NBCUniversal, on behalf of FilmDistrict by Horizon Media.</w:t>
      </w:r>
      <w:r>
        <w:rPr>
          <w:rStyle w:val="FootnoteReference"/>
          <w:color w:val="000000"/>
          <w:sz w:val="22"/>
          <w:szCs w:val="22"/>
        </w:rPr>
        <w:footnoteReference w:id="42"/>
      </w:r>
      <w:r>
        <w:t xml:space="preserve">  NBCUniversal notes that, for advertising intended for its cable programming networks, “the Company focuses its review on certain ‘red flag’ categories, including commercials relating to issues of public controversy, gambling and casino advertising, nutritional supplements, homeopathic treatments and weight loss</w:t>
      </w:r>
      <w:r w:rsidR="005D52FD">
        <w:t xml:space="preserve"> . . .” and </w:t>
      </w:r>
      <w:r w:rsidR="00063A75">
        <w:t>determined that</w:t>
      </w:r>
      <w:r w:rsidR="005D52FD">
        <w:t xml:space="preserve"> the </w:t>
      </w:r>
      <w:r w:rsidR="005D52FD">
        <w:rPr>
          <w:i/>
        </w:rPr>
        <w:t>No Surrender Trailer</w:t>
      </w:r>
      <w:r w:rsidR="005D52FD">
        <w:t xml:space="preserve"> </w:t>
      </w:r>
      <w:r w:rsidR="00063A75">
        <w:t>“</w:t>
      </w:r>
      <w:r w:rsidR="005D52FD">
        <w:t>did not fall within one of the red flag categories.”</w:t>
      </w:r>
      <w:r w:rsidR="005D52FD">
        <w:rPr>
          <w:rStyle w:val="FootnoteReference"/>
          <w:color w:val="000000"/>
          <w:sz w:val="22"/>
          <w:szCs w:val="22"/>
        </w:rPr>
        <w:footnoteReference w:id="43"/>
      </w:r>
      <w:r w:rsidR="005D52FD">
        <w:t xml:space="preserve">  </w:t>
      </w:r>
    </w:p>
    <w:p w14:paraId="6CD42645" w14:textId="77777777" w:rsidR="001C43ED" w:rsidRPr="003E1377" w:rsidRDefault="005A4B83" w:rsidP="00D33545">
      <w:pPr>
        <w:pStyle w:val="ParaNum"/>
      </w:pPr>
      <w:r w:rsidRPr="00884112">
        <w:t>NBCUniversal notes that by March 6, 2013, “word was circulating within the television industry that one 30-second commercial for the film included EAS tones or tones resembling EAS tones</w:t>
      </w:r>
      <w:r w:rsidR="004A2805" w:rsidRPr="00884112">
        <w:t>.</w:t>
      </w:r>
      <w:r w:rsidRPr="00884112">
        <w:t>”</w:t>
      </w:r>
      <w:r w:rsidR="004A2805" w:rsidRPr="00F563A3">
        <w:rPr>
          <w:rStyle w:val="FootnoteReference"/>
          <w:color w:val="000000"/>
          <w:sz w:val="22"/>
          <w:szCs w:val="22"/>
        </w:rPr>
        <w:footnoteReference w:id="44"/>
      </w:r>
      <w:r w:rsidRPr="00884112">
        <w:t xml:space="preserve">  NBCUniversal </w:t>
      </w:r>
      <w:r w:rsidR="00417767">
        <w:t xml:space="preserve">further </w:t>
      </w:r>
      <w:r w:rsidRPr="00884112">
        <w:t>notes that “several state broadcaster associations issued advisories about the Commercial,” and, by the following day, March 7, 2013, “the matter had been brought to the attention of the Motion Picture Association of America . . . the National Cable Telecommunications Association, and the National A</w:t>
      </w:r>
      <w:r w:rsidR="008C3350" w:rsidRPr="00884112">
        <w:t>s</w:t>
      </w:r>
      <w:r w:rsidRPr="00884112">
        <w:t>sociation of Broadcasters.”</w:t>
      </w:r>
      <w:r>
        <w:rPr>
          <w:rStyle w:val="FootnoteReference"/>
          <w:color w:val="000000"/>
          <w:sz w:val="22"/>
          <w:szCs w:val="22"/>
        </w:rPr>
        <w:footnoteReference w:id="45"/>
      </w:r>
      <w:r w:rsidR="00884112" w:rsidRPr="00884112">
        <w:t xml:space="preserve">  </w:t>
      </w:r>
      <w:r w:rsidRPr="00884112">
        <w:t>NBC</w:t>
      </w:r>
      <w:r w:rsidR="00417767">
        <w:t>Universal</w:t>
      </w:r>
      <w:r w:rsidRPr="00884112">
        <w:t xml:space="preserve"> further notes that on March 7, 2013, Horizon Media sent a fax to NBCUniversal with the subject line:  “URGENT RESPONSE REQUIRED REVISED FD OHF NC TRAFFIC USA,” and included the following message which “instructed the Company to immediately pull the Commercial from rotation:  </w:t>
      </w:r>
      <w:r w:rsidR="00D11A97" w:rsidRPr="00884112">
        <w:t xml:space="preserve">‘Please be advised that due to legal reasons, your network </w:t>
      </w:r>
      <w:r w:rsidR="003243AB">
        <w:t>can</w:t>
      </w:r>
      <w:r w:rsidR="00D11A97" w:rsidRPr="00884112">
        <w:t xml:space="preserve"> NO LONGER RUN NO SURRENDER FDOH3041H.  It is imperative effective immediately, this spot be removed from rotation.  Below you will find the new rotation until formal instructions are provided</w:t>
      </w:r>
      <w:r w:rsidR="00173BF3">
        <w:t xml:space="preserve"> . . . .</w:t>
      </w:r>
      <w:r w:rsidR="00D11A97" w:rsidRPr="00884112">
        <w:t>”</w:t>
      </w:r>
      <w:r w:rsidR="00D11A97">
        <w:rPr>
          <w:rStyle w:val="FootnoteReference"/>
          <w:color w:val="000000"/>
          <w:sz w:val="22"/>
          <w:szCs w:val="22"/>
        </w:rPr>
        <w:footnoteReference w:id="46"/>
      </w:r>
      <w:r w:rsidR="00884112">
        <w:t xml:space="preserve">  NBCUniversal states</w:t>
      </w:r>
      <w:r w:rsidR="00D11A97" w:rsidRPr="00884112">
        <w:t xml:space="preserve"> that, with one exception, it </w:t>
      </w:r>
      <w:r w:rsidR="00F21F4C" w:rsidRPr="00884112">
        <w:t xml:space="preserve">ceased to air the </w:t>
      </w:r>
      <w:r w:rsidR="00780F4B" w:rsidRPr="00884112">
        <w:rPr>
          <w:i/>
        </w:rPr>
        <w:t>No Surrender Trailer</w:t>
      </w:r>
      <w:r w:rsidR="00D11A97" w:rsidRPr="00884112">
        <w:t>, as of March 7, 2013.</w:t>
      </w:r>
      <w:r w:rsidR="00D11A97">
        <w:rPr>
          <w:rStyle w:val="FootnoteReference"/>
          <w:color w:val="000000"/>
          <w:sz w:val="22"/>
          <w:szCs w:val="22"/>
        </w:rPr>
        <w:footnoteReference w:id="47"/>
      </w:r>
      <w:r w:rsidR="00D11A97" w:rsidRPr="00884112">
        <w:t xml:space="preserve"> </w:t>
      </w:r>
      <w:r w:rsidR="001B4F73" w:rsidRPr="00884112">
        <w:t xml:space="preserve"> </w:t>
      </w:r>
      <w:r w:rsidR="00550E6B">
        <w:t>NBCUniversal admits that the</w:t>
      </w:r>
      <w:r w:rsidR="009A141B">
        <w:t xml:space="preserve"> </w:t>
      </w:r>
      <w:r w:rsidR="009A141B">
        <w:rPr>
          <w:i/>
        </w:rPr>
        <w:t>No Surrender Trailer</w:t>
      </w:r>
      <w:r w:rsidR="009A141B">
        <w:t xml:space="preserve"> ran </w:t>
      </w:r>
      <w:r w:rsidR="00550E6B">
        <w:t>an</w:t>
      </w:r>
      <w:r w:rsidR="009A141B">
        <w:t xml:space="preserve"> additional time on NBCUniversal’s Regional Sports Network serving the San Francisco Bay </w:t>
      </w:r>
      <w:r w:rsidR="003243AB">
        <w:t>A</w:t>
      </w:r>
      <w:r w:rsidR="009A141B">
        <w:t>rea on March 9, 2013.</w:t>
      </w:r>
      <w:r w:rsidR="009A141B">
        <w:rPr>
          <w:rStyle w:val="FootnoteReference"/>
          <w:color w:val="000000"/>
          <w:sz w:val="22"/>
          <w:szCs w:val="22"/>
        </w:rPr>
        <w:footnoteReference w:id="48"/>
      </w:r>
    </w:p>
    <w:p w14:paraId="21CD128A" w14:textId="77777777" w:rsidR="000E59DC" w:rsidRPr="00F563A3" w:rsidRDefault="000E59DC" w:rsidP="00D33545">
      <w:pPr>
        <w:pStyle w:val="Heading1"/>
      </w:pPr>
      <w:r w:rsidRPr="00F563A3">
        <w:t>DISCUSSION</w:t>
      </w:r>
    </w:p>
    <w:p w14:paraId="534CFA25" w14:textId="77777777" w:rsidR="00DA5466" w:rsidRDefault="000E59DC" w:rsidP="00D33545">
      <w:pPr>
        <w:pStyle w:val="ParaNum"/>
        <w:rPr>
          <w:spacing w:val="-2"/>
        </w:rPr>
      </w:pPr>
      <w:r w:rsidRPr="00F563A3">
        <w:rPr>
          <w:spacing w:val="-2"/>
        </w:rPr>
        <w:t xml:space="preserve">Pursuant to Section 503(b)(1) of the Act, any person who is determined by the Commission to have </w:t>
      </w:r>
      <w:r w:rsidRPr="00F563A3">
        <w:t>willfully or repeatedly failed to comply with any provision of the Act or any rule, regulation, or order issued by the Commission shall be liable to the United States for a forfeiture penalty.</w:t>
      </w:r>
      <w:r w:rsidRPr="00F563A3">
        <w:rPr>
          <w:rStyle w:val="FootnoteReference"/>
          <w:sz w:val="22"/>
          <w:szCs w:val="22"/>
        </w:rPr>
        <w:footnoteReference w:id="49"/>
      </w:r>
      <w:r w:rsidRPr="00F563A3">
        <w:t xml:space="preserve">  Section 312(f)(1) of the Act defines willful as “the conscious and deliberate commission or omission of </w:t>
      </w:r>
      <w:r w:rsidR="00417767">
        <w:t>such</w:t>
      </w:r>
      <w:r w:rsidRPr="00F563A3">
        <w:t xml:space="preserve"> act, irrespective of any intent to violate” the law.</w:t>
      </w:r>
      <w:r w:rsidRPr="00F563A3">
        <w:rPr>
          <w:rStyle w:val="FootnoteReference"/>
          <w:sz w:val="22"/>
          <w:szCs w:val="22"/>
        </w:rPr>
        <w:footnoteReference w:id="50"/>
      </w:r>
      <w:r w:rsidRPr="00F563A3">
        <w:t xml:space="preserve">  The legislative history to Section 312(f)(1) of the Act clarifies that this definition of willful applies to both Sections 312 and 503(b) of the Act,</w:t>
      </w:r>
      <w:r w:rsidRPr="00F563A3">
        <w:rPr>
          <w:rStyle w:val="FootnoteReference"/>
          <w:sz w:val="22"/>
          <w:szCs w:val="22"/>
        </w:rPr>
        <w:footnoteReference w:id="51"/>
      </w:r>
      <w:r w:rsidRPr="00F563A3">
        <w:t xml:space="preserve"> and the Commission has so interpreted the term in the Section 503(b) context.</w:t>
      </w:r>
      <w:r w:rsidRPr="00F563A3">
        <w:rPr>
          <w:rStyle w:val="FootnoteReference"/>
          <w:sz w:val="22"/>
          <w:szCs w:val="22"/>
        </w:rPr>
        <w:footnoteReference w:id="52"/>
      </w:r>
      <w:r w:rsidRPr="00F563A3">
        <w:t xml:space="preserve">  The Commission may also assess a forfeiture for violations that are merely repeated, and not willful.</w:t>
      </w:r>
      <w:r w:rsidRPr="00F563A3">
        <w:rPr>
          <w:vertAlign w:val="superscript"/>
        </w:rPr>
        <w:footnoteReference w:id="53"/>
      </w:r>
      <w:r w:rsidRPr="00F563A3">
        <w:t xml:space="preserve"> </w:t>
      </w:r>
      <w:r w:rsidRPr="00F563A3">
        <w:rPr>
          <w:i/>
        </w:rPr>
        <w:t xml:space="preserve"> </w:t>
      </w:r>
      <w:r w:rsidRPr="00F563A3">
        <w:t>“Repeated” means that the act was committed or omitted more than once, or lasts more than one day.</w:t>
      </w:r>
      <w:r w:rsidRPr="00F563A3">
        <w:rPr>
          <w:vertAlign w:val="superscript"/>
        </w:rPr>
        <w:footnoteReference w:id="54"/>
      </w:r>
      <w:r w:rsidRPr="00F563A3">
        <w:t xml:space="preserve">  In order to impose such a penalty, the Commission must issue a notice of apparent liability, the notice must be received, and the person against whom the notice has been issued must have an opportunity to show, in writing, why no such penalty should be imposed.</w:t>
      </w:r>
      <w:r w:rsidRPr="00F563A3">
        <w:rPr>
          <w:rStyle w:val="FootnoteReference"/>
          <w:sz w:val="22"/>
          <w:szCs w:val="22"/>
        </w:rPr>
        <w:footnoteReference w:id="55"/>
      </w:r>
      <w:r w:rsidRPr="00F563A3">
        <w:t xml:space="preserve">  The Commission will </w:t>
      </w:r>
      <w:r w:rsidRPr="002F0B4A">
        <w:t>then issue a forfeiture if it finds, by a preponderance of the evidence, that the person has willfully or repeatedly violated the Act or a Commission rule.</w:t>
      </w:r>
      <w:r w:rsidRPr="002F0B4A">
        <w:rPr>
          <w:rStyle w:val="FootnoteReference"/>
          <w:sz w:val="22"/>
          <w:szCs w:val="22"/>
        </w:rPr>
        <w:footnoteReference w:id="56"/>
      </w:r>
      <w:r w:rsidRPr="002F0B4A">
        <w:t xml:space="preserve">  As described in greater detail below, we conclude under this procedure that </w:t>
      </w:r>
      <w:r w:rsidR="006E1A3C">
        <w:t>the Companies are</w:t>
      </w:r>
      <w:r w:rsidRPr="002F0B4A">
        <w:t xml:space="preserve"> apparently liable for a </w:t>
      </w:r>
      <w:r w:rsidR="00120573" w:rsidRPr="002F0B4A">
        <w:t xml:space="preserve">monetary </w:t>
      </w:r>
      <w:r w:rsidRPr="002F0B4A">
        <w:t>forfeiture</w:t>
      </w:r>
      <w:r w:rsidR="00120573" w:rsidRPr="002F0B4A">
        <w:t>,</w:t>
      </w:r>
      <w:r w:rsidRPr="002F0B4A">
        <w:t xml:space="preserve"> for apparent</w:t>
      </w:r>
      <w:r w:rsidR="008D0C4B" w:rsidRPr="002F0B4A">
        <w:t>ly</w:t>
      </w:r>
      <w:r w:rsidRPr="002F0B4A">
        <w:t xml:space="preserve"> willful</w:t>
      </w:r>
      <w:r w:rsidR="008D0C4B" w:rsidRPr="002F0B4A">
        <w:t>ly</w:t>
      </w:r>
      <w:r w:rsidRPr="002F0B4A">
        <w:t xml:space="preserve"> and</w:t>
      </w:r>
      <w:r w:rsidR="008D0C4B" w:rsidRPr="002F0B4A">
        <w:t xml:space="preserve"> repeatedly</w:t>
      </w:r>
      <w:r w:rsidRPr="002F0B4A">
        <w:t xml:space="preserve"> </w:t>
      </w:r>
      <w:r w:rsidR="00B97123" w:rsidRPr="002F0B4A">
        <w:t>violating Section 325(a) of the Act and Section 11.45 of the Commission’s rules</w:t>
      </w:r>
      <w:r w:rsidR="00A36999" w:rsidRPr="002F0B4A">
        <w:t>.</w:t>
      </w:r>
    </w:p>
    <w:p w14:paraId="4B253841" w14:textId="77777777" w:rsidR="009F6AA2" w:rsidRDefault="009B445B" w:rsidP="00D33545">
      <w:pPr>
        <w:pStyle w:val="ParaNum"/>
        <w:rPr>
          <w:color w:val="000000"/>
        </w:rPr>
      </w:pPr>
      <w:r w:rsidRPr="002F0B4A">
        <w:t xml:space="preserve">Pursuant to Section 325(a) of the Act, </w:t>
      </w:r>
      <w:r w:rsidR="002F0B4A">
        <w:t>“</w:t>
      </w:r>
      <w:r w:rsidRPr="002F0B4A">
        <w:t xml:space="preserve">no person within the jurisdiction of the United States shall knowingly utter </w:t>
      </w:r>
      <w:r w:rsidR="002F0B4A" w:rsidRPr="002F0B4A">
        <w:t>or transmit, or cause to be uttered or transmitted, any false or fraudulent signal of distress, or communication relating thereto</w:t>
      </w:r>
      <w:r w:rsidRPr="002F0B4A">
        <w:t>.</w:t>
      </w:r>
      <w:r w:rsidR="002F0B4A">
        <w:t>”</w:t>
      </w:r>
      <w:r w:rsidRPr="002F0B4A">
        <w:rPr>
          <w:rStyle w:val="FootnoteReference"/>
          <w:sz w:val="22"/>
          <w:szCs w:val="22"/>
        </w:rPr>
        <w:footnoteReference w:id="57"/>
      </w:r>
      <w:r w:rsidRPr="002F0B4A">
        <w:t xml:space="preserve">  </w:t>
      </w:r>
      <w:bookmarkStart w:id="1" w:name="ID8C6A0A2DFB711E09E30CFCCF2216C1F"/>
      <w:bookmarkEnd w:id="1"/>
      <w:r w:rsidR="008D0C4B" w:rsidRPr="002F0B4A">
        <w:rPr>
          <w:color w:val="000000"/>
        </w:rPr>
        <w:t>Under Section 11.45</w:t>
      </w:r>
      <w:r w:rsidR="000E59DC" w:rsidRPr="002F0B4A">
        <w:rPr>
          <w:color w:val="000000"/>
        </w:rPr>
        <w:t xml:space="preserve"> of the Commission’s rules, </w:t>
      </w:r>
      <w:r w:rsidR="008D0C4B" w:rsidRPr="002F0B4A">
        <w:rPr>
          <w:color w:val="000000"/>
        </w:rPr>
        <w:t>“[n]o person may transmit or cause to transmit the EAS codes or Attention Signal, or a recording or simulation thereof, in any circumstance other than in an actual National, State or Local Area emergency or authorized test of the EAS.”</w:t>
      </w:r>
      <w:r w:rsidR="008D0C4B" w:rsidRPr="002F0B4A">
        <w:rPr>
          <w:rStyle w:val="FootnoteReference"/>
          <w:color w:val="000000"/>
          <w:sz w:val="22"/>
          <w:szCs w:val="22"/>
        </w:rPr>
        <w:footnoteReference w:id="58"/>
      </w:r>
      <w:r w:rsidR="008D0C4B" w:rsidRPr="002F0B4A">
        <w:rPr>
          <w:color w:val="000000"/>
        </w:rPr>
        <w:t xml:space="preserve">  </w:t>
      </w:r>
    </w:p>
    <w:p w14:paraId="6DEBF525" w14:textId="77777777" w:rsidR="00EF7C12" w:rsidRPr="00BE1D8A" w:rsidRDefault="006F2A76" w:rsidP="00D33545">
      <w:pPr>
        <w:pStyle w:val="ParaNum"/>
        <w:rPr>
          <w:color w:val="000000"/>
        </w:rPr>
      </w:pPr>
      <w:r>
        <w:t>As discussed above, t</w:t>
      </w:r>
      <w:r w:rsidR="009F6AA2">
        <w:t xml:space="preserve">he Companies each admit that: </w:t>
      </w:r>
      <w:r w:rsidR="003243AB">
        <w:t xml:space="preserve"> </w:t>
      </w:r>
      <w:r w:rsidR="009F6AA2">
        <w:t xml:space="preserve">(1) they included the </w:t>
      </w:r>
      <w:r w:rsidR="009F6AA2">
        <w:rPr>
          <w:i/>
        </w:rPr>
        <w:t xml:space="preserve">No Surrender </w:t>
      </w:r>
      <w:r w:rsidR="009F6AA2" w:rsidRPr="009F6AA2">
        <w:rPr>
          <w:i/>
        </w:rPr>
        <w:t>Trailer</w:t>
      </w:r>
      <w:r w:rsidR="009F6AA2">
        <w:rPr>
          <w:i/>
        </w:rPr>
        <w:t xml:space="preserve"> </w:t>
      </w:r>
      <w:r w:rsidR="009F6AA2">
        <w:t xml:space="preserve">in the programming that they supplied to cable and satellite systems for distribution to </w:t>
      </w:r>
      <w:r>
        <w:t>subscribers</w:t>
      </w:r>
      <w:r w:rsidR="00495774">
        <w:t xml:space="preserve">; </w:t>
      </w:r>
      <w:r w:rsidR="009F6AA2">
        <w:t>(</w:t>
      </w:r>
      <w:r w:rsidR="00495774">
        <w:t>2</w:t>
      </w:r>
      <w:r w:rsidR="009F6AA2">
        <w:t xml:space="preserve">) the </w:t>
      </w:r>
      <w:r w:rsidR="009F6AA2">
        <w:rPr>
          <w:i/>
        </w:rPr>
        <w:t xml:space="preserve">No Surrender Trailer </w:t>
      </w:r>
      <w:r w:rsidR="009F6AA2">
        <w:t xml:space="preserve">included actual EAS </w:t>
      </w:r>
      <w:r w:rsidR="003243AB">
        <w:t>c</w:t>
      </w:r>
      <w:r w:rsidR="009F6AA2">
        <w:t>o</w:t>
      </w:r>
      <w:r w:rsidR="003243AB">
        <w:t>d</w:t>
      </w:r>
      <w:r w:rsidR="009F6AA2">
        <w:t xml:space="preserve">es and the Attention Signal; </w:t>
      </w:r>
      <w:r w:rsidR="003243AB">
        <w:t xml:space="preserve">and </w:t>
      </w:r>
      <w:r w:rsidR="009F6AA2">
        <w:t>(</w:t>
      </w:r>
      <w:r w:rsidR="00495774">
        <w:t>3</w:t>
      </w:r>
      <w:r w:rsidR="009F6AA2">
        <w:t xml:space="preserve">) the EAS </w:t>
      </w:r>
      <w:r w:rsidR="003243AB">
        <w:t>c</w:t>
      </w:r>
      <w:r w:rsidR="009F6AA2">
        <w:t>o</w:t>
      </w:r>
      <w:r w:rsidR="003243AB">
        <w:t>d</w:t>
      </w:r>
      <w:r w:rsidR="009F6AA2">
        <w:t xml:space="preserve">es and Attention Signal were not included in their programming in connection with an actual </w:t>
      </w:r>
      <w:r w:rsidR="00F75C67">
        <w:t>emergency</w:t>
      </w:r>
      <w:r w:rsidR="009F6AA2">
        <w:t xml:space="preserve"> or authorized </w:t>
      </w:r>
      <w:r w:rsidR="00F75C67">
        <w:t xml:space="preserve">EAS </w:t>
      </w:r>
      <w:r w:rsidR="009F6AA2">
        <w:t>test</w:t>
      </w:r>
      <w:r w:rsidR="00495774">
        <w:t>.</w:t>
      </w:r>
      <w:r w:rsidR="009F6AA2">
        <w:t xml:space="preserve"> </w:t>
      </w:r>
      <w:r w:rsidR="006E7B9C">
        <w:t xml:space="preserve"> </w:t>
      </w:r>
      <w:r w:rsidR="00EF7C12" w:rsidRPr="009F6AA2">
        <w:t xml:space="preserve">Despite </w:t>
      </w:r>
      <w:r w:rsidR="00EF7C12" w:rsidRPr="00EF7C12">
        <w:t>the</w:t>
      </w:r>
      <w:r w:rsidR="00495774">
        <w:t>se</w:t>
      </w:r>
      <w:r w:rsidR="00EF7C12" w:rsidRPr="00EF7C12">
        <w:t xml:space="preserve"> admissions, the Companies each contest their liability for violating the</w:t>
      </w:r>
      <w:r w:rsidR="00EF7C12">
        <w:t>se provisions of the</w:t>
      </w:r>
      <w:r w:rsidR="00EF7C12" w:rsidRPr="00EF7C12">
        <w:t xml:space="preserve"> Act and our rules.  We address their contentions below.</w:t>
      </w:r>
      <w:r w:rsidR="00495774">
        <w:t xml:space="preserve">  First, however, we </w:t>
      </w:r>
      <w:r w:rsidR="00BE1D8A">
        <w:t xml:space="preserve">summarize our view of the case and </w:t>
      </w:r>
      <w:r w:rsidR="00495774">
        <w:t>address the number of occasions upon which the subject programming was provided by the Companies to the cable and satellite systems that further transmitted it to their customers.</w:t>
      </w:r>
      <w:r w:rsidR="007D14A4">
        <w:t xml:space="preserve"> </w:t>
      </w:r>
    </w:p>
    <w:p w14:paraId="10287CFD" w14:textId="77777777" w:rsidR="00F35B1F" w:rsidRPr="00747559" w:rsidRDefault="00E74DF2" w:rsidP="00514178">
      <w:pPr>
        <w:pStyle w:val="Heading2"/>
      </w:pPr>
      <w:r>
        <w:t xml:space="preserve">The Companies </w:t>
      </w:r>
      <w:r w:rsidR="007B1E55">
        <w:t xml:space="preserve">Each Apparently </w:t>
      </w:r>
      <w:r>
        <w:t>Violated</w:t>
      </w:r>
      <w:r w:rsidR="00F35B1F" w:rsidRPr="00747559">
        <w:t xml:space="preserve"> Section 11.45 of the Commission’s Rules</w:t>
      </w:r>
      <w:r>
        <w:t xml:space="preserve"> by </w:t>
      </w:r>
      <w:r w:rsidR="00F35B1F" w:rsidRPr="00747559">
        <w:t>Transmitt</w:t>
      </w:r>
      <w:r>
        <w:t>ing</w:t>
      </w:r>
      <w:r w:rsidR="00F35B1F" w:rsidRPr="00747559">
        <w:t xml:space="preserve"> or Caus</w:t>
      </w:r>
      <w:r>
        <w:t xml:space="preserve">ing the </w:t>
      </w:r>
      <w:r w:rsidR="00F35B1F" w:rsidRPr="00747559">
        <w:t>Transmi</w:t>
      </w:r>
      <w:r>
        <w:t>ssion of</w:t>
      </w:r>
      <w:r w:rsidR="00F35B1F" w:rsidRPr="00747559">
        <w:t xml:space="preserve"> </w:t>
      </w:r>
      <w:r w:rsidR="00982205">
        <w:t xml:space="preserve">the </w:t>
      </w:r>
      <w:r>
        <w:t xml:space="preserve">EAS </w:t>
      </w:r>
      <w:r w:rsidR="006E2992">
        <w:t>C</w:t>
      </w:r>
      <w:r>
        <w:t xml:space="preserve">odes and Attention Signal in </w:t>
      </w:r>
      <w:r w:rsidR="00F35B1F" w:rsidRPr="00747559">
        <w:t xml:space="preserve">the </w:t>
      </w:r>
      <w:r w:rsidR="00F35B1F" w:rsidRPr="009A141B">
        <w:rPr>
          <w:i/>
        </w:rPr>
        <w:t>No Surrender Trailer</w:t>
      </w:r>
    </w:p>
    <w:p w14:paraId="7C4FA2CA" w14:textId="77777777" w:rsidR="00DA5466" w:rsidRDefault="00277317" w:rsidP="00DB3C82">
      <w:pPr>
        <w:pStyle w:val="ParaNum"/>
        <w:widowControl/>
      </w:pPr>
      <w:r>
        <w:t>The</w:t>
      </w:r>
      <w:r w:rsidR="00107C50">
        <w:t xml:space="preserve"> record </w:t>
      </w:r>
      <w:r>
        <w:t>established in th</w:t>
      </w:r>
      <w:r w:rsidR="00F56F6C">
        <w:t>ese</w:t>
      </w:r>
      <w:r>
        <w:t xml:space="preserve"> investigation</w:t>
      </w:r>
      <w:r w:rsidR="00F56F6C">
        <w:t>s</w:t>
      </w:r>
      <w:r>
        <w:t xml:space="preserve"> </w:t>
      </w:r>
      <w:r w:rsidR="00BE0020">
        <w:t>demonstrates</w:t>
      </w:r>
      <w:r w:rsidR="00107C50">
        <w:t xml:space="preserve"> that the </w:t>
      </w:r>
      <w:r w:rsidR="00780F4B" w:rsidRPr="00780F4B">
        <w:rPr>
          <w:i/>
        </w:rPr>
        <w:t>No Surrender Trailer</w:t>
      </w:r>
      <w:r w:rsidR="00DC0838">
        <w:t xml:space="preserve"> </w:t>
      </w:r>
      <w:r w:rsidR="00107C50">
        <w:t>included</w:t>
      </w:r>
      <w:r w:rsidR="00B636A2">
        <w:t xml:space="preserve"> recordings of </w:t>
      </w:r>
      <w:r w:rsidR="00512D20">
        <w:t xml:space="preserve">actual EAS </w:t>
      </w:r>
      <w:r>
        <w:t>c</w:t>
      </w:r>
      <w:r w:rsidR="00512D20">
        <w:t>ode</w:t>
      </w:r>
      <w:r>
        <w:t>s</w:t>
      </w:r>
      <w:r w:rsidR="00B636A2">
        <w:t xml:space="preserve"> and </w:t>
      </w:r>
      <w:r w:rsidR="00E57DEF">
        <w:t xml:space="preserve">the </w:t>
      </w:r>
      <w:r w:rsidR="00B636A2">
        <w:t xml:space="preserve">Attention Signal, </w:t>
      </w:r>
      <w:r w:rsidR="00CA1325">
        <w:t xml:space="preserve">and </w:t>
      </w:r>
      <w:r w:rsidR="00884112">
        <w:t xml:space="preserve">not </w:t>
      </w:r>
      <w:r w:rsidR="00CA1325">
        <w:t>simulation</w:t>
      </w:r>
      <w:r w:rsidR="005A4479">
        <w:t>s</w:t>
      </w:r>
      <w:r w:rsidR="006E2A8D">
        <w:t xml:space="preserve"> thereof</w:t>
      </w:r>
      <w:r w:rsidR="00CA1325">
        <w:t>.</w:t>
      </w:r>
      <w:r w:rsidR="00B636A2">
        <w:rPr>
          <w:rStyle w:val="FootnoteReference"/>
          <w:color w:val="000000"/>
          <w:sz w:val="22"/>
          <w:szCs w:val="22"/>
        </w:rPr>
        <w:footnoteReference w:id="59"/>
      </w:r>
      <w:r>
        <w:t xml:space="preserve"> </w:t>
      </w:r>
      <w:r w:rsidR="00884112">
        <w:t xml:space="preserve"> </w:t>
      </w:r>
      <w:r>
        <w:t>In addition, t</w:t>
      </w:r>
      <w:r w:rsidR="0037670F">
        <w:t xml:space="preserve">he Commission’s review of the </w:t>
      </w:r>
      <w:r w:rsidR="00780F4B" w:rsidRPr="00780F4B">
        <w:rPr>
          <w:i/>
        </w:rPr>
        <w:t>No Surrender Trailer</w:t>
      </w:r>
      <w:r w:rsidR="0037670F">
        <w:t xml:space="preserve"> provided by the Companies </w:t>
      </w:r>
      <w:r>
        <w:t>confirms repeated uses of the EAS c</w:t>
      </w:r>
      <w:r w:rsidR="0037670F">
        <w:t>odes and Attention Signal throughout</w:t>
      </w:r>
      <w:r w:rsidR="005A4479">
        <w:t xml:space="preserve"> the trailer</w:t>
      </w:r>
      <w:r w:rsidR="0037670F">
        <w:t xml:space="preserve">, accompanied by </w:t>
      </w:r>
      <w:r w:rsidR="005A4479">
        <w:t xml:space="preserve">visual </w:t>
      </w:r>
      <w:r w:rsidR="0037670F">
        <w:t>text stating “</w:t>
      </w:r>
      <w:r w:rsidR="005A4479">
        <w:t>THIS IS NOT A TEST”</w:t>
      </w:r>
      <w:r w:rsidR="0037670F">
        <w:t xml:space="preserve"> and “</w:t>
      </w:r>
      <w:r w:rsidR="005A4479">
        <w:t>THIS IS NOT A DRILL.</w:t>
      </w:r>
      <w:r w:rsidR="0037670F">
        <w:t>”</w:t>
      </w:r>
      <w:r w:rsidR="005A4479">
        <w:rPr>
          <w:rStyle w:val="FootnoteReference"/>
          <w:color w:val="000000"/>
          <w:sz w:val="22"/>
          <w:szCs w:val="22"/>
        </w:rPr>
        <w:footnoteReference w:id="60"/>
      </w:r>
      <w:r w:rsidR="0037670F">
        <w:t xml:space="preserve"> </w:t>
      </w:r>
      <w:r w:rsidR="00884112">
        <w:t xml:space="preserve"> </w:t>
      </w:r>
      <w:r>
        <w:t>Also accompanying the EAS c</w:t>
      </w:r>
      <w:r w:rsidR="005A4479">
        <w:t xml:space="preserve">odes and Attention Signal in the trailer </w:t>
      </w:r>
      <w:r w:rsidR="008C6A71">
        <w:t>were</w:t>
      </w:r>
      <w:r w:rsidR="005A4479">
        <w:t xml:space="preserve"> multiple visual</w:t>
      </w:r>
      <w:r w:rsidR="0037670F">
        <w:t xml:space="preserve"> images of </w:t>
      </w:r>
      <w:r w:rsidR="00884112">
        <w:t>“</w:t>
      </w:r>
      <w:r w:rsidR="0037670F">
        <w:t>terrorists</w:t>
      </w:r>
      <w:r w:rsidR="00884112">
        <w:t>”</w:t>
      </w:r>
      <w:r w:rsidR="0037670F">
        <w:t xml:space="preserve"> surrounding the White House, scenes of the White House </w:t>
      </w:r>
      <w:r w:rsidR="005A4479">
        <w:t>and other Washington, D</w:t>
      </w:r>
      <w:r w:rsidR="00512D20">
        <w:t>.</w:t>
      </w:r>
      <w:r w:rsidR="005A4479">
        <w:t>C</w:t>
      </w:r>
      <w:r w:rsidR="00512D20">
        <w:t>.</w:t>
      </w:r>
      <w:r>
        <w:t xml:space="preserve"> landmarks</w:t>
      </w:r>
      <w:r w:rsidR="005A4479">
        <w:t xml:space="preserve"> </w:t>
      </w:r>
      <w:r w:rsidR="0037670F">
        <w:t>engulfed in flames</w:t>
      </w:r>
      <w:r w:rsidR="00512D20">
        <w:t>, and</w:t>
      </w:r>
      <w:r w:rsidR="0037670F">
        <w:t xml:space="preserve"> </w:t>
      </w:r>
      <w:r w:rsidR="005A4479">
        <w:t xml:space="preserve">military aircraft and </w:t>
      </w:r>
      <w:r w:rsidR="004449CC">
        <w:t>combat</w:t>
      </w:r>
      <w:r w:rsidR="005A4479">
        <w:t xml:space="preserve"> vehicles in c</w:t>
      </w:r>
      <w:r w:rsidR="004449CC">
        <w:t>onvoy</w:t>
      </w:r>
      <w:r w:rsidR="005A4479">
        <w:t xml:space="preserve">s </w:t>
      </w:r>
      <w:r w:rsidR="00AE4E67">
        <w:t xml:space="preserve">patrolling the </w:t>
      </w:r>
      <w:r w:rsidR="00512D20">
        <w:t>city</w:t>
      </w:r>
      <w:r>
        <w:t xml:space="preserve">.  </w:t>
      </w:r>
      <w:r w:rsidR="00A716E9">
        <w:t>The record reflects that t</w:t>
      </w:r>
      <w:r w:rsidR="00422E51" w:rsidRPr="00310118">
        <w:rPr>
          <w:bCs/>
        </w:rPr>
        <w:t xml:space="preserve">he Companies were aware of the content in the </w:t>
      </w:r>
      <w:r w:rsidR="00422E51" w:rsidRPr="00310118">
        <w:rPr>
          <w:bCs/>
          <w:i/>
          <w:iCs/>
        </w:rPr>
        <w:t>No Surrender Trailer</w:t>
      </w:r>
      <w:r w:rsidR="00422E51" w:rsidRPr="00CC38DC">
        <w:rPr>
          <w:i/>
        </w:rPr>
        <w:t xml:space="preserve"> </w:t>
      </w:r>
      <w:r w:rsidR="00422E51" w:rsidRPr="00310118">
        <w:rPr>
          <w:bCs/>
        </w:rPr>
        <w:t>and acknowledge that their staff</w:t>
      </w:r>
      <w:r w:rsidR="00F75C67">
        <w:rPr>
          <w:bCs/>
        </w:rPr>
        <w:t>s</w:t>
      </w:r>
      <w:r w:rsidR="00422E51" w:rsidRPr="00310118">
        <w:rPr>
          <w:bCs/>
        </w:rPr>
        <w:t xml:space="preserve"> </w:t>
      </w:r>
      <w:r w:rsidR="00A716E9">
        <w:rPr>
          <w:bCs/>
        </w:rPr>
        <w:t xml:space="preserve">reviewed and </w:t>
      </w:r>
      <w:r w:rsidR="00422E51" w:rsidRPr="00310118">
        <w:rPr>
          <w:bCs/>
        </w:rPr>
        <w:t>approved it before they inserted it into multiple programming feeds</w:t>
      </w:r>
      <w:r w:rsidR="007E3589" w:rsidRPr="00B743E6">
        <w:t>.</w:t>
      </w:r>
      <w:r w:rsidR="007E3589" w:rsidRPr="00B743E6">
        <w:rPr>
          <w:rStyle w:val="FootnoteReference"/>
          <w:sz w:val="22"/>
          <w:szCs w:val="22"/>
        </w:rPr>
        <w:footnoteReference w:id="61"/>
      </w:r>
    </w:p>
    <w:p w14:paraId="16251805" w14:textId="77777777" w:rsidR="00B743E6" w:rsidRPr="00F42566" w:rsidDel="00330CBF" w:rsidRDefault="009144EA" w:rsidP="00D33545">
      <w:pPr>
        <w:pStyle w:val="ParaNum"/>
      </w:pPr>
      <w:r>
        <w:t xml:space="preserve">Section 11.45 of the Commission’s </w:t>
      </w:r>
      <w:r w:rsidR="004D2B90">
        <w:t>rule</w:t>
      </w:r>
      <w:r>
        <w:t>s</w:t>
      </w:r>
      <w:r w:rsidR="004D2B90">
        <w:t xml:space="preserve"> prohibits transmitting or causing the transmission of </w:t>
      </w:r>
      <w:r w:rsidR="0035242D">
        <w:t xml:space="preserve">the </w:t>
      </w:r>
      <w:r w:rsidR="004D2B90">
        <w:t xml:space="preserve">actual or simulated EAS codes or Attention Signal except in an actual emergency or authorized test.  The Companies acknowledge that they inserted the </w:t>
      </w:r>
      <w:r w:rsidR="009C2F6C" w:rsidRPr="009C2F6C">
        <w:rPr>
          <w:i/>
        </w:rPr>
        <w:t>No Surrender Trailer</w:t>
      </w:r>
      <w:r w:rsidR="00E13142">
        <w:t xml:space="preserve"> in their </w:t>
      </w:r>
      <w:r w:rsidR="00E13142" w:rsidRPr="00B60627">
        <w:t>n</w:t>
      </w:r>
      <w:r w:rsidR="004D2B90" w:rsidRPr="00B60627">
        <w:t>etworks</w:t>
      </w:r>
      <w:r w:rsidR="004D2B90">
        <w:t xml:space="preserve"> in the absence of an emergency or authorized test.</w:t>
      </w:r>
      <w:r w:rsidR="004D2B90">
        <w:rPr>
          <w:rStyle w:val="FootnoteReference"/>
          <w:sz w:val="22"/>
          <w:szCs w:val="22"/>
        </w:rPr>
        <w:footnoteReference w:id="62"/>
      </w:r>
      <w:r w:rsidR="004D2B90">
        <w:t xml:space="preserve">  Based on</w:t>
      </w:r>
      <w:r w:rsidR="00B87E32">
        <w:t xml:space="preserve"> the Companies’ responses and</w:t>
      </w:r>
      <w:r w:rsidR="004D2B90">
        <w:t xml:space="preserve"> public records, we find that </w:t>
      </w:r>
      <w:r w:rsidR="00884112">
        <w:t>each of the Companies deliver</w:t>
      </w:r>
      <w:r w:rsidR="00431D20">
        <w:t>s</w:t>
      </w:r>
      <w:r w:rsidR="00884112">
        <w:t xml:space="preserve"> their network programming </w:t>
      </w:r>
      <w:r w:rsidR="00CA1325" w:rsidRPr="00DC0838">
        <w:t>to</w:t>
      </w:r>
      <w:r w:rsidR="00431D20">
        <w:t xml:space="preserve"> MVPDs</w:t>
      </w:r>
      <w:r w:rsidR="004531AF">
        <w:t xml:space="preserve"> </w:t>
      </w:r>
      <w:r w:rsidR="00CA1325" w:rsidRPr="00DC0838">
        <w:t>throughout the country with the intent (indeed, the contractual obligation) that the</w:t>
      </w:r>
      <w:r w:rsidR="00431D20">
        <w:t xml:space="preserve"> MVPDs transmit the </w:t>
      </w:r>
      <w:r w:rsidR="00CA1325" w:rsidRPr="00DC0838">
        <w:t>networks’ programming to the MVPDs’ subscribers.</w:t>
      </w:r>
      <w:r w:rsidR="00CA1325" w:rsidRPr="00DC0838">
        <w:rPr>
          <w:rStyle w:val="FootnoteReference"/>
          <w:sz w:val="22"/>
          <w:szCs w:val="22"/>
        </w:rPr>
        <w:footnoteReference w:id="63"/>
      </w:r>
      <w:r w:rsidR="00CA1325" w:rsidRPr="00DC0838">
        <w:t xml:space="preserve">  It is our further understanding that</w:t>
      </w:r>
      <w:r>
        <w:t xml:space="preserve">, for </w:t>
      </w:r>
      <w:r w:rsidR="00F02FB7">
        <w:t>at least eight of</w:t>
      </w:r>
      <w:r>
        <w:t xml:space="preserve"> the networks that</w:t>
      </w:r>
      <w:r w:rsidR="00395E0F">
        <w:t xml:space="preserve"> </w:t>
      </w:r>
      <w:r w:rsidR="00B60627">
        <w:t xml:space="preserve">included </w:t>
      </w:r>
      <w:r w:rsidRPr="00B60627">
        <w:t>the</w:t>
      </w:r>
      <w:r>
        <w:t xml:space="preserve"> </w:t>
      </w:r>
      <w:r>
        <w:rPr>
          <w:i/>
        </w:rPr>
        <w:t>No Surrender Trailer</w:t>
      </w:r>
      <w:r w:rsidR="00145313">
        <w:t xml:space="preserve">, </w:t>
      </w:r>
      <w:r w:rsidR="00CA1325" w:rsidRPr="00DC0838">
        <w:t>the Companies</w:t>
      </w:r>
      <w:r w:rsidR="00145313">
        <w:t xml:space="preserve"> </w:t>
      </w:r>
      <w:r w:rsidR="00CA1325" w:rsidRPr="00DC0838">
        <w:t>deliver two feeds of their network programming in this manner—an East Coast feed and an</w:t>
      </w:r>
      <w:r w:rsidR="00CA1325" w:rsidRPr="00133A8F">
        <w:t xml:space="preserve"> essentially identical West Coast feed, which is the same programming time shifted by three hours.</w:t>
      </w:r>
      <w:r w:rsidR="00CA1325" w:rsidRPr="00133A8F">
        <w:rPr>
          <w:rStyle w:val="FootnoteReference"/>
          <w:sz w:val="22"/>
          <w:szCs w:val="22"/>
        </w:rPr>
        <w:footnoteReference w:id="64"/>
      </w:r>
      <w:r w:rsidR="00CA1325" w:rsidRPr="00133A8F">
        <w:t xml:space="preserve"> </w:t>
      </w:r>
      <w:r w:rsidR="00F75C67">
        <w:t xml:space="preserve"> </w:t>
      </w:r>
      <w:r w:rsidR="007944C0" w:rsidRPr="003D1464">
        <w:rPr>
          <w:color w:val="000000" w:themeColor="text1"/>
        </w:rPr>
        <w:t>Nothing</w:t>
      </w:r>
      <w:r w:rsidR="007944C0" w:rsidRPr="00B743E6">
        <w:rPr>
          <w:color w:val="FF0000"/>
        </w:rPr>
        <w:t xml:space="preserve"> </w:t>
      </w:r>
      <w:r w:rsidR="007944C0" w:rsidRPr="00363DCD">
        <w:rPr>
          <w:color w:val="000000"/>
        </w:rPr>
        <w:t>in the record</w:t>
      </w:r>
      <w:r w:rsidR="007944C0">
        <w:rPr>
          <w:color w:val="000000"/>
        </w:rPr>
        <w:t xml:space="preserve"> </w:t>
      </w:r>
      <w:r w:rsidR="00A12436" w:rsidRPr="00363DCD">
        <w:rPr>
          <w:color w:val="000000"/>
        </w:rPr>
        <w:t>indicates</w:t>
      </w:r>
      <w:r w:rsidR="007944C0" w:rsidRPr="00363DCD">
        <w:rPr>
          <w:color w:val="000000"/>
        </w:rPr>
        <w:t xml:space="preserve"> that the </w:t>
      </w:r>
      <w:r w:rsidR="007944C0">
        <w:rPr>
          <w:color w:val="000000"/>
        </w:rPr>
        <w:t xml:space="preserve">Companies removed the </w:t>
      </w:r>
      <w:r w:rsidR="007944C0" w:rsidRPr="00387A75">
        <w:rPr>
          <w:i/>
          <w:color w:val="000000"/>
        </w:rPr>
        <w:t>No Surrender Trailer</w:t>
      </w:r>
      <w:r w:rsidR="007944C0" w:rsidRPr="00363DCD">
        <w:rPr>
          <w:color w:val="000000"/>
        </w:rPr>
        <w:t xml:space="preserve"> from </w:t>
      </w:r>
      <w:r w:rsidR="007944C0">
        <w:rPr>
          <w:color w:val="000000"/>
        </w:rPr>
        <w:t>the s</w:t>
      </w:r>
      <w:r w:rsidR="007944C0" w:rsidRPr="00363DCD">
        <w:rPr>
          <w:color w:val="000000"/>
        </w:rPr>
        <w:t>econd feed</w:t>
      </w:r>
      <w:r w:rsidR="00145313">
        <w:rPr>
          <w:color w:val="000000"/>
        </w:rPr>
        <w:t xml:space="preserve"> where such second feed</w:t>
      </w:r>
      <w:r w:rsidR="00431D20">
        <w:rPr>
          <w:color w:val="000000"/>
        </w:rPr>
        <w:t>s</w:t>
      </w:r>
      <w:r w:rsidR="00145313">
        <w:rPr>
          <w:color w:val="000000"/>
        </w:rPr>
        <w:t xml:space="preserve"> existed</w:t>
      </w:r>
      <w:r w:rsidR="007944C0" w:rsidRPr="00363DCD">
        <w:rPr>
          <w:color w:val="000000"/>
        </w:rPr>
        <w:t xml:space="preserve">.  </w:t>
      </w:r>
      <w:r w:rsidR="00CA1325" w:rsidRPr="00133A8F">
        <w:t xml:space="preserve"> Based on the foregoing, we find that </w:t>
      </w:r>
      <w:r w:rsidR="00CA1325">
        <w:t>each of the Companies</w:t>
      </w:r>
      <w:r w:rsidR="00CA1325" w:rsidRPr="00133A8F">
        <w:t xml:space="preserve"> transmitted, or caused to be transmitted, </w:t>
      </w:r>
      <w:r w:rsidR="00B636A2">
        <w:t xml:space="preserve">the </w:t>
      </w:r>
      <w:r w:rsidR="00780F4B" w:rsidRPr="00780F4B">
        <w:rPr>
          <w:i/>
        </w:rPr>
        <w:t>No Surrender Trailer</w:t>
      </w:r>
      <w:r w:rsidR="00C42E80">
        <w:t xml:space="preserve"> containing </w:t>
      </w:r>
      <w:r w:rsidR="00101E98">
        <w:t xml:space="preserve">the </w:t>
      </w:r>
      <w:r w:rsidR="00C42E80">
        <w:t xml:space="preserve">actual or </w:t>
      </w:r>
      <w:r w:rsidR="00C42E80" w:rsidRPr="00EC4601">
        <w:t>simulated</w:t>
      </w:r>
      <w:r w:rsidR="00C42E80">
        <w:t xml:space="preserve"> EAS codes </w:t>
      </w:r>
      <w:r w:rsidR="00506DF2">
        <w:t>and</w:t>
      </w:r>
      <w:r w:rsidR="00C42E80">
        <w:t xml:space="preserve"> Attention Signal in the absence of an actual emergency or authorized test</w:t>
      </w:r>
      <w:r w:rsidR="009C10F4">
        <w:t>, as detailed in the chart below:</w:t>
      </w:r>
    </w:p>
    <w:tbl>
      <w:tblPr>
        <w:tblStyle w:val="TableGrid"/>
        <w:tblW w:w="0" w:type="auto"/>
        <w:jc w:val="center"/>
        <w:tblLook w:val="04A0" w:firstRow="1" w:lastRow="0" w:firstColumn="1" w:lastColumn="0" w:noHBand="0" w:noVBand="1"/>
      </w:tblPr>
      <w:tblGrid>
        <w:gridCol w:w="2215"/>
        <w:gridCol w:w="2243"/>
        <w:gridCol w:w="1255"/>
        <w:gridCol w:w="1511"/>
        <w:gridCol w:w="2112"/>
      </w:tblGrid>
      <w:tr w:rsidR="00B743E6" w:rsidRPr="00EF4C02" w14:paraId="1E74106F" w14:textId="77777777">
        <w:trPr>
          <w:cantSplit/>
          <w:jc w:val="center"/>
        </w:trPr>
        <w:tc>
          <w:tcPr>
            <w:tcW w:w="9265" w:type="dxa"/>
            <w:gridSpan w:val="5"/>
            <w:shd w:val="clear" w:color="auto" w:fill="BFBFBF" w:themeFill="background1" w:themeFillShade="BF"/>
          </w:tcPr>
          <w:p w14:paraId="28173C61" w14:textId="77777777" w:rsidR="00B743E6" w:rsidRPr="00EF4C02" w:rsidRDefault="00B743E6" w:rsidP="00F42566">
            <w:pPr>
              <w:keepNext/>
              <w:widowControl/>
              <w:tabs>
                <w:tab w:val="left" w:pos="0"/>
              </w:tabs>
              <w:suppressAutoHyphens/>
              <w:spacing w:after="120"/>
              <w:jc w:val="center"/>
              <w:rPr>
                <w:b/>
                <w:spacing w:val="-2"/>
              </w:rPr>
            </w:pPr>
            <w:r w:rsidRPr="00EF4C02">
              <w:rPr>
                <w:b/>
                <w:spacing w:val="-2"/>
              </w:rPr>
              <w:t>VIACOM-OWNED NETWORKS</w:t>
            </w:r>
          </w:p>
        </w:tc>
      </w:tr>
      <w:tr w:rsidR="00B743E6" w:rsidRPr="00EF4C02" w14:paraId="4CA8E21A" w14:textId="77777777">
        <w:trPr>
          <w:cantSplit/>
          <w:jc w:val="center"/>
        </w:trPr>
        <w:tc>
          <w:tcPr>
            <w:tcW w:w="2215" w:type="dxa"/>
            <w:shd w:val="clear" w:color="auto" w:fill="F2F2F2" w:themeFill="background1" w:themeFillShade="F2"/>
          </w:tcPr>
          <w:p w14:paraId="65A738D4" w14:textId="77777777" w:rsidR="00B743E6" w:rsidRPr="00EF4C02" w:rsidRDefault="00B743E6" w:rsidP="00F42566">
            <w:pPr>
              <w:keepNext/>
              <w:widowControl/>
              <w:tabs>
                <w:tab w:val="left" w:pos="0"/>
              </w:tabs>
              <w:suppressAutoHyphens/>
              <w:spacing w:after="120"/>
              <w:jc w:val="both"/>
              <w:rPr>
                <w:b/>
                <w:i/>
                <w:spacing w:val="-2"/>
              </w:rPr>
            </w:pPr>
            <w:r w:rsidRPr="00EF4C02">
              <w:rPr>
                <w:b/>
                <w:i/>
                <w:spacing w:val="-2"/>
              </w:rPr>
              <w:t>Network</w:t>
            </w:r>
          </w:p>
        </w:tc>
        <w:tc>
          <w:tcPr>
            <w:tcW w:w="2243" w:type="dxa"/>
            <w:shd w:val="clear" w:color="auto" w:fill="F2F2F2" w:themeFill="background1" w:themeFillShade="F2"/>
          </w:tcPr>
          <w:p w14:paraId="5B3C1A4B" w14:textId="77777777" w:rsidR="00B743E6" w:rsidRPr="00EF4C02" w:rsidRDefault="00B743E6" w:rsidP="00F42566">
            <w:pPr>
              <w:keepNext/>
              <w:widowControl/>
              <w:tabs>
                <w:tab w:val="left" w:pos="0"/>
              </w:tabs>
              <w:suppressAutoHyphens/>
              <w:spacing w:after="120"/>
              <w:jc w:val="both"/>
              <w:rPr>
                <w:b/>
                <w:i/>
                <w:spacing w:val="-2"/>
              </w:rPr>
            </w:pPr>
            <w:r w:rsidRPr="00EF4C02">
              <w:rPr>
                <w:b/>
                <w:i/>
                <w:spacing w:val="-2"/>
              </w:rPr>
              <w:t>Number of Repetitions per LOI Response</w:t>
            </w:r>
          </w:p>
        </w:tc>
        <w:tc>
          <w:tcPr>
            <w:tcW w:w="1255" w:type="dxa"/>
            <w:shd w:val="clear" w:color="auto" w:fill="F2F2F2" w:themeFill="background1" w:themeFillShade="F2"/>
          </w:tcPr>
          <w:p w14:paraId="2BC9A410" w14:textId="77777777" w:rsidR="00B743E6" w:rsidRPr="00EF4C02" w:rsidRDefault="00B743E6" w:rsidP="00F42566">
            <w:pPr>
              <w:keepNext/>
              <w:widowControl/>
              <w:tabs>
                <w:tab w:val="left" w:pos="0"/>
              </w:tabs>
              <w:suppressAutoHyphens/>
              <w:spacing w:after="120"/>
              <w:jc w:val="both"/>
              <w:rPr>
                <w:b/>
                <w:i/>
                <w:spacing w:val="-2"/>
              </w:rPr>
            </w:pPr>
            <w:r w:rsidRPr="00EF4C02">
              <w:rPr>
                <w:b/>
                <w:i/>
                <w:spacing w:val="-2"/>
              </w:rPr>
              <w:t>Dual Feed Network?</w:t>
            </w:r>
          </w:p>
        </w:tc>
        <w:tc>
          <w:tcPr>
            <w:tcW w:w="1440" w:type="dxa"/>
            <w:shd w:val="clear" w:color="auto" w:fill="F2F2F2" w:themeFill="background1" w:themeFillShade="F2"/>
          </w:tcPr>
          <w:p w14:paraId="71A7B41B" w14:textId="77777777" w:rsidR="00B743E6" w:rsidRPr="00EF4C02" w:rsidRDefault="00B743E6" w:rsidP="00F42566">
            <w:pPr>
              <w:keepNext/>
              <w:widowControl/>
              <w:tabs>
                <w:tab w:val="left" w:pos="0"/>
              </w:tabs>
              <w:suppressAutoHyphens/>
              <w:spacing w:after="120"/>
              <w:jc w:val="both"/>
              <w:rPr>
                <w:b/>
                <w:i/>
                <w:spacing w:val="-2"/>
              </w:rPr>
            </w:pPr>
            <w:r w:rsidRPr="00EF4C02">
              <w:rPr>
                <w:b/>
                <w:i/>
                <w:spacing w:val="-2"/>
              </w:rPr>
              <w:t>Total Transmissions</w:t>
            </w:r>
          </w:p>
        </w:tc>
        <w:tc>
          <w:tcPr>
            <w:tcW w:w="2112" w:type="dxa"/>
            <w:shd w:val="clear" w:color="auto" w:fill="F2F2F2" w:themeFill="background1" w:themeFillShade="F2"/>
          </w:tcPr>
          <w:p w14:paraId="49B555C9" w14:textId="77777777" w:rsidR="00B743E6" w:rsidRPr="00EF4C02" w:rsidRDefault="00B743E6" w:rsidP="000254EA">
            <w:pPr>
              <w:keepNext/>
              <w:widowControl/>
              <w:tabs>
                <w:tab w:val="left" w:pos="0"/>
              </w:tabs>
              <w:suppressAutoHyphens/>
              <w:spacing w:after="120"/>
              <w:rPr>
                <w:b/>
                <w:i/>
                <w:spacing w:val="-2"/>
              </w:rPr>
            </w:pPr>
            <w:r>
              <w:rPr>
                <w:b/>
                <w:i/>
                <w:spacing w:val="-2"/>
              </w:rPr>
              <w:t>Duration of Transmissions (days)</w:t>
            </w:r>
          </w:p>
        </w:tc>
      </w:tr>
      <w:tr w:rsidR="00B743E6" w:rsidRPr="00EF4C02" w14:paraId="3B899FB9" w14:textId="77777777">
        <w:trPr>
          <w:cantSplit/>
          <w:jc w:val="center"/>
        </w:trPr>
        <w:tc>
          <w:tcPr>
            <w:tcW w:w="2215" w:type="dxa"/>
          </w:tcPr>
          <w:p w14:paraId="05F6D05F" w14:textId="77777777" w:rsidR="00B743E6" w:rsidRPr="00EF4C02" w:rsidRDefault="00B743E6" w:rsidP="00F42566">
            <w:pPr>
              <w:keepNext/>
              <w:widowControl/>
              <w:tabs>
                <w:tab w:val="left" w:pos="0"/>
              </w:tabs>
              <w:suppressAutoHyphens/>
              <w:spacing w:after="120"/>
              <w:rPr>
                <w:spacing w:val="-2"/>
              </w:rPr>
            </w:pPr>
            <w:r w:rsidRPr="00EF4C02">
              <w:rPr>
                <w:spacing w:val="-2"/>
              </w:rPr>
              <w:t>BET</w:t>
            </w:r>
          </w:p>
        </w:tc>
        <w:tc>
          <w:tcPr>
            <w:tcW w:w="2243" w:type="dxa"/>
          </w:tcPr>
          <w:p w14:paraId="68A48694" w14:textId="77777777" w:rsidR="00B743E6" w:rsidRPr="00EF4C02" w:rsidRDefault="00B743E6" w:rsidP="00F42566">
            <w:pPr>
              <w:keepNext/>
              <w:widowControl/>
              <w:tabs>
                <w:tab w:val="left" w:pos="0"/>
              </w:tabs>
              <w:suppressAutoHyphens/>
              <w:spacing w:after="120"/>
              <w:rPr>
                <w:spacing w:val="-2"/>
              </w:rPr>
            </w:pPr>
            <w:r w:rsidRPr="00EF4C02">
              <w:rPr>
                <w:spacing w:val="-2"/>
              </w:rPr>
              <w:t>4</w:t>
            </w:r>
          </w:p>
        </w:tc>
        <w:tc>
          <w:tcPr>
            <w:tcW w:w="1255" w:type="dxa"/>
          </w:tcPr>
          <w:p w14:paraId="0ACBD334" w14:textId="77777777" w:rsidR="00B743E6" w:rsidRPr="00EF4C02" w:rsidRDefault="00B743E6" w:rsidP="00F42566">
            <w:pPr>
              <w:keepNext/>
              <w:widowControl/>
              <w:tabs>
                <w:tab w:val="left" w:pos="0"/>
              </w:tabs>
              <w:suppressAutoHyphens/>
              <w:spacing w:after="120"/>
              <w:rPr>
                <w:spacing w:val="-2"/>
              </w:rPr>
            </w:pPr>
            <w:r w:rsidRPr="00EF4C02">
              <w:rPr>
                <w:spacing w:val="-2"/>
              </w:rPr>
              <w:t>Yes</w:t>
            </w:r>
          </w:p>
        </w:tc>
        <w:tc>
          <w:tcPr>
            <w:tcW w:w="1440" w:type="dxa"/>
          </w:tcPr>
          <w:p w14:paraId="487239E6" w14:textId="77777777" w:rsidR="00B743E6" w:rsidRPr="00EF4C02" w:rsidRDefault="00B743E6" w:rsidP="00F42566">
            <w:pPr>
              <w:keepNext/>
              <w:widowControl/>
              <w:tabs>
                <w:tab w:val="left" w:pos="0"/>
              </w:tabs>
              <w:suppressAutoHyphens/>
              <w:spacing w:after="120"/>
              <w:rPr>
                <w:spacing w:val="-2"/>
              </w:rPr>
            </w:pPr>
            <w:r w:rsidRPr="00EF4C02">
              <w:rPr>
                <w:spacing w:val="-2"/>
              </w:rPr>
              <w:t>8</w:t>
            </w:r>
          </w:p>
        </w:tc>
        <w:tc>
          <w:tcPr>
            <w:tcW w:w="2112" w:type="dxa"/>
          </w:tcPr>
          <w:p w14:paraId="6123F562" w14:textId="77777777" w:rsidR="00B743E6" w:rsidRPr="00EF4C02" w:rsidRDefault="00B743E6" w:rsidP="00F42566">
            <w:pPr>
              <w:keepNext/>
              <w:widowControl/>
              <w:tabs>
                <w:tab w:val="left" w:pos="0"/>
              </w:tabs>
              <w:suppressAutoHyphens/>
              <w:spacing w:after="120"/>
              <w:rPr>
                <w:spacing w:val="-2"/>
              </w:rPr>
            </w:pPr>
            <w:r>
              <w:rPr>
                <w:spacing w:val="-2"/>
              </w:rPr>
              <w:t>3</w:t>
            </w:r>
          </w:p>
        </w:tc>
      </w:tr>
      <w:tr w:rsidR="00B743E6" w:rsidRPr="00EF4C02" w14:paraId="40778926" w14:textId="77777777">
        <w:trPr>
          <w:cantSplit/>
          <w:jc w:val="center"/>
        </w:trPr>
        <w:tc>
          <w:tcPr>
            <w:tcW w:w="2215" w:type="dxa"/>
          </w:tcPr>
          <w:p w14:paraId="29C13DFF" w14:textId="77777777" w:rsidR="00B743E6" w:rsidRPr="00EF4C02" w:rsidRDefault="00B743E6" w:rsidP="00F42566">
            <w:pPr>
              <w:keepNext/>
              <w:widowControl/>
              <w:tabs>
                <w:tab w:val="left" w:pos="0"/>
              </w:tabs>
              <w:suppressAutoHyphens/>
              <w:spacing w:after="120"/>
              <w:rPr>
                <w:spacing w:val="-2"/>
              </w:rPr>
            </w:pPr>
            <w:r w:rsidRPr="00EF4C02">
              <w:rPr>
                <w:spacing w:val="-2"/>
              </w:rPr>
              <w:t>Centric</w:t>
            </w:r>
          </w:p>
        </w:tc>
        <w:tc>
          <w:tcPr>
            <w:tcW w:w="2243" w:type="dxa"/>
          </w:tcPr>
          <w:p w14:paraId="7574258B" w14:textId="77777777" w:rsidR="00B743E6" w:rsidRPr="00EF4C02" w:rsidRDefault="00B743E6" w:rsidP="00F42566">
            <w:pPr>
              <w:keepNext/>
              <w:widowControl/>
              <w:tabs>
                <w:tab w:val="left" w:pos="0"/>
              </w:tabs>
              <w:suppressAutoHyphens/>
              <w:spacing w:after="120"/>
              <w:rPr>
                <w:spacing w:val="-2"/>
              </w:rPr>
            </w:pPr>
            <w:r w:rsidRPr="00EF4C02">
              <w:rPr>
                <w:spacing w:val="-2"/>
              </w:rPr>
              <w:t>6</w:t>
            </w:r>
          </w:p>
        </w:tc>
        <w:tc>
          <w:tcPr>
            <w:tcW w:w="1255" w:type="dxa"/>
          </w:tcPr>
          <w:p w14:paraId="03D13166" w14:textId="77777777" w:rsidR="00B743E6" w:rsidRPr="00EF4C02" w:rsidRDefault="00B743E6" w:rsidP="00F42566">
            <w:pPr>
              <w:keepNext/>
              <w:widowControl/>
              <w:tabs>
                <w:tab w:val="left" w:pos="0"/>
              </w:tabs>
              <w:suppressAutoHyphens/>
              <w:spacing w:after="120"/>
              <w:rPr>
                <w:spacing w:val="-2"/>
              </w:rPr>
            </w:pPr>
            <w:r w:rsidRPr="00EF4C02">
              <w:rPr>
                <w:spacing w:val="-2"/>
              </w:rPr>
              <w:t>No</w:t>
            </w:r>
          </w:p>
        </w:tc>
        <w:tc>
          <w:tcPr>
            <w:tcW w:w="1440" w:type="dxa"/>
          </w:tcPr>
          <w:p w14:paraId="0B60B8C0" w14:textId="77777777" w:rsidR="00B743E6" w:rsidRPr="00EF4C02" w:rsidRDefault="00B743E6" w:rsidP="00F42566">
            <w:pPr>
              <w:keepNext/>
              <w:widowControl/>
              <w:tabs>
                <w:tab w:val="left" w:pos="0"/>
              </w:tabs>
              <w:suppressAutoHyphens/>
              <w:spacing w:after="120"/>
              <w:rPr>
                <w:spacing w:val="-2"/>
              </w:rPr>
            </w:pPr>
            <w:r w:rsidRPr="00EF4C02">
              <w:rPr>
                <w:spacing w:val="-2"/>
              </w:rPr>
              <w:t>6</w:t>
            </w:r>
          </w:p>
        </w:tc>
        <w:tc>
          <w:tcPr>
            <w:tcW w:w="2112" w:type="dxa"/>
          </w:tcPr>
          <w:p w14:paraId="189C550D" w14:textId="77777777" w:rsidR="00B743E6" w:rsidRPr="00EF4C02" w:rsidRDefault="00B743E6" w:rsidP="00F42566">
            <w:pPr>
              <w:keepNext/>
              <w:widowControl/>
              <w:tabs>
                <w:tab w:val="left" w:pos="0"/>
              </w:tabs>
              <w:suppressAutoHyphens/>
              <w:spacing w:after="120"/>
              <w:rPr>
                <w:spacing w:val="-2"/>
              </w:rPr>
            </w:pPr>
            <w:r>
              <w:rPr>
                <w:spacing w:val="-2"/>
              </w:rPr>
              <w:t>3</w:t>
            </w:r>
          </w:p>
        </w:tc>
      </w:tr>
      <w:tr w:rsidR="00B743E6" w:rsidRPr="00EF4C02" w14:paraId="76F3303D" w14:textId="77777777">
        <w:trPr>
          <w:cantSplit/>
          <w:jc w:val="center"/>
        </w:trPr>
        <w:tc>
          <w:tcPr>
            <w:tcW w:w="2215" w:type="dxa"/>
          </w:tcPr>
          <w:p w14:paraId="44D53DD6" w14:textId="77777777" w:rsidR="00B743E6" w:rsidRPr="00EF4C02" w:rsidRDefault="00B743E6" w:rsidP="00F42566">
            <w:pPr>
              <w:keepNext/>
              <w:widowControl/>
              <w:tabs>
                <w:tab w:val="left" w:pos="0"/>
              </w:tabs>
              <w:suppressAutoHyphens/>
              <w:spacing w:after="120"/>
              <w:rPr>
                <w:spacing w:val="-2"/>
              </w:rPr>
            </w:pPr>
            <w:r w:rsidRPr="00EF4C02">
              <w:rPr>
                <w:spacing w:val="-2"/>
              </w:rPr>
              <w:t>Comedy Central</w:t>
            </w:r>
          </w:p>
        </w:tc>
        <w:tc>
          <w:tcPr>
            <w:tcW w:w="2243" w:type="dxa"/>
          </w:tcPr>
          <w:p w14:paraId="43B21C13" w14:textId="77777777" w:rsidR="00B743E6" w:rsidRPr="00EF4C02" w:rsidRDefault="00B743E6" w:rsidP="00F42566">
            <w:pPr>
              <w:keepNext/>
              <w:widowControl/>
              <w:tabs>
                <w:tab w:val="left" w:pos="0"/>
              </w:tabs>
              <w:suppressAutoHyphens/>
              <w:spacing w:after="120"/>
              <w:rPr>
                <w:spacing w:val="-2"/>
              </w:rPr>
            </w:pPr>
            <w:r w:rsidRPr="00EF4C02">
              <w:rPr>
                <w:spacing w:val="-2"/>
              </w:rPr>
              <w:t>7</w:t>
            </w:r>
          </w:p>
        </w:tc>
        <w:tc>
          <w:tcPr>
            <w:tcW w:w="1255" w:type="dxa"/>
          </w:tcPr>
          <w:p w14:paraId="22EBDCDF" w14:textId="77777777" w:rsidR="00B743E6" w:rsidRPr="00EF4C02" w:rsidRDefault="00B743E6" w:rsidP="00F42566">
            <w:pPr>
              <w:keepNext/>
              <w:widowControl/>
              <w:tabs>
                <w:tab w:val="left" w:pos="0"/>
              </w:tabs>
              <w:suppressAutoHyphens/>
              <w:spacing w:after="120"/>
              <w:rPr>
                <w:spacing w:val="-2"/>
              </w:rPr>
            </w:pPr>
            <w:r w:rsidRPr="00EF4C02">
              <w:rPr>
                <w:spacing w:val="-2"/>
              </w:rPr>
              <w:t>Yes</w:t>
            </w:r>
          </w:p>
        </w:tc>
        <w:tc>
          <w:tcPr>
            <w:tcW w:w="1440" w:type="dxa"/>
          </w:tcPr>
          <w:p w14:paraId="4D8513EE" w14:textId="77777777" w:rsidR="00B743E6" w:rsidRPr="00EF4C02" w:rsidRDefault="00B743E6" w:rsidP="00F42566">
            <w:pPr>
              <w:keepNext/>
              <w:widowControl/>
              <w:tabs>
                <w:tab w:val="left" w:pos="0"/>
              </w:tabs>
              <w:suppressAutoHyphens/>
              <w:spacing w:after="120"/>
              <w:rPr>
                <w:spacing w:val="-2"/>
              </w:rPr>
            </w:pPr>
            <w:r w:rsidRPr="00EF4C02">
              <w:rPr>
                <w:spacing w:val="-2"/>
              </w:rPr>
              <w:t>14</w:t>
            </w:r>
          </w:p>
        </w:tc>
        <w:tc>
          <w:tcPr>
            <w:tcW w:w="2112" w:type="dxa"/>
          </w:tcPr>
          <w:p w14:paraId="055A5ECA" w14:textId="77777777" w:rsidR="00B743E6" w:rsidRPr="00EF4C02" w:rsidRDefault="00B743E6" w:rsidP="00F42566">
            <w:pPr>
              <w:keepNext/>
              <w:widowControl/>
              <w:tabs>
                <w:tab w:val="left" w:pos="0"/>
              </w:tabs>
              <w:suppressAutoHyphens/>
              <w:spacing w:after="120"/>
              <w:rPr>
                <w:spacing w:val="-2"/>
              </w:rPr>
            </w:pPr>
            <w:r>
              <w:rPr>
                <w:spacing w:val="-2"/>
              </w:rPr>
              <w:t>4</w:t>
            </w:r>
          </w:p>
        </w:tc>
      </w:tr>
      <w:tr w:rsidR="00B743E6" w:rsidRPr="00EF4C02" w14:paraId="1F8C7216" w14:textId="77777777">
        <w:trPr>
          <w:cantSplit/>
          <w:jc w:val="center"/>
        </w:trPr>
        <w:tc>
          <w:tcPr>
            <w:tcW w:w="2215" w:type="dxa"/>
          </w:tcPr>
          <w:p w14:paraId="6A8E9196" w14:textId="77777777" w:rsidR="00B743E6" w:rsidRPr="00EF4C02" w:rsidRDefault="00B743E6" w:rsidP="00F42566">
            <w:pPr>
              <w:keepNext/>
              <w:widowControl/>
              <w:tabs>
                <w:tab w:val="left" w:pos="0"/>
              </w:tabs>
              <w:suppressAutoHyphens/>
              <w:spacing w:after="120"/>
              <w:rPr>
                <w:spacing w:val="-2"/>
              </w:rPr>
            </w:pPr>
            <w:r w:rsidRPr="00EF4C02">
              <w:rPr>
                <w:spacing w:val="-2"/>
              </w:rPr>
              <w:t>MTV</w:t>
            </w:r>
          </w:p>
        </w:tc>
        <w:tc>
          <w:tcPr>
            <w:tcW w:w="2243" w:type="dxa"/>
          </w:tcPr>
          <w:p w14:paraId="7A742A63" w14:textId="77777777" w:rsidR="00B743E6" w:rsidRPr="00EF4C02" w:rsidRDefault="00B743E6" w:rsidP="00F42566">
            <w:pPr>
              <w:keepNext/>
              <w:widowControl/>
              <w:tabs>
                <w:tab w:val="left" w:pos="0"/>
              </w:tabs>
              <w:suppressAutoHyphens/>
              <w:spacing w:after="120"/>
              <w:rPr>
                <w:spacing w:val="-2"/>
              </w:rPr>
            </w:pPr>
            <w:r w:rsidRPr="00EF4C02">
              <w:rPr>
                <w:spacing w:val="-2"/>
              </w:rPr>
              <w:t>10</w:t>
            </w:r>
          </w:p>
        </w:tc>
        <w:tc>
          <w:tcPr>
            <w:tcW w:w="1255" w:type="dxa"/>
          </w:tcPr>
          <w:p w14:paraId="558B24AE" w14:textId="77777777" w:rsidR="00B743E6" w:rsidRPr="00EF4C02" w:rsidRDefault="00B743E6" w:rsidP="00F42566">
            <w:pPr>
              <w:keepNext/>
              <w:widowControl/>
              <w:tabs>
                <w:tab w:val="left" w:pos="0"/>
              </w:tabs>
              <w:suppressAutoHyphens/>
              <w:spacing w:after="120"/>
              <w:rPr>
                <w:spacing w:val="-2"/>
              </w:rPr>
            </w:pPr>
            <w:r w:rsidRPr="00EF4C02">
              <w:rPr>
                <w:spacing w:val="-2"/>
              </w:rPr>
              <w:t>Yes</w:t>
            </w:r>
          </w:p>
        </w:tc>
        <w:tc>
          <w:tcPr>
            <w:tcW w:w="1440" w:type="dxa"/>
          </w:tcPr>
          <w:p w14:paraId="560B05D8" w14:textId="77777777" w:rsidR="00B743E6" w:rsidRPr="00EF4C02" w:rsidRDefault="00B743E6" w:rsidP="00F42566">
            <w:pPr>
              <w:keepNext/>
              <w:widowControl/>
              <w:tabs>
                <w:tab w:val="left" w:pos="0"/>
              </w:tabs>
              <w:suppressAutoHyphens/>
              <w:spacing w:after="120"/>
              <w:rPr>
                <w:spacing w:val="-2"/>
              </w:rPr>
            </w:pPr>
            <w:r w:rsidRPr="00EF4C02">
              <w:rPr>
                <w:spacing w:val="-2"/>
              </w:rPr>
              <w:t>20</w:t>
            </w:r>
          </w:p>
        </w:tc>
        <w:tc>
          <w:tcPr>
            <w:tcW w:w="2112" w:type="dxa"/>
          </w:tcPr>
          <w:p w14:paraId="7FEC191D" w14:textId="77777777" w:rsidR="00B743E6" w:rsidRPr="00EF4C02" w:rsidRDefault="00B743E6" w:rsidP="00F42566">
            <w:pPr>
              <w:keepNext/>
              <w:widowControl/>
              <w:tabs>
                <w:tab w:val="left" w:pos="0"/>
              </w:tabs>
              <w:suppressAutoHyphens/>
              <w:spacing w:after="120"/>
              <w:rPr>
                <w:spacing w:val="-2"/>
              </w:rPr>
            </w:pPr>
            <w:r>
              <w:rPr>
                <w:spacing w:val="-2"/>
              </w:rPr>
              <w:t>4</w:t>
            </w:r>
          </w:p>
        </w:tc>
      </w:tr>
      <w:tr w:rsidR="00B743E6" w:rsidRPr="00EF4C02" w14:paraId="23FE1B92" w14:textId="77777777">
        <w:trPr>
          <w:cantSplit/>
          <w:jc w:val="center"/>
        </w:trPr>
        <w:tc>
          <w:tcPr>
            <w:tcW w:w="2215" w:type="dxa"/>
          </w:tcPr>
          <w:p w14:paraId="6A0175E7" w14:textId="77777777" w:rsidR="00B743E6" w:rsidRPr="00EF4C02" w:rsidRDefault="00B743E6" w:rsidP="00F42566">
            <w:pPr>
              <w:keepNext/>
              <w:widowControl/>
              <w:tabs>
                <w:tab w:val="left" w:pos="0"/>
              </w:tabs>
              <w:suppressAutoHyphens/>
              <w:spacing w:after="120"/>
              <w:rPr>
                <w:spacing w:val="-2"/>
              </w:rPr>
            </w:pPr>
            <w:r w:rsidRPr="00EF4C02">
              <w:rPr>
                <w:spacing w:val="-2"/>
              </w:rPr>
              <w:t>MTV2</w:t>
            </w:r>
          </w:p>
        </w:tc>
        <w:tc>
          <w:tcPr>
            <w:tcW w:w="2243" w:type="dxa"/>
          </w:tcPr>
          <w:p w14:paraId="55151CCC" w14:textId="77777777" w:rsidR="00B743E6" w:rsidRPr="00EF4C02" w:rsidRDefault="00B743E6" w:rsidP="00F42566">
            <w:pPr>
              <w:keepNext/>
              <w:widowControl/>
              <w:tabs>
                <w:tab w:val="left" w:pos="0"/>
              </w:tabs>
              <w:suppressAutoHyphens/>
              <w:spacing w:after="120"/>
              <w:rPr>
                <w:spacing w:val="-2"/>
              </w:rPr>
            </w:pPr>
            <w:r w:rsidRPr="00EF4C02">
              <w:rPr>
                <w:spacing w:val="-2"/>
              </w:rPr>
              <w:t>6</w:t>
            </w:r>
          </w:p>
        </w:tc>
        <w:tc>
          <w:tcPr>
            <w:tcW w:w="1255" w:type="dxa"/>
          </w:tcPr>
          <w:p w14:paraId="25FE9DF2" w14:textId="77777777" w:rsidR="00B743E6" w:rsidRPr="00EF4C02" w:rsidRDefault="00B743E6" w:rsidP="00F42566">
            <w:pPr>
              <w:keepNext/>
              <w:widowControl/>
              <w:tabs>
                <w:tab w:val="left" w:pos="0"/>
              </w:tabs>
              <w:suppressAutoHyphens/>
              <w:spacing w:after="120"/>
              <w:rPr>
                <w:spacing w:val="-2"/>
              </w:rPr>
            </w:pPr>
            <w:r w:rsidRPr="00EF4C02">
              <w:rPr>
                <w:spacing w:val="-2"/>
              </w:rPr>
              <w:t>Yes</w:t>
            </w:r>
          </w:p>
        </w:tc>
        <w:tc>
          <w:tcPr>
            <w:tcW w:w="1440" w:type="dxa"/>
          </w:tcPr>
          <w:p w14:paraId="33FE0C9B" w14:textId="77777777" w:rsidR="00B743E6" w:rsidRPr="00EF4C02" w:rsidRDefault="00B743E6" w:rsidP="00F42566">
            <w:pPr>
              <w:keepNext/>
              <w:widowControl/>
              <w:tabs>
                <w:tab w:val="left" w:pos="0"/>
              </w:tabs>
              <w:suppressAutoHyphens/>
              <w:spacing w:after="120"/>
              <w:rPr>
                <w:spacing w:val="-2"/>
              </w:rPr>
            </w:pPr>
            <w:r w:rsidRPr="00EF4C02">
              <w:rPr>
                <w:spacing w:val="-2"/>
              </w:rPr>
              <w:t>12</w:t>
            </w:r>
          </w:p>
        </w:tc>
        <w:tc>
          <w:tcPr>
            <w:tcW w:w="2112" w:type="dxa"/>
          </w:tcPr>
          <w:p w14:paraId="343658EC" w14:textId="77777777" w:rsidR="00B743E6" w:rsidRPr="00EF4C02" w:rsidRDefault="00B743E6" w:rsidP="00F42566">
            <w:pPr>
              <w:keepNext/>
              <w:widowControl/>
              <w:tabs>
                <w:tab w:val="left" w:pos="0"/>
              </w:tabs>
              <w:suppressAutoHyphens/>
              <w:spacing w:after="120"/>
              <w:rPr>
                <w:spacing w:val="-2"/>
              </w:rPr>
            </w:pPr>
            <w:r>
              <w:rPr>
                <w:spacing w:val="-2"/>
              </w:rPr>
              <w:t>4</w:t>
            </w:r>
          </w:p>
        </w:tc>
      </w:tr>
      <w:tr w:rsidR="00B743E6" w:rsidRPr="00EF4C02" w14:paraId="3307B45D" w14:textId="77777777">
        <w:trPr>
          <w:cantSplit/>
          <w:jc w:val="center"/>
        </w:trPr>
        <w:tc>
          <w:tcPr>
            <w:tcW w:w="2215" w:type="dxa"/>
          </w:tcPr>
          <w:p w14:paraId="66746E9A" w14:textId="77777777" w:rsidR="00B743E6" w:rsidRPr="00EF4C02" w:rsidRDefault="00B743E6" w:rsidP="00F42566">
            <w:pPr>
              <w:keepNext/>
              <w:widowControl/>
              <w:tabs>
                <w:tab w:val="left" w:pos="0"/>
              </w:tabs>
              <w:suppressAutoHyphens/>
              <w:spacing w:after="120"/>
              <w:rPr>
                <w:spacing w:val="-2"/>
              </w:rPr>
            </w:pPr>
            <w:r w:rsidRPr="00EF4C02">
              <w:rPr>
                <w:spacing w:val="-2"/>
              </w:rPr>
              <w:t>Spike</w:t>
            </w:r>
          </w:p>
        </w:tc>
        <w:tc>
          <w:tcPr>
            <w:tcW w:w="2243" w:type="dxa"/>
          </w:tcPr>
          <w:p w14:paraId="1BC3FD7D" w14:textId="77777777" w:rsidR="00B743E6" w:rsidRPr="00EF4C02" w:rsidRDefault="00B743E6" w:rsidP="00F42566">
            <w:pPr>
              <w:keepNext/>
              <w:widowControl/>
              <w:tabs>
                <w:tab w:val="left" w:pos="0"/>
              </w:tabs>
              <w:suppressAutoHyphens/>
              <w:spacing w:after="120"/>
              <w:rPr>
                <w:spacing w:val="-2"/>
              </w:rPr>
            </w:pPr>
            <w:r w:rsidRPr="00EF4C02">
              <w:rPr>
                <w:spacing w:val="-2"/>
              </w:rPr>
              <w:t>12</w:t>
            </w:r>
          </w:p>
        </w:tc>
        <w:tc>
          <w:tcPr>
            <w:tcW w:w="1255" w:type="dxa"/>
          </w:tcPr>
          <w:p w14:paraId="48E05B55" w14:textId="77777777" w:rsidR="00B743E6" w:rsidRPr="00EF4C02" w:rsidRDefault="00B743E6" w:rsidP="00F42566">
            <w:pPr>
              <w:keepNext/>
              <w:widowControl/>
              <w:tabs>
                <w:tab w:val="left" w:pos="0"/>
              </w:tabs>
              <w:suppressAutoHyphens/>
              <w:spacing w:after="120"/>
              <w:rPr>
                <w:spacing w:val="-2"/>
              </w:rPr>
            </w:pPr>
            <w:r w:rsidRPr="00EF4C02">
              <w:rPr>
                <w:spacing w:val="-2"/>
              </w:rPr>
              <w:t>Yes</w:t>
            </w:r>
          </w:p>
        </w:tc>
        <w:tc>
          <w:tcPr>
            <w:tcW w:w="1440" w:type="dxa"/>
          </w:tcPr>
          <w:p w14:paraId="621CAB30" w14:textId="77777777" w:rsidR="00B743E6" w:rsidRPr="00EF4C02" w:rsidRDefault="00B743E6" w:rsidP="00F42566">
            <w:pPr>
              <w:keepNext/>
              <w:widowControl/>
              <w:tabs>
                <w:tab w:val="left" w:pos="0"/>
              </w:tabs>
              <w:suppressAutoHyphens/>
              <w:spacing w:after="120"/>
              <w:rPr>
                <w:spacing w:val="-2"/>
              </w:rPr>
            </w:pPr>
            <w:r w:rsidRPr="00EF4C02">
              <w:rPr>
                <w:spacing w:val="-2"/>
              </w:rPr>
              <w:t>24</w:t>
            </w:r>
          </w:p>
        </w:tc>
        <w:tc>
          <w:tcPr>
            <w:tcW w:w="2112" w:type="dxa"/>
          </w:tcPr>
          <w:p w14:paraId="00E02C14" w14:textId="77777777" w:rsidR="00B743E6" w:rsidRPr="00EF4C02" w:rsidRDefault="00B743E6" w:rsidP="00F42566">
            <w:pPr>
              <w:keepNext/>
              <w:widowControl/>
              <w:tabs>
                <w:tab w:val="left" w:pos="0"/>
              </w:tabs>
              <w:suppressAutoHyphens/>
              <w:spacing w:after="120"/>
              <w:rPr>
                <w:spacing w:val="-2"/>
              </w:rPr>
            </w:pPr>
            <w:r>
              <w:rPr>
                <w:spacing w:val="-2"/>
              </w:rPr>
              <w:t>5</w:t>
            </w:r>
          </w:p>
        </w:tc>
      </w:tr>
      <w:tr w:rsidR="00B743E6" w:rsidRPr="00EF4C02" w14:paraId="39AF935B" w14:textId="77777777">
        <w:trPr>
          <w:cantSplit/>
          <w:jc w:val="center"/>
        </w:trPr>
        <w:tc>
          <w:tcPr>
            <w:tcW w:w="2215" w:type="dxa"/>
          </w:tcPr>
          <w:p w14:paraId="499F16FF" w14:textId="77777777" w:rsidR="00B743E6" w:rsidRPr="00EF4C02" w:rsidRDefault="00B743E6" w:rsidP="00F42566">
            <w:pPr>
              <w:keepNext/>
              <w:widowControl/>
              <w:tabs>
                <w:tab w:val="left" w:pos="0"/>
              </w:tabs>
              <w:suppressAutoHyphens/>
              <w:spacing w:after="120"/>
              <w:rPr>
                <w:spacing w:val="-2"/>
              </w:rPr>
            </w:pPr>
            <w:r w:rsidRPr="00EF4C02">
              <w:rPr>
                <w:spacing w:val="-2"/>
              </w:rPr>
              <w:t>VH1</w:t>
            </w:r>
          </w:p>
        </w:tc>
        <w:tc>
          <w:tcPr>
            <w:tcW w:w="2243" w:type="dxa"/>
          </w:tcPr>
          <w:p w14:paraId="7742175A" w14:textId="77777777" w:rsidR="00B743E6" w:rsidRPr="00EF4C02" w:rsidRDefault="00B743E6" w:rsidP="00F42566">
            <w:pPr>
              <w:keepNext/>
              <w:widowControl/>
              <w:tabs>
                <w:tab w:val="left" w:pos="0"/>
              </w:tabs>
              <w:suppressAutoHyphens/>
              <w:spacing w:after="120"/>
              <w:rPr>
                <w:spacing w:val="-2"/>
              </w:rPr>
            </w:pPr>
            <w:r w:rsidRPr="00EF4C02">
              <w:rPr>
                <w:spacing w:val="-2"/>
              </w:rPr>
              <w:t>12</w:t>
            </w:r>
          </w:p>
        </w:tc>
        <w:tc>
          <w:tcPr>
            <w:tcW w:w="1255" w:type="dxa"/>
          </w:tcPr>
          <w:p w14:paraId="3D86D0A1" w14:textId="77777777" w:rsidR="00B743E6" w:rsidRPr="00EF4C02" w:rsidRDefault="00B743E6" w:rsidP="00F42566">
            <w:pPr>
              <w:keepNext/>
              <w:widowControl/>
              <w:tabs>
                <w:tab w:val="left" w:pos="0"/>
              </w:tabs>
              <w:suppressAutoHyphens/>
              <w:spacing w:after="120"/>
              <w:rPr>
                <w:spacing w:val="-2"/>
              </w:rPr>
            </w:pPr>
            <w:r w:rsidRPr="00EF4C02">
              <w:rPr>
                <w:spacing w:val="-2"/>
              </w:rPr>
              <w:t>Yes</w:t>
            </w:r>
          </w:p>
        </w:tc>
        <w:tc>
          <w:tcPr>
            <w:tcW w:w="1440" w:type="dxa"/>
          </w:tcPr>
          <w:p w14:paraId="77FE90EB" w14:textId="77777777" w:rsidR="00B743E6" w:rsidRPr="00EF4C02" w:rsidRDefault="00B743E6" w:rsidP="00F42566">
            <w:pPr>
              <w:keepNext/>
              <w:widowControl/>
              <w:tabs>
                <w:tab w:val="left" w:pos="0"/>
              </w:tabs>
              <w:suppressAutoHyphens/>
              <w:spacing w:after="120"/>
              <w:rPr>
                <w:spacing w:val="-2"/>
              </w:rPr>
            </w:pPr>
            <w:r w:rsidRPr="00EF4C02">
              <w:rPr>
                <w:spacing w:val="-2"/>
              </w:rPr>
              <w:t>24</w:t>
            </w:r>
          </w:p>
        </w:tc>
        <w:tc>
          <w:tcPr>
            <w:tcW w:w="2112" w:type="dxa"/>
          </w:tcPr>
          <w:p w14:paraId="7C0A7ECE" w14:textId="77777777" w:rsidR="00B743E6" w:rsidRPr="00EF4C02" w:rsidRDefault="00B743E6" w:rsidP="00F42566">
            <w:pPr>
              <w:keepNext/>
              <w:widowControl/>
              <w:tabs>
                <w:tab w:val="left" w:pos="0"/>
              </w:tabs>
              <w:suppressAutoHyphens/>
              <w:spacing w:after="120"/>
              <w:rPr>
                <w:spacing w:val="-2"/>
              </w:rPr>
            </w:pPr>
            <w:r>
              <w:rPr>
                <w:spacing w:val="-2"/>
              </w:rPr>
              <w:t>4</w:t>
            </w:r>
          </w:p>
        </w:tc>
      </w:tr>
      <w:tr w:rsidR="00B743E6" w:rsidRPr="00EF4C02" w14:paraId="79CFCE90" w14:textId="77777777">
        <w:trPr>
          <w:cantSplit/>
          <w:jc w:val="center"/>
        </w:trPr>
        <w:tc>
          <w:tcPr>
            <w:tcW w:w="2215" w:type="dxa"/>
            <w:shd w:val="clear" w:color="auto" w:fill="F2F2F2" w:themeFill="background1" w:themeFillShade="F2"/>
          </w:tcPr>
          <w:p w14:paraId="1FB4E0E7" w14:textId="77777777" w:rsidR="00B743E6" w:rsidRPr="00EF4C02" w:rsidRDefault="00B743E6" w:rsidP="00F42566">
            <w:pPr>
              <w:keepNext/>
              <w:widowControl/>
              <w:tabs>
                <w:tab w:val="left" w:pos="0"/>
              </w:tabs>
              <w:suppressAutoHyphens/>
              <w:spacing w:after="120"/>
              <w:rPr>
                <w:b/>
                <w:i/>
                <w:spacing w:val="-2"/>
              </w:rPr>
            </w:pPr>
            <w:r w:rsidRPr="00EF4C02">
              <w:rPr>
                <w:b/>
                <w:i/>
                <w:spacing w:val="-2"/>
              </w:rPr>
              <w:t>TOTAL</w:t>
            </w:r>
          </w:p>
        </w:tc>
        <w:tc>
          <w:tcPr>
            <w:tcW w:w="2243" w:type="dxa"/>
            <w:shd w:val="clear" w:color="auto" w:fill="F2F2F2" w:themeFill="background1" w:themeFillShade="F2"/>
          </w:tcPr>
          <w:p w14:paraId="7924C565" w14:textId="77777777" w:rsidR="00B743E6" w:rsidRPr="00EF4C02" w:rsidRDefault="00B743E6" w:rsidP="00F42566">
            <w:pPr>
              <w:keepNext/>
              <w:widowControl/>
              <w:tabs>
                <w:tab w:val="left" w:pos="0"/>
              </w:tabs>
              <w:suppressAutoHyphens/>
              <w:spacing w:after="120"/>
              <w:rPr>
                <w:b/>
                <w:i/>
                <w:spacing w:val="-2"/>
              </w:rPr>
            </w:pPr>
          </w:p>
        </w:tc>
        <w:tc>
          <w:tcPr>
            <w:tcW w:w="1255" w:type="dxa"/>
            <w:shd w:val="clear" w:color="auto" w:fill="F2F2F2" w:themeFill="background1" w:themeFillShade="F2"/>
          </w:tcPr>
          <w:p w14:paraId="12B5BED6" w14:textId="77777777" w:rsidR="00B743E6" w:rsidRPr="00EF4C02" w:rsidRDefault="00B743E6" w:rsidP="00F42566">
            <w:pPr>
              <w:keepNext/>
              <w:widowControl/>
              <w:tabs>
                <w:tab w:val="left" w:pos="0"/>
              </w:tabs>
              <w:suppressAutoHyphens/>
              <w:spacing w:after="120"/>
              <w:rPr>
                <w:b/>
                <w:i/>
                <w:spacing w:val="-2"/>
              </w:rPr>
            </w:pPr>
          </w:p>
        </w:tc>
        <w:tc>
          <w:tcPr>
            <w:tcW w:w="1440" w:type="dxa"/>
            <w:shd w:val="clear" w:color="auto" w:fill="F2F2F2" w:themeFill="background1" w:themeFillShade="F2"/>
          </w:tcPr>
          <w:p w14:paraId="6166D70E" w14:textId="77777777" w:rsidR="00B743E6" w:rsidRPr="00EF4C02" w:rsidRDefault="00B743E6" w:rsidP="00F42566">
            <w:pPr>
              <w:keepNext/>
              <w:widowControl/>
              <w:tabs>
                <w:tab w:val="left" w:pos="0"/>
              </w:tabs>
              <w:suppressAutoHyphens/>
              <w:spacing w:after="120"/>
              <w:rPr>
                <w:b/>
                <w:i/>
                <w:spacing w:val="-2"/>
              </w:rPr>
            </w:pPr>
            <w:r w:rsidRPr="00EF4C02">
              <w:rPr>
                <w:b/>
                <w:i/>
                <w:spacing w:val="-2"/>
              </w:rPr>
              <w:t>108</w:t>
            </w:r>
          </w:p>
        </w:tc>
        <w:tc>
          <w:tcPr>
            <w:tcW w:w="2112" w:type="dxa"/>
            <w:shd w:val="clear" w:color="auto" w:fill="F2F2F2" w:themeFill="background1" w:themeFillShade="F2"/>
          </w:tcPr>
          <w:p w14:paraId="41552095" w14:textId="77777777" w:rsidR="00B743E6" w:rsidRPr="00EF4C02" w:rsidRDefault="00B743E6" w:rsidP="00F42566">
            <w:pPr>
              <w:keepNext/>
              <w:widowControl/>
              <w:tabs>
                <w:tab w:val="left" w:pos="0"/>
              </w:tabs>
              <w:suppressAutoHyphens/>
              <w:spacing w:after="120"/>
              <w:rPr>
                <w:b/>
                <w:i/>
                <w:spacing w:val="-2"/>
              </w:rPr>
            </w:pPr>
          </w:p>
        </w:tc>
      </w:tr>
      <w:tr w:rsidR="00B743E6" w:rsidRPr="00EF4C02" w14:paraId="5B48ABDE" w14:textId="77777777">
        <w:trPr>
          <w:cantSplit/>
          <w:jc w:val="center"/>
        </w:trPr>
        <w:tc>
          <w:tcPr>
            <w:tcW w:w="9265" w:type="dxa"/>
            <w:gridSpan w:val="5"/>
            <w:shd w:val="clear" w:color="auto" w:fill="BFBFBF" w:themeFill="background1" w:themeFillShade="BF"/>
          </w:tcPr>
          <w:p w14:paraId="343473BB" w14:textId="77777777" w:rsidR="00B743E6" w:rsidRPr="00EF4C02" w:rsidRDefault="00B743E6" w:rsidP="00F42566">
            <w:pPr>
              <w:keepNext/>
              <w:widowControl/>
              <w:tabs>
                <w:tab w:val="left" w:pos="0"/>
              </w:tabs>
              <w:suppressAutoHyphens/>
              <w:spacing w:after="120"/>
              <w:jc w:val="center"/>
              <w:rPr>
                <w:b/>
                <w:spacing w:val="-2"/>
              </w:rPr>
            </w:pPr>
            <w:r w:rsidRPr="00EF4C02">
              <w:rPr>
                <w:b/>
                <w:spacing w:val="-2"/>
              </w:rPr>
              <w:t>NBCUNIVERSAL-OWNED NETWORKS</w:t>
            </w:r>
          </w:p>
        </w:tc>
      </w:tr>
      <w:tr w:rsidR="00B743E6" w:rsidRPr="00EF4C02" w14:paraId="3BD01C08" w14:textId="77777777">
        <w:trPr>
          <w:cantSplit/>
          <w:jc w:val="center"/>
        </w:trPr>
        <w:tc>
          <w:tcPr>
            <w:tcW w:w="2215" w:type="dxa"/>
            <w:shd w:val="clear" w:color="auto" w:fill="auto"/>
          </w:tcPr>
          <w:p w14:paraId="0DF642D0" w14:textId="77777777" w:rsidR="00B743E6" w:rsidRPr="00EF4C02" w:rsidRDefault="00B743E6" w:rsidP="00F42566">
            <w:pPr>
              <w:keepNext/>
              <w:widowControl/>
              <w:tabs>
                <w:tab w:val="left" w:pos="0"/>
              </w:tabs>
              <w:suppressAutoHyphens/>
              <w:spacing w:after="120"/>
              <w:rPr>
                <w:spacing w:val="-2"/>
              </w:rPr>
            </w:pPr>
            <w:r w:rsidRPr="00EF4C02">
              <w:rPr>
                <w:spacing w:val="-2"/>
              </w:rPr>
              <w:t>SyFy</w:t>
            </w:r>
          </w:p>
        </w:tc>
        <w:tc>
          <w:tcPr>
            <w:tcW w:w="2243" w:type="dxa"/>
            <w:shd w:val="clear" w:color="auto" w:fill="auto"/>
          </w:tcPr>
          <w:p w14:paraId="3B6DCCE7" w14:textId="77777777" w:rsidR="00B743E6" w:rsidRPr="00EF4C02" w:rsidRDefault="00B743E6" w:rsidP="00F42566">
            <w:pPr>
              <w:keepNext/>
              <w:widowControl/>
              <w:tabs>
                <w:tab w:val="left" w:pos="0"/>
              </w:tabs>
              <w:suppressAutoHyphens/>
              <w:spacing w:after="120"/>
              <w:rPr>
                <w:spacing w:val="-2"/>
              </w:rPr>
            </w:pPr>
            <w:r w:rsidRPr="00EF4C02">
              <w:rPr>
                <w:spacing w:val="-2"/>
              </w:rPr>
              <w:t>4</w:t>
            </w:r>
          </w:p>
        </w:tc>
        <w:tc>
          <w:tcPr>
            <w:tcW w:w="1255" w:type="dxa"/>
            <w:shd w:val="clear" w:color="auto" w:fill="auto"/>
          </w:tcPr>
          <w:p w14:paraId="7E5A7B41" w14:textId="77777777" w:rsidR="00B743E6" w:rsidRPr="00EF4C02" w:rsidRDefault="00B743E6" w:rsidP="00F42566">
            <w:pPr>
              <w:keepNext/>
              <w:widowControl/>
              <w:tabs>
                <w:tab w:val="left" w:pos="0"/>
              </w:tabs>
              <w:suppressAutoHyphens/>
              <w:spacing w:after="120"/>
              <w:rPr>
                <w:spacing w:val="-2"/>
              </w:rPr>
            </w:pPr>
            <w:r w:rsidRPr="00EF4C02">
              <w:rPr>
                <w:spacing w:val="-2"/>
              </w:rPr>
              <w:t>Yes</w:t>
            </w:r>
          </w:p>
        </w:tc>
        <w:tc>
          <w:tcPr>
            <w:tcW w:w="1440" w:type="dxa"/>
            <w:shd w:val="clear" w:color="auto" w:fill="auto"/>
          </w:tcPr>
          <w:p w14:paraId="7037556F" w14:textId="77777777" w:rsidR="00B743E6" w:rsidRPr="00EF4C02" w:rsidRDefault="00B743E6" w:rsidP="00F42566">
            <w:pPr>
              <w:keepNext/>
              <w:widowControl/>
              <w:tabs>
                <w:tab w:val="left" w:pos="0"/>
              </w:tabs>
              <w:suppressAutoHyphens/>
              <w:spacing w:after="120"/>
              <w:rPr>
                <w:spacing w:val="-2"/>
              </w:rPr>
            </w:pPr>
            <w:r>
              <w:rPr>
                <w:spacing w:val="-2"/>
              </w:rPr>
              <w:t>8</w:t>
            </w:r>
          </w:p>
        </w:tc>
        <w:tc>
          <w:tcPr>
            <w:tcW w:w="2112" w:type="dxa"/>
            <w:shd w:val="clear" w:color="auto" w:fill="auto"/>
          </w:tcPr>
          <w:p w14:paraId="15D58806" w14:textId="77777777" w:rsidR="00B743E6" w:rsidRPr="00EF4C02" w:rsidRDefault="00B743E6" w:rsidP="00F42566">
            <w:pPr>
              <w:keepNext/>
              <w:widowControl/>
              <w:tabs>
                <w:tab w:val="left" w:pos="0"/>
              </w:tabs>
              <w:suppressAutoHyphens/>
              <w:spacing w:after="120"/>
              <w:rPr>
                <w:spacing w:val="-2"/>
              </w:rPr>
            </w:pPr>
            <w:r>
              <w:rPr>
                <w:spacing w:val="-2"/>
              </w:rPr>
              <w:t>3</w:t>
            </w:r>
          </w:p>
        </w:tc>
      </w:tr>
      <w:tr w:rsidR="00B743E6" w:rsidRPr="00EF4C02" w14:paraId="00BE6052" w14:textId="77777777">
        <w:trPr>
          <w:cantSplit/>
          <w:jc w:val="center"/>
        </w:trPr>
        <w:tc>
          <w:tcPr>
            <w:tcW w:w="2215" w:type="dxa"/>
            <w:shd w:val="clear" w:color="auto" w:fill="auto"/>
          </w:tcPr>
          <w:p w14:paraId="39D02E2E" w14:textId="77777777" w:rsidR="00B743E6" w:rsidRPr="00EF4C02" w:rsidRDefault="00B743E6" w:rsidP="00F42566">
            <w:pPr>
              <w:keepNext/>
              <w:widowControl/>
              <w:tabs>
                <w:tab w:val="left" w:pos="0"/>
              </w:tabs>
              <w:suppressAutoHyphens/>
              <w:spacing w:after="120"/>
              <w:rPr>
                <w:spacing w:val="-2"/>
              </w:rPr>
            </w:pPr>
            <w:r w:rsidRPr="00EF4C02">
              <w:rPr>
                <w:spacing w:val="-2"/>
              </w:rPr>
              <w:t>USA</w:t>
            </w:r>
          </w:p>
        </w:tc>
        <w:tc>
          <w:tcPr>
            <w:tcW w:w="2243" w:type="dxa"/>
            <w:shd w:val="clear" w:color="auto" w:fill="auto"/>
          </w:tcPr>
          <w:p w14:paraId="02887B4C" w14:textId="77777777" w:rsidR="00B743E6" w:rsidRPr="00EF4C02" w:rsidRDefault="00B743E6" w:rsidP="00F42566">
            <w:pPr>
              <w:keepNext/>
              <w:widowControl/>
              <w:tabs>
                <w:tab w:val="left" w:pos="0"/>
              </w:tabs>
              <w:suppressAutoHyphens/>
              <w:spacing w:after="120"/>
              <w:rPr>
                <w:spacing w:val="-2"/>
              </w:rPr>
            </w:pPr>
            <w:r w:rsidRPr="00EF4C02">
              <w:rPr>
                <w:spacing w:val="-2"/>
              </w:rPr>
              <w:t>1</w:t>
            </w:r>
          </w:p>
        </w:tc>
        <w:tc>
          <w:tcPr>
            <w:tcW w:w="1255" w:type="dxa"/>
            <w:shd w:val="clear" w:color="auto" w:fill="auto"/>
          </w:tcPr>
          <w:p w14:paraId="48EECB41" w14:textId="77777777" w:rsidR="00B743E6" w:rsidRPr="00EF4C02" w:rsidRDefault="00B743E6" w:rsidP="00F42566">
            <w:pPr>
              <w:keepNext/>
              <w:widowControl/>
              <w:tabs>
                <w:tab w:val="left" w:pos="0"/>
              </w:tabs>
              <w:suppressAutoHyphens/>
              <w:spacing w:after="120"/>
              <w:rPr>
                <w:spacing w:val="-2"/>
              </w:rPr>
            </w:pPr>
            <w:r w:rsidRPr="00EF4C02">
              <w:rPr>
                <w:spacing w:val="-2"/>
              </w:rPr>
              <w:t>Yes</w:t>
            </w:r>
          </w:p>
        </w:tc>
        <w:tc>
          <w:tcPr>
            <w:tcW w:w="1440" w:type="dxa"/>
            <w:shd w:val="clear" w:color="auto" w:fill="auto"/>
          </w:tcPr>
          <w:p w14:paraId="0BF862BF" w14:textId="77777777" w:rsidR="00B743E6" w:rsidRPr="00EF4C02" w:rsidRDefault="00B743E6" w:rsidP="00F42566">
            <w:pPr>
              <w:keepNext/>
              <w:widowControl/>
              <w:tabs>
                <w:tab w:val="left" w:pos="0"/>
              </w:tabs>
              <w:suppressAutoHyphens/>
              <w:spacing w:after="120"/>
              <w:rPr>
                <w:spacing w:val="-2"/>
              </w:rPr>
            </w:pPr>
            <w:r>
              <w:rPr>
                <w:spacing w:val="-2"/>
              </w:rPr>
              <w:t>2</w:t>
            </w:r>
          </w:p>
        </w:tc>
        <w:tc>
          <w:tcPr>
            <w:tcW w:w="2112" w:type="dxa"/>
            <w:shd w:val="clear" w:color="auto" w:fill="auto"/>
          </w:tcPr>
          <w:p w14:paraId="52F0F39B" w14:textId="77777777" w:rsidR="00B743E6" w:rsidRPr="00EF4C02" w:rsidRDefault="00B743E6" w:rsidP="00F42566">
            <w:pPr>
              <w:keepNext/>
              <w:widowControl/>
              <w:tabs>
                <w:tab w:val="left" w:pos="0"/>
              </w:tabs>
              <w:suppressAutoHyphens/>
              <w:spacing w:after="120"/>
              <w:rPr>
                <w:spacing w:val="-2"/>
              </w:rPr>
            </w:pPr>
            <w:r>
              <w:rPr>
                <w:spacing w:val="-2"/>
              </w:rPr>
              <w:t>1</w:t>
            </w:r>
          </w:p>
        </w:tc>
      </w:tr>
      <w:tr w:rsidR="00B743E6" w:rsidRPr="00EF4C02" w14:paraId="177A4F94" w14:textId="77777777">
        <w:trPr>
          <w:cantSplit/>
          <w:jc w:val="center"/>
        </w:trPr>
        <w:tc>
          <w:tcPr>
            <w:tcW w:w="2215" w:type="dxa"/>
            <w:shd w:val="clear" w:color="auto" w:fill="auto"/>
          </w:tcPr>
          <w:p w14:paraId="2281E98E" w14:textId="77777777" w:rsidR="00B743E6" w:rsidRPr="00EF4C02" w:rsidRDefault="00B743E6" w:rsidP="00F42566">
            <w:pPr>
              <w:keepNext/>
              <w:widowControl/>
              <w:tabs>
                <w:tab w:val="left" w:pos="0"/>
              </w:tabs>
              <w:suppressAutoHyphens/>
              <w:spacing w:after="120"/>
              <w:rPr>
                <w:spacing w:val="-2"/>
              </w:rPr>
            </w:pPr>
            <w:r w:rsidRPr="00EF4C02">
              <w:rPr>
                <w:spacing w:val="-2"/>
              </w:rPr>
              <w:t>RSN Bay Area</w:t>
            </w:r>
          </w:p>
        </w:tc>
        <w:tc>
          <w:tcPr>
            <w:tcW w:w="2243" w:type="dxa"/>
            <w:shd w:val="clear" w:color="auto" w:fill="auto"/>
          </w:tcPr>
          <w:p w14:paraId="6CE9B62A" w14:textId="77777777" w:rsidR="00B743E6" w:rsidRPr="00EF4C02" w:rsidRDefault="00B743E6" w:rsidP="00F42566">
            <w:pPr>
              <w:keepNext/>
              <w:widowControl/>
              <w:tabs>
                <w:tab w:val="left" w:pos="0"/>
              </w:tabs>
              <w:suppressAutoHyphens/>
              <w:spacing w:after="120"/>
              <w:rPr>
                <w:spacing w:val="-2"/>
              </w:rPr>
            </w:pPr>
            <w:r w:rsidRPr="00EF4C02">
              <w:rPr>
                <w:spacing w:val="-2"/>
              </w:rPr>
              <w:t>3</w:t>
            </w:r>
          </w:p>
        </w:tc>
        <w:tc>
          <w:tcPr>
            <w:tcW w:w="1255" w:type="dxa"/>
            <w:shd w:val="clear" w:color="auto" w:fill="auto"/>
          </w:tcPr>
          <w:p w14:paraId="5CFE5CD5" w14:textId="77777777" w:rsidR="00B743E6" w:rsidRPr="00EF4C02" w:rsidRDefault="00B743E6" w:rsidP="00F42566">
            <w:pPr>
              <w:keepNext/>
              <w:widowControl/>
              <w:tabs>
                <w:tab w:val="left" w:pos="0"/>
              </w:tabs>
              <w:suppressAutoHyphens/>
              <w:spacing w:after="120"/>
              <w:rPr>
                <w:spacing w:val="-2"/>
              </w:rPr>
            </w:pPr>
            <w:r w:rsidRPr="00EF4C02">
              <w:rPr>
                <w:spacing w:val="-2"/>
              </w:rPr>
              <w:t>No</w:t>
            </w:r>
          </w:p>
        </w:tc>
        <w:tc>
          <w:tcPr>
            <w:tcW w:w="1440" w:type="dxa"/>
            <w:shd w:val="clear" w:color="auto" w:fill="auto"/>
          </w:tcPr>
          <w:p w14:paraId="253C4B72" w14:textId="77777777" w:rsidR="00B743E6" w:rsidRPr="00EF4C02" w:rsidRDefault="00B743E6" w:rsidP="00F42566">
            <w:pPr>
              <w:keepNext/>
              <w:widowControl/>
              <w:tabs>
                <w:tab w:val="left" w:pos="0"/>
              </w:tabs>
              <w:suppressAutoHyphens/>
              <w:spacing w:after="120"/>
              <w:rPr>
                <w:spacing w:val="-2"/>
              </w:rPr>
            </w:pPr>
            <w:r>
              <w:rPr>
                <w:spacing w:val="-2"/>
              </w:rPr>
              <w:t>3</w:t>
            </w:r>
          </w:p>
        </w:tc>
        <w:tc>
          <w:tcPr>
            <w:tcW w:w="2112" w:type="dxa"/>
            <w:shd w:val="clear" w:color="auto" w:fill="auto"/>
          </w:tcPr>
          <w:p w14:paraId="152715C1" w14:textId="77777777" w:rsidR="00B743E6" w:rsidRPr="00EF4C02" w:rsidRDefault="00B743E6" w:rsidP="00F42566">
            <w:pPr>
              <w:keepNext/>
              <w:widowControl/>
              <w:tabs>
                <w:tab w:val="left" w:pos="0"/>
              </w:tabs>
              <w:suppressAutoHyphens/>
              <w:spacing w:after="120"/>
              <w:rPr>
                <w:spacing w:val="-2"/>
              </w:rPr>
            </w:pPr>
            <w:r>
              <w:rPr>
                <w:spacing w:val="-2"/>
              </w:rPr>
              <w:t>3</w:t>
            </w:r>
          </w:p>
        </w:tc>
      </w:tr>
      <w:tr w:rsidR="00B743E6" w:rsidRPr="00EF4C02" w14:paraId="55E725E2" w14:textId="77777777">
        <w:trPr>
          <w:cantSplit/>
          <w:jc w:val="center"/>
        </w:trPr>
        <w:tc>
          <w:tcPr>
            <w:tcW w:w="2215" w:type="dxa"/>
            <w:shd w:val="clear" w:color="auto" w:fill="auto"/>
          </w:tcPr>
          <w:p w14:paraId="4A4B98A9" w14:textId="77777777" w:rsidR="00B743E6" w:rsidRPr="00EF4C02" w:rsidRDefault="00B743E6" w:rsidP="00F42566">
            <w:pPr>
              <w:keepNext/>
              <w:widowControl/>
              <w:tabs>
                <w:tab w:val="left" w:pos="0"/>
              </w:tabs>
              <w:suppressAutoHyphens/>
              <w:spacing w:after="120"/>
              <w:rPr>
                <w:spacing w:val="-2"/>
              </w:rPr>
            </w:pPr>
            <w:r w:rsidRPr="00EF4C02">
              <w:rPr>
                <w:spacing w:val="-2"/>
              </w:rPr>
              <w:t>RSN California</w:t>
            </w:r>
          </w:p>
        </w:tc>
        <w:tc>
          <w:tcPr>
            <w:tcW w:w="2243" w:type="dxa"/>
            <w:shd w:val="clear" w:color="auto" w:fill="auto"/>
          </w:tcPr>
          <w:p w14:paraId="512C7890" w14:textId="77777777" w:rsidR="00B743E6" w:rsidRPr="00EF4C02" w:rsidRDefault="00B743E6" w:rsidP="00F42566">
            <w:pPr>
              <w:keepNext/>
              <w:widowControl/>
              <w:tabs>
                <w:tab w:val="left" w:pos="0"/>
              </w:tabs>
              <w:suppressAutoHyphens/>
              <w:spacing w:after="120"/>
              <w:rPr>
                <w:spacing w:val="-2"/>
              </w:rPr>
            </w:pPr>
            <w:r w:rsidRPr="00EF4C02">
              <w:rPr>
                <w:spacing w:val="-2"/>
              </w:rPr>
              <w:t>21</w:t>
            </w:r>
          </w:p>
        </w:tc>
        <w:tc>
          <w:tcPr>
            <w:tcW w:w="1255" w:type="dxa"/>
            <w:shd w:val="clear" w:color="auto" w:fill="auto"/>
          </w:tcPr>
          <w:p w14:paraId="321A1F1B" w14:textId="77777777" w:rsidR="00B743E6" w:rsidRPr="00EF4C02" w:rsidRDefault="00B743E6" w:rsidP="00F42566">
            <w:pPr>
              <w:keepNext/>
              <w:widowControl/>
              <w:tabs>
                <w:tab w:val="left" w:pos="0"/>
              </w:tabs>
              <w:suppressAutoHyphens/>
              <w:spacing w:after="120"/>
              <w:rPr>
                <w:spacing w:val="-2"/>
              </w:rPr>
            </w:pPr>
            <w:r w:rsidRPr="00EF4C02">
              <w:rPr>
                <w:spacing w:val="-2"/>
              </w:rPr>
              <w:t>No</w:t>
            </w:r>
          </w:p>
        </w:tc>
        <w:tc>
          <w:tcPr>
            <w:tcW w:w="1440" w:type="dxa"/>
            <w:shd w:val="clear" w:color="auto" w:fill="auto"/>
          </w:tcPr>
          <w:p w14:paraId="2F280CC7" w14:textId="77777777" w:rsidR="00B743E6" w:rsidRPr="00EF4C02" w:rsidRDefault="00B743E6" w:rsidP="00F42566">
            <w:pPr>
              <w:keepNext/>
              <w:widowControl/>
              <w:tabs>
                <w:tab w:val="left" w:pos="0"/>
              </w:tabs>
              <w:suppressAutoHyphens/>
              <w:spacing w:after="120"/>
              <w:rPr>
                <w:spacing w:val="-2"/>
              </w:rPr>
            </w:pPr>
            <w:r>
              <w:rPr>
                <w:spacing w:val="-2"/>
              </w:rPr>
              <w:t>21</w:t>
            </w:r>
          </w:p>
        </w:tc>
        <w:tc>
          <w:tcPr>
            <w:tcW w:w="2112" w:type="dxa"/>
            <w:shd w:val="clear" w:color="auto" w:fill="auto"/>
          </w:tcPr>
          <w:p w14:paraId="2E7EEA16" w14:textId="77777777" w:rsidR="00B743E6" w:rsidRPr="00EF4C02" w:rsidRDefault="00B743E6" w:rsidP="00F42566">
            <w:pPr>
              <w:keepNext/>
              <w:widowControl/>
              <w:tabs>
                <w:tab w:val="left" w:pos="0"/>
              </w:tabs>
              <w:suppressAutoHyphens/>
              <w:spacing w:after="120"/>
              <w:rPr>
                <w:spacing w:val="-2"/>
              </w:rPr>
            </w:pPr>
            <w:r>
              <w:rPr>
                <w:spacing w:val="-2"/>
              </w:rPr>
              <w:t>4</w:t>
            </w:r>
          </w:p>
        </w:tc>
      </w:tr>
      <w:tr w:rsidR="00B743E6" w:rsidRPr="00EF4C02" w14:paraId="4D507808" w14:textId="77777777">
        <w:trPr>
          <w:cantSplit/>
          <w:jc w:val="center"/>
        </w:trPr>
        <w:tc>
          <w:tcPr>
            <w:tcW w:w="2215" w:type="dxa"/>
            <w:shd w:val="clear" w:color="auto" w:fill="auto"/>
          </w:tcPr>
          <w:p w14:paraId="1FA52B6A" w14:textId="77777777" w:rsidR="00B743E6" w:rsidRPr="00EF4C02" w:rsidRDefault="00B743E6" w:rsidP="00F42566">
            <w:pPr>
              <w:keepNext/>
              <w:widowControl/>
              <w:tabs>
                <w:tab w:val="left" w:pos="0"/>
              </w:tabs>
              <w:suppressAutoHyphens/>
              <w:spacing w:after="120"/>
              <w:rPr>
                <w:spacing w:val="-2"/>
              </w:rPr>
            </w:pPr>
            <w:r w:rsidRPr="00EF4C02">
              <w:rPr>
                <w:spacing w:val="-2"/>
              </w:rPr>
              <w:t>RSN Houston</w:t>
            </w:r>
          </w:p>
        </w:tc>
        <w:tc>
          <w:tcPr>
            <w:tcW w:w="2243" w:type="dxa"/>
            <w:shd w:val="clear" w:color="auto" w:fill="auto"/>
          </w:tcPr>
          <w:p w14:paraId="1E7F52F5" w14:textId="77777777" w:rsidR="00B743E6" w:rsidRPr="00EF4C02" w:rsidRDefault="00B743E6" w:rsidP="00F42566">
            <w:pPr>
              <w:keepNext/>
              <w:widowControl/>
              <w:tabs>
                <w:tab w:val="left" w:pos="0"/>
              </w:tabs>
              <w:suppressAutoHyphens/>
              <w:spacing w:after="120"/>
              <w:rPr>
                <w:spacing w:val="-2"/>
              </w:rPr>
            </w:pPr>
            <w:r w:rsidRPr="00EF4C02">
              <w:rPr>
                <w:spacing w:val="-2"/>
              </w:rPr>
              <w:t>1</w:t>
            </w:r>
          </w:p>
        </w:tc>
        <w:tc>
          <w:tcPr>
            <w:tcW w:w="1255" w:type="dxa"/>
            <w:shd w:val="clear" w:color="auto" w:fill="auto"/>
          </w:tcPr>
          <w:p w14:paraId="159E457E" w14:textId="77777777" w:rsidR="00B743E6" w:rsidRPr="00EF4C02" w:rsidRDefault="00B743E6" w:rsidP="00F42566">
            <w:pPr>
              <w:keepNext/>
              <w:widowControl/>
              <w:tabs>
                <w:tab w:val="left" w:pos="0"/>
              </w:tabs>
              <w:suppressAutoHyphens/>
              <w:spacing w:after="120"/>
              <w:rPr>
                <w:spacing w:val="-2"/>
              </w:rPr>
            </w:pPr>
            <w:r w:rsidRPr="00EF4C02">
              <w:rPr>
                <w:spacing w:val="-2"/>
              </w:rPr>
              <w:t>No</w:t>
            </w:r>
          </w:p>
        </w:tc>
        <w:tc>
          <w:tcPr>
            <w:tcW w:w="1440" w:type="dxa"/>
            <w:shd w:val="clear" w:color="auto" w:fill="auto"/>
          </w:tcPr>
          <w:p w14:paraId="73DCA6FF" w14:textId="77777777" w:rsidR="00B743E6" w:rsidRPr="00EF4C02" w:rsidRDefault="00B743E6" w:rsidP="00F42566">
            <w:pPr>
              <w:keepNext/>
              <w:widowControl/>
              <w:tabs>
                <w:tab w:val="left" w:pos="0"/>
              </w:tabs>
              <w:suppressAutoHyphens/>
              <w:spacing w:after="120"/>
              <w:rPr>
                <w:spacing w:val="-2"/>
              </w:rPr>
            </w:pPr>
            <w:r>
              <w:rPr>
                <w:spacing w:val="-2"/>
              </w:rPr>
              <w:t>1</w:t>
            </w:r>
          </w:p>
        </w:tc>
        <w:tc>
          <w:tcPr>
            <w:tcW w:w="2112" w:type="dxa"/>
            <w:shd w:val="clear" w:color="auto" w:fill="auto"/>
          </w:tcPr>
          <w:p w14:paraId="72FF75A0" w14:textId="77777777" w:rsidR="00B743E6" w:rsidRPr="00EF4C02" w:rsidRDefault="00B743E6" w:rsidP="00F42566">
            <w:pPr>
              <w:keepNext/>
              <w:widowControl/>
              <w:tabs>
                <w:tab w:val="left" w:pos="0"/>
              </w:tabs>
              <w:suppressAutoHyphens/>
              <w:spacing w:after="120"/>
              <w:rPr>
                <w:spacing w:val="-2"/>
              </w:rPr>
            </w:pPr>
            <w:r>
              <w:rPr>
                <w:spacing w:val="-2"/>
              </w:rPr>
              <w:t>1</w:t>
            </w:r>
          </w:p>
        </w:tc>
      </w:tr>
      <w:tr w:rsidR="00B743E6" w:rsidRPr="00EF4C02" w14:paraId="405C8FA2" w14:textId="77777777">
        <w:trPr>
          <w:cantSplit/>
          <w:jc w:val="center"/>
        </w:trPr>
        <w:tc>
          <w:tcPr>
            <w:tcW w:w="2215" w:type="dxa"/>
            <w:shd w:val="clear" w:color="auto" w:fill="auto"/>
          </w:tcPr>
          <w:p w14:paraId="23199CF4" w14:textId="77777777" w:rsidR="00B743E6" w:rsidRPr="00EF4C02" w:rsidRDefault="00B743E6" w:rsidP="00F42566">
            <w:pPr>
              <w:keepNext/>
              <w:widowControl/>
              <w:tabs>
                <w:tab w:val="left" w:pos="0"/>
              </w:tabs>
              <w:suppressAutoHyphens/>
              <w:spacing w:after="120"/>
              <w:rPr>
                <w:spacing w:val="-2"/>
              </w:rPr>
            </w:pPr>
            <w:r w:rsidRPr="00EF4C02">
              <w:rPr>
                <w:spacing w:val="-2"/>
              </w:rPr>
              <w:t>RSN New England</w:t>
            </w:r>
          </w:p>
        </w:tc>
        <w:tc>
          <w:tcPr>
            <w:tcW w:w="2243" w:type="dxa"/>
            <w:shd w:val="clear" w:color="auto" w:fill="auto"/>
          </w:tcPr>
          <w:p w14:paraId="28A71283" w14:textId="77777777" w:rsidR="00B743E6" w:rsidRPr="00EF4C02" w:rsidRDefault="00B743E6" w:rsidP="00F42566">
            <w:pPr>
              <w:keepNext/>
              <w:widowControl/>
              <w:tabs>
                <w:tab w:val="left" w:pos="0"/>
              </w:tabs>
              <w:suppressAutoHyphens/>
              <w:spacing w:after="120"/>
              <w:rPr>
                <w:spacing w:val="-2"/>
              </w:rPr>
            </w:pPr>
            <w:r w:rsidRPr="00EF4C02">
              <w:rPr>
                <w:spacing w:val="-2"/>
              </w:rPr>
              <w:t>1</w:t>
            </w:r>
          </w:p>
        </w:tc>
        <w:tc>
          <w:tcPr>
            <w:tcW w:w="1255" w:type="dxa"/>
            <w:shd w:val="clear" w:color="auto" w:fill="auto"/>
          </w:tcPr>
          <w:p w14:paraId="2C7DE536" w14:textId="77777777" w:rsidR="00B743E6" w:rsidRPr="00EF4C02" w:rsidRDefault="00B743E6" w:rsidP="00F42566">
            <w:pPr>
              <w:keepNext/>
              <w:widowControl/>
              <w:tabs>
                <w:tab w:val="left" w:pos="0"/>
              </w:tabs>
              <w:suppressAutoHyphens/>
              <w:spacing w:after="120"/>
              <w:rPr>
                <w:spacing w:val="-2"/>
              </w:rPr>
            </w:pPr>
            <w:r w:rsidRPr="00EF4C02">
              <w:rPr>
                <w:spacing w:val="-2"/>
              </w:rPr>
              <w:t>No</w:t>
            </w:r>
          </w:p>
        </w:tc>
        <w:tc>
          <w:tcPr>
            <w:tcW w:w="1440" w:type="dxa"/>
            <w:shd w:val="clear" w:color="auto" w:fill="auto"/>
          </w:tcPr>
          <w:p w14:paraId="74CF163D" w14:textId="77777777" w:rsidR="00B743E6" w:rsidRPr="00EF4C02" w:rsidRDefault="00B743E6" w:rsidP="00F42566">
            <w:pPr>
              <w:keepNext/>
              <w:widowControl/>
              <w:tabs>
                <w:tab w:val="left" w:pos="0"/>
              </w:tabs>
              <w:suppressAutoHyphens/>
              <w:spacing w:after="120"/>
              <w:rPr>
                <w:spacing w:val="-2"/>
              </w:rPr>
            </w:pPr>
            <w:r>
              <w:rPr>
                <w:spacing w:val="-2"/>
              </w:rPr>
              <w:t>1</w:t>
            </w:r>
          </w:p>
        </w:tc>
        <w:tc>
          <w:tcPr>
            <w:tcW w:w="2112" w:type="dxa"/>
            <w:shd w:val="clear" w:color="auto" w:fill="auto"/>
          </w:tcPr>
          <w:p w14:paraId="47952941" w14:textId="77777777" w:rsidR="00B743E6" w:rsidRPr="00EF4C02" w:rsidRDefault="00B743E6" w:rsidP="00F42566">
            <w:pPr>
              <w:keepNext/>
              <w:widowControl/>
              <w:tabs>
                <w:tab w:val="left" w:pos="0"/>
              </w:tabs>
              <w:suppressAutoHyphens/>
              <w:spacing w:after="120"/>
              <w:rPr>
                <w:spacing w:val="-2"/>
              </w:rPr>
            </w:pPr>
            <w:r>
              <w:rPr>
                <w:spacing w:val="-2"/>
              </w:rPr>
              <w:t>1</w:t>
            </w:r>
          </w:p>
        </w:tc>
      </w:tr>
      <w:tr w:rsidR="00B743E6" w:rsidRPr="00EF4C02" w14:paraId="46FD971D" w14:textId="77777777">
        <w:trPr>
          <w:cantSplit/>
          <w:jc w:val="center"/>
        </w:trPr>
        <w:tc>
          <w:tcPr>
            <w:tcW w:w="2215" w:type="dxa"/>
            <w:shd w:val="clear" w:color="auto" w:fill="auto"/>
          </w:tcPr>
          <w:p w14:paraId="39FF1EB5" w14:textId="77777777" w:rsidR="00B743E6" w:rsidRPr="00EF4C02" w:rsidRDefault="00B743E6" w:rsidP="00F42566">
            <w:pPr>
              <w:keepNext/>
              <w:widowControl/>
              <w:tabs>
                <w:tab w:val="left" w:pos="0"/>
              </w:tabs>
              <w:suppressAutoHyphens/>
              <w:spacing w:after="120"/>
              <w:rPr>
                <w:spacing w:val="-2"/>
              </w:rPr>
            </w:pPr>
            <w:r w:rsidRPr="00EF4C02">
              <w:rPr>
                <w:spacing w:val="-2"/>
              </w:rPr>
              <w:t>RSN Mid Atlantic</w:t>
            </w:r>
          </w:p>
        </w:tc>
        <w:tc>
          <w:tcPr>
            <w:tcW w:w="2243" w:type="dxa"/>
            <w:shd w:val="clear" w:color="auto" w:fill="auto"/>
          </w:tcPr>
          <w:p w14:paraId="0B49CBF7" w14:textId="77777777" w:rsidR="00B743E6" w:rsidRPr="00EF4C02" w:rsidRDefault="00B743E6" w:rsidP="00F42566">
            <w:pPr>
              <w:keepNext/>
              <w:widowControl/>
              <w:tabs>
                <w:tab w:val="left" w:pos="0"/>
              </w:tabs>
              <w:suppressAutoHyphens/>
              <w:spacing w:after="120"/>
              <w:rPr>
                <w:spacing w:val="-2"/>
              </w:rPr>
            </w:pPr>
            <w:r w:rsidRPr="00EF4C02">
              <w:rPr>
                <w:spacing w:val="-2"/>
              </w:rPr>
              <w:t>2</w:t>
            </w:r>
          </w:p>
        </w:tc>
        <w:tc>
          <w:tcPr>
            <w:tcW w:w="1255" w:type="dxa"/>
            <w:shd w:val="clear" w:color="auto" w:fill="auto"/>
          </w:tcPr>
          <w:p w14:paraId="29227DC7" w14:textId="77777777" w:rsidR="00B743E6" w:rsidRPr="00EF4C02" w:rsidRDefault="00B743E6" w:rsidP="00F42566">
            <w:pPr>
              <w:keepNext/>
              <w:widowControl/>
              <w:tabs>
                <w:tab w:val="left" w:pos="0"/>
              </w:tabs>
              <w:suppressAutoHyphens/>
              <w:spacing w:after="120"/>
              <w:rPr>
                <w:spacing w:val="-2"/>
              </w:rPr>
            </w:pPr>
            <w:r w:rsidRPr="00EF4C02">
              <w:rPr>
                <w:spacing w:val="-2"/>
              </w:rPr>
              <w:t>No</w:t>
            </w:r>
          </w:p>
        </w:tc>
        <w:tc>
          <w:tcPr>
            <w:tcW w:w="1440" w:type="dxa"/>
            <w:shd w:val="clear" w:color="auto" w:fill="auto"/>
          </w:tcPr>
          <w:p w14:paraId="2B3FF3DE" w14:textId="77777777" w:rsidR="00B743E6" w:rsidRPr="00EF4C02" w:rsidRDefault="00B743E6" w:rsidP="00F42566">
            <w:pPr>
              <w:keepNext/>
              <w:widowControl/>
              <w:tabs>
                <w:tab w:val="left" w:pos="0"/>
              </w:tabs>
              <w:suppressAutoHyphens/>
              <w:spacing w:after="120"/>
              <w:rPr>
                <w:spacing w:val="-2"/>
              </w:rPr>
            </w:pPr>
            <w:r>
              <w:rPr>
                <w:spacing w:val="-2"/>
              </w:rPr>
              <w:t>2</w:t>
            </w:r>
          </w:p>
        </w:tc>
        <w:tc>
          <w:tcPr>
            <w:tcW w:w="2112" w:type="dxa"/>
            <w:shd w:val="clear" w:color="auto" w:fill="auto"/>
          </w:tcPr>
          <w:p w14:paraId="4F7B4472" w14:textId="77777777" w:rsidR="00B743E6" w:rsidRPr="00EF4C02" w:rsidRDefault="00B743E6" w:rsidP="00F42566">
            <w:pPr>
              <w:keepNext/>
              <w:widowControl/>
              <w:tabs>
                <w:tab w:val="left" w:pos="0"/>
              </w:tabs>
              <w:suppressAutoHyphens/>
              <w:spacing w:after="120"/>
              <w:rPr>
                <w:spacing w:val="-2"/>
              </w:rPr>
            </w:pPr>
            <w:r>
              <w:rPr>
                <w:spacing w:val="-2"/>
              </w:rPr>
              <w:t>1</w:t>
            </w:r>
          </w:p>
        </w:tc>
      </w:tr>
      <w:tr w:rsidR="00B743E6" w:rsidRPr="00EF4C02" w14:paraId="68E03092" w14:textId="77777777">
        <w:trPr>
          <w:cantSplit/>
          <w:jc w:val="center"/>
        </w:trPr>
        <w:tc>
          <w:tcPr>
            <w:tcW w:w="2215" w:type="dxa"/>
            <w:shd w:val="clear" w:color="auto" w:fill="F2F2F2" w:themeFill="background1" w:themeFillShade="F2"/>
          </w:tcPr>
          <w:p w14:paraId="099B1B3D" w14:textId="77777777" w:rsidR="00B743E6" w:rsidRPr="00EF4C02" w:rsidRDefault="00B743E6" w:rsidP="00F42566">
            <w:pPr>
              <w:keepNext/>
              <w:widowControl/>
              <w:tabs>
                <w:tab w:val="left" w:pos="0"/>
              </w:tabs>
              <w:suppressAutoHyphens/>
              <w:spacing w:after="120"/>
              <w:rPr>
                <w:b/>
                <w:i/>
                <w:spacing w:val="-2"/>
              </w:rPr>
            </w:pPr>
            <w:r w:rsidRPr="00EF4C02">
              <w:rPr>
                <w:b/>
                <w:i/>
                <w:spacing w:val="-2"/>
              </w:rPr>
              <w:t>TOTAL</w:t>
            </w:r>
          </w:p>
        </w:tc>
        <w:tc>
          <w:tcPr>
            <w:tcW w:w="2243" w:type="dxa"/>
            <w:shd w:val="clear" w:color="auto" w:fill="F2F2F2" w:themeFill="background1" w:themeFillShade="F2"/>
          </w:tcPr>
          <w:p w14:paraId="1E70B5A0" w14:textId="77777777" w:rsidR="00B743E6" w:rsidRPr="00EF4C02" w:rsidRDefault="00B743E6" w:rsidP="00F42566">
            <w:pPr>
              <w:keepNext/>
              <w:widowControl/>
              <w:tabs>
                <w:tab w:val="left" w:pos="0"/>
              </w:tabs>
              <w:suppressAutoHyphens/>
              <w:spacing w:after="120"/>
              <w:rPr>
                <w:b/>
                <w:i/>
                <w:spacing w:val="-2"/>
              </w:rPr>
            </w:pPr>
          </w:p>
        </w:tc>
        <w:tc>
          <w:tcPr>
            <w:tcW w:w="1255" w:type="dxa"/>
            <w:shd w:val="clear" w:color="auto" w:fill="F2F2F2" w:themeFill="background1" w:themeFillShade="F2"/>
          </w:tcPr>
          <w:p w14:paraId="64F47305" w14:textId="77777777" w:rsidR="00B743E6" w:rsidRPr="00EF4C02" w:rsidRDefault="00B743E6" w:rsidP="00F42566">
            <w:pPr>
              <w:keepNext/>
              <w:widowControl/>
              <w:tabs>
                <w:tab w:val="left" w:pos="0"/>
              </w:tabs>
              <w:suppressAutoHyphens/>
              <w:spacing w:after="120"/>
              <w:rPr>
                <w:b/>
                <w:i/>
                <w:spacing w:val="-2"/>
              </w:rPr>
            </w:pPr>
          </w:p>
        </w:tc>
        <w:tc>
          <w:tcPr>
            <w:tcW w:w="1440" w:type="dxa"/>
            <w:shd w:val="clear" w:color="auto" w:fill="F2F2F2" w:themeFill="background1" w:themeFillShade="F2"/>
          </w:tcPr>
          <w:p w14:paraId="10ED73FD" w14:textId="77777777" w:rsidR="00B743E6" w:rsidRPr="00EF4C02" w:rsidRDefault="00B743E6" w:rsidP="00F42566">
            <w:pPr>
              <w:keepNext/>
              <w:widowControl/>
              <w:tabs>
                <w:tab w:val="left" w:pos="0"/>
              </w:tabs>
              <w:suppressAutoHyphens/>
              <w:spacing w:after="120"/>
              <w:rPr>
                <w:b/>
                <w:i/>
                <w:spacing w:val="-2"/>
              </w:rPr>
            </w:pPr>
            <w:r>
              <w:rPr>
                <w:b/>
                <w:i/>
                <w:spacing w:val="-2"/>
              </w:rPr>
              <w:t>3</w:t>
            </w:r>
            <w:r w:rsidRPr="00EF4C02">
              <w:rPr>
                <w:b/>
                <w:i/>
                <w:spacing w:val="-2"/>
              </w:rPr>
              <w:t>8</w:t>
            </w:r>
          </w:p>
        </w:tc>
        <w:tc>
          <w:tcPr>
            <w:tcW w:w="2112" w:type="dxa"/>
            <w:shd w:val="clear" w:color="auto" w:fill="F2F2F2" w:themeFill="background1" w:themeFillShade="F2"/>
          </w:tcPr>
          <w:p w14:paraId="00877D57" w14:textId="77777777" w:rsidR="00B743E6" w:rsidRPr="00EF4C02" w:rsidRDefault="00B743E6" w:rsidP="00F42566">
            <w:pPr>
              <w:keepNext/>
              <w:widowControl/>
              <w:tabs>
                <w:tab w:val="left" w:pos="0"/>
              </w:tabs>
              <w:suppressAutoHyphens/>
              <w:spacing w:after="120"/>
              <w:rPr>
                <w:b/>
                <w:i/>
                <w:spacing w:val="-2"/>
              </w:rPr>
            </w:pPr>
          </w:p>
        </w:tc>
      </w:tr>
      <w:tr w:rsidR="00B743E6" w:rsidRPr="00EF4C02" w14:paraId="4B1CE885" w14:textId="77777777">
        <w:trPr>
          <w:cantSplit/>
          <w:jc w:val="center"/>
        </w:trPr>
        <w:tc>
          <w:tcPr>
            <w:tcW w:w="9265" w:type="dxa"/>
            <w:gridSpan w:val="5"/>
            <w:shd w:val="clear" w:color="auto" w:fill="BFBFBF" w:themeFill="background1" w:themeFillShade="BF"/>
          </w:tcPr>
          <w:p w14:paraId="7BB43331" w14:textId="77777777" w:rsidR="00B743E6" w:rsidRPr="00094A75" w:rsidRDefault="00B743E6" w:rsidP="00F42566">
            <w:pPr>
              <w:keepNext/>
              <w:widowControl/>
              <w:tabs>
                <w:tab w:val="left" w:pos="0"/>
              </w:tabs>
              <w:suppressAutoHyphens/>
              <w:spacing w:after="120"/>
              <w:jc w:val="center"/>
              <w:rPr>
                <w:b/>
                <w:spacing w:val="-2"/>
              </w:rPr>
            </w:pPr>
            <w:r>
              <w:rPr>
                <w:b/>
                <w:spacing w:val="-2"/>
              </w:rPr>
              <w:t>ESPN-OWNED NETWORKS</w:t>
            </w:r>
          </w:p>
        </w:tc>
      </w:tr>
      <w:tr w:rsidR="00B743E6" w:rsidRPr="00EF4C02" w14:paraId="3E7278C6" w14:textId="77777777">
        <w:trPr>
          <w:cantSplit/>
          <w:jc w:val="center"/>
        </w:trPr>
        <w:tc>
          <w:tcPr>
            <w:tcW w:w="2215" w:type="dxa"/>
            <w:shd w:val="clear" w:color="auto" w:fill="FFFFFF" w:themeFill="background1"/>
          </w:tcPr>
          <w:p w14:paraId="2F110AC3" w14:textId="77777777" w:rsidR="00B743E6" w:rsidRPr="00EF4C02" w:rsidRDefault="00B743E6" w:rsidP="00F42566">
            <w:pPr>
              <w:keepNext/>
              <w:widowControl/>
              <w:tabs>
                <w:tab w:val="left" w:pos="0"/>
              </w:tabs>
              <w:suppressAutoHyphens/>
              <w:spacing w:after="120"/>
              <w:rPr>
                <w:b/>
                <w:i/>
                <w:spacing w:val="-2"/>
              </w:rPr>
            </w:pPr>
            <w:r>
              <w:rPr>
                <w:spacing w:val="-2"/>
                <w:szCs w:val="22"/>
              </w:rPr>
              <w:t>ESPN</w:t>
            </w:r>
          </w:p>
        </w:tc>
        <w:tc>
          <w:tcPr>
            <w:tcW w:w="2243" w:type="dxa"/>
            <w:shd w:val="clear" w:color="auto" w:fill="FFFFFF" w:themeFill="background1"/>
          </w:tcPr>
          <w:p w14:paraId="3BD6A984" w14:textId="77777777" w:rsidR="00B743E6" w:rsidRPr="00EF4C02" w:rsidRDefault="00B743E6" w:rsidP="00F42566">
            <w:pPr>
              <w:keepNext/>
              <w:widowControl/>
              <w:tabs>
                <w:tab w:val="left" w:pos="0"/>
              </w:tabs>
              <w:suppressAutoHyphens/>
              <w:spacing w:after="120"/>
              <w:rPr>
                <w:b/>
                <w:i/>
                <w:spacing w:val="-2"/>
              </w:rPr>
            </w:pPr>
            <w:r>
              <w:rPr>
                <w:spacing w:val="-2"/>
                <w:szCs w:val="22"/>
              </w:rPr>
              <w:t>6</w:t>
            </w:r>
          </w:p>
        </w:tc>
        <w:tc>
          <w:tcPr>
            <w:tcW w:w="1255" w:type="dxa"/>
            <w:shd w:val="clear" w:color="auto" w:fill="FFFFFF" w:themeFill="background1"/>
          </w:tcPr>
          <w:p w14:paraId="3531FC27" w14:textId="77777777" w:rsidR="00B743E6" w:rsidRPr="00EF4C02" w:rsidRDefault="00B743E6" w:rsidP="00F42566">
            <w:pPr>
              <w:keepNext/>
              <w:widowControl/>
              <w:tabs>
                <w:tab w:val="left" w:pos="0"/>
              </w:tabs>
              <w:suppressAutoHyphens/>
              <w:spacing w:after="120"/>
              <w:rPr>
                <w:b/>
                <w:i/>
                <w:spacing w:val="-2"/>
              </w:rPr>
            </w:pPr>
            <w:r>
              <w:rPr>
                <w:spacing w:val="-2"/>
                <w:szCs w:val="22"/>
              </w:rPr>
              <w:t>No</w:t>
            </w:r>
          </w:p>
        </w:tc>
        <w:tc>
          <w:tcPr>
            <w:tcW w:w="1440" w:type="dxa"/>
            <w:shd w:val="clear" w:color="auto" w:fill="FFFFFF" w:themeFill="background1"/>
          </w:tcPr>
          <w:p w14:paraId="59A33DC8" w14:textId="77777777" w:rsidR="00B743E6" w:rsidRDefault="00B743E6" w:rsidP="00F42566">
            <w:pPr>
              <w:keepNext/>
              <w:widowControl/>
              <w:tabs>
                <w:tab w:val="left" w:pos="0"/>
              </w:tabs>
              <w:suppressAutoHyphens/>
              <w:spacing w:after="120"/>
              <w:rPr>
                <w:b/>
                <w:i/>
                <w:spacing w:val="-2"/>
              </w:rPr>
            </w:pPr>
            <w:r>
              <w:rPr>
                <w:spacing w:val="-2"/>
                <w:szCs w:val="22"/>
              </w:rPr>
              <w:t>6</w:t>
            </w:r>
          </w:p>
        </w:tc>
        <w:tc>
          <w:tcPr>
            <w:tcW w:w="2112" w:type="dxa"/>
            <w:shd w:val="clear" w:color="auto" w:fill="FFFFFF" w:themeFill="background1"/>
          </w:tcPr>
          <w:p w14:paraId="668604C9" w14:textId="77777777" w:rsidR="00B743E6" w:rsidRPr="0003061E" w:rsidRDefault="00B743E6" w:rsidP="00F42566">
            <w:pPr>
              <w:keepNext/>
              <w:widowControl/>
              <w:tabs>
                <w:tab w:val="left" w:pos="0"/>
              </w:tabs>
              <w:suppressAutoHyphens/>
              <w:spacing w:after="120"/>
              <w:rPr>
                <w:spacing w:val="-2"/>
              </w:rPr>
            </w:pPr>
            <w:r w:rsidRPr="0003061E">
              <w:rPr>
                <w:spacing w:val="-2"/>
              </w:rPr>
              <w:t>4</w:t>
            </w:r>
          </w:p>
        </w:tc>
      </w:tr>
      <w:tr w:rsidR="00B743E6" w:rsidRPr="00EF4C02" w14:paraId="0DA1C25E" w14:textId="77777777">
        <w:trPr>
          <w:cantSplit/>
          <w:jc w:val="center"/>
        </w:trPr>
        <w:tc>
          <w:tcPr>
            <w:tcW w:w="2215" w:type="dxa"/>
            <w:shd w:val="clear" w:color="auto" w:fill="FFFFFF" w:themeFill="background1"/>
          </w:tcPr>
          <w:p w14:paraId="48901108" w14:textId="77777777" w:rsidR="00B743E6" w:rsidRPr="00EF4C02" w:rsidRDefault="00B743E6" w:rsidP="00F42566">
            <w:pPr>
              <w:keepNext/>
              <w:widowControl/>
              <w:tabs>
                <w:tab w:val="left" w:pos="0"/>
              </w:tabs>
              <w:suppressAutoHyphens/>
              <w:spacing w:after="120"/>
              <w:rPr>
                <w:b/>
                <w:i/>
                <w:spacing w:val="-2"/>
              </w:rPr>
            </w:pPr>
            <w:r>
              <w:rPr>
                <w:spacing w:val="-2"/>
                <w:szCs w:val="22"/>
              </w:rPr>
              <w:t>ESPN2</w:t>
            </w:r>
          </w:p>
        </w:tc>
        <w:tc>
          <w:tcPr>
            <w:tcW w:w="2243" w:type="dxa"/>
            <w:shd w:val="clear" w:color="auto" w:fill="FFFFFF" w:themeFill="background1"/>
          </w:tcPr>
          <w:p w14:paraId="59EA3639" w14:textId="77777777" w:rsidR="00B743E6" w:rsidRPr="00EF4C02" w:rsidRDefault="00B743E6" w:rsidP="00F42566">
            <w:pPr>
              <w:keepNext/>
              <w:widowControl/>
              <w:tabs>
                <w:tab w:val="left" w:pos="0"/>
              </w:tabs>
              <w:suppressAutoHyphens/>
              <w:spacing w:after="120"/>
              <w:rPr>
                <w:b/>
                <w:i/>
                <w:spacing w:val="-2"/>
              </w:rPr>
            </w:pPr>
            <w:r>
              <w:rPr>
                <w:spacing w:val="-2"/>
                <w:szCs w:val="22"/>
              </w:rPr>
              <w:t>1</w:t>
            </w:r>
          </w:p>
        </w:tc>
        <w:tc>
          <w:tcPr>
            <w:tcW w:w="1255" w:type="dxa"/>
            <w:shd w:val="clear" w:color="auto" w:fill="FFFFFF" w:themeFill="background1"/>
          </w:tcPr>
          <w:p w14:paraId="092F0C24" w14:textId="77777777" w:rsidR="00B743E6" w:rsidRPr="00EF4C02" w:rsidRDefault="00B743E6" w:rsidP="00F42566">
            <w:pPr>
              <w:keepNext/>
              <w:widowControl/>
              <w:tabs>
                <w:tab w:val="left" w:pos="0"/>
              </w:tabs>
              <w:suppressAutoHyphens/>
              <w:spacing w:after="120"/>
              <w:rPr>
                <w:b/>
                <w:i/>
                <w:spacing w:val="-2"/>
              </w:rPr>
            </w:pPr>
            <w:r>
              <w:rPr>
                <w:spacing w:val="-2"/>
                <w:szCs w:val="22"/>
              </w:rPr>
              <w:t>No</w:t>
            </w:r>
          </w:p>
        </w:tc>
        <w:tc>
          <w:tcPr>
            <w:tcW w:w="1440" w:type="dxa"/>
            <w:shd w:val="clear" w:color="auto" w:fill="FFFFFF" w:themeFill="background1"/>
          </w:tcPr>
          <w:p w14:paraId="6CF175FA" w14:textId="77777777" w:rsidR="00B743E6" w:rsidRDefault="00B743E6" w:rsidP="00F42566">
            <w:pPr>
              <w:keepNext/>
              <w:widowControl/>
              <w:tabs>
                <w:tab w:val="left" w:pos="0"/>
              </w:tabs>
              <w:suppressAutoHyphens/>
              <w:spacing w:after="120"/>
              <w:rPr>
                <w:b/>
                <w:i/>
                <w:spacing w:val="-2"/>
              </w:rPr>
            </w:pPr>
            <w:r>
              <w:rPr>
                <w:spacing w:val="-2"/>
                <w:szCs w:val="22"/>
              </w:rPr>
              <w:t>1</w:t>
            </w:r>
          </w:p>
        </w:tc>
        <w:tc>
          <w:tcPr>
            <w:tcW w:w="2112" w:type="dxa"/>
            <w:shd w:val="clear" w:color="auto" w:fill="FFFFFF" w:themeFill="background1"/>
          </w:tcPr>
          <w:p w14:paraId="0647DACE" w14:textId="77777777" w:rsidR="00B743E6" w:rsidRPr="0003061E" w:rsidRDefault="00B743E6" w:rsidP="00F42566">
            <w:pPr>
              <w:keepNext/>
              <w:widowControl/>
              <w:tabs>
                <w:tab w:val="left" w:pos="0"/>
              </w:tabs>
              <w:suppressAutoHyphens/>
              <w:spacing w:after="120"/>
              <w:rPr>
                <w:spacing w:val="-2"/>
              </w:rPr>
            </w:pPr>
            <w:r w:rsidRPr="0003061E">
              <w:rPr>
                <w:spacing w:val="-2"/>
              </w:rPr>
              <w:t>1</w:t>
            </w:r>
          </w:p>
        </w:tc>
      </w:tr>
      <w:tr w:rsidR="00B743E6" w:rsidRPr="00EF4C02" w14:paraId="2D94B00B" w14:textId="77777777">
        <w:trPr>
          <w:cantSplit/>
          <w:jc w:val="center"/>
        </w:trPr>
        <w:tc>
          <w:tcPr>
            <w:tcW w:w="2215" w:type="dxa"/>
            <w:shd w:val="clear" w:color="auto" w:fill="FFFFFF" w:themeFill="background1"/>
          </w:tcPr>
          <w:p w14:paraId="11AA461A" w14:textId="77777777" w:rsidR="00B743E6" w:rsidRPr="00EF4C02" w:rsidRDefault="00B743E6" w:rsidP="00F42566">
            <w:pPr>
              <w:keepNext/>
              <w:widowControl/>
              <w:tabs>
                <w:tab w:val="left" w:pos="0"/>
              </w:tabs>
              <w:suppressAutoHyphens/>
              <w:spacing w:after="120"/>
              <w:rPr>
                <w:b/>
                <w:i/>
                <w:spacing w:val="-2"/>
              </w:rPr>
            </w:pPr>
            <w:r>
              <w:rPr>
                <w:spacing w:val="-2"/>
                <w:szCs w:val="22"/>
              </w:rPr>
              <w:t>ESPNEWS</w:t>
            </w:r>
          </w:p>
        </w:tc>
        <w:tc>
          <w:tcPr>
            <w:tcW w:w="2243" w:type="dxa"/>
            <w:shd w:val="clear" w:color="auto" w:fill="FFFFFF" w:themeFill="background1"/>
          </w:tcPr>
          <w:p w14:paraId="4C4FFE87" w14:textId="77777777" w:rsidR="00B743E6" w:rsidRPr="00EF4C02" w:rsidRDefault="00B743E6" w:rsidP="00F42566">
            <w:pPr>
              <w:keepNext/>
              <w:widowControl/>
              <w:tabs>
                <w:tab w:val="left" w:pos="0"/>
              </w:tabs>
              <w:suppressAutoHyphens/>
              <w:spacing w:after="120"/>
              <w:rPr>
                <w:b/>
                <w:i/>
                <w:spacing w:val="-2"/>
              </w:rPr>
            </w:pPr>
            <w:r>
              <w:rPr>
                <w:spacing w:val="-2"/>
                <w:szCs w:val="22"/>
              </w:rPr>
              <w:t>6</w:t>
            </w:r>
          </w:p>
        </w:tc>
        <w:tc>
          <w:tcPr>
            <w:tcW w:w="1255" w:type="dxa"/>
            <w:shd w:val="clear" w:color="auto" w:fill="FFFFFF" w:themeFill="background1"/>
          </w:tcPr>
          <w:p w14:paraId="33E46BE4" w14:textId="77777777" w:rsidR="00B743E6" w:rsidRPr="00EF4C02" w:rsidRDefault="00B743E6" w:rsidP="00F42566">
            <w:pPr>
              <w:keepNext/>
              <w:widowControl/>
              <w:tabs>
                <w:tab w:val="left" w:pos="0"/>
              </w:tabs>
              <w:suppressAutoHyphens/>
              <w:spacing w:after="120"/>
              <w:rPr>
                <w:b/>
                <w:i/>
                <w:spacing w:val="-2"/>
              </w:rPr>
            </w:pPr>
            <w:r>
              <w:rPr>
                <w:spacing w:val="-2"/>
                <w:szCs w:val="22"/>
              </w:rPr>
              <w:t>No</w:t>
            </w:r>
          </w:p>
        </w:tc>
        <w:tc>
          <w:tcPr>
            <w:tcW w:w="1440" w:type="dxa"/>
            <w:shd w:val="clear" w:color="auto" w:fill="FFFFFF" w:themeFill="background1"/>
          </w:tcPr>
          <w:p w14:paraId="5D0BE46A" w14:textId="77777777" w:rsidR="00B743E6" w:rsidRDefault="00B743E6" w:rsidP="00F42566">
            <w:pPr>
              <w:keepNext/>
              <w:widowControl/>
              <w:tabs>
                <w:tab w:val="left" w:pos="0"/>
              </w:tabs>
              <w:suppressAutoHyphens/>
              <w:spacing w:after="120"/>
              <w:rPr>
                <w:b/>
                <w:i/>
                <w:spacing w:val="-2"/>
              </w:rPr>
            </w:pPr>
            <w:r>
              <w:rPr>
                <w:spacing w:val="-2"/>
                <w:szCs w:val="22"/>
              </w:rPr>
              <w:t>6</w:t>
            </w:r>
          </w:p>
        </w:tc>
        <w:tc>
          <w:tcPr>
            <w:tcW w:w="2112" w:type="dxa"/>
            <w:shd w:val="clear" w:color="auto" w:fill="FFFFFF" w:themeFill="background1"/>
          </w:tcPr>
          <w:p w14:paraId="2C46A780" w14:textId="77777777" w:rsidR="00B743E6" w:rsidRPr="0003061E" w:rsidRDefault="00B743E6" w:rsidP="00F42566">
            <w:pPr>
              <w:keepNext/>
              <w:widowControl/>
              <w:tabs>
                <w:tab w:val="left" w:pos="0"/>
              </w:tabs>
              <w:suppressAutoHyphens/>
              <w:spacing w:after="120"/>
              <w:rPr>
                <w:spacing w:val="-2"/>
              </w:rPr>
            </w:pPr>
            <w:r w:rsidRPr="0003061E">
              <w:rPr>
                <w:spacing w:val="-2"/>
              </w:rPr>
              <w:t>3</w:t>
            </w:r>
          </w:p>
        </w:tc>
      </w:tr>
      <w:tr w:rsidR="00B743E6" w:rsidRPr="00EF4C02" w14:paraId="49B134F2" w14:textId="77777777">
        <w:trPr>
          <w:jc w:val="center"/>
        </w:trPr>
        <w:tc>
          <w:tcPr>
            <w:tcW w:w="2215" w:type="dxa"/>
            <w:shd w:val="clear" w:color="auto" w:fill="F2F2F2" w:themeFill="background1" w:themeFillShade="F2"/>
          </w:tcPr>
          <w:p w14:paraId="3C3267F8" w14:textId="77777777" w:rsidR="00B743E6" w:rsidRPr="00094A75" w:rsidRDefault="00B743E6" w:rsidP="00F42566">
            <w:pPr>
              <w:widowControl/>
              <w:tabs>
                <w:tab w:val="left" w:pos="0"/>
              </w:tabs>
              <w:suppressAutoHyphens/>
              <w:spacing w:after="120"/>
              <w:rPr>
                <w:b/>
                <w:i/>
                <w:spacing w:val="-2"/>
              </w:rPr>
            </w:pPr>
            <w:r>
              <w:rPr>
                <w:b/>
                <w:i/>
                <w:spacing w:val="-2"/>
              </w:rPr>
              <w:t>TOTAL</w:t>
            </w:r>
          </w:p>
        </w:tc>
        <w:tc>
          <w:tcPr>
            <w:tcW w:w="2243" w:type="dxa"/>
            <w:shd w:val="clear" w:color="auto" w:fill="F2F2F2" w:themeFill="background1" w:themeFillShade="F2"/>
          </w:tcPr>
          <w:p w14:paraId="74CB63FE" w14:textId="77777777" w:rsidR="00B743E6" w:rsidRPr="00EF4C02" w:rsidRDefault="00B743E6" w:rsidP="00F42566">
            <w:pPr>
              <w:widowControl/>
              <w:tabs>
                <w:tab w:val="left" w:pos="0"/>
              </w:tabs>
              <w:suppressAutoHyphens/>
              <w:spacing w:after="120"/>
              <w:rPr>
                <w:b/>
                <w:i/>
                <w:spacing w:val="-2"/>
              </w:rPr>
            </w:pPr>
          </w:p>
        </w:tc>
        <w:tc>
          <w:tcPr>
            <w:tcW w:w="1255" w:type="dxa"/>
            <w:shd w:val="clear" w:color="auto" w:fill="F2F2F2" w:themeFill="background1" w:themeFillShade="F2"/>
          </w:tcPr>
          <w:p w14:paraId="39C7EB61" w14:textId="77777777" w:rsidR="00B743E6" w:rsidRPr="00EF4C02" w:rsidRDefault="00B743E6" w:rsidP="00F42566">
            <w:pPr>
              <w:widowControl/>
              <w:tabs>
                <w:tab w:val="left" w:pos="0"/>
              </w:tabs>
              <w:suppressAutoHyphens/>
              <w:spacing w:after="120"/>
              <w:rPr>
                <w:b/>
                <w:i/>
                <w:spacing w:val="-2"/>
              </w:rPr>
            </w:pPr>
          </w:p>
        </w:tc>
        <w:tc>
          <w:tcPr>
            <w:tcW w:w="1440" w:type="dxa"/>
            <w:shd w:val="clear" w:color="auto" w:fill="F2F2F2" w:themeFill="background1" w:themeFillShade="F2"/>
          </w:tcPr>
          <w:p w14:paraId="459DB57D" w14:textId="77777777" w:rsidR="00B743E6" w:rsidRDefault="00B743E6" w:rsidP="00F42566">
            <w:pPr>
              <w:widowControl/>
              <w:tabs>
                <w:tab w:val="left" w:pos="0"/>
              </w:tabs>
              <w:suppressAutoHyphens/>
              <w:spacing w:after="120"/>
              <w:rPr>
                <w:b/>
                <w:i/>
                <w:spacing w:val="-2"/>
              </w:rPr>
            </w:pPr>
            <w:r>
              <w:rPr>
                <w:b/>
                <w:i/>
                <w:spacing w:val="-2"/>
              </w:rPr>
              <w:t>13</w:t>
            </w:r>
          </w:p>
        </w:tc>
        <w:tc>
          <w:tcPr>
            <w:tcW w:w="2112" w:type="dxa"/>
            <w:shd w:val="clear" w:color="auto" w:fill="F2F2F2" w:themeFill="background1" w:themeFillShade="F2"/>
          </w:tcPr>
          <w:p w14:paraId="4E4860AA" w14:textId="77777777" w:rsidR="00B743E6" w:rsidRDefault="00B743E6" w:rsidP="00F42566">
            <w:pPr>
              <w:widowControl/>
              <w:tabs>
                <w:tab w:val="left" w:pos="0"/>
              </w:tabs>
              <w:suppressAutoHyphens/>
              <w:spacing w:after="120"/>
              <w:rPr>
                <w:b/>
                <w:i/>
                <w:spacing w:val="-2"/>
              </w:rPr>
            </w:pPr>
          </w:p>
        </w:tc>
      </w:tr>
    </w:tbl>
    <w:p w14:paraId="2E4903ED" w14:textId="77777777" w:rsidR="00A12436" w:rsidRDefault="00A12436" w:rsidP="005313EF">
      <w:pPr>
        <w:widowControl/>
      </w:pPr>
    </w:p>
    <w:p w14:paraId="42287709" w14:textId="77777777" w:rsidR="00B1426F" w:rsidRDefault="00B87E32" w:rsidP="00514178">
      <w:pPr>
        <w:pStyle w:val="Heading2"/>
      </w:pPr>
      <w:r w:rsidRPr="00C2273D">
        <w:t>The Companies</w:t>
      </w:r>
      <w:r w:rsidR="008E2691">
        <w:t>’</w:t>
      </w:r>
      <w:r w:rsidRPr="00C2273D">
        <w:t xml:space="preserve"> </w:t>
      </w:r>
      <w:r w:rsidR="00B1426F">
        <w:t>A</w:t>
      </w:r>
      <w:r w:rsidR="007960AC">
        <w:t>rguments</w:t>
      </w:r>
      <w:r w:rsidR="00B1426F">
        <w:t xml:space="preserve"> </w:t>
      </w:r>
      <w:r w:rsidR="007960AC">
        <w:t>Deny</w:t>
      </w:r>
      <w:r w:rsidR="00EC4601">
        <w:t>ing</w:t>
      </w:r>
      <w:r w:rsidR="00B1426F">
        <w:t xml:space="preserve"> Liability Are Unavailing</w:t>
      </w:r>
    </w:p>
    <w:p w14:paraId="256B693D" w14:textId="77777777" w:rsidR="00F35B1F" w:rsidRPr="00E021A6" w:rsidRDefault="00B1426F" w:rsidP="00D33545">
      <w:pPr>
        <w:pStyle w:val="Heading3"/>
      </w:pPr>
      <w:r w:rsidRPr="00E021A6">
        <w:t xml:space="preserve">The Companies </w:t>
      </w:r>
      <w:r w:rsidR="00B87E32" w:rsidRPr="00E021A6">
        <w:t>Had Adequate Notice of Section 11.45’s Applicability and Substantive Requirements</w:t>
      </w:r>
    </w:p>
    <w:p w14:paraId="24B12240" w14:textId="77777777" w:rsidR="00D60451" w:rsidRPr="00C2273D" w:rsidRDefault="00CE2F43" w:rsidP="00D33545">
      <w:pPr>
        <w:pStyle w:val="ParaNum"/>
        <w:rPr>
          <w:color w:val="1A1A1A"/>
        </w:rPr>
      </w:pPr>
      <w:r>
        <w:t>Viacom and NBCUniversal</w:t>
      </w:r>
      <w:r w:rsidR="005D52BA">
        <w:t xml:space="preserve"> each contend that they had inadequate notice </w:t>
      </w:r>
      <w:r w:rsidR="00B445E7">
        <w:t>of the requirements and applicability of the rules with respect to EAS violations.</w:t>
      </w:r>
      <w:r w:rsidR="00FC1532">
        <w:rPr>
          <w:rStyle w:val="FootnoteReference"/>
          <w:sz w:val="22"/>
          <w:szCs w:val="22"/>
        </w:rPr>
        <w:footnoteReference w:id="65"/>
      </w:r>
      <w:r w:rsidR="00B445E7">
        <w:t xml:space="preserve">  We disagree.  </w:t>
      </w:r>
      <w:r w:rsidR="00B636A2" w:rsidRPr="00C2273D">
        <w:t xml:space="preserve">The requirements of </w:t>
      </w:r>
      <w:r w:rsidR="00777D03" w:rsidRPr="00C2273D">
        <w:t xml:space="preserve">Section 11.45 </w:t>
      </w:r>
      <w:r w:rsidR="00B636A2" w:rsidRPr="00C2273D">
        <w:t>are not novel and have</w:t>
      </w:r>
      <w:r w:rsidR="00777D03" w:rsidRPr="00C2273D">
        <w:t xml:space="preserve"> been well settled via rulemaking and administrative </w:t>
      </w:r>
      <w:r w:rsidR="0071637A" w:rsidRPr="00C2273D">
        <w:t>action</w:t>
      </w:r>
      <w:r w:rsidR="00777D03" w:rsidRPr="00C2273D">
        <w:t xml:space="preserve"> </w:t>
      </w:r>
      <w:r w:rsidR="006E2A8D" w:rsidRPr="00C2273D">
        <w:t>for nearly 20 years</w:t>
      </w:r>
      <w:r w:rsidR="00777D03" w:rsidRPr="00C2273D">
        <w:t xml:space="preserve">.  </w:t>
      </w:r>
      <w:r w:rsidR="00020E27" w:rsidRPr="00C2273D">
        <w:t>The rule is short and clear:</w:t>
      </w:r>
      <w:r w:rsidR="00E779B2" w:rsidRPr="00C2273D">
        <w:t xml:space="preserve"> </w:t>
      </w:r>
      <w:r w:rsidR="00020E27" w:rsidRPr="00C2273D">
        <w:t xml:space="preserve"> it applies to “person</w:t>
      </w:r>
      <w:r w:rsidR="00B60627" w:rsidRPr="00C2273D">
        <w:t>s</w:t>
      </w:r>
      <w:r w:rsidR="00020E27" w:rsidRPr="00C2273D">
        <w:t xml:space="preserve">” and </w:t>
      </w:r>
      <w:r w:rsidR="0007483E" w:rsidRPr="00C2273D">
        <w:t>does not exclude cable programmers</w:t>
      </w:r>
      <w:r w:rsidR="00020E27" w:rsidRPr="00C2273D">
        <w:t xml:space="preserve">.  It applies to actions that “transmit or cause to transmit” </w:t>
      </w:r>
      <w:r w:rsidR="00B60627" w:rsidRPr="00C2273D">
        <w:t xml:space="preserve">the restricted tones </w:t>
      </w:r>
      <w:r w:rsidR="00020E27" w:rsidRPr="00C2273D">
        <w:t xml:space="preserve">and is not limited to direct transmissions by or to a particular person or entity.  </w:t>
      </w:r>
      <w:r w:rsidR="00B60627" w:rsidRPr="00C2273D">
        <w:t>Moreover, the rule explicitly</w:t>
      </w:r>
      <w:r w:rsidR="00020E27" w:rsidRPr="00C2273D">
        <w:t xml:space="preserve"> applies to the “EAS codes or Attention Signal</w:t>
      </w:r>
      <w:r w:rsidR="00F75C67">
        <w:t>,</w:t>
      </w:r>
      <w:r w:rsidR="00020E27" w:rsidRPr="00C2273D">
        <w:t xml:space="preserve"> or a recording or simulation thereof” </w:t>
      </w:r>
      <w:r w:rsidR="004951EF">
        <w:rPr>
          <w:rStyle w:val="FootnoteReference"/>
          <w:sz w:val="22"/>
          <w:szCs w:val="22"/>
        </w:rPr>
        <w:footnoteReference w:id="66"/>
      </w:r>
      <w:r w:rsidR="00020E27" w:rsidRPr="00C2273D">
        <w:t xml:space="preserve"> </w:t>
      </w:r>
      <w:r w:rsidR="00B445E7">
        <w:t xml:space="preserve">and </w:t>
      </w:r>
      <w:r w:rsidR="003517C5">
        <w:t xml:space="preserve">applies regardless of whether the transmission of the codes results in </w:t>
      </w:r>
      <w:r w:rsidR="00B60627" w:rsidRPr="00C2273D">
        <w:t xml:space="preserve">an </w:t>
      </w:r>
      <w:r w:rsidR="003C4089" w:rsidRPr="00C2273D">
        <w:t xml:space="preserve">inadvertent </w:t>
      </w:r>
      <w:r w:rsidR="008D0AA5" w:rsidRPr="00C2273D">
        <w:t>activati</w:t>
      </w:r>
      <w:r w:rsidR="00E51B3F" w:rsidRPr="00C2273D">
        <w:t>on of</w:t>
      </w:r>
      <w:r w:rsidR="008D0AA5" w:rsidRPr="00C2273D">
        <w:t xml:space="preserve"> the</w:t>
      </w:r>
      <w:r w:rsidR="00020E27" w:rsidRPr="00C2273D">
        <w:t xml:space="preserve"> EAS.  </w:t>
      </w:r>
      <w:r w:rsidR="00B60627" w:rsidRPr="00C2273D">
        <w:t xml:space="preserve">Finally, nothing in the language of Section 11.45 requires a showing of </w:t>
      </w:r>
      <w:r w:rsidR="007960AC">
        <w:t xml:space="preserve">deceptive use or </w:t>
      </w:r>
      <w:r w:rsidR="00B60627" w:rsidRPr="00C2273D">
        <w:t xml:space="preserve">specific intent to </w:t>
      </w:r>
      <w:r w:rsidR="00B87E32" w:rsidRPr="00C2273D">
        <w:t>deceive the public</w:t>
      </w:r>
      <w:r w:rsidR="00B60627" w:rsidRPr="00C2273D">
        <w:t xml:space="preserve"> in order to find a violation.  In sum, the plain and straightforward language of a long-standing rule gave clear and unambiguous notice that the </w:t>
      </w:r>
      <w:r w:rsidR="00065F1D" w:rsidRPr="00C2273D">
        <w:t>Compan</w:t>
      </w:r>
      <w:r w:rsidR="00B60627" w:rsidRPr="00C2273D">
        <w:t xml:space="preserve">ies’ actions would be subject to sanction.  </w:t>
      </w:r>
    </w:p>
    <w:p w14:paraId="3A7BC9F7" w14:textId="77777777" w:rsidR="00517592" w:rsidRPr="00783514" w:rsidRDefault="00D90477" w:rsidP="00D33545">
      <w:pPr>
        <w:pStyle w:val="ParaNum"/>
      </w:pPr>
      <w:r w:rsidRPr="00783514">
        <w:t>Although Section 325(a) of the Act or Section 73.1217 of the Commission’s rules</w:t>
      </w:r>
      <w:r w:rsidR="0017203D" w:rsidRPr="00783514">
        <w:t xml:space="preserve"> (the Hoax Rule)</w:t>
      </w:r>
      <w:r w:rsidR="0017203D" w:rsidRPr="00783514">
        <w:rPr>
          <w:rStyle w:val="FootnoteReference"/>
          <w:sz w:val="22"/>
          <w:szCs w:val="22"/>
        </w:rPr>
        <w:footnoteReference w:id="67"/>
      </w:r>
      <w:r w:rsidRPr="00783514">
        <w:t xml:space="preserve"> </w:t>
      </w:r>
      <w:r w:rsidR="00C741D1" w:rsidRPr="00783514">
        <w:t>may also</w:t>
      </w:r>
      <w:r w:rsidRPr="00783514">
        <w:t xml:space="preserve"> </w:t>
      </w:r>
      <w:r w:rsidR="00C741D1" w:rsidRPr="00783514">
        <w:t>s</w:t>
      </w:r>
      <w:r w:rsidRPr="00783514">
        <w:t>ubject violators to liability for false or misleading emergency signals, the Commission</w:t>
      </w:r>
      <w:r w:rsidR="00C741D1" w:rsidRPr="00783514">
        <w:t xml:space="preserve"> decided </w:t>
      </w:r>
      <w:r w:rsidR="0017203D" w:rsidRPr="00783514">
        <w:t xml:space="preserve">in 1994 </w:t>
      </w:r>
      <w:r w:rsidR="00C741D1" w:rsidRPr="00783514">
        <w:t xml:space="preserve">to create </w:t>
      </w:r>
      <w:r w:rsidR="006E1A3C" w:rsidRPr="00783514">
        <w:t xml:space="preserve">Section </w:t>
      </w:r>
      <w:r w:rsidR="00C741D1" w:rsidRPr="00783514">
        <w:t xml:space="preserve">11.45 as a vehicle to directly </w:t>
      </w:r>
      <w:r w:rsidR="00D342B7" w:rsidRPr="00783514">
        <w:t xml:space="preserve">and specifically </w:t>
      </w:r>
      <w:r w:rsidR="00C741D1" w:rsidRPr="00783514">
        <w:t xml:space="preserve">deter and prohibit </w:t>
      </w:r>
      <w:r w:rsidR="00EC4601" w:rsidRPr="00783514">
        <w:t>m</w:t>
      </w:r>
      <w:r w:rsidR="007960AC" w:rsidRPr="00783514">
        <w:t>isuse</w:t>
      </w:r>
      <w:r w:rsidRPr="00783514">
        <w:t xml:space="preserve"> of the EAS </w:t>
      </w:r>
      <w:r w:rsidR="00D342B7" w:rsidRPr="00783514">
        <w:t xml:space="preserve">codes and </w:t>
      </w:r>
      <w:r w:rsidR="00C741D1" w:rsidRPr="00783514">
        <w:t>Attention S</w:t>
      </w:r>
      <w:r w:rsidRPr="00783514">
        <w:t>ignal.</w:t>
      </w:r>
      <w:r w:rsidRPr="00783514">
        <w:rPr>
          <w:rStyle w:val="FootnoteReference"/>
          <w:sz w:val="22"/>
          <w:szCs w:val="22"/>
        </w:rPr>
        <w:footnoteReference w:id="68"/>
      </w:r>
      <w:r w:rsidRPr="00783514">
        <w:t> </w:t>
      </w:r>
      <w:r w:rsidR="00C741D1" w:rsidRPr="00783514">
        <w:t xml:space="preserve"> </w:t>
      </w:r>
      <w:r w:rsidR="00DC0838" w:rsidRPr="00783514">
        <w:t xml:space="preserve">The regulatory history of Section 11.45 emphasizes the seriousness and danger to public safety resulting from </w:t>
      </w:r>
      <w:r w:rsidR="00C93E00" w:rsidRPr="00783514">
        <w:t xml:space="preserve">the </w:t>
      </w:r>
      <w:r w:rsidR="007960AC" w:rsidRPr="00783514">
        <w:t xml:space="preserve">improper </w:t>
      </w:r>
      <w:r w:rsidR="00C93E00" w:rsidRPr="00783514">
        <w:t xml:space="preserve">use of </w:t>
      </w:r>
      <w:r w:rsidR="00EB43EB" w:rsidRPr="00783514">
        <w:t>EAS codes and Attention Signal</w:t>
      </w:r>
      <w:r w:rsidR="00D342B7" w:rsidRPr="00783514">
        <w:t>.</w:t>
      </w:r>
      <w:r w:rsidR="00B636A2" w:rsidRPr="00783514">
        <w:t xml:space="preserve"> </w:t>
      </w:r>
      <w:r w:rsidR="00D342B7" w:rsidRPr="00783514">
        <w:t xml:space="preserve"> Moreover,</w:t>
      </w:r>
      <w:r w:rsidR="00B636A2" w:rsidRPr="00783514">
        <w:t xml:space="preserve"> t</w:t>
      </w:r>
      <w:r w:rsidR="0071637A" w:rsidRPr="00783514">
        <w:t>he Commission’s</w:t>
      </w:r>
      <w:r w:rsidR="00DC0838" w:rsidRPr="00783514">
        <w:t xml:space="preserve"> concern over th</w:t>
      </w:r>
      <w:r w:rsidR="0071637A" w:rsidRPr="00783514">
        <w:t>e abuse of emergency signals</w:t>
      </w:r>
      <w:r w:rsidR="006E2A8D" w:rsidRPr="00783514">
        <w:t xml:space="preserve"> pre</w:t>
      </w:r>
      <w:r w:rsidR="00DC0838" w:rsidRPr="00783514">
        <w:t xml:space="preserve">dates the order establishing </w:t>
      </w:r>
      <w:r w:rsidR="00B636A2" w:rsidRPr="00783514">
        <w:t xml:space="preserve">the </w:t>
      </w:r>
      <w:r w:rsidR="00DC0838" w:rsidRPr="00783514">
        <w:t>EAS</w:t>
      </w:r>
      <w:r w:rsidR="00B636A2" w:rsidRPr="00783514">
        <w:t>.</w:t>
      </w:r>
      <w:r w:rsidR="00B636A2" w:rsidRPr="00783514">
        <w:rPr>
          <w:rStyle w:val="FootnoteReference"/>
          <w:sz w:val="22"/>
          <w:szCs w:val="22"/>
        </w:rPr>
        <w:footnoteReference w:id="69"/>
      </w:r>
      <w:r w:rsidR="00B636A2" w:rsidRPr="00783514">
        <w:t xml:space="preserve">  </w:t>
      </w:r>
      <w:r w:rsidR="00612292" w:rsidRPr="00783514">
        <w:t>For example, t</w:t>
      </w:r>
      <w:r w:rsidR="009A5FF5" w:rsidRPr="00783514">
        <w:t xml:space="preserve">he </w:t>
      </w:r>
      <w:r w:rsidR="007E3589" w:rsidRPr="00783514">
        <w:rPr>
          <w:i/>
        </w:rPr>
        <w:t>1994 EBS Order</w:t>
      </w:r>
      <w:r w:rsidR="007E3589" w:rsidRPr="00783514">
        <w:t xml:space="preserve"> </w:t>
      </w:r>
      <w:r w:rsidR="00612292" w:rsidRPr="00783514">
        <w:t>references earlier proceedings</w:t>
      </w:r>
      <w:r w:rsidR="00DC0838" w:rsidRPr="00783514">
        <w:t xml:space="preserve"> </w:t>
      </w:r>
      <w:r w:rsidR="00612292" w:rsidRPr="00783514">
        <w:t xml:space="preserve">that noted </w:t>
      </w:r>
      <w:r w:rsidR="00DC0838" w:rsidRPr="00783514">
        <w:t xml:space="preserve">that the </w:t>
      </w:r>
      <w:r w:rsidR="007960AC" w:rsidRPr="00783514">
        <w:t>misuse</w:t>
      </w:r>
      <w:r w:rsidR="00DC0838" w:rsidRPr="00783514">
        <w:t xml:space="preserve"> of </w:t>
      </w:r>
      <w:r w:rsidR="009A5FF5" w:rsidRPr="00783514">
        <w:t xml:space="preserve">the </w:t>
      </w:r>
      <w:r w:rsidR="00DC0838" w:rsidRPr="00783514">
        <w:t>actual EAS (</w:t>
      </w:r>
      <w:r w:rsidR="00B636A2" w:rsidRPr="00783514">
        <w:t>referred to</w:t>
      </w:r>
      <w:r w:rsidR="0071637A" w:rsidRPr="00783514">
        <w:t xml:space="preserve"> as the EBS at </w:t>
      </w:r>
      <w:r w:rsidR="00B636A2" w:rsidRPr="00783514">
        <w:t>that</w:t>
      </w:r>
      <w:r w:rsidR="0071637A" w:rsidRPr="00783514">
        <w:t xml:space="preserve"> time</w:t>
      </w:r>
      <w:r w:rsidR="00DC0838" w:rsidRPr="00783514">
        <w:t>) signal,</w:t>
      </w:r>
      <w:r w:rsidR="00612292" w:rsidRPr="00783514">
        <w:t xml:space="preserve"> or</w:t>
      </w:r>
      <w:r w:rsidR="00DC0838" w:rsidRPr="00783514">
        <w:t xml:space="preserve"> “a recording thereof, or any simulation thereof, severely undermines the integrity of the [EAS] alert system and will not be tolerated by the Commission.”</w:t>
      </w:r>
      <w:r w:rsidR="007E3589" w:rsidRPr="00783514">
        <w:rPr>
          <w:rStyle w:val="FootnoteReference"/>
          <w:sz w:val="22"/>
          <w:szCs w:val="22"/>
        </w:rPr>
        <w:footnoteReference w:id="70"/>
      </w:r>
      <w:r w:rsidR="00F615EC" w:rsidRPr="00783514">
        <w:t xml:space="preserve"> </w:t>
      </w:r>
      <w:r w:rsidR="00DC0838" w:rsidRPr="00783514">
        <w:t xml:space="preserve"> </w:t>
      </w:r>
      <w:r w:rsidR="0017203D" w:rsidRPr="00783514">
        <w:t xml:space="preserve">In the </w:t>
      </w:r>
      <w:r w:rsidR="0017203D" w:rsidRPr="00783514">
        <w:rPr>
          <w:i/>
        </w:rPr>
        <w:t xml:space="preserve">1994 </w:t>
      </w:r>
      <w:r w:rsidR="00F13516" w:rsidRPr="00783514">
        <w:rPr>
          <w:i/>
        </w:rPr>
        <w:t xml:space="preserve">EBS </w:t>
      </w:r>
      <w:r w:rsidR="0017203D" w:rsidRPr="00783514">
        <w:rPr>
          <w:i/>
        </w:rPr>
        <w:t>Order</w:t>
      </w:r>
      <w:r w:rsidR="0017203D" w:rsidRPr="00783514">
        <w:t xml:space="preserve">, the Commission </w:t>
      </w:r>
      <w:r w:rsidR="00062B50" w:rsidRPr="00783514">
        <w:t>acknowledges commenters’ con</w:t>
      </w:r>
      <w:r w:rsidR="009A5FF5" w:rsidRPr="00783514">
        <w:t>c</w:t>
      </w:r>
      <w:r w:rsidR="00062B50" w:rsidRPr="00783514">
        <w:t>erns</w:t>
      </w:r>
      <w:r w:rsidR="0017203D" w:rsidRPr="00783514">
        <w:t xml:space="preserve"> that </w:t>
      </w:r>
      <w:r w:rsidR="00665CD9" w:rsidRPr="00783514">
        <w:t xml:space="preserve">“any use of the EBS attention signal, other </w:t>
      </w:r>
      <w:r w:rsidR="008F0B03" w:rsidRPr="00783514">
        <w:t>than for tests and activations</w:t>
      </w:r>
      <w:r w:rsidR="00F75C67" w:rsidRPr="00783514">
        <w:t>,</w:t>
      </w:r>
      <w:r w:rsidR="008F0B03" w:rsidRPr="00783514">
        <w:t xml:space="preserve"> </w:t>
      </w:r>
      <w:r w:rsidR="0017203D" w:rsidRPr="00783514">
        <w:t>could be an e</w:t>
      </w:r>
      <w:r w:rsidR="00512D20" w:rsidRPr="00783514">
        <w:t>normous detriment to the system,</w:t>
      </w:r>
      <w:r w:rsidR="0017203D" w:rsidRPr="00783514">
        <w:t>”</w:t>
      </w:r>
      <w:r w:rsidR="0017203D" w:rsidRPr="00783514">
        <w:rPr>
          <w:rStyle w:val="FootnoteReference"/>
          <w:sz w:val="22"/>
          <w:szCs w:val="22"/>
        </w:rPr>
        <w:footnoteReference w:id="71"/>
      </w:r>
      <w:r w:rsidR="003823DF" w:rsidRPr="00783514" w:rsidDel="003823DF">
        <w:t xml:space="preserve"> </w:t>
      </w:r>
      <w:r w:rsidR="00DC0838" w:rsidRPr="00783514">
        <w:t xml:space="preserve">notes its </w:t>
      </w:r>
      <w:r w:rsidR="00B636A2" w:rsidRPr="00783514">
        <w:t>determination</w:t>
      </w:r>
      <w:r w:rsidR="00DC0838" w:rsidRPr="00783514">
        <w:t xml:space="preserve"> to prevent the </w:t>
      </w:r>
      <w:r w:rsidR="007960AC" w:rsidRPr="00783514">
        <w:t>misuse</w:t>
      </w:r>
      <w:r w:rsidR="00DC0838" w:rsidRPr="00783514">
        <w:t xml:space="preserve"> of the </w:t>
      </w:r>
      <w:r w:rsidR="006E2992" w:rsidRPr="00783514">
        <w:t>EAS Tones</w:t>
      </w:r>
      <w:r w:rsidR="00DC0838" w:rsidRPr="00783514">
        <w:t xml:space="preserve">, </w:t>
      </w:r>
      <w:r w:rsidR="0071637A" w:rsidRPr="00783514">
        <w:t xml:space="preserve">and </w:t>
      </w:r>
      <w:r w:rsidR="00512D20" w:rsidRPr="00783514">
        <w:t>declares</w:t>
      </w:r>
      <w:r w:rsidR="002B19C3" w:rsidRPr="00783514">
        <w:t xml:space="preserve"> that—</w:t>
      </w:r>
      <w:r w:rsidR="0071637A" w:rsidRPr="00783514">
        <w:t>al</w:t>
      </w:r>
      <w:r w:rsidR="00DC0838" w:rsidRPr="00783514">
        <w:t>though such violations could be p</w:t>
      </w:r>
      <w:r w:rsidR="0071637A" w:rsidRPr="00783514">
        <w:t>ursued under 47 U.S.C. § 325(a)</w:t>
      </w:r>
      <w:r w:rsidR="0017203D" w:rsidRPr="00783514">
        <w:t xml:space="preserve"> and the Hoax Rule</w:t>
      </w:r>
      <w:r w:rsidR="002B19C3" w:rsidRPr="00783514">
        <w:t>—</w:t>
      </w:r>
      <w:r w:rsidR="00DC0838" w:rsidRPr="00783514">
        <w:t xml:space="preserve">the </w:t>
      </w:r>
      <w:r w:rsidR="007960AC" w:rsidRPr="00783514">
        <w:t xml:space="preserve">improper </w:t>
      </w:r>
      <w:r w:rsidR="00DC0838" w:rsidRPr="00783514">
        <w:t>use of a</w:t>
      </w:r>
      <w:r w:rsidR="00F75C67" w:rsidRPr="00783514">
        <w:t>n</w:t>
      </w:r>
      <w:r w:rsidR="00DC0838" w:rsidRPr="00783514">
        <w:t xml:space="preserve"> EAS attention signal was important enough to warrant </w:t>
      </w:r>
      <w:r w:rsidR="00884112" w:rsidRPr="00783514">
        <w:t>the establishment of Section 11.45</w:t>
      </w:r>
      <w:r w:rsidR="00DC0838" w:rsidRPr="00783514">
        <w:t>.</w:t>
      </w:r>
      <w:r w:rsidR="00DC0838" w:rsidRPr="00783514">
        <w:rPr>
          <w:rStyle w:val="FootnoteReference"/>
          <w:sz w:val="22"/>
          <w:szCs w:val="22"/>
        </w:rPr>
        <w:footnoteReference w:id="72"/>
      </w:r>
      <w:r w:rsidR="00307767" w:rsidRPr="00783514">
        <w:t xml:space="preserve"> </w:t>
      </w:r>
      <w:r w:rsidR="00DC0838" w:rsidRPr="00783514">
        <w:t xml:space="preserve"> </w:t>
      </w:r>
      <w:r w:rsidR="00E74DCD" w:rsidRPr="00783514">
        <w:t xml:space="preserve">In the context of the Commission’s desire to strengthen the integrity of the nation’s EAS, it is clear that </w:t>
      </w:r>
      <w:r w:rsidR="00210C98" w:rsidRPr="00783514">
        <w:t xml:space="preserve">any </w:t>
      </w:r>
      <w:r w:rsidR="00E74DCD" w:rsidRPr="00783514">
        <w:t>use of the EAS Tones absent an actual emergency or testing of the system would constitute false use</w:t>
      </w:r>
      <w:r w:rsidR="00CB60BC" w:rsidRPr="00783514">
        <w:t>.</w:t>
      </w:r>
      <w:r w:rsidR="00CB60BC" w:rsidRPr="00783514">
        <w:rPr>
          <w:rStyle w:val="FootnoteReference"/>
          <w:sz w:val="22"/>
          <w:szCs w:val="22"/>
        </w:rPr>
        <w:footnoteReference w:id="73"/>
      </w:r>
    </w:p>
    <w:p w14:paraId="39FFE4F8" w14:textId="77777777" w:rsidR="00517592" w:rsidRPr="00DB3C82" w:rsidRDefault="004369E6" w:rsidP="00DB3C82">
      <w:pPr>
        <w:pStyle w:val="ParaNum"/>
        <w:widowControl/>
        <w:rPr>
          <w:color w:val="1A1A1A"/>
        </w:rPr>
      </w:pPr>
      <w:r>
        <w:t xml:space="preserve">Viacom appears to </w:t>
      </w:r>
      <w:r w:rsidR="007D15DB" w:rsidRPr="00517592">
        <w:t>suggest that the parties’ lack of notice argument is buttressed by the long absence of Commission enforcement actions under Section 11.45 for misuse of EAS Tones</w:t>
      </w:r>
      <w:r>
        <w:t>.</w:t>
      </w:r>
      <w:r>
        <w:rPr>
          <w:rStyle w:val="FootnoteReference"/>
          <w:sz w:val="22"/>
          <w:szCs w:val="22"/>
        </w:rPr>
        <w:footnoteReference w:id="74"/>
      </w:r>
      <w:r>
        <w:t xml:space="preserve">  We </w:t>
      </w:r>
      <w:r w:rsidR="00C85821">
        <w:t>find this suggestion unpersuasive</w:t>
      </w:r>
      <w:r>
        <w:t>.</w:t>
      </w:r>
      <w:r w:rsidR="007D15DB" w:rsidRPr="00517592">
        <w:t xml:space="preserve">  The paucity of EAS complaints that might have prompted Commission action under Section 11.45 in the past does not compel us to forbear from enforcement action now, in the face of viable complaints concerning current misconduct.  Indeed, any claim that the industry lacked notice of what was prohibited by the rule is belied by the fact that many members of the media industry instantly recognized problems with the </w:t>
      </w:r>
      <w:r w:rsidR="007D15DB" w:rsidRPr="00517592">
        <w:rPr>
          <w:i/>
        </w:rPr>
        <w:t>No Surrender Trailer</w:t>
      </w:r>
      <w:r w:rsidR="007D15DB" w:rsidRPr="00517592">
        <w:t>.  Within days of the trailer’s release, ESPN received an email from the SBE advising that the trailer could subject stations airing the ad to FCC fines,</w:t>
      </w:r>
      <w:r w:rsidR="007D15DB" w:rsidRPr="00C2273D">
        <w:rPr>
          <w:rStyle w:val="FootnoteReference"/>
          <w:sz w:val="22"/>
          <w:szCs w:val="22"/>
        </w:rPr>
        <w:footnoteReference w:id="75"/>
      </w:r>
      <w:r w:rsidR="007D15DB" w:rsidRPr="00517592">
        <w:t xml:space="preserve"> and </w:t>
      </w:r>
      <w:r w:rsidR="007D15DB" w:rsidRPr="00517592">
        <w:rPr>
          <w:color w:val="000000"/>
        </w:rPr>
        <w:t>several state broadcaster associations issued advisories about the ad.</w:t>
      </w:r>
      <w:r w:rsidR="007D15DB" w:rsidRPr="00C2273D">
        <w:rPr>
          <w:rStyle w:val="FootnoteReference"/>
          <w:color w:val="000000"/>
          <w:sz w:val="22"/>
          <w:szCs w:val="22"/>
        </w:rPr>
        <w:footnoteReference w:id="76"/>
      </w:r>
      <w:r w:rsidR="007D15DB" w:rsidRPr="00517592">
        <w:rPr>
          <w:color w:val="000000"/>
        </w:rPr>
        <w:t xml:space="preserve">  </w:t>
      </w:r>
      <w:r w:rsidR="002F05BC" w:rsidRPr="00517592">
        <w:rPr>
          <w:color w:val="000000"/>
        </w:rPr>
        <w:t>According to NBCUniversal, b</w:t>
      </w:r>
      <w:r w:rsidR="007D15DB" w:rsidRPr="00517592">
        <w:rPr>
          <w:color w:val="000000"/>
        </w:rPr>
        <w:t>y March 7, 2013, the matter had been brought to the attention of the National Cable Telecommunications Association and the National Association of Broadcasters.</w:t>
      </w:r>
      <w:r w:rsidR="002F05BC">
        <w:rPr>
          <w:rStyle w:val="FootnoteReference"/>
          <w:color w:val="000000"/>
          <w:sz w:val="22"/>
          <w:szCs w:val="22"/>
        </w:rPr>
        <w:footnoteReference w:id="77"/>
      </w:r>
      <w:r w:rsidR="007D15DB" w:rsidRPr="00517592">
        <w:rPr>
          <w:color w:val="000000"/>
        </w:rPr>
        <w:t xml:space="preserve">  </w:t>
      </w:r>
      <w:r w:rsidR="002F05BC" w:rsidRPr="00517592">
        <w:rPr>
          <w:color w:val="000000"/>
        </w:rPr>
        <w:t xml:space="preserve">NBCUniversal further acknowledges that, on that same day, </w:t>
      </w:r>
      <w:r w:rsidR="007D15DB" w:rsidRPr="00517592">
        <w:rPr>
          <w:color w:val="000000"/>
        </w:rPr>
        <w:t>Horizon Media</w:t>
      </w:r>
      <w:r w:rsidR="002F05BC" w:rsidRPr="00517592">
        <w:rPr>
          <w:color w:val="000000"/>
        </w:rPr>
        <w:t xml:space="preserve"> issued a warning to stop running</w:t>
      </w:r>
      <w:r w:rsidR="002F05BC" w:rsidRPr="00CC38DC">
        <w:rPr>
          <w:color w:val="000000"/>
        </w:rPr>
        <w:t xml:space="preserve"> the trailer.</w:t>
      </w:r>
      <w:r w:rsidR="007D15DB" w:rsidRPr="00C2273D">
        <w:rPr>
          <w:rStyle w:val="FootnoteReference"/>
          <w:sz w:val="22"/>
          <w:szCs w:val="22"/>
        </w:rPr>
        <w:footnoteReference w:id="78"/>
      </w:r>
      <w:r w:rsidR="007D15DB" w:rsidRPr="00517592">
        <w:t xml:space="preserve">  This immediate outcry by disparate members of the </w:t>
      </w:r>
      <w:r w:rsidR="007D15DB" w:rsidRPr="002263E3">
        <w:rPr>
          <w:color w:val="000000"/>
        </w:rPr>
        <w:t>media industry demonstrated a widespread recognition that the No Surrender Trailer ran afoul of the EAS Rules.</w:t>
      </w:r>
      <w:r w:rsidR="002F05BC" w:rsidRPr="002263E3">
        <w:rPr>
          <w:color w:val="000000"/>
        </w:rPr>
        <w:t xml:space="preserve">  T</w:t>
      </w:r>
      <w:r w:rsidR="007D15DB" w:rsidRPr="002263E3">
        <w:rPr>
          <w:color w:val="000000"/>
        </w:rPr>
        <w:t>his long-standing, common understanding of the rule’s applicability was also reflected in the Commission’s</w:t>
      </w:r>
      <w:r w:rsidR="007D15DB" w:rsidRPr="00517592">
        <w:t xml:space="preserve"> recent enforcement actions against </w:t>
      </w:r>
      <w:r w:rsidR="00E33B06">
        <w:t xml:space="preserve">a </w:t>
      </w:r>
      <w:r w:rsidR="007D15DB" w:rsidRPr="00517592">
        <w:t>cable network programmer and a broadcast station for EAS violations and in an Enforcement Advisory issued in conjunction with those actions.</w:t>
      </w:r>
      <w:r w:rsidR="007D15DB" w:rsidRPr="00C2273D">
        <w:rPr>
          <w:rStyle w:val="FootnoteReference"/>
          <w:sz w:val="22"/>
          <w:szCs w:val="22"/>
        </w:rPr>
        <w:footnoteReference w:id="79"/>
      </w:r>
      <w:r w:rsidR="007D15DB" w:rsidRPr="00517592">
        <w:t xml:space="preserve">  The </w:t>
      </w:r>
      <w:r w:rsidR="007D15DB" w:rsidRPr="00517592">
        <w:rPr>
          <w:i/>
        </w:rPr>
        <w:t>Advisory</w:t>
      </w:r>
      <w:r w:rsidR="00170E6E" w:rsidRPr="004801CF">
        <w:t xml:space="preserve">, </w:t>
      </w:r>
      <w:r w:rsidR="0061540F">
        <w:t>which was issued following widespread complaints regarding misuse of the EAS Tones</w:t>
      </w:r>
      <w:r w:rsidR="00945EA1">
        <w:t xml:space="preserve">, </w:t>
      </w:r>
      <w:r w:rsidR="007D15DB" w:rsidRPr="00517592">
        <w:t>recites the rationale for the 20-year old rule and reminds the public of its general applicability.</w:t>
      </w:r>
      <w:r w:rsidR="007D15DB" w:rsidRPr="00C2273D">
        <w:rPr>
          <w:rStyle w:val="FootnoteReference"/>
          <w:sz w:val="22"/>
          <w:szCs w:val="22"/>
        </w:rPr>
        <w:footnoteReference w:id="80"/>
      </w:r>
      <w:r w:rsidR="007D15DB" w:rsidRPr="00517592">
        <w:t xml:space="preserve"> </w:t>
      </w:r>
      <w:r w:rsidR="007D15DB" w:rsidRPr="00517592">
        <w:rPr>
          <w:color w:val="1A1A1A"/>
        </w:rPr>
        <w:t xml:space="preserve"> </w:t>
      </w:r>
    </w:p>
    <w:p w14:paraId="28FFC893" w14:textId="77777777" w:rsidR="00B1426F" w:rsidRPr="00517592" w:rsidRDefault="00F204B6" w:rsidP="00D33545">
      <w:pPr>
        <w:pStyle w:val="Heading3"/>
        <w:rPr>
          <w:color w:val="1A1A1A"/>
        </w:rPr>
      </w:pPr>
      <w:r>
        <w:t xml:space="preserve">The Applicability of </w:t>
      </w:r>
      <w:r w:rsidR="00B1426F" w:rsidRPr="00517592">
        <w:t>Section 11.45 Is Not Limited to EAS Participants</w:t>
      </w:r>
    </w:p>
    <w:p w14:paraId="77BE7801" w14:textId="77777777" w:rsidR="00D016F6" w:rsidRPr="00C2273D" w:rsidRDefault="00C20D0B" w:rsidP="00D33545">
      <w:pPr>
        <w:pStyle w:val="ParaNum"/>
      </w:pPr>
      <w:r w:rsidRPr="00C2273D">
        <w:t xml:space="preserve">The Companies </w:t>
      </w:r>
      <w:r w:rsidR="006E1A3C" w:rsidRPr="00C2273D">
        <w:t xml:space="preserve">argue </w:t>
      </w:r>
      <w:r w:rsidR="0074572D" w:rsidRPr="00C2273D">
        <w:t>that Section 11.45 does not apply becaus</w:t>
      </w:r>
      <w:r w:rsidR="00E17290" w:rsidRPr="00C2273D">
        <w:t>e</w:t>
      </w:r>
      <w:r w:rsidR="00884112" w:rsidRPr="00C2273D">
        <w:t xml:space="preserve"> </w:t>
      </w:r>
      <w:r w:rsidR="006E1A3C" w:rsidRPr="00C2273D">
        <w:t xml:space="preserve">they are not </w:t>
      </w:r>
      <w:r w:rsidR="00884112" w:rsidRPr="00C2273D">
        <w:t>EAS participants</w:t>
      </w:r>
      <w:r w:rsidRPr="00C2273D">
        <w:t xml:space="preserve"> and therefore not subject to the EAS rules</w:t>
      </w:r>
      <w:r w:rsidR="0074572D" w:rsidRPr="00C2273D">
        <w:t>.</w:t>
      </w:r>
      <w:r w:rsidR="0074572D" w:rsidRPr="00C2273D">
        <w:rPr>
          <w:rStyle w:val="FootnoteReference"/>
          <w:color w:val="1A1A1A"/>
          <w:sz w:val="22"/>
          <w:szCs w:val="22"/>
        </w:rPr>
        <w:footnoteReference w:id="81"/>
      </w:r>
      <w:r w:rsidR="006601CD" w:rsidRPr="00C2273D">
        <w:t xml:space="preserve">  </w:t>
      </w:r>
      <w:r w:rsidR="00EA3B89" w:rsidRPr="00C2273D">
        <w:t>NBCUniversal further argues that it is unclear whether the EAS rules apply to program</w:t>
      </w:r>
      <w:r w:rsidR="00EA3B89" w:rsidRPr="00C2273D">
        <w:rPr>
          <w:b/>
        </w:rPr>
        <w:t xml:space="preserve"> </w:t>
      </w:r>
      <w:r w:rsidR="00EA3B89" w:rsidRPr="00C2273D">
        <w:t>providers or cable programming networks such as itself but, if they do, the Commission never provided notice of such applicability.</w:t>
      </w:r>
      <w:r w:rsidR="00EA3B89" w:rsidRPr="00C2273D">
        <w:rPr>
          <w:rStyle w:val="FootnoteReference"/>
          <w:sz w:val="22"/>
          <w:szCs w:val="22"/>
        </w:rPr>
        <w:footnoteReference w:id="82"/>
      </w:r>
      <w:r w:rsidR="00EA3B89" w:rsidRPr="00C2273D">
        <w:t xml:space="preserve">  </w:t>
      </w:r>
      <w:r w:rsidR="0074572D" w:rsidRPr="00C2273D">
        <w:t xml:space="preserve">We disagree.  </w:t>
      </w:r>
      <w:r w:rsidR="006E1A3C" w:rsidRPr="00C2273D">
        <w:t xml:space="preserve">First, </w:t>
      </w:r>
      <w:r w:rsidR="00F33D11" w:rsidRPr="00C2273D">
        <w:t>t</w:t>
      </w:r>
      <w:r w:rsidR="0017203D" w:rsidRPr="00C2273D">
        <w:t>he</w:t>
      </w:r>
      <w:r w:rsidR="0074572D" w:rsidRPr="00C2273D">
        <w:t xml:space="preserve"> language of </w:t>
      </w:r>
      <w:r w:rsidR="006E1A3C" w:rsidRPr="00C2273D">
        <w:t>Section 11.45 plainly</w:t>
      </w:r>
      <w:r w:rsidR="0074572D" w:rsidRPr="00C2273D">
        <w:t xml:space="preserve"> indicates that the</w:t>
      </w:r>
      <w:r w:rsidR="0017203D" w:rsidRPr="00C2273D">
        <w:t xml:space="preserve"> Commission </w:t>
      </w:r>
      <w:r w:rsidR="00F15A72">
        <w:t>did not</w:t>
      </w:r>
      <w:r w:rsidR="0074572D" w:rsidRPr="00C2273D">
        <w:t xml:space="preserve"> limit</w:t>
      </w:r>
      <w:r w:rsidR="0017203D" w:rsidRPr="00C2273D">
        <w:t xml:space="preserve"> </w:t>
      </w:r>
      <w:r w:rsidR="002B19C3" w:rsidRPr="00C2273D">
        <w:t>the rule’s</w:t>
      </w:r>
      <w:r w:rsidR="0017203D" w:rsidRPr="00C2273D">
        <w:t xml:space="preserve"> applicability</w:t>
      </w:r>
      <w:r w:rsidR="00BD24D9" w:rsidRPr="00C2273D">
        <w:t xml:space="preserve"> to EAS participants</w:t>
      </w:r>
      <w:r w:rsidR="0017203D" w:rsidRPr="00C2273D">
        <w:t>.</w:t>
      </w:r>
      <w:r w:rsidR="00D3649C" w:rsidRPr="00C2273D">
        <w:rPr>
          <w:rStyle w:val="FootnoteReference"/>
          <w:color w:val="1A1A1A"/>
          <w:sz w:val="22"/>
          <w:szCs w:val="22"/>
        </w:rPr>
        <w:footnoteReference w:id="83"/>
      </w:r>
      <w:r w:rsidR="0017203D" w:rsidRPr="00C2273D">
        <w:t xml:space="preserve">  </w:t>
      </w:r>
      <w:r w:rsidR="006E1A3C" w:rsidRPr="00C2273D">
        <w:t>In this connection, Section</w:t>
      </w:r>
      <w:r w:rsidR="0017203D" w:rsidRPr="00C2273D">
        <w:t xml:space="preserve"> 11.45 </w:t>
      </w:r>
      <w:r w:rsidR="006E1A3C" w:rsidRPr="00C2273D">
        <w:t>provides that</w:t>
      </w:r>
      <w:r w:rsidR="0017203D" w:rsidRPr="00C2273D">
        <w:t xml:space="preserve"> </w:t>
      </w:r>
      <w:r w:rsidR="0017203D" w:rsidRPr="00C2273D">
        <w:rPr>
          <w:color w:val="000000"/>
        </w:rPr>
        <w:t xml:space="preserve">“[n]o </w:t>
      </w:r>
      <w:r w:rsidR="0017203D" w:rsidRPr="00C2273D">
        <w:rPr>
          <w:i/>
          <w:color w:val="000000"/>
        </w:rPr>
        <w:t>person</w:t>
      </w:r>
      <w:r w:rsidR="0017203D" w:rsidRPr="00C2273D">
        <w:rPr>
          <w:color w:val="000000"/>
        </w:rPr>
        <w:t xml:space="preserve"> may transmit or cause to transmit the EAS codes or Attention Signal.</w:t>
      </w:r>
      <w:r w:rsidR="0074572D" w:rsidRPr="00C2273D">
        <w:rPr>
          <w:color w:val="000000"/>
        </w:rPr>
        <w:t>”</w:t>
      </w:r>
      <w:r w:rsidR="0074572D" w:rsidRPr="00C2273D">
        <w:rPr>
          <w:rStyle w:val="FootnoteReference"/>
          <w:color w:val="000000"/>
          <w:sz w:val="22"/>
          <w:szCs w:val="22"/>
        </w:rPr>
        <w:footnoteReference w:id="84"/>
      </w:r>
      <w:r w:rsidR="0074572D" w:rsidRPr="00C2273D">
        <w:rPr>
          <w:color w:val="000000"/>
        </w:rPr>
        <w:t xml:space="preserve">  </w:t>
      </w:r>
      <w:r w:rsidR="0017203D" w:rsidRPr="00C2273D">
        <w:rPr>
          <w:color w:val="000000"/>
        </w:rPr>
        <w:t>In addition, th</w:t>
      </w:r>
      <w:r w:rsidR="00DB722F" w:rsidRPr="00C2273D">
        <w:rPr>
          <w:color w:val="000000"/>
        </w:rPr>
        <w:t xml:space="preserve">e Commission specifically </w:t>
      </w:r>
      <w:r w:rsidR="006E1A3C" w:rsidRPr="00C2273D">
        <w:rPr>
          <w:color w:val="000000"/>
        </w:rPr>
        <w:t>found in its</w:t>
      </w:r>
      <w:r w:rsidR="0017203D" w:rsidRPr="00C2273D">
        <w:rPr>
          <w:color w:val="000000"/>
        </w:rPr>
        <w:t xml:space="preserve"> </w:t>
      </w:r>
      <w:r w:rsidR="0017203D" w:rsidRPr="002263E3">
        <w:rPr>
          <w:i/>
          <w:color w:val="000000"/>
        </w:rPr>
        <w:t xml:space="preserve">1994 </w:t>
      </w:r>
      <w:r w:rsidR="00807671">
        <w:rPr>
          <w:i/>
          <w:color w:val="000000"/>
        </w:rPr>
        <w:t xml:space="preserve">EBS </w:t>
      </w:r>
      <w:r w:rsidR="0017203D" w:rsidRPr="002263E3">
        <w:rPr>
          <w:i/>
          <w:color w:val="000000"/>
        </w:rPr>
        <w:t>Order</w:t>
      </w:r>
      <w:r w:rsidR="0017203D" w:rsidRPr="00C2273D">
        <w:rPr>
          <w:color w:val="000000"/>
        </w:rPr>
        <w:t xml:space="preserve"> </w:t>
      </w:r>
      <w:r w:rsidR="0017203D" w:rsidRPr="00C2273D">
        <w:t>that, “</w:t>
      </w:r>
      <w:r w:rsidR="0074572D" w:rsidRPr="00C2273D">
        <w:t>[w]</w:t>
      </w:r>
      <w:r w:rsidR="0017203D" w:rsidRPr="00C2273D">
        <w:t>e believe a specific prohibition against the misuse of the EAS attention signal and codes is necessary</w:t>
      </w:r>
      <w:r w:rsidR="00611BC6" w:rsidRPr="00C2273D">
        <w:t xml:space="preserve"> . . .</w:t>
      </w:r>
      <w:r w:rsidR="0017203D" w:rsidRPr="00C2273D">
        <w:t xml:space="preserve"> because it is more specific and directly addresses the proper use of EAS codes and tones. </w:t>
      </w:r>
      <w:r w:rsidR="0074572D" w:rsidRPr="00C2273D">
        <w:t xml:space="preserve"> </w:t>
      </w:r>
      <w:r w:rsidR="0017203D" w:rsidRPr="00C2273D">
        <w:t xml:space="preserve">Therefore, we adopt new Section 11.45 to prohibit </w:t>
      </w:r>
      <w:r w:rsidR="0017203D" w:rsidRPr="00C2273D">
        <w:rPr>
          <w:i/>
        </w:rPr>
        <w:t>anyone</w:t>
      </w:r>
      <w:r w:rsidR="0017203D" w:rsidRPr="00C2273D">
        <w:t xml:space="preserve"> from transmitting the EAS two-tone attention signal or any of the new special codes for false or deceptive use.</w:t>
      </w:r>
      <w:r w:rsidR="0074572D" w:rsidRPr="00C2273D">
        <w:t>”</w:t>
      </w:r>
      <w:r w:rsidR="0074572D" w:rsidRPr="00C2273D">
        <w:rPr>
          <w:rStyle w:val="FootnoteReference"/>
          <w:sz w:val="22"/>
          <w:szCs w:val="22"/>
        </w:rPr>
        <w:footnoteReference w:id="85"/>
      </w:r>
      <w:r w:rsidR="0074572D" w:rsidRPr="00C2273D">
        <w:t xml:space="preserve">  </w:t>
      </w:r>
      <w:r w:rsidR="00F879B6" w:rsidRPr="00C2273D">
        <w:t xml:space="preserve">As the plain language of both Section 11.45 and the </w:t>
      </w:r>
      <w:r w:rsidR="00807671" w:rsidRPr="00695BBD">
        <w:rPr>
          <w:i/>
        </w:rPr>
        <w:t>1994 E</w:t>
      </w:r>
      <w:r w:rsidR="00807671">
        <w:rPr>
          <w:i/>
        </w:rPr>
        <w:t>B</w:t>
      </w:r>
      <w:r w:rsidR="00807671" w:rsidRPr="00695BBD">
        <w:rPr>
          <w:i/>
        </w:rPr>
        <w:t>S</w:t>
      </w:r>
      <w:r w:rsidR="00807671">
        <w:t xml:space="preserve"> </w:t>
      </w:r>
      <w:r w:rsidR="00F879B6" w:rsidRPr="002263E3">
        <w:rPr>
          <w:i/>
        </w:rPr>
        <w:t>Order</w:t>
      </w:r>
      <w:r w:rsidR="00F879B6" w:rsidRPr="00C2273D">
        <w:t xml:space="preserve"> adopting Section 11.45 </w:t>
      </w:r>
      <w:r w:rsidR="00F15A72">
        <w:t xml:space="preserve">use terms of broad applicability in defining the scope of entities subject to the rule and </w:t>
      </w:r>
      <w:r w:rsidR="00F879B6" w:rsidRPr="00C2273D">
        <w:t>eschew any limitation to EAS participants</w:t>
      </w:r>
      <w:r w:rsidR="00BD24D9" w:rsidRPr="00C2273D">
        <w:t xml:space="preserve"> or otherwise</w:t>
      </w:r>
      <w:r w:rsidR="00F879B6" w:rsidRPr="00C2273D">
        <w:t xml:space="preserve">, the Companies’ </w:t>
      </w:r>
      <w:r w:rsidR="007F1B34" w:rsidRPr="00C2273D">
        <w:t xml:space="preserve">claims that they lacked notice </w:t>
      </w:r>
      <w:r w:rsidR="00F15A72">
        <w:t xml:space="preserve">of the rule’s applicability to them </w:t>
      </w:r>
      <w:r w:rsidR="007F1B34" w:rsidRPr="00C2273D">
        <w:t xml:space="preserve">are </w:t>
      </w:r>
      <w:r w:rsidR="00F15A72">
        <w:t>ill-founded</w:t>
      </w:r>
      <w:r w:rsidR="007F1B34" w:rsidRPr="00C2273D">
        <w:t>.</w:t>
      </w:r>
      <w:r w:rsidR="00F879B6" w:rsidRPr="00C2273D">
        <w:t xml:space="preserve">  </w:t>
      </w:r>
    </w:p>
    <w:p w14:paraId="610EBEF0" w14:textId="77777777" w:rsidR="00875225" w:rsidRPr="00875225" w:rsidRDefault="00500E3F" w:rsidP="00875225">
      <w:pPr>
        <w:pStyle w:val="ParaNum"/>
        <w:rPr>
          <w:color w:val="1A1A1A"/>
        </w:rPr>
      </w:pPr>
      <w:r w:rsidRPr="00C2273D">
        <w:t xml:space="preserve">Our recent actions involving Section 11.45 have been consistent with this conclusion.  </w:t>
      </w:r>
      <w:r w:rsidR="00875225">
        <w:t xml:space="preserve">In our most recent action, we </w:t>
      </w:r>
      <w:r w:rsidR="00875225" w:rsidRPr="00C2273D">
        <w:t xml:space="preserve">found Turner </w:t>
      </w:r>
      <w:r w:rsidR="00875225">
        <w:t>Broadcasting System, Inc. (Turner)</w:t>
      </w:r>
      <w:r w:rsidR="00875225" w:rsidRPr="00C2273D">
        <w:t xml:space="preserve">—a cable programming provider similar to the Companies—apparently liable for a forfeiture in the amount of two hundred thousand dollars ($200,000) in connection with a violation of Section 11.45 of the Commission’s rules and Section 325(a) of the Act after Turner transmitted </w:t>
      </w:r>
      <w:r w:rsidR="00875225">
        <w:t xml:space="preserve">or caused the transmission of </w:t>
      </w:r>
      <w:r w:rsidR="00875225" w:rsidRPr="00C2273D">
        <w:t>a simulation of the EAS codes in connection with a Best Buy commercial promoting the release of a new recording by music artist A$AP Rocky.</w:t>
      </w:r>
      <w:r w:rsidR="00875225" w:rsidRPr="00C2273D">
        <w:rPr>
          <w:rStyle w:val="FootnoteReference"/>
          <w:sz w:val="22"/>
          <w:szCs w:val="22"/>
        </w:rPr>
        <w:footnoteReference w:id="86"/>
      </w:r>
      <w:r w:rsidR="00875225">
        <w:t xml:space="preserve">  Likewise, the Enforcement Bureau previously found that Turner violated Section 11.45 and Section 325(a) when it transmitted</w:t>
      </w:r>
      <w:r w:rsidR="00875225" w:rsidRPr="00C2273D">
        <w:t xml:space="preserve"> </w:t>
      </w:r>
      <w:r w:rsidR="00875225">
        <w:t xml:space="preserve">or caused the transmission of </w:t>
      </w:r>
      <w:r w:rsidR="00875225" w:rsidRPr="00C2273D">
        <w:t xml:space="preserve">a promotion for the </w:t>
      </w:r>
      <w:r w:rsidR="00875225" w:rsidRPr="00875225">
        <w:rPr>
          <w:i/>
        </w:rPr>
        <w:t>Conan</w:t>
      </w:r>
      <w:r w:rsidR="00875225" w:rsidRPr="00C2273D">
        <w:t xml:space="preserve"> show, which included audio material that constituted a simulation of the EAS codes and Attention Signal.</w:t>
      </w:r>
      <w:r w:rsidR="00875225" w:rsidRPr="00C2273D">
        <w:rPr>
          <w:rStyle w:val="FootnoteReference"/>
          <w:sz w:val="22"/>
          <w:szCs w:val="22"/>
        </w:rPr>
        <w:footnoteReference w:id="87"/>
      </w:r>
      <w:r w:rsidR="00875225" w:rsidRPr="00C2273D">
        <w:t xml:space="preserve">  </w:t>
      </w:r>
      <w:r w:rsidR="00875225">
        <w:t xml:space="preserve">In that case, the Bureau found Turner </w:t>
      </w:r>
      <w:r w:rsidR="00875225" w:rsidRPr="00C2273D">
        <w:t>apparently liable for a forfeiture in the amount of twenty-</w:t>
      </w:r>
      <w:r w:rsidR="00875225">
        <w:t>five thousand dollars ($25,000).</w:t>
      </w:r>
      <w:r w:rsidR="00277EA7">
        <w:rPr>
          <w:rStyle w:val="FootnoteReference"/>
        </w:rPr>
        <w:footnoteReference w:id="88"/>
      </w:r>
      <w:r w:rsidR="00875225">
        <w:t xml:space="preserve">  Furthermore, </w:t>
      </w:r>
      <w:r w:rsidR="00875225" w:rsidRPr="00C2273D">
        <w:t xml:space="preserve">the Bureau noted in its 2013 </w:t>
      </w:r>
      <w:r w:rsidR="00875225" w:rsidRPr="00875225">
        <w:rPr>
          <w:i/>
        </w:rPr>
        <w:t>Advisory</w:t>
      </w:r>
      <w:r w:rsidR="00875225" w:rsidRPr="00C2273D">
        <w:t xml:space="preserve">, </w:t>
      </w:r>
      <w:r w:rsidR="00875225">
        <w:t xml:space="preserve">that </w:t>
      </w:r>
      <w:r w:rsidR="00875225" w:rsidRPr="00C2273D">
        <w:t xml:space="preserve">Section 11.45: </w:t>
      </w:r>
    </w:p>
    <w:p w14:paraId="0DBFF1B4" w14:textId="77777777" w:rsidR="00875225" w:rsidRPr="00C2273D" w:rsidRDefault="00875225" w:rsidP="00875225">
      <w:pPr>
        <w:pStyle w:val="ParaNum"/>
        <w:numPr>
          <w:ilvl w:val="0"/>
          <w:numId w:val="0"/>
        </w:numPr>
        <w:ind w:left="720"/>
        <w:rPr>
          <w:color w:val="1A1A1A"/>
        </w:rPr>
      </w:pPr>
      <w:r w:rsidRPr="00C2273D">
        <w:rPr>
          <w:szCs w:val="22"/>
        </w:rPr>
        <w:t>[A]pplies to programmers that distribute programming containing a prohibited sound regardless of whether or not they deliver the unlawful signal directly to consumers; it also applies to a person who transmits an unlawful signal even if that person did not create or produce the prohibited programming in the first instance.  Therefore, the prohibition also applies to a broadcaster, cable operator, or satellite carrier that transmits programming containing a prohibited sound even if the programmer that embedded the sound is not under common ownership or control with the respective broadcaster, operator, or carrier.</w:t>
      </w:r>
      <w:r w:rsidRPr="00C2273D">
        <w:rPr>
          <w:rStyle w:val="FootnoteReference"/>
          <w:sz w:val="22"/>
          <w:szCs w:val="22"/>
        </w:rPr>
        <w:footnoteReference w:id="89"/>
      </w:r>
    </w:p>
    <w:p w14:paraId="17A84B2D" w14:textId="77777777" w:rsidR="00B1426F" w:rsidRPr="0056751C" w:rsidRDefault="00B1426F" w:rsidP="00DB3C82">
      <w:pPr>
        <w:pStyle w:val="Heading3"/>
        <w:widowControl/>
      </w:pPr>
      <w:r w:rsidRPr="0056751C">
        <w:t>The Companies’ Actions Transmitted or Caused the Transmission of the EAS Tones</w:t>
      </w:r>
    </w:p>
    <w:p w14:paraId="2E58CD73" w14:textId="77777777" w:rsidR="00C20D0B" w:rsidRPr="00C2273D" w:rsidRDefault="00C20D0B" w:rsidP="007A7B94">
      <w:pPr>
        <w:pStyle w:val="ParaNum"/>
        <w:widowControl/>
        <w:rPr>
          <w:color w:val="1A1A1A"/>
        </w:rPr>
      </w:pPr>
      <w:r w:rsidRPr="00C2273D">
        <w:t xml:space="preserve">The Companies also argue that that they did not violate Section 11.45 because they did not “transmit” the </w:t>
      </w:r>
      <w:r w:rsidRPr="00C2273D">
        <w:rPr>
          <w:i/>
        </w:rPr>
        <w:t>No Surrender Trailer</w:t>
      </w:r>
      <w:r w:rsidRPr="00C2273D">
        <w:t>.</w:t>
      </w:r>
      <w:r w:rsidRPr="00C2273D">
        <w:rPr>
          <w:rStyle w:val="FootnoteReference"/>
          <w:sz w:val="22"/>
          <w:szCs w:val="22"/>
        </w:rPr>
        <w:footnoteReference w:id="90"/>
      </w:r>
      <w:r w:rsidRPr="00C2273D">
        <w:t xml:space="preserve">  Viacom </w:t>
      </w:r>
      <w:r w:rsidR="007F1B34" w:rsidRPr="00C2273D">
        <w:t>further</w:t>
      </w:r>
      <w:r w:rsidRPr="00C2273D">
        <w:t xml:space="preserve"> claims that it did not even cause the trailer to be transmitted</w:t>
      </w:r>
      <w:r w:rsidR="0027558A">
        <w:t xml:space="preserve">, instead blaming the advertising agency that provided the ad to </w:t>
      </w:r>
      <w:r w:rsidR="003F04CB">
        <w:t>it</w:t>
      </w:r>
      <w:r w:rsidRPr="00C2273D">
        <w:t>.</w:t>
      </w:r>
      <w:r w:rsidRPr="00C2273D">
        <w:rPr>
          <w:rStyle w:val="FootnoteReference"/>
          <w:sz w:val="22"/>
          <w:szCs w:val="22"/>
        </w:rPr>
        <w:footnoteReference w:id="91"/>
      </w:r>
      <w:r w:rsidRPr="00C2273D">
        <w:t xml:space="preserve">  These argument</w:t>
      </w:r>
      <w:r w:rsidR="00B87E32" w:rsidRPr="00C2273D">
        <w:t>s</w:t>
      </w:r>
      <w:r w:rsidRPr="00C2273D">
        <w:t xml:space="preserve"> lack merit.  As noted above, Section 11.45, on its face, is not limited to direct transmissions by or to a particular person or entity.  </w:t>
      </w:r>
      <w:r w:rsidR="00A066FB">
        <w:t>T</w:t>
      </w:r>
      <w:r w:rsidRPr="00C2273D">
        <w:t>he plain language of Section 11.45 specifies that no person may transmit or “</w:t>
      </w:r>
      <w:r w:rsidRPr="00C2273D">
        <w:rPr>
          <w:i/>
        </w:rPr>
        <w:t>cause to transmit</w:t>
      </w:r>
      <w:r w:rsidRPr="00C2273D">
        <w:t>” the EAS Tones.</w:t>
      </w:r>
      <w:r w:rsidRPr="00C2273D">
        <w:rPr>
          <w:rStyle w:val="FootnoteReference"/>
          <w:sz w:val="22"/>
          <w:szCs w:val="22"/>
        </w:rPr>
        <w:footnoteReference w:id="92"/>
      </w:r>
      <w:r w:rsidRPr="00C2273D">
        <w:t xml:space="preserve">  The rule’s use of the disjunctive “or” means that a company may violate the rule if it either transmits or causes </w:t>
      </w:r>
      <w:r w:rsidR="00500E3F" w:rsidRPr="00C2273D">
        <w:t>the transmission of</w:t>
      </w:r>
      <w:r w:rsidRPr="00C2273D">
        <w:t xml:space="preserve"> EAS Tones.</w:t>
      </w:r>
      <w:r w:rsidR="0084516D">
        <w:t xml:space="preserve"> </w:t>
      </w:r>
      <w:r w:rsidRPr="00C2273D">
        <w:t xml:space="preserve"> Even assuming, </w:t>
      </w:r>
      <w:r w:rsidRPr="00C2273D">
        <w:rPr>
          <w:i/>
        </w:rPr>
        <w:t>arguendo</w:t>
      </w:r>
      <w:r w:rsidRPr="002263E3">
        <w:t>,</w:t>
      </w:r>
      <w:r w:rsidRPr="00C2273D">
        <w:rPr>
          <w:i/>
        </w:rPr>
        <w:t xml:space="preserve"> </w:t>
      </w:r>
      <w:r w:rsidRPr="00C2273D">
        <w:t xml:space="preserve">that each of the Companies did not “transmit” the </w:t>
      </w:r>
      <w:r w:rsidRPr="00C2273D">
        <w:rPr>
          <w:i/>
        </w:rPr>
        <w:t>No Surrender Trailer</w:t>
      </w:r>
      <w:r w:rsidRPr="00C2273D">
        <w:t>, each of the Companies</w:t>
      </w:r>
      <w:r w:rsidR="00F204B6">
        <w:t xml:space="preserve"> unquestionably</w:t>
      </w:r>
      <w:r w:rsidRPr="00C2273D">
        <w:t xml:space="preserve"> </w:t>
      </w:r>
      <w:r w:rsidRPr="00C2273D">
        <w:rPr>
          <w:i/>
        </w:rPr>
        <w:t>caused</w:t>
      </w:r>
      <w:r w:rsidRPr="00C2273D">
        <w:t xml:space="preserve"> the transmission of the trailer.</w:t>
      </w:r>
      <w:r w:rsidR="007F1B34" w:rsidRPr="00C2273D">
        <w:t xml:space="preserve"> </w:t>
      </w:r>
      <w:r w:rsidRPr="00C2273D">
        <w:t xml:space="preserve"> </w:t>
      </w:r>
      <w:r w:rsidR="00F979FC">
        <w:t xml:space="preserve">The Companies make no claim that they were unaware of their acceptance of the </w:t>
      </w:r>
      <w:r w:rsidR="00F979FC">
        <w:rPr>
          <w:i/>
        </w:rPr>
        <w:t xml:space="preserve">No Surrender Trailer </w:t>
      </w:r>
      <w:r w:rsidR="00F979FC">
        <w:t>or that it was included in their programming</w:t>
      </w:r>
      <w:r w:rsidR="00041D83">
        <w:t xml:space="preserve"> and distributed</w:t>
      </w:r>
      <w:r w:rsidR="00F979FC">
        <w:t xml:space="preserve"> without their knowledge.  </w:t>
      </w:r>
      <w:r w:rsidR="00C72517">
        <w:t>Indeed</w:t>
      </w:r>
      <w:r w:rsidRPr="00C2273D">
        <w:t xml:space="preserve">, each of the Companies admits reviewing the </w:t>
      </w:r>
      <w:r w:rsidRPr="00C2273D">
        <w:rPr>
          <w:i/>
        </w:rPr>
        <w:t>No Surrender Trailer</w:t>
      </w:r>
      <w:r w:rsidRPr="00C2273D">
        <w:t xml:space="preserve"> for inclusion </w:t>
      </w:r>
      <w:r w:rsidR="00ED3D47" w:rsidRPr="00C2273D">
        <w:t xml:space="preserve">in </w:t>
      </w:r>
      <w:r w:rsidRPr="00C2273D">
        <w:t>its respective programming.</w:t>
      </w:r>
      <w:r w:rsidRPr="00C2273D">
        <w:rPr>
          <w:rStyle w:val="FootnoteReference"/>
          <w:sz w:val="22"/>
          <w:szCs w:val="22"/>
        </w:rPr>
        <w:footnoteReference w:id="93"/>
      </w:r>
      <w:r w:rsidRPr="00C2273D">
        <w:t xml:space="preserve">  Each of the Companies further admits affirmatively deciding to include the trailer in the programming it </w:t>
      </w:r>
      <w:r w:rsidR="007F1B34" w:rsidRPr="00C2273D">
        <w:t>distributed to MVPDs</w:t>
      </w:r>
      <w:r w:rsidRPr="00C2273D">
        <w:t xml:space="preserve"> with the knowledge that the MVPDs would, in turn, transmit the programming to their subscribers.</w:t>
      </w:r>
      <w:r w:rsidRPr="00C2273D">
        <w:rPr>
          <w:rStyle w:val="FootnoteReference"/>
          <w:sz w:val="22"/>
          <w:szCs w:val="22"/>
        </w:rPr>
        <w:footnoteReference w:id="94"/>
      </w:r>
      <w:r w:rsidRPr="00C2273D">
        <w:t xml:space="preserve">  </w:t>
      </w:r>
      <w:r w:rsidR="00F979FC">
        <w:t>In short</w:t>
      </w:r>
      <w:r w:rsidRPr="00C2273D">
        <w:t>, each of the Companies caused the transmission of the trailer.  Any attempt to evade liability by reading out the “cause to transmit” clause from Section 11.45 is unreasonable and contrary to the plain language of the rule</w:t>
      </w:r>
      <w:r w:rsidR="00F979FC">
        <w:t>.</w:t>
      </w:r>
      <w:r w:rsidRPr="00C2273D">
        <w:t xml:space="preserve">  </w:t>
      </w:r>
    </w:p>
    <w:p w14:paraId="1FCE6EED" w14:textId="77777777" w:rsidR="00C20D0B" w:rsidRPr="00C2273D" w:rsidRDefault="00C20D0B" w:rsidP="00DB3C82">
      <w:pPr>
        <w:pStyle w:val="ParaNum"/>
        <w:rPr>
          <w:color w:val="1A1A1A"/>
        </w:rPr>
      </w:pPr>
      <w:r w:rsidRPr="00C2273D">
        <w:t>Viacom claim</w:t>
      </w:r>
      <w:r w:rsidR="00041D83">
        <w:t>s</w:t>
      </w:r>
      <w:r w:rsidRPr="00C2273D">
        <w:t xml:space="preserve"> that it did not cause the transmission of the tones </w:t>
      </w:r>
      <w:r w:rsidR="00041D83">
        <w:t>because</w:t>
      </w:r>
      <w:r w:rsidRPr="00C2273D">
        <w:t xml:space="preserve"> the ad agency that produced the trailer embedded the </w:t>
      </w:r>
      <w:r w:rsidR="006E2992">
        <w:t>EAS Tones</w:t>
      </w:r>
      <w:r w:rsidRPr="00C2273D">
        <w:t xml:space="preserve"> in the trailer</w:t>
      </w:r>
      <w:r w:rsidR="00921A06">
        <w:t>.  Thus, according to Viacom</w:t>
      </w:r>
      <w:r w:rsidRPr="00C2273D">
        <w:t>, the ad agency, not Viacom, established “the necessary conditions for, or ‘caused,’ the transmission of the EAS Tones to the public.”</w:t>
      </w:r>
      <w:r w:rsidRPr="00C2273D">
        <w:rPr>
          <w:rStyle w:val="FootnoteReference"/>
          <w:sz w:val="22"/>
          <w:szCs w:val="22"/>
        </w:rPr>
        <w:footnoteReference w:id="95"/>
      </w:r>
      <w:r w:rsidRPr="00C2273D">
        <w:t xml:space="preserve">  </w:t>
      </w:r>
      <w:r w:rsidR="00F204B6">
        <w:t>T</w:t>
      </w:r>
      <w:r w:rsidR="002B1041" w:rsidRPr="00C2273D">
        <w:t xml:space="preserve">his attempt to shift blame must fail.  </w:t>
      </w:r>
      <w:r w:rsidR="00041D83">
        <w:t>Viacom admits that it accepted the ad and distributed it through its networks.  Moreover, it</w:t>
      </w:r>
      <w:r w:rsidRPr="00C2273D">
        <w:t xml:space="preserve"> acknowledges that it reviewed the trailer prior to including it in its networks’ programming.</w:t>
      </w:r>
      <w:r w:rsidRPr="00C2273D">
        <w:rPr>
          <w:rStyle w:val="FootnoteReference"/>
          <w:sz w:val="22"/>
          <w:szCs w:val="22"/>
        </w:rPr>
        <w:footnoteReference w:id="96"/>
      </w:r>
      <w:r w:rsidRPr="00C2273D">
        <w:t xml:space="preserve">  Indeed, according to Viacom’s own advertising guidelines, Viacom retains the express right to review commercials “to ensure compliance with relevant government and industry regulations” and “reject any advertising that it determines </w:t>
      </w:r>
      <w:r w:rsidR="00F9544E">
        <w:t xml:space="preserve">. . . </w:t>
      </w:r>
      <w:r w:rsidRPr="00C2273D">
        <w:t>violates applicable law.”</w:t>
      </w:r>
      <w:r w:rsidRPr="00C2273D">
        <w:rPr>
          <w:rStyle w:val="FootnoteReference"/>
          <w:sz w:val="22"/>
          <w:szCs w:val="22"/>
        </w:rPr>
        <w:footnoteReference w:id="97"/>
      </w:r>
      <w:r w:rsidRPr="00C2273D">
        <w:t xml:space="preserve">  Viacom, like the other Companies, reviewed the content of the </w:t>
      </w:r>
      <w:r w:rsidRPr="00C2273D">
        <w:rPr>
          <w:i/>
          <w:color w:val="000000"/>
        </w:rPr>
        <w:t>No Surrender Trailer</w:t>
      </w:r>
      <w:r w:rsidRPr="00C2273D">
        <w:t xml:space="preserve"> and included it in its programming, which it then distributed to MVPDs for transmission to the public.  In this manner Viacom and the other Companies transmitted or caused the transmission of the EAS </w:t>
      </w:r>
      <w:r w:rsidR="00C80DC4">
        <w:t>c</w:t>
      </w:r>
      <w:r w:rsidRPr="00C2273D">
        <w:t>o</w:t>
      </w:r>
      <w:r w:rsidR="006F2A76">
        <w:t>d</w:t>
      </w:r>
      <w:r w:rsidRPr="00C2273D">
        <w:t xml:space="preserve">es </w:t>
      </w:r>
      <w:r w:rsidR="00E97CA5">
        <w:t xml:space="preserve">and Attention Signal </w:t>
      </w:r>
      <w:r w:rsidRPr="00C2273D">
        <w:t>in circumstances prohibited by the rule.</w:t>
      </w:r>
    </w:p>
    <w:p w14:paraId="4D822BC6" w14:textId="77777777" w:rsidR="004951EF" w:rsidRPr="0056751C" w:rsidRDefault="004951EF" w:rsidP="00DB3C82">
      <w:pPr>
        <w:pStyle w:val="Heading3"/>
      </w:pPr>
      <w:r w:rsidRPr="0056751C">
        <w:t xml:space="preserve">Section 11.45 Does Not Require </w:t>
      </w:r>
      <w:r w:rsidR="00EC4335">
        <w:t xml:space="preserve">Deceptive Use or </w:t>
      </w:r>
      <w:r w:rsidRPr="0056751C">
        <w:t xml:space="preserve">Intent To Deceive </w:t>
      </w:r>
    </w:p>
    <w:p w14:paraId="15D6352E" w14:textId="77777777" w:rsidR="00B87E32" w:rsidRPr="00C2273D" w:rsidRDefault="003E1377" w:rsidP="00DB3C82">
      <w:pPr>
        <w:pStyle w:val="ParaNum"/>
        <w:rPr>
          <w:color w:val="000000" w:themeColor="text1"/>
        </w:rPr>
      </w:pPr>
      <w:r w:rsidRPr="00C2273D">
        <w:t xml:space="preserve">Viacom and NBCUniversal also argue that it is unclear that the rule prohibits network program providers from using </w:t>
      </w:r>
      <w:r w:rsidR="006E2992">
        <w:t>EAS Tones</w:t>
      </w:r>
      <w:r w:rsidRPr="00C2273D">
        <w:t xml:space="preserve"> in dramatic programming or other “non-deceptive” circumstances</w:t>
      </w:r>
      <w:r w:rsidR="00C20D0B" w:rsidRPr="00C2273D">
        <w:t>.</w:t>
      </w:r>
      <w:r w:rsidR="00B87E32" w:rsidRPr="00C2273D">
        <w:rPr>
          <w:rStyle w:val="FootnoteReference"/>
          <w:color w:val="1A1A1A"/>
          <w:sz w:val="22"/>
          <w:szCs w:val="22"/>
        </w:rPr>
        <w:footnoteReference w:id="98"/>
      </w:r>
      <w:r w:rsidR="00C20D0B" w:rsidRPr="00C2273D">
        <w:t xml:space="preserve">  </w:t>
      </w:r>
      <w:r w:rsidR="000A6D6B">
        <w:t>Contending</w:t>
      </w:r>
      <w:r w:rsidR="00B87E32" w:rsidRPr="00C2273D">
        <w:rPr>
          <w:spacing w:val="-2"/>
        </w:rPr>
        <w:t xml:space="preserve"> that Section 11.45 derives from Section 325 of the Act, which proscribes the transmission of false or fraudulent distress signals, </w:t>
      </w:r>
      <w:r w:rsidR="000A6D6B">
        <w:rPr>
          <w:spacing w:val="-2"/>
        </w:rPr>
        <w:t>Viacom</w:t>
      </w:r>
      <w:r w:rsidR="00B87E32" w:rsidRPr="00C2273D">
        <w:rPr>
          <w:spacing w:val="-2"/>
        </w:rPr>
        <w:t xml:space="preserve"> questions whether Section 11.45 proscribes </w:t>
      </w:r>
      <w:r w:rsidR="007624EF" w:rsidRPr="00C2273D">
        <w:rPr>
          <w:spacing w:val="-2"/>
        </w:rPr>
        <w:t>“</w:t>
      </w:r>
      <w:r w:rsidR="00B87E32" w:rsidRPr="00C2273D">
        <w:rPr>
          <w:spacing w:val="-2"/>
        </w:rPr>
        <w:t>non-deceptive</w:t>
      </w:r>
      <w:r w:rsidR="007624EF" w:rsidRPr="00C2273D">
        <w:rPr>
          <w:spacing w:val="-2"/>
        </w:rPr>
        <w:t>”</w:t>
      </w:r>
      <w:r w:rsidR="00B87E32" w:rsidRPr="00C2273D">
        <w:rPr>
          <w:spacing w:val="-2"/>
        </w:rPr>
        <w:t xml:space="preserve"> EAS Tones, such as those embedded in the </w:t>
      </w:r>
      <w:r w:rsidR="00B87E32" w:rsidRPr="006F2A76">
        <w:rPr>
          <w:spacing w:val="-2"/>
        </w:rPr>
        <w:t>trailer</w:t>
      </w:r>
      <w:r w:rsidR="00B87E32" w:rsidRPr="00C2273D">
        <w:rPr>
          <w:spacing w:val="-2"/>
        </w:rPr>
        <w:t>.</w:t>
      </w:r>
      <w:r w:rsidR="00B87E32" w:rsidRPr="00C2273D">
        <w:rPr>
          <w:rStyle w:val="FootnoteReference"/>
          <w:spacing w:val="-2"/>
          <w:sz w:val="22"/>
          <w:szCs w:val="22"/>
        </w:rPr>
        <w:footnoteReference w:id="99"/>
      </w:r>
      <w:r w:rsidR="00B87E32" w:rsidRPr="00C2273D">
        <w:rPr>
          <w:spacing w:val="-2"/>
        </w:rPr>
        <w:t xml:space="preserve">  Citing two cases in which the </w:t>
      </w:r>
      <w:r w:rsidR="00B87E32" w:rsidRPr="000A6D6B">
        <w:rPr>
          <w:spacing w:val="-2"/>
        </w:rPr>
        <w:t xml:space="preserve">Commission proposed forfeitures for inadvertent, </w:t>
      </w:r>
      <w:r w:rsidR="007624EF" w:rsidRPr="000A6D6B">
        <w:rPr>
          <w:spacing w:val="-2"/>
        </w:rPr>
        <w:t>“</w:t>
      </w:r>
      <w:r w:rsidR="00B87E32" w:rsidRPr="000A6D6B">
        <w:rPr>
          <w:spacing w:val="-2"/>
        </w:rPr>
        <w:t>non-deceptive</w:t>
      </w:r>
      <w:r w:rsidR="007624EF" w:rsidRPr="000A6D6B">
        <w:rPr>
          <w:spacing w:val="-2"/>
        </w:rPr>
        <w:t>”</w:t>
      </w:r>
      <w:r w:rsidR="00B87E32" w:rsidRPr="000A6D6B">
        <w:rPr>
          <w:spacing w:val="-2"/>
        </w:rPr>
        <w:t xml:space="preserve"> activation</w:t>
      </w:r>
      <w:r w:rsidR="00B87E32" w:rsidRPr="00C2273D">
        <w:rPr>
          <w:spacing w:val="-2"/>
        </w:rPr>
        <w:t xml:space="preserve"> of the EAS Tone</w:t>
      </w:r>
      <w:r w:rsidR="007624EF" w:rsidRPr="00C2273D">
        <w:rPr>
          <w:spacing w:val="-2"/>
        </w:rPr>
        <w:t>s</w:t>
      </w:r>
      <w:r w:rsidR="00B87E32" w:rsidRPr="00C2273D">
        <w:rPr>
          <w:spacing w:val="-2"/>
        </w:rPr>
        <w:t xml:space="preserve"> in violation of Sections 11.32(a)(9)(v) and 11.61, Viacom also posits that the Commission “will not impose sanctions under Rule 11.45 on unauthorized uses of EAS Tones outside of actual emergencies where no intent to deceive exists.”</w:t>
      </w:r>
      <w:r w:rsidR="00B87E32" w:rsidRPr="00C2273D">
        <w:rPr>
          <w:rStyle w:val="FootnoteReference"/>
          <w:spacing w:val="-2"/>
          <w:sz w:val="22"/>
          <w:szCs w:val="22"/>
        </w:rPr>
        <w:footnoteReference w:id="100"/>
      </w:r>
      <w:r w:rsidR="00B87E32" w:rsidRPr="00C2273D">
        <w:rPr>
          <w:spacing w:val="-2"/>
        </w:rPr>
        <w:t xml:space="preserve">  Viacom states that there “is nothing about the Advertisement’s contents or its context which suggests that” the use of the EAS Tones was </w:t>
      </w:r>
      <w:r w:rsidR="00B87E32" w:rsidRPr="000254EA">
        <w:rPr>
          <w:spacing w:val="-2"/>
        </w:rPr>
        <w:t>intended</w:t>
      </w:r>
      <w:r w:rsidR="00B87E32" w:rsidRPr="00C2273D">
        <w:rPr>
          <w:spacing w:val="-2"/>
        </w:rPr>
        <w:t xml:space="preserve"> to deceive or mislead any viewer that an actual emergency existed.</w:t>
      </w:r>
      <w:r w:rsidR="00B87E32" w:rsidRPr="00C2273D">
        <w:rPr>
          <w:rStyle w:val="FootnoteReference"/>
          <w:spacing w:val="-2"/>
          <w:sz w:val="22"/>
          <w:szCs w:val="22"/>
        </w:rPr>
        <w:footnoteReference w:id="101"/>
      </w:r>
      <w:r w:rsidR="00B87E32" w:rsidRPr="00C2273D">
        <w:rPr>
          <w:spacing w:val="-2"/>
        </w:rPr>
        <w:t xml:space="preserve">  Viacom asserts that the FCC’s prior actions relating to Section 11.45 “do not provide fair notice that such a non-deceptive use of EAS Tones could result in a monetary fine.”</w:t>
      </w:r>
      <w:r w:rsidR="00B87E32" w:rsidRPr="00C2273D">
        <w:rPr>
          <w:rStyle w:val="FootnoteReference"/>
          <w:spacing w:val="-2"/>
          <w:sz w:val="22"/>
          <w:szCs w:val="22"/>
        </w:rPr>
        <w:footnoteReference w:id="102"/>
      </w:r>
      <w:r w:rsidR="00B87E32" w:rsidRPr="00C2273D">
        <w:rPr>
          <w:spacing w:val="-2"/>
        </w:rPr>
        <w:t xml:space="preserve">  </w:t>
      </w:r>
    </w:p>
    <w:p w14:paraId="55C2EEEA" w14:textId="77777777" w:rsidR="001E1D32" w:rsidRPr="00C2273D" w:rsidRDefault="00B87E32" w:rsidP="00DB3C82">
      <w:pPr>
        <w:pStyle w:val="ParaNum"/>
      </w:pPr>
      <w:r w:rsidRPr="00C2273D">
        <w:t>These arguments</w:t>
      </w:r>
      <w:r w:rsidR="00A35D37" w:rsidRPr="00C2273D">
        <w:t xml:space="preserve"> disregard the plain language of the rule prohibiting </w:t>
      </w:r>
      <w:r w:rsidR="00A35D37" w:rsidRPr="00C2273D">
        <w:rPr>
          <w:i/>
        </w:rPr>
        <w:t>any</w:t>
      </w:r>
      <w:r w:rsidR="00A35D37" w:rsidRPr="00C2273D">
        <w:t xml:space="preserve"> transmission</w:t>
      </w:r>
      <w:r w:rsidR="00500E3F" w:rsidRPr="00C2273D">
        <w:t xml:space="preserve"> </w:t>
      </w:r>
      <w:r w:rsidR="00E97CA5">
        <w:t xml:space="preserve">of EAS </w:t>
      </w:r>
      <w:r w:rsidR="00F9544E">
        <w:t>c</w:t>
      </w:r>
      <w:r w:rsidR="00E97CA5">
        <w:t>o</w:t>
      </w:r>
      <w:r w:rsidR="00F9544E">
        <w:t>d</w:t>
      </w:r>
      <w:r w:rsidR="00E97CA5">
        <w:t xml:space="preserve">es or Attention Signal or simulations thereof </w:t>
      </w:r>
      <w:r w:rsidR="00500E3F" w:rsidRPr="00C2273D">
        <w:t>in</w:t>
      </w:r>
      <w:r w:rsidR="00A35D37" w:rsidRPr="00C2273D">
        <w:t xml:space="preserve"> the absence of an actual emergency or authorized test.</w:t>
      </w:r>
      <w:r w:rsidR="00A35D37" w:rsidRPr="00C2273D">
        <w:rPr>
          <w:rStyle w:val="FootnoteReference"/>
          <w:color w:val="000000" w:themeColor="text1"/>
          <w:sz w:val="22"/>
          <w:szCs w:val="22"/>
        </w:rPr>
        <w:footnoteReference w:id="103"/>
      </w:r>
      <w:r w:rsidR="00A35D37" w:rsidRPr="00C2273D">
        <w:t xml:space="preserve">  The text of the rule does not </w:t>
      </w:r>
      <w:r w:rsidR="001C79DB">
        <w:t xml:space="preserve">provide or </w:t>
      </w:r>
      <w:r w:rsidR="00A35D37" w:rsidRPr="00C2273D">
        <w:t>suggest that having intent to deceive is required</w:t>
      </w:r>
      <w:r w:rsidR="00C20D0B" w:rsidRPr="00C2273D">
        <w:t>, nor does it excuse “dramatic” uses</w:t>
      </w:r>
      <w:r w:rsidR="001C79DB">
        <w:t>;</w:t>
      </w:r>
      <w:r w:rsidR="00A35D37" w:rsidRPr="00C2273D">
        <w:t xml:space="preserve"> rather </w:t>
      </w:r>
      <w:r w:rsidR="001C79DB">
        <w:t xml:space="preserve">the rule provides </w:t>
      </w:r>
      <w:r w:rsidR="00A35D37" w:rsidRPr="00C2273D">
        <w:t xml:space="preserve">that </w:t>
      </w:r>
      <w:r w:rsidR="001E1D32" w:rsidRPr="00C2273D">
        <w:t>transmission of</w:t>
      </w:r>
      <w:r w:rsidR="00A35D37" w:rsidRPr="00C2273D">
        <w:t xml:space="preserve"> these emergency sounds or simulations thereof is simply prohibited </w:t>
      </w:r>
      <w:r w:rsidR="001C79DB">
        <w:t xml:space="preserve">in “any circumstance” </w:t>
      </w:r>
      <w:r w:rsidR="00A35D37" w:rsidRPr="00C2273D">
        <w:t>except whe</w:t>
      </w:r>
      <w:r w:rsidR="001E1D32" w:rsidRPr="00C2273D">
        <w:t>n</w:t>
      </w:r>
      <w:r w:rsidR="00A35D37" w:rsidRPr="00C2273D">
        <w:t xml:space="preserve"> an </w:t>
      </w:r>
      <w:r w:rsidR="001E1D32" w:rsidRPr="00C2273D">
        <w:t xml:space="preserve">actual </w:t>
      </w:r>
      <w:r w:rsidR="00A35D37" w:rsidRPr="00C2273D">
        <w:t xml:space="preserve">emergency or </w:t>
      </w:r>
      <w:r w:rsidR="001C79DB">
        <w:t xml:space="preserve">authorized </w:t>
      </w:r>
      <w:r w:rsidR="00A35D37" w:rsidRPr="00C2273D">
        <w:t xml:space="preserve">test warrants their use.  </w:t>
      </w:r>
      <w:r w:rsidR="007F2A76" w:rsidRPr="00C2273D">
        <w:t xml:space="preserve">Moreover, </w:t>
      </w:r>
      <w:r w:rsidR="00F94833">
        <w:t xml:space="preserve">Viacom’s </w:t>
      </w:r>
      <w:r w:rsidR="00246D12">
        <w:t xml:space="preserve">apparent </w:t>
      </w:r>
      <w:r w:rsidR="00F94833">
        <w:t xml:space="preserve">suggestion that </w:t>
      </w:r>
      <w:r w:rsidR="00246D12">
        <w:t>“</w:t>
      </w:r>
      <w:r w:rsidR="00F94833">
        <w:t>dece</w:t>
      </w:r>
      <w:r w:rsidR="00246D12">
        <w:t>ptive” use</w:t>
      </w:r>
      <w:r w:rsidR="00F94833">
        <w:t xml:space="preserve"> is a necessary component of a violation of Section 325(a)</w:t>
      </w:r>
      <w:r w:rsidR="00246D12">
        <w:t xml:space="preserve"> and, because Section 11.45 is derived from Section 325(a), also a necessary component of a violation of Section 11.45, errs on both accounts.  First, </w:t>
      </w:r>
      <w:r w:rsidR="00F204B6">
        <w:t>as discussed below, Section 325(a) itself does not require a deceptive use before its terms may be violated.  Second,</w:t>
      </w:r>
      <w:r w:rsidR="007F2A76" w:rsidRPr="00C2273D">
        <w:t xml:space="preserve"> </w:t>
      </w:r>
      <w:r w:rsidR="00F204B6">
        <w:t>i</w:t>
      </w:r>
      <w:r w:rsidR="007F2A76" w:rsidRPr="00C2273D">
        <w:t xml:space="preserve">n the </w:t>
      </w:r>
      <w:r w:rsidR="007F2A76" w:rsidRPr="00CC38DC">
        <w:rPr>
          <w:i/>
        </w:rPr>
        <w:t>1994</w:t>
      </w:r>
      <w:r w:rsidR="007F2A76" w:rsidRPr="00CC4618">
        <w:rPr>
          <w:i/>
        </w:rPr>
        <w:t xml:space="preserve"> </w:t>
      </w:r>
      <w:r w:rsidR="0084516D">
        <w:rPr>
          <w:i/>
        </w:rPr>
        <w:t>EBS</w:t>
      </w:r>
      <w:r w:rsidR="0084516D" w:rsidRPr="00CC38DC">
        <w:rPr>
          <w:i/>
        </w:rPr>
        <w:t xml:space="preserve"> </w:t>
      </w:r>
      <w:r w:rsidR="007F2A76" w:rsidRPr="00CC38DC">
        <w:rPr>
          <w:i/>
        </w:rPr>
        <w:t>Order</w:t>
      </w:r>
      <w:r w:rsidR="007F2A76" w:rsidRPr="00C2273D">
        <w:t>, the Commission acknowledged that Section 325(a) was “</w:t>
      </w:r>
      <w:r w:rsidR="00F204B6">
        <w:t xml:space="preserve">potentially </w:t>
      </w:r>
      <w:r w:rsidR="007F2A76" w:rsidRPr="00C2273D">
        <w:t xml:space="preserve">relevant” to EAS-related misconduct but nevertheless found that “a specific prohibition against the misuse of the EAS attention signal and codes is necessary </w:t>
      </w:r>
      <w:r w:rsidR="002C2E39">
        <w:t xml:space="preserve">. . . </w:t>
      </w:r>
      <w:r w:rsidR="007F2A76" w:rsidRPr="00C2273D">
        <w:t>because it is more specific and directly addresses the proper use of EAS codes and tones.”</w:t>
      </w:r>
      <w:r w:rsidR="007F2A76" w:rsidRPr="00C2273D">
        <w:rPr>
          <w:rStyle w:val="FootnoteReference"/>
          <w:sz w:val="22"/>
          <w:szCs w:val="22"/>
        </w:rPr>
        <w:footnoteReference w:id="104"/>
      </w:r>
      <w:r w:rsidR="00F07930" w:rsidRPr="00C2273D">
        <w:t xml:space="preserve">  </w:t>
      </w:r>
      <w:r w:rsidR="00A35D37" w:rsidRPr="00C2273D">
        <w:t>Therefore, it is not necessary to demonstrate that the Companies</w:t>
      </w:r>
      <w:r w:rsidR="00F1644A">
        <w:t>’</w:t>
      </w:r>
      <w:r w:rsidR="00A35D37" w:rsidRPr="00C2273D">
        <w:t xml:space="preserve"> </w:t>
      </w:r>
      <w:r w:rsidR="00F1644A">
        <w:t xml:space="preserve">use of the EAS Tones was deceptive or that they </w:t>
      </w:r>
      <w:r w:rsidR="00A35D37" w:rsidRPr="00C2273D">
        <w:t>intended to deceive their audience</w:t>
      </w:r>
      <w:r w:rsidR="00F07930" w:rsidRPr="00C2273D">
        <w:t>s</w:t>
      </w:r>
      <w:r w:rsidR="0084516D">
        <w:t>;</w:t>
      </w:r>
      <w:r w:rsidR="00A35D37" w:rsidRPr="00C2273D">
        <w:t xml:space="preserve"> it is sufficient that they transmitted or caused the transmission of the EAS </w:t>
      </w:r>
      <w:r w:rsidR="001E1D32" w:rsidRPr="00C2273D">
        <w:t>T</w:t>
      </w:r>
      <w:r w:rsidR="00A35D37" w:rsidRPr="00C2273D">
        <w:t xml:space="preserve">ones, </w:t>
      </w:r>
      <w:r w:rsidR="00415701" w:rsidRPr="00C2273D">
        <w:t>when</w:t>
      </w:r>
      <w:r w:rsidR="00A35D37" w:rsidRPr="00C2273D">
        <w:t>, as the Companies admit, there was no actual emergency or authorized test.</w:t>
      </w:r>
      <w:r w:rsidR="00A35D37" w:rsidRPr="00C2273D">
        <w:rPr>
          <w:rStyle w:val="FootnoteReference"/>
          <w:color w:val="000000" w:themeColor="text1"/>
          <w:sz w:val="22"/>
          <w:szCs w:val="22"/>
        </w:rPr>
        <w:footnoteReference w:id="105"/>
      </w:r>
      <w:r w:rsidR="00A35D37" w:rsidRPr="00C2273D">
        <w:t xml:space="preserve">  </w:t>
      </w:r>
    </w:p>
    <w:p w14:paraId="3254729B" w14:textId="77777777" w:rsidR="00A35D37" w:rsidRPr="00C2273D" w:rsidRDefault="00A35D37" w:rsidP="0013494B">
      <w:pPr>
        <w:pStyle w:val="ParaNum"/>
        <w:widowControl/>
      </w:pPr>
      <w:r w:rsidRPr="00C2273D">
        <w:t>The LOI responses also</w:t>
      </w:r>
      <w:r w:rsidR="001E1D32" w:rsidRPr="00C2273D">
        <w:t xml:space="preserve"> suggest audiences</w:t>
      </w:r>
      <w:r w:rsidRPr="00C2273D">
        <w:t xml:space="preserve"> could not have been deceived because the sounds in this case appeared in an advertisement for a movie.</w:t>
      </w:r>
      <w:r w:rsidRPr="00C2273D">
        <w:rPr>
          <w:rStyle w:val="FootnoteReference"/>
          <w:color w:val="000000" w:themeColor="text1"/>
          <w:sz w:val="22"/>
          <w:szCs w:val="22"/>
        </w:rPr>
        <w:footnoteReference w:id="106"/>
      </w:r>
      <w:r w:rsidRPr="00C2273D">
        <w:t xml:space="preserve">  </w:t>
      </w:r>
      <w:r w:rsidR="000254EA">
        <w:t xml:space="preserve">Just as a “deceptive use” is not required as a component of a </w:t>
      </w:r>
      <w:r w:rsidRPr="00C2273D">
        <w:t>Section 11.45</w:t>
      </w:r>
      <w:r w:rsidR="000254EA">
        <w:t xml:space="preserve"> violation, neither is a showing </w:t>
      </w:r>
      <w:r w:rsidRPr="00C2273D">
        <w:t xml:space="preserve">that </w:t>
      </w:r>
      <w:r w:rsidR="00500E3F" w:rsidRPr="00C2273D">
        <w:t>viewers</w:t>
      </w:r>
      <w:r w:rsidRPr="00C2273D">
        <w:t xml:space="preserve"> were in fact deceived by the misuse of the EAS Tones.  Nevertheless, we know from the complaints that viewers </w:t>
      </w:r>
      <w:r w:rsidRPr="00C2273D">
        <w:rPr>
          <w:i/>
        </w:rPr>
        <w:t>were</w:t>
      </w:r>
      <w:r w:rsidRPr="00C2273D">
        <w:t xml:space="preserve"> confused</w:t>
      </w:r>
      <w:r w:rsidR="00500E3F" w:rsidRPr="00C2273D">
        <w:t>.</w:t>
      </w:r>
      <w:r w:rsidRPr="00C2273D">
        <w:t xml:space="preserve"> </w:t>
      </w:r>
      <w:r w:rsidR="00500E3F" w:rsidRPr="00C2273D">
        <w:t xml:space="preserve"> T</w:t>
      </w:r>
      <w:r w:rsidRPr="00C2273D">
        <w:t>hey thought the sounds, which they associate with emergenc</w:t>
      </w:r>
      <w:r w:rsidR="00415701" w:rsidRPr="00C2273D">
        <w:t>ies</w:t>
      </w:r>
      <w:r w:rsidR="00500E3F" w:rsidRPr="00C2273D">
        <w:t>,</w:t>
      </w:r>
      <w:r w:rsidRPr="00C2273D">
        <w:t xml:space="preserve"> were heralding the presence of an emergency when they were not.</w:t>
      </w:r>
      <w:r w:rsidRPr="00C2273D">
        <w:rPr>
          <w:rStyle w:val="FootnoteReference"/>
          <w:color w:val="000000" w:themeColor="text1"/>
          <w:sz w:val="22"/>
          <w:szCs w:val="22"/>
        </w:rPr>
        <w:footnoteReference w:id="107"/>
      </w:r>
      <w:r w:rsidRPr="00C2273D">
        <w:t xml:space="preserve"> </w:t>
      </w:r>
      <w:r w:rsidR="00921A06">
        <w:t xml:space="preserve"> T</w:t>
      </w:r>
      <w:r w:rsidR="000254EA">
        <w:t xml:space="preserve">his result illustrates why it is so important that EAS Tones simply not be used outside the context of an actual alert or an authorized test of the system.  </w:t>
      </w:r>
      <w:r w:rsidRPr="00C2273D">
        <w:t xml:space="preserve">The LOI </w:t>
      </w:r>
      <w:r w:rsidR="009F61F6">
        <w:t>r</w:t>
      </w:r>
      <w:r w:rsidRPr="00C2273D">
        <w:t xml:space="preserve">esponses disregard the very concern that the complaints raise; that hearing the EAS sounds is comparable to </w:t>
      </w:r>
      <w:r w:rsidR="001E1D32" w:rsidRPr="00C2273D">
        <w:t>“</w:t>
      </w:r>
      <w:r w:rsidRPr="00C2273D">
        <w:t xml:space="preserve">crying wolf” or </w:t>
      </w:r>
      <w:r w:rsidR="001E1D32" w:rsidRPr="00C2273D">
        <w:t xml:space="preserve">yelling </w:t>
      </w:r>
      <w:r w:rsidRPr="00C2273D">
        <w:t>“fire” when there is none.  The Companies also disregard the substantial risk of harm if audience members, inured to the sound</w:t>
      </w:r>
      <w:r w:rsidR="001E1D32" w:rsidRPr="00C2273D">
        <w:t>s of the EAS Tones</w:t>
      </w:r>
      <w:r w:rsidRPr="00C2273D">
        <w:t xml:space="preserve"> </w:t>
      </w:r>
      <w:r w:rsidR="001E1D32" w:rsidRPr="00C2273D">
        <w:t>after</w:t>
      </w:r>
      <w:r w:rsidRPr="00C2273D">
        <w:t xml:space="preserve"> misuse for promotional purposes, no longer re</w:t>
      </w:r>
      <w:r w:rsidR="00B9750C">
        <w:t>act to</w:t>
      </w:r>
      <w:r w:rsidRPr="00C2273D">
        <w:t xml:space="preserve"> the alarm when real danger is present.</w:t>
      </w:r>
      <w:r w:rsidR="00F07930" w:rsidRPr="00C2273D">
        <w:rPr>
          <w:rStyle w:val="FootnoteReference"/>
          <w:color w:val="000000" w:themeColor="text1"/>
          <w:sz w:val="22"/>
          <w:szCs w:val="22"/>
        </w:rPr>
        <w:footnoteReference w:id="108"/>
      </w:r>
    </w:p>
    <w:p w14:paraId="6CBD77DA" w14:textId="77777777" w:rsidR="00F35B1F" w:rsidRPr="00C2273D" w:rsidRDefault="00F35B1F" w:rsidP="00514178">
      <w:pPr>
        <w:pStyle w:val="Heading2"/>
      </w:pPr>
      <w:r w:rsidRPr="00C2273D">
        <w:t xml:space="preserve">Viacom, NBCUniversal, and ESPN </w:t>
      </w:r>
      <w:r w:rsidR="00BF6E7E" w:rsidRPr="00C2273D">
        <w:t xml:space="preserve">Each Apparently </w:t>
      </w:r>
      <w:r w:rsidRPr="00C2273D">
        <w:t>Violated Section 325(a) of the Act</w:t>
      </w:r>
    </w:p>
    <w:p w14:paraId="3BABD457" w14:textId="77777777" w:rsidR="00DA5466" w:rsidRPr="00DB3C82" w:rsidRDefault="007B7377" w:rsidP="00DB3C82">
      <w:pPr>
        <w:pStyle w:val="ParaNum"/>
      </w:pPr>
      <w:r w:rsidRPr="00C2273D">
        <w:t>M</w:t>
      </w:r>
      <w:r w:rsidR="00FE18D6" w:rsidRPr="00C2273D">
        <w:t>isuse</w:t>
      </w:r>
      <w:r w:rsidR="005E6B95" w:rsidRPr="00C2273D">
        <w:t xml:space="preserve"> of the EAS codes or Attention Signal or simulations thereof </w:t>
      </w:r>
      <w:r w:rsidRPr="00C2273D">
        <w:t>also</w:t>
      </w:r>
      <w:r w:rsidR="00415701" w:rsidRPr="00C2273D">
        <w:t xml:space="preserve"> apparently</w:t>
      </w:r>
      <w:r w:rsidRPr="00C2273D">
        <w:t xml:space="preserve"> </w:t>
      </w:r>
      <w:r w:rsidR="005E6B95" w:rsidRPr="00C2273D">
        <w:t>violate</w:t>
      </w:r>
      <w:r w:rsidR="00415701" w:rsidRPr="00C2273D">
        <w:t>s</w:t>
      </w:r>
      <w:r w:rsidR="005E6B95" w:rsidRPr="00C2273D">
        <w:t xml:space="preserve"> Section 325(a) of the Act, which prohibits transmission of false distress signals.</w:t>
      </w:r>
      <w:r w:rsidR="005E6B95" w:rsidRPr="00C2273D">
        <w:rPr>
          <w:vertAlign w:val="superscript"/>
        </w:rPr>
        <w:footnoteReference w:id="109"/>
      </w:r>
      <w:r w:rsidR="005E6B95" w:rsidRPr="00C2273D">
        <w:t xml:space="preserve">  For example, in </w:t>
      </w:r>
      <w:r w:rsidR="005E6B95" w:rsidRPr="00C2273D">
        <w:rPr>
          <w:i/>
        </w:rPr>
        <w:t>Emmis</w:t>
      </w:r>
      <w:r w:rsidR="005E6B95" w:rsidRPr="00C2273D">
        <w:t>, the Commission found a radio station in Missouri apparently liable for a violation of Section 325(a) after the station broadcast a “bleep” that listeners mistook as the tone for an authentic emergency signal</w:t>
      </w:r>
      <w:r w:rsidR="003823DF" w:rsidRPr="00C2273D">
        <w:t>.  The decision</w:t>
      </w:r>
      <w:r w:rsidR="005E6B95" w:rsidRPr="00C2273D">
        <w:t xml:space="preserve"> h</w:t>
      </w:r>
      <w:r w:rsidR="003823DF" w:rsidRPr="00C2273D">
        <w:t>e</w:t>
      </w:r>
      <w:r w:rsidR="005E6B95" w:rsidRPr="00C2273D">
        <w:t xml:space="preserve">ld that using the tone to “cry wolf” undermined the integrity of the </w:t>
      </w:r>
      <w:r w:rsidR="00FE4742" w:rsidRPr="00C2273D">
        <w:t>EBS</w:t>
      </w:r>
      <w:r w:rsidR="005E6B95" w:rsidRPr="00C2273D">
        <w:t xml:space="preserve"> and endangered the effectiveness of the EBS warning tone as a method of alerting the public to danger in the first instance.</w:t>
      </w:r>
      <w:r w:rsidR="005E6B95" w:rsidRPr="00C2273D">
        <w:rPr>
          <w:vertAlign w:val="superscript"/>
        </w:rPr>
        <w:footnoteReference w:id="110"/>
      </w:r>
      <w:r w:rsidR="005E6B95" w:rsidRPr="00C2273D">
        <w:t xml:space="preserve">  The Commission pointed to the effect of the broadcast on the EBS as a factor that exacerbated the violation, even though the station did not use the actual EBS attention signal.</w:t>
      </w:r>
      <w:r w:rsidR="005E6B95" w:rsidRPr="00C2273D">
        <w:rPr>
          <w:vertAlign w:val="superscript"/>
        </w:rPr>
        <w:footnoteReference w:id="111"/>
      </w:r>
      <w:r w:rsidR="005E6B95" w:rsidRPr="00C2273D">
        <w:t xml:space="preserve">  At that time, the Commission lacked a rule that explicitly prohibited </w:t>
      </w:r>
      <w:r w:rsidR="001319F8" w:rsidRPr="00C2273D">
        <w:t>misuse</w:t>
      </w:r>
      <w:r w:rsidR="005E6B95" w:rsidRPr="00C2273D">
        <w:t xml:space="preserve"> of emergency broadcast signals, and relied on Section 325(a)</w:t>
      </w:r>
      <w:r w:rsidR="001319F8" w:rsidRPr="00C2273D">
        <w:t>, finding that such misuse of the emergency broadcast signals constituted a false distress signal</w:t>
      </w:r>
      <w:r w:rsidR="005E6B95" w:rsidRPr="00C2273D">
        <w:t>.</w:t>
      </w:r>
      <w:r w:rsidR="001319F8" w:rsidRPr="00C2273D">
        <w:rPr>
          <w:rStyle w:val="FootnoteReference"/>
          <w:sz w:val="22"/>
          <w:szCs w:val="22"/>
        </w:rPr>
        <w:footnoteReference w:id="112"/>
      </w:r>
      <w:r w:rsidR="005E6B95" w:rsidRPr="00C2273D">
        <w:t xml:space="preserve">  </w:t>
      </w:r>
      <w:r w:rsidR="00096094" w:rsidRPr="00C2273D">
        <w:t>Even as we</w:t>
      </w:r>
      <w:r w:rsidR="005E6B95" w:rsidRPr="00C2273D">
        <w:t xml:space="preserve"> subsequently proposed and adopted the prohibition in </w:t>
      </w:r>
      <w:r w:rsidR="008B4FB7" w:rsidRPr="00C2273D">
        <w:t>S</w:t>
      </w:r>
      <w:r w:rsidR="005E6B95" w:rsidRPr="00C2273D">
        <w:t>ection 11.45</w:t>
      </w:r>
      <w:r w:rsidR="00096094" w:rsidRPr="00C2273D">
        <w:t>, however, the Commission continued to affirm that false use of the EAS codes and Attention Signal “will be considered a false distress communication</w:t>
      </w:r>
      <w:r w:rsidR="005E6B95" w:rsidRPr="00C2273D">
        <w:t>.</w:t>
      </w:r>
      <w:r w:rsidR="00096094" w:rsidRPr="00C2273D">
        <w:t>”</w:t>
      </w:r>
      <w:r w:rsidR="005E6B95" w:rsidRPr="00C2273D">
        <w:rPr>
          <w:rStyle w:val="FootnoteReference"/>
          <w:sz w:val="22"/>
          <w:szCs w:val="22"/>
        </w:rPr>
        <w:footnoteReference w:id="113"/>
      </w:r>
      <w:r w:rsidR="00AD2198" w:rsidRPr="00C2273D">
        <w:t xml:space="preserve">  </w:t>
      </w:r>
      <w:r w:rsidR="00C84D11" w:rsidRPr="00C2273D">
        <w:t>Th</w:t>
      </w:r>
      <w:r w:rsidR="00F3146F">
        <w:t xml:space="preserve">us, any claim that the industry </w:t>
      </w:r>
      <w:r w:rsidR="00C84D11" w:rsidRPr="00C2273D">
        <w:t xml:space="preserve">lacked notice that a misuse of the EAS Tones may violate Section 325(a) is without merit.  </w:t>
      </w:r>
      <w:r w:rsidR="00B53D6F" w:rsidRPr="00C2273D">
        <w:t xml:space="preserve">Similarly, in </w:t>
      </w:r>
      <w:r w:rsidR="00B53D6F" w:rsidRPr="00C2273D">
        <w:rPr>
          <w:i/>
        </w:rPr>
        <w:t>Turner</w:t>
      </w:r>
      <w:r w:rsidR="00B53D6F" w:rsidRPr="00C2273D">
        <w:t xml:space="preserve">, the Enforcement Bureau found that Turner’s inclusion of </w:t>
      </w:r>
      <w:r w:rsidR="0035242D" w:rsidRPr="00C2273D">
        <w:t xml:space="preserve">the </w:t>
      </w:r>
      <w:r w:rsidR="00B53D6F" w:rsidRPr="00C2273D">
        <w:t>simulated EAS codes and Attention Signal caused the transmission of false distress signals in violation of Section 325(a) of the Act.</w:t>
      </w:r>
      <w:r w:rsidR="00B53D6F" w:rsidRPr="00C2273D">
        <w:rPr>
          <w:rStyle w:val="FootnoteReference"/>
          <w:sz w:val="22"/>
          <w:szCs w:val="22"/>
        </w:rPr>
        <w:footnoteReference w:id="114"/>
      </w:r>
      <w:r w:rsidR="00B53D6F" w:rsidRPr="00C2273D">
        <w:t xml:space="preserve">  The Enforcement Bureau noted that “[b]y including in its network programming the EAS codes and Attention Signal or simulations thereof, in non-emergency situations that are promotional or commercial in nature, Turner created a </w:t>
      </w:r>
      <w:r w:rsidR="00852710" w:rsidRPr="00C2273D">
        <w:t>‘</w:t>
      </w:r>
      <w:r w:rsidR="00DE11C1" w:rsidRPr="00C2273D">
        <w:t>cry wolf</w:t>
      </w:r>
      <w:r w:rsidR="00852710" w:rsidRPr="00C2273D">
        <w:t>’</w:t>
      </w:r>
      <w:r w:rsidR="00DE11C1" w:rsidRPr="00C2273D">
        <w:t xml:space="preserve"> scenario similar to that encountered in </w:t>
      </w:r>
      <w:r w:rsidR="00DE11C1" w:rsidRPr="00C2273D">
        <w:rPr>
          <w:i/>
        </w:rPr>
        <w:t>Emmis</w:t>
      </w:r>
      <w:r w:rsidR="00DE11C1" w:rsidRPr="00C2273D">
        <w:t>.”</w:t>
      </w:r>
      <w:r w:rsidR="00DE11C1" w:rsidRPr="00C2273D">
        <w:rPr>
          <w:rStyle w:val="FootnoteReference"/>
          <w:sz w:val="22"/>
          <w:szCs w:val="22"/>
        </w:rPr>
        <w:footnoteReference w:id="115"/>
      </w:r>
    </w:p>
    <w:p w14:paraId="49FDE80B" w14:textId="77777777" w:rsidR="00DA5466" w:rsidRPr="00DB3C82" w:rsidRDefault="002E00BB" w:rsidP="00DB3C82">
      <w:pPr>
        <w:pStyle w:val="ParaNum"/>
      </w:pPr>
      <w:r w:rsidRPr="00C2273D">
        <w:t>In th</w:t>
      </w:r>
      <w:r w:rsidR="00791338" w:rsidRPr="00C2273D">
        <w:t>ese cases</w:t>
      </w:r>
      <w:r w:rsidRPr="00C2273D">
        <w:t xml:space="preserve">, </w:t>
      </w:r>
      <w:r w:rsidR="00C76A45" w:rsidRPr="00C2273D">
        <w:t xml:space="preserve">we find </w:t>
      </w:r>
      <w:r w:rsidR="00DB722F" w:rsidRPr="00C2273D">
        <w:t>that the Companies’</w:t>
      </w:r>
      <w:r w:rsidRPr="00C2273D">
        <w:t xml:space="preserve"> </w:t>
      </w:r>
      <w:r w:rsidR="000357B8" w:rsidRPr="00C2273D">
        <w:t>repeated</w:t>
      </w:r>
      <w:r w:rsidR="001319F8" w:rsidRPr="00C2273D">
        <w:t xml:space="preserve"> inclusion </w:t>
      </w:r>
      <w:r w:rsidR="008A0495" w:rsidRPr="00C2273D">
        <w:t xml:space="preserve">in their respective network feeds </w:t>
      </w:r>
      <w:r w:rsidR="001319F8" w:rsidRPr="00C2273D">
        <w:t xml:space="preserve">of </w:t>
      </w:r>
      <w:r w:rsidR="00982205" w:rsidRPr="00C2273D">
        <w:t xml:space="preserve">the </w:t>
      </w:r>
      <w:r w:rsidR="00AD2198" w:rsidRPr="00C2273D">
        <w:t>actual</w:t>
      </w:r>
      <w:r w:rsidRPr="00C2273D">
        <w:t xml:space="preserve"> EAS codes and Attention Signal</w:t>
      </w:r>
      <w:r w:rsidR="001319F8" w:rsidRPr="00C2273D">
        <w:t xml:space="preserve"> </w:t>
      </w:r>
      <w:r w:rsidR="00AD2198" w:rsidRPr="00C2273D">
        <w:t>caused the</w:t>
      </w:r>
      <w:r w:rsidR="001319F8" w:rsidRPr="00C2273D">
        <w:t xml:space="preserve"> transmission of </w:t>
      </w:r>
      <w:r w:rsidRPr="00C2273D">
        <w:t>false distress signals in violation of Section 325(a)</w:t>
      </w:r>
      <w:r w:rsidR="00B35898" w:rsidRPr="00C2273D">
        <w:t xml:space="preserve"> of the Act</w:t>
      </w:r>
      <w:r w:rsidRPr="00C2273D">
        <w:t>.</w:t>
      </w:r>
      <w:r w:rsidR="003A12D8" w:rsidRPr="00C2273D">
        <w:rPr>
          <w:rStyle w:val="FootnoteReference"/>
          <w:sz w:val="22"/>
          <w:szCs w:val="22"/>
        </w:rPr>
        <w:footnoteReference w:id="116"/>
      </w:r>
      <w:r w:rsidRPr="00C2273D">
        <w:t xml:space="preserve">  </w:t>
      </w:r>
      <w:r w:rsidR="00C45259" w:rsidRPr="00C2273D">
        <w:t xml:space="preserve">Since the </w:t>
      </w:r>
      <w:r w:rsidR="0072464B" w:rsidRPr="00C2273D">
        <w:t>origin</w:t>
      </w:r>
      <w:r w:rsidR="00C45259" w:rsidRPr="00C2273D">
        <w:t xml:space="preserve"> of the </w:t>
      </w:r>
      <w:r w:rsidR="00FE4742" w:rsidRPr="00C2273D">
        <w:t>EBS</w:t>
      </w:r>
      <w:r w:rsidR="0072464B" w:rsidRPr="00C2273D">
        <w:t>, and its</w:t>
      </w:r>
      <w:r w:rsidR="00C45259" w:rsidRPr="00C2273D">
        <w:t xml:space="preserve"> </w:t>
      </w:r>
      <w:r w:rsidR="0072464B" w:rsidRPr="00C2273D">
        <w:t xml:space="preserve">evolution </w:t>
      </w:r>
      <w:r w:rsidR="00C45259" w:rsidRPr="00C2273D">
        <w:t>into the</w:t>
      </w:r>
      <w:r w:rsidR="0072464B" w:rsidRPr="00C2273D">
        <w:t xml:space="preserve"> current</w:t>
      </w:r>
      <w:r w:rsidR="00C45259" w:rsidRPr="00C2273D">
        <w:t xml:space="preserve"> EAS, </w:t>
      </w:r>
      <w:r w:rsidR="00C76A45" w:rsidRPr="00C2273D">
        <w:t>preserving</w:t>
      </w:r>
      <w:r w:rsidRPr="00C2273D">
        <w:t xml:space="preserve"> </w:t>
      </w:r>
      <w:r w:rsidR="00C45259" w:rsidRPr="00C2273D">
        <w:t xml:space="preserve">the </w:t>
      </w:r>
      <w:r w:rsidR="000357B8" w:rsidRPr="00C2273D">
        <w:t>i</w:t>
      </w:r>
      <w:r w:rsidRPr="00C2273D">
        <w:t xml:space="preserve">ntegrity of the </w:t>
      </w:r>
      <w:r w:rsidR="00C45259" w:rsidRPr="00C2273D">
        <w:t>system</w:t>
      </w:r>
      <w:r w:rsidR="00521478" w:rsidRPr="00C2273D">
        <w:t xml:space="preserve"> </w:t>
      </w:r>
      <w:r w:rsidR="00FF3235" w:rsidRPr="00C2273D">
        <w:t>has been of paramount importance.</w:t>
      </w:r>
      <w:r w:rsidR="001319F8" w:rsidRPr="00C2273D">
        <w:rPr>
          <w:rStyle w:val="FootnoteReference"/>
          <w:sz w:val="22"/>
          <w:szCs w:val="22"/>
        </w:rPr>
        <w:footnoteReference w:id="117"/>
      </w:r>
      <w:r w:rsidR="00FF3235" w:rsidRPr="00C2273D">
        <w:t xml:space="preserve">  I</w:t>
      </w:r>
      <w:r w:rsidR="0072464B" w:rsidRPr="00C2273D">
        <w:t>t is imperative</w:t>
      </w:r>
      <w:r w:rsidRPr="00C2273D">
        <w:t xml:space="preserve"> </w:t>
      </w:r>
      <w:r w:rsidR="0072464B" w:rsidRPr="00C2273D">
        <w:t>t</w:t>
      </w:r>
      <w:r w:rsidRPr="00C2273D">
        <w:t xml:space="preserve">hat the public not be desensitized to the serious implications </w:t>
      </w:r>
      <w:r w:rsidR="003F43DA" w:rsidRPr="00C2273D">
        <w:t xml:space="preserve">of </w:t>
      </w:r>
      <w:r w:rsidR="0072464B" w:rsidRPr="00C2273D">
        <w:t>t</w:t>
      </w:r>
      <w:r w:rsidR="003F43DA" w:rsidRPr="00C2273D">
        <w:t>he</w:t>
      </w:r>
      <w:r w:rsidRPr="00C2273D">
        <w:t xml:space="preserve"> </w:t>
      </w:r>
      <w:r w:rsidR="00D04371" w:rsidRPr="00C2273D">
        <w:t xml:space="preserve">transmission of the </w:t>
      </w:r>
      <w:r w:rsidRPr="00C2273D">
        <w:t>EAS codes and Attention Signal</w:t>
      </w:r>
      <w:r w:rsidR="003F43DA" w:rsidRPr="00C2273D">
        <w:t xml:space="preserve"> </w:t>
      </w:r>
      <w:r w:rsidR="00D04371" w:rsidRPr="00C2273D">
        <w:t xml:space="preserve">by misuse of the codes and Signal </w:t>
      </w:r>
      <w:r w:rsidR="003F43DA" w:rsidRPr="00C2273D">
        <w:t>or simulation</w:t>
      </w:r>
      <w:r w:rsidR="003823DF" w:rsidRPr="00C2273D">
        <w:t>s</w:t>
      </w:r>
      <w:r w:rsidR="003F43DA" w:rsidRPr="00C2273D">
        <w:t xml:space="preserve"> thereof</w:t>
      </w:r>
      <w:r w:rsidRPr="00C2273D">
        <w:t>.</w:t>
      </w:r>
      <w:r w:rsidR="003A12D8" w:rsidRPr="00C2273D">
        <w:rPr>
          <w:rStyle w:val="FootnoteReference"/>
          <w:sz w:val="22"/>
          <w:szCs w:val="22"/>
        </w:rPr>
        <w:footnoteReference w:id="118"/>
      </w:r>
      <w:r w:rsidRPr="00C2273D">
        <w:t xml:space="preserve">  By </w:t>
      </w:r>
      <w:r w:rsidR="001319F8" w:rsidRPr="00C2273D">
        <w:t>including</w:t>
      </w:r>
      <w:r w:rsidRPr="00C2273D">
        <w:t xml:space="preserve"> </w:t>
      </w:r>
      <w:r w:rsidR="001B1BBD" w:rsidRPr="00C2273D">
        <w:t xml:space="preserve">in </w:t>
      </w:r>
      <w:r w:rsidR="008A0495" w:rsidRPr="00C2273D">
        <w:t>their</w:t>
      </w:r>
      <w:r w:rsidR="001B1BBD" w:rsidRPr="00C2273D">
        <w:t xml:space="preserve"> network programming </w:t>
      </w:r>
      <w:r w:rsidRPr="00C2273D">
        <w:t xml:space="preserve">the </w:t>
      </w:r>
      <w:r w:rsidR="00AD2198" w:rsidRPr="00C2273D">
        <w:t xml:space="preserve">actual </w:t>
      </w:r>
      <w:r w:rsidRPr="00C2273D">
        <w:t>EAS codes and Attention Signal</w:t>
      </w:r>
      <w:r w:rsidR="0072464B" w:rsidRPr="00C2273D">
        <w:t>,</w:t>
      </w:r>
      <w:r w:rsidRPr="00C2273D">
        <w:t xml:space="preserve"> in non-emergency situations</w:t>
      </w:r>
      <w:r w:rsidR="008A0495" w:rsidRPr="00C2273D">
        <w:t>,</w:t>
      </w:r>
      <w:r w:rsidR="000357B8" w:rsidRPr="00C2273D">
        <w:t xml:space="preserve"> </w:t>
      </w:r>
      <w:r w:rsidR="00AD2198" w:rsidRPr="00C2273D">
        <w:t>the Companies</w:t>
      </w:r>
      <w:r w:rsidRPr="00C2273D">
        <w:t xml:space="preserve"> created a “cry wolf” scenario similar to that </w:t>
      </w:r>
      <w:r w:rsidR="00FF3235" w:rsidRPr="00C2273D">
        <w:t>encountered in</w:t>
      </w:r>
      <w:r w:rsidR="0078495D" w:rsidRPr="00C2273D">
        <w:t xml:space="preserve"> both</w:t>
      </w:r>
      <w:r w:rsidR="00FF3235" w:rsidRPr="00C2273D">
        <w:t xml:space="preserve"> </w:t>
      </w:r>
      <w:r w:rsidRPr="00C2273D">
        <w:rPr>
          <w:i/>
        </w:rPr>
        <w:t>Emmis</w:t>
      </w:r>
      <w:r w:rsidR="00DE11C1" w:rsidRPr="00C2273D">
        <w:rPr>
          <w:i/>
        </w:rPr>
        <w:t xml:space="preserve"> </w:t>
      </w:r>
      <w:r w:rsidR="00DE11C1" w:rsidRPr="00C2273D">
        <w:t>and</w:t>
      </w:r>
      <w:r w:rsidR="00DE11C1" w:rsidRPr="00C2273D">
        <w:rPr>
          <w:i/>
        </w:rPr>
        <w:t xml:space="preserve"> Turner</w:t>
      </w:r>
      <w:r w:rsidR="00FF3235" w:rsidRPr="00C2273D">
        <w:t>.</w:t>
      </w:r>
      <w:r w:rsidR="003A12D8" w:rsidRPr="00C2273D">
        <w:rPr>
          <w:rStyle w:val="FootnoteReference"/>
          <w:sz w:val="22"/>
          <w:szCs w:val="22"/>
        </w:rPr>
        <w:footnoteReference w:id="119"/>
      </w:r>
      <w:r w:rsidRPr="00C2273D">
        <w:t xml:space="preserve"> </w:t>
      </w:r>
    </w:p>
    <w:p w14:paraId="2CBBD10E" w14:textId="77777777" w:rsidR="00DA5466" w:rsidRPr="00DB3C82" w:rsidRDefault="00701B68" w:rsidP="00DB3C82">
      <w:pPr>
        <w:pStyle w:val="ParaNum"/>
      </w:pPr>
      <w:r w:rsidRPr="00DB3C82">
        <w:t xml:space="preserve">The Companies </w:t>
      </w:r>
      <w:r w:rsidR="0049788B" w:rsidRPr="00DB3C82">
        <w:t>argue</w:t>
      </w:r>
      <w:r w:rsidRPr="00DB3C82">
        <w:t xml:space="preserve"> tha</w:t>
      </w:r>
      <w:r w:rsidR="00D04371" w:rsidRPr="00DB3C82">
        <w:t xml:space="preserve">t </w:t>
      </w:r>
      <w:r w:rsidRPr="00DB3C82">
        <w:t xml:space="preserve">it was clear from </w:t>
      </w:r>
      <w:r w:rsidR="003E1169" w:rsidRPr="00DB3C82">
        <w:t xml:space="preserve">the </w:t>
      </w:r>
      <w:r w:rsidRPr="00DB3C82">
        <w:t xml:space="preserve">context that the </w:t>
      </w:r>
      <w:r w:rsidR="003E1169" w:rsidRPr="00DB3C82">
        <w:rPr>
          <w:i/>
        </w:rPr>
        <w:t xml:space="preserve">No Surrender </w:t>
      </w:r>
      <w:r w:rsidR="00527576" w:rsidRPr="00DB3C82">
        <w:rPr>
          <w:i/>
        </w:rPr>
        <w:t>T</w:t>
      </w:r>
      <w:r w:rsidRPr="00DB3C82">
        <w:rPr>
          <w:i/>
        </w:rPr>
        <w:t>railer</w:t>
      </w:r>
      <w:r w:rsidRPr="00DB3C82">
        <w:t xml:space="preserve"> was </w:t>
      </w:r>
      <w:r w:rsidR="003E1169" w:rsidRPr="00DB3C82">
        <w:t xml:space="preserve">an advertisement </w:t>
      </w:r>
      <w:r w:rsidRPr="00DB3C82">
        <w:t xml:space="preserve">for a </w:t>
      </w:r>
      <w:r w:rsidR="006B767E" w:rsidRPr="00DB3C82">
        <w:t>movie</w:t>
      </w:r>
      <w:r w:rsidRPr="00DB3C82">
        <w:t xml:space="preserve">, and that </w:t>
      </w:r>
      <w:r w:rsidR="0049788B" w:rsidRPr="00DB3C82">
        <w:t xml:space="preserve">no </w:t>
      </w:r>
      <w:r w:rsidRPr="00DB3C82">
        <w:t xml:space="preserve">viewer </w:t>
      </w:r>
      <w:r w:rsidR="003E1169" w:rsidRPr="00DB3C82">
        <w:t>c</w:t>
      </w:r>
      <w:r w:rsidRPr="00DB3C82">
        <w:t xml:space="preserve">ould </w:t>
      </w:r>
      <w:r w:rsidR="0049788B" w:rsidRPr="00DB3C82">
        <w:t xml:space="preserve">reasonably </w:t>
      </w:r>
      <w:r w:rsidRPr="00DB3C82">
        <w:t>interpret the tone</w:t>
      </w:r>
      <w:r w:rsidR="00F204B6" w:rsidRPr="00DB3C82">
        <w:t>s</w:t>
      </w:r>
      <w:r w:rsidRPr="00DB3C82">
        <w:t xml:space="preserve"> heard </w:t>
      </w:r>
      <w:r w:rsidR="0049788B" w:rsidRPr="00DB3C82">
        <w:t>therein</w:t>
      </w:r>
      <w:r w:rsidRPr="00DB3C82">
        <w:t xml:space="preserve"> as related to an actual emergency.</w:t>
      </w:r>
      <w:r w:rsidRPr="00DB3C82">
        <w:rPr>
          <w:rStyle w:val="FootnoteReference"/>
          <w:spacing w:val="-2"/>
          <w:sz w:val="22"/>
          <w:szCs w:val="22"/>
        </w:rPr>
        <w:footnoteReference w:id="120"/>
      </w:r>
      <w:r w:rsidRPr="00DB3C82">
        <w:rPr>
          <w:spacing w:val="-2"/>
        </w:rPr>
        <w:t xml:space="preserve"> </w:t>
      </w:r>
      <w:r w:rsidR="000F6661" w:rsidRPr="00DB3C82">
        <w:t xml:space="preserve"> </w:t>
      </w:r>
      <w:r w:rsidR="00C84D11" w:rsidRPr="00DB3C82">
        <w:t xml:space="preserve">Just as with Section 11.45 of the Commission’s rules, however, </w:t>
      </w:r>
      <w:r w:rsidR="0084516D" w:rsidRPr="00DB3C82">
        <w:t xml:space="preserve">enforcement of </w:t>
      </w:r>
      <w:r w:rsidR="00F20A78" w:rsidRPr="00DB3C82">
        <w:t xml:space="preserve">Section </w:t>
      </w:r>
      <w:r w:rsidR="00805F1A" w:rsidRPr="00DB3C82">
        <w:t xml:space="preserve">325(a) of the Act </w:t>
      </w:r>
      <w:r w:rsidR="00C84D11" w:rsidRPr="00DB3C82">
        <w:t xml:space="preserve">is </w:t>
      </w:r>
      <w:r w:rsidR="00EF09DD" w:rsidRPr="00DB3C82">
        <w:t xml:space="preserve">not </w:t>
      </w:r>
      <w:r w:rsidR="00C84D11" w:rsidRPr="00DB3C82">
        <w:t>condition</w:t>
      </w:r>
      <w:r w:rsidR="00EF09DD" w:rsidRPr="00DB3C82">
        <w:t>ed</w:t>
      </w:r>
      <w:r w:rsidR="00C84D11" w:rsidRPr="00DB3C82">
        <w:t xml:space="preserve"> on </w:t>
      </w:r>
      <w:r w:rsidR="004F67EE" w:rsidRPr="00DB3C82">
        <w:t xml:space="preserve">proof of </w:t>
      </w:r>
      <w:r w:rsidR="006B767E" w:rsidRPr="00DB3C82">
        <w:t>deception or</w:t>
      </w:r>
      <w:r w:rsidR="004F67EE" w:rsidRPr="00DB3C82">
        <w:t xml:space="preserve"> harm.</w:t>
      </w:r>
      <w:r w:rsidR="00805F1A" w:rsidRPr="00DB3C82">
        <w:rPr>
          <w:rStyle w:val="FootnoteReference"/>
          <w:sz w:val="22"/>
          <w:szCs w:val="22"/>
        </w:rPr>
        <w:footnoteReference w:id="121"/>
      </w:r>
      <w:r w:rsidR="001F7A2C" w:rsidRPr="00DB3C82">
        <w:t xml:space="preserve">  </w:t>
      </w:r>
      <w:r w:rsidR="00A52E69" w:rsidRPr="00DB3C82">
        <w:t>The provision expressly provides that no person may “transmit</w:t>
      </w:r>
      <w:r w:rsidR="009F61F6" w:rsidRPr="00DB3C82">
        <w:t>,</w:t>
      </w:r>
      <w:r w:rsidR="00A52E69" w:rsidRPr="00DB3C82">
        <w:t xml:space="preserve"> or cause to be uttered or transmitted, any false or fraudulent signals of distress</w:t>
      </w:r>
      <w:r w:rsidR="00FE60E5" w:rsidRPr="00DB3C82">
        <w:t xml:space="preserve"> . . . .</w:t>
      </w:r>
      <w:r w:rsidR="00A52E69" w:rsidRPr="00DB3C82">
        <w:t>”</w:t>
      </w:r>
      <w:r w:rsidR="00A52E69" w:rsidRPr="00DB3C82">
        <w:rPr>
          <w:rStyle w:val="FootnoteReference"/>
          <w:sz w:val="22"/>
          <w:szCs w:val="22"/>
        </w:rPr>
        <w:footnoteReference w:id="122"/>
      </w:r>
      <w:r w:rsidR="00A52E69" w:rsidRPr="00DB3C82">
        <w:t xml:space="preserve">  The disjunctive description of “false or fraudulent” establishes that false use, even where </w:t>
      </w:r>
      <w:r w:rsidR="009C1BAB" w:rsidRPr="00DB3C82">
        <w:t>it is arguably not fraudulent or deceptive in nature,</w:t>
      </w:r>
      <w:r w:rsidR="00A52E69" w:rsidRPr="00DB3C82">
        <w:t xml:space="preserve"> is sufficient to</w:t>
      </w:r>
      <w:r w:rsidR="009C1BAB" w:rsidRPr="00DB3C82">
        <w:t xml:space="preserve"> trigger a violation and the Commission has so interpreted Section 325(a).</w:t>
      </w:r>
      <w:r w:rsidR="009C1BAB" w:rsidRPr="00DB3C82">
        <w:rPr>
          <w:rStyle w:val="FootnoteReference"/>
          <w:sz w:val="22"/>
          <w:szCs w:val="22"/>
        </w:rPr>
        <w:footnoteReference w:id="123"/>
      </w:r>
      <w:r w:rsidR="009C1BAB" w:rsidRPr="00DB3C82">
        <w:t xml:space="preserve">  The use of EAS Tones, whose sole and clearly defined purposes are to alert the public to emergency situations, in a non-emergency context, is by its nature false and constitutes a violation of Section 325(a).</w:t>
      </w:r>
      <w:r w:rsidR="009C1BAB" w:rsidRPr="00DB3C82">
        <w:rPr>
          <w:rStyle w:val="FootnoteReference"/>
          <w:sz w:val="22"/>
          <w:szCs w:val="22"/>
        </w:rPr>
        <w:footnoteReference w:id="124"/>
      </w:r>
      <w:r w:rsidR="009C1BAB" w:rsidRPr="00DB3C82">
        <w:t xml:space="preserve">  </w:t>
      </w:r>
      <w:r w:rsidR="001F7A2C" w:rsidRPr="00DB3C82">
        <w:t xml:space="preserve">We note, </w:t>
      </w:r>
      <w:r w:rsidR="006B767E" w:rsidRPr="00DB3C82">
        <w:t>moreo</w:t>
      </w:r>
      <w:r w:rsidR="001F7A2C" w:rsidRPr="00DB3C82">
        <w:t xml:space="preserve">ver, that </w:t>
      </w:r>
      <w:r w:rsidR="006B767E" w:rsidRPr="00DB3C82">
        <w:t xml:space="preserve">in </w:t>
      </w:r>
      <w:r w:rsidR="0072464B" w:rsidRPr="00DB3C82">
        <w:t>each</w:t>
      </w:r>
      <w:r w:rsidR="002E00BB" w:rsidRPr="00DB3C82">
        <w:t xml:space="preserve"> of the com</w:t>
      </w:r>
      <w:r w:rsidRPr="00DB3C82">
        <w:t xml:space="preserve">plaints </w:t>
      </w:r>
      <w:r w:rsidR="00F20A78" w:rsidRPr="00DB3C82">
        <w:t>about</w:t>
      </w:r>
      <w:r w:rsidRPr="00DB3C82">
        <w:t xml:space="preserve"> t</w:t>
      </w:r>
      <w:r w:rsidR="002E00BB" w:rsidRPr="00DB3C82">
        <w:t xml:space="preserve">he </w:t>
      </w:r>
      <w:r w:rsidR="00780F4B" w:rsidRPr="00DB3C82">
        <w:rPr>
          <w:i/>
        </w:rPr>
        <w:t>No Surrender Trailer</w:t>
      </w:r>
      <w:r w:rsidR="006B767E" w:rsidRPr="00DB3C82">
        <w:t>, the viewer</w:t>
      </w:r>
      <w:r w:rsidR="002E00BB" w:rsidRPr="00DB3C82">
        <w:t xml:space="preserve"> specifically </w:t>
      </w:r>
      <w:r w:rsidR="000357B8" w:rsidRPr="00DB3C82">
        <w:t>e</w:t>
      </w:r>
      <w:r w:rsidR="003A12D8" w:rsidRPr="00DB3C82">
        <w:t>xpress</w:t>
      </w:r>
      <w:r w:rsidR="00AD2198" w:rsidRPr="00DB3C82">
        <w:t>es</w:t>
      </w:r>
      <w:r w:rsidR="000357B8" w:rsidRPr="00DB3C82">
        <w:t xml:space="preserve"> concern that </w:t>
      </w:r>
      <w:r w:rsidR="008A0495" w:rsidRPr="00DB3C82">
        <w:t xml:space="preserve">the </w:t>
      </w:r>
      <w:r w:rsidR="00F204B6" w:rsidRPr="00DB3C82">
        <w:t>EAS T</w:t>
      </w:r>
      <w:r w:rsidR="008A0495" w:rsidRPr="00DB3C82">
        <w:t>ones did, in fact,</w:t>
      </w:r>
      <w:r w:rsidR="000357B8" w:rsidRPr="00DB3C82">
        <w:t xml:space="preserve"> create a false sense of emergency and ha</w:t>
      </w:r>
      <w:r w:rsidR="003823DF" w:rsidRPr="00DB3C82">
        <w:t>d</w:t>
      </w:r>
      <w:r w:rsidR="000357B8" w:rsidRPr="00DB3C82">
        <w:t xml:space="preserve"> the potential to desensitize the public to the signal that could be life-saving in a real national, state or local area emergency.</w:t>
      </w:r>
      <w:r w:rsidR="003A12D8" w:rsidRPr="00DB3C82">
        <w:rPr>
          <w:rStyle w:val="FootnoteReference"/>
          <w:sz w:val="22"/>
          <w:szCs w:val="22"/>
        </w:rPr>
        <w:footnoteReference w:id="125"/>
      </w:r>
      <w:r w:rsidR="000F5D86" w:rsidRPr="00DB3C82">
        <w:t xml:space="preserve">  One complainant</w:t>
      </w:r>
      <w:r w:rsidRPr="00DB3C82">
        <w:t xml:space="preserve"> even noted that, upon hearing the EAS </w:t>
      </w:r>
      <w:r w:rsidR="00F204B6" w:rsidRPr="00DB3C82">
        <w:t>Tones</w:t>
      </w:r>
      <w:r w:rsidRPr="00DB3C82">
        <w:t xml:space="preserve"> embedded in the </w:t>
      </w:r>
      <w:r w:rsidR="00780F4B" w:rsidRPr="00DB3C82">
        <w:rPr>
          <w:i/>
        </w:rPr>
        <w:t>No Surrender Trailer</w:t>
      </w:r>
      <w:r w:rsidRPr="00DB3C82">
        <w:t xml:space="preserve">, a family member rushed to </w:t>
      </w:r>
      <w:r w:rsidR="007C4220" w:rsidRPr="00DB3C82">
        <w:t>exit his</w:t>
      </w:r>
      <w:r w:rsidRPr="00DB3C82">
        <w:t xml:space="preserve"> bathtub, thinking there was an emergency.</w:t>
      </w:r>
      <w:r w:rsidRPr="00DB3C82">
        <w:rPr>
          <w:rStyle w:val="FootnoteReference"/>
          <w:sz w:val="22"/>
          <w:szCs w:val="22"/>
        </w:rPr>
        <w:footnoteReference w:id="126"/>
      </w:r>
    </w:p>
    <w:p w14:paraId="3C4FBE82" w14:textId="77777777" w:rsidR="009144EA" w:rsidRPr="00C2273D" w:rsidRDefault="00852710" w:rsidP="00514178">
      <w:pPr>
        <w:pStyle w:val="Heading2"/>
      </w:pPr>
      <w:r w:rsidRPr="00C2273D">
        <w:t xml:space="preserve">Calculation of Appropriate Forfeitures for Violations of Section 11.45 of the Commission’s </w:t>
      </w:r>
      <w:r w:rsidR="007767B2" w:rsidRPr="00C2273D">
        <w:t>R</w:t>
      </w:r>
      <w:r w:rsidRPr="00C2273D">
        <w:t>ules and Section 325(a) of the Act</w:t>
      </w:r>
      <w:r w:rsidRPr="00C2273D">
        <w:tab/>
      </w:r>
    </w:p>
    <w:p w14:paraId="5A4C5273" w14:textId="77777777" w:rsidR="00FB7CF8" w:rsidRPr="00C2273D" w:rsidRDefault="000E59DC" w:rsidP="00DB3C82">
      <w:pPr>
        <w:pStyle w:val="ParaNum"/>
        <w:rPr>
          <w:shd w:val="clear" w:color="auto" w:fill="FFFFFF"/>
        </w:rPr>
      </w:pPr>
      <w:r w:rsidRPr="00C2273D">
        <w:t>Based upon the evidence before us, we find th</w:t>
      </w:r>
      <w:r w:rsidR="004318E0" w:rsidRPr="00C2273D">
        <w:t xml:space="preserve">at </w:t>
      </w:r>
      <w:r w:rsidR="006B767E" w:rsidRPr="00C2273D">
        <w:t xml:space="preserve">each of </w:t>
      </w:r>
      <w:r w:rsidR="00AD2198" w:rsidRPr="00C2273D">
        <w:t>the Companies</w:t>
      </w:r>
      <w:r w:rsidRPr="00C2273D">
        <w:t xml:space="preserve"> apparently willfully an</w:t>
      </w:r>
      <w:r w:rsidR="00DD0A08" w:rsidRPr="00C2273D">
        <w:t>d repeatedly violated Section 11</w:t>
      </w:r>
      <w:r w:rsidRPr="00C2273D">
        <w:t>.</w:t>
      </w:r>
      <w:r w:rsidR="00DD0A08" w:rsidRPr="00C2273D">
        <w:t>45</w:t>
      </w:r>
      <w:r w:rsidRPr="00C2273D">
        <w:t xml:space="preserve"> of the Commission’s rules</w:t>
      </w:r>
      <w:r w:rsidR="008B4FB7" w:rsidRPr="00C2273D">
        <w:t xml:space="preserve"> </w:t>
      </w:r>
      <w:r w:rsidR="00457F13" w:rsidRPr="00C2273D">
        <w:t>and</w:t>
      </w:r>
      <w:r w:rsidR="008B4FB7" w:rsidRPr="00C2273D">
        <w:t xml:space="preserve"> Section 325(a) of the Act</w:t>
      </w:r>
      <w:r w:rsidRPr="00C2273D">
        <w:t xml:space="preserve">.  The Commission’s </w:t>
      </w:r>
      <w:r w:rsidRPr="00C2273D">
        <w:rPr>
          <w:i/>
        </w:rPr>
        <w:t xml:space="preserve">Forfeiture Policy Statement </w:t>
      </w:r>
      <w:r w:rsidRPr="00C2273D">
        <w:rPr>
          <w:spacing w:val="-2"/>
        </w:rPr>
        <w:t xml:space="preserve">sets a base forfeiture amount of </w:t>
      </w:r>
      <w:r w:rsidR="00DD0A08" w:rsidRPr="00C2273D">
        <w:rPr>
          <w:spacing w:val="-2"/>
        </w:rPr>
        <w:t>eight</w:t>
      </w:r>
      <w:r w:rsidRPr="00C2273D">
        <w:rPr>
          <w:spacing w:val="-2"/>
        </w:rPr>
        <w:t xml:space="preserve"> thousand dollars ($</w:t>
      </w:r>
      <w:r w:rsidR="00DD0A08" w:rsidRPr="00C2273D">
        <w:rPr>
          <w:spacing w:val="-2"/>
        </w:rPr>
        <w:t>8</w:t>
      </w:r>
      <w:r w:rsidRPr="00C2273D">
        <w:rPr>
          <w:spacing w:val="-2"/>
        </w:rPr>
        <w:t xml:space="preserve">,000) for </w:t>
      </w:r>
      <w:r w:rsidR="00DD0A08" w:rsidRPr="00C2273D">
        <w:rPr>
          <w:spacing w:val="-2"/>
        </w:rPr>
        <w:t>false distress communications</w:t>
      </w:r>
      <w:r w:rsidRPr="00C2273D">
        <w:rPr>
          <w:spacing w:val="-2"/>
        </w:rPr>
        <w:t>.</w:t>
      </w:r>
      <w:r w:rsidRPr="00C2273D">
        <w:rPr>
          <w:rStyle w:val="FootnoteReference"/>
          <w:spacing w:val="-2"/>
          <w:sz w:val="22"/>
          <w:szCs w:val="22"/>
        </w:rPr>
        <w:footnoteReference w:id="127"/>
      </w:r>
      <w:r w:rsidR="00A10DCB" w:rsidRPr="00C2273D">
        <w:rPr>
          <w:spacing w:val="-2"/>
        </w:rPr>
        <w:t xml:space="preserve">  </w:t>
      </w:r>
      <w:r w:rsidRPr="00C2273D">
        <w:rPr>
          <w:spacing w:val="-2"/>
        </w:rPr>
        <w:t xml:space="preserve">In assessing the monetary forfeiture amount, we must take into account the statutory factors set forth in Section 503(b)(2)(E) of the Act and Section 1.80 of the Commission’s rules, </w:t>
      </w:r>
      <w:r w:rsidRPr="00C2273D">
        <w:rPr>
          <w:rStyle w:val="documentbody1"/>
          <w:rFonts w:ascii="Times New Roman" w:hAnsi="Times New Roman"/>
          <w:color w:val="000000"/>
          <w:sz w:val="22"/>
          <w:szCs w:val="22"/>
        </w:rPr>
        <w:t xml:space="preserve">which include the nature, circumstances, extent, and gravity of the violation, and with respect to the violator, the degree of </w:t>
      </w:r>
      <w:r w:rsidR="00DA5466" w:rsidRPr="00C2273D">
        <w:rPr>
          <w:rStyle w:val="documentbody1"/>
          <w:rFonts w:ascii="Times New Roman" w:hAnsi="Times New Roman"/>
          <w:color w:val="000000"/>
          <w:sz w:val="22"/>
          <w:szCs w:val="22"/>
        </w:rPr>
        <w:t>culpability, any history of prior offenses, ability to pay, and other such matters as justice may require.</w:t>
      </w:r>
      <w:r w:rsidR="00DA5466" w:rsidRPr="00C2273D">
        <w:rPr>
          <w:rStyle w:val="FootnoteReference"/>
          <w:color w:val="000000"/>
          <w:sz w:val="22"/>
          <w:szCs w:val="22"/>
          <w:shd w:val="clear" w:color="auto" w:fill="FFFFFF"/>
        </w:rPr>
        <w:footnoteReference w:id="128"/>
      </w:r>
      <w:r w:rsidR="00DA5466" w:rsidRPr="00C2273D">
        <w:rPr>
          <w:rStyle w:val="documentbody1"/>
          <w:rFonts w:ascii="Times New Roman" w:hAnsi="Times New Roman"/>
          <w:color w:val="000000"/>
          <w:sz w:val="22"/>
          <w:szCs w:val="22"/>
        </w:rPr>
        <w:t xml:space="preserve">  </w:t>
      </w:r>
      <w:r w:rsidR="001F7A2C" w:rsidRPr="00C2273D">
        <w:rPr>
          <w:spacing w:val="-2"/>
        </w:rPr>
        <w:t xml:space="preserve">We note that the forfeiture amount </w:t>
      </w:r>
      <w:r w:rsidR="00EB2522">
        <w:rPr>
          <w:spacing w:val="-2"/>
        </w:rPr>
        <w:t>proposed</w:t>
      </w:r>
      <w:r w:rsidR="001F7A2C" w:rsidRPr="00C2273D">
        <w:rPr>
          <w:spacing w:val="-2"/>
        </w:rPr>
        <w:t xml:space="preserve"> for the apparent violation(s) here does not exceed the maximum monetary forfeiture permissible under the Act and the rules</w:t>
      </w:r>
      <w:r w:rsidR="00DA5466" w:rsidRPr="00C2273D">
        <w:t>.</w:t>
      </w:r>
      <w:r w:rsidR="00DA5466" w:rsidRPr="00C2273D">
        <w:rPr>
          <w:vertAlign w:val="superscript"/>
        </w:rPr>
        <w:footnoteReference w:id="129"/>
      </w:r>
    </w:p>
    <w:p w14:paraId="3D03DBB8" w14:textId="77777777" w:rsidR="00FB7CF8" w:rsidRPr="00C2273D" w:rsidRDefault="00FB7CF8" w:rsidP="00DB3C82">
      <w:pPr>
        <w:pStyle w:val="ParaNum"/>
        <w:rPr>
          <w:shd w:val="clear" w:color="auto" w:fill="FFFFFF"/>
        </w:rPr>
      </w:pPr>
      <w:r w:rsidRPr="00C2273D">
        <w:t>As noted above, the nature of EAS violations requires particularly serious consideration because</w:t>
      </w:r>
      <w:r w:rsidR="007624EF" w:rsidRPr="00C2273D">
        <w:t>, among other issues,</w:t>
      </w:r>
      <w:r w:rsidRPr="00C2273D">
        <w:t xml:space="preserve"> such violations undermine the integrity of the EAS by desensitizing viewers to the potential importance of warning tones and therefore implicate substantial public safety concerns</w:t>
      </w:r>
      <w:r w:rsidR="001D5251" w:rsidRPr="00C2273D">
        <w:rPr>
          <w:rStyle w:val="documentbody1"/>
          <w:rFonts w:ascii="Times New Roman" w:hAnsi="Times New Roman"/>
          <w:color w:val="000000"/>
          <w:sz w:val="22"/>
          <w:szCs w:val="22"/>
        </w:rPr>
        <w:t>.</w:t>
      </w:r>
      <w:r w:rsidRPr="00C2273D">
        <w:t xml:space="preserve">  </w:t>
      </w:r>
      <w:r w:rsidR="00F75D41" w:rsidRPr="00C2273D">
        <w:t xml:space="preserve">As explained in </w:t>
      </w:r>
      <w:r w:rsidR="00F75D41" w:rsidRPr="00C2273D">
        <w:rPr>
          <w:i/>
        </w:rPr>
        <w:t>Turner II</w:t>
      </w:r>
      <w:r w:rsidR="00F75D41" w:rsidRPr="00C2273D">
        <w:t>, our forfeiture determination in such cases is based on multiple factors associated with the nature of the violation and the violator.</w:t>
      </w:r>
      <w:r w:rsidR="00F75D41" w:rsidRPr="00C2273D">
        <w:rPr>
          <w:rStyle w:val="FootnoteReference"/>
          <w:sz w:val="22"/>
          <w:szCs w:val="22"/>
        </w:rPr>
        <w:footnoteReference w:id="130"/>
      </w:r>
      <w:r w:rsidR="007624EF" w:rsidRPr="00C2273D">
        <w:t xml:space="preserve">  For instance, in that case the offending advertisement was transmitted over only a single Turner-controlled </w:t>
      </w:r>
      <w:r w:rsidR="006A29A3" w:rsidRPr="00C2273D">
        <w:t>network</w:t>
      </w:r>
      <w:r w:rsidR="007624EF" w:rsidRPr="00C2273D">
        <w:t xml:space="preserve">, while the </w:t>
      </w:r>
      <w:r w:rsidR="007624EF" w:rsidRPr="00C2273D">
        <w:rPr>
          <w:i/>
        </w:rPr>
        <w:t>No Surrender Trailer</w:t>
      </w:r>
      <w:r w:rsidR="007624EF" w:rsidRPr="00C2273D">
        <w:t xml:space="preserve"> was transmitted on no fewer than three different </w:t>
      </w:r>
      <w:r w:rsidR="006A29A3" w:rsidRPr="00C2273D">
        <w:t>networks</w:t>
      </w:r>
      <w:r w:rsidR="007624EF" w:rsidRPr="00C2273D">
        <w:t xml:space="preserve"> </w:t>
      </w:r>
      <w:r w:rsidR="00CC1DCD" w:rsidRPr="00C2273D">
        <w:t xml:space="preserve">by each of </w:t>
      </w:r>
      <w:r w:rsidR="0084516D">
        <w:t xml:space="preserve">the </w:t>
      </w:r>
      <w:r w:rsidR="00CC1DCD" w:rsidRPr="00C2273D">
        <w:t>Companies, greatly increasing the potential harm by increasing the potential reach of the transmissions</w:t>
      </w:r>
      <w:r w:rsidR="007624EF" w:rsidRPr="00C2273D">
        <w:t>.</w:t>
      </w:r>
      <w:r w:rsidR="00F75D41" w:rsidRPr="00C2273D">
        <w:t xml:space="preserve"> </w:t>
      </w:r>
      <w:r w:rsidR="000F5D86" w:rsidRPr="00C2273D">
        <w:t xml:space="preserve"> </w:t>
      </w:r>
      <w:r w:rsidR="005433A4" w:rsidRPr="00C2273D">
        <w:t>Nonethe</w:t>
      </w:r>
      <w:r w:rsidR="00CC1DCD" w:rsidRPr="00C2273D">
        <w:t>less, n</w:t>
      </w:r>
      <w:r w:rsidR="000F5D86" w:rsidRPr="00C2273D">
        <w:t>o single factor (</w:t>
      </w:r>
      <w:r w:rsidR="000F5D86" w:rsidRPr="00CC38DC">
        <w:t>e.g</w:t>
      </w:r>
      <w:r w:rsidR="000F5D86" w:rsidRPr="00C2273D">
        <w:rPr>
          <w:i/>
        </w:rPr>
        <w:t>.</w:t>
      </w:r>
      <w:r w:rsidR="000F5D86" w:rsidRPr="00C2273D">
        <w:t xml:space="preserve">, the number of transmissions) is controlling.  </w:t>
      </w:r>
      <w:r w:rsidRPr="00C2273D">
        <w:t xml:space="preserve">When applying the statutory factors concerning the circumstances, extent, and gravity of an EAS violation, we </w:t>
      </w:r>
      <w:r w:rsidR="000F5D86" w:rsidRPr="00C2273D">
        <w:t>take into account</w:t>
      </w:r>
      <w:r w:rsidRPr="00C2273D">
        <w:t xml:space="preserve"> a </w:t>
      </w:r>
      <w:r w:rsidRPr="00C2273D">
        <w:rPr>
          <w:rStyle w:val="documentbody1"/>
          <w:rFonts w:ascii="Times New Roman" w:hAnsi="Times New Roman"/>
          <w:color w:val="000000"/>
          <w:sz w:val="22"/>
          <w:szCs w:val="22"/>
        </w:rPr>
        <w:t>number of specific factors, including:</w:t>
      </w:r>
      <w:r w:rsidRPr="00C2273D">
        <w:t xml:space="preserve"> </w:t>
      </w:r>
      <w:r w:rsidR="00DF6F29">
        <w:t xml:space="preserve"> </w:t>
      </w:r>
      <w:r w:rsidRPr="00C2273D">
        <w:t>(1) the</w:t>
      </w:r>
      <w:r w:rsidR="00307767" w:rsidRPr="00C2273D">
        <w:t xml:space="preserve"> number of </w:t>
      </w:r>
      <w:r w:rsidR="00F75D41" w:rsidRPr="00C2273D">
        <w:t>networks</w:t>
      </w:r>
      <w:r w:rsidR="00307767" w:rsidRPr="00C2273D">
        <w:t xml:space="preserve"> over which the transmissions occurred; (2) the</w:t>
      </w:r>
      <w:r w:rsidRPr="00C2273D">
        <w:t xml:space="preserve"> number of repetitions (i.e., the number of individual transmissions); (</w:t>
      </w:r>
      <w:r w:rsidR="00307767" w:rsidRPr="00C2273D">
        <w:t>3</w:t>
      </w:r>
      <w:r w:rsidRPr="00C2273D">
        <w:t xml:space="preserve">) the duration </w:t>
      </w:r>
      <w:r w:rsidR="00097ED6" w:rsidRPr="00C2273D">
        <w:t xml:space="preserve">of </w:t>
      </w:r>
      <w:r w:rsidRPr="00C2273D">
        <w:t>the violation (i.e., the number of days over w</w:t>
      </w:r>
      <w:r w:rsidR="00307767" w:rsidRPr="00C2273D">
        <w:t>hich the violation occurred); (4</w:t>
      </w:r>
      <w:r w:rsidRPr="00C2273D">
        <w:t>) the audience reach of the transmissions (e.g., nationwide, regional, or local); and (</w:t>
      </w:r>
      <w:r w:rsidR="00307767" w:rsidRPr="00C2273D">
        <w:t>5</w:t>
      </w:r>
      <w:r w:rsidRPr="00C2273D">
        <w:t>) the extent of the public safety impact (</w:t>
      </w:r>
      <w:r w:rsidRPr="00CC38DC">
        <w:t>e.g.</w:t>
      </w:r>
      <w:r w:rsidRPr="00C2273D">
        <w:t>, whether an EAS activation is triggered).</w:t>
      </w:r>
      <w:r w:rsidR="005433A4" w:rsidRPr="00C2273D">
        <w:rPr>
          <w:rStyle w:val="FootnoteReference"/>
          <w:sz w:val="22"/>
          <w:szCs w:val="22"/>
        </w:rPr>
        <w:footnoteReference w:id="131"/>
      </w:r>
      <w:r w:rsidRPr="00C2273D">
        <w:t xml:space="preserve"> </w:t>
      </w:r>
    </w:p>
    <w:p w14:paraId="581108CB" w14:textId="77777777" w:rsidR="00DA5466" w:rsidRPr="00DB3C82" w:rsidRDefault="001D5251" w:rsidP="00DB3C82">
      <w:pPr>
        <w:pStyle w:val="ParaNum"/>
      </w:pPr>
      <w:r w:rsidRPr="00C2273D">
        <w:rPr>
          <w:rStyle w:val="documentbody1"/>
          <w:rFonts w:ascii="Times New Roman" w:hAnsi="Times New Roman"/>
          <w:color w:val="000000"/>
          <w:sz w:val="22"/>
          <w:szCs w:val="22"/>
        </w:rPr>
        <w:t>As detailed above,</w:t>
      </w:r>
      <w:r w:rsidR="00053443" w:rsidRPr="00C2273D">
        <w:rPr>
          <w:rStyle w:val="documentbody1"/>
          <w:rFonts w:ascii="Times New Roman" w:hAnsi="Times New Roman"/>
          <w:color w:val="000000"/>
          <w:sz w:val="22"/>
          <w:szCs w:val="22"/>
        </w:rPr>
        <w:t xml:space="preserve"> </w:t>
      </w:r>
      <w:r w:rsidR="00581AC6" w:rsidRPr="00C2273D">
        <w:rPr>
          <w:rStyle w:val="documentbody1"/>
          <w:rFonts w:ascii="Times New Roman" w:hAnsi="Times New Roman"/>
          <w:color w:val="000000"/>
          <w:sz w:val="22"/>
          <w:szCs w:val="22"/>
        </w:rPr>
        <w:t xml:space="preserve">each of the Companies </w:t>
      </w:r>
      <w:r w:rsidR="00A811D5" w:rsidRPr="00C2273D">
        <w:rPr>
          <w:rStyle w:val="documentbody1"/>
          <w:rFonts w:ascii="Times New Roman" w:hAnsi="Times New Roman"/>
          <w:color w:val="000000"/>
          <w:sz w:val="22"/>
          <w:szCs w:val="22"/>
        </w:rPr>
        <w:t xml:space="preserve">apparently </w:t>
      </w:r>
      <w:r w:rsidR="00581AC6" w:rsidRPr="00C2273D">
        <w:rPr>
          <w:rStyle w:val="documentbody1"/>
          <w:rFonts w:ascii="Times New Roman" w:hAnsi="Times New Roman"/>
          <w:color w:val="000000"/>
          <w:sz w:val="22"/>
          <w:szCs w:val="22"/>
        </w:rPr>
        <w:t>committed multiple violations</w:t>
      </w:r>
      <w:r w:rsidR="001F7A2C" w:rsidRPr="00C2273D">
        <w:rPr>
          <w:rStyle w:val="documentbody1"/>
          <w:rFonts w:ascii="Times New Roman" w:hAnsi="Times New Roman"/>
          <w:color w:val="000000"/>
          <w:sz w:val="22"/>
          <w:szCs w:val="22"/>
        </w:rPr>
        <w:t xml:space="preserve"> over multiple days</w:t>
      </w:r>
      <w:r w:rsidR="004E2E80" w:rsidRPr="00C2273D">
        <w:rPr>
          <w:rStyle w:val="documentbody1"/>
          <w:rFonts w:ascii="Times New Roman" w:hAnsi="Times New Roman"/>
          <w:color w:val="000000"/>
          <w:sz w:val="22"/>
          <w:szCs w:val="22"/>
        </w:rPr>
        <w:t xml:space="preserve"> on multiple </w:t>
      </w:r>
      <w:r w:rsidR="00F75D41" w:rsidRPr="00C2273D">
        <w:rPr>
          <w:rStyle w:val="documentbody1"/>
          <w:rFonts w:ascii="Times New Roman" w:hAnsi="Times New Roman"/>
          <w:color w:val="000000"/>
          <w:sz w:val="22"/>
          <w:szCs w:val="22"/>
        </w:rPr>
        <w:t>networks</w:t>
      </w:r>
      <w:r w:rsidR="00581AC6" w:rsidRPr="00C2273D">
        <w:rPr>
          <w:rStyle w:val="documentbody1"/>
          <w:rFonts w:ascii="Times New Roman" w:hAnsi="Times New Roman"/>
          <w:color w:val="000000"/>
          <w:sz w:val="22"/>
          <w:szCs w:val="22"/>
        </w:rPr>
        <w:t xml:space="preserve">, </w:t>
      </w:r>
      <w:r w:rsidR="001F7A2C" w:rsidRPr="00C2273D">
        <w:rPr>
          <w:rStyle w:val="documentbody1"/>
          <w:rFonts w:ascii="Times New Roman" w:hAnsi="Times New Roman"/>
          <w:color w:val="000000"/>
          <w:sz w:val="22"/>
          <w:szCs w:val="22"/>
        </w:rPr>
        <w:t xml:space="preserve">with </w:t>
      </w:r>
      <w:r w:rsidR="00982205" w:rsidRPr="00C2273D">
        <w:rPr>
          <w:rStyle w:val="documentbody1"/>
          <w:rFonts w:ascii="Times New Roman" w:hAnsi="Times New Roman"/>
          <w:color w:val="000000"/>
          <w:sz w:val="22"/>
          <w:szCs w:val="22"/>
        </w:rPr>
        <w:t>the number of transmissions</w:t>
      </w:r>
      <w:r w:rsidR="00581AC6" w:rsidRPr="00C2273D">
        <w:rPr>
          <w:rStyle w:val="documentbody1"/>
          <w:rFonts w:ascii="Times New Roman" w:hAnsi="Times New Roman"/>
          <w:color w:val="000000"/>
          <w:sz w:val="22"/>
          <w:szCs w:val="22"/>
        </w:rPr>
        <w:t xml:space="preserve"> doubled</w:t>
      </w:r>
      <w:r w:rsidR="001F7A2C" w:rsidRPr="00C2273D">
        <w:rPr>
          <w:rStyle w:val="documentbody1"/>
          <w:rFonts w:ascii="Times New Roman" w:hAnsi="Times New Roman"/>
          <w:color w:val="000000"/>
          <w:sz w:val="22"/>
          <w:szCs w:val="22"/>
        </w:rPr>
        <w:t xml:space="preserve"> </w:t>
      </w:r>
      <w:r w:rsidR="00982205" w:rsidRPr="00C2273D">
        <w:rPr>
          <w:rStyle w:val="documentbody1"/>
          <w:rFonts w:ascii="Times New Roman" w:hAnsi="Times New Roman"/>
          <w:color w:val="000000"/>
          <w:sz w:val="22"/>
          <w:szCs w:val="22"/>
        </w:rPr>
        <w:t>on some</w:t>
      </w:r>
      <w:r w:rsidR="00F75D41" w:rsidRPr="00C2273D">
        <w:rPr>
          <w:rStyle w:val="documentbody1"/>
          <w:rFonts w:ascii="Times New Roman" w:hAnsi="Times New Roman"/>
          <w:color w:val="000000"/>
          <w:sz w:val="22"/>
          <w:szCs w:val="22"/>
        </w:rPr>
        <w:t xml:space="preserve"> networks</w:t>
      </w:r>
      <w:r w:rsidR="00581AC6" w:rsidRPr="00C2273D">
        <w:rPr>
          <w:rStyle w:val="documentbody1"/>
          <w:rFonts w:ascii="Times New Roman" w:hAnsi="Times New Roman"/>
          <w:color w:val="000000"/>
          <w:sz w:val="22"/>
          <w:szCs w:val="22"/>
        </w:rPr>
        <w:t xml:space="preserve"> </w:t>
      </w:r>
      <w:r w:rsidR="00A811D5" w:rsidRPr="00C2273D">
        <w:t xml:space="preserve">due to </w:t>
      </w:r>
      <w:r w:rsidR="001F7A2C" w:rsidRPr="00C2273D">
        <w:t>the separate</w:t>
      </w:r>
      <w:r w:rsidR="00053443" w:rsidRPr="00C2273D">
        <w:t xml:space="preserve"> East Coast and West Coast programming feeds</w:t>
      </w:r>
      <w:r w:rsidR="00581AC6" w:rsidRPr="00C2273D">
        <w:t>.</w:t>
      </w:r>
      <w:r w:rsidR="00741C03" w:rsidRPr="00C2273D">
        <w:t xml:space="preserve"> </w:t>
      </w:r>
      <w:r w:rsidR="00506904" w:rsidRPr="00C2273D">
        <w:t xml:space="preserve"> </w:t>
      </w:r>
      <w:r w:rsidRPr="00C2273D">
        <w:t xml:space="preserve">With respect to audience reach, </w:t>
      </w:r>
      <w:r w:rsidR="00363DCD" w:rsidRPr="00C2273D">
        <w:t>Viacom</w:t>
      </w:r>
      <w:r w:rsidR="00BB249A" w:rsidRPr="00C2273D">
        <w:t xml:space="preserve"> </w:t>
      </w:r>
      <w:r w:rsidR="00314673" w:rsidRPr="00C2273D">
        <w:t>states</w:t>
      </w:r>
      <w:r w:rsidR="00363DCD" w:rsidRPr="00C2273D">
        <w:t xml:space="preserve"> in its 2013</w:t>
      </w:r>
      <w:r w:rsidR="00C16531" w:rsidRPr="00C2273D">
        <w:t xml:space="preserve"> Annual Report that </w:t>
      </w:r>
      <w:r w:rsidR="00363DCD" w:rsidRPr="00C2273D">
        <w:t>Comedy Central</w:t>
      </w:r>
      <w:r w:rsidR="00C16531" w:rsidRPr="00C2273D">
        <w:t>, “</w:t>
      </w:r>
      <w:r w:rsidR="00A7741D" w:rsidRPr="00C2273D">
        <w:t>reached approximately 99 million domestic television households in September 2013</w:t>
      </w:r>
      <w:r w:rsidR="00EB001E" w:rsidRPr="00C2273D">
        <w:t>.</w:t>
      </w:r>
      <w:r w:rsidR="00C16531" w:rsidRPr="00C2273D">
        <w:t>”</w:t>
      </w:r>
      <w:r w:rsidR="00C16531" w:rsidRPr="00C2273D">
        <w:rPr>
          <w:rStyle w:val="FootnoteReference"/>
          <w:color w:val="000000"/>
          <w:sz w:val="22"/>
          <w:szCs w:val="22"/>
        </w:rPr>
        <w:footnoteReference w:id="132"/>
      </w:r>
      <w:r w:rsidR="00C16531" w:rsidRPr="00C2273D">
        <w:t xml:space="preserve"> </w:t>
      </w:r>
      <w:r w:rsidR="00A7741D" w:rsidRPr="00C2273D">
        <w:t xml:space="preserve"> </w:t>
      </w:r>
      <w:r w:rsidR="00DC619C" w:rsidRPr="00C2273D">
        <w:t xml:space="preserve">NBCUniversal states in its 2013 Annual Report that its </w:t>
      </w:r>
      <w:r w:rsidR="00FE18D6" w:rsidRPr="00C2273D">
        <w:t>SyFy</w:t>
      </w:r>
      <w:r w:rsidR="00DC619C" w:rsidRPr="00C2273D">
        <w:t xml:space="preserve"> cable network reached approximately 98 million U.S. subscribers as of December 31, 2012.</w:t>
      </w:r>
      <w:r w:rsidR="00DC619C" w:rsidRPr="00C2273D">
        <w:rPr>
          <w:rStyle w:val="FootnoteReference"/>
          <w:color w:val="000000"/>
          <w:sz w:val="22"/>
          <w:szCs w:val="22"/>
        </w:rPr>
        <w:footnoteReference w:id="133"/>
      </w:r>
      <w:r w:rsidR="00DC619C" w:rsidRPr="00C2273D">
        <w:t xml:space="preserve">  ESPN states in its 2013 Annual Report that ESPN Network reached approximately 99 million subscribers</w:t>
      </w:r>
      <w:r w:rsidR="00BB43F7" w:rsidRPr="00C2273D">
        <w:t xml:space="preserve"> as</w:t>
      </w:r>
      <w:r w:rsidR="00DC619C" w:rsidRPr="00C2273D">
        <w:t xml:space="preserve"> of September 28, 2013.</w:t>
      </w:r>
      <w:r w:rsidR="00DC619C" w:rsidRPr="00C2273D">
        <w:rPr>
          <w:rStyle w:val="FootnoteReference"/>
          <w:color w:val="000000"/>
          <w:sz w:val="22"/>
          <w:szCs w:val="22"/>
        </w:rPr>
        <w:footnoteReference w:id="134"/>
      </w:r>
      <w:r w:rsidR="00DC619C" w:rsidRPr="00C2273D">
        <w:t xml:space="preserve">  </w:t>
      </w:r>
      <w:r w:rsidR="001978DE" w:rsidRPr="00C2273D">
        <w:t xml:space="preserve">In addition, </w:t>
      </w:r>
      <w:r w:rsidR="00BB43F7" w:rsidRPr="00C2273D">
        <w:t xml:space="preserve">each of the Companies </w:t>
      </w:r>
      <w:r w:rsidR="001978DE" w:rsidRPr="00C2273D">
        <w:t>admit</w:t>
      </w:r>
      <w:r w:rsidR="004449CC" w:rsidRPr="00C2273D">
        <w:t>s</w:t>
      </w:r>
      <w:r w:rsidR="001978DE" w:rsidRPr="00C2273D">
        <w:t xml:space="preserve"> that the </w:t>
      </w:r>
      <w:r w:rsidR="00780F4B" w:rsidRPr="00C2273D">
        <w:rPr>
          <w:i/>
        </w:rPr>
        <w:t>No Surrender Trailer</w:t>
      </w:r>
      <w:r w:rsidR="001978DE" w:rsidRPr="00C2273D">
        <w:t xml:space="preserve"> ran on additional networks</w:t>
      </w:r>
      <w:r w:rsidR="001F7A2C" w:rsidRPr="00C2273D">
        <w:t xml:space="preserve"> under their control</w:t>
      </w:r>
      <w:r w:rsidR="001978DE" w:rsidRPr="00C2273D">
        <w:t xml:space="preserve">, thereby further increasing the scope of </w:t>
      </w:r>
      <w:r w:rsidR="001F7A2C" w:rsidRPr="00C2273D">
        <w:t xml:space="preserve">their </w:t>
      </w:r>
      <w:r w:rsidR="001978DE" w:rsidRPr="00C2273D">
        <w:t xml:space="preserve">audience reach.  </w:t>
      </w:r>
      <w:r w:rsidR="00AD2198" w:rsidRPr="00C2273D">
        <w:t xml:space="preserve">The fact that </w:t>
      </w:r>
      <w:r w:rsidR="00AC03D0" w:rsidRPr="00C2273D">
        <w:t xml:space="preserve">each of </w:t>
      </w:r>
      <w:r w:rsidR="001978DE" w:rsidRPr="00C2273D">
        <w:t>the Companies’</w:t>
      </w:r>
      <w:r w:rsidR="00AD2198" w:rsidRPr="00C2273D">
        <w:t xml:space="preserve"> </w:t>
      </w:r>
      <w:r w:rsidR="007C4220" w:rsidRPr="00C2273D">
        <w:t>programming</w:t>
      </w:r>
      <w:r w:rsidR="00AD2198" w:rsidRPr="00C2273D">
        <w:t xml:space="preserve"> reached such potentially vast audiences greatly increases </w:t>
      </w:r>
      <w:r w:rsidR="00AC03D0" w:rsidRPr="00C2273D">
        <w:t xml:space="preserve">the </w:t>
      </w:r>
      <w:r w:rsidR="00AD2198" w:rsidRPr="00C2273D">
        <w:rPr>
          <w:rStyle w:val="documentbody1"/>
          <w:rFonts w:ascii="Times New Roman" w:hAnsi="Times New Roman"/>
          <w:color w:val="000000"/>
          <w:sz w:val="22"/>
          <w:szCs w:val="22"/>
        </w:rPr>
        <w:t>extent and gravity of the</w:t>
      </w:r>
      <w:r w:rsidR="00AD2198" w:rsidRPr="00C2273D">
        <w:rPr>
          <w:rStyle w:val="documentbody1"/>
          <w:rFonts w:ascii="Times New Roman" w:hAnsi="Times New Roman"/>
          <w:sz w:val="22"/>
          <w:szCs w:val="22"/>
        </w:rPr>
        <w:t xml:space="preserve"> violations.</w:t>
      </w:r>
      <w:r w:rsidR="00D6566F" w:rsidRPr="00C2273D">
        <w:rPr>
          <w:rStyle w:val="documentbody1"/>
          <w:rFonts w:ascii="Times New Roman" w:hAnsi="Times New Roman"/>
          <w:sz w:val="22"/>
          <w:szCs w:val="22"/>
        </w:rPr>
        <w:t xml:space="preserve">  These are circumstances to be considered in establishing the appropriate forfeiture.</w:t>
      </w:r>
    </w:p>
    <w:p w14:paraId="208B439E" w14:textId="77777777" w:rsidR="00DA5466" w:rsidRPr="00C2273D" w:rsidRDefault="00314673" w:rsidP="00DB3C82">
      <w:pPr>
        <w:pStyle w:val="ParaNum"/>
        <w:rPr>
          <w:shd w:val="clear" w:color="auto" w:fill="FFFFFF"/>
        </w:rPr>
      </w:pPr>
      <w:r w:rsidRPr="00C2273D">
        <w:t xml:space="preserve">With respect to </w:t>
      </w:r>
      <w:r w:rsidR="00EB001E" w:rsidRPr="00C2273D">
        <w:t>the Companies’</w:t>
      </w:r>
      <w:r w:rsidRPr="00C2273D">
        <w:t xml:space="preserve"> ability to pay, </w:t>
      </w:r>
      <w:r w:rsidR="008B4FB7" w:rsidRPr="00C2273D">
        <w:t xml:space="preserve">we note that </w:t>
      </w:r>
      <w:r w:rsidR="00EB001E" w:rsidRPr="00C2273D">
        <w:t>Viacom</w:t>
      </w:r>
      <w:r w:rsidR="00E86F92" w:rsidRPr="00C2273D">
        <w:t xml:space="preserve"> </w:t>
      </w:r>
      <w:r w:rsidR="00124569" w:rsidRPr="00C2273D">
        <w:t xml:space="preserve">reported annual </w:t>
      </w:r>
      <w:r w:rsidR="00BA7EC4" w:rsidRPr="00C2273D">
        <w:t xml:space="preserve">revenues </w:t>
      </w:r>
      <w:r w:rsidR="008B4FB7" w:rsidRPr="00C2273D">
        <w:t xml:space="preserve">in excess of </w:t>
      </w:r>
      <w:r w:rsidR="00EB001E" w:rsidRPr="00C2273D">
        <w:t>$13</w:t>
      </w:r>
      <w:r w:rsidR="008B4FB7" w:rsidRPr="00C2273D">
        <w:t>.</w:t>
      </w:r>
      <w:r w:rsidR="00EB001E" w:rsidRPr="00C2273D">
        <w:t>7</w:t>
      </w:r>
      <w:r w:rsidR="000F78FE" w:rsidRPr="00C2273D">
        <w:t xml:space="preserve"> b</w:t>
      </w:r>
      <w:r w:rsidR="00BA7EC4" w:rsidRPr="00C2273D">
        <w:t>illion</w:t>
      </w:r>
      <w:r w:rsidR="00EB001E" w:rsidRPr="00C2273D">
        <w:t xml:space="preserve"> as of September 30, 2013</w:t>
      </w:r>
      <w:r w:rsidR="00124569" w:rsidRPr="00C2273D">
        <w:t>.</w:t>
      </w:r>
      <w:r w:rsidR="00124569" w:rsidRPr="00C2273D">
        <w:rPr>
          <w:rStyle w:val="FootnoteReference"/>
          <w:color w:val="000000"/>
          <w:sz w:val="22"/>
          <w:szCs w:val="22"/>
        </w:rPr>
        <w:footnoteReference w:id="135"/>
      </w:r>
      <w:r w:rsidR="00124569" w:rsidRPr="00C2273D">
        <w:t xml:space="preserve"> </w:t>
      </w:r>
      <w:r w:rsidR="00BB43F7" w:rsidRPr="00C2273D">
        <w:t xml:space="preserve"> </w:t>
      </w:r>
      <w:r w:rsidR="001978DE" w:rsidRPr="00C2273D">
        <w:t>NBCUniversal report</w:t>
      </w:r>
      <w:r w:rsidR="00BB43F7" w:rsidRPr="00C2273D">
        <w:t>ed</w:t>
      </w:r>
      <w:r w:rsidR="001978DE" w:rsidRPr="00C2273D">
        <w:t xml:space="preserve"> annual revenues in excess of $23.8 billion</w:t>
      </w:r>
      <w:r w:rsidR="00AC03D0" w:rsidRPr="00C2273D">
        <w:t>,</w:t>
      </w:r>
      <w:r w:rsidR="001978DE" w:rsidRPr="00C2273D">
        <w:t xml:space="preserve"> with its cable networks segment accounting for over $8.7 billion of total corporate revenues.</w:t>
      </w:r>
      <w:r w:rsidR="001978DE" w:rsidRPr="00C2273D">
        <w:rPr>
          <w:rStyle w:val="FootnoteReference"/>
          <w:color w:val="000000"/>
          <w:sz w:val="22"/>
          <w:szCs w:val="22"/>
        </w:rPr>
        <w:footnoteReference w:id="136"/>
      </w:r>
      <w:r w:rsidR="00124569" w:rsidRPr="00C2273D">
        <w:t xml:space="preserve"> </w:t>
      </w:r>
      <w:r w:rsidR="00BB43F7" w:rsidRPr="00C2273D">
        <w:t xml:space="preserve"> </w:t>
      </w:r>
      <w:r w:rsidR="001978DE" w:rsidRPr="00C2273D">
        <w:t xml:space="preserve">The Walt Disney Company reported </w:t>
      </w:r>
      <w:r w:rsidR="00221075" w:rsidRPr="00C2273D">
        <w:t xml:space="preserve">2013 </w:t>
      </w:r>
      <w:r w:rsidR="00B066F8" w:rsidRPr="00C2273D">
        <w:t>total revenues in excess of $45 billion, with its Media Networks segment, including ESPN, accounting for over $20.3 billion of total revenues.</w:t>
      </w:r>
      <w:r w:rsidR="00B066F8" w:rsidRPr="00C2273D">
        <w:rPr>
          <w:rStyle w:val="FootnoteReference"/>
          <w:color w:val="000000"/>
          <w:sz w:val="22"/>
          <w:szCs w:val="22"/>
        </w:rPr>
        <w:footnoteReference w:id="137"/>
      </w:r>
      <w:r w:rsidR="00B066F8" w:rsidRPr="00C2273D">
        <w:t xml:space="preserve">  </w:t>
      </w:r>
      <w:r w:rsidR="00C271E3" w:rsidRPr="00C2273D">
        <w:t xml:space="preserve">As the Commission made clear in the </w:t>
      </w:r>
      <w:r w:rsidR="00C271E3" w:rsidRPr="00C2273D">
        <w:rPr>
          <w:i/>
        </w:rPr>
        <w:t>Forfeiture Policy Statement</w:t>
      </w:r>
      <w:r w:rsidR="00C271E3" w:rsidRPr="00C2273D">
        <w:t xml:space="preserve">, companies with </w:t>
      </w:r>
      <w:r w:rsidR="004F67EE" w:rsidRPr="00C2273D">
        <w:t xml:space="preserve">substantial </w:t>
      </w:r>
      <w:r w:rsidR="00C271E3" w:rsidRPr="00C2273D">
        <w:t xml:space="preserve">revenues, such as </w:t>
      </w:r>
      <w:r w:rsidR="00EB001E" w:rsidRPr="00C2273D">
        <w:t>the Companies</w:t>
      </w:r>
      <w:r w:rsidR="00C271E3" w:rsidRPr="00C2273D">
        <w:t xml:space="preserve">, </w:t>
      </w:r>
      <w:r w:rsidR="00E52DB9" w:rsidRPr="00C2273D">
        <w:t>may</w:t>
      </w:r>
      <w:r w:rsidR="00C271E3" w:rsidRPr="00C2273D">
        <w:t xml:space="preserve"> expect </w:t>
      </w:r>
      <w:r w:rsidR="00E52DB9" w:rsidRPr="00C2273D">
        <w:t xml:space="preserve">the imposition of </w:t>
      </w:r>
      <w:r w:rsidR="00C271E3" w:rsidRPr="00C2273D">
        <w:t xml:space="preserve">forfeitures </w:t>
      </w:r>
      <w:r w:rsidR="00D6566F" w:rsidRPr="00C2273D">
        <w:t>well above</w:t>
      </w:r>
      <w:r w:rsidR="00C271E3" w:rsidRPr="00C2273D">
        <w:t xml:space="preserve"> the base amounts</w:t>
      </w:r>
      <w:r w:rsidR="00D6566F" w:rsidRPr="00C2273D">
        <w:t xml:space="preserve"> in order to deter violative behavior</w:t>
      </w:r>
      <w:r w:rsidR="00C271E3" w:rsidRPr="00C2273D">
        <w:t>.</w:t>
      </w:r>
      <w:r w:rsidR="00C271E3" w:rsidRPr="00C2273D">
        <w:rPr>
          <w:rStyle w:val="FootnoteReference"/>
          <w:color w:val="000000"/>
          <w:sz w:val="22"/>
          <w:szCs w:val="22"/>
        </w:rPr>
        <w:footnoteReference w:id="138"/>
      </w:r>
      <w:r w:rsidR="00FF3235" w:rsidRPr="00C2273D">
        <w:rPr>
          <w:shd w:val="clear" w:color="auto" w:fill="FFFFFF"/>
        </w:rPr>
        <w:t xml:space="preserve">  </w:t>
      </w:r>
    </w:p>
    <w:p w14:paraId="19ADBF25" w14:textId="77777777" w:rsidR="00DA5466" w:rsidRPr="00DB3C82" w:rsidRDefault="00D6566F" w:rsidP="00DB3C82">
      <w:pPr>
        <w:pStyle w:val="ParaNum"/>
      </w:pPr>
      <w:r w:rsidRPr="00C2273D">
        <w:t>In calculating the appropriate forfeiture, we also consider the entity’s past compliance record</w:t>
      </w:r>
      <w:r w:rsidR="00796E03" w:rsidRPr="00C2273D">
        <w:t xml:space="preserve">.  We found nothing in the record or in the Companies’ prior history of violations or compliance sufficient to </w:t>
      </w:r>
      <w:r w:rsidR="00A811D5" w:rsidRPr="00C2273D">
        <w:t xml:space="preserve">reduce the proposed forfeiture amounts </w:t>
      </w:r>
      <w:r w:rsidR="00796E03" w:rsidRPr="00C2273D">
        <w:t>based on such factors.</w:t>
      </w:r>
      <w:r w:rsidRPr="00C2273D">
        <w:t xml:space="preserve"> </w:t>
      </w:r>
    </w:p>
    <w:p w14:paraId="398AB181" w14:textId="77777777" w:rsidR="00DA5466" w:rsidRPr="00DB3C82" w:rsidRDefault="003942C9" w:rsidP="00DB3C82">
      <w:pPr>
        <w:pStyle w:val="ParaNum"/>
      </w:pPr>
      <w:r w:rsidRPr="00C2273D">
        <w:t>The Commission also may</w:t>
      </w:r>
      <w:r w:rsidR="00DA5466" w:rsidRPr="00C2273D">
        <w:t xml:space="preserve"> consider whether remedial efforts should reduce the forfeiture amount.</w:t>
      </w:r>
      <w:r w:rsidR="00E44E5D" w:rsidRPr="00C2273D">
        <w:rPr>
          <w:rStyle w:val="FootnoteReference"/>
          <w:color w:val="000000"/>
          <w:sz w:val="22"/>
          <w:szCs w:val="22"/>
        </w:rPr>
        <w:footnoteReference w:id="139"/>
      </w:r>
      <w:r w:rsidR="00DA5466" w:rsidRPr="00C2273D">
        <w:t xml:space="preserve">  In these cases, </w:t>
      </w:r>
      <w:r w:rsidR="00EB2522">
        <w:t>Viacom and ESPN each</w:t>
      </w:r>
      <w:r w:rsidR="00DA5466" w:rsidRPr="00C2273D">
        <w:t xml:space="preserve"> assert that it changed its standards and review processes after receiving our LOIs</w:t>
      </w:r>
      <w:r w:rsidR="00EB2522">
        <w:t>;</w:t>
      </w:r>
      <w:r w:rsidR="00D876E0" w:rsidRPr="00C2273D">
        <w:rPr>
          <w:rStyle w:val="FootnoteReference"/>
          <w:color w:val="000000"/>
          <w:sz w:val="22"/>
          <w:szCs w:val="22"/>
        </w:rPr>
        <w:footnoteReference w:id="140"/>
      </w:r>
      <w:r w:rsidR="00EB2522">
        <w:t xml:space="preserve"> NBCUniversal indicates that it is “in the process” of doing so.</w:t>
      </w:r>
      <w:r w:rsidR="00EB2522">
        <w:rPr>
          <w:rStyle w:val="FootnoteReference"/>
          <w:color w:val="000000"/>
          <w:sz w:val="22"/>
          <w:szCs w:val="22"/>
        </w:rPr>
        <w:footnoteReference w:id="141"/>
      </w:r>
      <w:r w:rsidR="00EB2522">
        <w:t xml:space="preserve"> </w:t>
      </w:r>
      <w:r w:rsidR="00DA5466" w:rsidRPr="00C2273D">
        <w:t xml:space="preserve"> </w:t>
      </w:r>
      <w:r w:rsidR="00EB2522">
        <w:t xml:space="preserve">In any event, </w:t>
      </w:r>
      <w:r w:rsidR="00DA5466" w:rsidRPr="00C2273D">
        <w:t xml:space="preserve">such efforts do not mitigate the apparent violations addressed herein. </w:t>
      </w:r>
      <w:r w:rsidR="00AF2E5E" w:rsidRPr="00C2273D">
        <w:t xml:space="preserve"> </w:t>
      </w:r>
      <w:r w:rsidR="00DA5466" w:rsidRPr="00C2273D">
        <w:t xml:space="preserve">It is well settled that remedial </w:t>
      </w:r>
      <w:r w:rsidR="00A811D5" w:rsidRPr="00C2273D">
        <w:t>efforts</w:t>
      </w:r>
      <w:r w:rsidR="00DA5466" w:rsidRPr="00C2273D">
        <w:t xml:space="preserve"> </w:t>
      </w:r>
      <w:r w:rsidR="00A811D5" w:rsidRPr="00C2273D">
        <w:t xml:space="preserve">taken after </w:t>
      </w:r>
      <w:r w:rsidR="00982205" w:rsidRPr="00C2273D">
        <w:t xml:space="preserve">a </w:t>
      </w:r>
      <w:r w:rsidR="00A811D5" w:rsidRPr="00C2273D">
        <w:t xml:space="preserve">Commission investigation or enforcement action </w:t>
      </w:r>
      <w:r w:rsidR="00DA5466" w:rsidRPr="00C2273D">
        <w:t xml:space="preserve">do not excuse or </w:t>
      </w:r>
      <w:r w:rsidR="00A950FC" w:rsidRPr="00C2273D">
        <w:t>mitigate</w:t>
      </w:r>
      <w:r w:rsidR="00DA5466" w:rsidRPr="00C2273D">
        <w:t xml:space="preserve"> a licensee’s violation of a Commission rule.</w:t>
      </w:r>
      <w:r w:rsidR="00DA5466" w:rsidRPr="00C2273D">
        <w:rPr>
          <w:rStyle w:val="FootnoteReference"/>
          <w:sz w:val="22"/>
          <w:szCs w:val="22"/>
        </w:rPr>
        <w:footnoteReference w:id="142"/>
      </w:r>
      <w:r w:rsidR="00DA5466" w:rsidRPr="00C2273D">
        <w:t xml:space="preserve">  Although we may consider pre-investigative remedial measures when we determine the sanction to be imposed for a rule violation,</w:t>
      </w:r>
      <w:r w:rsidR="00DA5466" w:rsidRPr="00C2273D">
        <w:rPr>
          <w:rStyle w:val="FootnoteReference"/>
          <w:sz w:val="22"/>
          <w:szCs w:val="22"/>
        </w:rPr>
        <w:footnoteReference w:id="143"/>
      </w:r>
      <w:r w:rsidR="00DA5466" w:rsidRPr="00C2273D">
        <w:t xml:space="preserve"> </w:t>
      </w:r>
      <w:r w:rsidR="00F3146F">
        <w:t>no such remedial</w:t>
      </w:r>
      <w:r w:rsidR="008754EF" w:rsidRPr="00C2273D">
        <w:t xml:space="preserve"> efforts were undertaken </w:t>
      </w:r>
      <w:r w:rsidR="000A7990" w:rsidRPr="00C2273D">
        <w:t>by the Companies</w:t>
      </w:r>
      <w:r w:rsidR="00DA5466" w:rsidRPr="00C2273D">
        <w:t>.</w:t>
      </w:r>
      <w:r w:rsidR="0095741F">
        <w:rPr>
          <w:rStyle w:val="FootnoteReference"/>
          <w:color w:val="000000"/>
          <w:sz w:val="22"/>
          <w:szCs w:val="22"/>
        </w:rPr>
        <w:footnoteReference w:id="144"/>
      </w:r>
      <w:r w:rsidR="00DA5466" w:rsidRPr="00C2273D">
        <w:t xml:space="preserve">  Indeed, the record shows that</w:t>
      </w:r>
      <w:r w:rsidR="000A7990" w:rsidRPr="00C2273D">
        <w:t xml:space="preserve"> one of the Companies,</w:t>
      </w:r>
      <w:r w:rsidR="00DA5466" w:rsidRPr="00C2273D">
        <w:t xml:space="preserve"> NBCUniversal</w:t>
      </w:r>
      <w:r w:rsidR="000A7990" w:rsidRPr="00C2273D">
        <w:t>,</w:t>
      </w:r>
      <w:r w:rsidR="00DA5466" w:rsidRPr="00C2273D">
        <w:t xml:space="preserve"> continued to </w:t>
      </w:r>
      <w:r w:rsidR="0014510F" w:rsidRPr="00C2273D">
        <w:t>transmit or</w:t>
      </w:r>
      <w:r w:rsidR="004E2E80" w:rsidRPr="00C2273D">
        <w:t xml:space="preserve"> cause the</w:t>
      </w:r>
      <w:r w:rsidR="0014510F" w:rsidRPr="00C2273D">
        <w:t xml:space="preserve"> </w:t>
      </w:r>
      <w:r w:rsidR="00C317FC" w:rsidRPr="00C2273D">
        <w:t>transmi</w:t>
      </w:r>
      <w:r w:rsidR="004E2E80" w:rsidRPr="00C2273D">
        <w:t>ssion of</w:t>
      </w:r>
      <w:r w:rsidR="00C317FC" w:rsidRPr="00C2273D">
        <w:t xml:space="preserve"> </w:t>
      </w:r>
      <w:r w:rsidR="00DA5466" w:rsidRPr="00C2273D">
        <w:t xml:space="preserve">the </w:t>
      </w:r>
      <w:r w:rsidR="00DA5466" w:rsidRPr="00C2273D">
        <w:rPr>
          <w:i/>
        </w:rPr>
        <w:t xml:space="preserve">No Surrender Trailer </w:t>
      </w:r>
      <w:r w:rsidR="00DA5466" w:rsidRPr="00C2273D">
        <w:t>on March 9, 2013, even after it was alerted on March 7, 2013, that the EAS codes and Attention Signal were embedded in the trailer.</w:t>
      </w:r>
      <w:r w:rsidR="00DA5466" w:rsidRPr="00C2273D">
        <w:rPr>
          <w:rStyle w:val="FootnoteReference"/>
          <w:color w:val="000000"/>
          <w:sz w:val="22"/>
          <w:szCs w:val="22"/>
        </w:rPr>
        <w:footnoteReference w:id="145"/>
      </w:r>
      <w:r w:rsidR="00DA5466" w:rsidRPr="00C2273D">
        <w:t xml:space="preserve"> </w:t>
      </w:r>
      <w:r w:rsidR="00DA5466" w:rsidRPr="00DB3C82">
        <w:t xml:space="preserve"> </w:t>
      </w:r>
    </w:p>
    <w:p w14:paraId="18C86B25" w14:textId="77777777" w:rsidR="00DA5466" w:rsidRPr="00DB3C82" w:rsidRDefault="00340A07" w:rsidP="00DB3C82">
      <w:pPr>
        <w:pStyle w:val="ParaNum"/>
      </w:pPr>
      <w:r w:rsidRPr="00C2273D">
        <w:rPr>
          <w:shd w:val="clear" w:color="auto" w:fill="FFFFFF"/>
        </w:rPr>
        <w:t xml:space="preserve">Therefore, based on the number of transmissions at issue, </w:t>
      </w:r>
      <w:r w:rsidR="0014510F" w:rsidRPr="00C2273D">
        <w:rPr>
          <w:shd w:val="clear" w:color="auto" w:fill="FFFFFF"/>
        </w:rPr>
        <w:t xml:space="preserve">the number of networks involved, </w:t>
      </w:r>
      <w:r w:rsidRPr="00C2273D">
        <w:rPr>
          <w:shd w:val="clear" w:color="auto" w:fill="FFFFFF"/>
        </w:rPr>
        <w:t xml:space="preserve">the amount of time over which the transmissions took place, the nationwide scope of the Companies’ audience reach, </w:t>
      </w:r>
      <w:r w:rsidR="00C006D7" w:rsidRPr="00C2273D">
        <w:rPr>
          <w:shd w:val="clear" w:color="auto" w:fill="FFFFFF"/>
        </w:rPr>
        <w:t>the Companies’</w:t>
      </w:r>
      <w:r w:rsidRPr="00C2273D">
        <w:rPr>
          <w:shd w:val="clear" w:color="auto" w:fill="FFFFFF"/>
        </w:rPr>
        <w:t xml:space="preserve"> ability to pay, and the serious public safety implications of the </w:t>
      </w:r>
      <w:r w:rsidR="0014510F" w:rsidRPr="00C2273D">
        <w:rPr>
          <w:shd w:val="clear" w:color="auto" w:fill="FFFFFF"/>
        </w:rPr>
        <w:t xml:space="preserve">apparent </w:t>
      </w:r>
      <w:r w:rsidRPr="00C2273D">
        <w:rPr>
          <w:shd w:val="clear" w:color="auto" w:fill="FFFFFF"/>
        </w:rPr>
        <w:t xml:space="preserve">violations, as well as </w:t>
      </w:r>
      <w:r w:rsidRPr="00C2273D">
        <w:rPr>
          <w:rStyle w:val="documentbody1"/>
          <w:rFonts w:ascii="Times New Roman" w:hAnsi="Times New Roman"/>
          <w:color w:val="000000"/>
          <w:sz w:val="22"/>
          <w:szCs w:val="22"/>
        </w:rPr>
        <w:t xml:space="preserve">the other factors as outlined in the Commission’s </w:t>
      </w:r>
      <w:r w:rsidRPr="00C2273D">
        <w:rPr>
          <w:rStyle w:val="documentbody1"/>
          <w:rFonts w:ascii="Times New Roman" w:hAnsi="Times New Roman"/>
          <w:i/>
          <w:color w:val="000000"/>
          <w:sz w:val="22"/>
          <w:szCs w:val="22"/>
        </w:rPr>
        <w:t>Forfeiture Policy Statement</w:t>
      </w:r>
      <w:r w:rsidRPr="00C2273D">
        <w:rPr>
          <w:rStyle w:val="documentbody1"/>
          <w:rFonts w:ascii="Times New Roman" w:hAnsi="Times New Roman"/>
          <w:color w:val="000000"/>
          <w:sz w:val="22"/>
          <w:szCs w:val="22"/>
        </w:rPr>
        <w:t xml:space="preserve">, we find that a </w:t>
      </w:r>
      <w:r w:rsidR="0014510F" w:rsidRPr="00C2273D">
        <w:rPr>
          <w:rStyle w:val="documentbody1"/>
          <w:rFonts w:ascii="Times New Roman" w:hAnsi="Times New Roman"/>
          <w:color w:val="000000"/>
          <w:sz w:val="22"/>
          <w:szCs w:val="22"/>
        </w:rPr>
        <w:t xml:space="preserve">proposed </w:t>
      </w:r>
      <w:r w:rsidRPr="00C2273D">
        <w:rPr>
          <w:rStyle w:val="documentbody1"/>
          <w:rFonts w:ascii="Times New Roman" w:hAnsi="Times New Roman"/>
          <w:color w:val="000000"/>
          <w:sz w:val="22"/>
          <w:szCs w:val="22"/>
        </w:rPr>
        <w:t xml:space="preserve">forfeiture </w:t>
      </w:r>
      <w:r w:rsidR="00DA5466" w:rsidRPr="00C2273D">
        <w:rPr>
          <w:rStyle w:val="documentbody1"/>
          <w:rFonts w:ascii="Times New Roman" w:hAnsi="Times New Roman"/>
          <w:color w:val="000000"/>
          <w:sz w:val="22"/>
          <w:szCs w:val="22"/>
        </w:rPr>
        <w:t xml:space="preserve">of </w:t>
      </w:r>
      <w:r w:rsidR="00D11E1D" w:rsidRPr="00C2273D">
        <w:rPr>
          <w:spacing w:val="-2"/>
        </w:rPr>
        <w:t>one million, one hundred twenty</w:t>
      </w:r>
      <w:r w:rsidR="00DA5466" w:rsidRPr="00C2273D">
        <w:rPr>
          <w:spacing w:val="-2"/>
        </w:rPr>
        <w:t xml:space="preserve"> thousand dollars ($</w:t>
      </w:r>
      <w:r w:rsidR="00D11E1D" w:rsidRPr="00C2273D">
        <w:rPr>
          <w:spacing w:val="-2"/>
        </w:rPr>
        <w:t>1,120,000</w:t>
      </w:r>
      <w:r w:rsidR="00DA5466" w:rsidRPr="00C2273D">
        <w:rPr>
          <w:spacing w:val="-2"/>
        </w:rPr>
        <w:t>)</w:t>
      </w:r>
      <w:r w:rsidR="00DA5466" w:rsidRPr="00C2273D">
        <w:t xml:space="preserve"> </w:t>
      </w:r>
      <w:r w:rsidR="00DA5466" w:rsidRPr="00C2273D">
        <w:rPr>
          <w:rStyle w:val="documentbody1"/>
          <w:rFonts w:ascii="Times New Roman" w:hAnsi="Times New Roman"/>
          <w:color w:val="000000"/>
          <w:sz w:val="22"/>
          <w:szCs w:val="22"/>
        </w:rPr>
        <w:t xml:space="preserve">is appropriate against Viacom; a </w:t>
      </w:r>
      <w:r w:rsidR="0014510F" w:rsidRPr="00C2273D">
        <w:rPr>
          <w:rStyle w:val="documentbody1"/>
          <w:rFonts w:ascii="Times New Roman" w:hAnsi="Times New Roman"/>
          <w:color w:val="000000"/>
          <w:sz w:val="22"/>
          <w:szCs w:val="22"/>
        </w:rPr>
        <w:t xml:space="preserve">proposed </w:t>
      </w:r>
      <w:r w:rsidR="00DA5466" w:rsidRPr="00C2273D">
        <w:rPr>
          <w:rStyle w:val="documentbody1"/>
          <w:rFonts w:ascii="Times New Roman" w:hAnsi="Times New Roman"/>
          <w:color w:val="000000"/>
          <w:sz w:val="22"/>
          <w:szCs w:val="22"/>
        </w:rPr>
        <w:t xml:space="preserve">forfeiture of </w:t>
      </w:r>
      <w:r w:rsidR="00B743E6" w:rsidRPr="00C2273D">
        <w:rPr>
          <w:rStyle w:val="documentbody1"/>
          <w:rFonts w:ascii="Times New Roman" w:hAnsi="Times New Roman"/>
          <w:color w:val="000000"/>
          <w:sz w:val="22"/>
          <w:szCs w:val="22"/>
        </w:rPr>
        <w:t>five hundred thirty</w:t>
      </w:r>
      <w:r w:rsidR="00C006D7" w:rsidRPr="00C2273D">
        <w:rPr>
          <w:rStyle w:val="documentbody1"/>
          <w:rFonts w:ascii="Times New Roman" w:hAnsi="Times New Roman"/>
          <w:color w:val="000000"/>
          <w:sz w:val="22"/>
          <w:szCs w:val="22"/>
        </w:rPr>
        <w:t xml:space="preserve"> </w:t>
      </w:r>
      <w:r w:rsidR="00DA5466" w:rsidRPr="00C2273D">
        <w:rPr>
          <w:rStyle w:val="documentbody1"/>
          <w:rFonts w:ascii="Times New Roman" w:hAnsi="Times New Roman"/>
          <w:color w:val="000000"/>
          <w:sz w:val="22"/>
          <w:szCs w:val="22"/>
        </w:rPr>
        <w:t>thousand dollars ($</w:t>
      </w:r>
      <w:r w:rsidR="00B743E6" w:rsidRPr="00C2273D">
        <w:rPr>
          <w:rStyle w:val="documentbody1"/>
          <w:rFonts w:ascii="Times New Roman" w:hAnsi="Times New Roman"/>
          <w:color w:val="000000"/>
          <w:sz w:val="22"/>
          <w:szCs w:val="22"/>
        </w:rPr>
        <w:t>530</w:t>
      </w:r>
      <w:r w:rsidR="00DA5466" w:rsidRPr="00C2273D">
        <w:rPr>
          <w:rStyle w:val="documentbody1"/>
          <w:rFonts w:ascii="Times New Roman" w:hAnsi="Times New Roman"/>
          <w:color w:val="000000"/>
          <w:sz w:val="22"/>
          <w:szCs w:val="22"/>
        </w:rPr>
        <w:t xml:space="preserve">,000) is appropriate against NBCUniversal; and a </w:t>
      </w:r>
      <w:r w:rsidR="0014510F" w:rsidRPr="00C2273D">
        <w:rPr>
          <w:rStyle w:val="documentbody1"/>
          <w:rFonts w:ascii="Times New Roman" w:hAnsi="Times New Roman"/>
          <w:color w:val="000000"/>
          <w:sz w:val="22"/>
          <w:szCs w:val="22"/>
        </w:rPr>
        <w:t xml:space="preserve">proposed </w:t>
      </w:r>
      <w:r w:rsidR="00DA5466" w:rsidRPr="00C2273D">
        <w:rPr>
          <w:rStyle w:val="documentbody1"/>
          <w:rFonts w:ascii="Times New Roman" w:hAnsi="Times New Roman"/>
          <w:color w:val="000000"/>
          <w:sz w:val="22"/>
          <w:szCs w:val="22"/>
        </w:rPr>
        <w:t xml:space="preserve">forfeiture of </w:t>
      </w:r>
      <w:r w:rsidR="00D11E1D" w:rsidRPr="00C2273D">
        <w:rPr>
          <w:rStyle w:val="documentbody1"/>
          <w:rFonts w:ascii="Times New Roman" w:hAnsi="Times New Roman"/>
          <w:color w:val="000000"/>
          <w:sz w:val="22"/>
          <w:szCs w:val="22"/>
        </w:rPr>
        <w:t>two hundred eighty</w:t>
      </w:r>
      <w:r w:rsidR="004449CC" w:rsidRPr="00C2273D">
        <w:rPr>
          <w:rStyle w:val="documentbody1"/>
          <w:rFonts w:ascii="Times New Roman" w:hAnsi="Times New Roman"/>
          <w:color w:val="000000"/>
          <w:sz w:val="22"/>
          <w:szCs w:val="22"/>
        </w:rPr>
        <w:t xml:space="preserve"> </w:t>
      </w:r>
      <w:r w:rsidR="00DA5466" w:rsidRPr="00C2273D">
        <w:rPr>
          <w:rStyle w:val="documentbody1"/>
          <w:rFonts w:ascii="Times New Roman" w:hAnsi="Times New Roman"/>
          <w:color w:val="000000"/>
          <w:sz w:val="22"/>
          <w:szCs w:val="22"/>
        </w:rPr>
        <w:t>thousand dollars ($</w:t>
      </w:r>
      <w:r w:rsidR="00D11E1D" w:rsidRPr="00C2273D">
        <w:rPr>
          <w:rStyle w:val="documentbody1"/>
          <w:rFonts w:ascii="Times New Roman" w:hAnsi="Times New Roman"/>
          <w:color w:val="000000"/>
          <w:sz w:val="22"/>
          <w:szCs w:val="22"/>
        </w:rPr>
        <w:t>280</w:t>
      </w:r>
      <w:r w:rsidR="00DA5466" w:rsidRPr="00C2273D">
        <w:rPr>
          <w:rStyle w:val="documentbody1"/>
          <w:rFonts w:ascii="Times New Roman" w:hAnsi="Times New Roman"/>
          <w:color w:val="000000"/>
          <w:sz w:val="22"/>
          <w:szCs w:val="22"/>
        </w:rPr>
        <w:t>,000) is appropriate against ESPN.</w:t>
      </w:r>
      <w:r w:rsidR="00DA5466" w:rsidRPr="00C2273D">
        <w:rPr>
          <w:rStyle w:val="FootnoteReference"/>
          <w:color w:val="000000"/>
          <w:sz w:val="22"/>
          <w:szCs w:val="22"/>
          <w:shd w:val="clear" w:color="auto" w:fill="FFFFFF"/>
        </w:rPr>
        <w:footnoteReference w:id="146"/>
      </w:r>
    </w:p>
    <w:p w14:paraId="5BC336A4" w14:textId="77777777" w:rsidR="000E59DC" w:rsidRPr="00C2273D" w:rsidRDefault="000E59DC" w:rsidP="00DB3C82">
      <w:pPr>
        <w:pStyle w:val="Heading1"/>
      </w:pPr>
      <w:r w:rsidRPr="00C2273D">
        <w:t>ORDERING CLAUSES</w:t>
      </w:r>
    </w:p>
    <w:p w14:paraId="6B14275D" w14:textId="77777777" w:rsidR="00DA5466" w:rsidRPr="00C2273D" w:rsidRDefault="000E59DC" w:rsidP="00DB3C82">
      <w:pPr>
        <w:pStyle w:val="ParaNum"/>
      </w:pPr>
      <w:r w:rsidRPr="00C2273D">
        <w:rPr>
          <w:b/>
        </w:rPr>
        <w:t>ACCORDINGLY</w:t>
      </w:r>
      <w:r w:rsidRPr="00C2273D">
        <w:t xml:space="preserve">, </w:t>
      </w:r>
      <w:r w:rsidRPr="00C2273D">
        <w:rPr>
          <w:b/>
        </w:rPr>
        <w:t>IT IS ORDERED</w:t>
      </w:r>
      <w:r w:rsidRPr="00C2273D">
        <w:t xml:space="preserve">, pursuant to Section 503(b) of the </w:t>
      </w:r>
      <w:r w:rsidRPr="00C2273D">
        <w:rPr>
          <w:color w:val="000000"/>
        </w:rPr>
        <w:t>Communications</w:t>
      </w:r>
      <w:r w:rsidRPr="00C2273D">
        <w:t xml:space="preserve"> Act of 1934, as amended,</w:t>
      </w:r>
      <w:r w:rsidRPr="00C2273D">
        <w:rPr>
          <w:rStyle w:val="FootnoteReference"/>
          <w:spacing w:val="-2"/>
          <w:sz w:val="22"/>
          <w:szCs w:val="22"/>
        </w:rPr>
        <w:footnoteReference w:id="147"/>
      </w:r>
      <w:r w:rsidRPr="00C2273D">
        <w:t xml:space="preserve"> </w:t>
      </w:r>
      <w:r w:rsidR="00244923" w:rsidRPr="00C2273D">
        <w:t>and</w:t>
      </w:r>
      <w:r w:rsidRPr="00C2273D">
        <w:t xml:space="preserve"> Section 1.80 of the Commission’s rules,</w:t>
      </w:r>
      <w:r w:rsidRPr="00C2273D">
        <w:rPr>
          <w:rStyle w:val="FootnoteReference"/>
          <w:spacing w:val="-2"/>
          <w:sz w:val="22"/>
          <w:szCs w:val="22"/>
        </w:rPr>
        <w:footnoteReference w:id="148"/>
      </w:r>
      <w:r w:rsidRPr="00C2273D">
        <w:t xml:space="preserve"> that </w:t>
      </w:r>
      <w:r w:rsidR="009A6C9A" w:rsidRPr="00C2273D">
        <w:rPr>
          <w:spacing w:val="-2"/>
        </w:rPr>
        <w:t>Viacom</w:t>
      </w:r>
      <w:r w:rsidR="00314587" w:rsidRPr="00C2273D">
        <w:rPr>
          <w:spacing w:val="-2"/>
        </w:rPr>
        <w:t xml:space="preserve"> Inc.</w:t>
      </w:r>
      <w:r w:rsidR="006E1D3F" w:rsidRPr="00C2273D">
        <w:rPr>
          <w:spacing w:val="-2"/>
        </w:rPr>
        <w:t xml:space="preserve"> is</w:t>
      </w:r>
      <w:r w:rsidRPr="00C2273D">
        <w:rPr>
          <w:spacing w:val="-2"/>
        </w:rPr>
        <w:t xml:space="preserve"> </w:t>
      </w:r>
      <w:r w:rsidRPr="00C2273D">
        <w:t xml:space="preserve">hereby </w:t>
      </w:r>
      <w:r w:rsidRPr="00C2273D">
        <w:rPr>
          <w:b/>
        </w:rPr>
        <w:t>NOTIFIED</w:t>
      </w:r>
      <w:r w:rsidRPr="00C2273D">
        <w:t xml:space="preserve"> of </w:t>
      </w:r>
      <w:r w:rsidR="006E1D3F" w:rsidRPr="00C2273D">
        <w:t xml:space="preserve">its </w:t>
      </w:r>
      <w:r w:rsidRPr="00C2273D">
        <w:rPr>
          <w:b/>
        </w:rPr>
        <w:t>APPARENT LIABILITY FOR FORFEITURE</w:t>
      </w:r>
      <w:r w:rsidR="006035C7" w:rsidRPr="00C2273D">
        <w:t xml:space="preserve"> in the amount of </w:t>
      </w:r>
      <w:r w:rsidR="00D11E1D" w:rsidRPr="00C2273D">
        <w:rPr>
          <w:spacing w:val="-2"/>
        </w:rPr>
        <w:t>one million, one hundred twenty thousand dollars ($1,120,000)</w:t>
      </w:r>
      <w:r w:rsidR="00D11E1D" w:rsidRPr="00C2273D">
        <w:t xml:space="preserve"> </w:t>
      </w:r>
      <w:r w:rsidRPr="00C2273D">
        <w:t>for apparently willfully and</w:t>
      </w:r>
      <w:r w:rsidR="00314587" w:rsidRPr="00C2273D">
        <w:t xml:space="preserve"> repeatedly violating Section 11.45</w:t>
      </w:r>
      <w:r w:rsidR="00E86F92" w:rsidRPr="00C2273D">
        <w:t xml:space="preserve"> </w:t>
      </w:r>
      <w:r w:rsidRPr="00C2273D">
        <w:t>of the Commission’s rules</w:t>
      </w:r>
      <w:r w:rsidRPr="00C2273D">
        <w:rPr>
          <w:rStyle w:val="FootnoteReference"/>
          <w:sz w:val="22"/>
          <w:szCs w:val="22"/>
        </w:rPr>
        <w:footnoteReference w:id="149"/>
      </w:r>
      <w:r w:rsidR="00E86F92" w:rsidRPr="00C2273D">
        <w:t xml:space="preserve"> and Section 325(a) of the Act.</w:t>
      </w:r>
      <w:r w:rsidR="00E86F92" w:rsidRPr="00C2273D">
        <w:rPr>
          <w:rStyle w:val="FootnoteReference"/>
          <w:sz w:val="22"/>
          <w:szCs w:val="22"/>
        </w:rPr>
        <w:footnoteReference w:id="150"/>
      </w:r>
    </w:p>
    <w:p w14:paraId="7F37094D" w14:textId="77777777" w:rsidR="009A6C9A" w:rsidRPr="00C2273D" w:rsidRDefault="00FE18D6" w:rsidP="00DB3C82">
      <w:pPr>
        <w:pStyle w:val="ParaNum"/>
      </w:pPr>
      <w:r w:rsidRPr="00C2273D">
        <w:rPr>
          <w:b/>
        </w:rPr>
        <w:t>IT IS FURTHER ORDERED</w:t>
      </w:r>
      <w:r w:rsidRPr="00C2273D">
        <w:t xml:space="preserve">, pursuant to Section 503(b) of the </w:t>
      </w:r>
      <w:r w:rsidRPr="00C2273D">
        <w:rPr>
          <w:color w:val="000000"/>
        </w:rPr>
        <w:t>Communications</w:t>
      </w:r>
      <w:r w:rsidRPr="00C2273D">
        <w:t xml:space="preserve"> Act of 1934, as amended,</w:t>
      </w:r>
      <w:r w:rsidRPr="00C2273D">
        <w:rPr>
          <w:rStyle w:val="FootnoteReference"/>
          <w:spacing w:val="-2"/>
          <w:sz w:val="22"/>
          <w:szCs w:val="22"/>
        </w:rPr>
        <w:footnoteReference w:id="151"/>
      </w:r>
      <w:r w:rsidRPr="00C2273D">
        <w:t xml:space="preserve"> and Section 1.80 of the Commission’s rules,</w:t>
      </w:r>
      <w:r w:rsidRPr="00C2273D">
        <w:rPr>
          <w:rStyle w:val="FootnoteReference"/>
          <w:spacing w:val="-2"/>
          <w:sz w:val="22"/>
          <w:szCs w:val="22"/>
        </w:rPr>
        <w:footnoteReference w:id="152"/>
      </w:r>
      <w:r w:rsidRPr="00C2273D">
        <w:t xml:space="preserve"> that </w:t>
      </w:r>
      <w:r w:rsidRPr="00C2273D">
        <w:rPr>
          <w:spacing w:val="-2"/>
        </w:rPr>
        <w:t>NBCUniversal</w:t>
      </w:r>
      <w:r w:rsidR="004B78F9" w:rsidRPr="00C2273D">
        <w:rPr>
          <w:spacing w:val="-2"/>
        </w:rPr>
        <w:t xml:space="preserve"> Media</w:t>
      </w:r>
      <w:r w:rsidRPr="00C2273D">
        <w:rPr>
          <w:spacing w:val="-2"/>
        </w:rPr>
        <w:t xml:space="preserve">, </w:t>
      </w:r>
      <w:r w:rsidR="004B78F9" w:rsidRPr="00C2273D">
        <w:rPr>
          <w:spacing w:val="-2"/>
        </w:rPr>
        <w:t>LLC</w:t>
      </w:r>
      <w:r w:rsidRPr="00C2273D">
        <w:rPr>
          <w:spacing w:val="-2"/>
        </w:rPr>
        <w:t xml:space="preserve"> is </w:t>
      </w:r>
      <w:r w:rsidRPr="00C2273D">
        <w:t xml:space="preserve">hereby </w:t>
      </w:r>
      <w:r w:rsidRPr="00C2273D">
        <w:rPr>
          <w:b/>
        </w:rPr>
        <w:t>NOTIFIED</w:t>
      </w:r>
      <w:r w:rsidRPr="00C2273D">
        <w:t xml:space="preserve"> of its </w:t>
      </w:r>
      <w:r w:rsidRPr="00C2273D">
        <w:rPr>
          <w:b/>
        </w:rPr>
        <w:t>APPARENT LIABILITY FOR FORFEITURE</w:t>
      </w:r>
      <w:r w:rsidRPr="00C2273D">
        <w:t xml:space="preserve"> in the amount of </w:t>
      </w:r>
      <w:r w:rsidR="00B743E6" w:rsidRPr="00C2273D">
        <w:rPr>
          <w:rStyle w:val="documentbody1"/>
          <w:rFonts w:ascii="Times New Roman" w:hAnsi="Times New Roman"/>
          <w:color w:val="000000"/>
          <w:sz w:val="22"/>
          <w:szCs w:val="22"/>
        </w:rPr>
        <w:t>five hundred thirty</w:t>
      </w:r>
      <w:r w:rsidR="00D11E1D" w:rsidRPr="00C2273D">
        <w:rPr>
          <w:rStyle w:val="documentbody1"/>
          <w:rFonts w:ascii="Times New Roman" w:hAnsi="Times New Roman"/>
          <w:color w:val="000000"/>
          <w:sz w:val="22"/>
          <w:szCs w:val="22"/>
        </w:rPr>
        <w:t xml:space="preserve"> thousand dollars ($</w:t>
      </w:r>
      <w:r w:rsidR="00B743E6" w:rsidRPr="00C2273D">
        <w:rPr>
          <w:rStyle w:val="documentbody1"/>
          <w:rFonts w:ascii="Times New Roman" w:hAnsi="Times New Roman"/>
          <w:color w:val="000000"/>
          <w:sz w:val="22"/>
          <w:szCs w:val="22"/>
        </w:rPr>
        <w:t>530</w:t>
      </w:r>
      <w:r w:rsidR="00D11E1D" w:rsidRPr="00C2273D">
        <w:rPr>
          <w:rStyle w:val="documentbody1"/>
          <w:rFonts w:ascii="Times New Roman" w:hAnsi="Times New Roman"/>
          <w:color w:val="000000"/>
          <w:sz w:val="22"/>
          <w:szCs w:val="22"/>
        </w:rPr>
        <w:t xml:space="preserve">,000) </w:t>
      </w:r>
      <w:r w:rsidRPr="00C2273D">
        <w:t>for apparently willfully and repeatedly violating Section 11.45 of the Commission’s rules</w:t>
      </w:r>
      <w:r w:rsidRPr="00C2273D">
        <w:rPr>
          <w:rStyle w:val="FootnoteReference"/>
          <w:sz w:val="22"/>
          <w:szCs w:val="22"/>
        </w:rPr>
        <w:footnoteReference w:id="153"/>
      </w:r>
      <w:r w:rsidRPr="00C2273D">
        <w:t xml:space="preserve"> and Section 325(a) of the Act.</w:t>
      </w:r>
      <w:r w:rsidRPr="00C2273D">
        <w:rPr>
          <w:rStyle w:val="FootnoteReference"/>
          <w:sz w:val="22"/>
          <w:szCs w:val="22"/>
        </w:rPr>
        <w:footnoteReference w:id="154"/>
      </w:r>
    </w:p>
    <w:p w14:paraId="7D6CCC2D" w14:textId="77777777" w:rsidR="00DA5466" w:rsidRPr="00C2273D" w:rsidRDefault="009A6C9A" w:rsidP="00DB3C82">
      <w:pPr>
        <w:pStyle w:val="ParaNum"/>
      </w:pPr>
      <w:r w:rsidRPr="00C2273D">
        <w:rPr>
          <w:b/>
        </w:rPr>
        <w:t>IT IS FURTHER ORDERED</w:t>
      </w:r>
      <w:r w:rsidRPr="00C2273D">
        <w:t xml:space="preserve">, pursuant to Section 503(b) of the </w:t>
      </w:r>
      <w:r w:rsidRPr="00C2273D">
        <w:rPr>
          <w:color w:val="000000"/>
        </w:rPr>
        <w:t>Communications</w:t>
      </w:r>
      <w:r w:rsidRPr="00C2273D">
        <w:t xml:space="preserve"> Act of 1934, as amended,</w:t>
      </w:r>
      <w:r w:rsidRPr="00C2273D">
        <w:rPr>
          <w:rStyle w:val="FootnoteReference"/>
          <w:spacing w:val="-2"/>
          <w:sz w:val="22"/>
          <w:szCs w:val="22"/>
        </w:rPr>
        <w:footnoteReference w:id="155"/>
      </w:r>
      <w:r w:rsidRPr="00C2273D">
        <w:t xml:space="preserve"> and Section 1.80 of the Commission’s rules,</w:t>
      </w:r>
      <w:r w:rsidRPr="00C2273D">
        <w:rPr>
          <w:rStyle w:val="FootnoteReference"/>
          <w:spacing w:val="-2"/>
          <w:sz w:val="22"/>
          <w:szCs w:val="22"/>
        </w:rPr>
        <w:footnoteReference w:id="156"/>
      </w:r>
      <w:r w:rsidRPr="00C2273D">
        <w:t xml:space="preserve"> that </w:t>
      </w:r>
      <w:r w:rsidRPr="00C2273D">
        <w:rPr>
          <w:spacing w:val="-2"/>
        </w:rPr>
        <w:t xml:space="preserve">ESPN Inc. is </w:t>
      </w:r>
      <w:r w:rsidRPr="00C2273D">
        <w:t xml:space="preserve">hereby </w:t>
      </w:r>
      <w:r w:rsidRPr="00C2273D">
        <w:rPr>
          <w:b/>
        </w:rPr>
        <w:t>NOTIFIED</w:t>
      </w:r>
      <w:r w:rsidRPr="00C2273D">
        <w:t xml:space="preserve"> of its </w:t>
      </w:r>
      <w:r w:rsidRPr="00C2273D">
        <w:rPr>
          <w:b/>
        </w:rPr>
        <w:t>APPARENT LIABILITY FOR FORFEITURE</w:t>
      </w:r>
      <w:r w:rsidRPr="00C2273D">
        <w:t xml:space="preserve"> in the amount of </w:t>
      </w:r>
      <w:r w:rsidR="00D11E1D" w:rsidRPr="00C2273D">
        <w:rPr>
          <w:rStyle w:val="documentbody1"/>
          <w:rFonts w:ascii="Times New Roman" w:hAnsi="Times New Roman"/>
          <w:color w:val="000000"/>
          <w:sz w:val="22"/>
          <w:szCs w:val="22"/>
        </w:rPr>
        <w:t xml:space="preserve">two hundred eighty thousand dollars ($280,000) </w:t>
      </w:r>
      <w:r w:rsidRPr="00C2273D">
        <w:t>for apparently willfully and repeatedly violating Section 11.45 of the Commission’s rules</w:t>
      </w:r>
      <w:r w:rsidRPr="00C2273D">
        <w:rPr>
          <w:rStyle w:val="FootnoteReference"/>
          <w:sz w:val="22"/>
          <w:szCs w:val="22"/>
        </w:rPr>
        <w:footnoteReference w:id="157"/>
      </w:r>
      <w:r w:rsidRPr="00C2273D">
        <w:t xml:space="preserve"> and Section 325(a) of the Act.</w:t>
      </w:r>
      <w:r w:rsidRPr="00C2273D">
        <w:rPr>
          <w:rStyle w:val="FootnoteReference"/>
          <w:sz w:val="22"/>
          <w:szCs w:val="22"/>
        </w:rPr>
        <w:footnoteReference w:id="158"/>
      </w:r>
    </w:p>
    <w:p w14:paraId="51E1C844" w14:textId="77777777" w:rsidR="00DA5466" w:rsidRDefault="000E59DC" w:rsidP="00DB3C82">
      <w:pPr>
        <w:pStyle w:val="ParaNum"/>
      </w:pPr>
      <w:r w:rsidRPr="00C2273D">
        <w:rPr>
          <w:b/>
        </w:rPr>
        <w:t>IT IS FURTHER ORDERED</w:t>
      </w:r>
      <w:r w:rsidRPr="00C2273D">
        <w:t>, pursuant to Section 1.80 of the Commission’s rules,</w:t>
      </w:r>
      <w:r w:rsidRPr="00C2273D">
        <w:rPr>
          <w:rStyle w:val="FootnoteReference"/>
          <w:sz w:val="22"/>
          <w:szCs w:val="22"/>
        </w:rPr>
        <w:footnoteReference w:id="159"/>
      </w:r>
      <w:r w:rsidRPr="00C2273D">
        <w:t xml:space="preserve"> that within thirty (30) days of the release date of this </w:t>
      </w:r>
      <w:r w:rsidRPr="00C2273D">
        <w:rPr>
          <w:i/>
        </w:rPr>
        <w:t>NAL</w:t>
      </w:r>
      <w:r w:rsidRPr="00C2273D">
        <w:t xml:space="preserve">, </w:t>
      </w:r>
      <w:r w:rsidR="009A6C9A" w:rsidRPr="00C2273D">
        <w:t>Viacom Inc., NBCUniversal</w:t>
      </w:r>
      <w:r w:rsidR="009A5488" w:rsidRPr="00C2273D">
        <w:t xml:space="preserve"> Media, LLC</w:t>
      </w:r>
      <w:r w:rsidR="009A6C9A" w:rsidRPr="00C2273D">
        <w:t>, and ESPN Inc</w:t>
      </w:r>
      <w:r w:rsidR="00314587" w:rsidRPr="00C2273D">
        <w:rPr>
          <w:spacing w:val="-2"/>
        </w:rPr>
        <w:t>.</w:t>
      </w:r>
      <w:r w:rsidR="009A6C9A" w:rsidRPr="00C2273D">
        <w:rPr>
          <w:spacing w:val="-2"/>
        </w:rPr>
        <w:t>, respectively,</w:t>
      </w:r>
      <w:r w:rsidRPr="00C2273D">
        <w:t xml:space="preserve"> </w:t>
      </w:r>
      <w:r w:rsidRPr="00C2273D">
        <w:rPr>
          <w:b/>
        </w:rPr>
        <w:t>SHALL PAY</w:t>
      </w:r>
      <w:r w:rsidRPr="00C2273D">
        <w:t xml:space="preserve"> the full am</w:t>
      </w:r>
      <w:r w:rsidR="00E066F7" w:rsidRPr="00C2273D">
        <w:t>ount of the proposed forfeiture</w:t>
      </w:r>
      <w:r w:rsidRPr="009A6C9A">
        <w:t xml:space="preserve"> or </w:t>
      </w:r>
      <w:r w:rsidRPr="009A6C9A">
        <w:rPr>
          <w:b/>
        </w:rPr>
        <w:t>SHALL FILE</w:t>
      </w:r>
      <w:r w:rsidRPr="009A6C9A">
        <w:t xml:space="preserve"> a written statement seeking reduction or cancella</w:t>
      </w:r>
      <w:r w:rsidR="00E066F7" w:rsidRPr="009A6C9A">
        <w:t>tion of the proposed forfeiture</w:t>
      </w:r>
      <w:r w:rsidRPr="009A6C9A">
        <w:t>.</w:t>
      </w:r>
    </w:p>
    <w:p w14:paraId="5DCCC486" w14:textId="77777777" w:rsidR="000E59DC" w:rsidRPr="00E13142" w:rsidRDefault="000E59DC" w:rsidP="00DB3C82">
      <w:pPr>
        <w:pStyle w:val="ParaNum"/>
      </w:pPr>
      <w:r w:rsidRPr="009A6C9A">
        <w:t xml:space="preserve">Payment of the forfeiture must be made by check or similar instrument, wire transfer, or credit card, and must include the NAL/Account </w:t>
      </w:r>
      <w:r w:rsidR="00142E2C">
        <w:t>N</w:t>
      </w:r>
      <w:r w:rsidRPr="009A6C9A">
        <w:t>umber</w:t>
      </w:r>
      <w:r w:rsidR="00CE2542">
        <w:t>s</w:t>
      </w:r>
      <w:r w:rsidRPr="009A6C9A">
        <w:t xml:space="preserve"> and FRN</w:t>
      </w:r>
      <w:r w:rsidR="00CE2542">
        <w:t>s</w:t>
      </w:r>
      <w:r w:rsidRPr="009A6C9A">
        <w:t xml:space="preserve"> referenced above.  </w:t>
      </w:r>
      <w:r w:rsidR="009A6C9A" w:rsidRPr="009A6C9A">
        <w:rPr>
          <w:spacing w:val="-2"/>
        </w:rPr>
        <w:t xml:space="preserve">Viacom Inc., </w:t>
      </w:r>
      <w:r w:rsidR="00FE18D6">
        <w:rPr>
          <w:spacing w:val="-2"/>
        </w:rPr>
        <w:t>NBCUn</w:t>
      </w:r>
      <w:r w:rsidR="00FE18D6" w:rsidRPr="009A6C9A">
        <w:rPr>
          <w:spacing w:val="-2"/>
        </w:rPr>
        <w:t>iversal</w:t>
      </w:r>
      <w:r w:rsidR="009A5488">
        <w:rPr>
          <w:spacing w:val="-2"/>
        </w:rPr>
        <w:t xml:space="preserve"> Media, LLC</w:t>
      </w:r>
      <w:r w:rsidR="009A6C9A" w:rsidRPr="009A6C9A">
        <w:rPr>
          <w:spacing w:val="-2"/>
        </w:rPr>
        <w:t>, and ESPN Inc., respectively,</w:t>
      </w:r>
      <w:r w:rsidRPr="009A6C9A">
        <w:rPr>
          <w:spacing w:val="-2"/>
        </w:rPr>
        <w:t xml:space="preserve"> </w:t>
      </w:r>
      <w:r w:rsidRPr="009A6C9A">
        <w:t xml:space="preserve">shall send electronic notification of payment to </w:t>
      </w:r>
      <w:r w:rsidR="00244923" w:rsidRPr="009A6C9A">
        <w:t>Terry.Cavanaugh@fcc.gov</w:t>
      </w:r>
      <w:r w:rsidRPr="009A6C9A">
        <w:t>,</w:t>
      </w:r>
      <w:r w:rsidR="00244923" w:rsidRPr="009A6C9A">
        <w:t xml:space="preserve"> Jeffrey.Gee@fcc.gov, Kenneth.Scheibel@fcc.gov, and</w:t>
      </w:r>
      <w:r w:rsidRPr="009A6C9A">
        <w:t xml:space="preserve"> </w:t>
      </w:r>
      <w:r w:rsidR="00314587" w:rsidRPr="009A6C9A">
        <w:t>Jennifer.Lewis</w:t>
      </w:r>
      <w:r w:rsidRPr="009A6C9A">
        <w:t>@fcc.gov, on the date said payment is made.  Regardless of the form of payment, a completed FCC Form 159 (Remittance Advice) must be submitted.</w:t>
      </w:r>
      <w:r w:rsidRPr="009A6C9A">
        <w:rPr>
          <w:rStyle w:val="FootnoteReference"/>
          <w:color w:val="000000"/>
          <w:sz w:val="22"/>
          <w:shd w:val="clear" w:color="auto" w:fill="FFFFFF"/>
        </w:rPr>
        <w:footnoteReference w:id="160"/>
      </w:r>
      <w:r w:rsidRPr="009A6C9A">
        <w:rPr>
          <w:rStyle w:val="FootnoteReference"/>
          <w:color w:val="000000"/>
          <w:sz w:val="22"/>
          <w:shd w:val="clear" w:color="auto" w:fill="FFFFFF"/>
        </w:rPr>
        <w:t xml:space="preserve"> </w:t>
      </w:r>
      <w:r w:rsidRPr="009A6C9A">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p>
    <w:p w14:paraId="139C3122" w14:textId="77777777" w:rsidR="000E59DC" w:rsidRPr="009A6C9A" w:rsidRDefault="000E59DC" w:rsidP="00925EDE">
      <w:pPr>
        <w:pStyle w:val="ParaNum"/>
        <w:numPr>
          <w:ilvl w:val="0"/>
          <w:numId w:val="4"/>
        </w:numPr>
        <w:rPr>
          <w:rFonts w:eastAsia="MS Mincho"/>
          <w:szCs w:val="22"/>
        </w:rPr>
      </w:pPr>
      <w:r w:rsidRPr="009A6C9A">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A15A0C4" w14:textId="77777777" w:rsidR="000E59DC" w:rsidRPr="009A6C9A" w:rsidRDefault="000E59DC" w:rsidP="00925EDE">
      <w:pPr>
        <w:pStyle w:val="ParaNum"/>
        <w:numPr>
          <w:ilvl w:val="0"/>
          <w:numId w:val="4"/>
        </w:numPr>
        <w:rPr>
          <w:rFonts w:eastAsia="MS Mincho"/>
          <w:szCs w:val="22"/>
        </w:rPr>
      </w:pPr>
      <w:r w:rsidRPr="009A6C9A">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AC580FA" w14:textId="77777777" w:rsidR="000E59DC" w:rsidRPr="009A6C9A" w:rsidRDefault="000E59DC" w:rsidP="00925EDE">
      <w:pPr>
        <w:pStyle w:val="ParaNum"/>
        <w:numPr>
          <w:ilvl w:val="0"/>
          <w:numId w:val="4"/>
        </w:numPr>
        <w:rPr>
          <w:rFonts w:eastAsia="MS Mincho"/>
          <w:szCs w:val="22"/>
        </w:rPr>
      </w:pPr>
      <w:r w:rsidRPr="009A6C9A">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65F1E7BC" w14:textId="77777777" w:rsidR="00DA5466" w:rsidRDefault="000E59DC" w:rsidP="00DB3C82">
      <w:pPr>
        <w:pStyle w:val="ParaNum"/>
      </w:pPr>
      <w:r w:rsidRPr="009A6C9A">
        <w:rPr>
          <w:rFonts w:eastAsia="MS Mincho"/>
        </w:rPr>
        <w:t xml:space="preserve">Any request for full payment </w:t>
      </w:r>
      <w:r w:rsidR="00532E1F">
        <w:rPr>
          <w:rFonts w:eastAsia="MS Mincho"/>
        </w:rPr>
        <w:t xml:space="preserve">over time </w:t>
      </w:r>
      <w:r w:rsidRPr="009A6C9A">
        <w:rPr>
          <w:rFonts w:eastAsia="MS Mincho"/>
        </w:rPr>
        <w:t>under an installment plan should be sent to:  Chief</w:t>
      </w:r>
      <w:r w:rsidR="00244923" w:rsidRPr="009A6C9A">
        <w:rPr>
          <w:rFonts w:eastAsia="MS Mincho"/>
        </w:rPr>
        <w:t>,</w:t>
      </w:r>
      <w:r w:rsidRPr="009A6C9A">
        <w:rPr>
          <w:rFonts w:eastAsia="MS Mincho"/>
        </w:rPr>
        <w:t xml:space="preserve"> Financial Officer—Financial Operations, Federal Communications Commission, 445 12th Street, S.W., Room 1-A625, Washington, D.C.  20554.</w:t>
      </w:r>
      <w:r w:rsidRPr="009A6C9A">
        <w:rPr>
          <w:rStyle w:val="FootnoteReference"/>
          <w:rFonts w:eastAsia="MS Mincho"/>
          <w:sz w:val="22"/>
          <w:szCs w:val="22"/>
        </w:rPr>
        <w:footnoteReference w:id="161"/>
      </w:r>
      <w:r w:rsidR="00F3146F">
        <w:rPr>
          <w:rFonts w:eastAsia="MS Mincho"/>
        </w:rPr>
        <w:t xml:space="preserve">  </w:t>
      </w:r>
      <w:r w:rsidRPr="009A6C9A">
        <w:rPr>
          <w:rFonts w:eastAsia="MS Mincho"/>
        </w:rPr>
        <w:t xml:space="preserve">If </w:t>
      </w:r>
      <w:r w:rsidR="000B5D5F">
        <w:rPr>
          <w:rFonts w:eastAsia="MS Mincho"/>
        </w:rPr>
        <w:t xml:space="preserve">there are </w:t>
      </w:r>
      <w:r w:rsidRPr="009A6C9A">
        <w:rPr>
          <w:rFonts w:eastAsia="MS Mincho"/>
        </w:rPr>
        <w:t xml:space="preserve">questions regarding payment procedures, </w:t>
      </w:r>
      <w:r w:rsidR="000B5D5F">
        <w:rPr>
          <w:rFonts w:eastAsia="MS Mincho"/>
        </w:rPr>
        <w:t>the respective Company should</w:t>
      </w:r>
      <w:r w:rsidRPr="009A6C9A">
        <w:rPr>
          <w:rFonts w:eastAsia="MS Mincho"/>
        </w:rPr>
        <w:t xml:space="preserve"> contact the Financial Operations Group Help Desk by phone, 1-877-480-3201, or by e</w:t>
      </w:r>
      <w:r w:rsidRPr="009A6C9A">
        <w:rPr>
          <w:rFonts w:eastAsia="MS Mincho"/>
        </w:rPr>
        <w:noBreakHyphen/>
        <w:t>mail, ARINQUIRIES@fcc.gov.</w:t>
      </w:r>
    </w:p>
    <w:p w14:paraId="0C540D3D" w14:textId="77777777" w:rsidR="00DA5466" w:rsidRDefault="000E59DC" w:rsidP="00DB3C82">
      <w:pPr>
        <w:pStyle w:val="ParaNum"/>
      </w:pPr>
      <w:r w:rsidRPr="009A6C9A">
        <w:t>The response</w:t>
      </w:r>
      <w:r w:rsidR="009A6C9A" w:rsidRPr="009A6C9A">
        <w:t>s</w:t>
      </w:r>
      <w:r w:rsidRPr="009A6C9A">
        <w:t xml:space="preserve">, if any, must be mailed to Theresa Z. Cavanaugh, Chief, Investigations and Hearings Division, Enforcement Bureau, Federal Communications Commission, 445 12th Street, SW, Room 4-C330, Washington, D.C. 20554, and </w:t>
      </w:r>
      <w:r w:rsidRPr="009A6C9A">
        <w:rPr>
          <w:b/>
        </w:rPr>
        <w:t>SHALL INCLUDE</w:t>
      </w:r>
      <w:r w:rsidRPr="009A6C9A">
        <w:t xml:space="preserve"> the NAL/Acct. </w:t>
      </w:r>
      <w:r w:rsidR="00142E2C">
        <w:t>N</w:t>
      </w:r>
      <w:r w:rsidRPr="009A6C9A">
        <w:t xml:space="preserve">umber referenced above.  In addition, to the extent practicable, a copy of the response, if any, should also be transmitted via e-mail to Terry.Cavanaugh@fcc.gov, </w:t>
      </w:r>
      <w:r w:rsidR="00244923" w:rsidRPr="009A6C9A">
        <w:t xml:space="preserve">Jeffrey.Gee@fcc.gov, </w:t>
      </w:r>
      <w:r w:rsidRPr="009A6C9A">
        <w:t xml:space="preserve">Kenneth.Scheibel@fcc.gov, </w:t>
      </w:r>
      <w:r w:rsidR="000B5D5F" w:rsidRPr="00CC4618">
        <w:t>Jennifer.Lewis@fcc.gov</w:t>
      </w:r>
      <w:r w:rsidR="000B5D5F">
        <w:t>, and Dana.Leavitt@fcc.gov</w:t>
      </w:r>
      <w:r w:rsidRPr="009A6C9A">
        <w:t>.</w:t>
      </w:r>
    </w:p>
    <w:p w14:paraId="0F8C8CE5" w14:textId="77777777" w:rsidR="00DA5466" w:rsidRDefault="000E59DC" w:rsidP="00DB3C82">
      <w:pPr>
        <w:pStyle w:val="ParaNum"/>
      </w:pPr>
      <w:r w:rsidRPr="009A6C9A">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p>
    <w:p w14:paraId="1E05D55B" w14:textId="77777777" w:rsidR="00DA5466" w:rsidRDefault="000E59DC" w:rsidP="00DB3C82">
      <w:pPr>
        <w:pStyle w:val="ParaNum"/>
      </w:pPr>
      <w:r w:rsidRPr="009A6C9A">
        <w:rPr>
          <w:b/>
        </w:rPr>
        <w:t>IT IS FURTHER ORDERED</w:t>
      </w:r>
      <w:r w:rsidRPr="009A6C9A">
        <w:t>, that the Complaint</w:t>
      </w:r>
      <w:r w:rsidR="00314587" w:rsidRPr="009A6C9A">
        <w:t>s</w:t>
      </w:r>
      <w:r w:rsidRPr="009A6C9A">
        <w:t xml:space="preserve"> referenced in this proceeding </w:t>
      </w:r>
      <w:r w:rsidR="00314587" w:rsidRPr="009A6C9A">
        <w:rPr>
          <w:b/>
        </w:rPr>
        <w:t>ARE</w:t>
      </w:r>
      <w:r w:rsidRPr="009A6C9A">
        <w:rPr>
          <w:b/>
        </w:rPr>
        <w:t xml:space="preserve"> GRANTED</w:t>
      </w:r>
      <w:r w:rsidRPr="009A6C9A">
        <w:t xml:space="preserve"> to the extent indicated herein and </w:t>
      </w:r>
      <w:r w:rsidR="00314587" w:rsidRPr="009A6C9A">
        <w:rPr>
          <w:b/>
        </w:rPr>
        <w:t>ARE</w:t>
      </w:r>
      <w:r w:rsidRPr="009A6C9A">
        <w:rPr>
          <w:b/>
        </w:rPr>
        <w:t xml:space="preserve"> OTHERWISE DENIED</w:t>
      </w:r>
      <w:r w:rsidRPr="009A6C9A">
        <w:t>, and the complaint proceeding</w:t>
      </w:r>
      <w:r w:rsidR="009A6C9A">
        <w:t>s</w:t>
      </w:r>
      <w:r w:rsidRPr="009A6C9A">
        <w:t xml:space="preserve"> </w:t>
      </w:r>
      <w:r w:rsidR="009A6C9A">
        <w:rPr>
          <w:b/>
        </w:rPr>
        <w:t>ARE</w:t>
      </w:r>
      <w:r w:rsidRPr="009A6C9A">
        <w:rPr>
          <w:b/>
        </w:rPr>
        <w:t xml:space="preserve"> HEREBY TERMINATED</w:t>
      </w:r>
      <w:r w:rsidRPr="009A6C9A">
        <w:t>.</w:t>
      </w:r>
      <w:r w:rsidRPr="009A6C9A">
        <w:rPr>
          <w:rStyle w:val="FootnoteReference"/>
          <w:spacing w:val="-2"/>
          <w:sz w:val="22"/>
          <w:szCs w:val="22"/>
        </w:rPr>
        <w:footnoteReference w:id="162"/>
      </w:r>
    </w:p>
    <w:p w14:paraId="60D6C552" w14:textId="77777777" w:rsidR="00DA5466" w:rsidRDefault="000E59DC" w:rsidP="00DB3C82">
      <w:pPr>
        <w:pStyle w:val="ParaNum"/>
      </w:pPr>
      <w:r w:rsidRPr="009A6C9A">
        <w:rPr>
          <w:b/>
        </w:rPr>
        <w:t xml:space="preserve">IT IS FURTHER ORDERED, </w:t>
      </w:r>
      <w:r w:rsidR="009A6C9A">
        <w:t xml:space="preserve">that </w:t>
      </w:r>
      <w:r w:rsidRPr="009A6C9A">
        <w:t xml:space="preserve">copies of this NAL shall be sent, by First Class Mail and </w:t>
      </w:r>
      <w:r w:rsidR="00A0711C" w:rsidRPr="009A6C9A">
        <w:t xml:space="preserve">Certified Mail, to </w:t>
      </w:r>
      <w:r w:rsidR="009A6C9A">
        <w:t>Meredith S. Senter, Jr., Esq</w:t>
      </w:r>
      <w:r w:rsidRPr="009A6C9A">
        <w:t>.</w:t>
      </w:r>
      <w:r w:rsidR="009A6C9A">
        <w:t xml:space="preserve"> and Dennis P. Corbett, Esq., counsel to Viacom Inc., Lerma</w:t>
      </w:r>
      <w:r w:rsidR="006465AC">
        <w:t>n Senter PLLC, 2000 K Street, NW, Suite 600, Washington, D</w:t>
      </w:r>
      <w:r w:rsidR="009A6C9A">
        <w:t xml:space="preserve">C 20006; David H. Solomon, Esq., counsel to </w:t>
      </w:r>
      <w:r w:rsidR="009A6C9A" w:rsidRPr="006465AC">
        <w:t xml:space="preserve">NBCUniversal Media, LLC, </w:t>
      </w:r>
      <w:r w:rsidR="006465AC" w:rsidRPr="006465AC">
        <w:t>Wilkinson Barker Knauer LLP, 2300 N Street, NW, Suite 700, Washington, DC 20037-1128; and Tom W. Davidson, Esq., counsel to ESPN Inc., Akin Gump Strauss Hauer &amp; Feld LLP, 1333 New Hampshire Avenue, NW, Washington, DC 20036-1564.</w:t>
      </w:r>
    </w:p>
    <w:p w14:paraId="2A5CBCA6" w14:textId="77777777" w:rsidR="000E59DC" w:rsidRPr="006465AC" w:rsidRDefault="000E59DC" w:rsidP="00E13142">
      <w:pPr>
        <w:widowControl/>
        <w:tabs>
          <w:tab w:val="left" w:pos="0"/>
        </w:tabs>
        <w:suppressAutoHyphens/>
        <w:spacing w:line="240" w:lineRule="atLeast"/>
        <w:rPr>
          <w:spacing w:val="-2"/>
          <w:szCs w:val="22"/>
        </w:rPr>
      </w:pPr>
    </w:p>
    <w:p w14:paraId="42BDE853" w14:textId="77777777" w:rsidR="000E59DC" w:rsidRPr="006465AC" w:rsidRDefault="000E59DC" w:rsidP="00E13142">
      <w:pPr>
        <w:widowControl/>
        <w:tabs>
          <w:tab w:val="left" w:pos="0"/>
        </w:tabs>
        <w:suppressAutoHyphens/>
        <w:spacing w:line="240" w:lineRule="atLeast"/>
        <w:rPr>
          <w:spacing w:val="-2"/>
          <w:szCs w:val="22"/>
        </w:rPr>
      </w:pPr>
      <w:r w:rsidRPr="006465AC">
        <w:rPr>
          <w:spacing w:val="-2"/>
          <w:szCs w:val="22"/>
        </w:rPr>
        <w:tab/>
      </w:r>
      <w:r w:rsidRPr="006465AC">
        <w:rPr>
          <w:spacing w:val="-2"/>
          <w:szCs w:val="22"/>
        </w:rPr>
        <w:tab/>
      </w:r>
      <w:r w:rsidRPr="006465AC">
        <w:rPr>
          <w:spacing w:val="-2"/>
          <w:szCs w:val="22"/>
        </w:rPr>
        <w:tab/>
      </w:r>
      <w:r w:rsidRPr="006465AC">
        <w:rPr>
          <w:spacing w:val="-2"/>
          <w:szCs w:val="22"/>
        </w:rPr>
        <w:tab/>
      </w:r>
      <w:r w:rsidRPr="006465AC">
        <w:rPr>
          <w:spacing w:val="-2"/>
          <w:szCs w:val="22"/>
        </w:rPr>
        <w:tab/>
        <w:t>FEDERAL COMMUNICATIONS COMMISSION</w:t>
      </w:r>
    </w:p>
    <w:p w14:paraId="0A867E97" w14:textId="77777777" w:rsidR="00F54D08" w:rsidRDefault="00F54D08" w:rsidP="00E13142">
      <w:pPr>
        <w:widowControl/>
        <w:tabs>
          <w:tab w:val="left" w:pos="0"/>
        </w:tabs>
        <w:suppressAutoHyphens/>
        <w:spacing w:line="240" w:lineRule="atLeast"/>
        <w:rPr>
          <w:spacing w:val="-2"/>
          <w:szCs w:val="22"/>
        </w:rPr>
      </w:pPr>
    </w:p>
    <w:p w14:paraId="64B31070" w14:textId="77777777" w:rsidR="00E13142" w:rsidRPr="006465AC" w:rsidRDefault="00E13142" w:rsidP="00E13142">
      <w:pPr>
        <w:widowControl/>
        <w:tabs>
          <w:tab w:val="left" w:pos="0"/>
        </w:tabs>
        <w:suppressAutoHyphens/>
        <w:spacing w:line="240" w:lineRule="atLeast"/>
        <w:rPr>
          <w:spacing w:val="-2"/>
          <w:szCs w:val="22"/>
        </w:rPr>
      </w:pPr>
    </w:p>
    <w:p w14:paraId="448A919F" w14:textId="77777777" w:rsidR="00F54D08" w:rsidRPr="006465AC" w:rsidRDefault="00F54D08" w:rsidP="00E13142">
      <w:pPr>
        <w:widowControl/>
        <w:tabs>
          <w:tab w:val="left" w:pos="0"/>
        </w:tabs>
        <w:suppressAutoHyphens/>
        <w:spacing w:line="240" w:lineRule="atLeast"/>
        <w:rPr>
          <w:spacing w:val="-2"/>
          <w:szCs w:val="22"/>
        </w:rPr>
      </w:pPr>
    </w:p>
    <w:p w14:paraId="1301610C" w14:textId="77777777" w:rsidR="00F54D08" w:rsidRPr="006465AC" w:rsidRDefault="00F54D08" w:rsidP="00E13142">
      <w:pPr>
        <w:widowControl/>
        <w:tabs>
          <w:tab w:val="left" w:pos="0"/>
        </w:tabs>
        <w:suppressAutoHyphens/>
        <w:spacing w:line="240" w:lineRule="atLeast"/>
        <w:rPr>
          <w:spacing w:val="-2"/>
          <w:szCs w:val="22"/>
        </w:rPr>
      </w:pPr>
    </w:p>
    <w:p w14:paraId="36F4CC7F" w14:textId="77777777" w:rsidR="00F54D08" w:rsidRPr="006465AC" w:rsidRDefault="00F54D08" w:rsidP="00E13142">
      <w:pPr>
        <w:widowControl/>
        <w:tabs>
          <w:tab w:val="left" w:pos="0"/>
        </w:tabs>
        <w:suppressAutoHyphens/>
        <w:spacing w:line="240" w:lineRule="atLeast"/>
        <w:rPr>
          <w:spacing w:val="-2"/>
          <w:szCs w:val="22"/>
        </w:rPr>
      </w:pPr>
      <w:r w:rsidRPr="006465AC">
        <w:rPr>
          <w:spacing w:val="-2"/>
          <w:szCs w:val="22"/>
        </w:rPr>
        <w:tab/>
      </w:r>
      <w:r w:rsidRPr="006465AC">
        <w:rPr>
          <w:spacing w:val="-2"/>
          <w:szCs w:val="22"/>
        </w:rPr>
        <w:tab/>
      </w:r>
      <w:r w:rsidRPr="006465AC">
        <w:rPr>
          <w:spacing w:val="-2"/>
          <w:szCs w:val="22"/>
        </w:rPr>
        <w:tab/>
      </w:r>
      <w:r w:rsidRPr="006465AC">
        <w:rPr>
          <w:spacing w:val="-2"/>
          <w:szCs w:val="22"/>
        </w:rPr>
        <w:tab/>
      </w:r>
      <w:r w:rsidRPr="006465AC">
        <w:rPr>
          <w:spacing w:val="-2"/>
          <w:szCs w:val="22"/>
        </w:rPr>
        <w:tab/>
        <w:t>Marlene H. Dortch</w:t>
      </w:r>
    </w:p>
    <w:p w14:paraId="6855F462" w14:textId="77777777" w:rsidR="000E59DC" w:rsidRPr="00F563A3" w:rsidRDefault="00F54D08" w:rsidP="00E13142">
      <w:pPr>
        <w:widowControl/>
        <w:tabs>
          <w:tab w:val="left" w:pos="0"/>
        </w:tabs>
        <w:suppressAutoHyphens/>
        <w:spacing w:line="240" w:lineRule="atLeast"/>
        <w:rPr>
          <w:spacing w:val="-2"/>
          <w:szCs w:val="22"/>
        </w:rPr>
      </w:pPr>
      <w:r w:rsidRPr="006465AC">
        <w:rPr>
          <w:spacing w:val="-2"/>
          <w:szCs w:val="22"/>
        </w:rPr>
        <w:tab/>
      </w:r>
      <w:r w:rsidRPr="006465AC">
        <w:rPr>
          <w:spacing w:val="-2"/>
          <w:szCs w:val="22"/>
        </w:rPr>
        <w:tab/>
      </w:r>
      <w:r w:rsidRPr="006465AC">
        <w:rPr>
          <w:spacing w:val="-2"/>
          <w:szCs w:val="22"/>
        </w:rPr>
        <w:tab/>
      </w:r>
      <w:r w:rsidRPr="006465AC">
        <w:rPr>
          <w:spacing w:val="-2"/>
          <w:szCs w:val="22"/>
        </w:rPr>
        <w:tab/>
      </w:r>
      <w:r w:rsidRPr="006465AC">
        <w:rPr>
          <w:spacing w:val="-2"/>
          <w:szCs w:val="22"/>
        </w:rPr>
        <w:tab/>
        <w:t>Secretary</w:t>
      </w:r>
    </w:p>
    <w:sectPr w:rsidR="000E59DC" w:rsidRPr="00F563A3" w:rsidSect="000131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00FF7" w14:textId="77777777" w:rsidR="00F9699E" w:rsidRDefault="00F9699E">
      <w:r>
        <w:separator/>
      </w:r>
    </w:p>
  </w:endnote>
  <w:endnote w:type="continuationSeparator" w:id="0">
    <w:p w14:paraId="1477BB6A" w14:textId="77777777" w:rsidR="00F9699E" w:rsidRDefault="00F9699E">
      <w:r>
        <w:continuationSeparator/>
      </w:r>
    </w:p>
  </w:endnote>
  <w:endnote w:type="continuationNotice" w:id="1">
    <w:p w14:paraId="31AC07B9" w14:textId="77777777" w:rsidR="00F9699E" w:rsidRDefault="00F96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8BE3" w14:textId="77777777" w:rsidR="00164C8A" w:rsidRDefault="00164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9C40" w14:textId="77777777" w:rsidR="00A066FB" w:rsidRPr="00A57787" w:rsidRDefault="00A066FB" w:rsidP="000E59DC">
    <w:pPr>
      <w:pStyle w:val="Footer"/>
      <w:jc w:val="center"/>
      <w:rPr>
        <w:rStyle w:val="PageNumber"/>
      </w:rPr>
    </w:pPr>
    <w:r w:rsidRPr="00A57787">
      <w:rPr>
        <w:rStyle w:val="PageNumber"/>
        <w:szCs w:val="22"/>
      </w:rPr>
      <w:fldChar w:fldCharType="begin"/>
    </w:r>
    <w:r w:rsidRPr="00A57787">
      <w:rPr>
        <w:rStyle w:val="PageNumber"/>
        <w:szCs w:val="22"/>
      </w:rPr>
      <w:instrText xml:space="preserve"> PAGE </w:instrText>
    </w:r>
    <w:r w:rsidRPr="00A57787">
      <w:rPr>
        <w:rStyle w:val="PageNumber"/>
        <w:szCs w:val="22"/>
      </w:rPr>
      <w:fldChar w:fldCharType="separate"/>
    </w:r>
    <w:r w:rsidR="00AD3848">
      <w:rPr>
        <w:rStyle w:val="PageNumber"/>
        <w:noProof/>
        <w:szCs w:val="22"/>
      </w:rPr>
      <w:t>2</w:t>
    </w:r>
    <w:r w:rsidRPr="00A57787">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45BBB" w14:textId="77777777" w:rsidR="00164C8A" w:rsidRDefault="00164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34B9F" w14:textId="77777777" w:rsidR="00F9699E" w:rsidRDefault="00F9699E">
      <w:r>
        <w:separator/>
      </w:r>
    </w:p>
  </w:footnote>
  <w:footnote w:type="continuationSeparator" w:id="0">
    <w:p w14:paraId="05BF7811" w14:textId="77777777" w:rsidR="00F9699E" w:rsidRPr="00D33545" w:rsidRDefault="00F9699E" w:rsidP="00D33545">
      <w:pPr>
        <w:spacing w:before="120"/>
        <w:rPr>
          <w:sz w:val="20"/>
        </w:rPr>
      </w:pPr>
      <w:r w:rsidRPr="00D33545">
        <w:rPr>
          <w:sz w:val="20"/>
        </w:rPr>
        <w:t>(Continued from previous page…)</w:t>
      </w:r>
      <w:r w:rsidRPr="00D33545">
        <w:rPr>
          <w:sz w:val="20"/>
        </w:rPr>
        <w:separator/>
      </w:r>
    </w:p>
  </w:footnote>
  <w:footnote w:type="continuationNotice" w:id="1">
    <w:p w14:paraId="1B30453F" w14:textId="77777777" w:rsidR="00F9699E" w:rsidRDefault="00F9699E">
      <w:pPr>
        <w:jc w:val="right"/>
      </w:pPr>
      <w:r>
        <w:t>(continued....)</w:t>
      </w:r>
    </w:p>
  </w:footnote>
  <w:footnote w:id="2">
    <w:p w14:paraId="69F2F8B2" w14:textId="77777777" w:rsidR="00A066FB" w:rsidRPr="00A066FB" w:rsidRDefault="00A066FB" w:rsidP="006700E2">
      <w:pPr>
        <w:pStyle w:val="FootnoteText"/>
      </w:pPr>
      <w:r w:rsidRPr="00A066FB">
        <w:rPr>
          <w:rStyle w:val="FootnoteReference"/>
        </w:rPr>
        <w:footnoteRef/>
      </w:r>
      <w:r w:rsidRPr="00A066FB">
        <w:t xml:space="preserve"> The four parts are: Preamble and EAS Header Codes; audio Attention Signal; message; and, Preamble and EAS End Of Message (EOM) Codes.  47 C.F.R. § 11.31(a).</w:t>
      </w:r>
    </w:p>
  </w:footnote>
  <w:footnote w:id="3">
    <w:p w14:paraId="293BA360"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 xml:space="preserve">See </w:t>
      </w:r>
      <w:r w:rsidRPr="00A066FB">
        <w:t>47 C.F.R. § 11.31(a)(2).</w:t>
      </w:r>
    </w:p>
  </w:footnote>
  <w:footnote w:id="4">
    <w:p w14:paraId="6FF76420"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 xml:space="preserve">See </w:t>
      </w:r>
      <w:r w:rsidRPr="00A066FB">
        <w:t>47 U.S.C. § 325(a).</w:t>
      </w:r>
    </w:p>
  </w:footnote>
  <w:footnote w:id="5">
    <w:p w14:paraId="00C9200E"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 xml:space="preserve">See </w:t>
      </w:r>
      <w:r w:rsidRPr="00A066FB">
        <w:t>47 C.F.R. §</w:t>
      </w:r>
      <w:r w:rsidRPr="00A066FB">
        <w:rPr>
          <w:b/>
        </w:rPr>
        <w:t xml:space="preserve"> </w:t>
      </w:r>
      <w:r w:rsidRPr="00A066FB">
        <w:t xml:space="preserve">11.45.  We elect to address the apparent violations by all three Companies in a single NAL, rather than three separate NALs, due to the similar basis for the apparent violations; that is, multiple transmissions of a trailer promoting the movie </w:t>
      </w:r>
      <w:r w:rsidRPr="00A066FB">
        <w:rPr>
          <w:i/>
        </w:rPr>
        <w:t>Olympus Has Fallen</w:t>
      </w:r>
      <w:r w:rsidRPr="00A066FB">
        <w:t xml:space="preserve">.  </w:t>
      </w:r>
      <w:r w:rsidRPr="00A066FB">
        <w:rPr>
          <w:i/>
        </w:rPr>
        <w:t>See infra</w:t>
      </w:r>
      <w:r w:rsidRPr="00A066FB">
        <w:t xml:space="preserve"> note 6.</w:t>
      </w:r>
    </w:p>
  </w:footnote>
  <w:footnote w:id="6">
    <w:p w14:paraId="3EDF7973"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 xml:space="preserve">See </w:t>
      </w:r>
      <w:r w:rsidRPr="00A066FB">
        <w:t>Complaint, Form 2000D, Key No. 13-C00477601-1 (Mar. 4, 2013) (on file in EB-IHD-13-00011468 formerly EB-13-IH-0369) (First Complaint); E-mail complaint (Mar. 5, 2013) (on file in EB-IHD-13-00011476 formerly EB-13-IH-0370) (Second Complaint); and Complaint, Form 2000D, Key No. 13-C00478126-1 (Mar. 5, 2013) (on file in EB-IHD-13-00011381 formerly EB-13-IH-0239) (Third Complaint).</w:t>
      </w:r>
    </w:p>
  </w:footnote>
  <w:footnote w:id="7">
    <w:p w14:paraId="1E430BBE" w14:textId="77777777" w:rsidR="00A066FB" w:rsidRPr="00A066FB" w:rsidRDefault="00A066FB" w:rsidP="006700E2">
      <w:pPr>
        <w:pStyle w:val="FootnoteText"/>
      </w:pPr>
      <w:r w:rsidRPr="00A066FB">
        <w:rPr>
          <w:rStyle w:val="FootnoteReference"/>
        </w:rPr>
        <w:footnoteRef/>
      </w:r>
      <w:r w:rsidRPr="00A066FB">
        <w:t xml:space="preserve"> The record reflects that media </w:t>
      </w:r>
      <w:r w:rsidRPr="00A066FB">
        <w:rPr>
          <w:spacing w:val="-2"/>
        </w:rPr>
        <w:t xml:space="preserve">agency Horizon Media, Inc. (Horizon Media) released </w:t>
      </w:r>
      <w:r w:rsidRPr="00A066FB">
        <w:t xml:space="preserve">multiple versions of a movie trailer for the film </w:t>
      </w:r>
      <w:r w:rsidRPr="00A066FB">
        <w:rPr>
          <w:i/>
        </w:rPr>
        <w:t>Olympus Has Fallen</w:t>
      </w:r>
      <w:r w:rsidRPr="00A066FB">
        <w:t xml:space="preserve"> around the same time but only one of these trailers contained the EAS codes and Attention Signal.  That trailer is the subject of this NAL and is referred to herein as the </w:t>
      </w:r>
      <w:r w:rsidRPr="00A066FB">
        <w:rPr>
          <w:i/>
        </w:rPr>
        <w:t>No Surrender Trailer.</w:t>
      </w:r>
    </w:p>
  </w:footnote>
  <w:footnote w:id="8">
    <w:p w14:paraId="0D264A99"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See</w:t>
      </w:r>
      <w:r w:rsidRPr="00A066FB">
        <w:t xml:space="preserve"> First Complaint.</w:t>
      </w:r>
    </w:p>
  </w:footnote>
  <w:footnote w:id="9">
    <w:p w14:paraId="11088981"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Id</w:t>
      </w:r>
      <w:r w:rsidRPr="00A066FB">
        <w:t>.</w:t>
      </w:r>
    </w:p>
  </w:footnote>
  <w:footnote w:id="10">
    <w:p w14:paraId="0F8FDD01"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 xml:space="preserve">See </w:t>
      </w:r>
      <w:r w:rsidRPr="00A066FB">
        <w:t>Second Complaint.</w:t>
      </w:r>
    </w:p>
  </w:footnote>
  <w:footnote w:id="11">
    <w:p w14:paraId="1D1E1940"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See</w:t>
      </w:r>
      <w:r w:rsidRPr="00A066FB">
        <w:t xml:space="preserve"> Third Complaint.</w:t>
      </w:r>
    </w:p>
  </w:footnote>
  <w:footnote w:id="12">
    <w:p w14:paraId="26BB7455"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Id</w:t>
      </w:r>
      <w:r w:rsidRPr="00A066FB">
        <w:t>.</w:t>
      </w:r>
    </w:p>
  </w:footnote>
  <w:footnote w:id="13">
    <w:p w14:paraId="006AB0AF"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See</w:t>
      </w:r>
      <w:r w:rsidRPr="00A066FB">
        <w:t xml:space="preserve"> E-mail from Complainant to Jennifer Lewis, Attorney Advisor, Investigations and Hearings Division, FCC Enforcement Bureau (Mar. 8, 2013) (on file in EB-IHD-13-00011381 formerly EB-13-IH-0239).</w:t>
      </w:r>
    </w:p>
  </w:footnote>
  <w:footnote w:id="14">
    <w:p w14:paraId="1808C7D9" w14:textId="77777777" w:rsidR="00A066FB" w:rsidRPr="00A066FB" w:rsidRDefault="00A066FB" w:rsidP="006700E2">
      <w:pPr>
        <w:pStyle w:val="FootnoteText"/>
      </w:pPr>
      <w:r w:rsidRPr="00A066FB">
        <w:rPr>
          <w:rStyle w:val="FootnoteReference"/>
        </w:rPr>
        <w:footnoteRef/>
      </w:r>
      <w:r w:rsidRPr="00A066FB">
        <w:t xml:space="preserve"> Viacom is the parent company of Comedy Central.</w:t>
      </w:r>
    </w:p>
  </w:footnote>
  <w:footnote w:id="15">
    <w:p w14:paraId="23E791FF" w14:textId="77777777" w:rsidR="00A066FB" w:rsidRPr="00A066FB" w:rsidRDefault="00A066FB" w:rsidP="006700E2">
      <w:pPr>
        <w:pStyle w:val="FootnoteText"/>
      </w:pPr>
      <w:r w:rsidRPr="00A066FB">
        <w:rPr>
          <w:rStyle w:val="FootnoteReference"/>
        </w:rPr>
        <w:footnoteRef/>
      </w:r>
      <w:r w:rsidRPr="00A066FB">
        <w:t xml:space="preserve"> The Walt Disney Company is the parent company of ESPN Inc.</w:t>
      </w:r>
    </w:p>
  </w:footnote>
  <w:footnote w:id="16">
    <w:p w14:paraId="05D8B187" w14:textId="77777777" w:rsidR="00A066FB" w:rsidRPr="00A066FB" w:rsidRDefault="00A066FB" w:rsidP="006700E2">
      <w:pPr>
        <w:pStyle w:val="FootnoteText"/>
      </w:pPr>
      <w:r w:rsidRPr="00A066FB">
        <w:rPr>
          <w:rStyle w:val="FootnoteReference"/>
        </w:rPr>
        <w:footnoteRef/>
      </w:r>
      <w:r w:rsidRPr="00A066FB">
        <w:t xml:space="preserve"> NBCUniversal is the parent company of SyFy.</w:t>
      </w:r>
    </w:p>
  </w:footnote>
  <w:footnote w:id="17">
    <w:p w14:paraId="651F479E"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 xml:space="preserve">See </w:t>
      </w:r>
      <w:r w:rsidRPr="00A066FB">
        <w:t>Letter from Jeffrey J. Gee, Deputy Chief, Investigations and Hearings Division, FCC Enforcement Bureau, to Keith R. Murphy, Senior Vice President, Government Relations &amp; Regulatory Counsel, Viacom Inc. (Apr. 8, 2013) (on file in EB-IHD-13-00011468 formerly EB-13-IH-0369) (Viacom LOI); Letter from Jeffrey J. Gee, Deputy Chief, Investigations and Hearings Division, FCC Enforcement Bureau, to Susan L. Fox, Vice President, Government Relations, The Walt Disney Company (Apr. 8, 2013) (on file in EB-IHD-13-00011476 formerly EB-13-IH-0370) (ESPN LOI); Letter from Jeffrey J. Gee, Deputy Chief, Investigations and Hearings Division, FCC Enforcement Bureau, to Margaret L. Tobey, Vice President, Regulatory Affairs, NBCUniversal Media, LLC (Apr. 8, 2013) (on file in EB-IHD-13-00011381 formerly EB-13-IH-0239).</w:t>
      </w:r>
    </w:p>
  </w:footnote>
  <w:footnote w:id="18">
    <w:p w14:paraId="7C0B6A19"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 xml:space="preserve">See </w:t>
      </w:r>
      <w:r w:rsidRPr="00A066FB">
        <w:t>Letter from Meredith S. Senter, Jr., Esq. and Dennis P. Corbett, Esq., Lerman Senter PLLC, Counsel to Viacom Inc., to Jennifer A. Lewis, Attorney Advisor, Investigations and Hearings Division, FCC Enforcement Bureau (May 22, 2013) (on file in EB-IHD-13-00011468 formerly EB-13-IH-0369) (Viacom LOI Response); Letter from Tom W. Davidson, Esq., Akin Gump Strauss Hauer &amp; Feld LLP, Counsel to ESPN Inc., to Jennifer Lewis, Attorney Advisor, Investigations and Hearings Division, FCC Enforcement Bureau (May 22, 2013) (on file in EB-IHD-13-00011476 formerly EB-13-IH-0370) (ESPN LOI Response); Letter from David H. Solomon, Esq., Wilkinson Barker Knauer LLP, Counsel to NBCUniversal Media, LLC, to Jennifer A. Lewis, Attorney Advisor, Investigations and Hearings Division, FCC Enforcement Bureau (May 22, 2013) (on file in EB-IHD-13-00011381 formerly EB-13-IH-0239) (NBCUniversal LOI Response).</w:t>
      </w:r>
    </w:p>
  </w:footnote>
  <w:footnote w:id="19">
    <w:p w14:paraId="5CF2469A" w14:textId="77777777" w:rsidR="00A066FB" w:rsidRPr="00A066FB" w:rsidRDefault="00A066FB" w:rsidP="006700E2">
      <w:pPr>
        <w:pStyle w:val="FootnoteText"/>
      </w:pPr>
      <w:r w:rsidRPr="00A066FB">
        <w:rPr>
          <w:rStyle w:val="FootnoteReference"/>
        </w:rPr>
        <w:footnoteRef/>
      </w:r>
      <w:r w:rsidRPr="00A066FB">
        <w:t xml:space="preserve"> Viacom LOI Response at Attachment A.</w:t>
      </w:r>
    </w:p>
  </w:footnote>
  <w:footnote w:id="20">
    <w:p w14:paraId="558B7628" w14:textId="77777777" w:rsidR="00A066FB" w:rsidRPr="00A066FB" w:rsidRDefault="00A066FB" w:rsidP="00BA0B56">
      <w:pPr>
        <w:pStyle w:val="FootnoteText"/>
      </w:pPr>
      <w:r w:rsidRPr="00A066FB">
        <w:rPr>
          <w:rStyle w:val="FootnoteReference"/>
        </w:rPr>
        <w:footnoteRef/>
      </w:r>
      <w:r w:rsidRPr="00A066FB">
        <w:t xml:space="preserve"> </w:t>
      </w:r>
      <w:r w:rsidRPr="00A066FB">
        <w:rPr>
          <w:i/>
        </w:rPr>
        <w:t>Id.</w:t>
      </w:r>
      <w:r w:rsidRPr="00A066FB">
        <w:t xml:space="preserve"> at 3.</w:t>
      </w:r>
    </w:p>
  </w:footnote>
  <w:footnote w:id="21">
    <w:p w14:paraId="6240D22B"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See id.</w:t>
      </w:r>
      <w:r w:rsidRPr="00A066FB">
        <w:t xml:space="preserve"> at 4.</w:t>
      </w:r>
    </w:p>
  </w:footnote>
  <w:footnote w:id="22">
    <w:p w14:paraId="6BCB9C34" w14:textId="77777777" w:rsidR="00A066FB" w:rsidRPr="00A066FB" w:rsidRDefault="00A066FB" w:rsidP="008D0120">
      <w:pPr>
        <w:pStyle w:val="FootnoteText"/>
      </w:pPr>
      <w:r w:rsidRPr="00A066FB">
        <w:rPr>
          <w:rStyle w:val="FootnoteReference"/>
        </w:rPr>
        <w:footnoteRef/>
      </w:r>
      <w:r w:rsidRPr="00A066FB">
        <w:t xml:space="preserve"> </w:t>
      </w:r>
      <w:r w:rsidRPr="00A066FB">
        <w:rPr>
          <w:i/>
        </w:rPr>
        <w:t>Id</w:t>
      </w:r>
      <w:r w:rsidRPr="00A066FB">
        <w:t>. at 4–5.</w:t>
      </w:r>
    </w:p>
  </w:footnote>
  <w:footnote w:id="23">
    <w:p w14:paraId="7D3455E5"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Id</w:t>
      </w:r>
      <w:r w:rsidRPr="00A066FB">
        <w:t>. at Attachment E.</w:t>
      </w:r>
    </w:p>
  </w:footnote>
  <w:footnote w:id="24">
    <w:p w14:paraId="5BD03EAE"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 id</w:t>
      </w:r>
      <w:r w:rsidRPr="00A066FB">
        <w:t xml:space="preserve">.  </w:t>
      </w:r>
    </w:p>
  </w:footnote>
  <w:footnote w:id="25">
    <w:p w14:paraId="5F01893A"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Id</w:t>
      </w:r>
      <w:r w:rsidRPr="00A066FB">
        <w:t>. at 2–3.</w:t>
      </w:r>
    </w:p>
  </w:footnote>
  <w:footnote w:id="26">
    <w:p w14:paraId="58FA651D" w14:textId="77777777" w:rsidR="00A066FB" w:rsidRPr="00A066FB" w:rsidRDefault="00A066FB" w:rsidP="00D23F2B">
      <w:pPr>
        <w:pStyle w:val="FootnoteText"/>
      </w:pPr>
      <w:r w:rsidRPr="00A066FB">
        <w:rPr>
          <w:rStyle w:val="FootnoteReference"/>
        </w:rPr>
        <w:footnoteRef/>
      </w:r>
      <w:r w:rsidRPr="00A066FB">
        <w:t xml:space="preserve"> </w:t>
      </w:r>
      <w:r w:rsidRPr="00A066FB">
        <w:rPr>
          <w:i/>
        </w:rPr>
        <w:t>See id</w:t>
      </w:r>
      <w:r w:rsidRPr="00A066FB">
        <w:t>. at 4.</w:t>
      </w:r>
    </w:p>
  </w:footnote>
  <w:footnote w:id="27">
    <w:p w14:paraId="1905EAB8"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See id</w:t>
      </w:r>
      <w:r w:rsidRPr="00A066FB">
        <w:t>. at 5.</w:t>
      </w:r>
    </w:p>
  </w:footnote>
  <w:footnote w:id="28">
    <w:p w14:paraId="130A5EE0"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Id.</w:t>
      </w:r>
    </w:p>
  </w:footnote>
  <w:footnote w:id="29">
    <w:p w14:paraId="0FE67C89" w14:textId="77777777" w:rsidR="00A066FB" w:rsidRPr="00A066FB" w:rsidRDefault="00A066FB" w:rsidP="00BB6FC5">
      <w:pPr>
        <w:pStyle w:val="FootnoteText"/>
      </w:pPr>
      <w:r w:rsidRPr="00A066FB">
        <w:rPr>
          <w:rStyle w:val="FootnoteReference"/>
        </w:rPr>
        <w:footnoteRef/>
      </w:r>
      <w:r w:rsidRPr="00A066FB">
        <w:t xml:space="preserve"> ESPN LOI Response at 5, Exhibit C-2.</w:t>
      </w:r>
    </w:p>
  </w:footnote>
  <w:footnote w:id="30">
    <w:p w14:paraId="18446059"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Id</w:t>
      </w:r>
      <w:r w:rsidRPr="00A066FB">
        <w:t>. at 5–7.</w:t>
      </w:r>
    </w:p>
  </w:footnote>
  <w:footnote w:id="31">
    <w:p w14:paraId="1231023D" w14:textId="77777777" w:rsidR="00A066FB" w:rsidRPr="00A066FB" w:rsidRDefault="00A066FB" w:rsidP="00297855">
      <w:pPr>
        <w:pStyle w:val="FootnoteText"/>
      </w:pPr>
      <w:r w:rsidRPr="00A066FB">
        <w:rPr>
          <w:rStyle w:val="FootnoteReference"/>
        </w:rPr>
        <w:footnoteRef/>
      </w:r>
      <w:r w:rsidRPr="00A066FB">
        <w:t xml:space="preserve"> </w:t>
      </w:r>
      <w:r w:rsidRPr="00A066FB">
        <w:rPr>
          <w:i/>
        </w:rPr>
        <w:t>Id.</w:t>
      </w:r>
      <w:r w:rsidRPr="00A066FB">
        <w:t xml:space="preserve"> at 4–5, 10, Exhibit B.</w:t>
      </w:r>
    </w:p>
  </w:footnote>
  <w:footnote w:id="32">
    <w:p w14:paraId="7D2F91B5" w14:textId="77777777" w:rsidR="00A066FB" w:rsidRPr="00A066FB" w:rsidRDefault="00A066FB" w:rsidP="00CC38DC">
      <w:pPr>
        <w:pStyle w:val="FootnoteText"/>
      </w:pPr>
      <w:r w:rsidRPr="00A066FB">
        <w:rPr>
          <w:rStyle w:val="FootnoteReference"/>
        </w:rPr>
        <w:footnoteRef/>
      </w:r>
      <w:r w:rsidRPr="00A066FB">
        <w:t xml:space="preserve"> </w:t>
      </w:r>
      <w:r w:rsidRPr="00A066FB">
        <w:rPr>
          <w:i/>
        </w:rPr>
        <w:t>Id.</w:t>
      </w:r>
      <w:r w:rsidRPr="00A066FB">
        <w:t xml:space="preserve"> at 2, 5–8.</w:t>
      </w:r>
    </w:p>
  </w:footnote>
  <w:footnote w:id="33">
    <w:p w14:paraId="24F5CBC2" w14:textId="77777777" w:rsidR="00A066FB" w:rsidRPr="00A066FB" w:rsidRDefault="00A066FB" w:rsidP="00D06D44">
      <w:pPr>
        <w:pStyle w:val="FootnoteText"/>
      </w:pPr>
      <w:r w:rsidRPr="00A066FB">
        <w:rPr>
          <w:rStyle w:val="FootnoteReference"/>
        </w:rPr>
        <w:footnoteRef/>
      </w:r>
      <w:r w:rsidRPr="00A066FB">
        <w:t xml:space="preserve"> </w:t>
      </w:r>
      <w:r w:rsidRPr="00A066FB">
        <w:rPr>
          <w:i/>
        </w:rPr>
        <w:t xml:space="preserve">Id. </w:t>
      </w:r>
      <w:r w:rsidRPr="00A066FB">
        <w:t>at 8.</w:t>
      </w:r>
    </w:p>
  </w:footnote>
  <w:footnote w:id="34">
    <w:p w14:paraId="0496A6D3"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Id</w:t>
      </w:r>
      <w:r w:rsidRPr="00A066FB">
        <w:t>. at 5, Exhibits D-1, D-2.</w:t>
      </w:r>
    </w:p>
  </w:footnote>
  <w:footnote w:id="35">
    <w:p w14:paraId="228A9BDC"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Id</w:t>
      </w:r>
      <w:r w:rsidRPr="00A066FB">
        <w:t>. at 6.</w:t>
      </w:r>
    </w:p>
  </w:footnote>
  <w:footnote w:id="36">
    <w:p w14:paraId="3A8A0B08"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Id</w:t>
      </w:r>
      <w:r w:rsidRPr="00A066FB">
        <w:t>.</w:t>
      </w:r>
    </w:p>
  </w:footnote>
  <w:footnote w:id="37">
    <w:p w14:paraId="5CD61004"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Id</w:t>
      </w:r>
      <w:r w:rsidRPr="00A066FB">
        <w:t xml:space="preserve">. at 8.  ESPN notes that it has already implemented new policies and procedures, and that it has since rejected advertising spots which contain tones that sound like the EAS Attention Signal.  </w:t>
      </w:r>
      <w:r w:rsidRPr="00A066FB">
        <w:rPr>
          <w:i/>
        </w:rPr>
        <w:t>Id</w:t>
      </w:r>
      <w:r w:rsidRPr="00A066FB">
        <w:t>.</w:t>
      </w:r>
    </w:p>
  </w:footnote>
  <w:footnote w:id="38">
    <w:p w14:paraId="1B3148B1" w14:textId="77777777" w:rsidR="00A066FB" w:rsidRPr="00A066FB" w:rsidRDefault="00A066FB" w:rsidP="00013106">
      <w:pPr>
        <w:pStyle w:val="FootnoteText"/>
      </w:pPr>
      <w:r w:rsidRPr="00A066FB">
        <w:rPr>
          <w:rStyle w:val="FootnoteReference"/>
        </w:rPr>
        <w:footnoteRef/>
      </w:r>
      <w:r w:rsidRPr="00A066FB">
        <w:t xml:space="preserve"> NBCUniversal LOI Response at 4.</w:t>
      </w:r>
    </w:p>
  </w:footnote>
  <w:footnote w:id="39">
    <w:p w14:paraId="4CBE5C9B" w14:textId="77777777" w:rsidR="00A066FB" w:rsidRPr="00A066FB" w:rsidRDefault="00A066FB" w:rsidP="002263E3">
      <w:pPr>
        <w:pStyle w:val="FootnoteText"/>
      </w:pPr>
      <w:r w:rsidRPr="00A066FB">
        <w:rPr>
          <w:rStyle w:val="FootnoteReference"/>
        </w:rPr>
        <w:footnoteRef/>
      </w:r>
      <w:r w:rsidRPr="00A066FB">
        <w:t xml:space="preserve"> </w:t>
      </w:r>
      <w:r w:rsidRPr="00A066FB">
        <w:rPr>
          <w:i/>
          <w:iCs/>
        </w:rPr>
        <w:t>Id.</w:t>
      </w:r>
      <w:r w:rsidRPr="00A066FB">
        <w:t xml:space="preserve"> at 5 </w:t>
      </w:r>
      <w:r w:rsidRPr="00A066FB">
        <w:rPr>
          <w:iCs/>
        </w:rPr>
        <w:t>(</w:t>
      </w:r>
      <w:r w:rsidRPr="00A066FB">
        <w:rPr>
          <w:i/>
          <w:iCs/>
        </w:rPr>
        <w:t xml:space="preserve">citing </w:t>
      </w:r>
      <w:r w:rsidRPr="00A066FB">
        <w:t>47 C.F.R. § 11.31(c) (“transmission of 8 to 25 seconds of Attention Signal”)).</w:t>
      </w:r>
    </w:p>
  </w:footnote>
  <w:footnote w:id="40">
    <w:p w14:paraId="3DF389E4" w14:textId="77777777" w:rsidR="00A066FB" w:rsidRPr="00A066FB" w:rsidRDefault="00A066FB" w:rsidP="00CC38DC">
      <w:pPr>
        <w:pStyle w:val="FootnoteText"/>
      </w:pPr>
      <w:r w:rsidRPr="00A066FB">
        <w:rPr>
          <w:rStyle w:val="FootnoteReference"/>
        </w:rPr>
        <w:footnoteRef/>
      </w:r>
      <w:r w:rsidRPr="00A066FB">
        <w:t xml:space="preserve"> </w:t>
      </w:r>
      <w:r w:rsidRPr="00A066FB">
        <w:rPr>
          <w:i/>
        </w:rPr>
        <w:t>See id</w:t>
      </w:r>
      <w:r w:rsidRPr="00A066FB">
        <w:t>. at 3, 5, 7.</w:t>
      </w:r>
    </w:p>
  </w:footnote>
  <w:footnote w:id="41">
    <w:p w14:paraId="42FDB2AA" w14:textId="77777777" w:rsidR="00A066FB" w:rsidRPr="00A066FB" w:rsidRDefault="00A066FB" w:rsidP="00D06D44">
      <w:pPr>
        <w:pStyle w:val="FootnoteText"/>
      </w:pPr>
      <w:r w:rsidRPr="00A066FB">
        <w:rPr>
          <w:rStyle w:val="FootnoteReference"/>
        </w:rPr>
        <w:footnoteRef/>
      </w:r>
      <w:r w:rsidRPr="00A066FB">
        <w:t xml:space="preserve"> </w:t>
      </w:r>
      <w:r w:rsidRPr="00A066FB">
        <w:rPr>
          <w:i/>
        </w:rPr>
        <w:t>Id.</w:t>
      </w:r>
      <w:r w:rsidRPr="00A066FB">
        <w:t xml:space="preserve"> at 6.</w:t>
      </w:r>
    </w:p>
  </w:footnote>
  <w:footnote w:id="42">
    <w:p w14:paraId="19BBFE80" w14:textId="77777777" w:rsidR="00A066FB" w:rsidRPr="00A066FB" w:rsidRDefault="00A066FB" w:rsidP="008D0120">
      <w:pPr>
        <w:pStyle w:val="FootnoteText"/>
      </w:pPr>
      <w:r w:rsidRPr="00A066FB">
        <w:rPr>
          <w:rStyle w:val="FootnoteReference"/>
        </w:rPr>
        <w:footnoteRef/>
      </w:r>
      <w:r w:rsidRPr="00A066FB">
        <w:t xml:space="preserve"> </w:t>
      </w:r>
      <w:r w:rsidRPr="00A066FB">
        <w:rPr>
          <w:i/>
        </w:rPr>
        <w:t>See</w:t>
      </w:r>
      <w:r w:rsidRPr="00A066FB">
        <w:t xml:space="preserve"> </w:t>
      </w:r>
      <w:r w:rsidRPr="00A066FB">
        <w:rPr>
          <w:i/>
        </w:rPr>
        <w:t>id</w:t>
      </w:r>
      <w:r w:rsidRPr="00A066FB">
        <w:t>. at 4, 6.</w:t>
      </w:r>
    </w:p>
  </w:footnote>
  <w:footnote w:id="43">
    <w:p w14:paraId="5C1F26B3" w14:textId="77777777" w:rsidR="00A066FB" w:rsidRPr="00A066FB" w:rsidRDefault="00A066FB" w:rsidP="008D0120">
      <w:pPr>
        <w:pStyle w:val="FootnoteText"/>
      </w:pPr>
      <w:r w:rsidRPr="00A066FB">
        <w:rPr>
          <w:rStyle w:val="FootnoteReference"/>
        </w:rPr>
        <w:footnoteRef/>
      </w:r>
      <w:r w:rsidRPr="00A066FB">
        <w:t xml:space="preserve"> </w:t>
      </w:r>
      <w:r w:rsidRPr="00A066FB">
        <w:rPr>
          <w:i/>
        </w:rPr>
        <w:t>Id</w:t>
      </w:r>
      <w:r w:rsidRPr="00A066FB">
        <w:t xml:space="preserve">. at 7.  </w:t>
      </w:r>
      <w:r w:rsidRPr="00A066FB">
        <w:rPr>
          <w:color w:val="000000"/>
        </w:rPr>
        <w:t xml:space="preserve">NBCUniversal notes that it is “in the process of adding the category of EAS tones or simulations thereof to its list of ‘red flag’ categories for review of advertising intended for its cable programming networks and to documents setting forth the Company’s advertising standards that are made available to advertisers and ad agencies.”  </w:t>
      </w:r>
      <w:r w:rsidRPr="00A066FB">
        <w:rPr>
          <w:i/>
          <w:color w:val="000000"/>
        </w:rPr>
        <w:t>Id.</w:t>
      </w:r>
    </w:p>
  </w:footnote>
  <w:footnote w:id="44">
    <w:p w14:paraId="321C95B1" w14:textId="77777777" w:rsidR="00A066FB" w:rsidRPr="00A066FB" w:rsidRDefault="00A066FB" w:rsidP="009144EA">
      <w:pPr>
        <w:pStyle w:val="FootnoteText"/>
      </w:pPr>
      <w:r w:rsidRPr="00A066FB">
        <w:rPr>
          <w:rStyle w:val="FootnoteReference"/>
        </w:rPr>
        <w:footnoteRef/>
      </w:r>
      <w:r w:rsidRPr="00A066FB">
        <w:t xml:space="preserve"> </w:t>
      </w:r>
      <w:r w:rsidRPr="00A066FB">
        <w:rPr>
          <w:i/>
        </w:rPr>
        <w:t>Id.</w:t>
      </w:r>
      <w:r w:rsidRPr="00A066FB">
        <w:t xml:space="preserve"> at 2.</w:t>
      </w:r>
    </w:p>
  </w:footnote>
  <w:footnote w:id="45">
    <w:p w14:paraId="0DA77A06"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Id</w:t>
      </w:r>
      <w:r w:rsidRPr="00A066FB">
        <w:t>.</w:t>
      </w:r>
    </w:p>
  </w:footnote>
  <w:footnote w:id="46">
    <w:p w14:paraId="6D010009"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Id</w:t>
      </w:r>
      <w:r w:rsidRPr="00A066FB">
        <w:t xml:space="preserve">.  The code FDOH3041H is a unique Industry Standard Commercial Identifier (ISCI) for the </w:t>
      </w:r>
      <w:r w:rsidRPr="00A066FB">
        <w:rPr>
          <w:i/>
        </w:rPr>
        <w:t>No Surrender Trailer</w:t>
      </w:r>
      <w:r w:rsidRPr="00A066FB">
        <w:t xml:space="preserve">.  </w:t>
      </w:r>
      <w:r w:rsidRPr="00A066FB">
        <w:rPr>
          <w:i/>
        </w:rPr>
        <w:t xml:space="preserve">See id. </w:t>
      </w:r>
      <w:r w:rsidRPr="00A066FB">
        <w:t xml:space="preserve">at 2–4 &amp; n.9.  ISCI codes are a series of letters and numbers determined by a commercial’s producer, in this instance FilmDistrict.  </w:t>
      </w:r>
      <w:r w:rsidRPr="00A066FB">
        <w:rPr>
          <w:i/>
        </w:rPr>
        <w:t>See</w:t>
      </w:r>
      <w:r w:rsidRPr="00A066FB">
        <w:t xml:space="preserve"> </w:t>
      </w:r>
      <w:r w:rsidRPr="00A066FB">
        <w:rPr>
          <w:i/>
        </w:rPr>
        <w:t xml:space="preserve">id. </w:t>
      </w:r>
      <w:r w:rsidRPr="00A066FB">
        <w:t xml:space="preserve">at 6; </w:t>
      </w:r>
      <w:r w:rsidRPr="00A066FB">
        <w:rPr>
          <w:i/>
        </w:rPr>
        <w:t xml:space="preserve">see also </w:t>
      </w:r>
      <w:r w:rsidRPr="00A066FB">
        <w:t xml:space="preserve">Smart Media Group, </w:t>
      </w:r>
      <w:r w:rsidRPr="00A066FB">
        <w:rPr>
          <w:i/>
        </w:rPr>
        <w:t>What is an ISCI Code and Why Do We Need It?</w:t>
      </w:r>
      <w:r w:rsidRPr="00A066FB">
        <w:t xml:space="preserve">,  http://smartmediagroup.com/2013/05/what-is-an-isci-code-why-do-we-need-it/ (last visited Jan. 2, 2014) (noting that “A commercial’s ISCI code is actually more important than its title in terms of making sure the correct spot gets on the air.  Having a unique identifier prevents misunderstandings of which commercial goes with which advertiser and which spot is supposed to air during which time slot.”). </w:t>
      </w:r>
    </w:p>
  </w:footnote>
  <w:footnote w:id="47">
    <w:p w14:paraId="5A6B3A86" w14:textId="77777777" w:rsidR="00A066FB" w:rsidRPr="00A066FB" w:rsidRDefault="00A066FB" w:rsidP="006700E2">
      <w:pPr>
        <w:pStyle w:val="FootnoteText"/>
      </w:pPr>
      <w:r w:rsidRPr="00A066FB">
        <w:rPr>
          <w:rStyle w:val="FootnoteReference"/>
        </w:rPr>
        <w:footnoteRef/>
      </w:r>
      <w:r w:rsidRPr="00A066FB">
        <w:t xml:space="preserve"> NBCUniversal LOI Response at 2.</w:t>
      </w:r>
    </w:p>
  </w:footnote>
  <w:footnote w:id="48">
    <w:p w14:paraId="5EB11E30" w14:textId="77777777" w:rsidR="00A066FB" w:rsidRPr="00A066FB" w:rsidRDefault="00A066FB" w:rsidP="008D0120">
      <w:pPr>
        <w:pStyle w:val="FootnoteText"/>
      </w:pPr>
      <w:r w:rsidRPr="00A066FB">
        <w:rPr>
          <w:rStyle w:val="FootnoteReference"/>
        </w:rPr>
        <w:footnoteRef/>
      </w:r>
      <w:r w:rsidRPr="00A066FB">
        <w:t xml:space="preserve"> </w:t>
      </w:r>
      <w:r w:rsidRPr="00A066FB">
        <w:rPr>
          <w:i/>
        </w:rPr>
        <w:t>Id.</w:t>
      </w:r>
      <w:r w:rsidRPr="00A066FB">
        <w:t xml:space="preserve"> at 2 n. 5, 4.</w:t>
      </w:r>
    </w:p>
  </w:footnote>
  <w:footnote w:id="49">
    <w:p w14:paraId="4BE00CC6" w14:textId="77777777" w:rsidR="00A066FB" w:rsidRPr="00A066FB" w:rsidRDefault="00A066FB" w:rsidP="00EF0A42">
      <w:pPr>
        <w:pStyle w:val="FootnoteText"/>
      </w:pPr>
      <w:r w:rsidRPr="00A066FB">
        <w:rPr>
          <w:rStyle w:val="FootnoteReference"/>
        </w:rPr>
        <w:footnoteRef/>
      </w:r>
      <w:r w:rsidRPr="00A066FB">
        <w:rPr>
          <w:i/>
        </w:rPr>
        <w:t xml:space="preserve"> </w:t>
      </w:r>
      <w:r w:rsidRPr="00A066FB">
        <w:t xml:space="preserve">47 U.S.C. § 503(b)(1)(B); 47 C.F.R. § 1.80(a)(2).  </w:t>
      </w:r>
    </w:p>
  </w:footnote>
  <w:footnote w:id="50">
    <w:p w14:paraId="6D56F300" w14:textId="77777777" w:rsidR="00A066FB" w:rsidRPr="00A066FB" w:rsidRDefault="00A066FB" w:rsidP="00EF0A42">
      <w:pPr>
        <w:pStyle w:val="FootnoteText"/>
      </w:pPr>
      <w:r w:rsidRPr="00A066FB">
        <w:rPr>
          <w:rStyle w:val="FootnoteReference"/>
        </w:rPr>
        <w:footnoteRef/>
      </w:r>
      <w:r w:rsidRPr="00A066FB">
        <w:t xml:space="preserve"> 47 U.S.C. § 312(f)(1).</w:t>
      </w:r>
    </w:p>
  </w:footnote>
  <w:footnote w:id="51">
    <w:p w14:paraId="3BB5367E" w14:textId="77777777" w:rsidR="00A066FB" w:rsidRPr="00A066FB" w:rsidRDefault="00A066FB" w:rsidP="00EF0A42">
      <w:pPr>
        <w:pStyle w:val="FootnoteText"/>
      </w:pPr>
      <w:r w:rsidRPr="00A066FB">
        <w:rPr>
          <w:rStyle w:val="FootnoteReference"/>
        </w:rPr>
        <w:footnoteRef/>
      </w:r>
      <w:r w:rsidRPr="00A066FB">
        <w:t xml:space="preserve"> H.R. Rep. No. 97-765, 97th Cong. 2d Sess. 51 (1982).</w:t>
      </w:r>
    </w:p>
  </w:footnote>
  <w:footnote w:id="52">
    <w:p w14:paraId="31F86467" w14:textId="77777777" w:rsidR="00A066FB" w:rsidRPr="00A066FB" w:rsidRDefault="00A066FB" w:rsidP="00EF0A42">
      <w:pPr>
        <w:pStyle w:val="FootnoteText"/>
      </w:pPr>
      <w:r w:rsidRPr="00A066FB">
        <w:rPr>
          <w:rStyle w:val="FootnoteReference"/>
        </w:rPr>
        <w:footnoteRef/>
      </w:r>
      <w:r w:rsidRPr="00A066FB">
        <w:t xml:space="preserve"> </w:t>
      </w:r>
      <w:r w:rsidRPr="00A066FB">
        <w:rPr>
          <w:i/>
          <w:iCs/>
        </w:rPr>
        <w:t>See, e.g.</w:t>
      </w:r>
      <w:r w:rsidRPr="00A066FB">
        <w:t>,</w:t>
      </w:r>
      <w:r w:rsidRPr="00A066FB">
        <w:rPr>
          <w:i/>
          <w:iCs/>
        </w:rPr>
        <w:t xml:space="preserve"> Southern California Broadcasting Co.</w:t>
      </w:r>
      <w:r w:rsidRPr="00A066FB">
        <w:t>, Memorandum Opinion and Order, 6 FCC Rcd 4387, 4388, para. 5 (1991) (</w:t>
      </w:r>
      <w:r w:rsidRPr="00A066FB">
        <w:rPr>
          <w:i/>
        </w:rPr>
        <w:t>Southern California</w:t>
      </w:r>
      <w:r w:rsidRPr="00A066FB">
        <w:t xml:space="preserve">), </w:t>
      </w:r>
      <w:r w:rsidRPr="00A066FB">
        <w:rPr>
          <w:i/>
        </w:rPr>
        <w:t>recons. denied</w:t>
      </w:r>
      <w:r w:rsidRPr="00A066FB">
        <w:t>, 7 FCC Rcd 3454 (1992).</w:t>
      </w:r>
    </w:p>
  </w:footnote>
  <w:footnote w:id="53">
    <w:p w14:paraId="21309B16"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See, e.g.</w:t>
      </w:r>
      <w:r w:rsidRPr="00A066FB">
        <w:t xml:space="preserve">, </w:t>
      </w:r>
      <w:r w:rsidRPr="00A066FB">
        <w:rPr>
          <w:i/>
        </w:rPr>
        <w:t>Callais Cablevision, Inc., Grand Isle, Louisiana</w:t>
      </w:r>
      <w:r w:rsidRPr="00A066FB">
        <w:t>, Notice of Apparent Liability for Monetary Forfeiture, 16 FCC Rcd 1359, 1362, para. 10 (2001) (</w:t>
      </w:r>
      <w:r w:rsidRPr="00A066FB">
        <w:rPr>
          <w:i/>
        </w:rPr>
        <w:t>Callais Cablevision</w:t>
      </w:r>
      <w:r w:rsidRPr="00A066FB">
        <w:t xml:space="preserve">) (assessing a forfeiture for a cable television operator’s repeated signal leakage). </w:t>
      </w:r>
    </w:p>
  </w:footnote>
  <w:footnote w:id="54">
    <w:p w14:paraId="60BA6266"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See, e.g.</w:t>
      </w:r>
      <w:r w:rsidRPr="00A066FB">
        <w:t>,</w:t>
      </w:r>
      <w:r w:rsidRPr="00A066FB">
        <w:rPr>
          <w:i/>
        </w:rPr>
        <w:t xml:space="preserve"> Southern California, </w:t>
      </w:r>
      <w:r w:rsidRPr="00A066FB">
        <w:t xml:space="preserve">6 FCC Rcd at 4388, para. 5; </w:t>
      </w:r>
      <w:r w:rsidRPr="00A066FB">
        <w:rPr>
          <w:i/>
        </w:rPr>
        <w:t xml:space="preserve">Callais Cablevision, </w:t>
      </w:r>
      <w:r w:rsidRPr="00A066FB">
        <w:t>16 FCC Rcd at 1362, para. 9.</w:t>
      </w:r>
    </w:p>
  </w:footnote>
  <w:footnote w:id="55">
    <w:p w14:paraId="695DC0DD" w14:textId="77777777" w:rsidR="00A066FB" w:rsidRPr="00A066FB" w:rsidRDefault="00A066FB" w:rsidP="00EF0A42">
      <w:pPr>
        <w:pStyle w:val="FootnoteText"/>
      </w:pPr>
      <w:r w:rsidRPr="00A066FB">
        <w:rPr>
          <w:rStyle w:val="FootnoteReference"/>
        </w:rPr>
        <w:footnoteRef/>
      </w:r>
      <w:r w:rsidRPr="00A066FB">
        <w:t xml:space="preserve"> 47 U.S.C. § 503(b); 47 C.F.R. § 1.80(f).</w:t>
      </w:r>
    </w:p>
  </w:footnote>
  <w:footnote w:id="56">
    <w:p w14:paraId="4CBCC802" w14:textId="77777777" w:rsidR="00A066FB" w:rsidRPr="00A066FB" w:rsidRDefault="00A066FB" w:rsidP="00EF0A42">
      <w:pPr>
        <w:pStyle w:val="FootnoteText"/>
      </w:pPr>
      <w:r w:rsidRPr="00A066FB">
        <w:rPr>
          <w:rStyle w:val="FootnoteReference"/>
        </w:rPr>
        <w:footnoteRef/>
      </w:r>
      <w:r w:rsidRPr="00A066FB">
        <w:rPr>
          <w:i/>
        </w:rPr>
        <w:t xml:space="preserve"> See, e.g.</w:t>
      </w:r>
      <w:r w:rsidRPr="00A066FB">
        <w:t>,</w:t>
      </w:r>
      <w:r w:rsidRPr="00A066FB">
        <w:rPr>
          <w:i/>
        </w:rPr>
        <w:t xml:space="preserve"> SBC Communications, Inc</w:t>
      </w:r>
      <w:r w:rsidRPr="00A066FB">
        <w:t>.,</w:t>
      </w:r>
      <w:r w:rsidRPr="00A066FB">
        <w:rPr>
          <w:i/>
        </w:rPr>
        <w:t xml:space="preserve"> </w:t>
      </w:r>
      <w:r w:rsidRPr="00A066FB">
        <w:t xml:space="preserve">Forfeiture Order, 17 FCC Rcd 7589, 7591, para. 4 (2002) (forfeiture paid). </w:t>
      </w:r>
    </w:p>
  </w:footnote>
  <w:footnote w:id="57">
    <w:p w14:paraId="0151D9E2" w14:textId="77777777" w:rsidR="00A066FB" w:rsidRPr="00A066FB" w:rsidRDefault="00A066FB" w:rsidP="00EF0A42">
      <w:pPr>
        <w:pStyle w:val="FootnoteText"/>
      </w:pPr>
      <w:r w:rsidRPr="00A066FB">
        <w:rPr>
          <w:rStyle w:val="FootnoteReference"/>
          <w:rFonts w:eastAsia="Calibri"/>
        </w:rPr>
        <w:footnoteRef/>
      </w:r>
      <w:r w:rsidRPr="00A066FB">
        <w:t xml:space="preserve"> 47 U.S.C. § 325(a).</w:t>
      </w:r>
    </w:p>
  </w:footnote>
  <w:footnote w:id="58">
    <w:p w14:paraId="3C206ED2" w14:textId="77777777" w:rsidR="00A066FB" w:rsidRPr="00A066FB" w:rsidRDefault="00A066FB" w:rsidP="00EF0A42">
      <w:pPr>
        <w:pStyle w:val="FootnoteText"/>
      </w:pPr>
      <w:r w:rsidRPr="00A066FB">
        <w:rPr>
          <w:rStyle w:val="FootnoteReference"/>
        </w:rPr>
        <w:footnoteRef/>
      </w:r>
      <w:r w:rsidRPr="00A066FB">
        <w:t xml:space="preserve"> 47 C.F.R. § 11.45.</w:t>
      </w:r>
    </w:p>
  </w:footnote>
  <w:footnote w:id="59">
    <w:p w14:paraId="43483F37"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See</w:t>
      </w:r>
      <w:r w:rsidRPr="00A066FB">
        <w:t xml:space="preserve"> Viacom LOI Response at 3; ESPN LOI Response at 5–7, Exhibits D-1, D-2; and NBCUniversal LOI Response at 5.</w:t>
      </w:r>
    </w:p>
  </w:footnote>
  <w:footnote w:id="60">
    <w:p w14:paraId="45ADE684" w14:textId="77777777" w:rsidR="00A066FB" w:rsidRPr="00A066FB" w:rsidRDefault="00A066FB" w:rsidP="006700E2">
      <w:pPr>
        <w:pStyle w:val="FootnoteText"/>
      </w:pPr>
      <w:r w:rsidRPr="00A066FB">
        <w:rPr>
          <w:rStyle w:val="FootnoteReference"/>
        </w:rPr>
        <w:footnoteRef/>
      </w:r>
      <w:r w:rsidRPr="00A066FB">
        <w:t xml:space="preserve">  The Commission reviewed each recording of the </w:t>
      </w:r>
      <w:r w:rsidRPr="00A066FB">
        <w:rPr>
          <w:i/>
        </w:rPr>
        <w:t>No Surrender Trailer</w:t>
      </w:r>
      <w:r w:rsidRPr="00A066FB">
        <w:t xml:space="preserve"> submitted by the Companies, and all were identical.</w:t>
      </w:r>
    </w:p>
  </w:footnote>
  <w:footnote w:id="61">
    <w:p w14:paraId="3B711F02" w14:textId="77777777" w:rsidR="00A066FB" w:rsidRPr="00A066FB" w:rsidRDefault="00A066FB" w:rsidP="00A066FB">
      <w:pPr>
        <w:pStyle w:val="FootnoteText"/>
      </w:pPr>
      <w:r w:rsidRPr="00A066FB">
        <w:rPr>
          <w:rStyle w:val="FootnoteReference"/>
        </w:rPr>
        <w:footnoteRef/>
      </w:r>
      <w:r w:rsidRPr="00A066FB">
        <w:t xml:space="preserve"> </w:t>
      </w:r>
      <w:r w:rsidRPr="00A066FB">
        <w:rPr>
          <w:i/>
        </w:rPr>
        <w:t xml:space="preserve">See </w:t>
      </w:r>
      <w:r w:rsidRPr="00A066FB">
        <w:t>Viacom LOI Response at 4–5, Attachment D; ESPN LOI Response at 2–5, 10, Exhibit B; and NBCUniversal LOI Response at 3, 5, 7.  We note that, while the rule does not expressly require such knowledge or awareness, the Companies’ affirmative awareness further underscores their involvement in the transmissions.</w:t>
      </w:r>
    </w:p>
  </w:footnote>
  <w:footnote w:id="62">
    <w:p w14:paraId="7DBF6D62" w14:textId="77777777" w:rsidR="00A066FB" w:rsidRPr="00A066FB" w:rsidRDefault="00A066FB" w:rsidP="00A066FB">
      <w:pPr>
        <w:pStyle w:val="FootnoteText"/>
      </w:pPr>
      <w:r w:rsidRPr="00A066FB">
        <w:rPr>
          <w:rStyle w:val="FootnoteReference"/>
        </w:rPr>
        <w:footnoteRef/>
      </w:r>
      <w:r w:rsidRPr="00A066FB">
        <w:t xml:space="preserve"> </w:t>
      </w:r>
      <w:r w:rsidRPr="00A066FB">
        <w:rPr>
          <w:i/>
        </w:rPr>
        <w:t>See supra</w:t>
      </w:r>
      <w:r w:rsidRPr="00A066FB">
        <w:t xml:space="preserve"> paras. 9, 12, and 15.</w:t>
      </w:r>
    </w:p>
  </w:footnote>
  <w:footnote w:id="63">
    <w:p w14:paraId="33D44AC1" w14:textId="77777777" w:rsidR="00A066FB" w:rsidRPr="00A066FB" w:rsidRDefault="00A066FB" w:rsidP="00A066FB">
      <w:pPr>
        <w:widowControl/>
        <w:spacing w:after="120"/>
        <w:rPr>
          <w:sz w:val="20"/>
        </w:rPr>
      </w:pPr>
      <w:r w:rsidRPr="00A066FB">
        <w:rPr>
          <w:rStyle w:val="FootnoteReference"/>
        </w:rPr>
        <w:footnoteRef/>
      </w:r>
      <w:r w:rsidRPr="00A066FB">
        <w:rPr>
          <w:sz w:val="20"/>
        </w:rPr>
        <w:t xml:space="preserve"> </w:t>
      </w:r>
      <w:r w:rsidRPr="00A066FB">
        <w:rPr>
          <w:i/>
          <w:sz w:val="20"/>
        </w:rPr>
        <w:t xml:space="preserve">See </w:t>
      </w:r>
      <w:r w:rsidRPr="00A066FB">
        <w:rPr>
          <w:sz w:val="20"/>
        </w:rPr>
        <w:t xml:space="preserve">Viacom Inc., Form 10-K (filed Nov. 14, 2013) (Viacom Annual Report).  In the Viacom Annual Report, Viacom states:  </w:t>
      </w:r>
    </w:p>
    <w:p w14:paraId="72449538" w14:textId="77777777" w:rsidR="00A066FB" w:rsidRPr="00A066FB" w:rsidRDefault="00A066FB" w:rsidP="00A066FB">
      <w:pPr>
        <w:widowControl/>
        <w:spacing w:after="120"/>
        <w:ind w:left="1440" w:right="720"/>
        <w:rPr>
          <w:sz w:val="20"/>
        </w:rPr>
      </w:pPr>
      <w:r w:rsidRPr="00A066FB">
        <w:rPr>
          <w:sz w:val="20"/>
        </w:rPr>
        <w:t xml:space="preserve">We create, acquire and distribute programming and other content to our audiences across multiple platforms, which allows our audiences to engage and interact with our content in a variety of ways:  through traditional cable and satellite distribution, on connected TVs, PCs, tablets and other mobile devices, and using apps, browsers and other interfaces.  Viacom Annual Report at 1.  </w:t>
      </w:r>
    </w:p>
    <w:p w14:paraId="4C1D6DA5" w14:textId="77777777" w:rsidR="00A066FB" w:rsidRPr="00A066FB" w:rsidRDefault="00A066FB" w:rsidP="00A066FB">
      <w:pPr>
        <w:widowControl/>
        <w:spacing w:after="120"/>
        <w:rPr>
          <w:sz w:val="20"/>
        </w:rPr>
      </w:pPr>
      <w:r w:rsidRPr="00A066FB">
        <w:rPr>
          <w:sz w:val="20"/>
        </w:rPr>
        <w:t xml:space="preserve">Viacom further notes with respect to affiliate revenues:  </w:t>
      </w:r>
    </w:p>
    <w:p w14:paraId="200426CA" w14:textId="77777777" w:rsidR="00A066FB" w:rsidRPr="00A066FB" w:rsidRDefault="00A066FB" w:rsidP="00A066FB">
      <w:pPr>
        <w:widowControl/>
        <w:spacing w:after="120"/>
        <w:ind w:left="1440" w:right="720"/>
        <w:rPr>
          <w:sz w:val="20"/>
        </w:rPr>
      </w:pPr>
      <w:r w:rsidRPr="00A066FB">
        <w:rPr>
          <w:sz w:val="20"/>
        </w:rPr>
        <w:t xml:space="preserve">Our agreements with multichannel television service providers are generally multi-year carriage agreements with set rate increases that provide us with a reasonably stable source of revenues.  The amount of the fees we receive is generally a function of the number of subscribers and the rates we receive per subscriber.  Viacom Annual Report at 4.  </w:t>
      </w:r>
    </w:p>
    <w:p w14:paraId="5A50D0AC" w14:textId="77777777" w:rsidR="00A066FB" w:rsidRPr="00A066FB" w:rsidRDefault="00A066FB" w:rsidP="00A066FB">
      <w:pPr>
        <w:widowControl/>
        <w:spacing w:after="120"/>
        <w:rPr>
          <w:sz w:val="20"/>
        </w:rPr>
      </w:pPr>
      <w:r w:rsidRPr="00A066FB">
        <w:rPr>
          <w:i/>
          <w:sz w:val="20"/>
        </w:rPr>
        <w:t>See also</w:t>
      </w:r>
      <w:r w:rsidRPr="00A066FB">
        <w:rPr>
          <w:sz w:val="20"/>
        </w:rPr>
        <w:t xml:space="preserve"> NBCUniversal Media, LLC, Form 10-K (filed Feb. 21, 2013) (NBCUniversal Annual Report).  In the NBCUniversal Annual Report, NBCUniversal states:  </w:t>
      </w:r>
    </w:p>
    <w:p w14:paraId="696246A6" w14:textId="77777777" w:rsidR="00A066FB" w:rsidRPr="00A066FB" w:rsidRDefault="00A066FB" w:rsidP="00A066FB">
      <w:pPr>
        <w:widowControl/>
        <w:spacing w:after="120"/>
        <w:ind w:left="1440" w:right="720"/>
        <w:rPr>
          <w:sz w:val="20"/>
        </w:rPr>
      </w:pPr>
      <w:r w:rsidRPr="00A066FB">
        <w:rPr>
          <w:sz w:val="20"/>
        </w:rPr>
        <w:t xml:space="preserve">We market and distribute our cable network programming in the United States and internationally to multichannel video providers, as well as to digital distributors such as Netflix and iTunes. These distributors may exhibit our content on television, including video on demand and pay-per-view, online and through mobile apps for smartphones and tablets . . . .  Our Cable Networks segment generates revenue primarily from the distribution of our cable network programming and from the sale of advertising.  Distribution revenue is generated from distribution agreements with multichannel video providers. Advertising revenue is generated from the sale of advertising time on our cable networks and related digital media properties. We also generate content licensing and other revenue primarily from the licensing of our owned programming to various distribution platforms in the United States and internationally.  NBCUniversal Annual Report at 2. </w:t>
      </w:r>
    </w:p>
    <w:p w14:paraId="7A3D4B48" w14:textId="77777777" w:rsidR="00A066FB" w:rsidRPr="00A066FB" w:rsidRDefault="00A066FB" w:rsidP="00A066FB">
      <w:pPr>
        <w:widowControl/>
        <w:spacing w:after="120"/>
        <w:rPr>
          <w:sz w:val="20"/>
        </w:rPr>
      </w:pPr>
      <w:r w:rsidRPr="00A066FB">
        <w:rPr>
          <w:i/>
          <w:sz w:val="20"/>
        </w:rPr>
        <w:t>See also</w:t>
      </w:r>
      <w:r w:rsidRPr="00A066FB">
        <w:rPr>
          <w:sz w:val="20"/>
        </w:rPr>
        <w:t xml:space="preserve"> The Walt Disney Company, Form 10-K (filed Nov. 20, 2013) (WDC Annual Report).  In the WDC Annual Report, The Walt Disney Company notes that its Media Networks segment includes cable network ESPN and that:  </w:t>
      </w:r>
    </w:p>
    <w:p w14:paraId="1C7E0876" w14:textId="77777777" w:rsidR="00A066FB" w:rsidRPr="00A066FB" w:rsidRDefault="00A066FB" w:rsidP="00A066FB">
      <w:pPr>
        <w:widowControl/>
        <w:spacing w:after="120"/>
        <w:ind w:left="1440" w:right="720"/>
        <w:rPr>
          <w:sz w:val="20"/>
        </w:rPr>
      </w:pPr>
      <w:r w:rsidRPr="00A066FB">
        <w:rPr>
          <w:sz w:val="20"/>
        </w:rPr>
        <w:t xml:space="preserve">The business in the Media Networks segment generate revenue from fees charged to cable, satellite and telecommunications service providers (Multi-channel Video Programming Distributors or MVPDs) and television stations affiliated with our domestic broadcast television network, from the sale to advertisers of time in programs for commercial announcements and from other sources such as the sale and distribution of television programming . . . .  Cable networks derive a majority of their revenues from fees charged to MVPDs for the right to deliver our programming to their customers and, for certain networks (primarily ESPN and ABC Family), the sale to advertisers of time in network programs for commercial announcements.  Generally, the Company’s cable networks operate under multi-year agreements with MVPDs that include contractually determined fees.  WDC Annual Report at 1. </w:t>
      </w:r>
    </w:p>
  </w:footnote>
  <w:footnote w:id="64">
    <w:p w14:paraId="2A1761B9" w14:textId="77777777" w:rsidR="00A066FB" w:rsidRPr="00A066FB" w:rsidRDefault="00A066FB" w:rsidP="00A066FB">
      <w:pPr>
        <w:pStyle w:val="FootnoteText"/>
      </w:pPr>
      <w:r w:rsidRPr="00A066FB">
        <w:rPr>
          <w:rStyle w:val="FootnoteReference"/>
        </w:rPr>
        <w:footnoteRef/>
      </w:r>
      <w:r w:rsidRPr="00A066FB">
        <w:t xml:space="preserve"> </w:t>
      </w:r>
      <w:r w:rsidRPr="00A066FB">
        <w:rPr>
          <w:i/>
        </w:rPr>
        <w:t>See</w:t>
      </w:r>
      <w:r w:rsidRPr="00A066FB">
        <w:t xml:space="preserve"> Cable Television Advertising Bureau, Live vs. Dual Feed Cable Networks, http://www.thecab.tv/main/resources/lvdFeeds/index.shtml</w:t>
      </w:r>
      <w:r w:rsidRPr="00A066FB">
        <w:rPr>
          <w:color w:val="000000" w:themeColor="text1"/>
        </w:rPr>
        <w:t xml:space="preserve"> (last visited Jan. 3, 2014).  According to information made available online by the Cable Television Advertising Bureau, the following networks are “dual feed” networks:  BET, Comedy Central, MTV, MTV2, Spike TV, SyFy, USA Network, and VH1.  </w:t>
      </w:r>
      <w:r w:rsidRPr="00A066FB">
        <w:t>Cable Television Advertising Bureau, Live vs. Dual Feed Cable Networks, http://www.thecab.tv/php/cablefeeds/feeds.php?type=dual&amp;Submit=Submit</w:t>
      </w:r>
      <w:r w:rsidRPr="00A066FB">
        <w:rPr>
          <w:color w:val="000000" w:themeColor="text1"/>
        </w:rPr>
        <w:t xml:space="preserve"> (last visited Jan. 3, 2014).</w:t>
      </w:r>
    </w:p>
  </w:footnote>
  <w:footnote w:id="65">
    <w:p w14:paraId="5E0CBB4A"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 xml:space="preserve">See </w:t>
      </w:r>
      <w:r w:rsidRPr="00A066FB">
        <w:t xml:space="preserve">Viacom LOI Response at 7–12, NBCUniversal LOI Response at 7–9. </w:t>
      </w:r>
    </w:p>
  </w:footnote>
  <w:footnote w:id="66">
    <w:p w14:paraId="2979F1DB"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w:t>
      </w:r>
      <w:r w:rsidRPr="00A066FB">
        <w:t xml:space="preserve"> 47 C.F.R. §11.45.</w:t>
      </w:r>
    </w:p>
  </w:footnote>
  <w:footnote w:id="67">
    <w:p w14:paraId="46402E95"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See</w:t>
      </w:r>
      <w:r w:rsidRPr="00A066FB">
        <w:t xml:space="preserve"> 47 C.F.R. § 73.1217.  The Hoax Rule provides that “[n]o licensee or permittee of any broadcast station shall broadcast false information concerning a crime or a catastrophe if:  (a) The licensee knows this information is false; (b) It is foreseeable that the broadcast of the information will cause substantial public harm; and (c) Broadcast of the information does in fact directly cause substantial public harm.”  </w:t>
      </w:r>
      <w:r w:rsidRPr="00A066FB">
        <w:rPr>
          <w:i/>
        </w:rPr>
        <w:t>Id</w:t>
      </w:r>
      <w:r w:rsidRPr="00A066FB">
        <w:t>.</w:t>
      </w:r>
    </w:p>
  </w:footnote>
  <w:footnote w:id="68">
    <w:p w14:paraId="2747E3AC" w14:textId="77777777" w:rsidR="00A066FB" w:rsidRPr="00A066FB" w:rsidRDefault="00A066FB">
      <w:pPr>
        <w:widowControl/>
        <w:spacing w:after="120"/>
        <w:rPr>
          <w:sz w:val="20"/>
        </w:rPr>
      </w:pPr>
      <w:r w:rsidRPr="00A066FB">
        <w:rPr>
          <w:rStyle w:val="FootnoteReference"/>
        </w:rPr>
        <w:footnoteRef/>
      </w:r>
      <w:r w:rsidRPr="00A066FB">
        <w:rPr>
          <w:sz w:val="20"/>
        </w:rPr>
        <w:t xml:space="preserve"> </w:t>
      </w:r>
      <w:r w:rsidRPr="00A066FB">
        <w:rPr>
          <w:i/>
          <w:sz w:val="20"/>
        </w:rPr>
        <w:t>See</w:t>
      </w:r>
      <w:r w:rsidRPr="00A066FB">
        <w:rPr>
          <w:sz w:val="20"/>
        </w:rPr>
        <w:t xml:space="preserve"> </w:t>
      </w:r>
      <w:r w:rsidRPr="00A066FB">
        <w:rPr>
          <w:i/>
          <w:color w:val="1A1A1A"/>
          <w:sz w:val="20"/>
        </w:rPr>
        <w:t>Amendment of Part 73, Subpart G, of the Commission’s Rules Regarding the Emergency Broadcast System</w:t>
      </w:r>
      <w:r w:rsidRPr="00A066FB">
        <w:rPr>
          <w:color w:val="1A1A1A"/>
          <w:sz w:val="20"/>
        </w:rPr>
        <w:t>, Report and Order and Further Notice of Proposed Rule Making, 10 FCC Rcd 1786, 1815, para. 84 (1994) (</w:t>
      </w:r>
      <w:r w:rsidRPr="00A066FB">
        <w:rPr>
          <w:i/>
          <w:color w:val="1A1A1A"/>
          <w:sz w:val="20"/>
        </w:rPr>
        <w:t>1994 EBS Order</w:t>
      </w:r>
      <w:r w:rsidRPr="00A066FB">
        <w:rPr>
          <w:color w:val="1A1A1A"/>
          <w:sz w:val="20"/>
        </w:rPr>
        <w:t xml:space="preserve">).  The Emergency Broadcast System (EBS) was the predecessor to the EAS, which was created by the Commission’s actions in the </w:t>
      </w:r>
      <w:r w:rsidRPr="00A066FB">
        <w:rPr>
          <w:i/>
          <w:color w:val="1A1A1A"/>
          <w:sz w:val="20"/>
        </w:rPr>
        <w:t>1994 EBS Order</w:t>
      </w:r>
      <w:r w:rsidRPr="00A066FB">
        <w:rPr>
          <w:color w:val="1A1A1A"/>
          <w:sz w:val="20"/>
        </w:rPr>
        <w:t xml:space="preserve">.  </w:t>
      </w:r>
      <w:r w:rsidRPr="00A066FB">
        <w:rPr>
          <w:i/>
          <w:sz w:val="20"/>
        </w:rPr>
        <w:t>See Turner Broadcasting System, Inc.</w:t>
      </w:r>
      <w:r w:rsidRPr="00A066FB">
        <w:rPr>
          <w:sz w:val="20"/>
        </w:rPr>
        <w:t>, Notice of Apparent Liability for Forfeiture, 28 FCC Rcd 15455, 15458–59, para. 9 (Enf. Bur. 2013) (forfeiture paid) (</w:t>
      </w:r>
      <w:r w:rsidRPr="00A066FB">
        <w:rPr>
          <w:i/>
          <w:sz w:val="20"/>
        </w:rPr>
        <w:t>Turner</w:t>
      </w:r>
      <w:r w:rsidRPr="00A066FB">
        <w:rPr>
          <w:sz w:val="20"/>
        </w:rPr>
        <w:t>) (</w:t>
      </w:r>
      <w:r w:rsidRPr="00A066FB">
        <w:rPr>
          <w:i/>
          <w:sz w:val="20"/>
        </w:rPr>
        <w:t>citing</w:t>
      </w:r>
      <w:r w:rsidRPr="00A066FB">
        <w:rPr>
          <w:sz w:val="20"/>
        </w:rPr>
        <w:t xml:space="preserve"> </w:t>
      </w:r>
      <w:r w:rsidRPr="00A066FB">
        <w:rPr>
          <w:i/>
          <w:iCs/>
          <w:sz w:val="20"/>
        </w:rPr>
        <w:t>Emmis Broadcasting Corp. of St. Louis</w:t>
      </w:r>
      <w:r w:rsidRPr="00A066FB">
        <w:rPr>
          <w:sz w:val="20"/>
        </w:rPr>
        <w:t>, Notice of Apparent Liability for Forfeiture, 6 FCC Rcd 2289, 2289–90 (1991) (</w:t>
      </w:r>
      <w:r w:rsidRPr="00A066FB">
        <w:rPr>
          <w:i/>
          <w:sz w:val="20"/>
        </w:rPr>
        <w:t>Emmis</w:t>
      </w:r>
      <w:r w:rsidRPr="00A066FB">
        <w:rPr>
          <w:sz w:val="20"/>
        </w:rPr>
        <w:t>)).</w:t>
      </w:r>
      <w:r w:rsidRPr="00A066FB" w:rsidDel="00145313">
        <w:rPr>
          <w:color w:val="1A1A1A"/>
          <w:sz w:val="20"/>
        </w:rPr>
        <w:t xml:space="preserve"> </w:t>
      </w:r>
    </w:p>
  </w:footnote>
  <w:footnote w:id="69">
    <w:p w14:paraId="0BF5F349" w14:textId="77777777" w:rsidR="00A066FB" w:rsidRPr="00A066FB" w:rsidRDefault="00A066FB">
      <w:pPr>
        <w:pStyle w:val="FootnoteText"/>
      </w:pPr>
      <w:r w:rsidRPr="00A066FB">
        <w:rPr>
          <w:rStyle w:val="FootnoteReference"/>
        </w:rPr>
        <w:footnoteRef/>
      </w:r>
      <w:r w:rsidRPr="00A066FB">
        <w:t xml:space="preserve"> </w:t>
      </w:r>
      <w:r w:rsidRPr="00A066FB">
        <w:rPr>
          <w:i/>
          <w:iCs/>
          <w:color w:val="1A1A1A"/>
        </w:rPr>
        <w:t>See</w:t>
      </w:r>
      <w:r w:rsidRPr="00A066FB">
        <w:rPr>
          <w:color w:val="1A1A1A"/>
        </w:rPr>
        <w:t xml:space="preserve"> </w:t>
      </w:r>
      <w:r w:rsidRPr="00A066FB">
        <w:rPr>
          <w:i/>
          <w:color w:val="1A1A1A"/>
        </w:rPr>
        <w:t>1994 EBS Order</w:t>
      </w:r>
      <w:r w:rsidRPr="00A066FB">
        <w:rPr>
          <w:color w:val="1A1A1A"/>
        </w:rPr>
        <w:t>, 10 FCC Rcd at 1792 n.14.</w:t>
      </w:r>
    </w:p>
  </w:footnote>
  <w:footnote w:id="70">
    <w:p w14:paraId="7582FB07"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 xml:space="preserve">See id. </w:t>
      </w:r>
      <w:r w:rsidRPr="00A066FB">
        <w:t>(</w:t>
      </w:r>
      <w:r w:rsidRPr="00A066FB">
        <w:rPr>
          <w:i/>
        </w:rPr>
        <w:t xml:space="preserve">citing </w:t>
      </w:r>
      <w:r w:rsidRPr="00A066FB">
        <w:rPr>
          <w:i/>
          <w:color w:val="1A1A1A"/>
        </w:rPr>
        <w:t>Amendment of Part 73, Subpart G, of The Commission’s Rules Regarding The Emergency Broadcast System</w:t>
      </w:r>
      <w:r w:rsidRPr="00A066FB">
        <w:rPr>
          <w:color w:val="1A1A1A"/>
        </w:rPr>
        <w:t>, Notice of Inquiry and Notice of Proposed Rule Making, 6 FCC Rcd 6739, 6741, para. 12 (1991)).</w:t>
      </w:r>
    </w:p>
  </w:footnote>
  <w:footnote w:id="71">
    <w:p w14:paraId="3CE52EA2"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 xml:space="preserve">Id. </w:t>
      </w:r>
      <w:r w:rsidRPr="00A066FB">
        <w:rPr>
          <w:color w:val="1A1A1A"/>
        </w:rPr>
        <w:t>at 1815, para. 83.</w:t>
      </w:r>
    </w:p>
  </w:footnote>
  <w:footnote w:id="72">
    <w:p w14:paraId="3F3AD6B1" w14:textId="77777777" w:rsidR="00A066FB" w:rsidRPr="00A066FB" w:rsidRDefault="00A066FB" w:rsidP="00EF0A42">
      <w:pPr>
        <w:spacing w:after="120"/>
        <w:rPr>
          <w:color w:val="1F497D"/>
          <w:sz w:val="20"/>
        </w:rPr>
      </w:pPr>
      <w:r w:rsidRPr="00A066FB">
        <w:rPr>
          <w:rStyle w:val="FootnoteReference"/>
        </w:rPr>
        <w:footnoteRef/>
      </w:r>
      <w:r w:rsidRPr="00A066FB">
        <w:rPr>
          <w:sz w:val="20"/>
        </w:rPr>
        <w:t xml:space="preserve"> </w:t>
      </w:r>
      <w:r w:rsidRPr="00A066FB">
        <w:rPr>
          <w:i/>
          <w:sz w:val="20"/>
        </w:rPr>
        <w:t>Id.</w:t>
      </w:r>
      <w:r w:rsidRPr="00A066FB">
        <w:rPr>
          <w:sz w:val="20"/>
        </w:rPr>
        <w:t xml:space="preserve"> at 1815, para. 84 (“There are two prohibitions potentially relevant to misconduct in operation of the EAS: Section 325(a) of the Communications Act, which prohibits false distress signals, and Section 73.1217 of the Commission’s Rules and Regulations prohibiting broadcast hoaxes.  We believe a specific prohibition against the misuse of the EAS attention signal and codes is necessary, however, because it is more specific and directly addresses the proper use of EAS codes and tones.  Therefore, we adopt new Section 11.45 to prohibit </w:t>
      </w:r>
      <w:r w:rsidRPr="00A066FB">
        <w:rPr>
          <w:i/>
          <w:sz w:val="20"/>
        </w:rPr>
        <w:t>anyone</w:t>
      </w:r>
      <w:r w:rsidRPr="00A066FB">
        <w:rPr>
          <w:sz w:val="20"/>
        </w:rPr>
        <w:t xml:space="preserve"> from transmitting the EAS two-tone attention signal or any of the new special codes for false or deceptive use.”) (emphasis added)</w:t>
      </w:r>
      <w:r w:rsidRPr="00A066FB">
        <w:rPr>
          <w:color w:val="1A1A1A"/>
          <w:sz w:val="20"/>
        </w:rPr>
        <w:t>.</w:t>
      </w:r>
    </w:p>
  </w:footnote>
  <w:footnote w:id="73">
    <w:p w14:paraId="4F4B15F9" w14:textId="77777777" w:rsidR="00A066FB" w:rsidRPr="00A066FB" w:rsidRDefault="00A066FB" w:rsidP="00CC38DC">
      <w:pPr>
        <w:pStyle w:val="FootnoteText"/>
      </w:pPr>
      <w:r w:rsidRPr="00A066FB">
        <w:rPr>
          <w:rStyle w:val="FootnoteReference"/>
        </w:rPr>
        <w:footnoteRef/>
      </w:r>
      <w:r w:rsidRPr="00A066FB">
        <w:t xml:space="preserve"> </w:t>
      </w:r>
      <w:r w:rsidRPr="00A066FB">
        <w:rPr>
          <w:i/>
          <w:color w:val="1A1A1A"/>
        </w:rPr>
        <w:t>Id</w:t>
      </w:r>
      <w:r w:rsidRPr="00A066FB">
        <w:rPr>
          <w:color w:val="1A1A1A"/>
        </w:rPr>
        <w:t>. at 1815, para. 83</w:t>
      </w:r>
    </w:p>
  </w:footnote>
  <w:footnote w:id="74">
    <w:p w14:paraId="0E96CADA"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 xml:space="preserve">See </w:t>
      </w:r>
      <w:r w:rsidRPr="00A066FB">
        <w:t>Viacom LOI Response at 9.</w:t>
      </w:r>
    </w:p>
  </w:footnote>
  <w:footnote w:id="75">
    <w:p w14:paraId="49F0B50F"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 supra</w:t>
      </w:r>
      <w:r w:rsidRPr="00A066FB">
        <w:t xml:space="preserve"> para. 13; </w:t>
      </w:r>
      <w:r w:rsidRPr="00A066FB">
        <w:rPr>
          <w:i/>
        </w:rPr>
        <w:t xml:space="preserve">see also </w:t>
      </w:r>
      <w:r w:rsidRPr="00A066FB">
        <w:t>ESPN LOI Response at 5.</w:t>
      </w:r>
    </w:p>
  </w:footnote>
  <w:footnote w:id="76">
    <w:p w14:paraId="325ECC34" w14:textId="77777777" w:rsidR="00A066FB" w:rsidRPr="00A066FB" w:rsidRDefault="00A066FB" w:rsidP="00CD5226">
      <w:pPr>
        <w:pStyle w:val="FootnoteText"/>
      </w:pPr>
      <w:r w:rsidRPr="00A066FB">
        <w:rPr>
          <w:rStyle w:val="FootnoteReference"/>
        </w:rPr>
        <w:footnoteRef/>
      </w:r>
      <w:r w:rsidRPr="00A066FB">
        <w:t xml:space="preserve"> </w:t>
      </w:r>
      <w:r w:rsidRPr="00A066FB">
        <w:rPr>
          <w:i/>
        </w:rPr>
        <w:t>See supra</w:t>
      </w:r>
      <w:r w:rsidRPr="00A066FB">
        <w:t xml:space="preserve"> para. 17; </w:t>
      </w:r>
      <w:r w:rsidRPr="00A066FB">
        <w:rPr>
          <w:i/>
        </w:rPr>
        <w:t>see also</w:t>
      </w:r>
      <w:r w:rsidRPr="00A066FB">
        <w:t xml:space="preserve"> NBCUniversal LOI Response at 2.</w:t>
      </w:r>
    </w:p>
  </w:footnote>
  <w:footnote w:id="77">
    <w:p w14:paraId="79CCB2DD" w14:textId="77777777" w:rsidR="00A066FB" w:rsidRPr="00A066FB" w:rsidRDefault="00A066FB" w:rsidP="002263E3">
      <w:pPr>
        <w:pStyle w:val="FootnoteText"/>
        <w:rPr>
          <w:i/>
        </w:rPr>
      </w:pPr>
      <w:r w:rsidRPr="00A066FB">
        <w:rPr>
          <w:rStyle w:val="FootnoteReference"/>
        </w:rPr>
        <w:footnoteRef/>
      </w:r>
      <w:r w:rsidRPr="00A066FB">
        <w:t xml:space="preserve"> </w:t>
      </w:r>
      <w:r w:rsidRPr="00A066FB">
        <w:rPr>
          <w:i/>
        </w:rPr>
        <w:t>See id.</w:t>
      </w:r>
    </w:p>
  </w:footnote>
  <w:footnote w:id="78">
    <w:p w14:paraId="3CF6CF88"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 id</w:t>
      </w:r>
      <w:r w:rsidRPr="00A066FB">
        <w:t>.</w:t>
      </w:r>
    </w:p>
  </w:footnote>
  <w:footnote w:id="79">
    <w:p w14:paraId="63846900" w14:textId="77777777" w:rsidR="00A066FB" w:rsidRPr="00A066FB" w:rsidRDefault="00A066FB" w:rsidP="007D15DB">
      <w:pPr>
        <w:pStyle w:val="FootnoteText"/>
      </w:pPr>
      <w:r w:rsidRPr="00A066FB">
        <w:rPr>
          <w:rStyle w:val="FootnoteReference"/>
        </w:rPr>
        <w:footnoteRef/>
      </w:r>
      <w:r w:rsidRPr="00A066FB">
        <w:t xml:space="preserve"> </w:t>
      </w:r>
      <w:r w:rsidRPr="00A066FB">
        <w:rPr>
          <w:i/>
        </w:rPr>
        <w:t>See</w:t>
      </w:r>
      <w:r w:rsidRPr="00A066FB">
        <w:t xml:space="preserve"> </w:t>
      </w:r>
      <w:r w:rsidRPr="00A066FB">
        <w:rPr>
          <w:i/>
        </w:rPr>
        <w:t>Turner</w:t>
      </w:r>
      <w:r w:rsidRPr="00A066FB">
        <w:t xml:space="preserve">, 28 FCC Rcd at 15456–58, paras. 5–8; </w:t>
      </w:r>
      <w:r w:rsidRPr="00A066FB">
        <w:rPr>
          <w:i/>
        </w:rPr>
        <w:t>MMK</w:t>
      </w:r>
      <w:r w:rsidRPr="00A066FB">
        <w:rPr>
          <w:i/>
          <w:noProof/>
          <w:color w:val="0000FF"/>
        </w:rPr>
        <w:drawing>
          <wp:inline distT="0" distB="0" distL="0" distR="0" wp14:anchorId="7C27D16A" wp14:editId="1E99BBDB">
            <wp:extent cx="7620" cy="7620"/>
            <wp:effectExtent l="0" t="0" r="0" b="0"/>
            <wp:docPr id="3" name="Picture 3" descr="next h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066FB">
        <w:rPr>
          <w:i/>
        </w:rPr>
        <w:t xml:space="preserve"> License LLC</w:t>
      </w:r>
      <w:r w:rsidRPr="00A066FB">
        <w:t xml:space="preserve">, Order, 28 FCC Rcd 15443 (Enf. Bur. 2013); </w:t>
      </w:r>
      <w:r w:rsidRPr="00A066FB">
        <w:rPr>
          <w:i/>
        </w:rPr>
        <w:t>Emergency Alert System False, Fraudulent or Unauthorized Use of the Emergency Alert System Attention Signal and Codes is Strictly Prohibited</w:t>
      </w:r>
      <w:r w:rsidRPr="00A066FB">
        <w:t>, FCC Enforcement Advisory, Public Notice, 28 FCC Rcd 15438 (Enf. Bur. 2013) (</w:t>
      </w:r>
      <w:r w:rsidRPr="00A066FB">
        <w:rPr>
          <w:i/>
        </w:rPr>
        <w:t>Advisory</w:t>
      </w:r>
      <w:r w:rsidRPr="00A066FB">
        <w:t>).</w:t>
      </w:r>
    </w:p>
  </w:footnote>
  <w:footnote w:id="80">
    <w:p w14:paraId="69BD019C" w14:textId="77777777" w:rsidR="00A066FB" w:rsidRPr="00A066FB" w:rsidRDefault="00A066FB" w:rsidP="007D15DB">
      <w:pPr>
        <w:pStyle w:val="FootnoteText"/>
      </w:pPr>
      <w:r w:rsidRPr="00A066FB">
        <w:rPr>
          <w:rStyle w:val="FootnoteReference"/>
        </w:rPr>
        <w:footnoteRef/>
      </w:r>
      <w:r w:rsidRPr="00A066FB">
        <w:t xml:space="preserve"> </w:t>
      </w:r>
      <w:r w:rsidRPr="00A066FB">
        <w:rPr>
          <w:i/>
        </w:rPr>
        <w:t>See Advisory</w:t>
      </w:r>
      <w:r w:rsidRPr="00A066FB">
        <w:t xml:space="preserve">.  Although issued after the Companies’ misuse of the EAS Tones described here, the </w:t>
      </w:r>
      <w:r w:rsidRPr="00A066FB">
        <w:rPr>
          <w:i/>
        </w:rPr>
        <w:t>Advisory</w:t>
      </w:r>
      <w:r w:rsidRPr="00A066FB">
        <w:t xml:space="preserve"> was a reminder of the prohibitions, not a required or necessary predicate to our enforcement of those prohibitions.</w:t>
      </w:r>
    </w:p>
  </w:footnote>
  <w:footnote w:id="81">
    <w:p w14:paraId="12F3AAFF" w14:textId="77777777" w:rsidR="00A066FB" w:rsidRPr="00A066FB" w:rsidRDefault="00A066FB" w:rsidP="006700E2">
      <w:pPr>
        <w:pStyle w:val="FootnoteText"/>
      </w:pPr>
      <w:r w:rsidRPr="00A066FB">
        <w:rPr>
          <w:rStyle w:val="FootnoteReference"/>
        </w:rPr>
        <w:footnoteRef/>
      </w:r>
      <w:r w:rsidRPr="00A066FB">
        <w:t xml:space="preserve"> </w:t>
      </w:r>
      <w:r w:rsidRPr="00A066FB">
        <w:rPr>
          <w:i/>
        </w:rPr>
        <w:t>See</w:t>
      </w:r>
      <w:r w:rsidRPr="00A066FB">
        <w:t xml:space="preserve"> Viacom LOI Response at 6; NBCUniversal LOI Response at 9; and ESPN LOI Response at 2, 11.</w:t>
      </w:r>
    </w:p>
  </w:footnote>
  <w:footnote w:id="82">
    <w:p w14:paraId="28F3ACA4" w14:textId="77777777" w:rsidR="00A066FB" w:rsidRPr="00A066FB" w:rsidRDefault="00A066FB" w:rsidP="00CC38DC">
      <w:pPr>
        <w:pStyle w:val="FootnoteText"/>
      </w:pPr>
      <w:r w:rsidRPr="00A066FB">
        <w:rPr>
          <w:rStyle w:val="FootnoteReference"/>
        </w:rPr>
        <w:footnoteRef/>
      </w:r>
      <w:r w:rsidRPr="00A066FB">
        <w:t xml:space="preserve"> </w:t>
      </w:r>
      <w:r w:rsidRPr="00A066FB">
        <w:rPr>
          <w:i/>
        </w:rPr>
        <w:t xml:space="preserve">See </w:t>
      </w:r>
      <w:r w:rsidRPr="00A066FB">
        <w:t>NBCUniversal LOI Response at 9.</w:t>
      </w:r>
    </w:p>
  </w:footnote>
  <w:footnote w:id="83">
    <w:p w14:paraId="2732C54E" w14:textId="77777777" w:rsidR="00A066FB" w:rsidRPr="00A066FB" w:rsidRDefault="00A066FB" w:rsidP="00DA7702">
      <w:pPr>
        <w:pStyle w:val="FootnoteText"/>
      </w:pPr>
      <w:r w:rsidRPr="00A066FB">
        <w:rPr>
          <w:rStyle w:val="FootnoteReference"/>
        </w:rPr>
        <w:footnoteRef/>
      </w:r>
      <w:r w:rsidRPr="00A066FB">
        <w:t xml:space="preserve"> The Commission’s intent in establishing universal deployment of the EAS (and as a corollary, the rules governing it) is reflected in the Commission’s decision to rename the EBS as the EAS.  </w:t>
      </w:r>
      <w:r w:rsidRPr="00A066FB">
        <w:rPr>
          <w:i/>
        </w:rPr>
        <w:t>See 1994 EBS Order</w:t>
      </w:r>
      <w:r w:rsidRPr="00A066FB">
        <w:t xml:space="preserve">, 10 FCC Rcd at 1800–01, para. 39 (“[T]he word ‘broadcast’ in the Emergency Broadcast System should be changed to inform the public that the new system, EAS, is not necessarily a broadcast-based service but ultimately an aggregation of many services working together.”). </w:t>
      </w:r>
    </w:p>
  </w:footnote>
  <w:footnote w:id="84">
    <w:p w14:paraId="61C7FDE0" w14:textId="77777777" w:rsidR="00A066FB" w:rsidRPr="00A066FB" w:rsidRDefault="00A066FB" w:rsidP="006700E2">
      <w:pPr>
        <w:pStyle w:val="FootnoteText"/>
      </w:pPr>
      <w:r w:rsidRPr="00A066FB">
        <w:rPr>
          <w:rStyle w:val="FootnoteReference"/>
        </w:rPr>
        <w:footnoteRef/>
      </w:r>
      <w:r w:rsidRPr="00A066FB">
        <w:t xml:space="preserve"> 47 C.F.R. § 11.45 (emphasis added).  Further, the rule specifically provides that “[b]</w:t>
      </w:r>
      <w:r w:rsidRPr="00A066FB">
        <w:rPr>
          <w:rStyle w:val="cohl"/>
        </w:rPr>
        <w:t xml:space="preserve">roadcast station licensees should also refer to § 73.1217 of this chapter.”  </w:t>
      </w:r>
      <w:r w:rsidRPr="00A066FB">
        <w:rPr>
          <w:rStyle w:val="cohl"/>
          <w:i/>
        </w:rPr>
        <w:t>Id</w:t>
      </w:r>
      <w:r w:rsidRPr="00A066FB">
        <w:rPr>
          <w:rStyle w:val="cohl"/>
        </w:rPr>
        <w:t>.  This reference to the broadcast rule demonstrates that, while the Hoax Rule is limited to broadcasters, Section 11.45, which is contained, not in the Part 73 broadcast rules, but in Part 11, shall apply more broadly to any person.</w:t>
      </w:r>
      <w:r w:rsidRPr="00A066FB">
        <w:t xml:space="preserve">  Moreover, the Act broadly defines “person” to include “an individual, partnership, association, joint-stock company, trust, or corporation.”  47 U.S.C. § 153(39).</w:t>
      </w:r>
    </w:p>
  </w:footnote>
  <w:footnote w:id="85">
    <w:p w14:paraId="50637196" w14:textId="77777777" w:rsidR="00A066FB" w:rsidRPr="00A066FB" w:rsidRDefault="00A066FB" w:rsidP="00EF0A42">
      <w:pPr>
        <w:spacing w:after="120"/>
        <w:rPr>
          <w:sz w:val="20"/>
        </w:rPr>
      </w:pPr>
      <w:r w:rsidRPr="00A066FB">
        <w:rPr>
          <w:rStyle w:val="FootnoteReference"/>
        </w:rPr>
        <w:footnoteRef/>
      </w:r>
      <w:r w:rsidRPr="00A066FB">
        <w:rPr>
          <w:sz w:val="20"/>
        </w:rPr>
        <w:t xml:space="preserve"> </w:t>
      </w:r>
      <w:r w:rsidRPr="00A066FB">
        <w:rPr>
          <w:i/>
          <w:sz w:val="20"/>
        </w:rPr>
        <w:t>1994 EBS Order</w:t>
      </w:r>
      <w:r w:rsidRPr="00A066FB">
        <w:rPr>
          <w:sz w:val="20"/>
        </w:rPr>
        <w:t xml:space="preserve">, 10 FCC Rcd at 1858, para. 84 (emphasis added).  We note that, in contrast to this more expansive language in Section 11.45, other Part 11 EAS rules specifically provide that they apply only to EAS participants.  </w:t>
      </w:r>
      <w:r w:rsidRPr="00A066FB">
        <w:rPr>
          <w:i/>
          <w:sz w:val="20"/>
        </w:rPr>
        <w:t>See, e.g</w:t>
      </w:r>
      <w:r w:rsidRPr="00A066FB">
        <w:rPr>
          <w:sz w:val="20"/>
        </w:rPr>
        <w:t>., 47 C.F.R. §§ 11.41, 11.46.  Moreover, the argument that Section 11.45 applies only to enumerated entities, such as EAS participants, is not only contrary to the plain language of the rule, but would yield the perverse result of incentivizing non-enumerated entities to use the EAS Tones indiscriminately for strategic or commercial advantage over enumerated entities.  Accepting the Companies’ argument would defeat the rule’s stated purpose of preserving use of EAS Tones for emergency use and testing purposes only and therefore is not a reasonable reading of the rule.</w:t>
      </w:r>
    </w:p>
  </w:footnote>
  <w:footnote w:id="86">
    <w:p w14:paraId="120960F6" w14:textId="77777777" w:rsidR="00A066FB" w:rsidRPr="00A066FB" w:rsidRDefault="00A066FB" w:rsidP="00875225">
      <w:pPr>
        <w:pStyle w:val="FootnoteText"/>
      </w:pPr>
      <w:r w:rsidRPr="00A066FB">
        <w:rPr>
          <w:rStyle w:val="FootnoteReference"/>
        </w:rPr>
        <w:footnoteRef/>
      </w:r>
      <w:r w:rsidRPr="00A066FB">
        <w:t xml:space="preserve"> </w:t>
      </w:r>
      <w:r w:rsidRPr="00A066FB">
        <w:rPr>
          <w:i/>
        </w:rPr>
        <w:t>Turner Broadcasting System, Inc.</w:t>
      </w:r>
      <w:r w:rsidRPr="00A066FB">
        <w:t xml:space="preserve">, Notice of Apparent Liability for Forfeiture, FCC 14-1, </w:t>
      </w:r>
      <w:r w:rsidRPr="00A066FB">
        <w:rPr>
          <w:rStyle w:val="documentbody"/>
        </w:rPr>
        <w:t>2014 WL 172669 (Jan. 14, 2014) (forfeiture paid) (</w:t>
      </w:r>
      <w:r w:rsidRPr="00A066FB">
        <w:rPr>
          <w:rStyle w:val="documentbody"/>
          <w:i/>
        </w:rPr>
        <w:t>Turner II</w:t>
      </w:r>
      <w:r w:rsidRPr="00A066FB">
        <w:rPr>
          <w:rStyle w:val="documentbody"/>
        </w:rPr>
        <w:t>).</w:t>
      </w:r>
    </w:p>
  </w:footnote>
  <w:footnote w:id="87">
    <w:p w14:paraId="0CD96C33" w14:textId="77777777" w:rsidR="00A066FB" w:rsidRPr="00A066FB" w:rsidRDefault="00A066FB" w:rsidP="00875225">
      <w:pPr>
        <w:pStyle w:val="FootnoteText"/>
      </w:pPr>
      <w:r w:rsidRPr="00A066FB">
        <w:rPr>
          <w:rStyle w:val="FootnoteReference"/>
        </w:rPr>
        <w:footnoteRef/>
      </w:r>
      <w:r w:rsidRPr="00A066FB">
        <w:t xml:space="preserve"> </w:t>
      </w:r>
      <w:r w:rsidRPr="00A066FB">
        <w:rPr>
          <w:i/>
        </w:rPr>
        <w:t>See Turner</w:t>
      </w:r>
      <w:r w:rsidRPr="00A066FB">
        <w:t>, 28 FCC Rcd at 15458, para. 8.</w:t>
      </w:r>
    </w:p>
  </w:footnote>
  <w:footnote w:id="88">
    <w:p w14:paraId="0C18A82A" w14:textId="77777777" w:rsidR="00A066FB" w:rsidRPr="00A066FB" w:rsidRDefault="00A066FB">
      <w:pPr>
        <w:pStyle w:val="FootnoteText"/>
      </w:pPr>
      <w:r w:rsidRPr="00A066FB">
        <w:rPr>
          <w:rStyle w:val="FootnoteReference"/>
        </w:rPr>
        <w:footnoteRef/>
      </w:r>
      <w:r w:rsidRPr="00A066FB">
        <w:t xml:space="preserve"> </w:t>
      </w:r>
      <w:r w:rsidRPr="00A066FB">
        <w:rPr>
          <w:i/>
        </w:rPr>
        <w:t>See</w:t>
      </w:r>
      <w:r w:rsidRPr="00A066FB">
        <w:t xml:space="preserve"> </w:t>
      </w:r>
      <w:r w:rsidRPr="00A066FB">
        <w:rPr>
          <w:i/>
        </w:rPr>
        <w:t>id.</w:t>
      </w:r>
      <w:r w:rsidRPr="00A066FB">
        <w:t xml:space="preserve"> at 15461, para. 15.</w:t>
      </w:r>
    </w:p>
  </w:footnote>
  <w:footnote w:id="89">
    <w:p w14:paraId="28F7F940" w14:textId="77777777" w:rsidR="00A066FB" w:rsidRPr="00A066FB" w:rsidRDefault="00A066FB" w:rsidP="00875225">
      <w:pPr>
        <w:spacing w:after="120"/>
        <w:rPr>
          <w:sz w:val="20"/>
        </w:rPr>
      </w:pPr>
      <w:r w:rsidRPr="00A066FB">
        <w:rPr>
          <w:rStyle w:val="FootnoteReference"/>
        </w:rPr>
        <w:footnoteRef/>
      </w:r>
      <w:r w:rsidRPr="00A066FB">
        <w:rPr>
          <w:b/>
          <w:sz w:val="20"/>
        </w:rPr>
        <w:t xml:space="preserve"> </w:t>
      </w:r>
      <w:r w:rsidRPr="00A066FB">
        <w:rPr>
          <w:i/>
          <w:sz w:val="20"/>
        </w:rPr>
        <w:t>See</w:t>
      </w:r>
      <w:r w:rsidRPr="00A066FB">
        <w:rPr>
          <w:sz w:val="20"/>
        </w:rPr>
        <w:t xml:space="preserve"> </w:t>
      </w:r>
      <w:r w:rsidRPr="00A066FB">
        <w:rPr>
          <w:i/>
          <w:sz w:val="20"/>
        </w:rPr>
        <w:t>Advisory.</w:t>
      </w:r>
    </w:p>
  </w:footnote>
  <w:footnote w:id="90">
    <w:p w14:paraId="4C21C33F"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w:t>
      </w:r>
      <w:r w:rsidRPr="00A066FB">
        <w:t xml:space="preserve"> ESPN LOI Response at 2, 7; Viacom LOI Response at 6; and NBCUniversal LOI Response at 3.</w:t>
      </w:r>
    </w:p>
  </w:footnote>
  <w:footnote w:id="91">
    <w:p w14:paraId="464C2E2A" w14:textId="77777777" w:rsidR="00A066FB" w:rsidRPr="00A066FB" w:rsidRDefault="00A066FB" w:rsidP="00695BBD">
      <w:pPr>
        <w:pStyle w:val="FootnoteText"/>
      </w:pPr>
      <w:r w:rsidRPr="00A066FB">
        <w:rPr>
          <w:rStyle w:val="FootnoteReference"/>
        </w:rPr>
        <w:footnoteRef/>
      </w:r>
      <w:r w:rsidRPr="00A066FB">
        <w:t xml:space="preserve"> </w:t>
      </w:r>
      <w:r w:rsidRPr="00A066FB">
        <w:rPr>
          <w:i/>
        </w:rPr>
        <w:t>See</w:t>
      </w:r>
      <w:r w:rsidRPr="00A066FB">
        <w:t xml:space="preserve"> Viacom LOI Response at 6–7.</w:t>
      </w:r>
    </w:p>
  </w:footnote>
  <w:footnote w:id="92">
    <w:p w14:paraId="7393D8C5" w14:textId="77777777" w:rsidR="00A066FB" w:rsidRPr="00A066FB" w:rsidRDefault="00A066FB" w:rsidP="002263E3">
      <w:pPr>
        <w:pStyle w:val="FootnoteText"/>
      </w:pPr>
      <w:r w:rsidRPr="00A066FB">
        <w:rPr>
          <w:rStyle w:val="FootnoteReference"/>
        </w:rPr>
        <w:footnoteRef/>
      </w:r>
      <w:r w:rsidRPr="00A066FB">
        <w:t xml:space="preserve"> 47 C.F.R. § 11.45 (emphasis added).</w:t>
      </w:r>
    </w:p>
  </w:footnote>
  <w:footnote w:id="93">
    <w:p w14:paraId="09F003C4" w14:textId="77777777" w:rsidR="00A066FB" w:rsidRPr="00A066FB" w:rsidRDefault="00A066FB" w:rsidP="002263E3">
      <w:pPr>
        <w:pStyle w:val="FootnoteText"/>
      </w:pPr>
      <w:r w:rsidRPr="00A066FB">
        <w:rPr>
          <w:rStyle w:val="FootnoteReference"/>
        </w:rPr>
        <w:footnoteRef/>
      </w:r>
      <w:r w:rsidRPr="00A066FB">
        <w:t xml:space="preserve"> </w:t>
      </w:r>
      <w:r w:rsidRPr="00A066FB">
        <w:rPr>
          <w:color w:val="000000" w:themeColor="text1"/>
        </w:rPr>
        <w:t>ESPN LOI Response at 10; Viacom LOI Response at 4–5; and NBCUniversal LOI Response at 7.</w:t>
      </w:r>
    </w:p>
  </w:footnote>
  <w:footnote w:id="94">
    <w:p w14:paraId="57CD35F7"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 xml:space="preserve">See supra </w:t>
      </w:r>
      <w:r w:rsidRPr="00A066FB">
        <w:t xml:space="preserve">note 62; </w:t>
      </w:r>
      <w:r w:rsidRPr="00A066FB">
        <w:rPr>
          <w:color w:val="000000" w:themeColor="text1"/>
        </w:rPr>
        <w:t>ESPN LOI Response at 7; Viacom LOI Response at 2; and NBCUniversal LOI Response at 3.</w:t>
      </w:r>
    </w:p>
  </w:footnote>
  <w:footnote w:id="95">
    <w:p w14:paraId="769C34AC"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w:t>
      </w:r>
      <w:r w:rsidRPr="00A066FB">
        <w:t xml:space="preserve"> </w:t>
      </w:r>
      <w:r w:rsidRPr="00A066FB">
        <w:rPr>
          <w:i/>
        </w:rPr>
        <w:t>supra</w:t>
      </w:r>
      <w:r w:rsidRPr="00A066FB">
        <w:t xml:space="preserve"> para. 9; Viacom LOI Response at 6–7.</w:t>
      </w:r>
    </w:p>
  </w:footnote>
  <w:footnote w:id="96">
    <w:p w14:paraId="619D928F"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w:t>
      </w:r>
      <w:r w:rsidRPr="00A066FB">
        <w:t xml:space="preserve"> Viacom LOI Response at 4–5.</w:t>
      </w:r>
    </w:p>
  </w:footnote>
  <w:footnote w:id="97">
    <w:p w14:paraId="750C5D53"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w:t>
      </w:r>
      <w:r w:rsidRPr="00A066FB">
        <w:t xml:space="preserve"> Viacom LOI Response at Attachment E.</w:t>
      </w:r>
    </w:p>
  </w:footnote>
  <w:footnote w:id="98">
    <w:p w14:paraId="76653023"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w:t>
      </w:r>
      <w:r w:rsidRPr="00A066FB">
        <w:t xml:space="preserve"> Viacom LOI Response at 7–12; NBCUniversal LOI Response at 7–9.</w:t>
      </w:r>
    </w:p>
  </w:footnote>
  <w:footnote w:id="99">
    <w:p w14:paraId="22F499A4"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 xml:space="preserve">See </w:t>
      </w:r>
      <w:r w:rsidRPr="00A066FB">
        <w:t>Viacom LOI Response at 7.</w:t>
      </w:r>
    </w:p>
  </w:footnote>
  <w:footnote w:id="100">
    <w:p w14:paraId="1CB6E3D9"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 id</w:t>
      </w:r>
      <w:r w:rsidRPr="00A066FB">
        <w:t xml:space="preserve">. at 7–14. </w:t>
      </w:r>
    </w:p>
  </w:footnote>
  <w:footnote w:id="101">
    <w:p w14:paraId="2F4FC94F"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 id</w:t>
      </w:r>
      <w:r w:rsidRPr="00A066FB">
        <w:t>. at 10–14.</w:t>
      </w:r>
    </w:p>
  </w:footnote>
  <w:footnote w:id="102">
    <w:p w14:paraId="22EAAE7F"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 id</w:t>
      </w:r>
      <w:r w:rsidRPr="00A066FB">
        <w:t>.</w:t>
      </w:r>
    </w:p>
  </w:footnote>
  <w:footnote w:id="103">
    <w:p w14:paraId="20350CF7"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 xml:space="preserve">See </w:t>
      </w:r>
      <w:r w:rsidRPr="00A066FB">
        <w:t>47 C.F.R. § 11.45.</w:t>
      </w:r>
    </w:p>
  </w:footnote>
  <w:footnote w:id="104">
    <w:p w14:paraId="2E3F1681" w14:textId="77777777" w:rsidR="00A066FB" w:rsidRPr="00A066FB" w:rsidRDefault="00A066FB" w:rsidP="002263E3">
      <w:pPr>
        <w:pStyle w:val="FootnoteText"/>
      </w:pPr>
      <w:r w:rsidRPr="00A066FB">
        <w:rPr>
          <w:rStyle w:val="FootnoteReference"/>
        </w:rPr>
        <w:footnoteRef/>
      </w:r>
      <w:r w:rsidRPr="00A066FB">
        <w:t xml:space="preserve"> </w:t>
      </w:r>
      <w:r w:rsidRPr="00A066FB">
        <w:rPr>
          <w:i/>
          <w:color w:val="1A1A1A"/>
        </w:rPr>
        <w:t>1994 EBS Order</w:t>
      </w:r>
      <w:r w:rsidRPr="00A066FB">
        <w:rPr>
          <w:color w:val="1A1A1A"/>
        </w:rPr>
        <w:t xml:space="preserve">, 10 FCC Rcd at 1815, para. 84.  </w:t>
      </w:r>
    </w:p>
  </w:footnote>
  <w:footnote w:id="105">
    <w:p w14:paraId="454F243C" w14:textId="77777777" w:rsidR="00A066FB" w:rsidRPr="00A066FB" w:rsidRDefault="00A066FB" w:rsidP="002263E3">
      <w:pPr>
        <w:pStyle w:val="FootnoteText"/>
      </w:pPr>
      <w:r w:rsidRPr="00A066FB">
        <w:rPr>
          <w:rStyle w:val="FootnoteReference"/>
        </w:rPr>
        <w:footnoteRef/>
      </w:r>
      <w:r w:rsidRPr="00A066FB">
        <w:t xml:space="preserve"> </w:t>
      </w:r>
      <w:r w:rsidRPr="00A066FB">
        <w:rPr>
          <w:i/>
          <w:iCs/>
          <w:color w:val="000000" w:themeColor="text1"/>
        </w:rPr>
        <w:t>See</w:t>
      </w:r>
      <w:r w:rsidRPr="00A066FB">
        <w:rPr>
          <w:color w:val="000000" w:themeColor="text1"/>
        </w:rPr>
        <w:t xml:space="preserve"> ESPN LOI Response at 8; Viacom LOI Response at 4; and NBCUniversal LOI Response at 6.</w:t>
      </w:r>
    </w:p>
  </w:footnote>
  <w:footnote w:id="106">
    <w:p w14:paraId="082DF5AE" w14:textId="77777777" w:rsidR="00A066FB" w:rsidRPr="00A066FB" w:rsidRDefault="00A066FB" w:rsidP="002263E3">
      <w:pPr>
        <w:pStyle w:val="FootnoteText"/>
      </w:pPr>
      <w:r w:rsidRPr="00A066FB">
        <w:rPr>
          <w:rStyle w:val="FootnoteReference"/>
        </w:rPr>
        <w:footnoteRef/>
      </w:r>
      <w:r w:rsidRPr="00A066FB">
        <w:t xml:space="preserve"> </w:t>
      </w:r>
      <w:r w:rsidRPr="00A066FB">
        <w:rPr>
          <w:i/>
          <w:iCs/>
          <w:color w:val="000000" w:themeColor="text1"/>
        </w:rPr>
        <w:t>See</w:t>
      </w:r>
      <w:r w:rsidRPr="00A066FB">
        <w:rPr>
          <w:color w:val="000000" w:themeColor="text1"/>
        </w:rPr>
        <w:t xml:space="preserve"> ESPN LOI Response at 11; Viacom LOI Response at 10–11; and NBCUniversal LOI Response at 7.</w:t>
      </w:r>
    </w:p>
  </w:footnote>
  <w:footnote w:id="107">
    <w:p w14:paraId="6636CC8E" w14:textId="77777777" w:rsidR="00A066FB" w:rsidRPr="00A066FB" w:rsidRDefault="00A066FB" w:rsidP="002263E3">
      <w:pPr>
        <w:pStyle w:val="FootnoteText"/>
        <w:rPr>
          <w:i/>
        </w:rPr>
      </w:pPr>
      <w:r w:rsidRPr="00A066FB">
        <w:rPr>
          <w:rStyle w:val="FootnoteReference"/>
        </w:rPr>
        <w:footnoteRef/>
      </w:r>
      <w:r w:rsidRPr="00A066FB">
        <w:t xml:space="preserve"> </w:t>
      </w:r>
      <w:r w:rsidRPr="00A066FB">
        <w:rPr>
          <w:i/>
        </w:rPr>
        <w:t>See, e.g.</w:t>
      </w:r>
      <w:r w:rsidRPr="00A066FB">
        <w:t>,</w:t>
      </w:r>
      <w:r w:rsidRPr="00A066FB">
        <w:rPr>
          <w:i/>
        </w:rPr>
        <w:t xml:space="preserve"> </w:t>
      </w:r>
      <w:r w:rsidRPr="00A066FB">
        <w:t>Third Complaint</w:t>
      </w:r>
      <w:r w:rsidRPr="00A066FB">
        <w:rPr>
          <w:i/>
        </w:rPr>
        <w:t>.</w:t>
      </w:r>
    </w:p>
  </w:footnote>
  <w:footnote w:id="108">
    <w:p w14:paraId="5F525434"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Id.</w:t>
      </w:r>
    </w:p>
  </w:footnote>
  <w:footnote w:id="109">
    <w:p w14:paraId="747528F4" w14:textId="77777777" w:rsidR="00A066FB" w:rsidRPr="00A066FB" w:rsidRDefault="00A066FB" w:rsidP="00B757B2">
      <w:pPr>
        <w:pStyle w:val="FootnoteText"/>
        <w:rPr>
          <w:b/>
        </w:rPr>
      </w:pPr>
      <w:r w:rsidRPr="00A066FB">
        <w:rPr>
          <w:rStyle w:val="FootnoteReference"/>
        </w:rPr>
        <w:footnoteRef/>
      </w:r>
      <w:r w:rsidRPr="00A066FB">
        <w:t xml:space="preserve"> </w:t>
      </w:r>
      <w:r w:rsidRPr="00A066FB">
        <w:rPr>
          <w:i/>
        </w:rPr>
        <w:t xml:space="preserve">See </w:t>
      </w:r>
      <w:r w:rsidRPr="00A066FB">
        <w:t xml:space="preserve">47 U.S.C. § 325(a) (“No person within the jurisdiction of the United States shall knowingly utter or transmit, or cause to be uttered or transmitted, any false or fraudulent signals of distress, or communication relating thereto . . . .”).  </w:t>
      </w:r>
    </w:p>
  </w:footnote>
  <w:footnote w:id="110">
    <w:p w14:paraId="4DB0FF38"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See Emmis</w:t>
      </w:r>
      <w:r w:rsidRPr="00A066FB">
        <w:t>, 6 FCC Rcd 2289 (also noting that Emmis announced, with the sound of civil defense sirens in the background, that the tone was not a test and the United States was under nuclear attack).</w:t>
      </w:r>
    </w:p>
  </w:footnote>
  <w:footnote w:id="111">
    <w:p w14:paraId="1A3BD473" w14:textId="77777777" w:rsidR="00A066FB" w:rsidRPr="00A066FB" w:rsidRDefault="00A066FB" w:rsidP="00EF0A42">
      <w:pPr>
        <w:spacing w:after="120"/>
        <w:rPr>
          <w:sz w:val="20"/>
        </w:rPr>
      </w:pPr>
      <w:r w:rsidRPr="00A066FB">
        <w:rPr>
          <w:rStyle w:val="FootnoteReference"/>
        </w:rPr>
        <w:footnoteRef/>
      </w:r>
      <w:r w:rsidRPr="00A066FB">
        <w:rPr>
          <w:sz w:val="20"/>
        </w:rPr>
        <w:t xml:space="preserve"> </w:t>
      </w:r>
      <w:r w:rsidRPr="00A066FB">
        <w:rPr>
          <w:i/>
          <w:sz w:val="20"/>
        </w:rPr>
        <w:t>See id</w:t>
      </w:r>
      <w:r w:rsidRPr="00A066FB">
        <w:rPr>
          <w:sz w:val="20"/>
        </w:rPr>
        <w:t xml:space="preserve">. at 2289–90 (noting that Emmis used a common “bleep” tone rather than the two-tone EBS warning and thus no EBS equipment was activated, but listeners mistook the tone for the authentic EBS signal).  </w:t>
      </w:r>
    </w:p>
  </w:footnote>
  <w:footnote w:id="112">
    <w:p w14:paraId="0451EFBC" w14:textId="77777777" w:rsidR="00A066FB" w:rsidRPr="00A066FB" w:rsidRDefault="00A066FB" w:rsidP="000F6661">
      <w:pPr>
        <w:pStyle w:val="FootnoteText"/>
      </w:pPr>
      <w:r w:rsidRPr="00A066FB">
        <w:rPr>
          <w:rStyle w:val="FootnoteReference"/>
        </w:rPr>
        <w:footnoteRef/>
      </w:r>
      <w:r w:rsidRPr="00A066FB">
        <w:t xml:space="preserve"> </w:t>
      </w:r>
      <w:r w:rsidRPr="00A066FB">
        <w:rPr>
          <w:i/>
        </w:rPr>
        <w:t>Id</w:t>
      </w:r>
      <w:r w:rsidRPr="00A066FB">
        <w:t>.</w:t>
      </w:r>
    </w:p>
  </w:footnote>
  <w:footnote w:id="113">
    <w:p w14:paraId="5666BC5D"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See Amendment of Part 73, Subpart G, of the Commission’s Rules Regarding the Emergency Broadcast. System</w:t>
      </w:r>
      <w:r w:rsidRPr="00A066FB">
        <w:t>, Notice of Proposed Rule Making/Further Notice of Proposed Rule Making, 7 FCC Rcd 6903, 6907, para. 41 (1992) (</w:t>
      </w:r>
      <w:r w:rsidRPr="00A066FB">
        <w:rPr>
          <w:i/>
        </w:rPr>
        <w:t>1992 EBS Notice</w:t>
      </w:r>
      <w:r w:rsidRPr="00A066FB">
        <w:t xml:space="preserve">); </w:t>
      </w:r>
      <w:r w:rsidRPr="00A066FB">
        <w:rPr>
          <w:i/>
        </w:rPr>
        <w:t>1994 EBS Order,</w:t>
      </w:r>
      <w:r w:rsidRPr="00A066FB">
        <w:t xml:space="preserve"> 10 FCC Rcd at 1815, para. 84 (subsequent history omitted) (stating “[s]uch false use and misconduct will be considered a false distress communication and will be subject to Commission penalties, such as monetary forfeiture or other appropriate sanctions.”).  </w:t>
      </w:r>
    </w:p>
  </w:footnote>
  <w:footnote w:id="114">
    <w:p w14:paraId="3E55170C" w14:textId="77777777" w:rsidR="00A066FB" w:rsidRPr="00A066FB" w:rsidRDefault="00A066FB" w:rsidP="000F6661">
      <w:pPr>
        <w:pStyle w:val="FootnoteText"/>
      </w:pPr>
      <w:r w:rsidRPr="00A066FB">
        <w:rPr>
          <w:rStyle w:val="FootnoteReference"/>
        </w:rPr>
        <w:footnoteRef/>
      </w:r>
      <w:r w:rsidRPr="00A066FB">
        <w:t xml:space="preserve"> </w:t>
      </w:r>
      <w:r w:rsidRPr="00A066FB">
        <w:rPr>
          <w:i/>
        </w:rPr>
        <w:t>See Turner</w:t>
      </w:r>
      <w:r w:rsidRPr="00A066FB">
        <w:t>,</w:t>
      </w:r>
      <w:r w:rsidRPr="00A066FB">
        <w:rPr>
          <w:i/>
        </w:rPr>
        <w:t xml:space="preserve"> </w:t>
      </w:r>
      <w:r w:rsidRPr="00A066FB">
        <w:t>28 FCC Rcd at 15459, para. 10.</w:t>
      </w:r>
    </w:p>
  </w:footnote>
  <w:footnote w:id="115">
    <w:p w14:paraId="61620A57" w14:textId="77777777" w:rsidR="00A066FB" w:rsidRPr="00A066FB" w:rsidRDefault="00A066FB" w:rsidP="000F6661">
      <w:pPr>
        <w:pStyle w:val="FootnoteText"/>
        <w:rPr>
          <w:i/>
        </w:rPr>
      </w:pPr>
      <w:r w:rsidRPr="00A066FB">
        <w:rPr>
          <w:rStyle w:val="FootnoteReference"/>
        </w:rPr>
        <w:footnoteRef/>
      </w:r>
      <w:r w:rsidRPr="00A066FB">
        <w:t xml:space="preserve"> </w:t>
      </w:r>
      <w:r w:rsidRPr="00A066FB">
        <w:rPr>
          <w:i/>
        </w:rPr>
        <w:t>Id.</w:t>
      </w:r>
    </w:p>
  </w:footnote>
  <w:footnote w:id="116">
    <w:p w14:paraId="0933836D" w14:textId="77777777" w:rsidR="00A066FB" w:rsidRPr="00A066FB" w:rsidRDefault="00A066FB" w:rsidP="000F6661">
      <w:pPr>
        <w:pStyle w:val="FootnoteText"/>
      </w:pPr>
      <w:r w:rsidRPr="00A066FB">
        <w:rPr>
          <w:rStyle w:val="FootnoteReference"/>
        </w:rPr>
        <w:footnoteRef/>
      </w:r>
      <w:r w:rsidRPr="00A066FB">
        <w:t xml:space="preserve"> </w:t>
      </w:r>
      <w:r w:rsidRPr="00A066FB">
        <w:rPr>
          <w:i/>
        </w:rPr>
        <w:t xml:space="preserve">See </w:t>
      </w:r>
      <w:r w:rsidRPr="00A066FB">
        <w:t>47 U.S.C. § 325(a).</w:t>
      </w:r>
    </w:p>
  </w:footnote>
  <w:footnote w:id="117">
    <w:p w14:paraId="18459B95" w14:textId="77777777" w:rsidR="00A066FB" w:rsidRPr="00A066FB" w:rsidRDefault="00A066FB" w:rsidP="000F6661">
      <w:pPr>
        <w:pStyle w:val="FootnoteText"/>
      </w:pPr>
      <w:r w:rsidRPr="00A066FB">
        <w:rPr>
          <w:rStyle w:val="FootnoteReference"/>
        </w:rPr>
        <w:footnoteRef/>
      </w:r>
      <w:r w:rsidRPr="00A066FB">
        <w:t xml:space="preserve"> </w:t>
      </w:r>
      <w:r w:rsidRPr="00A066FB">
        <w:rPr>
          <w:i/>
        </w:rPr>
        <w:t>See 1992 EBS Notice</w:t>
      </w:r>
      <w:r w:rsidRPr="00A066FB">
        <w:t xml:space="preserve">, 7 FCC Rcd at 6907, para. 39; </w:t>
      </w:r>
      <w:r w:rsidRPr="00A066FB">
        <w:rPr>
          <w:i/>
        </w:rPr>
        <w:t>Emmis</w:t>
      </w:r>
      <w:r w:rsidRPr="00A066FB">
        <w:t>, 6 FCC Rcd at 2290.</w:t>
      </w:r>
    </w:p>
  </w:footnote>
  <w:footnote w:id="118">
    <w:p w14:paraId="416E5255"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See</w:t>
      </w:r>
      <w:r w:rsidRPr="00A066FB">
        <w:t xml:space="preserve"> </w:t>
      </w:r>
      <w:r w:rsidRPr="00A066FB">
        <w:rPr>
          <w:i/>
        </w:rPr>
        <w:t>1992 EBS Notice</w:t>
      </w:r>
      <w:r w:rsidRPr="00A066FB">
        <w:t>, 7 FCC Rcd at 6907, paras. 39–40;</w:t>
      </w:r>
      <w:r w:rsidRPr="00A066FB">
        <w:rPr>
          <w:i/>
        </w:rPr>
        <w:t xml:space="preserve"> 1994 EBS Order</w:t>
      </w:r>
      <w:r w:rsidRPr="00A066FB">
        <w:t>, 10 FCC Rcd at 1815, paras. 83–84 (noting that several commenters stressed that any use of the EBS attention signal, other than for tests and activations, could be “an enormous detriment to the system” and further stating that “[s]uch false use and misconduct will be considered a false distress communication, and will be subject to Commission penalties, such as monetary forfeiture or other appropriate sanctions.”).</w:t>
      </w:r>
    </w:p>
  </w:footnote>
  <w:footnote w:id="119">
    <w:p w14:paraId="4059715A" w14:textId="77777777" w:rsidR="00A066FB" w:rsidRPr="00A066FB" w:rsidRDefault="00A066FB" w:rsidP="000F6661">
      <w:pPr>
        <w:pStyle w:val="FootnoteText"/>
      </w:pPr>
      <w:r w:rsidRPr="00A066FB">
        <w:rPr>
          <w:rStyle w:val="FootnoteReference"/>
        </w:rPr>
        <w:footnoteRef/>
      </w:r>
      <w:r w:rsidRPr="00A066FB">
        <w:t xml:space="preserve"> </w:t>
      </w:r>
      <w:r w:rsidRPr="00A066FB">
        <w:rPr>
          <w:i/>
        </w:rPr>
        <w:t>See supra</w:t>
      </w:r>
      <w:r w:rsidRPr="00A066FB">
        <w:t xml:space="preserve"> note 67.</w:t>
      </w:r>
    </w:p>
  </w:footnote>
  <w:footnote w:id="120">
    <w:p w14:paraId="425E67CE"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 xml:space="preserve">See </w:t>
      </w:r>
      <w:r w:rsidRPr="00A066FB">
        <w:t>Viacom LOI Response at 10; ESPN LOI Response at 5; and NBCUniversal LOI Response at 7.</w:t>
      </w:r>
    </w:p>
  </w:footnote>
  <w:footnote w:id="121">
    <w:p w14:paraId="3AC12912" w14:textId="77777777" w:rsidR="00A066FB" w:rsidRPr="00A066FB" w:rsidRDefault="00A066FB" w:rsidP="00CC38DC">
      <w:pPr>
        <w:pStyle w:val="FootnoteText"/>
      </w:pPr>
      <w:r w:rsidRPr="00A066FB">
        <w:rPr>
          <w:rStyle w:val="FootnoteReference"/>
        </w:rPr>
        <w:footnoteRef/>
      </w:r>
      <w:r w:rsidRPr="00A066FB">
        <w:t xml:space="preserve"> By contrast, the Hoax Rule is more narrow in scope and applies specifically to situations where licensees can be held liable “only when they know the report to be false and can foresee that the report will, and does in fact, result in substantial public harm.”  </w:t>
      </w:r>
      <w:r w:rsidRPr="00A066FB">
        <w:rPr>
          <w:i/>
        </w:rPr>
        <w:t>See Amendment of Part 73 Regarding Broadcast Hoaxes</w:t>
      </w:r>
      <w:r w:rsidRPr="00A066FB">
        <w:t>, Report and Order, 7 FCC Rcd. 4106, para. 9 (1992).</w:t>
      </w:r>
    </w:p>
  </w:footnote>
  <w:footnote w:id="122">
    <w:p w14:paraId="1F516C36" w14:textId="77777777" w:rsidR="00A066FB" w:rsidRPr="00A066FB" w:rsidRDefault="00A066FB" w:rsidP="002263E3">
      <w:pPr>
        <w:pStyle w:val="FootnoteText"/>
      </w:pPr>
      <w:r w:rsidRPr="00A066FB">
        <w:rPr>
          <w:rStyle w:val="FootnoteReference"/>
        </w:rPr>
        <w:footnoteRef/>
      </w:r>
      <w:r w:rsidRPr="00A066FB">
        <w:t xml:space="preserve"> 47 U.S.C. § 325(a).</w:t>
      </w:r>
    </w:p>
  </w:footnote>
  <w:footnote w:id="123">
    <w:p w14:paraId="11B110D6"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 1994 EBS Order</w:t>
      </w:r>
      <w:r w:rsidRPr="00A066FB">
        <w:t xml:space="preserve">, 10 FCC Rcd at 1815, para. 84; </w:t>
      </w:r>
      <w:r w:rsidRPr="00A066FB">
        <w:rPr>
          <w:i/>
        </w:rPr>
        <w:t>Turner</w:t>
      </w:r>
      <w:r w:rsidRPr="00A066FB">
        <w:t>, 28 FCC Rcd at 15459, para. 10</w:t>
      </w:r>
      <w:r w:rsidRPr="00A066FB">
        <w:rPr>
          <w:i/>
        </w:rPr>
        <w:t xml:space="preserve">. </w:t>
      </w:r>
    </w:p>
  </w:footnote>
  <w:footnote w:id="124">
    <w:p w14:paraId="50DFA494" w14:textId="77777777" w:rsidR="00A066FB" w:rsidRPr="00A066FB" w:rsidRDefault="00A066FB" w:rsidP="002263E3">
      <w:pPr>
        <w:pStyle w:val="FootnoteText"/>
      </w:pPr>
      <w:r w:rsidRPr="00A066FB">
        <w:rPr>
          <w:rStyle w:val="FootnoteReference"/>
        </w:rPr>
        <w:footnoteRef/>
      </w:r>
      <w:r w:rsidRPr="00A066FB">
        <w:t xml:space="preserve"> We also believe that such false use of the EAS Tones to draw attention to a commercial advertisement for a movie or any other product is inherently deceptive.</w:t>
      </w:r>
    </w:p>
  </w:footnote>
  <w:footnote w:id="125">
    <w:p w14:paraId="2EB99C81"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See</w:t>
      </w:r>
      <w:r w:rsidRPr="00A066FB">
        <w:t xml:space="preserve"> First Complaint; Second Complaint; Third Complaint.  In addition, audiences that rely primarily on audio cues (such as those with visual impairments or those listening from another room) would reasonably focus on such sounds. </w:t>
      </w:r>
    </w:p>
  </w:footnote>
  <w:footnote w:id="126">
    <w:p w14:paraId="21B5D96E" w14:textId="77777777" w:rsidR="00A066FB" w:rsidRPr="00A066FB" w:rsidRDefault="00A066FB" w:rsidP="006E6D9D">
      <w:pPr>
        <w:pStyle w:val="FootnoteText"/>
      </w:pPr>
      <w:r w:rsidRPr="00A066FB">
        <w:rPr>
          <w:rStyle w:val="FootnoteReference"/>
        </w:rPr>
        <w:footnoteRef/>
      </w:r>
      <w:r w:rsidRPr="00A066FB">
        <w:t xml:space="preserve"> </w:t>
      </w:r>
      <w:r w:rsidRPr="00A066FB">
        <w:rPr>
          <w:i/>
        </w:rPr>
        <w:t>See</w:t>
      </w:r>
      <w:r w:rsidRPr="00A066FB">
        <w:t xml:space="preserve"> </w:t>
      </w:r>
      <w:r w:rsidRPr="00A066FB">
        <w:rPr>
          <w:i/>
        </w:rPr>
        <w:t xml:space="preserve">supra </w:t>
      </w:r>
      <w:r w:rsidRPr="00A066FB">
        <w:t>note 12.</w:t>
      </w:r>
    </w:p>
  </w:footnote>
  <w:footnote w:id="127">
    <w:p w14:paraId="58631F43"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See</w:t>
      </w:r>
      <w:r w:rsidRPr="00A066FB">
        <w:t xml:space="preserve"> </w:t>
      </w:r>
      <w:r w:rsidRPr="00A066FB">
        <w:rPr>
          <w:i/>
        </w:rPr>
        <w:t>Commission’s Forfeiture Policy Statement and Amendment of Section 1.80 of the Rules to Incorporate the Forfeiture Guidelines</w:t>
      </w:r>
      <w:r w:rsidRPr="00A066FB">
        <w:t xml:space="preserve">, Report and Order, 12 FCC Rcd 17087, 17113 (1997), </w:t>
      </w:r>
      <w:r w:rsidRPr="00A066FB">
        <w:rPr>
          <w:i/>
        </w:rPr>
        <w:t>recons. denied</w:t>
      </w:r>
      <w:r w:rsidRPr="00A066FB">
        <w:t>, 15 FCC Rcd 303 (1999) (</w:t>
      </w:r>
      <w:r w:rsidRPr="00A066FB">
        <w:rPr>
          <w:i/>
        </w:rPr>
        <w:t>Forfeiture Policy Statement</w:t>
      </w:r>
      <w:r w:rsidRPr="00A066FB">
        <w:t>).</w:t>
      </w:r>
    </w:p>
  </w:footnote>
  <w:footnote w:id="128">
    <w:p w14:paraId="6DB3200F"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See</w:t>
      </w:r>
      <w:r w:rsidRPr="00A066FB">
        <w:t xml:space="preserve"> 47 U.S.C. § 503(b)(2)(E); 47 C.F.R. § 1.80(b)(8).</w:t>
      </w:r>
    </w:p>
  </w:footnote>
  <w:footnote w:id="129">
    <w:p w14:paraId="0BE1CDAC" w14:textId="77777777" w:rsidR="00A066FB" w:rsidRPr="00A066FB" w:rsidRDefault="00A066FB" w:rsidP="009D6C0B">
      <w:pPr>
        <w:pStyle w:val="FootnoteTextA"/>
        <w:spacing w:after="120"/>
        <w:rPr>
          <w:rFonts w:ascii="Times New Roman" w:eastAsia="Times New Roman" w:hAnsi="Times New Roman"/>
          <w:color w:val="auto"/>
        </w:rPr>
      </w:pPr>
      <w:r w:rsidRPr="00A066FB">
        <w:rPr>
          <w:rFonts w:ascii="Times New Roman" w:hAnsi="Times New Roman"/>
          <w:vertAlign w:val="superscript"/>
        </w:rPr>
        <w:footnoteRef/>
      </w:r>
      <w:r w:rsidRPr="00A066FB">
        <w:rPr>
          <w:rFonts w:ascii="Times New Roman" w:hAnsi="Times New Roman"/>
        </w:rPr>
        <w:t xml:space="preserve"> </w:t>
      </w:r>
      <w:r w:rsidRPr="00A066FB">
        <w:rPr>
          <w:rFonts w:ascii="Times New Roman" w:hAnsi="Times New Roman"/>
          <w:i/>
          <w:iCs/>
        </w:rPr>
        <w:t>See</w:t>
      </w:r>
      <w:r w:rsidRPr="00A066FB">
        <w:rPr>
          <w:rFonts w:ascii="Times New Roman" w:hAnsi="Times New Roman"/>
        </w:rPr>
        <w:t xml:space="preserve"> 47 U.S.C. § 503(b)(2); 47 C.F.R. § 1.80(b).  </w:t>
      </w:r>
      <w:r w:rsidRPr="00A066FB">
        <w:rPr>
          <w:rFonts w:ascii="Times New Roman" w:hAnsi="Times New Roman"/>
          <w:i/>
          <w:iCs/>
        </w:rPr>
        <w:t xml:space="preserve">See also </w:t>
      </w:r>
      <w:r w:rsidRPr="00A066FB">
        <w:rPr>
          <w:rFonts w:ascii="Times New Roman" w:hAnsi="Times New Roman"/>
        </w:rPr>
        <w:t xml:space="preserve">Federal Civil Penalties Inflation Adjustment Act of 1990, Pub. L. No. 101-410, 104 Stat. 890, </w:t>
      </w:r>
      <w:r w:rsidRPr="00A066FB">
        <w:rPr>
          <w:rFonts w:ascii="Times New Roman" w:hAnsi="Times New Roman"/>
          <w:i/>
          <w:iCs/>
        </w:rPr>
        <w:t>amended by</w:t>
      </w:r>
      <w:r w:rsidRPr="00A066FB">
        <w:rPr>
          <w:rFonts w:ascii="Times New Roman" w:hAnsi="Times New Roman"/>
        </w:rPr>
        <w:t xml:space="preserve"> Debt Collection Improvement Act of 1996, Pub. L. No. 104-134, Sec. 31001, 110 Stat. 1321 (codified as amended at 28 U.S.C. § 2461 note (4)); </w:t>
      </w:r>
      <w:r w:rsidRPr="00A066FB">
        <w:rPr>
          <w:rFonts w:ascii="Times New Roman" w:hAnsi="Times New Roman"/>
          <w:i/>
          <w:iCs/>
        </w:rPr>
        <w:t>Inflation Adjustment of Maximum Forfeiture Penalties</w:t>
      </w:r>
      <w:r w:rsidRPr="00A066FB">
        <w:rPr>
          <w:rFonts w:ascii="Times New Roman" w:hAnsi="Times New Roman"/>
        </w:rPr>
        <w:t xml:space="preserve">, Rules and Regulations, 73 Fed. Reg. 44663, 44664 (July 31, 2008) (applicable for violations that occurred after Sept. 2, 2008, but before Sept. 13, 2013); </w:t>
      </w:r>
      <w:r w:rsidRPr="00A066FB">
        <w:rPr>
          <w:rFonts w:ascii="Times New Roman" w:hAnsi="Times New Roman"/>
          <w:i/>
          <w:iCs/>
        </w:rPr>
        <w:t>Amendment of Section 1.80(b) of the Commission’s Rules, Adjustment of Civil Monetary Penalties to Reflect Inflation</w:t>
      </w:r>
      <w:r w:rsidRPr="00A066FB">
        <w:rPr>
          <w:rFonts w:ascii="Times New Roman" w:hAnsi="Times New Roman"/>
        </w:rPr>
        <w:t xml:space="preserve">, Order, 28 FCC Rcd 10785 (Enf. Bur. 2013); </w:t>
      </w:r>
      <w:r w:rsidRPr="00A066FB">
        <w:rPr>
          <w:rFonts w:ascii="Times New Roman" w:hAnsi="Times New Roman"/>
          <w:i/>
          <w:iCs/>
        </w:rPr>
        <w:t>Inflation Adjustment of Maximum Forfeiture Penalties</w:t>
      </w:r>
      <w:r w:rsidRPr="00A066FB">
        <w:rPr>
          <w:rFonts w:ascii="Times New Roman" w:hAnsi="Times New Roman"/>
          <w:iCs/>
        </w:rPr>
        <w:t xml:space="preserve">, Rules and Regulations, 78 Fed. Reg. 49370 (Aug. 14, 2013) </w:t>
      </w:r>
      <w:r w:rsidRPr="00A066FB">
        <w:rPr>
          <w:rFonts w:ascii="Times New Roman" w:hAnsi="Times New Roman"/>
        </w:rPr>
        <w:t>(applicable for violations that occurred after Sept. 13, 2013).</w:t>
      </w:r>
    </w:p>
  </w:footnote>
  <w:footnote w:id="130">
    <w:p w14:paraId="709BFA73"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See Turner II</w:t>
      </w:r>
      <w:r w:rsidRPr="00A066FB">
        <w:t>,</w:t>
      </w:r>
      <w:r w:rsidRPr="00A066FB">
        <w:rPr>
          <w:i/>
        </w:rPr>
        <w:t xml:space="preserve"> </w:t>
      </w:r>
      <w:r w:rsidRPr="00A066FB">
        <w:rPr>
          <w:rStyle w:val="documentbody"/>
        </w:rPr>
        <w:t>2014 WL 172669, at *4, para.13</w:t>
      </w:r>
      <w:r w:rsidRPr="00A066FB">
        <w:t>.</w:t>
      </w:r>
    </w:p>
  </w:footnote>
  <w:footnote w:id="131">
    <w:p w14:paraId="2AE40C1C" w14:textId="77777777" w:rsidR="00A066FB" w:rsidRPr="00A066FB" w:rsidRDefault="00A066FB" w:rsidP="002263E3">
      <w:pPr>
        <w:pStyle w:val="FootnoteText"/>
      </w:pPr>
      <w:r w:rsidRPr="00A066FB">
        <w:rPr>
          <w:rStyle w:val="FootnoteReference"/>
        </w:rPr>
        <w:footnoteRef/>
      </w:r>
      <w:r w:rsidRPr="00A066FB">
        <w:t xml:space="preserve"> </w:t>
      </w:r>
      <w:r w:rsidRPr="00A066FB">
        <w:rPr>
          <w:i/>
        </w:rPr>
        <w:t>Id</w:t>
      </w:r>
      <w:r w:rsidRPr="00A066FB">
        <w:t>.</w:t>
      </w:r>
    </w:p>
  </w:footnote>
  <w:footnote w:id="132">
    <w:p w14:paraId="09B14B3E"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See</w:t>
      </w:r>
      <w:r w:rsidRPr="00A066FB">
        <w:t xml:space="preserve"> Viacom Annual Report </w:t>
      </w:r>
      <w:r w:rsidRPr="00A066FB">
        <w:rPr>
          <w:i/>
        </w:rPr>
        <w:t>supra</w:t>
      </w:r>
      <w:r w:rsidRPr="00A066FB">
        <w:t xml:space="preserve"> note 62 at 9.</w:t>
      </w:r>
    </w:p>
  </w:footnote>
  <w:footnote w:id="133">
    <w:p w14:paraId="71A03E6C" w14:textId="77777777" w:rsidR="00A066FB" w:rsidRPr="00A066FB" w:rsidRDefault="00A066FB" w:rsidP="006E6D9D">
      <w:pPr>
        <w:pStyle w:val="FootnoteText"/>
      </w:pPr>
      <w:r w:rsidRPr="00A066FB">
        <w:rPr>
          <w:rStyle w:val="FootnoteReference"/>
        </w:rPr>
        <w:footnoteRef/>
      </w:r>
      <w:r w:rsidRPr="00A066FB">
        <w:t xml:space="preserve"> </w:t>
      </w:r>
      <w:r w:rsidRPr="00A066FB">
        <w:rPr>
          <w:i/>
        </w:rPr>
        <w:t>See</w:t>
      </w:r>
      <w:r w:rsidRPr="00A066FB">
        <w:t xml:space="preserve"> NBCUniversal Annual Report </w:t>
      </w:r>
      <w:r w:rsidRPr="00A066FB">
        <w:rPr>
          <w:i/>
        </w:rPr>
        <w:t>supra</w:t>
      </w:r>
      <w:r w:rsidRPr="00A066FB">
        <w:t xml:space="preserve"> note 62 at 2.</w:t>
      </w:r>
    </w:p>
  </w:footnote>
  <w:footnote w:id="134">
    <w:p w14:paraId="2B879837" w14:textId="77777777" w:rsidR="00A066FB" w:rsidRPr="00A066FB" w:rsidRDefault="00A066FB" w:rsidP="006E6D9D">
      <w:pPr>
        <w:pStyle w:val="FootnoteText"/>
      </w:pPr>
      <w:r w:rsidRPr="00A066FB">
        <w:rPr>
          <w:rStyle w:val="FootnoteReference"/>
        </w:rPr>
        <w:footnoteRef/>
      </w:r>
      <w:r w:rsidRPr="00A066FB">
        <w:t xml:space="preserve"> </w:t>
      </w:r>
      <w:r w:rsidRPr="00A066FB">
        <w:rPr>
          <w:i/>
        </w:rPr>
        <w:t>See</w:t>
      </w:r>
      <w:r w:rsidRPr="00A066FB">
        <w:t xml:space="preserve"> WDC Annual Report </w:t>
      </w:r>
      <w:r w:rsidRPr="00A066FB">
        <w:rPr>
          <w:i/>
        </w:rPr>
        <w:t>supra</w:t>
      </w:r>
      <w:r w:rsidRPr="00A066FB">
        <w:t xml:space="preserve"> note 62 at 2.</w:t>
      </w:r>
    </w:p>
  </w:footnote>
  <w:footnote w:id="135">
    <w:p w14:paraId="0BE74DE0" w14:textId="77777777" w:rsidR="00A066FB" w:rsidRPr="00A066FB" w:rsidRDefault="00A066FB" w:rsidP="006E6D9D">
      <w:pPr>
        <w:pStyle w:val="FootnoteText"/>
      </w:pPr>
      <w:r w:rsidRPr="00A066FB">
        <w:rPr>
          <w:rStyle w:val="FootnoteReference"/>
        </w:rPr>
        <w:footnoteRef/>
      </w:r>
      <w:r w:rsidRPr="00A066FB">
        <w:t xml:space="preserve"> </w:t>
      </w:r>
      <w:r w:rsidRPr="00A066FB">
        <w:rPr>
          <w:i/>
        </w:rPr>
        <w:t>See</w:t>
      </w:r>
      <w:r w:rsidRPr="00A066FB">
        <w:t xml:space="preserve"> Viacom Annual Report </w:t>
      </w:r>
      <w:r w:rsidRPr="00A066FB">
        <w:rPr>
          <w:i/>
        </w:rPr>
        <w:t>supra</w:t>
      </w:r>
      <w:r w:rsidRPr="00A066FB">
        <w:t xml:space="preserve"> note 62</w:t>
      </w:r>
      <w:r w:rsidRPr="00A066FB">
        <w:rPr>
          <w:i/>
        </w:rPr>
        <w:t xml:space="preserve"> </w:t>
      </w:r>
      <w:r w:rsidRPr="00A066FB">
        <w:t>at 35–36.</w:t>
      </w:r>
    </w:p>
  </w:footnote>
  <w:footnote w:id="136">
    <w:p w14:paraId="43A34053" w14:textId="77777777" w:rsidR="00A066FB" w:rsidRPr="00A066FB" w:rsidRDefault="00A066FB" w:rsidP="006E6D9D">
      <w:pPr>
        <w:pStyle w:val="FootnoteText"/>
      </w:pPr>
      <w:r w:rsidRPr="00A066FB">
        <w:rPr>
          <w:rStyle w:val="FootnoteReference"/>
        </w:rPr>
        <w:footnoteRef/>
      </w:r>
      <w:r w:rsidRPr="00A066FB">
        <w:t xml:space="preserve"> </w:t>
      </w:r>
      <w:r w:rsidRPr="00A066FB">
        <w:rPr>
          <w:i/>
        </w:rPr>
        <w:t>See</w:t>
      </w:r>
      <w:r w:rsidRPr="00A066FB">
        <w:t xml:space="preserve"> NBCUniversal Annual Report </w:t>
      </w:r>
      <w:r w:rsidRPr="00A066FB">
        <w:rPr>
          <w:i/>
        </w:rPr>
        <w:t>supra</w:t>
      </w:r>
      <w:r w:rsidRPr="00A066FB">
        <w:t xml:space="preserve"> note 62 at 25, 28.</w:t>
      </w:r>
    </w:p>
  </w:footnote>
  <w:footnote w:id="137">
    <w:p w14:paraId="68E78199" w14:textId="77777777" w:rsidR="00A066FB" w:rsidRPr="00A066FB" w:rsidRDefault="00A066FB" w:rsidP="006E6D9D">
      <w:pPr>
        <w:pStyle w:val="FootnoteText"/>
      </w:pPr>
      <w:r w:rsidRPr="00A066FB">
        <w:rPr>
          <w:rStyle w:val="FootnoteReference"/>
        </w:rPr>
        <w:footnoteRef/>
      </w:r>
      <w:r w:rsidRPr="00A066FB">
        <w:t xml:space="preserve"> </w:t>
      </w:r>
      <w:r w:rsidRPr="00A066FB">
        <w:rPr>
          <w:i/>
        </w:rPr>
        <w:t>See</w:t>
      </w:r>
      <w:r w:rsidRPr="00A066FB">
        <w:t xml:space="preserve"> WDC Annual Report </w:t>
      </w:r>
      <w:r w:rsidRPr="00A066FB">
        <w:rPr>
          <w:i/>
        </w:rPr>
        <w:t>supra</w:t>
      </w:r>
      <w:r w:rsidRPr="00A066FB">
        <w:t xml:space="preserve"> note 62 at 70.</w:t>
      </w:r>
    </w:p>
  </w:footnote>
  <w:footnote w:id="138">
    <w:p w14:paraId="1463B56F" w14:textId="77777777" w:rsidR="00A066FB" w:rsidRPr="00A066FB" w:rsidRDefault="00A066FB" w:rsidP="002263E3">
      <w:pPr>
        <w:spacing w:after="60"/>
        <w:rPr>
          <w:color w:val="000000"/>
          <w:sz w:val="20"/>
        </w:rPr>
      </w:pPr>
      <w:r w:rsidRPr="00A066FB">
        <w:rPr>
          <w:rStyle w:val="FootnoteReference"/>
        </w:rPr>
        <w:footnoteRef/>
      </w:r>
      <w:r w:rsidRPr="00A066FB">
        <w:rPr>
          <w:sz w:val="20"/>
        </w:rPr>
        <w:t xml:space="preserve"> </w:t>
      </w:r>
      <w:r w:rsidRPr="00A066FB">
        <w:rPr>
          <w:color w:val="000000"/>
          <w:sz w:val="20"/>
        </w:rPr>
        <w:t>Specifically, the Commission found:</w:t>
      </w:r>
    </w:p>
    <w:p w14:paraId="5034178C" w14:textId="77777777" w:rsidR="00A066FB" w:rsidRPr="00A066FB" w:rsidRDefault="00A066FB" w:rsidP="002263E3">
      <w:pPr>
        <w:widowControl/>
        <w:spacing w:after="60"/>
        <w:ind w:left="720" w:right="720"/>
        <w:rPr>
          <w:color w:val="000000"/>
          <w:sz w:val="20"/>
        </w:rPr>
      </w:pPr>
      <w:r w:rsidRPr="00A066FB">
        <w:rPr>
          <w:color w:val="000000"/>
          <w:sz w:val="20"/>
        </w:rPr>
        <w:t>[O]n the other end of the spectrum of potential violators, we recognize that for large or highly profitable communications entities, the base forfeiture amounts . . . are generally low.  In this regard, we are mindful that, as Congress has stated, for a forfeiture to be an effective deterrent against these entities, the forfeiture must be issued at a high level.  For this reason, we caution all entities and individuals that, independent from the uniform base forfeiture amounts . . . we intend to take into account the subject violator’s ability to pay in determining the amount of a forfeiture to guarantee that forfeitures issued against large or highly profitable entities are not considered merely an affordable cost of doing business.  Such large or highly profitable entities should expect in this regard that the forfeiture amount set out in a Notice of Apparent Liability against them may in many cases be above, or even well above, the relevant base amount.</w:t>
      </w:r>
    </w:p>
    <w:p w14:paraId="797846D9" w14:textId="4747D91E" w:rsidR="00A066FB" w:rsidRPr="00A066FB" w:rsidRDefault="00AD3848" w:rsidP="00EF0A42">
      <w:pPr>
        <w:pStyle w:val="FootnoteText"/>
      </w:pPr>
      <w:hyperlink r:id="rId3" w:tgtFrame="_top" w:history="1">
        <w:r w:rsidR="00A066FB" w:rsidRPr="00A066FB">
          <w:rPr>
            <w:i/>
            <w:iCs/>
          </w:rPr>
          <w:t>Forfeiture Policy Statement</w:t>
        </w:r>
        <w:r w:rsidR="00A066FB" w:rsidRPr="00A066FB">
          <w:t>, 12 FCC Rcd at 17099–100, para. 24</w:t>
        </w:r>
      </w:hyperlink>
      <w:r w:rsidR="00A066FB" w:rsidRPr="00A066FB">
        <w:t>.</w:t>
      </w:r>
    </w:p>
  </w:footnote>
  <w:footnote w:id="139">
    <w:p w14:paraId="1642EFBE" w14:textId="59C7FA1E" w:rsidR="00A066FB" w:rsidRPr="00A066FB" w:rsidRDefault="00A066FB" w:rsidP="00CC38DC">
      <w:pPr>
        <w:pStyle w:val="FootnoteText"/>
      </w:pPr>
      <w:r w:rsidRPr="00A066FB">
        <w:rPr>
          <w:rStyle w:val="FootnoteReference"/>
        </w:rPr>
        <w:footnoteRef/>
      </w:r>
      <w:r w:rsidRPr="00A066FB">
        <w:t xml:space="preserve"> </w:t>
      </w:r>
      <w:r w:rsidRPr="00A066FB">
        <w:rPr>
          <w:i/>
          <w:iCs/>
          <w:color w:val="000000"/>
        </w:rPr>
        <w:t>See, e.g</w:t>
      </w:r>
      <w:r w:rsidRPr="00A066FB">
        <w:rPr>
          <w:i/>
          <w:iCs/>
        </w:rPr>
        <w:t>.</w:t>
      </w:r>
      <w:r w:rsidRPr="00A066FB">
        <w:t>,</w:t>
      </w:r>
      <w:r w:rsidRPr="00A066FB">
        <w:rPr>
          <w:i/>
          <w:iCs/>
        </w:rPr>
        <w:t xml:space="preserve"> </w:t>
      </w:r>
      <w:hyperlink r:id="rId4" w:tgtFrame="_top" w:history="1">
        <w:r w:rsidRPr="00A066FB">
          <w:rPr>
            <w:i/>
            <w:iCs/>
          </w:rPr>
          <w:t>Guy Gannett Publishing Co.</w:t>
        </w:r>
        <w:r w:rsidRPr="00A066FB">
          <w:t>, Memorandum Opinion and Order, 5 FCC Rcd 7688, 7689, para. 12 (Mass Media Bur. 1990)</w:t>
        </w:r>
      </w:hyperlink>
      <w:r w:rsidRPr="00A066FB">
        <w:rPr>
          <w:color w:val="000000"/>
        </w:rPr>
        <w:t xml:space="preserve"> (</w:t>
      </w:r>
      <w:r w:rsidRPr="00A066FB">
        <w:rPr>
          <w:i/>
          <w:color w:val="000000"/>
        </w:rPr>
        <w:t>Guy Gannett Publishing</w:t>
      </w:r>
      <w:r w:rsidRPr="00A066FB">
        <w:rPr>
          <w:color w:val="000000"/>
        </w:rPr>
        <w:t>) (“[T]he Commission generally considers prompt and effective remedial action by a licensee as mitigative in determining the appropriate sanction level in an enforcement proceeding.”).</w:t>
      </w:r>
    </w:p>
  </w:footnote>
  <w:footnote w:id="140">
    <w:p w14:paraId="20F3F7B5" w14:textId="77777777" w:rsidR="00A066FB" w:rsidRPr="00A066FB" w:rsidRDefault="00A066FB" w:rsidP="00D876E0">
      <w:pPr>
        <w:pStyle w:val="FootnoteText"/>
      </w:pPr>
      <w:r w:rsidRPr="00A066FB">
        <w:rPr>
          <w:rStyle w:val="FootnoteReference"/>
        </w:rPr>
        <w:footnoteRef/>
      </w:r>
      <w:r w:rsidRPr="00A066FB">
        <w:t xml:space="preserve"> </w:t>
      </w:r>
      <w:r w:rsidRPr="00A066FB">
        <w:rPr>
          <w:i/>
        </w:rPr>
        <w:t>See</w:t>
      </w:r>
      <w:r w:rsidRPr="00A066FB">
        <w:t xml:space="preserve"> Viacom LOI Response at 5; ESPN LOI Response at 8.</w:t>
      </w:r>
    </w:p>
  </w:footnote>
  <w:footnote w:id="141">
    <w:p w14:paraId="4A72B09F" w14:textId="77777777" w:rsidR="00A066FB" w:rsidRPr="00A066FB" w:rsidRDefault="00A066FB" w:rsidP="00FE60E5">
      <w:pPr>
        <w:pStyle w:val="FootnoteText"/>
      </w:pPr>
      <w:r w:rsidRPr="00A066FB">
        <w:rPr>
          <w:rStyle w:val="FootnoteReference"/>
        </w:rPr>
        <w:footnoteRef/>
      </w:r>
      <w:r w:rsidRPr="00A066FB">
        <w:t xml:space="preserve"> </w:t>
      </w:r>
      <w:r w:rsidRPr="00A066FB">
        <w:rPr>
          <w:i/>
        </w:rPr>
        <w:t>See</w:t>
      </w:r>
      <w:r w:rsidRPr="00A066FB">
        <w:t xml:space="preserve"> NBCUniversal LOI Response at 2.</w:t>
      </w:r>
    </w:p>
  </w:footnote>
  <w:footnote w:id="142">
    <w:p w14:paraId="2CEEA3BF" w14:textId="51606796" w:rsidR="00A066FB" w:rsidRPr="00A066FB" w:rsidRDefault="00A066FB" w:rsidP="00EF0A42">
      <w:pPr>
        <w:pStyle w:val="FootnoteText"/>
      </w:pPr>
      <w:r w:rsidRPr="00A066FB">
        <w:rPr>
          <w:rStyle w:val="FootnoteReference"/>
        </w:rPr>
        <w:footnoteRef/>
      </w:r>
      <w:r w:rsidRPr="00A066FB">
        <w:t xml:space="preserve"> </w:t>
      </w:r>
      <w:r w:rsidRPr="00A066FB">
        <w:rPr>
          <w:i/>
          <w:iCs/>
        </w:rPr>
        <w:t>See, e.g.</w:t>
      </w:r>
      <w:r w:rsidRPr="00A066FB">
        <w:rPr>
          <w:iCs/>
        </w:rPr>
        <w:t>,</w:t>
      </w:r>
      <w:r w:rsidRPr="00A066FB">
        <w:rPr>
          <w:i/>
          <w:iCs/>
        </w:rPr>
        <w:t xml:space="preserve"> </w:t>
      </w:r>
      <w:r w:rsidRPr="00A066FB">
        <w:rPr>
          <w:i/>
        </w:rPr>
        <w:t>Seawest Yacht Brokers</w:t>
      </w:r>
      <w:r w:rsidRPr="00A066FB">
        <w:t xml:space="preserve">, Forfeiture Order, 9 FCC Rcd 6099 (1994) (“[C]orrective action taken to come into compliance with Commission rules or policy is expected, and does not nullify or mitigate any prior forfeitures or violations.”) (citations omitted); </w:t>
      </w:r>
      <w:hyperlink r:id="rId5" w:tgtFrame="_top" w:history="1">
        <w:r w:rsidRPr="00A066FB">
          <w:rPr>
            <w:i/>
            <w:iCs/>
          </w:rPr>
          <w:t>Colby-Sawyer College</w:t>
        </w:r>
        <w:r w:rsidRPr="00A066FB">
          <w:t>, Forfeiture Order, 26 FCC Rcd 9302, 9303, para. 7 (Media Bur. 2011)</w:t>
        </w:r>
      </w:hyperlink>
      <w:r w:rsidRPr="00A066FB">
        <w:t xml:space="preserve"> (forfeiture paid) (</w:t>
      </w:r>
      <w:r w:rsidRPr="00A066FB">
        <w:rPr>
          <w:i/>
        </w:rPr>
        <w:t>Colby-Sawyer College</w:t>
      </w:r>
      <w:r w:rsidRPr="00A066FB">
        <w:t>) (“Corrective action taken to come into compliance with the Rules is expected, and does not mitigate, much less negate, any prior forfeitures or violations.”).</w:t>
      </w:r>
    </w:p>
  </w:footnote>
  <w:footnote w:id="143">
    <w:p w14:paraId="5A0CA403" w14:textId="77777777" w:rsidR="00A066FB" w:rsidRPr="00A066FB" w:rsidRDefault="00A066FB" w:rsidP="00EF0A42">
      <w:pPr>
        <w:pStyle w:val="FootnoteText"/>
      </w:pPr>
      <w:r w:rsidRPr="00A066FB">
        <w:rPr>
          <w:rStyle w:val="FootnoteReference"/>
        </w:rPr>
        <w:footnoteRef/>
      </w:r>
      <w:r w:rsidRPr="00A066FB">
        <w:t xml:space="preserve"> </w:t>
      </w:r>
      <w:r w:rsidRPr="00A066FB">
        <w:rPr>
          <w:i/>
          <w:iCs/>
        </w:rPr>
        <w:t>See Guy Gannett Publishin</w:t>
      </w:r>
      <w:r w:rsidRPr="00A066FB">
        <w:t>g</w:t>
      </w:r>
      <w:r w:rsidRPr="00A066FB">
        <w:rPr>
          <w:i/>
          <w:color w:val="000000"/>
        </w:rPr>
        <w:t xml:space="preserve"> supra</w:t>
      </w:r>
      <w:r>
        <w:rPr>
          <w:color w:val="000000"/>
        </w:rPr>
        <w:t xml:space="preserve"> note 138</w:t>
      </w:r>
      <w:r w:rsidRPr="00A066FB">
        <w:rPr>
          <w:color w:val="000000"/>
        </w:rPr>
        <w:t>.</w:t>
      </w:r>
    </w:p>
  </w:footnote>
  <w:footnote w:id="144">
    <w:p w14:paraId="31FCE7D3" w14:textId="77777777" w:rsidR="00A066FB" w:rsidRPr="00A066FB" w:rsidRDefault="00A066FB" w:rsidP="00C21592">
      <w:pPr>
        <w:spacing w:after="120"/>
        <w:rPr>
          <w:sz w:val="20"/>
        </w:rPr>
      </w:pPr>
      <w:r w:rsidRPr="00A066FB">
        <w:rPr>
          <w:rStyle w:val="FootnoteReference"/>
        </w:rPr>
        <w:footnoteRef/>
      </w:r>
      <w:r w:rsidRPr="00A066FB">
        <w:rPr>
          <w:sz w:val="20"/>
        </w:rPr>
        <w:t xml:space="preserve"> As noted above, each of the Companies’ efforts to reform their standards and review processes were undertaken </w:t>
      </w:r>
      <w:r w:rsidRPr="00A066FB">
        <w:rPr>
          <w:i/>
          <w:sz w:val="20"/>
        </w:rPr>
        <w:t>after</w:t>
      </w:r>
      <w:r w:rsidRPr="00A066FB">
        <w:rPr>
          <w:sz w:val="20"/>
        </w:rPr>
        <w:t xml:space="preserve"> the Companies received our LOIs and therefore may not be considered </w:t>
      </w:r>
      <w:r w:rsidRPr="00A066FB">
        <w:rPr>
          <w:i/>
          <w:sz w:val="20"/>
        </w:rPr>
        <w:t>pre-investigative</w:t>
      </w:r>
      <w:r w:rsidRPr="00A066FB">
        <w:rPr>
          <w:sz w:val="20"/>
        </w:rPr>
        <w:t xml:space="preserve"> remedial measures.  </w:t>
      </w:r>
      <w:r w:rsidRPr="00A066FB">
        <w:rPr>
          <w:i/>
          <w:sz w:val="20"/>
        </w:rPr>
        <w:t>See</w:t>
      </w:r>
      <w:r w:rsidRPr="00A066FB">
        <w:rPr>
          <w:sz w:val="20"/>
        </w:rPr>
        <w:t xml:space="preserve"> Viacom LOI Response at 5; ESPN LOI Response at 8; NBCUniversal LOI Response at 2.  Moreover, none of the Companies demonstrate that they took any steps to ameliorate the effects of their prior violations.  </w:t>
      </w:r>
      <w:r w:rsidRPr="00A066FB">
        <w:rPr>
          <w:i/>
          <w:sz w:val="20"/>
        </w:rPr>
        <w:t>See Radio License Holding XI, LLC</w:t>
      </w:r>
      <w:r w:rsidRPr="00A066FB">
        <w:rPr>
          <w:sz w:val="20"/>
        </w:rPr>
        <w:t>, Forfeiture Order,</w:t>
      </w:r>
      <w:r w:rsidRPr="00A066FB">
        <w:rPr>
          <w:i/>
          <w:sz w:val="20"/>
        </w:rPr>
        <w:t xml:space="preserve"> </w:t>
      </w:r>
      <w:r w:rsidRPr="00A066FB">
        <w:rPr>
          <w:sz w:val="20"/>
        </w:rPr>
        <w:t xml:space="preserve">FCC 14-10, </w:t>
      </w:r>
      <w:r w:rsidRPr="00A066FB">
        <w:rPr>
          <w:rStyle w:val="documentbody"/>
          <w:sz w:val="20"/>
        </w:rPr>
        <w:t>2014 WL 522633 at *6, para. 15 (Feb. 10, 2014).</w:t>
      </w:r>
    </w:p>
  </w:footnote>
  <w:footnote w:id="145">
    <w:p w14:paraId="4E56503C" w14:textId="77777777" w:rsidR="00A066FB" w:rsidRPr="00A066FB" w:rsidRDefault="00A066FB" w:rsidP="006E6D9D">
      <w:pPr>
        <w:pStyle w:val="FootnoteText"/>
      </w:pPr>
      <w:r w:rsidRPr="00A066FB">
        <w:rPr>
          <w:rStyle w:val="FootnoteReference"/>
        </w:rPr>
        <w:footnoteRef/>
      </w:r>
      <w:r w:rsidRPr="00A066FB">
        <w:t xml:space="preserve"> </w:t>
      </w:r>
      <w:r w:rsidRPr="00A066FB">
        <w:rPr>
          <w:i/>
        </w:rPr>
        <w:t>See</w:t>
      </w:r>
      <w:r w:rsidRPr="00A066FB">
        <w:t xml:space="preserve"> NBCUniversal LOI Response at 2.</w:t>
      </w:r>
    </w:p>
  </w:footnote>
  <w:footnote w:id="146">
    <w:p w14:paraId="6050EBAE" w14:textId="77777777" w:rsidR="00A066FB" w:rsidRPr="00A066FB" w:rsidRDefault="00A066FB" w:rsidP="00EF0A42">
      <w:pPr>
        <w:pStyle w:val="FootnoteText"/>
      </w:pPr>
      <w:r w:rsidRPr="00A066FB">
        <w:rPr>
          <w:rStyle w:val="FootnoteReference"/>
        </w:rPr>
        <w:footnoteRef/>
      </w:r>
      <w:r w:rsidRPr="00A066FB">
        <w:t xml:space="preserve"> </w:t>
      </w:r>
      <w:r w:rsidRPr="00A066FB">
        <w:rPr>
          <w:i/>
        </w:rPr>
        <w:t>See</w:t>
      </w:r>
      <w:r w:rsidRPr="00A066FB">
        <w:t xml:space="preserve"> </w:t>
      </w:r>
      <w:r w:rsidRPr="00A066FB">
        <w:rPr>
          <w:i/>
          <w:iCs/>
        </w:rPr>
        <w:t>SBC Communications Inc. v. FCC</w:t>
      </w:r>
      <w:r w:rsidRPr="00A066FB">
        <w:t>,</w:t>
      </w:r>
      <w:r w:rsidRPr="00A066FB">
        <w:rPr>
          <w:i/>
          <w:iCs/>
        </w:rPr>
        <w:t xml:space="preserve"> </w:t>
      </w:r>
      <w:r w:rsidRPr="00A066FB">
        <w:t xml:space="preserve">373 F.3d 140, 152 (D.C. Cir. 2004) (noting that “substantial and widespread” behavior with a national scope may warrant an increased forfeiture, and that it is “reasonable to expect that a larger fine might be necessary to deter a large company . . .”); </w:t>
      </w:r>
      <w:r w:rsidRPr="00A066FB">
        <w:rPr>
          <w:i/>
        </w:rPr>
        <w:t>see also Colby-Sawyer College</w:t>
      </w:r>
      <w:r w:rsidRPr="00A066FB">
        <w:t xml:space="preserve"> </w:t>
      </w:r>
      <w:r w:rsidRPr="00A066FB">
        <w:rPr>
          <w:i/>
        </w:rPr>
        <w:t xml:space="preserve">supra </w:t>
      </w:r>
      <w:r w:rsidRPr="00A066FB">
        <w:t>note 14</w:t>
      </w:r>
      <w:r>
        <w:t>1</w:t>
      </w:r>
      <w:r w:rsidRPr="00A066FB">
        <w:t xml:space="preserve">. </w:t>
      </w:r>
    </w:p>
  </w:footnote>
  <w:footnote w:id="147">
    <w:p w14:paraId="1B6E62E8" w14:textId="77777777" w:rsidR="00A066FB" w:rsidRPr="00A066FB" w:rsidRDefault="00A066FB" w:rsidP="00EF0A42">
      <w:pPr>
        <w:pStyle w:val="FootnoteText"/>
      </w:pPr>
      <w:r w:rsidRPr="00A066FB">
        <w:rPr>
          <w:rStyle w:val="FootnoteReference"/>
        </w:rPr>
        <w:footnoteRef/>
      </w:r>
      <w:r w:rsidRPr="00A066FB">
        <w:t xml:space="preserve"> 47 U.S.C. § 503(b).</w:t>
      </w:r>
    </w:p>
  </w:footnote>
  <w:footnote w:id="148">
    <w:p w14:paraId="74D518F2" w14:textId="77777777" w:rsidR="00A066FB" w:rsidRPr="00A066FB" w:rsidRDefault="00A066FB" w:rsidP="00EF0A42">
      <w:pPr>
        <w:pStyle w:val="FootnoteText"/>
      </w:pPr>
      <w:r w:rsidRPr="00A066FB">
        <w:rPr>
          <w:rStyle w:val="FootnoteReference"/>
        </w:rPr>
        <w:footnoteRef/>
      </w:r>
      <w:r w:rsidRPr="00A066FB">
        <w:t xml:space="preserve"> 47 C.F.R. § 1.80.</w:t>
      </w:r>
    </w:p>
  </w:footnote>
  <w:footnote w:id="149">
    <w:p w14:paraId="2E2B04BC" w14:textId="77777777" w:rsidR="00A066FB" w:rsidRPr="00A066FB" w:rsidRDefault="00A066FB" w:rsidP="00EF0A42">
      <w:pPr>
        <w:pStyle w:val="FootnoteText"/>
      </w:pPr>
      <w:r w:rsidRPr="00A066FB">
        <w:rPr>
          <w:rStyle w:val="FootnoteReference"/>
        </w:rPr>
        <w:footnoteRef/>
      </w:r>
      <w:r w:rsidRPr="00A066FB">
        <w:t xml:space="preserve"> 47 C.F.R. § 11.45.</w:t>
      </w:r>
    </w:p>
  </w:footnote>
  <w:footnote w:id="150">
    <w:p w14:paraId="43616DD9" w14:textId="77777777" w:rsidR="00A066FB" w:rsidRPr="00A066FB" w:rsidRDefault="00A066FB" w:rsidP="00EF0A42">
      <w:pPr>
        <w:pStyle w:val="FootnoteText"/>
      </w:pPr>
      <w:r w:rsidRPr="00A066FB">
        <w:rPr>
          <w:rStyle w:val="FootnoteReference"/>
        </w:rPr>
        <w:footnoteRef/>
      </w:r>
      <w:r w:rsidRPr="00A066FB">
        <w:t xml:space="preserve"> 47 U.S.C. § 325(a).</w:t>
      </w:r>
    </w:p>
  </w:footnote>
  <w:footnote w:id="151">
    <w:p w14:paraId="0BBFF79A" w14:textId="77777777" w:rsidR="00A066FB" w:rsidRPr="00A066FB" w:rsidRDefault="00A066FB" w:rsidP="00EF0A42">
      <w:pPr>
        <w:pStyle w:val="FootnoteText"/>
      </w:pPr>
      <w:r w:rsidRPr="00A066FB">
        <w:rPr>
          <w:rStyle w:val="FootnoteReference"/>
        </w:rPr>
        <w:footnoteRef/>
      </w:r>
      <w:r w:rsidRPr="00A066FB">
        <w:t xml:space="preserve"> 47 U.S.C. § 503(b).</w:t>
      </w:r>
    </w:p>
  </w:footnote>
  <w:footnote w:id="152">
    <w:p w14:paraId="5E8A7349" w14:textId="77777777" w:rsidR="00A066FB" w:rsidRPr="00A066FB" w:rsidRDefault="00A066FB" w:rsidP="00EF0A42">
      <w:pPr>
        <w:pStyle w:val="FootnoteText"/>
      </w:pPr>
      <w:r w:rsidRPr="00A066FB">
        <w:rPr>
          <w:rStyle w:val="FootnoteReference"/>
        </w:rPr>
        <w:footnoteRef/>
      </w:r>
      <w:r w:rsidRPr="00A066FB">
        <w:t xml:space="preserve"> 47 C.F.R. § 1.80.</w:t>
      </w:r>
    </w:p>
  </w:footnote>
  <w:footnote w:id="153">
    <w:p w14:paraId="00759509" w14:textId="77777777" w:rsidR="00A066FB" w:rsidRPr="00A066FB" w:rsidRDefault="00A066FB" w:rsidP="00EF0A42">
      <w:pPr>
        <w:pStyle w:val="FootnoteText"/>
      </w:pPr>
      <w:r w:rsidRPr="00A066FB">
        <w:rPr>
          <w:rStyle w:val="FootnoteReference"/>
        </w:rPr>
        <w:footnoteRef/>
      </w:r>
      <w:r w:rsidRPr="00A066FB">
        <w:t xml:space="preserve"> 47 C.F.R. § 11.45.</w:t>
      </w:r>
    </w:p>
  </w:footnote>
  <w:footnote w:id="154">
    <w:p w14:paraId="39E321C2" w14:textId="77777777" w:rsidR="00A066FB" w:rsidRPr="00A066FB" w:rsidRDefault="00A066FB" w:rsidP="00EF0A42">
      <w:pPr>
        <w:pStyle w:val="FootnoteText"/>
      </w:pPr>
      <w:r w:rsidRPr="00A066FB">
        <w:rPr>
          <w:rStyle w:val="FootnoteReference"/>
        </w:rPr>
        <w:footnoteRef/>
      </w:r>
      <w:r w:rsidRPr="00A066FB">
        <w:t xml:space="preserve"> 47 U.S.C. § 325(a).</w:t>
      </w:r>
    </w:p>
  </w:footnote>
  <w:footnote w:id="155">
    <w:p w14:paraId="5992DEC0" w14:textId="77777777" w:rsidR="00A066FB" w:rsidRPr="00A066FB" w:rsidRDefault="00A066FB" w:rsidP="00EF0A42">
      <w:pPr>
        <w:pStyle w:val="FootnoteText"/>
      </w:pPr>
      <w:r w:rsidRPr="00A066FB">
        <w:rPr>
          <w:rStyle w:val="FootnoteReference"/>
        </w:rPr>
        <w:footnoteRef/>
      </w:r>
      <w:r w:rsidRPr="00A066FB">
        <w:t xml:space="preserve"> 47 U.S.C. § 503(b).</w:t>
      </w:r>
    </w:p>
  </w:footnote>
  <w:footnote w:id="156">
    <w:p w14:paraId="727857CB" w14:textId="77777777" w:rsidR="00A066FB" w:rsidRPr="00A066FB" w:rsidRDefault="00A066FB" w:rsidP="00EF0A42">
      <w:pPr>
        <w:pStyle w:val="FootnoteText"/>
      </w:pPr>
      <w:r w:rsidRPr="00A066FB">
        <w:rPr>
          <w:rStyle w:val="FootnoteReference"/>
        </w:rPr>
        <w:footnoteRef/>
      </w:r>
      <w:r w:rsidRPr="00A066FB">
        <w:t xml:space="preserve"> 47 C.F.R. § 1.80.</w:t>
      </w:r>
    </w:p>
  </w:footnote>
  <w:footnote w:id="157">
    <w:p w14:paraId="0DCD041B" w14:textId="77777777" w:rsidR="00A066FB" w:rsidRPr="00A066FB" w:rsidRDefault="00A066FB" w:rsidP="00EF0A42">
      <w:pPr>
        <w:pStyle w:val="FootnoteText"/>
      </w:pPr>
      <w:r w:rsidRPr="00A066FB">
        <w:rPr>
          <w:rStyle w:val="FootnoteReference"/>
        </w:rPr>
        <w:footnoteRef/>
      </w:r>
      <w:r w:rsidRPr="00A066FB">
        <w:t xml:space="preserve"> 47 C.F.R. § 11.45.</w:t>
      </w:r>
    </w:p>
  </w:footnote>
  <w:footnote w:id="158">
    <w:p w14:paraId="0D232EF1" w14:textId="77777777" w:rsidR="00A066FB" w:rsidRPr="00A066FB" w:rsidRDefault="00A066FB" w:rsidP="00EF0A42">
      <w:pPr>
        <w:pStyle w:val="FootnoteText"/>
      </w:pPr>
      <w:r w:rsidRPr="00A066FB">
        <w:rPr>
          <w:rStyle w:val="FootnoteReference"/>
        </w:rPr>
        <w:footnoteRef/>
      </w:r>
      <w:r w:rsidRPr="00A066FB">
        <w:t xml:space="preserve"> 47 U.S.C. § 325(a).</w:t>
      </w:r>
    </w:p>
  </w:footnote>
  <w:footnote w:id="159">
    <w:p w14:paraId="19CC90B2" w14:textId="77777777" w:rsidR="00A066FB" w:rsidRPr="00A066FB" w:rsidRDefault="00A066FB" w:rsidP="00EF0A42">
      <w:pPr>
        <w:pStyle w:val="FootnoteText"/>
      </w:pPr>
      <w:r w:rsidRPr="00A066FB">
        <w:rPr>
          <w:rStyle w:val="FootnoteReference"/>
        </w:rPr>
        <w:footnoteRef/>
      </w:r>
      <w:r w:rsidRPr="00A066FB">
        <w:t xml:space="preserve"> 47 C.F.R. § 1.80.</w:t>
      </w:r>
    </w:p>
  </w:footnote>
  <w:footnote w:id="160">
    <w:p w14:paraId="57D7B888" w14:textId="77777777" w:rsidR="00A066FB" w:rsidRPr="00A066FB" w:rsidRDefault="00A066FB" w:rsidP="00EF0A42">
      <w:pPr>
        <w:pStyle w:val="FootnoteText"/>
        <w:rPr>
          <w:color w:val="000000"/>
        </w:rPr>
      </w:pPr>
      <w:r w:rsidRPr="00A066FB">
        <w:rPr>
          <w:rStyle w:val="FootnoteReference"/>
          <w:color w:val="000000"/>
        </w:rPr>
        <w:footnoteRef/>
      </w:r>
      <w:r w:rsidRPr="00A066FB">
        <w:rPr>
          <w:color w:val="000000"/>
        </w:rPr>
        <w:t xml:space="preserve"> </w:t>
      </w:r>
      <w:r w:rsidRPr="00A066FB">
        <w:rPr>
          <w:rFonts w:eastAsia="MS Mincho" w:cs="Arial"/>
          <w:color w:val="000000"/>
        </w:rPr>
        <w:t>An FCC Form 159 and detailed instructions for completing the form may be obtained at http://www.fcc.gov/Forms/Form159/159.pdf.</w:t>
      </w:r>
    </w:p>
  </w:footnote>
  <w:footnote w:id="161">
    <w:p w14:paraId="09CF1845" w14:textId="77777777" w:rsidR="00A066FB" w:rsidRPr="00A066FB" w:rsidRDefault="00A066FB" w:rsidP="00EF0A42">
      <w:pPr>
        <w:pStyle w:val="FootnoteText"/>
        <w:rPr>
          <w:color w:val="000000"/>
        </w:rPr>
      </w:pPr>
      <w:r w:rsidRPr="00A066FB">
        <w:rPr>
          <w:rStyle w:val="FootnoteReference"/>
          <w:color w:val="000000"/>
        </w:rPr>
        <w:footnoteRef/>
      </w:r>
      <w:r w:rsidRPr="00A066FB">
        <w:rPr>
          <w:color w:val="000000"/>
        </w:rPr>
        <w:t xml:space="preserve"> </w:t>
      </w:r>
      <w:r w:rsidRPr="00A066FB">
        <w:rPr>
          <w:i/>
          <w:color w:val="000000"/>
        </w:rPr>
        <w:t>See</w:t>
      </w:r>
      <w:r w:rsidRPr="00A066FB">
        <w:rPr>
          <w:color w:val="000000"/>
        </w:rPr>
        <w:t xml:space="preserve"> 47 C.F.R. § 1.1914.</w:t>
      </w:r>
    </w:p>
  </w:footnote>
  <w:footnote w:id="162">
    <w:p w14:paraId="68E2C0E4" w14:textId="77777777" w:rsidR="00A066FB" w:rsidRPr="00A066FB" w:rsidRDefault="00A066FB" w:rsidP="00EF0A42">
      <w:pPr>
        <w:pStyle w:val="FootnoteText"/>
      </w:pPr>
      <w:r w:rsidRPr="00A066FB">
        <w:rPr>
          <w:rStyle w:val="FootnoteReference"/>
        </w:rPr>
        <w:footnoteRef/>
      </w:r>
      <w:r w:rsidRPr="00A066FB">
        <w:t xml:space="preserve"> For purposes of the forfeiture proceeding initiated by this NAL</w:t>
      </w:r>
      <w:r w:rsidRPr="00A066FB">
        <w:rPr>
          <w:i/>
        </w:rPr>
        <w:t xml:space="preserve">, </w:t>
      </w:r>
      <w:r w:rsidRPr="00A066FB">
        <w:t>Viacom Inc., NBCUniversal Media, LLC, and ESPN Inc. shall be the only parties to this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BAF21" w14:textId="77777777" w:rsidR="00164C8A" w:rsidRDefault="00164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0A70F" w14:textId="77777777" w:rsidR="00A066FB" w:rsidRPr="00D33545" w:rsidRDefault="00A066FB" w:rsidP="00D33545">
    <w:pPr>
      <w:tabs>
        <w:tab w:val="center" w:pos="4680"/>
        <w:tab w:val="right" w:pos="9360"/>
      </w:tabs>
    </w:pPr>
    <w:r>
      <w:rPr>
        <w:b/>
        <w:noProof/>
        <w:snapToGrid/>
      </w:rPr>
      <mc:AlternateContent>
        <mc:Choice Requires="wps">
          <w:drawing>
            <wp:anchor distT="0" distB="0" distL="114300" distR="114300" simplePos="0" relativeHeight="251662336" behindDoc="1" locked="0" layoutInCell="0" allowOverlap="1" wp14:anchorId="774FF595" wp14:editId="518D4BF7">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D33545">
      <w:rPr>
        <w:b/>
      </w:rPr>
      <w:tab/>
      <w:t>Federal Communications Commission</w:t>
    </w:r>
    <w:r w:rsidRPr="00D33545">
      <w:rPr>
        <w:b/>
      </w:rPr>
      <w:tab/>
    </w:r>
    <w:r w:rsidR="003F04CB">
      <w:rPr>
        <w:b/>
      </w:rPr>
      <w:t>FCC 14-22</w:t>
    </w:r>
  </w:p>
  <w:p w14:paraId="57859C80" w14:textId="77777777" w:rsidR="00A066FB" w:rsidRPr="00D33545" w:rsidRDefault="00A066FB" w:rsidP="00D335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0B37" w14:textId="77777777" w:rsidR="00A066FB" w:rsidRPr="00D33545" w:rsidRDefault="00A066FB" w:rsidP="00D33545">
    <w:pPr>
      <w:tabs>
        <w:tab w:val="center" w:pos="4680"/>
        <w:tab w:val="right" w:pos="9360"/>
      </w:tabs>
    </w:pPr>
    <w:r>
      <w:rPr>
        <w:b/>
        <w:noProof/>
        <w:snapToGrid/>
      </w:rPr>
      <mc:AlternateContent>
        <mc:Choice Requires="wps">
          <w:drawing>
            <wp:anchor distT="0" distB="0" distL="114300" distR="114300" simplePos="0" relativeHeight="251660288" behindDoc="1" locked="0" layoutInCell="0" allowOverlap="1" wp14:anchorId="34A81FDE" wp14:editId="30DB5906">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D33545">
      <w:rPr>
        <w:b/>
      </w:rPr>
      <w:tab/>
      <w:t>Federal Communications Commission</w:t>
    </w:r>
    <w:r w:rsidRPr="00D33545">
      <w:rPr>
        <w:b/>
      </w:rPr>
      <w:tab/>
    </w:r>
    <w:r w:rsidR="003F04CB">
      <w:rPr>
        <w:b/>
      </w:rPr>
      <w:t>FCC 14-22</w:t>
    </w:r>
  </w:p>
  <w:p w14:paraId="0E8B2968" w14:textId="77777777" w:rsidR="00A066FB" w:rsidRPr="00D33545" w:rsidRDefault="00A066FB" w:rsidP="00D335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A677CBC"/>
    <w:multiLevelType w:val="hybridMultilevel"/>
    <w:tmpl w:val="4AE49E34"/>
    <w:lvl w:ilvl="0" w:tplc="0409000F">
      <w:start w:val="1"/>
      <w:numFmt w:val="decimal"/>
      <w:pStyle w:val="StyleParaNumLeftChar"/>
      <w:lvlText w:val="%1."/>
      <w:lvlJc w:val="left"/>
      <w:pPr>
        <w:tabs>
          <w:tab w:val="num" w:pos="1170"/>
        </w:tabs>
        <w:ind w:left="117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7"/>
  </w:num>
  <w:num w:numId="3">
    <w:abstractNumId w:val="8"/>
  </w:num>
  <w:num w:numId="4">
    <w:abstractNumId w:val="4"/>
  </w:num>
  <w:num w:numId="5">
    <w:abstractNumId w:val="3"/>
  </w:num>
  <w:num w:numId="6">
    <w:abstractNumId w:val="1"/>
  </w:num>
  <w:num w:numId="7">
    <w:abstractNumId w:val="5"/>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
  <w:rsids>
    <w:rsidRoot w:val="003D4874"/>
    <w:rsid w:val="000023DF"/>
    <w:rsid w:val="00002577"/>
    <w:rsid w:val="00002A70"/>
    <w:rsid w:val="000039EB"/>
    <w:rsid w:val="00003C5A"/>
    <w:rsid w:val="0000745B"/>
    <w:rsid w:val="00012404"/>
    <w:rsid w:val="00012410"/>
    <w:rsid w:val="00013106"/>
    <w:rsid w:val="0001443A"/>
    <w:rsid w:val="00014562"/>
    <w:rsid w:val="00015839"/>
    <w:rsid w:val="00015EDB"/>
    <w:rsid w:val="000179E6"/>
    <w:rsid w:val="00020E27"/>
    <w:rsid w:val="00021777"/>
    <w:rsid w:val="0002355B"/>
    <w:rsid w:val="00023E18"/>
    <w:rsid w:val="0002453E"/>
    <w:rsid w:val="00024868"/>
    <w:rsid w:val="00025490"/>
    <w:rsid w:val="000254EA"/>
    <w:rsid w:val="00025738"/>
    <w:rsid w:val="00030726"/>
    <w:rsid w:val="00032B32"/>
    <w:rsid w:val="00034EC2"/>
    <w:rsid w:val="000357B8"/>
    <w:rsid w:val="0003611E"/>
    <w:rsid w:val="00040F08"/>
    <w:rsid w:val="00041D83"/>
    <w:rsid w:val="00041E3F"/>
    <w:rsid w:val="00043778"/>
    <w:rsid w:val="00043DAC"/>
    <w:rsid w:val="00044DBE"/>
    <w:rsid w:val="000462D2"/>
    <w:rsid w:val="00046692"/>
    <w:rsid w:val="00051A03"/>
    <w:rsid w:val="00052E7F"/>
    <w:rsid w:val="00053443"/>
    <w:rsid w:val="00054075"/>
    <w:rsid w:val="00055795"/>
    <w:rsid w:val="00055A39"/>
    <w:rsid w:val="00061F98"/>
    <w:rsid w:val="00062B50"/>
    <w:rsid w:val="00063A75"/>
    <w:rsid w:val="00065977"/>
    <w:rsid w:val="00065E85"/>
    <w:rsid w:val="00065F1D"/>
    <w:rsid w:val="000708E6"/>
    <w:rsid w:val="0007110D"/>
    <w:rsid w:val="000727A4"/>
    <w:rsid w:val="00074190"/>
    <w:rsid w:val="0007483E"/>
    <w:rsid w:val="000751CF"/>
    <w:rsid w:val="00076C37"/>
    <w:rsid w:val="000824ED"/>
    <w:rsid w:val="00082764"/>
    <w:rsid w:val="00085005"/>
    <w:rsid w:val="00085662"/>
    <w:rsid w:val="000910A6"/>
    <w:rsid w:val="00091569"/>
    <w:rsid w:val="000932AE"/>
    <w:rsid w:val="00094A75"/>
    <w:rsid w:val="000956B0"/>
    <w:rsid w:val="0009573B"/>
    <w:rsid w:val="00096094"/>
    <w:rsid w:val="00097ED6"/>
    <w:rsid w:val="000A1175"/>
    <w:rsid w:val="000A1821"/>
    <w:rsid w:val="000A6764"/>
    <w:rsid w:val="000A6D6B"/>
    <w:rsid w:val="000A7966"/>
    <w:rsid w:val="000A7990"/>
    <w:rsid w:val="000A7EAB"/>
    <w:rsid w:val="000B3F45"/>
    <w:rsid w:val="000B5D5F"/>
    <w:rsid w:val="000C40E9"/>
    <w:rsid w:val="000C59E8"/>
    <w:rsid w:val="000D0083"/>
    <w:rsid w:val="000D0693"/>
    <w:rsid w:val="000D24AA"/>
    <w:rsid w:val="000D52A3"/>
    <w:rsid w:val="000E0318"/>
    <w:rsid w:val="000E06B7"/>
    <w:rsid w:val="000E197F"/>
    <w:rsid w:val="000E30E6"/>
    <w:rsid w:val="000E59DC"/>
    <w:rsid w:val="000E5B37"/>
    <w:rsid w:val="000E6DB7"/>
    <w:rsid w:val="000F3462"/>
    <w:rsid w:val="000F381A"/>
    <w:rsid w:val="000F5D86"/>
    <w:rsid w:val="000F6661"/>
    <w:rsid w:val="000F73C0"/>
    <w:rsid w:val="000F78FE"/>
    <w:rsid w:val="00101185"/>
    <w:rsid w:val="00101AF7"/>
    <w:rsid w:val="00101E98"/>
    <w:rsid w:val="00101F75"/>
    <w:rsid w:val="00102E59"/>
    <w:rsid w:val="001051B6"/>
    <w:rsid w:val="0010565C"/>
    <w:rsid w:val="00107BBA"/>
    <w:rsid w:val="00107C50"/>
    <w:rsid w:val="0011166B"/>
    <w:rsid w:val="00112BC7"/>
    <w:rsid w:val="00116B7D"/>
    <w:rsid w:val="00117B2C"/>
    <w:rsid w:val="00120573"/>
    <w:rsid w:val="00121767"/>
    <w:rsid w:val="00124569"/>
    <w:rsid w:val="001319F8"/>
    <w:rsid w:val="001326A5"/>
    <w:rsid w:val="00132BC3"/>
    <w:rsid w:val="00133A8F"/>
    <w:rsid w:val="0013494B"/>
    <w:rsid w:val="00134D81"/>
    <w:rsid w:val="00136814"/>
    <w:rsid w:val="00141939"/>
    <w:rsid w:val="00142E2C"/>
    <w:rsid w:val="0014510F"/>
    <w:rsid w:val="00145313"/>
    <w:rsid w:val="00145F55"/>
    <w:rsid w:val="00146021"/>
    <w:rsid w:val="00147D72"/>
    <w:rsid w:val="001505A9"/>
    <w:rsid w:val="00153D0A"/>
    <w:rsid w:val="00154BD5"/>
    <w:rsid w:val="00155F48"/>
    <w:rsid w:val="00161232"/>
    <w:rsid w:val="001637C7"/>
    <w:rsid w:val="00164325"/>
    <w:rsid w:val="00164C8A"/>
    <w:rsid w:val="0016520F"/>
    <w:rsid w:val="0016554E"/>
    <w:rsid w:val="00165B18"/>
    <w:rsid w:val="00166629"/>
    <w:rsid w:val="001676A5"/>
    <w:rsid w:val="00170E6E"/>
    <w:rsid w:val="0017203D"/>
    <w:rsid w:val="00173BF3"/>
    <w:rsid w:val="00175B47"/>
    <w:rsid w:val="00177F14"/>
    <w:rsid w:val="00182E01"/>
    <w:rsid w:val="00184A58"/>
    <w:rsid w:val="001978DE"/>
    <w:rsid w:val="001A7169"/>
    <w:rsid w:val="001A79BA"/>
    <w:rsid w:val="001B1BBD"/>
    <w:rsid w:val="001B3C67"/>
    <w:rsid w:val="001B4F73"/>
    <w:rsid w:val="001B7B80"/>
    <w:rsid w:val="001C0792"/>
    <w:rsid w:val="001C43ED"/>
    <w:rsid w:val="001C6D8D"/>
    <w:rsid w:val="001C72BE"/>
    <w:rsid w:val="001C79DB"/>
    <w:rsid w:val="001D4C37"/>
    <w:rsid w:val="001D5251"/>
    <w:rsid w:val="001D5336"/>
    <w:rsid w:val="001E077F"/>
    <w:rsid w:val="001E1257"/>
    <w:rsid w:val="001E1D32"/>
    <w:rsid w:val="001E26EC"/>
    <w:rsid w:val="001E3AFF"/>
    <w:rsid w:val="001F1A1E"/>
    <w:rsid w:val="001F1D96"/>
    <w:rsid w:val="001F4194"/>
    <w:rsid w:val="001F4C87"/>
    <w:rsid w:val="001F7A2C"/>
    <w:rsid w:val="00204663"/>
    <w:rsid w:val="00206665"/>
    <w:rsid w:val="00206B10"/>
    <w:rsid w:val="00207CE4"/>
    <w:rsid w:val="00210311"/>
    <w:rsid w:val="00210C98"/>
    <w:rsid w:val="00210FB3"/>
    <w:rsid w:val="002116BA"/>
    <w:rsid w:val="0021328F"/>
    <w:rsid w:val="00216B88"/>
    <w:rsid w:val="00217264"/>
    <w:rsid w:val="00220277"/>
    <w:rsid w:val="00221075"/>
    <w:rsid w:val="00221939"/>
    <w:rsid w:val="002263E3"/>
    <w:rsid w:val="00226A7E"/>
    <w:rsid w:val="00227352"/>
    <w:rsid w:val="00230E46"/>
    <w:rsid w:val="00230F90"/>
    <w:rsid w:val="00233DAA"/>
    <w:rsid w:val="00235066"/>
    <w:rsid w:val="002358BE"/>
    <w:rsid w:val="00240043"/>
    <w:rsid w:val="00244230"/>
    <w:rsid w:val="00244774"/>
    <w:rsid w:val="00244923"/>
    <w:rsid w:val="00245DA5"/>
    <w:rsid w:val="00246D12"/>
    <w:rsid w:val="002534FA"/>
    <w:rsid w:val="00256194"/>
    <w:rsid w:val="002625C9"/>
    <w:rsid w:val="00262BF1"/>
    <w:rsid w:val="002641FC"/>
    <w:rsid w:val="00267D98"/>
    <w:rsid w:val="00270A0F"/>
    <w:rsid w:val="002718B9"/>
    <w:rsid w:val="00272158"/>
    <w:rsid w:val="002747D5"/>
    <w:rsid w:val="0027558A"/>
    <w:rsid w:val="002761EC"/>
    <w:rsid w:val="00276634"/>
    <w:rsid w:val="00277317"/>
    <w:rsid w:val="00277EA7"/>
    <w:rsid w:val="00282CF1"/>
    <w:rsid w:val="00284B6C"/>
    <w:rsid w:val="00290610"/>
    <w:rsid w:val="00291295"/>
    <w:rsid w:val="00292911"/>
    <w:rsid w:val="00293AF9"/>
    <w:rsid w:val="00293F93"/>
    <w:rsid w:val="0029488A"/>
    <w:rsid w:val="00294AD9"/>
    <w:rsid w:val="00295D3E"/>
    <w:rsid w:val="00297855"/>
    <w:rsid w:val="002A12F9"/>
    <w:rsid w:val="002A30DB"/>
    <w:rsid w:val="002A68C9"/>
    <w:rsid w:val="002A7DD2"/>
    <w:rsid w:val="002B1041"/>
    <w:rsid w:val="002B19C3"/>
    <w:rsid w:val="002B2BDA"/>
    <w:rsid w:val="002B6DD5"/>
    <w:rsid w:val="002C00CB"/>
    <w:rsid w:val="002C1482"/>
    <w:rsid w:val="002C2E39"/>
    <w:rsid w:val="002C5C64"/>
    <w:rsid w:val="002C765B"/>
    <w:rsid w:val="002C7902"/>
    <w:rsid w:val="002D07FE"/>
    <w:rsid w:val="002D4266"/>
    <w:rsid w:val="002D7B54"/>
    <w:rsid w:val="002E00BB"/>
    <w:rsid w:val="002E3826"/>
    <w:rsid w:val="002E40B1"/>
    <w:rsid w:val="002E493D"/>
    <w:rsid w:val="002E6897"/>
    <w:rsid w:val="002F05A4"/>
    <w:rsid w:val="002F05BC"/>
    <w:rsid w:val="002F08C2"/>
    <w:rsid w:val="002F0B4A"/>
    <w:rsid w:val="002F47DC"/>
    <w:rsid w:val="003047EA"/>
    <w:rsid w:val="00306DE3"/>
    <w:rsid w:val="00307767"/>
    <w:rsid w:val="0031168D"/>
    <w:rsid w:val="00314587"/>
    <w:rsid w:val="00314673"/>
    <w:rsid w:val="00316BA1"/>
    <w:rsid w:val="003243AB"/>
    <w:rsid w:val="00330313"/>
    <w:rsid w:val="00330BEF"/>
    <w:rsid w:val="00330CBF"/>
    <w:rsid w:val="0033330E"/>
    <w:rsid w:val="00334278"/>
    <w:rsid w:val="00334B0C"/>
    <w:rsid w:val="00335786"/>
    <w:rsid w:val="00340A07"/>
    <w:rsid w:val="0034261D"/>
    <w:rsid w:val="003434F8"/>
    <w:rsid w:val="00351788"/>
    <w:rsid w:val="003517C5"/>
    <w:rsid w:val="0035242D"/>
    <w:rsid w:val="00355625"/>
    <w:rsid w:val="00356887"/>
    <w:rsid w:val="00357003"/>
    <w:rsid w:val="00360864"/>
    <w:rsid w:val="00362AB4"/>
    <w:rsid w:val="00363DCD"/>
    <w:rsid w:val="00365F05"/>
    <w:rsid w:val="00367F2A"/>
    <w:rsid w:val="0037670F"/>
    <w:rsid w:val="00377259"/>
    <w:rsid w:val="00377609"/>
    <w:rsid w:val="0037781D"/>
    <w:rsid w:val="003823DF"/>
    <w:rsid w:val="0038720E"/>
    <w:rsid w:val="003873AF"/>
    <w:rsid w:val="00387A75"/>
    <w:rsid w:val="0039005E"/>
    <w:rsid w:val="00390EF5"/>
    <w:rsid w:val="003922E1"/>
    <w:rsid w:val="00393F4B"/>
    <w:rsid w:val="003942C9"/>
    <w:rsid w:val="00395E0F"/>
    <w:rsid w:val="003A081B"/>
    <w:rsid w:val="003A0CF1"/>
    <w:rsid w:val="003A12D8"/>
    <w:rsid w:val="003A29F7"/>
    <w:rsid w:val="003A4DCD"/>
    <w:rsid w:val="003A57FA"/>
    <w:rsid w:val="003B451F"/>
    <w:rsid w:val="003B5C3E"/>
    <w:rsid w:val="003C1747"/>
    <w:rsid w:val="003C1F65"/>
    <w:rsid w:val="003C2A45"/>
    <w:rsid w:val="003C35BE"/>
    <w:rsid w:val="003C4089"/>
    <w:rsid w:val="003C487B"/>
    <w:rsid w:val="003C752F"/>
    <w:rsid w:val="003D0B33"/>
    <w:rsid w:val="003D1464"/>
    <w:rsid w:val="003D1FDB"/>
    <w:rsid w:val="003D47AD"/>
    <w:rsid w:val="003D4874"/>
    <w:rsid w:val="003D503A"/>
    <w:rsid w:val="003D619E"/>
    <w:rsid w:val="003E1169"/>
    <w:rsid w:val="003E1377"/>
    <w:rsid w:val="003E3192"/>
    <w:rsid w:val="003F0149"/>
    <w:rsid w:val="003F04CB"/>
    <w:rsid w:val="003F1B4B"/>
    <w:rsid w:val="003F43DA"/>
    <w:rsid w:val="003F4CD6"/>
    <w:rsid w:val="00400052"/>
    <w:rsid w:val="004005AD"/>
    <w:rsid w:val="00400E5E"/>
    <w:rsid w:val="00400FFB"/>
    <w:rsid w:val="0040154E"/>
    <w:rsid w:val="00401FAC"/>
    <w:rsid w:val="004031DC"/>
    <w:rsid w:val="00404425"/>
    <w:rsid w:val="00410447"/>
    <w:rsid w:val="00415701"/>
    <w:rsid w:val="00415D6E"/>
    <w:rsid w:val="00415FA6"/>
    <w:rsid w:val="004165EB"/>
    <w:rsid w:val="00417767"/>
    <w:rsid w:val="00422E51"/>
    <w:rsid w:val="00427864"/>
    <w:rsid w:val="00430E4C"/>
    <w:rsid w:val="00431324"/>
    <w:rsid w:val="004318E0"/>
    <w:rsid w:val="00431D20"/>
    <w:rsid w:val="004369E6"/>
    <w:rsid w:val="004377C5"/>
    <w:rsid w:val="004402C8"/>
    <w:rsid w:val="00441673"/>
    <w:rsid w:val="00441711"/>
    <w:rsid w:val="004449CC"/>
    <w:rsid w:val="0044732D"/>
    <w:rsid w:val="00450486"/>
    <w:rsid w:val="00450824"/>
    <w:rsid w:val="004512D0"/>
    <w:rsid w:val="004523B0"/>
    <w:rsid w:val="004531AF"/>
    <w:rsid w:val="004540B5"/>
    <w:rsid w:val="004566AF"/>
    <w:rsid w:val="00456729"/>
    <w:rsid w:val="00456A7E"/>
    <w:rsid w:val="00457537"/>
    <w:rsid w:val="00457F13"/>
    <w:rsid w:val="00461494"/>
    <w:rsid w:val="00463AE7"/>
    <w:rsid w:val="00465389"/>
    <w:rsid w:val="00465670"/>
    <w:rsid w:val="004658CB"/>
    <w:rsid w:val="00466ABF"/>
    <w:rsid w:val="004753E9"/>
    <w:rsid w:val="004801CF"/>
    <w:rsid w:val="004811A2"/>
    <w:rsid w:val="00483022"/>
    <w:rsid w:val="00484641"/>
    <w:rsid w:val="0048472F"/>
    <w:rsid w:val="00485047"/>
    <w:rsid w:val="004852EA"/>
    <w:rsid w:val="00487E2C"/>
    <w:rsid w:val="0049014B"/>
    <w:rsid w:val="004909BD"/>
    <w:rsid w:val="00491FCF"/>
    <w:rsid w:val="00494FA8"/>
    <w:rsid w:val="004951EF"/>
    <w:rsid w:val="00495353"/>
    <w:rsid w:val="00495774"/>
    <w:rsid w:val="00495860"/>
    <w:rsid w:val="0049788B"/>
    <w:rsid w:val="004A2805"/>
    <w:rsid w:val="004A4C97"/>
    <w:rsid w:val="004B01F7"/>
    <w:rsid w:val="004B1079"/>
    <w:rsid w:val="004B4583"/>
    <w:rsid w:val="004B78F9"/>
    <w:rsid w:val="004C1A9F"/>
    <w:rsid w:val="004C39C0"/>
    <w:rsid w:val="004C442A"/>
    <w:rsid w:val="004C4514"/>
    <w:rsid w:val="004C55F3"/>
    <w:rsid w:val="004C7881"/>
    <w:rsid w:val="004C7B8C"/>
    <w:rsid w:val="004D0A73"/>
    <w:rsid w:val="004D21FA"/>
    <w:rsid w:val="004D2B90"/>
    <w:rsid w:val="004D6B78"/>
    <w:rsid w:val="004E2E80"/>
    <w:rsid w:val="004E3B7E"/>
    <w:rsid w:val="004E6045"/>
    <w:rsid w:val="004E649D"/>
    <w:rsid w:val="004E6F01"/>
    <w:rsid w:val="004F0608"/>
    <w:rsid w:val="004F2CED"/>
    <w:rsid w:val="004F6641"/>
    <w:rsid w:val="004F67EE"/>
    <w:rsid w:val="004F7167"/>
    <w:rsid w:val="00500E3F"/>
    <w:rsid w:val="00502661"/>
    <w:rsid w:val="00504715"/>
    <w:rsid w:val="00505DEB"/>
    <w:rsid w:val="005063B4"/>
    <w:rsid w:val="00506904"/>
    <w:rsid w:val="00506DF2"/>
    <w:rsid w:val="00511581"/>
    <w:rsid w:val="005117FB"/>
    <w:rsid w:val="005121EC"/>
    <w:rsid w:val="00512D20"/>
    <w:rsid w:val="00513A9A"/>
    <w:rsid w:val="00514178"/>
    <w:rsid w:val="00514904"/>
    <w:rsid w:val="00517592"/>
    <w:rsid w:val="00517AD9"/>
    <w:rsid w:val="00520262"/>
    <w:rsid w:val="0052092F"/>
    <w:rsid w:val="00521478"/>
    <w:rsid w:val="00524295"/>
    <w:rsid w:val="00524664"/>
    <w:rsid w:val="00527576"/>
    <w:rsid w:val="005313EF"/>
    <w:rsid w:val="00531B9F"/>
    <w:rsid w:val="005326AD"/>
    <w:rsid w:val="00532E1F"/>
    <w:rsid w:val="00533D50"/>
    <w:rsid w:val="00535BCB"/>
    <w:rsid w:val="00536874"/>
    <w:rsid w:val="00536D79"/>
    <w:rsid w:val="00541DAE"/>
    <w:rsid w:val="0054323E"/>
    <w:rsid w:val="005433A4"/>
    <w:rsid w:val="00544F64"/>
    <w:rsid w:val="00546ACD"/>
    <w:rsid w:val="00550E6B"/>
    <w:rsid w:val="005523D1"/>
    <w:rsid w:val="0055362A"/>
    <w:rsid w:val="00554132"/>
    <w:rsid w:val="005605A3"/>
    <w:rsid w:val="00562137"/>
    <w:rsid w:val="005651DF"/>
    <w:rsid w:val="00566C56"/>
    <w:rsid w:val="0056751C"/>
    <w:rsid w:val="0057199D"/>
    <w:rsid w:val="00573515"/>
    <w:rsid w:val="005813FE"/>
    <w:rsid w:val="00581AC6"/>
    <w:rsid w:val="0058419B"/>
    <w:rsid w:val="00584C76"/>
    <w:rsid w:val="005854DF"/>
    <w:rsid w:val="005863E0"/>
    <w:rsid w:val="00587AE5"/>
    <w:rsid w:val="005A4479"/>
    <w:rsid w:val="005A4527"/>
    <w:rsid w:val="005A4B83"/>
    <w:rsid w:val="005A5079"/>
    <w:rsid w:val="005A6420"/>
    <w:rsid w:val="005A7D95"/>
    <w:rsid w:val="005B24B0"/>
    <w:rsid w:val="005B4DC8"/>
    <w:rsid w:val="005B5E70"/>
    <w:rsid w:val="005C29FD"/>
    <w:rsid w:val="005C2CFF"/>
    <w:rsid w:val="005C3D02"/>
    <w:rsid w:val="005C3D87"/>
    <w:rsid w:val="005C4DFD"/>
    <w:rsid w:val="005C6B21"/>
    <w:rsid w:val="005C7398"/>
    <w:rsid w:val="005D52BA"/>
    <w:rsid w:val="005D52FD"/>
    <w:rsid w:val="005E3111"/>
    <w:rsid w:val="005E424E"/>
    <w:rsid w:val="005E5B37"/>
    <w:rsid w:val="005E6B95"/>
    <w:rsid w:val="005F4C71"/>
    <w:rsid w:val="005F4E86"/>
    <w:rsid w:val="005F4F0E"/>
    <w:rsid w:val="005F5083"/>
    <w:rsid w:val="005F6ADD"/>
    <w:rsid w:val="005F700B"/>
    <w:rsid w:val="006008D7"/>
    <w:rsid w:val="00601204"/>
    <w:rsid w:val="00601DC7"/>
    <w:rsid w:val="00602B2B"/>
    <w:rsid w:val="006035C7"/>
    <w:rsid w:val="00606375"/>
    <w:rsid w:val="00606876"/>
    <w:rsid w:val="00606D29"/>
    <w:rsid w:val="00607739"/>
    <w:rsid w:val="00611BC6"/>
    <w:rsid w:val="00612292"/>
    <w:rsid w:val="0061540F"/>
    <w:rsid w:val="006158E9"/>
    <w:rsid w:val="00617065"/>
    <w:rsid w:val="00617643"/>
    <w:rsid w:val="00620BA8"/>
    <w:rsid w:val="0062307E"/>
    <w:rsid w:val="0062377F"/>
    <w:rsid w:val="00627474"/>
    <w:rsid w:val="00630B81"/>
    <w:rsid w:val="0063153F"/>
    <w:rsid w:val="0063180B"/>
    <w:rsid w:val="00631DCC"/>
    <w:rsid w:val="00633D8D"/>
    <w:rsid w:val="00634584"/>
    <w:rsid w:val="006372A1"/>
    <w:rsid w:val="00637F6C"/>
    <w:rsid w:val="00644E48"/>
    <w:rsid w:val="00646077"/>
    <w:rsid w:val="006465AC"/>
    <w:rsid w:val="006504B2"/>
    <w:rsid w:val="006530B8"/>
    <w:rsid w:val="006531C2"/>
    <w:rsid w:val="006601CD"/>
    <w:rsid w:val="006604DF"/>
    <w:rsid w:val="00661912"/>
    <w:rsid w:val="00663A31"/>
    <w:rsid w:val="00665CD9"/>
    <w:rsid w:val="00665F57"/>
    <w:rsid w:val="006673F0"/>
    <w:rsid w:val="006700E2"/>
    <w:rsid w:val="006768E1"/>
    <w:rsid w:val="006773EB"/>
    <w:rsid w:val="00681DB5"/>
    <w:rsid w:val="00681E42"/>
    <w:rsid w:val="0068529D"/>
    <w:rsid w:val="00687518"/>
    <w:rsid w:val="00693E9A"/>
    <w:rsid w:val="00693F01"/>
    <w:rsid w:val="00694102"/>
    <w:rsid w:val="0069468C"/>
    <w:rsid w:val="00695611"/>
    <w:rsid w:val="00695BBD"/>
    <w:rsid w:val="00696829"/>
    <w:rsid w:val="00697160"/>
    <w:rsid w:val="006A29A3"/>
    <w:rsid w:val="006A448A"/>
    <w:rsid w:val="006A75B2"/>
    <w:rsid w:val="006B218A"/>
    <w:rsid w:val="006B31FF"/>
    <w:rsid w:val="006B35C6"/>
    <w:rsid w:val="006B767E"/>
    <w:rsid w:val="006C116D"/>
    <w:rsid w:val="006C1707"/>
    <w:rsid w:val="006C1B69"/>
    <w:rsid w:val="006C1F8D"/>
    <w:rsid w:val="006C293C"/>
    <w:rsid w:val="006C66B0"/>
    <w:rsid w:val="006C6708"/>
    <w:rsid w:val="006D4864"/>
    <w:rsid w:val="006D504D"/>
    <w:rsid w:val="006D62A7"/>
    <w:rsid w:val="006E1A3C"/>
    <w:rsid w:val="006E1D3F"/>
    <w:rsid w:val="006E2992"/>
    <w:rsid w:val="006E2A8D"/>
    <w:rsid w:val="006E3BAE"/>
    <w:rsid w:val="006E4CEC"/>
    <w:rsid w:val="006E6265"/>
    <w:rsid w:val="006E6D9D"/>
    <w:rsid w:val="006E7A18"/>
    <w:rsid w:val="006E7B9C"/>
    <w:rsid w:val="006F0717"/>
    <w:rsid w:val="006F2A76"/>
    <w:rsid w:val="006F30AC"/>
    <w:rsid w:val="00700CAF"/>
    <w:rsid w:val="00701725"/>
    <w:rsid w:val="00701B68"/>
    <w:rsid w:val="0070303E"/>
    <w:rsid w:val="00703073"/>
    <w:rsid w:val="00704F3E"/>
    <w:rsid w:val="00706633"/>
    <w:rsid w:val="007115A9"/>
    <w:rsid w:val="007122E7"/>
    <w:rsid w:val="00715A6A"/>
    <w:rsid w:val="0071637A"/>
    <w:rsid w:val="00716F85"/>
    <w:rsid w:val="0072384F"/>
    <w:rsid w:val="0072464B"/>
    <w:rsid w:val="00726DEE"/>
    <w:rsid w:val="007270D4"/>
    <w:rsid w:val="007318D5"/>
    <w:rsid w:val="007328A7"/>
    <w:rsid w:val="00733F2C"/>
    <w:rsid w:val="00735923"/>
    <w:rsid w:val="0073768E"/>
    <w:rsid w:val="00740BD6"/>
    <w:rsid w:val="00741C03"/>
    <w:rsid w:val="0074572D"/>
    <w:rsid w:val="007460C2"/>
    <w:rsid w:val="00747559"/>
    <w:rsid w:val="00747F77"/>
    <w:rsid w:val="007529A9"/>
    <w:rsid w:val="00752D26"/>
    <w:rsid w:val="00760B4E"/>
    <w:rsid w:val="007621A1"/>
    <w:rsid w:val="007624EF"/>
    <w:rsid w:val="00763770"/>
    <w:rsid w:val="00763B73"/>
    <w:rsid w:val="00764ACE"/>
    <w:rsid w:val="007705C7"/>
    <w:rsid w:val="00772FD4"/>
    <w:rsid w:val="00773BF0"/>
    <w:rsid w:val="0077577E"/>
    <w:rsid w:val="007767B2"/>
    <w:rsid w:val="00777D03"/>
    <w:rsid w:val="00780F4B"/>
    <w:rsid w:val="00781B0A"/>
    <w:rsid w:val="00782412"/>
    <w:rsid w:val="007832C6"/>
    <w:rsid w:val="00783514"/>
    <w:rsid w:val="0078495D"/>
    <w:rsid w:val="00784BAA"/>
    <w:rsid w:val="007854D4"/>
    <w:rsid w:val="007867BD"/>
    <w:rsid w:val="00787184"/>
    <w:rsid w:val="00791338"/>
    <w:rsid w:val="007917B9"/>
    <w:rsid w:val="00793EA5"/>
    <w:rsid w:val="00794472"/>
    <w:rsid w:val="007944C0"/>
    <w:rsid w:val="00794FE9"/>
    <w:rsid w:val="007960AC"/>
    <w:rsid w:val="00796AFB"/>
    <w:rsid w:val="00796E03"/>
    <w:rsid w:val="007971E5"/>
    <w:rsid w:val="00797B6A"/>
    <w:rsid w:val="00797E44"/>
    <w:rsid w:val="007A16AA"/>
    <w:rsid w:val="007A5C8B"/>
    <w:rsid w:val="007A7429"/>
    <w:rsid w:val="007A7B94"/>
    <w:rsid w:val="007B1403"/>
    <w:rsid w:val="007B1E55"/>
    <w:rsid w:val="007B311D"/>
    <w:rsid w:val="007B3527"/>
    <w:rsid w:val="007B3975"/>
    <w:rsid w:val="007B59A9"/>
    <w:rsid w:val="007B7377"/>
    <w:rsid w:val="007C07DD"/>
    <w:rsid w:val="007C2679"/>
    <w:rsid w:val="007C4220"/>
    <w:rsid w:val="007D14A4"/>
    <w:rsid w:val="007D15DB"/>
    <w:rsid w:val="007D25AD"/>
    <w:rsid w:val="007D4441"/>
    <w:rsid w:val="007D5241"/>
    <w:rsid w:val="007D5F01"/>
    <w:rsid w:val="007D6316"/>
    <w:rsid w:val="007E08D2"/>
    <w:rsid w:val="007E0F5B"/>
    <w:rsid w:val="007E127D"/>
    <w:rsid w:val="007E2A6F"/>
    <w:rsid w:val="007E2D71"/>
    <w:rsid w:val="007E3589"/>
    <w:rsid w:val="007E4A70"/>
    <w:rsid w:val="007E55E6"/>
    <w:rsid w:val="007E5983"/>
    <w:rsid w:val="007E65CF"/>
    <w:rsid w:val="007F0F49"/>
    <w:rsid w:val="007F1B34"/>
    <w:rsid w:val="007F1D69"/>
    <w:rsid w:val="007F1E16"/>
    <w:rsid w:val="007F2A76"/>
    <w:rsid w:val="007F3D3D"/>
    <w:rsid w:val="007F5041"/>
    <w:rsid w:val="007F5A84"/>
    <w:rsid w:val="007F785E"/>
    <w:rsid w:val="00800FFD"/>
    <w:rsid w:val="00801818"/>
    <w:rsid w:val="00803F4A"/>
    <w:rsid w:val="00804133"/>
    <w:rsid w:val="00804CE2"/>
    <w:rsid w:val="00805F1A"/>
    <w:rsid w:val="00807671"/>
    <w:rsid w:val="00810FA1"/>
    <w:rsid w:val="008235AC"/>
    <w:rsid w:val="00833FFB"/>
    <w:rsid w:val="00835548"/>
    <w:rsid w:val="00835A91"/>
    <w:rsid w:val="00836994"/>
    <w:rsid w:val="00842292"/>
    <w:rsid w:val="00842412"/>
    <w:rsid w:val="008426CA"/>
    <w:rsid w:val="0084516D"/>
    <w:rsid w:val="00846F5C"/>
    <w:rsid w:val="00852710"/>
    <w:rsid w:val="008542F6"/>
    <w:rsid w:val="00860FE8"/>
    <w:rsid w:val="00863AF6"/>
    <w:rsid w:val="00863C1A"/>
    <w:rsid w:val="00863E8D"/>
    <w:rsid w:val="00863F0D"/>
    <w:rsid w:val="0086467F"/>
    <w:rsid w:val="00867530"/>
    <w:rsid w:val="00870BB5"/>
    <w:rsid w:val="00870E76"/>
    <w:rsid w:val="00875225"/>
    <w:rsid w:val="008754EF"/>
    <w:rsid w:val="00875D40"/>
    <w:rsid w:val="00881AE1"/>
    <w:rsid w:val="00884112"/>
    <w:rsid w:val="0088637E"/>
    <w:rsid w:val="0088710E"/>
    <w:rsid w:val="008907AF"/>
    <w:rsid w:val="00895FE4"/>
    <w:rsid w:val="00896CD7"/>
    <w:rsid w:val="008A0495"/>
    <w:rsid w:val="008A281C"/>
    <w:rsid w:val="008A70AE"/>
    <w:rsid w:val="008B0C0F"/>
    <w:rsid w:val="008B2837"/>
    <w:rsid w:val="008B4EF2"/>
    <w:rsid w:val="008B4FB7"/>
    <w:rsid w:val="008B6AE9"/>
    <w:rsid w:val="008C1D75"/>
    <w:rsid w:val="008C3350"/>
    <w:rsid w:val="008C4955"/>
    <w:rsid w:val="008C6A71"/>
    <w:rsid w:val="008D0120"/>
    <w:rsid w:val="008D0AA5"/>
    <w:rsid w:val="008D0C4B"/>
    <w:rsid w:val="008D1BE7"/>
    <w:rsid w:val="008D449D"/>
    <w:rsid w:val="008D528F"/>
    <w:rsid w:val="008E024E"/>
    <w:rsid w:val="008E1047"/>
    <w:rsid w:val="008E2557"/>
    <w:rsid w:val="008E2691"/>
    <w:rsid w:val="008E2A34"/>
    <w:rsid w:val="008E5C70"/>
    <w:rsid w:val="008E5EAF"/>
    <w:rsid w:val="008E640A"/>
    <w:rsid w:val="008E6D13"/>
    <w:rsid w:val="008F0B03"/>
    <w:rsid w:val="008F0B9D"/>
    <w:rsid w:val="008F116D"/>
    <w:rsid w:val="008F251C"/>
    <w:rsid w:val="008F2A32"/>
    <w:rsid w:val="008F64F7"/>
    <w:rsid w:val="0091006E"/>
    <w:rsid w:val="00913638"/>
    <w:rsid w:val="009144EA"/>
    <w:rsid w:val="00916A28"/>
    <w:rsid w:val="00921131"/>
    <w:rsid w:val="00921A06"/>
    <w:rsid w:val="009225FD"/>
    <w:rsid w:val="00922836"/>
    <w:rsid w:val="00922E21"/>
    <w:rsid w:val="00924FF7"/>
    <w:rsid w:val="00925EDE"/>
    <w:rsid w:val="00926093"/>
    <w:rsid w:val="00926D9A"/>
    <w:rsid w:val="009304C8"/>
    <w:rsid w:val="00931043"/>
    <w:rsid w:val="00931492"/>
    <w:rsid w:val="00933240"/>
    <w:rsid w:val="00933692"/>
    <w:rsid w:val="009339A8"/>
    <w:rsid w:val="009342A5"/>
    <w:rsid w:val="00936D73"/>
    <w:rsid w:val="00937E64"/>
    <w:rsid w:val="0094057E"/>
    <w:rsid w:val="00940C28"/>
    <w:rsid w:val="00940D4B"/>
    <w:rsid w:val="0094259C"/>
    <w:rsid w:val="009434F5"/>
    <w:rsid w:val="009450C4"/>
    <w:rsid w:val="00945EA1"/>
    <w:rsid w:val="00945F88"/>
    <w:rsid w:val="0094639E"/>
    <w:rsid w:val="00955A5C"/>
    <w:rsid w:val="0095741F"/>
    <w:rsid w:val="00961F88"/>
    <w:rsid w:val="00966195"/>
    <w:rsid w:val="00966CAD"/>
    <w:rsid w:val="0096778B"/>
    <w:rsid w:val="00977D81"/>
    <w:rsid w:val="009818B6"/>
    <w:rsid w:val="00982205"/>
    <w:rsid w:val="00991EE0"/>
    <w:rsid w:val="00992900"/>
    <w:rsid w:val="009948D7"/>
    <w:rsid w:val="00997820"/>
    <w:rsid w:val="00997C85"/>
    <w:rsid w:val="00997CD2"/>
    <w:rsid w:val="009A0972"/>
    <w:rsid w:val="009A141B"/>
    <w:rsid w:val="009A3198"/>
    <w:rsid w:val="009A414D"/>
    <w:rsid w:val="009A4DE2"/>
    <w:rsid w:val="009A5488"/>
    <w:rsid w:val="009A5FF5"/>
    <w:rsid w:val="009A6C9A"/>
    <w:rsid w:val="009B3A4E"/>
    <w:rsid w:val="009B445B"/>
    <w:rsid w:val="009B525D"/>
    <w:rsid w:val="009B6A32"/>
    <w:rsid w:val="009C10F4"/>
    <w:rsid w:val="009C1BAB"/>
    <w:rsid w:val="009C2F6C"/>
    <w:rsid w:val="009C351D"/>
    <w:rsid w:val="009C47F4"/>
    <w:rsid w:val="009C6784"/>
    <w:rsid w:val="009C6FA7"/>
    <w:rsid w:val="009D0934"/>
    <w:rsid w:val="009D1764"/>
    <w:rsid w:val="009D325F"/>
    <w:rsid w:val="009D3513"/>
    <w:rsid w:val="009D6C0B"/>
    <w:rsid w:val="009D765D"/>
    <w:rsid w:val="009E3245"/>
    <w:rsid w:val="009E4CB5"/>
    <w:rsid w:val="009E618B"/>
    <w:rsid w:val="009E6760"/>
    <w:rsid w:val="009F1A22"/>
    <w:rsid w:val="009F4F93"/>
    <w:rsid w:val="009F61F6"/>
    <w:rsid w:val="009F63D5"/>
    <w:rsid w:val="009F6AA2"/>
    <w:rsid w:val="009F79FB"/>
    <w:rsid w:val="00A00B1A"/>
    <w:rsid w:val="00A01FE9"/>
    <w:rsid w:val="00A02813"/>
    <w:rsid w:val="00A045B3"/>
    <w:rsid w:val="00A066FB"/>
    <w:rsid w:val="00A0711C"/>
    <w:rsid w:val="00A10DCB"/>
    <w:rsid w:val="00A11457"/>
    <w:rsid w:val="00A12436"/>
    <w:rsid w:val="00A12657"/>
    <w:rsid w:val="00A12917"/>
    <w:rsid w:val="00A12DCA"/>
    <w:rsid w:val="00A14824"/>
    <w:rsid w:val="00A27C9A"/>
    <w:rsid w:val="00A31EFA"/>
    <w:rsid w:val="00A35D37"/>
    <w:rsid w:val="00A3683F"/>
    <w:rsid w:val="00A36999"/>
    <w:rsid w:val="00A37F1C"/>
    <w:rsid w:val="00A40A01"/>
    <w:rsid w:val="00A44E72"/>
    <w:rsid w:val="00A52E69"/>
    <w:rsid w:val="00A615FB"/>
    <w:rsid w:val="00A62494"/>
    <w:rsid w:val="00A632CB"/>
    <w:rsid w:val="00A634D4"/>
    <w:rsid w:val="00A63A04"/>
    <w:rsid w:val="00A65BD5"/>
    <w:rsid w:val="00A716E9"/>
    <w:rsid w:val="00A72195"/>
    <w:rsid w:val="00A721F2"/>
    <w:rsid w:val="00A74350"/>
    <w:rsid w:val="00A74754"/>
    <w:rsid w:val="00A757D4"/>
    <w:rsid w:val="00A75D4F"/>
    <w:rsid w:val="00A76248"/>
    <w:rsid w:val="00A76808"/>
    <w:rsid w:val="00A7741D"/>
    <w:rsid w:val="00A811D5"/>
    <w:rsid w:val="00A826E9"/>
    <w:rsid w:val="00A830F3"/>
    <w:rsid w:val="00A847B0"/>
    <w:rsid w:val="00A84E8E"/>
    <w:rsid w:val="00A86AFC"/>
    <w:rsid w:val="00A90753"/>
    <w:rsid w:val="00A9102E"/>
    <w:rsid w:val="00A9290A"/>
    <w:rsid w:val="00A941BF"/>
    <w:rsid w:val="00A950FC"/>
    <w:rsid w:val="00AA271F"/>
    <w:rsid w:val="00AA276F"/>
    <w:rsid w:val="00AA2B0E"/>
    <w:rsid w:val="00AA4139"/>
    <w:rsid w:val="00AA7CFF"/>
    <w:rsid w:val="00AB0061"/>
    <w:rsid w:val="00AB39AB"/>
    <w:rsid w:val="00AC03D0"/>
    <w:rsid w:val="00AC2BB8"/>
    <w:rsid w:val="00AC46F1"/>
    <w:rsid w:val="00AD1E7F"/>
    <w:rsid w:val="00AD2198"/>
    <w:rsid w:val="00AD3848"/>
    <w:rsid w:val="00AD4ED0"/>
    <w:rsid w:val="00AD6161"/>
    <w:rsid w:val="00AE4E67"/>
    <w:rsid w:val="00AE7007"/>
    <w:rsid w:val="00AE7443"/>
    <w:rsid w:val="00AE7EEA"/>
    <w:rsid w:val="00AF198F"/>
    <w:rsid w:val="00AF2C71"/>
    <w:rsid w:val="00AF2E5E"/>
    <w:rsid w:val="00AF3CD2"/>
    <w:rsid w:val="00AF490F"/>
    <w:rsid w:val="00AF7C27"/>
    <w:rsid w:val="00B048A1"/>
    <w:rsid w:val="00B066F8"/>
    <w:rsid w:val="00B06BC5"/>
    <w:rsid w:val="00B105EC"/>
    <w:rsid w:val="00B109DD"/>
    <w:rsid w:val="00B13857"/>
    <w:rsid w:val="00B1426F"/>
    <w:rsid w:val="00B16D0A"/>
    <w:rsid w:val="00B20886"/>
    <w:rsid w:val="00B241F6"/>
    <w:rsid w:val="00B256AC"/>
    <w:rsid w:val="00B27452"/>
    <w:rsid w:val="00B31C0D"/>
    <w:rsid w:val="00B32BB3"/>
    <w:rsid w:val="00B35898"/>
    <w:rsid w:val="00B35E04"/>
    <w:rsid w:val="00B3621D"/>
    <w:rsid w:val="00B3649B"/>
    <w:rsid w:val="00B404C3"/>
    <w:rsid w:val="00B41C56"/>
    <w:rsid w:val="00B41C61"/>
    <w:rsid w:val="00B445E7"/>
    <w:rsid w:val="00B44D46"/>
    <w:rsid w:val="00B457E0"/>
    <w:rsid w:val="00B5044A"/>
    <w:rsid w:val="00B533A7"/>
    <w:rsid w:val="00B53D6F"/>
    <w:rsid w:val="00B54E36"/>
    <w:rsid w:val="00B54F32"/>
    <w:rsid w:val="00B55CEB"/>
    <w:rsid w:val="00B56F8B"/>
    <w:rsid w:val="00B60627"/>
    <w:rsid w:val="00B60A84"/>
    <w:rsid w:val="00B618C8"/>
    <w:rsid w:val="00B62069"/>
    <w:rsid w:val="00B62771"/>
    <w:rsid w:val="00B62A64"/>
    <w:rsid w:val="00B636A2"/>
    <w:rsid w:val="00B6594B"/>
    <w:rsid w:val="00B73870"/>
    <w:rsid w:val="00B743E6"/>
    <w:rsid w:val="00B757B2"/>
    <w:rsid w:val="00B75B8E"/>
    <w:rsid w:val="00B84FDE"/>
    <w:rsid w:val="00B85E56"/>
    <w:rsid w:val="00B87E32"/>
    <w:rsid w:val="00B91FDA"/>
    <w:rsid w:val="00B93C57"/>
    <w:rsid w:val="00B95955"/>
    <w:rsid w:val="00B95AAB"/>
    <w:rsid w:val="00B97123"/>
    <w:rsid w:val="00B9750C"/>
    <w:rsid w:val="00BA0B56"/>
    <w:rsid w:val="00BA7102"/>
    <w:rsid w:val="00BA7E37"/>
    <w:rsid w:val="00BA7EC4"/>
    <w:rsid w:val="00BB0F30"/>
    <w:rsid w:val="00BB14C0"/>
    <w:rsid w:val="00BB1A85"/>
    <w:rsid w:val="00BB1BCB"/>
    <w:rsid w:val="00BB249A"/>
    <w:rsid w:val="00BB2F42"/>
    <w:rsid w:val="00BB43F7"/>
    <w:rsid w:val="00BB5169"/>
    <w:rsid w:val="00BB55FD"/>
    <w:rsid w:val="00BB6FC5"/>
    <w:rsid w:val="00BC0FD7"/>
    <w:rsid w:val="00BC18F9"/>
    <w:rsid w:val="00BC3398"/>
    <w:rsid w:val="00BC560E"/>
    <w:rsid w:val="00BC6189"/>
    <w:rsid w:val="00BD01A2"/>
    <w:rsid w:val="00BD17CF"/>
    <w:rsid w:val="00BD24D9"/>
    <w:rsid w:val="00BD310E"/>
    <w:rsid w:val="00BD53B3"/>
    <w:rsid w:val="00BD7A98"/>
    <w:rsid w:val="00BE0020"/>
    <w:rsid w:val="00BE0EDF"/>
    <w:rsid w:val="00BE12D2"/>
    <w:rsid w:val="00BE1D8A"/>
    <w:rsid w:val="00BE32C9"/>
    <w:rsid w:val="00BE39D3"/>
    <w:rsid w:val="00BE5758"/>
    <w:rsid w:val="00BE6456"/>
    <w:rsid w:val="00BF1DC3"/>
    <w:rsid w:val="00BF263B"/>
    <w:rsid w:val="00BF590D"/>
    <w:rsid w:val="00BF6E7E"/>
    <w:rsid w:val="00BF7817"/>
    <w:rsid w:val="00C006D7"/>
    <w:rsid w:val="00C0224A"/>
    <w:rsid w:val="00C0400E"/>
    <w:rsid w:val="00C07B36"/>
    <w:rsid w:val="00C10DD4"/>
    <w:rsid w:val="00C14A2A"/>
    <w:rsid w:val="00C15C15"/>
    <w:rsid w:val="00C1626D"/>
    <w:rsid w:val="00C16531"/>
    <w:rsid w:val="00C2049F"/>
    <w:rsid w:val="00C20D0B"/>
    <w:rsid w:val="00C21592"/>
    <w:rsid w:val="00C21DFB"/>
    <w:rsid w:val="00C2222B"/>
    <w:rsid w:val="00C2273D"/>
    <w:rsid w:val="00C239FC"/>
    <w:rsid w:val="00C25936"/>
    <w:rsid w:val="00C271E3"/>
    <w:rsid w:val="00C306B2"/>
    <w:rsid w:val="00C317FC"/>
    <w:rsid w:val="00C32D64"/>
    <w:rsid w:val="00C34507"/>
    <w:rsid w:val="00C34AC8"/>
    <w:rsid w:val="00C36AC8"/>
    <w:rsid w:val="00C42E80"/>
    <w:rsid w:val="00C43C1F"/>
    <w:rsid w:val="00C44C13"/>
    <w:rsid w:val="00C45259"/>
    <w:rsid w:val="00C46E9D"/>
    <w:rsid w:val="00C561DD"/>
    <w:rsid w:val="00C5675E"/>
    <w:rsid w:val="00C5677D"/>
    <w:rsid w:val="00C56CA9"/>
    <w:rsid w:val="00C60E76"/>
    <w:rsid w:val="00C64E32"/>
    <w:rsid w:val="00C67ACA"/>
    <w:rsid w:val="00C72517"/>
    <w:rsid w:val="00C741D1"/>
    <w:rsid w:val="00C75370"/>
    <w:rsid w:val="00C763E7"/>
    <w:rsid w:val="00C76A45"/>
    <w:rsid w:val="00C76A49"/>
    <w:rsid w:val="00C7711E"/>
    <w:rsid w:val="00C77657"/>
    <w:rsid w:val="00C80DC4"/>
    <w:rsid w:val="00C84BAA"/>
    <w:rsid w:val="00C84C9F"/>
    <w:rsid w:val="00C84D11"/>
    <w:rsid w:val="00C85821"/>
    <w:rsid w:val="00C85854"/>
    <w:rsid w:val="00C93E00"/>
    <w:rsid w:val="00C9605C"/>
    <w:rsid w:val="00C96929"/>
    <w:rsid w:val="00CA0869"/>
    <w:rsid w:val="00CA1325"/>
    <w:rsid w:val="00CA2A2D"/>
    <w:rsid w:val="00CA3B9C"/>
    <w:rsid w:val="00CA4548"/>
    <w:rsid w:val="00CA53A4"/>
    <w:rsid w:val="00CA7BE1"/>
    <w:rsid w:val="00CB4E76"/>
    <w:rsid w:val="00CB60BC"/>
    <w:rsid w:val="00CB6122"/>
    <w:rsid w:val="00CB6997"/>
    <w:rsid w:val="00CB6E33"/>
    <w:rsid w:val="00CC14DD"/>
    <w:rsid w:val="00CC166E"/>
    <w:rsid w:val="00CC1BEF"/>
    <w:rsid w:val="00CC1DCD"/>
    <w:rsid w:val="00CC3527"/>
    <w:rsid w:val="00CC38DC"/>
    <w:rsid w:val="00CC4618"/>
    <w:rsid w:val="00CC5944"/>
    <w:rsid w:val="00CC751B"/>
    <w:rsid w:val="00CD340A"/>
    <w:rsid w:val="00CD3F41"/>
    <w:rsid w:val="00CD5226"/>
    <w:rsid w:val="00CD6ED4"/>
    <w:rsid w:val="00CD79D4"/>
    <w:rsid w:val="00CE2109"/>
    <w:rsid w:val="00CE2542"/>
    <w:rsid w:val="00CE2F43"/>
    <w:rsid w:val="00CF26E2"/>
    <w:rsid w:val="00CF2E96"/>
    <w:rsid w:val="00CF37A0"/>
    <w:rsid w:val="00D016F6"/>
    <w:rsid w:val="00D04017"/>
    <w:rsid w:val="00D041DB"/>
    <w:rsid w:val="00D04371"/>
    <w:rsid w:val="00D06D44"/>
    <w:rsid w:val="00D07E4D"/>
    <w:rsid w:val="00D07F3B"/>
    <w:rsid w:val="00D11A97"/>
    <w:rsid w:val="00D11E1D"/>
    <w:rsid w:val="00D12D94"/>
    <w:rsid w:val="00D161E8"/>
    <w:rsid w:val="00D21788"/>
    <w:rsid w:val="00D23F2B"/>
    <w:rsid w:val="00D25136"/>
    <w:rsid w:val="00D25776"/>
    <w:rsid w:val="00D30D0A"/>
    <w:rsid w:val="00D31043"/>
    <w:rsid w:val="00D33545"/>
    <w:rsid w:val="00D33D1A"/>
    <w:rsid w:val="00D342B7"/>
    <w:rsid w:val="00D35B2B"/>
    <w:rsid w:val="00D3649C"/>
    <w:rsid w:val="00D42CDD"/>
    <w:rsid w:val="00D4331D"/>
    <w:rsid w:val="00D5446B"/>
    <w:rsid w:val="00D56AEB"/>
    <w:rsid w:val="00D56DEA"/>
    <w:rsid w:val="00D60451"/>
    <w:rsid w:val="00D6566F"/>
    <w:rsid w:val="00D673C8"/>
    <w:rsid w:val="00D74D3F"/>
    <w:rsid w:val="00D755DF"/>
    <w:rsid w:val="00D76074"/>
    <w:rsid w:val="00D77882"/>
    <w:rsid w:val="00D77E04"/>
    <w:rsid w:val="00D80E1B"/>
    <w:rsid w:val="00D82676"/>
    <w:rsid w:val="00D82E66"/>
    <w:rsid w:val="00D8416F"/>
    <w:rsid w:val="00D84B9C"/>
    <w:rsid w:val="00D8505E"/>
    <w:rsid w:val="00D876E0"/>
    <w:rsid w:val="00D90477"/>
    <w:rsid w:val="00D913BD"/>
    <w:rsid w:val="00D95E71"/>
    <w:rsid w:val="00D9659A"/>
    <w:rsid w:val="00D96895"/>
    <w:rsid w:val="00D97B9B"/>
    <w:rsid w:val="00DA0138"/>
    <w:rsid w:val="00DA3DAD"/>
    <w:rsid w:val="00DA4A73"/>
    <w:rsid w:val="00DA5466"/>
    <w:rsid w:val="00DA7702"/>
    <w:rsid w:val="00DB184D"/>
    <w:rsid w:val="00DB3C82"/>
    <w:rsid w:val="00DB49FF"/>
    <w:rsid w:val="00DB4A87"/>
    <w:rsid w:val="00DB722F"/>
    <w:rsid w:val="00DB75F3"/>
    <w:rsid w:val="00DC0838"/>
    <w:rsid w:val="00DC3525"/>
    <w:rsid w:val="00DC619C"/>
    <w:rsid w:val="00DC6242"/>
    <w:rsid w:val="00DD0783"/>
    <w:rsid w:val="00DD0A08"/>
    <w:rsid w:val="00DD0B1D"/>
    <w:rsid w:val="00DD10B3"/>
    <w:rsid w:val="00DD1FD2"/>
    <w:rsid w:val="00DD42D6"/>
    <w:rsid w:val="00DD58C0"/>
    <w:rsid w:val="00DE0CD8"/>
    <w:rsid w:val="00DE11C1"/>
    <w:rsid w:val="00DE3BEB"/>
    <w:rsid w:val="00DE5EC1"/>
    <w:rsid w:val="00DF1671"/>
    <w:rsid w:val="00DF220D"/>
    <w:rsid w:val="00DF3BE4"/>
    <w:rsid w:val="00DF41A3"/>
    <w:rsid w:val="00DF46AC"/>
    <w:rsid w:val="00DF6F29"/>
    <w:rsid w:val="00E018F3"/>
    <w:rsid w:val="00E01AC1"/>
    <w:rsid w:val="00E01EC0"/>
    <w:rsid w:val="00E021A6"/>
    <w:rsid w:val="00E03A3A"/>
    <w:rsid w:val="00E048AA"/>
    <w:rsid w:val="00E06683"/>
    <w:rsid w:val="00E066F7"/>
    <w:rsid w:val="00E06D16"/>
    <w:rsid w:val="00E13142"/>
    <w:rsid w:val="00E155B6"/>
    <w:rsid w:val="00E17290"/>
    <w:rsid w:val="00E17D99"/>
    <w:rsid w:val="00E224F3"/>
    <w:rsid w:val="00E23BB8"/>
    <w:rsid w:val="00E329D3"/>
    <w:rsid w:val="00E333FC"/>
    <w:rsid w:val="00E33B06"/>
    <w:rsid w:val="00E33DC3"/>
    <w:rsid w:val="00E3436F"/>
    <w:rsid w:val="00E35B3C"/>
    <w:rsid w:val="00E407BB"/>
    <w:rsid w:val="00E4221A"/>
    <w:rsid w:val="00E44E5D"/>
    <w:rsid w:val="00E454FA"/>
    <w:rsid w:val="00E50DDD"/>
    <w:rsid w:val="00E5162A"/>
    <w:rsid w:val="00E51B3F"/>
    <w:rsid w:val="00E52DB9"/>
    <w:rsid w:val="00E565A3"/>
    <w:rsid w:val="00E567FF"/>
    <w:rsid w:val="00E57DEF"/>
    <w:rsid w:val="00E60306"/>
    <w:rsid w:val="00E61730"/>
    <w:rsid w:val="00E62E9B"/>
    <w:rsid w:val="00E63271"/>
    <w:rsid w:val="00E650B6"/>
    <w:rsid w:val="00E7045C"/>
    <w:rsid w:val="00E71B0B"/>
    <w:rsid w:val="00E73595"/>
    <w:rsid w:val="00E74DCD"/>
    <w:rsid w:val="00E74DF2"/>
    <w:rsid w:val="00E75174"/>
    <w:rsid w:val="00E77193"/>
    <w:rsid w:val="00E779B2"/>
    <w:rsid w:val="00E82275"/>
    <w:rsid w:val="00E83675"/>
    <w:rsid w:val="00E8534B"/>
    <w:rsid w:val="00E86F92"/>
    <w:rsid w:val="00E91334"/>
    <w:rsid w:val="00E94CD9"/>
    <w:rsid w:val="00E97CA5"/>
    <w:rsid w:val="00E97FDD"/>
    <w:rsid w:val="00EA0E26"/>
    <w:rsid w:val="00EA16BB"/>
    <w:rsid w:val="00EA2EF8"/>
    <w:rsid w:val="00EA3B89"/>
    <w:rsid w:val="00EA3F8D"/>
    <w:rsid w:val="00EA4676"/>
    <w:rsid w:val="00EA482F"/>
    <w:rsid w:val="00EA6A3F"/>
    <w:rsid w:val="00EB001E"/>
    <w:rsid w:val="00EB2522"/>
    <w:rsid w:val="00EB30C8"/>
    <w:rsid w:val="00EB38C9"/>
    <w:rsid w:val="00EB43EB"/>
    <w:rsid w:val="00EB57C1"/>
    <w:rsid w:val="00EB5FA0"/>
    <w:rsid w:val="00EB6B82"/>
    <w:rsid w:val="00EC1C53"/>
    <w:rsid w:val="00EC2A3A"/>
    <w:rsid w:val="00EC41DE"/>
    <w:rsid w:val="00EC4335"/>
    <w:rsid w:val="00EC4596"/>
    <w:rsid w:val="00EC4601"/>
    <w:rsid w:val="00EC4949"/>
    <w:rsid w:val="00EC61B1"/>
    <w:rsid w:val="00EC64D7"/>
    <w:rsid w:val="00EC7981"/>
    <w:rsid w:val="00ED3D47"/>
    <w:rsid w:val="00ED4D68"/>
    <w:rsid w:val="00ED7C3D"/>
    <w:rsid w:val="00EE1107"/>
    <w:rsid w:val="00EE3003"/>
    <w:rsid w:val="00EE38BE"/>
    <w:rsid w:val="00EE38D0"/>
    <w:rsid w:val="00EE4E02"/>
    <w:rsid w:val="00EE4F1F"/>
    <w:rsid w:val="00EE7EE3"/>
    <w:rsid w:val="00EF0822"/>
    <w:rsid w:val="00EF09DD"/>
    <w:rsid w:val="00EF0A42"/>
    <w:rsid w:val="00EF4940"/>
    <w:rsid w:val="00EF4C02"/>
    <w:rsid w:val="00EF4E96"/>
    <w:rsid w:val="00EF6738"/>
    <w:rsid w:val="00EF7C12"/>
    <w:rsid w:val="00F02FB7"/>
    <w:rsid w:val="00F05CFF"/>
    <w:rsid w:val="00F07930"/>
    <w:rsid w:val="00F10DEE"/>
    <w:rsid w:val="00F12E4B"/>
    <w:rsid w:val="00F13516"/>
    <w:rsid w:val="00F1532D"/>
    <w:rsid w:val="00F158A9"/>
    <w:rsid w:val="00F15A72"/>
    <w:rsid w:val="00F1644A"/>
    <w:rsid w:val="00F204B6"/>
    <w:rsid w:val="00F20A78"/>
    <w:rsid w:val="00F214A3"/>
    <w:rsid w:val="00F21F4C"/>
    <w:rsid w:val="00F23057"/>
    <w:rsid w:val="00F25A6F"/>
    <w:rsid w:val="00F26937"/>
    <w:rsid w:val="00F31354"/>
    <w:rsid w:val="00F3146F"/>
    <w:rsid w:val="00F31F21"/>
    <w:rsid w:val="00F33747"/>
    <w:rsid w:val="00F33D11"/>
    <w:rsid w:val="00F35B1F"/>
    <w:rsid w:val="00F41562"/>
    <w:rsid w:val="00F41B49"/>
    <w:rsid w:val="00F42566"/>
    <w:rsid w:val="00F430D5"/>
    <w:rsid w:val="00F45034"/>
    <w:rsid w:val="00F45B4B"/>
    <w:rsid w:val="00F50956"/>
    <w:rsid w:val="00F51EA7"/>
    <w:rsid w:val="00F51FDB"/>
    <w:rsid w:val="00F54D08"/>
    <w:rsid w:val="00F562E5"/>
    <w:rsid w:val="00F563A3"/>
    <w:rsid w:val="00F56D15"/>
    <w:rsid w:val="00F56F6C"/>
    <w:rsid w:val="00F57D2D"/>
    <w:rsid w:val="00F615EC"/>
    <w:rsid w:val="00F64824"/>
    <w:rsid w:val="00F64CD0"/>
    <w:rsid w:val="00F66EB6"/>
    <w:rsid w:val="00F72F89"/>
    <w:rsid w:val="00F73D2B"/>
    <w:rsid w:val="00F75C67"/>
    <w:rsid w:val="00F75D41"/>
    <w:rsid w:val="00F76B87"/>
    <w:rsid w:val="00F8074B"/>
    <w:rsid w:val="00F82C40"/>
    <w:rsid w:val="00F82CFA"/>
    <w:rsid w:val="00F8615F"/>
    <w:rsid w:val="00F879B6"/>
    <w:rsid w:val="00F91272"/>
    <w:rsid w:val="00F91B66"/>
    <w:rsid w:val="00F91C40"/>
    <w:rsid w:val="00F94833"/>
    <w:rsid w:val="00F9544E"/>
    <w:rsid w:val="00F9699E"/>
    <w:rsid w:val="00F979FC"/>
    <w:rsid w:val="00F97F74"/>
    <w:rsid w:val="00FA216A"/>
    <w:rsid w:val="00FA536C"/>
    <w:rsid w:val="00FA75F2"/>
    <w:rsid w:val="00FB0BBD"/>
    <w:rsid w:val="00FB0EC9"/>
    <w:rsid w:val="00FB2DB6"/>
    <w:rsid w:val="00FB7CF8"/>
    <w:rsid w:val="00FC1532"/>
    <w:rsid w:val="00FC1704"/>
    <w:rsid w:val="00FC5608"/>
    <w:rsid w:val="00FD0393"/>
    <w:rsid w:val="00FD586A"/>
    <w:rsid w:val="00FE01E0"/>
    <w:rsid w:val="00FE18D6"/>
    <w:rsid w:val="00FE4742"/>
    <w:rsid w:val="00FE4981"/>
    <w:rsid w:val="00FE57CD"/>
    <w:rsid w:val="00FE60E5"/>
    <w:rsid w:val="00FE6337"/>
    <w:rsid w:val="00FF2288"/>
    <w:rsid w:val="00FF3235"/>
    <w:rsid w:val="00FF67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D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DEB"/>
    <w:pPr>
      <w:widowControl w:val="0"/>
    </w:pPr>
    <w:rPr>
      <w:snapToGrid w:val="0"/>
      <w:kern w:val="28"/>
      <w:sz w:val="22"/>
    </w:rPr>
  </w:style>
  <w:style w:type="paragraph" w:styleId="Heading1">
    <w:name w:val="heading 1"/>
    <w:basedOn w:val="Normal"/>
    <w:next w:val="ParaNum"/>
    <w:qFormat/>
    <w:rsid w:val="00505DEB"/>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5DEB"/>
    <w:pPr>
      <w:keepNext/>
      <w:numPr>
        <w:ilvl w:val="1"/>
        <w:numId w:val="5"/>
      </w:numPr>
      <w:spacing w:after="120"/>
      <w:outlineLvl w:val="1"/>
    </w:pPr>
    <w:rPr>
      <w:b/>
    </w:rPr>
  </w:style>
  <w:style w:type="paragraph" w:styleId="Heading3">
    <w:name w:val="heading 3"/>
    <w:basedOn w:val="Normal"/>
    <w:next w:val="ParaNum"/>
    <w:qFormat/>
    <w:rsid w:val="00505DEB"/>
    <w:pPr>
      <w:keepNext/>
      <w:numPr>
        <w:ilvl w:val="2"/>
        <w:numId w:val="5"/>
      </w:numPr>
      <w:tabs>
        <w:tab w:val="left" w:pos="2160"/>
      </w:tabs>
      <w:spacing w:after="120"/>
      <w:outlineLvl w:val="2"/>
    </w:pPr>
    <w:rPr>
      <w:b/>
    </w:rPr>
  </w:style>
  <w:style w:type="paragraph" w:styleId="Heading4">
    <w:name w:val="heading 4"/>
    <w:basedOn w:val="Normal"/>
    <w:next w:val="ParaNum"/>
    <w:qFormat/>
    <w:rsid w:val="00505DEB"/>
    <w:pPr>
      <w:keepNext/>
      <w:numPr>
        <w:ilvl w:val="3"/>
        <w:numId w:val="5"/>
      </w:numPr>
      <w:tabs>
        <w:tab w:val="left" w:pos="2880"/>
      </w:tabs>
      <w:spacing w:after="120"/>
      <w:outlineLvl w:val="3"/>
    </w:pPr>
    <w:rPr>
      <w:b/>
    </w:rPr>
  </w:style>
  <w:style w:type="paragraph" w:styleId="Heading5">
    <w:name w:val="heading 5"/>
    <w:basedOn w:val="Normal"/>
    <w:next w:val="ParaNum"/>
    <w:qFormat/>
    <w:rsid w:val="00505DEB"/>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505DEB"/>
    <w:pPr>
      <w:numPr>
        <w:ilvl w:val="5"/>
        <w:numId w:val="5"/>
      </w:numPr>
      <w:tabs>
        <w:tab w:val="left" w:pos="4320"/>
      </w:tabs>
      <w:spacing w:after="120"/>
      <w:outlineLvl w:val="5"/>
    </w:pPr>
    <w:rPr>
      <w:b/>
    </w:rPr>
  </w:style>
  <w:style w:type="paragraph" w:styleId="Heading7">
    <w:name w:val="heading 7"/>
    <w:basedOn w:val="Normal"/>
    <w:next w:val="ParaNum"/>
    <w:qFormat/>
    <w:rsid w:val="00505DEB"/>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505DEB"/>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505DEB"/>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534FA"/>
    <w:pPr>
      <w:spacing w:before="120" w:after="120"/>
    </w:pPr>
    <w:rPr>
      <w:b/>
    </w:rPr>
  </w:style>
  <w:style w:type="paragraph" w:customStyle="1" w:styleId="ParaNum">
    <w:name w:val="ParaNum"/>
    <w:basedOn w:val="Normal"/>
    <w:link w:val="ParaNumChar"/>
    <w:rsid w:val="00505DEB"/>
    <w:pPr>
      <w:numPr>
        <w:numId w:val="3"/>
      </w:numPr>
      <w:tabs>
        <w:tab w:val="clear" w:pos="1080"/>
        <w:tab w:val="num" w:pos="1440"/>
      </w:tabs>
      <w:spacing w:after="120"/>
    </w:pPr>
  </w:style>
  <w:style w:type="paragraph" w:styleId="FootnoteText">
    <w:name w:val="footnote text"/>
    <w:aliases w:val="Footnote Text Char,Footnote Text Char2 Char1,Footnote Text Char1 Char Char2,Footnote Text Char Char Char Char2,Footnote Text Char2 Char Char1 Char Char1,Footnote Text Char1 Char Char Char Char Char,Footnote Text Char2,rrfootnote,fn,ft,f"/>
    <w:link w:val="FootnoteTextChar1"/>
    <w:rsid w:val="00505DEB"/>
    <w:pPr>
      <w:spacing w:after="120"/>
    </w:pPr>
  </w:style>
  <w:style w:type="paragraph" w:customStyle="1" w:styleId="Bullet">
    <w:name w:val="Bullet"/>
    <w:basedOn w:val="Normal"/>
    <w:rsid w:val="00505DEB"/>
    <w:pPr>
      <w:tabs>
        <w:tab w:val="left" w:pos="2160"/>
      </w:tabs>
      <w:spacing w:after="220"/>
      <w:ind w:left="2160" w:hanging="720"/>
    </w:pPr>
  </w:style>
  <w:style w:type="paragraph" w:styleId="BlockText">
    <w:name w:val="Block Text"/>
    <w:basedOn w:val="Normal"/>
    <w:rsid w:val="00505DEB"/>
    <w:pPr>
      <w:spacing w:after="240"/>
      <w:ind w:left="1440" w:right="1440"/>
    </w:pPr>
  </w:style>
  <w:style w:type="paragraph" w:customStyle="1" w:styleId="TableFormat">
    <w:name w:val="TableFormat"/>
    <w:basedOn w:val="Bullet"/>
    <w:rsid w:val="00505DEB"/>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ootnote Reference1"/>
    <w:rsid w:val="00505DEB"/>
    <w:rPr>
      <w:rFonts w:ascii="Times New Roman" w:hAnsi="Times New Roman"/>
      <w:dstrike w:val="0"/>
      <w:color w:val="auto"/>
      <w:sz w:val="20"/>
      <w:vertAlign w:val="superscript"/>
    </w:rPr>
  </w:style>
  <w:style w:type="paragraph" w:styleId="Header">
    <w:name w:val="header"/>
    <w:basedOn w:val="Normal"/>
    <w:autoRedefine/>
    <w:rsid w:val="00505DEB"/>
    <w:pPr>
      <w:tabs>
        <w:tab w:val="center" w:pos="4680"/>
        <w:tab w:val="right" w:pos="9360"/>
      </w:tabs>
    </w:pPr>
    <w:rPr>
      <w:b/>
    </w:rPr>
  </w:style>
  <w:style w:type="paragraph" w:styleId="Footer">
    <w:name w:val="footer"/>
    <w:basedOn w:val="Normal"/>
    <w:rsid w:val="00505DEB"/>
    <w:pPr>
      <w:tabs>
        <w:tab w:val="center" w:pos="4320"/>
        <w:tab w:val="right" w:pos="8640"/>
      </w:tabs>
    </w:pPr>
  </w:style>
  <w:style w:type="paragraph" w:styleId="TOC2">
    <w:name w:val="toc 2"/>
    <w:basedOn w:val="Normal"/>
    <w:next w:val="Normal"/>
    <w:semiHidden/>
    <w:rsid w:val="00505DEB"/>
    <w:pPr>
      <w:tabs>
        <w:tab w:val="left" w:pos="720"/>
        <w:tab w:val="right" w:leader="dot" w:pos="9360"/>
      </w:tabs>
      <w:suppressAutoHyphens/>
      <w:ind w:left="720" w:right="720" w:hanging="360"/>
    </w:pPr>
    <w:rPr>
      <w:noProof/>
    </w:rPr>
  </w:style>
  <w:style w:type="paragraph" w:customStyle="1" w:styleId="NumberedList">
    <w:name w:val="Numbered List"/>
    <w:basedOn w:val="Normal"/>
    <w:rsid w:val="002534FA"/>
    <w:pPr>
      <w:numPr>
        <w:numId w:val="1"/>
      </w:numPr>
      <w:tabs>
        <w:tab w:val="clear" w:pos="1080"/>
      </w:tabs>
      <w:spacing w:after="220"/>
      <w:ind w:firstLine="0"/>
    </w:pPr>
  </w:style>
  <w:style w:type="paragraph" w:styleId="TOC1">
    <w:name w:val="toc 1"/>
    <w:basedOn w:val="Normal"/>
    <w:next w:val="Normal"/>
    <w:semiHidden/>
    <w:rsid w:val="00505DE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05DE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5DE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5D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5D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5D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5D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5DEB"/>
    <w:pPr>
      <w:tabs>
        <w:tab w:val="left" w:pos="3240"/>
        <w:tab w:val="right" w:leader="dot" w:pos="9360"/>
      </w:tabs>
      <w:suppressAutoHyphens/>
      <w:ind w:left="3240" w:hanging="360"/>
    </w:pPr>
    <w:rPr>
      <w:noProof/>
    </w:rPr>
  </w:style>
  <w:style w:type="character" w:styleId="PageNumber">
    <w:name w:val="page number"/>
    <w:basedOn w:val="DefaultParagraphFont"/>
    <w:rsid w:val="00505DEB"/>
  </w:style>
  <w:style w:type="paragraph" w:styleId="Title">
    <w:name w:val="Title"/>
    <w:basedOn w:val="Normal"/>
    <w:qFormat/>
    <w:rsid w:val="002534FA"/>
    <w:pPr>
      <w:jc w:val="center"/>
    </w:pPr>
    <w:rPr>
      <w:b/>
    </w:rPr>
  </w:style>
  <w:style w:type="character" w:customStyle="1" w:styleId="documentbody1">
    <w:name w:val="documentbody1"/>
    <w:rsid w:val="00293A24"/>
    <w:rPr>
      <w:rFonts w:ascii="Verdana" w:hAnsi="Verdana" w:hint="default"/>
      <w:sz w:val="19"/>
      <w:szCs w:val="19"/>
      <w:shd w:val="clear" w:color="auto" w:fill="FFFFFF"/>
    </w:rPr>
  </w:style>
  <w:style w:type="paragraph" w:styleId="BalloonText">
    <w:name w:val="Balloon Text"/>
    <w:basedOn w:val="Normal"/>
    <w:link w:val="BalloonTextChar1"/>
    <w:semiHidden/>
    <w:rsid w:val="00061FF8"/>
    <w:rPr>
      <w:rFonts w:ascii="Tahoma" w:hAnsi="Tahoma" w:cs="Tahoma"/>
      <w:sz w:val="16"/>
      <w:szCs w:val="16"/>
    </w:rPr>
  </w:style>
  <w:style w:type="paragraph" w:styleId="HTMLPreformatted">
    <w:name w:val="HTML Preformatted"/>
    <w:basedOn w:val="Normal"/>
    <w:rsid w:val="004462B2"/>
    <w:rPr>
      <w:rFonts w:ascii="Courier New" w:hAnsi="Courier New" w:cs="Courier New"/>
    </w:rPr>
  </w:style>
  <w:style w:type="character" w:styleId="Hyperlink">
    <w:name w:val="Hyperlink"/>
    <w:rsid w:val="00505DEB"/>
    <w:rPr>
      <w:color w:val="0000FF"/>
      <w:u w:val="single"/>
    </w:rPr>
  </w:style>
  <w:style w:type="character" w:styleId="FollowedHyperlink">
    <w:name w:val="FollowedHyperlink"/>
    <w:rsid w:val="00E73E6D"/>
    <w:rPr>
      <w:color w:val="800080"/>
      <w:u w:val="single"/>
    </w:rPr>
  </w:style>
  <w:style w:type="character" w:customStyle="1" w:styleId="FootnoteTextChar1">
    <w:name w:val="Footnote Text Char1"/>
    <w:aliases w:val="Footnote Text Char Char,Footnote Text Char2 Char1 Char,Footnote Text Char1 Char Char2 Char,Footnote Text Char Char Char Char2 Char,Footnote Text Char2 Char Char1 Char Char1 Char,Footnote Text Char1 Char Char Char Char Char Char"/>
    <w:link w:val="FootnoteText"/>
    <w:rsid w:val="006A6B01"/>
  </w:style>
  <w:style w:type="paragraph" w:customStyle="1" w:styleId="StyleParaNumLeftChar">
    <w:name w:val="Style ParaNum + Left Char"/>
    <w:basedOn w:val="Normal"/>
    <w:rsid w:val="006A6B01"/>
    <w:pPr>
      <w:widowControl/>
      <w:numPr>
        <w:numId w:val="2"/>
      </w:numPr>
      <w:tabs>
        <w:tab w:val="left" w:pos="0"/>
      </w:tabs>
      <w:spacing w:after="220"/>
    </w:pPr>
    <w:rPr>
      <w:bCs/>
      <w:iCs/>
      <w:spacing w:val="-2"/>
      <w:szCs w:val="22"/>
    </w:rPr>
  </w:style>
  <w:style w:type="paragraph" w:customStyle="1" w:styleId="InsideAddressName">
    <w:name w:val="Inside Address Name"/>
    <w:basedOn w:val="Normal"/>
    <w:rsid w:val="0091039D"/>
    <w:pPr>
      <w:widowControl/>
    </w:pPr>
    <w:rPr>
      <w:rFonts w:eastAsia="MS Mincho"/>
      <w:sz w:val="24"/>
    </w:rPr>
  </w:style>
  <w:style w:type="character" w:customStyle="1" w:styleId="searchterm1">
    <w:name w:val="searchterm1"/>
    <w:rsid w:val="001E638D"/>
    <w:rPr>
      <w:b/>
      <w:bCs/>
      <w:shd w:val="clear" w:color="auto" w:fill="FFFF00"/>
    </w:rPr>
  </w:style>
  <w:style w:type="character" w:styleId="Strong">
    <w:name w:val="Strong"/>
    <w:qFormat/>
    <w:rsid w:val="007E04C6"/>
    <w:rPr>
      <w:b/>
      <w:bCs/>
    </w:rPr>
  </w:style>
  <w:style w:type="character" w:customStyle="1" w:styleId="ParaNumChar">
    <w:name w:val="ParaNum Char"/>
    <w:link w:val="ParaNum"/>
    <w:rsid w:val="00447AAC"/>
    <w:rPr>
      <w:snapToGrid w:val="0"/>
      <w:kern w:val="28"/>
      <w:sz w:val="22"/>
    </w:rPr>
  </w:style>
  <w:style w:type="character" w:styleId="CommentReference">
    <w:name w:val="annotation reference"/>
    <w:rsid w:val="001941A7"/>
    <w:rPr>
      <w:sz w:val="16"/>
      <w:szCs w:val="16"/>
    </w:rPr>
  </w:style>
  <w:style w:type="paragraph" w:styleId="CommentText">
    <w:name w:val="annotation text"/>
    <w:basedOn w:val="Normal"/>
    <w:link w:val="CommentTextChar"/>
    <w:rsid w:val="001941A7"/>
  </w:style>
  <w:style w:type="character" w:customStyle="1" w:styleId="CommentTextChar">
    <w:name w:val="Comment Text Char"/>
    <w:basedOn w:val="DefaultParagraphFont"/>
    <w:link w:val="CommentText"/>
    <w:rsid w:val="001941A7"/>
  </w:style>
  <w:style w:type="paragraph" w:styleId="CommentSubject">
    <w:name w:val="annotation subject"/>
    <w:basedOn w:val="CommentText"/>
    <w:next w:val="CommentText"/>
    <w:link w:val="CommentSubjectChar"/>
    <w:rsid w:val="001941A7"/>
    <w:rPr>
      <w:b/>
      <w:bCs/>
    </w:rPr>
  </w:style>
  <w:style w:type="character" w:customStyle="1" w:styleId="CommentSubjectChar">
    <w:name w:val="Comment Subject Char"/>
    <w:link w:val="CommentSubject"/>
    <w:rsid w:val="001941A7"/>
    <w:rPr>
      <w:b/>
      <w:bCs/>
    </w:rPr>
  </w:style>
  <w:style w:type="paragraph" w:styleId="ListParagraph">
    <w:name w:val="List Paragraph"/>
    <w:basedOn w:val="Normal"/>
    <w:uiPriority w:val="34"/>
    <w:qFormat/>
    <w:rsid w:val="00AF198F"/>
    <w:pPr>
      <w:ind w:left="720"/>
    </w:pPr>
  </w:style>
  <w:style w:type="paragraph" w:styleId="Revision">
    <w:name w:val="Revision"/>
    <w:hidden/>
    <w:uiPriority w:val="99"/>
    <w:semiHidden/>
    <w:rsid w:val="00BE5758"/>
  </w:style>
  <w:style w:type="character" w:customStyle="1" w:styleId="FootnoteTextChar1Char">
    <w:name w:val="Footnote Text Char1 Char"/>
    <w:aliases w:val="Footnote Text Char Char Char,Footnote Text Char1 Char Char Char,Footnote Text Char Char Char Char Char,Footnote Text Char Char Char Char Char Char Char,f Char"/>
    <w:semiHidden/>
    <w:locked/>
    <w:rsid w:val="005E6B95"/>
    <w:rPr>
      <w:rFonts w:ascii="Courier New" w:hAnsi="Courier New" w:cs="Times New Roman"/>
      <w:snapToGrid w:val="0"/>
      <w:sz w:val="24"/>
      <w:lang w:val="en-US" w:eastAsia="en-US" w:bidi="ar-SA"/>
    </w:rPr>
  </w:style>
  <w:style w:type="character" w:customStyle="1" w:styleId="cohl">
    <w:name w:val="co_hl"/>
    <w:basedOn w:val="DefaultParagraphFont"/>
    <w:rsid w:val="0074572D"/>
  </w:style>
  <w:style w:type="table" w:styleId="TableGrid">
    <w:name w:val="Table Grid"/>
    <w:basedOn w:val="TableNormal"/>
    <w:rsid w:val="00161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A">
    <w:name w:val="Footnote Text A"/>
    <w:rsid w:val="009D6C0B"/>
    <w:rPr>
      <w:rFonts w:ascii="Helvetica" w:eastAsia="ヒラギノ角ゴ Pro W3" w:hAnsi="Helvetica"/>
      <w:color w:val="000000"/>
    </w:rPr>
  </w:style>
  <w:style w:type="character" w:customStyle="1" w:styleId="BalloonTextChar">
    <w:name w:val="Balloon Text Char"/>
    <w:basedOn w:val="DefaultParagraphFont"/>
    <w:uiPriority w:val="99"/>
    <w:semiHidden/>
    <w:rsid w:val="008F116D"/>
    <w:rPr>
      <w:rFonts w:ascii="Lucida Grande" w:hAnsi="Lucida Grande"/>
      <w:sz w:val="18"/>
      <w:szCs w:val="18"/>
    </w:rPr>
  </w:style>
  <w:style w:type="character" w:customStyle="1" w:styleId="BalloonTextChar1">
    <w:name w:val="Balloon Text Char1"/>
    <w:basedOn w:val="DefaultParagraphFont"/>
    <w:link w:val="BalloonText"/>
    <w:semiHidden/>
    <w:rsid w:val="008F116D"/>
    <w:rPr>
      <w:rFonts w:ascii="Tahoma" w:hAnsi="Tahoma" w:cs="Tahoma"/>
      <w:sz w:val="16"/>
      <w:szCs w:val="16"/>
    </w:rPr>
  </w:style>
  <w:style w:type="character" w:customStyle="1" w:styleId="documentbody">
    <w:name w:val="documentbody"/>
    <w:basedOn w:val="DefaultParagraphFont"/>
    <w:rsid w:val="001E1D32"/>
  </w:style>
  <w:style w:type="paragraph" w:styleId="EndnoteText">
    <w:name w:val="endnote text"/>
    <w:basedOn w:val="Normal"/>
    <w:link w:val="EndnoteTextChar"/>
    <w:rsid w:val="00505DEB"/>
    <w:rPr>
      <w:sz w:val="20"/>
    </w:rPr>
  </w:style>
  <w:style w:type="character" w:customStyle="1" w:styleId="EndnoteTextChar">
    <w:name w:val="Endnote Text Char"/>
    <w:basedOn w:val="DefaultParagraphFont"/>
    <w:link w:val="EndnoteText"/>
    <w:rsid w:val="00D33545"/>
    <w:rPr>
      <w:snapToGrid w:val="0"/>
      <w:kern w:val="28"/>
    </w:rPr>
  </w:style>
  <w:style w:type="character" w:styleId="EndnoteReference">
    <w:name w:val="endnote reference"/>
    <w:rsid w:val="00505DEB"/>
    <w:rPr>
      <w:vertAlign w:val="superscript"/>
    </w:rPr>
  </w:style>
  <w:style w:type="paragraph" w:styleId="TOAHeading">
    <w:name w:val="toa heading"/>
    <w:basedOn w:val="Normal"/>
    <w:next w:val="Normal"/>
    <w:rsid w:val="00505DEB"/>
    <w:pPr>
      <w:tabs>
        <w:tab w:val="right" w:pos="9360"/>
      </w:tabs>
      <w:suppressAutoHyphens/>
    </w:pPr>
  </w:style>
  <w:style w:type="character" w:customStyle="1" w:styleId="EquationCaption">
    <w:name w:val="_Equation Caption"/>
    <w:rsid w:val="00505DEB"/>
  </w:style>
  <w:style w:type="paragraph" w:customStyle="1" w:styleId="Paratitle">
    <w:name w:val="Para title"/>
    <w:basedOn w:val="Normal"/>
    <w:rsid w:val="00505DEB"/>
    <w:pPr>
      <w:tabs>
        <w:tab w:val="center" w:pos="9270"/>
      </w:tabs>
      <w:spacing w:after="240"/>
    </w:pPr>
    <w:rPr>
      <w:spacing w:val="-2"/>
    </w:rPr>
  </w:style>
  <w:style w:type="paragraph" w:customStyle="1" w:styleId="TOCTitle">
    <w:name w:val="TOC Title"/>
    <w:basedOn w:val="Normal"/>
    <w:rsid w:val="00505D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5DEB"/>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DEB"/>
    <w:pPr>
      <w:widowControl w:val="0"/>
    </w:pPr>
    <w:rPr>
      <w:snapToGrid w:val="0"/>
      <w:kern w:val="28"/>
      <w:sz w:val="22"/>
    </w:rPr>
  </w:style>
  <w:style w:type="paragraph" w:styleId="Heading1">
    <w:name w:val="heading 1"/>
    <w:basedOn w:val="Normal"/>
    <w:next w:val="ParaNum"/>
    <w:qFormat/>
    <w:rsid w:val="00505DEB"/>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5DEB"/>
    <w:pPr>
      <w:keepNext/>
      <w:numPr>
        <w:ilvl w:val="1"/>
        <w:numId w:val="5"/>
      </w:numPr>
      <w:spacing w:after="120"/>
      <w:outlineLvl w:val="1"/>
    </w:pPr>
    <w:rPr>
      <w:b/>
    </w:rPr>
  </w:style>
  <w:style w:type="paragraph" w:styleId="Heading3">
    <w:name w:val="heading 3"/>
    <w:basedOn w:val="Normal"/>
    <w:next w:val="ParaNum"/>
    <w:qFormat/>
    <w:rsid w:val="00505DEB"/>
    <w:pPr>
      <w:keepNext/>
      <w:numPr>
        <w:ilvl w:val="2"/>
        <w:numId w:val="5"/>
      </w:numPr>
      <w:tabs>
        <w:tab w:val="left" w:pos="2160"/>
      </w:tabs>
      <w:spacing w:after="120"/>
      <w:outlineLvl w:val="2"/>
    </w:pPr>
    <w:rPr>
      <w:b/>
    </w:rPr>
  </w:style>
  <w:style w:type="paragraph" w:styleId="Heading4">
    <w:name w:val="heading 4"/>
    <w:basedOn w:val="Normal"/>
    <w:next w:val="ParaNum"/>
    <w:qFormat/>
    <w:rsid w:val="00505DEB"/>
    <w:pPr>
      <w:keepNext/>
      <w:numPr>
        <w:ilvl w:val="3"/>
        <w:numId w:val="5"/>
      </w:numPr>
      <w:tabs>
        <w:tab w:val="left" w:pos="2880"/>
      </w:tabs>
      <w:spacing w:after="120"/>
      <w:outlineLvl w:val="3"/>
    </w:pPr>
    <w:rPr>
      <w:b/>
    </w:rPr>
  </w:style>
  <w:style w:type="paragraph" w:styleId="Heading5">
    <w:name w:val="heading 5"/>
    <w:basedOn w:val="Normal"/>
    <w:next w:val="ParaNum"/>
    <w:qFormat/>
    <w:rsid w:val="00505DEB"/>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505DEB"/>
    <w:pPr>
      <w:numPr>
        <w:ilvl w:val="5"/>
        <w:numId w:val="5"/>
      </w:numPr>
      <w:tabs>
        <w:tab w:val="left" w:pos="4320"/>
      </w:tabs>
      <w:spacing w:after="120"/>
      <w:outlineLvl w:val="5"/>
    </w:pPr>
    <w:rPr>
      <w:b/>
    </w:rPr>
  </w:style>
  <w:style w:type="paragraph" w:styleId="Heading7">
    <w:name w:val="heading 7"/>
    <w:basedOn w:val="Normal"/>
    <w:next w:val="ParaNum"/>
    <w:qFormat/>
    <w:rsid w:val="00505DEB"/>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505DEB"/>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505DEB"/>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534FA"/>
    <w:pPr>
      <w:spacing w:before="120" w:after="120"/>
    </w:pPr>
    <w:rPr>
      <w:b/>
    </w:rPr>
  </w:style>
  <w:style w:type="paragraph" w:customStyle="1" w:styleId="ParaNum">
    <w:name w:val="ParaNum"/>
    <w:basedOn w:val="Normal"/>
    <w:link w:val="ParaNumChar"/>
    <w:rsid w:val="00505DEB"/>
    <w:pPr>
      <w:numPr>
        <w:numId w:val="3"/>
      </w:numPr>
      <w:tabs>
        <w:tab w:val="clear" w:pos="1080"/>
        <w:tab w:val="num" w:pos="1440"/>
      </w:tabs>
      <w:spacing w:after="120"/>
    </w:pPr>
  </w:style>
  <w:style w:type="paragraph" w:styleId="FootnoteText">
    <w:name w:val="footnote text"/>
    <w:aliases w:val="Footnote Text Char,Footnote Text Char2 Char1,Footnote Text Char1 Char Char2,Footnote Text Char Char Char Char2,Footnote Text Char2 Char Char1 Char Char1,Footnote Text Char1 Char Char Char Char Char,Footnote Text Char2,rrfootnote,fn,ft,f"/>
    <w:link w:val="FootnoteTextChar1"/>
    <w:rsid w:val="00505DEB"/>
    <w:pPr>
      <w:spacing w:after="120"/>
    </w:pPr>
  </w:style>
  <w:style w:type="paragraph" w:customStyle="1" w:styleId="Bullet">
    <w:name w:val="Bullet"/>
    <w:basedOn w:val="Normal"/>
    <w:rsid w:val="00505DEB"/>
    <w:pPr>
      <w:tabs>
        <w:tab w:val="left" w:pos="2160"/>
      </w:tabs>
      <w:spacing w:after="220"/>
      <w:ind w:left="2160" w:hanging="720"/>
    </w:pPr>
  </w:style>
  <w:style w:type="paragraph" w:styleId="BlockText">
    <w:name w:val="Block Text"/>
    <w:basedOn w:val="Normal"/>
    <w:rsid w:val="00505DEB"/>
    <w:pPr>
      <w:spacing w:after="240"/>
      <w:ind w:left="1440" w:right="1440"/>
    </w:pPr>
  </w:style>
  <w:style w:type="paragraph" w:customStyle="1" w:styleId="TableFormat">
    <w:name w:val="TableFormat"/>
    <w:basedOn w:val="Bullet"/>
    <w:rsid w:val="00505DEB"/>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ootnote Reference1"/>
    <w:rsid w:val="00505DEB"/>
    <w:rPr>
      <w:rFonts w:ascii="Times New Roman" w:hAnsi="Times New Roman"/>
      <w:dstrike w:val="0"/>
      <w:color w:val="auto"/>
      <w:sz w:val="20"/>
      <w:vertAlign w:val="superscript"/>
    </w:rPr>
  </w:style>
  <w:style w:type="paragraph" w:styleId="Header">
    <w:name w:val="header"/>
    <w:basedOn w:val="Normal"/>
    <w:autoRedefine/>
    <w:rsid w:val="00505DEB"/>
    <w:pPr>
      <w:tabs>
        <w:tab w:val="center" w:pos="4680"/>
        <w:tab w:val="right" w:pos="9360"/>
      </w:tabs>
    </w:pPr>
    <w:rPr>
      <w:b/>
    </w:rPr>
  </w:style>
  <w:style w:type="paragraph" w:styleId="Footer">
    <w:name w:val="footer"/>
    <w:basedOn w:val="Normal"/>
    <w:rsid w:val="00505DEB"/>
    <w:pPr>
      <w:tabs>
        <w:tab w:val="center" w:pos="4320"/>
        <w:tab w:val="right" w:pos="8640"/>
      </w:tabs>
    </w:pPr>
  </w:style>
  <w:style w:type="paragraph" w:styleId="TOC2">
    <w:name w:val="toc 2"/>
    <w:basedOn w:val="Normal"/>
    <w:next w:val="Normal"/>
    <w:semiHidden/>
    <w:rsid w:val="00505DEB"/>
    <w:pPr>
      <w:tabs>
        <w:tab w:val="left" w:pos="720"/>
        <w:tab w:val="right" w:leader="dot" w:pos="9360"/>
      </w:tabs>
      <w:suppressAutoHyphens/>
      <w:ind w:left="720" w:right="720" w:hanging="360"/>
    </w:pPr>
    <w:rPr>
      <w:noProof/>
    </w:rPr>
  </w:style>
  <w:style w:type="paragraph" w:customStyle="1" w:styleId="NumberedList">
    <w:name w:val="Numbered List"/>
    <w:basedOn w:val="Normal"/>
    <w:rsid w:val="002534FA"/>
    <w:pPr>
      <w:numPr>
        <w:numId w:val="1"/>
      </w:numPr>
      <w:tabs>
        <w:tab w:val="clear" w:pos="1080"/>
      </w:tabs>
      <w:spacing w:after="220"/>
      <w:ind w:firstLine="0"/>
    </w:pPr>
  </w:style>
  <w:style w:type="paragraph" w:styleId="TOC1">
    <w:name w:val="toc 1"/>
    <w:basedOn w:val="Normal"/>
    <w:next w:val="Normal"/>
    <w:semiHidden/>
    <w:rsid w:val="00505DE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05DE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5DE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5D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5D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5D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5D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5DEB"/>
    <w:pPr>
      <w:tabs>
        <w:tab w:val="left" w:pos="3240"/>
        <w:tab w:val="right" w:leader="dot" w:pos="9360"/>
      </w:tabs>
      <w:suppressAutoHyphens/>
      <w:ind w:left="3240" w:hanging="360"/>
    </w:pPr>
    <w:rPr>
      <w:noProof/>
    </w:rPr>
  </w:style>
  <w:style w:type="character" w:styleId="PageNumber">
    <w:name w:val="page number"/>
    <w:basedOn w:val="DefaultParagraphFont"/>
    <w:rsid w:val="00505DEB"/>
  </w:style>
  <w:style w:type="paragraph" w:styleId="Title">
    <w:name w:val="Title"/>
    <w:basedOn w:val="Normal"/>
    <w:qFormat/>
    <w:rsid w:val="002534FA"/>
    <w:pPr>
      <w:jc w:val="center"/>
    </w:pPr>
    <w:rPr>
      <w:b/>
    </w:rPr>
  </w:style>
  <w:style w:type="character" w:customStyle="1" w:styleId="documentbody1">
    <w:name w:val="documentbody1"/>
    <w:rsid w:val="00293A24"/>
    <w:rPr>
      <w:rFonts w:ascii="Verdana" w:hAnsi="Verdana" w:hint="default"/>
      <w:sz w:val="19"/>
      <w:szCs w:val="19"/>
      <w:shd w:val="clear" w:color="auto" w:fill="FFFFFF"/>
    </w:rPr>
  </w:style>
  <w:style w:type="paragraph" w:styleId="BalloonText">
    <w:name w:val="Balloon Text"/>
    <w:basedOn w:val="Normal"/>
    <w:link w:val="BalloonTextChar1"/>
    <w:semiHidden/>
    <w:rsid w:val="00061FF8"/>
    <w:rPr>
      <w:rFonts w:ascii="Tahoma" w:hAnsi="Tahoma" w:cs="Tahoma"/>
      <w:sz w:val="16"/>
      <w:szCs w:val="16"/>
    </w:rPr>
  </w:style>
  <w:style w:type="paragraph" w:styleId="HTMLPreformatted">
    <w:name w:val="HTML Preformatted"/>
    <w:basedOn w:val="Normal"/>
    <w:rsid w:val="004462B2"/>
    <w:rPr>
      <w:rFonts w:ascii="Courier New" w:hAnsi="Courier New" w:cs="Courier New"/>
    </w:rPr>
  </w:style>
  <w:style w:type="character" w:styleId="Hyperlink">
    <w:name w:val="Hyperlink"/>
    <w:rsid w:val="00505DEB"/>
    <w:rPr>
      <w:color w:val="0000FF"/>
      <w:u w:val="single"/>
    </w:rPr>
  </w:style>
  <w:style w:type="character" w:styleId="FollowedHyperlink">
    <w:name w:val="FollowedHyperlink"/>
    <w:rsid w:val="00E73E6D"/>
    <w:rPr>
      <w:color w:val="800080"/>
      <w:u w:val="single"/>
    </w:rPr>
  </w:style>
  <w:style w:type="character" w:customStyle="1" w:styleId="FootnoteTextChar1">
    <w:name w:val="Footnote Text Char1"/>
    <w:aliases w:val="Footnote Text Char Char,Footnote Text Char2 Char1 Char,Footnote Text Char1 Char Char2 Char,Footnote Text Char Char Char Char2 Char,Footnote Text Char2 Char Char1 Char Char1 Char,Footnote Text Char1 Char Char Char Char Char Char"/>
    <w:link w:val="FootnoteText"/>
    <w:rsid w:val="006A6B01"/>
  </w:style>
  <w:style w:type="paragraph" w:customStyle="1" w:styleId="StyleParaNumLeftChar">
    <w:name w:val="Style ParaNum + Left Char"/>
    <w:basedOn w:val="Normal"/>
    <w:rsid w:val="006A6B01"/>
    <w:pPr>
      <w:widowControl/>
      <w:numPr>
        <w:numId w:val="2"/>
      </w:numPr>
      <w:tabs>
        <w:tab w:val="left" w:pos="0"/>
      </w:tabs>
      <w:spacing w:after="220"/>
    </w:pPr>
    <w:rPr>
      <w:bCs/>
      <w:iCs/>
      <w:spacing w:val="-2"/>
      <w:szCs w:val="22"/>
    </w:rPr>
  </w:style>
  <w:style w:type="paragraph" w:customStyle="1" w:styleId="InsideAddressName">
    <w:name w:val="Inside Address Name"/>
    <w:basedOn w:val="Normal"/>
    <w:rsid w:val="0091039D"/>
    <w:pPr>
      <w:widowControl/>
    </w:pPr>
    <w:rPr>
      <w:rFonts w:eastAsia="MS Mincho"/>
      <w:sz w:val="24"/>
    </w:rPr>
  </w:style>
  <w:style w:type="character" w:customStyle="1" w:styleId="searchterm1">
    <w:name w:val="searchterm1"/>
    <w:rsid w:val="001E638D"/>
    <w:rPr>
      <w:b/>
      <w:bCs/>
      <w:shd w:val="clear" w:color="auto" w:fill="FFFF00"/>
    </w:rPr>
  </w:style>
  <w:style w:type="character" w:styleId="Strong">
    <w:name w:val="Strong"/>
    <w:qFormat/>
    <w:rsid w:val="007E04C6"/>
    <w:rPr>
      <w:b/>
      <w:bCs/>
    </w:rPr>
  </w:style>
  <w:style w:type="character" w:customStyle="1" w:styleId="ParaNumChar">
    <w:name w:val="ParaNum Char"/>
    <w:link w:val="ParaNum"/>
    <w:rsid w:val="00447AAC"/>
    <w:rPr>
      <w:snapToGrid w:val="0"/>
      <w:kern w:val="28"/>
      <w:sz w:val="22"/>
    </w:rPr>
  </w:style>
  <w:style w:type="character" w:styleId="CommentReference">
    <w:name w:val="annotation reference"/>
    <w:rsid w:val="001941A7"/>
    <w:rPr>
      <w:sz w:val="16"/>
      <w:szCs w:val="16"/>
    </w:rPr>
  </w:style>
  <w:style w:type="paragraph" w:styleId="CommentText">
    <w:name w:val="annotation text"/>
    <w:basedOn w:val="Normal"/>
    <w:link w:val="CommentTextChar"/>
    <w:rsid w:val="001941A7"/>
  </w:style>
  <w:style w:type="character" w:customStyle="1" w:styleId="CommentTextChar">
    <w:name w:val="Comment Text Char"/>
    <w:basedOn w:val="DefaultParagraphFont"/>
    <w:link w:val="CommentText"/>
    <w:rsid w:val="001941A7"/>
  </w:style>
  <w:style w:type="paragraph" w:styleId="CommentSubject">
    <w:name w:val="annotation subject"/>
    <w:basedOn w:val="CommentText"/>
    <w:next w:val="CommentText"/>
    <w:link w:val="CommentSubjectChar"/>
    <w:rsid w:val="001941A7"/>
    <w:rPr>
      <w:b/>
      <w:bCs/>
    </w:rPr>
  </w:style>
  <w:style w:type="character" w:customStyle="1" w:styleId="CommentSubjectChar">
    <w:name w:val="Comment Subject Char"/>
    <w:link w:val="CommentSubject"/>
    <w:rsid w:val="001941A7"/>
    <w:rPr>
      <w:b/>
      <w:bCs/>
    </w:rPr>
  </w:style>
  <w:style w:type="paragraph" w:styleId="ListParagraph">
    <w:name w:val="List Paragraph"/>
    <w:basedOn w:val="Normal"/>
    <w:uiPriority w:val="34"/>
    <w:qFormat/>
    <w:rsid w:val="00AF198F"/>
    <w:pPr>
      <w:ind w:left="720"/>
    </w:pPr>
  </w:style>
  <w:style w:type="paragraph" w:styleId="Revision">
    <w:name w:val="Revision"/>
    <w:hidden/>
    <w:uiPriority w:val="99"/>
    <w:semiHidden/>
    <w:rsid w:val="00BE5758"/>
  </w:style>
  <w:style w:type="character" w:customStyle="1" w:styleId="FootnoteTextChar1Char">
    <w:name w:val="Footnote Text Char1 Char"/>
    <w:aliases w:val="Footnote Text Char Char Char,Footnote Text Char1 Char Char Char,Footnote Text Char Char Char Char Char,Footnote Text Char Char Char Char Char Char Char,f Char"/>
    <w:semiHidden/>
    <w:locked/>
    <w:rsid w:val="005E6B95"/>
    <w:rPr>
      <w:rFonts w:ascii="Courier New" w:hAnsi="Courier New" w:cs="Times New Roman"/>
      <w:snapToGrid w:val="0"/>
      <w:sz w:val="24"/>
      <w:lang w:val="en-US" w:eastAsia="en-US" w:bidi="ar-SA"/>
    </w:rPr>
  </w:style>
  <w:style w:type="character" w:customStyle="1" w:styleId="cohl">
    <w:name w:val="co_hl"/>
    <w:basedOn w:val="DefaultParagraphFont"/>
    <w:rsid w:val="0074572D"/>
  </w:style>
  <w:style w:type="table" w:styleId="TableGrid">
    <w:name w:val="Table Grid"/>
    <w:basedOn w:val="TableNormal"/>
    <w:rsid w:val="00161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A">
    <w:name w:val="Footnote Text A"/>
    <w:rsid w:val="009D6C0B"/>
    <w:rPr>
      <w:rFonts w:ascii="Helvetica" w:eastAsia="ヒラギノ角ゴ Pro W3" w:hAnsi="Helvetica"/>
      <w:color w:val="000000"/>
    </w:rPr>
  </w:style>
  <w:style w:type="character" w:customStyle="1" w:styleId="BalloonTextChar">
    <w:name w:val="Balloon Text Char"/>
    <w:basedOn w:val="DefaultParagraphFont"/>
    <w:uiPriority w:val="99"/>
    <w:semiHidden/>
    <w:rsid w:val="008F116D"/>
    <w:rPr>
      <w:rFonts w:ascii="Lucida Grande" w:hAnsi="Lucida Grande"/>
      <w:sz w:val="18"/>
      <w:szCs w:val="18"/>
    </w:rPr>
  </w:style>
  <w:style w:type="character" w:customStyle="1" w:styleId="BalloonTextChar1">
    <w:name w:val="Balloon Text Char1"/>
    <w:basedOn w:val="DefaultParagraphFont"/>
    <w:link w:val="BalloonText"/>
    <w:semiHidden/>
    <w:rsid w:val="008F116D"/>
    <w:rPr>
      <w:rFonts w:ascii="Tahoma" w:hAnsi="Tahoma" w:cs="Tahoma"/>
      <w:sz w:val="16"/>
      <w:szCs w:val="16"/>
    </w:rPr>
  </w:style>
  <w:style w:type="character" w:customStyle="1" w:styleId="documentbody">
    <w:name w:val="documentbody"/>
    <w:basedOn w:val="DefaultParagraphFont"/>
    <w:rsid w:val="001E1D32"/>
  </w:style>
  <w:style w:type="paragraph" w:styleId="EndnoteText">
    <w:name w:val="endnote text"/>
    <w:basedOn w:val="Normal"/>
    <w:link w:val="EndnoteTextChar"/>
    <w:rsid w:val="00505DEB"/>
    <w:rPr>
      <w:sz w:val="20"/>
    </w:rPr>
  </w:style>
  <w:style w:type="character" w:customStyle="1" w:styleId="EndnoteTextChar">
    <w:name w:val="Endnote Text Char"/>
    <w:basedOn w:val="DefaultParagraphFont"/>
    <w:link w:val="EndnoteText"/>
    <w:rsid w:val="00D33545"/>
    <w:rPr>
      <w:snapToGrid w:val="0"/>
      <w:kern w:val="28"/>
    </w:rPr>
  </w:style>
  <w:style w:type="character" w:styleId="EndnoteReference">
    <w:name w:val="endnote reference"/>
    <w:rsid w:val="00505DEB"/>
    <w:rPr>
      <w:vertAlign w:val="superscript"/>
    </w:rPr>
  </w:style>
  <w:style w:type="paragraph" w:styleId="TOAHeading">
    <w:name w:val="toa heading"/>
    <w:basedOn w:val="Normal"/>
    <w:next w:val="Normal"/>
    <w:rsid w:val="00505DEB"/>
    <w:pPr>
      <w:tabs>
        <w:tab w:val="right" w:pos="9360"/>
      </w:tabs>
      <w:suppressAutoHyphens/>
    </w:pPr>
  </w:style>
  <w:style w:type="character" w:customStyle="1" w:styleId="EquationCaption">
    <w:name w:val="_Equation Caption"/>
    <w:rsid w:val="00505DEB"/>
  </w:style>
  <w:style w:type="paragraph" w:customStyle="1" w:styleId="Paratitle">
    <w:name w:val="Para title"/>
    <w:basedOn w:val="Normal"/>
    <w:rsid w:val="00505DEB"/>
    <w:pPr>
      <w:tabs>
        <w:tab w:val="center" w:pos="9270"/>
      </w:tabs>
      <w:spacing w:after="240"/>
    </w:pPr>
    <w:rPr>
      <w:spacing w:val="-2"/>
    </w:rPr>
  </w:style>
  <w:style w:type="paragraph" w:customStyle="1" w:styleId="TOCTitle">
    <w:name w:val="TOC Title"/>
    <w:basedOn w:val="Normal"/>
    <w:rsid w:val="00505D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5DEB"/>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279">
      <w:bodyDiv w:val="1"/>
      <w:marLeft w:val="0"/>
      <w:marRight w:val="0"/>
      <w:marTop w:val="0"/>
      <w:marBottom w:val="0"/>
      <w:divBdr>
        <w:top w:val="none" w:sz="0" w:space="0" w:color="auto"/>
        <w:left w:val="none" w:sz="0" w:space="0" w:color="auto"/>
        <w:bottom w:val="none" w:sz="0" w:space="0" w:color="auto"/>
        <w:right w:val="none" w:sz="0" w:space="0" w:color="auto"/>
      </w:divBdr>
    </w:div>
    <w:div w:id="111169069">
      <w:bodyDiv w:val="1"/>
      <w:marLeft w:val="0"/>
      <w:marRight w:val="0"/>
      <w:marTop w:val="0"/>
      <w:marBottom w:val="0"/>
      <w:divBdr>
        <w:top w:val="none" w:sz="0" w:space="0" w:color="auto"/>
        <w:left w:val="none" w:sz="0" w:space="0" w:color="auto"/>
        <w:bottom w:val="none" w:sz="0" w:space="0" w:color="auto"/>
        <w:right w:val="none" w:sz="0" w:space="0" w:color="auto"/>
      </w:divBdr>
    </w:div>
    <w:div w:id="158935825">
      <w:bodyDiv w:val="1"/>
      <w:marLeft w:val="0"/>
      <w:marRight w:val="0"/>
      <w:marTop w:val="0"/>
      <w:marBottom w:val="0"/>
      <w:divBdr>
        <w:top w:val="none" w:sz="0" w:space="0" w:color="auto"/>
        <w:left w:val="none" w:sz="0" w:space="0" w:color="auto"/>
        <w:bottom w:val="none" w:sz="0" w:space="0" w:color="auto"/>
        <w:right w:val="none" w:sz="0" w:space="0" w:color="auto"/>
      </w:divBdr>
    </w:div>
    <w:div w:id="186331233">
      <w:bodyDiv w:val="1"/>
      <w:marLeft w:val="30"/>
      <w:marRight w:val="30"/>
      <w:marTop w:val="30"/>
      <w:marBottom w:val="30"/>
      <w:divBdr>
        <w:top w:val="none" w:sz="0" w:space="0" w:color="auto"/>
        <w:left w:val="none" w:sz="0" w:space="0" w:color="auto"/>
        <w:bottom w:val="none" w:sz="0" w:space="0" w:color="auto"/>
        <w:right w:val="none" w:sz="0" w:space="0" w:color="auto"/>
      </w:divBdr>
      <w:divsChild>
        <w:div w:id="1122655709">
          <w:marLeft w:val="0"/>
          <w:marRight w:val="0"/>
          <w:marTop w:val="0"/>
          <w:marBottom w:val="0"/>
          <w:divBdr>
            <w:top w:val="none" w:sz="0" w:space="0" w:color="auto"/>
            <w:left w:val="none" w:sz="0" w:space="0" w:color="auto"/>
            <w:bottom w:val="none" w:sz="0" w:space="0" w:color="auto"/>
            <w:right w:val="none" w:sz="0" w:space="0" w:color="auto"/>
          </w:divBdr>
          <w:divsChild>
            <w:div w:id="1727682297">
              <w:marLeft w:val="45"/>
              <w:marRight w:val="45"/>
              <w:marTop w:val="45"/>
              <w:marBottom w:val="45"/>
              <w:divBdr>
                <w:top w:val="none" w:sz="0" w:space="0" w:color="auto"/>
                <w:left w:val="none" w:sz="0" w:space="0" w:color="auto"/>
                <w:bottom w:val="none" w:sz="0" w:space="0" w:color="auto"/>
                <w:right w:val="none" w:sz="0" w:space="0" w:color="auto"/>
              </w:divBdr>
              <w:divsChild>
                <w:div w:id="268321793">
                  <w:marLeft w:val="0"/>
                  <w:marRight w:val="0"/>
                  <w:marTop w:val="0"/>
                  <w:marBottom w:val="0"/>
                  <w:divBdr>
                    <w:top w:val="none" w:sz="0" w:space="0" w:color="auto"/>
                    <w:left w:val="none" w:sz="0" w:space="0" w:color="auto"/>
                    <w:bottom w:val="none" w:sz="0" w:space="0" w:color="auto"/>
                    <w:right w:val="none" w:sz="0" w:space="0" w:color="auto"/>
                  </w:divBdr>
                  <w:divsChild>
                    <w:div w:id="80990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05727">
      <w:bodyDiv w:val="1"/>
      <w:marLeft w:val="0"/>
      <w:marRight w:val="0"/>
      <w:marTop w:val="0"/>
      <w:marBottom w:val="0"/>
      <w:divBdr>
        <w:top w:val="none" w:sz="0" w:space="0" w:color="auto"/>
        <w:left w:val="none" w:sz="0" w:space="0" w:color="auto"/>
        <w:bottom w:val="none" w:sz="0" w:space="0" w:color="auto"/>
        <w:right w:val="none" w:sz="0" w:space="0" w:color="auto"/>
      </w:divBdr>
    </w:div>
    <w:div w:id="678895230">
      <w:bodyDiv w:val="1"/>
      <w:marLeft w:val="0"/>
      <w:marRight w:val="0"/>
      <w:marTop w:val="0"/>
      <w:marBottom w:val="0"/>
      <w:divBdr>
        <w:top w:val="none" w:sz="0" w:space="0" w:color="auto"/>
        <w:left w:val="none" w:sz="0" w:space="0" w:color="auto"/>
        <w:bottom w:val="none" w:sz="0" w:space="0" w:color="auto"/>
        <w:right w:val="none" w:sz="0" w:space="0" w:color="auto"/>
      </w:divBdr>
    </w:div>
    <w:div w:id="757793931">
      <w:bodyDiv w:val="1"/>
      <w:marLeft w:val="0"/>
      <w:marRight w:val="0"/>
      <w:marTop w:val="0"/>
      <w:marBottom w:val="0"/>
      <w:divBdr>
        <w:top w:val="none" w:sz="0" w:space="0" w:color="auto"/>
        <w:left w:val="none" w:sz="0" w:space="0" w:color="auto"/>
        <w:bottom w:val="none" w:sz="0" w:space="0" w:color="auto"/>
        <w:right w:val="none" w:sz="0" w:space="0" w:color="auto"/>
      </w:divBdr>
    </w:div>
    <w:div w:id="962658727">
      <w:bodyDiv w:val="1"/>
      <w:marLeft w:val="0"/>
      <w:marRight w:val="0"/>
      <w:marTop w:val="0"/>
      <w:marBottom w:val="0"/>
      <w:divBdr>
        <w:top w:val="none" w:sz="0" w:space="0" w:color="auto"/>
        <w:left w:val="none" w:sz="0" w:space="0" w:color="auto"/>
        <w:bottom w:val="none" w:sz="0" w:space="0" w:color="auto"/>
        <w:right w:val="none" w:sz="0" w:space="0" w:color="auto"/>
      </w:divBdr>
    </w:div>
    <w:div w:id="1114253355">
      <w:bodyDiv w:val="1"/>
      <w:marLeft w:val="0"/>
      <w:marRight w:val="0"/>
      <w:marTop w:val="0"/>
      <w:marBottom w:val="0"/>
      <w:divBdr>
        <w:top w:val="none" w:sz="0" w:space="0" w:color="auto"/>
        <w:left w:val="none" w:sz="0" w:space="0" w:color="auto"/>
        <w:bottom w:val="none" w:sz="0" w:space="0" w:color="auto"/>
        <w:right w:val="none" w:sz="0" w:space="0" w:color="auto"/>
      </w:divBdr>
    </w:div>
    <w:div w:id="1143960101">
      <w:bodyDiv w:val="1"/>
      <w:marLeft w:val="0"/>
      <w:marRight w:val="0"/>
      <w:marTop w:val="0"/>
      <w:marBottom w:val="0"/>
      <w:divBdr>
        <w:top w:val="none" w:sz="0" w:space="0" w:color="auto"/>
        <w:left w:val="none" w:sz="0" w:space="0" w:color="auto"/>
        <w:bottom w:val="none" w:sz="0" w:space="0" w:color="auto"/>
        <w:right w:val="none" w:sz="0" w:space="0" w:color="auto"/>
      </w:divBdr>
    </w:div>
    <w:div w:id="1229729662">
      <w:bodyDiv w:val="1"/>
      <w:marLeft w:val="0"/>
      <w:marRight w:val="0"/>
      <w:marTop w:val="0"/>
      <w:marBottom w:val="0"/>
      <w:divBdr>
        <w:top w:val="none" w:sz="0" w:space="0" w:color="auto"/>
        <w:left w:val="none" w:sz="0" w:space="0" w:color="auto"/>
        <w:bottom w:val="none" w:sz="0" w:space="0" w:color="auto"/>
        <w:right w:val="none" w:sz="0" w:space="0" w:color="auto"/>
      </w:divBdr>
      <w:divsChild>
        <w:div w:id="1134054904">
          <w:marLeft w:val="0"/>
          <w:marRight w:val="0"/>
          <w:marTop w:val="0"/>
          <w:marBottom w:val="0"/>
          <w:divBdr>
            <w:top w:val="none" w:sz="0" w:space="0" w:color="auto"/>
            <w:left w:val="none" w:sz="0" w:space="0" w:color="auto"/>
            <w:bottom w:val="none" w:sz="0" w:space="0" w:color="auto"/>
            <w:right w:val="none" w:sz="0" w:space="0" w:color="auto"/>
          </w:divBdr>
        </w:div>
        <w:div w:id="1259481261">
          <w:marLeft w:val="0"/>
          <w:marRight w:val="0"/>
          <w:marTop w:val="0"/>
          <w:marBottom w:val="0"/>
          <w:divBdr>
            <w:top w:val="none" w:sz="0" w:space="0" w:color="auto"/>
            <w:left w:val="none" w:sz="0" w:space="0" w:color="auto"/>
            <w:bottom w:val="none" w:sz="0" w:space="0" w:color="auto"/>
            <w:right w:val="none" w:sz="0" w:space="0" w:color="auto"/>
          </w:divBdr>
        </w:div>
        <w:div w:id="1434087530">
          <w:marLeft w:val="0"/>
          <w:marRight w:val="0"/>
          <w:marTop w:val="0"/>
          <w:marBottom w:val="0"/>
          <w:divBdr>
            <w:top w:val="none" w:sz="0" w:space="0" w:color="auto"/>
            <w:left w:val="none" w:sz="0" w:space="0" w:color="auto"/>
            <w:bottom w:val="none" w:sz="0" w:space="0" w:color="auto"/>
            <w:right w:val="none" w:sz="0" w:space="0" w:color="auto"/>
          </w:divBdr>
        </w:div>
        <w:div w:id="1628587815">
          <w:marLeft w:val="0"/>
          <w:marRight w:val="0"/>
          <w:marTop w:val="0"/>
          <w:marBottom w:val="0"/>
          <w:divBdr>
            <w:top w:val="none" w:sz="0" w:space="0" w:color="auto"/>
            <w:left w:val="none" w:sz="0" w:space="0" w:color="auto"/>
            <w:bottom w:val="none" w:sz="0" w:space="0" w:color="auto"/>
            <w:right w:val="none" w:sz="0" w:space="0" w:color="auto"/>
          </w:divBdr>
        </w:div>
        <w:div w:id="2031756483">
          <w:marLeft w:val="0"/>
          <w:marRight w:val="0"/>
          <w:marTop w:val="0"/>
          <w:marBottom w:val="0"/>
          <w:divBdr>
            <w:top w:val="none" w:sz="0" w:space="0" w:color="auto"/>
            <w:left w:val="none" w:sz="0" w:space="0" w:color="auto"/>
            <w:bottom w:val="none" w:sz="0" w:space="0" w:color="auto"/>
            <w:right w:val="none" w:sz="0" w:space="0" w:color="auto"/>
          </w:divBdr>
        </w:div>
      </w:divsChild>
    </w:div>
    <w:div w:id="1234465366">
      <w:bodyDiv w:val="1"/>
      <w:marLeft w:val="0"/>
      <w:marRight w:val="0"/>
      <w:marTop w:val="0"/>
      <w:marBottom w:val="0"/>
      <w:divBdr>
        <w:top w:val="none" w:sz="0" w:space="0" w:color="auto"/>
        <w:left w:val="none" w:sz="0" w:space="0" w:color="auto"/>
        <w:bottom w:val="none" w:sz="0" w:space="0" w:color="auto"/>
        <w:right w:val="none" w:sz="0" w:space="0" w:color="auto"/>
      </w:divBdr>
      <w:divsChild>
        <w:div w:id="697509495">
          <w:marLeft w:val="0"/>
          <w:marRight w:val="0"/>
          <w:marTop w:val="0"/>
          <w:marBottom w:val="0"/>
          <w:divBdr>
            <w:top w:val="none" w:sz="0" w:space="0" w:color="auto"/>
            <w:left w:val="none" w:sz="0" w:space="0" w:color="auto"/>
            <w:bottom w:val="none" w:sz="0" w:space="0" w:color="auto"/>
            <w:right w:val="none" w:sz="0" w:space="0" w:color="auto"/>
          </w:divBdr>
        </w:div>
        <w:div w:id="996760544">
          <w:marLeft w:val="0"/>
          <w:marRight w:val="0"/>
          <w:marTop w:val="0"/>
          <w:marBottom w:val="0"/>
          <w:divBdr>
            <w:top w:val="none" w:sz="0" w:space="0" w:color="auto"/>
            <w:left w:val="none" w:sz="0" w:space="0" w:color="auto"/>
            <w:bottom w:val="none" w:sz="0" w:space="0" w:color="auto"/>
            <w:right w:val="none" w:sz="0" w:space="0" w:color="auto"/>
          </w:divBdr>
        </w:div>
      </w:divsChild>
    </w:div>
    <w:div w:id="1345520040">
      <w:bodyDiv w:val="1"/>
      <w:marLeft w:val="0"/>
      <w:marRight w:val="0"/>
      <w:marTop w:val="0"/>
      <w:marBottom w:val="0"/>
      <w:divBdr>
        <w:top w:val="none" w:sz="0" w:space="0" w:color="auto"/>
        <w:left w:val="none" w:sz="0" w:space="0" w:color="auto"/>
        <w:bottom w:val="none" w:sz="0" w:space="0" w:color="auto"/>
        <w:right w:val="none" w:sz="0" w:space="0" w:color="auto"/>
      </w:divBdr>
    </w:div>
    <w:div w:id="1411148782">
      <w:bodyDiv w:val="1"/>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
        <w:div w:id="1005204352">
          <w:marLeft w:val="0"/>
          <w:marRight w:val="0"/>
          <w:marTop w:val="0"/>
          <w:marBottom w:val="0"/>
          <w:divBdr>
            <w:top w:val="none" w:sz="0" w:space="0" w:color="auto"/>
            <w:left w:val="none" w:sz="0" w:space="0" w:color="auto"/>
            <w:bottom w:val="none" w:sz="0" w:space="0" w:color="auto"/>
            <w:right w:val="none" w:sz="0" w:space="0" w:color="auto"/>
          </w:divBdr>
        </w:div>
        <w:div w:id="1014066362">
          <w:marLeft w:val="0"/>
          <w:marRight w:val="0"/>
          <w:marTop w:val="0"/>
          <w:marBottom w:val="0"/>
          <w:divBdr>
            <w:top w:val="none" w:sz="0" w:space="0" w:color="auto"/>
            <w:left w:val="none" w:sz="0" w:space="0" w:color="auto"/>
            <w:bottom w:val="none" w:sz="0" w:space="0" w:color="auto"/>
            <w:right w:val="none" w:sz="0" w:space="0" w:color="auto"/>
          </w:divBdr>
        </w:div>
        <w:div w:id="1412701374">
          <w:marLeft w:val="0"/>
          <w:marRight w:val="0"/>
          <w:marTop w:val="0"/>
          <w:marBottom w:val="0"/>
          <w:divBdr>
            <w:top w:val="none" w:sz="0" w:space="0" w:color="auto"/>
            <w:left w:val="none" w:sz="0" w:space="0" w:color="auto"/>
            <w:bottom w:val="none" w:sz="0" w:space="0" w:color="auto"/>
            <w:right w:val="none" w:sz="0" w:space="0" w:color="auto"/>
          </w:divBdr>
        </w:div>
        <w:div w:id="2066373023">
          <w:marLeft w:val="0"/>
          <w:marRight w:val="0"/>
          <w:marTop w:val="0"/>
          <w:marBottom w:val="0"/>
          <w:divBdr>
            <w:top w:val="none" w:sz="0" w:space="0" w:color="auto"/>
            <w:left w:val="none" w:sz="0" w:space="0" w:color="auto"/>
            <w:bottom w:val="none" w:sz="0" w:space="0" w:color="auto"/>
            <w:right w:val="none" w:sz="0" w:space="0" w:color="auto"/>
          </w:divBdr>
        </w:div>
      </w:divsChild>
    </w:div>
    <w:div w:id="1427192360">
      <w:bodyDiv w:val="1"/>
      <w:marLeft w:val="0"/>
      <w:marRight w:val="0"/>
      <w:marTop w:val="0"/>
      <w:marBottom w:val="0"/>
      <w:divBdr>
        <w:top w:val="none" w:sz="0" w:space="0" w:color="auto"/>
        <w:left w:val="none" w:sz="0" w:space="0" w:color="auto"/>
        <w:bottom w:val="none" w:sz="0" w:space="0" w:color="auto"/>
        <w:right w:val="none" w:sz="0" w:space="0" w:color="auto"/>
      </w:divBdr>
    </w:div>
    <w:div w:id="1831090699">
      <w:bodyDiv w:val="1"/>
      <w:marLeft w:val="0"/>
      <w:marRight w:val="0"/>
      <w:marTop w:val="0"/>
      <w:marBottom w:val="0"/>
      <w:divBdr>
        <w:top w:val="none" w:sz="0" w:space="0" w:color="auto"/>
        <w:left w:val="none" w:sz="0" w:space="0" w:color="auto"/>
        <w:bottom w:val="none" w:sz="0" w:space="0" w:color="auto"/>
        <w:right w:val="none" w:sz="0" w:space="0" w:color="auto"/>
      </w:divBdr>
    </w:div>
    <w:div w:id="18406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Communications&amp;db=0004493&amp;rs=WLW13.04&amp;tc=-1&amp;rp=%2ffind%2fdefault.wl&amp;findtype=Y&amp;ordoc=2030461424&amp;serialnum=1997263097&amp;vr=2.0&amp;fn=_top&amp;sv=Split&amp;tf=-1&amp;referencepositiontype=S&amp;pbc=83D96126&amp;referenceposition=17099&amp;utid=1" TargetMode="External"/><Relationship Id="rId2" Type="http://schemas.openxmlformats.org/officeDocument/2006/relationships/image" Target="media/image1.gif"/><Relationship Id="rId1" Type="http://schemas.openxmlformats.org/officeDocument/2006/relationships/hyperlink" Target="javascript:top.docjs.next_hit(1)" TargetMode="External"/><Relationship Id="rId5" Type="http://schemas.openxmlformats.org/officeDocument/2006/relationships/hyperlink" Target="http://web2.westlaw.com/find/default.wl?mt=Communications&amp;db=0004493&amp;rs=WLW13.04&amp;tc=-1&amp;rp=%2ffind%2fdefault.wl&amp;findtype=Y&amp;ordoc=2029967801&amp;serialnum=2025591153&amp;vr=2.0&amp;fn=_top&amp;sv=Split&amp;tf=-1&amp;referencepositiontype=S&amp;pbc=8EC73063&amp;referenceposition=9303&amp;utid=1" TargetMode="External"/><Relationship Id="rId4" Type="http://schemas.openxmlformats.org/officeDocument/2006/relationships/hyperlink" Target="http://web2.westlaw.com/find/default.wl?mt=Communications&amp;db=0004493&amp;rs=WLW13.10&amp;tc=-1&amp;rp=%2ffind%2fdefault.wl&amp;findtype=Y&amp;ordoc=2032368731&amp;serialnum=1990195650&amp;vr=2.0&amp;fn=_top&amp;sv=Split&amp;tf=-1&amp;referencepositiontype=S&amp;pbc=6BEDA665&amp;referenceposition=7689&amp;ut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ia.Sigmund\AppData\Local\Microsoft\Windows\Temporary%20Internet%20Files\Content.Outlook\ZB55PY41\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8198</Words>
  <Characters>43797</Characters>
  <Application>Microsoft Office Word</Application>
  <DocSecurity>0</DocSecurity>
  <Lines>799</Lines>
  <Paragraphs>272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51999</CharactersWithSpaces>
  <SharedDoc>false</SharedDoc>
  <HyperlinkBase> </HyperlinkBase>
  <HLinks>
    <vt:vector size="6" baseType="variant">
      <vt:variant>
        <vt:i4>3866655</vt:i4>
      </vt:variant>
      <vt:variant>
        <vt:i4>0</vt:i4>
      </vt:variant>
      <vt:variant>
        <vt:i4>0</vt:i4>
      </vt:variant>
      <vt:variant>
        <vt:i4>5</vt:i4>
      </vt:variant>
      <vt:variant>
        <vt:lpwstr>http://web2.westlaw.com/find/default.wl?mt=Communications&amp;db=0004493&amp;rs=WLW13.04&amp;tc=-1&amp;rp=%2ffind%2fdefault.wl&amp;findtype=Y&amp;ordoc=2030461424&amp;serialnum=1997263097&amp;vr=2.0&amp;fn=_top&amp;sv=Split&amp;tf=-1&amp;referencepositiontype=S&amp;pbc=83D96126&amp;referenceposition=17099&amp;ut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2014-02-10T21:14:00Z</cp:lastPrinted>
  <dcterms:created xsi:type="dcterms:W3CDTF">2014-03-03T13:56:00Z</dcterms:created>
  <dcterms:modified xsi:type="dcterms:W3CDTF">2014-03-03T13:56:00Z</dcterms:modified>
  <cp:category> </cp:category>
  <cp:contentStatus> </cp:contentStatus>
</cp:coreProperties>
</file>