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C300" w14:textId="77777777" w:rsidR="003C22EE" w:rsidRDefault="002D2E5C">
      <w:pPr>
        <w:pStyle w:val="BalloonText"/>
        <w:jc w:val="center"/>
        <w:rPr>
          <w:b/>
        </w:rPr>
      </w:pPr>
      <w:bookmarkStart w:id="0" w:name="_GoBack"/>
      <w:bookmarkEnd w:id="0"/>
      <w:r w:rsidRPr="002D2E5C">
        <w:rPr>
          <w:b/>
        </w:rPr>
        <w:t>Before the</w:t>
      </w:r>
    </w:p>
    <w:p w14:paraId="2F7DCBAA" w14:textId="77777777" w:rsidR="00581F91" w:rsidRDefault="00581F91" w:rsidP="00170B85">
      <w:pPr>
        <w:jc w:val="center"/>
        <w:rPr>
          <w:b/>
          <w:bCs/>
        </w:rPr>
      </w:pPr>
      <w:r>
        <w:rPr>
          <w:b/>
          <w:bCs/>
        </w:rPr>
        <w:t>Federal Communications Commission</w:t>
      </w:r>
    </w:p>
    <w:p w14:paraId="07FB0B8F" w14:textId="77777777" w:rsidR="00581F91" w:rsidRDefault="00581F91" w:rsidP="00170B85">
      <w:pPr>
        <w:jc w:val="center"/>
        <w:rPr>
          <w:b/>
          <w:bCs/>
        </w:rPr>
      </w:pPr>
      <w:r>
        <w:rPr>
          <w:b/>
          <w:bCs/>
        </w:rPr>
        <w:t>Washington, D.C. 20554</w:t>
      </w:r>
    </w:p>
    <w:p w14:paraId="44F71569" w14:textId="77777777" w:rsidR="00581F91" w:rsidRDefault="00581F91" w:rsidP="00170B85"/>
    <w:p w14:paraId="55FD3A48" w14:textId="77777777" w:rsidR="00581F91" w:rsidRDefault="00581F91" w:rsidP="00170B85"/>
    <w:tbl>
      <w:tblPr>
        <w:tblW w:w="0" w:type="auto"/>
        <w:tblInd w:w="-106" w:type="dxa"/>
        <w:tblLayout w:type="fixed"/>
        <w:tblLook w:val="0000" w:firstRow="0" w:lastRow="0" w:firstColumn="0" w:lastColumn="0" w:noHBand="0" w:noVBand="0"/>
      </w:tblPr>
      <w:tblGrid>
        <w:gridCol w:w="4698"/>
        <w:gridCol w:w="720"/>
        <w:gridCol w:w="4230"/>
      </w:tblGrid>
      <w:tr w:rsidR="00581F91" w14:paraId="46D1C25B" w14:textId="77777777" w:rsidTr="000E2234">
        <w:tc>
          <w:tcPr>
            <w:tcW w:w="4698" w:type="dxa"/>
          </w:tcPr>
          <w:p w14:paraId="6EB1AD87" w14:textId="77777777" w:rsidR="00581F91" w:rsidRDefault="00581F91" w:rsidP="00E363AC">
            <w:pPr>
              <w:ind w:right="-18"/>
            </w:pPr>
            <w:r>
              <w:t>In the Matter of</w:t>
            </w:r>
          </w:p>
          <w:p w14:paraId="315AF7EC" w14:textId="77777777" w:rsidR="00581F91" w:rsidRDefault="00581F91" w:rsidP="00E363AC">
            <w:pPr>
              <w:ind w:right="-18"/>
            </w:pPr>
          </w:p>
          <w:p w14:paraId="09E5F786" w14:textId="77777777" w:rsidR="00581F91" w:rsidRDefault="00581F91" w:rsidP="00E363AC">
            <w:pPr>
              <w:ind w:right="-18"/>
            </w:pPr>
            <w:r>
              <w:t>Cargo Airline Association</w:t>
            </w:r>
          </w:p>
          <w:p w14:paraId="56557A8A" w14:textId="77777777" w:rsidR="00581F91" w:rsidRDefault="00581F91" w:rsidP="00E363AC">
            <w:pPr>
              <w:ind w:right="-18"/>
            </w:pPr>
            <w:r>
              <w:t xml:space="preserve">Petition for Expedited Declaratory Ruling  </w:t>
            </w:r>
          </w:p>
          <w:p w14:paraId="284AD614" w14:textId="77777777" w:rsidR="00581F91" w:rsidRDefault="00581F91" w:rsidP="00E363AC">
            <w:pPr>
              <w:ind w:right="-18"/>
            </w:pPr>
          </w:p>
          <w:p w14:paraId="5A037DDA" w14:textId="77777777" w:rsidR="00581F91" w:rsidRDefault="00581F91" w:rsidP="00E363AC">
            <w:pPr>
              <w:ind w:right="-18"/>
            </w:pPr>
            <w:r>
              <w:t xml:space="preserve">Rules and Regulations Implementing the </w:t>
            </w:r>
          </w:p>
          <w:p w14:paraId="53000410" w14:textId="77777777" w:rsidR="00581F91" w:rsidRDefault="00581F91" w:rsidP="00E363AC">
            <w:pPr>
              <w:ind w:right="-18"/>
            </w:pPr>
            <w:r>
              <w:t>Telephone Consumer Protection Act of 1991</w:t>
            </w:r>
          </w:p>
        </w:tc>
        <w:tc>
          <w:tcPr>
            <w:tcW w:w="720" w:type="dxa"/>
          </w:tcPr>
          <w:p w14:paraId="5A059250" w14:textId="361FA44B" w:rsidR="00581F91" w:rsidRDefault="000E2234" w:rsidP="00170B85">
            <w:pPr>
              <w:rPr>
                <w:b/>
                <w:bCs/>
              </w:rPr>
            </w:pPr>
            <w:r>
              <w:rPr>
                <w:b/>
                <w:bCs/>
              </w:rPr>
              <w:t>)</w:t>
            </w:r>
          </w:p>
          <w:p w14:paraId="22CAFA74" w14:textId="77777777" w:rsidR="00581F91" w:rsidRDefault="00581F91" w:rsidP="00170B85">
            <w:pPr>
              <w:rPr>
                <w:b/>
                <w:bCs/>
              </w:rPr>
            </w:pPr>
            <w:r>
              <w:rPr>
                <w:b/>
                <w:bCs/>
              </w:rPr>
              <w:t>)</w:t>
            </w:r>
          </w:p>
          <w:p w14:paraId="5FF7037D" w14:textId="77777777" w:rsidR="00581F91" w:rsidRDefault="00581F91" w:rsidP="00170B85">
            <w:pPr>
              <w:rPr>
                <w:b/>
                <w:bCs/>
              </w:rPr>
            </w:pPr>
            <w:r>
              <w:rPr>
                <w:b/>
                <w:bCs/>
              </w:rPr>
              <w:t>)</w:t>
            </w:r>
          </w:p>
          <w:p w14:paraId="224DB9F7" w14:textId="77777777" w:rsidR="00581F91" w:rsidRDefault="00581F91" w:rsidP="00170B85">
            <w:pPr>
              <w:rPr>
                <w:b/>
                <w:bCs/>
              </w:rPr>
            </w:pPr>
            <w:r>
              <w:rPr>
                <w:b/>
                <w:bCs/>
              </w:rPr>
              <w:t>)</w:t>
            </w:r>
          </w:p>
          <w:p w14:paraId="1AE3ED42" w14:textId="77777777" w:rsidR="00581F91" w:rsidRDefault="00581F91" w:rsidP="00170B85">
            <w:pPr>
              <w:rPr>
                <w:b/>
                <w:bCs/>
              </w:rPr>
            </w:pPr>
            <w:r>
              <w:rPr>
                <w:b/>
                <w:bCs/>
              </w:rPr>
              <w:t>)</w:t>
            </w:r>
          </w:p>
          <w:p w14:paraId="3511BD1E" w14:textId="77777777" w:rsidR="00581F91" w:rsidRDefault="00581F91" w:rsidP="00170B85">
            <w:pPr>
              <w:rPr>
                <w:b/>
                <w:bCs/>
              </w:rPr>
            </w:pPr>
            <w:r>
              <w:rPr>
                <w:b/>
                <w:bCs/>
              </w:rPr>
              <w:t>)</w:t>
            </w:r>
          </w:p>
          <w:p w14:paraId="0490EDF6" w14:textId="77777777" w:rsidR="00581F91" w:rsidRDefault="00581F91" w:rsidP="00170B85">
            <w:pPr>
              <w:rPr>
                <w:b/>
                <w:bCs/>
              </w:rPr>
            </w:pPr>
            <w:r>
              <w:rPr>
                <w:b/>
                <w:bCs/>
              </w:rPr>
              <w:t>)</w:t>
            </w:r>
          </w:p>
          <w:p w14:paraId="64A7F8A5" w14:textId="38BC97FD" w:rsidR="00581F91" w:rsidRDefault="00581F91" w:rsidP="00522ABB">
            <w:pPr>
              <w:rPr>
                <w:b/>
                <w:bCs/>
              </w:rPr>
            </w:pPr>
          </w:p>
        </w:tc>
        <w:tc>
          <w:tcPr>
            <w:tcW w:w="4230" w:type="dxa"/>
          </w:tcPr>
          <w:p w14:paraId="1AFABAD8" w14:textId="77777777" w:rsidR="00581F91" w:rsidRDefault="00581F91" w:rsidP="00170B85"/>
          <w:p w14:paraId="1FDEAF56" w14:textId="77777777" w:rsidR="00581F91" w:rsidRDefault="00581F91" w:rsidP="00170B85"/>
          <w:p w14:paraId="3CF938EE" w14:textId="77777777" w:rsidR="00581F91" w:rsidRDefault="00581F91" w:rsidP="00170B85">
            <w:r>
              <w:t>CG Docket No. 02-278</w:t>
            </w:r>
          </w:p>
          <w:p w14:paraId="4009CF43" w14:textId="77777777" w:rsidR="00581F91" w:rsidRDefault="00581F91" w:rsidP="00170B85"/>
          <w:p w14:paraId="53611E25" w14:textId="77777777" w:rsidR="00581F91" w:rsidRDefault="00581F91" w:rsidP="00170B85"/>
          <w:p w14:paraId="4FCE655B" w14:textId="77777777" w:rsidR="00581F91" w:rsidRDefault="00581F91" w:rsidP="00170B85"/>
          <w:p w14:paraId="3C132DD3" w14:textId="77777777" w:rsidR="00581F91" w:rsidRDefault="00581F91" w:rsidP="00170B85"/>
        </w:tc>
      </w:tr>
    </w:tbl>
    <w:p w14:paraId="7819FA91" w14:textId="77777777" w:rsidR="00581F91" w:rsidRDefault="00581F91" w:rsidP="00170B85"/>
    <w:p w14:paraId="17AE80E4" w14:textId="77777777" w:rsidR="00581F91" w:rsidRDefault="00581F91" w:rsidP="00170B85">
      <w:pPr>
        <w:spacing w:before="120"/>
        <w:jc w:val="center"/>
        <w:rPr>
          <w:b/>
          <w:bCs/>
        </w:rPr>
      </w:pPr>
      <w:r>
        <w:rPr>
          <w:b/>
          <w:bCs/>
        </w:rPr>
        <w:t>ORDER</w:t>
      </w:r>
    </w:p>
    <w:p w14:paraId="1C937A2E" w14:textId="77777777" w:rsidR="00581F91" w:rsidRDefault="00581F91" w:rsidP="00170B85"/>
    <w:p w14:paraId="60C2F7E6" w14:textId="78B15BD9" w:rsidR="00581F91" w:rsidRDefault="00581F91" w:rsidP="005C310D">
      <w:pPr>
        <w:tabs>
          <w:tab w:val="right" w:pos="9360"/>
        </w:tabs>
        <w:rPr>
          <w:b/>
          <w:bCs/>
        </w:rPr>
      </w:pPr>
      <w:r>
        <w:rPr>
          <w:b/>
          <w:bCs/>
        </w:rPr>
        <w:t xml:space="preserve">Adopted:  March </w:t>
      </w:r>
      <w:r w:rsidR="00C91928">
        <w:rPr>
          <w:b/>
          <w:bCs/>
        </w:rPr>
        <w:t>27</w:t>
      </w:r>
      <w:r>
        <w:rPr>
          <w:b/>
          <w:bCs/>
        </w:rPr>
        <w:t xml:space="preserve">, </w:t>
      </w:r>
      <w:r w:rsidR="003A2165">
        <w:rPr>
          <w:b/>
          <w:bCs/>
        </w:rPr>
        <w:t>2014</w:t>
      </w:r>
      <w:r w:rsidR="00E82DC4">
        <w:rPr>
          <w:b/>
          <w:bCs/>
        </w:rPr>
        <w:tab/>
      </w:r>
      <w:r>
        <w:rPr>
          <w:b/>
          <w:bCs/>
        </w:rPr>
        <w:t xml:space="preserve">Released:  March </w:t>
      </w:r>
      <w:r w:rsidR="00C91928">
        <w:rPr>
          <w:b/>
          <w:bCs/>
        </w:rPr>
        <w:t>27</w:t>
      </w:r>
      <w:r>
        <w:rPr>
          <w:b/>
          <w:bCs/>
        </w:rPr>
        <w:t xml:space="preserve">, </w:t>
      </w:r>
      <w:r w:rsidR="003A2165">
        <w:rPr>
          <w:b/>
          <w:bCs/>
        </w:rPr>
        <w:t>2014</w:t>
      </w:r>
    </w:p>
    <w:p w14:paraId="32AD0D72" w14:textId="77777777" w:rsidR="00581F91" w:rsidRDefault="00581F91" w:rsidP="00170B85">
      <w:pPr>
        <w:tabs>
          <w:tab w:val="left" w:pos="5760"/>
        </w:tabs>
        <w:rPr>
          <w:b/>
          <w:bCs/>
        </w:rPr>
      </w:pPr>
    </w:p>
    <w:p w14:paraId="33E98E8E" w14:textId="62C324AA" w:rsidR="00581F91" w:rsidRDefault="00581F91" w:rsidP="00170B85">
      <w:pPr>
        <w:tabs>
          <w:tab w:val="left" w:pos="5760"/>
        </w:tabs>
      </w:pPr>
      <w:r>
        <w:t>By the Commission:</w:t>
      </w:r>
      <w:r w:rsidR="000631DF">
        <w:t xml:space="preserve"> Commissioner O’Ri</w:t>
      </w:r>
      <w:r w:rsidR="002F66AA">
        <w:t>e</w:t>
      </w:r>
      <w:r w:rsidR="000631DF">
        <w:t>lly</w:t>
      </w:r>
      <w:r w:rsidR="00CE575F">
        <w:t xml:space="preserve"> concurring and</w:t>
      </w:r>
      <w:r w:rsidR="000631DF">
        <w:t xml:space="preserve"> issuing a separate statement.</w:t>
      </w:r>
    </w:p>
    <w:p w14:paraId="220EA3A5" w14:textId="77777777" w:rsidR="00581F91" w:rsidRDefault="00581F91" w:rsidP="00170B85">
      <w:pPr>
        <w:tabs>
          <w:tab w:val="left" w:pos="5760"/>
        </w:tabs>
        <w:rPr>
          <w:b/>
          <w:bCs/>
        </w:rPr>
      </w:pPr>
    </w:p>
    <w:p w14:paraId="26A8C46A" w14:textId="77777777" w:rsidR="00581F91" w:rsidRPr="004D040D" w:rsidRDefault="004C69A4" w:rsidP="00170B85">
      <w:pPr>
        <w:pStyle w:val="Heading1"/>
        <w:widowControl/>
        <w:rPr>
          <w:rFonts w:ascii="Times New Roman" w:hAnsi="Times New Roman"/>
        </w:rPr>
      </w:pPr>
      <w:r w:rsidRPr="004D040D">
        <w:rPr>
          <w:rFonts w:ascii="Times New Roman" w:hAnsi="Times New Roman"/>
        </w:rPr>
        <w:t>INTRODUCTION</w:t>
      </w:r>
    </w:p>
    <w:p w14:paraId="3383D752" w14:textId="77777777" w:rsidR="003C22EE" w:rsidRDefault="00581F91">
      <w:pPr>
        <w:pStyle w:val="ParaNum"/>
      </w:pPr>
      <w:r>
        <w:t>The Telephone Consumer Protection Act (TCPA)</w:t>
      </w:r>
      <w:r>
        <w:rPr>
          <w:rStyle w:val="FootnoteReference"/>
        </w:rPr>
        <w:footnoteReference w:id="2"/>
      </w:r>
      <w:r>
        <w:t xml:space="preserve"> protects consumers from unwanted voice calls and texts that are made with autodialers and with prerecorded messages.  The TCPA and our rules help consumers avoid unwanted communications that can represent annoying intrusions into daily life and, in some cases, can cost them financially.  Congress gave the Commission the authority to exclude from the TCPA’s prohibitions calls and texts that are not charged to the called party</w:t>
      </w:r>
      <w:r w:rsidR="00975059">
        <w:t xml:space="preserve">, with conditions </w:t>
      </w:r>
      <w:r>
        <w:t xml:space="preserve">to </w:t>
      </w:r>
      <w:r w:rsidR="00975059">
        <w:t>minimize any harm to consumer privacy</w:t>
      </w:r>
      <w:r>
        <w:t>.</w:t>
      </w:r>
      <w:r>
        <w:rPr>
          <w:rStyle w:val="FootnoteReference"/>
        </w:rPr>
        <w:footnoteReference w:id="3"/>
      </w:r>
      <w:r>
        <w:t xml:space="preserve">  In this Order, we use that authority to allow </w:t>
      </w:r>
      <w:r w:rsidR="00E733BC">
        <w:t xml:space="preserve">package delivery companies </w:t>
      </w:r>
      <w:r>
        <w:t xml:space="preserve">to </w:t>
      </w:r>
      <w:r w:rsidR="00975059">
        <w:t xml:space="preserve">alert </w:t>
      </w:r>
      <w:r>
        <w:t xml:space="preserve">wireless consumers </w:t>
      </w:r>
      <w:r w:rsidR="00975059">
        <w:t>about their packages</w:t>
      </w:r>
      <w:r>
        <w:t xml:space="preserve">, as long as </w:t>
      </w:r>
      <w:r w:rsidR="00975059">
        <w:t xml:space="preserve">consumers are not charged and may easily opt out of future messages if they wish, among other pro-consumer conditions.  </w:t>
      </w:r>
      <w:r>
        <w:t>By granting the request of the Cargo Airline Association (CAA)</w:t>
      </w:r>
      <w:r w:rsidRPr="00E7356C">
        <w:rPr>
          <w:rStyle w:val="FootnoteReference"/>
        </w:rPr>
        <w:footnoteReference w:id="4"/>
      </w:r>
      <w:r>
        <w:t xml:space="preserve"> to the extent noted in this Order, we pave the way for wireless consumers to receive package delivery notifications that we expect</w:t>
      </w:r>
      <w:r w:rsidR="00A178A7">
        <w:t xml:space="preserve">, </w:t>
      </w:r>
      <w:r>
        <w:t xml:space="preserve">based on their popularity with </w:t>
      </w:r>
      <w:r w:rsidR="009E3743">
        <w:t>residential</w:t>
      </w:r>
      <w:r w:rsidR="009E3743">
        <w:rPr>
          <w:rStyle w:val="FootnoteReference"/>
        </w:rPr>
        <w:footnoteReference w:id="5"/>
      </w:r>
      <w:r>
        <w:t xml:space="preserve"> consumers</w:t>
      </w:r>
      <w:r w:rsidR="00A178A7">
        <w:t xml:space="preserve">, </w:t>
      </w:r>
      <w:r>
        <w:t xml:space="preserve">will be welcome both as a convenience and as a way to guard against package theft.  </w:t>
      </w:r>
    </w:p>
    <w:p w14:paraId="63E84332" w14:textId="77777777" w:rsidR="00581F91" w:rsidRPr="004D040D" w:rsidRDefault="004C69A4" w:rsidP="004D040D">
      <w:pPr>
        <w:pStyle w:val="Heading1"/>
        <w:widowControl/>
        <w:rPr>
          <w:rFonts w:ascii="Times New Roman" w:hAnsi="Times New Roman"/>
        </w:rPr>
      </w:pPr>
      <w:r w:rsidRPr="004D040D">
        <w:rPr>
          <w:rFonts w:ascii="Times New Roman" w:hAnsi="Times New Roman"/>
        </w:rPr>
        <w:t>BACKGROUND</w:t>
      </w:r>
    </w:p>
    <w:p w14:paraId="6066D045" w14:textId="77777777" w:rsidR="00581F91" w:rsidRPr="0054640E" w:rsidRDefault="002D2E5C" w:rsidP="00246FBA">
      <w:pPr>
        <w:pStyle w:val="Heading2"/>
      </w:pPr>
      <w:r>
        <w:t>The Telephone Consumer Protection Act</w:t>
      </w:r>
    </w:p>
    <w:p w14:paraId="6350D19D" w14:textId="7EDA3409" w:rsidR="00581F91" w:rsidRDefault="00581F91" w:rsidP="004D040D">
      <w:pPr>
        <w:pStyle w:val="ParaNum"/>
      </w:pPr>
      <w:r w:rsidRPr="001E2B2D">
        <w:t>In 1991, Congress enacted the TCPA in an effort to address certain practices thought to be an invasion of consumer privacy and a risk to public safety.</w:t>
      </w:r>
      <w:r>
        <w:rPr>
          <w:rStyle w:val="FootnoteReference"/>
        </w:rPr>
        <w:footnoteReference w:id="6"/>
      </w:r>
      <w:r>
        <w:t xml:space="preserve"> </w:t>
      </w:r>
      <w:r w:rsidRPr="001E2B2D">
        <w:t xml:space="preserve"> In relevant part, the TCPA and our implementing rules prohibit the use of an artificial or prerecorded voice or an automatic telephone dialing system (autodialer) to make any non-emergency calls without prior express consent to any telephone </w:t>
      </w:r>
      <w:r w:rsidRPr="001E2B2D">
        <w:lastRenderedPageBreak/>
        <w:t>number assigned to cellular telephone services.</w:t>
      </w:r>
      <w:r>
        <w:rPr>
          <w:rStyle w:val="FootnoteReference"/>
        </w:rPr>
        <w:footnoteReference w:id="7"/>
      </w:r>
      <w:r w:rsidRPr="001E2B2D">
        <w:t xml:space="preserve">  Section 227 of the Act defines “automatic telephone dialing system” as “equipment which has the capacity—(A) to store or produce telephone numbers to be called, using a random or sequential number generator; and (B) to dial such numbers.”</w:t>
      </w:r>
      <w:r>
        <w:rPr>
          <w:rStyle w:val="FootnoteReference"/>
        </w:rPr>
        <w:footnoteReference w:id="8"/>
      </w:r>
      <w:r w:rsidRPr="001E2B2D">
        <w:t xml:space="preserve"> The Commission has concluded that the </w:t>
      </w:r>
      <w:r>
        <w:t xml:space="preserve">TCPA’s protections </w:t>
      </w:r>
      <w:r w:rsidRPr="001E2B2D">
        <w:t>encompass both voice calls and text messages, including short message service (SMS) calls, if the call is made to a telephone number assigned to such service.</w:t>
      </w:r>
      <w:r>
        <w:rPr>
          <w:rStyle w:val="FootnoteReference"/>
        </w:rPr>
        <w:footnoteReference w:id="9"/>
      </w:r>
      <w:r w:rsidRPr="001E2B2D">
        <w:t xml:space="preserve">   Section 227(b)(2)(C) authorizes the Commission to exempt from this provision calls to a number assigned to a wireless service that are not charged to the consumer, subject to conditions </w:t>
      </w:r>
      <w:r w:rsidR="00A178A7">
        <w:t xml:space="preserve">the Commission may prescribe </w:t>
      </w:r>
      <w:r w:rsidRPr="001E2B2D">
        <w:t>to protect consumers’ privacy rights.</w:t>
      </w:r>
      <w:r>
        <w:rPr>
          <w:rStyle w:val="FootnoteReference"/>
        </w:rPr>
        <w:footnoteReference w:id="10"/>
      </w:r>
    </w:p>
    <w:p w14:paraId="2E86591D" w14:textId="77777777" w:rsidR="00581F91" w:rsidRPr="004C69A4" w:rsidRDefault="00581F91" w:rsidP="00246FBA">
      <w:pPr>
        <w:pStyle w:val="Heading2"/>
        <w:numPr>
          <w:ilvl w:val="0"/>
          <w:numId w:val="0"/>
        </w:numPr>
        <w:ind w:left="720"/>
        <w:rPr>
          <w:i/>
        </w:rPr>
      </w:pPr>
      <w:r w:rsidRPr="004D040D">
        <w:t xml:space="preserve">B. </w:t>
      </w:r>
      <w:r w:rsidRPr="004D040D">
        <w:tab/>
        <w:t>The CAA Petition</w:t>
      </w:r>
    </w:p>
    <w:p w14:paraId="731588A5" w14:textId="77777777" w:rsidR="00581F91" w:rsidRDefault="00581F91" w:rsidP="004D040D">
      <w:pPr>
        <w:pStyle w:val="ParaNum"/>
      </w:pPr>
      <w:r>
        <w:t>On August 17, 2012, CAA filed its Petition seeking clarification of the TCPA as it applies to autodialed or prerecorded package delivery notification calls made to consumers’ wireless telephone numbers.  According to its Petition, CAA’s member companies deliver packages on behalf of a large number of companies and individuals.</w:t>
      </w:r>
      <w:r>
        <w:rPr>
          <w:rStyle w:val="FootnoteReference"/>
        </w:rPr>
        <w:footnoteReference w:id="11"/>
      </w:r>
      <w:r>
        <w:t xml:space="preserve">  CAA’s membership currently provides delivery notifications to consumers’ residential phones, which is permissible without consumer consent under the TCPA, and seeks to do the same to consumers’ wireless phones, either by voice or text.</w:t>
      </w:r>
      <w:r>
        <w:rPr>
          <w:rStyle w:val="FootnoteReference"/>
        </w:rPr>
        <w:footnoteReference w:id="12"/>
      </w:r>
      <w:r>
        <w:t xml:space="preserve">  CAA argues that the increased use of wireless phones as many consumers’ primary or exclusive phone necessitates this clarification.</w:t>
      </w:r>
      <w:r>
        <w:rPr>
          <w:rStyle w:val="FootnoteReference"/>
        </w:rPr>
        <w:footnoteReference w:id="13"/>
      </w:r>
      <w:r>
        <w:t xml:space="preserve">  </w:t>
      </w:r>
    </w:p>
    <w:p w14:paraId="1C281D5A" w14:textId="77777777" w:rsidR="003C22EE" w:rsidRDefault="00581F91">
      <w:pPr>
        <w:pStyle w:val="ParaNum"/>
      </w:pPr>
      <w:r w:rsidRPr="00E6133A">
        <w:t xml:space="preserve">CAA </w:t>
      </w:r>
      <w:r>
        <w:t xml:space="preserve">states that </w:t>
      </w:r>
      <w:r w:rsidRPr="00E6133A">
        <w:t xml:space="preserve">package delivery companies generally do not have any contact with a recipient </w:t>
      </w:r>
      <w:r>
        <w:t xml:space="preserve">until a </w:t>
      </w:r>
      <w:r w:rsidRPr="00E6133A">
        <w:t xml:space="preserve">package </w:t>
      </w:r>
      <w:r>
        <w:t xml:space="preserve">is shipped </w:t>
      </w:r>
      <w:r w:rsidRPr="00E6133A">
        <w:t>and that it would be impossible, given the volume of daily package deliveries, to manually dial each delivery notification call to wireless phone numbers or to obtain prior express consent from each package recipient before notif</w:t>
      </w:r>
      <w:r>
        <w:t>ying the recipient on his or her</w:t>
      </w:r>
      <w:r w:rsidRPr="00E6133A">
        <w:t xml:space="preserve"> phone.</w:t>
      </w:r>
      <w:r>
        <w:rPr>
          <w:rStyle w:val="FootnoteReference"/>
        </w:rPr>
        <w:footnoteReference w:id="14"/>
      </w:r>
      <w:r>
        <w:t xml:space="preserve">   CAA also argues that delivery notifications benefit consumers because they significantly reduce package theft from front porches and building lobbies.</w:t>
      </w:r>
      <w:r>
        <w:rPr>
          <w:rStyle w:val="FootnoteReference"/>
        </w:rPr>
        <w:footnoteReference w:id="15"/>
      </w:r>
      <w:r>
        <w:t xml:space="preserve">  One of CAA’s members reports that when a signature is required for a delivery, pre-delivery notification calls to consumers’ residential phones improves the likelihood of a successful delivery by 30 percent.</w:t>
      </w:r>
      <w:r>
        <w:rPr>
          <w:rStyle w:val="FootnoteReference"/>
        </w:rPr>
        <w:footnoteReference w:id="16"/>
      </w:r>
      <w:r>
        <w:t xml:space="preserve">  CAA also states that consumers rarely opt-out of notifications to residential phones.</w:t>
      </w:r>
      <w:r>
        <w:rPr>
          <w:rStyle w:val="FootnoteReference"/>
        </w:rPr>
        <w:footnoteReference w:id="17"/>
      </w:r>
    </w:p>
    <w:p w14:paraId="49FABF77" w14:textId="77777777" w:rsidR="003C22EE" w:rsidRDefault="00581F91">
      <w:pPr>
        <w:pStyle w:val="ParaNum"/>
      </w:pPr>
      <w:r>
        <w:t>CAA states that package delivery notifications do not contain telemarketing, solicitation, or advertising, or raise other TCPA concerns.</w:t>
      </w:r>
      <w:r>
        <w:rPr>
          <w:rStyle w:val="FootnoteReference"/>
        </w:rPr>
        <w:footnoteReference w:id="18"/>
      </w:r>
      <w:r>
        <w:t xml:space="preserve">  CAA asserts that the notifications its members currently provide to </w:t>
      </w:r>
      <w:r w:rsidR="009E3743">
        <w:t>residential</w:t>
      </w:r>
      <w:r>
        <w:t xml:space="preserve"> numbers provide “sufficient details to help package recipients know what is required for delivery, when to expect delivery, and how to follow-up with the delivery company.”  Examples of the specific information contained in the package delivery notifications include the expected date and time of delivery, the tracking number, the delivery company’s toll-free telephone number and web address for customer service</w:t>
      </w:r>
      <w:r w:rsidR="0048513A">
        <w:t>,</w:t>
      </w:r>
      <w:r>
        <w:t xml:space="preserve"> </w:t>
      </w:r>
      <w:r w:rsidRPr="009853CE">
        <w:t>whether a signature is required</w:t>
      </w:r>
      <w:r>
        <w:t xml:space="preserve">, and how to opt out of </w:t>
      </w:r>
      <w:r w:rsidR="0048513A">
        <w:t xml:space="preserve">future </w:t>
      </w:r>
      <w:r>
        <w:t xml:space="preserve">notifications.  If a package </w:t>
      </w:r>
      <w:r w:rsidR="0048513A">
        <w:t xml:space="preserve">can </w:t>
      </w:r>
      <w:r>
        <w:t>be picked up by the consumer at a delivery company’s facility, the notification will include that facility’s address and hours of operation.  CAA members would provide the same information in package delivery notifications via voice or text message to wireless numbers if this petition is granted.</w:t>
      </w:r>
      <w:r>
        <w:rPr>
          <w:rStyle w:val="FootnoteReference"/>
        </w:rPr>
        <w:footnoteReference w:id="19"/>
      </w:r>
    </w:p>
    <w:p w14:paraId="339013CB" w14:textId="77777777" w:rsidR="003C22EE" w:rsidRDefault="00581F91">
      <w:pPr>
        <w:pStyle w:val="ParaNum"/>
      </w:pPr>
      <w:r>
        <w:t xml:space="preserve"> CAA maintains that in the case of package delivery, where the package sender initiates shipment and provides all of the recipient’s necessary contact information, the delivery company should be able to rely upon representations from the package sender that a package recipient consents to receiving notifications about that package.</w:t>
      </w:r>
      <w:r>
        <w:rPr>
          <w:rStyle w:val="FootnoteReference"/>
        </w:rPr>
        <w:footnoteReference w:id="20"/>
      </w:r>
      <w:r>
        <w:t xml:space="preserve">  CAA requests that the Commission clarify that for informational calls related to package delivery via voice or text messages to wireless numbers, which can permissibly be made using an autodialer under the TCPA with the called party’s oral prior express consent, the package delivery company can rely upon a representation by a package sender that it has obtained the requisite consent from the consumer.</w:t>
      </w:r>
      <w:r>
        <w:rPr>
          <w:rStyle w:val="FootnoteReference"/>
        </w:rPr>
        <w:footnoteReference w:id="21"/>
      </w:r>
    </w:p>
    <w:p w14:paraId="39542B3D" w14:textId="77777777" w:rsidR="003C22EE" w:rsidRDefault="00581F91">
      <w:pPr>
        <w:pStyle w:val="ParaNum"/>
      </w:pPr>
      <w:r>
        <w:t>In the alternative, CAA asks the Commission to declare that package delivery notifications are exempt from the TCPA’s restrictions on autodialed and prerecorded calls and messages to wireless telephone numbers.</w:t>
      </w:r>
      <w:r>
        <w:rPr>
          <w:rStyle w:val="FootnoteReference"/>
        </w:rPr>
        <w:footnoteReference w:id="22"/>
      </w:r>
      <w:r>
        <w:t xml:space="preserve">  T</w:t>
      </w:r>
      <w:r w:rsidRPr="00B423C3">
        <w:t xml:space="preserve">he </w:t>
      </w:r>
      <w:r>
        <w:t xml:space="preserve">TCPA authorizes the </w:t>
      </w:r>
      <w:r w:rsidRPr="00B423C3">
        <w:t>Commission</w:t>
      </w:r>
      <w:r>
        <w:t xml:space="preserve"> “by rule or order”</w:t>
      </w:r>
      <w:r w:rsidRPr="00B423C3">
        <w:t xml:space="preserve"> to exempt, from the restriction on autodialed and prerecorded calls and messages to</w:t>
      </w:r>
      <w:r>
        <w:t xml:space="preserve"> </w:t>
      </w:r>
      <w:r w:rsidRPr="00B423C3">
        <w:t>wireless telephone numbers, such calls and messages “that are not charged to the called party, subject to such conditions as the Commission may prescribe as necessary in the interest of the privacy rights the provision is intended to protect</w:t>
      </w:r>
      <w:r>
        <w:t>.</w:t>
      </w:r>
      <w:r w:rsidRPr="00B423C3">
        <w:t>”</w:t>
      </w:r>
      <w:r>
        <w:rPr>
          <w:rStyle w:val="FootnoteReference"/>
          <w:sz w:val="24"/>
          <w:szCs w:val="24"/>
        </w:rPr>
        <w:footnoteReference w:id="23"/>
      </w:r>
      <w:r>
        <w:t xml:space="preserve">  CAA asserts that the Commission should recognize the public interest in receiving time-sensitive package notifications and issue a declaratory ruling clarifying that these notifications made through autodialed and prerecorded calls and messages are not restricted by the TCPA.</w:t>
      </w:r>
      <w:r>
        <w:rPr>
          <w:rStyle w:val="FootnoteReference"/>
        </w:rPr>
        <w:footnoteReference w:id="24"/>
      </w:r>
      <w:r>
        <w:t xml:space="preserve">  Subsequent to filing its Petition, CAA more fully described this alternative request, and proposed conditions to satisfy the TCPA.   In its </w:t>
      </w:r>
      <w:r w:rsidRPr="0054640E">
        <w:rPr>
          <w:i/>
          <w:iCs/>
        </w:rPr>
        <w:t xml:space="preserve">ex parte </w:t>
      </w:r>
      <w:r>
        <w:t>filings, CA</w:t>
      </w:r>
      <w:r w:rsidRPr="00B423C3">
        <w:t xml:space="preserve">A </w:t>
      </w:r>
      <w:r>
        <w:t xml:space="preserve">clarifies that it </w:t>
      </w:r>
      <w:r w:rsidRPr="00B423C3">
        <w:t xml:space="preserve">has requested an exemption for non-telemarketing wireless package delivery notifications </w:t>
      </w:r>
      <w:r>
        <w:t>t</w:t>
      </w:r>
      <w:r w:rsidRPr="00B423C3">
        <w:t>hat are not charged to the called party</w:t>
      </w:r>
      <w:r>
        <w:t xml:space="preserve"> utilizing </w:t>
      </w:r>
      <w:r w:rsidRPr="00B423C3">
        <w:t>several options available to send free-to-end-user text messages to wireless telephone numbers that work with all four nationwide wireless carriers.</w:t>
      </w:r>
      <w:r>
        <w:rPr>
          <w:rStyle w:val="FootnoteReference"/>
          <w:sz w:val="24"/>
          <w:szCs w:val="24"/>
        </w:rPr>
        <w:footnoteReference w:id="25"/>
      </w:r>
      <w:r w:rsidRPr="00B423C3">
        <w:t xml:space="preserve"> </w:t>
      </w:r>
      <w:r>
        <w:t xml:space="preserve"> The Commission has not previously exercised its authority under the statutory exemption provision.</w:t>
      </w:r>
      <w:r>
        <w:rPr>
          <w:rStyle w:val="FootnoteReference"/>
        </w:rPr>
        <w:footnoteReference w:id="26"/>
      </w:r>
    </w:p>
    <w:p w14:paraId="6D0B8A7D" w14:textId="32C2DCC3" w:rsidR="003C22EE" w:rsidRDefault="00581F91" w:rsidP="005C310D">
      <w:pPr>
        <w:pStyle w:val="ParaNum"/>
        <w:widowControl/>
      </w:pPr>
      <w:r>
        <w:t>The Commission sought comment on the issues raised in CAA’s Petition.</w:t>
      </w:r>
      <w:r>
        <w:rPr>
          <w:rStyle w:val="FootnoteReference"/>
        </w:rPr>
        <w:footnoteReference w:id="27"/>
      </w:r>
      <w:r>
        <w:t xml:space="preserve">  Five parties commented, including two individuals</w:t>
      </w:r>
      <w:r w:rsidRPr="00C10BA2">
        <w:t>.</w:t>
      </w:r>
      <w:r w:rsidRPr="00C10BA2">
        <w:rPr>
          <w:rStyle w:val="FootnoteReference"/>
        </w:rPr>
        <w:footnoteReference w:id="28"/>
      </w:r>
      <w:r>
        <w:t xml:space="preserve"> The Commission later sought comment on CAA’s </w:t>
      </w:r>
      <w:r w:rsidR="002E2FE1">
        <w:t>ex parte presentation</w:t>
      </w:r>
      <w:r w:rsidR="005254FE">
        <w:rPr>
          <w:rStyle w:val="FootnoteReference"/>
        </w:rPr>
        <w:footnoteReference w:id="29"/>
      </w:r>
      <w:r>
        <w:t xml:space="preserve"> focusing on its alternative argument that the Commission should exempt its free-to-end-user text messages. We received two comments supporting the request, one comment opposing the request, and one comment that asks the Commission to grant the intermediary consent request.</w:t>
      </w:r>
      <w:r>
        <w:rPr>
          <w:rStyle w:val="FootnoteReference"/>
        </w:rPr>
        <w:footnoteReference w:id="30"/>
      </w:r>
    </w:p>
    <w:p w14:paraId="6ECCDA9D" w14:textId="77777777" w:rsidR="003C22EE" w:rsidRDefault="004C69A4">
      <w:pPr>
        <w:pStyle w:val="Heading1"/>
        <w:widowControl/>
        <w:rPr>
          <w:rFonts w:ascii="Times New Roman" w:hAnsi="Times New Roman"/>
        </w:rPr>
      </w:pPr>
      <w:r w:rsidRPr="004D040D">
        <w:rPr>
          <w:rFonts w:ascii="Times New Roman" w:hAnsi="Times New Roman"/>
        </w:rPr>
        <w:t>DISCUSSION</w:t>
      </w:r>
    </w:p>
    <w:p w14:paraId="43EBA6F4" w14:textId="77777777" w:rsidR="0048513A" w:rsidRDefault="00581F91" w:rsidP="00A66F85">
      <w:pPr>
        <w:pStyle w:val="ParaNum"/>
      </w:pPr>
      <w:r>
        <w:t>We</w:t>
      </w:r>
      <w:r w:rsidRPr="00F37F6F">
        <w:t xml:space="preserve"> grant CAA’s</w:t>
      </w:r>
      <w:r>
        <w:t xml:space="preserve"> request to exempt its proposed free-to-end-user notifications to consumers’ wireless phones, subject to certain conditions.</w:t>
      </w:r>
      <w:r w:rsidR="00E02273">
        <w:rPr>
          <w:rStyle w:val="FootnoteReference"/>
        </w:rPr>
        <w:footnoteReference w:id="31"/>
      </w:r>
      <w:r w:rsidR="0048513A">
        <w:t xml:space="preserve">  We find that CAA has identified means to ensure the notifications are not charged to consumers, and a set of conditions on the notifications that, with the modifications we describe here, are consistent with the TCPA’s privacy goals.  </w:t>
      </w:r>
      <w:r>
        <w:t xml:space="preserve">  </w:t>
      </w:r>
    </w:p>
    <w:p w14:paraId="4270CA76" w14:textId="2E861644" w:rsidR="00975059" w:rsidRDefault="0048513A" w:rsidP="004D040D">
      <w:pPr>
        <w:pStyle w:val="ParaNum"/>
      </w:pPr>
      <w:r>
        <w:t xml:space="preserve">At the outset, we address two threshold matters.  First, we note that </w:t>
      </w:r>
      <w:r w:rsidR="00581F91">
        <w:t>CAA does not dispute</w:t>
      </w:r>
      <w:r w:rsidR="00E4164E">
        <w:t xml:space="preserve"> that</w:t>
      </w:r>
      <w:r w:rsidR="00581F91">
        <w:t xml:space="preserve"> the </w:t>
      </w:r>
      <w:r>
        <w:t xml:space="preserve">TCPA’s restrictions on the use of autodialers and prerecorded messages apply to </w:t>
      </w:r>
      <w:r w:rsidR="00AB5748">
        <w:t xml:space="preserve">the </w:t>
      </w:r>
      <w:r>
        <w:t>notifications</w:t>
      </w:r>
      <w:r w:rsidR="00AB5748">
        <w:t xml:space="preserve"> at issue</w:t>
      </w:r>
      <w:r>
        <w:t xml:space="preserve">.  Instead, it </w:t>
      </w:r>
      <w:r w:rsidR="00581F91">
        <w:t>requests that the Commission either grant an exemption from that requirement or clarify the consumer consent requirement in this context.</w:t>
      </w:r>
      <w:r w:rsidR="00581F91">
        <w:rPr>
          <w:rStyle w:val="FootnoteReference"/>
        </w:rPr>
        <w:footnoteReference w:id="32"/>
      </w:r>
      <w:r w:rsidR="00581F91">
        <w:t xml:space="preserve">  Because we grant CAA’s </w:t>
      </w:r>
      <w:r w:rsidR="00196B03">
        <w:t xml:space="preserve">exemption </w:t>
      </w:r>
      <w:r w:rsidR="00581F91">
        <w:t>request, we do not reach its request that we clarify that it may rely on consumer consent to receive delivery notifications obtained via a third party.  Accordingly, we dismiss th</w:t>
      </w:r>
      <w:r w:rsidR="00196B03">
        <w:t>e latter</w:t>
      </w:r>
      <w:r w:rsidR="00581F91">
        <w:t xml:space="preserve"> request without prejudice.</w:t>
      </w:r>
    </w:p>
    <w:p w14:paraId="7C13F950" w14:textId="0F56104B" w:rsidR="00581F91" w:rsidRDefault="00975059" w:rsidP="0054640E">
      <w:pPr>
        <w:pStyle w:val="ParaNum"/>
      </w:pPr>
      <w:r>
        <w:t>Second, we find that we may make a determination about our exemption authority in an order</w:t>
      </w:r>
      <w:r w:rsidR="009E3743">
        <w:t>, without rulemaking,</w:t>
      </w:r>
      <w:r>
        <w:t xml:space="preserve"> because </w:t>
      </w:r>
      <w:r w:rsidRPr="00243F67">
        <w:t xml:space="preserve">the TCPA provides us the authority to exempt such calls and messages by “rule or order.”  </w:t>
      </w:r>
      <w:r w:rsidR="009E3743">
        <w:t xml:space="preserve">No party challenges this proposition.  </w:t>
      </w:r>
      <w:r>
        <w:t xml:space="preserve">We further find </w:t>
      </w:r>
      <w:r w:rsidR="009E3743">
        <w:t>that in granting the Commission authority to exempt these notifications from the TCPA’s restrictions, Congress gave us authority to exempt them by order from our implementing rules as well.</w:t>
      </w:r>
      <w:r w:rsidR="003C22EE" w:rsidRPr="003C22EE">
        <w:t xml:space="preserve">  </w:t>
      </w:r>
      <w:r w:rsidR="009E3743">
        <w:t xml:space="preserve">We note that our </w:t>
      </w:r>
      <w:r>
        <w:t>rules closely track the TCPA’s requirements</w:t>
      </w:r>
      <w:r w:rsidR="009E3743">
        <w:t>,</w:t>
      </w:r>
      <w:r>
        <w:rPr>
          <w:rStyle w:val="FootnoteReference"/>
        </w:rPr>
        <w:footnoteReference w:id="33"/>
      </w:r>
      <w:r>
        <w:t xml:space="preserve"> </w:t>
      </w:r>
      <w:r w:rsidR="009E3743">
        <w:t>and that n</w:t>
      </w:r>
      <w:r>
        <w:t>o commenter opposes th</w:t>
      </w:r>
      <w:r w:rsidR="009E3743">
        <w:t xml:space="preserve">e </w:t>
      </w:r>
      <w:r>
        <w:t xml:space="preserve">conclusion that continuing to subject these notifications to </w:t>
      </w:r>
      <w:r w:rsidR="009E3743">
        <w:t xml:space="preserve">the </w:t>
      </w:r>
      <w:r>
        <w:t>rules would give the exemption little effect.</w:t>
      </w:r>
      <w:r w:rsidR="00DE7514">
        <w:rPr>
          <w:rStyle w:val="FootnoteReference"/>
        </w:rPr>
        <w:footnoteReference w:id="34"/>
      </w:r>
    </w:p>
    <w:p w14:paraId="25507A36" w14:textId="77777777" w:rsidR="00581F91" w:rsidRPr="00BD7CD2" w:rsidRDefault="009E3743" w:rsidP="004D040D">
      <w:pPr>
        <w:pStyle w:val="ParaNum"/>
      </w:pPr>
      <w:r>
        <w:rPr>
          <w:iCs/>
        </w:rPr>
        <w:t xml:space="preserve">Turning to the merits, we first find </w:t>
      </w:r>
      <w:r w:rsidR="00581F91" w:rsidRPr="00BD7CD2">
        <w:t xml:space="preserve">that CAA </w:t>
      </w:r>
      <w:r w:rsidR="00581F91">
        <w:t xml:space="preserve">has </w:t>
      </w:r>
      <w:r w:rsidR="00581F91" w:rsidRPr="00BD7CD2">
        <w:t xml:space="preserve">shown </w:t>
      </w:r>
      <w:r w:rsidR="00581F91">
        <w:t xml:space="preserve">that </w:t>
      </w:r>
      <w:r w:rsidR="00581F91" w:rsidRPr="00BD7CD2">
        <w:t>its members are capable of satisfying the first part of our section 227(b)</w:t>
      </w:r>
      <w:r w:rsidR="00581F91">
        <w:t>(2)</w:t>
      </w:r>
      <w:r w:rsidR="00581F91" w:rsidRPr="00BD7CD2">
        <w:t xml:space="preserve">(C) inquiry – that its proposed package delivery </w:t>
      </w:r>
      <w:r w:rsidR="00581F91" w:rsidRPr="0054640E">
        <w:t>notifications</w:t>
      </w:r>
      <w:r w:rsidR="00581F91" w:rsidRPr="00BD7CD2">
        <w:t xml:space="preserve"> </w:t>
      </w:r>
      <w:r w:rsidR="00581F91" w:rsidRPr="001B1271">
        <w:t>will “not [be] charged to the called party</w:t>
      </w:r>
      <w:r w:rsidR="00581F91" w:rsidRPr="00BD7CD2">
        <w:t>.”</w:t>
      </w:r>
      <w:r w:rsidR="00581F91">
        <w:rPr>
          <w:rStyle w:val="FootnoteReference"/>
        </w:rPr>
        <w:footnoteReference w:id="35"/>
      </w:r>
      <w:r w:rsidR="00581F91" w:rsidRPr="00BD7CD2">
        <w:t xml:space="preserve">  </w:t>
      </w:r>
      <w:r w:rsidR="00581F91">
        <w:t>CAA states that its members are capable of providing notifications that are not charged to consumers by, among other options, using third-party solutions that can be used for subscribers of the four nationwide wireless carriers.</w:t>
      </w:r>
      <w:r w:rsidR="00581F91">
        <w:rPr>
          <w:rStyle w:val="FootnoteReference"/>
        </w:rPr>
        <w:footnoteReference w:id="36"/>
      </w:r>
      <w:r w:rsidR="00581F91">
        <w:t xml:space="preserve">  </w:t>
      </w:r>
      <w:r w:rsidR="00581F91" w:rsidRPr="00BD7CD2">
        <w:t>CAA states that it is working with other carriers toward similar capability.</w:t>
      </w:r>
      <w:r w:rsidR="00581F91" w:rsidRPr="00BD7CD2">
        <w:rPr>
          <w:rStyle w:val="FootnoteReference"/>
        </w:rPr>
        <w:footnoteReference w:id="37"/>
      </w:r>
      <w:r w:rsidR="00581F91">
        <w:t xml:space="preserve"> </w:t>
      </w:r>
      <w:r w:rsidR="00581F91" w:rsidRPr="00BD7CD2">
        <w:t xml:space="preserve"> </w:t>
      </w:r>
      <w:r w:rsidR="00581F91">
        <w:t>We clarify that we interpret the TCPA’s “no charge” requirement to preclude exempti</w:t>
      </w:r>
      <w:r w:rsidR="00B12E79">
        <w:t xml:space="preserve">ng </w:t>
      </w:r>
      <w:r w:rsidR="00581F91">
        <w:t>notifications that count against the recipient’s plan minutes or texts.</w:t>
      </w:r>
      <w:r w:rsidR="00581F91">
        <w:rPr>
          <w:rStyle w:val="FootnoteReference"/>
        </w:rPr>
        <w:footnoteReference w:id="38"/>
      </w:r>
    </w:p>
    <w:p w14:paraId="1B6D1EBE" w14:textId="4F955B11" w:rsidR="00581F91" w:rsidRDefault="009E3743" w:rsidP="00644A59">
      <w:pPr>
        <w:pStyle w:val="ParaNum"/>
      </w:pPr>
      <w:r>
        <w:rPr>
          <w:iCs/>
        </w:rPr>
        <w:t xml:space="preserve">Next, we find that CAA’s proposed conditions, with slight modification, will protect consumers’ privacy interests.  </w:t>
      </w:r>
      <w:r w:rsidR="00581F91" w:rsidRPr="0054640E">
        <w:t>CAA</w:t>
      </w:r>
      <w:r w:rsidR="00581F91">
        <w:t xml:space="preserve"> proposes seven conditions</w:t>
      </w:r>
      <w:r>
        <w:t>,</w:t>
      </w:r>
      <w:r w:rsidR="00E02273">
        <w:rPr>
          <w:rStyle w:val="FootnoteReference"/>
        </w:rPr>
        <w:footnoteReference w:id="39"/>
      </w:r>
      <w:r>
        <w:t xml:space="preserve"> and </w:t>
      </w:r>
      <w:r w:rsidR="00581F91">
        <w:t xml:space="preserve">we adopt four of them without modification.  We adopt the remaining three with modest, but important, changes essential to the protection of consumers’ privacy interests.  </w:t>
      </w:r>
      <w:r w:rsidR="00644A59" w:rsidRPr="00644A59">
        <w:t>We note that these conditions are message-specific, and that a delivery company may not claim this exemption for any text that is charged to the called party or fails</w:t>
      </w:r>
      <w:r w:rsidR="00171E1B">
        <w:t xml:space="preserve"> to</w:t>
      </w:r>
      <w:r w:rsidR="00644A59" w:rsidRPr="00644A59">
        <w:t xml:space="preserve"> meet the conditions outlined in this Order.  Likewise, a delivery company will be liable only for messages that are not subject to this exemption, and will not be liable for any message that is not charged to the called party and is compliant with the stated conditions.</w:t>
      </w:r>
      <w:r w:rsidR="00AB5748">
        <w:rPr>
          <w:rStyle w:val="FootnoteReference"/>
        </w:rPr>
        <w:footnoteReference w:id="40"/>
      </w:r>
      <w:r w:rsidR="00644A59" w:rsidRPr="00644A59">
        <w:t xml:space="preserve">  Finally, we note that the Commission has the discretion under the Communications Act to initiate enforcement actions</w:t>
      </w:r>
      <w:r w:rsidR="00BE114C">
        <w:rPr>
          <w:rStyle w:val="FootnoteReference"/>
        </w:rPr>
        <w:footnoteReference w:id="41"/>
      </w:r>
      <w:r w:rsidR="00644A59" w:rsidRPr="00644A59">
        <w:t xml:space="preserve"> regarding delivery companies that send non-consensual notifications to wireless numbers that are charged to the called party or do not comply with the conditions outlined in this Order.</w:t>
      </w:r>
    </w:p>
    <w:p w14:paraId="4441308C" w14:textId="06281EF7" w:rsidR="004612B7" w:rsidRDefault="00581F91" w:rsidP="00A1018F">
      <w:pPr>
        <w:pStyle w:val="ParaNum"/>
      </w:pPr>
      <w:r>
        <w:t>First, CAA proposes that package delivery companies seek to minimize the number of delivery notifications and states that only one notification “should” be sent per package.</w:t>
      </w:r>
      <w:r>
        <w:rPr>
          <w:rStyle w:val="FootnoteReference"/>
        </w:rPr>
        <w:footnoteReference w:id="42"/>
      </w:r>
      <w:r>
        <w:t xml:space="preserve">  As proposed, this condition could result in consumers receiving multiple notifications before any opt-out election is implemented.  </w:t>
      </w:r>
      <w:r w:rsidRPr="006C2F1F">
        <w:t xml:space="preserve">We </w:t>
      </w:r>
      <w:r w:rsidR="00101F61">
        <w:t>recognize</w:t>
      </w:r>
      <w:r w:rsidR="00101F61" w:rsidRPr="006C2F1F">
        <w:t xml:space="preserve"> </w:t>
      </w:r>
      <w:r w:rsidRPr="006C2F1F">
        <w:t xml:space="preserve">that </w:t>
      </w:r>
      <w:r w:rsidR="00101F61">
        <w:t>the</w:t>
      </w:r>
      <w:r w:rsidRPr="006C2F1F">
        <w:t xml:space="preserve"> TCPA is intended to protect</w:t>
      </w:r>
      <w:r w:rsidR="00101F61">
        <w:t xml:space="preserve"> against multiple, unwanted notifications to a wireless phone that intrudes on the privacy interests of consumers</w:t>
      </w:r>
      <w:r>
        <w:t xml:space="preserve">. </w:t>
      </w:r>
      <w:r w:rsidR="00A1018F">
        <w:t xml:space="preserve"> At the same time, </w:t>
      </w:r>
      <w:r w:rsidR="00055D37">
        <w:t xml:space="preserve">while </w:t>
      </w:r>
      <w:r w:rsidR="00A1018F">
        <w:t xml:space="preserve">the record indicates that a single notification improves the odds of a successful delivery when a signature is required, more than one delivery attempt </w:t>
      </w:r>
      <w:r w:rsidR="00EA24FF">
        <w:t>and/or notification</w:t>
      </w:r>
      <w:r w:rsidR="00964F53">
        <w:t xml:space="preserve"> </w:t>
      </w:r>
      <w:r w:rsidR="00A1018F">
        <w:t xml:space="preserve">may </w:t>
      </w:r>
      <w:r w:rsidR="00B768CE">
        <w:t xml:space="preserve">still </w:t>
      </w:r>
      <w:r w:rsidR="00A1018F">
        <w:t>be necessary to achieve a successful delivery.</w:t>
      </w:r>
      <w:r w:rsidR="00EA24FF">
        <w:rPr>
          <w:rStyle w:val="FootnoteReference"/>
        </w:rPr>
        <w:footnoteReference w:id="43"/>
      </w:r>
      <w:r w:rsidR="00A1018F">
        <w:t xml:space="preserve">  We also believe that deliveries requiring a signature often may have some</w:t>
      </w:r>
      <w:r w:rsidR="00B67E08">
        <w:t xml:space="preserve"> sensitivity</w:t>
      </w:r>
      <w:r w:rsidR="00A1018F">
        <w:t xml:space="preserve">, such as </w:t>
      </w:r>
      <w:r w:rsidR="00B67E08">
        <w:t xml:space="preserve">particularly valuable items being delivered to a residence or </w:t>
      </w:r>
      <w:r w:rsidR="00A1018F">
        <w:t xml:space="preserve">important business or legal documents, </w:t>
      </w:r>
      <w:r w:rsidR="00B67E08">
        <w:t xml:space="preserve">and </w:t>
      </w:r>
      <w:r w:rsidR="00A1018F">
        <w:t xml:space="preserve">that </w:t>
      </w:r>
      <w:r w:rsidR="00B67E08">
        <w:t xml:space="preserve">such sensitivity </w:t>
      </w:r>
      <w:r w:rsidR="00964F53">
        <w:t>may</w:t>
      </w:r>
      <w:r w:rsidR="00A1018F">
        <w:t xml:space="preserve"> not </w:t>
      </w:r>
      <w:r w:rsidR="00B67E08">
        <w:t xml:space="preserve">attach </w:t>
      </w:r>
      <w:r w:rsidR="00A1018F">
        <w:t xml:space="preserve">as frequently to deliveries not requiring a signature.  </w:t>
      </w:r>
    </w:p>
    <w:p w14:paraId="13F03651" w14:textId="70E5DEA4" w:rsidR="003C22EE" w:rsidRDefault="00A1018F" w:rsidP="005C310D">
      <w:pPr>
        <w:pStyle w:val="ParaNum"/>
      </w:pPr>
      <w:r>
        <w:t>Balancing</w:t>
      </w:r>
      <w:r w:rsidR="00DE0046">
        <w:t xml:space="preserve"> these</w:t>
      </w:r>
      <w:r>
        <w:t xml:space="preserve"> considerations, w</w:t>
      </w:r>
      <w:r w:rsidR="00581F91">
        <w:t xml:space="preserve">e </w:t>
      </w:r>
      <w:r w:rsidR="004612B7">
        <w:t xml:space="preserve">modify CAA’s proposed condition so that </w:t>
      </w:r>
      <w:r w:rsidR="00581F91">
        <w:t>no more than one notification may be sent to a consumer for each package</w:t>
      </w:r>
      <w:r w:rsidR="00DE0046">
        <w:t>,</w:t>
      </w:r>
      <w:r w:rsidR="00752B03">
        <w:t xml:space="preserve"> except </w:t>
      </w:r>
      <w:r w:rsidR="00DE0046">
        <w:t xml:space="preserve">that one additional notification may be sent to a consumer for </w:t>
      </w:r>
      <w:r w:rsidR="004612B7">
        <w:t xml:space="preserve">each </w:t>
      </w:r>
      <w:r w:rsidR="00055D37">
        <w:t xml:space="preserve">of the following two </w:t>
      </w:r>
      <w:r w:rsidR="004612B7">
        <w:t>attempt</w:t>
      </w:r>
      <w:r w:rsidR="00055D37">
        <w:t>s</w:t>
      </w:r>
      <w:r w:rsidR="001A423D">
        <w:rPr>
          <w:rStyle w:val="FootnoteReference"/>
        </w:rPr>
        <w:footnoteReference w:id="44"/>
      </w:r>
      <w:r w:rsidR="004612B7">
        <w:t xml:space="preserve"> to obtain the recipient’s signature </w:t>
      </w:r>
      <w:r w:rsidR="00752B03">
        <w:t xml:space="preserve">when </w:t>
      </w:r>
      <w:r w:rsidR="00DE0046">
        <w:t xml:space="preserve">the </w:t>
      </w:r>
      <w:r w:rsidR="00752B03">
        <w:t xml:space="preserve">signatory </w:t>
      </w:r>
      <w:r w:rsidR="00DE0046">
        <w:t>was not</w:t>
      </w:r>
      <w:r w:rsidR="00752B03">
        <w:t xml:space="preserve"> available </w:t>
      </w:r>
      <w:r w:rsidR="00DE0046">
        <w:t xml:space="preserve">to sign </w:t>
      </w:r>
      <w:r w:rsidR="00752B03">
        <w:t xml:space="preserve">for </w:t>
      </w:r>
      <w:r w:rsidR="00DE0046">
        <w:t xml:space="preserve">the </w:t>
      </w:r>
      <w:r w:rsidR="00752B03">
        <w:t xml:space="preserve">package </w:t>
      </w:r>
      <w:r w:rsidR="00DE0046">
        <w:t xml:space="preserve">on the </w:t>
      </w:r>
      <w:r w:rsidR="004612B7">
        <w:t xml:space="preserve">previous </w:t>
      </w:r>
      <w:r w:rsidR="00DE0046">
        <w:t>delivery attempt.</w:t>
      </w:r>
      <w:r w:rsidR="00B50C54">
        <w:rPr>
          <w:rStyle w:val="FootnoteReference"/>
        </w:rPr>
        <w:footnoteReference w:id="45"/>
      </w:r>
      <w:r w:rsidR="00964F53">
        <w:t xml:space="preserve">  Thus, a consumer who has not provided prior express consent may be sent no more than one notification to a wireless telephone number for packages not requiring a signature for delivery and no more than </w:t>
      </w:r>
      <w:r w:rsidR="00055D37">
        <w:t xml:space="preserve">three </w:t>
      </w:r>
      <w:r w:rsidR="00964F53">
        <w:t>such notification</w:t>
      </w:r>
      <w:r w:rsidR="00055D37">
        <w:t>s</w:t>
      </w:r>
      <w:r w:rsidR="004612B7">
        <w:t xml:space="preserve"> </w:t>
      </w:r>
      <w:r w:rsidR="00055D37">
        <w:t xml:space="preserve">in total </w:t>
      </w:r>
      <w:r w:rsidR="004612B7">
        <w:t>for</w:t>
      </w:r>
      <w:r w:rsidR="00055D37">
        <w:t xml:space="preserve"> deliveries requiring a signature.</w:t>
      </w:r>
    </w:p>
    <w:p w14:paraId="01607189" w14:textId="77777777" w:rsidR="003C22EE" w:rsidRDefault="00581F91">
      <w:pPr>
        <w:pStyle w:val="ParaNum"/>
      </w:pPr>
      <w:r>
        <w:t>Second, CAA proposes that each package delivery notification must include information enabling a consumer to opt out of future delivery notifications.  CAA describes the mechanics of the opt-out mechanism for voice calls answered by a live person and for text messages.  According to CAA, calls answered by a consumer must provide an opportunity to opt out by voice or by pressing a key, while texts must include the ability for a consumer to opt-out by sending “STOP” in a reply text.  While we agree that it is necessary to ensure that each notification includes opt-out information, CAA fails to address situations in which a voicemail message is left for a consumer.  In such cases, the consumer can neither opt out by voice or by pressing a key during the call nor by sending a reply text.  Therefore, consistent with CAA’s proposal that each notification must include opt-out information, we adopt a condition that, in addition to the voice and key-press options CAA proposed, each voice notification must include a toll-free number that the consumer can call to opt out of future package delivery notifications.</w:t>
      </w:r>
      <w:r>
        <w:rPr>
          <w:rStyle w:val="FootnoteReference"/>
        </w:rPr>
        <w:footnoteReference w:id="46"/>
      </w:r>
    </w:p>
    <w:p w14:paraId="6BF03968" w14:textId="77777777" w:rsidR="003C22EE" w:rsidRDefault="00581F91">
      <w:pPr>
        <w:pStyle w:val="ParaNum"/>
      </w:pPr>
      <w:r>
        <w:t>Third, CAA proposes that package delivery companies must honor opt-out requests, but does not specify a time within which the opt-out request must be honored.</w:t>
      </w:r>
      <w:r>
        <w:rPr>
          <w:rStyle w:val="FootnoteReference"/>
        </w:rPr>
        <w:footnoteReference w:id="47"/>
      </w:r>
      <w:r>
        <w:t xml:space="preserve">  Without a requirement that opt-out requests be honored within a reasonable time, consumer opt-out requests may not be implemented for an extended period of time, potentially subjecting consumers to multiple, unwanted package delivery notification calls contrary to the privacy interests that the </w:t>
      </w:r>
      <w:r w:rsidR="006F0F43">
        <w:t>TCPA is</w:t>
      </w:r>
      <w:r>
        <w:t xml:space="preserve"> intended to protect.  In the absence of a specific proposal in the record, we look to our rules and orders for an analogous situation for guidance.  Our TCPA rules regarding telemarketing calls require that telemarketers maintain a company-specific do-not-call list and that companies honor do-not-call requests </w:t>
      </w:r>
      <w:r w:rsidRPr="00AF71FF">
        <w:t>“within a reasonable time from the date such request is made” but “may not ex</w:t>
      </w:r>
      <w:r>
        <w:t xml:space="preserve">ceed thirty days from the date </w:t>
      </w:r>
      <w:r w:rsidRPr="00AF71FF">
        <w:t>o</w:t>
      </w:r>
      <w:r>
        <w:t>f</w:t>
      </w:r>
      <w:r w:rsidRPr="00AF71FF">
        <w:t xml:space="preserve"> such request</w:t>
      </w:r>
      <w:r>
        <w:t>.</w:t>
      </w:r>
      <w:r w:rsidRPr="00AF71FF">
        <w:t>”</w:t>
      </w:r>
      <w:r>
        <w:rPr>
          <w:rStyle w:val="FootnoteReference"/>
        </w:rPr>
        <w:footnoteReference w:id="48"/>
      </w:r>
      <w:r>
        <w:t xml:space="preserve">  We adopt the same requirement for the package delivery notifications at issue here.  We believe that this requirement, as it does in the context of telemarketing calls, adequately protects consumers from unwanted calls while allowing package delivery companies a reasonable time in which to implement opt-out elections.</w:t>
      </w:r>
      <w:r w:rsidR="006720D4">
        <w:rPr>
          <w:rStyle w:val="FootnoteReference"/>
        </w:rPr>
        <w:footnoteReference w:id="49"/>
      </w:r>
    </w:p>
    <w:p w14:paraId="79D7442A" w14:textId="040B7453" w:rsidR="003C22EE" w:rsidRDefault="00581F91">
      <w:pPr>
        <w:pStyle w:val="ParaNum"/>
      </w:pPr>
      <w:r>
        <w:t xml:space="preserve">To summarize, we adopt the following conditions </w:t>
      </w:r>
      <w:r w:rsidR="00751963">
        <w:t>for each text message utilizing the</w:t>
      </w:r>
      <w:r>
        <w:t xml:space="preserve"> exemption we grant today:  </w:t>
      </w:r>
    </w:p>
    <w:p w14:paraId="525EEE87" w14:textId="77777777" w:rsidR="00581F91" w:rsidRDefault="00581F91" w:rsidP="0054640E">
      <w:pPr>
        <w:pStyle w:val="ParaNum"/>
        <w:numPr>
          <w:ilvl w:val="0"/>
          <w:numId w:val="0"/>
        </w:numPr>
        <w:ind w:left="720"/>
      </w:pPr>
      <w:r>
        <w:t xml:space="preserve">1) a </w:t>
      </w:r>
      <w:r w:rsidRPr="005E0774">
        <w:t>notification m</w:t>
      </w:r>
      <w:r>
        <w:t>ust</w:t>
      </w:r>
      <w:r w:rsidRPr="005E0774">
        <w:t xml:space="preserve"> be sent</w:t>
      </w:r>
      <w:r>
        <w:t>, if at all,</w:t>
      </w:r>
      <w:r w:rsidRPr="005E0774">
        <w:t xml:space="preserve"> </w:t>
      </w:r>
      <w:r>
        <w:t xml:space="preserve">only </w:t>
      </w:r>
      <w:r w:rsidRPr="005E0774">
        <w:t>to the telephone n</w:t>
      </w:r>
      <w:r>
        <w:t xml:space="preserve">umber for the package recipient; </w:t>
      </w:r>
    </w:p>
    <w:p w14:paraId="1EF180D8" w14:textId="77777777" w:rsidR="00581F91" w:rsidRDefault="00581F91" w:rsidP="0054640E">
      <w:pPr>
        <w:pStyle w:val="ParaNum"/>
        <w:numPr>
          <w:ilvl w:val="0"/>
          <w:numId w:val="0"/>
        </w:numPr>
        <w:ind w:left="720"/>
      </w:pPr>
      <w:r>
        <w:t>2)</w:t>
      </w:r>
      <w:r w:rsidRPr="005E0774">
        <w:t xml:space="preserve"> </w:t>
      </w:r>
      <w:r>
        <w:t>n</w:t>
      </w:r>
      <w:r w:rsidRPr="005E0774">
        <w:t xml:space="preserve">otifications must identify the name of the delivery company </w:t>
      </w:r>
      <w:r>
        <w:t xml:space="preserve">and include contact information for the delivery company; </w:t>
      </w:r>
    </w:p>
    <w:p w14:paraId="31E8A31B" w14:textId="77777777" w:rsidR="00581F91" w:rsidRDefault="00581F91" w:rsidP="001F0ED6">
      <w:pPr>
        <w:autoSpaceDE w:val="0"/>
        <w:autoSpaceDN w:val="0"/>
        <w:adjustRightInd w:val="0"/>
        <w:ind w:left="720"/>
      </w:pPr>
      <w:r>
        <w:t>3)</w:t>
      </w:r>
      <w:r w:rsidRPr="005E0774">
        <w:t xml:space="preserve"> </w:t>
      </w:r>
      <w:r>
        <w:t>n</w:t>
      </w:r>
      <w:r w:rsidRPr="005E0774">
        <w:t>otifications m</w:t>
      </w:r>
      <w:r>
        <w:t>ust</w:t>
      </w:r>
      <w:r w:rsidRPr="005E0774">
        <w:t xml:space="preserve"> not include any telemarketing, solic</w:t>
      </w:r>
      <w:r>
        <w:t xml:space="preserve">itation, or advertising content; </w:t>
      </w:r>
    </w:p>
    <w:p w14:paraId="44C604F8" w14:textId="77777777" w:rsidR="00581F91" w:rsidRDefault="00581F91" w:rsidP="001F0ED6">
      <w:pPr>
        <w:autoSpaceDE w:val="0"/>
        <w:autoSpaceDN w:val="0"/>
        <w:adjustRightInd w:val="0"/>
        <w:ind w:left="720"/>
      </w:pPr>
    </w:p>
    <w:p w14:paraId="7BB986D7" w14:textId="77777777" w:rsidR="00581F91" w:rsidRDefault="00581F91" w:rsidP="001F0ED6">
      <w:pPr>
        <w:autoSpaceDE w:val="0"/>
        <w:autoSpaceDN w:val="0"/>
        <w:adjustRightInd w:val="0"/>
        <w:ind w:left="720"/>
      </w:pPr>
      <w:r>
        <w:t>4) v</w:t>
      </w:r>
      <w:r w:rsidRPr="005E0774">
        <w:t>oice call and text message notifications must be concise, generally one minute or less in</w:t>
      </w:r>
      <w:r>
        <w:t xml:space="preserve"> </w:t>
      </w:r>
      <w:r w:rsidRPr="005E0774">
        <w:t>length for voice calls and one message of 160 characters or less in leng</w:t>
      </w:r>
      <w:r>
        <w:t xml:space="preserve">th for text messages; </w:t>
      </w:r>
    </w:p>
    <w:p w14:paraId="1776E3C3" w14:textId="77777777" w:rsidR="00581F91" w:rsidRDefault="00581F91" w:rsidP="001F0ED6">
      <w:pPr>
        <w:autoSpaceDE w:val="0"/>
        <w:autoSpaceDN w:val="0"/>
        <w:adjustRightInd w:val="0"/>
        <w:ind w:left="720"/>
      </w:pPr>
    </w:p>
    <w:p w14:paraId="470C7AD8" w14:textId="4C38938A" w:rsidR="00581F91" w:rsidRDefault="00581F91" w:rsidP="001F0ED6">
      <w:pPr>
        <w:autoSpaceDE w:val="0"/>
        <w:autoSpaceDN w:val="0"/>
        <w:adjustRightInd w:val="0"/>
        <w:ind w:left="720"/>
      </w:pPr>
      <w:r>
        <w:t>5) d</w:t>
      </w:r>
      <w:r w:rsidRPr="005E0774">
        <w:t xml:space="preserve">elivery companies shall </w:t>
      </w:r>
      <w:r>
        <w:t xml:space="preserve">send </w:t>
      </w:r>
      <w:r w:rsidRPr="005E0774">
        <w:t xml:space="preserve">only one notification (whether by voice call or text message) </w:t>
      </w:r>
      <w:r>
        <w:t>per package</w:t>
      </w:r>
      <w:r w:rsidR="00964F53" w:rsidRPr="00964F53">
        <w:t xml:space="preserve">, </w:t>
      </w:r>
      <w:r w:rsidR="005D63ED">
        <w:t>except that one additional notification may be sent to a consumer for each of the following two attempts to obtain the recipient’s signature when the signatory was not available to sign for the package on the previous delivery attempt</w:t>
      </w:r>
      <w:r>
        <w:t xml:space="preserve">; </w:t>
      </w:r>
    </w:p>
    <w:p w14:paraId="44D1837D" w14:textId="77777777" w:rsidR="00581F91" w:rsidRDefault="00581F91" w:rsidP="001F0ED6">
      <w:pPr>
        <w:autoSpaceDE w:val="0"/>
        <w:autoSpaceDN w:val="0"/>
        <w:adjustRightInd w:val="0"/>
        <w:ind w:left="720"/>
      </w:pPr>
    </w:p>
    <w:p w14:paraId="34AE3624" w14:textId="5F955CCC" w:rsidR="00581F91" w:rsidRDefault="00581F91" w:rsidP="001F0ED6">
      <w:pPr>
        <w:autoSpaceDE w:val="0"/>
        <w:autoSpaceDN w:val="0"/>
        <w:adjustRightInd w:val="0"/>
        <w:ind w:left="720"/>
      </w:pPr>
      <w:r>
        <w:t>6) d</w:t>
      </w:r>
      <w:r w:rsidRPr="005E0774">
        <w:t>elivery companies relying on this exemption must offer parties the ability to opt out of</w:t>
      </w:r>
      <w:r>
        <w:t xml:space="preserve"> </w:t>
      </w:r>
      <w:r w:rsidRPr="005E0774">
        <w:t>receiving future delivery notification calls and messages</w:t>
      </w:r>
      <w:r>
        <w:t xml:space="preserve"> and must honor the opt-out requests</w:t>
      </w:r>
      <w:r w:rsidRPr="00A06246">
        <w:t xml:space="preserve"> within a reasonable time from the date such request is made</w:t>
      </w:r>
      <w:r>
        <w:t>, not to exceed thirty days; and,</w:t>
      </w:r>
    </w:p>
    <w:p w14:paraId="1A5FD3DA" w14:textId="77777777" w:rsidR="00581F91" w:rsidRDefault="00581F91" w:rsidP="001F0ED6">
      <w:pPr>
        <w:autoSpaceDE w:val="0"/>
        <w:autoSpaceDN w:val="0"/>
        <w:adjustRightInd w:val="0"/>
        <w:ind w:left="720"/>
      </w:pPr>
      <w:r>
        <w:t xml:space="preserve"> </w:t>
      </w:r>
    </w:p>
    <w:p w14:paraId="694F24B0" w14:textId="77777777" w:rsidR="00581F91" w:rsidRDefault="00581F91" w:rsidP="001F0ED6">
      <w:pPr>
        <w:autoSpaceDE w:val="0"/>
        <w:autoSpaceDN w:val="0"/>
        <w:adjustRightInd w:val="0"/>
        <w:ind w:left="720"/>
      </w:pPr>
      <w:r>
        <w:t>7)</w:t>
      </w:r>
      <w:r w:rsidRPr="005E0774">
        <w:t xml:space="preserve"> </w:t>
      </w:r>
      <w:r>
        <w:t>e</w:t>
      </w:r>
      <w:r w:rsidRPr="005E0774">
        <w:t>ach notification must include information on how to opt out o</w:t>
      </w:r>
      <w:r>
        <w:t>f future delivery notifications; v</w:t>
      </w:r>
      <w:r w:rsidRPr="005E0774">
        <w:t xml:space="preserve">oice call </w:t>
      </w:r>
      <w:r>
        <w:t>notifications that could be</w:t>
      </w:r>
      <w:r w:rsidRPr="005E0774">
        <w:t xml:space="preserve"> answered by a live person must include an automated,</w:t>
      </w:r>
      <w:r>
        <w:t xml:space="preserve"> </w:t>
      </w:r>
      <w:r w:rsidRPr="005E0774">
        <w:t>interactive voice- and/or key press-activated opt-out mechanism that enables the called</w:t>
      </w:r>
      <w:r>
        <w:t xml:space="preserve"> </w:t>
      </w:r>
      <w:r w:rsidRPr="005E0774">
        <w:t xml:space="preserve">person to make an opt-out request </w:t>
      </w:r>
      <w:r>
        <w:t>prior to terminating the call; v</w:t>
      </w:r>
      <w:r w:rsidRPr="005E0774">
        <w:t xml:space="preserve">oice call </w:t>
      </w:r>
      <w:r>
        <w:t>notifications that could be answered by an answering machine or voice mail service</w:t>
      </w:r>
      <w:r w:rsidRPr="005E0774">
        <w:t xml:space="preserve"> must include </w:t>
      </w:r>
      <w:r>
        <w:t>a toll-free number that the consumer can call to opt out of future package delivery notifications; t</w:t>
      </w:r>
      <w:r w:rsidRPr="005E0774">
        <w:t>ext notifications must</w:t>
      </w:r>
      <w:r>
        <w:t xml:space="preserve"> </w:t>
      </w:r>
      <w:r w:rsidRPr="005E0774">
        <w:t>include the ability for the recipient to opt out by replying “STOP.”</w:t>
      </w:r>
    </w:p>
    <w:p w14:paraId="1C3F739E" w14:textId="77777777" w:rsidR="00581F91" w:rsidRDefault="00581F91" w:rsidP="001F0ED6">
      <w:pPr>
        <w:autoSpaceDE w:val="0"/>
        <w:autoSpaceDN w:val="0"/>
        <w:adjustRightInd w:val="0"/>
        <w:ind w:left="720"/>
      </w:pPr>
    </w:p>
    <w:p w14:paraId="49433BA8" w14:textId="77777777" w:rsidR="00365769" w:rsidRDefault="00EE3212" w:rsidP="004D040D">
      <w:pPr>
        <w:pStyle w:val="ParaNum"/>
      </w:pPr>
      <w:r>
        <w:t xml:space="preserve">Apart from consumers not being charged for the notifications and the </w:t>
      </w:r>
      <w:r w:rsidR="00365769">
        <w:t>conditions to ensure consumers’ privacy rights are protected, we find that these notifications are the types of normal, expected communications the TCPA was not designed to hinder</w:t>
      </w:r>
      <w:r w:rsidR="00DE7514">
        <w:t>, thus further persuading us that an exemption is warranted</w:t>
      </w:r>
      <w:r w:rsidR="00365769">
        <w:t>.</w:t>
      </w:r>
      <w:r w:rsidR="00365769">
        <w:rPr>
          <w:rStyle w:val="FootnoteReference"/>
        </w:rPr>
        <w:footnoteReference w:id="50"/>
      </w:r>
      <w:r w:rsidR="00365769">
        <w:t xml:space="preserve">  We believe that consumers generally desire</w:t>
      </w:r>
      <w:r w:rsidR="00A66F85">
        <w:t>,</w:t>
      </w:r>
      <w:r w:rsidR="00365769">
        <w:t xml:space="preserve"> expect, and benefit from, package delivery notifications.  </w:t>
      </w:r>
      <w:r w:rsidR="00365769" w:rsidRPr="007F3145">
        <w:t>Commenter GroupMe supports this position and argues that package delivery notifications are communications that consumers wish to receive.</w:t>
      </w:r>
      <w:r w:rsidR="00365769" w:rsidRPr="007F3145">
        <w:rPr>
          <w:vertAlign w:val="superscript"/>
        </w:rPr>
        <w:footnoteReference w:id="51"/>
      </w:r>
      <w:r w:rsidR="00365769" w:rsidRPr="007F3145">
        <w:t xml:space="preserve">  </w:t>
      </w:r>
    </w:p>
    <w:p w14:paraId="33546BE8" w14:textId="467A412F" w:rsidR="00365769" w:rsidRDefault="00365769" w:rsidP="005C310D">
      <w:pPr>
        <w:pStyle w:val="ParaNum"/>
        <w:widowControl/>
      </w:pPr>
      <w:r>
        <w:t xml:space="preserve">Our conclusions are supported by evidence of </w:t>
      </w:r>
      <w:r w:rsidR="00E4164E">
        <w:t>residential</w:t>
      </w:r>
      <w:r>
        <w:t xml:space="preserve"> consumers’ experience, who already receive these notifications </w:t>
      </w:r>
      <w:r w:rsidR="00143DAA">
        <w:t xml:space="preserve">and </w:t>
      </w:r>
      <w:r>
        <w:t>have not complained to us that they are unwanted.</w:t>
      </w:r>
      <w:r>
        <w:rPr>
          <w:rStyle w:val="FootnoteReference"/>
        </w:rPr>
        <w:footnoteReference w:id="52"/>
      </w:r>
      <w:r w:rsidRPr="00A53257">
        <w:t xml:space="preserve"> </w:t>
      </w:r>
      <w:r>
        <w:t xml:space="preserve">The record provides no reason to question CAA’s assertion that they would be just as welcomed by consumers on their wireless phones. CAA states that such notifications help to reduce </w:t>
      </w:r>
      <w:r w:rsidRPr="00184AA5">
        <w:t>package theft</w:t>
      </w:r>
      <w:r>
        <w:t>, which</w:t>
      </w:r>
      <w:r w:rsidRPr="00184AA5">
        <w:t xml:space="preserve"> has been a </w:t>
      </w:r>
      <w:r>
        <w:t xml:space="preserve">significant </w:t>
      </w:r>
      <w:r w:rsidRPr="00184AA5">
        <w:t xml:space="preserve">concern for </w:t>
      </w:r>
      <w:r>
        <w:t xml:space="preserve">its </w:t>
      </w:r>
      <w:r w:rsidRPr="00184AA5">
        <w:t xml:space="preserve">members </w:t>
      </w:r>
      <w:r>
        <w:t>and their customers.</w:t>
      </w:r>
      <w:r>
        <w:rPr>
          <w:rStyle w:val="FootnoteReference"/>
        </w:rPr>
        <w:footnoteReference w:id="53"/>
      </w:r>
      <w:r>
        <w:t xml:space="preserve">  Further, CAA reports that </w:t>
      </w:r>
      <w:r w:rsidRPr="008525B6">
        <w:t xml:space="preserve">61 percent of residential consumers who missed a delivery requiring a signature did not know when to expect the delivery </w:t>
      </w:r>
      <w:r w:rsidRPr="00184AA5">
        <w:t>and</w:t>
      </w:r>
      <w:r>
        <w:t>,</w:t>
      </w:r>
      <w:r w:rsidRPr="00184AA5">
        <w:t xml:space="preserve"> </w:t>
      </w:r>
      <w:r>
        <w:t xml:space="preserve">in instances where a signature is required, </w:t>
      </w:r>
      <w:r w:rsidRPr="00184AA5">
        <w:t>pre-delivery notification calls to consumers’ residential phones improves the likelihood of a successful delivery by 30 percent</w:t>
      </w:r>
      <w:r>
        <w:t>.</w:t>
      </w:r>
      <w:r>
        <w:rPr>
          <w:rStyle w:val="FootnoteReference"/>
        </w:rPr>
        <w:footnoteReference w:id="54"/>
      </w:r>
      <w:r>
        <w:t xml:space="preserve">  CAA asserts that its members can already notify </w:t>
      </w:r>
      <w:r w:rsidR="006F0F43">
        <w:t>residential consumers</w:t>
      </w:r>
      <w:r>
        <w:t xml:space="preserve"> about deliveries and that wireless c</w:t>
      </w:r>
      <w:r w:rsidR="00E4164E">
        <w:t>onsumer</w:t>
      </w:r>
      <w:r>
        <w:t>s should be able to receive the same services.</w:t>
      </w:r>
      <w:r>
        <w:rPr>
          <w:rStyle w:val="FootnoteReference"/>
        </w:rPr>
        <w:footnoteReference w:id="55"/>
      </w:r>
      <w:r>
        <w:t xml:space="preserve">  As noted by CAA, there is a growing trend toward wireless-only households</w:t>
      </w:r>
      <w:r w:rsidR="00A66F85">
        <w:t>,</w:t>
      </w:r>
      <w:r>
        <w:rPr>
          <w:rStyle w:val="FootnoteReference"/>
        </w:rPr>
        <w:footnoteReference w:id="56"/>
      </w:r>
      <w:r w:rsidR="00A66F85">
        <w:t xml:space="preserve"> and t</w:t>
      </w:r>
      <w:r>
        <w:t>he Commission’s analysis of wireless data demonstrates that the number of adults who rely exclusively on mobile wireless for voice service has increased significantly in recent years to approximately 32.3 percent in the second half of 2011, compared to 27.8 percent of all adults in the second half of 2010 and 22.9 percent in the second half 2009.</w:t>
      </w:r>
      <w:r>
        <w:rPr>
          <w:rStyle w:val="FootnoteReference"/>
        </w:rPr>
        <w:footnoteReference w:id="57"/>
      </w:r>
      <w:r>
        <w:t xml:space="preserve">  We are therefore persuaded that consumers who provide a wireless telephone number as their contact number will enjoy similar benefits.  </w:t>
      </w:r>
    </w:p>
    <w:p w14:paraId="48BC6EE2" w14:textId="77777777" w:rsidR="00581F91" w:rsidRDefault="00581F91" w:rsidP="0054640E">
      <w:pPr>
        <w:pStyle w:val="ParaNum"/>
      </w:pPr>
      <w:r>
        <w:t xml:space="preserve">Our grant, to the extent indicated herein, of CAA’s petition is limited to package </w:t>
      </w:r>
      <w:r w:rsidRPr="00C26425">
        <w:t>delivery notifications to consumers’</w:t>
      </w:r>
      <w:r w:rsidR="00A66F85">
        <w:t xml:space="preserve"> </w:t>
      </w:r>
      <w:r>
        <w:t>wireless</w:t>
      </w:r>
      <w:r w:rsidRPr="00C26425">
        <w:t xml:space="preserve"> phones</w:t>
      </w:r>
      <w:r>
        <w:t xml:space="preserve"> </w:t>
      </w:r>
      <w:r w:rsidRPr="00C26425">
        <w:t>either by voice or text</w:t>
      </w:r>
      <w:r>
        <w:t xml:space="preserve"> and only applies so long as those calls are not charged to the consumer recipient, including not being counted against the consumer’s plan limits on minutes or texts, and comply with the conditions we adopt today.  In addition to the limited context within which package delivery companies will be making autodialed or prerecorded package delivery notification calls to consumers’ wireless numbers, the conditions adopted herein to protect consumers’ privacy interests are critical to our </w:t>
      </w:r>
      <w:r w:rsidRPr="001C2195">
        <w:t>exercise of</w:t>
      </w:r>
      <w:r>
        <w:t xml:space="preserve"> our statutory authority to grant an exemption.</w:t>
      </w:r>
      <w:r w:rsidRPr="001C2195">
        <w:t xml:space="preserve"> </w:t>
      </w:r>
      <w:r>
        <w:t xml:space="preserve"> Taken as a whole, we find that these conditions simultaneously fulfill our statutory obligation to protect consumers’ privacy </w:t>
      </w:r>
      <w:r w:rsidR="00200041">
        <w:t xml:space="preserve">interest in </w:t>
      </w:r>
      <w:r>
        <w:t xml:space="preserve">avoiding unwanted calls while allowing package delivery companies a reasonable time in which to implement opt-out elections.  </w:t>
      </w:r>
      <w:r w:rsidR="00200041">
        <w:t>W</w:t>
      </w:r>
      <w:r>
        <w:t xml:space="preserve">e clarify that, as required by the statute, </w:t>
      </w:r>
      <w:r w:rsidRPr="001D0BEC">
        <w:t>except in an emergency or with the prior express consent of the consumer, any party who sends a</w:t>
      </w:r>
      <w:r w:rsidR="00200041">
        <w:t>n autodialed or prerecorded</w:t>
      </w:r>
      <w:r w:rsidRPr="001D0BEC">
        <w:t xml:space="preserve"> package delivery notification </w:t>
      </w:r>
      <w:r w:rsidR="00200041">
        <w:t xml:space="preserve">to a wireless number that is </w:t>
      </w:r>
      <w:r w:rsidRPr="001D0BEC">
        <w:t>not in full conformance with the requirements we adopt today</w:t>
      </w:r>
      <w:r w:rsidR="00A66F85">
        <w:t xml:space="preserve"> may not take advantage of this exemption and risks </w:t>
      </w:r>
      <w:r w:rsidRPr="001D0BEC">
        <w:t>violating the TCPA</w:t>
      </w:r>
      <w:r w:rsidR="00A66F85">
        <w:t>.</w:t>
      </w:r>
      <w:r>
        <w:t xml:space="preserve"> </w:t>
      </w:r>
      <w:r w:rsidRPr="001D0BEC">
        <w:t xml:space="preserve">  </w:t>
      </w:r>
    </w:p>
    <w:p w14:paraId="7FF6B880" w14:textId="77777777" w:rsidR="00581F91" w:rsidRPr="004D040D" w:rsidRDefault="00581F91" w:rsidP="004D040D">
      <w:pPr>
        <w:pStyle w:val="Heading1"/>
        <w:widowControl/>
        <w:rPr>
          <w:rFonts w:ascii="Times New Roman" w:hAnsi="Times New Roman"/>
        </w:rPr>
      </w:pPr>
      <w:r w:rsidRPr="004D040D">
        <w:rPr>
          <w:rFonts w:ascii="Times New Roman" w:hAnsi="Times New Roman"/>
        </w:rPr>
        <w:t>ORDERING CLAUSES</w:t>
      </w:r>
    </w:p>
    <w:p w14:paraId="371115FD" w14:textId="77777777" w:rsidR="003C22EE" w:rsidRDefault="00581F91">
      <w:pPr>
        <w:pStyle w:val="ParaNum"/>
      </w:pPr>
      <w:r>
        <w:t xml:space="preserve">For the reasons stated above, IT IS </w:t>
      </w:r>
      <w:r w:rsidRPr="00B60F0E">
        <w:t xml:space="preserve">ORDERED, pursuant to </w:t>
      </w:r>
      <w:r>
        <w:t>s</w:t>
      </w:r>
      <w:r w:rsidRPr="00B60F0E">
        <w:t>ection</w:t>
      </w:r>
      <w:r>
        <w:t>s</w:t>
      </w:r>
      <w:r w:rsidRPr="00B60F0E">
        <w:t xml:space="preserve"> </w:t>
      </w:r>
      <w:r>
        <w:t xml:space="preserve">4(i), 4(j) and 227 of the </w:t>
      </w:r>
      <w:r w:rsidRPr="00B60F0E">
        <w:t xml:space="preserve">Communications Act of 1934, as amended, 47 U.S.C. </w:t>
      </w:r>
      <w:r>
        <w:t>§</w:t>
      </w:r>
      <w:r w:rsidRPr="00B60F0E">
        <w:t xml:space="preserve">§ </w:t>
      </w:r>
      <w:r>
        <w:t>1</w:t>
      </w:r>
      <w:r w:rsidRPr="00B60F0E">
        <w:t>54</w:t>
      </w:r>
      <w:r>
        <w:t>(i)</w:t>
      </w:r>
      <w:r w:rsidRPr="00B60F0E">
        <w:t>,</w:t>
      </w:r>
      <w:r>
        <w:t xml:space="preserve"> 154(j),</w:t>
      </w:r>
      <w:r w:rsidRPr="00B60F0E">
        <w:t xml:space="preserve"> </w:t>
      </w:r>
      <w:r>
        <w:t xml:space="preserve">227, </w:t>
      </w:r>
      <w:r w:rsidRPr="00B60F0E">
        <w:t xml:space="preserve">and </w:t>
      </w:r>
      <w:r>
        <w:t>s</w:t>
      </w:r>
      <w:r w:rsidRPr="00B60F0E">
        <w:t>ection</w:t>
      </w:r>
      <w:r>
        <w:t>s 1.2</w:t>
      </w:r>
      <w:r w:rsidRPr="00B60F0E">
        <w:t xml:space="preserve"> </w:t>
      </w:r>
      <w:r>
        <w:t xml:space="preserve">and 64.1200 </w:t>
      </w:r>
      <w:r w:rsidRPr="00B60F0E">
        <w:t xml:space="preserve">of the Commission’s Rules, 47 C.F.R. </w:t>
      </w:r>
      <w:r>
        <w:t>§</w:t>
      </w:r>
      <w:r w:rsidRPr="00B60F0E">
        <w:t>§</w:t>
      </w:r>
      <w:r>
        <w:t xml:space="preserve"> </w:t>
      </w:r>
      <w:r w:rsidRPr="0021597C">
        <w:t>1.</w:t>
      </w:r>
      <w:r>
        <w:t>2</w:t>
      </w:r>
      <w:r w:rsidRPr="0021597C">
        <w:t xml:space="preserve">, </w:t>
      </w:r>
      <w:r>
        <w:t xml:space="preserve">64.1200 </w:t>
      </w:r>
      <w:r w:rsidRPr="0021597C">
        <w:t xml:space="preserve">that the </w:t>
      </w:r>
      <w:r>
        <w:t xml:space="preserve">Petition for Expedited Declaratory Ruling </w:t>
      </w:r>
      <w:r w:rsidRPr="0021597C">
        <w:t>filed</w:t>
      </w:r>
      <w:r>
        <w:t xml:space="preserve"> by Cargo Airline Association on August 17, 2012 IS GRANTED IN PART </w:t>
      </w:r>
      <w:r w:rsidR="0049013A">
        <w:t>and IS OTHERWISE</w:t>
      </w:r>
      <w:r>
        <w:t xml:space="preserve"> DISMISSED to the extent indicated herein</w:t>
      </w:r>
      <w:r w:rsidRPr="00B60F0E">
        <w:t>.</w:t>
      </w:r>
    </w:p>
    <w:p w14:paraId="25855EC2" w14:textId="77777777" w:rsidR="003C22EE" w:rsidRDefault="00581F91">
      <w:pPr>
        <w:pStyle w:val="ParaNum"/>
      </w:pPr>
      <w:r>
        <w:t xml:space="preserve">IT IS FURTHER ORDERED that this </w:t>
      </w:r>
      <w:r w:rsidR="00DE7514">
        <w:t>Order</w:t>
      </w:r>
      <w:r>
        <w:t xml:space="preserve"> shall be effective upon </w:t>
      </w:r>
      <w:r w:rsidR="00DE7514">
        <w:t>publication in the Federal Register</w:t>
      </w:r>
      <w:r w:rsidRPr="00522245">
        <w:t>.</w:t>
      </w:r>
    </w:p>
    <w:p w14:paraId="0890F5C6" w14:textId="77777777" w:rsidR="003C22EE" w:rsidRPr="005C310D" w:rsidRDefault="00581F91">
      <w:pPr>
        <w:pStyle w:val="Header"/>
        <w:ind w:left="4320"/>
        <w:rPr>
          <w:b w:val="0"/>
        </w:rPr>
      </w:pPr>
      <w:r w:rsidRPr="005C310D">
        <w:rPr>
          <w:b w:val="0"/>
        </w:rPr>
        <w:t>FEDERAL COMMUNICATIONS COMMISSION</w:t>
      </w:r>
    </w:p>
    <w:p w14:paraId="3C31505F" w14:textId="77777777" w:rsidR="003C22EE" w:rsidRPr="005C310D" w:rsidRDefault="003C22EE">
      <w:pPr>
        <w:pStyle w:val="Header"/>
        <w:ind w:left="4320"/>
        <w:rPr>
          <w:b w:val="0"/>
        </w:rPr>
      </w:pPr>
    </w:p>
    <w:p w14:paraId="4AE52321" w14:textId="77777777" w:rsidR="003C22EE" w:rsidRPr="005C310D" w:rsidRDefault="003C22EE">
      <w:pPr>
        <w:pStyle w:val="Header"/>
        <w:ind w:left="4320"/>
        <w:rPr>
          <w:b w:val="0"/>
        </w:rPr>
      </w:pPr>
    </w:p>
    <w:p w14:paraId="538181ED" w14:textId="77777777" w:rsidR="003C22EE" w:rsidRPr="005C310D" w:rsidRDefault="003C22EE">
      <w:pPr>
        <w:pStyle w:val="Header"/>
        <w:ind w:left="4320"/>
        <w:rPr>
          <w:b w:val="0"/>
        </w:rPr>
      </w:pPr>
    </w:p>
    <w:p w14:paraId="2A62523E" w14:textId="77777777" w:rsidR="003C22EE" w:rsidRPr="005C310D" w:rsidRDefault="00581F91">
      <w:pPr>
        <w:pStyle w:val="Header"/>
        <w:ind w:left="4320"/>
        <w:rPr>
          <w:b w:val="0"/>
        </w:rPr>
      </w:pPr>
      <w:r w:rsidRPr="005C310D">
        <w:rPr>
          <w:b w:val="0"/>
        </w:rPr>
        <w:t>Marlene H. Dortch</w:t>
      </w:r>
    </w:p>
    <w:p w14:paraId="18F9D2A4" w14:textId="77777777" w:rsidR="003C22EE" w:rsidRDefault="00581F91">
      <w:pPr>
        <w:pStyle w:val="Header"/>
        <w:ind w:left="4320"/>
      </w:pPr>
      <w:r w:rsidRPr="005C310D">
        <w:rPr>
          <w:b w:val="0"/>
        </w:rPr>
        <w:t>Secretary</w:t>
      </w:r>
    </w:p>
    <w:p w14:paraId="4312A74F" w14:textId="2CADEDFD" w:rsidR="003C22EE" w:rsidRDefault="00581F91">
      <w:pPr>
        <w:pStyle w:val="Header"/>
        <w:jc w:val="center"/>
      </w:pPr>
      <w:r>
        <w:br w:type="page"/>
      </w:r>
      <w:r w:rsidR="00324182">
        <w:t>APPENDIX</w:t>
      </w:r>
    </w:p>
    <w:p w14:paraId="3DA95159" w14:textId="77777777" w:rsidR="003C22EE" w:rsidRDefault="003C22EE">
      <w:pPr>
        <w:pStyle w:val="Header"/>
        <w:jc w:val="center"/>
      </w:pPr>
    </w:p>
    <w:p w14:paraId="23A2A065" w14:textId="77777777" w:rsidR="003C22EE" w:rsidRDefault="00581F91">
      <w:pPr>
        <w:pStyle w:val="Header"/>
        <w:jc w:val="center"/>
      </w:pPr>
      <w:r>
        <w:t>List of Commenters</w:t>
      </w:r>
    </w:p>
    <w:p w14:paraId="30F00D19" w14:textId="77777777" w:rsidR="003C22EE" w:rsidRDefault="003C22EE">
      <w:pPr>
        <w:pStyle w:val="Header"/>
      </w:pPr>
    </w:p>
    <w:p w14:paraId="043339B9" w14:textId="67D2EC65" w:rsidR="003C22EE" w:rsidRDefault="00581F91" w:rsidP="00C91928">
      <w:pPr>
        <w:pStyle w:val="Header"/>
        <w:tabs>
          <w:tab w:val="clear" w:pos="4680"/>
        </w:tabs>
      </w:pPr>
      <w:r w:rsidRPr="00AF0816">
        <w:rPr>
          <w:u w:val="single"/>
        </w:rPr>
        <w:t>Commenter</w:t>
      </w:r>
      <w:r>
        <w:tab/>
      </w:r>
      <w:r w:rsidRPr="00AF0816">
        <w:rPr>
          <w:u w:val="single"/>
        </w:rPr>
        <w:t>Abbreviation</w:t>
      </w:r>
    </w:p>
    <w:p w14:paraId="3C3A262E" w14:textId="2D67B6CB" w:rsidR="003C22EE" w:rsidRPr="00C91928" w:rsidRDefault="00581F91" w:rsidP="00C91928">
      <w:pPr>
        <w:pStyle w:val="Header"/>
        <w:tabs>
          <w:tab w:val="clear" w:pos="4680"/>
        </w:tabs>
        <w:rPr>
          <w:b w:val="0"/>
        </w:rPr>
      </w:pPr>
      <w:r w:rsidRPr="00C91928">
        <w:rPr>
          <w:b w:val="0"/>
        </w:rPr>
        <w:t>Airlines for America (filed by Counsel Doug Mullen</w:t>
      </w:r>
      <w:r w:rsidR="00AB5748" w:rsidRPr="00C91928">
        <w:rPr>
          <w:b w:val="0"/>
        </w:rPr>
        <w:t>)</w:t>
      </w:r>
      <w:r w:rsidR="00AB5748" w:rsidRPr="00AB5748">
        <w:rPr>
          <w:b w:val="0"/>
        </w:rPr>
        <w:tab/>
      </w:r>
      <w:r w:rsidR="007F4E7D" w:rsidRPr="00C91928">
        <w:rPr>
          <w:b w:val="0"/>
        </w:rPr>
        <w:t>A4A</w:t>
      </w:r>
    </w:p>
    <w:p w14:paraId="1DD7807D" w14:textId="5D1D215D" w:rsidR="003C22EE" w:rsidRPr="00C91928" w:rsidRDefault="00581F91" w:rsidP="00C91928">
      <w:pPr>
        <w:pStyle w:val="Header"/>
        <w:tabs>
          <w:tab w:val="clear" w:pos="4680"/>
        </w:tabs>
        <w:rPr>
          <w:b w:val="0"/>
        </w:rPr>
      </w:pPr>
      <w:r w:rsidRPr="00C91928">
        <w:rPr>
          <w:b w:val="0"/>
        </w:rPr>
        <w:t>GroupMe</w:t>
      </w:r>
      <w:r w:rsidRPr="00C91928">
        <w:rPr>
          <w:b w:val="0"/>
        </w:rPr>
        <w:tab/>
        <w:t>GroupMe</w:t>
      </w:r>
    </w:p>
    <w:p w14:paraId="6F6903B7" w14:textId="77777777" w:rsidR="003C22EE" w:rsidRPr="00C91928" w:rsidRDefault="00581F91" w:rsidP="00C91928">
      <w:pPr>
        <w:pStyle w:val="Header"/>
        <w:tabs>
          <w:tab w:val="clear" w:pos="4680"/>
        </w:tabs>
        <w:rPr>
          <w:b w:val="0"/>
        </w:rPr>
      </w:pPr>
      <w:r w:rsidRPr="00C91928">
        <w:rPr>
          <w:b w:val="0"/>
        </w:rPr>
        <w:t>Gerald Roylance</w:t>
      </w:r>
    </w:p>
    <w:p w14:paraId="2AC06830" w14:textId="77777777" w:rsidR="003C22EE" w:rsidRPr="00C91928" w:rsidRDefault="00581F91" w:rsidP="00C91928">
      <w:pPr>
        <w:pStyle w:val="Header"/>
        <w:tabs>
          <w:tab w:val="clear" w:pos="4680"/>
        </w:tabs>
        <w:rPr>
          <w:b w:val="0"/>
        </w:rPr>
      </w:pPr>
      <w:r w:rsidRPr="00C91928">
        <w:rPr>
          <w:b w:val="0"/>
        </w:rPr>
        <w:t>Joe Shields</w:t>
      </w:r>
    </w:p>
    <w:p w14:paraId="3269B1B6" w14:textId="77777777" w:rsidR="003C22EE" w:rsidRPr="00C91928" w:rsidRDefault="003C22EE" w:rsidP="00C91928">
      <w:pPr>
        <w:pStyle w:val="Header"/>
        <w:tabs>
          <w:tab w:val="clear" w:pos="4680"/>
        </w:tabs>
        <w:rPr>
          <w:b w:val="0"/>
          <w:u w:val="single"/>
        </w:rPr>
      </w:pPr>
    </w:p>
    <w:p w14:paraId="1BD35668" w14:textId="77777777" w:rsidR="003C22EE" w:rsidRDefault="00581F91" w:rsidP="00C91928">
      <w:pPr>
        <w:pStyle w:val="Header"/>
        <w:tabs>
          <w:tab w:val="clear" w:pos="4680"/>
        </w:tabs>
        <w:rPr>
          <w:u w:val="single"/>
        </w:rPr>
      </w:pPr>
      <w:r w:rsidRPr="00002459">
        <w:rPr>
          <w:u w:val="single"/>
        </w:rPr>
        <w:t>Reply Commenters</w:t>
      </w:r>
    </w:p>
    <w:p w14:paraId="15A68B9B" w14:textId="7EDC5891" w:rsidR="00581F91" w:rsidRPr="00C91928" w:rsidRDefault="00581F91" w:rsidP="00C91928">
      <w:pPr>
        <w:pStyle w:val="Header"/>
        <w:tabs>
          <w:tab w:val="clear" w:pos="4680"/>
        </w:tabs>
        <w:rPr>
          <w:b w:val="0"/>
        </w:rPr>
      </w:pPr>
      <w:r w:rsidRPr="00C91928">
        <w:rPr>
          <w:b w:val="0"/>
        </w:rPr>
        <w:t>American Bankers Association</w:t>
      </w:r>
      <w:r w:rsidRPr="00C91928">
        <w:rPr>
          <w:b w:val="0"/>
        </w:rPr>
        <w:tab/>
        <w:t>ABA</w:t>
      </w:r>
    </w:p>
    <w:p w14:paraId="31467926" w14:textId="77777777" w:rsidR="00581F91" w:rsidRPr="00C91928" w:rsidRDefault="00581F91" w:rsidP="00C91928">
      <w:pPr>
        <w:pStyle w:val="Header"/>
        <w:tabs>
          <w:tab w:val="clear" w:pos="4680"/>
        </w:tabs>
        <w:rPr>
          <w:b w:val="0"/>
        </w:rPr>
      </w:pPr>
      <w:r w:rsidRPr="00C91928">
        <w:rPr>
          <w:b w:val="0"/>
        </w:rPr>
        <w:t>Steward Abramson</w:t>
      </w:r>
      <w:r w:rsidRPr="00C91928">
        <w:rPr>
          <w:b w:val="0"/>
        </w:rPr>
        <w:tab/>
      </w:r>
    </w:p>
    <w:p w14:paraId="77A27759" w14:textId="77777777" w:rsidR="00581F91" w:rsidRPr="00C91928" w:rsidRDefault="00581F91" w:rsidP="00C91928">
      <w:pPr>
        <w:pStyle w:val="Header"/>
        <w:tabs>
          <w:tab w:val="clear" w:pos="4680"/>
        </w:tabs>
        <w:rPr>
          <w:b w:val="0"/>
        </w:rPr>
      </w:pPr>
      <w:r w:rsidRPr="00C91928">
        <w:rPr>
          <w:b w:val="0"/>
        </w:rPr>
        <w:t>Robert Biggerstaff</w:t>
      </w:r>
    </w:p>
    <w:p w14:paraId="2EC99BA7" w14:textId="663EB62C" w:rsidR="00581F91" w:rsidRPr="00C91928" w:rsidRDefault="00581F91" w:rsidP="00C91928">
      <w:pPr>
        <w:pStyle w:val="Header"/>
        <w:tabs>
          <w:tab w:val="clear" w:pos="4680"/>
        </w:tabs>
        <w:rPr>
          <w:b w:val="0"/>
        </w:rPr>
      </w:pPr>
      <w:r w:rsidRPr="00C91928">
        <w:rPr>
          <w:b w:val="0"/>
        </w:rPr>
        <w:t>Cargo Airlines Association</w:t>
      </w:r>
      <w:r w:rsidRPr="00C91928">
        <w:rPr>
          <w:b w:val="0"/>
        </w:rPr>
        <w:tab/>
        <w:t>CAA</w:t>
      </w:r>
    </w:p>
    <w:p w14:paraId="07651523" w14:textId="02B7C153" w:rsidR="00C91928" w:rsidRDefault="00C91928">
      <w:pPr>
        <w:widowControl/>
      </w:pPr>
      <w:r>
        <w:rPr>
          <w:b/>
        </w:rPr>
        <w:br w:type="page"/>
      </w:r>
    </w:p>
    <w:p w14:paraId="79D468EA" w14:textId="278FD58F" w:rsidR="00324182" w:rsidRDefault="00324182" w:rsidP="00C91928">
      <w:pPr>
        <w:pStyle w:val="PlainText"/>
        <w:jc w:val="center"/>
        <w:rPr>
          <w:rFonts w:ascii="Times New Roman" w:hAnsi="Times New Roman" w:cs="Times New Roman"/>
          <w:b/>
        </w:rPr>
      </w:pPr>
      <w:r>
        <w:rPr>
          <w:rFonts w:ascii="Times New Roman" w:hAnsi="Times New Roman" w:cs="Times New Roman"/>
          <w:b/>
        </w:rPr>
        <w:t>CONCURRING STATEMENT OF</w:t>
      </w:r>
      <w:r w:rsidR="00C91928" w:rsidRPr="00CB7DF7">
        <w:rPr>
          <w:rFonts w:ascii="Times New Roman" w:hAnsi="Times New Roman" w:cs="Times New Roman"/>
          <w:b/>
        </w:rPr>
        <w:t xml:space="preserve"> </w:t>
      </w:r>
    </w:p>
    <w:p w14:paraId="71BB0D50" w14:textId="47CF3BBC" w:rsidR="00C91928" w:rsidRPr="00CB7DF7" w:rsidRDefault="00324182" w:rsidP="00C91928">
      <w:pPr>
        <w:pStyle w:val="PlainText"/>
        <w:jc w:val="center"/>
        <w:rPr>
          <w:rFonts w:ascii="Times New Roman" w:hAnsi="Times New Roman" w:cs="Times New Roman"/>
          <w:b/>
        </w:rPr>
      </w:pPr>
      <w:r>
        <w:rPr>
          <w:rFonts w:ascii="Times New Roman" w:hAnsi="Times New Roman" w:cs="Times New Roman"/>
          <w:b/>
        </w:rPr>
        <w:t>COMMISSIONER</w:t>
      </w:r>
      <w:r w:rsidR="00C91928" w:rsidRPr="00CB7DF7">
        <w:rPr>
          <w:rFonts w:ascii="Times New Roman" w:hAnsi="Times New Roman" w:cs="Times New Roman"/>
          <w:b/>
        </w:rPr>
        <w:t xml:space="preserve"> </w:t>
      </w:r>
      <w:r>
        <w:rPr>
          <w:rFonts w:ascii="Times New Roman" w:hAnsi="Times New Roman" w:cs="Times New Roman"/>
          <w:b/>
        </w:rPr>
        <w:t>MICHAEL O’RIELLY</w:t>
      </w:r>
    </w:p>
    <w:p w14:paraId="3F63098F" w14:textId="77777777" w:rsidR="00C91928" w:rsidRPr="00CB7DF7" w:rsidRDefault="00C91928" w:rsidP="00C91928">
      <w:pPr>
        <w:pStyle w:val="PlainText"/>
        <w:jc w:val="center"/>
        <w:rPr>
          <w:rFonts w:ascii="Times New Roman" w:hAnsi="Times New Roman" w:cs="Times New Roman"/>
          <w:b/>
        </w:rPr>
      </w:pPr>
    </w:p>
    <w:p w14:paraId="55727E07" w14:textId="77777777" w:rsidR="00C91928" w:rsidRPr="00CB7DF7" w:rsidRDefault="00C91928" w:rsidP="00C91928">
      <w:pPr>
        <w:ind w:left="720" w:right="-18" w:hanging="720"/>
      </w:pPr>
      <w:r w:rsidRPr="00CB7DF7">
        <w:t>Re:</w:t>
      </w:r>
      <w:r w:rsidRPr="00CB7DF7">
        <w:tab/>
      </w:r>
      <w:r w:rsidRPr="00CB7DF7">
        <w:rPr>
          <w:i/>
        </w:rPr>
        <w:t>Cargo Airline Association Petition for Expedited Declaratory Ruling; Rules and Regulations Implementing the Telephone Consumer Protection Act of 1991</w:t>
      </w:r>
      <w:r w:rsidRPr="00CB7DF7">
        <w:t>; CG Docket No. 02-278</w:t>
      </w:r>
    </w:p>
    <w:p w14:paraId="2459AC89" w14:textId="77777777" w:rsidR="00C91928" w:rsidRPr="00CB7DF7" w:rsidRDefault="00C91928" w:rsidP="00C91928">
      <w:pPr>
        <w:ind w:left="720" w:right="-18" w:hanging="720"/>
      </w:pPr>
      <w:r w:rsidRPr="00CB7DF7">
        <w:t>Re:</w:t>
      </w:r>
      <w:r w:rsidRPr="00CB7DF7">
        <w:tab/>
      </w:r>
      <w:r w:rsidRPr="00CB7DF7">
        <w:rPr>
          <w:i/>
        </w:rPr>
        <w:t>GroupMe, Inc./Skype Communications S.A.R.L Petition for Expedited Declaratory Ruling; Rules and Regulations Implementing the Telephone Consumer Protection Act of 1991</w:t>
      </w:r>
      <w:r w:rsidRPr="00CB7DF7">
        <w:t>; CG Docket No. 02-278</w:t>
      </w:r>
    </w:p>
    <w:p w14:paraId="5C672798" w14:textId="77777777" w:rsidR="00C91928" w:rsidRDefault="00C91928" w:rsidP="00C91928">
      <w:pPr>
        <w:pStyle w:val="PlainText"/>
        <w:rPr>
          <w:rFonts w:ascii="Times New Roman" w:hAnsi="Times New Roman" w:cs="Times New Roman"/>
        </w:rPr>
      </w:pPr>
    </w:p>
    <w:p w14:paraId="1F3CBD04" w14:textId="77777777" w:rsidR="00C91928" w:rsidRPr="00CB7DF7" w:rsidRDefault="00C91928" w:rsidP="00C91928">
      <w:pPr>
        <w:pStyle w:val="PlainText"/>
        <w:rPr>
          <w:rFonts w:ascii="Times New Roman" w:hAnsi="Times New Roman" w:cs="Times New Roman"/>
        </w:rPr>
      </w:pPr>
      <w:r w:rsidRPr="00CB7DF7">
        <w:rPr>
          <w:rFonts w:ascii="Times New Roman" w:hAnsi="Times New Roman" w:cs="Times New Roman"/>
        </w:rPr>
        <w:t xml:space="preserve">I concur with these two items because </w:t>
      </w:r>
      <w:r>
        <w:rPr>
          <w:rFonts w:ascii="Times New Roman" w:hAnsi="Times New Roman" w:cs="Times New Roman"/>
        </w:rPr>
        <w:t xml:space="preserve">of the good that </w:t>
      </w:r>
      <w:r w:rsidRPr="00CB7DF7">
        <w:rPr>
          <w:rFonts w:ascii="Times New Roman" w:hAnsi="Times New Roman" w:cs="Times New Roman"/>
        </w:rPr>
        <w:t xml:space="preserve">they accomplish. They will provide much needed clarity in an area where uncertainty </w:t>
      </w:r>
      <w:r>
        <w:rPr>
          <w:rFonts w:ascii="Times New Roman" w:hAnsi="Times New Roman" w:cs="Times New Roman"/>
        </w:rPr>
        <w:t>can inhibit</w:t>
      </w:r>
      <w:r w:rsidRPr="00CB7DF7">
        <w:rPr>
          <w:rFonts w:ascii="Times New Roman" w:hAnsi="Times New Roman" w:cs="Times New Roman"/>
        </w:rPr>
        <w:t xml:space="preserve"> legitimate businesses from offering consumer-friendly applications and services</w:t>
      </w:r>
      <w:r>
        <w:rPr>
          <w:rFonts w:ascii="Times New Roman" w:hAnsi="Times New Roman" w:cs="Times New Roman"/>
        </w:rPr>
        <w:t>,</w:t>
      </w:r>
      <w:r w:rsidRPr="00A068BB">
        <w:rPr>
          <w:rFonts w:ascii="Times New Roman" w:hAnsi="Times New Roman" w:cs="Times New Roman"/>
        </w:rPr>
        <w:t xml:space="preserve"> </w:t>
      </w:r>
      <w:r w:rsidRPr="00CB7DF7">
        <w:rPr>
          <w:rFonts w:ascii="Times New Roman" w:hAnsi="Times New Roman" w:cs="Times New Roman"/>
        </w:rPr>
        <w:t xml:space="preserve">and </w:t>
      </w:r>
      <w:r>
        <w:rPr>
          <w:rFonts w:ascii="Times New Roman" w:hAnsi="Times New Roman" w:cs="Times New Roman"/>
        </w:rPr>
        <w:t xml:space="preserve">can </w:t>
      </w:r>
      <w:r w:rsidRPr="00CB7DF7">
        <w:rPr>
          <w:rFonts w:ascii="Times New Roman" w:hAnsi="Times New Roman" w:cs="Times New Roman"/>
        </w:rPr>
        <w:t xml:space="preserve">breed litigation.  They will also directly benefit consumers </w:t>
      </w:r>
      <w:r>
        <w:rPr>
          <w:rFonts w:ascii="Times New Roman" w:hAnsi="Times New Roman" w:cs="Times New Roman"/>
        </w:rPr>
        <w:t>by enabling them</w:t>
      </w:r>
      <w:r w:rsidRPr="00CB7DF7">
        <w:rPr>
          <w:rFonts w:ascii="Times New Roman" w:hAnsi="Times New Roman" w:cs="Times New Roman"/>
        </w:rPr>
        <w:t xml:space="preserve"> to receive package delivery notifications they want and expect, and </w:t>
      </w:r>
      <w:r>
        <w:rPr>
          <w:rFonts w:ascii="Times New Roman" w:hAnsi="Times New Roman" w:cs="Times New Roman"/>
        </w:rPr>
        <w:t>by ensuring</w:t>
      </w:r>
      <w:r w:rsidRPr="00CB7DF7">
        <w:rPr>
          <w:rFonts w:ascii="Times New Roman" w:hAnsi="Times New Roman" w:cs="Times New Roman"/>
        </w:rPr>
        <w:t xml:space="preserve"> that </w:t>
      </w:r>
      <w:r>
        <w:rPr>
          <w:rFonts w:ascii="Times New Roman" w:hAnsi="Times New Roman" w:cs="Times New Roman"/>
        </w:rPr>
        <w:t>they</w:t>
      </w:r>
      <w:r w:rsidRPr="00CB7DF7">
        <w:rPr>
          <w:rFonts w:ascii="Times New Roman" w:hAnsi="Times New Roman" w:cs="Times New Roman"/>
        </w:rPr>
        <w:t xml:space="preserve"> can take advantage of a service that helps connect groups of friends, families, and colleagues. </w:t>
      </w:r>
    </w:p>
    <w:p w14:paraId="782C1399" w14:textId="77777777" w:rsidR="00C91928" w:rsidRPr="00CB7DF7" w:rsidRDefault="00C91928" w:rsidP="00C91928">
      <w:pPr>
        <w:pStyle w:val="PlainText"/>
        <w:rPr>
          <w:rFonts w:ascii="Times New Roman" w:hAnsi="Times New Roman" w:cs="Times New Roman"/>
        </w:rPr>
      </w:pPr>
    </w:p>
    <w:p w14:paraId="4DF8C9EB" w14:textId="77777777" w:rsidR="00C91928" w:rsidRPr="00CB7DF7" w:rsidRDefault="00C91928" w:rsidP="00C91928">
      <w:pPr>
        <w:pStyle w:val="PlainText"/>
        <w:rPr>
          <w:rFonts w:ascii="Times New Roman" w:hAnsi="Times New Roman" w:cs="Times New Roman"/>
        </w:rPr>
      </w:pPr>
      <w:r w:rsidRPr="00CB7DF7">
        <w:rPr>
          <w:rFonts w:ascii="Times New Roman" w:hAnsi="Times New Roman" w:cs="Times New Roman"/>
        </w:rPr>
        <w:t>My only hesitation is on the applicability of the TCPA to text messages.  The TCPA was enacted in 1991 – before the first text message was ever sent.  I was not at the Commission when it decided that the TCPA does apply to text messages, and I may have approached it differently.  It would have been better if the Commission had gone back to Congress for clear guidance on the issue.  I will look for opportunities, like the ones presented here, to ensure that our rules do not stand in the way of innovation and certainty that benefits consumers and businesses alike.</w:t>
      </w:r>
    </w:p>
    <w:p w14:paraId="5E805143" w14:textId="77777777" w:rsidR="00581F91" w:rsidRPr="00C91928" w:rsidRDefault="00581F91" w:rsidP="00C91928">
      <w:pPr>
        <w:pStyle w:val="Header"/>
        <w:tabs>
          <w:tab w:val="clear" w:pos="4680"/>
        </w:tabs>
        <w:rPr>
          <w:b w:val="0"/>
        </w:rPr>
      </w:pPr>
    </w:p>
    <w:sectPr w:rsidR="00581F91" w:rsidRPr="00C91928" w:rsidSect="005C31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056B63" w15:done="0"/>
  <w15:commentEx w15:paraId="6EF59C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C2E0E" w14:textId="77777777" w:rsidR="004633B7" w:rsidRDefault="004633B7">
      <w:r>
        <w:separator/>
      </w:r>
    </w:p>
  </w:endnote>
  <w:endnote w:type="continuationSeparator" w:id="0">
    <w:p w14:paraId="764EDC67" w14:textId="77777777" w:rsidR="004633B7" w:rsidRDefault="004633B7">
      <w:r>
        <w:continuationSeparator/>
      </w:r>
    </w:p>
  </w:endnote>
  <w:endnote w:type="continuationNotice" w:id="1">
    <w:p w14:paraId="6C38B7A5" w14:textId="77777777" w:rsidR="004633B7" w:rsidRDefault="00463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545B" w14:textId="77777777" w:rsidR="008F268A" w:rsidRDefault="008F2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203B" w14:textId="77777777" w:rsidR="004612B7" w:rsidRDefault="004612B7">
    <w:pPr>
      <w:pStyle w:val="Footer"/>
      <w:jc w:val="center"/>
    </w:pPr>
    <w:r>
      <w:rPr>
        <w:rStyle w:val="PageNumber"/>
      </w:rPr>
      <w:fldChar w:fldCharType="begin"/>
    </w:r>
    <w:r>
      <w:rPr>
        <w:rStyle w:val="PageNumber"/>
      </w:rPr>
      <w:instrText xml:space="preserve"> PAGE </w:instrText>
    </w:r>
    <w:r>
      <w:rPr>
        <w:rStyle w:val="PageNumber"/>
      </w:rPr>
      <w:fldChar w:fldCharType="separate"/>
    </w:r>
    <w:r w:rsidR="005C310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C56F" w14:textId="77777777" w:rsidR="008F268A" w:rsidRDefault="008F2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E4811" w14:textId="77777777" w:rsidR="004633B7" w:rsidRDefault="004633B7">
      <w:pPr>
        <w:rPr>
          <w:sz w:val="20"/>
        </w:rPr>
      </w:pPr>
      <w:r>
        <w:rPr>
          <w:sz w:val="20"/>
        </w:rPr>
        <w:separator/>
      </w:r>
    </w:p>
  </w:footnote>
  <w:footnote w:type="continuationSeparator" w:id="0">
    <w:p w14:paraId="57C1084F" w14:textId="77777777" w:rsidR="004633B7" w:rsidRDefault="004633B7">
      <w:pPr>
        <w:rPr>
          <w:sz w:val="20"/>
        </w:rPr>
      </w:pPr>
      <w:r>
        <w:rPr>
          <w:sz w:val="20"/>
        </w:rPr>
        <w:t xml:space="preserve">(Continued from previous page)  </w:t>
      </w:r>
      <w:r>
        <w:rPr>
          <w:sz w:val="20"/>
        </w:rPr>
        <w:separator/>
      </w:r>
    </w:p>
  </w:footnote>
  <w:footnote w:type="continuationNotice" w:id="1">
    <w:p w14:paraId="01C7343F" w14:textId="77777777" w:rsidR="004633B7" w:rsidRDefault="004633B7">
      <w:pPr>
        <w:jc w:val="right"/>
        <w:rPr>
          <w:sz w:val="20"/>
        </w:rPr>
      </w:pPr>
      <w:r>
        <w:rPr>
          <w:sz w:val="20"/>
        </w:rPr>
        <w:t>(continued....)</w:t>
      </w:r>
    </w:p>
  </w:footnote>
  <w:footnote w:id="2">
    <w:p w14:paraId="74262A8D" w14:textId="77777777" w:rsidR="004612B7" w:rsidRDefault="004612B7">
      <w:pPr>
        <w:pStyle w:val="FootnoteText"/>
      </w:pPr>
      <w:r>
        <w:rPr>
          <w:rStyle w:val="FootnoteReference"/>
        </w:rPr>
        <w:footnoteRef/>
      </w:r>
      <w:r>
        <w:t xml:space="preserve"> </w:t>
      </w:r>
      <w:r>
        <w:rPr>
          <w:i/>
          <w:iCs/>
        </w:rPr>
        <w:t>Codified as</w:t>
      </w:r>
      <w:r>
        <w:t xml:space="preserve"> 47 U.S.C. § 227.</w:t>
      </w:r>
    </w:p>
  </w:footnote>
  <w:footnote w:id="3">
    <w:p w14:paraId="773B5EED" w14:textId="77777777" w:rsidR="004612B7" w:rsidRDefault="004612B7" w:rsidP="00A84D1C">
      <w:pPr>
        <w:pStyle w:val="FootnoteText"/>
      </w:pPr>
      <w:r>
        <w:rPr>
          <w:rStyle w:val="FootnoteReference"/>
        </w:rPr>
        <w:footnoteRef/>
      </w:r>
      <w:r>
        <w:t xml:space="preserve"> </w:t>
      </w:r>
      <w:r w:rsidRPr="00EF54E5">
        <w:rPr>
          <w:i/>
        </w:rPr>
        <w:t>See</w:t>
      </w:r>
      <w:r w:rsidRPr="00057435">
        <w:t xml:space="preserve"> 47 U.S.C. § 227(b)(2)(C)</w:t>
      </w:r>
      <w:r>
        <w:t>.</w:t>
      </w:r>
    </w:p>
  </w:footnote>
  <w:footnote w:id="4">
    <w:p w14:paraId="3BB5A61B" w14:textId="77777777" w:rsidR="004612B7" w:rsidRDefault="004612B7" w:rsidP="004D040D">
      <w:pPr>
        <w:pStyle w:val="FootnoteText"/>
      </w:pPr>
      <w:r>
        <w:rPr>
          <w:rStyle w:val="FootnoteReference"/>
        </w:rPr>
        <w:footnoteRef/>
      </w:r>
      <w:r>
        <w:rPr>
          <w:i/>
          <w:iCs/>
        </w:rPr>
        <w:t xml:space="preserve">  See Cargo Airline Association</w:t>
      </w:r>
      <w:r>
        <w:t>, Petition for Expedited Declaratory Ruling and Clarification, CG Docket No. 02-278 (filed Aug. 17, 2012) (</w:t>
      </w:r>
      <w:r>
        <w:rPr>
          <w:i/>
          <w:iCs/>
        </w:rPr>
        <w:t>Petition</w:t>
      </w:r>
      <w:r>
        <w:t>).</w:t>
      </w:r>
    </w:p>
  </w:footnote>
  <w:footnote w:id="5">
    <w:p w14:paraId="42B224F6" w14:textId="77777777" w:rsidR="004612B7" w:rsidRDefault="004612B7">
      <w:pPr>
        <w:pStyle w:val="FootnoteText"/>
      </w:pPr>
      <w:r>
        <w:rPr>
          <w:rStyle w:val="FootnoteReference"/>
        </w:rPr>
        <w:footnoteRef/>
      </w:r>
      <w:r>
        <w:t xml:space="preserve"> We use “residential” to mean “residential wireline” consumers for purposes of this order, and to be consistent with the TCPA’s terminology.</w:t>
      </w:r>
    </w:p>
  </w:footnote>
  <w:footnote w:id="6">
    <w:p w14:paraId="4740D253" w14:textId="77777777" w:rsidR="004612B7" w:rsidRDefault="004612B7" w:rsidP="004D040D">
      <w:pPr>
        <w:pStyle w:val="FootnoteText"/>
      </w:pPr>
      <w:r>
        <w:rPr>
          <w:rStyle w:val="FootnoteReference"/>
        </w:rPr>
        <w:footnoteRef/>
      </w:r>
      <w:r>
        <w:t xml:space="preserve"> </w:t>
      </w:r>
      <w:r w:rsidRPr="00F46C12">
        <w:rPr>
          <w:i/>
          <w:iCs/>
        </w:rPr>
        <w:t>See</w:t>
      </w:r>
      <w:r w:rsidRPr="00F46C12">
        <w:t xml:space="preserve"> 47 U.S.C. § 227.</w:t>
      </w:r>
    </w:p>
  </w:footnote>
  <w:footnote w:id="7">
    <w:p w14:paraId="1CD195A4" w14:textId="77777777" w:rsidR="004612B7" w:rsidRDefault="004612B7">
      <w:pPr>
        <w:pStyle w:val="FootnoteText"/>
      </w:pPr>
      <w:r>
        <w:rPr>
          <w:rStyle w:val="FootnoteReference"/>
        </w:rPr>
        <w:footnoteRef/>
      </w:r>
      <w:r>
        <w:t xml:space="preserve"> </w:t>
      </w:r>
      <w:r>
        <w:rPr>
          <w:i/>
          <w:iCs/>
        </w:rPr>
        <w:t xml:space="preserve">See </w:t>
      </w:r>
      <w:r>
        <w:t>47 U.S.C.</w:t>
      </w:r>
      <w:r>
        <w:rPr>
          <w:i/>
          <w:iCs/>
        </w:rPr>
        <w:t xml:space="preserve"> </w:t>
      </w:r>
      <w:r>
        <w:t xml:space="preserve">§ 227(b)(1)(A)(iii); 47 C.F.R. § 64.1200(a)(1)(iii).  </w:t>
      </w:r>
    </w:p>
  </w:footnote>
  <w:footnote w:id="8">
    <w:p w14:paraId="2F66861A" w14:textId="77777777" w:rsidR="004612B7" w:rsidRDefault="004612B7">
      <w:pPr>
        <w:pStyle w:val="FootnoteText"/>
      </w:pPr>
      <w:r>
        <w:rPr>
          <w:rStyle w:val="FootnoteReference"/>
        </w:rPr>
        <w:footnoteRef/>
      </w:r>
      <w:r>
        <w:t xml:space="preserve"> 47 U.S.C. </w:t>
      </w:r>
      <w:r w:rsidRPr="00F46C12">
        <w:t>§ 227</w:t>
      </w:r>
      <w:r>
        <w:t xml:space="preserve">(a)(1); </w:t>
      </w:r>
      <w:r>
        <w:rPr>
          <w:i/>
          <w:iCs/>
        </w:rPr>
        <w:t>see also</w:t>
      </w:r>
      <w:r>
        <w:t xml:space="preserve"> 47 </w:t>
      </w:r>
      <w:r w:rsidRPr="000B3511">
        <w:t>C.F.R. § 64.1200</w:t>
      </w:r>
      <w:r>
        <w:t>(f)(2) (“</w:t>
      </w:r>
      <w:r w:rsidRPr="000B3511">
        <w:t xml:space="preserve">The terms </w:t>
      </w:r>
      <w:r w:rsidRPr="00BA40E7">
        <w:rPr>
          <w:i/>
          <w:iCs/>
        </w:rPr>
        <w:t>automatic telephone dialing system</w:t>
      </w:r>
      <w:r w:rsidRPr="000B3511">
        <w:t xml:space="preserve"> and </w:t>
      </w:r>
      <w:r w:rsidRPr="00BA40E7">
        <w:rPr>
          <w:i/>
          <w:iCs/>
        </w:rPr>
        <w:t>autodialer</w:t>
      </w:r>
      <w:r w:rsidRPr="000B3511">
        <w:t xml:space="preserve"> mean equipment which has the capacity to store or produce telephone numbers to be called using a random or sequential number generator and to dial such numbers</w:t>
      </w:r>
      <w:r>
        <w:t>.”).</w:t>
      </w:r>
    </w:p>
  </w:footnote>
  <w:footnote w:id="9">
    <w:p w14:paraId="0B335EE7" w14:textId="77777777" w:rsidR="004612B7" w:rsidRDefault="004612B7">
      <w:pPr>
        <w:pStyle w:val="FootnoteText"/>
      </w:pPr>
      <w:r>
        <w:rPr>
          <w:rStyle w:val="FootnoteReference"/>
        </w:rPr>
        <w:footnoteRef/>
      </w:r>
      <w:r>
        <w:t xml:space="preserve"> </w:t>
      </w:r>
      <w:r>
        <w:rPr>
          <w:i/>
          <w:iCs/>
        </w:rPr>
        <w:t xml:space="preserve">See Rules and Regulations Implementing the Telephone Consumer Protection Act of 1991, </w:t>
      </w:r>
      <w:r w:rsidRPr="00002459">
        <w:t>Report and Order</w:t>
      </w:r>
      <w:r>
        <w:t>, CG Docket No. 02-278, 18 FCC Rcd 14014, 14115, para. 165 (2003) (</w:t>
      </w:r>
      <w:r w:rsidRPr="00002459">
        <w:rPr>
          <w:i/>
          <w:iCs/>
        </w:rPr>
        <w:t>2003 TCPA Order</w:t>
      </w:r>
      <w:r>
        <w:t xml:space="preserve">); </w:t>
      </w:r>
      <w:r>
        <w:rPr>
          <w:i/>
          <w:iCs/>
        </w:rPr>
        <w:t xml:space="preserve">see also </w:t>
      </w:r>
      <w:r w:rsidRPr="008627FE">
        <w:rPr>
          <w:i/>
          <w:iCs/>
        </w:rPr>
        <w:t>Satterfield</w:t>
      </w:r>
      <w:r>
        <w:rPr>
          <w:i/>
          <w:iCs/>
        </w:rPr>
        <w:t xml:space="preserve"> v. Simon &amp; Schuster, Inc.</w:t>
      </w:r>
      <w:r>
        <w:t>, 569 F.3d 946 (9</w:t>
      </w:r>
      <w:r>
        <w:rPr>
          <w:vertAlign w:val="superscript"/>
        </w:rPr>
        <w:t>th</w:t>
      </w:r>
      <w:r>
        <w:t xml:space="preserve"> Cir. 2009) (noting that text messaging is a form of communication used primarily between telephones and is therefore consistent with the definition of a “call”).</w:t>
      </w:r>
    </w:p>
  </w:footnote>
  <w:footnote w:id="10">
    <w:p w14:paraId="4CCC7405" w14:textId="77777777" w:rsidR="004612B7" w:rsidRDefault="004612B7">
      <w:pPr>
        <w:pStyle w:val="FootnoteText"/>
      </w:pPr>
      <w:r>
        <w:rPr>
          <w:rStyle w:val="FootnoteReference"/>
        </w:rPr>
        <w:footnoteRef/>
      </w:r>
      <w:r>
        <w:t xml:space="preserve"> 47 U.S.C. § 227(b)(2)(C). </w:t>
      </w:r>
    </w:p>
  </w:footnote>
  <w:footnote w:id="11">
    <w:p w14:paraId="5A8BD52E" w14:textId="77777777" w:rsidR="004612B7" w:rsidRDefault="004612B7">
      <w:pPr>
        <w:pStyle w:val="FootnoteText"/>
      </w:pPr>
      <w:r w:rsidRPr="00575C6F">
        <w:rPr>
          <w:rStyle w:val="FootnoteReference"/>
        </w:rPr>
        <w:footnoteRef/>
      </w:r>
      <w:r w:rsidRPr="00575C6F">
        <w:t xml:space="preserve"> </w:t>
      </w:r>
      <w:r>
        <w:rPr>
          <w:i/>
          <w:iCs/>
        </w:rPr>
        <w:t xml:space="preserve">See </w:t>
      </w:r>
      <w:r w:rsidRPr="00FE15E3">
        <w:rPr>
          <w:i/>
          <w:iCs/>
        </w:rPr>
        <w:t>Petition</w:t>
      </w:r>
      <w:r>
        <w:rPr>
          <w:i/>
          <w:iCs/>
        </w:rPr>
        <w:t xml:space="preserve"> </w:t>
      </w:r>
      <w:r w:rsidRPr="00BA40E7">
        <w:t>at 2</w:t>
      </w:r>
      <w:r w:rsidRPr="00575C6F">
        <w:t>.</w:t>
      </w:r>
    </w:p>
  </w:footnote>
  <w:footnote w:id="12">
    <w:p w14:paraId="417E3F18" w14:textId="77777777" w:rsidR="004612B7" w:rsidRDefault="004612B7">
      <w:pPr>
        <w:pStyle w:val="FootnoteText"/>
      </w:pPr>
      <w:r w:rsidRPr="00575C6F">
        <w:rPr>
          <w:rStyle w:val="FootnoteReference"/>
        </w:rPr>
        <w:footnoteRef/>
      </w:r>
      <w:r w:rsidRPr="00575C6F">
        <w:t xml:space="preserve"> </w:t>
      </w:r>
      <w:r>
        <w:rPr>
          <w:i/>
          <w:iCs/>
        </w:rPr>
        <w:t>Id.</w:t>
      </w:r>
      <w:r w:rsidRPr="00575C6F">
        <w:t xml:space="preserve"> at </w:t>
      </w:r>
      <w:r>
        <w:t>1-2, 8-9</w:t>
      </w:r>
      <w:r w:rsidRPr="00575C6F">
        <w:t>.</w:t>
      </w:r>
    </w:p>
  </w:footnote>
  <w:footnote w:id="13">
    <w:p w14:paraId="23475F73" w14:textId="77777777" w:rsidR="004612B7" w:rsidRDefault="004612B7">
      <w:pPr>
        <w:pStyle w:val="FootnoteText"/>
      </w:pPr>
      <w:r>
        <w:rPr>
          <w:rStyle w:val="FootnoteReference"/>
        </w:rPr>
        <w:footnoteRef/>
      </w:r>
      <w:r>
        <w:t xml:space="preserve"> </w:t>
      </w:r>
      <w:r w:rsidRPr="00066D1F">
        <w:rPr>
          <w:i/>
          <w:iCs/>
        </w:rPr>
        <w:t xml:space="preserve">See </w:t>
      </w:r>
      <w:r>
        <w:rPr>
          <w:i/>
          <w:iCs/>
        </w:rPr>
        <w:t>id.</w:t>
      </w:r>
      <w:r>
        <w:t xml:space="preserve"> at 8-9.</w:t>
      </w:r>
    </w:p>
  </w:footnote>
  <w:footnote w:id="14">
    <w:p w14:paraId="04258F8E" w14:textId="77777777" w:rsidR="004612B7" w:rsidRDefault="004612B7">
      <w:pPr>
        <w:pStyle w:val="FootnoteText"/>
      </w:pPr>
      <w:r>
        <w:rPr>
          <w:rStyle w:val="FootnoteReference"/>
        </w:rPr>
        <w:footnoteRef/>
      </w:r>
      <w:r>
        <w:t xml:space="preserve"> </w:t>
      </w:r>
      <w:r w:rsidRPr="00E6133A">
        <w:rPr>
          <w:i/>
          <w:iCs/>
        </w:rPr>
        <w:t xml:space="preserve">See </w:t>
      </w:r>
      <w:r>
        <w:rPr>
          <w:i/>
          <w:iCs/>
        </w:rPr>
        <w:t>i</w:t>
      </w:r>
      <w:r w:rsidRPr="00E6133A">
        <w:rPr>
          <w:i/>
          <w:iCs/>
        </w:rPr>
        <w:t xml:space="preserve">d. </w:t>
      </w:r>
      <w:r w:rsidRPr="002B1690">
        <w:t>at</w:t>
      </w:r>
      <w:r>
        <w:t xml:space="preserve"> 5.</w:t>
      </w:r>
    </w:p>
  </w:footnote>
  <w:footnote w:id="15">
    <w:p w14:paraId="3000E6B8" w14:textId="77777777" w:rsidR="004612B7" w:rsidRDefault="004612B7">
      <w:pPr>
        <w:pStyle w:val="FootnoteText"/>
      </w:pPr>
      <w:r>
        <w:rPr>
          <w:rStyle w:val="FootnoteReference"/>
        </w:rPr>
        <w:footnoteRef/>
      </w:r>
      <w:r>
        <w:t xml:space="preserve"> </w:t>
      </w:r>
      <w:r w:rsidRPr="00BF1AD4">
        <w:rPr>
          <w:i/>
          <w:iCs/>
        </w:rPr>
        <w:t xml:space="preserve">See </w:t>
      </w:r>
      <w:r>
        <w:rPr>
          <w:i/>
          <w:iCs/>
        </w:rPr>
        <w:t>i</w:t>
      </w:r>
      <w:r w:rsidRPr="00BF1AD4">
        <w:rPr>
          <w:i/>
          <w:iCs/>
        </w:rPr>
        <w:t>d.</w:t>
      </w:r>
      <w:r>
        <w:t xml:space="preserve"> at 2.</w:t>
      </w:r>
    </w:p>
  </w:footnote>
  <w:footnote w:id="16">
    <w:p w14:paraId="2D9FFA29" w14:textId="77777777" w:rsidR="004612B7" w:rsidRDefault="004612B7">
      <w:pPr>
        <w:pStyle w:val="FootnoteText"/>
      </w:pPr>
      <w:r>
        <w:rPr>
          <w:rStyle w:val="FootnoteReference"/>
        </w:rPr>
        <w:footnoteRef/>
      </w:r>
      <w:r>
        <w:t xml:space="preserve"> </w:t>
      </w:r>
      <w:r w:rsidRPr="00BF1AD4">
        <w:rPr>
          <w:i/>
          <w:iCs/>
        </w:rPr>
        <w:t xml:space="preserve">See </w:t>
      </w:r>
      <w:r>
        <w:rPr>
          <w:i/>
          <w:iCs/>
        </w:rPr>
        <w:t>i</w:t>
      </w:r>
      <w:r w:rsidRPr="00BF1AD4">
        <w:rPr>
          <w:i/>
          <w:iCs/>
        </w:rPr>
        <w:t>d.</w:t>
      </w:r>
      <w:r>
        <w:t xml:space="preserve"> at 3.</w:t>
      </w:r>
    </w:p>
  </w:footnote>
  <w:footnote w:id="17">
    <w:p w14:paraId="6D4CBE26" w14:textId="3C67C098" w:rsidR="004612B7" w:rsidRDefault="004612B7">
      <w:pPr>
        <w:pStyle w:val="FootnoteText"/>
      </w:pPr>
      <w:r>
        <w:rPr>
          <w:rStyle w:val="FootnoteReference"/>
        </w:rPr>
        <w:footnoteRef/>
      </w:r>
      <w:r w:rsidRPr="00BA40E7">
        <w:t xml:space="preserve"> </w:t>
      </w:r>
      <w:r>
        <w:t xml:space="preserve"> </w:t>
      </w:r>
      <w:r>
        <w:rPr>
          <w:i/>
          <w:iCs/>
        </w:rPr>
        <w:t xml:space="preserve">See </w:t>
      </w:r>
      <w:r w:rsidRPr="00062B3C">
        <w:t>CAA Notice of Ex</w:t>
      </w:r>
      <w:r>
        <w:t xml:space="preserve"> </w:t>
      </w:r>
      <w:r w:rsidRPr="00062B3C">
        <w:t>Parte Presentation</w:t>
      </w:r>
      <w:r>
        <w:rPr>
          <w:i/>
          <w:iCs/>
        </w:rPr>
        <w:t xml:space="preserve">, </w:t>
      </w:r>
      <w:r>
        <w:t>CG Docket No. 02-278, at 2 (Feb. 27, 2013).  CAA states that the information available shows an opt-out rate of less than 0.5 percent for residential consumers.</w:t>
      </w:r>
    </w:p>
  </w:footnote>
  <w:footnote w:id="18">
    <w:p w14:paraId="3427AE0B" w14:textId="77777777" w:rsidR="004612B7" w:rsidRDefault="004612B7">
      <w:pPr>
        <w:pStyle w:val="FootnoteText"/>
      </w:pPr>
      <w:r>
        <w:rPr>
          <w:rStyle w:val="FootnoteReference"/>
        </w:rPr>
        <w:footnoteRef/>
      </w:r>
      <w:r>
        <w:t xml:space="preserve"> </w:t>
      </w:r>
      <w:r>
        <w:rPr>
          <w:i/>
          <w:iCs/>
        </w:rPr>
        <w:t xml:space="preserve">See Petition </w:t>
      </w:r>
      <w:r w:rsidRPr="009E51A1">
        <w:t>at</w:t>
      </w:r>
      <w:r>
        <w:t xml:space="preserve"> 7.</w:t>
      </w:r>
    </w:p>
  </w:footnote>
  <w:footnote w:id="19">
    <w:p w14:paraId="714CA7BF" w14:textId="77777777" w:rsidR="004612B7" w:rsidRDefault="004612B7">
      <w:pPr>
        <w:pStyle w:val="FootnoteText"/>
      </w:pPr>
      <w:r>
        <w:rPr>
          <w:rStyle w:val="FootnoteReference"/>
        </w:rPr>
        <w:footnoteRef/>
      </w:r>
      <w:r>
        <w:t xml:space="preserve"> </w:t>
      </w:r>
      <w:r>
        <w:rPr>
          <w:i/>
          <w:iCs/>
        </w:rPr>
        <w:t xml:space="preserve">See </w:t>
      </w:r>
      <w:r w:rsidRPr="00062B3C">
        <w:t>CAA Notice of Ex</w:t>
      </w:r>
      <w:r>
        <w:t xml:space="preserve"> </w:t>
      </w:r>
      <w:r w:rsidRPr="00062B3C">
        <w:t>Parte Presentation</w:t>
      </w:r>
      <w:r>
        <w:rPr>
          <w:i/>
          <w:iCs/>
        </w:rPr>
        <w:t xml:space="preserve">, </w:t>
      </w:r>
      <w:r>
        <w:t>CG Docket No. 02-278, at 2 (Feb. 27, 2013).</w:t>
      </w:r>
    </w:p>
  </w:footnote>
  <w:footnote w:id="20">
    <w:p w14:paraId="24CC3CBB" w14:textId="77777777" w:rsidR="004612B7" w:rsidRDefault="004612B7">
      <w:pPr>
        <w:pStyle w:val="FootnoteText"/>
      </w:pPr>
      <w:r>
        <w:rPr>
          <w:rStyle w:val="FootnoteReference"/>
        </w:rPr>
        <w:footnoteRef/>
      </w:r>
      <w:r>
        <w:t xml:space="preserve"> </w:t>
      </w:r>
      <w:r w:rsidRPr="002B1690">
        <w:rPr>
          <w:i/>
          <w:iCs/>
        </w:rPr>
        <w:t xml:space="preserve">See </w:t>
      </w:r>
      <w:r>
        <w:rPr>
          <w:i/>
          <w:iCs/>
        </w:rPr>
        <w:t>Petition</w:t>
      </w:r>
      <w:r>
        <w:t xml:space="preserve"> at 4-5.</w:t>
      </w:r>
    </w:p>
  </w:footnote>
  <w:footnote w:id="21">
    <w:p w14:paraId="4A428C9A" w14:textId="77777777" w:rsidR="004612B7" w:rsidRDefault="004612B7">
      <w:pPr>
        <w:pStyle w:val="FootnoteText"/>
      </w:pPr>
      <w:r>
        <w:rPr>
          <w:rStyle w:val="FootnoteReference"/>
        </w:rPr>
        <w:footnoteRef/>
      </w:r>
      <w:r>
        <w:t xml:space="preserve"> </w:t>
      </w:r>
      <w:r w:rsidRPr="00C503C2">
        <w:rPr>
          <w:i/>
          <w:iCs/>
        </w:rPr>
        <w:t xml:space="preserve">See </w:t>
      </w:r>
      <w:r>
        <w:rPr>
          <w:i/>
          <w:iCs/>
        </w:rPr>
        <w:t>i</w:t>
      </w:r>
      <w:r w:rsidRPr="00C503C2">
        <w:rPr>
          <w:i/>
          <w:iCs/>
        </w:rPr>
        <w:t>d.</w:t>
      </w:r>
      <w:r>
        <w:t xml:space="preserve"> at 4.</w:t>
      </w:r>
    </w:p>
  </w:footnote>
  <w:footnote w:id="22">
    <w:p w14:paraId="7618D266" w14:textId="77777777" w:rsidR="004612B7" w:rsidRDefault="004612B7">
      <w:pPr>
        <w:pStyle w:val="FootnoteText"/>
      </w:pPr>
      <w:r>
        <w:rPr>
          <w:rStyle w:val="FootnoteReference"/>
        </w:rPr>
        <w:footnoteRef/>
      </w:r>
      <w:r>
        <w:t xml:space="preserve"> </w:t>
      </w:r>
      <w:r w:rsidRPr="002B1690">
        <w:rPr>
          <w:i/>
          <w:iCs/>
        </w:rPr>
        <w:t xml:space="preserve">See </w:t>
      </w:r>
      <w:r>
        <w:rPr>
          <w:i/>
          <w:iCs/>
        </w:rPr>
        <w:t>i</w:t>
      </w:r>
      <w:r w:rsidRPr="002B1690">
        <w:rPr>
          <w:i/>
          <w:iCs/>
        </w:rPr>
        <w:t>d.</w:t>
      </w:r>
      <w:r>
        <w:t xml:space="preserve"> at 6.</w:t>
      </w:r>
    </w:p>
  </w:footnote>
  <w:footnote w:id="23">
    <w:p w14:paraId="314C86D2" w14:textId="77777777" w:rsidR="004612B7" w:rsidRDefault="004612B7">
      <w:pPr>
        <w:pStyle w:val="FootnoteText"/>
      </w:pPr>
      <w:r w:rsidRPr="00B423C3">
        <w:rPr>
          <w:rStyle w:val="FootnoteReference"/>
        </w:rPr>
        <w:footnoteRef/>
      </w:r>
      <w:r w:rsidRPr="00B423C3">
        <w:t xml:space="preserve"> </w:t>
      </w:r>
      <w:r w:rsidRPr="00B370F2">
        <w:rPr>
          <w:i/>
          <w:iCs/>
        </w:rPr>
        <w:t xml:space="preserve">See </w:t>
      </w:r>
      <w:r w:rsidRPr="00DB3544">
        <w:t>47 U.S.</w:t>
      </w:r>
      <w:r w:rsidRPr="00B423C3">
        <w:t>C. § 227(b)(2)(C).</w:t>
      </w:r>
      <w:r>
        <w:t xml:space="preserve">  </w:t>
      </w:r>
    </w:p>
  </w:footnote>
  <w:footnote w:id="24">
    <w:p w14:paraId="5FDCF231" w14:textId="77777777" w:rsidR="004612B7" w:rsidRDefault="004612B7">
      <w:pPr>
        <w:pStyle w:val="FootnoteText"/>
      </w:pPr>
      <w:r>
        <w:rPr>
          <w:rStyle w:val="FootnoteReference"/>
        </w:rPr>
        <w:footnoteRef/>
      </w:r>
      <w:r>
        <w:t xml:space="preserve"> </w:t>
      </w:r>
      <w:r w:rsidRPr="002B1690">
        <w:rPr>
          <w:i/>
          <w:iCs/>
        </w:rPr>
        <w:t xml:space="preserve">See </w:t>
      </w:r>
      <w:r>
        <w:rPr>
          <w:i/>
          <w:iCs/>
        </w:rPr>
        <w:t xml:space="preserve">Petition </w:t>
      </w:r>
      <w:r>
        <w:t xml:space="preserve">at 7. </w:t>
      </w:r>
    </w:p>
  </w:footnote>
  <w:footnote w:id="25">
    <w:p w14:paraId="3A441BB7" w14:textId="77777777" w:rsidR="004612B7" w:rsidRDefault="004612B7">
      <w:pPr>
        <w:pStyle w:val="FootnoteText"/>
      </w:pPr>
      <w:r w:rsidRPr="00B423C3">
        <w:rPr>
          <w:rStyle w:val="FootnoteReference"/>
        </w:rPr>
        <w:footnoteRef/>
      </w:r>
      <w:r w:rsidRPr="00B423C3">
        <w:t xml:space="preserve"> </w:t>
      </w:r>
      <w:r w:rsidRPr="00B370F2">
        <w:rPr>
          <w:i/>
          <w:iCs/>
        </w:rPr>
        <w:t>See id.</w:t>
      </w:r>
    </w:p>
  </w:footnote>
  <w:footnote w:id="26">
    <w:p w14:paraId="61E8141E" w14:textId="77777777" w:rsidR="004612B7" w:rsidRDefault="004612B7">
      <w:pPr>
        <w:pStyle w:val="FootnoteText"/>
      </w:pPr>
      <w:r>
        <w:rPr>
          <w:rStyle w:val="FootnoteReference"/>
        </w:rPr>
        <w:footnoteRef/>
      </w:r>
      <w:r>
        <w:t xml:space="preserve"> In 1992, the Commission concluded that cellular carriers need not obtain additional consent from their cellular subscribers prior to initiating autodialed or prerecorded calls for which the cellular subscriber is not charged.  </w:t>
      </w:r>
      <w:r>
        <w:rPr>
          <w:i/>
          <w:iCs/>
        </w:rPr>
        <w:t>Rules and Regulations Implementing the Telephone Consumer Protection Act of 1991</w:t>
      </w:r>
      <w:r>
        <w:t>, CC Docket No. 92-90, Report and Order, 7 FCC Rcd 8752, 8774, para. 45 (1992) (</w:t>
      </w:r>
      <w:r>
        <w:rPr>
          <w:i/>
        </w:rPr>
        <w:t xml:space="preserve">1992 </w:t>
      </w:r>
      <w:r w:rsidRPr="004C69A4">
        <w:rPr>
          <w:i/>
        </w:rPr>
        <w:t>TCPA Order</w:t>
      </w:r>
      <w:r>
        <w:t xml:space="preserve">).  Congress, however, added the Section 227(b)(2)(C) exemption provision to the statute </w:t>
      </w:r>
      <w:r>
        <w:rPr>
          <w:i/>
          <w:iCs/>
        </w:rPr>
        <w:t>after</w:t>
      </w:r>
      <w:r>
        <w:t xml:space="preserve"> this 1992 Commission ruling.  </w:t>
      </w:r>
      <w:r>
        <w:rPr>
          <w:i/>
          <w:iCs/>
        </w:rPr>
        <w:t xml:space="preserve">See </w:t>
      </w:r>
      <w:r>
        <w:t xml:space="preserve">Telephone Disclosure and Dispute Resolution Act, Pub. L. No. 102-556, 106 Stat 4181 (1992). </w:t>
      </w:r>
    </w:p>
  </w:footnote>
  <w:footnote w:id="27">
    <w:p w14:paraId="1F58BE88" w14:textId="77777777" w:rsidR="004612B7" w:rsidRDefault="004612B7">
      <w:pPr>
        <w:pStyle w:val="FootnoteText"/>
      </w:pPr>
      <w:r>
        <w:rPr>
          <w:rStyle w:val="FootnoteReference"/>
        </w:rPr>
        <w:footnoteRef/>
      </w:r>
      <w:r>
        <w:t xml:space="preserve"> </w:t>
      </w:r>
      <w:r>
        <w:rPr>
          <w:i/>
          <w:iCs/>
        </w:rPr>
        <w:t>See</w:t>
      </w:r>
      <w:r>
        <w:t xml:space="preserve"> </w:t>
      </w:r>
      <w:r w:rsidRPr="00C91C78">
        <w:rPr>
          <w:i/>
          <w:iCs/>
        </w:rPr>
        <w:t xml:space="preserve">Consumer and Governmental Affairs Bureau Seeks Comment on Petition for Declaratory Rulemaking from </w:t>
      </w:r>
      <w:r>
        <w:rPr>
          <w:i/>
          <w:iCs/>
        </w:rPr>
        <w:t>Cargo Airlines Association</w:t>
      </w:r>
      <w:r>
        <w:t xml:space="preserve">, CG Docket No. 02-278, Public Notice, </w:t>
      </w:r>
      <w:r>
        <w:rPr>
          <w:rStyle w:val="documentbody"/>
        </w:rPr>
        <w:t>27 FCC Rcd 13028</w:t>
      </w:r>
      <w:r>
        <w:t xml:space="preserve"> (CGB 2012</w:t>
      </w:r>
      <w:r w:rsidRPr="007A469E">
        <w:t>).</w:t>
      </w:r>
      <w:r>
        <w:t xml:space="preserve">  </w:t>
      </w:r>
    </w:p>
  </w:footnote>
  <w:footnote w:id="28">
    <w:p w14:paraId="2A923602" w14:textId="1AB56EEA" w:rsidR="004612B7" w:rsidRDefault="004612B7">
      <w:pPr>
        <w:pStyle w:val="FootnoteText"/>
      </w:pPr>
      <w:r>
        <w:rPr>
          <w:rStyle w:val="FootnoteReference"/>
        </w:rPr>
        <w:footnoteRef/>
      </w:r>
      <w:r>
        <w:t xml:space="preserve"> </w:t>
      </w:r>
      <w:r>
        <w:rPr>
          <w:i/>
          <w:iCs/>
        </w:rPr>
        <w:t>See</w:t>
      </w:r>
      <w:r w:rsidR="00324182">
        <w:t xml:space="preserve"> App.</w:t>
      </w:r>
    </w:p>
  </w:footnote>
  <w:footnote w:id="29">
    <w:p w14:paraId="462EB2F5" w14:textId="597625D1" w:rsidR="004612B7" w:rsidRDefault="004612B7">
      <w:pPr>
        <w:pStyle w:val="FootnoteText"/>
      </w:pPr>
      <w:r>
        <w:rPr>
          <w:rStyle w:val="FootnoteReference"/>
        </w:rPr>
        <w:footnoteRef/>
      </w:r>
      <w:r>
        <w:t xml:space="preserve"> </w:t>
      </w:r>
      <w:r w:rsidRPr="00682A69">
        <w:t xml:space="preserve"> </w:t>
      </w:r>
      <w:r w:rsidRPr="00742AC1">
        <w:rPr>
          <w:i/>
        </w:rPr>
        <w:t xml:space="preserve">See </w:t>
      </w:r>
      <w:r w:rsidRPr="00062B3C">
        <w:t>CAA Notice of Ex</w:t>
      </w:r>
      <w:r>
        <w:t xml:space="preserve"> </w:t>
      </w:r>
      <w:r w:rsidRPr="00062B3C">
        <w:t>Parte Presentation</w:t>
      </w:r>
      <w:r>
        <w:rPr>
          <w:i/>
          <w:iCs/>
        </w:rPr>
        <w:t xml:space="preserve">, </w:t>
      </w:r>
      <w:r>
        <w:t>CG Docket No. 02-278 (Nov. 19, 2013).</w:t>
      </w:r>
    </w:p>
  </w:footnote>
  <w:footnote w:id="30">
    <w:p w14:paraId="08943EBE" w14:textId="77777777" w:rsidR="004612B7" w:rsidRDefault="004612B7">
      <w:pPr>
        <w:pStyle w:val="FootnoteText"/>
      </w:pPr>
      <w:r>
        <w:rPr>
          <w:rStyle w:val="FootnoteReference"/>
        </w:rPr>
        <w:footnoteRef/>
      </w:r>
      <w:r>
        <w:t xml:space="preserve"> </w:t>
      </w:r>
      <w:r w:rsidRPr="00B953D9">
        <w:rPr>
          <w:i/>
          <w:iCs/>
        </w:rPr>
        <w:t>See Consumer and Governmental Affairs Burea</w:t>
      </w:r>
      <w:r>
        <w:rPr>
          <w:i/>
          <w:iCs/>
        </w:rPr>
        <w:t xml:space="preserve">u Seeks Comment on Revised TCPA Exemption Proposal From Cargo </w:t>
      </w:r>
      <w:r w:rsidRPr="00B953D9">
        <w:rPr>
          <w:i/>
          <w:iCs/>
        </w:rPr>
        <w:t>Airlines Association</w:t>
      </w:r>
      <w:r w:rsidRPr="00B953D9">
        <w:t>, CG D</w:t>
      </w:r>
      <w:r>
        <w:t>ocket No. 02-278, Public Notice, DA 13-2312 (Dec. 3, 2013).</w:t>
      </w:r>
    </w:p>
  </w:footnote>
  <w:footnote w:id="31">
    <w:p w14:paraId="3A37BB6B" w14:textId="77777777" w:rsidR="004612B7" w:rsidRPr="00E02273" w:rsidRDefault="004612B7">
      <w:pPr>
        <w:pStyle w:val="FootnoteText"/>
      </w:pPr>
      <w:r>
        <w:rPr>
          <w:rStyle w:val="FootnoteReference"/>
        </w:rPr>
        <w:footnoteRef/>
      </w:r>
      <w:r>
        <w:t xml:space="preserve"> </w:t>
      </w:r>
      <w:r>
        <w:rPr>
          <w:i/>
        </w:rPr>
        <w:t xml:space="preserve">See </w:t>
      </w:r>
      <w:r w:rsidRPr="00062B3C">
        <w:t>CAA Notice of Ex</w:t>
      </w:r>
      <w:r>
        <w:t xml:space="preserve"> </w:t>
      </w:r>
      <w:r w:rsidRPr="00062B3C">
        <w:t>Parte Presentation</w:t>
      </w:r>
      <w:r>
        <w:rPr>
          <w:i/>
          <w:iCs/>
        </w:rPr>
        <w:t xml:space="preserve">, </w:t>
      </w:r>
      <w:r>
        <w:t>CG Docket No. 02-278, at 1-3 (Nov. 19, 2013).</w:t>
      </w:r>
    </w:p>
  </w:footnote>
  <w:footnote w:id="32">
    <w:p w14:paraId="071DBAC9" w14:textId="77777777" w:rsidR="004612B7" w:rsidRDefault="004612B7">
      <w:pPr>
        <w:pStyle w:val="FootnoteText"/>
      </w:pPr>
      <w:r>
        <w:rPr>
          <w:rStyle w:val="FootnoteReference"/>
        </w:rPr>
        <w:footnoteRef/>
      </w:r>
      <w:r>
        <w:t xml:space="preserve"> </w:t>
      </w:r>
      <w:r>
        <w:rPr>
          <w:i/>
          <w:iCs/>
        </w:rPr>
        <w:t xml:space="preserve">See Petition at </w:t>
      </w:r>
      <w:r>
        <w:t>4.</w:t>
      </w:r>
      <w:r>
        <w:rPr>
          <w:i/>
          <w:iCs/>
        </w:rPr>
        <w:t xml:space="preserve"> </w:t>
      </w:r>
    </w:p>
  </w:footnote>
  <w:footnote w:id="33">
    <w:p w14:paraId="24B1003B" w14:textId="3896784F" w:rsidR="004612B7" w:rsidRDefault="004612B7" w:rsidP="00C91928">
      <w:pPr>
        <w:spacing w:after="120"/>
      </w:pPr>
      <w:r>
        <w:rPr>
          <w:rStyle w:val="FootnoteReference"/>
        </w:rPr>
        <w:footnoteRef/>
      </w:r>
      <w:r>
        <w:t xml:space="preserve"> </w:t>
      </w:r>
      <w:r w:rsidRPr="00782207">
        <w:rPr>
          <w:sz w:val="20"/>
        </w:rPr>
        <w:t xml:space="preserve">Specifically, </w:t>
      </w:r>
      <w:r w:rsidRPr="00B12E79">
        <w:rPr>
          <w:sz w:val="20"/>
        </w:rPr>
        <w:t xml:space="preserve">the requirements in 47 C.F.R. § 64.1200(a)(1)(iii) closely track those in 47 U.S.C. § 227(b)(1)(iii).   </w:t>
      </w:r>
      <w:r w:rsidRPr="00B12E79">
        <w:rPr>
          <w:i/>
          <w:iCs/>
          <w:sz w:val="20"/>
        </w:rPr>
        <w:t>See also</w:t>
      </w:r>
      <w:r w:rsidRPr="00782207">
        <w:rPr>
          <w:i/>
          <w:iCs/>
          <w:sz w:val="20"/>
        </w:rPr>
        <w:t xml:space="preserve"> </w:t>
      </w:r>
      <w:r w:rsidRPr="00B12E79">
        <w:rPr>
          <w:i/>
          <w:iCs/>
          <w:sz w:val="20"/>
        </w:rPr>
        <w:t>Rules and</w:t>
      </w:r>
      <w:r w:rsidRPr="00E70FE6">
        <w:rPr>
          <w:i/>
          <w:iCs/>
          <w:sz w:val="20"/>
        </w:rPr>
        <w:t xml:space="preserve"> Regulations Implementing the Telephone Consumer Protection Act of 1991</w:t>
      </w:r>
      <w:r w:rsidRPr="00E70FE6">
        <w:rPr>
          <w:sz w:val="20"/>
        </w:rPr>
        <w:t xml:space="preserve">, CC Docket No. 92-90, </w:t>
      </w:r>
      <w:r>
        <w:rPr>
          <w:sz w:val="20"/>
        </w:rPr>
        <w:t>Notice of Proposed Rulemaking</w:t>
      </w:r>
      <w:r w:rsidRPr="00E70FE6">
        <w:rPr>
          <w:sz w:val="20"/>
        </w:rPr>
        <w:t xml:space="preserve"> </w:t>
      </w:r>
      <w:r w:rsidRPr="004C69A4">
        <w:rPr>
          <w:sz w:val="20"/>
        </w:rPr>
        <w:t>,</w:t>
      </w:r>
      <w:r>
        <w:rPr>
          <w:sz w:val="20"/>
        </w:rPr>
        <w:t xml:space="preserve"> </w:t>
      </w:r>
      <w:r w:rsidRPr="004C69A4">
        <w:rPr>
          <w:sz w:val="20"/>
        </w:rPr>
        <w:t>7 FCC Rcd</w:t>
      </w:r>
      <w:r>
        <w:rPr>
          <w:sz w:val="20"/>
        </w:rPr>
        <w:t xml:space="preserve"> at</w:t>
      </w:r>
      <w:r w:rsidRPr="004C69A4">
        <w:rPr>
          <w:sz w:val="20"/>
        </w:rPr>
        <w:t xml:space="preserve"> </w:t>
      </w:r>
      <w:r>
        <w:rPr>
          <w:sz w:val="20"/>
        </w:rPr>
        <w:t xml:space="preserve">2,376, at </w:t>
      </w:r>
      <w:r w:rsidRPr="004C69A4">
        <w:rPr>
          <w:sz w:val="20"/>
        </w:rPr>
        <w:t>2737 para. 8.</w:t>
      </w:r>
      <w:r>
        <w:rPr>
          <w:sz w:val="20"/>
        </w:rPr>
        <w:t xml:space="preserve"> (1992)</w:t>
      </w:r>
      <w:r w:rsidRPr="004C69A4">
        <w:rPr>
          <w:sz w:val="20"/>
        </w:rPr>
        <w:t xml:space="preserve"> (noting that the proposed rules “follow closely the language of the TCPA”); </w:t>
      </w:r>
      <w:r>
        <w:rPr>
          <w:i/>
          <w:sz w:val="20"/>
        </w:rPr>
        <w:t xml:space="preserve">1992 </w:t>
      </w:r>
      <w:r w:rsidRPr="00237469">
        <w:rPr>
          <w:i/>
          <w:iCs/>
          <w:sz w:val="20"/>
        </w:rPr>
        <w:t>TCPA Order</w:t>
      </w:r>
      <w:r w:rsidRPr="004C69A4">
        <w:rPr>
          <w:sz w:val="20"/>
        </w:rPr>
        <w:t xml:space="preserve">, 7 FCC Rcd </w:t>
      </w:r>
      <w:r>
        <w:rPr>
          <w:sz w:val="20"/>
        </w:rPr>
        <w:t>at</w:t>
      </w:r>
      <w:r w:rsidRPr="004C69A4">
        <w:rPr>
          <w:sz w:val="20"/>
        </w:rPr>
        <w:t xml:space="preserve"> 8754-55, para. 5 (noting that the Commission adopted the rules “as proposed”).</w:t>
      </w:r>
      <w:r>
        <w:rPr>
          <w:sz w:val="20"/>
        </w:rPr>
        <w:t xml:space="preserve">  </w:t>
      </w:r>
    </w:p>
  </w:footnote>
  <w:footnote w:id="34">
    <w:p w14:paraId="3562A61C" w14:textId="77777777" w:rsidR="004612B7" w:rsidRDefault="004612B7">
      <w:pPr>
        <w:pStyle w:val="FootnoteText"/>
      </w:pPr>
      <w:r>
        <w:rPr>
          <w:rStyle w:val="FootnoteReference"/>
        </w:rPr>
        <w:footnoteRef/>
      </w:r>
      <w:r>
        <w:t xml:space="preserve"> T</w:t>
      </w:r>
      <w:r w:rsidRPr="009A1B15">
        <w:t xml:space="preserve">he </w:t>
      </w:r>
      <w:r>
        <w:t>Commission may waive its rules for good cause.  47 C.F.R. § 1.3.  To the extent it is necessary to do so in light of the statutory exemption granted herein, we find good cause exists to waive the corresponding requirements contained in</w:t>
      </w:r>
      <w:r w:rsidRPr="00AE3BED">
        <w:rPr>
          <w:color w:val="000000"/>
          <w:szCs w:val="22"/>
        </w:rPr>
        <w:t xml:space="preserve"> section 64.1200(a)(1)(iii) of our rules, 47 C.F.R. § 64.1200(a)(1)(iii), to the same extent and on the same conditions as the exemption granted herein</w:t>
      </w:r>
      <w:r>
        <w:rPr>
          <w:color w:val="000000"/>
          <w:szCs w:val="22"/>
        </w:rPr>
        <w:t>.</w:t>
      </w:r>
      <w:r>
        <w:t xml:space="preserve"> </w:t>
      </w:r>
    </w:p>
  </w:footnote>
  <w:footnote w:id="35">
    <w:p w14:paraId="248B4F60" w14:textId="77777777" w:rsidR="004612B7" w:rsidRDefault="004612B7" w:rsidP="004D040D">
      <w:pPr>
        <w:pStyle w:val="FootnoteText"/>
      </w:pPr>
      <w:r>
        <w:rPr>
          <w:rStyle w:val="FootnoteReference"/>
        </w:rPr>
        <w:footnoteRef/>
      </w:r>
      <w:r>
        <w:t xml:space="preserve"> 47 U.S.C. § 227(b)(2)(C).</w:t>
      </w:r>
    </w:p>
  </w:footnote>
  <w:footnote w:id="36">
    <w:p w14:paraId="0F70C921" w14:textId="6910FD4D" w:rsidR="004612B7" w:rsidRDefault="004612B7">
      <w:pPr>
        <w:pStyle w:val="FootnoteText"/>
      </w:pPr>
      <w:r>
        <w:rPr>
          <w:rStyle w:val="FootnoteReference"/>
        </w:rPr>
        <w:footnoteRef/>
      </w:r>
      <w:r>
        <w:t xml:space="preserve"> </w:t>
      </w:r>
      <w:r>
        <w:rPr>
          <w:i/>
          <w:iCs/>
        </w:rPr>
        <w:t xml:space="preserve">See </w:t>
      </w:r>
      <w:r w:rsidRPr="00C278CE">
        <w:t xml:space="preserve">CAA </w:t>
      </w:r>
      <w:r w:rsidRPr="00742AC1">
        <w:t xml:space="preserve">Ex Parte Presentation, CG Docket No. 02-278, </w:t>
      </w:r>
      <w:r w:rsidRPr="00C278CE">
        <w:t>at 2</w:t>
      </w:r>
      <w:r w:rsidRPr="00742AC1">
        <w:t xml:space="preserve"> (Nov. 19, 2013)</w:t>
      </w:r>
      <w:r w:rsidRPr="00C278CE">
        <w:t>.</w:t>
      </w:r>
    </w:p>
  </w:footnote>
  <w:footnote w:id="37">
    <w:p w14:paraId="74E0B3C1" w14:textId="00299E80" w:rsidR="004612B7" w:rsidRDefault="004612B7">
      <w:pPr>
        <w:pStyle w:val="FootnoteText"/>
      </w:pPr>
      <w:r>
        <w:rPr>
          <w:rStyle w:val="FootnoteReference"/>
        </w:rPr>
        <w:footnoteRef/>
      </w:r>
      <w:r>
        <w:t xml:space="preserve"> </w:t>
      </w:r>
      <w:r>
        <w:rPr>
          <w:i/>
          <w:iCs/>
        </w:rPr>
        <w:t>See</w:t>
      </w:r>
      <w:r w:rsidRPr="005C7278">
        <w:rPr>
          <w:i/>
        </w:rPr>
        <w:t xml:space="preserve"> </w:t>
      </w:r>
      <w:r w:rsidRPr="00062B3C">
        <w:t>CAA Notice of Ex</w:t>
      </w:r>
      <w:r>
        <w:t xml:space="preserve"> </w:t>
      </w:r>
      <w:r w:rsidRPr="00062B3C">
        <w:t>Parte Presentation</w:t>
      </w:r>
      <w:r>
        <w:rPr>
          <w:i/>
          <w:iCs/>
        </w:rPr>
        <w:t xml:space="preserve">, </w:t>
      </w:r>
      <w:r>
        <w:t xml:space="preserve">CG Docket No. 02-278, at 2 (Jan. 10, 2014) </w:t>
      </w:r>
    </w:p>
  </w:footnote>
  <w:footnote w:id="38">
    <w:p w14:paraId="6B5CD8DD" w14:textId="77777777" w:rsidR="004612B7" w:rsidRDefault="004612B7">
      <w:pPr>
        <w:pStyle w:val="FootnoteText"/>
      </w:pPr>
      <w:r>
        <w:rPr>
          <w:rStyle w:val="FootnoteReference"/>
        </w:rPr>
        <w:footnoteRef/>
      </w:r>
      <w:r>
        <w:t xml:space="preserve"> </w:t>
      </w:r>
      <w:r w:rsidRPr="001B1271">
        <w:rPr>
          <w:i/>
          <w:iCs/>
        </w:rPr>
        <w:t>See</w:t>
      </w:r>
      <w:r>
        <w:t xml:space="preserve"> </w:t>
      </w:r>
      <w:r>
        <w:rPr>
          <w:i/>
          <w:iCs/>
        </w:rPr>
        <w:t xml:space="preserve">Rules and Regulations Implementing the Telephone Consumer Protection Act of 1991, </w:t>
      </w:r>
      <w:r w:rsidRPr="00002459">
        <w:t>Report and Order</w:t>
      </w:r>
      <w:r>
        <w:t>, CG Docket No. 02-278 27 FCC Rcd 1830, 1840 para. 25 (2012) (stating that “</w:t>
      </w:r>
      <w:r w:rsidRPr="005539EF">
        <w:t>the costs of receiving autodialed or prerecorded telemarketing calls to wireless numbers often rests with the wireless subscriber, even in cases where the amount of time consumed by the calls is deducted from a bucket of minutes</w:t>
      </w:r>
      <w:r>
        <w:t>”).</w:t>
      </w:r>
    </w:p>
  </w:footnote>
  <w:footnote w:id="39">
    <w:p w14:paraId="63F889E6" w14:textId="77777777" w:rsidR="004612B7" w:rsidRDefault="004612B7">
      <w:pPr>
        <w:pStyle w:val="FootnoteText"/>
      </w:pPr>
      <w:r>
        <w:rPr>
          <w:rStyle w:val="FootnoteReference"/>
        </w:rPr>
        <w:footnoteRef/>
      </w:r>
      <w:r>
        <w:t xml:space="preserve"> </w:t>
      </w:r>
      <w:r>
        <w:rPr>
          <w:i/>
        </w:rPr>
        <w:t xml:space="preserve">See </w:t>
      </w:r>
      <w:r w:rsidRPr="00062B3C">
        <w:t>CAA Notice of Ex</w:t>
      </w:r>
      <w:r>
        <w:t xml:space="preserve"> </w:t>
      </w:r>
      <w:r w:rsidRPr="00062B3C">
        <w:t>Parte Presentation</w:t>
      </w:r>
      <w:r>
        <w:rPr>
          <w:i/>
          <w:iCs/>
        </w:rPr>
        <w:t xml:space="preserve">, </w:t>
      </w:r>
      <w:r>
        <w:t>CG Docket No. 02-278, at 1-3 (Nov. 19, 2013).</w:t>
      </w:r>
    </w:p>
  </w:footnote>
  <w:footnote w:id="40">
    <w:p w14:paraId="2FD37F0E" w14:textId="156ED13E" w:rsidR="00AB5748" w:rsidRDefault="00AB5748">
      <w:pPr>
        <w:pStyle w:val="FootnoteText"/>
      </w:pPr>
      <w:r>
        <w:rPr>
          <w:rStyle w:val="FootnoteReference"/>
        </w:rPr>
        <w:footnoteRef/>
      </w:r>
      <w:r>
        <w:t xml:space="preserve"> In other words, </w:t>
      </w:r>
      <w:r w:rsidR="00E363AC">
        <w:t>failing to comply with a condition with respect to one call does not affect the exemption for any other call; loss of exempt-status applies on a</w:t>
      </w:r>
      <w:r w:rsidR="008C2292">
        <w:t>n</w:t>
      </w:r>
      <w:r w:rsidR="00E363AC">
        <w:t xml:space="preserve"> individual-text-by-individual-text basis.</w:t>
      </w:r>
    </w:p>
  </w:footnote>
  <w:footnote w:id="41">
    <w:p w14:paraId="74C08A0B" w14:textId="61408D65" w:rsidR="00BE114C" w:rsidRPr="00BE114C" w:rsidRDefault="00BE114C">
      <w:pPr>
        <w:pStyle w:val="FootnoteText"/>
      </w:pPr>
      <w:r>
        <w:rPr>
          <w:rStyle w:val="FootnoteReference"/>
        </w:rPr>
        <w:footnoteRef/>
      </w:r>
      <w:r>
        <w:t xml:space="preserve"> </w:t>
      </w:r>
      <w:r>
        <w:rPr>
          <w:i/>
        </w:rPr>
        <w:t xml:space="preserve">See </w:t>
      </w:r>
      <w:r w:rsidRPr="00BE114C">
        <w:t>47 U.S.</w:t>
      </w:r>
      <w:r>
        <w:t xml:space="preserve">C. </w:t>
      </w:r>
      <w:r w:rsidRPr="008C2292">
        <w:t>§ 503.</w:t>
      </w:r>
    </w:p>
  </w:footnote>
  <w:footnote w:id="42">
    <w:p w14:paraId="50CF20E2" w14:textId="784D918C" w:rsidR="004612B7" w:rsidRDefault="004612B7" w:rsidP="004D040D">
      <w:pPr>
        <w:pStyle w:val="FootnoteText"/>
      </w:pPr>
      <w:r>
        <w:rPr>
          <w:rStyle w:val="FootnoteReference"/>
        </w:rPr>
        <w:footnoteRef/>
      </w:r>
      <w:r>
        <w:t xml:space="preserve"> </w:t>
      </w:r>
      <w:r>
        <w:rPr>
          <w:i/>
          <w:iCs/>
        </w:rPr>
        <w:t>See</w:t>
      </w:r>
      <w:r>
        <w:t xml:space="preserve"> </w:t>
      </w:r>
      <w:r>
        <w:rPr>
          <w:i/>
        </w:rPr>
        <w:t xml:space="preserve">id. </w:t>
      </w:r>
      <w:r>
        <w:t>at 2.</w:t>
      </w:r>
      <w:r w:rsidDel="00312277">
        <w:t xml:space="preserve"> </w:t>
      </w:r>
    </w:p>
  </w:footnote>
  <w:footnote w:id="43">
    <w:p w14:paraId="352D6042" w14:textId="77777777" w:rsidR="004612B7" w:rsidRDefault="004612B7">
      <w:pPr>
        <w:pStyle w:val="FootnoteText"/>
      </w:pPr>
      <w:r>
        <w:rPr>
          <w:rStyle w:val="FootnoteReference"/>
        </w:rPr>
        <w:footnoteRef/>
      </w:r>
      <w:r>
        <w:t xml:space="preserve"> </w:t>
      </w:r>
      <w:r>
        <w:rPr>
          <w:i/>
          <w:iCs/>
        </w:rPr>
        <w:t xml:space="preserve">See </w:t>
      </w:r>
      <w:r>
        <w:rPr>
          <w:iCs/>
        </w:rPr>
        <w:t xml:space="preserve">Petition </w:t>
      </w:r>
      <w:r>
        <w:t>at 3 (for packages requiring a signature, pre-delivery notification to residential phone improves odds of successful delivery by 30%).</w:t>
      </w:r>
    </w:p>
  </w:footnote>
  <w:footnote w:id="44">
    <w:p w14:paraId="15237506" w14:textId="22879431" w:rsidR="001A423D" w:rsidRPr="001A423D" w:rsidRDefault="001A423D">
      <w:pPr>
        <w:pStyle w:val="FootnoteText"/>
      </w:pPr>
      <w:r>
        <w:rPr>
          <w:rStyle w:val="FootnoteReference"/>
        </w:rPr>
        <w:footnoteRef/>
      </w:r>
      <w:r>
        <w:t xml:space="preserve"> </w:t>
      </w:r>
      <w:r w:rsidR="00EA0F4A">
        <w:t xml:space="preserve">At least one major member of the delivery industry, UPS, typically makes three delivery attempts.  </w:t>
      </w:r>
      <w:r>
        <w:rPr>
          <w:i/>
        </w:rPr>
        <w:t>See</w:t>
      </w:r>
      <w:r>
        <w:t xml:space="preserve"> </w:t>
      </w:r>
      <w:hyperlink r:id="rId1" w:history="1">
        <w:r w:rsidRPr="00B16C45">
          <w:rPr>
            <w:rStyle w:val="Hyperlink"/>
          </w:rPr>
          <w:t>http://www.ups.com/content/us/en/resources/service/infonotice.html</w:t>
        </w:r>
      </w:hyperlink>
      <w:r>
        <w:t xml:space="preserve"> (last vis</w:t>
      </w:r>
      <w:r w:rsidR="00722C85">
        <w:t>i</w:t>
      </w:r>
      <w:r>
        <w:t>ted March 4, 2014).</w:t>
      </w:r>
    </w:p>
  </w:footnote>
  <w:footnote w:id="45">
    <w:p w14:paraId="4BD6A893" w14:textId="063D531C" w:rsidR="00B50C54" w:rsidRPr="005F7EE9" w:rsidRDefault="00B50C54">
      <w:pPr>
        <w:pStyle w:val="FootnoteText"/>
      </w:pPr>
      <w:r>
        <w:rPr>
          <w:rStyle w:val="FootnoteReference"/>
        </w:rPr>
        <w:footnoteRef/>
      </w:r>
      <w:r>
        <w:t xml:space="preserve"> There must, of course, be no charge to the consumer for such subsequent notifications.</w:t>
      </w:r>
      <w:r w:rsidR="005F7EE9">
        <w:t xml:space="preserve">  </w:t>
      </w:r>
      <w:r w:rsidR="005F7EE9">
        <w:rPr>
          <w:i/>
        </w:rPr>
        <w:t xml:space="preserve">See </w:t>
      </w:r>
      <w:r w:rsidR="005F7EE9">
        <w:t xml:space="preserve">para. 21, </w:t>
      </w:r>
      <w:r w:rsidR="005F7EE9">
        <w:rPr>
          <w:i/>
        </w:rPr>
        <w:t>infra</w:t>
      </w:r>
      <w:r w:rsidR="005F7EE9">
        <w:t>.</w:t>
      </w:r>
    </w:p>
  </w:footnote>
  <w:footnote w:id="46">
    <w:p w14:paraId="28D29BDF" w14:textId="77777777" w:rsidR="004612B7" w:rsidRDefault="004612B7">
      <w:pPr>
        <w:pStyle w:val="FootnoteText"/>
      </w:pPr>
      <w:r>
        <w:rPr>
          <w:rStyle w:val="FootnoteReference"/>
        </w:rPr>
        <w:footnoteRef/>
      </w:r>
      <w:r>
        <w:t xml:space="preserve"> This approach is consistent with the Commission’s rules for consumer opt out of prerecorded telemarketing calls.  </w:t>
      </w:r>
      <w:r>
        <w:rPr>
          <w:i/>
          <w:iCs/>
        </w:rPr>
        <w:t xml:space="preserve">See </w:t>
      </w:r>
      <w:r>
        <w:t xml:space="preserve">47 C.F.R. </w:t>
      </w:r>
      <w:r w:rsidRPr="00AF71FF">
        <w:t>§</w:t>
      </w:r>
      <w:r>
        <w:t xml:space="preserve"> 64.1200(b)(3) (requiring, among other things, that prerecorded telemarketing messages left as a voicemail provide a toll-free call-back number for opt-out purposes).</w:t>
      </w:r>
    </w:p>
  </w:footnote>
  <w:footnote w:id="47">
    <w:p w14:paraId="32B26FF6" w14:textId="4BD26191" w:rsidR="004612B7" w:rsidRDefault="004612B7">
      <w:pPr>
        <w:pStyle w:val="FootnoteText"/>
      </w:pPr>
      <w:r>
        <w:rPr>
          <w:rStyle w:val="FootnoteReference"/>
        </w:rPr>
        <w:footnoteRef/>
      </w:r>
      <w:r>
        <w:t xml:space="preserve"> No commenter proposes a timeframe either.</w:t>
      </w:r>
    </w:p>
  </w:footnote>
  <w:footnote w:id="48">
    <w:p w14:paraId="027E01D1" w14:textId="77777777" w:rsidR="004612B7" w:rsidRDefault="004612B7">
      <w:pPr>
        <w:pStyle w:val="FootnoteText"/>
      </w:pPr>
      <w:r>
        <w:rPr>
          <w:rStyle w:val="FootnoteReference"/>
        </w:rPr>
        <w:footnoteRef/>
      </w:r>
      <w:r>
        <w:t xml:space="preserve"> </w:t>
      </w:r>
      <w:r w:rsidRPr="00AF71FF">
        <w:t>47 C.F.R. § 64.1200(d)(3)</w:t>
      </w:r>
      <w:r>
        <w:t>.</w:t>
      </w:r>
    </w:p>
  </w:footnote>
  <w:footnote w:id="49">
    <w:p w14:paraId="37187369" w14:textId="77777777" w:rsidR="004612B7" w:rsidRDefault="004612B7">
      <w:pPr>
        <w:pStyle w:val="FootnoteText"/>
      </w:pPr>
      <w:r>
        <w:rPr>
          <w:rStyle w:val="FootnoteReference"/>
        </w:rPr>
        <w:footnoteRef/>
      </w:r>
      <w:r>
        <w:t xml:space="preserve"> </w:t>
      </w:r>
      <w:r w:rsidRPr="006720D4">
        <w:rPr>
          <w:i/>
        </w:rPr>
        <w:t>Id.</w:t>
      </w:r>
    </w:p>
  </w:footnote>
  <w:footnote w:id="50">
    <w:p w14:paraId="40105DBC" w14:textId="77777777" w:rsidR="004612B7" w:rsidRDefault="004612B7" w:rsidP="00365769">
      <w:pPr>
        <w:pStyle w:val="FootnoteText"/>
      </w:pPr>
      <w:r>
        <w:rPr>
          <w:rStyle w:val="FootnoteReference"/>
        </w:rPr>
        <w:footnoteRef/>
      </w:r>
      <w:r>
        <w:t xml:space="preserve"> </w:t>
      </w:r>
      <w:r>
        <w:rPr>
          <w:i/>
          <w:iCs/>
        </w:rPr>
        <w:t>Cf.</w:t>
      </w:r>
      <w:r w:rsidRPr="00EF54E5">
        <w:rPr>
          <w:i/>
          <w:iCs/>
        </w:rPr>
        <w:t>, e.g.</w:t>
      </w:r>
      <w:r w:rsidRPr="00C91928">
        <w:t>,</w:t>
      </w:r>
      <w:r w:rsidRPr="00E363AC">
        <w:t xml:space="preserve"> </w:t>
      </w:r>
      <w:r>
        <w:t>H.R. Rep. 102-317 at 17 (1991) (“[t]he restriction…does not apply when the called party has provided the telephone number of such a line to the caller for use in normal business communications.”).</w:t>
      </w:r>
    </w:p>
  </w:footnote>
  <w:footnote w:id="51">
    <w:p w14:paraId="4EE8D6EE" w14:textId="77777777" w:rsidR="004612B7" w:rsidRDefault="004612B7" w:rsidP="004D040D">
      <w:pPr>
        <w:pStyle w:val="FootnoteText"/>
      </w:pPr>
      <w:r>
        <w:rPr>
          <w:rStyle w:val="FootnoteReference"/>
        </w:rPr>
        <w:footnoteRef/>
      </w:r>
      <w:r>
        <w:t xml:space="preserve"> </w:t>
      </w:r>
      <w:r w:rsidRPr="00840A40">
        <w:t>Reply Comments of GroupMe at 4-5</w:t>
      </w:r>
      <w:r>
        <w:t>.</w:t>
      </w:r>
    </w:p>
  </w:footnote>
  <w:footnote w:id="52">
    <w:p w14:paraId="558A35F0" w14:textId="77777777" w:rsidR="004612B7" w:rsidRDefault="004612B7" w:rsidP="00365769">
      <w:pPr>
        <w:pStyle w:val="FootnoteText"/>
      </w:pPr>
      <w:r>
        <w:rPr>
          <w:rStyle w:val="FootnoteReference"/>
        </w:rPr>
        <w:footnoteRef/>
      </w:r>
      <w:r>
        <w:t xml:space="preserve"> Between January 1, 2012 and December 31, 2013, the Commission </w:t>
      </w:r>
      <w:r w:rsidRPr="009E2BD8">
        <w:t>received no complaints</w:t>
      </w:r>
      <w:r>
        <w:t xml:space="preserve"> regarding legitimate notification calls to residential </w:t>
      </w:r>
      <w:r w:rsidRPr="008A7930">
        <w:t>phones</w:t>
      </w:r>
      <w:r>
        <w:t>, and only one to a mobile phone</w:t>
      </w:r>
      <w:r w:rsidRPr="000E5D5D">
        <w:t>.</w:t>
      </w:r>
      <w:r>
        <w:t xml:space="preserve">  The complaints we did receive were from consumers concerned about calls from scammers that appear to be posing as package delivery companies.  We also received one complaint from a wireless consumer, but regarding delivery of a package to another consumer at an address over 100 miles away.</w:t>
      </w:r>
      <w:r>
        <w:rPr>
          <w:rStyle w:val="FootnoteReference"/>
        </w:rPr>
        <w:footnoteRef/>
      </w:r>
      <w:r>
        <w:t xml:space="preserve"> </w:t>
      </w:r>
    </w:p>
  </w:footnote>
  <w:footnote w:id="53">
    <w:p w14:paraId="32440AFC" w14:textId="3E4E03D4" w:rsidR="004612B7" w:rsidRPr="0063308A" w:rsidRDefault="004612B7" w:rsidP="004D040D">
      <w:pPr>
        <w:pStyle w:val="FootnoteText"/>
        <w:rPr>
          <w:b/>
        </w:rPr>
      </w:pPr>
      <w:r>
        <w:rPr>
          <w:rStyle w:val="FootnoteReference"/>
        </w:rPr>
        <w:footnoteRef/>
      </w:r>
      <w:r>
        <w:t xml:space="preserve"> Package theft at residences is a significant factor in seeking this exemption. </w:t>
      </w:r>
      <w:r w:rsidR="00E363AC">
        <w:t xml:space="preserve"> </w:t>
      </w:r>
      <w:r w:rsidRPr="00E70FE6">
        <w:rPr>
          <w:i/>
          <w:iCs/>
        </w:rPr>
        <w:t>See</w:t>
      </w:r>
      <w:r>
        <w:t xml:space="preserve"> Petition at 2-3, nn.6-8 (citing reports of package theft).</w:t>
      </w:r>
    </w:p>
  </w:footnote>
  <w:footnote w:id="54">
    <w:p w14:paraId="7766345E" w14:textId="77777777" w:rsidR="004612B7" w:rsidRDefault="004612B7">
      <w:pPr>
        <w:pStyle w:val="FootnoteText"/>
      </w:pPr>
      <w:r>
        <w:rPr>
          <w:rStyle w:val="FootnoteReference"/>
        </w:rPr>
        <w:footnoteRef/>
      </w:r>
      <w:r>
        <w:t xml:space="preserve"> </w:t>
      </w:r>
      <w:r>
        <w:rPr>
          <w:i/>
          <w:iCs/>
        </w:rPr>
        <w:t xml:space="preserve">See Petition </w:t>
      </w:r>
      <w:r>
        <w:t>at 3.</w:t>
      </w:r>
    </w:p>
  </w:footnote>
  <w:footnote w:id="55">
    <w:p w14:paraId="26F3FDA6" w14:textId="77777777" w:rsidR="004612B7" w:rsidRDefault="004612B7">
      <w:pPr>
        <w:pStyle w:val="FootnoteText"/>
      </w:pPr>
      <w:r>
        <w:rPr>
          <w:rStyle w:val="FootnoteReference"/>
        </w:rPr>
        <w:footnoteRef/>
      </w:r>
      <w:r>
        <w:t xml:space="preserve"> </w:t>
      </w:r>
      <w:r>
        <w:rPr>
          <w:i/>
          <w:iCs/>
        </w:rPr>
        <w:t xml:space="preserve">See </w:t>
      </w:r>
      <w:r w:rsidRPr="00312277">
        <w:t xml:space="preserve">CAA Notice of Ex Parte Presentation, CG Docket No. 02-278, at </w:t>
      </w:r>
      <w:r>
        <w:t>11</w:t>
      </w:r>
      <w:r w:rsidRPr="00312277">
        <w:t xml:space="preserve"> (</w:t>
      </w:r>
      <w:r>
        <w:t>Feb</w:t>
      </w:r>
      <w:r w:rsidRPr="00312277">
        <w:t xml:space="preserve">. </w:t>
      </w:r>
      <w:r>
        <w:t>6</w:t>
      </w:r>
      <w:r w:rsidRPr="00312277">
        <w:t>, 201</w:t>
      </w:r>
      <w:r>
        <w:t>3</w:t>
      </w:r>
      <w:r w:rsidRPr="00312277">
        <w:t>)</w:t>
      </w:r>
      <w:r>
        <w:t>.</w:t>
      </w:r>
    </w:p>
  </w:footnote>
  <w:footnote w:id="56">
    <w:p w14:paraId="79569AC0" w14:textId="77777777" w:rsidR="004612B7" w:rsidRDefault="004612B7" w:rsidP="00365769">
      <w:pPr>
        <w:pStyle w:val="FootnoteText"/>
      </w:pPr>
      <w:r>
        <w:rPr>
          <w:rStyle w:val="FootnoteReference"/>
        </w:rPr>
        <w:footnoteRef/>
      </w:r>
      <w:r>
        <w:t xml:space="preserve"> </w:t>
      </w:r>
      <w:r>
        <w:rPr>
          <w:i/>
          <w:iCs/>
        </w:rPr>
        <w:t xml:space="preserve">See </w:t>
      </w:r>
      <w:r w:rsidRPr="00FE15E3">
        <w:rPr>
          <w:i/>
          <w:iCs/>
        </w:rPr>
        <w:t>Petition</w:t>
      </w:r>
      <w:r>
        <w:rPr>
          <w:i/>
          <w:iCs/>
        </w:rPr>
        <w:t xml:space="preserve"> </w:t>
      </w:r>
      <w:r w:rsidRPr="00BA40E7">
        <w:t xml:space="preserve">at </w:t>
      </w:r>
      <w:r>
        <w:t xml:space="preserve">8-9; </w:t>
      </w:r>
      <w:r w:rsidRPr="00062B3C">
        <w:t>CAA Notice of Ex</w:t>
      </w:r>
      <w:r>
        <w:t xml:space="preserve"> </w:t>
      </w:r>
      <w:r w:rsidRPr="00062B3C">
        <w:t>Parte Presentation</w:t>
      </w:r>
      <w:r>
        <w:rPr>
          <w:i/>
          <w:iCs/>
        </w:rPr>
        <w:t xml:space="preserve">, </w:t>
      </w:r>
      <w:r>
        <w:t xml:space="preserve">CG Docket No. 02-278, at 11 (Feb. 6, 2013).  </w:t>
      </w:r>
    </w:p>
  </w:footnote>
  <w:footnote w:id="57">
    <w:p w14:paraId="0A7BA29A" w14:textId="77777777" w:rsidR="004612B7" w:rsidRDefault="004612B7" w:rsidP="004D040D">
      <w:pPr>
        <w:pStyle w:val="FootnoteText"/>
      </w:pPr>
      <w:r>
        <w:rPr>
          <w:rStyle w:val="FootnoteReference"/>
        </w:rPr>
        <w:footnoteRef/>
      </w:r>
      <w:r>
        <w:t xml:space="preserve"> </w:t>
      </w:r>
      <w:r w:rsidRPr="001B1271">
        <w:rPr>
          <w:i/>
          <w:iCs/>
        </w:rPr>
        <w:t>See Implementation of Section 6002(b) of the Omnibus Budget Reconciliation Act of 1993 Annual Report and Analysis of Competitive Market Conditions With Respect to Mobile Wireless, Including Commercial Mobile Services</w:t>
      </w:r>
      <w:r>
        <w:t>, WT Docket 11-186, 28 FCC Rcd 3700, 3725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3556B" w14:textId="77777777" w:rsidR="008F268A" w:rsidRDefault="008F2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1CB5" w14:textId="17D0C4FB" w:rsidR="004612B7" w:rsidRPr="003C22EE" w:rsidRDefault="004612B7">
    <w:pPr>
      <w:pStyle w:val="Header"/>
      <w:rPr>
        <w:b w:val="0"/>
      </w:rPr>
    </w:pPr>
    <w:r w:rsidRPr="004D040D">
      <w:tab/>
      <w:t>Federal Communications Commission</w:t>
    </w:r>
    <w:r w:rsidRPr="004D040D">
      <w:tab/>
      <w:t xml:space="preserve">FCC </w:t>
    </w:r>
    <w:r w:rsidR="003A2165">
      <w:t>14</w:t>
    </w:r>
    <w:r w:rsidRPr="004D040D">
      <w:t>-</w:t>
    </w:r>
    <w:r w:rsidR="002F66AA">
      <w:t>32</w:t>
    </w:r>
    <w:r w:rsidRPr="004D040D">
      <w:t xml:space="preserve"> </w:t>
    </w:r>
  </w:p>
  <w:p w14:paraId="6B35FF74" w14:textId="77777777" w:rsidR="004612B7" w:rsidRDefault="004612B7">
    <w:pPr>
      <w:pStyle w:val="Header"/>
    </w:pPr>
    <w:r w:rsidRPr="005C7278">
      <w:rPr>
        <w:noProof/>
        <w:snapToGrid/>
      </w:rPr>
      <mc:AlternateContent>
        <mc:Choice Requires="wps">
          <w:drawing>
            <wp:anchor distT="4294967292" distB="4294967292" distL="114300" distR="114300" simplePos="0" relativeHeight="251658240" behindDoc="0" locked="0" layoutInCell="0" allowOverlap="1" wp14:anchorId="5B0BAF3D" wp14:editId="6A4E9A96">
              <wp:simplePos x="0" y="0"/>
              <wp:positionH relativeFrom="column">
                <wp:posOffset>0</wp:posOffset>
              </wp:positionH>
              <wp:positionV relativeFrom="paragraph">
                <wp:posOffset>22224</wp:posOffset>
              </wp:positionV>
              <wp:extent cx="5943600" cy="0"/>
              <wp:effectExtent l="0" t="0" r="2540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1195EBB8" w14:textId="77777777" w:rsidR="004612B7" w:rsidRDefault="004612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AB8D" w14:textId="7F4DF7CC" w:rsidR="004612B7" w:rsidRDefault="004612B7">
    <w:pPr>
      <w:pStyle w:val="Header"/>
      <w:rPr>
        <w:b w:val="0"/>
      </w:rPr>
    </w:pPr>
    <w:r w:rsidRPr="004D040D">
      <w:tab/>
      <w:t>Federal Communications Commission</w:t>
    </w:r>
    <w:r w:rsidRPr="004D040D">
      <w:tab/>
      <w:t xml:space="preserve">FCC </w:t>
    </w:r>
    <w:r w:rsidR="003A2165">
      <w:t>14</w:t>
    </w:r>
    <w:r w:rsidRPr="004D040D">
      <w:t>-</w:t>
    </w:r>
    <w:r w:rsidR="00C91928">
      <w:t>32</w:t>
    </w:r>
    <w:r w:rsidRPr="004D040D">
      <w:t xml:space="preserve"> </w:t>
    </w:r>
  </w:p>
  <w:p w14:paraId="18FEFCFE" w14:textId="1FB6A054" w:rsidR="004612B7" w:rsidRDefault="004612B7">
    <w:pPr>
      <w:pStyle w:val="Header"/>
    </w:pPr>
    <w:r w:rsidRPr="005C7278">
      <w:rPr>
        <w:noProof/>
        <w:snapToGrid/>
      </w:rPr>
      <mc:AlternateContent>
        <mc:Choice Requires="wps">
          <w:drawing>
            <wp:anchor distT="4294967292" distB="4294967292" distL="114300" distR="114300" simplePos="0" relativeHeight="251657216" behindDoc="0" locked="0" layoutInCell="0" allowOverlap="1" wp14:anchorId="648D6E1E" wp14:editId="20C657E2">
              <wp:simplePos x="0" y="0"/>
              <wp:positionH relativeFrom="column">
                <wp:posOffset>0</wp:posOffset>
              </wp:positionH>
              <wp:positionV relativeFrom="paragraph">
                <wp:posOffset>22224</wp:posOffset>
              </wp:positionV>
              <wp:extent cx="5943600" cy="0"/>
              <wp:effectExtent l="0" t="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
    <w:nsid w:val="14A81B33"/>
    <w:multiLevelType w:val="hybridMultilevel"/>
    <w:tmpl w:val="4A74B3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56740BA"/>
    <w:multiLevelType w:val="hybridMultilevel"/>
    <w:tmpl w:val="C69CCB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5">
    <w:nsid w:val="1AFD1C0B"/>
    <w:multiLevelType w:val="hybridMultilevel"/>
    <w:tmpl w:val="A2E0D6C4"/>
    <w:lvl w:ilvl="0" w:tplc="785CE4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51149A"/>
    <w:multiLevelType w:val="hybridMultilevel"/>
    <w:tmpl w:val="7292C5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A9009E5"/>
    <w:multiLevelType w:val="multilevel"/>
    <w:tmpl w:val="37E49B74"/>
    <w:lvl w:ilvl="0">
      <w:start w:val="1"/>
      <w:numFmt w:val="decimal"/>
      <w:lvlText w:val="%1."/>
      <w:lvlJc w:val="left"/>
      <w:pPr>
        <w:tabs>
          <w:tab w:val="num" w:pos="720"/>
        </w:tabs>
        <w:ind w:left="720" w:hanging="720"/>
      </w:pPr>
      <w:rPr>
        <w:rFonts w:ascii="Tahoma" w:hAnsi="Tahoma" w:cs="Tahoma"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cs="Times New Roman" w:hint="default"/>
        <w:b/>
        <w:bCs/>
        <w:i w:val="0"/>
        <w:iCs w:val="0"/>
        <w:sz w:val="22"/>
        <w:szCs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13">
    <w:nsid w:val="2B0355C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4">
    <w:nsid w:val="2C77136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5">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6">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7">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8">
    <w:nsid w:val="3C344BD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9">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bCs w:val="0"/>
        <w:i w:val="0"/>
        <w:iCs w:val="0"/>
        <w:sz w:val="22"/>
        <w:szCs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6">
    <w:nsid w:val="59BA0F8A"/>
    <w:multiLevelType w:val="singleLevel"/>
    <w:tmpl w:val="5E322D42"/>
    <w:lvl w:ilvl="0">
      <w:start w:val="1"/>
      <w:numFmt w:val="bullet"/>
      <w:lvlText w:val=""/>
      <w:lvlJc w:val="left"/>
      <w:pPr>
        <w:tabs>
          <w:tab w:val="num" w:pos="2520"/>
        </w:tabs>
        <w:ind w:left="2520" w:hanging="360"/>
      </w:pPr>
      <w:rPr>
        <w:rFonts w:ascii="Symbol" w:hAnsi="Symbol" w:cs="Symbol" w:hint="default"/>
      </w:rPr>
    </w:lvl>
  </w:abstractNum>
  <w:abstractNum w:abstractNumId="27">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bCs/>
        <w:i w:val="0"/>
        <w:iCs w:val="0"/>
        <w:sz w:val="22"/>
        <w:szCs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cs="Times New Roman" w:hint="default"/>
        <w:b/>
        <w:bCs/>
        <w:i w:val="0"/>
        <w:iCs w:val="0"/>
        <w:sz w:val="22"/>
        <w:szCs w:val="22"/>
      </w:rPr>
    </w:lvl>
    <w:lvl w:ilvl="4">
      <w:start w:val="1"/>
      <w:numFmt w:val="lowerRoman"/>
      <w:lvlText w:val="(%5)"/>
      <w:lvlJc w:val="left"/>
      <w:pPr>
        <w:tabs>
          <w:tab w:val="num" w:pos="3600"/>
        </w:tabs>
        <w:ind w:left="3600" w:hanging="720"/>
      </w:pPr>
      <w:rPr>
        <w:rFonts w:ascii="Times New Roman" w:hAnsi="Times New Roman" w:cs="Times New Roman"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bCs/>
        <w:i w:val="0"/>
        <w:iCs w:val="0"/>
        <w:sz w:val="22"/>
        <w:szCs w:val="22"/>
      </w:r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rPr>
        <w:rFonts w:ascii="Times New Roman" w:hAnsi="Times New Roman" w:cs="Times New Roman" w:hint="default"/>
        <w:b/>
        <w:bCs/>
        <w:i w:val="0"/>
        <w:iCs w:val="0"/>
        <w:sz w:val="22"/>
        <w:szCs w:val="22"/>
      </w:rPr>
    </w:lvl>
    <w:lvl w:ilvl="8">
      <w:start w:val="1"/>
      <w:numFmt w:val="lowerRoman"/>
      <w:lvlText w:val="(%9)"/>
      <w:lvlJc w:val="left"/>
      <w:pPr>
        <w:tabs>
          <w:tab w:val="num" w:pos="6480"/>
        </w:tabs>
        <w:ind w:left="5760"/>
      </w:pPr>
      <w:rPr>
        <w:rFonts w:ascii="Times New Roman" w:hAnsi="Times New Roman" w:cs="Times New Roman" w:hint="default"/>
        <w:b/>
        <w:bCs/>
        <w:i w:val="0"/>
        <w:iCs w:val="0"/>
        <w:sz w:val="22"/>
        <w:szCs w:val="22"/>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30">
    <w:nsid w:val="73031A9B"/>
    <w:multiLevelType w:val="hybridMultilevel"/>
    <w:tmpl w:val="0046B9CC"/>
    <w:lvl w:ilvl="0" w:tplc="70249B6C">
      <w:start w:val="2"/>
      <w:numFmt w:val="decimal"/>
      <w:lvlText w:val="%1."/>
      <w:lvlJc w:val="left"/>
      <w:pPr>
        <w:tabs>
          <w:tab w:val="num" w:pos="1800"/>
        </w:tabs>
        <w:ind w:left="1800" w:hanging="10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num w:numId="1">
    <w:abstractNumId w:val="29"/>
  </w:num>
  <w:num w:numId="2">
    <w:abstractNumId w:val="31"/>
  </w:num>
  <w:num w:numId="3">
    <w:abstractNumId w:val="7"/>
  </w:num>
  <w:num w:numId="4">
    <w:abstractNumId w:val="24"/>
  </w:num>
  <w:num w:numId="5">
    <w:abstractNumId w:val="12"/>
  </w:num>
  <w:num w:numId="6">
    <w:abstractNumId w:val="27"/>
  </w:num>
  <w:num w:numId="7">
    <w:abstractNumId w:val="20"/>
  </w:num>
  <w:num w:numId="8">
    <w:abstractNumId w:val="13"/>
  </w:num>
  <w:num w:numId="9">
    <w:abstractNumId w:val="26"/>
  </w:num>
  <w:num w:numId="10">
    <w:abstractNumId w:val="18"/>
  </w:num>
  <w:num w:numId="11">
    <w:abstractNumId w:val="17"/>
  </w:num>
  <w:num w:numId="12">
    <w:abstractNumId w:val="14"/>
  </w:num>
  <w:num w:numId="13">
    <w:abstractNumId w:val="19"/>
  </w:num>
  <w:num w:numId="14">
    <w:abstractNumId w:val="25"/>
  </w:num>
  <w:num w:numId="15">
    <w:abstractNumId w:val="4"/>
  </w:num>
  <w:num w:numId="16">
    <w:abstractNumId w:val="6"/>
  </w:num>
  <w:num w:numId="17">
    <w:abstractNumId w:val="15"/>
  </w:num>
  <w:num w:numId="18">
    <w:abstractNumId w:val="1"/>
  </w:num>
  <w:num w:numId="19">
    <w:abstractNumId w:val="16"/>
  </w:num>
  <w:num w:numId="20">
    <w:abstractNumId w:val="21"/>
  </w:num>
  <w:num w:numId="21">
    <w:abstractNumId w:val="23"/>
  </w:num>
  <w:num w:numId="22">
    <w:abstractNumId w:val="30"/>
  </w:num>
  <w:num w:numId="23">
    <w:abstractNumId w:val="19"/>
  </w:num>
  <w:num w:numId="24">
    <w:abstractNumId w:val="19"/>
  </w:num>
  <w:num w:numId="25">
    <w:abstractNumId w:val="19"/>
  </w:num>
  <w:num w:numId="26">
    <w:abstractNumId w:val="19"/>
  </w:num>
  <w:num w:numId="27">
    <w:abstractNumId w:val="11"/>
  </w:num>
  <w:num w:numId="28">
    <w:abstractNumId w:val="19"/>
  </w:num>
  <w:num w:numId="29">
    <w:abstractNumId w:val="19"/>
  </w:num>
  <w:num w:numId="30">
    <w:abstractNumId w:val="19"/>
  </w:num>
  <w:num w:numId="31">
    <w:abstractNumId w:val="19"/>
  </w:num>
  <w:num w:numId="32">
    <w:abstractNumId w:val="3"/>
  </w:num>
  <w:num w:numId="33">
    <w:abstractNumId w:val="19"/>
  </w:num>
  <w:num w:numId="34">
    <w:abstractNumId w:val="19"/>
  </w:num>
  <w:num w:numId="35">
    <w:abstractNumId w:val="2"/>
  </w:num>
  <w:num w:numId="36">
    <w:abstractNumId w:val="19"/>
  </w:num>
  <w:num w:numId="37">
    <w:abstractNumId w:val="5"/>
  </w:num>
  <w:num w:numId="38">
    <w:abstractNumId w:val="19"/>
  </w:num>
  <w:num w:numId="39">
    <w:abstractNumId w:val="28"/>
    <w:lvlOverride w:ilvl="0">
      <w:startOverride w:val="1"/>
    </w:lvlOverride>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8"/>
  </w:num>
  <w:num w:numId="59">
    <w:abstractNumId w:val="28"/>
  </w:num>
  <w:num w:numId="60">
    <w:abstractNumId w:val="10"/>
  </w:num>
  <w:num w:numId="61">
    <w:abstractNumId w:val="22"/>
  </w:num>
  <w:num w:numId="62">
    <w:abstractNumId w:val="9"/>
  </w:num>
  <w:num w:numId="63">
    <w:abstractNumId w:val="0"/>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28"/>
  </w:num>
  <w:num w:numId="75">
    <w:abstractNumId w:val="28"/>
  </w:num>
  <w:num w:numId="76">
    <w:abstractNumId w:val="28"/>
  </w:num>
  <w:num w:numId="77">
    <w:abstractNumId w:val="28"/>
  </w:num>
  <w:num w:numId="78">
    <w:abstractNumId w:val="28"/>
  </w:num>
  <w:num w:numId="79">
    <w:abstractNumId w:val="28"/>
  </w:num>
  <w:num w:numId="80">
    <w:abstractNumId w:val="28"/>
  </w:num>
  <w:num w:numId="81">
    <w:abstractNumId w:val="28"/>
  </w:num>
  <w:num w:numId="82">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embedSystemFonts/>
  <w:attachedTemplate r:id="rId1"/>
  <w:linkStyl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A2"/>
    <w:rsid w:val="000001B9"/>
    <w:rsid w:val="000005B6"/>
    <w:rsid w:val="0000085D"/>
    <w:rsid w:val="00002459"/>
    <w:rsid w:val="00002A09"/>
    <w:rsid w:val="00005039"/>
    <w:rsid w:val="000054E8"/>
    <w:rsid w:val="00005DAB"/>
    <w:rsid w:val="000062AB"/>
    <w:rsid w:val="00006554"/>
    <w:rsid w:val="00010306"/>
    <w:rsid w:val="000118B5"/>
    <w:rsid w:val="0001748D"/>
    <w:rsid w:val="000232DC"/>
    <w:rsid w:val="00023EF8"/>
    <w:rsid w:val="0002493E"/>
    <w:rsid w:val="000253A4"/>
    <w:rsid w:val="00025846"/>
    <w:rsid w:val="00025C8B"/>
    <w:rsid w:val="00026E9B"/>
    <w:rsid w:val="000271B7"/>
    <w:rsid w:val="00027453"/>
    <w:rsid w:val="00031E91"/>
    <w:rsid w:val="00035A85"/>
    <w:rsid w:val="00037E92"/>
    <w:rsid w:val="000409DB"/>
    <w:rsid w:val="0004282F"/>
    <w:rsid w:val="00043E3B"/>
    <w:rsid w:val="000441DB"/>
    <w:rsid w:val="000443D3"/>
    <w:rsid w:val="000444DD"/>
    <w:rsid w:val="000446EC"/>
    <w:rsid w:val="000449F5"/>
    <w:rsid w:val="00055D37"/>
    <w:rsid w:val="00056976"/>
    <w:rsid w:val="00057148"/>
    <w:rsid w:val="00057435"/>
    <w:rsid w:val="00060859"/>
    <w:rsid w:val="00061819"/>
    <w:rsid w:val="0006189B"/>
    <w:rsid w:val="000620B2"/>
    <w:rsid w:val="00062B3C"/>
    <w:rsid w:val="000631DF"/>
    <w:rsid w:val="00064638"/>
    <w:rsid w:val="00066D1F"/>
    <w:rsid w:val="000673AA"/>
    <w:rsid w:val="000707BA"/>
    <w:rsid w:val="0007142E"/>
    <w:rsid w:val="00074C14"/>
    <w:rsid w:val="0007603C"/>
    <w:rsid w:val="00077C87"/>
    <w:rsid w:val="00081B3D"/>
    <w:rsid w:val="00082298"/>
    <w:rsid w:val="00083C4A"/>
    <w:rsid w:val="00084C45"/>
    <w:rsid w:val="0008505D"/>
    <w:rsid w:val="00085E87"/>
    <w:rsid w:val="000866EC"/>
    <w:rsid w:val="0009057B"/>
    <w:rsid w:val="000906F6"/>
    <w:rsid w:val="0009073F"/>
    <w:rsid w:val="00091226"/>
    <w:rsid w:val="00094FA7"/>
    <w:rsid w:val="000950F7"/>
    <w:rsid w:val="000956F6"/>
    <w:rsid w:val="00096B21"/>
    <w:rsid w:val="000972E0"/>
    <w:rsid w:val="00097A2A"/>
    <w:rsid w:val="000A184A"/>
    <w:rsid w:val="000A2861"/>
    <w:rsid w:val="000A3E83"/>
    <w:rsid w:val="000A461F"/>
    <w:rsid w:val="000B0D3B"/>
    <w:rsid w:val="000B1FAB"/>
    <w:rsid w:val="000B246C"/>
    <w:rsid w:val="000B3511"/>
    <w:rsid w:val="000B46EE"/>
    <w:rsid w:val="000B4B20"/>
    <w:rsid w:val="000B7BAD"/>
    <w:rsid w:val="000D1169"/>
    <w:rsid w:val="000D258C"/>
    <w:rsid w:val="000D3B5D"/>
    <w:rsid w:val="000D3E4E"/>
    <w:rsid w:val="000D4BFF"/>
    <w:rsid w:val="000D4C73"/>
    <w:rsid w:val="000E0366"/>
    <w:rsid w:val="000E1B28"/>
    <w:rsid w:val="000E2234"/>
    <w:rsid w:val="000E43A3"/>
    <w:rsid w:val="000E5D5D"/>
    <w:rsid w:val="000E5F31"/>
    <w:rsid w:val="000E6ABD"/>
    <w:rsid w:val="000F0DEB"/>
    <w:rsid w:val="000F6440"/>
    <w:rsid w:val="000F649C"/>
    <w:rsid w:val="000F686A"/>
    <w:rsid w:val="00101F61"/>
    <w:rsid w:val="001055A3"/>
    <w:rsid w:val="00106A1E"/>
    <w:rsid w:val="00106DEE"/>
    <w:rsid w:val="001071A8"/>
    <w:rsid w:val="001072DD"/>
    <w:rsid w:val="00107D05"/>
    <w:rsid w:val="001122B1"/>
    <w:rsid w:val="00112E7A"/>
    <w:rsid w:val="0011544F"/>
    <w:rsid w:val="0011626E"/>
    <w:rsid w:val="00116BA2"/>
    <w:rsid w:val="001201C1"/>
    <w:rsid w:val="00120C9C"/>
    <w:rsid w:val="001215B6"/>
    <w:rsid w:val="0012174F"/>
    <w:rsid w:val="001252B3"/>
    <w:rsid w:val="00125897"/>
    <w:rsid w:val="00127308"/>
    <w:rsid w:val="00133278"/>
    <w:rsid w:val="00135269"/>
    <w:rsid w:val="00135382"/>
    <w:rsid w:val="0014314D"/>
    <w:rsid w:val="00143DAA"/>
    <w:rsid w:val="00145119"/>
    <w:rsid w:val="001453EA"/>
    <w:rsid w:val="00156509"/>
    <w:rsid w:val="0015760A"/>
    <w:rsid w:val="0016227B"/>
    <w:rsid w:val="0016255E"/>
    <w:rsid w:val="0016688E"/>
    <w:rsid w:val="001676FA"/>
    <w:rsid w:val="00170B85"/>
    <w:rsid w:val="00171E1B"/>
    <w:rsid w:val="0017317F"/>
    <w:rsid w:val="00177203"/>
    <w:rsid w:val="00181A3C"/>
    <w:rsid w:val="001840ED"/>
    <w:rsid w:val="0018489C"/>
    <w:rsid w:val="00184AA5"/>
    <w:rsid w:val="00185966"/>
    <w:rsid w:val="0018633D"/>
    <w:rsid w:val="0018777B"/>
    <w:rsid w:val="00191F49"/>
    <w:rsid w:val="00193CF4"/>
    <w:rsid w:val="0019535B"/>
    <w:rsid w:val="0019667C"/>
    <w:rsid w:val="00196B03"/>
    <w:rsid w:val="00197702"/>
    <w:rsid w:val="0019782D"/>
    <w:rsid w:val="00197C50"/>
    <w:rsid w:val="001A3050"/>
    <w:rsid w:val="001A4127"/>
    <w:rsid w:val="001A423D"/>
    <w:rsid w:val="001A4974"/>
    <w:rsid w:val="001A63A0"/>
    <w:rsid w:val="001A69E0"/>
    <w:rsid w:val="001A7F44"/>
    <w:rsid w:val="001B1271"/>
    <w:rsid w:val="001B1845"/>
    <w:rsid w:val="001B41D8"/>
    <w:rsid w:val="001B4399"/>
    <w:rsid w:val="001B5CB3"/>
    <w:rsid w:val="001C2195"/>
    <w:rsid w:val="001C2A4B"/>
    <w:rsid w:val="001C3481"/>
    <w:rsid w:val="001C4249"/>
    <w:rsid w:val="001D0BEC"/>
    <w:rsid w:val="001D2C53"/>
    <w:rsid w:val="001D337D"/>
    <w:rsid w:val="001D6E50"/>
    <w:rsid w:val="001E14B0"/>
    <w:rsid w:val="001E2B2D"/>
    <w:rsid w:val="001E2D96"/>
    <w:rsid w:val="001F0ED6"/>
    <w:rsid w:val="001F0F33"/>
    <w:rsid w:val="001F18DE"/>
    <w:rsid w:val="001F1D03"/>
    <w:rsid w:val="001F5207"/>
    <w:rsid w:val="001F780D"/>
    <w:rsid w:val="00200041"/>
    <w:rsid w:val="00201721"/>
    <w:rsid w:val="00204673"/>
    <w:rsid w:val="002055B8"/>
    <w:rsid w:val="00205ABC"/>
    <w:rsid w:val="002069CF"/>
    <w:rsid w:val="00210C45"/>
    <w:rsid w:val="002112DC"/>
    <w:rsid w:val="00211809"/>
    <w:rsid w:val="00212439"/>
    <w:rsid w:val="002124E1"/>
    <w:rsid w:val="0021390F"/>
    <w:rsid w:val="0021597C"/>
    <w:rsid w:val="00216A0D"/>
    <w:rsid w:val="00220675"/>
    <w:rsid w:val="00220796"/>
    <w:rsid w:val="00221820"/>
    <w:rsid w:val="00222F3A"/>
    <w:rsid w:val="00227BD7"/>
    <w:rsid w:val="00231DC9"/>
    <w:rsid w:val="00232EEF"/>
    <w:rsid w:val="002355FB"/>
    <w:rsid w:val="00237469"/>
    <w:rsid w:val="002434B1"/>
    <w:rsid w:val="00243F67"/>
    <w:rsid w:val="00246FBA"/>
    <w:rsid w:val="002545A9"/>
    <w:rsid w:val="002559CA"/>
    <w:rsid w:val="00257BCA"/>
    <w:rsid w:val="002628E3"/>
    <w:rsid w:val="00263195"/>
    <w:rsid w:val="002639C0"/>
    <w:rsid w:val="0026403B"/>
    <w:rsid w:val="00275538"/>
    <w:rsid w:val="00277CF1"/>
    <w:rsid w:val="00280A92"/>
    <w:rsid w:val="0028154F"/>
    <w:rsid w:val="00287B7A"/>
    <w:rsid w:val="00290A5D"/>
    <w:rsid w:val="00291B1B"/>
    <w:rsid w:val="00294160"/>
    <w:rsid w:val="00294F0B"/>
    <w:rsid w:val="0029507F"/>
    <w:rsid w:val="00295FA6"/>
    <w:rsid w:val="002974E0"/>
    <w:rsid w:val="002A0BFC"/>
    <w:rsid w:val="002A3B06"/>
    <w:rsid w:val="002A57B7"/>
    <w:rsid w:val="002A6309"/>
    <w:rsid w:val="002A68DB"/>
    <w:rsid w:val="002B1690"/>
    <w:rsid w:val="002B314B"/>
    <w:rsid w:val="002B4F99"/>
    <w:rsid w:val="002B5838"/>
    <w:rsid w:val="002B76DE"/>
    <w:rsid w:val="002C09FA"/>
    <w:rsid w:val="002C21C9"/>
    <w:rsid w:val="002C4951"/>
    <w:rsid w:val="002C4AEE"/>
    <w:rsid w:val="002C6DC9"/>
    <w:rsid w:val="002C7DC4"/>
    <w:rsid w:val="002C7EB1"/>
    <w:rsid w:val="002D08E5"/>
    <w:rsid w:val="002D27DD"/>
    <w:rsid w:val="002D2E5C"/>
    <w:rsid w:val="002D38E5"/>
    <w:rsid w:val="002D5252"/>
    <w:rsid w:val="002D6DE8"/>
    <w:rsid w:val="002E2FE1"/>
    <w:rsid w:val="002E3309"/>
    <w:rsid w:val="002E36EE"/>
    <w:rsid w:val="002E5420"/>
    <w:rsid w:val="002E545A"/>
    <w:rsid w:val="002F434E"/>
    <w:rsid w:val="002F66AA"/>
    <w:rsid w:val="002F6777"/>
    <w:rsid w:val="0030092F"/>
    <w:rsid w:val="003033EB"/>
    <w:rsid w:val="0030378A"/>
    <w:rsid w:val="003046B8"/>
    <w:rsid w:val="00306277"/>
    <w:rsid w:val="0031068D"/>
    <w:rsid w:val="00312277"/>
    <w:rsid w:val="0031260B"/>
    <w:rsid w:val="0031673B"/>
    <w:rsid w:val="00324182"/>
    <w:rsid w:val="00330596"/>
    <w:rsid w:val="00335886"/>
    <w:rsid w:val="003370AB"/>
    <w:rsid w:val="00351541"/>
    <w:rsid w:val="00352326"/>
    <w:rsid w:val="00354A67"/>
    <w:rsid w:val="00355898"/>
    <w:rsid w:val="00356428"/>
    <w:rsid w:val="00361238"/>
    <w:rsid w:val="00363507"/>
    <w:rsid w:val="0036572B"/>
    <w:rsid w:val="00365769"/>
    <w:rsid w:val="00365A5A"/>
    <w:rsid w:val="0037086F"/>
    <w:rsid w:val="00372545"/>
    <w:rsid w:val="0037275A"/>
    <w:rsid w:val="00373E07"/>
    <w:rsid w:val="00374389"/>
    <w:rsid w:val="003753DB"/>
    <w:rsid w:val="003777C9"/>
    <w:rsid w:val="00377CAF"/>
    <w:rsid w:val="00377D6A"/>
    <w:rsid w:val="00384128"/>
    <w:rsid w:val="00384DFF"/>
    <w:rsid w:val="00385F1F"/>
    <w:rsid w:val="00386FE8"/>
    <w:rsid w:val="0038726F"/>
    <w:rsid w:val="00394644"/>
    <w:rsid w:val="003A108A"/>
    <w:rsid w:val="003A2165"/>
    <w:rsid w:val="003A4A6B"/>
    <w:rsid w:val="003A537E"/>
    <w:rsid w:val="003A7D62"/>
    <w:rsid w:val="003B0516"/>
    <w:rsid w:val="003B083D"/>
    <w:rsid w:val="003B1FCD"/>
    <w:rsid w:val="003B25CF"/>
    <w:rsid w:val="003B2CCF"/>
    <w:rsid w:val="003B65D7"/>
    <w:rsid w:val="003B6A7B"/>
    <w:rsid w:val="003B7943"/>
    <w:rsid w:val="003C1AE1"/>
    <w:rsid w:val="003C1BBE"/>
    <w:rsid w:val="003C2278"/>
    <w:rsid w:val="003C22EE"/>
    <w:rsid w:val="003C4889"/>
    <w:rsid w:val="003C6E3B"/>
    <w:rsid w:val="003C7AC2"/>
    <w:rsid w:val="003D602E"/>
    <w:rsid w:val="003D63A7"/>
    <w:rsid w:val="003E2F4C"/>
    <w:rsid w:val="003E469D"/>
    <w:rsid w:val="003E5F58"/>
    <w:rsid w:val="003E7498"/>
    <w:rsid w:val="003F1C1F"/>
    <w:rsid w:val="003F3685"/>
    <w:rsid w:val="003F3B87"/>
    <w:rsid w:val="003F6491"/>
    <w:rsid w:val="00400267"/>
    <w:rsid w:val="004053F6"/>
    <w:rsid w:val="00405A7C"/>
    <w:rsid w:val="0041131A"/>
    <w:rsid w:val="00411C3B"/>
    <w:rsid w:val="0041285C"/>
    <w:rsid w:val="00413598"/>
    <w:rsid w:val="00413E21"/>
    <w:rsid w:val="00417AE6"/>
    <w:rsid w:val="00417CCF"/>
    <w:rsid w:val="00421035"/>
    <w:rsid w:val="00421521"/>
    <w:rsid w:val="00422D43"/>
    <w:rsid w:val="0042308A"/>
    <w:rsid w:val="0042731C"/>
    <w:rsid w:val="004316E5"/>
    <w:rsid w:val="00434473"/>
    <w:rsid w:val="004350C9"/>
    <w:rsid w:val="00442CE7"/>
    <w:rsid w:val="00443D96"/>
    <w:rsid w:val="0044514D"/>
    <w:rsid w:val="00445A82"/>
    <w:rsid w:val="00451906"/>
    <w:rsid w:val="00454635"/>
    <w:rsid w:val="004563CD"/>
    <w:rsid w:val="00457113"/>
    <w:rsid w:val="004608E6"/>
    <w:rsid w:val="004612B7"/>
    <w:rsid w:val="004625EF"/>
    <w:rsid w:val="004633B7"/>
    <w:rsid w:val="004634F9"/>
    <w:rsid w:val="00466E74"/>
    <w:rsid w:val="0047023B"/>
    <w:rsid w:val="00470F95"/>
    <w:rsid w:val="004714E6"/>
    <w:rsid w:val="0047233E"/>
    <w:rsid w:val="00474D24"/>
    <w:rsid w:val="00477421"/>
    <w:rsid w:val="004803DB"/>
    <w:rsid w:val="00481EA7"/>
    <w:rsid w:val="00482066"/>
    <w:rsid w:val="0048513A"/>
    <w:rsid w:val="004854FA"/>
    <w:rsid w:val="00485BD3"/>
    <w:rsid w:val="0049013A"/>
    <w:rsid w:val="004904B1"/>
    <w:rsid w:val="00492440"/>
    <w:rsid w:val="00495790"/>
    <w:rsid w:val="00496422"/>
    <w:rsid w:val="004A123C"/>
    <w:rsid w:val="004A2529"/>
    <w:rsid w:val="004A4B43"/>
    <w:rsid w:val="004A59A0"/>
    <w:rsid w:val="004B2C35"/>
    <w:rsid w:val="004B47B9"/>
    <w:rsid w:val="004B5EB4"/>
    <w:rsid w:val="004B69C8"/>
    <w:rsid w:val="004C0FDD"/>
    <w:rsid w:val="004C41E7"/>
    <w:rsid w:val="004C4D43"/>
    <w:rsid w:val="004C53EC"/>
    <w:rsid w:val="004C560D"/>
    <w:rsid w:val="004C69A4"/>
    <w:rsid w:val="004C784D"/>
    <w:rsid w:val="004D040D"/>
    <w:rsid w:val="004D2534"/>
    <w:rsid w:val="004D2BC0"/>
    <w:rsid w:val="004D4055"/>
    <w:rsid w:val="004D5A5C"/>
    <w:rsid w:val="004D5B70"/>
    <w:rsid w:val="004E750F"/>
    <w:rsid w:val="004F01B6"/>
    <w:rsid w:val="004F10C6"/>
    <w:rsid w:val="004F29E1"/>
    <w:rsid w:val="004F4FC6"/>
    <w:rsid w:val="00504519"/>
    <w:rsid w:val="00507826"/>
    <w:rsid w:val="005078A5"/>
    <w:rsid w:val="00507C0C"/>
    <w:rsid w:val="00510B15"/>
    <w:rsid w:val="00514591"/>
    <w:rsid w:val="005150BD"/>
    <w:rsid w:val="00521EAF"/>
    <w:rsid w:val="00522245"/>
    <w:rsid w:val="0052242C"/>
    <w:rsid w:val="00522ABB"/>
    <w:rsid w:val="0052353E"/>
    <w:rsid w:val="00523DD5"/>
    <w:rsid w:val="00523E34"/>
    <w:rsid w:val="005254FE"/>
    <w:rsid w:val="00525780"/>
    <w:rsid w:val="00532834"/>
    <w:rsid w:val="00533D0E"/>
    <w:rsid w:val="0054640E"/>
    <w:rsid w:val="00546F81"/>
    <w:rsid w:val="00547E27"/>
    <w:rsid w:val="005527EF"/>
    <w:rsid w:val="005539EF"/>
    <w:rsid w:val="00555097"/>
    <w:rsid w:val="00557ACC"/>
    <w:rsid w:val="0056259D"/>
    <w:rsid w:val="005647EC"/>
    <w:rsid w:val="00566945"/>
    <w:rsid w:val="00570402"/>
    <w:rsid w:val="00571AAA"/>
    <w:rsid w:val="00573D39"/>
    <w:rsid w:val="00575C6F"/>
    <w:rsid w:val="0057723F"/>
    <w:rsid w:val="005809F9"/>
    <w:rsid w:val="00581F91"/>
    <w:rsid w:val="00584DCF"/>
    <w:rsid w:val="005864C8"/>
    <w:rsid w:val="0058784C"/>
    <w:rsid w:val="00591554"/>
    <w:rsid w:val="00593107"/>
    <w:rsid w:val="00593430"/>
    <w:rsid w:val="00593765"/>
    <w:rsid w:val="0059441D"/>
    <w:rsid w:val="00597290"/>
    <w:rsid w:val="005A23DD"/>
    <w:rsid w:val="005A2A87"/>
    <w:rsid w:val="005A4E40"/>
    <w:rsid w:val="005A541A"/>
    <w:rsid w:val="005A5A5B"/>
    <w:rsid w:val="005B3927"/>
    <w:rsid w:val="005B6AF5"/>
    <w:rsid w:val="005C0974"/>
    <w:rsid w:val="005C0BED"/>
    <w:rsid w:val="005C310D"/>
    <w:rsid w:val="005C42C1"/>
    <w:rsid w:val="005C4392"/>
    <w:rsid w:val="005C4833"/>
    <w:rsid w:val="005C7278"/>
    <w:rsid w:val="005C7DA7"/>
    <w:rsid w:val="005D42AA"/>
    <w:rsid w:val="005D4BEE"/>
    <w:rsid w:val="005D6055"/>
    <w:rsid w:val="005D63ED"/>
    <w:rsid w:val="005D726A"/>
    <w:rsid w:val="005E0774"/>
    <w:rsid w:val="005E1928"/>
    <w:rsid w:val="005E223F"/>
    <w:rsid w:val="005E32F9"/>
    <w:rsid w:val="005E7A8A"/>
    <w:rsid w:val="005E7BD2"/>
    <w:rsid w:val="005E7EF7"/>
    <w:rsid w:val="005F3C80"/>
    <w:rsid w:val="005F3D42"/>
    <w:rsid w:val="005F58DB"/>
    <w:rsid w:val="005F598A"/>
    <w:rsid w:val="005F748F"/>
    <w:rsid w:val="005F74DA"/>
    <w:rsid w:val="005F7EE9"/>
    <w:rsid w:val="00602C93"/>
    <w:rsid w:val="0060419C"/>
    <w:rsid w:val="00606A00"/>
    <w:rsid w:val="00606D6C"/>
    <w:rsid w:val="006108E1"/>
    <w:rsid w:val="0061365D"/>
    <w:rsid w:val="0061487D"/>
    <w:rsid w:val="00615CC9"/>
    <w:rsid w:val="006160CD"/>
    <w:rsid w:val="00616451"/>
    <w:rsid w:val="006164C4"/>
    <w:rsid w:val="0061696A"/>
    <w:rsid w:val="006220AF"/>
    <w:rsid w:val="006222D3"/>
    <w:rsid w:val="00622346"/>
    <w:rsid w:val="00622393"/>
    <w:rsid w:val="00622FE8"/>
    <w:rsid w:val="006230D3"/>
    <w:rsid w:val="00623FDD"/>
    <w:rsid w:val="006251A9"/>
    <w:rsid w:val="0063089A"/>
    <w:rsid w:val="006325A3"/>
    <w:rsid w:val="00633481"/>
    <w:rsid w:val="00636FA3"/>
    <w:rsid w:val="00637849"/>
    <w:rsid w:val="00637D76"/>
    <w:rsid w:val="00642390"/>
    <w:rsid w:val="006423E3"/>
    <w:rsid w:val="00642DDD"/>
    <w:rsid w:val="00643897"/>
    <w:rsid w:val="00644A59"/>
    <w:rsid w:val="00644D82"/>
    <w:rsid w:val="00647DFA"/>
    <w:rsid w:val="006543D8"/>
    <w:rsid w:val="00656C27"/>
    <w:rsid w:val="00656E97"/>
    <w:rsid w:val="006571AD"/>
    <w:rsid w:val="00657FF4"/>
    <w:rsid w:val="00661C5C"/>
    <w:rsid w:val="00663FA9"/>
    <w:rsid w:val="00664203"/>
    <w:rsid w:val="00666306"/>
    <w:rsid w:val="00667CBD"/>
    <w:rsid w:val="00671F55"/>
    <w:rsid w:val="006720D4"/>
    <w:rsid w:val="006748DA"/>
    <w:rsid w:val="00680C22"/>
    <w:rsid w:val="0068141B"/>
    <w:rsid w:val="00682A69"/>
    <w:rsid w:val="006830AB"/>
    <w:rsid w:val="00684862"/>
    <w:rsid w:val="0068532B"/>
    <w:rsid w:val="00687AC3"/>
    <w:rsid w:val="00687FBE"/>
    <w:rsid w:val="0069098E"/>
    <w:rsid w:val="00691D76"/>
    <w:rsid w:val="0069280D"/>
    <w:rsid w:val="00693C30"/>
    <w:rsid w:val="00693F5A"/>
    <w:rsid w:val="006940CD"/>
    <w:rsid w:val="006979E1"/>
    <w:rsid w:val="006A06FE"/>
    <w:rsid w:val="006A3395"/>
    <w:rsid w:val="006A4EE1"/>
    <w:rsid w:val="006A52EC"/>
    <w:rsid w:val="006B1027"/>
    <w:rsid w:val="006B3737"/>
    <w:rsid w:val="006C2F1F"/>
    <w:rsid w:val="006C38D0"/>
    <w:rsid w:val="006C3C71"/>
    <w:rsid w:val="006C4459"/>
    <w:rsid w:val="006C561A"/>
    <w:rsid w:val="006C628E"/>
    <w:rsid w:val="006C7671"/>
    <w:rsid w:val="006C794D"/>
    <w:rsid w:val="006D0D9E"/>
    <w:rsid w:val="006D0E33"/>
    <w:rsid w:val="006D15C6"/>
    <w:rsid w:val="006D37C6"/>
    <w:rsid w:val="006D5D05"/>
    <w:rsid w:val="006D6763"/>
    <w:rsid w:val="006D6AC8"/>
    <w:rsid w:val="006D6DB4"/>
    <w:rsid w:val="006D6E58"/>
    <w:rsid w:val="006D7298"/>
    <w:rsid w:val="006E092F"/>
    <w:rsid w:val="006E1851"/>
    <w:rsid w:val="006E1B4C"/>
    <w:rsid w:val="006E30F0"/>
    <w:rsid w:val="006E5DA3"/>
    <w:rsid w:val="006E7916"/>
    <w:rsid w:val="006F09CF"/>
    <w:rsid w:val="006F0F43"/>
    <w:rsid w:val="006F3C8A"/>
    <w:rsid w:val="006F746E"/>
    <w:rsid w:val="006F7A79"/>
    <w:rsid w:val="00700867"/>
    <w:rsid w:val="00701449"/>
    <w:rsid w:val="007069C3"/>
    <w:rsid w:val="00707673"/>
    <w:rsid w:val="00707AE0"/>
    <w:rsid w:val="00710D71"/>
    <w:rsid w:val="00722C85"/>
    <w:rsid w:val="00723E77"/>
    <w:rsid w:val="00724C7C"/>
    <w:rsid w:val="007250BD"/>
    <w:rsid w:val="00726747"/>
    <w:rsid w:val="00730246"/>
    <w:rsid w:val="00731A96"/>
    <w:rsid w:val="00731E19"/>
    <w:rsid w:val="00732344"/>
    <w:rsid w:val="00732B7B"/>
    <w:rsid w:val="00734B74"/>
    <w:rsid w:val="00736D90"/>
    <w:rsid w:val="00737E6D"/>
    <w:rsid w:val="007401C7"/>
    <w:rsid w:val="007406CA"/>
    <w:rsid w:val="007410CB"/>
    <w:rsid w:val="00742AC1"/>
    <w:rsid w:val="00742B8B"/>
    <w:rsid w:val="00742F3F"/>
    <w:rsid w:val="00744425"/>
    <w:rsid w:val="007458F0"/>
    <w:rsid w:val="00745B9F"/>
    <w:rsid w:val="007461E4"/>
    <w:rsid w:val="00747A50"/>
    <w:rsid w:val="00747ACE"/>
    <w:rsid w:val="00751224"/>
    <w:rsid w:val="00751963"/>
    <w:rsid w:val="00752B03"/>
    <w:rsid w:val="0075781F"/>
    <w:rsid w:val="0076010D"/>
    <w:rsid w:val="0076016C"/>
    <w:rsid w:val="00761353"/>
    <w:rsid w:val="00762FCD"/>
    <w:rsid w:val="0076456F"/>
    <w:rsid w:val="00765515"/>
    <w:rsid w:val="00765CF0"/>
    <w:rsid w:val="00766507"/>
    <w:rsid w:val="00766E1D"/>
    <w:rsid w:val="007674CA"/>
    <w:rsid w:val="007676D9"/>
    <w:rsid w:val="007740E2"/>
    <w:rsid w:val="00775E76"/>
    <w:rsid w:val="007763B8"/>
    <w:rsid w:val="00776CD4"/>
    <w:rsid w:val="0078203B"/>
    <w:rsid w:val="00782EBE"/>
    <w:rsid w:val="0078333D"/>
    <w:rsid w:val="007853C9"/>
    <w:rsid w:val="0078604B"/>
    <w:rsid w:val="00791BC8"/>
    <w:rsid w:val="00791BD2"/>
    <w:rsid w:val="00791FAC"/>
    <w:rsid w:val="00793DFD"/>
    <w:rsid w:val="007951C9"/>
    <w:rsid w:val="00796A8A"/>
    <w:rsid w:val="00796EA9"/>
    <w:rsid w:val="007A3AB8"/>
    <w:rsid w:val="007A3DBB"/>
    <w:rsid w:val="007A469E"/>
    <w:rsid w:val="007A6065"/>
    <w:rsid w:val="007B0382"/>
    <w:rsid w:val="007B50D6"/>
    <w:rsid w:val="007B6C02"/>
    <w:rsid w:val="007B6F83"/>
    <w:rsid w:val="007C00DC"/>
    <w:rsid w:val="007C6451"/>
    <w:rsid w:val="007C6882"/>
    <w:rsid w:val="007D06A9"/>
    <w:rsid w:val="007D2AAE"/>
    <w:rsid w:val="007D6428"/>
    <w:rsid w:val="007E0D8C"/>
    <w:rsid w:val="007E17C6"/>
    <w:rsid w:val="007E2C38"/>
    <w:rsid w:val="007E45DB"/>
    <w:rsid w:val="007F1D98"/>
    <w:rsid w:val="007F2BEA"/>
    <w:rsid w:val="007F3145"/>
    <w:rsid w:val="007F40ED"/>
    <w:rsid w:val="007F47A1"/>
    <w:rsid w:val="007F4815"/>
    <w:rsid w:val="007F483C"/>
    <w:rsid w:val="007F4E7D"/>
    <w:rsid w:val="007F5FE1"/>
    <w:rsid w:val="008027B8"/>
    <w:rsid w:val="008036A2"/>
    <w:rsid w:val="00810865"/>
    <w:rsid w:val="00812260"/>
    <w:rsid w:val="00820960"/>
    <w:rsid w:val="00823266"/>
    <w:rsid w:val="008233D7"/>
    <w:rsid w:val="00824B1A"/>
    <w:rsid w:val="008252E2"/>
    <w:rsid w:val="008329FA"/>
    <w:rsid w:val="0083339B"/>
    <w:rsid w:val="008336F2"/>
    <w:rsid w:val="00834B4D"/>
    <w:rsid w:val="008359A2"/>
    <w:rsid w:val="00840A40"/>
    <w:rsid w:val="00843ADA"/>
    <w:rsid w:val="008452F2"/>
    <w:rsid w:val="0084652B"/>
    <w:rsid w:val="008525B6"/>
    <w:rsid w:val="00853CD6"/>
    <w:rsid w:val="00854A00"/>
    <w:rsid w:val="008555F5"/>
    <w:rsid w:val="00856946"/>
    <w:rsid w:val="0086081B"/>
    <w:rsid w:val="008627FE"/>
    <w:rsid w:val="00862C63"/>
    <w:rsid w:val="008653AE"/>
    <w:rsid w:val="00865C67"/>
    <w:rsid w:val="00866C89"/>
    <w:rsid w:val="00873AEA"/>
    <w:rsid w:val="00873C3E"/>
    <w:rsid w:val="0087437E"/>
    <w:rsid w:val="00874D6C"/>
    <w:rsid w:val="008754A2"/>
    <w:rsid w:val="00887ABA"/>
    <w:rsid w:val="00890494"/>
    <w:rsid w:val="00891528"/>
    <w:rsid w:val="00892306"/>
    <w:rsid w:val="00893C8F"/>
    <w:rsid w:val="0089448C"/>
    <w:rsid w:val="00895394"/>
    <w:rsid w:val="00896735"/>
    <w:rsid w:val="008A7930"/>
    <w:rsid w:val="008B4AD8"/>
    <w:rsid w:val="008B4E3D"/>
    <w:rsid w:val="008B5C43"/>
    <w:rsid w:val="008B5FB9"/>
    <w:rsid w:val="008B65D6"/>
    <w:rsid w:val="008C0958"/>
    <w:rsid w:val="008C2145"/>
    <w:rsid w:val="008C2292"/>
    <w:rsid w:val="008C2F76"/>
    <w:rsid w:val="008C36F0"/>
    <w:rsid w:val="008C3C0A"/>
    <w:rsid w:val="008C55CC"/>
    <w:rsid w:val="008D1AC8"/>
    <w:rsid w:val="008D4037"/>
    <w:rsid w:val="008D4C10"/>
    <w:rsid w:val="008E06D2"/>
    <w:rsid w:val="008E0B7D"/>
    <w:rsid w:val="008E6727"/>
    <w:rsid w:val="008E6FC1"/>
    <w:rsid w:val="008E7DA5"/>
    <w:rsid w:val="008F268A"/>
    <w:rsid w:val="008F27E3"/>
    <w:rsid w:val="008F5264"/>
    <w:rsid w:val="009013CB"/>
    <w:rsid w:val="00902A4A"/>
    <w:rsid w:val="00902F73"/>
    <w:rsid w:val="00910809"/>
    <w:rsid w:val="00911DF2"/>
    <w:rsid w:val="00913FF5"/>
    <w:rsid w:val="0091471A"/>
    <w:rsid w:val="00915604"/>
    <w:rsid w:val="00915FE0"/>
    <w:rsid w:val="009203AE"/>
    <w:rsid w:val="0092114B"/>
    <w:rsid w:val="00921630"/>
    <w:rsid w:val="00923933"/>
    <w:rsid w:val="00926DAD"/>
    <w:rsid w:val="00932DBA"/>
    <w:rsid w:val="009363C7"/>
    <w:rsid w:val="00937774"/>
    <w:rsid w:val="00941FA7"/>
    <w:rsid w:val="0094293C"/>
    <w:rsid w:val="009429F5"/>
    <w:rsid w:val="0095156C"/>
    <w:rsid w:val="00952DB3"/>
    <w:rsid w:val="00955684"/>
    <w:rsid w:val="00955F5E"/>
    <w:rsid w:val="009602EE"/>
    <w:rsid w:val="00963B2A"/>
    <w:rsid w:val="00964F53"/>
    <w:rsid w:val="009665C6"/>
    <w:rsid w:val="0097232E"/>
    <w:rsid w:val="00974F58"/>
    <w:rsid w:val="00975059"/>
    <w:rsid w:val="00976F4F"/>
    <w:rsid w:val="00977ED3"/>
    <w:rsid w:val="009831BE"/>
    <w:rsid w:val="0098324A"/>
    <w:rsid w:val="009853BD"/>
    <w:rsid w:val="009853CE"/>
    <w:rsid w:val="00986387"/>
    <w:rsid w:val="00986555"/>
    <w:rsid w:val="00986DA3"/>
    <w:rsid w:val="0098706C"/>
    <w:rsid w:val="00990A9D"/>
    <w:rsid w:val="00992F7C"/>
    <w:rsid w:val="009953B1"/>
    <w:rsid w:val="009A03EF"/>
    <w:rsid w:val="009A1B15"/>
    <w:rsid w:val="009A3105"/>
    <w:rsid w:val="009A42FE"/>
    <w:rsid w:val="009A4C00"/>
    <w:rsid w:val="009A4D0F"/>
    <w:rsid w:val="009A5741"/>
    <w:rsid w:val="009B12AC"/>
    <w:rsid w:val="009B1AC0"/>
    <w:rsid w:val="009B375A"/>
    <w:rsid w:val="009B3B0F"/>
    <w:rsid w:val="009B7D2F"/>
    <w:rsid w:val="009C0A1D"/>
    <w:rsid w:val="009C1102"/>
    <w:rsid w:val="009C4AE1"/>
    <w:rsid w:val="009C7834"/>
    <w:rsid w:val="009D2FAB"/>
    <w:rsid w:val="009D40FE"/>
    <w:rsid w:val="009D5E49"/>
    <w:rsid w:val="009D723E"/>
    <w:rsid w:val="009E0F4B"/>
    <w:rsid w:val="009E2049"/>
    <w:rsid w:val="009E2BD8"/>
    <w:rsid w:val="009E3743"/>
    <w:rsid w:val="009E407A"/>
    <w:rsid w:val="009E513D"/>
    <w:rsid w:val="009E51A1"/>
    <w:rsid w:val="009E5825"/>
    <w:rsid w:val="009F1475"/>
    <w:rsid w:val="009F2290"/>
    <w:rsid w:val="009F4108"/>
    <w:rsid w:val="009F56FB"/>
    <w:rsid w:val="009F5A20"/>
    <w:rsid w:val="009F5EE9"/>
    <w:rsid w:val="00A002FE"/>
    <w:rsid w:val="00A06246"/>
    <w:rsid w:val="00A1018F"/>
    <w:rsid w:val="00A101F6"/>
    <w:rsid w:val="00A104FA"/>
    <w:rsid w:val="00A13C82"/>
    <w:rsid w:val="00A157D0"/>
    <w:rsid w:val="00A15A22"/>
    <w:rsid w:val="00A16E30"/>
    <w:rsid w:val="00A178A7"/>
    <w:rsid w:val="00A215BE"/>
    <w:rsid w:val="00A228E4"/>
    <w:rsid w:val="00A22CDA"/>
    <w:rsid w:val="00A32BFA"/>
    <w:rsid w:val="00A343BA"/>
    <w:rsid w:val="00A34D72"/>
    <w:rsid w:val="00A3653D"/>
    <w:rsid w:val="00A42DD7"/>
    <w:rsid w:val="00A478CC"/>
    <w:rsid w:val="00A50E11"/>
    <w:rsid w:val="00A50E8A"/>
    <w:rsid w:val="00A50EAC"/>
    <w:rsid w:val="00A52574"/>
    <w:rsid w:val="00A53257"/>
    <w:rsid w:val="00A565EE"/>
    <w:rsid w:val="00A573CD"/>
    <w:rsid w:val="00A577EF"/>
    <w:rsid w:val="00A60A32"/>
    <w:rsid w:val="00A66F85"/>
    <w:rsid w:val="00A6707E"/>
    <w:rsid w:val="00A722C0"/>
    <w:rsid w:val="00A72595"/>
    <w:rsid w:val="00A752DA"/>
    <w:rsid w:val="00A7745E"/>
    <w:rsid w:val="00A80E3C"/>
    <w:rsid w:val="00A848E8"/>
    <w:rsid w:val="00A84D1C"/>
    <w:rsid w:val="00A85E65"/>
    <w:rsid w:val="00A86530"/>
    <w:rsid w:val="00A90D5A"/>
    <w:rsid w:val="00A91EA2"/>
    <w:rsid w:val="00A92462"/>
    <w:rsid w:val="00A92D4A"/>
    <w:rsid w:val="00A942C2"/>
    <w:rsid w:val="00A974E6"/>
    <w:rsid w:val="00A97509"/>
    <w:rsid w:val="00A97988"/>
    <w:rsid w:val="00A979F9"/>
    <w:rsid w:val="00AA3384"/>
    <w:rsid w:val="00AA4CE5"/>
    <w:rsid w:val="00AA4FFA"/>
    <w:rsid w:val="00AA6910"/>
    <w:rsid w:val="00AB005F"/>
    <w:rsid w:val="00AB07E4"/>
    <w:rsid w:val="00AB2943"/>
    <w:rsid w:val="00AB2F7B"/>
    <w:rsid w:val="00AB5748"/>
    <w:rsid w:val="00AC20CA"/>
    <w:rsid w:val="00AC4B6A"/>
    <w:rsid w:val="00AC4E91"/>
    <w:rsid w:val="00AC5EB1"/>
    <w:rsid w:val="00AC67C9"/>
    <w:rsid w:val="00AC77B2"/>
    <w:rsid w:val="00AC7AEF"/>
    <w:rsid w:val="00AD43F3"/>
    <w:rsid w:val="00AD5E65"/>
    <w:rsid w:val="00AD791E"/>
    <w:rsid w:val="00AE0E80"/>
    <w:rsid w:val="00AE3BED"/>
    <w:rsid w:val="00AE6908"/>
    <w:rsid w:val="00AF0816"/>
    <w:rsid w:val="00AF4C72"/>
    <w:rsid w:val="00AF6858"/>
    <w:rsid w:val="00AF71FF"/>
    <w:rsid w:val="00AF78DE"/>
    <w:rsid w:val="00B01AE7"/>
    <w:rsid w:val="00B023B0"/>
    <w:rsid w:val="00B02D07"/>
    <w:rsid w:val="00B036DB"/>
    <w:rsid w:val="00B05A21"/>
    <w:rsid w:val="00B06A76"/>
    <w:rsid w:val="00B06D83"/>
    <w:rsid w:val="00B07FB7"/>
    <w:rsid w:val="00B11539"/>
    <w:rsid w:val="00B126D3"/>
    <w:rsid w:val="00B12E79"/>
    <w:rsid w:val="00B14613"/>
    <w:rsid w:val="00B148CA"/>
    <w:rsid w:val="00B14DB9"/>
    <w:rsid w:val="00B153FE"/>
    <w:rsid w:val="00B15891"/>
    <w:rsid w:val="00B163C0"/>
    <w:rsid w:val="00B204E4"/>
    <w:rsid w:val="00B2456D"/>
    <w:rsid w:val="00B24BCF"/>
    <w:rsid w:val="00B3057A"/>
    <w:rsid w:val="00B32EAA"/>
    <w:rsid w:val="00B35857"/>
    <w:rsid w:val="00B36925"/>
    <w:rsid w:val="00B370F2"/>
    <w:rsid w:val="00B417A5"/>
    <w:rsid w:val="00B423C3"/>
    <w:rsid w:val="00B45E02"/>
    <w:rsid w:val="00B463A9"/>
    <w:rsid w:val="00B4703A"/>
    <w:rsid w:val="00B50796"/>
    <w:rsid w:val="00B50C54"/>
    <w:rsid w:val="00B51506"/>
    <w:rsid w:val="00B55307"/>
    <w:rsid w:val="00B561E5"/>
    <w:rsid w:val="00B60C79"/>
    <w:rsid w:val="00B60F0E"/>
    <w:rsid w:val="00B62895"/>
    <w:rsid w:val="00B64E35"/>
    <w:rsid w:val="00B66B00"/>
    <w:rsid w:val="00B66DCA"/>
    <w:rsid w:val="00B6782D"/>
    <w:rsid w:val="00B67E08"/>
    <w:rsid w:val="00B71456"/>
    <w:rsid w:val="00B739D4"/>
    <w:rsid w:val="00B73E5B"/>
    <w:rsid w:val="00B74B73"/>
    <w:rsid w:val="00B768CE"/>
    <w:rsid w:val="00B76F0A"/>
    <w:rsid w:val="00B77244"/>
    <w:rsid w:val="00B82A04"/>
    <w:rsid w:val="00B8376F"/>
    <w:rsid w:val="00B926A8"/>
    <w:rsid w:val="00B92916"/>
    <w:rsid w:val="00B947EE"/>
    <w:rsid w:val="00B953D9"/>
    <w:rsid w:val="00B95695"/>
    <w:rsid w:val="00B956FC"/>
    <w:rsid w:val="00B95FF1"/>
    <w:rsid w:val="00BA40E7"/>
    <w:rsid w:val="00BA458B"/>
    <w:rsid w:val="00BA55CB"/>
    <w:rsid w:val="00BA7BF7"/>
    <w:rsid w:val="00BB0787"/>
    <w:rsid w:val="00BB0A21"/>
    <w:rsid w:val="00BB1091"/>
    <w:rsid w:val="00BB1177"/>
    <w:rsid w:val="00BB18FD"/>
    <w:rsid w:val="00BB3857"/>
    <w:rsid w:val="00BB4BCC"/>
    <w:rsid w:val="00BC1972"/>
    <w:rsid w:val="00BC4D46"/>
    <w:rsid w:val="00BC7337"/>
    <w:rsid w:val="00BD20DB"/>
    <w:rsid w:val="00BD3050"/>
    <w:rsid w:val="00BD334E"/>
    <w:rsid w:val="00BD70B7"/>
    <w:rsid w:val="00BD7CD2"/>
    <w:rsid w:val="00BD7FCA"/>
    <w:rsid w:val="00BE0213"/>
    <w:rsid w:val="00BE114C"/>
    <w:rsid w:val="00BE300C"/>
    <w:rsid w:val="00BE3183"/>
    <w:rsid w:val="00BE3726"/>
    <w:rsid w:val="00BE5EC1"/>
    <w:rsid w:val="00BF006F"/>
    <w:rsid w:val="00BF088D"/>
    <w:rsid w:val="00BF1AD4"/>
    <w:rsid w:val="00BF26EF"/>
    <w:rsid w:val="00BF3AA9"/>
    <w:rsid w:val="00BF7F6C"/>
    <w:rsid w:val="00C00699"/>
    <w:rsid w:val="00C0341A"/>
    <w:rsid w:val="00C03CB1"/>
    <w:rsid w:val="00C03F21"/>
    <w:rsid w:val="00C04A41"/>
    <w:rsid w:val="00C04E09"/>
    <w:rsid w:val="00C07E1A"/>
    <w:rsid w:val="00C10BA2"/>
    <w:rsid w:val="00C13238"/>
    <w:rsid w:val="00C1566F"/>
    <w:rsid w:val="00C226D8"/>
    <w:rsid w:val="00C23979"/>
    <w:rsid w:val="00C239ED"/>
    <w:rsid w:val="00C253B1"/>
    <w:rsid w:val="00C26411"/>
    <w:rsid w:val="00C26425"/>
    <w:rsid w:val="00C278CE"/>
    <w:rsid w:val="00C27BDD"/>
    <w:rsid w:val="00C3017B"/>
    <w:rsid w:val="00C31794"/>
    <w:rsid w:val="00C34291"/>
    <w:rsid w:val="00C4080D"/>
    <w:rsid w:val="00C4377D"/>
    <w:rsid w:val="00C448CA"/>
    <w:rsid w:val="00C503C2"/>
    <w:rsid w:val="00C51C31"/>
    <w:rsid w:val="00C55B95"/>
    <w:rsid w:val="00C56229"/>
    <w:rsid w:val="00C62BBC"/>
    <w:rsid w:val="00C62FDC"/>
    <w:rsid w:val="00C6598F"/>
    <w:rsid w:val="00C661C3"/>
    <w:rsid w:val="00C666A3"/>
    <w:rsid w:val="00C7444F"/>
    <w:rsid w:val="00C769E0"/>
    <w:rsid w:val="00C76E71"/>
    <w:rsid w:val="00C80F7C"/>
    <w:rsid w:val="00C812A2"/>
    <w:rsid w:val="00C83180"/>
    <w:rsid w:val="00C83B8D"/>
    <w:rsid w:val="00C840C7"/>
    <w:rsid w:val="00C86CD1"/>
    <w:rsid w:val="00C91651"/>
    <w:rsid w:val="00C91928"/>
    <w:rsid w:val="00C91C78"/>
    <w:rsid w:val="00C936B5"/>
    <w:rsid w:val="00C9689F"/>
    <w:rsid w:val="00CA4B26"/>
    <w:rsid w:val="00CA5AF5"/>
    <w:rsid w:val="00CA76BF"/>
    <w:rsid w:val="00CA78BF"/>
    <w:rsid w:val="00CB0120"/>
    <w:rsid w:val="00CB2C0D"/>
    <w:rsid w:val="00CB4ECC"/>
    <w:rsid w:val="00CB52B9"/>
    <w:rsid w:val="00CB569A"/>
    <w:rsid w:val="00CB6680"/>
    <w:rsid w:val="00CB6FF6"/>
    <w:rsid w:val="00CB77B7"/>
    <w:rsid w:val="00CC0CA1"/>
    <w:rsid w:val="00CC306D"/>
    <w:rsid w:val="00CC5639"/>
    <w:rsid w:val="00CC68C1"/>
    <w:rsid w:val="00CC74D7"/>
    <w:rsid w:val="00CC7FEA"/>
    <w:rsid w:val="00CD02E7"/>
    <w:rsid w:val="00CD09E9"/>
    <w:rsid w:val="00CD1E1A"/>
    <w:rsid w:val="00CD2AE1"/>
    <w:rsid w:val="00CD3593"/>
    <w:rsid w:val="00CD3CA5"/>
    <w:rsid w:val="00CE102A"/>
    <w:rsid w:val="00CE1142"/>
    <w:rsid w:val="00CE423B"/>
    <w:rsid w:val="00CE4B13"/>
    <w:rsid w:val="00CE4BEB"/>
    <w:rsid w:val="00CE575F"/>
    <w:rsid w:val="00CE77F2"/>
    <w:rsid w:val="00CF0431"/>
    <w:rsid w:val="00CF04DD"/>
    <w:rsid w:val="00CF1635"/>
    <w:rsid w:val="00CF52DD"/>
    <w:rsid w:val="00CF68EF"/>
    <w:rsid w:val="00D024E5"/>
    <w:rsid w:val="00D034A6"/>
    <w:rsid w:val="00D03AC9"/>
    <w:rsid w:val="00D07557"/>
    <w:rsid w:val="00D10E68"/>
    <w:rsid w:val="00D10FA2"/>
    <w:rsid w:val="00D11584"/>
    <w:rsid w:val="00D1216C"/>
    <w:rsid w:val="00D124B1"/>
    <w:rsid w:val="00D13D8C"/>
    <w:rsid w:val="00D1450E"/>
    <w:rsid w:val="00D15B1F"/>
    <w:rsid w:val="00D22450"/>
    <w:rsid w:val="00D25380"/>
    <w:rsid w:val="00D25BF9"/>
    <w:rsid w:val="00D314E2"/>
    <w:rsid w:val="00D341EC"/>
    <w:rsid w:val="00D4470E"/>
    <w:rsid w:val="00D455A2"/>
    <w:rsid w:val="00D45638"/>
    <w:rsid w:val="00D46921"/>
    <w:rsid w:val="00D46E27"/>
    <w:rsid w:val="00D54DC6"/>
    <w:rsid w:val="00D554C4"/>
    <w:rsid w:val="00D57887"/>
    <w:rsid w:val="00D62521"/>
    <w:rsid w:val="00D6696E"/>
    <w:rsid w:val="00D677C6"/>
    <w:rsid w:val="00D67A8C"/>
    <w:rsid w:val="00D722AF"/>
    <w:rsid w:val="00D727F5"/>
    <w:rsid w:val="00D73E66"/>
    <w:rsid w:val="00D74543"/>
    <w:rsid w:val="00D760CF"/>
    <w:rsid w:val="00D769F9"/>
    <w:rsid w:val="00D77448"/>
    <w:rsid w:val="00D77BF3"/>
    <w:rsid w:val="00D80174"/>
    <w:rsid w:val="00D819B3"/>
    <w:rsid w:val="00D81F8F"/>
    <w:rsid w:val="00D856CE"/>
    <w:rsid w:val="00D86C61"/>
    <w:rsid w:val="00D90A01"/>
    <w:rsid w:val="00D925D5"/>
    <w:rsid w:val="00D942F6"/>
    <w:rsid w:val="00D946F1"/>
    <w:rsid w:val="00D972B6"/>
    <w:rsid w:val="00DA03D1"/>
    <w:rsid w:val="00DA1334"/>
    <w:rsid w:val="00DA15BA"/>
    <w:rsid w:val="00DA1C98"/>
    <w:rsid w:val="00DA26D1"/>
    <w:rsid w:val="00DA4A28"/>
    <w:rsid w:val="00DA753C"/>
    <w:rsid w:val="00DB2418"/>
    <w:rsid w:val="00DB29FB"/>
    <w:rsid w:val="00DB3544"/>
    <w:rsid w:val="00DC1296"/>
    <w:rsid w:val="00DC612A"/>
    <w:rsid w:val="00DC6625"/>
    <w:rsid w:val="00DC6FA5"/>
    <w:rsid w:val="00DD477E"/>
    <w:rsid w:val="00DD66EC"/>
    <w:rsid w:val="00DE0046"/>
    <w:rsid w:val="00DE04E0"/>
    <w:rsid w:val="00DE5806"/>
    <w:rsid w:val="00DE7514"/>
    <w:rsid w:val="00DF1A93"/>
    <w:rsid w:val="00DF28CB"/>
    <w:rsid w:val="00DF3D7B"/>
    <w:rsid w:val="00DF4AD2"/>
    <w:rsid w:val="00DF63D7"/>
    <w:rsid w:val="00DF740C"/>
    <w:rsid w:val="00E02273"/>
    <w:rsid w:val="00E11303"/>
    <w:rsid w:val="00E132A0"/>
    <w:rsid w:val="00E1402C"/>
    <w:rsid w:val="00E14686"/>
    <w:rsid w:val="00E170D0"/>
    <w:rsid w:val="00E175DF"/>
    <w:rsid w:val="00E201CA"/>
    <w:rsid w:val="00E20D38"/>
    <w:rsid w:val="00E27235"/>
    <w:rsid w:val="00E30E50"/>
    <w:rsid w:val="00E31597"/>
    <w:rsid w:val="00E32E74"/>
    <w:rsid w:val="00E363AC"/>
    <w:rsid w:val="00E400CD"/>
    <w:rsid w:val="00E40AE6"/>
    <w:rsid w:val="00E40DAC"/>
    <w:rsid w:val="00E4164E"/>
    <w:rsid w:val="00E41B46"/>
    <w:rsid w:val="00E41CC4"/>
    <w:rsid w:val="00E43AED"/>
    <w:rsid w:val="00E5122D"/>
    <w:rsid w:val="00E53462"/>
    <w:rsid w:val="00E541E5"/>
    <w:rsid w:val="00E54209"/>
    <w:rsid w:val="00E5441C"/>
    <w:rsid w:val="00E547C2"/>
    <w:rsid w:val="00E55694"/>
    <w:rsid w:val="00E609B9"/>
    <w:rsid w:val="00E6133A"/>
    <w:rsid w:val="00E61CC7"/>
    <w:rsid w:val="00E63D63"/>
    <w:rsid w:val="00E64B55"/>
    <w:rsid w:val="00E659C8"/>
    <w:rsid w:val="00E66663"/>
    <w:rsid w:val="00E67CC9"/>
    <w:rsid w:val="00E704BD"/>
    <w:rsid w:val="00E70FE6"/>
    <w:rsid w:val="00E71FE3"/>
    <w:rsid w:val="00E72127"/>
    <w:rsid w:val="00E72354"/>
    <w:rsid w:val="00E733BC"/>
    <w:rsid w:val="00E7356C"/>
    <w:rsid w:val="00E748E9"/>
    <w:rsid w:val="00E81B81"/>
    <w:rsid w:val="00E82DC4"/>
    <w:rsid w:val="00E83CF2"/>
    <w:rsid w:val="00E878D5"/>
    <w:rsid w:val="00E87AF6"/>
    <w:rsid w:val="00E93B30"/>
    <w:rsid w:val="00E94633"/>
    <w:rsid w:val="00E95203"/>
    <w:rsid w:val="00E9669B"/>
    <w:rsid w:val="00E96CEF"/>
    <w:rsid w:val="00E9719C"/>
    <w:rsid w:val="00EA0221"/>
    <w:rsid w:val="00EA0BCF"/>
    <w:rsid w:val="00EA0F4A"/>
    <w:rsid w:val="00EA1590"/>
    <w:rsid w:val="00EA24FF"/>
    <w:rsid w:val="00EA2B4C"/>
    <w:rsid w:val="00EA4B0D"/>
    <w:rsid w:val="00EA58EE"/>
    <w:rsid w:val="00EA594A"/>
    <w:rsid w:val="00EA5D07"/>
    <w:rsid w:val="00EA635F"/>
    <w:rsid w:val="00EA6638"/>
    <w:rsid w:val="00EA6A04"/>
    <w:rsid w:val="00EB2AAE"/>
    <w:rsid w:val="00EC0855"/>
    <w:rsid w:val="00EC12D5"/>
    <w:rsid w:val="00EC2296"/>
    <w:rsid w:val="00EC2EB3"/>
    <w:rsid w:val="00EC3F79"/>
    <w:rsid w:val="00EC4701"/>
    <w:rsid w:val="00EC53A9"/>
    <w:rsid w:val="00EC6D38"/>
    <w:rsid w:val="00ED0642"/>
    <w:rsid w:val="00ED5D1F"/>
    <w:rsid w:val="00ED639F"/>
    <w:rsid w:val="00EE1922"/>
    <w:rsid w:val="00EE2A79"/>
    <w:rsid w:val="00EE3212"/>
    <w:rsid w:val="00EE595C"/>
    <w:rsid w:val="00EF24FD"/>
    <w:rsid w:val="00EF2AD1"/>
    <w:rsid w:val="00EF496D"/>
    <w:rsid w:val="00EF5182"/>
    <w:rsid w:val="00EF54E5"/>
    <w:rsid w:val="00EF65A3"/>
    <w:rsid w:val="00EF6F98"/>
    <w:rsid w:val="00F002DF"/>
    <w:rsid w:val="00F01B2E"/>
    <w:rsid w:val="00F01B3C"/>
    <w:rsid w:val="00F03A47"/>
    <w:rsid w:val="00F04713"/>
    <w:rsid w:val="00F131BF"/>
    <w:rsid w:val="00F230DD"/>
    <w:rsid w:val="00F23DEF"/>
    <w:rsid w:val="00F24B4A"/>
    <w:rsid w:val="00F258F3"/>
    <w:rsid w:val="00F25BFD"/>
    <w:rsid w:val="00F26DCB"/>
    <w:rsid w:val="00F301D5"/>
    <w:rsid w:val="00F3159E"/>
    <w:rsid w:val="00F32601"/>
    <w:rsid w:val="00F346DE"/>
    <w:rsid w:val="00F35A11"/>
    <w:rsid w:val="00F37F6F"/>
    <w:rsid w:val="00F41AE8"/>
    <w:rsid w:val="00F450A4"/>
    <w:rsid w:val="00F453BA"/>
    <w:rsid w:val="00F45D13"/>
    <w:rsid w:val="00F460D0"/>
    <w:rsid w:val="00F46BFC"/>
    <w:rsid w:val="00F46C12"/>
    <w:rsid w:val="00F53CE7"/>
    <w:rsid w:val="00F540E8"/>
    <w:rsid w:val="00F549EB"/>
    <w:rsid w:val="00F577FF"/>
    <w:rsid w:val="00F6167A"/>
    <w:rsid w:val="00F6334D"/>
    <w:rsid w:val="00F65AE2"/>
    <w:rsid w:val="00F7307A"/>
    <w:rsid w:val="00F759F2"/>
    <w:rsid w:val="00F75B28"/>
    <w:rsid w:val="00F767FE"/>
    <w:rsid w:val="00F76C1E"/>
    <w:rsid w:val="00F82FAA"/>
    <w:rsid w:val="00F8404B"/>
    <w:rsid w:val="00F84C3E"/>
    <w:rsid w:val="00F84FC7"/>
    <w:rsid w:val="00F91AAD"/>
    <w:rsid w:val="00F9333C"/>
    <w:rsid w:val="00F93C9E"/>
    <w:rsid w:val="00F93F64"/>
    <w:rsid w:val="00F95FA5"/>
    <w:rsid w:val="00F96015"/>
    <w:rsid w:val="00FA0315"/>
    <w:rsid w:val="00FA280A"/>
    <w:rsid w:val="00FA2E02"/>
    <w:rsid w:val="00FA3489"/>
    <w:rsid w:val="00FA45CC"/>
    <w:rsid w:val="00FA6C6A"/>
    <w:rsid w:val="00FA6F4E"/>
    <w:rsid w:val="00FB1B3F"/>
    <w:rsid w:val="00FB2602"/>
    <w:rsid w:val="00FB4BEC"/>
    <w:rsid w:val="00FB5124"/>
    <w:rsid w:val="00FB5841"/>
    <w:rsid w:val="00FB5FFB"/>
    <w:rsid w:val="00FC71FF"/>
    <w:rsid w:val="00FD15C1"/>
    <w:rsid w:val="00FD3526"/>
    <w:rsid w:val="00FD3FAF"/>
    <w:rsid w:val="00FD4246"/>
    <w:rsid w:val="00FD4EE2"/>
    <w:rsid w:val="00FD7775"/>
    <w:rsid w:val="00FE0572"/>
    <w:rsid w:val="00FE15E3"/>
    <w:rsid w:val="00FE2F0D"/>
    <w:rsid w:val="00FE3E0D"/>
    <w:rsid w:val="00FE5C4F"/>
    <w:rsid w:val="00FE6D56"/>
    <w:rsid w:val="00FE79ED"/>
    <w:rsid w:val="00FF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01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locked="1" w:semiHidden="0" w:uiPriority="0" w:unhideWhenUsed="0"/>
    <w:lsdException w:name="header" w:uiPriority="0"/>
    <w:lsdException w:name="footer" w:uiPriority="0"/>
    <w:lsdException w:name="caption" w:locked="1"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F2"/>
    <w:pPr>
      <w:widowControl w:val="0"/>
    </w:pPr>
    <w:rPr>
      <w:snapToGrid w:val="0"/>
      <w:kern w:val="28"/>
      <w:szCs w:val="20"/>
    </w:rPr>
  </w:style>
  <w:style w:type="paragraph" w:styleId="Heading1">
    <w:name w:val="heading 1"/>
    <w:basedOn w:val="Normal"/>
    <w:next w:val="ParaNum"/>
    <w:link w:val="Heading1Char"/>
    <w:qFormat/>
    <w:rsid w:val="008452F2"/>
    <w:pPr>
      <w:keepNext/>
      <w:numPr>
        <w:numId w:val="6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52F2"/>
    <w:pPr>
      <w:keepNext/>
      <w:numPr>
        <w:ilvl w:val="1"/>
        <w:numId w:val="60"/>
      </w:numPr>
      <w:spacing w:after="120"/>
      <w:outlineLvl w:val="1"/>
    </w:pPr>
    <w:rPr>
      <w:b/>
    </w:rPr>
  </w:style>
  <w:style w:type="paragraph" w:styleId="Heading3">
    <w:name w:val="heading 3"/>
    <w:basedOn w:val="Normal"/>
    <w:next w:val="ParaNum"/>
    <w:link w:val="Heading3Char"/>
    <w:qFormat/>
    <w:rsid w:val="008452F2"/>
    <w:pPr>
      <w:keepNext/>
      <w:numPr>
        <w:ilvl w:val="2"/>
        <w:numId w:val="60"/>
      </w:numPr>
      <w:tabs>
        <w:tab w:val="left" w:pos="2160"/>
      </w:tabs>
      <w:spacing w:after="120"/>
      <w:outlineLvl w:val="2"/>
    </w:pPr>
    <w:rPr>
      <w:b/>
    </w:rPr>
  </w:style>
  <w:style w:type="paragraph" w:styleId="Heading4">
    <w:name w:val="heading 4"/>
    <w:basedOn w:val="Normal"/>
    <w:next w:val="ParaNum"/>
    <w:link w:val="Heading4Char"/>
    <w:qFormat/>
    <w:rsid w:val="008452F2"/>
    <w:pPr>
      <w:keepNext/>
      <w:numPr>
        <w:ilvl w:val="3"/>
        <w:numId w:val="60"/>
      </w:numPr>
      <w:tabs>
        <w:tab w:val="left" w:pos="2880"/>
      </w:tabs>
      <w:spacing w:after="120"/>
      <w:outlineLvl w:val="3"/>
    </w:pPr>
    <w:rPr>
      <w:b/>
    </w:rPr>
  </w:style>
  <w:style w:type="paragraph" w:styleId="Heading5">
    <w:name w:val="heading 5"/>
    <w:basedOn w:val="Normal"/>
    <w:next w:val="ParaNum"/>
    <w:link w:val="Heading5Char"/>
    <w:qFormat/>
    <w:rsid w:val="008452F2"/>
    <w:pPr>
      <w:keepNext/>
      <w:numPr>
        <w:ilvl w:val="4"/>
        <w:numId w:val="60"/>
      </w:numPr>
      <w:tabs>
        <w:tab w:val="left" w:pos="3600"/>
      </w:tabs>
      <w:suppressAutoHyphens/>
      <w:spacing w:after="120"/>
      <w:outlineLvl w:val="4"/>
    </w:pPr>
    <w:rPr>
      <w:b/>
    </w:rPr>
  </w:style>
  <w:style w:type="paragraph" w:styleId="Heading6">
    <w:name w:val="heading 6"/>
    <w:basedOn w:val="Normal"/>
    <w:next w:val="ParaNum"/>
    <w:link w:val="Heading6Char"/>
    <w:qFormat/>
    <w:rsid w:val="008452F2"/>
    <w:pPr>
      <w:numPr>
        <w:ilvl w:val="5"/>
        <w:numId w:val="60"/>
      </w:numPr>
      <w:tabs>
        <w:tab w:val="left" w:pos="4320"/>
      </w:tabs>
      <w:spacing w:after="120"/>
      <w:outlineLvl w:val="5"/>
    </w:pPr>
    <w:rPr>
      <w:b/>
    </w:rPr>
  </w:style>
  <w:style w:type="paragraph" w:styleId="Heading7">
    <w:name w:val="heading 7"/>
    <w:basedOn w:val="Normal"/>
    <w:next w:val="ParaNum"/>
    <w:link w:val="Heading7Char"/>
    <w:qFormat/>
    <w:rsid w:val="008452F2"/>
    <w:pPr>
      <w:numPr>
        <w:ilvl w:val="6"/>
        <w:numId w:val="60"/>
      </w:numPr>
      <w:tabs>
        <w:tab w:val="left" w:pos="5040"/>
      </w:tabs>
      <w:spacing w:after="120"/>
      <w:ind w:left="5040" w:hanging="720"/>
      <w:outlineLvl w:val="6"/>
    </w:pPr>
    <w:rPr>
      <w:b/>
    </w:rPr>
  </w:style>
  <w:style w:type="paragraph" w:styleId="Heading8">
    <w:name w:val="heading 8"/>
    <w:basedOn w:val="Normal"/>
    <w:next w:val="ParaNum"/>
    <w:link w:val="Heading8Char"/>
    <w:qFormat/>
    <w:rsid w:val="008452F2"/>
    <w:pPr>
      <w:numPr>
        <w:ilvl w:val="7"/>
        <w:numId w:val="60"/>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452F2"/>
    <w:pPr>
      <w:numPr>
        <w:ilvl w:val="8"/>
        <w:numId w:val="6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52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52F2"/>
  </w:style>
  <w:style w:type="character" w:customStyle="1" w:styleId="Heading1Char">
    <w:name w:val="Heading 1 Char"/>
    <w:basedOn w:val="DefaultParagraphFont"/>
    <w:link w:val="Heading1"/>
    <w:locked/>
    <w:rPr>
      <w:rFonts w:ascii="Times New Roman Bold" w:hAnsi="Times New Roman Bold"/>
      <w:b/>
      <w:caps/>
      <w:snapToGrid w:val="0"/>
      <w:kern w:val="28"/>
      <w:szCs w:val="20"/>
    </w:rPr>
  </w:style>
  <w:style w:type="character" w:customStyle="1" w:styleId="Heading2Char">
    <w:name w:val="Heading 2 Char"/>
    <w:basedOn w:val="DefaultParagraphFont"/>
    <w:link w:val="Heading2"/>
    <w:locked/>
    <w:rPr>
      <w:b/>
      <w:snapToGrid w:val="0"/>
      <w:kern w:val="28"/>
      <w:szCs w:val="20"/>
    </w:rPr>
  </w:style>
  <w:style w:type="character" w:customStyle="1" w:styleId="Heading3Char">
    <w:name w:val="Heading 3 Char"/>
    <w:basedOn w:val="DefaultParagraphFont"/>
    <w:link w:val="Heading3"/>
    <w:locked/>
    <w:rPr>
      <w:b/>
      <w:snapToGrid w:val="0"/>
      <w:kern w:val="28"/>
      <w:szCs w:val="20"/>
    </w:rPr>
  </w:style>
  <w:style w:type="character" w:customStyle="1" w:styleId="Heading4Char">
    <w:name w:val="Heading 4 Char"/>
    <w:basedOn w:val="DefaultParagraphFont"/>
    <w:link w:val="Heading4"/>
    <w:locked/>
    <w:rPr>
      <w:b/>
      <w:snapToGrid w:val="0"/>
      <w:kern w:val="28"/>
      <w:szCs w:val="20"/>
    </w:rPr>
  </w:style>
  <w:style w:type="character" w:customStyle="1" w:styleId="Heading5Char">
    <w:name w:val="Heading 5 Char"/>
    <w:basedOn w:val="DefaultParagraphFont"/>
    <w:link w:val="Heading5"/>
    <w:locked/>
    <w:rPr>
      <w:b/>
      <w:snapToGrid w:val="0"/>
      <w:kern w:val="28"/>
      <w:szCs w:val="20"/>
    </w:rPr>
  </w:style>
  <w:style w:type="character" w:customStyle="1" w:styleId="Heading6Char">
    <w:name w:val="Heading 6 Char"/>
    <w:basedOn w:val="DefaultParagraphFont"/>
    <w:link w:val="Heading6"/>
    <w:locked/>
    <w:rPr>
      <w:b/>
      <w:snapToGrid w:val="0"/>
      <w:kern w:val="28"/>
      <w:szCs w:val="20"/>
    </w:rPr>
  </w:style>
  <w:style w:type="character" w:customStyle="1" w:styleId="Heading7Char">
    <w:name w:val="Heading 7 Char"/>
    <w:basedOn w:val="DefaultParagraphFont"/>
    <w:link w:val="Heading7"/>
    <w:locked/>
    <w:rPr>
      <w:b/>
      <w:snapToGrid w:val="0"/>
      <w:kern w:val="28"/>
      <w:szCs w:val="20"/>
    </w:rPr>
  </w:style>
  <w:style w:type="character" w:customStyle="1" w:styleId="Heading8Char">
    <w:name w:val="Heading 8 Char"/>
    <w:basedOn w:val="DefaultParagraphFont"/>
    <w:link w:val="Heading8"/>
    <w:locked/>
    <w:rPr>
      <w:b/>
      <w:snapToGrid w:val="0"/>
      <w:kern w:val="28"/>
      <w:szCs w:val="20"/>
    </w:rPr>
  </w:style>
  <w:style w:type="character" w:customStyle="1" w:styleId="Heading9Char">
    <w:name w:val="Heading 9 Char"/>
    <w:basedOn w:val="DefaultParagraphFont"/>
    <w:link w:val="Heading9"/>
    <w:locked/>
    <w:rPr>
      <w:b/>
      <w:snapToGrid w:val="0"/>
      <w:kern w:val="28"/>
      <w:szCs w:val="20"/>
    </w:rPr>
  </w:style>
  <w:style w:type="paragraph" w:styleId="Caption">
    <w:name w:val="caption"/>
    <w:basedOn w:val="Normal"/>
    <w:next w:val="Normal"/>
    <w:uiPriority w:val="99"/>
    <w:qFormat/>
    <w:rsid w:val="004D040D"/>
    <w:pPr>
      <w:spacing w:before="120" w:after="120"/>
    </w:pPr>
    <w:rPr>
      <w:b/>
      <w:bCs/>
    </w:rPr>
  </w:style>
  <w:style w:type="paragraph" w:customStyle="1" w:styleId="ParaNum">
    <w:name w:val="ParaNum"/>
    <w:basedOn w:val="Normal"/>
    <w:link w:val="ParaNumChar"/>
    <w:rsid w:val="008452F2"/>
    <w:pPr>
      <w:numPr>
        <w:numId w:val="59"/>
      </w:numPr>
      <w:tabs>
        <w:tab w:val="clear" w:pos="1080"/>
        <w:tab w:val="num" w:pos="1440"/>
      </w:tabs>
      <w:spacing w:after="120"/>
    </w:p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link w:val="FootnoteTextChar3"/>
    <w:rsid w:val="008452F2"/>
    <w:pPr>
      <w:spacing w:after="120"/>
    </w:pPr>
    <w:rPr>
      <w:sz w:val="20"/>
      <w:szCs w:val="20"/>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
    <w:basedOn w:val="DefaultParagraphFont"/>
    <w:uiPriority w:val="99"/>
    <w:semiHidden/>
    <w:rsid w:val="00207AD5"/>
    <w:rPr>
      <w:sz w:val="20"/>
      <w:szCs w:val="20"/>
    </w:rPr>
  </w:style>
  <w:style w:type="character" w:customStyle="1" w:styleId="FootnoteTextChar3">
    <w:name w:val="Footnote Text Char3"/>
    <w:aliases w:val="Footnote Text Char2 Char1,Footnote Text Char1 Char3 Char1,Footnote Text Char Char Char Char1,Footnote Text Char1 Char Char Char Char1,Footnote Text Char2 Char Char Char Char Char1,Footnote Text Char Char Char Char Char Char Char1"/>
    <w:link w:val="FootnoteText"/>
    <w:locked/>
    <w:rsid w:val="00E87AF6"/>
    <w:rPr>
      <w:sz w:val="20"/>
      <w:szCs w:val="20"/>
    </w:rPr>
  </w:style>
  <w:style w:type="paragraph" w:customStyle="1" w:styleId="Bullet">
    <w:name w:val="Bullet"/>
    <w:basedOn w:val="Normal"/>
    <w:rsid w:val="008452F2"/>
    <w:pPr>
      <w:tabs>
        <w:tab w:val="left" w:pos="2160"/>
      </w:tabs>
      <w:spacing w:after="220"/>
      <w:ind w:left="2160" w:hanging="720"/>
    </w:pPr>
  </w:style>
  <w:style w:type="paragraph" w:styleId="BlockText">
    <w:name w:val="Block Text"/>
    <w:basedOn w:val="Normal"/>
    <w:rsid w:val="008452F2"/>
    <w:pPr>
      <w:spacing w:after="240"/>
      <w:ind w:left="1440" w:right="1440"/>
    </w:pPr>
  </w:style>
  <w:style w:type="paragraph" w:customStyle="1" w:styleId="TableFormat">
    <w:name w:val="TableFormat"/>
    <w:basedOn w:val="Bullet"/>
    <w:rsid w:val="008452F2"/>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sid w:val="008452F2"/>
    <w:rPr>
      <w:rFonts w:ascii="Times New Roman" w:hAnsi="Times New Roman"/>
      <w:dstrike w:val="0"/>
      <w:color w:val="auto"/>
      <w:sz w:val="20"/>
      <w:vertAlign w:val="superscript"/>
    </w:rPr>
  </w:style>
  <w:style w:type="paragraph" w:styleId="Header">
    <w:name w:val="header"/>
    <w:basedOn w:val="Normal"/>
    <w:link w:val="HeaderChar"/>
    <w:autoRedefine/>
    <w:rsid w:val="008452F2"/>
    <w:pPr>
      <w:tabs>
        <w:tab w:val="center" w:pos="4680"/>
        <w:tab w:val="right" w:pos="9360"/>
      </w:tabs>
    </w:pPr>
    <w:rPr>
      <w:b/>
    </w:rPr>
  </w:style>
  <w:style w:type="character" w:customStyle="1" w:styleId="HeaderChar">
    <w:name w:val="Header Char"/>
    <w:basedOn w:val="DefaultParagraphFont"/>
    <w:link w:val="Header"/>
    <w:locked/>
    <w:rPr>
      <w:b/>
      <w:snapToGrid w:val="0"/>
      <w:kern w:val="28"/>
      <w:szCs w:val="20"/>
    </w:rPr>
  </w:style>
  <w:style w:type="paragraph" w:styleId="Footer">
    <w:name w:val="footer"/>
    <w:basedOn w:val="Normal"/>
    <w:link w:val="FooterChar"/>
    <w:rsid w:val="008452F2"/>
    <w:pPr>
      <w:tabs>
        <w:tab w:val="center" w:pos="4320"/>
        <w:tab w:val="right" w:pos="8640"/>
      </w:tabs>
    </w:pPr>
  </w:style>
  <w:style w:type="character" w:customStyle="1" w:styleId="FooterChar">
    <w:name w:val="Footer Char"/>
    <w:basedOn w:val="DefaultParagraphFont"/>
    <w:link w:val="Footer"/>
    <w:locked/>
    <w:rPr>
      <w:snapToGrid w:val="0"/>
      <w:kern w:val="28"/>
      <w:szCs w:val="20"/>
    </w:rPr>
  </w:style>
  <w:style w:type="paragraph" w:styleId="TOC2">
    <w:name w:val="toc 2"/>
    <w:basedOn w:val="Normal"/>
    <w:next w:val="Normal"/>
    <w:semiHidden/>
    <w:rsid w:val="008452F2"/>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4D040D"/>
    <w:pPr>
      <w:numPr>
        <w:numId w:val="21"/>
      </w:numPr>
      <w:spacing w:after="220"/>
    </w:pPr>
  </w:style>
  <w:style w:type="paragraph" w:styleId="TOC1">
    <w:name w:val="toc 1"/>
    <w:basedOn w:val="Normal"/>
    <w:next w:val="Normal"/>
    <w:semiHidden/>
    <w:rsid w:val="008452F2"/>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8452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52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52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52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52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52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52F2"/>
    <w:pPr>
      <w:tabs>
        <w:tab w:val="left" w:pos="3240"/>
        <w:tab w:val="right" w:leader="dot" w:pos="9360"/>
      </w:tabs>
      <w:suppressAutoHyphens/>
      <w:ind w:left="3240" w:hanging="360"/>
    </w:pPr>
    <w:rPr>
      <w:noProof/>
    </w:rPr>
  </w:style>
  <w:style w:type="character" w:styleId="PageNumber">
    <w:name w:val="page number"/>
    <w:basedOn w:val="DefaultParagraphFont"/>
    <w:rsid w:val="008452F2"/>
  </w:style>
  <w:style w:type="paragraph" w:styleId="Title">
    <w:name w:val="Title"/>
    <w:basedOn w:val="Normal"/>
    <w:link w:val="TitleChar"/>
    <w:uiPriority w:val="99"/>
    <w:qFormat/>
    <w:rsid w:val="004D040D"/>
    <w:pPr>
      <w:jc w:val="center"/>
    </w:pPr>
    <w:rPr>
      <w:rFonts w:ascii="Cambria" w:hAnsi="Cambria" w:cs="Cambria"/>
      <w:b/>
      <w:bCs/>
      <w:sz w:val="32"/>
      <w:szCs w:val="32"/>
    </w:rPr>
  </w:style>
  <w:style w:type="character" w:customStyle="1" w:styleId="TitleChar">
    <w:name w:val="Title Char"/>
    <w:basedOn w:val="DefaultParagraphFont"/>
    <w:link w:val="Title"/>
    <w:uiPriority w:val="99"/>
    <w:locked/>
    <w:rPr>
      <w:rFonts w:ascii="Cambria" w:hAnsi="Cambria" w:cs="Cambria"/>
      <w:b/>
      <w:bCs/>
      <w:snapToGrid w:val="0"/>
      <w:kern w:val="28"/>
      <w:sz w:val="32"/>
      <w:szCs w:val="32"/>
    </w:rPr>
  </w:style>
  <w:style w:type="paragraph" w:styleId="DocumentMap">
    <w:name w:val="Document Map"/>
    <w:basedOn w:val="Normal"/>
    <w:link w:val="DocumentMapChar"/>
    <w:uiPriority w:val="99"/>
    <w:semiHidden/>
    <w:rsid w:val="004D040D"/>
    <w:pPr>
      <w:shd w:val="clear" w:color="auto" w:fill="000080"/>
    </w:pPr>
    <w:rPr>
      <w:sz w:val="2"/>
      <w:szCs w:val="2"/>
    </w:rPr>
  </w:style>
  <w:style w:type="character" w:customStyle="1" w:styleId="DocumentMapChar">
    <w:name w:val="Document Map Char"/>
    <w:basedOn w:val="DefaultParagraphFont"/>
    <w:link w:val="DocumentMap"/>
    <w:uiPriority w:val="99"/>
    <w:semiHidden/>
    <w:locked/>
    <w:rPr>
      <w:snapToGrid w:val="0"/>
      <w:kern w:val="28"/>
      <w:sz w:val="2"/>
      <w:szCs w:val="2"/>
      <w:shd w:val="clear" w:color="auto" w:fill="000080"/>
    </w:rPr>
  </w:style>
  <w:style w:type="paragraph" w:styleId="BalloonText">
    <w:name w:val="Balloon Text"/>
    <w:basedOn w:val="Normal"/>
    <w:link w:val="BalloonTextChar"/>
    <w:uiPriority w:val="99"/>
    <w:rsid w:val="004D040D"/>
    <w:rPr>
      <w:sz w:val="24"/>
      <w:szCs w:val="24"/>
    </w:rPr>
  </w:style>
  <w:style w:type="character" w:customStyle="1" w:styleId="BalloonTextChar">
    <w:name w:val="Balloon Text Char"/>
    <w:basedOn w:val="DefaultParagraphFont"/>
    <w:link w:val="BalloonText"/>
    <w:uiPriority w:val="99"/>
    <w:locked/>
    <w:rsid w:val="00AF78DE"/>
    <w:rPr>
      <w:snapToGrid w:val="0"/>
      <w:kern w:val="28"/>
      <w:sz w:val="24"/>
      <w:szCs w:val="24"/>
    </w:rPr>
  </w:style>
  <w:style w:type="character" w:customStyle="1" w:styleId="ALTSFOOTNOTEChar2">
    <w:name w:val="ALTS FOOTNOTE Char2"/>
    <w:aliases w:val="fn Char2,Footnote Text Char2 Char Char2,Footnote Text Char1 Char Char Char2,Footnote Text Char Char2 Char Char Char2,Footnote Text Char4 Char Char Char Char Char2,Footnote Text Char1 Char,fn Ch Char,f Char1,fn Ch Char Char"/>
    <w:uiPriority w:val="99"/>
    <w:semiHidden/>
    <w:locked/>
    <w:rsid w:val="00AC4E91"/>
    <w:rPr>
      <w:sz w:val="20"/>
      <w:szCs w:val="20"/>
    </w:rPr>
  </w:style>
  <w:style w:type="character" w:customStyle="1" w:styleId="ALTSFOOTNOTEChar">
    <w:name w:val="ALTS FOOTNOTE Char"/>
    <w:aliases w:val="fn Char,Footnote Text Char2 Char Char,Footnote Text Char Char2 Char Char Char,Footnote Text Char4 Char Char Char Char Char,Footnote Text Char2 Char1 Char Char Char Char Char,Footnote Text Char Char Char Char Char"/>
    <w:uiPriority w:val="99"/>
    <w:semiHidden/>
    <w:locked/>
    <w:rsid w:val="00AC4E91"/>
    <w:rPr>
      <w:sz w:val="22"/>
      <w:szCs w:val="22"/>
      <w:lang w:val="en-US" w:eastAsia="en-US"/>
    </w:rPr>
  </w:style>
  <w:style w:type="character" w:styleId="CommentReference">
    <w:name w:val="annotation reference"/>
    <w:basedOn w:val="DefaultParagraphFont"/>
    <w:uiPriority w:val="99"/>
    <w:semiHidden/>
    <w:rsid w:val="00D925D5"/>
    <w:rPr>
      <w:sz w:val="16"/>
      <w:szCs w:val="16"/>
    </w:rPr>
  </w:style>
  <w:style w:type="paragraph" w:styleId="CommentText">
    <w:name w:val="annotation text"/>
    <w:basedOn w:val="Normal"/>
    <w:link w:val="CommentTextChar"/>
    <w:uiPriority w:val="99"/>
    <w:semiHidden/>
    <w:rsid w:val="004D040D"/>
    <w:rPr>
      <w:sz w:val="20"/>
    </w:rPr>
  </w:style>
  <w:style w:type="character" w:customStyle="1" w:styleId="CommentTextChar">
    <w:name w:val="Comment Text Char"/>
    <w:basedOn w:val="DefaultParagraphFont"/>
    <w:link w:val="CommentText"/>
    <w:uiPriority w:val="99"/>
    <w:semiHidden/>
    <w:locked/>
    <w:rsid w:val="00125897"/>
    <w:rPr>
      <w:snapToGrid w:val="0"/>
      <w:kern w:val="28"/>
      <w:sz w:val="20"/>
      <w:szCs w:val="20"/>
    </w:rPr>
  </w:style>
  <w:style w:type="paragraph" w:styleId="CommentSubject">
    <w:name w:val="annotation subject"/>
    <w:basedOn w:val="CommentText"/>
    <w:next w:val="CommentText"/>
    <w:link w:val="CommentSubjectChar"/>
    <w:uiPriority w:val="99"/>
    <w:semiHidden/>
    <w:rsid w:val="004D040D"/>
    <w:rPr>
      <w:b/>
      <w:bCs/>
    </w:rPr>
  </w:style>
  <w:style w:type="character" w:customStyle="1" w:styleId="CommentSubjectChar">
    <w:name w:val="Comment Subject Char"/>
    <w:basedOn w:val="CommentTextChar"/>
    <w:link w:val="CommentSubject"/>
    <w:uiPriority w:val="99"/>
    <w:semiHidden/>
    <w:locked/>
    <w:rsid w:val="00125897"/>
    <w:rPr>
      <w:b/>
      <w:bCs/>
      <w:snapToGrid w:val="0"/>
      <w:kern w:val="28"/>
      <w:sz w:val="20"/>
      <w:szCs w:val="20"/>
    </w:rPr>
  </w:style>
  <w:style w:type="paragraph" w:styleId="Revision">
    <w:name w:val="Revision"/>
    <w:hidden/>
    <w:uiPriority w:val="99"/>
    <w:semiHidden/>
    <w:rsid w:val="00522ABB"/>
  </w:style>
  <w:style w:type="character" w:customStyle="1" w:styleId="documentbody">
    <w:name w:val="documentbody"/>
    <w:uiPriority w:val="99"/>
    <w:rsid w:val="00216A0D"/>
  </w:style>
  <w:style w:type="character" w:customStyle="1" w:styleId="ParaNumChar">
    <w:name w:val="ParaNum Char"/>
    <w:basedOn w:val="DefaultParagraphFont"/>
    <w:link w:val="ParaNum"/>
    <w:locked/>
    <w:rsid w:val="009E3743"/>
    <w:rPr>
      <w:snapToGrid w:val="0"/>
      <w:kern w:val="28"/>
      <w:szCs w:val="20"/>
    </w:rPr>
  </w:style>
  <w:style w:type="paragraph" w:styleId="EndnoteText">
    <w:name w:val="endnote text"/>
    <w:basedOn w:val="Normal"/>
    <w:link w:val="EndnoteTextChar"/>
    <w:semiHidden/>
    <w:rsid w:val="008452F2"/>
    <w:rPr>
      <w:sz w:val="20"/>
    </w:rPr>
  </w:style>
  <w:style w:type="character" w:customStyle="1" w:styleId="EndnoteTextChar">
    <w:name w:val="Endnote Text Char"/>
    <w:basedOn w:val="DefaultParagraphFont"/>
    <w:link w:val="EndnoteText"/>
    <w:semiHidden/>
    <w:rsid w:val="00CC7FEA"/>
    <w:rPr>
      <w:snapToGrid w:val="0"/>
      <w:kern w:val="28"/>
      <w:sz w:val="20"/>
      <w:szCs w:val="20"/>
    </w:rPr>
  </w:style>
  <w:style w:type="character" w:styleId="EndnoteReference">
    <w:name w:val="endnote reference"/>
    <w:semiHidden/>
    <w:rsid w:val="008452F2"/>
    <w:rPr>
      <w:vertAlign w:val="superscript"/>
    </w:rPr>
  </w:style>
  <w:style w:type="paragraph" w:styleId="TOAHeading">
    <w:name w:val="toa heading"/>
    <w:basedOn w:val="Normal"/>
    <w:next w:val="Normal"/>
    <w:semiHidden/>
    <w:rsid w:val="008452F2"/>
    <w:pPr>
      <w:tabs>
        <w:tab w:val="right" w:pos="9360"/>
      </w:tabs>
      <w:suppressAutoHyphens/>
    </w:pPr>
  </w:style>
  <w:style w:type="character" w:customStyle="1" w:styleId="EquationCaption">
    <w:name w:val="_Equation Caption"/>
    <w:rsid w:val="008452F2"/>
  </w:style>
  <w:style w:type="paragraph" w:customStyle="1" w:styleId="Paratitle">
    <w:name w:val="Para title"/>
    <w:basedOn w:val="Normal"/>
    <w:rsid w:val="008452F2"/>
    <w:pPr>
      <w:tabs>
        <w:tab w:val="center" w:pos="9270"/>
      </w:tabs>
      <w:spacing w:after="240"/>
    </w:pPr>
    <w:rPr>
      <w:spacing w:val="-2"/>
    </w:rPr>
  </w:style>
  <w:style w:type="paragraph" w:customStyle="1" w:styleId="TOCTitle">
    <w:name w:val="TOC Title"/>
    <w:basedOn w:val="Normal"/>
    <w:rsid w:val="008452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52F2"/>
    <w:pPr>
      <w:jc w:val="center"/>
    </w:pPr>
    <w:rPr>
      <w:rFonts w:ascii="Times New Roman Bold" w:hAnsi="Times New Roman Bold"/>
      <w:b/>
      <w:bCs/>
      <w:caps/>
      <w:szCs w:val="22"/>
    </w:rPr>
  </w:style>
  <w:style w:type="character" w:styleId="Hyperlink">
    <w:name w:val="Hyperlink"/>
    <w:rsid w:val="008452F2"/>
    <w:rPr>
      <w:color w:val="0000FF"/>
      <w:u w:val="single"/>
    </w:rPr>
  </w:style>
  <w:style w:type="paragraph" w:styleId="PlainText">
    <w:name w:val="Plain Text"/>
    <w:basedOn w:val="Normal"/>
    <w:link w:val="PlainTextChar"/>
    <w:uiPriority w:val="99"/>
    <w:semiHidden/>
    <w:unhideWhenUsed/>
    <w:rsid w:val="00C91928"/>
    <w:pPr>
      <w:widowControl/>
    </w:pPr>
    <w:rPr>
      <w:rFonts w:ascii="Calibri" w:eastAsiaTheme="minorHAnsi" w:hAnsi="Calibri" w:cs="Consolas"/>
      <w:snapToGrid/>
      <w:kern w:val="0"/>
      <w:szCs w:val="21"/>
    </w:rPr>
  </w:style>
  <w:style w:type="character" w:customStyle="1" w:styleId="PlainTextChar">
    <w:name w:val="Plain Text Char"/>
    <w:basedOn w:val="DefaultParagraphFont"/>
    <w:link w:val="PlainText"/>
    <w:uiPriority w:val="99"/>
    <w:semiHidden/>
    <w:rsid w:val="00C91928"/>
    <w:rPr>
      <w:rFonts w:ascii="Calibri" w:eastAsiaTheme="minorHAns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locked="1" w:semiHidden="0" w:uiPriority="0" w:unhideWhenUsed="0"/>
    <w:lsdException w:name="header" w:uiPriority="0"/>
    <w:lsdException w:name="footer" w:uiPriority="0"/>
    <w:lsdException w:name="caption" w:locked="1"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F2"/>
    <w:pPr>
      <w:widowControl w:val="0"/>
    </w:pPr>
    <w:rPr>
      <w:snapToGrid w:val="0"/>
      <w:kern w:val="28"/>
      <w:szCs w:val="20"/>
    </w:rPr>
  </w:style>
  <w:style w:type="paragraph" w:styleId="Heading1">
    <w:name w:val="heading 1"/>
    <w:basedOn w:val="Normal"/>
    <w:next w:val="ParaNum"/>
    <w:link w:val="Heading1Char"/>
    <w:qFormat/>
    <w:rsid w:val="008452F2"/>
    <w:pPr>
      <w:keepNext/>
      <w:numPr>
        <w:numId w:val="6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52F2"/>
    <w:pPr>
      <w:keepNext/>
      <w:numPr>
        <w:ilvl w:val="1"/>
        <w:numId w:val="60"/>
      </w:numPr>
      <w:spacing w:after="120"/>
      <w:outlineLvl w:val="1"/>
    </w:pPr>
    <w:rPr>
      <w:b/>
    </w:rPr>
  </w:style>
  <w:style w:type="paragraph" w:styleId="Heading3">
    <w:name w:val="heading 3"/>
    <w:basedOn w:val="Normal"/>
    <w:next w:val="ParaNum"/>
    <w:link w:val="Heading3Char"/>
    <w:qFormat/>
    <w:rsid w:val="008452F2"/>
    <w:pPr>
      <w:keepNext/>
      <w:numPr>
        <w:ilvl w:val="2"/>
        <w:numId w:val="60"/>
      </w:numPr>
      <w:tabs>
        <w:tab w:val="left" w:pos="2160"/>
      </w:tabs>
      <w:spacing w:after="120"/>
      <w:outlineLvl w:val="2"/>
    </w:pPr>
    <w:rPr>
      <w:b/>
    </w:rPr>
  </w:style>
  <w:style w:type="paragraph" w:styleId="Heading4">
    <w:name w:val="heading 4"/>
    <w:basedOn w:val="Normal"/>
    <w:next w:val="ParaNum"/>
    <w:link w:val="Heading4Char"/>
    <w:qFormat/>
    <w:rsid w:val="008452F2"/>
    <w:pPr>
      <w:keepNext/>
      <w:numPr>
        <w:ilvl w:val="3"/>
        <w:numId w:val="60"/>
      </w:numPr>
      <w:tabs>
        <w:tab w:val="left" w:pos="2880"/>
      </w:tabs>
      <w:spacing w:after="120"/>
      <w:outlineLvl w:val="3"/>
    </w:pPr>
    <w:rPr>
      <w:b/>
    </w:rPr>
  </w:style>
  <w:style w:type="paragraph" w:styleId="Heading5">
    <w:name w:val="heading 5"/>
    <w:basedOn w:val="Normal"/>
    <w:next w:val="ParaNum"/>
    <w:link w:val="Heading5Char"/>
    <w:qFormat/>
    <w:rsid w:val="008452F2"/>
    <w:pPr>
      <w:keepNext/>
      <w:numPr>
        <w:ilvl w:val="4"/>
        <w:numId w:val="60"/>
      </w:numPr>
      <w:tabs>
        <w:tab w:val="left" w:pos="3600"/>
      </w:tabs>
      <w:suppressAutoHyphens/>
      <w:spacing w:after="120"/>
      <w:outlineLvl w:val="4"/>
    </w:pPr>
    <w:rPr>
      <w:b/>
    </w:rPr>
  </w:style>
  <w:style w:type="paragraph" w:styleId="Heading6">
    <w:name w:val="heading 6"/>
    <w:basedOn w:val="Normal"/>
    <w:next w:val="ParaNum"/>
    <w:link w:val="Heading6Char"/>
    <w:qFormat/>
    <w:rsid w:val="008452F2"/>
    <w:pPr>
      <w:numPr>
        <w:ilvl w:val="5"/>
        <w:numId w:val="60"/>
      </w:numPr>
      <w:tabs>
        <w:tab w:val="left" w:pos="4320"/>
      </w:tabs>
      <w:spacing w:after="120"/>
      <w:outlineLvl w:val="5"/>
    </w:pPr>
    <w:rPr>
      <w:b/>
    </w:rPr>
  </w:style>
  <w:style w:type="paragraph" w:styleId="Heading7">
    <w:name w:val="heading 7"/>
    <w:basedOn w:val="Normal"/>
    <w:next w:val="ParaNum"/>
    <w:link w:val="Heading7Char"/>
    <w:qFormat/>
    <w:rsid w:val="008452F2"/>
    <w:pPr>
      <w:numPr>
        <w:ilvl w:val="6"/>
        <w:numId w:val="60"/>
      </w:numPr>
      <w:tabs>
        <w:tab w:val="left" w:pos="5040"/>
      </w:tabs>
      <w:spacing w:after="120"/>
      <w:ind w:left="5040" w:hanging="720"/>
      <w:outlineLvl w:val="6"/>
    </w:pPr>
    <w:rPr>
      <w:b/>
    </w:rPr>
  </w:style>
  <w:style w:type="paragraph" w:styleId="Heading8">
    <w:name w:val="heading 8"/>
    <w:basedOn w:val="Normal"/>
    <w:next w:val="ParaNum"/>
    <w:link w:val="Heading8Char"/>
    <w:qFormat/>
    <w:rsid w:val="008452F2"/>
    <w:pPr>
      <w:numPr>
        <w:ilvl w:val="7"/>
        <w:numId w:val="60"/>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452F2"/>
    <w:pPr>
      <w:numPr>
        <w:ilvl w:val="8"/>
        <w:numId w:val="6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52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52F2"/>
  </w:style>
  <w:style w:type="character" w:customStyle="1" w:styleId="Heading1Char">
    <w:name w:val="Heading 1 Char"/>
    <w:basedOn w:val="DefaultParagraphFont"/>
    <w:link w:val="Heading1"/>
    <w:locked/>
    <w:rPr>
      <w:rFonts w:ascii="Times New Roman Bold" w:hAnsi="Times New Roman Bold"/>
      <w:b/>
      <w:caps/>
      <w:snapToGrid w:val="0"/>
      <w:kern w:val="28"/>
      <w:szCs w:val="20"/>
    </w:rPr>
  </w:style>
  <w:style w:type="character" w:customStyle="1" w:styleId="Heading2Char">
    <w:name w:val="Heading 2 Char"/>
    <w:basedOn w:val="DefaultParagraphFont"/>
    <w:link w:val="Heading2"/>
    <w:locked/>
    <w:rPr>
      <w:b/>
      <w:snapToGrid w:val="0"/>
      <w:kern w:val="28"/>
      <w:szCs w:val="20"/>
    </w:rPr>
  </w:style>
  <w:style w:type="character" w:customStyle="1" w:styleId="Heading3Char">
    <w:name w:val="Heading 3 Char"/>
    <w:basedOn w:val="DefaultParagraphFont"/>
    <w:link w:val="Heading3"/>
    <w:locked/>
    <w:rPr>
      <w:b/>
      <w:snapToGrid w:val="0"/>
      <w:kern w:val="28"/>
      <w:szCs w:val="20"/>
    </w:rPr>
  </w:style>
  <w:style w:type="character" w:customStyle="1" w:styleId="Heading4Char">
    <w:name w:val="Heading 4 Char"/>
    <w:basedOn w:val="DefaultParagraphFont"/>
    <w:link w:val="Heading4"/>
    <w:locked/>
    <w:rPr>
      <w:b/>
      <w:snapToGrid w:val="0"/>
      <w:kern w:val="28"/>
      <w:szCs w:val="20"/>
    </w:rPr>
  </w:style>
  <w:style w:type="character" w:customStyle="1" w:styleId="Heading5Char">
    <w:name w:val="Heading 5 Char"/>
    <w:basedOn w:val="DefaultParagraphFont"/>
    <w:link w:val="Heading5"/>
    <w:locked/>
    <w:rPr>
      <w:b/>
      <w:snapToGrid w:val="0"/>
      <w:kern w:val="28"/>
      <w:szCs w:val="20"/>
    </w:rPr>
  </w:style>
  <w:style w:type="character" w:customStyle="1" w:styleId="Heading6Char">
    <w:name w:val="Heading 6 Char"/>
    <w:basedOn w:val="DefaultParagraphFont"/>
    <w:link w:val="Heading6"/>
    <w:locked/>
    <w:rPr>
      <w:b/>
      <w:snapToGrid w:val="0"/>
      <w:kern w:val="28"/>
      <w:szCs w:val="20"/>
    </w:rPr>
  </w:style>
  <w:style w:type="character" w:customStyle="1" w:styleId="Heading7Char">
    <w:name w:val="Heading 7 Char"/>
    <w:basedOn w:val="DefaultParagraphFont"/>
    <w:link w:val="Heading7"/>
    <w:locked/>
    <w:rPr>
      <w:b/>
      <w:snapToGrid w:val="0"/>
      <w:kern w:val="28"/>
      <w:szCs w:val="20"/>
    </w:rPr>
  </w:style>
  <w:style w:type="character" w:customStyle="1" w:styleId="Heading8Char">
    <w:name w:val="Heading 8 Char"/>
    <w:basedOn w:val="DefaultParagraphFont"/>
    <w:link w:val="Heading8"/>
    <w:locked/>
    <w:rPr>
      <w:b/>
      <w:snapToGrid w:val="0"/>
      <w:kern w:val="28"/>
      <w:szCs w:val="20"/>
    </w:rPr>
  </w:style>
  <w:style w:type="character" w:customStyle="1" w:styleId="Heading9Char">
    <w:name w:val="Heading 9 Char"/>
    <w:basedOn w:val="DefaultParagraphFont"/>
    <w:link w:val="Heading9"/>
    <w:locked/>
    <w:rPr>
      <w:b/>
      <w:snapToGrid w:val="0"/>
      <w:kern w:val="28"/>
      <w:szCs w:val="20"/>
    </w:rPr>
  </w:style>
  <w:style w:type="paragraph" w:styleId="Caption">
    <w:name w:val="caption"/>
    <w:basedOn w:val="Normal"/>
    <w:next w:val="Normal"/>
    <w:uiPriority w:val="99"/>
    <w:qFormat/>
    <w:rsid w:val="004D040D"/>
    <w:pPr>
      <w:spacing w:before="120" w:after="120"/>
    </w:pPr>
    <w:rPr>
      <w:b/>
      <w:bCs/>
    </w:rPr>
  </w:style>
  <w:style w:type="paragraph" w:customStyle="1" w:styleId="ParaNum">
    <w:name w:val="ParaNum"/>
    <w:basedOn w:val="Normal"/>
    <w:link w:val="ParaNumChar"/>
    <w:rsid w:val="008452F2"/>
    <w:pPr>
      <w:numPr>
        <w:numId w:val="59"/>
      </w:numPr>
      <w:tabs>
        <w:tab w:val="clear" w:pos="1080"/>
        <w:tab w:val="num" w:pos="1440"/>
      </w:tabs>
      <w:spacing w:after="120"/>
    </w:p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link w:val="FootnoteTextChar3"/>
    <w:rsid w:val="008452F2"/>
    <w:pPr>
      <w:spacing w:after="120"/>
    </w:pPr>
    <w:rPr>
      <w:sz w:val="20"/>
      <w:szCs w:val="20"/>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
    <w:basedOn w:val="DefaultParagraphFont"/>
    <w:uiPriority w:val="99"/>
    <w:semiHidden/>
    <w:rsid w:val="00207AD5"/>
    <w:rPr>
      <w:sz w:val="20"/>
      <w:szCs w:val="20"/>
    </w:rPr>
  </w:style>
  <w:style w:type="character" w:customStyle="1" w:styleId="FootnoteTextChar3">
    <w:name w:val="Footnote Text Char3"/>
    <w:aliases w:val="Footnote Text Char2 Char1,Footnote Text Char1 Char3 Char1,Footnote Text Char Char Char Char1,Footnote Text Char1 Char Char Char Char1,Footnote Text Char2 Char Char Char Char Char1,Footnote Text Char Char Char Char Char Char Char1"/>
    <w:link w:val="FootnoteText"/>
    <w:locked/>
    <w:rsid w:val="00E87AF6"/>
    <w:rPr>
      <w:sz w:val="20"/>
      <w:szCs w:val="20"/>
    </w:rPr>
  </w:style>
  <w:style w:type="paragraph" w:customStyle="1" w:styleId="Bullet">
    <w:name w:val="Bullet"/>
    <w:basedOn w:val="Normal"/>
    <w:rsid w:val="008452F2"/>
    <w:pPr>
      <w:tabs>
        <w:tab w:val="left" w:pos="2160"/>
      </w:tabs>
      <w:spacing w:after="220"/>
      <w:ind w:left="2160" w:hanging="720"/>
    </w:pPr>
  </w:style>
  <w:style w:type="paragraph" w:styleId="BlockText">
    <w:name w:val="Block Text"/>
    <w:basedOn w:val="Normal"/>
    <w:rsid w:val="008452F2"/>
    <w:pPr>
      <w:spacing w:after="240"/>
      <w:ind w:left="1440" w:right="1440"/>
    </w:pPr>
  </w:style>
  <w:style w:type="paragraph" w:customStyle="1" w:styleId="TableFormat">
    <w:name w:val="TableFormat"/>
    <w:basedOn w:val="Bullet"/>
    <w:rsid w:val="008452F2"/>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sid w:val="008452F2"/>
    <w:rPr>
      <w:rFonts w:ascii="Times New Roman" w:hAnsi="Times New Roman"/>
      <w:dstrike w:val="0"/>
      <w:color w:val="auto"/>
      <w:sz w:val="20"/>
      <w:vertAlign w:val="superscript"/>
    </w:rPr>
  </w:style>
  <w:style w:type="paragraph" w:styleId="Header">
    <w:name w:val="header"/>
    <w:basedOn w:val="Normal"/>
    <w:link w:val="HeaderChar"/>
    <w:autoRedefine/>
    <w:rsid w:val="008452F2"/>
    <w:pPr>
      <w:tabs>
        <w:tab w:val="center" w:pos="4680"/>
        <w:tab w:val="right" w:pos="9360"/>
      </w:tabs>
    </w:pPr>
    <w:rPr>
      <w:b/>
    </w:rPr>
  </w:style>
  <w:style w:type="character" w:customStyle="1" w:styleId="HeaderChar">
    <w:name w:val="Header Char"/>
    <w:basedOn w:val="DefaultParagraphFont"/>
    <w:link w:val="Header"/>
    <w:locked/>
    <w:rPr>
      <w:b/>
      <w:snapToGrid w:val="0"/>
      <w:kern w:val="28"/>
      <w:szCs w:val="20"/>
    </w:rPr>
  </w:style>
  <w:style w:type="paragraph" w:styleId="Footer">
    <w:name w:val="footer"/>
    <w:basedOn w:val="Normal"/>
    <w:link w:val="FooterChar"/>
    <w:rsid w:val="008452F2"/>
    <w:pPr>
      <w:tabs>
        <w:tab w:val="center" w:pos="4320"/>
        <w:tab w:val="right" w:pos="8640"/>
      </w:tabs>
    </w:pPr>
  </w:style>
  <w:style w:type="character" w:customStyle="1" w:styleId="FooterChar">
    <w:name w:val="Footer Char"/>
    <w:basedOn w:val="DefaultParagraphFont"/>
    <w:link w:val="Footer"/>
    <w:locked/>
    <w:rPr>
      <w:snapToGrid w:val="0"/>
      <w:kern w:val="28"/>
      <w:szCs w:val="20"/>
    </w:rPr>
  </w:style>
  <w:style w:type="paragraph" w:styleId="TOC2">
    <w:name w:val="toc 2"/>
    <w:basedOn w:val="Normal"/>
    <w:next w:val="Normal"/>
    <w:semiHidden/>
    <w:rsid w:val="008452F2"/>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4D040D"/>
    <w:pPr>
      <w:numPr>
        <w:numId w:val="21"/>
      </w:numPr>
      <w:spacing w:after="220"/>
    </w:pPr>
  </w:style>
  <w:style w:type="paragraph" w:styleId="TOC1">
    <w:name w:val="toc 1"/>
    <w:basedOn w:val="Normal"/>
    <w:next w:val="Normal"/>
    <w:semiHidden/>
    <w:rsid w:val="008452F2"/>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8452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52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52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52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52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52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52F2"/>
    <w:pPr>
      <w:tabs>
        <w:tab w:val="left" w:pos="3240"/>
        <w:tab w:val="right" w:leader="dot" w:pos="9360"/>
      </w:tabs>
      <w:suppressAutoHyphens/>
      <w:ind w:left="3240" w:hanging="360"/>
    </w:pPr>
    <w:rPr>
      <w:noProof/>
    </w:rPr>
  </w:style>
  <w:style w:type="character" w:styleId="PageNumber">
    <w:name w:val="page number"/>
    <w:basedOn w:val="DefaultParagraphFont"/>
    <w:rsid w:val="008452F2"/>
  </w:style>
  <w:style w:type="paragraph" w:styleId="Title">
    <w:name w:val="Title"/>
    <w:basedOn w:val="Normal"/>
    <w:link w:val="TitleChar"/>
    <w:uiPriority w:val="99"/>
    <w:qFormat/>
    <w:rsid w:val="004D040D"/>
    <w:pPr>
      <w:jc w:val="center"/>
    </w:pPr>
    <w:rPr>
      <w:rFonts w:ascii="Cambria" w:hAnsi="Cambria" w:cs="Cambria"/>
      <w:b/>
      <w:bCs/>
      <w:sz w:val="32"/>
      <w:szCs w:val="32"/>
    </w:rPr>
  </w:style>
  <w:style w:type="character" w:customStyle="1" w:styleId="TitleChar">
    <w:name w:val="Title Char"/>
    <w:basedOn w:val="DefaultParagraphFont"/>
    <w:link w:val="Title"/>
    <w:uiPriority w:val="99"/>
    <w:locked/>
    <w:rPr>
      <w:rFonts w:ascii="Cambria" w:hAnsi="Cambria" w:cs="Cambria"/>
      <w:b/>
      <w:bCs/>
      <w:snapToGrid w:val="0"/>
      <w:kern w:val="28"/>
      <w:sz w:val="32"/>
      <w:szCs w:val="32"/>
    </w:rPr>
  </w:style>
  <w:style w:type="paragraph" w:styleId="DocumentMap">
    <w:name w:val="Document Map"/>
    <w:basedOn w:val="Normal"/>
    <w:link w:val="DocumentMapChar"/>
    <w:uiPriority w:val="99"/>
    <w:semiHidden/>
    <w:rsid w:val="004D040D"/>
    <w:pPr>
      <w:shd w:val="clear" w:color="auto" w:fill="000080"/>
    </w:pPr>
    <w:rPr>
      <w:sz w:val="2"/>
      <w:szCs w:val="2"/>
    </w:rPr>
  </w:style>
  <w:style w:type="character" w:customStyle="1" w:styleId="DocumentMapChar">
    <w:name w:val="Document Map Char"/>
    <w:basedOn w:val="DefaultParagraphFont"/>
    <w:link w:val="DocumentMap"/>
    <w:uiPriority w:val="99"/>
    <w:semiHidden/>
    <w:locked/>
    <w:rPr>
      <w:snapToGrid w:val="0"/>
      <w:kern w:val="28"/>
      <w:sz w:val="2"/>
      <w:szCs w:val="2"/>
      <w:shd w:val="clear" w:color="auto" w:fill="000080"/>
    </w:rPr>
  </w:style>
  <w:style w:type="paragraph" w:styleId="BalloonText">
    <w:name w:val="Balloon Text"/>
    <w:basedOn w:val="Normal"/>
    <w:link w:val="BalloonTextChar"/>
    <w:uiPriority w:val="99"/>
    <w:rsid w:val="004D040D"/>
    <w:rPr>
      <w:sz w:val="24"/>
      <w:szCs w:val="24"/>
    </w:rPr>
  </w:style>
  <w:style w:type="character" w:customStyle="1" w:styleId="BalloonTextChar">
    <w:name w:val="Balloon Text Char"/>
    <w:basedOn w:val="DefaultParagraphFont"/>
    <w:link w:val="BalloonText"/>
    <w:uiPriority w:val="99"/>
    <w:locked/>
    <w:rsid w:val="00AF78DE"/>
    <w:rPr>
      <w:snapToGrid w:val="0"/>
      <w:kern w:val="28"/>
      <w:sz w:val="24"/>
      <w:szCs w:val="24"/>
    </w:rPr>
  </w:style>
  <w:style w:type="character" w:customStyle="1" w:styleId="ALTSFOOTNOTEChar2">
    <w:name w:val="ALTS FOOTNOTE Char2"/>
    <w:aliases w:val="fn Char2,Footnote Text Char2 Char Char2,Footnote Text Char1 Char Char Char2,Footnote Text Char Char2 Char Char Char2,Footnote Text Char4 Char Char Char Char Char2,Footnote Text Char1 Char,fn Ch Char,f Char1,fn Ch Char Char"/>
    <w:uiPriority w:val="99"/>
    <w:semiHidden/>
    <w:locked/>
    <w:rsid w:val="00AC4E91"/>
    <w:rPr>
      <w:sz w:val="20"/>
      <w:szCs w:val="20"/>
    </w:rPr>
  </w:style>
  <w:style w:type="character" w:customStyle="1" w:styleId="ALTSFOOTNOTEChar">
    <w:name w:val="ALTS FOOTNOTE Char"/>
    <w:aliases w:val="fn Char,Footnote Text Char2 Char Char,Footnote Text Char Char2 Char Char Char,Footnote Text Char4 Char Char Char Char Char,Footnote Text Char2 Char1 Char Char Char Char Char,Footnote Text Char Char Char Char Char"/>
    <w:uiPriority w:val="99"/>
    <w:semiHidden/>
    <w:locked/>
    <w:rsid w:val="00AC4E91"/>
    <w:rPr>
      <w:sz w:val="22"/>
      <w:szCs w:val="22"/>
      <w:lang w:val="en-US" w:eastAsia="en-US"/>
    </w:rPr>
  </w:style>
  <w:style w:type="character" w:styleId="CommentReference">
    <w:name w:val="annotation reference"/>
    <w:basedOn w:val="DefaultParagraphFont"/>
    <w:uiPriority w:val="99"/>
    <w:semiHidden/>
    <w:rsid w:val="00D925D5"/>
    <w:rPr>
      <w:sz w:val="16"/>
      <w:szCs w:val="16"/>
    </w:rPr>
  </w:style>
  <w:style w:type="paragraph" w:styleId="CommentText">
    <w:name w:val="annotation text"/>
    <w:basedOn w:val="Normal"/>
    <w:link w:val="CommentTextChar"/>
    <w:uiPriority w:val="99"/>
    <w:semiHidden/>
    <w:rsid w:val="004D040D"/>
    <w:rPr>
      <w:sz w:val="20"/>
    </w:rPr>
  </w:style>
  <w:style w:type="character" w:customStyle="1" w:styleId="CommentTextChar">
    <w:name w:val="Comment Text Char"/>
    <w:basedOn w:val="DefaultParagraphFont"/>
    <w:link w:val="CommentText"/>
    <w:uiPriority w:val="99"/>
    <w:semiHidden/>
    <w:locked/>
    <w:rsid w:val="00125897"/>
    <w:rPr>
      <w:snapToGrid w:val="0"/>
      <w:kern w:val="28"/>
      <w:sz w:val="20"/>
      <w:szCs w:val="20"/>
    </w:rPr>
  </w:style>
  <w:style w:type="paragraph" w:styleId="CommentSubject">
    <w:name w:val="annotation subject"/>
    <w:basedOn w:val="CommentText"/>
    <w:next w:val="CommentText"/>
    <w:link w:val="CommentSubjectChar"/>
    <w:uiPriority w:val="99"/>
    <w:semiHidden/>
    <w:rsid w:val="004D040D"/>
    <w:rPr>
      <w:b/>
      <w:bCs/>
    </w:rPr>
  </w:style>
  <w:style w:type="character" w:customStyle="1" w:styleId="CommentSubjectChar">
    <w:name w:val="Comment Subject Char"/>
    <w:basedOn w:val="CommentTextChar"/>
    <w:link w:val="CommentSubject"/>
    <w:uiPriority w:val="99"/>
    <w:semiHidden/>
    <w:locked/>
    <w:rsid w:val="00125897"/>
    <w:rPr>
      <w:b/>
      <w:bCs/>
      <w:snapToGrid w:val="0"/>
      <w:kern w:val="28"/>
      <w:sz w:val="20"/>
      <w:szCs w:val="20"/>
    </w:rPr>
  </w:style>
  <w:style w:type="paragraph" w:styleId="Revision">
    <w:name w:val="Revision"/>
    <w:hidden/>
    <w:uiPriority w:val="99"/>
    <w:semiHidden/>
    <w:rsid w:val="00522ABB"/>
  </w:style>
  <w:style w:type="character" w:customStyle="1" w:styleId="documentbody">
    <w:name w:val="documentbody"/>
    <w:uiPriority w:val="99"/>
    <w:rsid w:val="00216A0D"/>
  </w:style>
  <w:style w:type="character" w:customStyle="1" w:styleId="ParaNumChar">
    <w:name w:val="ParaNum Char"/>
    <w:basedOn w:val="DefaultParagraphFont"/>
    <w:link w:val="ParaNum"/>
    <w:locked/>
    <w:rsid w:val="009E3743"/>
    <w:rPr>
      <w:snapToGrid w:val="0"/>
      <w:kern w:val="28"/>
      <w:szCs w:val="20"/>
    </w:rPr>
  </w:style>
  <w:style w:type="paragraph" w:styleId="EndnoteText">
    <w:name w:val="endnote text"/>
    <w:basedOn w:val="Normal"/>
    <w:link w:val="EndnoteTextChar"/>
    <w:semiHidden/>
    <w:rsid w:val="008452F2"/>
    <w:rPr>
      <w:sz w:val="20"/>
    </w:rPr>
  </w:style>
  <w:style w:type="character" w:customStyle="1" w:styleId="EndnoteTextChar">
    <w:name w:val="Endnote Text Char"/>
    <w:basedOn w:val="DefaultParagraphFont"/>
    <w:link w:val="EndnoteText"/>
    <w:semiHidden/>
    <w:rsid w:val="00CC7FEA"/>
    <w:rPr>
      <w:snapToGrid w:val="0"/>
      <w:kern w:val="28"/>
      <w:sz w:val="20"/>
      <w:szCs w:val="20"/>
    </w:rPr>
  </w:style>
  <w:style w:type="character" w:styleId="EndnoteReference">
    <w:name w:val="endnote reference"/>
    <w:semiHidden/>
    <w:rsid w:val="008452F2"/>
    <w:rPr>
      <w:vertAlign w:val="superscript"/>
    </w:rPr>
  </w:style>
  <w:style w:type="paragraph" w:styleId="TOAHeading">
    <w:name w:val="toa heading"/>
    <w:basedOn w:val="Normal"/>
    <w:next w:val="Normal"/>
    <w:semiHidden/>
    <w:rsid w:val="008452F2"/>
    <w:pPr>
      <w:tabs>
        <w:tab w:val="right" w:pos="9360"/>
      </w:tabs>
      <w:suppressAutoHyphens/>
    </w:pPr>
  </w:style>
  <w:style w:type="character" w:customStyle="1" w:styleId="EquationCaption">
    <w:name w:val="_Equation Caption"/>
    <w:rsid w:val="008452F2"/>
  </w:style>
  <w:style w:type="paragraph" w:customStyle="1" w:styleId="Paratitle">
    <w:name w:val="Para title"/>
    <w:basedOn w:val="Normal"/>
    <w:rsid w:val="008452F2"/>
    <w:pPr>
      <w:tabs>
        <w:tab w:val="center" w:pos="9270"/>
      </w:tabs>
      <w:spacing w:after="240"/>
    </w:pPr>
    <w:rPr>
      <w:spacing w:val="-2"/>
    </w:rPr>
  </w:style>
  <w:style w:type="paragraph" w:customStyle="1" w:styleId="TOCTitle">
    <w:name w:val="TOC Title"/>
    <w:basedOn w:val="Normal"/>
    <w:rsid w:val="008452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52F2"/>
    <w:pPr>
      <w:jc w:val="center"/>
    </w:pPr>
    <w:rPr>
      <w:rFonts w:ascii="Times New Roman Bold" w:hAnsi="Times New Roman Bold"/>
      <w:b/>
      <w:bCs/>
      <w:caps/>
      <w:szCs w:val="22"/>
    </w:rPr>
  </w:style>
  <w:style w:type="character" w:styleId="Hyperlink">
    <w:name w:val="Hyperlink"/>
    <w:rsid w:val="008452F2"/>
    <w:rPr>
      <w:color w:val="0000FF"/>
      <w:u w:val="single"/>
    </w:rPr>
  </w:style>
  <w:style w:type="paragraph" w:styleId="PlainText">
    <w:name w:val="Plain Text"/>
    <w:basedOn w:val="Normal"/>
    <w:link w:val="PlainTextChar"/>
    <w:uiPriority w:val="99"/>
    <w:semiHidden/>
    <w:unhideWhenUsed/>
    <w:rsid w:val="00C91928"/>
    <w:pPr>
      <w:widowControl/>
    </w:pPr>
    <w:rPr>
      <w:rFonts w:ascii="Calibri" w:eastAsiaTheme="minorHAnsi" w:hAnsi="Calibri" w:cs="Consolas"/>
      <w:snapToGrid/>
      <w:kern w:val="0"/>
      <w:szCs w:val="21"/>
    </w:rPr>
  </w:style>
  <w:style w:type="character" w:customStyle="1" w:styleId="PlainTextChar">
    <w:name w:val="Plain Text Char"/>
    <w:basedOn w:val="DefaultParagraphFont"/>
    <w:link w:val="PlainText"/>
    <w:uiPriority w:val="99"/>
    <w:semiHidden/>
    <w:rsid w:val="00C91928"/>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323">
      <w:marLeft w:val="0"/>
      <w:marRight w:val="0"/>
      <w:marTop w:val="0"/>
      <w:marBottom w:val="0"/>
      <w:divBdr>
        <w:top w:val="none" w:sz="0" w:space="0" w:color="auto"/>
        <w:left w:val="none" w:sz="0" w:space="0" w:color="auto"/>
        <w:bottom w:val="none" w:sz="0" w:space="0" w:color="auto"/>
        <w:right w:val="none" w:sz="0" w:space="0" w:color="auto"/>
      </w:divBdr>
      <w:divsChild>
        <w:div w:id="133760324">
          <w:marLeft w:val="720"/>
          <w:marRight w:val="0"/>
          <w:marTop w:val="0"/>
          <w:marBottom w:val="0"/>
          <w:divBdr>
            <w:top w:val="none" w:sz="0" w:space="0" w:color="auto"/>
            <w:left w:val="none" w:sz="0" w:space="0" w:color="auto"/>
            <w:bottom w:val="none" w:sz="0" w:space="0" w:color="auto"/>
            <w:right w:val="none" w:sz="0" w:space="0" w:color="auto"/>
          </w:divBdr>
        </w:div>
      </w:divsChild>
    </w:div>
    <w:div w:id="133760335">
      <w:marLeft w:val="0"/>
      <w:marRight w:val="0"/>
      <w:marTop w:val="0"/>
      <w:marBottom w:val="0"/>
      <w:divBdr>
        <w:top w:val="none" w:sz="0" w:space="0" w:color="auto"/>
        <w:left w:val="none" w:sz="0" w:space="0" w:color="auto"/>
        <w:bottom w:val="none" w:sz="0" w:space="0" w:color="auto"/>
        <w:right w:val="none" w:sz="0" w:space="0" w:color="auto"/>
      </w:divBdr>
      <w:divsChild>
        <w:div w:id="133760316">
          <w:marLeft w:val="0"/>
          <w:marRight w:val="0"/>
          <w:marTop w:val="0"/>
          <w:marBottom w:val="0"/>
          <w:divBdr>
            <w:top w:val="none" w:sz="0" w:space="0" w:color="auto"/>
            <w:left w:val="none" w:sz="0" w:space="0" w:color="auto"/>
            <w:bottom w:val="none" w:sz="0" w:space="0" w:color="auto"/>
            <w:right w:val="none" w:sz="0" w:space="0" w:color="auto"/>
          </w:divBdr>
        </w:div>
        <w:div w:id="133760320">
          <w:marLeft w:val="0"/>
          <w:marRight w:val="0"/>
          <w:marTop w:val="0"/>
          <w:marBottom w:val="0"/>
          <w:divBdr>
            <w:top w:val="none" w:sz="0" w:space="0" w:color="auto"/>
            <w:left w:val="none" w:sz="0" w:space="0" w:color="auto"/>
            <w:bottom w:val="none" w:sz="0" w:space="0" w:color="auto"/>
            <w:right w:val="none" w:sz="0" w:space="0" w:color="auto"/>
          </w:divBdr>
        </w:div>
        <w:div w:id="133760328">
          <w:marLeft w:val="0"/>
          <w:marRight w:val="0"/>
          <w:marTop w:val="0"/>
          <w:marBottom w:val="0"/>
          <w:divBdr>
            <w:top w:val="none" w:sz="0" w:space="0" w:color="auto"/>
            <w:left w:val="none" w:sz="0" w:space="0" w:color="auto"/>
            <w:bottom w:val="none" w:sz="0" w:space="0" w:color="auto"/>
            <w:right w:val="none" w:sz="0" w:space="0" w:color="auto"/>
          </w:divBdr>
        </w:div>
        <w:div w:id="133760331">
          <w:marLeft w:val="0"/>
          <w:marRight w:val="0"/>
          <w:marTop w:val="0"/>
          <w:marBottom w:val="0"/>
          <w:divBdr>
            <w:top w:val="none" w:sz="0" w:space="0" w:color="auto"/>
            <w:left w:val="none" w:sz="0" w:space="0" w:color="auto"/>
            <w:bottom w:val="none" w:sz="0" w:space="0" w:color="auto"/>
            <w:right w:val="none" w:sz="0" w:space="0" w:color="auto"/>
          </w:divBdr>
        </w:div>
        <w:div w:id="133760337">
          <w:marLeft w:val="0"/>
          <w:marRight w:val="0"/>
          <w:marTop w:val="0"/>
          <w:marBottom w:val="0"/>
          <w:divBdr>
            <w:top w:val="none" w:sz="0" w:space="0" w:color="auto"/>
            <w:left w:val="none" w:sz="0" w:space="0" w:color="auto"/>
            <w:bottom w:val="none" w:sz="0" w:space="0" w:color="auto"/>
            <w:right w:val="none" w:sz="0" w:space="0" w:color="auto"/>
          </w:divBdr>
        </w:div>
        <w:div w:id="133760339">
          <w:marLeft w:val="0"/>
          <w:marRight w:val="0"/>
          <w:marTop w:val="0"/>
          <w:marBottom w:val="0"/>
          <w:divBdr>
            <w:top w:val="none" w:sz="0" w:space="0" w:color="auto"/>
            <w:left w:val="none" w:sz="0" w:space="0" w:color="auto"/>
            <w:bottom w:val="none" w:sz="0" w:space="0" w:color="auto"/>
            <w:right w:val="none" w:sz="0" w:space="0" w:color="auto"/>
          </w:divBdr>
        </w:div>
        <w:div w:id="133760342">
          <w:marLeft w:val="0"/>
          <w:marRight w:val="0"/>
          <w:marTop w:val="0"/>
          <w:marBottom w:val="0"/>
          <w:divBdr>
            <w:top w:val="none" w:sz="0" w:space="0" w:color="auto"/>
            <w:left w:val="none" w:sz="0" w:space="0" w:color="auto"/>
            <w:bottom w:val="none" w:sz="0" w:space="0" w:color="auto"/>
            <w:right w:val="none" w:sz="0" w:space="0" w:color="auto"/>
          </w:divBdr>
        </w:div>
        <w:div w:id="133760352">
          <w:marLeft w:val="0"/>
          <w:marRight w:val="0"/>
          <w:marTop w:val="0"/>
          <w:marBottom w:val="0"/>
          <w:divBdr>
            <w:top w:val="none" w:sz="0" w:space="0" w:color="auto"/>
            <w:left w:val="none" w:sz="0" w:space="0" w:color="auto"/>
            <w:bottom w:val="none" w:sz="0" w:space="0" w:color="auto"/>
            <w:right w:val="none" w:sz="0" w:space="0" w:color="auto"/>
          </w:divBdr>
        </w:div>
        <w:div w:id="133760358">
          <w:marLeft w:val="0"/>
          <w:marRight w:val="0"/>
          <w:marTop w:val="0"/>
          <w:marBottom w:val="0"/>
          <w:divBdr>
            <w:top w:val="none" w:sz="0" w:space="0" w:color="auto"/>
            <w:left w:val="none" w:sz="0" w:space="0" w:color="auto"/>
            <w:bottom w:val="none" w:sz="0" w:space="0" w:color="auto"/>
            <w:right w:val="none" w:sz="0" w:space="0" w:color="auto"/>
          </w:divBdr>
        </w:div>
      </w:divsChild>
    </w:div>
    <w:div w:id="133760351">
      <w:marLeft w:val="0"/>
      <w:marRight w:val="0"/>
      <w:marTop w:val="0"/>
      <w:marBottom w:val="0"/>
      <w:divBdr>
        <w:top w:val="none" w:sz="0" w:space="0" w:color="auto"/>
        <w:left w:val="none" w:sz="0" w:space="0" w:color="auto"/>
        <w:bottom w:val="none" w:sz="0" w:space="0" w:color="auto"/>
        <w:right w:val="none" w:sz="0" w:space="0" w:color="auto"/>
      </w:divBdr>
      <w:divsChild>
        <w:div w:id="133760338">
          <w:marLeft w:val="0"/>
          <w:marRight w:val="0"/>
          <w:marTop w:val="0"/>
          <w:marBottom w:val="0"/>
          <w:divBdr>
            <w:top w:val="none" w:sz="0" w:space="0" w:color="auto"/>
            <w:left w:val="none" w:sz="0" w:space="0" w:color="auto"/>
            <w:bottom w:val="none" w:sz="0" w:space="0" w:color="auto"/>
            <w:right w:val="none" w:sz="0" w:space="0" w:color="auto"/>
          </w:divBdr>
          <w:divsChild>
            <w:div w:id="133760325">
              <w:marLeft w:val="0"/>
              <w:marRight w:val="0"/>
              <w:marTop w:val="0"/>
              <w:marBottom w:val="0"/>
              <w:divBdr>
                <w:top w:val="none" w:sz="0" w:space="0" w:color="auto"/>
                <w:left w:val="none" w:sz="0" w:space="0" w:color="auto"/>
                <w:bottom w:val="none" w:sz="0" w:space="0" w:color="auto"/>
                <w:right w:val="none" w:sz="0" w:space="0" w:color="auto"/>
              </w:divBdr>
              <w:divsChild>
                <w:div w:id="133760353">
                  <w:marLeft w:val="0"/>
                  <w:marRight w:val="0"/>
                  <w:marTop w:val="0"/>
                  <w:marBottom w:val="0"/>
                  <w:divBdr>
                    <w:top w:val="none" w:sz="0" w:space="0" w:color="auto"/>
                    <w:left w:val="none" w:sz="0" w:space="0" w:color="auto"/>
                    <w:bottom w:val="none" w:sz="0" w:space="0" w:color="auto"/>
                    <w:right w:val="none" w:sz="0" w:space="0" w:color="auto"/>
                  </w:divBdr>
                  <w:divsChild>
                    <w:div w:id="133760319">
                      <w:marLeft w:val="0"/>
                      <w:marRight w:val="0"/>
                      <w:marTop w:val="0"/>
                      <w:marBottom w:val="0"/>
                      <w:divBdr>
                        <w:top w:val="none" w:sz="0" w:space="0" w:color="auto"/>
                        <w:left w:val="none" w:sz="0" w:space="0" w:color="auto"/>
                        <w:bottom w:val="none" w:sz="0" w:space="0" w:color="auto"/>
                        <w:right w:val="none" w:sz="0" w:space="0" w:color="auto"/>
                      </w:divBdr>
                      <w:divsChild>
                        <w:div w:id="133760346">
                          <w:marLeft w:val="0"/>
                          <w:marRight w:val="0"/>
                          <w:marTop w:val="0"/>
                          <w:marBottom w:val="0"/>
                          <w:divBdr>
                            <w:top w:val="none" w:sz="0" w:space="0" w:color="auto"/>
                            <w:left w:val="none" w:sz="0" w:space="0" w:color="auto"/>
                            <w:bottom w:val="none" w:sz="0" w:space="0" w:color="auto"/>
                            <w:right w:val="none" w:sz="0" w:space="0" w:color="auto"/>
                          </w:divBdr>
                          <w:divsChild>
                            <w:div w:id="133760344">
                              <w:marLeft w:val="0"/>
                              <w:marRight w:val="0"/>
                              <w:marTop w:val="0"/>
                              <w:marBottom w:val="0"/>
                              <w:divBdr>
                                <w:top w:val="none" w:sz="0" w:space="0" w:color="auto"/>
                                <w:left w:val="none" w:sz="0" w:space="0" w:color="auto"/>
                                <w:bottom w:val="none" w:sz="0" w:space="0" w:color="auto"/>
                                <w:right w:val="none" w:sz="0" w:space="0" w:color="auto"/>
                              </w:divBdr>
                              <w:divsChild>
                                <w:div w:id="133760334">
                                  <w:marLeft w:val="0"/>
                                  <w:marRight w:val="0"/>
                                  <w:marTop w:val="0"/>
                                  <w:marBottom w:val="0"/>
                                  <w:divBdr>
                                    <w:top w:val="none" w:sz="0" w:space="0" w:color="auto"/>
                                    <w:left w:val="none" w:sz="0" w:space="0" w:color="auto"/>
                                    <w:bottom w:val="none" w:sz="0" w:space="0" w:color="auto"/>
                                    <w:right w:val="none" w:sz="0" w:space="0" w:color="auto"/>
                                  </w:divBdr>
                                  <w:divsChild>
                                    <w:div w:id="133760350">
                                      <w:marLeft w:val="0"/>
                                      <w:marRight w:val="0"/>
                                      <w:marTop w:val="0"/>
                                      <w:marBottom w:val="0"/>
                                      <w:divBdr>
                                        <w:top w:val="none" w:sz="0" w:space="0" w:color="auto"/>
                                        <w:left w:val="none" w:sz="0" w:space="0" w:color="auto"/>
                                        <w:bottom w:val="none" w:sz="0" w:space="0" w:color="auto"/>
                                        <w:right w:val="none" w:sz="0" w:space="0" w:color="auto"/>
                                      </w:divBdr>
                                      <w:divsChild>
                                        <w:div w:id="133760329">
                                          <w:marLeft w:val="0"/>
                                          <w:marRight w:val="0"/>
                                          <w:marTop w:val="0"/>
                                          <w:marBottom w:val="0"/>
                                          <w:divBdr>
                                            <w:top w:val="none" w:sz="0" w:space="0" w:color="auto"/>
                                            <w:left w:val="none" w:sz="0" w:space="0" w:color="auto"/>
                                            <w:bottom w:val="none" w:sz="0" w:space="0" w:color="auto"/>
                                            <w:right w:val="none" w:sz="0" w:space="0" w:color="auto"/>
                                          </w:divBdr>
                                          <w:divsChild>
                                            <w:div w:id="133760341">
                                              <w:marLeft w:val="0"/>
                                              <w:marRight w:val="0"/>
                                              <w:marTop w:val="0"/>
                                              <w:marBottom w:val="0"/>
                                              <w:divBdr>
                                                <w:top w:val="none" w:sz="0" w:space="0" w:color="auto"/>
                                                <w:left w:val="none" w:sz="0" w:space="0" w:color="auto"/>
                                                <w:bottom w:val="none" w:sz="0" w:space="0" w:color="auto"/>
                                                <w:right w:val="none" w:sz="0" w:space="0" w:color="auto"/>
                                              </w:divBdr>
                                              <w:divsChild>
                                                <w:div w:id="133760313">
                                                  <w:marLeft w:val="0"/>
                                                  <w:marRight w:val="0"/>
                                                  <w:marTop w:val="0"/>
                                                  <w:marBottom w:val="0"/>
                                                  <w:divBdr>
                                                    <w:top w:val="none" w:sz="0" w:space="0" w:color="auto"/>
                                                    <w:left w:val="none" w:sz="0" w:space="0" w:color="auto"/>
                                                    <w:bottom w:val="none" w:sz="0" w:space="0" w:color="auto"/>
                                                    <w:right w:val="none" w:sz="0" w:space="0" w:color="auto"/>
                                                  </w:divBdr>
                                                  <w:divsChild>
                                                    <w:div w:id="133760347">
                                                      <w:marLeft w:val="0"/>
                                                      <w:marRight w:val="0"/>
                                                      <w:marTop w:val="0"/>
                                                      <w:marBottom w:val="0"/>
                                                      <w:divBdr>
                                                        <w:top w:val="none" w:sz="0" w:space="0" w:color="auto"/>
                                                        <w:left w:val="none" w:sz="0" w:space="0" w:color="auto"/>
                                                        <w:bottom w:val="none" w:sz="0" w:space="0" w:color="auto"/>
                                                        <w:right w:val="none" w:sz="0" w:space="0" w:color="auto"/>
                                                      </w:divBdr>
                                                      <w:divsChild>
                                                        <w:div w:id="133760318">
                                                          <w:marLeft w:val="0"/>
                                                          <w:marRight w:val="0"/>
                                                          <w:marTop w:val="0"/>
                                                          <w:marBottom w:val="0"/>
                                                          <w:divBdr>
                                                            <w:top w:val="none" w:sz="0" w:space="0" w:color="auto"/>
                                                            <w:left w:val="none" w:sz="0" w:space="0" w:color="auto"/>
                                                            <w:bottom w:val="none" w:sz="0" w:space="0" w:color="auto"/>
                                                            <w:right w:val="none" w:sz="0" w:space="0" w:color="auto"/>
                                                          </w:divBdr>
                                                          <w:divsChild>
                                                            <w:div w:id="133760357">
                                                              <w:marLeft w:val="0"/>
                                                              <w:marRight w:val="150"/>
                                                              <w:marTop w:val="0"/>
                                                              <w:marBottom w:val="150"/>
                                                              <w:divBdr>
                                                                <w:top w:val="none" w:sz="0" w:space="0" w:color="auto"/>
                                                                <w:left w:val="none" w:sz="0" w:space="0" w:color="auto"/>
                                                                <w:bottom w:val="none" w:sz="0" w:space="0" w:color="auto"/>
                                                                <w:right w:val="none" w:sz="0" w:space="0" w:color="auto"/>
                                                              </w:divBdr>
                                                              <w:divsChild>
                                                                <w:div w:id="133760321">
                                                                  <w:marLeft w:val="0"/>
                                                                  <w:marRight w:val="0"/>
                                                                  <w:marTop w:val="0"/>
                                                                  <w:marBottom w:val="0"/>
                                                                  <w:divBdr>
                                                                    <w:top w:val="none" w:sz="0" w:space="0" w:color="auto"/>
                                                                    <w:left w:val="none" w:sz="0" w:space="0" w:color="auto"/>
                                                                    <w:bottom w:val="none" w:sz="0" w:space="0" w:color="auto"/>
                                                                    <w:right w:val="none" w:sz="0" w:space="0" w:color="auto"/>
                                                                  </w:divBdr>
                                                                  <w:divsChild>
                                                                    <w:div w:id="133760315">
                                                                      <w:marLeft w:val="0"/>
                                                                      <w:marRight w:val="0"/>
                                                                      <w:marTop w:val="0"/>
                                                                      <w:marBottom w:val="0"/>
                                                                      <w:divBdr>
                                                                        <w:top w:val="none" w:sz="0" w:space="0" w:color="auto"/>
                                                                        <w:left w:val="none" w:sz="0" w:space="0" w:color="auto"/>
                                                                        <w:bottom w:val="none" w:sz="0" w:space="0" w:color="auto"/>
                                                                        <w:right w:val="none" w:sz="0" w:space="0" w:color="auto"/>
                                                                      </w:divBdr>
                                                                      <w:divsChild>
                                                                        <w:div w:id="133760332">
                                                                          <w:marLeft w:val="0"/>
                                                                          <w:marRight w:val="0"/>
                                                                          <w:marTop w:val="0"/>
                                                                          <w:marBottom w:val="0"/>
                                                                          <w:divBdr>
                                                                            <w:top w:val="none" w:sz="0" w:space="0" w:color="auto"/>
                                                                            <w:left w:val="none" w:sz="0" w:space="0" w:color="auto"/>
                                                                            <w:bottom w:val="none" w:sz="0" w:space="0" w:color="auto"/>
                                                                            <w:right w:val="none" w:sz="0" w:space="0" w:color="auto"/>
                                                                          </w:divBdr>
                                                                          <w:divsChild>
                                                                            <w:div w:id="133760333">
                                                                              <w:marLeft w:val="0"/>
                                                                              <w:marRight w:val="0"/>
                                                                              <w:marTop w:val="0"/>
                                                                              <w:marBottom w:val="0"/>
                                                                              <w:divBdr>
                                                                                <w:top w:val="none" w:sz="0" w:space="0" w:color="auto"/>
                                                                                <w:left w:val="none" w:sz="0" w:space="0" w:color="auto"/>
                                                                                <w:bottom w:val="none" w:sz="0" w:space="0" w:color="auto"/>
                                                                                <w:right w:val="none" w:sz="0" w:space="0" w:color="auto"/>
                                                                              </w:divBdr>
                                                                              <w:divsChild>
                                                                                <w:div w:id="133760340">
                                                                                  <w:marLeft w:val="0"/>
                                                                                  <w:marRight w:val="0"/>
                                                                                  <w:marTop w:val="0"/>
                                                                                  <w:marBottom w:val="0"/>
                                                                                  <w:divBdr>
                                                                                    <w:top w:val="none" w:sz="0" w:space="0" w:color="auto"/>
                                                                                    <w:left w:val="none" w:sz="0" w:space="0" w:color="auto"/>
                                                                                    <w:bottom w:val="none" w:sz="0" w:space="0" w:color="auto"/>
                                                                                    <w:right w:val="none" w:sz="0" w:space="0" w:color="auto"/>
                                                                                  </w:divBdr>
                                                                                  <w:divsChild>
                                                                                    <w:div w:id="133760314">
                                                                                      <w:marLeft w:val="0"/>
                                                                                      <w:marRight w:val="0"/>
                                                                                      <w:marTop w:val="0"/>
                                                                                      <w:marBottom w:val="0"/>
                                                                                      <w:divBdr>
                                                                                        <w:top w:val="none" w:sz="0" w:space="0" w:color="auto"/>
                                                                                        <w:left w:val="none" w:sz="0" w:space="0" w:color="auto"/>
                                                                                        <w:bottom w:val="none" w:sz="0" w:space="0" w:color="auto"/>
                                                                                        <w:right w:val="none" w:sz="0" w:space="0" w:color="auto"/>
                                                                                      </w:divBdr>
                                                                                    </w:div>
                                                                                    <w:div w:id="133760322">
                                                                                      <w:marLeft w:val="0"/>
                                                                                      <w:marRight w:val="0"/>
                                                                                      <w:marTop w:val="0"/>
                                                                                      <w:marBottom w:val="0"/>
                                                                                      <w:divBdr>
                                                                                        <w:top w:val="none" w:sz="0" w:space="0" w:color="auto"/>
                                                                                        <w:left w:val="none" w:sz="0" w:space="0" w:color="auto"/>
                                                                                        <w:bottom w:val="none" w:sz="0" w:space="0" w:color="auto"/>
                                                                                        <w:right w:val="none" w:sz="0" w:space="0" w:color="auto"/>
                                                                                      </w:divBdr>
                                                                                    </w:div>
                                                                                    <w:div w:id="1337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60354">
      <w:marLeft w:val="0"/>
      <w:marRight w:val="0"/>
      <w:marTop w:val="0"/>
      <w:marBottom w:val="0"/>
      <w:divBdr>
        <w:top w:val="none" w:sz="0" w:space="0" w:color="auto"/>
        <w:left w:val="none" w:sz="0" w:space="0" w:color="auto"/>
        <w:bottom w:val="none" w:sz="0" w:space="0" w:color="auto"/>
        <w:right w:val="none" w:sz="0" w:space="0" w:color="auto"/>
      </w:divBdr>
      <w:divsChild>
        <w:div w:id="133760330">
          <w:marLeft w:val="0"/>
          <w:marRight w:val="0"/>
          <w:marTop w:val="0"/>
          <w:marBottom w:val="0"/>
          <w:divBdr>
            <w:top w:val="none" w:sz="0" w:space="0" w:color="auto"/>
            <w:left w:val="none" w:sz="0" w:space="0" w:color="auto"/>
            <w:bottom w:val="none" w:sz="0" w:space="0" w:color="auto"/>
            <w:right w:val="none" w:sz="0" w:space="0" w:color="auto"/>
          </w:divBdr>
        </w:div>
        <w:div w:id="133760343">
          <w:marLeft w:val="0"/>
          <w:marRight w:val="0"/>
          <w:marTop w:val="0"/>
          <w:marBottom w:val="0"/>
          <w:divBdr>
            <w:top w:val="none" w:sz="0" w:space="0" w:color="auto"/>
            <w:left w:val="none" w:sz="0" w:space="0" w:color="auto"/>
            <w:bottom w:val="none" w:sz="0" w:space="0" w:color="auto"/>
            <w:right w:val="none" w:sz="0" w:space="0" w:color="auto"/>
          </w:divBdr>
        </w:div>
        <w:div w:id="133760348">
          <w:marLeft w:val="0"/>
          <w:marRight w:val="0"/>
          <w:marTop w:val="0"/>
          <w:marBottom w:val="0"/>
          <w:divBdr>
            <w:top w:val="none" w:sz="0" w:space="0" w:color="auto"/>
            <w:left w:val="none" w:sz="0" w:space="0" w:color="auto"/>
            <w:bottom w:val="none" w:sz="0" w:space="0" w:color="auto"/>
            <w:right w:val="none" w:sz="0" w:space="0" w:color="auto"/>
          </w:divBdr>
        </w:div>
        <w:div w:id="133760349">
          <w:marLeft w:val="0"/>
          <w:marRight w:val="0"/>
          <w:marTop w:val="0"/>
          <w:marBottom w:val="0"/>
          <w:divBdr>
            <w:top w:val="none" w:sz="0" w:space="0" w:color="auto"/>
            <w:left w:val="none" w:sz="0" w:space="0" w:color="auto"/>
            <w:bottom w:val="none" w:sz="0" w:space="0" w:color="auto"/>
            <w:right w:val="none" w:sz="0" w:space="0" w:color="auto"/>
          </w:divBdr>
        </w:div>
      </w:divsChild>
    </w:div>
    <w:div w:id="133760356">
      <w:marLeft w:val="0"/>
      <w:marRight w:val="0"/>
      <w:marTop w:val="0"/>
      <w:marBottom w:val="0"/>
      <w:divBdr>
        <w:top w:val="none" w:sz="0" w:space="0" w:color="auto"/>
        <w:left w:val="none" w:sz="0" w:space="0" w:color="auto"/>
        <w:bottom w:val="none" w:sz="0" w:space="0" w:color="auto"/>
        <w:right w:val="none" w:sz="0" w:space="0" w:color="auto"/>
      </w:divBdr>
    </w:div>
    <w:div w:id="133760359">
      <w:marLeft w:val="0"/>
      <w:marRight w:val="0"/>
      <w:marTop w:val="0"/>
      <w:marBottom w:val="0"/>
      <w:divBdr>
        <w:top w:val="none" w:sz="0" w:space="0" w:color="auto"/>
        <w:left w:val="none" w:sz="0" w:space="0" w:color="auto"/>
        <w:bottom w:val="none" w:sz="0" w:space="0" w:color="auto"/>
        <w:right w:val="none" w:sz="0" w:space="0" w:color="auto"/>
      </w:divBdr>
    </w:div>
    <w:div w:id="133760360">
      <w:marLeft w:val="0"/>
      <w:marRight w:val="0"/>
      <w:marTop w:val="0"/>
      <w:marBottom w:val="0"/>
      <w:divBdr>
        <w:top w:val="none" w:sz="0" w:space="0" w:color="auto"/>
        <w:left w:val="none" w:sz="0" w:space="0" w:color="auto"/>
        <w:bottom w:val="none" w:sz="0" w:space="0" w:color="auto"/>
        <w:right w:val="none" w:sz="0" w:space="0" w:color="auto"/>
      </w:divBdr>
      <w:divsChild>
        <w:div w:id="133760317">
          <w:marLeft w:val="0"/>
          <w:marRight w:val="0"/>
          <w:marTop w:val="0"/>
          <w:marBottom w:val="0"/>
          <w:divBdr>
            <w:top w:val="none" w:sz="0" w:space="0" w:color="auto"/>
            <w:left w:val="none" w:sz="0" w:space="0" w:color="auto"/>
            <w:bottom w:val="none" w:sz="0" w:space="0" w:color="auto"/>
            <w:right w:val="none" w:sz="0" w:space="0" w:color="auto"/>
          </w:divBdr>
        </w:div>
        <w:div w:id="133760326">
          <w:marLeft w:val="0"/>
          <w:marRight w:val="0"/>
          <w:marTop w:val="0"/>
          <w:marBottom w:val="0"/>
          <w:divBdr>
            <w:top w:val="none" w:sz="0" w:space="0" w:color="auto"/>
            <w:left w:val="none" w:sz="0" w:space="0" w:color="auto"/>
            <w:bottom w:val="none" w:sz="0" w:space="0" w:color="auto"/>
            <w:right w:val="none" w:sz="0" w:space="0" w:color="auto"/>
          </w:divBdr>
        </w:div>
        <w:div w:id="133760336">
          <w:marLeft w:val="0"/>
          <w:marRight w:val="0"/>
          <w:marTop w:val="0"/>
          <w:marBottom w:val="0"/>
          <w:divBdr>
            <w:top w:val="none" w:sz="0" w:space="0" w:color="auto"/>
            <w:left w:val="none" w:sz="0" w:space="0" w:color="auto"/>
            <w:bottom w:val="none" w:sz="0" w:space="0" w:color="auto"/>
            <w:right w:val="none" w:sz="0" w:space="0" w:color="auto"/>
          </w:divBdr>
        </w:div>
        <w:div w:id="133760345">
          <w:marLeft w:val="0"/>
          <w:marRight w:val="0"/>
          <w:marTop w:val="0"/>
          <w:marBottom w:val="0"/>
          <w:divBdr>
            <w:top w:val="none" w:sz="0" w:space="0" w:color="auto"/>
            <w:left w:val="none" w:sz="0" w:space="0" w:color="auto"/>
            <w:bottom w:val="none" w:sz="0" w:space="0" w:color="auto"/>
            <w:right w:val="none" w:sz="0" w:space="0" w:color="auto"/>
          </w:divBdr>
        </w:div>
        <w:div w:id="133760355">
          <w:marLeft w:val="0"/>
          <w:marRight w:val="0"/>
          <w:marTop w:val="0"/>
          <w:marBottom w:val="0"/>
          <w:divBdr>
            <w:top w:val="none" w:sz="0" w:space="0" w:color="auto"/>
            <w:left w:val="none" w:sz="0" w:space="0" w:color="auto"/>
            <w:bottom w:val="none" w:sz="0" w:space="0" w:color="auto"/>
            <w:right w:val="none" w:sz="0" w:space="0" w:color="auto"/>
          </w:divBdr>
        </w:div>
      </w:divsChild>
    </w:div>
    <w:div w:id="1936787850">
      <w:bodyDiv w:val="1"/>
      <w:marLeft w:val="0"/>
      <w:marRight w:val="0"/>
      <w:marTop w:val="0"/>
      <w:marBottom w:val="0"/>
      <w:divBdr>
        <w:top w:val="none" w:sz="0" w:space="0" w:color="auto"/>
        <w:left w:val="none" w:sz="0" w:space="0" w:color="auto"/>
        <w:bottom w:val="none" w:sz="0" w:space="0" w:color="auto"/>
        <w:right w:val="none" w:sz="0" w:space="0" w:color="auto"/>
      </w:divBdr>
      <w:divsChild>
        <w:div w:id="2722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s.com/content/us/en/resources/service/infonoti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3568</Words>
  <Characters>19581</Characters>
  <Application>Microsoft Office Word</Application>
  <DocSecurity>0</DocSecurity>
  <Lines>309</Lines>
  <Paragraphs>76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23181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2014-03-27T20:33:00Z</dcterms:created>
  <dcterms:modified xsi:type="dcterms:W3CDTF">2014-03-27T20:33:00Z</dcterms:modified>
  <cp:category> </cp:category>
  <cp:contentStatus> </cp:contentStatus>
</cp:coreProperties>
</file>