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EC2AD2" w14:textId="77777777" w:rsidR="00421521" w:rsidRPr="0049008B" w:rsidRDefault="00421521" w:rsidP="00170B85">
      <w:pPr>
        <w:jc w:val="center"/>
        <w:rPr>
          <w:b/>
          <w:szCs w:val="22"/>
        </w:rPr>
      </w:pPr>
      <w:bookmarkStart w:id="0" w:name="_GoBack"/>
      <w:bookmarkEnd w:id="0"/>
      <w:r w:rsidRPr="0049008B">
        <w:rPr>
          <w:b/>
          <w:szCs w:val="22"/>
        </w:rPr>
        <w:t>Before the</w:t>
      </w:r>
    </w:p>
    <w:p w14:paraId="5133C3DB" w14:textId="77777777" w:rsidR="00421521" w:rsidRPr="0049008B" w:rsidRDefault="00421521" w:rsidP="00170B85">
      <w:pPr>
        <w:jc w:val="center"/>
        <w:rPr>
          <w:b/>
          <w:szCs w:val="22"/>
        </w:rPr>
      </w:pPr>
      <w:r w:rsidRPr="0049008B">
        <w:rPr>
          <w:b/>
          <w:szCs w:val="22"/>
        </w:rPr>
        <w:t>Federal Communications Commission</w:t>
      </w:r>
    </w:p>
    <w:p w14:paraId="49ED9547" w14:textId="77777777" w:rsidR="00421521" w:rsidRPr="0049008B" w:rsidRDefault="00421521" w:rsidP="00170B85">
      <w:pPr>
        <w:jc w:val="center"/>
        <w:rPr>
          <w:b/>
          <w:szCs w:val="22"/>
        </w:rPr>
      </w:pPr>
      <w:smartTag w:uri="urn:schemas-microsoft-com:office:smarttags" w:element="place">
        <w:smartTag w:uri="urn:schemas-microsoft-com:office:smarttags" w:element="City">
          <w:r w:rsidRPr="0049008B">
            <w:rPr>
              <w:b/>
              <w:szCs w:val="22"/>
            </w:rPr>
            <w:t>Washington</w:t>
          </w:r>
        </w:smartTag>
        <w:r w:rsidRPr="0049008B">
          <w:rPr>
            <w:b/>
            <w:szCs w:val="22"/>
          </w:rPr>
          <w:t xml:space="preserve">, </w:t>
        </w:r>
        <w:smartTag w:uri="urn:schemas-microsoft-com:office:smarttags" w:element="State">
          <w:r w:rsidRPr="0049008B">
            <w:rPr>
              <w:b/>
              <w:szCs w:val="22"/>
            </w:rPr>
            <w:t>D.C.</w:t>
          </w:r>
        </w:smartTag>
        <w:r w:rsidRPr="0049008B">
          <w:rPr>
            <w:b/>
            <w:szCs w:val="22"/>
          </w:rPr>
          <w:t xml:space="preserve"> </w:t>
        </w:r>
        <w:smartTag w:uri="urn:schemas-microsoft-com:office:smarttags" w:element="PostalCode">
          <w:r w:rsidRPr="0049008B">
            <w:rPr>
              <w:b/>
              <w:szCs w:val="22"/>
            </w:rPr>
            <w:t>20554</w:t>
          </w:r>
        </w:smartTag>
      </w:smartTag>
    </w:p>
    <w:p w14:paraId="3A84B423" w14:textId="77777777" w:rsidR="00421521" w:rsidRPr="0049008B" w:rsidRDefault="00421521" w:rsidP="00170B85">
      <w:pPr>
        <w:rPr>
          <w:szCs w:val="22"/>
        </w:rPr>
      </w:pPr>
    </w:p>
    <w:p w14:paraId="0FFF7969" w14:textId="77777777" w:rsidR="00421521" w:rsidRPr="0049008B" w:rsidRDefault="00421521" w:rsidP="00170B85">
      <w:pPr>
        <w:rPr>
          <w:szCs w:val="22"/>
        </w:rPr>
      </w:pPr>
    </w:p>
    <w:tbl>
      <w:tblPr>
        <w:tblW w:w="0" w:type="auto"/>
        <w:tblLayout w:type="fixed"/>
        <w:tblLook w:val="0000" w:firstRow="0" w:lastRow="0" w:firstColumn="0" w:lastColumn="0" w:noHBand="0" w:noVBand="0"/>
      </w:tblPr>
      <w:tblGrid>
        <w:gridCol w:w="4698"/>
        <w:gridCol w:w="720"/>
        <w:gridCol w:w="4230"/>
      </w:tblGrid>
      <w:tr w:rsidR="00421521" w:rsidRPr="0049008B" w14:paraId="4F962E56" w14:textId="77777777">
        <w:tc>
          <w:tcPr>
            <w:tcW w:w="4698" w:type="dxa"/>
          </w:tcPr>
          <w:p w14:paraId="56E16AB0" w14:textId="77777777" w:rsidR="00421521" w:rsidRPr="0049008B" w:rsidRDefault="00421521" w:rsidP="00170B85">
            <w:pPr>
              <w:ind w:right="-18"/>
              <w:rPr>
                <w:szCs w:val="22"/>
              </w:rPr>
            </w:pPr>
            <w:r w:rsidRPr="0049008B">
              <w:rPr>
                <w:szCs w:val="22"/>
              </w:rPr>
              <w:t xml:space="preserve">In the </w:t>
            </w:r>
            <w:r w:rsidR="00926C7C" w:rsidRPr="0049008B">
              <w:rPr>
                <w:szCs w:val="22"/>
              </w:rPr>
              <w:t>M</w:t>
            </w:r>
            <w:r w:rsidRPr="0049008B">
              <w:rPr>
                <w:szCs w:val="22"/>
              </w:rPr>
              <w:t>atter of</w:t>
            </w:r>
          </w:p>
          <w:p w14:paraId="20C6CEF6" w14:textId="77777777" w:rsidR="00691D76" w:rsidRPr="0049008B" w:rsidRDefault="00691D76" w:rsidP="00170B85">
            <w:pPr>
              <w:ind w:right="-18"/>
              <w:rPr>
                <w:szCs w:val="22"/>
              </w:rPr>
            </w:pPr>
          </w:p>
          <w:p w14:paraId="05FE71DC" w14:textId="77777777" w:rsidR="00691D76" w:rsidRPr="0049008B" w:rsidRDefault="00AC4E91" w:rsidP="00170B85">
            <w:pPr>
              <w:ind w:right="-18"/>
              <w:rPr>
                <w:szCs w:val="22"/>
              </w:rPr>
            </w:pPr>
            <w:r w:rsidRPr="0049008B">
              <w:rPr>
                <w:szCs w:val="22"/>
              </w:rPr>
              <w:t>GroupMe, Inc./Skype Communications S.A.R.L</w:t>
            </w:r>
          </w:p>
          <w:p w14:paraId="0D62CB22" w14:textId="77777777" w:rsidR="00691D76" w:rsidRPr="0049008B" w:rsidRDefault="00AC4E91" w:rsidP="00170B85">
            <w:pPr>
              <w:ind w:right="-18"/>
              <w:rPr>
                <w:szCs w:val="22"/>
              </w:rPr>
            </w:pPr>
            <w:r w:rsidRPr="0049008B">
              <w:rPr>
                <w:szCs w:val="22"/>
              </w:rPr>
              <w:t xml:space="preserve">Petition for Expedited Declaratory Ruling </w:t>
            </w:r>
            <w:r w:rsidR="00691D76" w:rsidRPr="0049008B">
              <w:rPr>
                <w:szCs w:val="22"/>
              </w:rPr>
              <w:t xml:space="preserve"> </w:t>
            </w:r>
          </w:p>
          <w:p w14:paraId="22179266" w14:textId="77777777" w:rsidR="00691D76" w:rsidRPr="0049008B" w:rsidRDefault="00691D76" w:rsidP="00170B85">
            <w:pPr>
              <w:ind w:right="-18"/>
              <w:rPr>
                <w:szCs w:val="22"/>
              </w:rPr>
            </w:pPr>
          </w:p>
          <w:p w14:paraId="7D580B9F" w14:textId="77777777" w:rsidR="00421521" w:rsidRPr="0049008B" w:rsidRDefault="00AC4E91" w:rsidP="00AC4E91">
            <w:pPr>
              <w:ind w:right="-18"/>
              <w:rPr>
                <w:szCs w:val="22"/>
              </w:rPr>
            </w:pPr>
            <w:r w:rsidRPr="0049008B">
              <w:rPr>
                <w:szCs w:val="22"/>
              </w:rPr>
              <w:t xml:space="preserve">Rules and Regulations Implementing the </w:t>
            </w:r>
          </w:p>
          <w:p w14:paraId="35C2D849" w14:textId="77777777" w:rsidR="00AC4E91" w:rsidRPr="0049008B" w:rsidRDefault="00AC4E91" w:rsidP="00AC4E91">
            <w:pPr>
              <w:ind w:right="-18"/>
              <w:rPr>
                <w:szCs w:val="22"/>
              </w:rPr>
            </w:pPr>
            <w:r w:rsidRPr="0049008B">
              <w:rPr>
                <w:szCs w:val="22"/>
              </w:rPr>
              <w:t>Telephone Consumer Protection Act of 1991</w:t>
            </w:r>
          </w:p>
        </w:tc>
        <w:tc>
          <w:tcPr>
            <w:tcW w:w="720" w:type="dxa"/>
          </w:tcPr>
          <w:p w14:paraId="0EF03639" w14:textId="77777777" w:rsidR="00421521" w:rsidRPr="0049008B" w:rsidRDefault="00926C7C" w:rsidP="00170B85">
            <w:pPr>
              <w:rPr>
                <w:b/>
                <w:szCs w:val="22"/>
              </w:rPr>
            </w:pPr>
            <w:r w:rsidRPr="0049008B">
              <w:rPr>
                <w:b/>
                <w:szCs w:val="22"/>
              </w:rPr>
              <w:t>)</w:t>
            </w:r>
          </w:p>
          <w:p w14:paraId="305CEA0C" w14:textId="77777777" w:rsidR="00421521" w:rsidRPr="0049008B" w:rsidRDefault="00421521" w:rsidP="00170B85">
            <w:pPr>
              <w:rPr>
                <w:b/>
                <w:szCs w:val="22"/>
              </w:rPr>
            </w:pPr>
            <w:r w:rsidRPr="0049008B">
              <w:rPr>
                <w:b/>
                <w:szCs w:val="22"/>
              </w:rPr>
              <w:t>)</w:t>
            </w:r>
          </w:p>
          <w:p w14:paraId="778B90D1" w14:textId="77777777" w:rsidR="00421521" w:rsidRPr="0049008B" w:rsidRDefault="00421521" w:rsidP="00170B85">
            <w:pPr>
              <w:rPr>
                <w:b/>
                <w:szCs w:val="22"/>
              </w:rPr>
            </w:pPr>
            <w:r w:rsidRPr="0049008B">
              <w:rPr>
                <w:b/>
                <w:szCs w:val="22"/>
              </w:rPr>
              <w:t>)</w:t>
            </w:r>
          </w:p>
          <w:p w14:paraId="403FA68D" w14:textId="77777777" w:rsidR="00421521" w:rsidRPr="0049008B" w:rsidRDefault="00421521" w:rsidP="00170B85">
            <w:pPr>
              <w:rPr>
                <w:b/>
                <w:szCs w:val="22"/>
              </w:rPr>
            </w:pPr>
            <w:r w:rsidRPr="0049008B">
              <w:rPr>
                <w:b/>
                <w:szCs w:val="22"/>
              </w:rPr>
              <w:t>)</w:t>
            </w:r>
          </w:p>
          <w:p w14:paraId="64E53607" w14:textId="77777777" w:rsidR="00421521" w:rsidRPr="0049008B" w:rsidRDefault="00691D76" w:rsidP="00170B85">
            <w:pPr>
              <w:rPr>
                <w:b/>
                <w:szCs w:val="22"/>
              </w:rPr>
            </w:pPr>
            <w:r w:rsidRPr="0049008B">
              <w:rPr>
                <w:b/>
                <w:szCs w:val="22"/>
              </w:rPr>
              <w:t>)</w:t>
            </w:r>
          </w:p>
          <w:p w14:paraId="48569D55" w14:textId="77777777" w:rsidR="00691D76" w:rsidRPr="0049008B" w:rsidRDefault="00691D76" w:rsidP="00170B85">
            <w:pPr>
              <w:rPr>
                <w:b/>
                <w:szCs w:val="22"/>
              </w:rPr>
            </w:pPr>
            <w:r w:rsidRPr="0049008B">
              <w:rPr>
                <w:b/>
                <w:szCs w:val="22"/>
              </w:rPr>
              <w:t>)</w:t>
            </w:r>
          </w:p>
          <w:p w14:paraId="3DDEAA35" w14:textId="7076E117" w:rsidR="00913FF5" w:rsidRPr="0049008B" w:rsidRDefault="00691D76" w:rsidP="00926C7C">
            <w:pPr>
              <w:rPr>
                <w:b/>
                <w:szCs w:val="22"/>
              </w:rPr>
            </w:pPr>
            <w:r w:rsidRPr="0049008B">
              <w:rPr>
                <w:b/>
                <w:szCs w:val="22"/>
              </w:rPr>
              <w:t>)</w:t>
            </w:r>
          </w:p>
        </w:tc>
        <w:tc>
          <w:tcPr>
            <w:tcW w:w="4230" w:type="dxa"/>
          </w:tcPr>
          <w:p w14:paraId="2234956A" w14:textId="77777777" w:rsidR="00421521" w:rsidRPr="0049008B" w:rsidRDefault="00421521" w:rsidP="00170B85">
            <w:pPr>
              <w:rPr>
                <w:szCs w:val="22"/>
              </w:rPr>
            </w:pPr>
          </w:p>
          <w:p w14:paraId="5654B509" w14:textId="77777777" w:rsidR="00421521" w:rsidRPr="0049008B" w:rsidRDefault="00421521" w:rsidP="00170B85">
            <w:pPr>
              <w:rPr>
                <w:szCs w:val="22"/>
              </w:rPr>
            </w:pPr>
          </w:p>
          <w:p w14:paraId="0AB1F696" w14:textId="77777777" w:rsidR="00421521" w:rsidRPr="0049008B" w:rsidRDefault="00926C7C" w:rsidP="00170B85">
            <w:pPr>
              <w:rPr>
                <w:szCs w:val="22"/>
              </w:rPr>
            </w:pPr>
            <w:r w:rsidRPr="0049008B">
              <w:rPr>
                <w:szCs w:val="22"/>
              </w:rPr>
              <w:t>CG Docket No. 02-278</w:t>
            </w:r>
          </w:p>
          <w:p w14:paraId="684D8393" w14:textId="77777777" w:rsidR="00421521" w:rsidRPr="0049008B" w:rsidRDefault="00421521" w:rsidP="00170B85">
            <w:pPr>
              <w:rPr>
                <w:szCs w:val="22"/>
              </w:rPr>
            </w:pPr>
          </w:p>
          <w:p w14:paraId="00BD8941" w14:textId="77777777" w:rsidR="00AC4E91" w:rsidRPr="0049008B" w:rsidRDefault="00AC4E91" w:rsidP="00170B85">
            <w:pPr>
              <w:rPr>
                <w:szCs w:val="22"/>
              </w:rPr>
            </w:pPr>
          </w:p>
          <w:p w14:paraId="024736D8" w14:textId="77777777" w:rsidR="00AC4E91" w:rsidRPr="0049008B" w:rsidRDefault="00AC4E91" w:rsidP="00170B85">
            <w:pPr>
              <w:rPr>
                <w:szCs w:val="22"/>
              </w:rPr>
            </w:pPr>
          </w:p>
          <w:p w14:paraId="010FA0BD" w14:textId="77777777" w:rsidR="00AC4E91" w:rsidRPr="0049008B" w:rsidRDefault="00AC4E91" w:rsidP="00170B85">
            <w:pPr>
              <w:rPr>
                <w:szCs w:val="22"/>
              </w:rPr>
            </w:pPr>
          </w:p>
        </w:tc>
      </w:tr>
    </w:tbl>
    <w:p w14:paraId="4F7C893B" w14:textId="77777777" w:rsidR="00421521" w:rsidRPr="0049008B" w:rsidRDefault="00421521" w:rsidP="00170B85">
      <w:pPr>
        <w:rPr>
          <w:szCs w:val="22"/>
        </w:rPr>
      </w:pPr>
    </w:p>
    <w:p w14:paraId="77A97898" w14:textId="77777777" w:rsidR="00421521" w:rsidRPr="0049008B" w:rsidRDefault="00106311" w:rsidP="00170B85">
      <w:pPr>
        <w:spacing w:before="120"/>
        <w:jc w:val="center"/>
        <w:rPr>
          <w:b/>
          <w:szCs w:val="22"/>
        </w:rPr>
      </w:pPr>
      <w:r w:rsidRPr="0049008B">
        <w:rPr>
          <w:b/>
          <w:szCs w:val="22"/>
        </w:rPr>
        <w:t>DECLARATORY RULING</w:t>
      </w:r>
    </w:p>
    <w:p w14:paraId="3B844918" w14:textId="77777777" w:rsidR="00421521" w:rsidRPr="0049008B" w:rsidRDefault="00421521" w:rsidP="00170B85">
      <w:pPr>
        <w:rPr>
          <w:szCs w:val="22"/>
        </w:rPr>
      </w:pPr>
    </w:p>
    <w:p w14:paraId="5CF4EA85" w14:textId="4FF1847D" w:rsidR="00421521" w:rsidRPr="0049008B" w:rsidRDefault="00421521" w:rsidP="00170B85">
      <w:pPr>
        <w:tabs>
          <w:tab w:val="left" w:pos="5760"/>
        </w:tabs>
        <w:rPr>
          <w:b/>
          <w:szCs w:val="22"/>
        </w:rPr>
      </w:pPr>
      <w:r w:rsidRPr="0049008B">
        <w:rPr>
          <w:b/>
          <w:szCs w:val="22"/>
        </w:rPr>
        <w:t xml:space="preserve">   Adopted:  </w:t>
      </w:r>
      <w:r w:rsidR="00BA7E8B">
        <w:rPr>
          <w:b/>
          <w:szCs w:val="22"/>
        </w:rPr>
        <w:t>March</w:t>
      </w:r>
      <w:r w:rsidR="00BA7E8B" w:rsidRPr="0049008B">
        <w:rPr>
          <w:b/>
          <w:szCs w:val="22"/>
        </w:rPr>
        <w:t xml:space="preserve"> </w:t>
      </w:r>
      <w:r w:rsidR="00037571">
        <w:rPr>
          <w:b/>
          <w:szCs w:val="22"/>
        </w:rPr>
        <w:t>27</w:t>
      </w:r>
      <w:r w:rsidR="009B7D2F" w:rsidRPr="0049008B">
        <w:rPr>
          <w:b/>
          <w:szCs w:val="22"/>
        </w:rPr>
        <w:t xml:space="preserve">, </w:t>
      </w:r>
      <w:r w:rsidR="00BA7E8B">
        <w:rPr>
          <w:b/>
          <w:szCs w:val="22"/>
        </w:rPr>
        <w:t>2014</w:t>
      </w:r>
      <w:r w:rsidRPr="0049008B">
        <w:rPr>
          <w:b/>
          <w:szCs w:val="22"/>
        </w:rPr>
        <w:tab/>
        <w:t xml:space="preserve">Released:  </w:t>
      </w:r>
      <w:r w:rsidR="00BA7E8B">
        <w:rPr>
          <w:b/>
          <w:szCs w:val="22"/>
        </w:rPr>
        <w:t>March</w:t>
      </w:r>
      <w:r w:rsidR="00BA7E8B" w:rsidRPr="0049008B">
        <w:rPr>
          <w:b/>
          <w:szCs w:val="22"/>
        </w:rPr>
        <w:t xml:space="preserve"> </w:t>
      </w:r>
      <w:r w:rsidR="00037571">
        <w:rPr>
          <w:b/>
          <w:szCs w:val="22"/>
        </w:rPr>
        <w:t>27</w:t>
      </w:r>
      <w:r w:rsidR="009B7D2F" w:rsidRPr="0049008B">
        <w:rPr>
          <w:b/>
          <w:szCs w:val="22"/>
        </w:rPr>
        <w:t xml:space="preserve">, </w:t>
      </w:r>
      <w:r w:rsidR="00BA7E8B">
        <w:rPr>
          <w:b/>
          <w:szCs w:val="22"/>
        </w:rPr>
        <w:t>2014</w:t>
      </w:r>
    </w:p>
    <w:p w14:paraId="3AD5D120" w14:textId="77777777" w:rsidR="00421521" w:rsidRPr="0049008B" w:rsidRDefault="00421521" w:rsidP="00170B85">
      <w:pPr>
        <w:tabs>
          <w:tab w:val="left" w:pos="5760"/>
        </w:tabs>
        <w:rPr>
          <w:b/>
          <w:szCs w:val="22"/>
        </w:rPr>
      </w:pPr>
    </w:p>
    <w:p w14:paraId="37C4862D" w14:textId="36D1FEB2" w:rsidR="00421521" w:rsidRPr="0049008B" w:rsidRDefault="00421521" w:rsidP="00170B85">
      <w:pPr>
        <w:tabs>
          <w:tab w:val="left" w:pos="5760"/>
        </w:tabs>
        <w:rPr>
          <w:szCs w:val="22"/>
        </w:rPr>
      </w:pPr>
      <w:r w:rsidRPr="0049008B">
        <w:rPr>
          <w:szCs w:val="22"/>
        </w:rPr>
        <w:t xml:space="preserve">By the </w:t>
      </w:r>
      <w:r w:rsidR="00AC4E91" w:rsidRPr="0049008B">
        <w:rPr>
          <w:szCs w:val="22"/>
        </w:rPr>
        <w:t>Commission:</w:t>
      </w:r>
      <w:r w:rsidR="00DF2498">
        <w:rPr>
          <w:szCs w:val="22"/>
        </w:rPr>
        <w:t xml:space="preserve"> Commissioner O’Rielly</w:t>
      </w:r>
      <w:r w:rsidR="006A6324">
        <w:rPr>
          <w:szCs w:val="22"/>
        </w:rPr>
        <w:t xml:space="preserve"> concurring and</w:t>
      </w:r>
      <w:r w:rsidR="00DF2498">
        <w:rPr>
          <w:szCs w:val="22"/>
        </w:rPr>
        <w:t xml:space="preserve"> issuing a separate statement.</w:t>
      </w:r>
    </w:p>
    <w:p w14:paraId="095C461E" w14:textId="77777777" w:rsidR="00421521" w:rsidRPr="0049008B" w:rsidRDefault="00421521" w:rsidP="00170B85">
      <w:pPr>
        <w:tabs>
          <w:tab w:val="left" w:pos="5760"/>
        </w:tabs>
        <w:rPr>
          <w:b/>
          <w:szCs w:val="22"/>
        </w:rPr>
      </w:pPr>
    </w:p>
    <w:p w14:paraId="33FA913D" w14:textId="77777777" w:rsidR="00421521" w:rsidRPr="0049008B" w:rsidRDefault="00691D76" w:rsidP="00170B85">
      <w:pPr>
        <w:pStyle w:val="Heading1"/>
        <w:widowControl/>
        <w:rPr>
          <w:szCs w:val="22"/>
        </w:rPr>
      </w:pPr>
      <w:r w:rsidRPr="0049008B">
        <w:rPr>
          <w:szCs w:val="22"/>
        </w:rPr>
        <w:t>introduction</w:t>
      </w:r>
    </w:p>
    <w:p w14:paraId="2EA2AEAC" w14:textId="77777777" w:rsidR="00691D76" w:rsidRPr="00913B81" w:rsidRDefault="00796072" w:rsidP="001A6068">
      <w:pPr>
        <w:pStyle w:val="ParaNum"/>
        <w:widowControl/>
        <w:rPr>
          <w:szCs w:val="22"/>
        </w:rPr>
      </w:pPr>
      <w:r>
        <w:t>The Telephone Consumer Protection Act (TCPA</w:t>
      </w:r>
      <w:r w:rsidR="0010057A">
        <w:t>)</w:t>
      </w:r>
      <w:r>
        <w:rPr>
          <w:rStyle w:val="FootnoteReference"/>
        </w:rPr>
        <w:footnoteReference w:id="2"/>
      </w:r>
      <w:r>
        <w:t xml:space="preserve"> protects consumers from unwanted calls and texts that are made with autodialers and with prerecorded messages.  The TCPA and our rules help consumers avoid unwanted communications that can represent annoying intrusions into daily life and, in some cases, can cost them financially.  At the same time, our goal is to make sure the TCPA is not interpreted to inhibit communications consumers may want and that do not implicate the harms TCPA was designed to prevent.  With this decision, we address one such case.  We clarify that text-based social networks may send administrative texts </w:t>
      </w:r>
      <w:r w:rsidR="00913B81">
        <w:t xml:space="preserve">confirming </w:t>
      </w:r>
      <w:r>
        <w:t>consumers</w:t>
      </w:r>
      <w:r w:rsidR="00913B81">
        <w:t xml:space="preserve">’ interest in joining </w:t>
      </w:r>
      <w:r>
        <w:t>such groups without violating the TCPA</w:t>
      </w:r>
      <w:r w:rsidR="00913B81">
        <w:t xml:space="preserve"> because</w:t>
      </w:r>
      <w:r w:rsidR="004804AD">
        <w:t>, when consumers give express consent</w:t>
      </w:r>
      <w:r w:rsidR="00C01970">
        <w:t xml:space="preserve"> to participate in the group</w:t>
      </w:r>
      <w:r w:rsidR="004804AD">
        <w:t>,</w:t>
      </w:r>
      <w:r w:rsidR="00913B81">
        <w:t xml:space="preserve"> they are the types of expected and desired communications TCPA was not designed to prohibit</w:t>
      </w:r>
      <w:r w:rsidR="000E4324">
        <w:t>, even when that consent is conveyed to the text-based social network by an intermediary</w:t>
      </w:r>
      <w:r w:rsidR="00C01970">
        <w:t>.</w:t>
      </w:r>
      <w:r w:rsidR="00913B81">
        <w:t xml:space="preserve">  </w:t>
      </w:r>
      <w:r>
        <w:t xml:space="preserve">To ensure that the TCPA’s consumer protection goals are not circumvented, we emphasize that social networks </w:t>
      </w:r>
      <w:r w:rsidR="00913B81">
        <w:t xml:space="preserve">that </w:t>
      </w:r>
      <w:r>
        <w:t xml:space="preserve">rely on third-party representations </w:t>
      </w:r>
      <w:r w:rsidR="00FD1F46">
        <w:t xml:space="preserve">regarding consent </w:t>
      </w:r>
      <w:r>
        <w:t xml:space="preserve">remain liable for TCPA violations when a consumer’s </w:t>
      </w:r>
      <w:r w:rsidRPr="00504519">
        <w:t>consent was not obtained</w:t>
      </w:r>
      <w:r>
        <w:t>.</w:t>
      </w:r>
      <w:r w:rsidR="00913B81">
        <w:rPr>
          <w:szCs w:val="22"/>
        </w:rPr>
        <w:t xml:space="preserve">  </w:t>
      </w:r>
      <w:r w:rsidRPr="00913B81">
        <w:rPr>
          <w:szCs w:val="22"/>
        </w:rPr>
        <w:t xml:space="preserve">We make these clarifications and </w:t>
      </w:r>
      <w:r w:rsidR="00DF060F" w:rsidRPr="00913B81">
        <w:rPr>
          <w:szCs w:val="22"/>
        </w:rPr>
        <w:t>grant</w:t>
      </w:r>
      <w:r w:rsidR="00043961" w:rsidRPr="00913B81">
        <w:rPr>
          <w:szCs w:val="22"/>
        </w:rPr>
        <w:t xml:space="preserve"> to the extent indicated herein</w:t>
      </w:r>
      <w:r w:rsidR="00376382" w:rsidRPr="00913B81">
        <w:rPr>
          <w:szCs w:val="22"/>
        </w:rPr>
        <w:t xml:space="preserve"> a request </w:t>
      </w:r>
      <w:r w:rsidR="00AC4E91" w:rsidRPr="00913B81">
        <w:rPr>
          <w:szCs w:val="22"/>
        </w:rPr>
        <w:t>by GroupMe, Inc./Skype Communications S.A.R.L (GroupMe)</w:t>
      </w:r>
      <w:r w:rsidR="009A2AF7" w:rsidRPr="00913B81">
        <w:rPr>
          <w:szCs w:val="22"/>
        </w:rPr>
        <w:t>, as modified</w:t>
      </w:r>
      <w:r w:rsidRPr="00913B81">
        <w:rPr>
          <w:szCs w:val="22"/>
        </w:rPr>
        <w:t>.</w:t>
      </w:r>
      <w:r w:rsidR="00AC4E91" w:rsidRPr="0049008B">
        <w:rPr>
          <w:rStyle w:val="FootnoteReference"/>
          <w:szCs w:val="22"/>
        </w:rPr>
        <w:footnoteReference w:id="3"/>
      </w:r>
      <w:r w:rsidR="002C194D" w:rsidRPr="00913B81">
        <w:rPr>
          <w:szCs w:val="22"/>
        </w:rPr>
        <w:t xml:space="preserve">  </w:t>
      </w:r>
      <w:r w:rsidR="00D210A6">
        <w:t xml:space="preserve">  </w:t>
      </w:r>
      <w:r w:rsidR="00AC4E91" w:rsidRPr="00913B81">
        <w:rPr>
          <w:szCs w:val="22"/>
        </w:rPr>
        <w:t xml:space="preserve">   </w:t>
      </w:r>
    </w:p>
    <w:p w14:paraId="3213CA56" w14:textId="77777777" w:rsidR="00457113" w:rsidRPr="0049008B" w:rsidRDefault="00457113" w:rsidP="00170B85">
      <w:pPr>
        <w:pStyle w:val="Heading1"/>
        <w:widowControl/>
        <w:rPr>
          <w:szCs w:val="22"/>
        </w:rPr>
      </w:pPr>
      <w:r w:rsidRPr="0049008B">
        <w:rPr>
          <w:szCs w:val="22"/>
        </w:rPr>
        <w:lastRenderedPageBreak/>
        <w:t>background</w:t>
      </w:r>
    </w:p>
    <w:p w14:paraId="3C461484" w14:textId="77777777" w:rsidR="00246FBA" w:rsidRPr="00CD1BF8" w:rsidRDefault="00C1747B" w:rsidP="001A6068">
      <w:pPr>
        <w:pStyle w:val="ParaNum"/>
        <w:rPr>
          <w:szCs w:val="22"/>
        </w:rPr>
      </w:pPr>
      <w:r>
        <w:rPr>
          <w:szCs w:val="22"/>
        </w:rPr>
        <w:t>In 1</w:t>
      </w:r>
      <w:r w:rsidR="00246FBA" w:rsidRPr="0049008B">
        <w:t>991, Congress enacted the TCPA in an effort to address certain practices thought to be an invasion of consumer privacy and a risk to public safety.</w:t>
      </w:r>
      <w:r w:rsidR="00246FBA" w:rsidRPr="0049008B">
        <w:rPr>
          <w:rStyle w:val="FootnoteReference"/>
          <w:szCs w:val="22"/>
        </w:rPr>
        <w:footnoteReference w:id="4"/>
      </w:r>
      <w:r w:rsidR="00246FBA" w:rsidRPr="0049008B">
        <w:t xml:space="preserve">  In relevant part, the TCPA and </w:t>
      </w:r>
      <w:r w:rsidR="00B34DF7" w:rsidRPr="0049008B">
        <w:t>the Commission’s</w:t>
      </w:r>
      <w:r w:rsidR="00246FBA" w:rsidRPr="0049008B">
        <w:t xml:space="preserve"> implementing rules prohibit the use of </w:t>
      </w:r>
      <w:r w:rsidR="00412B33" w:rsidRPr="0049008B">
        <w:t xml:space="preserve">an artificial or prerecorded voice or </w:t>
      </w:r>
      <w:r w:rsidR="00E4725C" w:rsidRPr="0049008B">
        <w:t xml:space="preserve">an </w:t>
      </w:r>
      <w:r w:rsidR="00246FBA" w:rsidRPr="0049008B">
        <w:t>automatic telephone dialing system to make a non-emergency call without prior express consent to, among others, any telephone number assigned to cellular telephone services.</w:t>
      </w:r>
      <w:r w:rsidR="00246FBA" w:rsidRPr="0049008B">
        <w:rPr>
          <w:rStyle w:val="FootnoteReference"/>
          <w:szCs w:val="22"/>
        </w:rPr>
        <w:footnoteReference w:id="5"/>
      </w:r>
      <w:r w:rsidR="00A971FC" w:rsidRPr="0049008B">
        <w:t xml:space="preserve"> </w:t>
      </w:r>
      <w:r w:rsidR="0001152A">
        <w:t xml:space="preserve"> </w:t>
      </w:r>
      <w:r w:rsidR="006528DE" w:rsidRPr="006528DE">
        <w:rPr>
          <w:szCs w:val="22"/>
        </w:rPr>
        <w:t xml:space="preserve">In the </w:t>
      </w:r>
      <w:r w:rsidR="006528DE" w:rsidRPr="009E2F41">
        <w:rPr>
          <w:i/>
          <w:szCs w:val="22"/>
        </w:rPr>
        <w:t>2003 TCPA Order</w:t>
      </w:r>
      <w:r w:rsidR="006528DE" w:rsidRPr="009E2F41">
        <w:rPr>
          <w:szCs w:val="22"/>
        </w:rPr>
        <w:t>,</w:t>
      </w:r>
      <w:r w:rsidR="006528DE" w:rsidRPr="006528DE">
        <w:rPr>
          <w:szCs w:val="22"/>
        </w:rPr>
        <w:t xml:space="preserve"> the Commission </w:t>
      </w:r>
      <w:r w:rsidR="0092257A" w:rsidRPr="0049008B">
        <w:t xml:space="preserve">concluded that </w:t>
      </w:r>
      <w:r w:rsidR="0092257A">
        <w:t xml:space="preserve">the TCPA’s protections </w:t>
      </w:r>
      <w:r w:rsidR="0092257A" w:rsidRPr="0049008B">
        <w:t xml:space="preserve">encompass both voice </w:t>
      </w:r>
      <w:r w:rsidR="0092257A">
        <w:t xml:space="preserve">calls </w:t>
      </w:r>
      <w:r w:rsidR="0092257A" w:rsidRPr="0049008B">
        <w:t>and text</w:t>
      </w:r>
      <w:r w:rsidR="0092257A">
        <w:t xml:space="preserve"> messages</w:t>
      </w:r>
      <w:r w:rsidR="0092257A" w:rsidRPr="0049008B">
        <w:t xml:space="preserve">, including short message service (SMS) calls, if the </w:t>
      </w:r>
      <w:r w:rsidR="0092257A" w:rsidRPr="009E2F41">
        <w:t>autodialed or</w:t>
      </w:r>
      <w:r w:rsidR="0092257A">
        <w:t xml:space="preserve"> </w:t>
      </w:r>
      <w:r w:rsidR="0092257A" w:rsidRPr="0049008B">
        <w:t>prerecorded call is made to a telephone number assigned to such service.</w:t>
      </w:r>
      <w:r w:rsidR="0092257A" w:rsidRPr="0049008B">
        <w:rPr>
          <w:rStyle w:val="FootnoteReference"/>
          <w:szCs w:val="22"/>
        </w:rPr>
        <w:footnoteReference w:id="6"/>
      </w:r>
    </w:p>
    <w:p w14:paraId="678DEC89" w14:textId="77777777" w:rsidR="005647EC" w:rsidRPr="0049008B" w:rsidRDefault="00B036DB">
      <w:pPr>
        <w:pStyle w:val="ParaNum"/>
        <w:widowControl/>
        <w:rPr>
          <w:szCs w:val="22"/>
        </w:rPr>
      </w:pPr>
      <w:r w:rsidRPr="0049008B">
        <w:rPr>
          <w:szCs w:val="22"/>
        </w:rPr>
        <w:t xml:space="preserve">On </w:t>
      </w:r>
      <w:r w:rsidR="00AC4E91" w:rsidRPr="0049008B">
        <w:rPr>
          <w:szCs w:val="22"/>
        </w:rPr>
        <w:t>March 1, 2012</w:t>
      </w:r>
      <w:r w:rsidRPr="0049008B">
        <w:rPr>
          <w:szCs w:val="22"/>
        </w:rPr>
        <w:t xml:space="preserve">, </w:t>
      </w:r>
      <w:r w:rsidR="00AC4E91" w:rsidRPr="0049008B">
        <w:rPr>
          <w:szCs w:val="22"/>
        </w:rPr>
        <w:t xml:space="preserve">GroupMe </w:t>
      </w:r>
      <w:r w:rsidRPr="0049008B">
        <w:rPr>
          <w:szCs w:val="22"/>
        </w:rPr>
        <w:t xml:space="preserve">filed </w:t>
      </w:r>
      <w:r w:rsidR="00C7444F" w:rsidRPr="0049008B">
        <w:rPr>
          <w:szCs w:val="22"/>
        </w:rPr>
        <w:t xml:space="preserve">its Petition seeking clarification of the TCPA as it applies to the type of group texting service </w:t>
      </w:r>
      <w:r w:rsidR="00B34DF7" w:rsidRPr="0049008B">
        <w:rPr>
          <w:szCs w:val="22"/>
        </w:rPr>
        <w:t>offered by</w:t>
      </w:r>
      <w:r w:rsidR="00C7444F" w:rsidRPr="0049008B">
        <w:rPr>
          <w:szCs w:val="22"/>
        </w:rPr>
        <w:t xml:space="preserve"> GroupMe.</w:t>
      </w:r>
      <w:r w:rsidR="00B34DF7" w:rsidRPr="0049008B">
        <w:rPr>
          <w:rStyle w:val="FootnoteReference"/>
          <w:szCs w:val="22"/>
        </w:rPr>
        <w:footnoteReference w:id="7"/>
      </w:r>
      <w:r w:rsidR="00B34DF7" w:rsidRPr="0049008B">
        <w:rPr>
          <w:szCs w:val="22"/>
        </w:rPr>
        <w:t xml:space="preserve"> </w:t>
      </w:r>
      <w:r w:rsidR="00C7444F" w:rsidRPr="0049008B">
        <w:rPr>
          <w:szCs w:val="22"/>
        </w:rPr>
        <w:t xml:space="preserve"> According to its </w:t>
      </w:r>
      <w:r w:rsidR="003D3424">
        <w:rPr>
          <w:szCs w:val="22"/>
        </w:rPr>
        <w:t>P</w:t>
      </w:r>
      <w:r w:rsidR="00C7444F" w:rsidRPr="0049008B">
        <w:rPr>
          <w:szCs w:val="22"/>
        </w:rPr>
        <w:t>etition, GroupMe provides a free group text messaging service for groups of up to 5</w:t>
      </w:r>
      <w:r w:rsidR="00281566" w:rsidRPr="0049008B">
        <w:rPr>
          <w:szCs w:val="22"/>
        </w:rPr>
        <w:t>0</w:t>
      </w:r>
      <w:r w:rsidR="00C7444F" w:rsidRPr="0049008B">
        <w:rPr>
          <w:szCs w:val="22"/>
        </w:rPr>
        <w:t xml:space="preserve"> members.</w:t>
      </w:r>
      <w:r w:rsidR="00C7444F" w:rsidRPr="0049008B">
        <w:rPr>
          <w:rStyle w:val="FootnoteReference"/>
          <w:szCs w:val="22"/>
        </w:rPr>
        <w:footnoteReference w:id="8"/>
      </w:r>
      <w:r w:rsidR="00C7444F" w:rsidRPr="0049008B">
        <w:rPr>
          <w:szCs w:val="22"/>
        </w:rPr>
        <w:t xml:space="preserve">  </w:t>
      </w:r>
      <w:r w:rsidR="007600E2" w:rsidRPr="0049008B">
        <w:rPr>
          <w:szCs w:val="22"/>
        </w:rPr>
        <w:t xml:space="preserve">A user who wishes </w:t>
      </w:r>
      <w:r w:rsidR="003A2FFB" w:rsidRPr="0049008B">
        <w:rPr>
          <w:szCs w:val="22"/>
        </w:rPr>
        <w:t xml:space="preserve">to create a </w:t>
      </w:r>
      <w:r w:rsidR="00174A65" w:rsidRPr="0049008B">
        <w:rPr>
          <w:szCs w:val="22"/>
        </w:rPr>
        <w:t>g</w:t>
      </w:r>
      <w:r w:rsidR="003A2FFB" w:rsidRPr="0049008B">
        <w:rPr>
          <w:szCs w:val="22"/>
        </w:rPr>
        <w:t>roup</w:t>
      </w:r>
      <w:r w:rsidR="00174A65" w:rsidRPr="0049008B">
        <w:rPr>
          <w:szCs w:val="22"/>
        </w:rPr>
        <w:t xml:space="preserve"> using GroupMe’s service</w:t>
      </w:r>
      <w:r w:rsidR="003A2FFB" w:rsidRPr="0049008B">
        <w:rPr>
          <w:szCs w:val="22"/>
        </w:rPr>
        <w:t xml:space="preserve"> must register with GroupMe and agree to its terms of service</w:t>
      </w:r>
      <w:r w:rsidR="00174A65" w:rsidRPr="0049008B">
        <w:rPr>
          <w:szCs w:val="22"/>
        </w:rPr>
        <w:t>,</w:t>
      </w:r>
      <w:r w:rsidR="003A2FFB" w:rsidRPr="0049008B">
        <w:rPr>
          <w:szCs w:val="22"/>
        </w:rPr>
        <w:t xml:space="preserve"> which require the group creator to represent that </w:t>
      </w:r>
      <w:r w:rsidR="00174A65" w:rsidRPr="0049008B">
        <w:rPr>
          <w:szCs w:val="22"/>
        </w:rPr>
        <w:t>each</w:t>
      </w:r>
      <w:r w:rsidR="003A2FFB" w:rsidRPr="0049008B">
        <w:rPr>
          <w:szCs w:val="22"/>
        </w:rPr>
        <w:t xml:space="preserve"> individual added to the group has consented to be added and to receive text messages.</w:t>
      </w:r>
      <w:r w:rsidR="003A2FFB" w:rsidRPr="0049008B">
        <w:rPr>
          <w:rStyle w:val="FootnoteReference"/>
          <w:szCs w:val="22"/>
        </w:rPr>
        <w:footnoteReference w:id="9"/>
      </w:r>
      <w:r w:rsidR="003A2FFB" w:rsidRPr="0049008B">
        <w:rPr>
          <w:szCs w:val="22"/>
        </w:rPr>
        <w:t xml:space="preserve">  Once registered</w:t>
      </w:r>
      <w:r w:rsidR="007600E2" w:rsidRPr="0049008B">
        <w:rPr>
          <w:szCs w:val="22"/>
        </w:rPr>
        <w:t>,</w:t>
      </w:r>
      <w:r w:rsidR="003A2FFB" w:rsidRPr="0049008B">
        <w:rPr>
          <w:szCs w:val="22"/>
        </w:rPr>
        <w:t xml:space="preserve"> the group creator provides GroupMe with the wireless telephone numbers of </w:t>
      </w:r>
      <w:r w:rsidR="007600E2" w:rsidRPr="0049008B">
        <w:rPr>
          <w:szCs w:val="22"/>
        </w:rPr>
        <w:t>the</w:t>
      </w:r>
      <w:r w:rsidR="003A2FFB" w:rsidRPr="0049008B">
        <w:rPr>
          <w:szCs w:val="22"/>
        </w:rPr>
        <w:t xml:space="preserve"> group members</w:t>
      </w:r>
      <w:r w:rsidR="007600E2" w:rsidRPr="0049008B">
        <w:rPr>
          <w:szCs w:val="22"/>
        </w:rPr>
        <w:t>.</w:t>
      </w:r>
      <w:r w:rsidR="0098438D">
        <w:rPr>
          <w:rStyle w:val="FootnoteReference"/>
          <w:szCs w:val="22"/>
        </w:rPr>
        <w:footnoteReference w:id="10"/>
      </w:r>
      <w:r w:rsidR="007600E2" w:rsidRPr="0049008B">
        <w:rPr>
          <w:szCs w:val="22"/>
        </w:rPr>
        <w:t xml:space="preserve">  GroupMe then sends </w:t>
      </w:r>
      <w:r w:rsidR="003A2FFB" w:rsidRPr="0049008B">
        <w:rPr>
          <w:szCs w:val="22"/>
        </w:rPr>
        <w:t>up to four text messages</w:t>
      </w:r>
      <w:r w:rsidR="007600E2" w:rsidRPr="0049008B">
        <w:rPr>
          <w:szCs w:val="22"/>
        </w:rPr>
        <w:t xml:space="preserve"> to each group member,</w:t>
      </w:r>
      <w:r w:rsidR="003A2FFB" w:rsidRPr="0049008B">
        <w:rPr>
          <w:szCs w:val="22"/>
        </w:rPr>
        <w:t xml:space="preserve"> informing </w:t>
      </w:r>
      <w:r w:rsidR="007600E2" w:rsidRPr="0049008B">
        <w:rPr>
          <w:szCs w:val="22"/>
        </w:rPr>
        <w:t>each member of</w:t>
      </w:r>
      <w:r w:rsidR="003A2FFB" w:rsidRPr="0049008B">
        <w:rPr>
          <w:szCs w:val="22"/>
        </w:rPr>
        <w:t xml:space="preserve"> information about the group creator, the name</w:t>
      </w:r>
      <w:r w:rsidR="007600E2" w:rsidRPr="0049008B">
        <w:rPr>
          <w:szCs w:val="22"/>
        </w:rPr>
        <w:t>s</w:t>
      </w:r>
      <w:r w:rsidR="003A2FFB" w:rsidRPr="0049008B">
        <w:rPr>
          <w:szCs w:val="22"/>
        </w:rPr>
        <w:t xml:space="preserve"> of the </w:t>
      </w:r>
      <w:r w:rsidR="007600E2" w:rsidRPr="0049008B">
        <w:rPr>
          <w:szCs w:val="22"/>
        </w:rPr>
        <w:t>individuals</w:t>
      </w:r>
      <w:r w:rsidR="003A2FFB" w:rsidRPr="0049008B">
        <w:rPr>
          <w:szCs w:val="22"/>
        </w:rPr>
        <w:t xml:space="preserve"> </w:t>
      </w:r>
      <w:r w:rsidR="007600E2" w:rsidRPr="0049008B">
        <w:rPr>
          <w:szCs w:val="22"/>
        </w:rPr>
        <w:t>who</w:t>
      </w:r>
      <w:r w:rsidR="003A2FFB" w:rsidRPr="0049008B">
        <w:rPr>
          <w:szCs w:val="22"/>
        </w:rPr>
        <w:t xml:space="preserve"> comprise the group, the unique ten-digit number </w:t>
      </w:r>
      <w:r w:rsidR="007600E2" w:rsidRPr="0049008B">
        <w:rPr>
          <w:szCs w:val="22"/>
        </w:rPr>
        <w:t xml:space="preserve">GroupMe </w:t>
      </w:r>
      <w:r w:rsidR="003A2FFB" w:rsidRPr="0049008B">
        <w:rPr>
          <w:szCs w:val="22"/>
        </w:rPr>
        <w:t>assigned to the group</w:t>
      </w:r>
      <w:r w:rsidR="007600E2" w:rsidRPr="0049008B">
        <w:rPr>
          <w:szCs w:val="22"/>
        </w:rPr>
        <w:t>,</w:t>
      </w:r>
      <w:r w:rsidR="003A2FFB" w:rsidRPr="0049008B">
        <w:rPr>
          <w:szCs w:val="22"/>
        </w:rPr>
        <w:t xml:space="preserve"> instructions on how to stop receiving text messages</w:t>
      </w:r>
      <w:r w:rsidR="007600E2" w:rsidRPr="0049008B">
        <w:rPr>
          <w:szCs w:val="22"/>
        </w:rPr>
        <w:t xml:space="preserve"> associated with the </w:t>
      </w:r>
      <w:r w:rsidR="00F8746B" w:rsidRPr="0049008B">
        <w:rPr>
          <w:szCs w:val="22"/>
        </w:rPr>
        <w:t>g</w:t>
      </w:r>
      <w:r w:rsidR="007600E2" w:rsidRPr="0049008B">
        <w:rPr>
          <w:szCs w:val="22"/>
        </w:rPr>
        <w:t>roup,</w:t>
      </w:r>
      <w:r w:rsidR="003A2FFB" w:rsidRPr="0049008B">
        <w:rPr>
          <w:szCs w:val="22"/>
        </w:rPr>
        <w:t xml:space="preserve"> a</w:t>
      </w:r>
      <w:r w:rsidR="00F8746B" w:rsidRPr="0049008B">
        <w:rPr>
          <w:szCs w:val="22"/>
        </w:rPr>
        <w:t>nd instructions</w:t>
      </w:r>
      <w:r w:rsidR="003A2FFB" w:rsidRPr="0049008B">
        <w:rPr>
          <w:szCs w:val="22"/>
        </w:rPr>
        <w:t xml:space="preserve"> to download the free </w:t>
      </w:r>
      <w:r w:rsidR="00F8746B" w:rsidRPr="0049008B">
        <w:rPr>
          <w:szCs w:val="22"/>
        </w:rPr>
        <w:t xml:space="preserve">GroupMe </w:t>
      </w:r>
      <w:r w:rsidR="003A2FFB" w:rsidRPr="0049008B">
        <w:rPr>
          <w:szCs w:val="22"/>
        </w:rPr>
        <w:t>app.</w:t>
      </w:r>
      <w:r w:rsidR="003A2FFB" w:rsidRPr="0049008B">
        <w:rPr>
          <w:rStyle w:val="FootnoteReference"/>
          <w:szCs w:val="22"/>
        </w:rPr>
        <w:footnoteReference w:id="11"/>
      </w:r>
      <w:r w:rsidR="003A2FFB" w:rsidRPr="0049008B">
        <w:rPr>
          <w:szCs w:val="22"/>
        </w:rPr>
        <w:t xml:space="preserve"> </w:t>
      </w:r>
      <w:r w:rsidR="00F8746B" w:rsidRPr="0049008B">
        <w:rPr>
          <w:szCs w:val="22"/>
        </w:rPr>
        <w:t xml:space="preserve"> </w:t>
      </w:r>
      <w:r w:rsidR="00C7444F" w:rsidRPr="0049008B">
        <w:rPr>
          <w:szCs w:val="22"/>
        </w:rPr>
        <w:t>GroupMe allows users to communicate either over their standard text messaging service or by using the GroupMe app, which uses a data connection and avoids texting fees.</w:t>
      </w:r>
      <w:r w:rsidR="00C7444F" w:rsidRPr="0049008B">
        <w:rPr>
          <w:rStyle w:val="FootnoteReference"/>
          <w:szCs w:val="22"/>
        </w:rPr>
        <w:footnoteReference w:id="12"/>
      </w:r>
      <w:r w:rsidR="00C7444F" w:rsidRPr="0049008B">
        <w:rPr>
          <w:szCs w:val="22"/>
        </w:rPr>
        <w:t xml:space="preserve">  </w:t>
      </w:r>
    </w:p>
    <w:p w14:paraId="4AB822C7" w14:textId="77777777" w:rsidR="004316E5" w:rsidRPr="0049008B" w:rsidRDefault="00DB29FB">
      <w:pPr>
        <w:pStyle w:val="ParaNum"/>
        <w:widowControl/>
        <w:rPr>
          <w:szCs w:val="22"/>
        </w:rPr>
      </w:pPr>
      <w:r w:rsidRPr="0049008B">
        <w:rPr>
          <w:szCs w:val="22"/>
        </w:rPr>
        <w:t xml:space="preserve">GroupMe </w:t>
      </w:r>
      <w:r w:rsidR="0098438D">
        <w:rPr>
          <w:szCs w:val="22"/>
        </w:rPr>
        <w:t xml:space="preserve">asks </w:t>
      </w:r>
      <w:r w:rsidR="00C83B8D" w:rsidRPr="0049008B">
        <w:rPr>
          <w:szCs w:val="22"/>
        </w:rPr>
        <w:t xml:space="preserve">that </w:t>
      </w:r>
      <w:r w:rsidR="00120C9C" w:rsidRPr="0049008B">
        <w:rPr>
          <w:szCs w:val="22"/>
        </w:rPr>
        <w:t>the Commission clarify</w:t>
      </w:r>
      <w:r w:rsidR="00F862D1" w:rsidRPr="0049008B">
        <w:rPr>
          <w:szCs w:val="22"/>
        </w:rPr>
        <w:t xml:space="preserve"> that</w:t>
      </w:r>
      <w:r w:rsidR="00120C9C" w:rsidRPr="0049008B">
        <w:rPr>
          <w:szCs w:val="22"/>
        </w:rPr>
        <w:t xml:space="preserve"> consent for certain calls under the TCPA may be given through intermediaries.</w:t>
      </w:r>
      <w:r w:rsidR="00CD1BF8">
        <w:rPr>
          <w:rStyle w:val="FootnoteReference"/>
          <w:szCs w:val="22"/>
        </w:rPr>
        <w:footnoteReference w:id="13"/>
      </w:r>
      <w:r w:rsidR="00BC4D46" w:rsidRPr="0049008B">
        <w:rPr>
          <w:szCs w:val="22"/>
        </w:rPr>
        <w:t xml:space="preserve"> </w:t>
      </w:r>
      <w:r w:rsidR="005A4E40" w:rsidRPr="0049008B">
        <w:rPr>
          <w:szCs w:val="22"/>
        </w:rPr>
        <w:t>Currently</w:t>
      </w:r>
      <w:r w:rsidR="00EE1922" w:rsidRPr="0049008B">
        <w:rPr>
          <w:szCs w:val="22"/>
        </w:rPr>
        <w:t>,</w:t>
      </w:r>
      <w:r w:rsidR="005A4E40" w:rsidRPr="0049008B">
        <w:rPr>
          <w:szCs w:val="22"/>
        </w:rPr>
        <w:t xml:space="preserve"> the Commission requires “some form of prior express consent for autodialed or prerecorded non-telemarketing calls to wireless numbers” and “leaves it to the caller to determine, when making an autodialed or prerecorded non-telemarketing call to a wireless number, whether to rely on oral or written consent in complying with the statutory consent requirement.”</w:t>
      </w:r>
      <w:r w:rsidR="005A4E40" w:rsidRPr="0049008B">
        <w:rPr>
          <w:rStyle w:val="FootnoteReference"/>
          <w:szCs w:val="22"/>
        </w:rPr>
        <w:footnoteReference w:id="14"/>
      </w:r>
      <w:r w:rsidR="005A4E40" w:rsidRPr="0049008B">
        <w:rPr>
          <w:szCs w:val="22"/>
        </w:rPr>
        <w:t xml:space="preserve"> </w:t>
      </w:r>
      <w:r w:rsidR="00EE1922" w:rsidRPr="0049008B">
        <w:rPr>
          <w:szCs w:val="22"/>
        </w:rPr>
        <w:t xml:space="preserve"> </w:t>
      </w:r>
      <w:r w:rsidR="00AF4C72" w:rsidRPr="0049008B">
        <w:rPr>
          <w:szCs w:val="22"/>
        </w:rPr>
        <w:t xml:space="preserve">GroupMe </w:t>
      </w:r>
      <w:r w:rsidR="00134AE3" w:rsidRPr="0049008B">
        <w:rPr>
          <w:szCs w:val="22"/>
        </w:rPr>
        <w:t xml:space="preserve">contends </w:t>
      </w:r>
      <w:r w:rsidR="00AF4C72" w:rsidRPr="0049008B">
        <w:rPr>
          <w:szCs w:val="22"/>
        </w:rPr>
        <w:t xml:space="preserve">that in the case of non-telemarketing or informational text messages </w:t>
      </w:r>
      <w:r w:rsidR="007456FA" w:rsidRPr="0049008B">
        <w:rPr>
          <w:szCs w:val="22"/>
        </w:rPr>
        <w:t xml:space="preserve">prior </w:t>
      </w:r>
      <w:r w:rsidR="00AF4C72" w:rsidRPr="0049008B">
        <w:rPr>
          <w:szCs w:val="22"/>
        </w:rPr>
        <w:t xml:space="preserve">express consent </w:t>
      </w:r>
      <w:r w:rsidR="007456FA" w:rsidRPr="0049008B">
        <w:rPr>
          <w:szCs w:val="22"/>
        </w:rPr>
        <w:t xml:space="preserve">should </w:t>
      </w:r>
      <w:r w:rsidR="008732F0">
        <w:rPr>
          <w:szCs w:val="22"/>
        </w:rPr>
        <w:t>be allowed via an intermediary because requiring a specific type of express consent is unnecessarily burdensome for purely informational calls and texts</w:t>
      </w:r>
      <w:r w:rsidR="00415AA9">
        <w:rPr>
          <w:szCs w:val="22"/>
        </w:rPr>
        <w:t>,</w:t>
      </w:r>
      <w:r w:rsidR="008732F0">
        <w:rPr>
          <w:szCs w:val="22"/>
        </w:rPr>
        <w:t xml:space="preserve"> which is </w:t>
      </w:r>
      <w:r w:rsidR="00AF4C72" w:rsidRPr="0049008B">
        <w:rPr>
          <w:szCs w:val="22"/>
        </w:rPr>
        <w:t>inconsistent with</w:t>
      </w:r>
      <w:r w:rsidR="00A97585" w:rsidRPr="0049008B">
        <w:rPr>
          <w:szCs w:val="22"/>
        </w:rPr>
        <w:t xml:space="preserve"> the</w:t>
      </w:r>
      <w:r w:rsidR="00AF4C72" w:rsidRPr="0049008B">
        <w:rPr>
          <w:szCs w:val="22"/>
        </w:rPr>
        <w:t xml:space="preserve"> TCPA’s goals.</w:t>
      </w:r>
      <w:r w:rsidR="008732F0">
        <w:rPr>
          <w:rStyle w:val="FootnoteReference"/>
          <w:szCs w:val="22"/>
        </w:rPr>
        <w:footnoteReference w:id="15"/>
      </w:r>
      <w:r w:rsidR="00AF4C72" w:rsidRPr="0049008B">
        <w:rPr>
          <w:szCs w:val="22"/>
        </w:rPr>
        <w:t xml:space="preserve">  </w:t>
      </w:r>
      <w:r w:rsidR="00C503C2" w:rsidRPr="0049008B">
        <w:rPr>
          <w:szCs w:val="22"/>
        </w:rPr>
        <w:t xml:space="preserve">Specifically, GroupMe requests that the Commission clarify that for non-telemarketing </w:t>
      </w:r>
      <w:r w:rsidR="007456FA" w:rsidRPr="0049008B">
        <w:rPr>
          <w:szCs w:val="22"/>
        </w:rPr>
        <w:t xml:space="preserve">voice </w:t>
      </w:r>
      <w:r w:rsidR="00C503C2" w:rsidRPr="0049008B">
        <w:rPr>
          <w:szCs w:val="22"/>
        </w:rPr>
        <w:t>call</w:t>
      </w:r>
      <w:r w:rsidR="007456FA" w:rsidRPr="0049008B">
        <w:rPr>
          <w:szCs w:val="22"/>
        </w:rPr>
        <w:t>s</w:t>
      </w:r>
      <w:r w:rsidR="00C503C2" w:rsidRPr="0049008B">
        <w:rPr>
          <w:szCs w:val="22"/>
        </w:rPr>
        <w:t xml:space="preserve"> or text messages to wireless numbers, which can permissibly be made using an </w:t>
      </w:r>
      <w:r w:rsidR="00A8037E" w:rsidRPr="0049008B">
        <w:rPr>
          <w:szCs w:val="22"/>
        </w:rPr>
        <w:t>autodialer</w:t>
      </w:r>
      <w:r w:rsidR="00C503C2" w:rsidRPr="0049008B">
        <w:rPr>
          <w:szCs w:val="22"/>
        </w:rPr>
        <w:t xml:space="preserve"> under the TCPA with the </w:t>
      </w:r>
      <w:r w:rsidR="00DD1680">
        <w:rPr>
          <w:szCs w:val="22"/>
        </w:rPr>
        <w:t>consumer</w:t>
      </w:r>
      <w:r w:rsidR="00C503C2" w:rsidRPr="0049008B">
        <w:rPr>
          <w:szCs w:val="22"/>
        </w:rPr>
        <w:t xml:space="preserve">’s oral prior express consent, the caller can rely on a representation from an intermediary that they have obtained the requisite consent from the </w:t>
      </w:r>
      <w:r w:rsidR="00DD1680">
        <w:rPr>
          <w:szCs w:val="22"/>
        </w:rPr>
        <w:t>consumer</w:t>
      </w:r>
      <w:r w:rsidR="00C503C2" w:rsidRPr="0049008B">
        <w:rPr>
          <w:szCs w:val="22"/>
        </w:rPr>
        <w:t>.</w:t>
      </w:r>
      <w:r w:rsidR="00C503C2" w:rsidRPr="0049008B">
        <w:rPr>
          <w:rStyle w:val="FootnoteReference"/>
          <w:szCs w:val="22"/>
        </w:rPr>
        <w:footnoteReference w:id="16"/>
      </w:r>
    </w:p>
    <w:p w14:paraId="151B126C" w14:textId="77777777" w:rsidR="00246FBA" w:rsidRPr="00962757" w:rsidRDefault="00FE518E">
      <w:pPr>
        <w:pStyle w:val="ParaNum"/>
        <w:rPr>
          <w:szCs w:val="22"/>
        </w:rPr>
      </w:pPr>
      <w:r>
        <w:rPr>
          <w:szCs w:val="22"/>
        </w:rPr>
        <w:t>T</w:t>
      </w:r>
      <w:r w:rsidR="00246FBA" w:rsidRPr="00962757">
        <w:rPr>
          <w:szCs w:val="22"/>
        </w:rPr>
        <w:t xml:space="preserve">he Commission issued a Public Notice seeking comment on </w:t>
      </w:r>
      <w:r w:rsidR="005311B9">
        <w:rPr>
          <w:szCs w:val="22"/>
        </w:rPr>
        <w:t xml:space="preserve">GroupMe’s </w:t>
      </w:r>
      <w:r w:rsidR="00246FBA" w:rsidRPr="00962757">
        <w:rPr>
          <w:szCs w:val="22"/>
        </w:rPr>
        <w:t>petition.</w:t>
      </w:r>
      <w:r w:rsidR="00246FBA" w:rsidRPr="0049008B">
        <w:rPr>
          <w:rStyle w:val="FootnoteReference"/>
          <w:szCs w:val="22"/>
        </w:rPr>
        <w:footnoteReference w:id="17"/>
      </w:r>
      <w:r w:rsidR="00246FBA" w:rsidRPr="00962757">
        <w:rPr>
          <w:szCs w:val="22"/>
        </w:rPr>
        <w:t xml:space="preserve">  </w:t>
      </w:r>
      <w:r w:rsidR="005311B9">
        <w:rPr>
          <w:szCs w:val="22"/>
        </w:rPr>
        <w:t xml:space="preserve">Eighteen parties filed </w:t>
      </w:r>
      <w:r w:rsidR="00246FBA" w:rsidRPr="00962757">
        <w:rPr>
          <w:szCs w:val="22"/>
        </w:rPr>
        <w:t xml:space="preserve">comments, including </w:t>
      </w:r>
      <w:r w:rsidR="00AF0816" w:rsidRPr="00962757">
        <w:rPr>
          <w:szCs w:val="22"/>
        </w:rPr>
        <w:t>10</w:t>
      </w:r>
      <w:r w:rsidR="00246FBA" w:rsidRPr="00962757">
        <w:rPr>
          <w:szCs w:val="22"/>
        </w:rPr>
        <w:t xml:space="preserve"> individuals.</w:t>
      </w:r>
      <w:r w:rsidR="00246FBA" w:rsidRPr="0049008B">
        <w:rPr>
          <w:rStyle w:val="FootnoteReference"/>
          <w:szCs w:val="22"/>
        </w:rPr>
        <w:footnoteReference w:id="18"/>
      </w:r>
      <w:r w:rsidR="00246FBA" w:rsidRPr="00962757">
        <w:rPr>
          <w:szCs w:val="22"/>
        </w:rPr>
        <w:t xml:space="preserve">  </w:t>
      </w:r>
      <w:r w:rsidR="0005488C" w:rsidRPr="0049008B">
        <w:rPr>
          <w:szCs w:val="22"/>
        </w:rPr>
        <w:t>Commenters</w:t>
      </w:r>
      <w:r w:rsidR="003D3424">
        <w:rPr>
          <w:szCs w:val="22"/>
        </w:rPr>
        <w:t>, in general,</w:t>
      </w:r>
      <w:r w:rsidR="0005488C" w:rsidRPr="0049008B">
        <w:rPr>
          <w:szCs w:val="22"/>
        </w:rPr>
        <w:t xml:space="preserve"> </w:t>
      </w:r>
      <w:r w:rsidR="00BE6C95">
        <w:rPr>
          <w:szCs w:val="22"/>
        </w:rPr>
        <w:t xml:space="preserve">are divided as to </w:t>
      </w:r>
      <w:r w:rsidR="00D35C26" w:rsidRPr="0049008B">
        <w:rPr>
          <w:szCs w:val="22"/>
        </w:rPr>
        <w:t xml:space="preserve">whether an intermediary may only convey consent that has been given by the </w:t>
      </w:r>
      <w:r w:rsidR="00BE6C95">
        <w:rPr>
          <w:szCs w:val="22"/>
        </w:rPr>
        <w:t xml:space="preserve">consumer </w:t>
      </w:r>
      <w:r w:rsidR="00D35C26" w:rsidRPr="0049008B">
        <w:rPr>
          <w:szCs w:val="22"/>
        </w:rPr>
        <w:t xml:space="preserve">or may give consent on behalf of the </w:t>
      </w:r>
      <w:r w:rsidR="00BE6C95">
        <w:rPr>
          <w:szCs w:val="22"/>
        </w:rPr>
        <w:t>consumer</w:t>
      </w:r>
      <w:r w:rsidR="00A53E11" w:rsidRPr="0049008B">
        <w:rPr>
          <w:szCs w:val="22"/>
        </w:rPr>
        <w:t>.</w:t>
      </w:r>
    </w:p>
    <w:p w14:paraId="4A9E82D0" w14:textId="77777777" w:rsidR="001072DD" w:rsidRPr="0049008B" w:rsidRDefault="001072DD" w:rsidP="00005039">
      <w:pPr>
        <w:pStyle w:val="Heading1"/>
        <w:widowControl/>
        <w:rPr>
          <w:szCs w:val="22"/>
        </w:rPr>
      </w:pPr>
      <w:r w:rsidRPr="0049008B">
        <w:rPr>
          <w:szCs w:val="22"/>
        </w:rPr>
        <w:t>discussion</w:t>
      </w:r>
    </w:p>
    <w:p w14:paraId="3E0D4DA3" w14:textId="77777777" w:rsidR="000760C9" w:rsidRPr="0049008B" w:rsidRDefault="000760C9" w:rsidP="001A6068">
      <w:pPr>
        <w:pStyle w:val="ParaNum"/>
        <w:rPr>
          <w:szCs w:val="22"/>
        </w:rPr>
      </w:pPr>
      <w:r w:rsidRPr="0049008B">
        <w:rPr>
          <w:szCs w:val="22"/>
        </w:rPr>
        <w:t>We grant</w:t>
      </w:r>
      <w:r w:rsidR="00C256DB">
        <w:rPr>
          <w:szCs w:val="22"/>
        </w:rPr>
        <w:t xml:space="preserve"> GroupMe’s </w:t>
      </w:r>
      <w:r w:rsidR="00EB3D73">
        <w:rPr>
          <w:szCs w:val="22"/>
        </w:rPr>
        <w:t>request</w:t>
      </w:r>
      <w:r w:rsidR="00043961">
        <w:rPr>
          <w:szCs w:val="22"/>
        </w:rPr>
        <w:t xml:space="preserve"> to the extent indicated herein</w:t>
      </w:r>
      <w:r w:rsidR="00C256DB">
        <w:rPr>
          <w:szCs w:val="22"/>
        </w:rPr>
        <w:t xml:space="preserve">.  Specifically, we clarify that a consumer’s </w:t>
      </w:r>
      <w:r w:rsidRPr="0049008B">
        <w:rPr>
          <w:szCs w:val="22"/>
        </w:rPr>
        <w:t>prior express consent may be obtained through and conveyed by an intermediary, such as the organizer of a group using GroupMe’s service.</w:t>
      </w:r>
      <w:r w:rsidR="00C256DB">
        <w:rPr>
          <w:szCs w:val="22"/>
        </w:rPr>
        <w:t xml:space="preserve">    </w:t>
      </w:r>
    </w:p>
    <w:p w14:paraId="1F684B85" w14:textId="77777777" w:rsidR="000760C9" w:rsidRPr="0049008B" w:rsidRDefault="00C256DB">
      <w:pPr>
        <w:pStyle w:val="ParaNum"/>
        <w:rPr>
          <w:szCs w:val="22"/>
        </w:rPr>
      </w:pPr>
      <w:r>
        <w:t xml:space="preserve">As a threshold matter, we find that the TCPA is </w:t>
      </w:r>
      <w:r w:rsidR="00CF3E4B">
        <w:t xml:space="preserve">ambiguous </w:t>
      </w:r>
      <w:r>
        <w:t xml:space="preserve">as to how a consumer’s consent to receive an autodialed or prerecorded non-emergency call should be obtained.  While the TCPA plainly requires a caller to obtain such consent, both the </w:t>
      </w:r>
      <w:r w:rsidR="00CF3E4B">
        <w:t xml:space="preserve">text of the </w:t>
      </w:r>
      <w:r>
        <w:t>TCPA and its legislative history</w:t>
      </w:r>
      <w:r>
        <w:rPr>
          <w:rStyle w:val="FootnoteReference"/>
        </w:rPr>
        <w:footnoteReference w:id="19"/>
      </w:r>
      <w:r>
        <w:t xml:space="preserve"> are silent on the method, including by whom, that must be done.  Similarly, although the Commission has required written consent </w:t>
      </w:r>
      <w:r w:rsidRPr="00C279FC">
        <w:t xml:space="preserve">for telemarketing </w:t>
      </w:r>
      <w:r w:rsidR="005F2561" w:rsidRPr="00C279FC">
        <w:t>calls</w:t>
      </w:r>
      <w:r w:rsidR="00C279FC">
        <w:t>,</w:t>
      </w:r>
      <w:r w:rsidRPr="00C279FC">
        <w:rPr>
          <w:rStyle w:val="FootnoteReference"/>
        </w:rPr>
        <w:footnoteReference w:id="20"/>
      </w:r>
      <w:r w:rsidRPr="00C279FC">
        <w:t xml:space="preserve"> neither</w:t>
      </w:r>
      <w:r>
        <w:t xml:space="preserve"> the Commission’s implementing rules nor its orders require any specific method by which a caller must obtain such prior express consent for non-telemarketing calls to wireless phones.</w:t>
      </w:r>
      <w:r>
        <w:rPr>
          <w:rStyle w:val="FootnoteReference"/>
        </w:rPr>
        <w:footnoteReference w:id="21"/>
      </w:r>
      <w:r>
        <w:t xml:space="preserve">  </w:t>
      </w:r>
      <w:r w:rsidR="000760C9" w:rsidRPr="0049008B">
        <w:rPr>
          <w:szCs w:val="22"/>
        </w:rPr>
        <w:t xml:space="preserve">We conclude therefore that the TCPA does not prohibit a caller, such as GroupMe, from obtaining the </w:t>
      </w:r>
      <w:r w:rsidR="00DD1680" w:rsidRPr="00C256DB">
        <w:rPr>
          <w:szCs w:val="22"/>
        </w:rPr>
        <w:t>consumer</w:t>
      </w:r>
      <w:r w:rsidR="000760C9" w:rsidRPr="0049008B">
        <w:rPr>
          <w:szCs w:val="22"/>
        </w:rPr>
        <w:t xml:space="preserve">’s prior express consent through an intermediary, such as the organizer of a group using GroupMe’s service.   </w:t>
      </w:r>
    </w:p>
    <w:p w14:paraId="7F25F6F8" w14:textId="77777777" w:rsidR="009B5174" w:rsidRPr="009B5174" w:rsidRDefault="00C256DB">
      <w:pPr>
        <w:pStyle w:val="ParaNum"/>
        <w:rPr>
          <w:szCs w:val="22"/>
        </w:rPr>
      </w:pPr>
      <w:r>
        <w:t xml:space="preserve">Because the TCPA is silent on how consumer consent should be obtained, </w:t>
      </w:r>
      <w:r w:rsidR="00F76985">
        <w:t xml:space="preserve">we </w:t>
      </w:r>
      <w:r w:rsidR="00AD178D">
        <w:t>exercise our discretion to interpret the requirement by looking to the consumer protection policies and goals underlying the TCPA.</w:t>
      </w:r>
      <w:r>
        <w:t xml:space="preserve">  </w:t>
      </w:r>
      <w:r w:rsidR="006A4AB5" w:rsidRPr="006A4AB5">
        <w:rPr>
          <w:szCs w:val="22"/>
        </w:rPr>
        <w:t>Congress did not expect the TCPA to be a barrier to normal, expected, and desired business communications.</w:t>
      </w:r>
      <w:r w:rsidR="006A4AB5" w:rsidRPr="006A4AB5">
        <w:rPr>
          <w:szCs w:val="22"/>
          <w:vertAlign w:val="superscript"/>
        </w:rPr>
        <w:footnoteReference w:id="22"/>
      </w:r>
      <w:r w:rsidR="006A4AB5" w:rsidRPr="006A4AB5">
        <w:rPr>
          <w:szCs w:val="22"/>
        </w:rPr>
        <w:t xml:space="preserve">  </w:t>
      </w:r>
      <w:r w:rsidR="006A4AB5">
        <w:rPr>
          <w:szCs w:val="22"/>
        </w:rPr>
        <w:t xml:space="preserve">To the extent that </w:t>
      </w:r>
      <w:r w:rsidR="005460DB">
        <w:rPr>
          <w:szCs w:val="22"/>
        </w:rPr>
        <w:t xml:space="preserve">administrative </w:t>
      </w:r>
      <w:r w:rsidR="006A4AB5">
        <w:rPr>
          <w:szCs w:val="22"/>
        </w:rPr>
        <w:t xml:space="preserve">texts GroupMe sends to group members relate to using and </w:t>
      </w:r>
      <w:r w:rsidR="005460DB">
        <w:rPr>
          <w:szCs w:val="22"/>
        </w:rPr>
        <w:t>canceling</w:t>
      </w:r>
      <w:r w:rsidR="006A4AB5">
        <w:rPr>
          <w:szCs w:val="22"/>
        </w:rPr>
        <w:t xml:space="preserve"> GroupMe’s group texting service</w:t>
      </w:r>
      <w:r w:rsidR="00BA017A">
        <w:rPr>
          <w:szCs w:val="22"/>
        </w:rPr>
        <w:t>,</w:t>
      </w:r>
      <w:r w:rsidR="00BA017A" w:rsidRPr="00BA017A">
        <w:rPr>
          <w:szCs w:val="22"/>
          <w:vertAlign w:val="superscript"/>
        </w:rPr>
        <w:footnoteReference w:id="23"/>
      </w:r>
      <w:r w:rsidR="00BA017A">
        <w:rPr>
          <w:szCs w:val="22"/>
        </w:rPr>
        <w:t xml:space="preserve"> </w:t>
      </w:r>
      <w:r w:rsidR="009B5174">
        <w:rPr>
          <w:szCs w:val="22"/>
        </w:rPr>
        <w:t>we</w:t>
      </w:r>
      <w:r w:rsidR="00BA017A">
        <w:rPr>
          <w:szCs w:val="22"/>
        </w:rPr>
        <w:t xml:space="preserve"> consider</w:t>
      </w:r>
      <w:r w:rsidR="009B5174">
        <w:rPr>
          <w:szCs w:val="22"/>
        </w:rPr>
        <w:t xml:space="preserve"> them to be normal</w:t>
      </w:r>
      <w:r w:rsidR="00BA017A">
        <w:rPr>
          <w:szCs w:val="22"/>
        </w:rPr>
        <w:t xml:space="preserve"> business communications.</w:t>
      </w:r>
      <w:r w:rsidR="006A4AB5" w:rsidRPr="006A4AB5">
        <w:rPr>
          <w:szCs w:val="22"/>
        </w:rPr>
        <w:t xml:space="preserve"> </w:t>
      </w:r>
      <w:r w:rsidR="00472461">
        <w:rPr>
          <w:szCs w:val="22"/>
        </w:rPr>
        <w:t xml:space="preserve"> </w:t>
      </w:r>
      <w:r w:rsidR="00CD1BF8">
        <w:rPr>
          <w:szCs w:val="22"/>
        </w:rPr>
        <w:t>W</w:t>
      </w:r>
      <w:r w:rsidR="009B5174">
        <w:t xml:space="preserve">e find it reasonable to conclude that such communications are expected and desired by </w:t>
      </w:r>
      <w:r w:rsidR="005460DB">
        <w:t>consumers</w:t>
      </w:r>
      <w:r w:rsidR="009B5174">
        <w:t xml:space="preserve"> who have given their prior express consent to participate in a GroupMe group and to receive such texts.</w:t>
      </w:r>
    </w:p>
    <w:p w14:paraId="6E807723" w14:textId="77777777" w:rsidR="00C256DB" w:rsidRDefault="003632EA">
      <w:pPr>
        <w:pStyle w:val="ParaNum"/>
        <w:rPr>
          <w:szCs w:val="22"/>
        </w:rPr>
      </w:pPr>
      <w:r>
        <w:t xml:space="preserve">We further conclude that allowing consent to be obtained and conveyed via intermediaries in this context facilitates these </w:t>
      </w:r>
      <w:r w:rsidRPr="00482066">
        <w:t>normal</w:t>
      </w:r>
      <w:r>
        <w:t>,</w:t>
      </w:r>
      <w:r w:rsidRPr="00482066">
        <w:t xml:space="preserve"> expected</w:t>
      </w:r>
      <w:r>
        <w:t>,</w:t>
      </w:r>
      <w:r w:rsidRPr="00482066">
        <w:t xml:space="preserve"> and desired </w:t>
      </w:r>
      <w:r>
        <w:t xml:space="preserve">business </w:t>
      </w:r>
      <w:r w:rsidRPr="00482066">
        <w:t>communications</w:t>
      </w:r>
      <w:r>
        <w:t xml:space="preserve"> in a manner that preserves the intended protections of the TCPA.  </w:t>
      </w:r>
      <w:r w:rsidR="00AE77D3">
        <w:rPr>
          <w:szCs w:val="22"/>
        </w:rPr>
        <w:t xml:space="preserve">Because group organizers already have an established association with the called parties and are required by GroupMe’s terms of service to have obtained prior express consent from all group members, the TCPA’s goals of preventing unwanted calls of all types to wireless consumers </w:t>
      </w:r>
      <w:r>
        <w:t xml:space="preserve">and avoiding costs associated with those calls, as well as of </w:t>
      </w:r>
      <w:r w:rsidR="00AE77D3">
        <w:rPr>
          <w:szCs w:val="22"/>
        </w:rPr>
        <w:t xml:space="preserve">protecting consumer privacy are not negatively impacted.  Further, </w:t>
      </w:r>
      <w:r w:rsidR="00AE77D3">
        <w:t>w</w:t>
      </w:r>
      <w:r w:rsidR="00DA45CC">
        <w:t>hile we are not convinced by commenters who assert that</w:t>
      </w:r>
      <w:r w:rsidR="00DA45CC" w:rsidRPr="00DA45CC">
        <w:t xml:space="preserve"> obtaining consent directly from the recipient of a voice call or text message to a wireless telephone number is</w:t>
      </w:r>
      <w:r w:rsidR="00DA45CC">
        <w:t xml:space="preserve"> not possible in all instances</w:t>
      </w:r>
      <w:r w:rsidR="00AE77D3">
        <w:t>,</w:t>
      </w:r>
      <w:r w:rsidR="00DA45CC">
        <w:t xml:space="preserve"> w</w:t>
      </w:r>
      <w:r w:rsidR="00C256DB">
        <w:t>e agree that</w:t>
      </w:r>
      <w:r w:rsidR="00FB1416">
        <w:t xml:space="preserve"> </w:t>
      </w:r>
      <w:r w:rsidR="00FB1416" w:rsidRPr="00CB6F85">
        <w:rPr>
          <w:szCs w:val="22"/>
        </w:rPr>
        <w:t>allowing intermediar</w:t>
      </w:r>
      <w:r w:rsidR="00DA45CC">
        <w:rPr>
          <w:szCs w:val="22"/>
        </w:rPr>
        <w:t>ies</w:t>
      </w:r>
      <w:r w:rsidR="00FB1416" w:rsidRPr="00CB6F85">
        <w:rPr>
          <w:szCs w:val="22"/>
        </w:rPr>
        <w:t xml:space="preserve"> </w:t>
      </w:r>
      <w:r w:rsidR="00DA45CC">
        <w:rPr>
          <w:szCs w:val="22"/>
        </w:rPr>
        <w:t xml:space="preserve">to obtain and convey </w:t>
      </w:r>
      <w:r w:rsidR="00FB1416" w:rsidRPr="00CB6F85">
        <w:rPr>
          <w:szCs w:val="22"/>
        </w:rPr>
        <w:t xml:space="preserve">consent </w:t>
      </w:r>
      <w:r w:rsidR="00FB1416">
        <w:rPr>
          <w:szCs w:val="22"/>
        </w:rPr>
        <w:t xml:space="preserve">in this case is </w:t>
      </w:r>
      <w:r w:rsidR="00F76985">
        <w:rPr>
          <w:szCs w:val="22"/>
        </w:rPr>
        <w:t xml:space="preserve">efficient </w:t>
      </w:r>
      <w:r w:rsidR="00FB1416">
        <w:rPr>
          <w:szCs w:val="22"/>
        </w:rPr>
        <w:t>for a service such as GroupMe’s</w:t>
      </w:r>
      <w:r w:rsidR="00AE77D3">
        <w:rPr>
          <w:szCs w:val="22"/>
        </w:rPr>
        <w:t xml:space="preserve"> without significantly diminishing the TCPA’s consumer protection goals underlying the prior express consent requirement</w:t>
      </w:r>
      <w:r w:rsidR="008D38DD">
        <w:rPr>
          <w:szCs w:val="22"/>
        </w:rPr>
        <w:t>.</w:t>
      </w:r>
      <w:r w:rsidR="00FB1416" w:rsidRPr="00CB6F85">
        <w:rPr>
          <w:rStyle w:val="FootnoteReference"/>
          <w:szCs w:val="22"/>
        </w:rPr>
        <w:footnoteReference w:id="24"/>
      </w:r>
      <w:r w:rsidR="00FB1416">
        <w:rPr>
          <w:szCs w:val="22"/>
        </w:rPr>
        <w:t xml:space="preserve">  </w:t>
      </w:r>
      <w:r w:rsidR="00FF54DB">
        <w:rPr>
          <w:szCs w:val="22"/>
        </w:rPr>
        <w:t>In addition</w:t>
      </w:r>
      <w:r w:rsidR="00FB1416">
        <w:rPr>
          <w:szCs w:val="22"/>
        </w:rPr>
        <w:t xml:space="preserve">, </w:t>
      </w:r>
      <w:r w:rsidR="00AF6EF1">
        <w:rPr>
          <w:szCs w:val="22"/>
        </w:rPr>
        <w:t xml:space="preserve">although </w:t>
      </w:r>
      <w:r w:rsidR="00F76985">
        <w:rPr>
          <w:szCs w:val="22"/>
        </w:rPr>
        <w:t>GroupMe</w:t>
      </w:r>
      <w:r w:rsidR="00AF6EF1">
        <w:rPr>
          <w:szCs w:val="22"/>
        </w:rPr>
        <w:t>’s service</w:t>
      </w:r>
      <w:r w:rsidR="00F76985">
        <w:rPr>
          <w:szCs w:val="22"/>
        </w:rPr>
        <w:t xml:space="preserve"> already </w:t>
      </w:r>
      <w:r w:rsidR="00AF6EF1">
        <w:rPr>
          <w:szCs w:val="22"/>
        </w:rPr>
        <w:t>is i</w:t>
      </w:r>
      <w:r w:rsidR="00F76985">
        <w:rPr>
          <w:szCs w:val="22"/>
        </w:rPr>
        <w:t>n operation</w:t>
      </w:r>
      <w:r w:rsidR="00AF6EF1">
        <w:rPr>
          <w:szCs w:val="22"/>
        </w:rPr>
        <w:t>,</w:t>
      </w:r>
      <w:r w:rsidR="00F76985">
        <w:rPr>
          <w:szCs w:val="22"/>
        </w:rPr>
        <w:t xml:space="preserve"> </w:t>
      </w:r>
      <w:r w:rsidR="00FB1416">
        <w:rPr>
          <w:szCs w:val="22"/>
        </w:rPr>
        <w:t xml:space="preserve">we </w:t>
      </w:r>
      <w:r w:rsidR="00244284">
        <w:rPr>
          <w:szCs w:val="22"/>
        </w:rPr>
        <w:t xml:space="preserve">have seen very </w:t>
      </w:r>
      <w:r w:rsidR="00244284" w:rsidRPr="00E4787C">
        <w:rPr>
          <w:color w:val="000000" w:themeColor="text1"/>
          <w:szCs w:val="22"/>
        </w:rPr>
        <w:t xml:space="preserve">few complaints out of presumably a very large number of </w:t>
      </w:r>
      <w:r w:rsidR="00244284">
        <w:rPr>
          <w:color w:val="000000" w:themeColor="text1"/>
          <w:szCs w:val="22"/>
        </w:rPr>
        <w:t>texts sent by GroupMe</w:t>
      </w:r>
      <w:r w:rsidR="00244284" w:rsidRPr="00E4787C">
        <w:rPr>
          <w:color w:val="000000" w:themeColor="text1"/>
          <w:szCs w:val="22"/>
        </w:rPr>
        <w:t>.</w:t>
      </w:r>
      <w:r w:rsidR="00A12557">
        <w:rPr>
          <w:rStyle w:val="FootnoteReference"/>
          <w:szCs w:val="22"/>
        </w:rPr>
        <w:footnoteReference w:id="25"/>
      </w:r>
      <w:r w:rsidR="00A12557">
        <w:rPr>
          <w:szCs w:val="22"/>
        </w:rPr>
        <w:t xml:space="preserve"> </w:t>
      </w:r>
      <w:r w:rsidR="00244284">
        <w:rPr>
          <w:color w:val="000000" w:themeColor="text1"/>
          <w:szCs w:val="22"/>
        </w:rPr>
        <w:t xml:space="preserve"> </w:t>
      </w:r>
      <w:r w:rsidR="006D7E90">
        <w:rPr>
          <w:color w:val="000000" w:themeColor="text1"/>
          <w:szCs w:val="22"/>
        </w:rPr>
        <w:t>Only one of those complaints is clearly about the issues raised by GroupMe’s petition.  O</w:t>
      </w:r>
      <w:r w:rsidR="00244284">
        <w:rPr>
          <w:color w:val="000000" w:themeColor="text1"/>
          <w:szCs w:val="22"/>
        </w:rPr>
        <w:t>ne complain</w:t>
      </w:r>
      <w:r w:rsidR="009546F6">
        <w:rPr>
          <w:color w:val="000000" w:themeColor="text1"/>
          <w:szCs w:val="22"/>
        </w:rPr>
        <w:t xml:space="preserve">ant </w:t>
      </w:r>
      <w:r w:rsidR="00190A5C">
        <w:rPr>
          <w:color w:val="000000" w:themeColor="text1"/>
          <w:szCs w:val="22"/>
        </w:rPr>
        <w:t>alleged that</w:t>
      </w:r>
      <w:r w:rsidR="00244284">
        <w:rPr>
          <w:color w:val="000000" w:themeColor="text1"/>
          <w:szCs w:val="22"/>
        </w:rPr>
        <w:t xml:space="preserve"> the initial </w:t>
      </w:r>
      <w:r w:rsidR="009546F6">
        <w:rPr>
          <w:color w:val="000000" w:themeColor="text1"/>
          <w:szCs w:val="22"/>
        </w:rPr>
        <w:t xml:space="preserve">text from </w:t>
      </w:r>
      <w:r w:rsidR="00244284">
        <w:rPr>
          <w:color w:val="000000" w:themeColor="text1"/>
          <w:szCs w:val="22"/>
        </w:rPr>
        <w:t xml:space="preserve">GroupMe did not identify the sender and that he received </w:t>
      </w:r>
      <w:r w:rsidR="009546F6">
        <w:rPr>
          <w:color w:val="000000" w:themeColor="text1"/>
          <w:szCs w:val="22"/>
        </w:rPr>
        <w:t xml:space="preserve">three </w:t>
      </w:r>
      <w:r w:rsidR="00244284">
        <w:rPr>
          <w:color w:val="000000" w:themeColor="text1"/>
          <w:szCs w:val="22"/>
        </w:rPr>
        <w:t>subsequent texts almost immediately</w:t>
      </w:r>
      <w:r w:rsidR="009546F6">
        <w:rPr>
          <w:color w:val="000000" w:themeColor="text1"/>
          <w:szCs w:val="22"/>
        </w:rPr>
        <w:t>,</w:t>
      </w:r>
      <w:r w:rsidR="00244284">
        <w:rPr>
          <w:color w:val="000000" w:themeColor="text1"/>
          <w:szCs w:val="22"/>
        </w:rPr>
        <w:t xml:space="preserve"> which</w:t>
      </w:r>
      <w:r w:rsidR="009546F6">
        <w:rPr>
          <w:color w:val="000000" w:themeColor="text1"/>
          <w:szCs w:val="22"/>
        </w:rPr>
        <w:t>,</w:t>
      </w:r>
      <w:r w:rsidR="00244284">
        <w:rPr>
          <w:color w:val="000000" w:themeColor="text1"/>
          <w:szCs w:val="22"/>
        </w:rPr>
        <w:t xml:space="preserve"> although offering him the opportunity to opt out</w:t>
      </w:r>
      <w:r w:rsidR="009546F6">
        <w:rPr>
          <w:color w:val="000000" w:themeColor="text1"/>
          <w:szCs w:val="22"/>
        </w:rPr>
        <w:t xml:space="preserve">, were </w:t>
      </w:r>
      <w:r w:rsidR="00244284">
        <w:rPr>
          <w:color w:val="000000" w:themeColor="text1"/>
          <w:szCs w:val="22"/>
        </w:rPr>
        <w:t>costly and an invasion of privacy.</w:t>
      </w:r>
      <w:r w:rsidR="009546F6" w:rsidRPr="00037571">
        <w:rPr>
          <w:rStyle w:val="FootnoteReference"/>
        </w:rPr>
        <w:footnoteReference w:id="26"/>
      </w:r>
      <w:r w:rsidR="00244284">
        <w:rPr>
          <w:color w:val="000000" w:themeColor="text1"/>
          <w:szCs w:val="22"/>
        </w:rPr>
        <w:t xml:space="preserve">  This </w:t>
      </w:r>
      <w:r w:rsidR="00244284" w:rsidRPr="00E4787C">
        <w:rPr>
          <w:color w:val="000000" w:themeColor="text1"/>
          <w:szCs w:val="22"/>
        </w:rPr>
        <w:t xml:space="preserve">complaint highlights the importance of </w:t>
      </w:r>
      <w:r w:rsidR="00244284">
        <w:rPr>
          <w:color w:val="000000" w:themeColor="text1"/>
          <w:szCs w:val="22"/>
        </w:rPr>
        <w:t xml:space="preserve">GroupMe </w:t>
      </w:r>
      <w:r w:rsidR="00244284" w:rsidRPr="00E4787C">
        <w:rPr>
          <w:color w:val="000000" w:themeColor="text1"/>
          <w:szCs w:val="22"/>
        </w:rPr>
        <w:t xml:space="preserve">identifying </w:t>
      </w:r>
      <w:r w:rsidR="009546F6">
        <w:rPr>
          <w:color w:val="000000" w:themeColor="text1"/>
          <w:szCs w:val="22"/>
        </w:rPr>
        <w:t xml:space="preserve">itself as </w:t>
      </w:r>
      <w:r w:rsidR="00244284" w:rsidRPr="00E4787C">
        <w:rPr>
          <w:color w:val="000000" w:themeColor="text1"/>
          <w:szCs w:val="22"/>
        </w:rPr>
        <w:t xml:space="preserve">the sender and </w:t>
      </w:r>
      <w:r w:rsidR="00244284">
        <w:rPr>
          <w:color w:val="000000" w:themeColor="text1"/>
          <w:szCs w:val="22"/>
        </w:rPr>
        <w:t xml:space="preserve">ensuring that there is an </w:t>
      </w:r>
      <w:r w:rsidR="00244284" w:rsidRPr="00E4787C">
        <w:rPr>
          <w:color w:val="000000" w:themeColor="text1"/>
          <w:szCs w:val="22"/>
        </w:rPr>
        <w:t xml:space="preserve">effective opt-out mechanism.  We </w:t>
      </w:r>
      <w:r w:rsidR="00244284">
        <w:rPr>
          <w:color w:val="000000" w:themeColor="text1"/>
          <w:szCs w:val="22"/>
        </w:rPr>
        <w:t xml:space="preserve">will be </w:t>
      </w:r>
      <w:r w:rsidR="00244284" w:rsidRPr="00E4787C">
        <w:rPr>
          <w:color w:val="000000" w:themeColor="text1"/>
          <w:szCs w:val="22"/>
        </w:rPr>
        <w:t>vigilant about watching for complaints about</w:t>
      </w:r>
      <w:r w:rsidR="00244284">
        <w:rPr>
          <w:color w:val="000000" w:themeColor="text1"/>
          <w:szCs w:val="22"/>
        </w:rPr>
        <w:t xml:space="preserve"> both.  </w:t>
      </w:r>
      <w:r w:rsidR="003D538A">
        <w:rPr>
          <w:color w:val="000000" w:themeColor="text1"/>
          <w:szCs w:val="22"/>
        </w:rPr>
        <w:t xml:space="preserve">We </w:t>
      </w:r>
      <w:r w:rsidR="003D538A">
        <w:rPr>
          <w:szCs w:val="22"/>
        </w:rPr>
        <w:t>do not see a</w:t>
      </w:r>
      <w:r w:rsidR="00FB1416">
        <w:rPr>
          <w:szCs w:val="22"/>
        </w:rPr>
        <w:t xml:space="preserve"> </w:t>
      </w:r>
      <w:r w:rsidR="003D3424">
        <w:rPr>
          <w:szCs w:val="22"/>
        </w:rPr>
        <w:t xml:space="preserve">significant </w:t>
      </w:r>
      <w:r w:rsidR="00FB1416">
        <w:rPr>
          <w:szCs w:val="22"/>
        </w:rPr>
        <w:t>indication in our complaints</w:t>
      </w:r>
      <w:r w:rsidR="009546F6">
        <w:rPr>
          <w:szCs w:val="22"/>
        </w:rPr>
        <w:t>, however,</w:t>
      </w:r>
      <w:r w:rsidR="003D3424">
        <w:rPr>
          <w:szCs w:val="22"/>
        </w:rPr>
        <w:t xml:space="preserve"> </w:t>
      </w:r>
      <w:r w:rsidR="003D538A">
        <w:rPr>
          <w:szCs w:val="22"/>
        </w:rPr>
        <w:t xml:space="preserve">that suggests </w:t>
      </w:r>
      <w:r w:rsidR="009546F6">
        <w:rPr>
          <w:szCs w:val="22"/>
        </w:rPr>
        <w:t xml:space="preserve">a significant number of </w:t>
      </w:r>
      <w:r w:rsidR="00FB1416">
        <w:rPr>
          <w:szCs w:val="22"/>
        </w:rPr>
        <w:t>consumers</w:t>
      </w:r>
      <w:r w:rsidR="008736A3">
        <w:rPr>
          <w:szCs w:val="22"/>
        </w:rPr>
        <w:t xml:space="preserve"> are </w:t>
      </w:r>
      <w:r w:rsidR="00FB1416">
        <w:rPr>
          <w:szCs w:val="22"/>
        </w:rPr>
        <w:t>receiving GroupMe messages</w:t>
      </w:r>
      <w:r w:rsidR="00CC7567">
        <w:rPr>
          <w:szCs w:val="22"/>
        </w:rPr>
        <w:t xml:space="preserve"> to which they had not consented</w:t>
      </w:r>
      <w:r w:rsidR="00DA45CC">
        <w:rPr>
          <w:szCs w:val="22"/>
        </w:rPr>
        <w:t>. Thus,</w:t>
      </w:r>
      <w:r w:rsidR="00F76985">
        <w:rPr>
          <w:szCs w:val="22"/>
        </w:rPr>
        <w:t xml:space="preserve"> we </w:t>
      </w:r>
      <w:r w:rsidR="00DA45CC">
        <w:rPr>
          <w:szCs w:val="22"/>
        </w:rPr>
        <w:t>see nothing in the record or our present complaints that warrants</w:t>
      </w:r>
      <w:r w:rsidR="00F76985">
        <w:rPr>
          <w:szCs w:val="22"/>
        </w:rPr>
        <w:t xml:space="preserve"> requiring GroupMe to get consent directly from </w:t>
      </w:r>
      <w:r w:rsidR="00DA45CC">
        <w:rPr>
          <w:szCs w:val="22"/>
        </w:rPr>
        <w:t>each</w:t>
      </w:r>
      <w:r w:rsidR="00F76985">
        <w:rPr>
          <w:szCs w:val="22"/>
        </w:rPr>
        <w:t xml:space="preserve"> called party</w:t>
      </w:r>
      <w:r w:rsidR="003D4A83">
        <w:rPr>
          <w:szCs w:val="22"/>
        </w:rPr>
        <w:t xml:space="preserve">, rather than indirectly </w:t>
      </w:r>
      <w:r w:rsidR="009546F6">
        <w:rPr>
          <w:szCs w:val="22"/>
        </w:rPr>
        <w:t xml:space="preserve">through </w:t>
      </w:r>
      <w:r w:rsidR="003D4A83">
        <w:rPr>
          <w:szCs w:val="22"/>
        </w:rPr>
        <w:t>the group organizer</w:t>
      </w:r>
      <w:r w:rsidR="006D7E90">
        <w:rPr>
          <w:szCs w:val="22"/>
        </w:rPr>
        <w:t>,</w:t>
      </w:r>
      <w:r w:rsidR="009546F6">
        <w:rPr>
          <w:szCs w:val="22"/>
        </w:rPr>
        <w:t xml:space="preserve"> who conveys each party’s consent</w:t>
      </w:r>
      <w:r w:rsidR="003D4A83">
        <w:rPr>
          <w:szCs w:val="22"/>
        </w:rPr>
        <w:t>, in order to meaningfully ensure the protections of the TCPA are extended to the recipients of these GroupMe messages</w:t>
      </w:r>
      <w:r w:rsidR="00FB1416">
        <w:rPr>
          <w:szCs w:val="22"/>
        </w:rPr>
        <w:t>.</w:t>
      </w:r>
    </w:p>
    <w:p w14:paraId="51675AE5" w14:textId="77777777" w:rsidR="00FB1416" w:rsidRDefault="00FB1416">
      <w:pPr>
        <w:pStyle w:val="ParaNum"/>
      </w:pPr>
      <w:r>
        <w:t xml:space="preserve">Our </w:t>
      </w:r>
      <w:r w:rsidR="007A7237">
        <w:t>clarifications here are</w:t>
      </w:r>
      <w:r w:rsidR="00F76985">
        <w:t xml:space="preserve"> consistent with </w:t>
      </w:r>
      <w:r w:rsidR="00F95581">
        <w:t xml:space="preserve">the </w:t>
      </w:r>
      <w:r w:rsidR="00F95581">
        <w:rPr>
          <w:i/>
          <w:iCs/>
        </w:rPr>
        <w:t>1992 TCPA Order</w:t>
      </w:r>
      <w:r w:rsidR="00F95581">
        <w:rPr>
          <w:iCs/>
        </w:rPr>
        <w:t xml:space="preserve"> and</w:t>
      </w:r>
      <w:r w:rsidR="00F95581">
        <w:t xml:space="preserve"> </w:t>
      </w:r>
      <w:r>
        <w:t xml:space="preserve">the Commission’s 2008 </w:t>
      </w:r>
      <w:r w:rsidRPr="00606D6C">
        <w:rPr>
          <w:i/>
        </w:rPr>
        <w:t>ACA Order</w:t>
      </w:r>
      <w:r w:rsidR="00F844BF">
        <w:rPr>
          <w:i/>
          <w:iCs/>
        </w:rPr>
        <w:t>.</w:t>
      </w:r>
      <w:r>
        <w:t xml:space="preserve">  </w:t>
      </w:r>
      <w:r w:rsidR="00F844BF">
        <w:t xml:space="preserve">The Commission stated in the </w:t>
      </w:r>
      <w:r w:rsidR="00F844BF" w:rsidRPr="00606D6C">
        <w:rPr>
          <w:i/>
        </w:rPr>
        <w:t>1992 TCPA Order</w:t>
      </w:r>
      <w:r w:rsidR="00F844BF">
        <w:t xml:space="preserve"> that “persons who knowingly release their phone numbers have in effect given their invitation or permission to be called at the number which they have given, absent instructions to the contrary.”</w:t>
      </w:r>
      <w:r w:rsidR="00D2251B">
        <w:rPr>
          <w:rStyle w:val="FootnoteReference"/>
        </w:rPr>
        <w:footnoteReference w:id="27"/>
      </w:r>
      <w:r w:rsidR="00F844BF">
        <w:t xml:space="preserve">  Based on this reasoning, </w:t>
      </w:r>
      <w:r w:rsidR="007F51B9">
        <w:t xml:space="preserve">the Commission found </w:t>
      </w:r>
      <w:r w:rsidR="00F95581">
        <w:t xml:space="preserve">in the </w:t>
      </w:r>
      <w:r w:rsidR="00F95581">
        <w:rPr>
          <w:i/>
        </w:rPr>
        <w:t xml:space="preserve">ACA Order </w:t>
      </w:r>
      <w:r w:rsidR="007F51B9">
        <w:t>that a consumer who provides his or her wireless telephone number on a credit application, absent instructions to the contrary, has given prior express consent to receive autodialed or prerecorded message calls “regarding the debt”</w:t>
      </w:r>
      <w:r w:rsidR="003D3424">
        <w:t xml:space="preserve"> </w:t>
      </w:r>
      <w:r w:rsidR="003D3424" w:rsidRPr="003D3424">
        <w:t>at that number</w:t>
      </w:r>
      <w:r w:rsidR="003D3424">
        <w:t>,</w:t>
      </w:r>
      <w:r w:rsidR="002C620F">
        <w:t xml:space="preserve"> including autodialed and prerecorded debt collection calls from a debt collector acting on behalf of the creditor.</w:t>
      </w:r>
      <w:r w:rsidR="00CC4998">
        <w:rPr>
          <w:rStyle w:val="FootnoteReference"/>
        </w:rPr>
        <w:footnoteReference w:id="28"/>
      </w:r>
      <w:r w:rsidR="002C620F">
        <w:t xml:space="preserve">  </w:t>
      </w:r>
      <w:r w:rsidR="007F51B9">
        <w:t>Th</w:t>
      </w:r>
      <w:r w:rsidR="002C620F">
        <w:t>us, th</w:t>
      </w:r>
      <w:r w:rsidR="007F51B9">
        <w:t xml:space="preserve">e Commission determined that </w:t>
      </w:r>
      <w:r w:rsidR="002C620F">
        <w:t>a third-party debt collector could lawfully make an autodialed or prerecorded call “regarding the debt” to a wireless number that the consumer had provided to the creditor, which the creditor had then passed along to the debt collector</w:t>
      </w:r>
      <w:r w:rsidR="006D54D1">
        <w:t xml:space="preserve">.  </w:t>
      </w:r>
      <w:r w:rsidR="00F844BF" w:rsidRPr="00F844BF">
        <w:t xml:space="preserve"> </w:t>
      </w:r>
      <w:r>
        <w:t xml:space="preserve">  </w:t>
      </w:r>
    </w:p>
    <w:p w14:paraId="0516F3AA" w14:textId="77777777" w:rsidR="00FD2E14" w:rsidRPr="00FD2E14" w:rsidRDefault="000760C9">
      <w:pPr>
        <w:pStyle w:val="ParaNum"/>
        <w:rPr>
          <w:szCs w:val="22"/>
        </w:rPr>
      </w:pPr>
      <w:r w:rsidRPr="0049008B">
        <w:rPr>
          <w:szCs w:val="22"/>
        </w:rPr>
        <w:t xml:space="preserve">The </w:t>
      </w:r>
      <w:r w:rsidRPr="0049008B">
        <w:rPr>
          <w:i/>
          <w:szCs w:val="22"/>
        </w:rPr>
        <w:t xml:space="preserve">ACA </w:t>
      </w:r>
      <w:r w:rsidRPr="0049008B">
        <w:rPr>
          <w:szCs w:val="22"/>
        </w:rPr>
        <w:t xml:space="preserve">scenario is analogous to the fact pattern presented by GroupMe.  </w:t>
      </w:r>
      <w:r w:rsidR="006D54D1" w:rsidRPr="00926AFB">
        <w:t>To the extent that</w:t>
      </w:r>
      <w:r w:rsidR="006D54D1">
        <w:t xml:space="preserve"> a consumer</w:t>
      </w:r>
      <w:r w:rsidR="008C4F20">
        <w:t>, in the absence of instructions to the contrary,</w:t>
      </w:r>
      <w:r w:rsidR="006D54D1">
        <w:t xml:space="preserve"> </w:t>
      </w:r>
      <w:r w:rsidR="008C4F20">
        <w:t xml:space="preserve">agrees </w:t>
      </w:r>
      <w:r w:rsidR="008C4F20" w:rsidRPr="008C4F20">
        <w:t>to participate in a GroupMe group</w:t>
      </w:r>
      <w:r w:rsidR="005E64E8">
        <w:t>, agrees</w:t>
      </w:r>
      <w:r w:rsidR="008C4F20">
        <w:t xml:space="preserve"> </w:t>
      </w:r>
      <w:r w:rsidR="005E64E8">
        <w:t>t</w:t>
      </w:r>
      <w:r w:rsidR="008C4F20">
        <w:t xml:space="preserve">o receive </w:t>
      </w:r>
      <w:r w:rsidR="005E64E8">
        <w:t>associated calls and texts,</w:t>
      </w:r>
      <w:r w:rsidR="008C4F20" w:rsidRPr="008C4F20">
        <w:t xml:space="preserve"> and </w:t>
      </w:r>
      <w:r w:rsidR="008C4F20">
        <w:t xml:space="preserve">provides his or her wireless telephone number </w:t>
      </w:r>
      <w:r w:rsidR="005E64E8">
        <w:t xml:space="preserve">to the group organizer </w:t>
      </w:r>
      <w:r w:rsidR="008C4F20">
        <w:t>for that purpose</w:t>
      </w:r>
      <w:r w:rsidR="006D54D1">
        <w:t xml:space="preserve">, we interpret that as encompassing consent for GroupMe to send certain administrative texts that relate to the operation of that GroupMe group. </w:t>
      </w:r>
      <w:r w:rsidRPr="0049008B">
        <w:rPr>
          <w:szCs w:val="22"/>
        </w:rPr>
        <w:t>Absent instructions to the contrary, the consumer, in doing so, giv</w:t>
      </w:r>
      <w:r w:rsidR="00FB1416" w:rsidRPr="00593811">
        <w:rPr>
          <w:szCs w:val="22"/>
        </w:rPr>
        <w:t xml:space="preserve">es </w:t>
      </w:r>
      <w:r w:rsidRPr="0049008B">
        <w:rPr>
          <w:szCs w:val="22"/>
        </w:rPr>
        <w:t>permission to be called or texted at that number in connection with the GroupMe texting group</w:t>
      </w:r>
      <w:r w:rsidR="00F56103">
        <w:rPr>
          <w:szCs w:val="22"/>
        </w:rPr>
        <w:t xml:space="preserve">, just as the consumer in </w:t>
      </w:r>
      <w:r w:rsidR="00F56103">
        <w:rPr>
          <w:i/>
          <w:szCs w:val="22"/>
        </w:rPr>
        <w:t>ACA</w:t>
      </w:r>
      <w:r w:rsidR="00F56103">
        <w:rPr>
          <w:szCs w:val="22"/>
        </w:rPr>
        <w:t xml:space="preserve"> gave consent to be called regarding the debt</w:t>
      </w:r>
      <w:r w:rsidRPr="0049008B">
        <w:rPr>
          <w:szCs w:val="22"/>
        </w:rPr>
        <w:t xml:space="preserve">.  Under the facts presented by GroupMe, </w:t>
      </w:r>
      <w:r w:rsidR="00FB1416" w:rsidRPr="00593811">
        <w:rPr>
          <w:szCs w:val="22"/>
        </w:rPr>
        <w:t xml:space="preserve">text messages from GroupMe to consumers associated </w:t>
      </w:r>
      <w:r w:rsidRPr="0049008B">
        <w:rPr>
          <w:szCs w:val="22"/>
        </w:rPr>
        <w:t>with the specific group the consumer agreed to join</w:t>
      </w:r>
      <w:r w:rsidR="00FB1416" w:rsidRPr="00593811">
        <w:rPr>
          <w:szCs w:val="22"/>
        </w:rPr>
        <w:t xml:space="preserve"> fall </w:t>
      </w:r>
      <w:r w:rsidRPr="0049008B">
        <w:rPr>
          <w:szCs w:val="22"/>
        </w:rPr>
        <w:t>within the scope of the permission that the consumer granted.</w:t>
      </w:r>
      <w:r w:rsidR="00FB1416" w:rsidRPr="00593811">
        <w:rPr>
          <w:szCs w:val="22"/>
        </w:rPr>
        <w:t xml:space="preserve"> </w:t>
      </w:r>
      <w:r w:rsidR="005460DB" w:rsidRPr="005460DB">
        <w:t xml:space="preserve">Although the </w:t>
      </w:r>
      <w:r w:rsidR="005460DB" w:rsidRPr="005460DB">
        <w:rPr>
          <w:i/>
        </w:rPr>
        <w:t xml:space="preserve">ACA Order </w:t>
      </w:r>
      <w:r w:rsidR="005460DB" w:rsidRPr="005460DB">
        <w:t>did not formally address the legal question of whether consent can be obtained and conveyed via an intermediary,</w:t>
      </w:r>
      <w:r w:rsidR="005460DB" w:rsidRPr="005460DB">
        <w:rPr>
          <w:i/>
        </w:rPr>
        <w:t xml:space="preserve"> </w:t>
      </w:r>
      <w:r w:rsidR="005460DB" w:rsidRPr="005460DB">
        <w:t xml:space="preserve">that </w:t>
      </w:r>
      <w:r w:rsidR="005460DB" w:rsidRPr="005460DB">
        <w:rPr>
          <w:i/>
        </w:rPr>
        <w:t>Order</w:t>
      </w:r>
      <w:r w:rsidR="005460DB" w:rsidRPr="005460DB">
        <w:t xml:space="preserve"> did make clear that consent to be called at a number in conjunction with a transaction extends to a wide range of calls “regarding” that transaction, even in at least some cases where the calls were made by a third party.</w:t>
      </w:r>
      <w:r w:rsidR="005460DB" w:rsidRPr="005460DB">
        <w:rPr>
          <w:vertAlign w:val="superscript"/>
        </w:rPr>
        <w:footnoteReference w:id="29"/>
      </w:r>
      <w:r w:rsidR="005460DB" w:rsidRPr="005460DB">
        <w:t xml:space="preserve">  While the scope of the consent must be determined upon the facts of each situation, we here find </w:t>
      </w:r>
      <w:r w:rsidR="005460DB">
        <w:t xml:space="preserve">GroupMe’s administrative texts </w:t>
      </w:r>
      <w:r w:rsidR="005460DB" w:rsidRPr="005460DB">
        <w:t xml:space="preserve">to be within the scope of the consent given by the consumer. </w:t>
      </w:r>
      <w:r w:rsidR="005460DB">
        <w:t xml:space="preserve"> </w:t>
      </w:r>
      <w:r w:rsidR="005460DB" w:rsidRPr="005460DB">
        <w:t xml:space="preserve">Given that, we find it to be a reasonable extension of the reasoning of the </w:t>
      </w:r>
      <w:r w:rsidR="005460DB" w:rsidRPr="005460DB">
        <w:rPr>
          <w:i/>
        </w:rPr>
        <w:t xml:space="preserve">ACA Order </w:t>
      </w:r>
      <w:r w:rsidR="005460DB" w:rsidRPr="005460DB">
        <w:t xml:space="preserve">to interpret the TCPA to permit </w:t>
      </w:r>
      <w:r w:rsidR="00DF71CF">
        <w:t xml:space="preserve">a text sender such as </w:t>
      </w:r>
      <w:r w:rsidR="002308B3">
        <w:t xml:space="preserve">GroupMe to send </w:t>
      </w:r>
      <w:r w:rsidR="00C306F9">
        <w:t xml:space="preserve">such </w:t>
      </w:r>
      <w:r w:rsidR="002308B3">
        <w:t xml:space="preserve">autodialed text messages based </w:t>
      </w:r>
      <w:r w:rsidR="00190A5C">
        <w:t xml:space="preserve">on </w:t>
      </w:r>
      <w:r w:rsidR="00190A5C" w:rsidRPr="005460DB">
        <w:t>the</w:t>
      </w:r>
      <w:r w:rsidR="005460DB" w:rsidRPr="005460DB">
        <w:t xml:space="preserve"> consent obtained and conveyed by </w:t>
      </w:r>
      <w:r w:rsidR="002308B3">
        <w:t xml:space="preserve">an </w:t>
      </w:r>
      <w:r w:rsidR="005460DB" w:rsidRPr="005460DB">
        <w:t xml:space="preserve">intermediary, with the caveat that if consent was not, in fact, obtained, the </w:t>
      </w:r>
      <w:r w:rsidR="00DF71CF">
        <w:t>sender, such as GroupMe</w:t>
      </w:r>
      <w:r w:rsidR="00190A5C">
        <w:t xml:space="preserve">, </w:t>
      </w:r>
      <w:r w:rsidR="00190A5C" w:rsidRPr="005460DB">
        <w:t>remains</w:t>
      </w:r>
      <w:r w:rsidR="005460DB" w:rsidRPr="005460DB">
        <w:t xml:space="preserve"> liable.</w:t>
      </w:r>
    </w:p>
    <w:p w14:paraId="5C8E6685" w14:textId="77777777" w:rsidR="000760C9" w:rsidRPr="005C2C57" w:rsidRDefault="00593811">
      <w:pPr>
        <w:pStyle w:val="ParaNum"/>
        <w:rPr>
          <w:szCs w:val="22"/>
        </w:rPr>
      </w:pPr>
      <w:r>
        <w:t>We stress that our</w:t>
      </w:r>
      <w:r w:rsidRPr="00083C4A">
        <w:t xml:space="preserve"> clarification in no way mitigates </w:t>
      </w:r>
      <w:r>
        <w:t>GroupMe’s duty (</w:t>
      </w:r>
      <w:r w:rsidRPr="00083C4A">
        <w:t xml:space="preserve">or </w:t>
      </w:r>
      <w:r>
        <w:t xml:space="preserve">that of </w:t>
      </w:r>
      <w:r w:rsidRPr="00083C4A">
        <w:t>any other caller</w:t>
      </w:r>
      <w:r>
        <w:t>)</w:t>
      </w:r>
      <w:r w:rsidRPr="00083C4A">
        <w:t xml:space="preserve">, except in emergencies, to obtain the prior express consent of the called party before placing an autodialed or prerecorded call to that party’s wireless telephone number.  </w:t>
      </w:r>
      <w:r>
        <w:t>T</w:t>
      </w:r>
      <w:r w:rsidRPr="00083C4A">
        <w:t>he TCPA</w:t>
      </w:r>
      <w:r>
        <w:t xml:space="preserve"> </w:t>
      </w:r>
      <w:r w:rsidR="00661B32">
        <w:t>holds</w:t>
      </w:r>
      <w:r>
        <w:t xml:space="preserve"> </w:t>
      </w:r>
      <w:r w:rsidRPr="00083C4A">
        <w:t xml:space="preserve">a caller </w:t>
      </w:r>
      <w:r>
        <w:t xml:space="preserve">liable for TCPA violations even when </w:t>
      </w:r>
      <w:r w:rsidRPr="00083C4A">
        <w:t>rel</w:t>
      </w:r>
      <w:r>
        <w:t>y</w:t>
      </w:r>
      <w:r w:rsidR="00FD2E14">
        <w:t>ing</w:t>
      </w:r>
      <w:r w:rsidRPr="00083C4A">
        <w:t xml:space="preserve"> upon the assertion of an intermediary </w:t>
      </w:r>
      <w:r>
        <w:t xml:space="preserve">that the consumer has consented to the call.  </w:t>
      </w:r>
      <w:r w:rsidR="00FD2E14">
        <w:t xml:space="preserve">In this regard, we further clarify that where the consumer has agreed </w:t>
      </w:r>
      <w:r w:rsidR="00FD2E14" w:rsidRPr="008C4F20">
        <w:t>to participate in a GroupMe group</w:t>
      </w:r>
      <w:r w:rsidR="00FD2E14">
        <w:t>, agreed to receive associated calls and texts,</w:t>
      </w:r>
      <w:r w:rsidR="00FD2E14" w:rsidRPr="008C4F20">
        <w:t xml:space="preserve"> and </w:t>
      </w:r>
      <w:r w:rsidR="00FD2E14">
        <w:t>provided his or her wireless telephone number to the group organizer for that purpose, the TCPA’s prior express consent requirement is satisfied with respect to both GroupMe and the group members regarding that particular group, but only regarding that particular group.</w:t>
      </w:r>
    </w:p>
    <w:p w14:paraId="5DFFEB22" w14:textId="77777777" w:rsidR="005C2C57" w:rsidRPr="00CB6F85" w:rsidRDefault="005C2C57">
      <w:pPr>
        <w:pStyle w:val="ParaNum"/>
        <w:rPr>
          <w:szCs w:val="22"/>
        </w:rPr>
      </w:pPr>
      <w:r w:rsidRPr="00CB6F85">
        <w:rPr>
          <w:szCs w:val="22"/>
        </w:rPr>
        <w:t xml:space="preserve">We </w:t>
      </w:r>
      <w:r w:rsidR="005E64E8">
        <w:rPr>
          <w:szCs w:val="22"/>
        </w:rPr>
        <w:t xml:space="preserve">note the concern of </w:t>
      </w:r>
      <w:r w:rsidRPr="00C279FC">
        <w:rPr>
          <w:szCs w:val="22"/>
        </w:rPr>
        <w:t>t</w:t>
      </w:r>
      <w:r w:rsidR="00AA4DA8" w:rsidRPr="00C279FC">
        <w:rPr>
          <w:szCs w:val="22"/>
        </w:rPr>
        <w:t>wo</w:t>
      </w:r>
      <w:r w:rsidRPr="00C279FC">
        <w:rPr>
          <w:szCs w:val="22"/>
        </w:rPr>
        <w:t xml:space="preserve"> commenters,</w:t>
      </w:r>
      <w:r w:rsidR="000C1AF9" w:rsidRPr="00C279FC">
        <w:rPr>
          <w:rStyle w:val="FootnoteReference"/>
          <w:szCs w:val="22"/>
        </w:rPr>
        <w:t xml:space="preserve"> </w:t>
      </w:r>
      <w:r w:rsidR="000C1AF9" w:rsidRPr="00C279FC">
        <w:rPr>
          <w:rStyle w:val="FootnoteReference"/>
          <w:szCs w:val="22"/>
        </w:rPr>
        <w:footnoteReference w:id="30"/>
      </w:r>
      <w:r w:rsidRPr="00CB6F85">
        <w:rPr>
          <w:szCs w:val="22"/>
        </w:rPr>
        <w:t xml:space="preserve"> however, that GroupMe should make absolutely clear to group organizers that they must obtain the prior consent of each group member to receive texts from GroupMe.  While that information currently is contained in GroupMe’s Terms and Conditions,</w:t>
      </w:r>
      <w:r w:rsidRPr="00CB6F85">
        <w:rPr>
          <w:rStyle w:val="FootnoteReference"/>
          <w:szCs w:val="22"/>
        </w:rPr>
        <w:footnoteReference w:id="31"/>
      </w:r>
      <w:r w:rsidRPr="00CB6F85">
        <w:rPr>
          <w:szCs w:val="22"/>
        </w:rPr>
        <w:t xml:space="preserve"> </w:t>
      </w:r>
      <w:r w:rsidR="005E64E8">
        <w:rPr>
          <w:szCs w:val="22"/>
        </w:rPr>
        <w:t>we encourage</w:t>
      </w:r>
      <w:r w:rsidRPr="00CB6F85">
        <w:rPr>
          <w:szCs w:val="22"/>
        </w:rPr>
        <w:t xml:space="preserve"> GroupMe to ensure that group organizers are aware of the need to obtain such prior express consent and that they are representing to GroupMe that they have in fact obtained it.  </w:t>
      </w:r>
      <w:r w:rsidR="005E64E8" w:rsidRPr="005E64E8">
        <w:rPr>
          <w:szCs w:val="22"/>
        </w:rPr>
        <w:t xml:space="preserve">We </w:t>
      </w:r>
      <w:r w:rsidR="005E64E8">
        <w:rPr>
          <w:szCs w:val="22"/>
        </w:rPr>
        <w:t xml:space="preserve">further </w:t>
      </w:r>
      <w:r w:rsidR="005E64E8" w:rsidRPr="005E64E8">
        <w:rPr>
          <w:szCs w:val="22"/>
        </w:rPr>
        <w:t>remind GroupMe that it remains liable for TCPA violations through both Commission enforcement and the TCPA’s private right of action</w:t>
      </w:r>
      <w:r w:rsidR="005E64E8">
        <w:rPr>
          <w:szCs w:val="22"/>
        </w:rPr>
        <w:t xml:space="preserve"> if</w:t>
      </w:r>
      <w:r w:rsidR="00D26445">
        <w:rPr>
          <w:szCs w:val="22"/>
        </w:rPr>
        <w:t>,</w:t>
      </w:r>
      <w:r w:rsidR="005E64E8">
        <w:rPr>
          <w:szCs w:val="22"/>
        </w:rPr>
        <w:t xml:space="preserve"> in fact</w:t>
      </w:r>
      <w:r w:rsidR="00D26445">
        <w:rPr>
          <w:szCs w:val="22"/>
        </w:rPr>
        <w:t>,</w:t>
      </w:r>
      <w:r w:rsidR="005E64E8">
        <w:rPr>
          <w:szCs w:val="22"/>
        </w:rPr>
        <w:t xml:space="preserve"> group organizers do not obtain prior express consent as required by the TCPA</w:t>
      </w:r>
      <w:r w:rsidR="005E64E8" w:rsidRPr="005E64E8">
        <w:rPr>
          <w:szCs w:val="22"/>
        </w:rPr>
        <w:t>.</w:t>
      </w:r>
      <w:r w:rsidR="005E64E8" w:rsidRPr="005E64E8">
        <w:rPr>
          <w:szCs w:val="22"/>
          <w:vertAlign w:val="superscript"/>
        </w:rPr>
        <w:footnoteReference w:id="32"/>
      </w:r>
      <w:r w:rsidR="005E64E8" w:rsidRPr="005E64E8">
        <w:rPr>
          <w:szCs w:val="22"/>
        </w:rPr>
        <w:t xml:space="preserve"> </w:t>
      </w:r>
      <w:r w:rsidR="00472461">
        <w:rPr>
          <w:szCs w:val="22"/>
        </w:rPr>
        <w:t xml:space="preserve"> </w:t>
      </w:r>
      <w:r w:rsidRPr="00CB6F85">
        <w:rPr>
          <w:szCs w:val="22"/>
        </w:rPr>
        <w:t xml:space="preserve">We therefore strongly urge GroupMe to take adequate steps to ensure full disclosure to group organizers and to ensure that group organizers do in fact obtain the requisite consent.  </w:t>
      </w:r>
    </w:p>
    <w:p w14:paraId="3DEC69FE" w14:textId="77777777" w:rsidR="000760C9" w:rsidRPr="00D824B2" w:rsidRDefault="00B53C1A">
      <w:pPr>
        <w:pStyle w:val="ParaNum"/>
        <w:rPr>
          <w:szCs w:val="22"/>
        </w:rPr>
      </w:pPr>
      <w:r>
        <w:rPr>
          <w:szCs w:val="22"/>
        </w:rPr>
        <w:t>W</w:t>
      </w:r>
      <w:r w:rsidRPr="00B53C1A">
        <w:rPr>
          <w:szCs w:val="22"/>
        </w:rPr>
        <w:t xml:space="preserve">e </w:t>
      </w:r>
      <w:r w:rsidR="00B86387">
        <w:rPr>
          <w:szCs w:val="22"/>
        </w:rPr>
        <w:t xml:space="preserve">find inapposite comments </w:t>
      </w:r>
      <w:r>
        <w:rPr>
          <w:szCs w:val="22"/>
        </w:rPr>
        <w:t>stat</w:t>
      </w:r>
      <w:r w:rsidR="00F352F5">
        <w:rPr>
          <w:szCs w:val="22"/>
        </w:rPr>
        <w:t>ing</w:t>
      </w:r>
      <w:r>
        <w:rPr>
          <w:szCs w:val="22"/>
        </w:rPr>
        <w:t xml:space="preserve"> </w:t>
      </w:r>
      <w:r w:rsidR="009A298E">
        <w:rPr>
          <w:szCs w:val="22"/>
        </w:rPr>
        <w:t xml:space="preserve">that </w:t>
      </w:r>
      <w:r>
        <w:rPr>
          <w:szCs w:val="22"/>
        </w:rPr>
        <w:t xml:space="preserve">there is </w:t>
      </w:r>
      <w:r w:rsidRPr="00CB6F85">
        <w:rPr>
          <w:szCs w:val="22"/>
        </w:rPr>
        <w:t xml:space="preserve">well-developed body of law addressing intermediary consent, including in the context of the Fourth Amendment where consent to </w:t>
      </w:r>
      <w:r w:rsidR="005811AF">
        <w:rPr>
          <w:szCs w:val="22"/>
        </w:rPr>
        <w:t xml:space="preserve">a police </w:t>
      </w:r>
      <w:r w:rsidRPr="00CB6F85">
        <w:rPr>
          <w:szCs w:val="22"/>
        </w:rPr>
        <w:t>search may be obtained from a third party who possesses either actual or apparent authority.</w:t>
      </w:r>
      <w:r w:rsidRPr="00CB6F85">
        <w:rPr>
          <w:szCs w:val="22"/>
          <w:vertAlign w:val="superscript"/>
        </w:rPr>
        <w:footnoteReference w:id="33"/>
      </w:r>
      <w:r>
        <w:rPr>
          <w:szCs w:val="22"/>
        </w:rPr>
        <w:t xml:space="preserve">  </w:t>
      </w:r>
      <w:r w:rsidR="00F352F5">
        <w:rPr>
          <w:szCs w:val="22"/>
        </w:rPr>
        <w:t xml:space="preserve">The comments provide no explanation </w:t>
      </w:r>
      <w:r w:rsidR="005811AF">
        <w:rPr>
          <w:szCs w:val="22"/>
        </w:rPr>
        <w:t>o</w:t>
      </w:r>
      <w:r w:rsidR="00F352F5">
        <w:rPr>
          <w:szCs w:val="22"/>
        </w:rPr>
        <w:t xml:space="preserve">f the relevance of Fourth Amendment principles to the TCPA’s prior express consent requirement.  To the extent that the comments are intended to suggest that we should interpret the TCPA as permitting </w:t>
      </w:r>
      <w:r w:rsidR="00F37450">
        <w:rPr>
          <w:szCs w:val="22"/>
        </w:rPr>
        <w:t xml:space="preserve">someone </w:t>
      </w:r>
      <w:r w:rsidR="00E27572">
        <w:rPr>
          <w:szCs w:val="22"/>
        </w:rPr>
        <w:t xml:space="preserve">other than the consumer, such as someone claiming </w:t>
      </w:r>
      <w:r w:rsidR="00F37450">
        <w:rPr>
          <w:szCs w:val="22"/>
        </w:rPr>
        <w:t>actual or apparent authority</w:t>
      </w:r>
      <w:r w:rsidR="00E27572">
        <w:rPr>
          <w:szCs w:val="22"/>
        </w:rPr>
        <w:t>,</w:t>
      </w:r>
      <w:r w:rsidR="00F37450">
        <w:rPr>
          <w:szCs w:val="22"/>
        </w:rPr>
        <w:t xml:space="preserve"> to </w:t>
      </w:r>
      <w:r w:rsidR="00F352F5">
        <w:rPr>
          <w:szCs w:val="22"/>
        </w:rPr>
        <w:t xml:space="preserve">provide </w:t>
      </w:r>
      <w:r w:rsidR="009408E2">
        <w:rPr>
          <w:szCs w:val="22"/>
        </w:rPr>
        <w:t xml:space="preserve">the </w:t>
      </w:r>
      <w:r w:rsidR="00F352F5">
        <w:rPr>
          <w:szCs w:val="22"/>
        </w:rPr>
        <w:t>prior express consent o</w:t>
      </w:r>
      <w:r w:rsidR="009408E2">
        <w:rPr>
          <w:szCs w:val="22"/>
        </w:rPr>
        <w:t>f the consumer, we make no such finding.</w:t>
      </w:r>
      <w:r w:rsidR="00F37450">
        <w:rPr>
          <w:rStyle w:val="FootnoteReference"/>
          <w:szCs w:val="22"/>
        </w:rPr>
        <w:footnoteReference w:id="34"/>
      </w:r>
      <w:r w:rsidR="00F37450">
        <w:rPr>
          <w:szCs w:val="22"/>
        </w:rPr>
        <w:t xml:space="preserve"> </w:t>
      </w:r>
      <w:r w:rsidR="009408E2">
        <w:rPr>
          <w:szCs w:val="22"/>
        </w:rPr>
        <w:t xml:space="preserve">  GroupMe’s petition does not raise that issue.  </w:t>
      </w:r>
      <w:r>
        <w:rPr>
          <w:szCs w:val="22"/>
        </w:rPr>
        <w:t xml:space="preserve">We </w:t>
      </w:r>
      <w:r w:rsidR="009408E2">
        <w:rPr>
          <w:szCs w:val="22"/>
        </w:rPr>
        <w:t>note</w:t>
      </w:r>
      <w:r>
        <w:rPr>
          <w:szCs w:val="22"/>
        </w:rPr>
        <w:t xml:space="preserve">, however, that the </w:t>
      </w:r>
      <w:r w:rsidRPr="00CB6F85">
        <w:rPr>
          <w:szCs w:val="22"/>
        </w:rPr>
        <w:t xml:space="preserve">TCPA specifically requires the prior express consent of the </w:t>
      </w:r>
      <w:r w:rsidRPr="00B53C1A">
        <w:rPr>
          <w:szCs w:val="22"/>
        </w:rPr>
        <w:t>consumer</w:t>
      </w:r>
      <w:r w:rsidRPr="00CB6F85">
        <w:rPr>
          <w:szCs w:val="22"/>
        </w:rPr>
        <w:t xml:space="preserve"> and</w:t>
      </w:r>
      <w:r w:rsidR="00827C83">
        <w:rPr>
          <w:szCs w:val="22"/>
        </w:rPr>
        <w:t xml:space="preserve"> </w:t>
      </w:r>
      <w:r w:rsidR="009408E2">
        <w:rPr>
          <w:szCs w:val="22"/>
        </w:rPr>
        <w:t>reiterate that</w:t>
      </w:r>
      <w:r w:rsidR="00827C83">
        <w:rPr>
          <w:szCs w:val="22"/>
        </w:rPr>
        <w:t>,</w:t>
      </w:r>
      <w:r w:rsidR="009408E2">
        <w:rPr>
          <w:szCs w:val="22"/>
        </w:rPr>
        <w:t xml:space="preserve"> under our ruling today</w:t>
      </w:r>
      <w:r w:rsidR="00827C83">
        <w:rPr>
          <w:szCs w:val="22"/>
        </w:rPr>
        <w:t>,</w:t>
      </w:r>
      <w:r w:rsidR="009408E2">
        <w:rPr>
          <w:szCs w:val="22"/>
        </w:rPr>
        <w:t xml:space="preserve"> a group organizer may only </w:t>
      </w:r>
      <w:r w:rsidR="009408E2">
        <w:rPr>
          <w:i/>
          <w:szCs w:val="22"/>
        </w:rPr>
        <w:t>convey</w:t>
      </w:r>
      <w:r w:rsidR="009408E2">
        <w:rPr>
          <w:szCs w:val="22"/>
        </w:rPr>
        <w:t xml:space="preserve"> the consumer’s prior express consent.</w:t>
      </w:r>
      <w:r w:rsidR="00F37450">
        <w:rPr>
          <w:rStyle w:val="FootnoteReference"/>
          <w:szCs w:val="22"/>
        </w:rPr>
        <w:footnoteReference w:id="35"/>
      </w:r>
      <w:r w:rsidR="009408E2">
        <w:rPr>
          <w:szCs w:val="22"/>
        </w:rPr>
        <w:t xml:space="preserve"> </w:t>
      </w:r>
      <w:r w:rsidR="00827C83">
        <w:rPr>
          <w:szCs w:val="22"/>
        </w:rPr>
        <w:t xml:space="preserve"> </w:t>
      </w:r>
      <w:r w:rsidR="000760C9" w:rsidRPr="00D824B2">
        <w:rPr>
          <w:szCs w:val="22"/>
        </w:rPr>
        <w:t xml:space="preserve">We </w:t>
      </w:r>
      <w:r w:rsidR="005C2C57" w:rsidRPr="00D824B2">
        <w:rPr>
          <w:szCs w:val="22"/>
        </w:rPr>
        <w:t xml:space="preserve">also </w:t>
      </w:r>
      <w:r w:rsidR="000760C9" w:rsidRPr="00D824B2">
        <w:rPr>
          <w:szCs w:val="22"/>
        </w:rPr>
        <w:t xml:space="preserve">disagree with commenters who argue that GroupMe is seeking a “get-out-of-jail-free card” </w:t>
      </w:r>
      <w:r w:rsidR="000760C9" w:rsidRPr="009A298E">
        <w:rPr>
          <w:szCs w:val="22"/>
        </w:rPr>
        <w:t>for</w:t>
      </w:r>
      <w:r w:rsidR="000760C9" w:rsidRPr="00926AFB">
        <w:rPr>
          <w:i/>
          <w:szCs w:val="22"/>
        </w:rPr>
        <w:t xml:space="preserve"> </w:t>
      </w:r>
      <w:r w:rsidR="000760C9" w:rsidRPr="00FD2E14">
        <w:rPr>
          <w:szCs w:val="22"/>
        </w:rPr>
        <w:t xml:space="preserve">its </w:t>
      </w:r>
      <w:r w:rsidR="009A298E">
        <w:rPr>
          <w:szCs w:val="22"/>
        </w:rPr>
        <w:t>“</w:t>
      </w:r>
      <w:r w:rsidR="000760C9" w:rsidRPr="00FD2E14">
        <w:rPr>
          <w:szCs w:val="22"/>
        </w:rPr>
        <w:t>inherently</w:t>
      </w:r>
      <w:r w:rsidR="000760C9" w:rsidRPr="00D824B2">
        <w:rPr>
          <w:szCs w:val="22"/>
        </w:rPr>
        <w:t xml:space="preserve"> risky</w:t>
      </w:r>
      <w:r w:rsidR="009A298E">
        <w:rPr>
          <w:szCs w:val="22"/>
        </w:rPr>
        <w:t>”</w:t>
      </w:r>
      <w:r w:rsidR="000760C9" w:rsidRPr="00D824B2">
        <w:rPr>
          <w:szCs w:val="22"/>
        </w:rPr>
        <w:t xml:space="preserve"> manner of gaining prior express consent based upon its Terms of Service agreement.</w:t>
      </w:r>
      <w:r w:rsidR="000760C9" w:rsidRPr="00D824B2">
        <w:rPr>
          <w:rStyle w:val="FootnoteReference"/>
          <w:szCs w:val="22"/>
        </w:rPr>
        <w:footnoteReference w:id="36"/>
      </w:r>
      <w:r w:rsidR="000760C9" w:rsidRPr="00D824B2">
        <w:rPr>
          <w:szCs w:val="22"/>
        </w:rPr>
        <w:t xml:space="preserve">  Instead, we confirm</w:t>
      </w:r>
      <w:r w:rsidR="00593811" w:rsidRPr="00D824B2">
        <w:rPr>
          <w:szCs w:val="22"/>
        </w:rPr>
        <w:t xml:space="preserve"> </w:t>
      </w:r>
      <w:r w:rsidR="000760C9" w:rsidRPr="00D824B2">
        <w:rPr>
          <w:szCs w:val="22"/>
        </w:rPr>
        <w:t xml:space="preserve">that </w:t>
      </w:r>
      <w:r w:rsidR="00944080" w:rsidRPr="00D824B2">
        <w:rPr>
          <w:szCs w:val="22"/>
        </w:rPr>
        <w:t>a</w:t>
      </w:r>
      <w:r w:rsidR="009A298E">
        <w:rPr>
          <w:szCs w:val="22"/>
        </w:rPr>
        <w:t xml:space="preserve"> caller</w:t>
      </w:r>
      <w:r w:rsidR="00944080" w:rsidRPr="00D824B2">
        <w:rPr>
          <w:szCs w:val="22"/>
        </w:rPr>
        <w:t xml:space="preserve"> </w:t>
      </w:r>
      <w:r w:rsidR="000760C9" w:rsidRPr="00D824B2">
        <w:rPr>
          <w:szCs w:val="22"/>
        </w:rPr>
        <w:t xml:space="preserve">remains liable for TCPA violations when it relies upon the assertion of an intermediary that the </w:t>
      </w:r>
      <w:r w:rsidR="00DD1680" w:rsidRPr="00D824B2">
        <w:rPr>
          <w:szCs w:val="22"/>
        </w:rPr>
        <w:t>consumer</w:t>
      </w:r>
      <w:r w:rsidR="000760C9" w:rsidRPr="00D824B2">
        <w:rPr>
          <w:szCs w:val="22"/>
        </w:rPr>
        <w:t xml:space="preserve"> has given such prior express consent. We e</w:t>
      </w:r>
      <w:r w:rsidR="000760C9" w:rsidRPr="0049008B">
        <w:rPr>
          <w:szCs w:val="22"/>
        </w:rPr>
        <w:t>m</w:t>
      </w:r>
      <w:r w:rsidR="000760C9" w:rsidRPr="00D824B2">
        <w:rPr>
          <w:szCs w:val="22"/>
        </w:rPr>
        <w:t xml:space="preserve">phasize that the intermediary may only convey consent that has actually been provided by the </w:t>
      </w:r>
      <w:r w:rsidR="00DD1680" w:rsidRPr="00D824B2">
        <w:rPr>
          <w:szCs w:val="22"/>
        </w:rPr>
        <w:t>consumer</w:t>
      </w:r>
      <w:r w:rsidR="000760C9" w:rsidRPr="00D824B2">
        <w:rPr>
          <w:szCs w:val="22"/>
        </w:rPr>
        <w:t xml:space="preserve">; the intermediary cannot provide consent on behalf of the </w:t>
      </w:r>
      <w:r w:rsidR="009A298E">
        <w:rPr>
          <w:szCs w:val="22"/>
        </w:rPr>
        <w:t>consumer</w:t>
      </w:r>
      <w:r w:rsidR="000760C9" w:rsidRPr="00D824B2">
        <w:rPr>
          <w:szCs w:val="22"/>
        </w:rPr>
        <w:t xml:space="preserve">.  As discussed above, neither the TCPA nor our implementing rules and orders require any specific method by which a caller must obtain such prior express consent for non-telemarketing calls to wireless </w:t>
      </w:r>
      <w:r w:rsidR="000760C9" w:rsidRPr="0049008B">
        <w:rPr>
          <w:szCs w:val="22"/>
        </w:rPr>
        <w:t>p</w:t>
      </w:r>
      <w:r w:rsidR="009A298E">
        <w:rPr>
          <w:szCs w:val="22"/>
        </w:rPr>
        <w:t>hones</w:t>
      </w:r>
      <w:r w:rsidR="000760C9" w:rsidRPr="00D824B2">
        <w:rPr>
          <w:szCs w:val="22"/>
        </w:rPr>
        <w:t>, and we conclude that the TCPA does not prohibit a caller from obtaining consent through an intermediary.  As such, we disagree with commenters who argue that GroupMe should be required to obta</w:t>
      </w:r>
      <w:r w:rsidR="000760C9" w:rsidRPr="0049008B">
        <w:rPr>
          <w:szCs w:val="22"/>
        </w:rPr>
        <w:t>i</w:t>
      </w:r>
      <w:r w:rsidR="000760C9" w:rsidRPr="00D824B2">
        <w:rPr>
          <w:szCs w:val="22"/>
        </w:rPr>
        <w:t xml:space="preserve">n consent directly from the </w:t>
      </w:r>
      <w:r w:rsidR="00DD1680" w:rsidRPr="00D824B2">
        <w:rPr>
          <w:szCs w:val="22"/>
        </w:rPr>
        <w:t>consumer</w:t>
      </w:r>
      <w:r w:rsidR="000760C9" w:rsidRPr="00D824B2">
        <w:rPr>
          <w:szCs w:val="22"/>
        </w:rPr>
        <w:t xml:space="preserve"> simply b</w:t>
      </w:r>
      <w:r w:rsidR="000760C9" w:rsidRPr="0049008B">
        <w:rPr>
          <w:szCs w:val="22"/>
        </w:rPr>
        <w:t>e</w:t>
      </w:r>
      <w:r w:rsidR="000760C9" w:rsidRPr="00D824B2">
        <w:rPr>
          <w:szCs w:val="22"/>
        </w:rPr>
        <w:t>cause it is possible for GroupMe to do so.</w:t>
      </w:r>
      <w:r w:rsidR="000760C9" w:rsidRPr="00D824B2">
        <w:rPr>
          <w:rStyle w:val="FootnoteReference"/>
          <w:szCs w:val="22"/>
        </w:rPr>
        <w:footnoteReference w:id="37"/>
      </w:r>
    </w:p>
    <w:p w14:paraId="31AB0BAB" w14:textId="5804DF45" w:rsidR="00976F4F" w:rsidRPr="00037571" w:rsidRDefault="00976F4F" w:rsidP="00037571">
      <w:pPr>
        <w:pStyle w:val="Heading1"/>
        <w:widowControl/>
        <w:rPr>
          <w:b w:val="0"/>
        </w:rPr>
      </w:pPr>
      <w:r w:rsidRPr="001A6068">
        <w:t>CONCLUSION AND ORDERING CLAUSES</w:t>
      </w:r>
    </w:p>
    <w:p w14:paraId="09EB6329" w14:textId="77777777" w:rsidR="00623FDD" w:rsidRPr="0049008B" w:rsidRDefault="003F699B">
      <w:pPr>
        <w:pStyle w:val="ParaNum"/>
        <w:rPr>
          <w:szCs w:val="22"/>
        </w:rPr>
      </w:pPr>
      <w:r w:rsidRPr="0049008B">
        <w:rPr>
          <w:szCs w:val="22"/>
        </w:rPr>
        <w:t xml:space="preserve">For the reasons stated above, IT IS ORDERED, pursuant to sections </w:t>
      </w:r>
      <w:r w:rsidR="002D27E4">
        <w:rPr>
          <w:szCs w:val="22"/>
        </w:rPr>
        <w:t>4(i), 4(j)</w:t>
      </w:r>
      <w:r w:rsidRPr="0049008B">
        <w:rPr>
          <w:szCs w:val="22"/>
        </w:rPr>
        <w:t xml:space="preserve"> and 227 of the Communications Act of 1934, as amended, 47 U.S.C. §§ 15</w:t>
      </w:r>
      <w:r w:rsidR="002D27E4">
        <w:rPr>
          <w:szCs w:val="22"/>
        </w:rPr>
        <w:t>4(i), 154(j)</w:t>
      </w:r>
      <w:r w:rsidRPr="0049008B">
        <w:rPr>
          <w:szCs w:val="22"/>
        </w:rPr>
        <w:t>, 227, and sections 1.2 and 64.1200 of the Commission’s Rules, 47 C.F.R. §§ 1.2, 64.1200</w:t>
      </w:r>
      <w:r w:rsidR="00270649" w:rsidRPr="0049008B">
        <w:rPr>
          <w:szCs w:val="22"/>
        </w:rPr>
        <w:t>,</w:t>
      </w:r>
      <w:r w:rsidRPr="0049008B">
        <w:rPr>
          <w:szCs w:val="22"/>
        </w:rPr>
        <w:t xml:space="preserve"> that the Petition for Expedited Declaratory Ruling filed by GroupMe on </w:t>
      </w:r>
      <w:r w:rsidR="009E3E76" w:rsidRPr="0049008B">
        <w:rPr>
          <w:szCs w:val="22"/>
        </w:rPr>
        <w:t>March</w:t>
      </w:r>
      <w:r w:rsidRPr="0049008B">
        <w:rPr>
          <w:szCs w:val="22"/>
        </w:rPr>
        <w:t xml:space="preserve"> 1, 2012 IS GRANTED to the extent indicated herein</w:t>
      </w:r>
      <w:r w:rsidR="002D27E4">
        <w:rPr>
          <w:szCs w:val="22"/>
        </w:rPr>
        <w:t xml:space="preserve"> and is otherwise </w:t>
      </w:r>
      <w:r w:rsidR="00DF1F9E">
        <w:rPr>
          <w:szCs w:val="22"/>
        </w:rPr>
        <w:t>DISMISSED</w:t>
      </w:r>
      <w:r w:rsidR="00ED5D1F" w:rsidRPr="0049008B">
        <w:rPr>
          <w:szCs w:val="22"/>
        </w:rPr>
        <w:t>.</w:t>
      </w:r>
    </w:p>
    <w:p w14:paraId="2647CCAD" w14:textId="77777777" w:rsidR="00ED5D1F" w:rsidRPr="0049008B" w:rsidRDefault="00EB56AF">
      <w:pPr>
        <w:pStyle w:val="ParaNum"/>
        <w:rPr>
          <w:szCs w:val="22"/>
        </w:rPr>
      </w:pPr>
      <w:r w:rsidRPr="0049008B">
        <w:rPr>
          <w:szCs w:val="22"/>
        </w:rPr>
        <w:t>IT IS FURTHER ORDERED that this De</w:t>
      </w:r>
      <w:r w:rsidR="00270649" w:rsidRPr="0049008B">
        <w:rPr>
          <w:szCs w:val="22"/>
        </w:rPr>
        <w:t>c</w:t>
      </w:r>
      <w:r w:rsidRPr="0049008B">
        <w:rPr>
          <w:szCs w:val="22"/>
        </w:rPr>
        <w:t>laratory Ruling shall be effective upon release</w:t>
      </w:r>
      <w:r w:rsidR="00ED5D1F" w:rsidRPr="0049008B">
        <w:rPr>
          <w:szCs w:val="22"/>
        </w:rPr>
        <w:t>.</w:t>
      </w:r>
    </w:p>
    <w:p w14:paraId="2B83C5D7" w14:textId="77777777" w:rsidR="00AF0816" w:rsidRPr="006A019C" w:rsidRDefault="00ED5D1F" w:rsidP="00170B85">
      <w:pPr>
        <w:pStyle w:val="Header"/>
        <w:ind w:left="4320"/>
        <w:rPr>
          <w:b w:val="0"/>
          <w:szCs w:val="22"/>
        </w:rPr>
      </w:pPr>
      <w:r w:rsidRPr="006A019C">
        <w:rPr>
          <w:b w:val="0"/>
          <w:szCs w:val="22"/>
        </w:rPr>
        <w:t>FEDERAL COMMUNICATIONS COMMISSION</w:t>
      </w:r>
    </w:p>
    <w:p w14:paraId="79499D66" w14:textId="77777777" w:rsidR="00EB56AF" w:rsidRPr="006A019C" w:rsidRDefault="00EB56AF" w:rsidP="00170B85">
      <w:pPr>
        <w:pStyle w:val="Header"/>
        <w:ind w:left="4320"/>
        <w:rPr>
          <w:b w:val="0"/>
          <w:szCs w:val="22"/>
        </w:rPr>
      </w:pPr>
    </w:p>
    <w:p w14:paraId="18283929" w14:textId="77777777" w:rsidR="00EB56AF" w:rsidRPr="006A019C" w:rsidRDefault="00EB56AF" w:rsidP="00170B85">
      <w:pPr>
        <w:pStyle w:val="Header"/>
        <w:ind w:left="4320"/>
        <w:rPr>
          <w:b w:val="0"/>
          <w:szCs w:val="22"/>
        </w:rPr>
      </w:pPr>
    </w:p>
    <w:p w14:paraId="5A258AF9" w14:textId="77777777" w:rsidR="00EB56AF" w:rsidRPr="006A019C" w:rsidRDefault="00EB56AF" w:rsidP="00170B85">
      <w:pPr>
        <w:pStyle w:val="Header"/>
        <w:ind w:left="4320"/>
        <w:rPr>
          <w:b w:val="0"/>
          <w:szCs w:val="22"/>
        </w:rPr>
      </w:pPr>
    </w:p>
    <w:p w14:paraId="6D514B52" w14:textId="77777777" w:rsidR="00EB56AF" w:rsidRPr="006A019C" w:rsidRDefault="00EB56AF" w:rsidP="00EB56AF">
      <w:pPr>
        <w:pStyle w:val="Header"/>
        <w:ind w:left="4320"/>
        <w:rPr>
          <w:b w:val="0"/>
          <w:szCs w:val="22"/>
        </w:rPr>
      </w:pPr>
      <w:r w:rsidRPr="006A019C">
        <w:rPr>
          <w:b w:val="0"/>
          <w:szCs w:val="22"/>
        </w:rPr>
        <w:t>Marlene H. Dortch</w:t>
      </w:r>
    </w:p>
    <w:p w14:paraId="62C372F6" w14:textId="77777777" w:rsidR="00EB56AF" w:rsidRPr="006A019C" w:rsidRDefault="00EB56AF" w:rsidP="00EB56AF">
      <w:pPr>
        <w:pStyle w:val="Header"/>
        <w:ind w:left="4320"/>
        <w:rPr>
          <w:b w:val="0"/>
          <w:szCs w:val="22"/>
        </w:rPr>
      </w:pPr>
      <w:r w:rsidRPr="006A019C">
        <w:rPr>
          <w:b w:val="0"/>
          <w:szCs w:val="22"/>
        </w:rPr>
        <w:t>Secretary</w:t>
      </w:r>
    </w:p>
    <w:p w14:paraId="7F1E300A" w14:textId="42CE066A" w:rsidR="00ED5D1F" w:rsidRPr="00037571" w:rsidRDefault="00AF0816" w:rsidP="00AF0816">
      <w:pPr>
        <w:pStyle w:val="Header"/>
        <w:jc w:val="center"/>
      </w:pPr>
      <w:r w:rsidRPr="0049008B">
        <w:rPr>
          <w:szCs w:val="22"/>
        </w:rPr>
        <w:br w:type="page"/>
      </w:r>
      <w:r w:rsidR="002A0A63">
        <w:t>APPENDIX</w:t>
      </w:r>
    </w:p>
    <w:p w14:paraId="4425E652" w14:textId="77777777" w:rsidR="00AF0816" w:rsidRPr="00037571" w:rsidRDefault="00AF0816" w:rsidP="00AF0816">
      <w:pPr>
        <w:pStyle w:val="Header"/>
        <w:jc w:val="center"/>
      </w:pPr>
    </w:p>
    <w:p w14:paraId="7D01A6D6" w14:textId="77777777" w:rsidR="00AF0816" w:rsidRPr="00037571" w:rsidRDefault="00AF0816" w:rsidP="00AF0816">
      <w:pPr>
        <w:pStyle w:val="Header"/>
        <w:jc w:val="center"/>
      </w:pPr>
      <w:r w:rsidRPr="00037571">
        <w:t>List of Commenters</w:t>
      </w:r>
    </w:p>
    <w:p w14:paraId="436A51C8" w14:textId="77777777" w:rsidR="00AF0816" w:rsidRPr="00037571" w:rsidRDefault="00AF0816" w:rsidP="00AF0816">
      <w:pPr>
        <w:pStyle w:val="Header"/>
      </w:pPr>
    </w:p>
    <w:p w14:paraId="60D05107" w14:textId="77777777" w:rsidR="00ED5D1F" w:rsidRPr="00037571" w:rsidRDefault="00AF0816" w:rsidP="00037571">
      <w:pPr>
        <w:pStyle w:val="Header"/>
        <w:tabs>
          <w:tab w:val="left" w:pos="6480"/>
        </w:tabs>
      </w:pPr>
      <w:r w:rsidRPr="00037571">
        <w:rPr>
          <w:u w:val="single"/>
        </w:rPr>
        <w:t>Commenter</w:t>
      </w:r>
      <w:r w:rsidR="0080558A" w:rsidRPr="00037571">
        <w:rPr>
          <w:u w:val="single"/>
        </w:rPr>
        <w:t>s</w:t>
      </w:r>
      <w:r w:rsidRPr="00037571">
        <w:tab/>
      </w:r>
      <w:r w:rsidRPr="00037571">
        <w:rPr>
          <w:u w:val="single"/>
        </w:rPr>
        <w:t>Abbreviation</w:t>
      </w:r>
    </w:p>
    <w:p w14:paraId="32C15E8C" w14:textId="77777777" w:rsidR="00AF0816" w:rsidRPr="00037571" w:rsidRDefault="00AF0816" w:rsidP="00037571">
      <w:pPr>
        <w:pStyle w:val="Header"/>
        <w:tabs>
          <w:tab w:val="left" w:pos="6480"/>
        </w:tabs>
      </w:pPr>
      <w:r w:rsidRPr="00037571">
        <w:t>Robert Biggerstaff</w:t>
      </w:r>
      <w:r w:rsidR="00472461" w:rsidRPr="00037571">
        <w:tab/>
      </w:r>
      <w:r w:rsidR="00075DDB" w:rsidRPr="00037571">
        <w:t>B</w:t>
      </w:r>
      <w:r w:rsidRPr="00037571">
        <w:t xml:space="preserve">iggerstaff </w:t>
      </w:r>
    </w:p>
    <w:p w14:paraId="3F54F501" w14:textId="0361DBE2" w:rsidR="00AF0816" w:rsidRPr="00037571" w:rsidRDefault="006A019C" w:rsidP="00037571">
      <w:pPr>
        <w:pStyle w:val="Header"/>
        <w:tabs>
          <w:tab w:val="left" w:pos="6480"/>
        </w:tabs>
      </w:pPr>
      <w:r>
        <w:t>Cargo Airlines Association</w:t>
      </w:r>
      <w:r w:rsidR="00472461">
        <w:rPr>
          <w:szCs w:val="22"/>
        </w:rPr>
        <w:tab/>
      </w:r>
      <w:r w:rsidR="00AF0816" w:rsidRPr="00037571">
        <w:t>CAA</w:t>
      </w:r>
    </w:p>
    <w:p w14:paraId="39480087" w14:textId="77777777" w:rsidR="00AF0816" w:rsidRPr="00037571" w:rsidRDefault="00AF0816" w:rsidP="00037571">
      <w:pPr>
        <w:pStyle w:val="Header"/>
        <w:tabs>
          <w:tab w:val="left" w:pos="6480"/>
          <w:tab w:val="center" w:pos="6570"/>
        </w:tabs>
      </w:pPr>
      <w:r w:rsidRPr="00037571">
        <w:t>James Christopher</w:t>
      </w:r>
      <w:r w:rsidR="00075DDB" w:rsidRPr="00037571">
        <w:tab/>
      </w:r>
      <w:r w:rsidR="00376382" w:rsidRPr="00037571">
        <w:t>C</w:t>
      </w:r>
      <w:r w:rsidRPr="00037571">
        <w:t>hristopher</w:t>
      </w:r>
    </w:p>
    <w:p w14:paraId="1A491ABB" w14:textId="77777777" w:rsidR="00AF0816" w:rsidRPr="00037571" w:rsidRDefault="00AF0816" w:rsidP="00037571">
      <w:pPr>
        <w:pStyle w:val="Header"/>
        <w:tabs>
          <w:tab w:val="left" w:pos="6480"/>
        </w:tabs>
      </w:pPr>
      <w:r w:rsidRPr="00037571">
        <w:t>Communications Innovators</w:t>
      </w:r>
      <w:r w:rsidR="00857C86" w:rsidRPr="00037571">
        <w:t xml:space="preserve"> </w:t>
      </w:r>
      <w:r w:rsidR="00857C86" w:rsidRPr="00037571">
        <w:tab/>
      </w:r>
      <w:r w:rsidRPr="00037571">
        <w:t>CI</w:t>
      </w:r>
    </w:p>
    <w:p w14:paraId="019329B1" w14:textId="77777777" w:rsidR="00AF0816" w:rsidRPr="00037571" w:rsidRDefault="00AF0816" w:rsidP="00037571">
      <w:pPr>
        <w:pStyle w:val="Header"/>
        <w:tabs>
          <w:tab w:val="left" w:pos="6480"/>
        </w:tabs>
      </w:pPr>
      <w:r w:rsidRPr="00037571">
        <w:t xml:space="preserve">Consumer Litigation Group </w:t>
      </w:r>
      <w:r w:rsidR="003E31EE" w:rsidRPr="00037571">
        <w:t xml:space="preserve"> </w:t>
      </w:r>
      <w:r w:rsidR="003E31EE" w:rsidRPr="00037571">
        <w:tab/>
        <w:t>CLG</w:t>
      </w:r>
    </w:p>
    <w:p w14:paraId="05B30FCB" w14:textId="77777777" w:rsidR="00AF0816" w:rsidRPr="00037571" w:rsidRDefault="00AF0816" w:rsidP="00037571">
      <w:pPr>
        <w:pStyle w:val="Header"/>
        <w:tabs>
          <w:tab w:val="left" w:pos="6480"/>
        </w:tabs>
      </w:pPr>
      <w:r w:rsidRPr="00037571">
        <w:t>Cate Eranthe</w:t>
      </w:r>
      <w:r w:rsidR="003E31EE" w:rsidRPr="00037571">
        <w:tab/>
        <w:t>Eranthe</w:t>
      </w:r>
    </w:p>
    <w:p w14:paraId="4171A3D5" w14:textId="77777777" w:rsidR="00AF0816" w:rsidRPr="00037571" w:rsidRDefault="00AF0816" w:rsidP="00037571">
      <w:pPr>
        <w:pStyle w:val="Header"/>
        <w:tabs>
          <w:tab w:val="left" w:pos="6480"/>
        </w:tabs>
      </w:pPr>
      <w:r w:rsidRPr="00037571">
        <w:t>Brian Glauser</w:t>
      </w:r>
      <w:r w:rsidR="003E31EE" w:rsidRPr="00037571">
        <w:tab/>
        <w:t>Glauser</w:t>
      </w:r>
    </w:p>
    <w:p w14:paraId="3FA6F37D" w14:textId="77777777" w:rsidR="003E31EE" w:rsidRPr="00037571" w:rsidRDefault="003E31EE" w:rsidP="00037571">
      <w:pPr>
        <w:pStyle w:val="Header"/>
        <w:tabs>
          <w:tab w:val="left" w:pos="6480"/>
        </w:tabs>
      </w:pPr>
      <w:r w:rsidRPr="00037571">
        <w:t xml:space="preserve">GroupMe Inc./Skype Communications S.A.R.L </w:t>
      </w:r>
      <w:r w:rsidRPr="00037571">
        <w:tab/>
        <w:t>GroupMe</w:t>
      </w:r>
    </w:p>
    <w:p w14:paraId="02D7E120" w14:textId="77777777" w:rsidR="003E31EE" w:rsidRPr="00037571" w:rsidRDefault="003E31EE" w:rsidP="00037571">
      <w:pPr>
        <w:pStyle w:val="Header"/>
        <w:tabs>
          <w:tab w:val="left" w:pos="6480"/>
        </w:tabs>
      </w:pPr>
      <w:r w:rsidRPr="00037571">
        <w:t>Diana Mey</w:t>
      </w:r>
      <w:r w:rsidRPr="00037571">
        <w:tab/>
        <w:t>Mey</w:t>
      </w:r>
    </w:p>
    <w:p w14:paraId="2EE42C84" w14:textId="77777777" w:rsidR="00AF0816" w:rsidRPr="00037571" w:rsidRDefault="00AF0816" w:rsidP="00037571">
      <w:pPr>
        <w:pStyle w:val="Header"/>
        <w:tabs>
          <w:tab w:val="left" w:pos="6480"/>
        </w:tabs>
      </w:pPr>
      <w:r w:rsidRPr="00037571">
        <w:t>Joseph Mullaney</w:t>
      </w:r>
      <w:r w:rsidR="003E31EE" w:rsidRPr="00037571">
        <w:tab/>
        <w:t>Mullaney</w:t>
      </w:r>
    </w:p>
    <w:p w14:paraId="028C9E06" w14:textId="77777777" w:rsidR="00AF0816" w:rsidRPr="00037571" w:rsidRDefault="00AF0816" w:rsidP="00037571">
      <w:pPr>
        <w:pStyle w:val="Header"/>
        <w:tabs>
          <w:tab w:val="left" w:pos="6480"/>
        </w:tabs>
      </w:pPr>
      <w:r w:rsidRPr="00037571">
        <w:t>Portfolio Recovery Associates</w:t>
      </w:r>
      <w:r w:rsidR="003E31EE" w:rsidRPr="00037571">
        <w:tab/>
        <w:t>PRA</w:t>
      </w:r>
    </w:p>
    <w:p w14:paraId="6796FD08" w14:textId="77777777" w:rsidR="003E31EE" w:rsidRPr="00037571" w:rsidRDefault="003E31EE" w:rsidP="00037571">
      <w:pPr>
        <w:pStyle w:val="Header"/>
        <w:tabs>
          <w:tab w:val="left" w:pos="6480"/>
        </w:tabs>
      </w:pPr>
      <w:r w:rsidRPr="00037571">
        <w:t>Gerald Roylance</w:t>
      </w:r>
      <w:r w:rsidRPr="00037571">
        <w:tab/>
        <w:t>Roylance</w:t>
      </w:r>
    </w:p>
    <w:p w14:paraId="2676063C" w14:textId="77777777" w:rsidR="003E31EE" w:rsidRPr="00037571" w:rsidRDefault="003E31EE" w:rsidP="00037571">
      <w:pPr>
        <w:pStyle w:val="Header"/>
        <w:tabs>
          <w:tab w:val="left" w:pos="6480"/>
        </w:tabs>
      </w:pPr>
      <w:r w:rsidRPr="00037571">
        <w:t>Joe Shields</w:t>
      </w:r>
      <w:r w:rsidRPr="00037571">
        <w:tab/>
      </w:r>
      <w:r w:rsidR="00857C86" w:rsidRPr="00037571">
        <w:t>S</w:t>
      </w:r>
      <w:r w:rsidRPr="00037571">
        <w:t>hields</w:t>
      </w:r>
    </w:p>
    <w:p w14:paraId="18D9EC9D" w14:textId="77777777" w:rsidR="00AF0816" w:rsidRPr="00037571" w:rsidRDefault="00AF0816" w:rsidP="00037571">
      <w:pPr>
        <w:pStyle w:val="Header"/>
        <w:tabs>
          <w:tab w:val="left" w:pos="6480"/>
        </w:tabs>
      </w:pPr>
      <w:r w:rsidRPr="00037571">
        <w:t>Jimmy A. Sutton</w:t>
      </w:r>
      <w:r w:rsidR="003E31EE" w:rsidRPr="00037571">
        <w:tab/>
        <w:t>Sutton</w:t>
      </w:r>
    </w:p>
    <w:p w14:paraId="7B56FB14" w14:textId="77777777" w:rsidR="00AF0816" w:rsidRPr="00037571" w:rsidRDefault="00AF0816" w:rsidP="00037571">
      <w:pPr>
        <w:pStyle w:val="Header"/>
        <w:tabs>
          <w:tab w:val="left" w:pos="6480"/>
        </w:tabs>
      </w:pPr>
      <w:r w:rsidRPr="00037571">
        <w:t>Twilio, Inc.</w:t>
      </w:r>
      <w:r w:rsidR="003E31EE" w:rsidRPr="00037571">
        <w:tab/>
        <w:t>Twilio</w:t>
      </w:r>
    </w:p>
    <w:p w14:paraId="52EB295F" w14:textId="77777777" w:rsidR="00AF0816" w:rsidRPr="00037571" w:rsidRDefault="00AF0816" w:rsidP="00037571">
      <w:pPr>
        <w:pStyle w:val="Header"/>
        <w:tabs>
          <w:tab w:val="left" w:pos="6480"/>
        </w:tabs>
      </w:pPr>
      <w:r w:rsidRPr="00037571">
        <w:t>U.S. Chamber of Commerce</w:t>
      </w:r>
      <w:r w:rsidR="003E31EE" w:rsidRPr="00037571">
        <w:tab/>
        <w:t>U.S.C</w:t>
      </w:r>
      <w:r w:rsidR="00857C86" w:rsidRPr="00037571">
        <w:t>.C.</w:t>
      </w:r>
    </w:p>
    <w:p w14:paraId="229F0C23" w14:textId="77777777" w:rsidR="00ED5D1F" w:rsidRPr="00037571" w:rsidRDefault="00AF0816" w:rsidP="00037571">
      <w:pPr>
        <w:pStyle w:val="Header"/>
        <w:tabs>
          <w:tab w:val="left" w:pos="6480"/>
        </w:tabs>
      </w:pPr>
      <w:r w:rsidRPr="00037571">
        <w:t>Michael C. Worsham</w:t>
      </w:r>
      <w:r w:rsidR="003E31EE" w:rsidRPr="00037571">
        <w:tab/>
        <w:t>Worsham</w:t>
      </w:r>
    </w:p>
    <w:p w14:paraId="4AA16066" w14:textId="77777777" w:rsidR="00ED5D1F" w:rsidRPr="00037571" w:rsidRDefault="00ED5D1F" w:rsidP="00037571">
      <w:pPr>
        <w:pStyle w:val="Header"/>
      </w:pPr>
    </w:p>
    <w:p w14:paraId="2BFC000C" w14:textId="77777777" w:rsidR="0080558A" w:rsidRPr="00037571" w:rsidRDefault="0080558A" w:rsidP="00037571">
      <w:pPr>
        <w:pStyle w:val="Header"/>
        <w:tabs>
          <w:tab w:val="left" w:pos="6480"/>
        </w:tabs>
      </w:pPr>
      <w:r w:rsidRPr="00037571">
        <w:rPr>
          <w:u w:val="single"/>
        </w:rPr>
        <w:t>Reply Commenters</w:t>
      </w:r>
      <w:r w:rsidRPr="00037571">
        <w:tab/>
      </w:r>
      <w:r w:rsidR="00376382" w:rsidRPr="00037571">
        <w:rPr>
          <w:u w:val="single"/>
        </w:rPr>
        <w:t>Abbreviation</w:t>
      </w:r>
    </w:p>
    <w:p w14:paraId="7D9AA1C6" w14:textId="77777777" w:rsidR="0080558A" w:rsidRPr="00037571" w:rsidRDefault="0080558A" w:rsidP="00037571">
      <w:pPr>
        <w:pStyle w:val="Header"/>
        <w:tabs>
          <w:tab w:val="left" w:pos="6480"/>
        </w:tabs>
      </w:pPr>
      <w:r w:rsidRPr="00037571">
        <w:t xml:space="preserve">American Bankers Association </w:t>
      </w:r>
    </w:p>
    <w:p w14:paraId="303D2BD5" w14:textId="77777777" w:rsidR="0080558A" w:rsidRPr="00037571" w:rsidRDefault="0080558A" w:rsidP="00037571">
      <w:pPr>
        <w:pStyle w:val="Header"/>
        <w:tabs>
          <w:tab w:val="left" w:pos="6480"/>
        </w:tabs>
      </w:pPr>
      <w:r w:rsidRPr="00037571">
        <w:t xml:space="preserve">     and Consumer Bankers Association</w:t>
      </w:r>
      <w:r w:rsidR="00472461">
        <w:rPr>
          <w:szCs w:val="22"/>
        </w:rPr>
        <w:tab/>
      </w:r>
      <w:r w:rsidRPr="00037571">
        <w:t>ABA/CBA</w:t>
      </w:r>
    </w:p>
    <w:p w14:paraId="35C74A72" w14:textId="77777777" w:rsidR="0080558A" w:rsidRPr="00037571" w:rsidRDefault="0080558A" w:rsidP="00037571">
      <w:pPr>
        <w:pStyle w:val="Header"/>
        <w:tabs>
          <w:tab w:val="left" w:pos="6480"/>
        </w:tabs>
      </w:pPr>
      <w:r w:rsidRPr="00037571">
        <w:t xml:space="preserve">GroupMe Inc./Skype Communications S.A.R.L </w:t>
      </w:r>
      <w:r w:rsidRPr="00037571">
        <w:tab/>
        <w:t>GroupMe</w:t>
      </w:r>
    </w:p>
    <w:p w14:paraId="397FB681" w14:textId="77777777" w:rsidR="0080558A" w:rsidRPr="00037571" w:rsidRDefault="0080558A" w:rsidP="00037571">
      <w:pPr>
        <w:pStyle w:val="Header"/>
        <w:tabs>
          <w:tab w:val="left" w:pos="6480"/>
        </w:tabs>
      </w:pPr>
      <w:r w:rsidRPr="00037571">
        <w:t>Nicor Energy Services Company</w:t>
      </w:r>
      <w:r w:rsidRPr="00037571">
        <w:tab/>
        <w:t>Nicor</w:t>
      </w:r>
    </w:p>
    <w:p w14:paraId="73894A74" w14:textId="77777777" w:rsidR="0080558A" w:rsidRPr="00037571" w:rsidRDefault="0080558A" w:rsidP="00037571">
      <w:pPr>
        <w:pStyle w:val="Header"/>
        <w:tabs>
          <w:tab w:val="left" w:pos="6480"/>
        </w:tabs>
      </w:pPr>
      <w:r w:rsidRPr="00037571">
        <w:t>Gerald Roylance</w:t>
      </w:r>
      <w:r w:rsidRPr="00037571">
        <w:tab/>
        <w:t>Roylance</w:t>
      </w:r>
    </w:p>
    <w:p w14:paraId="74FA2AF0" w14:textId="568BA19C" w:rsidR="00037571" w:rsidRDefault="00037571">
      <w:r>
        <w:br w:type="page"/>
      </w:r>
    </w:p>
    <w:p w14:paraId="74D8E300" w14:textId="77777777" w:rsidR="002A0A63" w:rsidRDefault="002A0A63" w:rsidP="00037571">
      <w:pPr>
        <w:pStyle w:val="PlainText"/>
        <w:jc w:val="center"/>
        <w:rPr>
          <w:rFonts w:ascii="Times New Roman" w:hAnsi="Times New Roman" w:cs="Times New Roman"/>
          <w:b/>
        </w:rPr>
      </w:pPr>
      <w:r>
        <w:rPr>
          <w:rFonts w:ascii="Times New Roman" w:hAnsi="Times New Roman" w:cs="Times New Roman"/>
          <w:b/>
        </w:rPr>
        <w:t>CONCURRING STATEMENT OF</w:t>
      </w:r>
    </w:p>
    <w:p w14:paraId="037D4A92" w14:textId="5FA1AC11" w:rsidR="00037571" w:rsidRPr="00CB7DF7" w:rsidRDefault="002A0A63" w:rsidP="00037571">
      <w:pPr>
        <w:pStyle w:val="PlainText"/>
        <w:jc w:val="center"/>
        <w:rPr>
          <w:rFonts w:ascii="Times New Roman" w:hAnsi="Times New Roman" w:cs="Times New Roman"/>
          <w:b/>
        </w:rPr>
      </w:pPr>
      <w:r>
        <w:rPr>
          <w:rFonts w:ascii="Times New Roman" w:hAnsi="Times New Roman" w:cs="Times New Roman"/>
          <w:b/>
        </w:rPr>
        <w:t>COMMISSIONER</w:t>
      </w:r>
      <w:r w:rsidR="00037571" w:rsidRPr="00CB7DF7">
        <w:rPr>
          <w:rFonts w:ascii="Times New Roman" w:hAnsi="Times New Roman" w:cs="Times New Roman"/>
          <w:b/>
        </w:rPr>
        <w:t xml:space="preserve"> </w:t>
      </w:r>
      <w:r>
        <w:rPr>
          <w:rFonts w:ascii="Times New Roman" w:hAnsi="Times New Roman" w:cs="Times New Roman"/>
          <w:b/>
        </w:rPr>
        <w:t>MICHAEL O’RIELLY</w:t>
      </w:r>
    </w:p>
    <w:p w14:paraId="0D9DA120" w14:textId="77777777" w:rsidR="00037571" w:rsidRPr="00CB7DF7" w:rsidRDefault="00037571" w:rsidP="00037571">
      <w:pPr>
        <w:pStyle w:val="PlainText"/>
        <w:jc w:val="center"/>
        <w:rPr>
          <w:rFonts w:ascii="Times New Roman" w:hAnsi="Times New Roman" w:cs="Times New Roman"/>
          <w:b/>
        </w:rPr>
      </w:pPr>
    </w:p>
    <w:p w14:paraId="733B077D" w14:textId="77777777" w:rsidR="00037571" w:rsidRPr="00CB7DF7" w:rsidRDefault="00037571" w:rsidP="00037571">
      <w:pPr>
        <w:ind w:left="720" w:right="-18" w:hanging="720"/>
      </w:pPr>
      <w:r w:rsidRPr="00CB7DF7">
        <w:t>Re:</w:t>
      </w:r>
      <w:r w:rsidRPr="00CB7DF7">
        <w:tab/>
      </w:r>
      <w:r w:rsidRPr="00CB7DF7">
        <w:rPr>
          <w:i/>
        </w:rPr>
        <w:t>Cargo Airline Association Petition for Expedited Declaratory Ruling; Rules and Regulations Implementing the Telephone Consumer Protection Act of 1991</w:t>
      </w:r>
      <w:r w:rsidRPr="00CB7DF7">
        <w:t>; CG Docket No. 02-278</w:t>
      </w:r>
    </w:p>
    <w:p w14:paraId="3A9B2F76" w14:textId="77777777" w:rsidR="00037571" w:rsidRPr="00CB7DF7" w:rsidRDefault="00037571" w:rsidP="00037571">
      <w:pPr>
        <w:ind w:left="720" w:right="-18" w:hanging="720"/>
      </w:pPr>
      <w:r w:rsidRPr="00CB7DF7">
        <w:t>Re:</w:t>
      </w:r>
      <w:r w:rsidRPr="00CB7DF7">
        <w:tab/>
      </w:r>
      <w:r w:rsidRPr="00CB7DF7">
        <w:rPr>
          <w:i/>
        </w:rPr>
        <w:t>GroupMe, Inc./Skype Communications S.A.R.L Petition for Expedited Declaratory Ruling; Rules and Regulations Implementing the Telephone Consumer Protection Act of 1991</w:t>
      </w:r>
      <w:r w:rsidRPr="00CB7DF7">
        <w:t>; CG Docket No. 02-278</w:t>
      </w:r>
    </w:p>
    <w:p w14:paraId="531C8B00" w14:textId="77777777" w:rsidR="00037571" w:rsidRDefault="00037571" w:rsidP="00037571">
      <w:pPr>
        <w:pStyle w:val="PlainText"/>
        <w:rPr>
          <w:rFonts w:ascii="Times New Roman" w:hAnsi="Times New Roman" w:cs="Times New Roman"/>
        </w:rPr>
      </w:pPr>
    </w:p>
    <w:p w14:paraId="6E788ED1" w14:textId="77777777" w:rsidR="00037571" w:rsidRPr="00CB7DF7" w:rsidRDefault="00037571" w:rsidP="00037571">
      <w:pPr>
        <w:pStyle w:val="PlainText"/>
        <w:rPr>
          <w:rFonts w:ascii="Times New Roman" w:hAnsi="Times New Roman" w:cs="Times New Roman"/>
        </w:rPr>
      </w:pPr>
      <w:r w:rsidRPr="00CB7DF7">
        <w:rPr>
          <w:rFonts w:ascii="Times New Roman" w:hAnsi="Times New Roman" w:cs="Times New Roman"/>
        </w:rPr>
        <w:t xml:space="preserve">I concur with these two items because </w:t>
      </w:r>
      <w:r>
        <w:rPr>
          <w:rFonts w:ascii="Times New Roman" w:hAnsi="Times New Roman" w:cs="Times New Roman"/>
        </w:rPr>
        <w:t xml:space="preserve">of the good that </w:t>
      </w:r>
      <w:r w:rsidRPr="00CB7DF7">
        <w:rPr>
          <w:rFonts w:ascii="Times New Roman" w:hAnsi="Times New Roman" w:cs="Times New Roman"/>
        </w:rPr>
        <w:t xml:space="preserve">they accomplish. They will provide much needed clarity in an area where uncertainty </w:t>
      </w:r>
      <w:r>
        <w:rPr>
          <w:rFonts w:ascii="Times New Roman" w:hAnsi="Times New Roman" w:cs="Times New Roman"/>
        </w:rPr>
        <w:t>can inhibit</w:t>
      </w:r>
      <w:r w:rsidRPr="00CB7DF7">
        <w:rPr>
          <w:rFonts w:ascii="Times New Roman" w:hAnsi="Times New Roman" w:cs="Times New Roman"/>
        </w:rPr>
        <w:t xml:space="preserve"> legitimate businesses from offering consumer-friendly applications and services</w:t>
      </w:r>
      <w:r>
        <w:rPr>
          <w:rFonts w:ascii="Times New Roman" w:hAnsi="Times New Roman" w:cs="Times New Roman"/>
        </w:rPr>
        <w:t>,</w:t>
      </w:r>
      <w:r w:rsidRPr="00A068BB">
        <w:rPr>
          <w:rFonts w:ascii="Times New Roman" w:hAnsi="Times New Roman" w:cs="Times New Roman"/>
        </w:rPr>
        <w:t xml:space="preserve"> </w:t>
      </w:r>
      <w:r w:rsidRPr="00CB7DF7">
        <w:rPr>
          <w:rFonts w:ascii="Times New Roman" w:hAnsi="Times New Roman" w:cs="Times New Roman"/>
        </w:rPr>
        <w:t xml:space="preserve">and </w:t>
      </w:r>
      <w:r>
        <w:rPr>
          <w:rFonts w:ascii="Times New Roman" w:hAnsi="Times New Roman" w:cs="Times New Roman"/>
        </w:rPr>
        <w:t xml:space="preserve">can </w:t>
      </w:r>
      <w:r w:rsidRPr="00CB7DF7">
        <w:rPr>
          <w:rFonts w:ascii="Times New Roman" w:hAnsi="Times New Roman" w:cs="Times New Roman"/>
        </w:rPr>
        <w:t xml:space="preserve">breed litigation.  They will also directly benefit consumers </w:t>
      </w:r>
      <w:r>
        <w:rPr>
          <w:rFonts w:ascii="Times New Roman" w:hAnsi="Times New Roman" w:cs="Times New Roman"/>
        </w:rPr>
        <w:t>by enabling them</w:t>
      </w:r>
      <w:r w:rsidRPr="00CB7DF7">
        <w:rPr>
          <w:rFonts w:ascii="Times New Roman" w:hAnsi="Times New Roman" w:cs="Times New Roman"/>
        </w:rPr>
        <w:t xml:space="preserve"> to receive package delivery notifications they want and expect, and </w:t>
      </w:r>
      <w:r>
        <w:rPr>
          <w:rFonts w:ascii="Times New Roman" w:hAnsi="Times New Roman" w:cs="Times New Roman"/>
        </w:rPr>
        <w:t>by ensuring</w:t>
      </w:r>
      <w:r w:rsidRPr="00CB7DF7">
        <w:rPr>
          <w:rFonts w:ascii="Times New Roman" w:hAnsi="Times New Roman" w:cs="Times New Roman"/>
        </w:rPr>
        <w:t xml:space="preserve"> that </w:t>
      </w:r>
      <w:r>
        <w:rPr>
          <w:rFonts w:ascii="Times New Roman" w:hAnsi="Times New Roman" w:cs="Times New Roman"/>
        </w:rPr>
        <w:t>they</w:t>
      </w:r>
      <w:r w:rsidRPr="00CB7DF7">
        <w:rPr>
          <w:rFonts w:ascii="Times New Roman" w:hAnsi="Times New Roman" w:cs="Times New Roman"/>
        </w:rPr>
        <w:t xml:space="preserve"> can take advantage of a service that helps connect groups of friends, families, and colleagues. </w:t>
      </w:r>
    </w:p>
    <w:p w14:paraId="220BD6AC" w14:textId="77777777" w:rsidR="00037571" w:rsidRPr="00CB7DF7" w:rsidRDefault="00037571" w:rsidP="00037571">
      <w:pPr>
        <w:pStyle w:val="PlainText"/>
        <w:rPr>
          <w:rFonts w:ascii="Times New Roman" w:hAnsi="Times New Roman" w:cs="Times New Roman"/>
        </w:rPr>
      </w:pPr>
    </w:p>
    <w:p w14:paraId="3B3749F2" w14:textId="77777777" w:rsidR="00037571" w:rsidRPr="00CB7DF7" w:rsidRDefault="00037571" w:rsidP="00037571">
      <w:pPr>
        <w:pStyle w:val="PlainText"/>
        <w:rPr>
          <w:rFonts w:ascii="Times New Roman" w:hAnsi="Times New Roman" w:cs="Times New Roman"/>
        </w:rPr>
      </w:pPr>
      <w:r w:rsidRPr="00CB7DF7">
        <w:rPr>
          <w:rFonts w:ascii="Times New Roman" w:hAnsi="Times New Roman" w:cs="Times New Roman"/>
        </w:rPr>
        <w:t>My only hesitation is on the applicability of the TCPA to text messages.  The TCPA was enacted in 1991 – before the first text message was ever sent.  I was not at the Commission when it decided that the TCPA does apply to text messages, and I may have approached it differently.  It would have been better if the Commission had gone back to Congress for clear guidance on the issue.  I will look for opportunities, like the ones presented here, to ensure that our rules do not stand in the way of innovation and certainty that benefits consumers and businesses alike.</w:t>
      </w:r>
    </w:p>
    <w:p w14:paraId="45C3CC31" w14:textId="77777777" w:rsidR="0080558A" w:rsidRPr="00037571" w:rsidRDefault="0080558A" w:rsidP="00037571">
      <w:pPr>
        <w:pStyle w:val="Header"/>
      </w:pPr>
    </w:p>
    <w:sectPr w:rsidR="0080558A" w:rsidRPr="00037571" w:rsidSect="00AF081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040DB3" w14:textId="77777777" w:rsidR="00522725" w:rsidRDefault="00522725">
      <w:r>
        <w:separator/>
      </w:r>
    </w:p>
  </w:endnote>
  <w:endnote w:type="continuationSeparator" w:id="0">
    <w:p w14:paraId="76079677" w14:textId="77777777" w:rsidR="00522725" w:rsidRDefault="00522725">
      <w:r>
        <w:continuationSeparator/>
      </w:r>
    </w:p>
  </w:endnote>
  <w:endnote w:type="continuationNotice" w:id="1">
    <w:p w14:paraId="3714ECEB" w14:textId="77777777" w:rsidR="00522725" w:rsidRDefault="005227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0409BA" w14:textId="77777777" w:rsidR="00EF60FC" w:rsidRDefault="00EF60F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C3B99E" w14:textId="77777777" w:rsidR="00CD1BF8" w:rsidRDefault="006E7533">
    <w:pPr>
      <w:pStyle w:val="Footer"/>
      <w:jc w:val="center"/>
    </w:pPr>
    <w:r>
      <w:rPr>
        <w:rStyle w:val="PageNumber"/>
      </w:rPr>
      <w:fldChar w:fldCharType="begin"/>
    </w:r>
    <w:r w:rsidR="00CD1BF8">
      <w:rPr>
        <w:rStyle w:val="PageNumber"/>
      </w:rPr>
      <w:instrText xml:space="preserve"> PAGE </w:instrText>
    </w:r>
    <w:r>
      <w:rPr>
        <w:rStyle w:val="PageNumber"/>
      </w:rPr>
      <w:fldChar w:fldCharType="separate"/>
    </w:r>
    <w:r w:rsidR="006A019C">
      <w:rPr>
        <w:rStyle w:val="PageNumber"/>
        <w:noProof/>
      </w:rPr>
      <w:t>7</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25B6BC" w14:textId="77777777" w:rsidR="00EF60FC" w:rsidRDefault="00EF60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2618FD" w14:textId="77777777" w:rsidR="00522725" w:rsidRDefault="00522725">
      <w:pPr>
        <w:rPr>
          <w:sz w:val="20"/>
        </w:rPr>
      </w:pPr>
      <w:r>
        <w:rPr>
          <w:sz w:val="20"/>
        </w:rPr>
        <w:separator/>
      </w:r>
    </w:p>
  </w:footnote>
  <w:footnote w:type="continuationSeparator" w:id="0">
    <w:p w14:paraId="676EE0FD" w14:textId="77777777" w:rsidR="00522725" w:rsidRDefault="00522725">
      <w:pPr>
        <w:rPr>
          <w:sz w:val="20"/>
        </w:rPr>
      </w:pPr>
      <w:r>
        <w:rPr>
          <w:sz w:val="20"/>
        </w:rPr>
        <w:separator/>
      </w:r>
    </w:p>
    <w:p w14:paraId="23BA4ACA" w14:textId="77777777" w:rsidR="00522725" w:rsidRDefault="00522725">
      <w:pPr>
        <w:rPr>
          <w:sz w:val="20"/>
        </w:rPr>
      </w:pPr>
      <w:r>
        <w:rPr>
          <w:sz w:val="20"/>
        </w:rPr>
        <w:t>(...continued from previous page)</w:t>
      </w:r>
    </w:p>
  </w:footnote>
  <w:footnote w:type="continuationNotice" w:id="1">
    <w:p w14:paraId="28ECDFA9" w14:textId="77777777" w:rsidR="00522725" w:rsidRDefault="00522725">
      <w:pPr>
        <w:jc w:val="right"/>
        <w:rPr>
          <w:sz w:val="20"/>
        </w:rPr>
      </w:pPr>
      <w:r>
        <w:rPr>
          <w:sz w:val="20"/>
        </w:rPr>
        <w:t>(continued....)</w:t>
      </w:r>
    </w:p>
  </w:footnote>
  <w:footnote w:id="2">
    <w:p w14:paraId="3C4E417C" w14:textId="77777777" w:rsidR="00796072" w:rsidRDefault="00796072" w:rsidP="00037571">
      <w:pPr>
        <w:pStyle w:val="FootnoteText"/>
      </w:pPr>
      <w:r>
        <w:rPr>
          <w:rStyle w:val="FootnoteReference"/>
        </w:rPr>
        <w:footnoteRef/>
      </w:r>
      <w:r>
        <w:t xml:space="preserve"> </w:t>
      </w:r>
      <w:r>
        <w:rPr>
          <w:i/>
          <w:iCs/>
        </w:rPr>
        <w:t>Codified as</w:t>
      </w:r>
      <w:r>
        <w:t xml:space="preserve"> 47 U.S.C. § 227.</w:t>
      </w:r>
    </w:p>
  </w:footnote>
  <w:footnote w:id="3">
    <w:p w14:paraId="2132F51C" w14:textId="19553ED0" w:rsidR="00CD1BF8" w:rsidRDefault="00CD1BF8" w:rsidP="00472461">
      <w:pPr>
        <w:pStyle w:val="FootnoteText"/>
      </w:pPr>
      <w:r>
        <w:rPr>
          <w:rStyle w:val="FootnoteReference"/>
        </w:rPr>
        <w:footnoteRef/>
      </w:r>
      <w:r>
        <w:t xml:space="preserve"> </w:t>
      </w:r>
      <w:r>
        <w:rPr>
          <w:i/>
        </w:rPr>
        <w:t>See GroupMe, Inc.</w:t>
      </w:r>
      <w:r>
        <w:t>, Petition for Expedited Declaratory Ruling and Clarification, CG Docket No. 02-278 (filed Mar. 1, 2012) (</w:t>
      </w:r>
      <w:r>
        <w:rPr>
          <w:i/>
        </w:rPr>
        <w:t>Petition</w:t>
      </w:r>
      <w:r>
        <w:t xml:space="preserve">).  GroupMe originally sought resolution of two issues, but </w:t>
      </w:r>
      <w:r w:rsidR="00DD7F15">
        <w:t xml:space="preserve">we read two </w:t>
      </w:r>
      <w:r>
        <w:t>subsequent</w:t>
      </w:r>
      <w:r w:rsidR="00DD7F15">
        <w:t xml:space="preserve"> letters as</w:t>
      </w:r>
      <w:r>
        <w:t xml:space="preserve"> narrow</w:t>
      </w:r>
      <w:r w:rsidR="00DD7F15">
        <w:t>ing</w:t>
      </w:r>
      <w:r>
        <w:t xml:space="preserve"> its request to the single issue we address in this order.  </w:t>
      </w:r>
      <w:r>
        <w:rPr>
          <w:i/>
        </w:rPr>
        <w:t xml:space="preserve">See </w:t>
      </w:r>
      <w:r>
        <w:t>Letter from Ronald W. Del Sesto, Jr., Counsel to GroupMe, to Marlene Dortch, Secretary, FCC, CG Docket No. 02-278</w:t>
      </w:r>
      <w:r w:rsidR="00DD7F15">
        <w:t>,</w:t>
      </w:r>
      <w:r>
        <w:t xml:space="preserve"> at 1 (filed Jan. 15, 2014)</w:t>
      </w:r>
      <w:r w:rsidR="00283DED">
        <w:t xml:space="preserve"> </w:t>
      </w:r>
      <w:r>
        <w:t>(</w:t>
      </w:r>
      <w:r>
        <w:rPr>
          <w:i/>
        </w:rPr>
        <w:t>Modified Request</w:t>
      </w:r>
      <w:r>
        <w:t>)</w:t>
      </w:r>
      <w:r w:rsidR="00DD7F15">
        <w:t xml:space="preserve">; Letter from Ronald W. Del Sesto, Jr., Counsel to GroupMe, to Marlene H. Dortch, Secretary, FCC, CG Docket No. 02-278, at 1 (filed Mar. 4, 2014) (“Given that many [other] parties seek clarification regarding the question of what constitutes an ATDS under the TCPA . . . GroupMe requests that the Commission clarify the intermediary consent issue as presented in the </w:t>
      </w:r>
      <w:r w:rsidR="00DD7F15" w:rsidRPr="00DD7F15">
        <w:rPr>
          <w:i/>
        </w:rPr>
        <w:t>GroupMe Petition</w:t>
      </w:r>
      <w:r w:rsidR="00DD7F15">
        <w:t>.”)</w:t>
      </w:r>
      <w:r>
        <w:t>.  Based on GroupMe’s narrowed request and at our discretion, we make no finding as to whether it uses an autodialer to send the messages at issue</w:t>
      </w:r>
      <w:r w:rsidR="00687FC2">
        <w:t xml:space="preserve"> and dismiss that portion of GroupMe’s original request without prejudice</w:t>
      </w:r>
      <w:r>
        <w:t xml:space="preserve">.  Our finding that GroupMe may rely on </w:t>
      </w:r>
      <w:r w:rsidR="00283DED">
        <w:t xml:space="preserve">consent provided through an </w:t>
      </w:r>
      <w:r>
        <w:t>intermediary as described here</w:t>
      </w:r>
      <w:r w:rsidR="001D04A5">
        <w:t>in applies</w:t>
      </w:r>
      <w:r>
        <w:t xml:space="preserve"> </w:t>
      </w:r>
      <w:r w:rsidR="001D04A5">
        <w:t>when</w:t>
      </w:r>
      <w:r>
        <w:t xml:space="preserve"> it does use an autodialer. </w:t>
      </w:r>
      <w:r w:rsidR="001D04A5">
        <w:t xml:space="preserve"> </w:t>
      </w:r>
      <w:r>
        <w:t>If, on the other hand, it does not use an autodialer to send the text</w:t>
      </w:r>
      <w:r w:rsidR="001D04A5">
        <w:t xml:space="preserve"> message</w:t>
      </w:r>
      <w:r>
        <w:t>s</w:t>
      </w:r>
      <w:r w:rsidR="001D04A5">
        <w:t xml:space="preserve"> at issue</w:t>
      </w:r>
      <w:r>
        <w:t xml:space="preserve">, the TCPA’s </w:t>
      </w:r>
      <w:r w:rsidR="00250702">
        <w:t>protections</w:t>
      </w:r>
      <w:r w:rsidR="001D04A5">
        <w:t>, including the requirement to obtain consumers’ prior express consent,</w:t>
      </w:r>
      <w:r>
        <w:t xml:space="preserve"> are not triggered</w:t>
      </w:r>
      <w:r w:rsidR="001D04A5">
        <w:t>.</w:t>
      </w:r>
    </w:p>
  </w:footnote>
  <w:footnote w:id="4">
    <w:p w14:paraId="3AF1FC74" w14:textId="77777777" w:rsidR="00CD1BF8" w:rsidRDefault="00CD1BF8" w:rsidP="00037571">
      <w:pPr>
        <w:pStyle w:val="FootnoteText"/>
      </w:pPr>
      <w:r>
        <w:rPr>
          <w:rStyle w:val="FootnoteReference"/>
        </w:rPr>
        <w:footnoteRef/>
      </w:r>
      <w:r>
        <w:t xml:space="preserve"> </w:t>
      </w:r>
      <w:r w:rsidRPr="00F46C12">
        <w:rPr>
          <w:i/>
        </w:rPr>
        <w:t>See</w:t>
      </w:r>
      <w:r w:rsidRPr="00F46C12">
        <w:t xml:space="preserve"> 47 U.S.C. § 227.</w:t>
      </w:r>
    </w:p>
  </w:footnote>
  <w:footnote w:id="5">
    <w:p w14:paraId="706EBA57" w14:textId="77777777" w:rsidR="00CD1BF8" w:rsidRDefault="00CD1BF8" w:rsidP="00472461">
      <w:pPr>
        <w:pStyle w:val="FootnoteText"/>
      </w:pPr>
      <w:r>
        <w:rPr>
          <w:rStyle w:val="FootnoteReference"/>
        </w:rPr>
        <w:footnoteRef/>
      </w:r>
      <w:r>
        <w:t xml:space="preserve"> </w:t>
      </w:r>
      <w:smartTag w:uri="urn:schemas-microsoft-com:office:smarttags" w:element="State">
        <w:smartTag w:uri="urn:schemas-microsoft-com:office:smarttags" w:element="place">
          <w:r>
            <w:rPr>
              <w:i/>
            </w:rPr>
            <w:t>Id.</w:t>
          </w:r>
        </w:smartTag>
      </w:smartTag>
      <w:r>
        <w:rPr>
          <w:i/>
        </w:rPr>
        <w:t xml:space="preserve"> </w:t>
      </w:r>
      <w:r>
        <w:t xml:space="preserve">§ 227(b)(1)(A)(iii); 47 C.F.R. § 64.1200(a)(1)(iii).  </w:t>
      </w:r>
    </w:p>
  </w:footnote>
  <w:footnote w:id="6">
    <w:p w14:paraId="62EF9164" w14:textId="77777777" w:rsidR="00CD1BF8" w:rsidRDefault="00CD1BF8" w:rsidP="00472461">
      <w:pPr>
        <w:pStyle w:val="FootnoteText"/>
      </w:pPr>
      <w:r>
        <w:rPr>
          <w:rStyle w:val="FootnoteReference"/>
        </w:rPr>
        <w:footnoteRef/>
      </w:r>
      <w:r>
        <w:t xml:space="preserve"> </w:t>
      </w:r>
      <w:r>
        <w:rPr>
          <w:i/>
        </w:rPr>
        <w:t xml:space="preserve">See Rules and Regulations Implementing the Telephone Consumer Protection Act of 1991, </w:t>
      </w:r>
      <w:r>
        <w:t>CG Docket No. 02-278,</w:t>
      </w:r>
      <w:r>
        <w:rPr>
          <w:i/>
        </w:rPr>
        <w:t xml:space="preserve"> </w:t>
      </w:r>
      <w:r w:rsidRPr="00D430B6">
        <w:t>Report</w:t>
      </w:r>
      <w:r w:rsidRPr="000760C9">
        <w:t xml:space="preserve"> and Order,</w:t>
      </w:r>
      <w:r>
        <w:rPr>
          <w:i/>
        </w:rPr>
        <w:t xml:space="preserve"> </w:t>
      </w:r>
      <w:r>
        <w:t xml:space="preserve">18 FCC </w:t>
      </w:r>
      <w:r w:rsidRPr="009E2F41">
        <w:t>Rcd</w:t>
      </w:r>
      <w:r>
        <w:t xml:space="preserve"> 14014, 14115, para. 165 </w:t>
      </w:r>
      <w:r>
        <w:rPr>
          <w:b/>
        </w:rPr>
        <w:t>(</w:t>
      </w:r>
      <w:r>
        <w:t>2003) (</w:t>
      </w:r>
      <w:r w:rsidRPr="000760C9">
        <w:rPr>
          <w:i/>
        </w:rPr>
        <w:t>2003 TCPA Order</w:t>
      </w:r>
      <w:r>
        <w:t xml:space="preserve">); </w:t>
      </w:r>
      <w:r>
        <w:rPr>
          <w:i/>
        </w:rPr>
        <w:t>see also</w:t>
      </w:r>
      <w:r>
        <w:t xml:space="preserve"> </w:t>
      </w:r>
      <w:r>
        <w:rPr>
          <w:i/>
        </w:rPr>
        <w:t>Satterfield v. Simon &amp; Schuster, Inc.</w:t>
      </w:r>
      <w:r>
        <w:t>, 569 F.3d 946 (9</w:t>
      </w:r>
      <w:r>
        <w:rPr>
          <w:vertAlign w:val="superscript"/>
        </w:rPr>
        <w:t>th</w:t>
      </w:r>
      <w:r>
        <w:t xml:space="preserve"> Cir. 2009) (noting that text messaging is a form of communication used primarily between telephones and is therefore consistent with the definition of a “call”).</w:t>
      </w:r>
    </w:p>
  </w:footnote>
  <w:footnote w:id="7">
    <w:p w14:paraId="1BA997DA" w14:textId="4C5280E6" w:rsidR="00CD1BF8" w:rsidRPr="00A31C3E" w:rsidRDefault="00CD1BF8" w:rsidP="00037571">
      <w:pPr>
        <w:pStyle w:val="FootnoteText"/>
      </w:pPr>
      <w:r>
        <w:rPr>
          <w:rStyle w:val="FootnoteReference"/>
        </w:rPr>
        <w:footnoteRef/>
      </w:r>
      <w:r>
        <w:t xml:space="preserve"> </w:t>
      </w:r>
      <w:r>
        <w:rPr>
          <w:i/>
        </w:rPr>
        <w:t xml:space="preserve">See </w:t>
      </w:r>
      <w:r w:rsidR="0010057A">
        <w:rPr>
          <w:i/>
        </w:rPr>
        <w:t xml:space="preserve">Petition </w:t>
      </w:r>
      <w:r w:rsidR="0010057A">
        <w:t>at</w:t>
      </w:r>
      <w:r>
        <w:t xml:space="preserve"> 1.</w:t>
      </w:r>
      <w:r w:rsidR="00D33D4A">
        <w:t xml:space="preserve">  We note that </w:t>
      </w:r>
      <w:r w:rsidR="0055013A">
        <w:t>GroupMe</w:t>
      </w:r>
      <w:r w:rsidR="009B0109">
        <w:t>’s Petition</w:t>
      </w:r>
      <w:r w:rsidR="0055013A">
        <w:t xml:space="preserve"> does not argue that it is not the “sender” of the text messages for purposes of the TCPA</w:t>
      </w:r>
      <w:r w:rsidR="00D33D4A">
        <w:t>.</w:t>
      </w:r>
      <w:r w:rsidR="00A31C3E">
        <w:t xml:space="preserve">  </w:t>
      </w:r>
      <w:r w:rsidR="00A31C3E">
        <w:rPr>
          <w:i/>
        </w:rPr>
        <w:t xml:space="preserve">See Petition </w:t>
      </w:r>
      <w:r w:rsidR="00A31C3E">
        <w:t>at 6</w:t>
      </w:r>
      <w:r w:rsidR="00780017">
        <w:t>-</w:t>
      </w:r>
      <w:r w:rsidR="00A31C3E">
        <w:t>7.</w:t>
      </w:r>
      <w:r w:rsidR="006C49EE">
        <w:t xml:space="preserve">  We therefore do not address whether any other service provider is the “sender” of any text (administrative or otherwise), raised in other pending petitions.  </w:t>
      </w:r>
      <w:r w:rsidR="006C49EE" w:rsidRPr="00EA7F28">
        <w:rPr>
          <w:i/>
        </w:rPr>
        <w:t>See, e.g.</w:t>
      </w:r>
      <w:r w:rsidR="006C49EE" w:rsidRPr="00EA7F28">
        <w:t>, Petition of YouMail, Inc. for Expedited Declaratory Ruling That YouMail’s Service Doe</w:t>
      </w:r>
      <w:r w:rsidR="00713037">
        <w:t xml:space="preserve">s Not Violate the TCPA, </w:t>
      </w:r>
      <w:r w:rsidR="006C49EE" w:rsidRPr="00EA7F28">
        <w:t>C</w:t>
      </w:r>
      <w:r w:rsidR="00713037">
        <w:t>G</w:t>
      </w:r>
      <w:r w:rsidR="006C49EE" w:rsidRPr="00EA7F28">
        <w:t xml:space="preserve"> Docket No. 02-278 (</w:t>
      </w:r>
      <w:r w:rsidR="006C49EE">
        <w:t xml:space="preserve">filed </w:t>
      </w:r>
      <w:r w:rsidR="006C49EE" w:rsidRPr="00EA7F28">
        <w:t>Apr. 22, 2013)</w:t>
      </w:r>
      <w:r w:rsidR="006C49EE">
        <w:t>.</w:t>
      </w:r>
    </w:p>
  </w:footnote>
  <w:footnote w:id="8">
    <w:p w14:paraId="54333699" w14:textId="77777777" w:rsidR="00CD1BF8" w:rsidRPr="00575C6F" w:rsidRDefault="00CD1BF8" w:rsidP="00037571">
      <w:pPr>
        <w:pStyle w:val="FootnoteText"/>
      </w:pPr>
      <w:r w:rsidRPr="00575C6F">
        <w:rPr>
          <w:rStyle w:val="FootnoteReference"/>
        </w:rPr>
        <w:footnoteRef/>
      </w:r>
      <w:r w:rsidRPr="00575C6F">
        <w:t xml:space="preserve"> </w:t>
      </w:r>
      <w:r w:rsidRPr="000D2E28">
        <w:rPr>
          <w:i/>
        </w:rPr>
        <w:t>Id.</w:t>
      </w:r>
      <w:r>
        <w:rPr>
          <w:i/>
        </w:rPr>
        <w:t xml:space="preserve"> </w:t>
      </w:r>
      <w:r w:rsidRPr="00351541">
        <w:rPr>
          <w:i/>
        </w:rPr>
        <w:t>at</w:t>
      </w:r>
      <w:r w:rsidRPr="00575C6F">
        <w:t xml:space="preserve"> 5</w:t>
      </w:r>
      <w:r>
        <w:t xml:space="preserve">; GroupMe </w:t>
      </w:r>
      <w:r w:rsidRPr="0049008B">
        <w:t>Reply Comments at 5</w:t>
      </w:r>
      <w:r>
        <w:t>.</w:t>
      </w:r>
    </w:p>
  </w:footnote>
  <w:footnote w:id="9">
    <w:p w14:paraId="4BC27275" w14:textId="77777777" w:rsidR="00CD1BF8" w:rsidRPr="003A2FFB" w:rsidRDefault="00CD1BF8" w:rsidP="00037571">
      <w:pPr>
        <w:pStyle w:val="FootnoteText"/>
      </w:pPr>
      <w:r>
        <w:rPr>
          <w:rStyle w:val="FootnoteReference"/>
        </w:rPr>
        <w:footnoteRef/>
      </w:r>
      <w:r>
        <w:t xml:space="preserve"> </w:t>
      </w:r>
      <w:r>
        <w:rPr>
          <w:i/>
        </w:rPr>
        <w:t xml:space="preserve">Petition </w:t>
      </w:r>
      <w:r w:rsidRPr="0049008B">
        <w:t>at 5.</w:t>
      </w:r>
    </w:p>
  </w:footnote>
  <w:footnote w:id="10">
    <w:p w14:paraId="7DADDB66" w14:textId="77777777" w:rsidR="00CD1BF8" w:rsidRPr="009E2F41" w:rsidRDefault="00CD1BF8" w:rsidP="00037571">
      <w:pPr>
        <w:pStyle w:val="FootnoteText"/>
        <w:rPr>
          <w:i/>
        </w:rPr>
      </w:pPr>
      <w:r>
        <w:rPr>
          <w:rStyle w:val="FootnoteReference"/>
        </w:rPr>
        <w:footnoteRef/>
      </w:r>
      <w:r>
        <w:t xml:space="preserve"> </w:t>
      </w:r>
      <w:r>
        <w:rPr>
          <w:i/>
        </w:rPr>
        <w:t xml:space="preserve"> </w:t>
      </w:r>
      <w:smartTag w:uri="urn:schemas-microsoft-com:office:smarttags" w:element="State">
        <w:smartTag w:uri="urn:schemas-microsoft-com:office:smarttags" w:element="place">
          <w:r>
            <w:rPr>
              <w:i/>
            </w:rPr>
            <w:t>Id.</w:t>
          </w:r>
        </w:smartTag>
      </w:smartTag>
    </w:p>
  </w:footnote>
  <w:footnote w:id="11">
    <w:p w14:paraId="11C6E3A6" w14:textId="77777777" w:rsidR="00CD1BF8" w:rsidRPr="003A2FFB" w:rsidRDefault="00CD1BF8" w:rsidP="00037571">
      <w:pPr>
        <w:pStyle w:val="FootnoteText"/>
      </w:pPr>
      <w:r>
        <w:rPr>
          <w:rStyle w:val="FootnoteReference"/>
        </w:rPr>
        <w:footnoteRef/>
      </w:r>
      <w:r>
        <w:t xml:space="preserve"> </w:t>
      </w:r>
      <w:r>
        <w:rPr>
          <w:i/>
        </w:rPr>
        <w:t>Id</w:t>
      </w:r>
      <w:r w:rsidRPr="0049008B">
        <w:t xml:space="preserve">. at </w:t>
      </w:r>
      <w:r w:rsidRPr="00D430B6">
        <w:t>7.</w:t>
      </w:r>
    </w:p>
  </w:footnote>
  <w:footnote w:id="12">
    <w:p w14:paraId="16181A12" w14:textId="77777777" w:rsidR="00CD1BF8" w:rsidRPr="00575C6F" w:rsidRDefault="00CD1BF8" w:rsidP="00037571">
      <w:pPr>
        <w:pStyle w:val="FootnoteText"/>
      </w:pPr>
      <w:r w:rsidRPr="00575C6F">
        <w:rPr>
          <w:rStyle w:val="FootnoteReference"/>
        </w:rPr>
        <w:footnoteRef/>
      </w:r>
      <w:r w:rsidRPr="00575C6F">
        <w:t xml:space="preserve"> </w:t>
      </w:r>
      <w:r>
        <w:rPr>
          <w:i/>
        </w:rPr>
        <w:t>Id.</w:t>
      </w:r>
      <w:r w:rsidRPr="00575C6F">
        <w:t xml:space="preserve"> at 4.</w:t>
      </w:r>
    </w:p>
  </w:footnote>
  <w:footnote w:id="13">
    <w:p w14:paraId="35ACD1F2" w14:textId="77777777" w:rsidR="00CD1BF8" w:rsidRDefault="00CD1BF8" w:rsidP="00037571">
      <w:pPr>
        <w:pStyle w:val="FootnoteText"/>
      </w:pPr>
      <w:r>
        <w:rPr>
          <w:rStyle w:val="FootnoteReference"/>
        </w:rPr>
        <w:footnoteRef/>
      </w:r>
      <w:r>
        <w:t xml:space="preserve"> </w:t>
      </w:r>
      <w:r w:rsidRPr="001502D4">
        <w:rPr>
          <w:i/>
        </w:rPr>
        <w:t>Petition</w:t>
      </w:r>
      <w:r>
        <w:t xml:space="preserve"> </w:t>
      </w:r>
      <w:r w:rsidRPr="0049008B">
        <w:t>at</w:t>
      </w:r>
      <w:r w:rsidRPr="00A97676">
        <w:t xml:space="preserve"> </w:t>
      </w:r>
      <w:r>
        <w:t>18</w:t>
      </w:r>
      <w:r w:rsidR="001D04A5">
        <w:t>,</w:t>
      </w:r>
      <w:r w:rsidRPr="00C1747B">
        <w:rPr>
          <w:i/>
        </w:rPr>
        <w:t xml:space="preserve"> </w:t>
      </w:r>
      <w:r>
        <w:rPr>
          <w:i/>
        </w:rPr>
        <w:t xml:space="preserve">Modified Request </w:t>
      </w:r>
      <w:r>
        <w:t>at 1.</w:t>
      </w:r>
    </w:p>
  </w:footnote>
  <w:footnote w:id="14">
    <w:p w14:paraId="41FF0D9A" w14:textId="77777777" w:rsidR="00CD1BF8" w:rsidRDefault="00CD1BF8" w:rsidP="00472461">
      <w:pPr>
        <w:pStyle w:val="FootnoteText"/>
      </w:pPr>
      <w:r>
        <w:rPr>
          <w:rStyle w:val="FootnoteReference"/>
        </w:rPr>
        <w:footnoteRef/>
      </w:r>
      <w:r>
        <w:t xml:space="preserve"> </w:t>
      </w:r>
      <w:r w:rsidRPr="005A4E40">
        <w:rPr>
          <w:i/>
        </w:rPr>
        <w:t xml:space="preserve">See </w:t>
      </w:r>
      <w:r>
        <w:rPr>
          <w:i/>
        </w:rPr>
        <w:t>Petition</w:t>
      </w:r>
      <w:r>
        <w:t xml:space="preserve"> at 16 (</w:t>
      </w:r>
      <w:r w:rsidRPr="0049008B">
        <w:rPr>
          <w:i/>
        </w:rPr>
        <w:t>citing</w:t>
      </w:r>
      <w:r>
        <w:t xml:space="preserve"> </w:t>
      </w:r>
      <w:r>
        <w:rPr>
          <w:i/>
        </w:rPr>
        <w:t xml:space="preserve">Rules and Regulations Implementing the Telephone Consumer Protection Act of 1992, </w:t>
      </w:r>
      <w:r>
        <w:t>CG Docket No. 02-278, Report and Order, 27 FCC Rcd 1830, 1842 (2012) (</w:t>
      </w:r>
      <w:r w:rsidRPr="005A4E40">
        <w:rPr>
          <w:i/>
        </w:rPr>
        <w:t>2012 TCPA Order</w:t>
      </w:r>
      <w:r w:rsidRPr="0049008B">
        <w:t>)</w:t>
      </w:r>
      <w:r>
        <w:t xml:space="preserve">). </w:t>
      </w:r>
    </w:p>
  </w:footnote>
  <w:footnote w:id="15">
    <w:p w14:paraId="70B99ADE" w14:textId="77777777" w:rsidR="00CD1BF8" w:rsidRPr="008732F0" w:rsidRDefault="00CD1BF8" w:rsidP="00037571">
      <w:pPr>
        <w:pStyle w:val="FootnoteText"/>
      </w:pPr>
      <w:r>
        <w:rPr>
          <w:rStyle w:val="FootnoteReference"/>
        </w:rPr>
        <w:footnoteRef/>
      </w:r>
      <w:r>
        <w:t xml:space="preserve"> </w:t>
      </w:r>
      <w:r>
        <w:rPr>
          <w:i/>
        </w:rPr>
        <w:t>See Petition</w:t>
      </w:r>
      <w:r>
        <w:t xml:space="preserve"> at 16-17.</w:t>
      </w:r>
    </w:p>
  </w:footnote>
  <w:footnote w:id="16">
    <w:p w14:paraId="1B773342" w14:textId="77777777" w:rsidR="00CD1BF8" w:rsidRDefault="00CD1BF8" w:rsidP="00037571">
      <w:pPr>
        <w:pStyle w:val="FootnoteText"/>
      </w:pPr>
      <w:r>
        <w:rPr>
          <w:rStyle w:val="FootnoteReference"/>
        </w:rPr>
        <w:footnoteRef/>
      </w:r>
      <w:r>
        <w:t xml:space="preserve"> </w:t>
      </w:r>
      <w:r w:rsidRPr="00C503C2">
        <w:rPr>
          <w:i/>
        </w:rPr>
        <w:t xml:space="preserve">See </w:t>
      </w:r>
      <w:r>
        <w:rPr>
          <w:i/>
        </w:rPr>
        <w:t>i</w:t>
      </w:r>
      <w:r w:rsidRPr="00C503C2">
        <w:rPr>
          <w:i/>
        </w:rPr>
        <w:t>d.</w:t>
      </w:r>
      <w:r>
        <w:t xml:space="preserve"> at 18.</w:t>
      </w:r>
    </w:p>
  </w:footnote>
  <w:footnote w:id="17">
    <w:p w14:paraId="46F62126" w14:textId="77777777" w:rsidR="00CD1BF8" w:rsidRPr="00C91C78" w:rsidRDefault="00CD1BF8" w:rsidP="00472461">
      <w:pPr>
        <w:pStyle w:val="FootnoteText"/>
      </w:pPr>
      <w:r>
        <w:rPr>
          <w:rStyle w:val="FootnoteReference"/>
        </w:rPr>
        <w:footnoteRef/>
      </w:r>
      <w:r>
        <w:t xml:space="preserve"> </w:t>
      </w:r>
      <w:r>
        <w:rPr>
          <w:i/>
        </w:rPr>
        <w:t>See</w:t>
      </w:r>
      <w:r>
        <w:t xml:space="preserve"> </w:t>
      </w:r>
      <w:r w:rsidRPr="00C91C78">
        <w:rPr>
          <w:i/>
        </w:rPr>
        <w:t xml:space="preserve">Consumer and Governmental Affairs Bureau Seeks Comment on Petition for </w:t>
      </w:r>
      <w:r>
        <w:rPr>
          <w:i/>
        </w:rPr>
        <w:t xml:space="preserve">Expedited </w:t>
      </w:r>
      <w:r w:rsidRPr="00C91C78">
        <w:rPr>
          <w:i/>
        </w:rPr>
        <w:t xml:space="preserve">Declaratory Ruling from </w:t>
      </w:r>
      <w:r>
        <w:rPr>
          <w:i/>
        </w:rPr>
        <w:t>GroupMe, Inc.</w:t>
      </w:r>
      <w:r>
        <w:t xml:space="preserve">, CG Docket No. 02-278, Public Notice, </w:t>
      </w:r>
      <w:r w:rsidRPr="00037571">
        <w:t>27 FCC Rcd 8257</w:t>
      </w:r>
      <w:r>
        <w:t xml:space="preserve"> (2012</w:t>
      </w:r>
      <w:r w:rsidRPr="007A469E">
        <w:t>).</w:t>
      </w:r>
      <w:r>
        <w:t xml:space="preserve">  </w:t>
      </w:r>
    </w:p>
  </w:footnote>
  <w:footnote w:id="18">
    <w:p w14:paraId="6B629528" w14:textId="0A24298E" w:rsidR="00CD1BF8" w:rsidRPr="00C91C78" w:rsidRDefault="00CD1BF8" w:rsidP="00472461">
      <w:pPr>
        <w:pStyle w:val="FootnoteText"/>
      </w:pPr>
      <w:r>
        <w:rPr>
          <w:rStyle w:val="FootnoteReference"/>
        </w:rPr>
        <w:footnoteRef/>
      </w:r>
      <w:r>
        <w:t xml:space="preserve"> </w:t>
      </w:r>
      <w:r>
        <w:rPr>
          <w:i/>
        </w:rPr>
        <w:t>See</w:t>
      </w:r>
      <w:r>
        <w:t xml:space="preserve"> </w:t>
      </w:r>
      <w:r w:rsidR="002A0A63">
        <w:t>Appendix</w:t>
      </w:r>
      <w:r>
        <w:t>.</w:t>
      </w:r>
    </w:p>
  </w:footnote>
  <w:footnote w:id="19">
    <w:p w14:paraId="4000FE04" w14:textId="765774B2" w:rsidR="00CD1BF8" w:rsidRDefault="00CD1BF8" w:rsidP="00472461">
      <w:pPr>
        <w:pStyle w:val="FootnoteText"/>
      </w:pPr>
      <w:r>
        <w:rPr>
          <w:rStyle w:val="FootnoteReference"/>
        </w:rPr>
        <w:footnoteRef/>
      </w:r>
      <w:r>
        <w:t xml:space="preserve"> </w:t>
      </w:r>
      <w:r w:rsidRPr="00693C30">
        <w:rPr>
          <w:i/>
        </w:rPr>
        <w:t>See, e.g.</w:t>
      </w:r>
      <w:r w:rsidR="00472461">
        <w:t>,</w:t>
      </w:r>
      <w:r w:rsidRPr="00693C30">
        <w:rPr>
          <w:i/>
        </w:rPr>
        <w:t xml:space="preserve"> </w:t>
      </w:r>
      <w:r w:rsidRPr="00482066">
        <w:t>H.R. Rep. 102-317</w:t>
      </w:r>
      <w:r>
        <w:t xml:space="preserve"> 1st Sess., 102nd Cong. (1991).</w:t>
      </w:r>
    </w:p>
  </w:footnote>
  <w:footnote w:id="20">
    <w:p w14:paraId="011DBB3F" w14:textId="77777777" w:rsidR="00CD1BF8" w:rsidRDefault="00CD1BF8" w:rsidP="00472461">
      <w:pPr>
        <w:pStyle w:val="FootnoteText"/>
      </w:pPr>
      <w:r>
        <w:rPr>
          <w:rStyle w:val="FootnoteReference"/>
        </w:rPr>
        <w:footnoteRef/>
      </w:r>
      <w:r>
        <w:rPr>
          <w:i/>
        </w:rPr>
        <w:t>2012 TCPA Order</w:t>
      </w:r>
      <w:r>
        <w:t xml:space="preserve">, 27 FCC </w:t>
      </w:r>
      <w:r w:rsidRPr="00EB719C">
        <w:t>Rcd at 1838.</w:t>
      </w:r>
      <w:r>
        <w:t xml:space="preserve"> </w:t>
      </w:r>
    </w:p>
  </w:footnote>
  <w:footnote w:id="21">
    <w:p w14:paraId="6CA5008E" w14:textId="77777777" w:rsidR="00CD1BF8" w:rsidRDefault="00CD1BF8" w:rsidP="00472461">
      <w:pPr>
        <w:pStyle w:val="FootnoteText"/>
      </w:pPr>
      <w:r>
        <w:rPr>
          <w:rStyle w:val="FootnoteReference"/>
        </w:rPr>
        <w:footnoteRef/>
      </w:r>
      <w:r>
        <w:t xml:space="preserve"> As stated in 2012, the TCPA and our rules require “some form of prior express consent for autodialed or prerecorded non-telemarketing calls to wireless numbers” and “leave[] it to the caller to determine, when making an autodialed or prerecorded non-telemarketing call to a wireless number, whether to rely upon oral or written consent in complying with the statutory consent requirement</w:t>
      </w:r>
      <w:r w:rsidRPr="005A5A5B">
        <w:t>.”</w:t>
      </w:r>
      <w:r w:rsidR="00250702">
        <w:t xml:space="preserve">  </w:t>
      </w:r>
      <w:r w:rsidR="00250702">
        <w:rPr>
          <w:i/>
        </w:rPr>
        <w:t>Id.</w:t>
      </w:r>
      <w:r w:rsidR="00DD24D5">
        <w:t xml:space="preserve"> </w:t>
      </w:r>
      <w:r w:rsidRPr="00C279FC">
        <w:t xml:space="preserve">at </w:t>
      </w:r>
      <w:r w:rsidRPr="005A5A5B">
        <w:t>184</w:t>
      </w:r>
      <w:r>
        <w:t>2, para. 29</w:t>
      </w:r>
      <w:r w:rsidRPr="005A5A5B">
        <w:t xml:space="preserve">. </w:t>
      </w:r>
    </w:p>
  </w:footnote>
  <w:footnote w:id="22">
    <w:p w14:paraId="111328EC" w14:textId="1424C747" w:rsidR="00CD1BF8" w:rsidRDefault="00CD1BF8" w:rsidP="00472461">
      <w:pPr>
        <w:pStyle w:val="FootnoteText"/>
      </w:pPr>
      <w:r>
        <w:rPr>
          <w:rStyle w:val="FootnoteReference"/>
        </w:rPr>
        <w:footnoteRef/>
      </w:r>
      <w:r>
        <w:t xml:space="preserve"> </w:t>
      </w:r>
      <w:r w:rsidRPr="00482066">
        <w:rPr>
          <w:i/>
          <w:iCs/>
        </w:rPr>
        <w:t>See</w:t>
      </w:r>
      <w:r>
        <w:rPr>
          <w:i/>
          <w:iCs/>
        </w:rPr>
        <w:t>,</w:t>
      </w:r>
      <w:r w:rsidRPr="00482066">
        <w:rPr>
          <w:i/>
          <w:iCs/>
        </w:rPr>
        <w:t xml:space="preserve"> e.g.</w:t>
      </w:r>
      <w:r w:rsidRPr="00037571">
        <w:t>,</w:t>
      </w:r>
      <w:r w:rsidRPr="00472461">
        <w:t xml:space="preserve"> </w:t>
      </w:r>
      <w:r w:rsidRPr="00482066">
        <w:t xml:space="preserve">H.R. Rep. 102-317 </w:t>
      </w:r>
      <w:r>
        <w:t xml:space="preserve">at 17 </w:t>
      </w:r>
      <w:r w:rsidRPr="00482066">
        <w:t>(199</w:t>
      </w:r>
      <w:r>
        <w:t>1</w:t>
      </w:r>
      <w:r w:rsidRPr="00482066">
        <w:t>)</w:t>
      </w:r>
      <w:r>
        <w:t xml:space="preserve"> (“[t]he restriction </w:t>
      </w:r>
      <w:r w:rsidR="00472461">
        <w:t>. . .</w:t>
      </w:r>
      <w:r>
        <w:t xml:space="preserve"> does not apply when the called party has provided the telephone number of such a line to the caller for use in normal business communications.”).</w:t>
      </w:r>
    </w:p>
  </w:footnote>
  <w:footnote w:id="23">
    <w:p w14:paraId="2715A2CE" w14:textId="77777777" w:rsidR="00CD1BF8" w:rsidRPr="003A2FFB" w:rsidRDefault="00CD1BF8" w:rsidP="00472461">
      <w:pPr>
        <w:pStyle w:val="FootnoteText"/>
      </w:pPr>
      <w:r>
        <w:rPr>
          <w:rStyle w:val="FootnoteReference"/>
        </w:rPr>
        <w:footnoteRef/>
      </w:r>
      <w:r>
        <w:t xml:space="preserve"> When a new group is organized, GroupMe sends up </w:t>
      </w:r>
      <w:r w:rsidRPr="006A4AB5">
        <w:t xml:space="preserve">to four text messages to each group member, informing each member of information about the group creator, the names of the individuals who comprise the group, the unique ten-digit number GroupMe assigned to the group, instructions on how to stop receiving text messages associated with the group, and instructions to download the free GroupMe app.  </w:t>
      </w:r>
      <w:r w:rsidRPr="00EB719C">
        <w:rPr>
          <w:i/>
        </w:rPr>
        <w:t>Petition</w:t>
      </w:r>
      <w:r>
        <w:t xml:space="preserve"> </w:t>
      </w:r>
      <w:r w:rsidRPr="0049008B">
        <w:t xml:space="preserve">at </w:t>
      </w:r>
      <w:r w:rsidRPr="00D430B6">
        <w:t>7.</w:t>
      </w:r>
    </w:p>
  </w:footnote>
  <w:footnote w:id="24">
    <w:p w14:paraId="04136DBD" w14:textId="77777777" w:rsidR="00CD1BF8" w:rsidRDefault="00CD1BF8" w:rsidP="00037571">
      <w:pPr>
        <w:pStyle w:val="FootnoteText"/>
      </w:pPr>
      <w:r>
        <w:rPr>
          <w:rStyle w:val="FootnoteReference"/>
        </w:rPr>
        <w:footnoteRef/>
      </w:r>
      <w:r>
        <w:t xml:space="preserve"> </w:t>
      </w:r>
      <w:r w:rsidRPr="005735AA">
        <w:rPr>
          <w:i/>
        </w:rPr>
        <w:t xml:space="preserve">See </w:t>
      </w:r>
      <w:r w:rsidRPr="00CB6F85">
        <w:t>CAA Comments</w:t>
      </w:r>
      <w:r>
        <w:t xml:space="preserve"> at 2; </w:t>
      </w:r>
      <w:r w:rsidRPr="00CB6F85">
        <w:t>Twilio Comments</w:t>
      </w:r>
      <w:r>
        <w:t xml:space="preserve"> at 15-17; </w:t>
      </w:r>
      <w:r w:rsidRPr="00CB6F85">
        <w:t>Nicor Reply Comments</w:t>
      </w:r>
      <w:r>
        <w:t xml:space="preserve"> at 7-8.</w:t>
      </w:r>
    </w:p>
  </w:footnote>
  <w:footnote w:id="25">
    <w:p w14:paraId="7865A846" w14:textId="77777777" w:rsidR="00A12557" w:rsidRPr="008736A3" w:rsidRDefault="00A12557" w:rsidP="00472461">
      <w:pPr>
        <w:pStyle w:val="FootnoteText"/>
      </w:pPr>
      <w:r>
        <w:rPr>
          <w:rStyle w:val="FootnoteReference"/>
        </w:rPr>
        <w:footnoteRef/>
      </w:r>
      <w:r>
        <w:t xml:space="preserve"> Between January 1, 2012 and December 31, 2013, the Commission received five</w:t>
      </w:r>
      <w:r w:rsidR="006D7E90">
        <w:t xml:space="preserve"> </w:t>
      </w:r>
      <w:r>
        <w:t>complaints regarding GroupMe’s service</w:t>
      </w:r>
      <w:r w:rsidRPr="003632EA">
        <w:t xml:space="preserve">. </w:t>
      </w:r>
    </w:p>
  </w:footnote>
  <w:footnote w:id="26">
    <w:p w14:paraId="6EF5839B" w14:textId="77777777" w:rsidR="009546F6" w:rsidRDefault="009546F6" w:rsidP="00037571">
      <w:pPr>
        <w:pStyle w:val="FootnoteText"/>
      </w:pPr>
      <w:r>
        <w:rPr>
          <w:rStyle w:val="FootnoteReference"/>
        </w:rPr>
        <w:footnoteRef/>
      </w:r>
      <w:r>
        <w:t xml:space="preserve"> </w:t>
      </w:r>
      <w:r w:rsidRPr="003632EA">
        <w:rPr>
          <w:i/>
        </w:rPr>
        <w:t>See</w:t>
      </w:r>
      <w:r w:rsidRPr="003632EA">
        <w:t xml:space="preserve"> IC 12-T0</w:t>
      </w:r>
      <w:r>
        <w:t>1200604</w:t>
      </w:r>
      <w:r w:rsidRPr="003632EA">
        <w:t>-1.</w:t>
      </w:r>
    </w:p>
  </w:footnote>
  <w:footnote w:id="27">
    <w:p w14:paraId="5BC6CD04" w14:textId="77777777" w:rsidR="00CD1BF8" w:rsidRPr="00EB719C" w:rsidRDefault="00CD1BF8" w:rsidP="00037571">
      <w:pPr>
        <w:pStyle w:val="FootnoteText"/>
      </w:pPr>
      <w:r w:rsidRPr="00EB719C">
        <w:rPr>
          <w:rStyle w:val="FootnoteReference"/>
        </w:rPr>
        <w:footnoteRef/>
      </w:r>
      <w:r w:rsidRPr="00EB719C">
        <w:t xml:space="preserve"> </w:t>
      </w:r>
      <w:r>
        <w:rPr>
          <w:i/>
        </w:rPr>
        <w:t xml:space="preserve">See Rules and Regulations Implementing the Telephone Consumer Protection Act of </w:t>
      </w:r>
      <w:r w:rsidRPr="009E2F41">
        <w:t>1991</w:t>
      </w:r>
      <w:r>
        <w:t>, CC Docket No. 92-90, Report and Order, 7 FCC Rcd 8752, 8769, para. 31 (1992) (</w:t>
      </w:r>
      <w:r w:rsidRPr="009E2F41">
        <w:rPr>
          <w:i/>
        </w:rPr>
        <w:t>1992 TCPA Order</w:t>
      </w:r>
      <w:r>
        <w:t>).</w:t>
      </w:r>
    </w:p>
  </w:footnote>
  <w:footnote w:id="28">
    <w:p w14:paraId="74B3E818" w14:textId="61FDB6F2" w:rsidR="00CD1BF8" w:rsidRPr="00EB719C" w:rsidRDefault="00CD1BF8" w:rsidP="00037571">
      <w:pPr>
        <w:pStyle w:val="FootnoteText"/>
      </w:pPr>
      <w:r w:rsidRPr="00EB719C">
        <w:rPr>
          <w:rStyle w:val="FootnoteReference"/>
        </w:rPr>
        <w:footnoteRef/>
      </w:r>
      <w:r>
        <w:t xml:space="preserve"> </w:t>
      </w:r>
      <w:r>
        <w:rPr>
          <w:i/>
        </w:rPr>
        <w:t xml:space="preserve">See </w:t>
      </w:r>
      <w:r w:rsidRPr="00002459">
        <w:rPr>
          <w:i/>
        </w:rPr>
        <w:t>Request of ACA International for Clarification and Declaratory Ruling</w:t>
      </w:r>
      <w:r w:rsidRPr="00037571">
        <w:t xml:space="preserve">, </w:t>
      </w:r>
      <w:r w:rsidRPr="00360F76">
        <w:t>CG Docket No. 02-278, Declaratory Ruling</w:t>
      </w:r>
      <w:r w:rsidRPr="009E51A1">
        <w:t>,</w:t>
      </w:r>
      <w:r w:rsidRPr="008027B8">
        <w:t xml:space="preserve"> 23 FCC Rcd 559</w:t>
      </w:r>
      <w:r>
        <w:t>, 564-65</w:t>
      </w:r>
      <w:r w:rsidR="00472461">
        <w:t>,</w:t>
      </w:r>
      <w:r>
        <w:t xml:space="preserve"> paras. 9-10 (200</w:t>
      </w:r>
      <w:r w:rsidRPr="009E2F41">
        <w:t>8</w:t>
      </w:r>
      <w:r>
        <w:t>) (</w:t>
      </w:r>
      <w:r>
        <w:rPr>
          <w:i/>
        </w:rPr>
        <w:t>ACA Order)</w:t>
      </w:r>
      <w:r>
        <w:t>.</w:t>
      </w:r>
    </w:p>
  </w:footnote>
  <w:footnote w:id="29">
    <w:p w14:paraId="34DBD229" w14:textId="77777777" w:rsidR="00CD1BF8" w:rsidRDefault="00CD1BF8" w:rsidP="00472461">
      <w:pPr>
        <w:pStyle w:val="FootnoteText"/>
      </w:pPr>
      <w:r w:rsidRPr="0066741A">
        <w:rPr>
          <w:rStyle w:val="FootnoteReference"/>
        </w:rPr>
        <w:footnoteRef/>
      </w:r>
      <w:r>
        <w:t xml:space="preserve"> </w:t>
      </w:r>
      <w:r>
        <w:rPr>
          <w:i/>
        </w:rPr>
        <w:t>Id.</w:t>
      </w:r>
      <w:r w:rsidRPr="00002459">
        <w:t xml:space="preserve"> at </w:t>
      </w:r>
      <w:r>
        <w:t>564</w:t>
      </w:r>
      <w:r w:rsidRPr="00C279FC">
        <w:t>,</w:t>
      </w:r>
      <w:r>
        <w:t xml:space="preserve"> para. 9 (citing</w:t>
      </w:r>
      <w:r>
        <w:rPr>
          <w:i/>
        </w:rPr>
        <w:t xml:space="preserve"> </w:t>
      </w:r>
      <w:r w:rsidRPr="00986555">
        <w:rPr>
          <w:i/>
        </w:rPr>
        <w:t>1992 TCPA Order</w:t>
      </w:r>
      <w:r>
        <w:t>, 7 FCC Rcd at 8769, para. 31; House Report, 102-317, 1</w:t>
      </w:r>
      <w:r w:rsidRPr="001071A8">
        <w:rPr>
          <w:vertAlign w:val="superscript"/>
        </w:rPr>
        <w:t>st</w:t>
      </w:r>
      <w:r>
        <w:t xml:space="preserve"> Sess., 102</w:t>
      </w:r>
      <w:r w:rsidRPr="001071A8">
        <w:rPr>
          <w:vertAlign w:val="superscript"/>
        </w:rPr>
        <w:t>nd</w:t>
      </w:r>
      <w:r>
        <w:t xml:space="preserve"> Cong. (1991) at 13 (“noting that in such instances the called party has in essence requested the contact by providing the caller with their telephone number for use in normal business communications”)).  The Commission also noted, however, that if a caller’s number is “captured” by a Caller ID or an ANI device without notice to the residential telephone subscriber, the caller cannot be considered to have given an invitation or permission to receive autodialer or prerecorded voice message calls.  </w:t>
      </w:r>
      <w:r w:rsidRPr="00986555">
        <w:rPr>
          <w:i/>
        </w:rPr>
        <w:t>1992 TCPA Order</w:t>
      </w:r>
      <w:r>
        <w:t>, 7 FCC Rcd at 8769, para. 31.</w:t>
      </w:r>
    </w:p>
  </w:footnote>
  <w:footnote w:id="30">
    <w:p w14:paraId="701A48E1" w14:textId="77777777" w:rsidR="00CD1BF8" w:rsidRDefault="00CD1BF8" w:rsidP="00037571">
      <w:pPr>
        <w:pStyle w:val="FootnoteText"/>
      </w:pPr>
      <w:r>
        <w:rPr>
          <w:rStyle w:val="FootnoteReference"/>
        </w:rPr>
        <w:footnoteRef/>
      </w:r>
      <w:r>
        <w:t xml:space="preserve"> </w:t>
      </w:r>
      <w:r w:rsidRPr="00037571">
        <w:rPr>
          <w:i/>
        </w:rPr>
        <w:t>See</w:t>
      </w:r>
      <w:r w:rsidRPr="00E82B50">
        <w:t xml:space="preserve"> Roylance Reply Comments at 2; Shields Comments at 3-5 and Reply Comments at 3-4.</w:t>
      </w:r>
    </w:p>
  </w:footnote>
  <w:footnote w:id="31">
    <w:p w14:paraId="3B6AE5B6" w14:textId="483FFB9A" w:rsidR="00CD1BF8" w:rsidRPr="00B710FD" w:rsidRDefault="00CD1BF8" w:rsidP="00472461">
      <w:pPr>
        <w:pStyle w:val="FootnoteText"/>
      </w:pPr>
      <w:r>
        <w:rPr>
          <w:rStyle w:val="FootnoteReference"/>
        </w:rPr>
        <w:footnoteRef/>
      </w:r>
      <w:r>
        <w:t xml:space="preserve"> </w:t>
      </w:r>
      <w:r>
        <w:rPr>
          <w:i/>
        </w:rPr>
        <w:t xml:space="preserve">See </w:t>
      </w:r>
      <w:r>
        <w:t xml:space="preserve">GroupMe’s terms of service and “User Responsibilities” at </w:t>
      </w:r>
      <w:hyperlink r:id="rId1" w:history="1">
        <w:r w:rsidRPr="00A84224">
          <w:rPr>
            <w:rStyle w:val="Hyperlink"/>
          </w:rPr>
          <w:t>http://groupme.com/terms</w:t>
        </w:r>
      </w:hyperlink>
      <w:r>
        <w:t xml:space="preserve"> (visited </w:t>
      </w:r>
      <w:r w:rsidR="00C41AA5">
        <w:t>January</w:t>
      </w:r>
      <w:r w:rsidR="006D7E90">
        <w:t xml:space="preserve"> </w:t>
      </w:r>
      <w:r w:rsidR="00C41AA5">
        <w:t>24</w:t>
      </w:r>
      <w:r>
        <w:t>, 201</w:t>
      </w:r>
      <w:r w:rsidR="00C41AA5">
        <w:t>4</w:t>
      </w:r>
      <w:r>
        <w:t>).</w:t>
      </w:r>
    </w:p>
  </w:footnote>
  <w:footnote w:id="32">
    <w:p w14:paraId="0EFB4845" w14:textId="77777777" w:rsidR="00CD1BF8" w:rsidRPr="00C279FC" w:rsidRDefault="00CD1BF8" w:rsidP="00037571">
      <w:pPr>
        <w:pStyle w:val="FootnoteText"/>
      </w:pPr>
      <w:r>
        <w:rPr>
          <w:rStyle w:val="FootnoteReference"/>
        </w:rPr>
        <w:footnoteRef/>
      </w:r>
      <w:r>
        <w:t xml:space="preserve"> </w:t>
      </w:r>
      <w:r>
        <w:rPr>
          <w:i/>
        </w:rPr>
        <w:t xml:space="preserve">See </w:t>
      </w:r>
      <w:r>
        <w:t xml:space="preserve">47 U.S.C. § 227(b)(3); </w:t>
      </w:r>
      <w:r>
        <w:rPr>
          <w:i/>
        </w:rPr>
        <w:t>2003 TCPA Order</w:t>
      </w:r>
      <w:r w:rsidRPr="00037571">
        <w:t>,</w:t>
      </w:r>
      <w:r w:rsidRPr="00472461">
        <w:t xml:space="preserve"> </w:t>
      </w:r>
      <w:r w:rsidRPr="00C279FC">
        <w:t>18 FCC Rcd at 14135, para. 204 (2003).</w:t>
      </w:r>
    </w:p>
  </w:footnote>
  <w:footnote w:id="33">
    <w:p w14:paraId="591027AD" w14:textId="77777777" w:rsidR="00CD1BF8" w:rsidRPr="00C279FC" w:rsidRDefault="00CD1BF8" w:rsidP="00037571">
      <w:pPr>
        <w:pStyle w:val="FootnoteText"/>
      </w:pPr>
      <w:r w:rsidRPr="00C279FC">
        <w:rPr>
          <w:rStyle w:val="FootnoteReference"/>
        </w:rPr>
        <w:footnoteRef/>
      </w:r>
      <w:r w:rsidRPr="00C279FC">
        <w:t xml:space="preserve"> </w:t>
      </w:r>
      <w:r w:rsidRPr="00C279FC">
        <w:rPr>
          <w:i/>
        </w:rPr>
        <w:t xml:space="preserve">See </w:t>
      </w:r>
      <w:r w:rsidRPr="00C279FC">
        <w:t>U.S.C.C. Comments at 12 (citing</w:t>
      </w:r>
      <w:r w:rsidRPr="00C279FC">
        <w:rPr>
          <w:i/>
        </w:rPr>
        <w:t xml:space="preserve"> United States v. Cos</w:t>
      </w:r>
      <w:r w:rsidRPr="00C279FC">
        <w:t>, 498 F.3d. 1115, 1124 (10</w:t>
      </w:r>
      <w:r w:rsidRPr="00C279FC">
        <w:rPr>
          <w:vertAlign w:val="superscript"/>
        </w:rPr>
        <w:t>th</w:t>
      </w:r>
      <w:r w:rsidRPr="00C279FC">
        <w:t xml:space="preserve"> Cir. 2007)).</w:t>
      </w:r>
    </w:p>
  </w:footnote>
  <w:footnote w:id="34">
    <w:p w14:paraId="5BCF02EB" w14:textId="77777777" w:rsidR="00CD1BF8" w:rsidRDefault="00CD1BF8" w:rsidP="00472461">
      <w:pPr>
        <w:pStyle w:val="FootnoteText"/>
      </w:pPr>
      <w:r>
        <w:rPr>
          <w:rStyle w:val="FootnoteReference"/>
        </w:rPr>
        <w:footnoteRef/>
      </w:r>
      <w:r>
        <w:t xml:space="preserve"> Addressing this issue may require consideration of agency and guardianship principles or other matters that are well beyond the scope of GroupMe’s petition in order to determine what may constitute a consumer’s prior express consent.  The Commission has not addressed this set of issues previously.</w:t>
      </w:r>
    </w:p>
  </w:footnote>
  <w:footnote w:id="35">
    <w:p w14:paraId="2FAFE0DE" w14:textId="77777777" w:rsidR="00CD1BF8" w:rsidRDefault="00CD1BF8" w:rsidP="00472461">
      <w:pPr>
        <w:pStyle w:val="FootnoteText"/>
      </w:pPr>
      <w:r>
        <w:rPr>
          <w:rStyle w:val="FootnoteReference"/>
        </w:rPr>
        <w:footnoteRef/>
      </w:r>
      <w:r>
        <w:t xml:space="preserve"> </w:t>
      </w:r>
      <w:r w:rsidRPr="00F37450">
        <w:t>To be clear, we do not foreclose the possibility that an agent or legal guardian, for example, could provide the consent of the consumer</w:t>
      </w:r>
      <w:r>
        <w:t>.  The Petition, however, only raises the question of whether a friend or other associate of a consumer may obtain and convey to GroupMe the prior express consent that was actually given by the consumer</w:t>
      </w:r>
      <w:r w:rsidRPr="00F37450">
        <w:t xml:space="preserve">.  </w:t>
      </w:r>
    </w:p>
  </w:footnote>
  <w:footnote w:id="36">
    <w:p w14:paraId="095262EB" w14:textId="77777777" w:rsidR="00CD1BF8" w:rsidRDefault="00CD1BF8" w:rsidP="00037571">
      <w:pPr>
        <w:pStyle w:val="FootnoteText"/>
      </w:pPr>
      <w:r>
        <w:rPr>
          <w:rStyle w:val="FootnoteReference"/>
        </w:rPr>
        <w:footnoteRef/>
      </w:r>
      <w:r>
        <w:t xml:space="preserve"> </w:t>
      </w:r>
      <w:r w:rsidRPr="00E82B50">
        <w:t>See Roylance Reply Comments at 2; Shields Comments at 3-5 and Reply Comments at 3-4.</w:t>
      </w:r>
    </w:p>
  </w:footnote>
  <w:footnote w:id="37">
    <w:p w14:paraId="38A982AD" w14:textId="77777777" w:rsidR="00CD1BF8" w:rsidRDefault="00CD1BF8" w:rsidP="00472461">
      <w:pPr>
        <w:pStyle w:val="FootnoteText"/>
      </w:pPr>
      <w:r>
        <w:rPr>
          <w:rStyle w:val="FootnoteReference"/>
        </w:rPr>
        <w:footnoteRef/>
      </w:r>
      <w:r>
        <w:t xml:space="preserve"> </w:t>
      </w:r>
      <w:r w:rsidRPr="000324DA">
        <w:rPr>
          <w:i/>
        </w:rPr>
        <w:t xml:space="preserve">See </w:t>
      </w:r>
      <w:r w:rsidRPr="0049008B">
        <w:t>Roylance Reply Comments</w:t>
      </w:r>
      <w:r w:rsidRPr="00D430B6">
        <w:t xml:space="preserve"> at 2; </w:t>
      </w:r>
      <w:r w:rsidRPr="0049008B">
        <w:t xml:space="preserve">Shields Comments </w:t>
      </w:r>
      <w:r w:rsidRPr="00D430B6">
        <w:t>at 3-5</w:t>
      </w:r>
      <w:r w:rsidRPr="0049008B">
        <w:t xml:space="preserve"> and Reply Comments</w:t>
      </w:r>
      <w:r w:rsidRPr="00D430B6">
        <w:t xml:space="preserve"> at 3</w:t>
      </w:r>
      <w:r w:rsidRPr="00372DEF">
        <w:t>-4</w:t>
      </w:r>
      <w:r>
        <w:t>.</w:t>
      </w:r>
      <w:r w:rsidR="00472461">
        <w:t xml:space="preserve"> </w:t>
      </w:r>
      <w:r w:rsidRPr="00B710FD">
        <w:t xml:space="preserve"> </w:t>
      </w:r>
      <w:r w:rsidRPr="00B82A04">
        <w:t xml:space="preserve">In the context of the conveyance of consent between the </w:t>
      </w:r>
      <w:r>
        <w:t>intermediary</w:t>
      </w:r>
      <w:r w:rsidRPr="00B82A04">
        <w:t xml:space="preserve"> obtaining consent and the autodialer </w:t>
      </w:r>
      <w:r>
        <w:t>user,</w:t>
      </w:r>
      <w:r w:rsidRPr="00B82A04">
        <w:t xml:space="preserve"> we expect that the</w:t>
      </w:r>
      <w:r>
        <w:t xml:space="preserve"> intermediary and autodialer user will</w:t>
      </w:r>
      <w:r w:rsidRPr="00B82A04">
        <w:t xml:space="preserve"> already </w:t>
      </w:r>
      <w:r>
        <w:t>have</w:t>
      </w:r>
      <w:r w:rsidRPr="00B82A04">
        <w:t xml:space="preserve"> some established relationship, contractual or otherwise, </w:t>
      </w:r>
      <w:r>
        <w:t xml:space="preserve">which </w:t>
      </w:r>
      <w:r w:rsidRPr="00B82A04">
        <w:t>lay</w:t>
      </w:r>
      <w:r>
        <w:t>s</w:t>
      </w:r>
      <w:r w:rsidRPr="00B82A04">
        <w:t xml:space="preserve"> out the responsibilities of </w:t>
      </w:r>
      <w:r>
        <w:t>each/</w:t>
      </w:r>
      <w:r w:rsidRPr="00B82A04">
        <w:t xml:space="preserve"> provides assurance that actual consent has been obtained</w:t>
      </w:r>
      <w:r>
        <w:t>,</w:t>
      </w:r>
      <w:r w:rsidRPr="00B82A04">
        <w:t xml:space="preserve"> and, if consent was not actually obtained, </w:t>
      </w:r>
      <w:r>
        <w:t xml:space="preserve">provides </w:t>
      </w:r>
      <w:r w:rsidRPr="00B82A04">
        <w:t xml:space="preserve">the autodialer </w:t>
      </w:r>
      <w:r>
        <w:t>user</w:t>
      </w:r>
      <w:r w:rsidRPr="00B82A04">
        <w:t xml:space="preserve"> legal recourse against</w:t>
      </w:r>
      <w:r w:rsidRPr="00B82A04">
        <w:rPr>
          <w:color w:val="FF0000"/>
        </w:rPr>
        <w:t xml:space="preserve"> </w:t>
      </w:r>
      <w:r w:rsidRPr="00B82A04">
        <w:t>the party</w:t>
      </w:r>
      <w:r w:rsidRPr="00B82A04">
        <w:rPr>
          <w:color w:val="FF0000"/>
        </w:rPr>
        <w:t xml:space="preserve"> </w:t>
      </w:r>
      <w:r w:rsidRPr="00B82A04">
        <w:t>who falsely c</w:t>
      </w:r>
      <w:r>
        <w:t xml:space="preserve">laimed that </w:t>
      </w:r>
      <w:r w:rsidRPr="00B82A04">
        <w:t xml:space="preserve">consent </w:t>
      </w:r>
      <w:r>
        <w:t>had been given</w:t>
      </w:r>
      <w:r w:rsidRPr="00B82A04">
        <w:t>.</w:t>
      </w:r>
      <w:r>
        <w:t xml:space="preserve">  To be clear, the existence or scope of recourse between these parties in no way affects the liability of the autodialer user to the consumer.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F66EED" w14:textId="77777777" w:rsidR="00EF60FC" w:rsidRDefault="00EF60F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06EE41" w14:textId="0DF9820C" w:rsidR="00CD1BF8" w:rsidRDefault="00CD1BF8">
    <w:pPr>
      <w:pStyle w:val="Header"/>
      <w:rPr>
        <w:b w:val="0"/>
      </w:rPr>
    </w:pPr>
    <w:r>
      <w:tab/>
      <w:t>Federal Communications Commission</w:t>
    </w:r>
    <w:r>
      <w:tab/>
    </w:r>
    <w:r w:rsidR="00BA7E8B">
      <w:t>FCC 14</w:t>
    </w:r>
    <w:r>
      <w:t>-</w:t>
    </w:r>
    <w:r w:rsidR="00037571">
      <w:t>33</w:t>
    </w:r>
    <w:r>
      <w:t xml:space="preserve"> </w:t>
    </w:r>
  </w:p>
  <w:p w14:paraId="56EF116C" w14:textId="77777777" w:rsidR="00CD1BF8" w:rsidRDefault="00286DB8">
    <w:pPr>
      <w:pStyle w:val="Header"/>
    </w:pPr>
    <w:r>
      <w:rPr>
        <w:noProof/>
      </w:rPr>
      <mc:AlternateContent>
        <mc:Choice Requires="wps">
          <w:drawing>
            <wp:anchor distT="4294967295" distB="4294967295" distL="114300" distR="114300" simplePos="0" relativeHeight="251658240" behindDoc="0" locked="0" layoutInCell="0" allowOverlap="1" wp14:anchorId="1416AF55" wp14:editId="45510EF8">
              <wp:simplePos x="0" y="0"/>
              <wp:positionH relativeFrom="column">
                <wp:posOffset>0</wp:posOffset>
              </wp:positionH>
              <wp:positionV relativeFrom="paragraph">
                <wp:posOffset>22224</wp:posOffset>
              </wp:positionV>
              <wp:extent cx="5943600" cy="0"/>
              <wp:effectExtent l="0" t="0" r="19050" b="190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S7R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J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FrpLtESAgAA&#10;KQQAAA4AAAAAAAAAAAAAAAAALgIAAGRycy9lMm9Eb2MueG1sUEsBAi0AFAAGAAgAAAAhAO4pKK7Y&#10;AAAABAEAAA8AAAAAAAAAAAAAAAAAbAQAAGRycy9kb3ducmV2LnhtbFBLBQYAAAAABAAEAPMAAABx&#10;BQAAAAA=&#10;" o:allowincell="f" strokeweight="1.5pt"/>
          </w:pict>
        </mc:Fallback>
      </mc:AlternateContent>
    </w:r>
  </w:p>
  <w:p w14:paraId="2C7C45F6" w14:textId="77777777" w:rsidR="00CD1BF8" w:rsidRDefault="00CD1BF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90736F" w14:textId="41C8365F" w:rsidR="00CD1BF8" w:rsidRDefault="00CD1BF8">
    <w:pPr>
      <w:pStyle w:val="Header"/>
      <w:rPr>
        <w:b w:val="0"/>
      </w:rPr>
    </w:pPr>
    <w:r>
      <w:tab/>
      <w:t>Federal Communications Commission</w:t>
    </w:r>
    <w:r>
      <w:tab/>
      <w:t xml:space="preserve">FCC </w:t>
    </w:r>
    <w:r w:rsidR="00BA7E8B">
      <w:t>14</w:t>
    </w:r>
    <w:r>
      <w:t>-</w:t>
    </w:r>
    <w:r w:rsidR="00037571">
      <w:t>33</w:t>
    </w:r>
    <w:r>
      <w:t xml:space="preserve"> </w:t>
    </w:r>
  </w:p>
  <w:p w14:paraId="4CA96C39" w14:textId="77777777" w:rsidR="00CD1BF8" w:rsidRDefault="00286DB8">
    <w:pPr>
      <w:pStyle w:val="Header"/>
    </w:pPr>
    <w:r>
      <w:rPr>
        <w:noProof/>
      </w:rPr>
      <mc:AlternateContent>
        <mc:Choice Requires="wps">
          <w:drawing>
            <wp:anchor distT="4294967295" distB="4294967295" distL="114300" distR="114300" simplePos="0" relativeHeight="251657216" behindDoc="0" locked="0" layoutInCell="0" allowOverlap="1" wp14:anchorId="1FA1B284" wp14:editId="194A43B4">
              <wp:simplePos x="0" y="0"/>
              <wp:positionH relativeFrom="column">
                <wp:posOffset>0</wp:posOffset>
              </wp:positionH>
              <wp:positionV relativeFrom="paragraph">
                <wp:posOffset>22224</wp:posOffset>
              </wp:positionV>
              <wp:extent cx="5943600" cy="0"/>
              <wp:effectExtent l="0" t="0" r="19050" b="1905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hrmEg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SJ/mqVgGr2fJaS4Bxrr/AeuOxQmJZagORKT09Z5kA7QOyTco/RGSBnN&#10;lgr1oHaRTtMY4bQULJwGnLOHfSUtOpHQL/ELhQC2B5jVR8UiW8sJW9/mngh5nQNeqsAHuYCe2+za&#10;EN8W6WI9X8/zUT6ZrUd5Wtej95sqH8022btp/VRXVZ19D9KyvGgFY1wFdffmzPK/M//2TK5tNbTn&#10;UIfkkT2mCGLv/yg6mhn8u3bCXrPLzoZqBF+hHyP49nZCw/+6jqifL3z1Aw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OeqGuYSAgAA&#10;KQQAAA4AAAAAAAAAAAAAAAAALgIAAGRycy9lMm9Eb2MueG1sUEsBAi0AFAAGAAgAAAAhAO4pKK7Y&#10;AAAABAEAAA8AAAAAAAAAAAAAAAAAbAQAAGRycy9kb3ducmV2LnhtbFBLBQYAAAAABAAEAPMAAABx&#10;BQAAAAA=&#10;" o:allowincell="f"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C58DDB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1D7460D6"/>
    <w:lvl w:ilvl="0">
      <w:start w:val="1"/>
      <w:numFmt w:val="decimal"/>
      <w:lvlText w:val="%1."/>
      <w:lvlJc w:val="left"/>
      <w:pPr>
        <w:tabs>
          <w:tab w:val="num" w:pos="1800"/>
        </w:tabs>
        <w:ind w:left="1800" w:hanging="360"/>
      </w:pPr>
    </w:lvl>
  </w:abstractNum>
  <w:abstractNum w:abstractNumId="2">
    <w:nsid w:val="FFFFFF7D"/>
    <w:multiLevelType w:val="singleLevel"/>
    <w:tmpl w:val="9C94489C"/>
    <w:lvl w:ilvl="0">
      <w:start w:val="1"/>
      <w:numFmt w:val="decimal"/>
      <w:lvlText w:val="%1."/>
      <w:lvlJc w:val="left"/>
      <w:pPr>
        <w:tabs>
          <w:tab w:val="num" w:pos="1440"/>
        </w:tabs>
        <w:ind w:left="1440" w:hanging="360"/>
      </w:pPr>
    </w:lvl>
  </w:abstractNum>
  <w:abstractNum w:abstractNumId="3">
    <w:nsid w:val="FFFFFF7E"/>
    <w:multiLevelType w:val="singleLevel"/>
    <w:tmpl w:val="F230E506"/>
    <w:lvl w:ilvl="0">
      <w:start w:val="1"/>
      <w:numFmt w:val="decimal"/>
      <w:lvlText w:val="%1."/>
      <w:lvlJc w:val="left"/>
      <w:pPr>
        <w:tabs>
          <w:tab w:val="num" w:pos="1080"/>
        </w:tabs>
        <w:ind w:left="1080" w:hanging="360"/>
      </w:pPr>
    </w:lvl>
  </w:abstractNum>
  <w:abstractNum w:abstractNumId="4">
    <w:nsid w:val="FFFFFF7F"/>
    <w:multiLevelType w:val="singleLevel"/>
    <w:tmpl w:val="A6523202"/>
    <w:lvl w:ilvl="0">
      <w:start w:val="1"/>
      <w:numFmt w:val="decimal"/>
      <w:lvlText w:val="%1."/>
      <w:lvlJc w:val="left"/>
      <w:pPr>
        <w:tabs>
          <w:tab w:val="num" w:pos="720"/>
        </w:tabs>
        <w:ind w:left="720" w:hanging="360"/>
      </w:pPr>
    </w:lvl>
  </w:abstractNum>
  <w:abstractNum w:abstractNumId="5">
    <w:nsid w:val="FFFFFF80"/>
    <w:multiLevelType w:val="singleLevel"/>
    <w:tmpl w:val="5FBC3710"/>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67B6323A"/>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1286FB46"/>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5010053C"/>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AD4CE818"/>
    <w:lvl w:ilvl="0">
      <w:start w:val="1"/>
      <w:numFmt w:val="decimal"/>
      <w:lvlText w:val="%1."/>
      <w:lvlJc w:val="left"/>
      <w:pPr>
        <w:tabs>
          <w:tab w:val="num" w:pos="360"/>
        </w:tabs>
        <w:ind w:left="360" w:hanging="360"/>
      </w:pPr>
    </w:lvl>
  </w:abstractNum>
  <w:abstractNum w:abstractNumId="10">
    <w:nsid w:val="FFFFFF89"/>
    <w:multiLevelType w:val="singleLevel"/>
    <w:tmpl w:val="C2D631C2"/>
    <w:lvl w:ilvl="0">
      <w:start w:val="1"/>
      <w:numFmt w:val="bullet"/>
      <w:lvlText w:val=""/>
      <w:lvlJc w:val="left"/>
      <w:pPr>
        <w:tabs>
          <w:tab w:val="num" w:pos="360"/>
        </w:tabs>
        <w:ind w:left="360" w:hanging="360"/>
      </w:pPr>
      <w:rPr>
        <w:rFonts w:ascii="Symbol" w:hAnsi="Symbol" w:hint="default"/>
      </w:rPr>
    </w:lvl>
  </w:abstractNum>
  <w:abstractNum w:abstractNumId="11">
    <w:nsid w:val="084B453C"/>
    <w:multiLevelType w:val="singleLevel"/>
    <w:tmpl w:val="40A8E97A"/>
    <w:lvl w:ilvl="0">
      <w:start w:val="1"/>
      <w:numFmt w:val="decimal"/>
      <w:lvlText w:val="%1."/>
      <w:lvlJc w:val="left"/>
      <w:pPr>
        <w:tabs>
          <w:tab w:val="num" w:pos="1080"/>
        </w:tabs>
        <w:ind w:left="0" w:firstLine="720"/>
      </w:pPr>
    </w:lvl>
  </w:abstractNum>
  <w:abstractNum w:abstractNumId="12">
    <w:nsid w:val="0A89591F"/>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3">
    <w:nsid w:val="1AA72553"/>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14">
    <w:nsid w:val="1C30232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5">
    <w:nsid w:val="1F09508A"/>
    <w:multiLevelType w:val="multilevel"/>
    <w:tmpl w:val="7D5A78C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6">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17">
    <w:nsid w:val="248246F3"/>
    <w:multiLevelType w:val="singleLevel"/>
    <w:tmpl w:val="B1F45678"/>
    <w:lvl w:ilvl="0">
      <w:start w:val="1"/>
      <w:numFmt w:val="decimal"/>
      <w:lvlText w:val="%1."/>
      <w:lvlJc w:val="left"/>
      <w:pPr>
        <w:tabs>
          <w:tab w:val="num" w:pos="1080"/>
        </w:tabs>
        <w:ind w:left="0" w:firstLine="720"/>
      </w:pPr>
    </w:lvl>
  </w:abstractNum>
  <w:abstractNum w:abstractNumId="18">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9">
    <w:nsid w:val="2A9009E5"/>
    <w:multiLevelType w:val="multilevel"/>
    <w:tmpl w:val="37E49B74"/>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0">
    <w:nsid w:val="2B0355C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21">
    <w:nsid w:val="2C77136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22">
    <w:nsid w:val="31AD0280"/>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23">
    <w:nsid w:val="31E25FD5"/>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24">
    <w:nsid w:val="345E437F"/>
    <w:multiLevelType w:val="singleLevel"/>
    <w:tmpl w:val="50EE1B60"/>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25">
    <w:nsid w:val="3C344BD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26">
    <w:nsid w:val="3D0F1B3D"/>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27">
    <w:nsid w:val="45DC3A3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8">
    <w:nsid w:val="496B4275"/>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29">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0">
    <w:nsid w:val="5341241F"/>
    <w:multiLevelType w:val="singleLevel"/>
    <w:tmpl w:val="4C62BFF4"/>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1">
    <w:nsid w:val="541F6B38"/>
    <w:multiLevelType w:val="multilevel"/>
    <w:tmpl w:val="D892E404"/>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32">
    <w:nsid w:val="54FB72DB"/>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33">
    <w:nsid w:val="59BA0F8A"/>
    <w:multiLevelType w:val="singleLevel"/>
    <w:tmpl w:val="5E322D42"/>
    <w:lvl w:ilvl="0">
      <w:start w:val="1"/>
      <w:numFmt w:val="bullet"/>
      <w:lvlText w:val=""/>
      <w:lvlJc w:val="left"/>
      <w:pPr>
        <w:tabs>
          <w:tab w:val="num" w:pos="2520"/>
        </w:tabs>
        <w:ind w:left="2520" w:hanging="360"/>
      </w:pPr>
      <w:rPr>
        <w:rFonts w:ascii="Symbol" w:hAnsi="Symbol" w:hint="default"/>
      </w:rPr>
    </w:lvl>
  </w:abstractNum>
  <w:abstractNum w:abstractNumId="34">
    <w:nsid w:val="5D2B06DD"/>
    <w:multiLevelType w:val="multilevel"/>
    <w:tmpl w:val="5636CE50"/>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35">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36">
    <w:nsid w:val="6496261D"/>
    <w:multiLevelType w:val="singleLevel"/>
    <w:tmpl w:val="459AAAC2"/>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37">
    <w:nsid w:val="73031A9B"/>
    <w:multiLevelType w:val="hybridMultilevel"/>
    <w:tmpl w:val="0046B9CC"/>
    <w:lvl w:ilvl="0" w:tplc="70249B6C">
      <w:start w:val="2"/>
      <w:numFmt w:val="decimal"/>
      <w:lvlText w:val="%1."/>
      <w:lvlJc w:val="left"/>
      <w:pPr>
        <w:tabs>
          <w:tab w:val="num" w:pos="1800"/>
        </w:tabs>
        <w:ind w:left="1800" w:hanging="108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nsid w:val="76FA2B00"/>
    <w:multiLevelType w:val="multilevel"/>
    <w:tmpl w:val="66C40B3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low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num w:numId="1">
    <w:abstractNumId w:val="36"/>
  </w:num>
  <w:num w:numId="2">
    <w:abstractNumId w:val="38"/>
  </w:num>
  <w:num w:numId="3">
    <w:abstractNumId w:val="15"/>
  </w:num>
  <w:num w:numId="4">
    <w:abstractNumId w:val="31"/>
  </w:num>
  <w:num w:numId="5">
    <w:abstractNumId w:val="19"/>
  </w:num>
  <w:num w:numId="6">
    <w:abstractNumId w:val="34"/>
  </w:num>
  <w:num w:numId="7">
    <w:abstractNumId w:val="27"/>
  </w:num>
  <w:num w:numId="8">
    <w:abstractNumId w:val="20"/>
  </w:num>
  <w:num w:numId="9">
    <w:abstractNumId w:val="33"/>
  </w:num>
  <w:num w:numId="10">
    <w:abstractNumId w:val="25"/>
  </w:num>
  <w:num w:numId="11">
    <w:abstractNumId w:val="24"/>
  </w:num>
  <w:num w:numId="12">
    <w:abstractNumId w:val="21"/>
  </w:num>
  <w:num w:numId="13">
    <w:abstractNumId w:val="26"/>
  </w:num>
  <w:num w:numId="14">
    <w:abstractNumId w:val="32"/>
  </w:num>
  <w:num w:numId="15">
    <w:abstractNumId w:val="13"/>
  </w:num>
  <w:num w:numId="16">
    <w:abstractNumId w:val="14"/>
  </w:num>
  <w:num w:numId="17">
    <w:abstractNumId w:val="22"/>
  </w:num>
  <w:num w:numId="18">
    <w:abstractNumId w:val="12"/>
  </w:num>
  <w:num w:numId="19">
    <w:abstractNumId w:val="23"/>
  </w:num>
  <w:num w:numId="20">
    <w:abstractNumId w:val="28"/>
  </w:num>
  <w:num w:numId="21">
    <w:abstractNumId w:val="30"/>
  </w:num>
  <w:num w:numId="22">
    <w:abstractNumId w:val="37"/>
  </w:num>
  <w:num w:numId="23">
    <w:abstractNumId w:val="26"/>
  </w:num>
  <w:num w:numId="24">
    <w:abstractNumId w:val="26"/>
  </w:num>
  <w:num w:numId="25">
    <w:abstractNumId w:val="26"/>
  </w:num>
  <w:num w:numId="26">
    <w:abstractNumId w:val="26"/>
    <w:lvlOverride w:ilvl="0">
      <w:startOverride w:val="1"/>
    </w:lvlOverride>
  </w:num>
  <w:num w:numId="27">
    <w:abstractNumId w:val="26"/>
  </w:num>
  <w:num w:numId="28">
    <w:abstractNumId w:val="31"/>
  </w:num>
  <w:num w:numId="29">
    <w:abstractNumId w:val="0"/>
  </w:num>
  <w:num w:numId="30">
    <w:abstractNumId w:val="35"/>
    <w:lvlOverride w:ilvl="0">
      <w:startOverride w:val="1"/>
    </w:lvlOverride>
  </w:num>
  <w:num w:numId="31">
    <w:abstractNumId w:val="26"/>
  </w:num>
  <w:num w:numId="32">
    <w:abstractNumId w:val="10"/>
  </w:num>
  <w:num w:numId="33">
    <w:abstractNumId w:val="8"/>
  </w:num>
  <w:num w:numId="34">
    <w:abstractNumId w:val="7"/>
  </w:num>
  <w:num w:numId="35">
    <w:abstractNumId w:val="6"/>
  </w:num>
  <w:num w:numId="36">
    <w:abstractNumId w:val="5"/>
  </w:num>
  <w:num w:numId="37">
    <w:abstractNumId w:val="9"/>
  </w:num>
  <w:num w:numId="38">
    <w:abstractNumId w:val="4"/>
  </w:num>
  <w:num w:numId="39">
    <w:abstractNumId w:val="3"/>
  </w:num>
  <w:num w:numId="40">
    <w:abstractNumId w:val="2"/>
  </w:num>
  <w:num w:numId="41">
    <w:abstractNumId w:val="1"/>
  </w:num>
  <w:num w:numId="42">
    <w:abstractNumId w:val="31"/>
  </w:num>
  <w:num w:numId="43">
    <w:abstractNumId w:val="16"/>
  </w:num>
  <w:num w:numId="44">
    <w:abstractNumId w:val="35"/>
  </w:num>
  <w:num w:numId="45">
    <w:abstractNumId w:val="18"/>
  </w:num>
  <w:num w:numId="46">
    <w:abstractNumId w:val="29"/>
  </w:num>
  <w:num w:numId="47">
    <w:abstractNumId w:val="17"/>
  </w:num>
  <w:num w:numId="4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removePersonalInformation/>
  <w:removeDateAndTime/>
  <w:attachedTemplate r:id="rId1"/>
  <w:linkStyle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EA2"/>
    <w:rsid w:val="000001B9"/>
    <w:rsid w:val="00001BF6"/>
    <w:rsid w:val="00002A09"/>
    <w:rsid w:val="00005039"/>
    <w:rsid w:val="00005DAB"/>
    <w:rsid w:val="00006F75"/>
    <w:rsid w:val="0001152A"/>
    <w:rsid w:val="00026770"/>
    <w:rsid w:val="000271B7"/>
    <w:rsid w:val="000274BC"/>
    <w:rsid w:val="000324DA"/>
    <w:rsid w:val="00035A85"/>
    <w:rsid w:val="00037571"/>
    <w:rsid w:val="00037E92"/>
    <w:rsid w:val="000412A5"/>
    <w:rsid w:val="000425B1"/>
    <w:rsid w:val="00043961"/>
    <w:rsid w:val="00043E3B"/>
    <w:rsid w:val="000441DB"/>
    <w:rsid w:val="000443D3"/>
    <w:rsid w:val="00047C3A"/>
    <w:rsid w:val="00051DB9"/>
    <w:rsid w:val="00053CE6"/>
    <w:rsid w:val="000545E6"/>
    <w:rsid w:val="0005488C"/>
    <w:rsid w:val="00060859"/>
    <w:rsid w:val="00061819"/>
    <w:rsid w:val="000620B2"/>
    <w:rsid w:val="000703C4"/>
    <w:rsid w:val="00070F29"/>
    <w:rsid w:val="00072B3E"/>
    <w:rsid w:val="00075DDB"/>
    <w:rsid w:val="000760C9"/>
    <w:rsid w:val="00082298"/>
    <w:rsid w:val="00091226"/>
    <w:rsid w:val="00096B21"/>
    <w:rsid w:val="000972E0"/>
    <w:rsid w:val="000A51BD"/>
    <w:rsid w:val="000B0D3B"/>
    <w:rsid w:val="000B1FAB"/>
    <w:rsid w:val="000B246C"/>
    <w:rsid w:val="000B7D5B"/>
    <w:rsid w:val="000C1AF9"/>
    <w:rsid w:val="000D258C"/>
    <w:rsid w:val="000D2E28"/>
    <w:rsid w:val="000D36D4"/>
    <w:rsid w:val="000E03C3"/>
    <w:rsid w:val="000E4324"/>
    <w:rsid w:val="000E43A3"/>
    <w:rsid w:val="000E5F31"/>
    <w:rsid w:val="000F0048"/>
    <w:rsid w:val="000F2E0B"/>
    <w:rsid w:val="0010057A"/>
    <w:rsid w:val="001025EF"/>
    <w:rsid w:val="00106311"/>
    <w:rsid w:val="001072DD"/>
    <w:rsid w:val="00110289"/>
    <w:rsid w:val="00111DE1"/>
    <w:rsid w:val="00120A10"/>
    <w:rsid w:val="00120C9C"/>
    <w:rsid w:val="001252B3"/>
    <w:rsid w:val="0013129C"/>
    <w:rsid w:val="001341CE"/>
    <w:rsid w:val="001347DD"/>
    <w:rsid w:val="00134AE3"/>
    <w:rsid w:val="00137874"/>
    <w:rsid w:val="0014314D"/>
    <w:rsid w:val="00144FD7"/>
    <w:rsid w:val="00153E0E"/>
    <w:rsid w:val="0016255E"/>
    <w:rsid w:val="00170B85"/>
    <w:rsid w:val="00174A65"/>
    <w:rsid w:val="001840ED"/>
    <w:rsid w:val="0018489C"/>
    <w:rsid w:val="001849E8"/>
    <w:rsid w:val="00190A5C"/>
    <w:rsid w:val="00191F49"/>
    <w:rsid w:val="00193CF4"/>
    <w:rsid w:val="00194274"/>
    <w:rsid w:val="001970B4"/>
    <w:rsid w:val="0019782D"/>
    <w:rsid w:val="001A6068"/>
    <w:rsid w:val="001A69E0"/>
    <w:rsid w:val="001B3805"/>
    <w:rsid w:val="001B48D2"/>
    <w:rsid w:val="001C0118"/>
    <w:rsid w:val="001C2274"/>
    <w:rsid w:val="001C2A4B"/>
    <w:rsid w:val="001C2E21"/>
    <w:rsid w:val="001C3481"/>
    <w:rsid w:val="001D04A5"/>
    <w:rsid w:val="001E08EF"/>
    <w:rsid w:val="001E1DA9"/>
    <w:rsid w:val="001E3F0D"/>
    <w:rsid w:val="001E5E74"/>
    <w:rsid w:val="001E5EE7"/>
    <w:rsid w:val="001F0109"/>
    <w:rsid w:val="001F62A0"/>
    <w:rsid w:val="001F780D"/>
    <w:rsid w:val="00201C7B"/>
    <w:rsid w:val="00210C45"/>
    <w:rsid w:val="00212439"/>
    <w:rsid w:val="0021390F"/>
    <w:rsid w:val="00220675"/>
    <w:rsid w:val="002264EA"/>
    <w:rsid w:val="00227BD7"/>
    <w:rsid w:val="002308B3"/>
    <w:rsid w:val="00230E12"/>
    <w:rsid w:val="002313B3"/>
    <w:rsid w:val="00231DC9"/>
    <w:rsid w:val="0023377A"/>
    <w:rsid w:val="00244284"/>
    <w:rsid w:val="00246FBA"/>
    <w:rsid w:val="00247894"/>
    <w:rsid w:val="002504D3"/>
    <w:rsid w:val="00250702"/>
    <w:rsid w:val="00251982"/>
    <w:rsid w:val="00255B33"/>
    <w:rsid w:val="00256598"/>
    <w:rsid w:val="002635EC"/>
    <w:rsid w:val="00270649"/>
    <w:rsid w:val="00277CF1"/>
    <w:rsid w:val="0028008A"/>
    <w:rsid w:val="00281341"/>
    <w:rsid w:val="00281566"/>
    <w:rsid w:val="002823BE"/>
    <w:rsid w:val="00283DED"/>
    <w:rsid w:val="00284F0D"/>
    <w:rsid w:val="00286DB8"/>
    <w:rsid w:val="0029507F"/>
    <w:rsid w:val="00295FA6"/>
    <w:rsid w:val="00297344"/>
    <w:rsid w:val="002A0A63"/>
    <w:rsid w:val="002A3B06"/>
    <w:rsid w:val="002A57B7"/>
    <w:rsid w:val="002A6309"/>
    <w:rsid w:val="002A6577"/>
    <w:rsid w:val="002A78D6"/>
    <w:rsid w:val="002B0173"/>
    <w:rsid w:val="002B17BD"/>
    <w:rsid w:val="002B76DE"/>
    <w:rsid w:val="002C194D"/>
    <w:rsid w:val="002C4AEE"/>
    <w:rsid w:val="002C620F"/>
    <w:rsid w:val="002D27E4"/>
    <w:rsid w:val="002E1A90"/>
    <w:rsid w:val="002E36EE"/>
    <w:rsid w:val="002E63FD"/>
    <w:rsid w:val="002E693A"/>
    <w:rsid w:val="002E6E41"/>
    <w:rsid w:val="002E7D72"/>
    <w:rsid w:val="002F59B4"/>
    <w:rsid w:val="002F6052"/>
    <w:rsid w:val="002F6777"/>
    <w:rsid w:val="0030092F"/>
    <w:rsid w:val="0030733B"/>
    <w:rsid w:val="00307723"/>
    <w:rsid w:val="00314C85"/>
    <w:rsid w:val="00326C16"/>
    <w:rsid w:val="00335886"/>
    <w:rsid w:val="00342C8C"/>
    <w:rsid w:val="00346D18"/>
    <w:rsid w:val="00352326"/>
    <w:rsid w:val="00361963"/>
    <w:rsid w:val="003632EA"/>
    <w:rsid w:val="00363507"/>
    <w:rsid w:val="00365C58"/>
    <w:rsid w:val="00372DEF"/>
    <w:rsid w:val="00374114"/>
    <w:rsid w:val="00376382"/>
    <w:rsid w:val="00384128"/>
    <w:rsid w:val="00385F97"/>
    <w:rsid w:val="00395F09"/>
    <w:rsid w:val="00397AE7"/>
    <w:rsid w:val="003A108A"/>
    <w:rsid w:val="003A2FFB"/>
    <w:rsid w:val="003B0515"/>
    <w:rsid w:val="003B2588"/>
    <w:rsid w:val="003B692A"/>
    <w:rsid w:val="003C545B"/>
    <w:rsid w:val="003D3424"/>
    <w:rsid w:val="003D4276"/>
    <w:rsid w:val="003D4A07"/>
    <w:rsid w:val="003D4A83"/>
    <w:rsid w:val="003D538A"/>
    <w:rsid w:val="003E137B"/>
    <w:rsid w:val="003E219C"/>
    <w:rsid w:val="003E31EE"/>
    <w:rsid w:val="003E7498"/>
    <w:rsid w:val="003F699B"/>
    <w:rsid w:val="00401F7E"/>
    <w:rsid w:val="004100A0"/>
    <w:rsid w:val="00411C3B"/>
    <w:rsid w:val="00412B33"/>
    <w:rsid w:val="004153D0"/>
    <w:rsid w:val="00415AA9"/>
    <w:rsid w:val="00421521"/>
    <w:rsid w:val="004316E5"/>
    <w:rsid w:val="00434473"/>
    <w:rsid w:val="00454695"/>
    <w:rsid w:val="004563CD"/>
    <w:rsid w:val="00457113"/>
    <w:rsid w:val="00457403"/>
    <w:rsid w:val="004608E6"/>
    <w:rsid w:val="0047023B"/>
    <w:rsid w:val="00472461"/>
    <w:rsid w:val="004804AD"/>
    <w:rsid w:val="00480F8E"/>
    <w:rsid w:val="0048212B"/>
    <w:rsid w:val="00484082"/>
    <w:rsid w:val="0049008B"/>
    <w:rsid w:val="00496BD0"/>
    <w:rsid w:val="004A2529"/>
    <w:rsid w:val="004A4B43"/>
    <w:rsid w:val="004A7022"/>
    <w:rsid w:val="004B3019"/>
    <w:rsid w:val="004B4FA8"/>
    <w:rsid w:val="004B5D64"/>
    <w:rsid w:val="004C0FDD"/>
    <w:rsid w:val="004C5B8A"/>
    <w:rsid w:val="004C6BCD"/>
    <w:rsid w:val="004D2BC0"/>
    <w:rsid w:val="004D475B"/>
    <w:rsid w:val="004F071E"/>
    <w:rsid w:val="004F10C6"/>
    <w:rsid w:val="004F3726"/>
    <w:rsid w:val="004F3CF3"/>
    <w:rsid w:val="004F4FC6"/>
    <w:rsid w:val="005011C2"/>
    <w:rsid w:val="005059AE"/>
    <w:rsid w:val="00507826"/>
    <w:rsid w:val="005078A5"/>
    <w:rsid w:val="005122E7"/>
    <w:rsid w:val="00514CBB"/>
    <w:rsid w:val="00522725"/>
    <w:rsid w:val="0052353E"/>
    <w:rsid w:val="00523DD5"/>
    <w:rsid w:val="00525780"/>
    <w:rsid w:val="00530A09"/>
    <w:rsid w:val="005311B9"/>
    <w:rsid w:val="00534620"/>
    <w:rsid w:val="005460DB"/>
    <w:rsid w:val="0055010D"/>
    <w:rsid w:val="0055013A"/>
    <w:rsid w:val="005532DF"/>
    <w:rsid w:val="005537AD"/>
    <w:rsid w:val="00554B72"/>
    <w:rsid w:val="00560557"/>
    <w:rsid w:val="005647EC"/>
    <w:rsid w:val="00565385"/>
    <w:rsid w:val="00567EC4"/>
    <w:rsid w:val="00570402"/>
    <w:rsid w:val="00570FC8"/>
    <w:rsid w:val="00571C78"/>
    <w:rsid w:val="00572213"/>
    <w:rsid w:val="005735AA"/>
    <w:rsid w:val="005811AF"/>
    <w:rsid w:val="00584DCF"/>
    <w:rsid w:val="005864C8"/>
    <w:rsid w:val="00593430"/>
    <w:rsid w:val="00593811"/>
    <w:rsid w:val="005A4E40"/>
    <w:rsid w:val="005B1BA5"/>
    <w:rsid w:val="005B45BA"/>
    <w:rsid w:val="005C0974"/>
    <w:rsid w:val="005C0BED"/>
    <w:rsid w:val="005C2C57"/>
    <w:rsid w:val="005C7DA7"/>
    <w:rsid w:val="005C7ECB"/>
    <w:rsid w:val="005D1E00"/>
    <w:rsid w:val="005D6055"/>
    <w:rsid w:val="005E34BD"/>
    <w:rsid w:val="005E64E8"/>
    <w:rsid w:val="005F2069"/>
    <w:rsid w:val="005F2561"/>
    <w:rsid w:val="005F6D00"/>
    <w:rsid w:val="005F7200"/>
    <w:rsid w:val="00600213"/>
    <w:rsid w:val="0061365D"/>
    <w:rsid w:val="0061696A"/>
    <w:rsid w:val="00616B50"/>
    <w:rsid w:val="00617127"/>
    <w:rsid w:val="006179EA"/>
    <w:rsid w:val="006230D3"/>
    <w:rsid w:val="0062318C"/>
    <w:rsid w:val="00623FDD"/>
    <w:rsid w:val="006251A9"/>
    <w:rsid w:val="006276D0"/>
    <w:rsid w:val="0063028A"/>
    <w:rsid w:val="006359AC"/>
    <w:rsid w:val="006415D5"/>
    <w:rsid w:val="006528DE"/>
    <w:rsid w:val="00656C27"/>
    <w:rsid w:val="00657416"/>
    <w:rsid w:val="00657FF4"/>
    <w:rsid w:val="00661B32"/>
    <w:rsid w:val="00663FA9"/>
    <w:rsid w:val="0066741A"/>
    <w:rsid w:val="00676863"/>
    <w:rsid w:val="00677294"/>
    <w:rsid w:val="00680759"/>
    <w:rsid w:val="00680FB2"/>
    <w:rsid w:val="0068141B"/>
    <w:rsid w:val="00684862"/>
    <w:rsid w:val="00687FBE"/>
    <w:rsid w:val="00687FC2"/>
    <w:rsid w:val="00691D76"/>
    <w:rsid w:val="006979E1"/>
    <w:rsid w:val="006A019C"/>
    <w:rsid w:val="006A06FE"/>
    <w:rsid w:val="006A3395"/>
    <w:rsid w:val="006A438D"/>
    <w:rsid w:val="006A4AB5"/>
    <w:rsid w:val="006A52EC"/>
    <w:rsid w:val="006A6324"/>
    <w:rsid w:val="006B672F"/>
    <w:rsid w:val="006B6DDD"/>
    <w:rsid w:val="006C16D7"/>
    <w:rsid w:val="006C49EE"/>
    <w:rsid w:val="006C783F"/>
    <w:rsid w:val="006D4031"/>
    <w:rsid w:val="006D54AC"/>
    <w:rsid w:val="006D54D1"/>
    <w:rsid w:val="006D5D05"/>
    <w:rsid w:val="006D6CF4"/>
    <w:rsid w:val="006D6F8C"/>
    <w:rsid w:val="006D7E90"/>
    <w:rsid w:val="006E7533"/>
    <w:rsid w:val="006F123C"/>
    <w:rsid w:val="006F3356"/>
    <w:rsid w:val="006F3C8A"/>
    <w:rsid w:val="006F3EAD"/>
    <w:rsid w:val="006F4BCA"/>
    <w:rsid w:val="006F7A79"/>
    <w:rsid w:val="00701449"/>
    <w:rsid w:val="0070624F"/>
    <w:rsid w:val="00707AE0"/>
    <w:rsid w:val="00713037"/>
    <w:rsid w:val="0072039D"/>
    <w:rsid w:val="00721381"/>
    <w:rsid w:val="00732344"/>
    <w:rsid w:val="00732B7B"/>
    <w:rsid w:val="00742B8B"/>
    <w:rsid w:val="00743270"/>
    <w:rsid w:val="0074529C"/>
    <w:rsid w:val="007456FA"/>
    <w:rsid w:val="007461E4"/>
    <w:rsid w:val="00752084"/>
    <w:rsid w:val="007544B7"/>
    <w:rsid w:val="007600E2"/>
    <w:rsid w:val="00762FCD"/>
    <w:rsid w:val="007659E2"/>
    <w:rsid w:val="00766099"/>
    <w:rsid w:val="00766507"/>
    <w:rsid w:val="00767BB3"/>
    <w:rsid w:val="00771892"/>
    <w:rsid w:val="00771CA4"/>
    <w:rsid w:val="007740E2"/>
    <w:rsid w:val="007763B8"/>
    <w:rsid w:val="00780017"/>
    <w:rsid w:val="007821F9"/>
    <w:rsid w:val="007858FA"/>
    <w:rsid w:val="00790716"/>
    <w:rsid w:val="00793DFD"/>
    <w:rsid w:val="00796072"/>
    <w:rsid w:val="0079692F"/>
    <w:rsid w:val="00796A8A"/>
    <w:rsid w:val="007A6065"/>
    <w:rsid w:val="007A7237"/>
    <w:rsid w:val="007B02D2"/>
    <w:rsid w:val="007B0382"/>
    <w:rsid w:val="007B239E"/>
    <w:rsid w:val="007B293D"/>
    <w:rsid w:val="007B6F83"/>
    <w:rsid w:val="007C6451"/>
    <w:rsid w:val="007C6882"/>
    <w:rsid w:val="007C7EBD"/>
    <w:rsid w:val="007D061B"/>
    <w:rsid w:val="007E0D8C"/>
    <w:rsid w:val="007F2BEA"/>
    <w:rsid w:val="007F3550"/>
    <w:rsid w:val="007F40ED"/>
    <w:rsid w:val="007F51B9"/>
    <w:rsid w:val="007F5FE1"/>
    <w:rsid w:val="0080558A"/>
    <w:rsid w:val="00824962"/>
    <w:rsid w:val="00824B1A"/>
    <w:rsid w:val="008252E2"/>
    <w:rsid w:val="00827C83"/>
    <w:rsid w:val="008329FA"/>
    <w:rsid w:val="008336F2"/>
    <w:rsid w:val="00836969"/>
    <w:rsid w:val="00841FF4"/>
    <w:rsid w:val="00842493"/>
    <w:rsid w:val="0084652B"/>
    <w:rsid w:val="00847EF9"/>
    <w:rsid w:val="00851FCD"/>
    <w:rsid w:val="00852B00"/>
    <w:rsid w:val="00853009"/>
    <w:rsid w:val="00856946"/>
    <w:rsid w:val="00857C86"/>
    <w:rsid w:val="008602EB"/>
    <w:rsid w:val="008732F0"/>
    <w:rsid w:val="008736A3"/>
    <w:rsid w:val="00873AEA"/>
    <w:rsid w:val="00873C3E"/>
    <w:rsid w:val="00874D6C"/>
    <w:rsid w:val="00875924"/>
    <w:rsid w:val="00876864"/>
    <w:rsid w:val="00883710"/>
    <w:rsid w:val="0088608D"/>
    <w:rsid w:val="00890494"/>
    <w:rsid w:val="00891528"/>
    <w:rsid w:val="00891A27"/>
    <w:rsid w:val="0089448C"/>
    <w:rsid w:val="0089548D"/>
    <w:rsid w:val="008967FC"/>
    <w:rsid w:val="008A4D87"/>
    <w:rsid w:val="008B20EF"/>
    <w:rsid w:val="008B4E3D"/>
    <w:rsid w:val="008C1EE3"/>
    <w:rsid w:val="008C237C"/>
    <w:rsid w:val="008C3C0A"/>
    <w:rsid w:val="008C4F20"/>
    <w:rsid w:val="008C7D00"/>
    <w:rsid w:val="008D01B9"/>
    <w:rsid w:val="008D38DD"/>
    <w:rsid w:val="008F27E3"/>
    <w:rsid w:val="009002DC"/>
    <w:rsid w:val="009057E7"/>
    <w:rsid w:val="00912370"/>
    <w:rsid w:val="00913B81"/>
    <w:rsid w:val="00913FF5"/>
    <w:rsid w:val="00915FE0"/>
    <w:rsid w:val="009168FA"/>
    <w:rsid w:val="0092257A"/>
    <w:rsid w:val="00926AFB"/>
    <w:rsid w:val="00926C7C"/>
    <w:rsid w:val="0092789C"/>
    <w:rsid w:val="00931968"/>
    <w:rsid w:val="009332EC"/>
    <w:rsid w:val="009363C7"/>
    <w:rsid w:val="009408E2"/>
    <w:rsid w:val="00944080"/>
    <w:rsid w:val="00947BA7"/>
    <w:rsid w:val="009546F6"/>
    <w:rsid w:val="00955BC2"/>
    <w:rsid w:val="00955D05"/>
    <w:rsid w:val="00960002"/>
    <w:rsid w:val="00960B4D"/>
    <w:rsid w:val="00962757"/>
    <w:rsid w:val="00976F4F"/>
    <w:rsid w:val="009824B2"/>
    <w:rsid w:val="009831BE"/>
    <w:rsid w:val="0098324A"/>
    <w:rsid w:val="0098438D"/>
    <w:rsid w:val="009853BD"/>
    <w:rsid w:val="00986387"/>
    <w:rsid w:val="00986DA3"/>
    <w:rsid w:val="009A1C71"/>
    <w:rsid w:val="009A298E"/>
    <w:rsid w:val="009A2AF7"/>
    <w:rsid w:val="009B0109"/>
    <w:rsid w:val="009B375A"/>
    <w:rsid w:val="009B5174"/>
    <w:rsid w:val="009B6FB8"/>
    <w:rsid w:val="009B7D2F"/>
    <w:rsid w:val="009C61A0"/>
    <w:rsid w:val="009C7D3D"/>
    <w:rsid w:val="009D40FE"/>
    <w:rsid w:val="009E0F4B"/>
    <w:rsid w:val="009E2F41"/>
    <w:rsid w:val="009E37B8"/>
    <w:rsid w:val="009E3E76"/>
    <w:rsid w:val="009E407A"/>
    <w:rsid w:val="009E6E8B"/>
    <w:rsid w:val="009F1475"/>
    <w:rsid w:val="009F1584"/>
    <w:rsid w:val="009F2B71"/>
    <w:rsid w:val="009F3D43"/>
    <w:rsid w:val="009F5072"/>
    <w:rsid w:val="00A002FE"/>
    <w:rsid w:val="00A063B7"/>
    <w:rsid w:val="00A101F6"/>
    <w:rsid w:val="00A12557"/>
    <w:rsid w:val="00A22869"/>
    <w:rsid w:val="00A31C3E"/>
    <w:rsid w:val="00A32937"/>
    <w:rsid w:val="00A36434"/>
    <w:rsid w:val="00A428E4"/>
    <w:rsid w:val="00A50E11"/>
    <w:rsid w:val="00A52A4C"/>
    <w:rsid w:val="00A53E11"/>
    <w:rsid w:val="00A5704A"/>
    <w:rsid w:val="00A60A32"/>
    <w:rsid w:val="00A6707E"/>
    <w:rsid w:val="00A70C9F"/>
    <w:rsid w:val="00A73755"/>
    <w:rsid w:val="00A7393C"/>
    <w:rsid w:val="00A8037E"/>
    <w:rsid w:val="00A81504"/>
    <w:rsid w:val="00A848E8"/>
    <w:rsid w:val="00A876D2"/>
    <w:rsid w:val="00A91EA2"/>
    <w:rsid w:val="00A9415D"/>
    <w:rsid w:val="00A971FC"/>
    <w:rsid w:val="00A97585"/>
    <w:rsid w:val="00A97676"/>
    <w:rsid w:val="00A97988"/>
    <w:rsid w:val="00AA4DA8"/>
    <w:rsid w:val="00AA780D"/>
    <w:rsid w:val="00AB6B86"/>
    <w:rsid w:val="00AC3A86"/>
    <w:rsid w:val="00AC4E91"/>
    <w:rsid w:val="00AC67C9"/>
    <w:rsid w:val="00AC6BA6"/>
    <w:rsid w:val="00AC77B2"/>
    <w:rsid w:val="00AD178D"/>
    <w:rsid w:val="00AD43F3"/>
    <w:rsid w:val="00AE77D3"/>
    <w:rsid w:val="00AF0816"/>
    <w:rsid w:val="00AF3122"/>
    <w:rsid w:val="00AF42F9"/>
    <w:rsid w:val="00AF4C72"/>
    <w:rsid w:val="00AF6EF1"/>
    <w:rsid w:val="00B016CD"/>
    <w:rsid w:val="00B01AE7"/>
    <w:rsid w:val="00B02B00"/>
    <w:rsid w:val="00B036DB"/>
    <w:rsid w:val="00B05A21"/>
    <w:rsid w:val="00B06A76"/>
    <w:rsid w:val="00B07FB7"/>
    <w:rsid w:val="00B11048"/>
    <w:rsid w:val="00B12B5D"/>
    <w:rsid w:val="00B13C70"/>
    <w:rsid w:val="00B14B49"/>
    <w:rsid w:val="00B15891"/>
    <w:rsid w:val="00B163C0"/>
    <w:rsid w:val="00B215F8"/>
    <w:rsid w:val="00B228F0"/>
    <w:rsid w:val="00B2301A"/>
    <w:rsid w:val="00B25781"/>
    <w:rsid w:val="00B26D2D"/>
    <w:rsid w:val="00B32EAA"/>
    <w:rsid w:val="00B342AA"/>
    <w:rsid w:val="00B34DF7"/>
    <w:rsid w:val="00B35A4C"/>
    <w:rsid w:val="00B45E02"/>
    <w:rsid w:val="00B53C1A"/>
    <w:rsid w:val="00B5458C"/>
    <w:rsid w:val="00B57451"/>
    <w:rsid w:val="00B66B00"/>
    <w:rsid w:val="00B67018"/>
    <w:rsid w:val="00B710FD"/>
    <w:rsid w:val="00B71456"/>
    <w:rsid w:val="00B7632E"/>
    <w:rsid w:val="00B76DC3"/>
    <w:rsid w:val="00B77244"/>
    <w:rsid w:val="00B815C8"/>
    <w:rsid w:val="00B82548"/>
    <w:rsid w:val="00B86387"/>
    <w:rsid w:val="00B92916"/>
    <w:rsid w:val="00B95695"/>
    <w:rsid w:val="00BA017A"/>
    <w:rsid w:val="00BA2309"/>
    <w:rsid w:val="00BA2E9C"/>
    <w:rsid w:val="00BA3284"/>
    <w:rsid w:val="00BA4DB6"/>
    <w:rsid w:val="00BA7E8B"/>
    <w:rsid w:val="00BB0787"/>
    <w:rsid w:val="00BB0A21"/>
    <w:rsid w:val="00BC1972"/>
    <w:rsid w:val="00BC4D46"/>
    <w:rsid w:val="00BC7337"/>
    <w:rsid w:val="00BD334E"/>
    <w:rsid w:val="00BD7ED2"/>
    <w:rsid w:val="00BE0213"/>
    <w:rsid w:val="00BE2550"/>
    <w:rsid w:val="00BE2886"/>
    <w:rsid w:val="00BE5EC1"/>
    <w:rsid w:val="00BE6C95"/>
    <w:rsid w:val="00BF168C"/>
    <w:rsid w:val="00BF4C48"/>
    <w:rsid w:val="00C00699"/>
    <w:rsid w:val="00C01970"/>
    <w:rsid w:val="00C04A41"/>
    <w:rsid w:val="00C13238"/>
    <w:rsid w:val="00C1747B"/>
    <w:rsid w:val="00C22C85"/>
    <w:rsid w:val="00C23979"/>
    <w:rsid w:val="00C24FED"/>
    <w:rsid w:val="00C25077"/>
    <w:rsid w:val="00C256DB"/>
    <w:rsid w:val="00C26411"/>
    <w:rsid w:val="00C279FC"/>
    <w:rsid w:val="00C306F9"/>
    <w:rsid w:val="00C30A1A"/>
    <w:rsid w:val="00C347AF"/>
    <w:rsid w:val="00C41AA5"/>
    <w:rsid w:val="00C41CC2"/>
    <w:rsid w:val="00C4377D"/>
    <w:rsid w:val="00C503C2"/>
    <w:rsid w:val="00C51A91"/>
    <w:rsid w:val="00C544D2"/>
    <w:rsid w:val="00C55C00"/>
    <w:rsid w:val="00C62389"/>
    <w:rsid w:val="00C6598F"/>
    <w:rsid w:val="00C666A3"/>
    <w:rsid w:val="00C735C4"/>
    <w:rsid w:val="00C7444F"/>
    <w:rsid w:val="00C74A93"/>
    <w:rsid w:val="00C769E0"/>
    <w:rsid w:val="00C77993"/>
    <w:rsid w:val="00C80471"/>
    <w:rsid w:val="00C80F7C"/>
    <w:rsid w:val="00C83AD9"/>
    <w:rsid w:val="00C83B8D"/>
    <w:rsid w:val="00C87FB2"/>
    <w:rsid w:val="00C91651"/>
    <w:rsid w:val="00C94CC4"/>
    <w:rsid w:val="00CA04A0"/>
    <w:rsid w:val="00CA76BF"/>
    <w:rsid w:val="00CB0120"/>
    <w:rsid w:val="00CB23BC"/>
    <w:rsid w:val="00CB34C6"/>
    <w:rsid w:val="00CB4808"/>
    <w:rsid w:val="00CB4ECC"/>
    <w:rsid w:val="00CB71B1"/>
    <w:rsid w:val="00CC4998"/>
    <w:rsid w:val="00CC70C4"/>
    <w:rsid w:val="00CC74D7"/>
    <w:rsid w:val="00CC7567"/>
    <w:rsid w:val="00CD0792"/>
    <w:rsid w:val="00CD09E9"/>
    <w:rsid w:val="00CD1BF8"/>
    <w:rsid w:val="00CD1E1A"/>
    <w:rsid w:val="00CD4737"/>
    <w:rsid w:val="00CD7714"/>
    <w:rsid w:val="00CE423B"/>
    <w:rsid w:val="00CF3E4B"/>
    <w:rsid w:val="00CF68EF"/>
    <w:rsid w:val="00D00605"/>
    <w:rsid w:val="00D024E5"/>
    <w:rsid w:val="00D034A6"/>
    <w:rsid w:val="00D03AC9"/>
    <w:rsid w:val="00D05B83"/>
    <w:rsid w:val="00D124B1"/>
    <w:rsid w:val="00D13D8C"/>
    <w:rsid w:val="00D164A0"/>
    <w:rsid w:val="00D210A6"/>
    <w:rsid w:val="00D21559"/>
    <w:rsid w:val="00D217B5"/>
    <w:rsid w:val="00D2228D"/>
    <w:rsid w:val="00D2251B"/>
    <w:rsid w:val="00D25380"/>
    <w:rsid w:val="00D25BF9"/>
    <w:rsid w:val="00D26445"/>
    <w:rsid w:val="00D314E2"/>
    <w:rsid w:val="00D33D4A"/>
    <w:rsid w:val="00D35C26"/>
    <w:rsid w:val="00D430B6"/>
    <w:rsid w:val="00D451CE"/>
    <w:rsid w:val="00D46E27"/>
    <w:rsid w:val="00D54077"/>
    <w:rsid w:val="00D54DC6"/>
    <w:rsid w:val="00D55C69"/>
    <w:rsid w:val="00D604EF"/>
    <w:rsid w:val="00D61FBA"/>
    <w:rsid w:val="00D620B3"/>
    <w:rsid w:val="00D62521"/>
    <w:rsid w:val="00D65A12"/>
    <w:rsid w:val="00D65A7B"/>
    <w:rsid w:val="00D66412"/>
    <w:rsid w:val="00D67A8C"/>
    <w:rsid w:val="00D71B62"/>
    <w:rsid w:val="00D760CF"/>
    <w:rsid w:val="00D7663A"/>
    <w:rsid w:val="00D77448"/>
    <w:rsid w:val="00D77BF3"/>
    <w:rsid w:val="00D81F8F"/>
    <w:rsid w:val="00D824B2"/>
    <w:rsid w:val="00D845F9"/>
    <w:rsid w:val="00D859F3"/>
    <w:rsid w:val="00D86C61"/>
    <w:rsid w:val="00D925D5"/>
    <w:rsid w:val="00D92962"/>
    <w:rsid w:val="00D94C51"/>
    <w:rsid w:val="00DA1783"/>
    <w:rsid w:val="00DA1C98"/>
    <w:rsid w:val="00DA254C"/>
    <w:rsid w:val="00DA264C"/>
    <w:rsid w:val="00DA45CC"/>
    <w:rsid w:val="00DB2418"/>
    <w:rsid w:val="00DB29FB"/>
    <w:rsid w:val="00DC27D4"/>
    <w:rsid w:val="00DC3F09"/>
    <w:rsid w:val="00DC644B"/>
    <w:rsid w:val="00DC6FA5"/>
    <w:rsid w:val="00DD039E"/>
    <w:rsid w:val="00DD1680"/>
    <w:rsid w:val="00DD24D5"/>
    <w:rsid w:val="00DD7F15"/>
    <w:rsid w:val="00DE0827"/>
    <w:rsid w:val="00DE374B"/>
    <w:rsid w:val="00DE7962"/>
    <w:rsid w:val="00DF060F"/>
    <w:rsid w:val="00DF1228"/>
    <w:rsid w:val="00DF15B3"/>
    <w:rsid w:val="00DF1F9E"/>
    <w:rsid w:val="00DF2498"/>
    <w:rsid w:val="00DF71CF"/>
    <w:rsid w:val="00DF740C"/>
    <w:rsid w:val="00E0061A"/>
    <w:rsid w:val="00E01ED3"/>
    <w:rsid w:val="00E02DAC"/>
    <w:rsid w:val="00E06A9B"/>
    <w:rsid w:val="00E124C1"/>
    <w:rsid w:val="00E13A47"/>
    <w:rsid w:val="00E144AA"/>
    <w:rsid w:val="00E14686"/>
    <w:rsid w:val="00E14D4A"/>
    <w:rsid w:val="00E20D38"/>
    <w:rsid w:val="00E22B77"/>
    <w:rsid w:val="00E27572"/>
    <w:rsid w:val="00E32E74"/>
    <w:rsid w:val="00E40CEA"/>
    <w:rsid w:val="00E43AED"/>
    <w:rsid w:val="00E4725C"/>
    <w:rsid w:val="00E5015B"/>
    <w:rsid w:val="00E53926"/>
    <w:rsid w:val="00E704BD"/>
    <w:rsid w:val="00E70EC6"/>
    <w:rsid w:val="00E72354"/>
    <w:rsid w:val="00E748E9"/>
    <w:rsid w:val="00E74AC5"/>
    <w:rsid w:val="00E76FAF"/>
    <w:rsid w:val="00E77A95"/>
    <w:rsid w:val="00E81057"/>
    <w:rsid w:val="00E81B81"/>
    <w:rsid w:val="00E82B50"/>
    <w:rsid w:val="00E87AF6"/>
    <w:rsid w:val="00E914A6"/>
    <w:rsid w:val="00E93FD8"/>
    <w:rsid w:val="00E9669B"/>
    <w:rsid w:val="00EA0221"/>
    <w:rsid w:val="00EA02C4"/>
    <w:rsid w:val="00EB2AAE"/>
    <w:rsid w:val="00EB3D73"/>
    <w:rsid w:val="00EB5251"/>
    <w:rsid w:val="00EB56AF"/>
    <w:rsid w:val="00EB719C"/>
    <w:rsid w:val="00EC0C18"/>
    <w:rsid w:val="00EC2EB3"/>
    <w:rsid w:val="00EC53A9"/>
    <w:rsid w:val="00EC7A0C"/>
    <w:rsid w:val="00ED5D1F"/>
    <w:rsid w:val="00ED7E09"/>
    <w:rsid w:val="00EE1922"/>
    <w:rsid w:val="00EE2A79"/>
    <w:rsid w:val="00EE5A5A"/>
    <w:rsid w:val="00EF5182"/>
    <w:rsid w:val="00EF60FC"/>
    <w:rsid w:val="00EF65A3"/>
    <w:rsid w:val="00F04713"/>
    <w:rsid w:val="00F14A1A"/>
    <w:rsid w:val="00F24F5A"/>
    <w:rsid w:val="00F306BE"/>
    <w:rsid w:val="00F352F5"/>
    <w:rsid w:val="00F37450"/>
    <w:rsid w:val="00F41AE8"/>
    <w:rsid w:val="00F45D13"/>
    <w:rsid w:val="00F53CE7"/>
    <w:rsid w:val="00F549EB"/>
    <w:rsid w:val="00F56103"/>
    <w:rsid w:val="00F56321"/>
    <w:rsid w:val="00F57C1A"/>
    <w:rsid w:val="00F62DAE"/>
    <w:rsid w:val="00F63859"/>
    <w:rsid w:val="00F64D2A"/>
    <w:rsid w:val="00F759F2"/>
    <w:rsid w:val="00F75B28"/>
    <w:rsid w:val="00F767FE"/>
    <w:rsid w:val="00F76985"/>
    <w:rsid w:val="00F76C1E"/>
    <w:rsid w:val="00F844BF"/>
    <w:rsid w:val="00F85D9C"/>
    <w:rsid w:val="00F862D1"/>
    <w:rsid w:val="00F8746B"/>
    <w:rsid w:val="00F94A9B"/>
    <w:rsid w:val="00F94BB7"/>
    <w:rsid w:val="00F95581"/>
    <w:rsid w:val="00F95FA5"/>
    <w:rsid w:val="00FA0315"/>
    <w:rsid w:val="00FA2E02"/>
    <w:rsid w:val="00FA5F36"/>
    <w:rsid w:val="00FA6F4E"/>
    <w:rsid w:val="00FB1416"/>
    <w:rsid w:val="00FB3014"/>
    <w:rsid w:val="00FB71C5"/>
    <w:rsid w:val="00FC05B0"/>
    <w:rsid w:val="00FC1E6C"/>
    <w:rsid w:val="00FC41F3"/>
    <w:rsid w:val="00FC4938"/>
    <w:rsid w:val="00FC70C6"/>
    <w:rsid w:val="00FD15C1"/>
    <w:rsid w:val="00FD1F46"/>
    <w:rsid w:val="00FD26DE"/>
    <w:rsid w:val="00FD2E14"/>
    <w:rsid w:val="00FD3526"/>
    <w:rsid w:val="00FD7775"/>
    <w:rsid w:val="00FE0572"/>
    <w:rsid w:val="00FE0705"/>
    <w:rsid w:val="00FE2E3F"/>
    <w:rsid w:val="00FE518E"/>
    <w:rsid w:val="00FE53ED"/>
    <w:rsid w:val="00FF1530"/>
    <w:rsid w:val="00FF54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Title" w:qFormat="1"/>
    <w:lsdException w:name="Default Paragraph Font" w:uiPriority="1"/>
    <w:lsdException w:name="Subtitle" w:qFormat="1"/>
    <w:lsdException w:name="Strong"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1504"/>
    <w:pPr>
      <w:widowControl w:val="0"/>
    </w:pPr>
    <w:rPr>
      <w:snapToGrid w:val="0"/>
      <w:kern w:val="28"/>
      <w:sz w:val="22"/>
    </w:rPr>
  </w:style>
  <w:style w:type="paragraph" w:styleId="Heading1">
    <w:name w:val="heading 1"/>
    <w:basedOn w:val="Normal"/>
    <w:next w:val="ParaNum"/>
    <w:qFormat/>
    <w:rsid w:val="00A81504"/>
    <w:pPr>
      <w:keepNext/>
      <w:numPr>
        <w:numId w:val="45"/>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A81504"/>
    <w:pPr>
      <w:keepNext/>
      <w:numPr>
        <w:ilvl w:val="1"/>
        <w:numId w:val="45"/>
      </w:numPr>
      <w:spacing w:after="120"/>
      <w:outlineLvl w:val="1"/>
    </w:pPr>
    <w:rPr>
      <w:b/>
    </w:rPr>
  </w:style>
  <w:style w:type="paragraph" w:styleId="Heading3">
    <w:name w:val="heading 3"/>
    <w:basedOn w:val="Normal"/>
    <w:next w:val="ParaNum"/>
    <w:qFormat/>
    <w:rsid w:val="00A81504"/>
    <w:pPr>
      <w:keepNext/>
      <w:numPr>
        <w:ilvl w:val="2"/>
        <w:numId w:val="45"/>
      </w:numPr>
      <w:tabs>
        <w:tab w:val="left" w:pos="2160"/>
      </w:tabs>
      <w:spacing w:after="120"/>
      <w:outlineLvl w:val="2"/>
    </w:pPr>
    <w:rPr>
      <w:b/>
    </w:rPr>
  </w:style>
  <w:style w:type="paragraph" w:styleId="Heading4">
    <w:name w:val="heading 4"/>
    <w:basedOn w:val="Normal"/>
    <w:next w:val="ParaNum"/>
    <w:qFormat/>
    <w:rsid w:val="00A81504"/>
    <w:pPr>
      <w:keepNext/>
      <w:numPr>
        <w:ilvl w:val="3"/>
        <w:numId w:val="45"/>
      </w:numPr>
      <w:tabs>
        <w:tab w:val="left" w:pos="2880"/>
      </w:tabs>
      <w:spacing w:after="120"/>
      <w:outlineLvl w:val="3"/>
    </w:pPr>
    <w:rPr>
      <w:b/>
    </w:rPr>
  </w:style>
  <w:style w:type="paragraph" w:styleId="Heading5">
    <w:name w:val="heading 5"/>
    <w:basedOn w:val="Normal"/>
    <w:next w:val="ParaNum"/>
    <w:qFormat/>
    <w:rsid w:val="00A81504"/>
    <w:pPr>
      <w:keepNext/>
      <w:numPr>
        <w:ilvl w:val="4"/>
        <w:numId w:val="45"/>
      </w:numPr>
      <w:tabs>
        <w:tab w:val="left" w:pos="3600"/>
      </w:tabs>
      <w:suppressAutoHyphens/>
      <w:spacing w:after="120"/>
      <w:outlineLvl w:val="4"/>
    </w:pPr>
    <w:rPr>
      <w:b/>
    </w:rPr>
  </w:style>
  <w:style w:type="paragraph" w:styleId="Heading6">
    <w:name w:val="heading 6"/>
    <w:basedOn w:val="Normal"/>
    <w:next w:val="ParaNum"/>
    <w:qFormat/>
    <w:rsid w:val="00A81504"/>
    <w:pPr>
      <w:numPr>
        <w:ilvl w:val="5"/>
        <w:numId w:val="45"/>
      </w:numPr>
      <w:tabs>
        <w:tab w:val="left" w:pos="4320"/>
      </w:tabs>
      <w:spacing w:after="120"/>
      <w:outlineLvl w:val="5"/>
    </w:pPr>
    <w:rPr>
      <w:b/>
    </w:rPr>
  </w:style>
  <w:style w:type="paragraph" w:styleId="Heading7">
    <w:name w:val="heading 7"/>
    <w:basedOn w:val="Normal"/>
    <w:next w:val="ParaNum"/>
    <w:qFormat/>
    <w:rsid w:val="00A81504"/>
    <w:pPr>
      <w:numPr>
        <w:ilvl w:val="6"/>
        <w:numId w:val="45"/>
      </w:numPr>
      <w:tabs>
        <w:tab w:val="left" w:pos="5040"/>
      </w:tabs>
      <w:spacing w:after="120"/>
      <w:ind w:left="5040" w:hanging="720"/>
      <w:outlineLvl w:val="6"/>
    </w:pPr>
    <w:rPr>
      <w:b/>
    </w:rPr>
  </w:style>
  <w:style w:type="paragraph" w:styleId="Heading8">
    <w:name w:val="heading 8"/>
    <w:basedOn w:val="Normal"/>
    <w:next w:val="ParaNum"/>
    <w:qFormat/>
    <w:rsid w:val="00A81504"/>
    <w:pPr>
      <w:numPr>
        <w:ilvl w:val="7"/>
        <w:numId w:val="45"/>
      </w:numPr>
      <w:tabs>
        <w:tab w:val="clear" w:pos="5400"/>
        <w:tab w:val="left" w:pos="5760"/>
      </w:tabs>
      <w:spacing w:after="120"/>
      <w:ind w:left="5760" w:hanging="720"/>
      <w:outlineLvl w:val="7"/>
    </w:pPr>
    <w:rPr>
      <w:b/>
    </w:rPr>
  </w:style>
  <w:style w:type="paragraph" w:styleId="Heading9">
    <w:name w:val="heading 9"/>
    <w:basedOn w:val="Normal"/>
    <w:next w:val="ParaNum"/>
    <w:qFormat/>
    <w:rsid w:val="00A81504"/>
    <w:pPr>
      <w:numPr>
        <w:ilvl w:val="8"/>
        <w:numId w:val="45"/>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A8150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81504"/>
  </w:style>
  <w:style w:type="paragraph" w:styleId="Caption">
    <w:name w:val="caption"/>
    <w:basedOn w:val="Normal"/>
    <w:next w:val="Normal"/>
    <w:qFormat/>
    <w:pPr>
      <w:spacing w:before="120" w:after="120"/>
    </w:pPr>
    <w:rPr>
      <w:b/>
    </w:rPr>
  </w:style>
  <w:style w:type="paragraph" w:customStyle="1" w:styleId="ParaNum">
    <w:name w:val="ParaNum"/>
    <w:basedOn w:val="Normal"/>
    <w:link w:val="ParaNumChar"/>
    <w:rsid w:val="00A81504"/>
    <w:pPr>
      <w:numPr>
        <w:numId w:val="44"/>
      </w:numPr>
      <w:tabs>
        <w:tab w:val="clear" w:pos="1080"/>
        <w:tab w:val="num" w:pos="1440"/>
      </w:tabs>
      <w:spacing w:after="120"/>
    </w:pPr>
  </w:style>
  <w:style w:type="paragraph" w:styleId="FootnoteText">
    <w:name w:val="footnote text"/>
    <w:aliases w:val="Footnote Text Char2,Footnote Text Char1 Char3,Footnote Text Char Char Char,Footnote Text Char1 Char Char Char,Footnote Text Char2 Char Char Char Char,Footnote Text Char Char Char Char Char Char,Footnote Text Char1,Footnote Text Char Char,f"/>
    <w:link w:val="FootnoteTextChar"/>
    <w:rsid w:val="00A81504"/>
    <w:pPr>
      <w:spacing w:after="120"/>
    </w:pPr>
  </w:style>
  <w:style w:type="paragraph" w:customStyle="1" w:styleId="Bullet">
    <w:name w:val="Bullet"/>
    <w:basedOn w:val="Normal"/>
    <w:rsid w:val="00A81504"/>
    <w:pPr>
      <w:tabs>
        <w:tab w:val="left" w:pos="2160"/>
      </w:tabs>
      <w:spacing w:after="220"/>
      <w:ind w:left="2160" w:hanging="720"/>
    </w:pPr>
  </w:style>
  <w:style w:type="paragraph" w:styleId="BlockText">
    <w:name w:val="Block Text"/>
    <w:basedOn w:val="Normal"/>
    <w:rsid w:val="00A81504"/>
    <w:pPr>
      <w:spacing w:after="240"/>
      <w:ind w:left="1440" w:right="1440"/>
    </w:pPr>
  </w:style>
  <w:style w:type="paragraph" w:customStyle="1" w:styleId="TableFormat">
    <w:name w:val="TableFormat"/>
    <w:basedOn w:val="Bullet"/>
    <w:rsid w:val="00A81504"/>
    <w:pPr>
      <w:tabs>
        <w:tab w:val="clear" w:pos="2160"/>
        <w:tab w:val="left" w:pos="5040"/>
      </w:tabs>
      <w:ind w:left="5040" w:hanging="3600"/>
    </w:pPr>
  </w:style>
  <w:style w:type="character" w:styleId="FootnoteReference">
    <w:name w:val="footnote reference"/>
    <w:aliases w:val="Appel note de bas de p,Style 12,(NECG) Footnote Reference,Style 124,o,fr,Style 3,Style 13,FR,Style 17,Style 6,Footnote Reference/"/>
    <w:rsid w:val="00A81504"/>
    <w:rPr>
      <w:rFonts w:ascii="Times New Roman" w:hAnsi="Times New Roman"/>
      <w:dstrike w:val="0"/>
      <w:color w:val="auto"/>
      <w:sz w:val="20"/>
      <w:vertAlign w:val="superscript"/>
    </w:rPr>
  </w:style>
  <w:style w:type="paragraph" w:styleId="Header">
    <w:name w:val="header"/>
    <w:basedOn w:val="Normal"/>
    <w:autoRedefine/>
    <w:rsid w:val="00A81504"/>
    <w:pPr>
      <w:tabs>
        <w:tab w:val="center" w:pos="4680"/>
        <w:tab w:val="right" w:pos="9360"/>
      </w:tabs>
    </w:pPr>
    <w:rPr>
      <w:b/>
    </w:rPr>
  </w:style>
  <w:style w:type="paragraph" w:styleId="Footer">
    <w:name w:val="footer"/>
    <w:basedOn w:val="Normal"/>
    <w:rsid w:val="00A81504"/>
    <w:pPr>
      <w:tabs>
        <w:tab w:val="center" w:pos="4320"/>
        <w:tab w:val="right" w:pos="8640"/>
      </w:tabs>
    </w:pPr>
  </w:style>
  <w:style w:type="paragraph" w:styleId="TOC2">
    <w:name w:val="toc 2"/>
    <w:basedOn w:val="Normal"/>
    <w:next w:val="Normal"/>
    <w:semiHidden/>
    <w:rsid w:val="00A81504"/>
    <w:pPr>
      <w:tabs>
        <w:tab w:val="left" w:pos="720"/>
        <w:tab w:val="right" w:leader="dot" w:pos="9360"/>
      </w:tabs>
      <w:suppressAutoHyphens/>
      <w:ind w:left="720" w:right="720" w:hanging="360"/>
    </w:pPr>
    <w:rPr>
      <w:noProof/>
    </w:rPr>
  </w:style>
  <w:style w:type="paragraph" w:customStyle="1" w:styleId="NumberedList">
    <w:name w:val="Numbered List"/>
    <w:basedOn w:val="Normal"/>
    <w:pPr>
      <w:numPr>
        <w:numId w:val="21"/>
      </w:numPr>
      <w:tabs>
        <w:tab w:val="clear" w:pos="1080"/>
      </w:tabs>
      <w:spacing w:after="220"/>
      <w:ind w:firstLine="0"/>
    </w:pPr>
  </w:style>
  <w:style w:type="paragraph" w:styleId="TOC1">
    <w:name w:val="toc 1"/>
    <w:basedOn w:val="Normal"/>
    <w:next w:val="Normal"/>
    <w:semiHidden/>
    <w:rsid w:val="00A81504"/>
    <w:pPr>
      <w:tabs>
        <w:tab w:val="left" w:pos="360"/>
        <w:tab w:val="right" w:leader="dot" w:pos="9360"/>
      </w:tabs>
      <w:suppressAutoHyphens/>
      <w:ind w:left="360" w:right="720" w:hanging="360"/>
    </w:pPr>
    <w:rPr>
      <w:caps/>
      <w:noProof/>
    </w:rPr>
  </w:style>
  <w:style w:type="paragraph" w:styleId="TOC3">
    <w:name w:val="toc 3"/>
    <w:basedOn w:val="Normal"/>
    <w:next w:val="Normal"/>
    <w:semiHidden/>
    <w:rsid w:val="00A81504"/>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A81504"/>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A81504"/>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A81504"/>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A81504"/>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A81504"/>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A81504"/>
    <w:pPr>
      <w:tabs>
        <w:tab w:val="left" w:pos="3240"/>
        <w:tab w:val="right" w:leader="dot" w:pos="9360"/>
      </w:tabs>
      <w:suppressAutoHyphens/>
      <w:ind w:left="3240" w:hanging="360"/>
    </w:pPr>
    <w:rPr>
      <w:noProof/>
    </w:rPr>
  </w:style>
  <w:style w:type="character" w:styleId="PageNumber">
    <w:name w:val="page number"/>
    <w:basedOn w:val="DefaultParagraphFont"/>
    <w:rsid w:val="00A81504"/>
  </w:style>
  <w:style w:type="paragraph" w:styleId="Title">
    <w:name w:val="Title"/>
    <w:basedOn w:val="Normal"/>
    <w:qFormat/>
    <w:pPr>
      <w:jc w:val="center"/>
    </w:pPr>
    <w:rPr>
      <w:b/>
    </w:rPr>
  </w:style>
  <w:style w:type="character" w:customStyle="1" w:styleId="FootnoteTextChar">
    <w:name w:val="Footnote Text Char"/>
    <w:aliases w:val="Footnote Text Char2 Char,Footnote Text Char1 Char3 Char,Footnote Text Char Char Char Char,Footnote Text Char1 Char Char Char Char,Footnote Text Char2 Char Char Char Char Char,Footnote Text Char Char Char Char Char Char Char,f Char"/>
    <w:link w:val="FootnoteText"/>
    <w:rsid w:val="00E87AF6"/>
  </w:style>
  <w:style w:type="paragraph" w:styleId="DocumentMap">
    <w:name w:val="Document Map"/>
    <w:basedOn w:val="Normal"/>
    <w:semiHidden/>
    <w:rsid w:val="00CB0120"/>
    <w:pPr>
      <w:shd w:val="clear" w:color="auto" w:fill="000080"/>
    </w:pPr>
    <w:rPr>
      <w:rFonts w:ascii="Tahoma" w:hAnsi="Tahoma" w:cs="Tahoma"/>
      <w:sz w:val="20"/>
    </w:rPr>
  </w:style>
  <w:style w:type="paragraph" w:styleId="BalloonText">
    <w:name w:val="Balloon Text"/>
    <w:basedOn w:val="Normal"/>
    <w:semiHidden/>
    <w:rsid w:val="00EA0221"/>
    <w:rPr>
      <w:rFonts w:ascii="Tahoma" w:hAnsi="Tahoma" w:cs="Tahoma"/>
      <w:sz w:val="16"/>
      <w:szCs w:val="16"/>
    </w:rPr>
  </w:style>
  <w:style w:type="character" w:styleId="CommentReference">
    <w:name w:val="annotation reference"/>
    <w:uiPriority w:val="99"/>
    <w:rsid w:val="00D925D5"/>
    <w:rPr>
      <w:sz w:val="16"/>
      <w:szCs w:val="16"/>
    </w:rPr>
  </w:style>
  <w:style w:type="paragraph" w:styleId="CommentText">
    <w:name w:val="annotation text"/>
    <w:basedOn w:val="Normal"/>
    <w:link w:val="CommentTextChar"/>
    <w:uiPriority w:val="99"/>
    <w:rsid w:val="00F57C1A"/>
    <w:rPr>
      <w:sz w:val="20"/>
    </w:rPr>
  </w:style>
  <w:style w:type="character" w:customStyle="1" w:styleId="CommentTextChar">
    <w:name w:val="Comment Text Char"/>
    <w:basedOn w:val="DefaultParagraphFont"/>
    <w:link w:val="CommentText"/>
    <w:uiPriority w:val="99"/>
    <w:rsid w:val="00F57C1A"/>
  </w:style>
  <w:style w:type="paragraph" w:styleId="CommentSubject">
    <w:name w:val="annotation subject"/>
    <w:basedOn w:val="CommentText"/>
    <w:next w:val="CommentText"/>
    <w:link w:val="CommentSubjectChar"/>
    <w:rsid w:val="00F57C1A"/>
    <w:rPr>
      <w:b/>
      <w:bCs/>
    </w:rPr>
  </w:style>
  <w:style w:type="character" w:customStyle="1" w:styleId="CommentSubjectChar">
    <w:name w:val="Comment Subject Char"/>
    <w:link w:val="CommentSubject"/>
    <w:rsid w:val="00F57C1A"/>
    <w:rPr>
      <w:b/>
      <w:bCs/>
    </w:rPr>
  </w:style>
  <w:style w:type="character" w:styleId="Hyperlink">
    <w:name w:val="Hyperlink"/>
    <w:rsid w:val="00A81504"/>
    <w:rPr>
      <w:color w:val="0000FF"/>
      <w:u w:val="single"/>
    </w:rPr>
  </w:style>
  <w:style w:type="paragraph" w:customStyle="1" w:styleId="ColorfulShading-Accent11">
    <w:name w:val="Colorful Shading - Accent 11"/>
    <w:hidden/>
    <w:uiPriority w:val="99"/>
    <w:semiHidden/>
    <w:rsid w:val="00962757"/>
    <w:rPr>
      <w:sz w:val="22"/>
    </w:rPr>
  </w:style>
  <w:style w:type="character" w:styleId="FollowedHyperlink">
    <w:name w:val="FollowedHyperlink"/>
    <w:rsid w:val="00C41AA5"/>
    <w:rPr>
      <w:color w:val="800080"/>
      <w:u w:val="single"/>
    </w:rPr>
  </w:style>
  <w:style w:type="character" w:customStyle="1" w:styleId="ParaNumChar">
    <w:name w:val="ParaNum Char"/>
    <w:link w:val="ParaNum"/>
    <w:locked/>
    <w:rsid w:val="00D71B62"/>
    <w:rPr>
      <w:snapToGrid w:val="0"/>
      <w:kern w:val="28"/>
      <w:sz w:val="22"/>
    </w:rPr>
  </w:style>
  <w:style w:type="paragraph" w:styleId="Revision">
    <w:name w:val="Revision"/>
    <w:hidden/>
    <w:uiPriority w:val="99"/>
    <w:semiHidden/>
    <w:rsid w:val="0010057A"/>
    <w:rPr>
      <w:sz w:val="22"/>
    </w:rPr>
  </w:style>
  <w:style w:type="character" w:customStyle="1" w:styleId="ALTSFOOTNOTEChar2">
    <w:name w:val="ALTS FOOTNOTE Char2"/>
    <w:aliases w:val="fn Char2,Footnote Text Char2 Char Char2,Footnote Text Char1 Char Char Char2,Footnote Text Char Char2 Char Char Char2,Footnote Text Char4 Char Char Char Char Char2,Footnote Text Char1 Char,fn Ch Char,f Char1,fn Ch Char Char"/>
    <w:semiHidden/>
    <w:locked/>
    <w:rsid w:val="001A6068"/>
    <w:rPr>
      <w:rFonts w:cs="Times New Roman"/>
      <w:sz w:val="20"/>
      <w:szCs w:val="20"/>
    </w:rPr>
  </w:style>
  <w:style w:type="character" w:customStyle="1" w:styleId="ALTSFOOTNOTEChar">
    <w:name w:val="ALTS FOOTNOTE Char"/>
    <w:aliases w:val="fn Char,Footnote Text Char2 Char Char,Footnote Text Char Char2 Char Char Char,Footnote Text Char4 Char Char Char Char Char,Footnote Text Char2 Char1 Char Char Char Char Char,Footnote Text Char Char Char Char Char"/>
    <w:semiHidden/>
    <w:locked/>
    <w:rsid w:val="001A6068"/>
    <w:rPr>
      <w:sz w:val="22"/>
      <w:lang w:val="en-US" w:eastAsia="en-US" w:bidi="ar-SA"/>
    </w:rPr>
  </w:style>
  <w:style w:type="character" w:customStyle="1" w:styleId="documentbody">
    <w:name w:val="documentbody"/>
    <w:rsid w:val="001A6068"/>
  </w:style>
  <w:style w:type="paragraph" w:styleId="PlainText">
    <w:name w:val="Plain Text"/>
    <w:basedOn w:val="Normal"/>
    <w:link w:val="PlainTextChar"/>
    <w:uiPriority w:val="99"/>
    <w:unhideWhenUsed/>
    <w:rsid w:val="00037571"/>
    <w:rPr>
      <w:rFonts w:ascii="Calibri" w:eastAsiaTheme="minorHAnsi" w:hAnsi="Calibri" w:cs="Consolas"/>
      <w:szCs w:val="21"/>
    </w:rPr>
  </w:style>
  <w:style w:type="character" w:customStyle="1" w:styleId="PlainTextChar">
    <w:name w:val="Plain Text Char"/>
    <w:basedOn w:val="DefaultParagraphFont"/>
    <w:link w:val="PlainText"/>
    <w:uiPriority w:val="99"/>
    <w:rsid w:val="00037571"/>
    <w:rPr>
      <w:rFonts w:ascii="Calibri" w:eastAsiaTheme="minorHAnsi" w:hAnsi="Calibri" w:cs="Consolas"/>
      <w:sz w:val="22"/>
      <w:szCs w:val="21"/>
    </w:rPr>
  </w:style>
  <w:style w:type="paragraph" w:styleId="EndnoteText">
    <w:name w:val="endnote text"/>
    <w:basedOn w:val="Normal"/>
    <w:link w:val="EndnoteTextChar"/>
    <w:rsid w:val="00A81504"/>
    <w:rPr>
      <w:sz w:val="20"/>
    </w:rPr>
  </w:style>
  <w:style w:type="character" w:customStyle="1" w:styleId="EndnoteTextChar">
    <w:name w:val="Endnote Text Char"/>
    <w:basedOn w:val="DefaultParagraphFont"/>
    <w:link w:val="EndnoteText"/>
    <w:rsid w:val="00457403"/>
    <w:rPr>
      <w:snapToGrid w:val="0"/>
      <w:kern w:val="28"/>
    </w:rPr>
  </w:style>
  <w:style w:type="character" w:styleId="EndnoteReference">
    <w:name w:val="endnote reference"/>
    <w:rsid w:val="00A81504"/>
    <w:rPr>
      <w:vertAlign w:val="superscript"/>
    </w:rPr>
  </w:style>
  <w:style w:type="paragraph" w:styleId="TOAHeading">
    <w:name w:val="toa heading"/>
    <w:basedOn w:val="Normal"/>
    <w:next w:val="Normal"/>
    <w:rsid w:val="00A81504"/>
    <w:pPr>
      <w:tabs>
        <w:tab w:val="right" w:pos="9360"/>
      </w:tabs>
      <w:suppressAutoHyphens/>
    </w:pPr>
  </w:style>
  <w:style w:type="character" w:customStyle="1" w:styleId="EquationCaption">
    <w:name w:val="_Equation Caption"/>
    <w:rsid w:val="00A81504"/>
  </w:style>
  <w:style w:type="paragraph" w:customStyle="1" w:styleId="Paratitle">
    <w:name w:val="Para title"/>
    <w:basedOn w:val="Normal"/>
    <w:rsid w:val="00A81504"/>
    <w:pPr>
      <w:tabs>
        <w:tab w:val="center" w:pos="9270"/>
      </w:tabs>
      <w:spacing w:after="240"/>
    </w:pPr>
    <w:rPr>
      <w:spacing w:val="-2"/>
    </w:rPr>
  </w:style>
  <w:style w:type="paragraph" w:customStyle="1" w:styleId="TOCTitle">
    <w:name w:val="TOC Title"/>
    <w:basedOn w:val="Normal"/>
    <w:rsid w:val="00A81504"/>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A81504"/>
    <w:pPr>
      <w:jc w:val="center"/>
    </w:pPr>
    <w:rPr>
      <w:rFonts w:ascii="Times New Roman Bold" w:hAnsi="Times New Roman Bold"/>
      <w:b/>
      <w:bCs/>
      <w:caps/>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Title" w:qFormat="1"/>
    <w:lsdException w:name="Default Paragraph Font" w:uiPriority="1"/>
    <w:lsdException w:name="Subtitle" w:qFormat="1"/>
    <w:lsdException w:name="Strong"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1504"/>
    <w:pPr>
      <w:widowControl w:val="0"/>
    </w:pPr>
    <w:rPr>
      <w:snapToGrid w:val="0"/>
      <w:kern w:val="28"/>
      <w:sz w:val="22"/>
    </w:rPr>
  </w:style>
  <w:style w:type="paragraph" w:styleId="Heading1">
    <w:name w:val="heading 1"/>
    <w:basedOn w:val="Normal"/>
    <w:next w:val="ParaNum"/>
    <w:qFormat/>
    <w:rsid w:val="00A81504"/>
    <w:pPr>
      <w:keepNext/>
      <w:numPr>
        <w:numId w:val="45"/>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A81504"/>
    <w:pPr>
      <w:keepNext/>
      <w:numPr>
        <w:ilvl w:val="1"/>
        <w:numId w:val="45"/>
      </w:numPr>
      <w:spacing w:after="120"/>
      <w:outlineLvl w:val="1"/>
    </w:pPr>
    <w:rPr>
      <w:b/>
    </w:rPr>
  </w:style>
  <w:style w:type="paragraph" w:styleId="Heading3">
    <w:name w:val="heading 3"/>
    <w:basedOn w:val="Normal"/>
    <w:next w:val="ParaNum"/>
    <w:qFormat/>
    <w:rsid w:val="00A81504"/>
    <w:pPr>
      <w:keepNext/>
      <w:numPr>
        <w:ilvl w:val="2"/>
        <w:numId w:val="45"/>
      </w:numPr>
      <w:tabs>
        <w:tab w:val="left" w:pos="2160"/>
      </w:tabs>
      <w:spacing w:after="120"/>
      <w:outlineLvl w:val="2"/>
    </w:pPr>
    <w:rPr>
      <w:b/>
    </w:rPr>
  </w:style>
  <w:style w:type="paragraph" w:styleId="Heading4">
    <w:name w:val="heading 4"/>
    <w:basedOn w:val="Normal"/>
    <w:next w:val="ParaNum"/>
    <w:qFormat/>
    <w:rsid w:val="00A81504"/>
    <w:pPr>
      <w:keepNext/>
      <w:numPr>
        <w:ilvl w:val="3"/>
        <w:numId w:val="45"/>
      </w:numPr>
      <w:tabs>
        <w:tab w:val="left" w:pos="2880"/>
      </w:tabs>
      <w:spacing w:after="120"/>
      <w:outlineLvl w:val="3"/>
    </w:pPr>
    <w:rPr>
      <w:b/>
    </w:rPr>
  </w:style>
  <w:style w:type="paragraph" w:styleId="Heading5">
    <w:name w:val="heading 5"/>
    <w:basedOn w:val="Normal"/>
    <w:next w:val="ParaNum"/>
    <w:qFormat/>
    <w:rsid w:val="00A81504"/>
    <w:pPr>
      <w:keepNext/>
      <w:numPr>
        <w:ilvl w:val="4"/>
        <w:numId w:val="45"/>
      </w:numPr>
      <w:tabs>
        <w:tab w:val="left" w:pos="3600"/>
      </w:tabs>
      <w:suppressAutoHyphens/>
      <w:spacing w:after="120"/>
      <w:outlineLvl w:val="4"/>
    </w:pPr>
    <w:rPr>
      <w:b/>
    </w:rPr>
  </w:style>
  <w:style w:type="paragraph" w:styleId="Heading6">
    <w:name w:val="heading 6"/>
    <w:basedOn w:val="Normal"/>
    <w:next w:val="ParaNum"/>
    <w:qFormat/>
    <w:rsid w:val="00A81504"/>
    <w:pPr>
      <w:numPr>
        <w:ilvl w:val="5"/>
        <w:numId w:val="45"/>
      </w:numPr>
      <w:tabs>
        <w:tab w:val="left" w:pos="4320"/>
      </w:tabs>
      <w:spacing w:after="120"/>
      <w:outlineLvl w:val="5"/>
    </w:pPr>
    <w:rPr>
      <w:b/>
    </w:rPr>
  </w:style>
  <w:style w:type="paragraph" w:styleId="Heading7">
    <w:name w:val="heading 7"/>
    <w:basedOn w:val="Normal"/>
    <w:next w:val="ParaNum"/>
    <w:qFormat/>
    <w:rsid w:val="00A81504"/>
    <w:pPr>
      <w:numPr>
        <w:ilvl w:val="6"/>
        <w:numId w:val="45"/>
      </w:numPr>
      <w:tabs>
        <w:tab w:val="left" w:pos="5040"/>
      </w:tabs>
      <w:spacing w:after="120"/>
      <w:ind w:left="5040" w:hanging="720"/>
      <w:outlineLvl w:val="6"/>
    </w:pPr>
    <w:rPr>
      <w:b/>
    </w:rPr>
  </w:style>
  <w:style w:type="paragraph" w:styleId="Heading8">
    <w:name w:val="heading 8"/>
    <w:basedOn w:val="Normal"/>
    <w:next w:val="ParaNum"/>
    <w:qFormat/>
    <w:rsid w:val="00A81504"/>
    <w:pPr>
      <w:numPr>
        <w:ilvl w:val="7"/>
        <w:numId w:val="45"/>
      </w:numPr>
      <w:tabs>
        <w:tab w:val="clear" w:pos="5400"/>
        <w:tab w:val="left" w:pos="5760"/>
      </w:tabs>
      <w:spacing w:after="120"/>
      <w:ind w:left="5760" w:hanging="720"/>
      <w:outlineLvl w:val="7"/>
    </w:pPr>
    <w:rPr>
      <w:b/>
    </w:rPr>
  </w:style>
  <w:style w:type="paragraph" w:styleId="Heading9">
    <w:name w:val="heading 9"/>
    <w:basedOn w:val="Normal"/>
    <w:next w:val="ParaNum"/>
    <w:qFormat/>
    <w:rsid w:val="00A81504"/>
    <w:pPr>
      <w:numPr>
        <w:ilvl w:val="8"/>
        <w:numId w:val="45"/>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A8150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81504"/>
  </w:style>
  <w:style w:type="paragraph" w:styleId="Caption">
    <w:name w:val="caption"/>
    <w:basedOn w:val="Normal"/>
    <w:next w:val="Normal"/>
    <w:qFormat/>
    <w:pPr>
      <w:spacing w:before="120" w:after="120"/>
    </w:pPr>
    <w:rPr>
      <w:b/>
    </w:rPr>
  </w:style>
  <w:style w:type="paragraph" w:customStyle="1" w:styleId="ParaNum">
    <w:name w:val="ParaNum"/>
    <w:basedOn w:val="Normal"/>
    <w:link w:val="ParaNumChar"/>
    <w:rsid w:val="00A81504"/>
    <w:pPr>
      <w:numPr>
        <w:numId w:val="44"/>
      </w:numPr>
      <w:tabs>
        <w:tab w:val="clear" w:pos="1080"/>
        <w:tab w:val="num" w:pos="1440"/>
      </w:tabs>
      <w:spacing w:after="120"/>
    </w:pPr>
  </w:style>
  <w:style w:type="paragraph" w:styleId="FootnoteText">
    <w:name w:val="footnote text"/>
    <w:aliases w:val="Footnote Text Char2,Footnote Text Char1 Char3,Footnote Text Char Char Char,Footnote Text Char1 Char Char Char,Footnote Text Char2 Char Char Char Char,Footnote Text Char Char Char Char Char Char,Footnote Text Char1,Footnote Text Char Char,f"/>
    <w:link w:val="FootnoteTextChar"/>
    <w:rsid w:val="00A81504"/>
    <w:pPr>
      <w:spacing w:after="120"/>
    </w:pPr>
  </w:style>
  <w:style w:type="paragraph" w:customStyle="1" w:styleId="Bullet">
    <w:name w:val="Bullet"/>
    <w:basedOn w:val="Normal"/>
    <w:rsid w:val="00A81504"/>
    <w:pPr>
      <w:tabs>
        <w:tab w:val="left" w:pos="2160"/>
      </w:tabs>
      <w:spacing w:after="220"/>
      <w:ind w:left="2160" w:hanging="720"/>
    </w:pPr>
  </w:style>
  <w:style w:type="paragraph" w:styleId="BlockText">
    <w:name w:val="Block Text"/>
    <w:basedOn w:val="Normal"/>
    <w:rsid w:val="00A81504"/>
    <w:pPr>
      <w:spacing w:after="240"/>
      <w:ind w:left="1440" w:right="1440"/>
    </w:pPr>
  </w:style>
  <w:style w:type="paragraph" w:customStyle="1" w:styleId="TableFormat">
    <w:name w:val="TableFormat"/>
    <w:basedOn w:val="Bullet"/>
    <w:rsid w:val="00A81504"/>
    <w:pPr>
      <w:tabs>
        <w:tab w:val="clear" w:pos="2160"/>
        <w:tab w:val="left" w:pos="5040"/>
      </w:tabs>
      <w:ind w:left="5040" w:hanging="3600"/>
    </w:pPr>
  </w:style>
  <w:style w:type="character" w:styleId="FootnoteReference">
    <w:name w:val="footnote reference"/>
    <w:aliases w:val="Appel note de bas de p,Style 12,(NECG) Footnote Reference,Style 124,o,fr,Style 3,Style 13,FR,Style 17,Style 6,Footnote Reference/"/>
    <w:rsid w:val="00A81504"/>
    <w:rPr>
      <w:rFonts w:ascii="Times New Roman" w:hAnsi="Times New Roman"/>
      <w:dstrike w:val="0"/>
      <w:color w:val="auto"/>
      <w:sz w:val="20"/>
      <w:vertAlign w:val="superscript"/>
    </w:rPr>
  </w:style>
  <w:style w:type="paragraph" w:styleId="Header">
    <w:name w:val="header"/>
    <w:basedOn w:val="Normal"/>
    <w:autoRedefine/>
    <w:rsid w:val="00A81504"/>
    <w:pPr>
      <w:tabs>
        <w:tab w:val="center" w:pos="4680"/>
        <w:tab w:val="right" w:pos="9360"/>
      </w:tabs>
    </w:pPr>
    <w:rPr>
      <w:b/>
    </w:rPr>
  </w:style>
  <w:style w:type="paragraph" w:styleId="Footer">
    <w:name w:val="footer"/>
    <w:basedOn w:val="Normal"/>
    <w:rsid w:val="00A81504"/>
    <w:pPr>
      <w:tabs>
        <w:tab w:val="center" w:pos="4320"/>
        <w:tab w:val="right" w:pos="8640"/>
      </w:tabs>
    </w:pPr>
  </w:style>
  <w:style w:type="paragraph" w:styleId="TOC2">
    <w:name w:val="toc 2"/>
    <w:basedOn w:val="Normal"/>
    <w:next w:val="Normal"/>
    <w:semiHidden/>
    <w:rsid w:val="00A81504"/>
    <w:pPr>
      <w:tabs>
        <w:tab w:val="left" w:pos="720"/>
        <w:tab w:val="right" w:leader="dot" w:pos="9360"/>
      </w:tabs>
      <w:suppressAutoHyphens/>
      <w:ind w:left="720" w:right="720" w:hanging="360"/>
    </w:pPr>
    <w:rPr>
      <w:noProof/>
    </w:rPr>
  </w:style>
  <w:style w:type="paragraph" w:customStyle="1" w:styleId="NumberedList">
    <w:name w:val="Numbered List"/>
    <w:basedOn w:val="Normal"/>
    <w:pPr>
      <w:numPr>
        <w:numId w:val="21"/>
      </w:numPr>
      <w:tabs>
        <w:tab w:val="clear" w:pos="1080"/>
      </w:tabs>
      <w:spacing w:after="220"/>
      <w:ind w:firstLine="0"/>
    </w:pPr>
  </w:style>
  <w:style w:type="paragraph" w:styleId="TOC1">
    <w:name w:val="toc 1"/>
    <w:basedOn w:val="Normal"/>
    <w:next w:val="Normal"/>
    <w:semiHidden/>
    <w:rsid w:val="00A81504"/>
    <w:pPr>
      <w:tabs>
        <w:tab w:val="left" w:pos="360"/>
        <w:tab w:val="right" w:leader="dot" w:pos="9360"/>
      </w:tabs>
      <w:suppressAutoHyphens/>
      <w:ind w:left="360" w:right="720" w:hanging="360"/>
    </w:pPr>
    <w:rPr>
      <w:caps/>
      <w:noProof/>
    </w:rPr>
  </w:style>
  <w:style w:type="paragraph" w:styleId="TOC3">
    <w:name w:val="toc 3"/>
    <w:basedOn w:val="Normal"/>
    <w:next w:val="Normal"/>
    <w:semiHidden/>
    <w:rsid w:val="00A81504"/>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A81504"/>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A81504"/>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A81504"/>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A81504"/>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A81504"/>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A81504"/>
    <w:pPr>
      <w:tabs>
        <w:tab w:val="left" w:pos="3240"/>
        <w:tab w:val="right" w:leader="dot" w:pos="9360"/>
      </w:tabs>
      <w:suppressAutoHyphens/>
      <w:ind w:left="3240" w:hanging="360"/>
    </w:pPr>
    <w:rPr>
      <w:noProof/>
    </w:rPr>
  </w:style>
  <w:style w:type="character" w:styleId="PageNumber">
    <w:name w:val="page number"/>
    <w:basedOn w:val="DefaultParagraphFont"/>
    <w:rsid w:val="00A81504"/>
  </w:style>
  <w:style w:type="paragraph" w:styleId="Title">
    <w:name w:val="Title"/>
    <w:basedOn w:val="Normal"/>
    <w:qFormat/>
    <w:pPr>
      <w:jc w:val="center"/>
    </w:pPr>
    <w:rPr>
      <w:b/>
    </w:rPr>
  </w:style>
  <w:style w:type="character" w:customStyle="1" w:styleId="FootnoteTextChar">
    <w:name w:val="Footnote Text Char"/>
    <w:aliases w:val="Footnote Text Char2 Char,Footnote Text Char1 Char3 Char,Footnote Text Char Char Char Char,Footnote Text Char1 Char Char Char Char,Footnote Text Char2 Char Char Char Char Char,Footnote Text Char Char Char Char Char Char Char,f Char"/>
    <w:link w:val="FootnoteText"/>
    <w:rsid w:val="00E87AF6"/>
  </w:style>
  <w:style w:type="paragraph" w:styleId="DocumentMap">
    <w:name w:val="Document Map"/>
    <w:basedOn w:val="Normal"/>
    <w:semiHidden/>
    <w:rsid w:val="00CB0120"/>
    <w:pPr>
      <w:shd w:val="clear" w:color="auto" w:fill="000080"/>
    </w:pPr>
    <w:rPr>
      <w:rFonts w:ascii="Tahoma" w:hAnsi="Tahoma" w:cs="Tahoma"/>
      <w:sz w:val="20"/>
    </w:rPr>
  </w:style>
  <w:style w:type="paragraph" w:styleId="BalloonText">
    <w:name w:val="Balloon Text"/>
    <w:basedOn w:val="Normal"/>
    <w:semiHidden/>
    <w:rsid w:val="00EA0221"/>
    <w:rPr>
      <w:rFonts w:ascii="Tahoma" w:hAnsi="Tahoma" w:cs="Tahoma"/>
      <w:sz w:val="16"/>
      <w:szCs w:val="16"/>
    </w:rPr>
  </w:style>
  <w:style w:type="character" w:styleId="CommentReference">
    <w:name w:val="annotation reference"/>
    <w:uiPriority w:val="99"/>
    <w:rsid w:val="00D925D5"/>
    <w:rPr>
      <w:sz w:val="16"/>
      <w:szCs w:val="16"/>
    </w:rPr>
  </w:style>
  <w:style w:type="paragraph" w:styleId="CommentText">
    <w:name w:val="annotation text"/>
    <w:basedOn w:val="Normal"/>
    <w:link w:val="CommentTextChar"/>
    <w:uiPriority w:val="99"/>
    <w:rsid w:val="00F57C1A"/>
    <w:rPr>
      <w:sz w:val="20"/>
    </w:rPr>
  </w:style>
  <w:style w:type="character" w:customStyle="1" w:styleId="CommentTextChar">
    <w:name w:val="Comment Text Char"/>
    <w:basedOn w:val="DefaultParagraphFont"/>
    <w:link w:val="CommentText"/>
    <w:uiPriority w:val="99"/>
    <w:rsid w:val="00F57C1A"/>
  </w:style>
  <w:style w:type="paragraph" w:styleId="CommentSubject">
    <w:name w:val="annotation subject"/>
    <w:basedOn w:val="CommentText"/>
    <w:next w:val="CommentText"/>
    <w:link w:val="CommentSubjectChar"/>
    <w:rsid w:val="00F57C1A"/>
    <w:rPr>
      <w:b/>
      <w:bCs/>
    </w:rPr>
  </w:style>
  <w:style w:type="character" w:customStyle="1" w:styleId="CommentSubjectChar">
    <w:name w:val="Comment Subject Char"/>
    <w:link w:val="CommentSubject"/>
    <w:rsid w:val="00F57C1A"/>
    <w:rPr>
      <w:b/>
      <w:bCs/>
    </w:rPr>
  </w:style>
  <w:style w:type="character" w:styleId="Hyperlink">
    <w:name w:val="Hyperlink"/>
    <w:rsid w:val="00A81504"/>
    <w:rPr>
      <w:color w:val="0000FF"/>
      <w:u w:val="single"/>
    </w:rPr>
  </w:style>
  <w:style w:type="paragraph" w:customStyle="1" w:styleId="ColorfulShading-Accent11">
    <w:name w:val="Colorful Shading - Accent 11"/>
    <w:hidden/>
    <w:uiPriority w:val="99"/>
    <w:semiHidden/>
    <w:rsid w:val="00962757"/>
    <w:rPr>
      <w:sz w:val="22"/>
    </w:rPr>
  </w:style>
  <w:style w:type="character" w:styleId="FollowedHyperlink">
    <w:name w:val="FollowedHyperlink"/>
    <w:rsid w:val="00C41AA5"/>
    <w:rPr>
      <w:color w:val="800080"/>
      <w:u w:val="single"/>
    </w:rPr>
  </w:style>
  <w:style w:type="character" w:customStyle="1" w:styleId="ParaNumChar">
    <w:name w:val="ParaNum Char"/>
    <w:link w:val="ParaNum"/>
    <w:locked/>
    <w:rsid w:val="00D71B62"/>
    <w:rPr>
      <w:snapToGrid w:val="0"/>
      <w:kern w:val="28"/>
      <w:sz w:val="22"/>
    </w:rPr>
  </w:style>
  <w:style w:type="paragraph" w:styleId="Revision">
    <w:name w:val="Revision"/>
    <w:hidden/>
    <w:uiPriority w:val="99"/>
    <w:semiHidden/>
    <w:rsid w:val="0010057A"/>
    <w:rPr>
      <w:sz w:val="22"/>
    </w:rPr>
  </w:style>
  <w:style w:type="character" w:customStyle="1" w:styleId="ALTSFOOTNOTEChar2">
    <w:name w:val="ALTS FOOTNOTE Char2"/>
    <w:aliases w:val="fn Char2,Footnote Text Char2 Char Char2,Footnote Text Char1 Char Char Char2,Footnote Text Char Char2 Char Char Char2,Footnote Text Char4 Char Char Char Char Char2,Footnote Text Char1 Char,fn Ch Char,f Char1,fn Ch Char Char"/>
    <w:semiHidden/>
    <w:locked/>
    <w:rsid w:val="001A6068"/>
    <w:rPr>
      <w:rFonts w:cs="Times New Roman"/>
      <w:sz w:val="20"/>
      <w:szCs w:val="20"/>
    </w:rPr>
  </w:style>
  <w:style w:type="character" w:customStyle="1" w:styleId="ALTSFOOTNOTEChar">
    <w:name w:val="ALTS FOOTNOTE Char"/>
    <w:aliases w:val="fn Char,Footnote Text Char2 Char Char,Footnote Text Char Char2 Char Char Char,Footnote Text Char4 Char Char Char Char Char,Footnote Text Char2 Char1 Char Char Char Char Char,Footnote Text Char Char Char Char Char"/>
    <w:semiHidden/>
    <w:locked/>
    <w:rsid w:val="001A6068"/>
    <w:rPr>
      <w:sz w:val="22"/>
      <w:lang w:val="en-US" w:eastAsia="en-US" w:bidi="ar-SA"/>
    </w:rPr>
  </w:style>
  <w:style w:type="character" w:customStyle="1" w:styleId="documentbody">
    <w:name w:val="documentbody"/>
    <w:rsid w:val="001A6068"/>
  </w:style>
  <w:style w:type="paragraph" w:styleId="PlainText">
    <w:name w:val="Plain Text"/>
    <w:basedOn w:val="Normal"/>
    <w:link w:val="PlainTextChar"/>
    <w:uiPriority w:val="99"/>
    <w:unhideWhenUsed/>
    <w:rsid w:val="00037571"/>
    <w:rPr>
      <w:rFonts w:ascii="Calibri" w:eastAsiaTheme="minorHAnsi" w:hAnsi="Calibri" w:cs="Consolas"/>
      <w:szCs w:val="21"/>
    </w:rPr>
  </w:style>
  <w:style w:type="character" w:customStyle="1" w:styleId="PlainTextChar">
    <w:name w:val="Plain Text Char"/>
    <w:basedOn w:val="DefaultParagraphFont"/>
    <w:link w:val="PlainText"/>
    <w:uiPriority w:val="99"/>
    <w:rsid w:val="00037571"/>
    <w:rPr>
      <w:rFonts w:ascii="Calibri" w:eastAsiaTheme="minorHAnsi" w:hAnsi="Calibri" w:cs="Consolas"/>
      <w:sz w:val="22"/>
      <w:szCs w:val="21"/>
    </w:rPr>
  </w:style>
  <w:style w:type="paragraph" w:styleId="EndnoteText">
    <w:name w:val="endnote text"/>
    <w:basedOn w:val="Normal"/>
    <w:link w:val="EndnoteTextChar"/>
    <w:rsid w:val="00A81504"/>
    <w:rPr>
      <w:sz w:val="20"/>
    </w:rPr>
  </w:style>
  <w:style w:type="character" w:customStyle="1" w:styleId="EndnoteTextChar">
    <w:name w:val="Endnote Text Char"/>
    <w:basedOn w:val="DefaultParagraphFont"/>
    <w:link w:val="EndnoteText"/>
    <w:rsid w:val="00457403"/>
    <w:rPr>
      <w:snapToGrid w:val="0"/>
      <w:kern w:val="28"/>
    </w:rPr>
  </w:style>
  <w:style w:type="character" w:styleId="EndnoteReference">
    <w:name w:val="endnote reference"/>
    <w:rsid w:val="00A81504"/>
    <w:rPr>
      <w:vertAlign w:val="superscript"/>
    </w:rPr>
  </w:style>
  <w:style w:type="paragraph" w:styleId="TOAHeading">
    <w:name w:val="toa heading"/>
    <w:basedOn w:val="Normal"/>
    <w:next w:val="Normal"/>
    <w:rsid w:val="00A81504"/>
    <w:pPr>
      <w:tabs>
        <w:tab w:val="right" w:pos="9360"/>
      </w:tabs>
      <w:suppressAutoHyphens/>
    </w:pPr>
  </w:style>
  <w:style w:type="character" w:customStyle="1" w:styleId="EquationCaption">
    <w:name w:val="_Equation Caption"/>
    <w:rsid w:val="00A81504"/>
  </w:style>
  <w:style w:type="paragraph" w:customStyle="1" w:styleId="Paratitle">
    <w:name w:val="Para title"/>
    <w:basedOn w:val="Normal"/>
    <w:rsid w:val="00A81504"/>
    <w:pPr>
      <w:tabs>
        <w:tab w:val="center" w:pos="9270"/>
      </w:tabs>
      <w:spacing w:after="240"/>
    </w:pPr>
    <w:rPr>
      <w:spacing w:val="-2"/>
    </w:rPr>
  </w:style>
  <w:style w:type="paragraph" w:customStyle="1" w:styleId="TOCTitle">
    <w:name w:val="TOC Title"/>
    <w:basedOn w:val="Normal"/>
    <w:rsid w:val="00A81504"/>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A81504"/>
    <w:pPr>
      <w:jc w:val="center"/>
    </w:pPr>
    <w:rPr>
      <w:rFonts w:ascii="Times New Roman Bold" w:hAnsi="Times New Roman Bold"/>
      <w:b/>
      <w:bCs/>
      <w:caps/>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4916581">
      <w:bodyDiv w:val="1"/>
      <w:marLeft w:val="0"/>
      <w:marRight w:val="0"/>
      <w:marTop w:val="0"/>
      <w:marBottom w:val="0"/>
      <w:divBdr>
        <w:top w:val="none" w:sz="0" w:space="0" w:color="auto"/>
        <w:left w:val="none" w:sz="0" w:space="0" w:color="auto"/>
        <w:bottom w:val="none" w:sz="0" w:space="0" w:color="auto"/>
        <w:right w:val="none" w:sz="0" w:space="0" w:color="auto"/>
      </w:divBdr>
    </w:div>
    <w:div w:id="639966941">
      <w:bodyDiv w:val="1"/>
      <w:marLeft w:val="0"/>
      <w:marRight w:val="0"/>
      <w:marTop w:val="0"/>
      <w:marBottom w:val="0"/>
      <w:divBdr>
        <w:top w:val="none" w:sz="0" w:space="0" w:color="auto"/>
        <w:left w:val="none" w:sz="0" w:space="0" w:color="auto"/>
        <w:bottom w:val="none" w:sz="0" w:space="0" w:color="auto"/>
        <w:right w:val="none" w:sz="0" w:space="0" w:color="auto"/>
      </w:divBdr>
    </w:div>
    <w:div w:id="1733428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groupme.com/term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2</Pages>
  <Words>2944</Words>
  <Characters>15893</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Before the</vt:lpstr>
    </vt:vector>
  </TitlesOfParts>
  <Manager/>
  <Company/>
  <LinksUpToDate>false</LinksUpToDate>
  <CharactersWithSpaces>18867</CharactersWithSpaces>
  <SharedDoc>false</SharedDoc>
  <HyperlinkBase> </HyperlinkBase>
  <HLinks>
    <vt:vector size="6" baseType="variant">
      <vt:variant>
        <vt:i4>5046277</vt:i4>
      </vt:variant>
      <vt:variant>
        <vt:i4>0</vt:i4>
      </vt:variant>
      <vt:variant>
        <vt:i4>0</vt:i4>
      </vt:variant>
      <vt:variant>
        <vt:i4>5</vt:i4>
      </vt:variant>
      <vt:variant>
        <vt:lpwstr>http://groupme.com/terms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2014-03-27T20:50:00Z</dcterms:created>
  <dcterms:modified xsi:type="dcterms:W3CDTF">2014-03-27T20:50:00Z</dcterms:modified>
  <cp:category> </cp:category>
  <cp:contentStatus> </cp:contentStatus>
</cp:coreProperties>
</file>