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726F8A" w:rsidRDefault="004C2EE3" w:rsidP="004C2608">
      <w:pPr>
        <w:jc w:val="center"/>
        <w:rPr>
          <w:b/>
        </w:rPr>
      </w:pPr>
      <w:bookmarkStart w:id="0" w:name="_GoBack"/>
      <w:bookmarkEnd w:id="0"/>
      <w:r w:rsidRPr="00726F8A">
        <w:rPr>
          <w:rFonts w:ascii="Times New Roman Bold" w:hAnsi="Times New Roman Bold"/>
          <w:b/>
          <w:kern w:val="0"/>
          <w:szCs w:val="22"/>
        </w:rPr>
        <w:t>Before</w:t>
      </w:r>
      <w:r w:rsidRPr="00726F8A">
        <w:rPr>
          <w:b/>
        </w:rPr>
        <w:t xml:space="preserve"> the</w:t>
      </w:r>
    </w:p>
    <w:p w:rsidR="00921803" w:rsidRPr="00726F8A" w:rsidRDefault="00921803" w:rsidP="004C2608">
      <w:pPr>
        <w:pStyle w:val="StyleBoldCentered"/>
      </w:pPr>
      <w:r w:rsidRPr="00726F8A">
        <w:t>F</w:t>
      </w:r>
      <w:r w:rsidRPr="00726F8A">
        <w:rPr>
          <w:caps w:val="0"/>
        </w:rPr>
        <w:t>ederal Communications Commission</w:t>
      </w:r>
    </w:p>
    <w:p w:rsidR="004C2EE3" w:rsidRPr="00726F8A" w:rsidRDefault="004C2EE3" w:rsidP="004C2608">
      <w:pPr>
        <w:pStyle w:val="StyleBoldCentered"/>
      </w:pPr>
      <w:r w:rsidRPr="00726F8A">
        <w:rPr>
          <w:caps w:val="0"/>
        </w:rPr>
        <w:t>Washington, D.C. 2055</w:t>
      </w:r>
      <w:r w:rsidRPr="00726F8A">
        <w:t>4</w:t>
      </w:r>
    </w:p>
    <w:p w:rsidR="004C2EE3" w:rsidRPr="00726F8A" w:rsidRDefault="004C2EE3" w:rsidP="004C2608"/>
    <w:p w:rsidR="004C2EE3" w:rsidRPr="00726F8A" w:rsidRDefault="004C2EE3" w:rsidP="004C2608"/>
    <w:tbl>
      <w:tblPr>
        <w:tblW w:w="0" w:type="auto"/>
        <w:tblLayout w:type="fixed"/>
        <w:tblLook w:val="0000" w:firstRow="0" w:lastRow="0" w:firstColumn="0" w:lastColumn="0" w:noHBand="0" w:noVBand="0"/>
      </w:tblPr>
      <w:tblGrid>
        <w:gridCol w:w="4698"/>
        <w:gridCol w:w="630"/>
        <w:gridCol w:w="4248"/>
      </w:tblGrid>
      <w:tr w:rsidR="004C2EE3" w:rsidRPr="00726F8A">
        <w:tc>
          <w:tcPr>
            <w:tcW w:w="4698" w:type="dxa"/>
          </w:tcPr>
          <w:p w:rsidR="004C2EE3" w:rsidRPr="00726F8A" w:rsidRDefault="004C2EE3" w:rsidP="004C2608">
            <w:pPr>
              <w:tabs>
                <w:tab w:val="center" w:pos="4680"/>
              </w:tabs>
              <w:suppressAutoHyphens/>
              <w:rPr>
                <w:spacing w:val="-2"/>
              </w:rPr>
            </w:pPr>
            <w:r w:rsidRPr="00726F8A">
              <w:rPr>
                <w:spacing w:val="-2"/>
              </w:rPr>
              <w:t>In the Matter of</w:t>
            </w:r>
          </w:p>
          <w:p w:rsidR="004C2EE3" w:rsidRPr="00726F8A" w:rsidRDefault="004C2EE3" w:rsidP="004C2608">
            <w:pPr>
              <w:tabs>
                <w:tab w:val="center" w:pos="4680"/>
              </w:tabs>
              <w:suppressAutoHyphens/>
              <w:rPr>
                <w:spacing w:val="-2"/>
              </w:rPr>
            </w:pPr>
          </w:p>
          <w:p w:rsidR="00E0035D" w:rsidRDefault="00E0035D" w:rsidP="004C2608">
            <w:pPr>
              <w:ind w:right="-18"/>
            </w:pPr>
            <w:r>
              <w:t>Presidential Who’s Who</w:t>
            </w:r>
            <w:r w:rsidR="00CC4A65">
              <w:t>, Inc.</w:t>
            </w:r>
          </w:p>
          <w:p w:rsidR="004C2EE3" w:rsidRPr="00726F8A" w:rsidRDefault="002678C2" w:rsidP="004C2608">
            <w:pPr>
              <w:tabs>
                <w:tab w:val="center" w:pos="4680"/>
              </w:tabs>
              <w:suppressAutoHyphens/>
              <w:rPr>
                <w:spacing w:val="-2"/>
              </w:rPr>
            </w:pPr>
            <w:r>
              <w:rPr>
                <w:spacing w:val="-2"/>
              </w:rPr>
              <w:t>Presidential Who’s Who</w:t>
            </w:r>
          </w:p>
        </w:tc>
        <w:tc>
          <w:tcPr>
            <w:tcW w:w="630" w:type="dxa"/>
          </w:tcPr>
          <w:p w:rsidR="004C2EE3" w:rsidRPr="00726F8A" w:rsidRDefault="004C2EE3" w:rsidP="004C2608">
            <w:pPr>
              <w:tabs>
                <w:tab w:val="center" w:pos="4680"/>
              </w:tabs>
              <w:suppressAutoHyphens/>
              <w:rPr>
                <w:b/>
                <w:spacing w:val="-2"/>
              </w:rPr>
            </w:pPr>
            <w:r w:rsidRPr="00726F8A">
              <w:rPr>
                <w:b/>
                <w:spacing w:val="-2"/>
              </w:rPr>
              <w:t>)</w:t>
            </w:r>
          </w:p>
          <w:p w:rsidR="004C2EE3" w:rsidRPr="00726F8A" w:rsidRDefault="004C2EE3" w:rsidP="004C2608">
            <w:pPr>
              <w:tabs>
                <w:tab w:val="center" w:pos="4680"/>
              </w:tabs>
              <w:suppressAutoHyphens/>
              <w:rPr>
                <w:b/>
                <w:spacing w:val="-2"/>
              </w:rPr>
            </w:pPr>
            <w:r w:rsidRPr="00726F8A">
              <w:rPr>
                <w:b/>
                <w:spacing w:val="-2"/>
              </w:rPr>
              <w:t>)</w:t>
            </w:r>
          </w:p>
          <w:p w:rsidR="004C2EE3" w:rsidRPr="00726F8A" w:rsidRDefault="004C2EE3" w:rsidP="004C2608">
            <w:pPr>
              <w:tabs>
                <w:tab w:val="center" w:pos="4680"/>
              </w:tabs>
              <w:suppressAutoHyphens/>
              <w:rPr>
                <w:b/>
                <w:spacing w:val="-2"/>
              </w:rPr>
            </w:pPr>
            <w:r w:rsidRPr="00726F8A">
              <w:rPr>
                <w:b/>
                <w:spacing w:val="-2"/>
              </w:rPr>
              <w:t>)</w:t>
            </w:r>
          </w:p>
          <w:p w:rsidR="004C2EE3" w:rsidRPr="00726F8A" w:rsidRDefault="004C2EE3" w:rsidP="004C2608">
            <w:pPr>
              <w:tabs>
                <w:tab w:val="center" w:pos="4680"/>
              </w:tabs>
              <w:suppressAutoHyphens/>
              <w:rPr>
                <w:b/>
                <w:spacing w:val="-2"/>
              </w:rPr>
            </w:pPr>
            <w:r w:rsidRPr="00726F8A">
              <w:rPr>
                <w:b/>
                <w:spacing w:val="-2"/>
              </w:rPr>
              <w:t>)</w:t>
            </w:r>
          </w:p>
          <w:p w:rsidR="004C2EE3" w:rsidRPr="00726F8A" w:rsidRDefault="004C2EE3" w:rsidP="004C2608">
            <w:pPr>
              <w:tabs>
                <w:tab w:val="center" w:pos="4680"/>
              </w:tabs>
              <w:suppressAutoHyphens/>
              <w:rPr>
                <w:b/>
                <w:spacing w:val="-2"/>
              </w:rPr>
            </w:pPr>
            <w:r w:rsidRPr="00726F8A">
              <w:rPr>
                <w:b/>
                <w:spacing w:val="-2"/>
              </w:rPr>
              <w:t>)</w:t>
            </w:r>
          </w:p>
          <w:p w:rsidR="004C2EE3" w:rsidRPr="00726F8A" w:rsidRDefault="00DF24EE" w:rsidP="004C2608">
            <w:pPr>
              <w:tabs>
                <w:tab w:val="center" w:pos="4680"/>
              </w:tabs>
              <w:suppressAutoHyphens/>
              <w:rPr>
                <w:b/>
                <w:spacing w:val="-2"/>
              </w:rPr>
            </w:pPr>
            <w:r>
              <w:rPr>
                <w:b/>
                <w:spacing w:val="-2"/>
              </w:rPr>
              <w:t>)</w:t>
            </w:r>
          </w:p>
        </w:tc>
        <w:tc>
          <w:tcPr>
            <w:tcW w:w="4248" w:type="dxa"/>
          </w:tcPr>
          <w:p w:rsidR="00E0035D" w:rsidRPr="00E27791" w:rsidRDefault="00E0035D" w:rsidP="004C2608">
            <w:pPr>
              <w:rPr>
                <w:spacing w:val="-2"/>
                <w:lang w:val="es-ES"/>
              </w:rPr>
            </w:pPr>
            <w:r w:rsidRPr="00E27791">
              <w:rPr>
                <w:spacing w:val="-2"/>
                <w:lang w:val="es-ES"/>
              </w:rPr>
              <w:t>File No.:</w:t>
            </w:r>
            <w:r w:rsidR="004A095B">
              <w:rPr>
                <w:spacing w:val="-2"/>
                <w:lang w:val="es-ES"/>
              </w:rPr>
              <w:t xml:space="preserve"> </w:t>
            </w:r>
            <w:r w:rsidR="0052580F">
              <w:rPr>
                <w:spacing w:val="-2"/>
                <w:lang w:val="es-ES"/>
              </w:rPr>
              <w:t xml:space="preserve"> </w:t>
            </w:r>
            <w:r w:rsidR="003F1498" w:rsidRPr="00E27791">
              <w:rPr>
                <w:szCs w:val="22"/>
                <w:lang w:val="es-ES"/>
              </w:rPr>
              <w:t>EB-TCD-12-00000217</w:t>
            </w:r>
            <w:r w:rsidR="003F1498">
              <w:rPr>
                <w:rStyle w:val="FootnoteReference"/>
                <w:szCs w:val="22"/>
              </w:rPr>
              <w:footnoteReference w:id="2"/>
            </w:r>
          </w:p>
          <w:p w:rsidR="00E0035D" w:rsidRPr="00E27791" w:rsidRDefault="00E0035D" w:rsidP="004C2608">
            <w:pPr>
              <w:rPr>
                <w:spacing w:val="-2"/>
                <w:lang w:val="es-ES"/>
              </w:rPr>
            </w:pPr>
          </w:p>
          <w:p w:rsidR="00E0035D" w:rsidRPr="00E27791" w:rsidRDefault="00E0035D" w:rsidP="004C2608">
            <w:pPr>
              <w:rPr>
                <w:spacing w:val="-2"/>
                <w:szCs w:val="22"/>
                <w:lang w:val="es-ES"/>
              </w:rPr>
            </w:pPr>
            <w:r w:rsidRPr="00E27791">
              <w:rPr>
                <w:spacing w:val="-2"/>
                <w:lang w:val="es-ES"/>
              </w:rPr>
              <w:t>NAL/Acct. No</w:t>
            </w:r>
            <w:r w:rsidR="00D43568" w:rsidRPr="00E27791">
              <w:rPr>
                <w:spacing w:val="-2"/>
                <w:lang w:val="es-ES"/>
              </w:rPr>
              <w:t>s</w:t>
            </w:r>
            <w:r w:rsidRPr="00E27791">
              <w:rPr>
                <w:spacing w:val="-2"/>
                <w:szCs w:val="22"/>
                <w:lang w:val="es-ES"/>
              </w:rPr>
              <w:t xml:space="preserve">.: </w:t>
            </w:r>
            <w:r w:rsidR="004A095B">
              <w:rPr>
                <w:spacing w:val="-2"/>
                <w:szCs w:val="22"/>
                <w:lang w:val="es-ES"/>
              </w:rPr>
              <w:t xml:space="preserve"> </w:t>
            </w:r>
            <w:r w:rsidRPr="00E27791">
              <w:rPr>
                <w:spacing w:val="-2"/>
                <w:szCs w:val="22"/>
                <w:lang w:val="es-ES"/>
              </w:rPr>
              <w:t>201132170023</w:t>
            </w:r>
            <w:r w:rsidR="00D63E43" w:rsidRPr="00E27791">
              <w:rPr>
                <w:spacing w:val="-2"/>
                <w:szCs w:val="22"/>
                <w:lang w:val="es-ES"/>
              </w:rPr>
              <w:t xml:space="preserve">, </w:t>
            </w:r>
            <w:r w:rsidR="00D43568" w:rsidRPr="00E27791">
              <w:rPr>
                <w:spacing w:val="-2"/>
                <w:szCs w:val="22"/>
                <w:lang w:val="es-ES"/>
              </w:rPr>
              <w:t>201032170005</w:t>
            </w:r>
          </w:p>
          <w:p w:rsidR="00E0035D" w:rsidRPr="00E27791" w:rsidRDefault="00E0035D" w:rsidP="004C2608">
            <w:pPr>
              <w:rPr>
                <w:spacing w:val="-2"/>
                <w:szCs w:val="22"/>
                <w:highlight w:val="yellow"/>
                <w:lang w:val="es-ES"/>
              </w:rPr>
            </w:pPr>
          </w:p>
          <w:p w:rsidR="00D37959" w:rsidRPr="00726F8A" w:rsidRDefault="00E0035D" w:rsidP="004C2608">
            <w:pPr>
              <w:rPr>
                <w:rFonts w:ascii="Arial" w:hAnsi="Arial" w:cs="Arial"/>
                <w:color w:val="000000"/>
                <w:sz w:val="24"/>
                <w:szCs w:val="24"/>
              </w:rPr>
            </w:pPr>
            <w:r w:rsidRPr="00D43568">
              <w:rPr>
                <w:spacing w:val="-2"/>
                <w:szCs w:val="22"/>
              </w:rPr>
              <w:t>FRN:  0020197919</w:t>
            </w:r>
            <w:r>
              <w:rPr>
                <w:spacing w:val="-2"/>
                <w:szCs w:val="22"/>
              </w:rPr>
              <w:t xml:space="preserve"> </w:t>
            </w:r>
          </w:p>
          <w:p w:rsidR="004C2EE3" w:rsidRPr="00726F8A" w:rsidRDefault="004C2EE3" w:rsidP="004C2608">
            <w:pPr>
              <w:rPr>
                <w:spacing w:val="-2"/>
              </w:rPr>
            </w:pPr>
          </w:p>
        </w:tc>
      </w:tr>
    </w:tbl>
    <w:p w:rsidR="004C2EE3" w:rsidRPr="00726F8A" w:rsidRDefault="004C2EE3" w:rsidP="004C2608"/>
    <w:p w:rsidR="00841AB1" w:rsidRPr="00726F8A" w:rsidRDefault="00BB2552" w:rsidP="004C2608">
      <w:pPr>
        <w:pStyle w:val="StyleBoldCentered"/>
      </w:pPr>
      <w:r w:rsidRPr="00726F8A">
        <w:t>forfeiture order</w:t>
      </w:r>
    </w:p>
    <w:p w:rsidR="004C2EE3" w:rsidRPr="00726F8A" w:rsidRDefault="004C2EE3" w:rsidP="004C2608">
      <w:pPr>
        <w:tabs>
          <w:tab w:val="left" w:pos="-720"/>
        </w:tabs>
        <w:suppressAutoHyphens/>
        <w:spacing w:line="227" w:lineRule="auto"/>
        <w:rPr>
          <w:spacing w:val="-2"/>
        </w:rPr>
      </w:pPr>
    </w:p>
    <w:p w:rsidR="004C2EE3" w:rsidRPr="00726F8A" w:rsidRDefault="004C2EE3" w:rsidP="004C2608">
      <w:pPr>
        <w:tabs>
          <w:tab w:val="right" w:pos="9360"/>
        </w:tabs>
        <w:suppressAutoHyphens/>
        <w:spacing w:line="227" w:lineRule="auto"/>
        <w:rPr>
          <w:spacing w:val="-2"/>
        </w:rPr>
      </w:pPr>
      <w:r w:rsidRPr="00726F8A">
        <w:rPr>
          <w:b/>
          <w:spacing w:val="-2"/>
        </w:rPr>
        <w:t>Adopted:</w:t>
      </w:r>
      <w:r w:rsidR="007135F7">
        <w:rPr>
          <w:b/>
          <w:spacing w:val="-2"/>
        </w:rPr>
        <w:t xml:space="preserve">  </w:t>
      </w:r>
      <w:r w:rsidR="000619A6">
        <w:rPr>
          <w:b/>
          <w:spacing w:val="-2"/>
        </w:rPr>
        <w:t>March 27</w:t>
      </w:r>
      <w:r w:rsidR="004A095B">
        <w:rPr>
          <w:b/>
          <w:spacing w:val="-2"/>
        </w:rPr>
        <w:t>,</w:t>
      </w:r>
      <w:r w:rsidR="000619A6">
        <w:rPr>
          <w:b/>
          <w:spacing w:val="-2"/>
        </w:rPr>
        <w:t xml:space="preserve"> </w:t>
      </w:r>
      <w:r w:rsidR="004A095B">
        <w:rPr>
          <w:b/>
          <w:spacing w:val="-2"/>
        </w:rPr>
        <w:t>201</w:t>
      </w:r>
      <w:r w:rsidR="002F137A">
        <w:rPr>
          <w:b/>
          <w:spacing w:val="-2"/>
        </w:rPr>
        <w:t>4</w:t>
      </w:r>
      <w:r w:rsidRPr="00726F8A">
        <w:rPr>
          <w:b/>
          <w:spacing w:val="-2"/>
        </w:rPr>
        <w:tab/>
      </w:r>
      <w:r w:rsidR="00822CE0" w:rsidRPr="00726F8A">
        <w:rPr>
          <w:b/>
          <w:spacing w:val="-2"/>
        </w:rPr>
        <w:t>Released</w:t>
      </w:r>
      <w:r w:rsidRPr="00726F8A">
        <w:rPr>
          <w:b/>
          <w:spacing w:val="-2"/>
        </w:rPr>
        <w:t>:</w:t>
      </w:r>
      <w:r w:rsidR="007135F7">
        <w:rPr>
          <w:b/>
          <w:spacing w:val="-2"/>
        </w:rPr>
        <w:t xml:space="preserve">  </w:t>
      </w:r>
      <w:r w:rsidR="000619A6">
        <w:rPr>
          <w:b/>
          <w:spacing w:val="-2"/>
        </w:rPr>
        <w:t>March 28</w:t>
      </w:r>
      <w:r w:rsidR="004A095B">
        <w:rPr>
          <w:b/>
          <w:spacing w:val="-2"/>
        </w:rPr>
        <w:t>,</w:t>
      </w:r>
      <w:r w:rsidR="000619A6">
        <w:rPr>
          <w:b/>
          <w:spacing w:val="-2"/>
        </w:rPr>
        <w:t xml:space="preserve"> </w:t>
      </w:r>
      <w:r w:rsidR="004A095B">
        <w:rPr>
          <w:b/>
          <w:spacing w:val="-2"/>
        </w:rPr>
        <w:t>201</w:t>
      </w:r>
      <w:r w:rsidR="002F137A">
        <w:rPr>
          <w:b/>
          <w:spacing w:val="-2"/>
        </w:rPr>
        <w:t>4</w:t>
      </w:r>
    </w:p>
    <w:p w:rsidR="00822CE0" w:rsidRPr="00726F8A" w:rsidRDefault="00822CE0" w:rsidP="004C2608"/>
    <w:p w:rsidR="003F7E27" w:rsidRPr="00726F8A" w:rsidRDefault="004C2EE3" w:rsidP="004C2608">
      <w:pPr>
        <w:tabs>
          <w:tab w:val="left" w:pos="5760"/>
        </w:tabs>
      </w:pPr>
      <w:r w:rsidRPr="00726F8A">
        <w:t xml:space="preserve">By </w:t>
      </w:r>
      <w:r w:rsidR="004E4A22" w:rsidRPr="00726F8A">
        <w:t>the</w:t>
      </w:r>
      <w:r w:rsidR="00D37959" w:rsidRPr="00726F8A">
        <w:t xml:space="preserve"> </w:t>
      </w:r>
      <w:r w:rsidR="003F7E27" w:rsidRPr="00726F8A">
        <w:t>C</w:t>
      </w:r>
      <w:r w:rsidR="004D0A27">
        <w:t>ommission</w:t>
      </w:r>
      <w:r w:rsidR="003F7E27" w:rsidRPr="00726F8A">
        <w:t>:</w:t>
      </w:r>
    </w:p>
    <w:p w:rsidR="00122BD5" w:rsidRPr="00726F8A" w:rsidRDefault="00122BD5" w:rsidP="004C2608"/>
    <w:p w:rsidR="00412FC5" w:rsidRPr="001A5C6F" w:rsidRDefault="001A5C6F" w:rsidP="007401BA">
      <w:pPr>
        <w:pStyle w:val="Heading1"/>
      </w:pPr>
      <w:r>
        <w:t>INTRODUCTION</w:t>
      </w:r>
    </w:p>
    <w:p w:rsidR="00D37959" w:rsidRPr="00421F3B" w:rsidRDefault="00421F3B" w:rsidP="004C2608">
      <w:pPr>
        <w:pStyle w:val="ParaNum"/>
        <w:rPr>
          <w:kern w:val="32"/>
          <w:szCs w:val="22"/>
          <w:lang w:bidi="he-IL"/>
        </w:rPr>
      </w:pPr>
      <w:r w:rsidRPr="00421F3B">
        <w:rPr>
          <w:kern w:val="32"/>
          <w:szCs w:val="22"/>
          <w:lang w:bidi="he-IL"/>
        </w:rPr>
        <w:t>We impose a penalty of $640,000 against Presidential Who</w:t>
      </w:r>
      <w:r w:rsidR="00251A61">
        <w:rPr>
          <w:kern w:val="32"/>
          <w:szCs w:val="22"/>
          <w:lang w:bidi="he-IL"/>
        </w:rPr>
        <w:t>’</w:t>
      </w:r>
      <w:r w:rsidRPr="00421F3B">
        <w:rPr>
          <w:kern w:val="32"/>
          <w:szCs w:val="22"/>
          <w:lang w:bidi="he-IL"/>
        </w:rPr>
        <w:t>s Who, Inc., for faxing more than 100 advertisements to consumers who did not request them, did not want them, and had no established business relationship with the company.  Presidential Who</w:t>
      </w:r>
      <w:r w:rsidR="00251A61">
        <w:rPr>
          <w:kern w:val="32"/>
          <w:szCs w:val="22"/>
          <w:lang w:bidi="he-IL"/>
        </w:rPr>
        <w:t>’</w:t>
      </w:r>
      <w:r w:rsidRPr="00421F3B">
        <w:rPr>
          <w:kern w:val="32"/>
          <w:szCs w:val="22"/>
          <w:lang w:bidi="he-IL"/>
        </w:rPr>
        <w:t>s Who persisted in this conduct after Commission staff issued the company a formal citation, explained that its actions were unlawful, and warned that additional junk faxing could result in monetary forfeitures.  Given that Presidential Who</w:t>
      </w:r>
      <w:r w:rsidR="00251A61">
        <w:rPr>
          <w:kern w:val="32"/>
          <w:szCs w:val="22"/>
          <w:lang w:bidi="he-IL"/>
        </w:rPr>
        <w:t>’</w:t>
      </w:r>
      <w:r w:rsidRPr="00421F3B">
        <w:rPr>
          <w:kern w:val="32"/>
          <w:szCs w:val="22"/>
          <w:lang w:bidi="he-IL"/>
        </w:rPr>
        <w:t>s Who failed to heed this wa</w:t>
      </w:r>
      <w:r>
        <w:rPr>
          <w:kern w:val="32"/>
          <w:szCs w:val="22"/>
          <w:lang w:bidi="he-IL"/>
        </w:rPr>
        <w:t xml:space="preserve">rning, the Commission proposed </w:t>
      </w:r>
      <w:r w:rsidRPr="00421F3B">
        <w:rPr>
          <w:kern w:val="32"/>
          <w:szCs w:val="22"/>
          <w:lang w:bidi="he-IL"/>
        </w:rPr>
        <w:t>$640,000 in penalties through two prior Notices of Apparent Liability for Forfeiture of $345,000 and $295,000.  Since that time, Presidential Who</w:t>
      </w:r>
      <w:r w:rsidR="00251A61">
        <w:rPr>
          <w:kern w:val="32"/>
          <w:szCs w:val="22"/>
          <w:lang w:bidi="he-IL"/>
        </w:rPr>
        <w:t>’</w:t>
      </w:r>
      <w:r w:rsidRPr="00421F3B">
        <w:rPr>
          <w:kern w:val="32"/>
          <w:szCs w:val="22"/>
          <w:lang w:bidi="he-IL"/>
        </w:rPr>
        <w:t>s Who has not offered a satisfacto</w:t>
      </w:r>
      <w:r>
        <w:rPr>
          <w:kern w:val="32"/>
          <w:szCs w:val="22"/>
          <w:lang w:bidi="he-IL"/>
        </w:rPr>
        <w:t>ry defense for its actions, or</w:t>
      </w:r>
      <w:r w:rsidRPr="00421F3B">
        <w:rPr>
          <w:kern w:val="32"/>
          <w:szCs w:val="22"/>
          <w:lang w:bidi="he-IL"/>
        </w:rPr>
        <w:t xml:space="preserve"> satisfactory support for its claim that it cannot pay the proposed penalties.   Due to the large number of violations at issue, the company</w:t>
      </w:r>
      <w:r w:rsidR="00251A61">
        <w:rPr>
          <w:kern w:val="32"/>
          <w:szCs w:val="22"/>
          <w:lang w:bidi="he-IL"/>
        </w:rPr>
        <w:t>’</w:t>
      </w:r>
      <w:r w:rsidRPr="00421F3B">
        <w:rPr>
          <w:kern w:val="32"/>
          <w:szCs w:val="22"/>
          <w:lang w:bidi="he-IL"/>
        </w:rPr>
        <w:t>s apparently intentional misconduct, and its failure to provide full and updated support for its inability to pay, we impose the total forfeiture of $640,000</w:t>
      </w:r>
      <w:r w:rsidR="00847AE9">
        <w:rPr>
          <w:kern w:val="32"/>
          <w:szCs w:val="22"/>
          <w:lang w:bidi="he-IL"/>
        </w:rPr>
        <w:t>.</w:t>
      </w:r>
      <w:r w:rsidR="00847AE9">
        <w:rPr>
          <w:b/>
          <w:kern w:val="32"/>
          <w:szCs w:val="22"/>
          <w:lang w:bidi="he-IL"/>
        </w:rPr>
        <w:t xml:space="preserve">  </w:t>
      </w:r>
    </w:p>
    <w:p w:rsidR="00225C87" w:rsidRPr="001A5C6F" w:rsidRDefault="001A5C6F" w:rsidP="007401BA">
      <w:pPr>
        <w:pStyle w:val="Heading1"/>
      </w:pPr>
      <w:r>
        <w:t>BACKGROUND</w:t>
      </w:r>
      <w:r w:rsidR="0013209F" w:rsidRPr="001A5C6F">
        <w:t xml:space="preserve"> </w:t>
      </w:r>
    </w:p>
    <w:p w:rsidR="00A04990" w:rsidRPr="00726F8A" w:rsidRDefault="00243EDC" w:rsidP="004C2608">
      <w:pPr>
        <w:pStyle w:val="ParaNum"/>
      </w:pPr>
      <w:r>
        <w:t>Congress enacted t</w:t>
      </w:r>
      <w:r w:rsidR="003113A3" w:rsidRPr="003D7721">
        <w:t xml:space="preserve">he Telephone Consumer Protection Act of 1991 </w:t>
      </w:r>
      <w:r w:rsidR="009500C0" w:rsidRPr="003D7721">
        <w:t>(</w:t>
      </w:r>
      <w:r w:rsidR="003113A3" w:rsidRPr="003D7721">
        <w:t>TCPA</w:t>
      </w:r>
      <w:r w:rsidR="009500C0" w:rsidRPr="003D7721">
        <w:t>)</w:t>
      </w:r>
      <w:r w:rsidR="003113A3" w:rsidRPr="003D7721">
        <w:t xml:space="preserve"> to</w:t>
      </w:r>
      <w:r w:rsidR="003113A3" w:rsidRPr="00B1107F">
        <w:t xml:space="preserve"> address problems of</w:t>
      </w:r>
      <w:r w:rsidR="003113A3" w:rsidRPr="00483B23">
        <w:t xml:space="preserve"> abusive telemarketing, in</w:t>
      </w:r>
      <w:r w:rsidR="00D30A64" w:rsidRPr="00483B23">
        <w:t xml:space="preserve">cluding </w:t>
      </w:r>
      <w:r w:rsidR="003113A3" w:rsidRPr="00483B23">
        <w:t>junk faxes.</w:t>
      </w:r>
      <w:r w:rsidR="003113A3" w:rsidRPr="00A851A3">
        <w:rPr>
          <w:rStyle w:val="FootnoteReference"/>
          <w:kern w:val="0"/>
        </w:rPr>
        <w:footnoteReference w:id="3"/>
      </w:r>
      <w:r w:rsidR="003113A3" w:rsidRPr="00483B23">
        <w:t xml:space="preserve">  </w:t>
      </w:r>
      <w:r w:rsidR="00E25BD6" w:rsidRPr="00483B23">
        <w:t>U</w:t>
      </w:r>
      <w:r w:rsidR="003113A3" w:rsidRPr="00483B23">
        <w:t>nsolicited faxes often impose unwanted burdens on the called party, including costs of paper and ink, and mak</w:t>
      </w:r>
      <w:r w:rsidR="008F0808">
        <w:t>e</w:t>
      </w:r>
      <w:r w:rsidR="003113A3" w:rsidRPr="00483B23">
        <w:t xml:space="preserve"> fax machines unavailable for legitimate business messages</w:t>
      </w:r>
      <w:r w:rsidR="00983635" w:rsidRPr="00483B23">
        <w:t xml:space="preserve">.  </w:t>
      </w:r>
      <w:r w:rsidR="00590D5B">
        <w:t>Section</w:t>
      </w:r>
      <w:r w:rsidR="003113A3" w:rsidRPr="00C449A2">
        <w:t xml:space="preserve"> 227(b)(1)(C) of the Act makes it “unlawful for any person within the United States, or any person outside the United States if the recipient is within the United States . . . to use any telephone facsimile machine, computer, or other device to send, to a telephone facsimile machine, an unsolicited </w:t>
      </w:r>
      <w:r w:rsidR="003113A3" w:rsidRPr="00250AE0">
        <w:t>advertisement</w:t>
      </w:r>
      <w:r w:rsidR="00250AE0" w:rsidRPr="00250AE0">
        <w:t>.</w:t>
      </w:r>
      <w:r w:rsidR="003113A3" w:rsidRPr="00250AE0">
        <w:t>”</w:t>
      </w:r>
      <w:bookmarkStart w:id="1" w:name="_Ref383007774"/>
      <w:r w:rsidR="003113A3" w:rsidRPr="00250AE0">
        <w:rPr>
          <w:rStyle w:val="FootnoteReference"/>
          <w:kern w:val="0"/>
        </w:rPr>
        <w:footnoteReference w:id="4"/>
      </w:r>
      <w:bookmarkEnd w:id="1"/>
      <w:r w:rsidR="00A04990" w:rsidRPr="00A851A3">
        <w:rPr>
          <w:rStyle w:val="FootnoteReference"/>
          <w:kern w:val="0"/>
        </w:rPr>
        <w:t xml:space="preserve">  </w:t>
      </w:r>
    </w:p>
    <w:p w:rsidR="00D30A64" w:rsidRPr="00B65449" w:rsidRDefault="00D30A64" w:rsidP="004C2608">
      <w:pPr>
        <w:pStyle w:val="ParaNum"/>
      </w:pPr>
      <w:r w:rsidRPr="00B65449">
        <w:lastRenderedPageBreak/>
        <w:t xml:space="preserve">Pursuant to </w:t>
      </w:r>
      <w:r w:rsidR="00590D5B" w:rsidRPr="00B65449">
        <w:t>Section</w:t>
      </w:r>
      <w:r w:rsidRPr="00B65449">
        <w:t xml:space="preserve"> 503(b)(5) of the Act,</w:t>
      </w:r>
      <w:r w:rsidRPr="00B65449">
        <w:rPr>
          <w:rStyle w:val="FootnoteReference"/>
          <w:kern w:val="0"/>
        </w:rPr>
        <w:footnoteReference w:id="5"/>
      </w:r>
      <w:r w:rsidRPr="00B65449">
        <w:t xml:space="preserve"> </w:t>
      </w:r>
      <w:r w:rsidR="00BB2552" w:rsidRPr="00B65449">
        <w:t xml:space="preserve">the Enforcement Bureau </w:t>
      </w:r>
      <w:r w:rsidR="009500C0" w:rsidRPr="00B65449">
        <w:t>(</w:t>
      </w:r>
      <w:r w:rsidR="00BB2552" w:rsidRPr="00B65449">
        <w:t>Bureau</w:t>
      </w:r>
      <w:r w:rsidR="009500C0" w:rsidRPr="00B65449">
        <w:t>)</w:t>
      </w:r>
      <w:r w:rsidR="00BB2552" w:rsidRPr="00B65449">
        <w:t xml:space="preserve"> issued a citation</w:t>
      </w:r>
      <w:r w:rsidR="00535C56">
        <w:t xml:space="preserve"> </w:t>
      </w:r>
      <w:r w:rsidR="00CC4A65" w:rsidRPr="00B65449">
        <w:t xml:space="preserve">to </w:t>
      </w:r>
      <w:r w:rsidR="0002057D" w:rsidRPr="00B65449">
        <w:t>Presidential Who’s Who</w:t>
      </w:r>
      <w:r w:rsidR="00557308">
        <w:rPr>
          <w:rStyle w:val="FootnoteReference"/>
        </w:rPr>
        <w:footnoteReference w:id="6"/>
      </w:r>
      <w:r w:rsidR="0002057D" w:rsidRPr="00B65449">
        <w:t xml:space="preserve"> </w:t>
      </w:r>
      <w:r w:rsidR="003113A3" w:rsidRPr="00B65449">
        <w:t xml:space="preserve">on </w:t>
      </w:r>
      <w:r w:rsidR="0002057D" w:rsidRPr="00B65449">
        <w:t xml:space="preserve">June 18, </w:t>
      </w:r>
      <w:r w:rsidR="003113A3" w:rsidRPr="00B65449">
        <w:t>200</w:t>
      </w:r>
      <w:r w:rsidR="0002057D" w:rsidRPr="00B65449">
        <w:t>8</w:t>
      </w:r>
      <w:r w:rsidR="00BB2552" w:rsidRPr="00B65449">
        <w:t xml:space="preserve">, </w:t>
      </w:r>
      <w:r w:rsidR="005F2889" w:rsidRPr="00B65449">
        <w:t xml:space="preserve">in response to </w:t>
      </w:r>
      <w:r w:rsidR="00FD4A22">
        <w:t>one or more</w:t>
      </w:r>
      <w:r w:rsidR="005F2889" w:rsidRPr="00B65449">
        <w:t xml:space="preserve"> consumer complaint</w:t>
      </w:r>
      <w:r w:rsidR="00FD4A22">
        <w:t>s</w:t>
      </w:r>
      <w:r w:rsidR="005F2889" w:rsidRPr="00B65449">
        <w:t xml:space="preserve"> alleging that </w:t>
      </w:r>
      <w:r w:rsidR="0002057D" w:rsidRPr="00B65449">
        <w:t xml:space="preserve">Presidential Who’s Who </w:t>
      </w:r>
      <w:r w:rsidR="005F2889" w:rsidRPr="00B65449">
        <w:t>had faxed unsolicited advertisement</w:t>
      </w:r>
      <w:r w:rsidR="00B045EE">
        <w:t>s</w:t>
      </w:r>
      <w:r w:rsidR="005F2889" w:rsidRPr="00B65449">
        <w:t>.</w:t>
      </w:r>
      <w:r w:rsidR="00E01DF8" w:rsidRPr="00B65449">
        <w:rPr>
          <w:rStyle w:val="FootnoteReference"/>
          <w:kern w:val="0"/>
        </w:rPr>
        <w:footnoteReference w:id="7"/>
      </w:r>
      <w:r w:rsidR="005F2889" w:rsidRPr="00B65449">
        <w:t xml:space="preserve">  </w:t>
      </w:r>
      <w:r w:rsidR="00775199" w:rsidRPr="00B65449">
        <w:t>The Bureau cited Presidential Who’s Who for using a telephone facsimi</w:t>
      </w:r>
      <w:r w:rsidR="00944972" w:rsidRPr="00B65449">
        <w:t>l</w:t>
      </w:r>
      <w:r w:rsidR="00775199" w:rsidRPr="00B65449">
        <w:t>e machine, computer, or other device, to send an unsolicited advertisement for entry in and sale of the publication “Presidential Who’s Who” to a telephone facsimile machine, in</w:t>
      </w:r>
      <w:r w:rsidR="00944972" w:rsidRPr="00B65449">
        <w:t xml:space="preserve"> </w:t>
      </w:r>
      <w:r w:rsidR="00775199" w:rsidRPr="00B65449">
        <w:t xml:space="preserve">violation of </w:t>
      </w:r>
      <w:r w:rsidR="00590D5B" w:rsidRPr="00B65449">
        <w:t>Section</w:t>
      </w:r>
      <w:r w:rsidR="00775199" w:rsidRPr="00B65449">
        <w:t xml:space="preserve"> 227</w:t>
      </w:r>
      <w:r w:rsidR="00680E84" w:rsidRPr="00B65449">
        <w:t>(</w:t>
      </w:r>
      <w:r w:rsidR="00775199" w:rsidRPr="00B65449">
        <w:t>b</w:t>
      </w:r>
      <w:r w:rsidR="00680E84" w:rsidRPr="00B65449">
        <w:t>)(</w:t>
      </w:r>
      <w:r w:rsidR="00775199" w:rsidRPr="00B65449">
        <w:t xml:space="preserve">1)(C) of the Act and </w:t>
      </w:r>
      <w:r w:rsidR="00590D5B" w:rsidRPr="00B65449">
        <w:t>Section</w:t>
      </w:r>
      <w:r w:rsidR="00775199" w:rsidRPr="00B65449">
        <w:t xml:space="preserve"> 64.1200(a)(</w:t>
      </w:r>
      <w:r w:rsidR="000F1899">
        <w:t>4</w:t>
      </w:r>
      <w:r w:rsidR="00775199" w:rsidRPr="00B65449">
        <w:t xml:space="preserve">) of the Commission’s </w:t>
      </w:r>
      <w:r w:rsidR="002678C2" w:rsidRPr="00B65449">
        <w:t>r</w:t>
      </w:r>
      <w:r w:rsidR="00775199" w:rsidRPr="00B65449">
        <w:t>ules.</w:t>
      </w:r>
      <w:r w:rsidR="00680E84" w:rsidRPr="00B65449">
        <w:rPr>
          <w:rStyle w:val="FootnoteReference"/>
          <w:kern w:val="0"/>
        </w:rPr>
        <w:footnoteReference w:id="8"/>
      </w:r>
      <w:r w:rsidR="00775199" w:rsidRPr="00B65449">
        <w:rPr>
          <w:rStyle w:val="FootnoteReference"/>
          <w:kern w:val="0"/>
        </w:rPr>
        <w:t xml:space="preserve"> </w:t>
      </w:r>
      <w:r w:rsidR="00590D5B" w:rsidRPr="00B65449">
        <w:t xml:space="preserve"> </w:t>
      </w:r>
      <w:r w:rsidR="003C4794" w:rsidRPr="00B65449">
        <w:t xml:space="preserve">Mr. </w:t>
      </w:r>
      <w:r w:rsidR="00680E84" w:rsidRPr="00B65449">
        <w:t>Frank Ciaccio, on behalf o</w:t>
      </w:r>
      <w:r w:rsidR="0002057D" w:rsidRPr="00B65449">
        <w:t>f Presidential Who’s Who, requested an interview and claimed that the fax on which the citation was based was not an advertisement.</w:t>
      </w:r>
      <w:bookmarkStart w:id="2" w:name="_Ref383007860"/>
      <w:r w:rsidR="0002057D" w:rsidRPr="00B65449">
        <w:rPr>
          <w:rStyle w:val="FootnoteReference"/>
        </w:rPr>
        <w:footnoteReference w:id="9"/>
      </w:r>
      <w:bookmarkEnd w:id="2"/>
      <w:r w:rsidR="0002057D" w:rsidRPr="00B65449">
        <w:t xml:space="preserve"> </w:t>
      </w:r>
      <w:r w:rsidR="00707FE7" w:rsidRPr="00B65449">
        <w:t xml:space="preserve"> </w:t>
      </w:r>
      <w:r w:rsidR="00B65449" w:rsidRPr="00B65449">
        <w:t xml:space="preserve">During the interview, </w:t>
      </w:r>
      <w:r w:rsidR="0002057D" w:rsidRPr="00B65449">
        <w:t xml:space="preserve">staff </w:t>
      </w:r>
      <w:r w:rsidR="00B65449" w:rsidRPr="00B65449">
        <w:t xml:space="preserve">informed Mr. Ciaccio </w:t>
      </w:r>
      <w:r w:rsidR="0002057D" w:rsidRPr="00B65449">
        <w:t>that the fax in question was</w:t>
      </w:r>
      <w:r w:rsidR="00B65449" w:rsidRPr="00B65449">
        <w:t>,</w:t>
      </w:r>
      <w:r w:rsidR="0002057D" w:rsidRPr="00B65449">
        <w:t xml:space="preserve"> </w:t>
      </w:r>
      <w:r w:rsidR="00B65449" w:rsidRPr="00B65449">
        <w:t xml:space="preserve">in fact, </w:t>
      </w:r>
      <w:r w:rsidR="0002057D" w:rsidRPr="00B65449">
        <w:t>an advertisement.</w:t>
      </w:r>
      <w:bookmarkStart w:id="3" w:name="_Ref325468533"/>
      <w:r w:rsidR="0002057D" w:rsidRPr="00B65449">
        <w:rPr>
          <w:rStyle w:val="FootnoteReference"/>
          <w:kern w:val="0"/>
        </w:rPr>
        <w:footnoteReference w:id="10"/>
      </w:r>
      <w:bookmarkEnd w:id="3"/>
      <w:r w:rsidR="00AD777B" w:rsidRPr="00B65449">
        <w:t xml:space="preserve"> </w:t>
      </w:r>
    </w:p>
    <w:p w:rsidR="00EA4114" w:rsidRPr="00992879" w:rsidRDefault="00D60A18" w:rsidP="004C2608">
      <w:pPr>
        <w:pStyle w:val="ParaNum"/>
      </w:pPr>
      <w:r>
        <w:t xml:space="preserve">Subsequently, </w:t>
      </w:r>
      <w:r w:rsidR="00D30A64" w:rsidRPr="00A07826">
        <w:t xml:space="preserve">the Commission received </w:t>
      </w:r>
      <w:r w:rsidR="00775199">
        <w:t xml:space="preserve">numerous </w:t>
      </w:r>
      <w:r w:rsidR="00D30A64" w:rsidRPr="00A07826">
        <w:t>complaint</w:t>
      </w:r>
      <w:r w:rsidR="00EA4114" w:rsidRPr="00A07826">
        <w:t>s</w:t>
      </w:r>
      <w:r w:rsidR="00D30A64" w:rsidRPr="00A07826">
        <w:t xml:space="preserve"> alleging that </w:t>
      </w:r>
      <w:r w:rsidR="00EA4114" w:rsidRPr="00A07826">
        <w:t xml:space="preserve">Presidential Who’s Who </w:t>
      </w:r>
      <w:r w:rsidR="00D30A64" w:rsidRPr="00A07826">
        <w:t xml:space="preserve">continued to engage in the same conduct, and thus continued to violate </w:t>
      </w:r>
      <w:r w:rsidR="00590D5B">
        <w:t>Section</w:t>
      </w:r>
      <w:r w:rsidR="00D30A64" w:rsidRPr="00A07826">
        <w:t xml:space="preserve"> 227</w:t>
      </w:r>
      <w:r w:rsidR="004B61AB" w:rsidRPr="00A07826">
        <w:t xml:space="preserve">(b)(1)(C) </w:t>
      </w:r>
      <w:r w:rsidR="00D30A64" w:rsidRPr="00A07826">
        <w:t xml:space="preserve">of </w:t>
      </w:r>
      <w:r w:rsidR="00634172" w:rsidRPr="00A07826">
        <w:t xml:space="preserve">the Act and </w:t>
      </w:r>
      <w:r w:rsidR="00590D5B">
        <w:t>Section</w:t>
      </w:r>
      <w:r w:rsidR="00634172" w:rsidRPr="00A07826">
        <w:t xml:space="preserve"> 64.1200(a)(</w:t>
      </w:r>
      <w:r w:rsidR="000F1899">
        <w:t>4</w:t>
      </w:r>
      <w:r w:rsidR="00634172" w:rsidRPr="00A07826">
        <w:t xml:space="preserve">) of </w:t>
      </w:r>
      <w:r w:rsidR="00D30A64" w:rsidRPr="00A07826">
        <w:t xml:space="preserve">the </w:t>
      </w:r>
      <w:r w:rsidR="004D0A27" w:rsidRPr="00A07826">
        <w:t xml:space="preserve">Commission’s </w:t>
      </w:r>
      <w:r w:rsidR="00D30A64" w:rsidRPr="00A07826">
        <w:t>rules.  T</w:t>
      </w:r>
      <w:r w:rsidR="00AD777B" w:rsidRPr="00A07826">
        <w:t>h</w:t>
      </w:r>
      <w:r w:rsidR="00EA4114" w:rsidRPr="00A07826">
        <w:t>e</w:t>
      </w:r>
      <w:r w:rsidR="00AD777B" w:rsidRPr="00A07826">
        <w:t>s</w:t>
      </w:r>
      <w:r w:rsidR="00EA4114" w:rsidRPr="00A07826">
        <w:t>e</w:t>
      </w:r>
      <w:r w:rsidR="00AD777B" w:rsidRPr="00A07826">
        <w:t xml:space="preserve"> </w:t>
      </w:r>
      <w:r w:rsidR="00BB2552" w:rsidRPr="00A07826">
        <w:t>violation</w:t>
      </w:r>
      <w:r w:rsidR="00EA4114" w:rsidRPr="00A07826">
        <w:t>s</w:t>
      </w:r>
      <w:r w:rsidR="00B045EE">
        <w:t>, which occurred after the citation, led the Commission to issue</w:t>
      </w:r>
      <w:r w:rsidR="00B045EE" w:rsidRPr="00B045EE">
        <w:t xml:space="preserve"> </w:t>
      </w:r>
      <w:r w:rsidR="00B045EE" w:rsidRPr="00483B23">
        <w:t>two N</w:t>
      </w:r>
      <w:r w:rsidR="00B045EE">
        <w:t>ALs</w:t>
      </w:r>
      <w:r w:rsidR="00B045EE" w:rsidRPr="00483B23">
        <w:t xml:space="preserve"> </w:t>
      </w:r>
      <w:r w:rsidR="00B045EE" w:rsidRPr="00A07826">
        <w:t xml:space="preserve">against </w:t>
      </w:r>
      <w:r w:rsidR="00B045EE" w:rsidRPr="00992879">
        <w:t>Presidential Who’s Who</w:t>
      </w:r>
      <w:r w:rsidR="00B045EE">
        <w:t xml:space="preserve"> </w:t>
      </w:r>
      <w:r w:rsidR="00D30A64" w:rsidRPr="00483B23">
        <w:t xml:space="preserve">pursuant to </w:t>
      </w:r>
      <w:r w:rsidR="00590D5B" w:rsidRPr="00483B23">
        <w:t>Section</w:t>
      </w:r>
      <w:r w:rsidR="00D30A64" w:rsidRPr="00483B23">
        <w:t xml:space="preserve"> 503(b)(</w:t>
      </w:r>
      <w:r w:rsidR="003F31F6" w:rsidRPr="00483B23">
        <w:t>4</w:t>
      </w:r>
      <w:r w:rsidR="00D30A64" w:rsidRPr="00483B23">
        <w:t>) of the Act</w:t>
      </w:r>
      <w:r w:rsidR="00D26D36" w:rsidRPr="00992879">
        <w:t>.</w:t>
      </w:r>
      <w:bookmarkStart w:id="4" w:name="_Ref383007890"/>
      <w:r w:rsidR="00590D5B" w:rsidRPr="00992879">
        <w:rPr>
          <w:rStyle w:val="FootnoteReference"/>
          <w:kern w:val="0"/>
        </w:rPr>
        <w:footnoteReference w:id="11"/>
      </w:r>
      <w:bookmarkEnd w:id="4"/>
    </w:p>
    <w:p w:rsidR="00D30A64" w:rsidRPr="00992879" w:rsidRDefault="00AB38DF" w:rsidP="004C2608">
      <w:pPr>
        <w:pStyle w:val="ParaNum"/>
      </w:pPr>
      <w:r w:rsidRPr="00992879">
        <w:t xml:space="preserve">In the </w:t>
      </w:r>
      <w:r w:rsidRPr="00992879">
        <w:rPr>
          <w:i/>
        </w:rPr>
        <w:t>September 2010 NAL</w:t>
      </w:r>
      <w:r w:rsidRPr="00992879">
        <w:t>, t</w:t>
      </w:r>
      <w:r w:rsidR="00EA4114" w:rsidRPr="00992879">
        <w:t xml:space="preserve">he </w:t>
      </w:r>
      <w:r w:rsidR="004D0A27" w:rsidRPr="00992879">
        <w:t>Commission</w:t>
      </w:r>
      <w:r w:rsidR="00EA4114" w:rsidRPr="00992879">
        <w:t xml:space="preserve"> proposed a forfeiture of $345,000</w:t>
      </w:r>
      <w:r w:rsidR="00775199" w:rsidRPr="00992879">
        <w:t xml:space="preserve"> based on</w:t>
      </w:r>
      <w:r w:rsidR="002B6794">
        <w:t xml:space="preserve"> 69 consumer </w:t>
      </w:r>
      <w:r w:rsidR="00775199" w:rsidRPr="00992879">
        <w:t>complaints alleging 73 violations of our junk fax rules.</w:t>
      </w:r>
      <w:r w:rsidR="00623B1E" w:rsidRPr="00992879">
        <w:rPr>
          <w:rStyle w:val="FootnoteReference"/>
        </w:rPr>
        <w:footnoteReference w:id="12"/>
      </w:r>
      <w:r w:rsidR="00702DD8" w:rsidRPr="00992879">
        <w:t xml:space="preserve">  </w:t>
      </w:r>
      <w:r w:rsidR="00C409A7" w:rsidRPr="00992879">
        <w:t>The NAL</w:t>
      </w:r>
      <w:r w:rsidR="00C409A7" w:rsidRPr="00992879">
        <w:rPr>
          <w:i/>
        </w:rPr>
        <w:t xml:space="preserve"> </w:t>
      </w:r>
      <w:r w:rsidR="00C409A7" w:rsidRPr="00992879">
        <w:t xml:space="preserve">gave Presidential Who’s </w:t>
      </w:r>
      <w:r w:rsidR="00C409A7" w:rsidRPr="00992879">
        <w:lastRenderedPageBreak/>
        <w:t>Who an opportunity to file a written response seeking to reduce or cancel the proposed forfeiture.</w:t>
      </w:r>
      <w:r w:rsidR="00C409A7" w:rsidRPr="00992879">
        <w:rPr>
          <w:rStyle w:val="FootnoteReference"/>
        </w:rPr>
        <w:footnoteReference w:id="13"/>
      </w:r>
      <w:r w:rsidR="00C409A7" w:rsidRPr="00992879">
        <w:t xml:space="preserve">  </w:t>
      </w:r>
      <w:r w:rsidR="005931F8" w:rsidRPr="00992879">
        <w:t xml:space="preserve">In early January, Mr. Ciaccio requested an extension </w:t>
      </w:r>
      <w:r w:rsidR="008A5311" w:rsidRPr="00992879">
        <w:t xml:space="preserve">of time </w:t>
      </w:r>
      <w:r w:rsidR="005931F8" w:rsidRPr="00992879">
        <w:t>to respond to th</w:t>
      </w:r>
      <w:r w:rsidR="00C409A7" w:rsidRPr="00992879">
        <w:t>e</w:t>
      </w:r>
      <w:r w:rsidR="005931F8" w:rsidRPr="00992879">
        <w:t xml:space="preserve"> NAL.</w:t>
      </w:r>
      <w:r w:rsidR="005931F8" w:rsidRPr="00992879">
        <w:rPr>
          <w:rStyle w:val="FootnoteReference"/>
        </w:rPr>
        <w:footnoteReference w:id="14"/>
      </w:r>
      <w:r w:rsidR="005931F8" w:rsidRPr="00992879">
        <w:t xml:space="preserve">  O</w:t>
      </w:r>
      <w:r w:rsidR="005E248C" w:rsidRPr="00992879">
        <w:t xml:space="preserve">n January 26, 2011, </w:t>
      </w:r>
      <w:r w:rsidR="005931F8" w:rsidRPr="00992879">
        <w:t>Mr. Ciaccio submitted a response</w:t>
      </w:r>
      <w:r w:rsidR="00C548C5">
        <w:t xml:space="preserve"> </w:t>
      </w:r>
      <w:r w:rsidR="0069606B">
        <w:rPr>
          <w:szCs w:val="22"/>
        </w:rPr>
        <w:t>identifying</w:t>
      </w:r>
      <w:r w:rsidR="0069606B" w:rsidRPr="00992879">
        <w:rPr>
          <w:szCs w:val="22"/>
        </w:rPr>
        <w:t xml:space="preserve"> the websites from which </w:t>
      </w:r>
      <w:r w:rsidR="0069606B">
        <w:rPr>
          <w:szCs w:val="22"/>
        </w:rPr>
        <w:t>Presidential Who’s Who</w:t>
      </w:r>
      <w:r w:rsidR="0069606B" w:rsidRPr="00992879">
        <w:rPr>
          <w:szCs w:val="22"/>
        </w:rPr>
        <w:t xml:space="preserve"> claims it </w:t>
      </w:r>
      <w:r w:rsidR="0069606B">
        <w:rPr>
          <w:szCs w:val="22"/>
        </w:rPr>
        <w:t>obtained</w:t>
      </w:r>
      <w:r w:rsidR="0069606B" w:rsidRPr="00992879">
        <w:rPr>
          <w:szCs w:val="22"/>
        </w:rPr>
        <w:t xml:space="preserve"> the fax numbers associated with the consumers who filed complaints against the company</w:t>
      </w:r>
      <w:r w:rsidR="00C548C5">
        <w:rPr>
          <w:szCs w:val="22"/>
        </w:rPr>
        <w:t xml:space="preserve">. </w:t>
      </w:r>
      <w:r w:rsidR="00535C56">
        <w:rPr>
          <w:szCs w:val="22"/>
        </w:rPr>
        <w:t xml:space="preserve"> </w:t>
      </w:r>
      <w:r w:rsidR="00C548C5">
        <w:rPr>
          <w:szCs w:val="22"/>
        </w:rPr>
        <w:t>Mr.</w:t>
      </w:r>
      <w:r w:rsidR="009C1D62">
        <w:rPr>
          <w:szCs w:val="22"/>
        </w:rPr>
        <w:t> </w:t>
      </w:r>
      <w:r w:rsidR="00C548C5">
        <w:rPr>
          <w:szCs w:val="22"/>
        </w:rPr>
        <w:t>Ciaccio stated that</w:t>
      </w:r>
      <w:r w:rsidR="0069606B" w:rsidRPr="00992879">
        <w:rPr>
          <w:szCs w:val="22"/>
        </w:rPr>
        <w:t xml:space="preserve">, “[a]s we understand the law, these numbers were obtained legally and not a single one of the fax numbers in question had a </w:t>
      </w:r>
      <w:r w:rsidR="0069606B" w:rsidRPr="00992879">
        <w:rPr>
          <w:i/>
          <w:szCs w:val="22"/>
        </w:rPr>
        <w:t>do not solicit</w:t>
      </w:r>
      <w:r w:rsidR="0069606B" w:rsidRPr="00992879">
        <w:rPr>
          <w:szCs w:val="22"/>
        </w:rPr>
        <w:t xml:space="preserve"> notification attached to it.”</w:t>
      </w:r>
      <w:bookmarkStart w:id="5" w:name="_Ref383007982"/>
      <w:r w:rsidR="00590D5B" w:rsidRPr="00992879">
        <w:rPr>
          <w:rStyle w:val="FootnoteReference"/>
          <w:kern w:val="0"/>
        </w:rPr>
        <w:footnoteReference w:id="15"/>
      </w:r>
      <w:bookmarkEnd w:id="5"/>
      <w:r w:rsidR="002A57E7">
        <w:rPr>
          <w:kern w:val="0"/>
        </w:rPr>
        <w:t xml:space="preserve">  </w:t>
      </w:r>
      <w:r w:rsidR="0069606B">
        <w:rPr>
          <w:kern w:val="0"/>
        </w:rPr>
        <w:t xml:space="preserve">Although Bureau staff </w:t>
      </w:r>
      <w:r w:rsidR="00C548C5">
        <w:rPr>
          <w:kern w:val="0"/>
        </w:rPr>
        <w:t xml:space="preserve">asked </w:t>
      </w:r>
      <w:r w:rsidR="00D631A4" w:rsidRPr="00992879">
        <w:rPr>
          <w:kern w:val="0"/>
        </w:rPr>
        <w:t>Mr. Ciaccio</w:t>
      </w:r>
      <w:r w:rsidR="0069606B">
        <w:rPr>
          <w:kern w:val="0"/>
        </w:rPr>
        <w:t xml:space="preserve"> to submit further information to show how the </w:t>
      </w:r>
      <w:r w:rsidR="009520C5">
        <w:rPr>
          <w:color w:val="000000"/>
        </w:rPr>
        <w:t>numbers were obtained “legally,”</w:t>
      </w:r>
      <w:r w:rsidR="004926CF" w:rsidRPr="00992879">
        <w:rPr>
          <w:kern w:val="0"/>
        </w:rPr>
        <w:t xml:space="preserve"> </w:t>
      </w:r>
      <w:r w:rsidR="0069606B">
        <w:rPr>
          <w:kern w:val="0"/>
        </w:rPr>
        <w:t xml:space="preserve">he declined </w:t>
      </w:r>
      <w:r w:rsidR="002A57E7">
        <w:rPr>
          <w:kern w:val="0"/>
        </w:rPr>
        <w:t>to do so.</w:t>
      </w:r>
      <w:r w:rsidR="00623B1E" w:rsidRPr="00992879">
        <w:rPr>
          <w:rStyle w:val="FootnoteReference"/>
          <w:kern w:val="0"/>
        </w:rPr>
        <w:footnoteReference w:id="16"/>
      </w:r>
      <w:r w:rsidR="00623B1E" w:rsidRPr="00992879">
        <w:rPr>
          <w:kern w:val="0"/>
        </w:rPr>
        <w:t xml:space="preserve"> </w:t>
      </w:r>
      <w:r w:rsidR="005E248C" w:rsidRPr="00992879">
        <w:t xml:space="preserve"> </w:t>
      </w:r>
      <w:r w:rsidR="00EA4114" w:rsidRPr="00992879">
        <w:t xml:space="preserve"> </w:t>
      </w:r>
    </w:p>
    <w:p w:rsidR="005E248C" w:rsidRPr="005C77B8" w:rsidRDefault="00AB38DF" w:rsidP="004C2608">
      <w:pPr>
        <w:pStyle w:val="ParaNum"/>
      </w:pPr>
      <w:r w:rsidRPr="00206D8B">
        <w:t xml:space="preserve">In the </w:t>
      </w:r>
      <w:r w:rsidRPr="00206D8B">
        <w:rPr>
          <w:i/>
        </w:rPr>
        <w:t>June 2011 NAL</w:t>
      </w:r>
      <w:r w:rsidRPr="00206D8B">
        <w:t>, t</w:t>
      </w:r>
      <w:r w:rsidR="005E248C" w:rsidRPr="00206D8B">
        <w:t xml:space="preserve">he </w:t>
      </w:r>
      <w:r w:rsidR="004D0A27" w:rsidRPr="00206D8B">
        <w:t xml:space="preserve">Commission </w:t>
      </w:r>
      <w:r w:rsidR="005E248C" w:rsidRPr="00206D8B">
        <w:t xml:space="preserve">proposed a forfeiture of </w:t>
      </w:r>
      <w:r w:rsidR="004A095B">
        <w:t>$</w:t>
      </w:r>
      <w:r w:rsidR="005E248C" w:rsidRPr="00206D8B">
        <w:t>295,000.</w:t>
      </w:r>
      <w:r w:rsidR="00ED106D" w:rsidRPr="00206D8B">
        <w:rPr>
          <w:rStyle w:val="FootnoteReference"/>
          <w:kern w:val="0"/>
        </w:rPr>
        <w:footnoteReference w:id="17"/>
      </w:r>
      <w:r w:rsidR="00707FE7" w:rsidRPr="00206D8B">
        <w:t xml:space="preserve"> </w:t>
      </w:r>
      <w:r w:rsidR="005E248C" w:rsidRPr="00206D8B">
        <w:t xml:space="preserve"> </w:t>
      </w:r>
      <w:r w:rsidR="00D91ED4" w:rsidRPr="00206D8B">
        <w:t xml:space="preserve">In response to the </w:t>
      </w:r>
      <w:r w:rsidR="00D91ED4" w:rsidRPr="00206D8B">
        <w:rPr>
          <w:i/>
        </w:rPr>
        <w:t>June 2011 NAL</w:t>
      </w:r>
      <w:r w:rsidR="00D91ED4" w:rsidRPr="000619A6">
        <w:t xml:space="preserve">, </w:t>
      </w:r>
      <w:r w:rsidR="00D91ED4" w:rsidRPr="00206D8B">
        <w:t>o</w:t>
      </w:r>
      <w:r w:rsidR="005E248C" w:rsidRPr="00206D8B">
        <w:t xml:space="preserve">n </w:t>
      </w:r>
      <w:r w:rsidR="00F54F21" w:rsidRPr="00206D8B">
        <w:t>August 12, 2011</w:t>
      </w:r>
      <w:r w:rsidR="005E248C" w:rsidRPr="00206D8B">
        <w:t xml:space="preserve">, Mr. Ciaccio requested </w:t>
      </w:r>
      <w:r w:rsidR="00724DA0" w:rsidRPr="00206D8B">
        <w:t>a</w:t>
      </w:r>
      <w:r w:rsidR="00EC4C3E" w:rsidRPr="00206D8B">
        <w:t xml:space="preserve"> meeting via teleconference </w:t>
      </w:r>
      <w:r w:rsidR="00D91ED4" w:rsidRPr="00206D8B">
        <w:t>with Commission staff</w:t>
      </w:r>
      <w:r w:rsidR="005E248C" w:rsidRPr="00206D8B">
        <w:t>.</w:t>
      </w:r>
      <w:r w:rsidR="00F54F21" w:rsidRPr="00206D8B">
        <w:rPr>
          <w:rStyle w:val="FootnoteReference"/>
          <w:kern w:val="0"/>
        </w:rPr>
        <w:footnoteReference w:id="18"/>
      </w:r>
      <w:r w:rsidR="005E248C" w:rsidRPr="00206D8B">
        <w:t xml:space="preserve">  </w:t>
      </w:r>
      <w:r w:rsidR="00D91ED4" w:rsidRPr="00206D8B">
        <w:t>On August 17, 2011</w:t>
      </w:r>
      <w:r w:rsidR="0059113E" w:rsidRPr="00206D8B">
        <w:t>,</w:t>
      </w:r>
      <w:r w:rsidR="00D91ED4" w:rsidRPr="00206D8B">
        <w:t xml:space="preserve"> staff </w:t>
      </w:r>
      <w:r w:rsidR="00EC4C3E" w:rsidRPr="00206D8B">
        <w:t>conducted the meeting</w:t>
      </w:r>
      <w:r w:rsidR="00D91ED4" w:rsidRPr="00206D8B">
        <w:t xml:space="preserve"> d</w:t>
      </w:r>
      <w:r w:rsidR="005D79BA" w:rsidRPr="00206D8B">
        <w:t xml:space="preserve">uring </w:t>
      </w:r>
      <w:r w:rsidR="00D91ED4" w:rsidRPr="00206D8B">
        <w:t>which</w:t>
      </w:r>
      <w:r w:rsidR="005E248C" w:rsidRPr="00206D8B">
        <w:t xml:space="preserve"> Mr. Ciaccio</w:t>
      </w:r>
      <w:r w:rsidR="00775199" w:rsidRPr="00206D8B">
        <w:t xml:space="preserve"> admitted sending the faxes, but argued that </w:t>
      </w:r>
      <w:r w:rsidR="00BE3953" w:rsidRPr="00206D8B">
        <w:t>the faxes were legal because</w:t>
      </w:r>
      <w:r w:rsidR="004926CF" w:rsidRPr="00206D8B">
        <w:t>,</w:t>
      </w:r>
      <w:r w:rsidR="00BE3953" w:rsidRPr="00206D8B">
        <w:t xml:space="preserve"> in his view</w:t>
      </w:r>
      <w:r w:rsidR="004926CF" w:rsidRPr="00206D8B">
        <w:t>,</w:t>
      </w:r>
      <w:r w:rsidR="00BE3953" w:rsidRPr="00206D8B">
        <w:t xml:space="preserve"> the Commission had not warned him that </w:t>
      </w:r>
      <w:r w:rsidR="004926CF" w:rsidRPr="00206D8B">
        <w:t xml:space="preserve">the </w:t>
      </w:r>
      <w:r w:rsidR="00BE3953" w:rsidRPr="00206D8B">
        <w:t>faxes violat</w:t>
      </w:r>
      <w:r w:rsidR="004926CF" w:rsidRPr="00206D8B">
        <w:t xml:space="preserve">ed </w:t>
      </w:r>
      <w:r w:rsidR="00BE3953" w:rsidRPr="00206D8B">
        <w:t>the Act and</w:t>
      </w:r>
      <w:r w:rsidR="004926CF" w:rsidRPr="00206D8B">
        <w:t>/or</w:t>
      </w:r>
      <w:r w:rsidR="00BE3953" w:rsidRPr="00206D8B">
        <w:t xml:space="preserve"> </w:t>
      </w:r>
      <w:r w:rsidR="004926CF" w:rsidRPr="00206D8B">
        <w:t xml:space="preserve">the </w:t>
      </w:r>
      <w:r w:rsidR="00BE3953" w:rsidRPr="00206D8B">
        <w:t>Commission’s rules</w:t>
      </w:r>
      <w:r w:rsidR="005C77B8" w:rsidRPr="00206D8B">
        <w:t>.</w:t>
      </w:r>
      <w:bookmarkStart w:id="6" w:name="_Ref383007941"/>
      <w:r w:rsidR="00EF22E0" w:rsidRPr="00206D8B">
        <w:rPr>
          <w:rStyle w:val="FootnoteReference"/>
          <w:kern w:val="0"/>
        </w:rPr>
        <w:footnoteReference w:id="19"/>
      </w:r>
      <w:bookmarkEnd w:id="6"/>
      <w:r w:rsidR="00EF22E0" w:rsidRPr="00206D8B">
        <w:t xml:space="preserve"> </w:t>
      </w:r>
      <w:r w:rsidR="00707FE7" w:rsidRPr="00206D8B">
        <w:t xml:space="preserve"> </w:t>
      </w:r>
      <w:r w:rsidR="005C77B8" w:rsidRPr="00206D8B">
        <w:t xml:space="preserve">Additionally, Mr. Ciaccio </w:t>
      </w:r>
      <w:r w:rsidR="00391A8D" w:rsidRPr="00206D8B">
        <w:t xml:space="preserve">indicated </w:t>
      </w:r>
      <w:r w:rsidR="005C77B8" w:rsidRPr="00206D8B">
        <w:t xml:space="preserve">that </w:t>
      </w:r>
      <w:r w:rsidR="00391A8D" w:rsidRPr="00206D8B">
        <w:t xml:space="preserve">the company </w:t>
      </w:r>
      <w:r w:rsidR="00D631A4" w:rsidRPr="00206D8B">
        <w:t>was</w:t>
      </w:r>
      <w:r w:rsidR="005C77B8" w:rsidRPr="00206D8B">
        <w:t xml:space="preserve"> unable to pay the proposed forfeiture amounts</w:t>
      </w:r>
      <w:r w:rsidR="00034A48">
        <w:t xml:space="preserve">, and subsequently submitted some </w:t>
      </w:r>
      <w:r w:rsidR="00A959D8" w:rsidRPr="00206D8B">
        <w:t xml:space="preserve">tax documentation </w:t>
      </w:r>
      <w:r w:rsidR="00034A48">
        <w:t>in support.</w:t>
      </w:r>
      <w:bookmarkStart w:id="7" w:name="_Ref383007996"/>
      <w:r w:rsidR="00E01DF8">
        <w:rPr>
          <w:rStyle w:val="FootnoteReference"/>
        </w:rPr>
        <w:footnoteReference w:id="20"/>
      </w:r>
      <w:bookmarkEnd w:id="7"/>
      <w:r w:rsidR="00EC4C3E" w:rsidRPr="00206D8B">
        <w:t xml:space="preserve"> </w:t>
      </w:r>
    </w:p>
    <w:p w:rsidR="00831D16" w:rsidRDefault="00831D16" w:rsidP="00831D16">
      <w:pPr>
        <w:pStyle w:val="Heading1"/>
      </w:pPr>
      <w:r>
        <w:t>discussion</w:t>
      </w:r>
    </w:p>
    <w:p w:rsidR="00A25001" w:rsidRDefault="00A25001" w:rsidP="004C2608">
      <w:pPr>
        <w:pStyle w:val="ParaNum"/>
      </w:pPr>
      <w:r>
        <w:t>Section 503(b)(2)(</w:t>
      </w:r>
      <w:r w:rsidR="00430BBC">
        <w:t>D</w:t>
      </w:r>
      <w:r w:rsidR="00992879">
        <w:t xml:space="preserve">) authorizes the Commission to assess a </w:t>
      </w:r>
      <w:r w:rsidR="00206D8B">
        <w:t xml:space="preserve">maximum </w:t>
      </w:r>
      <w:r w:rsidR="00992879">
        <w:t xml:space="preserve">forfeiture of $16,000 </w:t>
      </w:r>
      <w:r w:rsidR="00206D8B">
        <w:t>per violation against an entity such as Presidential Who’s Who.</w:t>
      </w:r>
      <w:r w:rsidR="00992879">
        <w:rPr>
          <w:rStyle w:val="FootnoteReference"/>
        </w:rPr>
        <w:footnoteReference w:id="21"/>
      </w:r>
      <w:r w:rsidR="00992879">
        <w:t xml:space="preserve"> </w:t>
      </w:r>
      <w:r w:rsidR="00EA6998" w:rsidRPr="00A768D0">
        <w:t xml:space="preserve"> In exercising such authority, </w:t>
      </w:r>
      <w:r w:rsidR="00AA5005">
        <w:t xml:space="preserve">the Commission must consider </w:t>
      </w:r>
      <w:r w:rsidR="00EA6998" w:rsidRPr="00A768D0">
        <w:t>“the nature, circumstances, extent, and gravity of the violation and, with respect to the violator, the degree of culpability, any history of prior offenses, ability to pay, and such other matters as justice may require.”</w:t>
      </w:r>
      <w:r w:rsidR="005643BB" w:rsidRPr="00A768D0">
        <w:rPr>
          <w:rStyle w:val="FootnoteReference"/>
          <w:kern w:val="0"/>
        </w:rPr>
        <w:footnoteReference w:id="22"/>
      </w:r>
      <w:r w:rsidR="005643BB" w:rsidRPr="00A768D0">
        <w:rPr>
          <w:rStyle w:val="FootnoteReference"/>
          <w:kern w:val="0"/>
        </w:rPr>
        <w:t xml:space="preserve"> </w:t>
      </w:r>
      <w:r w:rsidR="005643BB" w:rsidRPr="00A768D0">
        <w:t xml:space="preserve"> </w:t>
      </w:r>
      <w:r w:rsidR="00631885">
        <w:t xml:space="preserve">As discussed above, the Commission </w:t>
      </w:r>
      <w:r w:rsidR="00233A63">
        <w:t xml:space="preserve">issued </w:t>
      </w:r>
      <w:r w:rsidR="00631885">
        <w:t xml:space="preserve">two separate NALs to Presidential Who’s Who </w:t>
      </w:r>
      <w:r>
        <w:t>and proposed a total forfeiture of $640,000.</w:t>
      </w:r>
    </w:p>
    <w:p w:rsidR="0077792A" w:rsidRPr="0077792A" w:rsidRDefault="00BB3F0B" w:rsidP="004C2608">
      <w:pPr>
        <w:pStyle w:val="ParaNum"/>
      </w:pPr>
      <w:r w:rsidRPr="00206D8B">
        <w:t>In its responses to the two NALs</w:t>
      </w:r>
      <w:r w:rsidR="00404292" w:rsidRPr="00206D8B">
        <w:t xml:space="preserve">, </w:t>
      </w:r>
      <w:r w:rsidR="00CC4A65" w:rsidRPr="00206D8B">
        <w:t xml:space="preserve">Presidential Who’s Who </w:t>
      </w:r>
      <w:r w:rsidR="00943D06" w:rsidRPr="00206D8B">
        <w:t>raises three arguments</w:t>
      </w:r>
      <w:r w:rsidR="00216F48" w:rsidRPr="00206D8B">
        <w:t xml:space="preserve">.  </w:t>
      </w:r>
      <w:r w:rsidR="00943D06" w:rsidRPr="00206D8B">
        <w:t xml:space="preserve">First, </w:t>
      </w:r>
      <w:r w:rsidRPr="00206D8B">
        <w:t>Presidential Who’s Who</w:t>
      </w:r>
      <w:r w:rsidR="00125562">
        <w:t xml:space="preserve"> claims that it did not have sufficient notice that</w:t>
      </w:r>
      <w:r w:rsidR="00274772" w:rsidRPr="00206D8B">
        <w:t xml:space="preserve"> </w:t>
      </w:r>
      <w:r w:rsidR="008279BF">
        <w:t xml:space="preserve">the faxes </w:t>
      </w:r>
      <w:r w:rsidR="00125562">
        <w:t>it</w:t>
      </w:r>
      <w:r w:rsidR="00274772" w:rsidRPr="00206D8B">
        <w:t xml:space="preserve"> </w:t>
      </w:r>
      <w:r w:rsidR="00125562">
        <w:t xml:space="preserve">sent qualified as </w:t>
      </w:r>
      <w:r w:rsidR="009520C5">
        <w:rPr>
          <w:color w:val="000000"/>
        </w:rPr>
        <w:t>unsolicited facsimile advertisements</w:t>
      </w:r>
      <w:r w:rsidR="00274772" w:rsidRPr="00206D8B">
        <w:t>.</w:t>
      </w:r>
      <w:r w:rsidR="009E0F6D">
        <w:rPr>
          <w:rStyle w:val="FootnoteReference"/>
        </w:rPr>
        <w:footnoteReference w:id="23"/>
      </w:r>
      <w:r w:rsidR="00274772" w:rsidRPr="00206D8B">
        <w:t xml:space="preserve">  </w:t>
      </w:r>
      <w:r w:rsidR="00943D06" w:rsidRPr="00206D8B">
        <w:t xml:space="preserve">Second, </w:t>
      </w:r>
      <w:r w:rsidR="00357535">
        <w:t xml:space="preserve">the company </w:t>
      </w:r>
      <w:r w:rsidR="00206D8B">
        <w:t xml:space="preserve">contends it “legally” obtained the numbers to which it directed the faxes </w:t>
      </w:r>
      <w:r w:rsidR="00F8043B">
        <w:t xml:space="preserve">from </w:t>
      </w:r>
      <w:r w:rsidR="00206D8B">
        <w:t>websites</w:t>
      </w:r>
      <w:r w:rsidR="008279BF">
        <w:t>,</w:t>
      </w:r>
      <w:r w:rsidR="00206D8B">
        <w:t xml:space="preserve"> such that it was aut</w:t>
      </w:r>
      <w:r w:rsidRPr="00206D8B">
        <w:t>horized to send the faxes to the fax recipients</w:t>
      </w:r>
      <w:r w:rsidR="0090746A" w:rsidRPr="00206D8B">
        <w:t>.</w:t>
      </w:r>
      <w:r w:rsidR="009E0F6D">
        <w:rPr>
          <w:rStyle w:val="FootnoteReference"/>
        </w:rPr>
        <w:footnoteReference w:id="24"/>
      </w:r>
      <w:r w:rsidR="005E710A">
        <w:t xml:space="preserve">  </w:t>
      </w:r>
      <w:r w:rsidR="00531C42">
        <w:t>Finally</w:t>
      </w:r>
      <w:r w:rsidR="00274772" w:rsidRPr="00206D8B">
        <w:t xml:space="preserve">, </w:t>
      </w:r>
      <w:r w:rsidR="00357535">
        <w:t xml:space="preserve">the company </w:t>
      </w:r>
      <w:r w:rsidR="00274772" w:rsidRPr="00206D8B">
        <w:t xml:space="preserve">asserts that it cannot afford to pay the forfeitures proposed against the company in both the </w:t>
      </w:r>
      <w:r w:rsidR="00274772" w:rsidRPr="00206D8B">
        <w:rPr>
          <w:i/>
        </w:rPr>
        <w:t>September 2010 NAL</w:t>
      </w:r>
      <w:r w:rsidR="00274772" w:rsidRPr="00206D8B">
        <w:t xml:space="preserve"> and </w:t>
      </w:r>
      <w:r w:rsidR="00274772" w:rsidRPr="00206D8B">
        <w:rPr>
          <w:i/>
        </w:rPr>
        <w:t>June 2011 NAL</w:t>
      </w:r>
      <w:r w:rsidR="00274772" w:rsidRPr="0077792A">
        <w:t>.</w:t>
      </w:r>
      <w:r w:rsidR="009E0F6D">
        <w:rPr>
          <w:rStyle w:val="FootnoteReference"/>
        </w:rPr>
        <w:footnoteReference w:id="25"/>
      </w:r>
      <w:r w:rsidR="00274772" w:rsidRPr="0077792A">
        <w:t xml:space="preserve">  </w:t>
      </w:r>
      <w:r w:rsidR="0090746A" w:rsidRPr="0077792A">
        <w:t xml:space="preserve"> </w:t>
      </w:r>
      <w:r w:rsidR="00216F48" w:rsidRPr="0077792A">
        <w:t xml:space="preserve"> </w:t>
      </w:r>
      <w:r w:rsidR="00943D06" w:rsidRPr="0077792A">
        <w:t xml:space="preserve"> </w:t>
      </w:r>
    </w:p>
    <w:p w:rsidR="005C2E31" w:rsidRDefault="00C413EC" w:rsidP="004C2608">
      <w:pPr>
        <w:pStyle w:val="ParaNum"/>
      </w:pPr>
      <w:r>
        <w:rPr>
          <w:i/>
        </w:rPr>
        <w:t>Legal Status of Faxes and Notice</w:t>
      </w:r>
      <w:r w:rsidR="006F2603">
        <w:rPr>
          <w:i/>
        </w:rPr>
        <w:t xml:space="preserve">. </w:t>
      </w:r>
      <w:r w:rsidR="000329A0">
        <w:t xml:space="preserve">As the Bureau did in its citation and the Commission did in </w:t>
      </w:r>
      <w:r w:rsidR="00531C42">
        <w:t xml:space="preserve">both of </w:t>
      </w:r>
      <w:r w:rsidR="000329A0">
        <w:t>its NALs, we conclude that t</w:t>
      </w:r>
      <w:r w:rsidR="00125562">
        <w:t xml:space="preserve">he facsimiles that Presidential Who’s Who sent to consumers constitute </w:t>
      </w:r>
      <w:r w:rsidR="009520C5">
        <w:rPr>
          <w:color w:val="000000"/>
        </w:rPr>
        <w:t>unsolicited facsimile advertisements</w:t>
      </w:r>
      <w:r w:rsidR="00125562">
        <w:t xml:space="preserve">, and </w:t>
      </w:r>
      <w:r w:rsidR="000329A0">
        <w:t xml:space="preserve">we find that </w:t>
      </w:r>
      <w:r w:rsidR="00125562">
        <w:t>Presidential Who’s Who had notice of that fact.</w:t>
      </w:r>
      <w:r w:rsidR="0012470F">
        <w:t xml:space="preserve">  The faxes at issue </w:t>
      </w:r>
      <w:r w:rsidR="007D1B25">
        <w:t xml:space="preserve">offer </w:t>
      </w:r>
      <w:r w:rsidR="0012470F">
        <w:t>entry in the publication “Presidential Who’s Who</w:t>
      </w:r>
      <w:r w:rsidR="005E710A">
        <w:t xml:space="preserve">” </w:t>
      </w:r>
      <w:r w:rsidR="007D1B25">
        <w:t xml:space="preserve">and </w:t>
      </w:r>
      <w:r w:rsidR="00531C42">
        <w:t>advertise</w:t>
      </w:r>
      <w:r w:rsidR="007D1B25">
        <w:t xml:space="preserve"> that publication either </w:t>
      </w:r>
      <w:r w:rsidR="00830471">
        <w:t xml:space="preserve">explicitly or </w:t>
      </w:r>
      <w:r w:rsidR="00531C42">
        <w:t xml:space="preserve">in conjunction with follow-up telephone calls from </w:t>
      </w:r>
      <w:r w:rsidR="00830471">
        <w:t>Presidential Who’s Who</w:t>
      </w:r>
      <w:r w:rsidR="007D1B25">
        <w:t xml:space="preserve">.  </w:t>
      </w:r>
      <w:r w:rsidR="00BF454E">
        <w:t>A</w:t>
      </w:r>
      <w:r w:rsidR="005145A3">
        <w:t>t best, the faxes serve as part of an “overall marketing campaign to sell property, goods, or services”</w:t>
      </w:r>
      <w:r w:rsidR="00BF454E">
        <w:t>; thus</w:t>
      </w:r>
      <w:r w:rsidR="005E710A">
        <w:t xml:space="preserve">, for purposes of the junk fax rules, they are </w:t>
      </w:r>
      <w:r w:rsidR="00DD7189">
        <w:t xml:space="preserve">unsolicited facsimile </w:t>
      </w:r>
      <w:r w:rsidR="00117F96">
        <w:t>advertisement</w:t>
      </w:r>
      <w:r w:rsidR="00DD7189">
        <w:t>s</w:t>
      </w:r>
      <w:r w:rsidR="00117F96">
        <w:t>.</w:t>
      </w:r>
      <w:r w:rsidR="00125562" w:rsidRPr="0077792A">
        <w:rPr>
          <w:rStyle w:val="FootnoteReference"/>
          <w:kern w:val="0"/>
        </w:rPr>
        <w:footnoteReference w:id="26"/>
      </w:r>
      <w:r w:rsidR="00117F96">
        <w:t xml:space="preserve"> </w:t>
      </w:r>
    </w:p>
    <w:p w:rsidR="00830471" w:rsidRPr="00830471" w:rsidRDefault="00117F96" w:rsidP="004C2608">
      <w:pPr>
        <w:pStyle w:val="ParaNum"/>
      </w:pPr>
      <w:r>
        <w:t xml:space="preserve">Presidential Who’s Who </w:t>
      </w:r>
      <w:r w:rsidR="005E710A">
        <w:t>had ample notice</w:t>
      </w:r>
      <w:r>
        <w:t xml:space="preserve"> that its faxes </w:t>
      </w:r>
      <w:r w:rsidR="004F0601">
        <w:t>constituted</w:t>
      </w:r>
      <w:r>
        <w:t xml:space="preserve"> </w:t>
      </w:r>
      <w:r w:rsidR="009520C5">
        <w:rPr>
          <w:color w:val="000000"/>
        </w:rPr>
        <w:t>unsolicited facsimile advertisements</w:t>
      </w:r>
      <w:r>
        <w:t xml:space="preserve">.  </w:t>
      </w:r>
      <w:r w:rsidR="0031244E">
        <w:t>For one, the citation the Bureau issued provided sufficient notice of the law and the fact that the faxes sent by Presidential Who’s Who violated the junk-fax rules.  For another</w:t>
      </w:r>
      <w:r>
        <w:t xml:space="preserve">, </w:t>
      </w:r>
      <w:r w:rsidR="00A25001">
        <w:t xml:space="preserve">in </w:t>
      </w:r>
      <w:r w:rsidR="006F4E20">
        <w:t xml:space="preserve">the interview between Mr. Ciaccio and Bureau staff that followed the company’s challenge to the Bureau’s citation, staff explained the law:  the faxes </w:t>
      </w:r>
      <w:r w:rsidR="000329A0">
        <w:t>are</w:t>
      </w:r>
      <w:r w:rsidR="006F4E20">
        <w:t xml:space="preserve"> “pretexts” to an advertisement and are thus prohibited under the Act and the Commission’s rules</w:t>
      </w:r>
      <w:r>
        <w:t>.</w:t>
      </w:r>
      <w:r>
        <w:rPr>
          <w:rStyle w:val="FootnoteReference"/>
        </w:rPr>
        <w:footnoteReference w:id="27"/>
      </w:r>
      <w:r>
        <w:t xml:space="preserve">  </w:t>
      </w:r>
      <w:r w:rsidR="00406A37" w:rsidRPr="00492840">
        <w:t xml:space="preserve">Even without such warnings, </w:t>
      </w:r>
      <w:r w:rsidR="00390617" w:rsidRPr="00492840">
        <w:t xml:space="preserve">ignorance of the </w:t>
      </w:r>
      <w:r w:rsidR="00390617" w:rsidRPr="00D564A4">
        <w:t xml:space="preserve">law </w:t>
      </w:r>
      <w:r w:rsidR="00A42019" w:rsidRPr="00D564A4">
        <w:t>“does not exonerate, excuse, or mitigate violations.”</w:t>
      </w:r>
      <w:r w:rsidR="00390617" w:rsidRPr="00D564A4">
        <w:rPr>
          <w:rStyle w:val="FootnoteReference"/>
        </w:rPr>
        <w:footnoteReference w:id="28"/>
      </w:r>
      <w:r w:rsidR="00390617">
        <w:t xml:space="preserve">  </w:t>
      </w:r>
      <w:r w:rsidR="000329A0">
        <w:t>N</w:t>
      </w:r>
      <w:r w:rsidR="006F4E20">
        <w:t>otwithstanding th</w:t>
      </w:r>
      <w:r w:rsidR="00492840">
        <w:t xml:space="preserve">e notice and </w:t>
      </w:r>
      <w:r w:rsidR="000329A0">
        <w:t>warning</w:t>
      </w:r>
      <w:r w:rsidR="00492840">
        <w:t>s</w:t>
      </w:r>
      <w:r w:rsidR="006F4E20">
        <w:t xml:space="preserve">, </w:t>
      </w:r>
      <w:r>
        <w:t xml:space="preserve">Presidential Who’s Who </w:t>
      </w:r>
      <w:r w:rsidR="000329A0">
        <w:t xml:space="preserve">continued to </w:t>
      </w:r>
      <w:r w:rsidR="006F4E20">
        <w:t>f</w:t>
      </w:r>
      <w:r w:rsidR="000329A0">
        <w:t>ax</w:t>
      </w:r>
      <w:r w:rsidR="006F4E20">
        <w:t xml:space="preserve"> unsolicited advertisements at least </w:t>
      </w:r>
      <w:r w:rsidR="006F4E20" w:rsidRPr="006F4E20">
        <w:rPr>
          <w:i/>
        </w:rPr>
        <w:t>seventy-three</w:t>
      </w:r>
      <w:r w:rsidR="006F4E20">
        <w:t xml:space="preserve"> more times</w:t>
      </w:r>
      <w:r w:rsidR="000329A0">
        <w:t xml:space="preserve"> over the next several months</w:t>
      </w:r>
      <w:r w:rsidR="006F4E20">
        <w:t xml:space="preserve">, which resulted in the </w:t>
      </w:r>
      <w:r w:rsidRPr="00117F96">
        <w:rPr>
          <w:i/>
        </w:rPr>
        <w:t>September 2010 NAL</w:t>
      </w:r>
      <w:r w:rsidR="00C413EC">
        <w:t>.</w:t>
      </w:r>
      <w:r w:rsidR="0089498B">
        <w:t xml:space="preserve">  </w:t>
      </w:r>
      <w:r w:rsidR="00390617" w:rsidRPr="0089498B">
        <w:t xml:space="preserve">Although </w:t>
      </w:r>
      <w:r w:rsidR="00156F85" w:rsidRPr="0089498B">
        <w:t xml:space="preserve">Presidential Who’s Who was </w:t>
      </w:r>
      <w:r w:rsidR="0089498B" w:rsidRPr="0089498B">
        <w:t xml:space="preserve">again notified </w:t>
      </w:r>
      <w:r w:rsidR="00156F85" w:rsidRPr="0089498B">
        <w:t>of its unlawful conduct</w:t>
      </w:r>
      <w:r w:rsidR="0089498B" w:rsidRPr="0089498B">
        <w:t xml:space="preserve"> with th</w:t>
      </w:r>
      <w:r w:rsidR="00492840">
        <w:t>at</w:t>
      </w:r>
      <w:r w:rsidR="0089498B" w:rsidRPr="0089498B">
        <w:t xml:space="preserve"> NAL</w:t>
      </w:r>
      <w:r w:rsidR="00156F85" w:rsidRPr="0089498B">
        <w:t>,</w:t>
      </w:r>
      <w:r w:rsidR="00931BD0">
        <w:t xml:space="preserve"> </w:t>
      </w:r>
      <w:r w:rsidR="003B49C0">
        <w:t xml:space="preserve">the company </w:t>
      </w:r>
      <w:r w:rsidR="00931BD0">
        <w:t xml:space="preserve">continued to engage in </w:t>
      </w:r>
      <w:r w:rsidR="0089498B" w:rsidRPr="0089498B">
        <w:t xml:space="preserve">unlawful </w:t>
      </w:r>
      <w:r w:rsidR="00931BD0">
        <w:t xml:space="preserve">conduct by sending </w:t>
      </w:r>
      <w:r w:rsidR="00156F85" w:rsidRPr="0089498B">
        <w:t>a</w:t>
      </w:r>
      <w:r w:rsidR="000329A0" w:rsidRPr="0089498B">
        <w:t xml:space="preserve">t least </w:t>
      </w:r>
      <w:r w:rsidR="000329A0" w:rsidRPr="0089498B">
        <w:rPr>
          <w:i/>
        </w:rPr>
        <w:t>t</w:t>
      </w:r>
      <w:r w:rsidR="006F4E20" w:rsidRPr="0089498B">
        <w:rPr>
          <w:i/>
        </w:rPr>
        <w:t>hirty-</w:t>
      </w:r>
      <w:r w:rsidR="000329A0" w:rsidRPr="0089498B">
        <w:rPr>
          <w:i/>
        </w:rPr>
        <w:t>one</w:t>
      </w:r>
      <w:r w:rsidR="006F4E20" w:rsidRPr="0089498B">
        <w:t xml:space="preserve"> </w:t>
      </w:r>
      <w:r w:rsidR="00357535">
        <w:t xml:space="preserve">additional </w:t>
      </w:r>
      <w:r w:rsidR="000329A0" w:rsidRPr="0089498B">
        <w:t>unsolicited advertisements</w:t>
      </w:r>
      <w:r w:rsidR="006F4E20" w:rsidRPr="0089498B">
        <w:t xml:space="preserve">, </w:t>
      </w:r>
      <w:r w:rsidR="000329A0" w:rsidRPr="0089498B">
        <w:t>which resulted in</w:t>
      </w:r>
      <w:r w:rsidR="006F4E20" w:rsidRPr="0089498B">
        <w:t xml:space="preserve"> the </w:t>
      </w:r>
      <w:r w:rsidR="006F4E20" w:rsidRPr="0089498B">
        <w:rPr>
          <w:i/>
        </w:rPr>
        <w:t>June 201</w:t>
      </w:r>
      <w:r w:rsidR="0089498B">
        <w:rPr>
          <w:i/>
        </w:rPr>
        <w:t>1</w:t>
      </w:r>
      <w:r w:rsidR="006F4E20" w:rsidRPr="0089498B">
        <w:rPr>
          <w:i/>
        </w:rPr>
        <w:t xml:space="preserve"> NAL</w:t>
      </w:r>
      <w:r w:rsidR="006F4E20" w:rsidRPr="0089498B">
        <w:t>.</w:t>
      </w:r>
      <w:r w:rsidR="006F4E20">
        <w:t xml:space="preserve">  </w:t>
      </w:r>
      <w:r w:rsidR="009520C5">
        <w:rPr>
          <w:color w:val="000000"/>
        </w:rPr>
        <w:t xml:space="preserve">Accordingly, we conclude that the company had </w:t>
      </w:r>
      <w:r w:rsidR="009520C5" w:rsidRPr="00D564A4">
        <w:rPr>
          <w:color w:val="000000"/>
        </w:rPr>
        <w:t>notice that</w:t>
      </w:r>
      <w:r w:rsidR="009520C5">
        <w:rPr>
          <w:color w:val="000000"/>
        </w:rPr>
        <w:t xml:space="preserve"> its activities were unlawful</w:t>
      </w:r>
      <w:r w:rsidR="00357535">
        <w:rPr>
          <w:color w:val="000000"/>
        </w:rPr>
        <w:t>.</w:t>
      </w:r>
    </w:p>
    <w:p w:rsidR="008279BF" w:rsidRDefault="0031244E" w:rsidP="004C2608">
      <w:pPr>
        <w:pStyle w:val="ParaNum"/>
      </w:pPr>
      <w:r>
        <w:rPr>
          <w:i/>
          <w:szCs w:val="22"/>
        </w:rPr>
        <w:t>“Legally” Obtained</w:t>
      </w:r>
      <w:r w:rsidR="00C413EC" w:rsidRPr="00C413EC">
        <w:rPr>
          <w:i/>
          <w:szCs w:val="22"/>
        </w:rPr>
        <w:t xml:space="preserve"> Fax Numbers</w:t>
      </w:r>
      <w:r w:rsidR="00C413EC">
        <w:rPr>
          <w:szCs w:val="22"/>
        </w:rPr>
        <w:t xml:space="preserve">.  </w:t>
      </w:r>
      <w:r w:rsidR="00DA3658">
        <w:rPr>
          <w:szCs w:val="22"/>
        </w:rPr>
        <w:t xml:space="preserve">Pursuant to both the Act and the Commission’s rules, a fax sender must have an EBR </w:t>
      </w:r>
      <w:r w:rsidR="00DA3658" w:rsidRPr="00DF2E4A">
        <w:rPr>
          <w:szCs w:val="22"/>
        </w:rPr>
        <w:t>with the recipient</w:t>
      </w:r>
      <w:r w:rsidR="00DA3658">
        <w:rPr>
          <w:szCs w:val="22"/>
        </w:rPr>
        <w:t xml:space="preserve"> to send an unsolicited advertisement via facsimile.</w:t>
      </w:r>
      <w:r w:rsidR="00DA3658">
        <w:rPr>
          <w:rStyle w:val="FootnoteReference"/>
          <w:szCs w:val="22"/>
        </w:rPr>
        <w:footnoteReference w:id="29"/>
      </w:r>
      <w:r w:rsidR="00DA3658">
        <w:rPr>
          <w:szCs w:val="22"/>
        </w:rPr>
        <w:t xml:space="preserve">  Presidential Who’s Who maintains that it obtained the fax numbers from public websites.  Yet, “[t]</w:t>
      </w:r>
      <w:r w:rsidR="00DA3658">
        <w:rPr>
          <w:kern w:val="0"/>
          <w:szCs w:val="22"/>
        </w:rPr>
        <w:t xml:space="preserve">he </w:t>
      </w:r>
      <w:r w:rsidR="00DA3658" w:rsidRPr="0077792A">
        <w:rPr>
          <w:kern w:val="0"/>
          <w:szCs w:val="22"/>
        </w:rPr>
        <w:t xml:space="preserve">fact that </w:t>
      </w:r>
      <w:r w:rsidR="00DA3658">
        <w:rPr>
          <w:kern w:val="0"/>
          <w:szCs w:val="22"/>
        </w:rPr>
        <w:t xml:space="preserve">a </w:t>
      </w:r>
      <w:r w:rsidR="00DA3658" w:rsidRPr="0077792A">
        <w:rPr>
          <w:kern w:val="0"/>
          <w:szCs w:val="22"/>
        </w:rPr>
        <w:t xml:space="preserve">facsimile number was </w:t>
      </w:r>
      <w:r w:rsidR="00DA3658">
        <w:rPr>
          <w:kern w:val="0"/>
          <w:szCs w:val="22"/>
        </w:rPr>
        <w:t xml:space="preserve">made </w:t>
      </w:r>
      <w:r w:rsidR="00DA3658" w:rsidRPr="0077792A">
        <w:rPr>
          <w:kern w:val="0"/>
          <w:szCs w:val="22"/>
        </w:rPr>
        <w:t>available in a directory, advertisement or website does not alone entitle a person to send a facsimile advertisement to that number.</w:t>
      </w:r>
      <w:r w:rsidR="00DA3658">
        <w:rPr>
          <w:kern w:val="0"/>
          <w:szCs w:val="22"/>
        </w:rPr>
        <w:t>”</w:t>
      </w:r>
      <w:r w:rsidR="00DA3658" w:rsidRPr="0077792A">
        <w:rPr>
          <w:rStyle w:val="FootnoteReference"/>
          <w:szCs w:val="22"/>
        </w:rPr>
        <w:footnoteReference w:id="30"/>
      </w:r>
      <w:r w:rsidR="00DA3658" w:rsidRPr="0077792A">
        <w:rPr>
          <w:kern w:val="0"/>
          <w:szCs w:val="22"/>
        </w:rPr>
        <w:t xml:space="preserve">  </w:t>
      </w:r>
      <w:r w:rsidR="00DA3658" w:rsidRPr="0077792A">
        <w:rPr>
          <w:szCs w:val="22"/>
        </w:rPr>
        <w:t xml:space="preserve">Presidential Who’s Who never claimed to have an </w:t>
      </w:r>
      <w:r w:rsidR="00DA3658">
        <w:rPr>
          <w:szCs w:val="22"/>
        </w:rPr>
        <w:t>EBR</w:t>
      </w:r>
      <w:r w:rsidR="00DA3658" w:rsidRPr="0077792A">
        <w:rPr>
          <w:szCs w:val="22"/>
        </w:rPr>
        <w:t xml:space="preserve"> with the fax recipients who filed complaints</w:t>
      </w:r>
      <w:r w:rsidR="00DA3658">
        <w:rPr>
          <w:szCs w:val="22"/>
        </w:rPr>
        <w:t xml:space="preserve">, nor did it ever demonstrate that these recipients </w:t>
      </w:r>
      <w:r w:rsidR="00DA3658" w:rsidRPr="0077792A">
        <w:rPr>
          <w:szCs w:val="22"/>
        </w:rPr>
        <w:t>gave their permission to receive fax transmissions</w:t>
      </w:r>
      <w:r w:rsidR="002D1626">
        <w:rPr>
          <w:szCs w:val="22"/>
        </w:rPr>
        <w:t xml:space="preserve">.  </w:t>
      </w:r>
      <w:r w:rsidR="00125562" w:rsidRPr="0077792A">
        <w:rPr>
          <w:szCs w:val="22"/>
        </w:rPr>
        <w:t>Accordingly, we find that Presidential Who’s Who’s</w:t>
      </w:r>
      <w:r w:rsidR="005654BA">
        <w:rPr>
          <w:szCs w:val="22"/>
        </w:rPr>
        <w:t xml:space="preserve"> </w:t>
      </w:r>
      <w:r w:rsidR="006B113A">
        <w:rPr>
          <w:szCs w:val="22"/>
        </w:rPr>
        <w:t>claim</w:t>
      </w:r>
      <w:r w:rsidR="00125562" w:rsidRPr="0077792A">
        <w:rPr>
          <w:szCs w:val="22"/>
        </w:rPr>
        <w:t xml:space="preserve"> that it obtained the fax numbers legally </w:t>
      </w:r>
      <w:r w:rsidR="005654BA">
        <w:rPr>
          <w:szCs w:val="22"/>
        </w:rPr>
        <w:t xml:space="preserve">is </w:t>
      </w:r>
      <w:r w:rsidR="006B113A">
        <w:rPr>
          <w:szCs w:val="22"/>
        </w:rPr>
        <w:t>irrelevant to the question of whether it violated the TCPA</w:t>
      </w:r>
      <w:r w:rsidR="00125562" w:rsidRPr="0077792A">
        <w:rPr>
          <w:szCs w:val="22"/>
        </w:rPr>
        <w:t>.</w:t>
      </w:r>
      <w:r w:rsidR="00125562">
        <w:t xml:space="preserve">  </w:t>
      </w:r>
    </w:p>
    <w:p w:rsidR="005728FA" w:rsidRDefault="006F2603" w:rsidP="004C2608">
      <w:pPr>
        <w:pStyle w:val="ParaNum"/>
      </w:pPr>
      <w:bookmarkStart w:id="10" w:name="_Ref290374704"/>
      <w:r w:rsidRPr="006F2603">
        <w:rPr>
          <w:i/>
        </w:rPr>
        <w:t>Inability to Pay.</w:t>
      </w:r>
      <w:r>
        <w:t xml:space="preserve">  </w:t>
      </w:r>
      <w:r w:rsidR="005E710A">
        <w:t xml:space="preserve">We </w:t>
      </w:r>
      <w:r w:rsidR="00034A48">
        <w:t>decline to reduce</w:t>
      </w:r>
      <w:r w:rsidR="00E9202A">
        <w:t xml:space="preserve"> </w:t>
      </w:r>
      <w:r w:rsidR="00034A48">
        <w:t xml:space="preserve">the forfeiture proposed against </w:t>
      </w:r>
      <w:r w:rsidR="005E710A">
        <w:t xml:space="preserve">Presidential Who’s Who </w:t>
      </w:r>
      <w:r w:rsidR="00034A48">
        <w:t>based on its claimed inability to pay the full amount of the forfeiture</w:t>
      </w:r>
      <w:r w:rsidR="00D10F46">
        <w:t xml:space="preserve">.  </w:t>
      </w:r>
      <w:r w:rsidR="00E9202A">
        <w:t>The Commission generally considers a company’s gross revenues to be the best indicator of a company's ability to pay a forfeiture.</w:t>
      </w:r>
      <w:r w:rsidR="00E9202A">
        <w:rPr>
          <w:rStyle w:val="FootnoteReference"/>
        </w:rPr>
        <w:footnoteReference w:id="31"/>
      </w:r>
      <w:r w:rsidR="00E9202A">
        <w:t xml:space="preserve">  Parties must support a claim of inability to pay with federal tax returns for the most recent three-year period and/or </w:t>
      </w:r>
      <w:r w:rsidR="008D2D89" w:rsidRPr="00D10F46">
        <w:rPr>
          <w:color w:val="000000"/>
        </w:rPr>
        <w:t>some other reliable and objective documentation that accurately reflects the p</w:t>
      </w:r>
      <w:r w:rsidR="00E27885" w:rsidRPr="00D10F46">
        <w:rPr>
          <w:color w:val="000000"/>
        </w:rPr>
        <w:t xml:space="preserve">arty’s </w:t>
      </w:r>
      <w:r w:rsidR="008D2D89" w:rsidRPr="00D10F46">
        <w:rPr>
          <w:color w:val="000000"/>
        </w:rPr>
        <w:t>current financial status</w:t>
      </w:r>
      <w:r w:rsidR="00E9202A">
        <w:t>.</w:t>
      </w:r>
      <w:r w:rsidR="00E9202A">
        <w:rPr>
          <w:rStyle w:val="FootnoteReference"/>
        </w:rPr>
        <w:footnoteReference w:id="32"/>
      </w:r>
      <w:r w:rsidR="00E9202A">
        <w:t xml:space="preserve">  </w:t>
      </w:r>
    </w:p>
    <w:p w:rsidR="00B83DB8" w:rsidRDefault="00E9202A" w:rsidP="004C2608">
      <w:pPr>
        <w:pStyle w:val="ParaNum"/>
        <w:widowControl/>
      </w:pPr>
      <w:r>
        <w:t xml:space="preserve">Presidential Who’s Who </w:t>
      </w:r>
      <w:r w:rsidR="00D10F46">
        <w:t xml:space="preserve">originally </w:t>
      </w:r>
      <w:r w:rsidR="003642FF">
        <w:t xml:space="preserve">produced </w:t>
      </w:r>
      <w:r>
        <w:t>tax r</w:t>
      </w:r>
      <w:r w:rsidR="003642FF">
        <w:t xml:space="preserve">eturns to </w:t>
      </w:r>
      <w:r w:rsidR="0058434E">
        <w:t xml:space="preserve">try to </w:t>
      </w:r>
      <w:r w:rsidR="003642FF">
        <w:t xml:space="preserve">support its claim, </w:t>
      </w:r>
      <w:r w:rsidR="00D10F46">
        <w:t xml:space="preserve">but </w:t>
      </w:r>
      <w:r w:rsidR="003642FF">
        <w:t>it has failed to provide more current</w:t>
      </w:r>
      <w:r w:rsidR="00D10F46">
        <w:t xml:space="preserve"> and updated</w:t>
      </w:r>
      <w:r w:rsidR="003642FF">
        <w:t xml:space="preserve"> information, notwithstanding </w:t>
      </w:r>
      <w:r w:rsidR="00D10F46">
        <w:t xml:space="preserve">the Bureau’s </w:t>
      </w:r>
      <w:r w:rsidR="003642FF">
        <w:t xml:space="preserve">request that it do so.  </w:t>
      </w:r>
      <w:r w:rsidR="00D10F46">
        <w:t>In November 2011, Presidential Who’s Who produced its 2008, 2009, and 2010 tax returns.  A year later, in November 2012, Bu</w:t>
      </w:r>
      <w:r w:rsidR="00876FF1">
        <w:t>reau staff communicat</w:t>
      </w:r>
      <w:r w:rsidR="00367459">
        <w:t>ed</w:t>
      </w:r>
      <w:r w:rsidR="00D10F46">
        <w:t xml:space="preserve"> with Mr. Ciaccio about potential settlement, and at that time he claimed that Presidential Who’s Who had gone out of business shortly after submitting its tax returns </w:t>
      </w:r>
      <w:r w:rsidR="00876FF1">
        <w:t xml:space="preserve">to the Bureau in 2011.  Staff asked Mr. Ciaccio to provide evidence of the change in the operating status of Presidential Who’s Who, </w:t>
      </w:r>
      <w:r w:rsidR="005728FA">
        <w:t>as well as updated</w:t>
      </w:r>
      <w:r w:rsidR="00876FF1">
        <w:t xml:space="preserve"> financial information.  Mr. Ciaccio appeared poised to provide these materials, asking for (and receiving) an extension of the staff’s original deadline for</w:t>
      </w:r>
      <w:r w:rsidR="005728FA">
        <w:t xml:space="preserve"> submission, but that date came and went without Mr. Ciaccio submitting any of the requested materials</w:t>
      </w:r>
      <w:r w:rsidR="00876FF1">
        <w:t>.  Staff has since attempted to communica</w:t>
      </w:r>
      <w:r w:rsidR="005728FA">
        <w:t xml:space="preserve">te with him about </w:t>
      </w:r>
      <w:r w:rsidR="0058434E">
        <w:t xml:space="preserve">his </w:t>
      </w:r>
      <w:r w:rsidR="005728FA">
        <w:t>failure to provide the inf</w:t>
      </w:r>
      <w:r w:rsidR="00876FF1">
        <w:t xml:space="preserve">ormation </w:t>
      </w:r>
      <w:r w:rsidR="005728FA">
        <w:t xml:space="preserve">needed to assess his claims and the current financial wherewithal of </w:t>
      </w:r>
      <w:r w:rsidR="00181D61">
        <w:t>the company, but these efforts have been unsuccessful</w:t>
      </w:r>
      <w:r w:rsidR="00876FF1">
        <w:t xml:space="preserve">.  </w:t>
      </w:r>
      <w:r w:rsidR="0052558F">
        <w:t xml:space="preserve">Moreover, </w:t>
      </w:r>
      <w:r w:rsidR="00E108A9">
        <w:t xml:space="preserve">New York State records indicate that </w:t>
      </w:r>
      <w:r w:rsidR="00181D61">
        <w:t>“</w:t>
      </w:r>
      <w:r w:rsidR="00E108A9">
        <w:t xml:space="preserve">Presidential Who’s Who </w:t>
      </w:r>
      <w:r w:rsidR="00181D61">
        <w:t>Inc.” is an active corporation</w:t>
      </w:r>
      <w:r w:rsidR="007467BC">
        <w:t>,</w:t>
      </w:r>
      <w:r w:rsidR="00181D61">
        <w:rPr>
          <w:rStyle w:val="FootnoteReference"/>
        </w:rPr>
        <w:footnoteReference w:id="33"/>
      </w:r>
      <w:r w:rsidR="008B217D">
        <w:t xml:space="preserve"> and o</w:t>
      </w:r>
      <w:r w:rsidR="007467BC">
        <w:t>ther</w:t>
      </w:r>
      <w:r w:rsidR="00181D61">
        <w:t xml:space="preserve"> </w:t>
      </w:r>
      <w:r w:rsidR="00E108A9">
        <w:t xml:space="preserve">information </w:t>
      </w:r>
      <w:r w:rsidR="00181D61">
        <w:t>suggest</w:t>
      </w:r>
      <w:r w:rsidR="007467BC">
        <w:t xml:space="preserve">s an </w:t>
      </w:r>
      <w:r w:rsidR="00181D61">
        <w:t>upswing in</w:t>
      </w:r>
      <w:r w:rsidR="007467BC">
        <w:t xml:space="preserve"> the</w:t>
      </w:r>
      <w:r w:rsidR="00E108A9">
        <w:t xml:space="preserve"> financial </w:t>
      </w:r>
      <w:r w:rsidR="00181D61">
        <w:t>situation</w:t>
      </w:r>
      <w:r w:rsidR="007467BC">
        <w:t xml:space="preserve"> of Presidential Who’s Who in 2012.</w:t>
      </w:r>
      <w:r w:rsidR="00181D61">
        <w:rPr>
          <w:rStyle w:val="FootnoteReference"/>
        </w:rPr>
        <w:footnoteReference w:id="34"/>
      </w:r>
      <w:r w:rsidR="007467BC">
        <w:t xml:space="preserve">   </w:t>
      </w:r>
      <w:r w:rsidR="00E108A9">
        <w:t xml:space="preserve">  </w:t>
      </w:r>
      <w:r w:rsidR="00D10F46">
        <w:t xml:space="preserve"> </w:t>
      </w:r>
    </w:p>
    <w:p w:rsidR="00E108A9" w:rsidRDefault="00E108A9" w:rsidP="004C2608">
      <w:pPr>
        <w:pStyle w:val="ParaNum"/>
      </w:pPr>
      <w:r>
        <w:t xml:space="preserve">Even if </w:t>
      </w:r>
      <w:r w:rsidR="004A22DF">
        <w:t xml:space="preserve">Presidential Who’s Who </w:t>
      </w:r>
      <w:r>
        <w:t xml:space="preserve">had provided updated financial information to support its claimed inability to pay, such evidence must be weighed against the nature of its misconduct.  As indicated, “ability to pay” is but one factor the Commission must consider in determining the amount of any forfeiture penalty; the Commission must also consider </w:t>
      </w:r>
      <w:r w:rsidRPr="00A768D0">
        <w:t xml:space="preserve">“the nature, circumstances, extent, and gravity of the violation and, with respect to the violator, the degree of culpability, any history of prior offenses, </w:t>
      </w:r>
      <w:r>
        <w:t>.</w:t>
      </w:r>
      <w:r w:rsidR="00C267A1">
        <w:t> </w:t>
      </w:r>
      <w:r>
        <w:t>.</w:t>
      </w:r>
      <w:r w:rsidR="00C267A1">
        <w:t xml:space="preserve"> . </w:t>
      </w:r>
      <w:r w:rsidRPr="00A768D0">
        <w:t>and such other matters as justice may require.”</w:t>
      </w:r>
      <w:r w:rsidRPr="00A768D0">
        <w:rPr>
          <w:rStyle w:val="FootnoteReference"/>
          <w:kern w:val="0"/>
        </w:rPr>
        <w:footnoteReference w:id="35"/>
      </w:r>
      <w:r w:rsidRPr="00A768D0">
        <w:rPr>
          <w:rStyle w:val="FootnoteReference"/>
          <w:kern w:val="0"/>
        </w:rPr>
        <w:t xml:space="preserve"> </w:t>
      </w:r>
      <w:r w:rsidRPr="00A768D0">
        <w:t xml:space="preserve"> </w:t>
      </w:r>
      <w:r>
        <w:t>Our</w:t>
      </w:r>
      <w:r w:rsidRPr="00F13EDA">
        <w:t xml:space="preserve"> forfeiture guidelines </w:t>
      </w:r>
      <w:r>
        <w:t>indicate</w:t>
      </w:r>
      <w:r w:rsidRPr="00F13EDA">
        <w:t xml:space="preserve"> that </w:t>
      </w:r>
      <w:r>
        <w:t xml:space="preserve">we </w:t>
      </w:r>
      <w:r w:rsidRPr="00F13EDA">
        <w:t xml:space="preserve">may adjust </w:t>
      </w:r>
      <w:r w:rsidRPr="00A1642E">
        <w:t xml:space="preserve">forfeitures </w:t>
      </w:r>
      <w:r>
        <w:t xml:space="preserve">upward when certain aggravating factors are present, such as when egregious misconduct or substantial harm is involved, or when the violator has intentionally, continuously, or repeatedly violated the law.  Applying these factors here, the evidence shows that Presidential Who’s Who continuously and </w:t>
      </w:r>
      <w:r w:rsidR="004A22DF">
        <w:t>repeatedly violated the junk fax prohibition</w:t>
      </w:r>
      <w:r w:rsidR="0022767A">
        <w:t xml:space="preserve">, as </w:t>
      </w:r>
      <w:r>
        <w:t>indicated</w:t>
      </w:r>
      <w:r w:rsidR="0022767A">
        <w:t xml:space="preserve"> by </w:t>
      </w:r>
      <w:r w:rsidR="0062110A">
        <w:t xml:space="preserve">approximately 100 </w:t>
      </w:r>
      <w:r w:rsidR="0022767A">
        <w:t>complaints</w:t>
      </w:r>
      <w:r>
        <w:t xml:space="preserve">.  The evidence also shows that </w:t>
      </w:r>
      <w:r w:rsidR="00DA6B40">
        <w:t>the company</w:t>
      </w:r>
      <w:r>
        <w:t xml:space="preserve"> appears to hav</w:t>
      </w:r>
      <w:r w:rsidR="007757B5">
        <w:t xml:space="preserve">e done so intentionally, given its repeated violations </w:t>
      </w:r>
      <w:r w:rsidR="004D34C1">
        <w:t>after receiving warning</w:t>
      </w:r>
      <w:r w:rsidR="0062110A">
        <w:t xml:space="preserve"> </w:t>
      </w:r>
      <w:r>
        <w:t>that its conduct was unlawful.</w:t>
      </w:r>
      <w:r w:rsidR="00826B9A">
        <w:t xml:space="preserve">  </w:t>
      </w:r>
    </w:p>
    <w:p w:rsidR="00674CEC" w:rsidRPr="0077792A" w:rsidRDefault="00E108A9" w:rsidP="004C2608">
      <w:pPr>
        <w:pStyle w:val="ParaNum"/>
      </w:pPr>
      <w:r>
        <w:t xml:space="preserve">Weighing the factors enumerated in </w:t>
      </w:r>
      <w:r w:rsidR="0052558F">
        <w:t xml:space="preserve">the </w:t>
      </w:r>
      <w:r w:rsidR="00826B9A">
        <w:t>Act and our forfeiture guidelines, we find that Presidential Who’s Who</w:t>
      </w:r>
      <w:r w:rsidR="00AC314D">
        <w:t xml:space="preserve"> </w:t>
      </w:r>
      <w:r w:rsidR="00826B9A">
        <w:t xml:space="preserve">has not produced sufficient current financial information to support its claimed inability to pay the forfeiture proposed against it, and that its conduct appears to have been continuous, repeated, </w:t>
      </w:r>
      <w:r w:rsidR="005728FA">
        <w:t xml:space="preserve">and intentional.  Accordingly, </w:t>
      </w:r>
      <w:r w:rsidR="008B217D">
        <w:t>we decline to reduce the forfeiture proposed against Presidential Who’s Who</w:t>
      </w:r>
      <w:r w:rsidR="00AC314D">
        <w:t>.</w:t>
      </w:r>
      <w:r w:rsidR="00AC314D" w:rsidRPr="0077792A" w:rsidDel="006F2603">
        <w:t xml:space="preserve"> </w:t>
      </w:r>
    </w:p>
    <w:p w:rsidR="00753401" w:rsidRPr="0077792A" w:rsidRDefault="00753401" w:rsidP="007401BA">
      <w:pPr>
        <w:pStyle w:val="Heading1"/>
      </w:pPr>
      <w:r w:rsidRPr="0077792A">
        <w:t>C</w:t>
      </w:r>
      <w:r w:rsidR="001A5C6F" w:rsidRPr="0077792A">
        <w:t>ONCLUSION</w:t>
      </w:r>
    </w:p>
    <w:p w:rsidR="009E0F6D" w:rsidRDefault="00753401" w:rsidP="004C2608">
      <w:pPr>
        <w:pStyle w:val="ParaNum"/>
      </w:pPr>
      <w:r w:rsidRPr="0077792A">
        <w:t xml:space="preserve">We affirm our findings in the </w:t>
      </w:r>
      <w:r w:rsidR="00674CEC" w:rsidRPr="0077792A">
        <w:t xml:space="preserve">previous </w:t>
      </w:r>
      <w:r w:rsidRPr="0077792A">
        <w:t xml:space="preserve">NALs </w:t>
      </w:r>
      <w:r w:rsidR="004D34C1">
        <w:t>against</w:t>
      </w:r>
      <w:r w:rsidR="004D34C1" w:rsidRPr="0077792A">
        <w:t xml:space="preserve"> </w:t>
      </w:r>
      <w:r w:rsidR="00674CEC" w:rsidRPr="0077792A">
        <w:t>Presidential Who’s Who</w:t>
      </w:r>
      <w:bookmarkEnd w:id="10"/>
      <w:r w:rsidR="008B217D">
        <w:t xml:space="preserve">, and </w:t>
      </w:r>
      <w:r w:rsidR="004D34C1">
        <w:t xml:space="preserve">we </w:t>
      </w:r>
      <w:r w:rsidR="008B217D">
        <w:t>find no reason to adjust the forfeiture</w:t>
      </w:r>
      <w:r w:rsidR="004D34C1">
        <w:t>s</w:t>
      </w:r>
      <w:r w:rsidR="008B217D">
        <w:t xml:space="preserve"> proposed in those NALs.  We therefore impose a forfeiture of $640,000 against Presidential Who’s Who for willful and repeated violations of Section 227(b)(1)(C) of the Act and Section 64.1200(a)(4) of the Commission’s rules.  </w:t>
      </w:r>
    </w:p>
    <w:p w:rsidR="006E5EDB" w:rsidRPr="00A42019" w:rsidRDefault="009E0F6D" w:rsidP="007401BA">
      <w:pPr>
        <w:pStyle w:val="Heading1"/>
      </w:pPr>
      <w:r w:rsidRPr="00A42019">
        <w:t>ORDERING CLAUSES</w:t>
      </w:r>
    </w:p>
    <w:p w:rsidR="00A04990" w:rsidRPr="0077792A" w:rsidRDefault="006F20BD" w:rsidP="004C2608">
      <w:pPr>
        <w:pStyle w:val="ParaNum"/>
      </w:pPr>
      <w:r w:rsidRPr="0077792A">
        <w:t xml:space="preserve">Accordingly, </w:t>
      </w:r>
      <w:r w:rsidRPr="0077792A">
        <w:rPr>
          <w:b/>
        </w:rPr>
        <w:t xml:space="preserve">IT IS </w:t>
      </w:r>
      <w:r w:rsidRPr="009F08AD">
        <w:rPr>
          <w:b/>
        </w:rPr>
        <w:t>ORDERED</w:t>
      </w:r>
      <w:r w:rsidR="00A42019" w:rsidRPr="009F08AD">
        <w:rPr>
          <w:b/>
        </w:rPr>
        <w:t xml:space="preserve"> </w:t>
      </w:r>
      <w:r w:rsidR="00A42019" w:rsidRPr="009F08AD">
        <w:t>that</w:t>
      </w:r>
      <w:r w:rsidRPr="009F08AD">
        <w:t>,</w:t>
      </w:r>
      <w:r w:rsidRPr="0077792A">
        <w:t xml:space="preserve"> pursuant to </w:t>
      </w:r>
      <w:r w:rsidR="00590D5B" w:rsidRPr="0077792A">
        <w:t>Section</w:t>
      </w:r>
      <w:r w:rsidRPr="0077792A">
        <w:t xml:space="preserve"> 503(b) of the Communications Act of 1934, as amended, 47 U.S.C. § 503(b), and </w:t>
      </w:r>
      <w:r w:rsidR="00590D5B" w:rsidRPr="0077792A">
        <w:t>Section</w:t>
      </w:r>
      <w:r w:rsidRPr="0077792A">
        <w:t xml:space="preserve"> 1.80(f)(4) of the Commission’s rules, 47 C.F.R. § 1.80(f)(4), </w:t>
      </w:r>
      <w:r w:rsidR="00814D2A" w:rsidRPr="0077792A">
        <w:t>Presidential Who’s Who</w:t>
      </w:r>
      <w:r w:rsidR="000276D1" w:rsidRPr="0077792A">
        <w:t xml:space="preserve"> </w:t>
      </w:r>
      <w:r w:rsidRPr="0077792A">
        <w:rPr>
          <w:b/>
        </w:rPr>
        <w:t>IS LIABLE FOR A MONETARY FORFEITURE</w:t>
      </w:r>
      <w:r w:rsidRPr="0077792A">
        <w:t xml:space="preserve"> to the United States Government in the sum of $</w:t>
      </w:r>
      <w:r w:rsidR="00E108A9">
        <w:t>640,000</w:t>
      </w:r>
      <w:r w:rsidR="001A2551" w:rsidRPr="0077792A">
        <w:t xml:space="preserve"> </w:t>
      </w:r>
      <w:r w:rsidRPr="0077792A">
        <w:t>for willfully</w:t>
      </w:r>
      <w:r w:rsidR="005313FD" w:rsidRPr="0077792A">
        <w:t xml:space="preserve"> and repeatedly </w:t>
      </w:r>
      <w:r w:rsidRPr="0077792A">
        <w:t xml:space="preserve">violating </w:t>
      </w:r>
      <w:r w:rsidR="00590D5B" w:rsidRPr="0077792A">
        <w:t>Section</w:t>
      </w:r>
      <w:r w:rsidRPr="0077792A">
        <w:t xml:space="preserve"> 227(b)(1)(</w:t>
      </w:r>
      <w:r w:rsidR="001B680A" w:rsidRPr="0077792A">
        <w:t>C</w:t>
      </w:r>
      <w:r w:rsidRPr="0077792A">
        <w:t>) of the Communications Act, 47 U.S.C. § 227(b)(1)(</w:t>
      </w:r>
      <w:r w:rsidR="001B680A" w:rsidRPr="0077792A">
        <w:t>C</w:t>
      </w:r>
      <w:r w:rsidRPr="0077792A">
        <w:t>)</w:t>
      </w:r>
      <w:r w:rsidR="0020740E" w:rsidRPr="0077792A">
        <w:t>,</w:t>
      </w:r>
      <w:r w:rsidR="008549A5" w:rsidRPr="0077792A">
        <w:t xml:space="preserve"> and </w:t>
      </w:r>
      <w:r w:rsidR="00590D5B" w:rsidRPr="0077792A">
        <w:t>Section</w:t>
      </w:r>
      <w:r w:rsidRPr="0077792A">
        <w:t xml:space="preserve"> 64.1200(a)(</w:t>
      </w:r>
      <w:r w:rsidR="000F1899">
        <w:t>4</w:t>
      </w:r>
      <w:r w:rsidRPr="0077792A">
        <w:t>) of the Commission’s rules, 47 C.F.R. § 64.1200(a)(</w:t>
      </w:r>
      <w:r w:rsidR="000F1899">
        <w:t>4</w:t>
      </w:r>
      <w:r w:rsidRPr="0077792A">
        <w:t>)</w:t>
      </w:r>
      <w:r w:rsidR="008549A5" w:rsidRPr="0077792A">
        <w:t xml:space="preserve">. </w:t>
      </w:r>
      <w:r w:rsidR="00A04990" w:rsidRPr="0077792A">
        <w:t xml:space="preserve"> </w:t>
      </w:r>
    </w:p>
    <w:p w:rsidR="007124E8" w:rsidRPr="00BF0439" w:rsidRDefault="007124E8" w:rsidP="004C2608">
      <w:pPr>
        <w:pStyle w:val="ParaNum"/>
        <w:rPr>
          <w:rFonts w:eastAsia="MS Mincho"/>
          <w:color w:val="000000"/>
          <w:szCs w:val="22"/>
        </w:rPr>
      </w:pPr>
      <w:r w:rsidRPr="00626BA2">
        <w:rPr>
          <w:rFonts w:eastAsia="MS Mincho" w:cs="Arial"/>
        </w:rPr>
        <w:t>Payment of the forfeiture shall be made in the manner provided for in Section 1.80 of the Rules within thirty (30) calendar days after the release date of this Forfeiture Order.</w:t>
      </w:r>
      <w:r>
        <w:rPr>
          <w:rStyle w:val="FootnoteReference"/>
          <w:rFonts w:eastAsia="MS Mincho" w:cs="Arial"/>
        </w:rPr>
        <w:footnoteReference w:id="36"/>
      </w:r>
      <w:r w:rsidRPr="00626BA2">
        <w:rPr>
          <w:rFonts w:eastAsia="MS Mincho" w:cs="Arial"/>
        </w:rPr>
        <w:t xml:space="preserve">  If the forfeiture is not paid within the period specified, the case may be referred to the U.S. Department of Justice for enforcement of the forfeiture pursuant to Section 504(a) of the Act.</w:t>
      </w:r>
      <w:r>
        <w:rPr>
          <w:rStyle w:val="FootnoteReference"/>
          <w:rFonts w:eastAsia="MS Mincho" w:cs="Arial"/>
        </w:rPr>
        <w:footnoteReference w:id="37"/>
      </w:r>
      <w:r w:rsidRPr="00626BA2">
        <w:rPr>
          <w:rFonts w:eastAsia="MS Mincho" w:cs="Arial"/>
        </w:rPr>
        <w:t xml:space="preserve">  </w:t>
      </w:r>
      <w:r>
        <w:rPr>
          <w:rFonts w:eastAsia="MS Mincho" w:cs="Arial"/>
        </w:rPr>
        <w:t xml:space="preserve">Presidential Who’s Who </w:t>
      </w:r>
      <w:r w:rsidRPr="00D72D84">
        <w:rPr>
          <w:rFonts w:eastAsia="MS Mincho" w:cs="Arial"/>
        </w:rPr>
        <w:t xml:space="preserve">shall send electronic notification </w:t>
      </w:r>
      <w:r>
        <w:rPr>
          <w:rFonts w:eastAsia="MS Mincho" w:cs="Arial"/>
        </w:rPr>
        <w:t xml:space="preserve">of payment </w:t>
      </w:r>
      <w:r w:rsidRPr="00D72D84">
        <w:rPr>
          <w:rFonts w:eastAsia="MS Mincho" w:cs="Arial"/>
        </w:rPr>
        <w:t xml:space="preserve">to </w:t>
      </w:r>
      <w:r>
        <w:rPr>
          <w:rFonts w:eastAsia="MS Mincho" w:cs="Arial"/>
        </w:rPr>
        <w:t>Johnny</w:t>
      </w:r>
      <w:r w:rsidR="006B153F">
        <w:rPr>
          <w:rFonts w:eastAsia="MS Mincho" w:cs="Arial"/>
        </w:rPr>
        <w:t xml:space="preserve"> </w:t>
      </w:r>
      <w:r>
        <w:rPr>
          <w:rFonts w:eastAsia="MS Mincho" w:cs="Arial"/>
        </w:rPr>
        <w:t xml:space="preserve">Drake </w:t>
      </w:r>
      <w:r w:rsidRPr="00D72D84">
        <w:rPr>
          <w:rFonts w:eastAsia="MS Mincho" w:cs="Arial"/>
        </w:rPr>
        <w:t xml:space="preserve">at </w:t>
      </w:r>
      <w:r w:rsidRPr="00697B43">
        <w:rPr>
          <w:rFonts w:eastAsia="MS Mincho" w:cs="Arial"/>
        </w:rPr>
        <w:t>Johnny.Drake@fcc.gov</w:t>
      </w:r>
      <w:r w:rsidR="00926178">
        <w:rPr>
          <w:rFonts w:eastAsia="MS Mincho" w:cs="Arial"/>
        </w:rPr>
        <w:t xml:space="preserve">, </w:t>
      </w:r>
      <w:r>
        <w:rPr>
          <w:rFonts w:eastAsia="MS Mincho" w:cs="Arial"/>
        </w:rPr>
        <w:t xml:space="preserve">Rosemary Cabral at </w:t>
      </w:r>
      <w:r w:rsidRPr="00697B43">
        <w:rPr>
          <w:rFonts w:eastAsia="MS Mincho" w:cs="Arial"/>
        </w:rPr>
        <w:t>Rosemary.Cabral@fcc.gov</w:t>
      </w:r>
      <w:r w:rsidR="00926178">
        <w:rPr>
          <w:rFonts w:eastAsia="MS Mincho" w:cs="Arial"/>
        </w:rPr>
        <w:t>,</w:t>
      </w:r>
      <w:r>
        <w:rPr>
          <w:rFonts w:eastAsia="MS Mincho" w:cs="Arial"/>
        </w:rPr>
        <w:t xml:space="preserve"> </w:t>
      </w:r>
      <w:r w:rsidR="00926178">
        <w:rPr>
          <w:rFonts w:eastAsia="MS Mincho" w:cs="Arial"/>
        </w:rPr>
        <w:t xml:space="preserve">and Phillip Priesman at </w:t>
      </w:r>
      <w:r w:rsidR="00926178" w:rsidRPr="00697B43">
        <w:rPr>
          <w:rFonts w:eastAsia="MS Mincho" w:cs="Arial"/>
        </w:rPr>
        <w:t>Phillip.Priesman@fcc.gov</w:t>
      </w:r>
      <w:r w:rsidR="00926178">
        <w:rPr>
          <w:rFonts w:eastAsia="MS Mincho" w:cs="Arial"/>
        </w:rPr>
        <w:t xml:space="preserve"> </w:t>
      </w:r>
      <w:r w:rsidRPr="00D72D84">
        <w:rPr>
          <w:rFonts w:eastAsia="MS Mincho" w:cs="Arial"/>
        </w:rPr>
        <w:t>on the date said payment is made.</w:t>
      </w:r>
    </w:p>
    <w:p w:rsidR="007124E8" w:rsidRPr="00626BA2" w:rsidRDefault="007124E8" w:rsidP="004C2608">
      <w:pPr>
        <w:pStyle w:val="ParaNum"/>
        <w:rPr>
          <w:rFonts w:eastAsia="MS Mincho" w:cs="Arial"/>
        </w:rPr>
      </w:pPr>
      <w:r w:rsidRPr="00626BA2">
        <w:rPr>
          <w:rFonts w:eastAsia="MS Mincho" w:cs="Arial"/>
        </w:rPr>
        <w:t>The payment must be made by check or similar instrument, wire transfer, or credit card, and must include the NAL/Account number and FRN referenced above.</w:t>
      </w:r>
      <w:r>
        <w:rPr>
          <w:rFonts w:eastAsia="MS Mincho" w:cs="Arial"/>
        </w:rPr>
        <w:t xml:space="preserve">  </w:t>
      </w:r>
      <w:r w:rsidRPr="00626BA2">
        <w:rPr>
          <w:rFonts w:eastAsia="MS Mincho" w:cs="Arial"/>
        </w:rPr>
        <w:t xml:space="preserve">Regardless of the form of payment, a completed FCC Form 159 (Remittance Advice) must </w:t>
      </w:r>
      <w:r>
        <w:rPr>
          <w:rFonts w:eastAsia="MS Mincho" w:cs="Arial"/>
        </w:rPr>
        <w:t>be submitted.</w:t>
      </w:r>
      <w:r>
        <w:rPr>
          <w:rStyle w:val="FootnoteReference"/>
          <w:rFonts w:eastAsia="MS Mincho" w:cs="Arial"/>
        </w:rPr>
        <w:footnoteReference w:id="38"/>
      </w:r>
      <w:r>
        <w:rPr>
          <w:rFonts w:eastAsia="MS Mincho" w:cs="Arial"/>
        </w:rPr>
        <w:t xml:space="preserve">  </w:t>
      </w:r>
      <w:r w:rsidRPr="00626BA2">
        <w:rPr>
          <w:rFonts w:eastAsia="MS Mincho" w:cs="Arial"/>
        </w:rPr>
        <w:t>When completing the FCC Form 159, enter the Account Number in block number 23A (call sign/other ID) and enter the letters “FORF” in block number 24A (payment type code).  </w:t>
      </w:r>
      <w:r>
        <w:rPr>
          <w:rFonts w:eastAsia="MS Mincho" w:cs="Arial"/>
        </w:rPr>
        <w:t xml:space="preserve"> </w:t>
      </w:r>
      <w:r>
        <w:rPr>
          <w:color w:val="000000"/>
          <w:szCs w:val="22"/>
        </w:rPr>
        <w:t xml:space="preserve">Below are additional instructions </w:t>
      </w:r>
      <w:r w:rsidR="004D34C1">
        <w:rPr>
          <w:color w:val="000000"/>
          <w:szCs w:val="22"/>
        </w:rPr>
        <w:t xml:space="preserve">Presidential Who’s Who </w:t>
      </w:r>
      <w:r>
        <w:rPr>
          <w:color w:val="000000"/>
          <w:szCs w:val="22"/>
        </w:rPr>
        <w:t xml:space="preserve">should follow based on the form of payment </w:t>
      </w:r>
      <w:r w:rsidR="004D34C1">
        <w:rPr>
          <w:color w:val="000000"/>
          <w:szCs w:val="22"/>
        </w:rPr>
        <w:t>it</w:t>
      </w:r>
      <w:r>
        <w:rPr>
          <w:color w:val="000000"/>
          <w:szCs w:val="22"/>
        </w:rPr>
        <w:t xml:space="preserve"> select</w:t>
      </w:r>
      <w:r w:rsidR="004D34C1">
        <w:rPr>
          <w:color w:val="000000"/>
          <w:szCs w:val="22"/>
        </w:rPr>
        <w:t>s</w:t>
      </w:r>
      <w:r>
        <w:rPr>
          <w:color w:val="000000"/>
          <w:szCs w:val="22"/>
        </w:rPr>
        <w:t>:</w:t>
      </w:r>
    </w:p>
    <w:p w:rsidR="007124E8" w:rsidRPr="00626BA2" w:rsidRDefault="007124E8" w:rsidP="004C2608">
      <w:pPr>
        <w:pStyle w:val="ParaNum"/>
        <w:numPr>
          <w:ilvl w:val="0"/>
          <w:numId w:val="4"/>
        </w:numPr>
        <w:rPr>
          <w:rFonts w:eastAsia="MS Mincho"/>
        </w:rPr>
      </w:pPr>
      <w:r>
        <w:rPr>
          <w:rFonts w:eastAsia="MS Mincho"/>
        </w:rPr>
        <w:t>P</w:t>
      </w:r>
      <w:r w:rsidRPr="00626BA2">
        <w:rPr>
          <w:rFonts w:eastAsia="MS Mincho"/>
        </w:rPr>
        <w:t>ayment by check or money order must be made payable to the order of the Federal Communications Commission.  Such payments (along with the completed Form 159) </w:t>
      </w:r>
      <w:r>
        <w:rPr>
          <w:rFonts w:eastAsia="MS Mincho"/>
        </w:rPr>
        <w:t>must</w:t>
      </w:r>
      <w:r w:rsidRPr="00626BA2">
        <w:rPr>
          <w:rFonts w:eastAsia="MS Mincho"/>
        </w:rPr>
        <w:t xml:space="preserve"> be mailed to Federal Communications Commission, P.O. Box 979088, St. Louis, MO 63197-9000, or sent via overnight mail to U.S. Bank – Government Lockbox #979088, SL-MO-C2-GL, 1005 Convention Plaza, St. Louis, MO 63101.  </w:t>
      </w:r>
    </w:p>
    <w:p w:rsidR="007124E8" w:rsidRPr="00626BA2" w:rsidRDefault="007124E8" w:rsidP="004C2608">
      <w:pPr>
        <w:pStyle w:val="ParaNum"/>
        <w:numPr>
          <w:ilvl w:val="0"/>
          <w:numId w:val="4"/>
        </w:numPr>
        <w:rPr>
          <w:rFonts w:eastAsia="MS Mincho"/>
        </w:rPr>
      </w:pPr>
      <w:r>
        <w:rPr>
          <w:rFonts w:eastAsia="MS Mincho"/>
        </w:rPr>
        <w:t>Payment by wire transfer must</w:t>
      </w:r>
      <w:r w:rsidRPr="00626BA2">
        <w:rPr>
          <w:rFonts w:eastAsia="MS Mincho"/>
        </w:rPr>
        <w:t xml:space="preserve"> be made to ABA Number 021030004, receiving bank TREAS/NYC, and Account Number 27000001.  </w:t>
      </w:r>
      <w:r>
        <w:rPr>
          <w:rFonts w:eastAsia="MS Mincho"/>
        </w:rPr>
        <w:t xml:space="preserve">To complete the wire transfer and ensure appropriate crediting of the wired funds, a </w:t>
      </w:r>
      <w:r w:rsidRPr="00626BA2">
        <w:rPr>
          <w:rFonts w:eastAsia="MS Mincho"/>
        </w:rPr>
        <w:t>completed Form 159 must be faxed to U.S. Bank at (314) 418-4232</w:t>
      </w:r>
      <w:r>
        <w:rPr>
          <w:rFonts w:eastAsia="MS Mincho"/>
        </w:rPr>
        <w:t xml:space="preserve"> on</w:t>
      </w:r>
      <w:r w:rsidRPr="00626BA2">
        <w:rPr>
          <w:rFonts w:eastAsia="MS Mincho"/>
        </w:rPr>
        <w:t xml:space="preserve"> the same business day </w:t>
      </w:r>
      <w:r>
        <w:rPr>
          <w:rFonts w:eastAsia="MS Mincho"/>
        </w:rPr>
        <w:t>the wire transfer is initiated</w:t>
      </w:r>
      <w:r w:rsidRPr="00626BA2">
        <w:rPr>
          <w:rFonts w:eastAsia="MS Mincho"/>
        </w:rPr>
        <w:t xml:space="preserve">.  </w:t>
      </w:r>
    </w:p>
    <w:p w:rsidR="007124E8" w:rsidRPr="00626BA2" w:rsidRDefault="007124E8" w:rsidP="004C2608">
      <w:pPr>
        <w:pStyle w:val="ParaNum"/>
        <w:numPr>
          <w:ilvl w:val="0"/>
          <w:numId w:val="4"/>
        </w:numPr>
        <w:rPr>
          <w:rFonts w:eastAsia="MS Mincho"/>
        </w:rPr>
      </w:pPr>
      <w:r>
        <w:rPr>
          <w:rFonts w:eastAsia="MS Mincho"/>
        </w:rPr>
        <w:t>Payment by credit card must</w:t>
      </w:r>
      <w:r w:rsidRPr="00626BA2">
        <w:rPr>
          <w:rFonts w:eastAsia="MS Mincho"/>
        </w:rPr>
        <w:t xml:space="preserve"> be made by providing the required credit card information on FCC Form 159 and signing and dating the Form 159 to authorize the credit card payment.</w:t>
      </w:r>
      <w:r>
        <w:rPr>
          <w:rFonts w:eastAsia="MS Mincho"/>
        </w:rPr>
        <w:t xml:space="preserve">   </w:t>
      </w:r>
      <w:r w:rsidRPr="00626BA2">
        <w:rPr>
          <w:rFonts w:eastAsia="MS Mincho"/>
        </w:rPr>
        <w:t xml:space="preserve">The completed Form 159 </w:t>
      </w:r>
      <w:r>
        <w:rPr>
          <w:rFonts w:eastAsia="MS Mincho"/>
        </w:rPr>
        <w:t>must</w:t>
      </w:r>
      <w:r w:rsidRPr="00626BA2">
        <w:rPr>
          <w:rFonts w:eastAsia="MS Mincho"/>
        </w:rPr>
        <w:t xml:space="preserve"> then be mailed to Federal Communications Commission, P.O. Box 979088, St. Louis, MO 63197-9000, </w:t>
      </w:r>
      <w:r>
        <w:rPr>
          <w:rFonts w:eastAsia="MS Mincho"/>
        </w:rPr>
        <w:t xml:space="preserve">or </w:t>
      </w:r>
      <w:r w:rsidRPr="00626BA2">
        <w:rPr>
          <w:rFonts w:eastAsia="MS Mincho"/>
        </w:rPr>
        <w:t xml:space="preserve">sent via overnight mail to U.S. Bank – Government Lockbox #979088, SL-MO-C2-GL, 1005 Convention Plaza, St. Louis, MO 63101.  </w:t>
      </w:r>
    </w:p>
    <w:p w:rsidR="007124E8" w:rsidRDefault="007124E8" w:rsidP="004C2608">
      <w:pPr>
        <w:pStyle w:val="ParaNum"/>
        <w:rPr>
          <w:rFonts w:eastAsia="MS Mincho"/>
        </w:rPr>
      </w:pPr>
      <w:r>
        <w:rPr>
          <w:rFonts w:eastAsia="MS Mincho"/>
        </w:rPr>
        <w:t>Any r</w:t>
      </w:r>
      <w:r w:rsidRPr="00626BA2">
        <w:rPr>
          <w:rFonts w:eastAsia="MS Mincho"/>
        </w:rPr>
        <w:t xml:space="preserve">equest for full payment under an installment plan should be sent to:  Chief Financial Officer—Financial Operations, </w:t>
      </w:r>
      <w:r w:rsidRPr="00BF0439">
        <w:rPr>
          <w:rFonts w:eastAsia="MS Mincho" w:cs="Arial"/>
        </w:rPr>
        <w:t>Federal</w:t>
      </w:r>
      <w:r w:rsidRPr="00626BA2">
        <w:rPr>
          <w:rFonts w:eastAsia="MS Mincho"/>
        </w:rPr>
        <w:t xml:space="preserve"> Communications Commission, 445 12th Street, S.W., Room 1-A625, Washington, D.C.  20554.</w:t>
      </w:r>
      <w:r>
        <w:rPr>
          <w:rStyle w:val="FootnoteReference"/>
          <w:rFonts w:eastAsia="MS Mincho"/>
        </w:rPr>
        <w:footnoteReference w:id="39"/>
      </w:r>
      <w:r w:rsidRPr="00626BA2">
        <w:rPr>
          <w:rFonts w:eastAsia="MS Mincho"/>
        </w:rPr>
        <w:t xml:space="preserve">  If </w:t>
      </w:r>
      <w:r w:rsidR="004D34C1">
        <w:rPr>
          <w:rFonts w:eastAsia="MS Mincho"/>
        </w:rPr>
        <w:t>Presidential Who’s Who</w:t>
      </w:r>
      <w:r w:rsidR="004D34C1" w:rsidRPr="00626BA2">
        <w:rPr>
          <w:rFonts w:eastAsia="MS Mincho"/>
        </w:rPr>
        <w:t xml:space="preserve"> </w:t>
      </w:r>
      <w:r w:rsidRPr="00626BA2">
        <w:rPr>
          <w:rFonts w:eastAsia="MS Mincho"/>
        </w:rPr>
        <w:t>ha</w:t>
      </w:r>
      <w:r w:rsidR="004D34C1">
        <w:rPr>
          <w:rFonts w:eastAsia="MS Mincho"/>
        </w:rPr>
        <w:t>s</w:t>
      </w:r>
      <w:r w:rsidRPr="00626BA2">
        <w:rPr>
          <w:rFonts w:eastAsia="MS Mincho"/>
        </w:rPr>
        <w:t xml:space="preserve"> questions regarding payment procedures, </w:t>
      </w:r>
      <w:r w:rsidR="004D34C1">
        <w:rPr>
          <w:rFonts w:eastAsia="MS Mincho"/>
        </w:rPr>
        <w:t>it should</w:t>
      </w:r>
      <w:r w:rsidR="004D34C1" w:rsidRPr="00626BA2">
        <w:rPr>
          <w:rFonts w:eastAsia="MS Mincho"/>
        </w:rPr>
        <w:t xml:space="preserve"> </w:t>
      </w:r>
      <w:r w:rsidRPr="00626BA2">
        <w:rPr>
          <w:rFonts w:eastAsia="MS Mincho"/>
        </w:rPr>
        <w:t>contact the Financial Operations Group Help Desk by phone, 1-877-480-3201, or by e</w:t>
      </w:r>
      <w:r>
        <w:rPr>
          <w:rFonts w:eastAsia="MS Mincho"/>
        </w:rPr>
        <w:noBreakHyphen/>
      </w:r>
      <w:r w:rsidRPr="00626BA2">
        <w:rPr>
          <w:rFonts w:eastAsia="MS Mincho"/>
        </w:rPr>
        <w:t>mail,</w:t>
      </w:r>
      <w:r>
        <w:rPr>
          <w:rFonts w:eastAsia="MS Mincho"/>
        </w:rPr>
        <w:t xml:space="preserve"> </w:t>
      </w:r>
      <w:r w:rsidRPr="00626BA2">
        <w:rPr>
          <w:rFonts w:eastAsia="MS Mincho" w:cs="Arial"/>
        </w:rPr>
        <w:t>ARINQUIRIES@fcc.gov</w:t>
      </w:r>
      <w:r w:rsidRPr="00626BA2">
        <w:rPr>
          <w:rFonts w:eastAsia="MS Mincho"/>
        </w:rPr>
        <w:t xml:space="preserve">.  </w:t>
      </w:r>
    </w:p>
    <w:p w:rsidR="006F20BD" w:rsidRPr="00726F8A" w:rsidRDefault="006F20BD" w:rsidP="004C2608">
      <w:pPr>
        <w:pStyle w:val="ParaNum"/>
        <w:keepNext/>
        <w:keepLines/>
      </w:pPr>
      <w:r w:rsidRPr="00553205">
        <w:rPr>
          <w:b/>
        </w:rPr>
        <w:t>IT IS FURTHER ORDERED</w:t>
      </w:r>
      <w:r w:rsidRPr="00726F8A">
        <w:t xml:space="preserve"> that a copy of the Forfeiture Order</w:t>
      </w:r>
      <w:r w:rsidRPr="00483B23">
        <w:t xml:space="preserve"> </w:t>
      </w:r>
      <w:r w:rsidRPr="00726F8A">
        <w:t xml:space="preserve">shall be sent by mail and certified mail return receipt requested to </w:t>
      </w:r>
      <w:r w:rsidR="00814D2A" w:rsidRPr="00483B23">
        <w:t>Presidential Who’s Who</w:t>
      </w:r>
      <w:r w:rsidR="002B7BDC">
        <w:t>,</w:t>
      </w:r>
      <w:r w:rsidR="00814D2A" w:rsidRPr="00483B23">
        <w:t xml:space="preserve"> Inc., Attention: Frank Ciaccio, President</w:t>
      </w:r>
      <w:r w:rsidR="00553205">
        <w:t xml:space="preserve"> and Chief Executive Officer</w:t>
      </w:r>
      <w:r w:rsidR="00814D2A" w:rsidRPr="00483B23">
        <w:t>, and Mark Anthony McGuinness</w:t>
      </w:r>
      <w:r w:rsidR="00553205">
        <w:t>, Chief Operating Officer</w:t>
      </w:r>
      <w:r w:rsidR="00814D2A" w:rsidRPr="00483B23">
        <w:t xml:space="preserve">, 134 Rockaway Avenue, Valley Stream, NY 11580.   </w:t>
      </w:r>
    </w:p>
    <w:p w:rsidR="006F20BD" w:rsidRPr="00726F8A" w:rsidRDefault="006F20BD" w:rsidP="004C2608">
      <w:pPr>
        <w:keepNext/>
        <w:keepLines/>
        <w:tabs>
          <w:tab w:val="left" w:pos="0"/>
        </w:tabs>
      </w:pPr>
    </w:p>
    <w:p w:rsidR="00754550" w:rsidRDefault="00754550" w:rsidP="004C2608">
      <w:r>
        <w:tab/>
      </w:r>
      <w:r>
        <w:tab/>
      </w:r>
      <w:r>
        <w:tab/>
      </w:r>
      <w:r>
        <w:tab/>
      </w:r>
      <w:r>
        <w:tab/>
      </w:r>
      <w:r>
        <w:tab/>
        <w:t>FEDERAL COMMUNICATIONS COMMISSION</w:t>
      </w:r>
    </w:p>
    <w:p w:rsidR="00754550" w:rsidRDefault="00754550" w:rsidP="004C2608"/>
    <w:p w:rsidR="00754550" w:rsidRDefault="00754550" w:rsidP="004C2608"/>
    <w:p w:rsidR="00754550" w:rsidRDefault="00754550" w:rsidP="004C2608"/>
    <w:p w:rsidR="00754550" w:rsidRDefault="00754550" w:rsidP="004C2608"/>
    <w:p w:rsidR="00754550" w:rsidRDefault="00754550" w:rsidP="004C2608">
      <w:r>
        <w:tab/>
      </w:r>
      <w:r>
        <w:tab/>
      </w:r>
      <w:r>
        <w:tab/>
      </w:r>
      <w:r>
        <w:tab/>
      </w:r>
      <w:r>
        <w:tab/>
      </w:r>
      <w:r>
        <w:tab/>
        <w:t>Marlene H. Dortch</w:t>
      </w:r>
    </w:p>
    <w:p w:rsidR="00754550" w:rsidRDefault="00754550" w:rsidP="004C2608">
      <w:r>
        <w:tab/>
      </w:r>
      <w:r>
        <w:tab/>
      </w:r>
      <w:r>
        <w:tab/>
      </w:r>
      <w:r>
        <w:tab/>
      </w:r>
      <w:r>
        <w:tab/>
      </w:r>
      <w:r>
        <w:tab/>
        <w:t>Secretary</w:t>
      </w:r>
    </w:p>
    <w:p w:rsidR="004426BC" w:rsidRDefault="004426BC" w:rsidP="004C2608">
      <w:pPr>
        <w:tabs>
          <w:tab w:val="left" w:pos="0"/>
        </w:tabs>
      </w:pPr>
    </w:p>
    <w:p w:rsidR="00BB2552" w:rsidRPr="00BB2552" w:rsidRDefault="006F20BD" w:rsidP="004C2608">
      <w:pPr>
        <w:pStyle w:val="ParaNum"/>
        <w:numPr>
          <w:ilvl w:val="0"/>
          <w:numId w:val="0"/>
        </w:numPr>
      </w:pPr>
      <w:r>
        <w:tab/>
      </w:r>
    </w:p>
    <w:sectPr w:rsidR="00BB2552" w:rsidRPr="00BB2552"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61F" w:rsidRDefault="00C9061F">
      <w:pPr>
        <w:spacing w:line="20" w:lineRule="exact"/>
      </w:pPr>
    </w:p>
  </w:endnote>
  <w:endnote w:type="continuationSeparator" w:id="0">
    <w:p w:rsidR="00C9061F" w:rsidRDefault="00C9061F">
      <w:r>
        <w:t xml:space="preserve"> </w:t>
      </w:r>
    </w:p>
  </w:endnote>
  <w:endnote w:type="continuationNotice" w:id="1">
    <w:p w:rsidR="00C9061F" w:rsidRDefault="00C9061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53F" w:rsidRDefault="006E273B" w:rsidP="0055614C">
    <w:pPr>
      <w:pStyle w:val="Footer"/>
      <w:framePr w:wrap="around" w:vAnchor="text" w:hAnchor="margin" w:xAlign="center" w:y="1"/>
    </w:pPr>
    <w:r>
      <w:fldChar w:fldCharType="begin"/>
    </w:r>
    <w:r w:rsidR="006B153F">
      <w:instrText xml:space="preserve">PAGE  </w:instrText>
    </w:r>
    <w:r>
      <w:fldChar w:fldCharType="end"/>
    </w:r>
  </w:p>
  <w:p w:rsidR="006B153F" w:rsidRDefault="006B15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53F" w:rsidRDefault="00EE3CD0" w:rsidP="0055614C">
    <w:pPr>
      <w:pStyle w:val="Footer"/>
      <w:framePr w:wrap="around" w:vAnchor="text" w:hAnchor="margin" w:xAlign="center" w:y="1"/>
    </w:pPr>
    <w:r>
      <w:fldChar w:fldCharType="begin"/>
    </w:r>
    <w:r>
      <w:instrText xml:space="preserve">PAGE  </w:instrText>
    </w:r>
    <w:r>
      <w:fldChar w:fldCharType="separate"/>
    </w:r>
    <w:r w:rsidR="00AC18B9">
      <w:rPr>
        <w:noProof/>
      </w:rPr>
      <w:t>2</w:t>
    </w:r>
    <w:r>
      <w:rPr>
        <w:noProof/>
      </w:rPr>
      <w:fldChar w:fldCharType="end"/>
    </w:r>
  </w:p>
  <w:p w:rsidR="006B153F" w:rsidRDefault="006B153F" w:rsidP="00EB45B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53F" w:rsidRPr="005E710A" w:rsidRDefault="006B153F">
    <w:pPr>
      <w:pStyle w:val="Footer"/>
      <w:tabs>
        <w:tab w:val="clear" w:pos="8640"/>
      </w:tabs>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61F" w:rsidRDefault="00C9061F">
      <w:r>
        <w:separator/>
      </w:r>
    </w:p>
  </w:footnote>
  <w:footnote w:type="continuationSeparator" w:id="0">
    <w:p w:rsidR="00C9061F" w:rsidRDefault="00C9061F">
      <w:pPr>
        <w:rPr>
          <w:sz w:val="20"/>
        </w:rPr>
      </w:pPr>
      <w:r>
        <w:rPr>
          <w:sz w:val="20"/>
        </w:rPr>
        <w:t xml:space="preserve">(Continued from previous page)  </w:t>
      </w:r>
      <w:r>
        <w:rPr>
          <w:sz w:val="20"/>
        </w:rPr>
        <w:separator/>
      </w:r>
    </w:p>
  </w:footnote>
  <w:footnote w:type="continuationNotice" w:id="1">
    <w:p w:rsidR="00C9061F" w:rsidRDefault="00C9061F">
      <w:pPr>
        <w:rPr>
          <w:sz w:val="20"/>
        </w:rPr>
      </w:pPr>
    </w:p>
  </w:footnote>
  <w:footnote w:id="2">
    <w:p w:rsidR="006E273B" w:rsidRDefault="006B153F" w:rsidP="003F1498">
      <w:pPr>
        <w:pStyle w:val="FootnoteText"/>
      </w:pPr>
      <w:r>
        <w:rPr>
          <w:rStyle w:val="FootnoteReference"/>
        </w:rPr>
        <w:footnoteRef/>
      </w:r>
      <w:r>
        <w:t xml:space="preserve"> </w:t>
      </w:r>
      <w:r w:rsidRPr="003F1498">
        <w:t xml:space="preserve">This case was formerly assigned the file number EB-08-TC-2507.  In January 2011, the Telecommunications Consumers Division </w:t>
      </w:r>
      <w:r>
        <w:t>assigned a new case number.</w:t>
      </w:r>
    </w:p>
  </w:footnote>
  <w:footnote w:id="3">
    <w:p w:rsidR="006E273B" w:rsidRDefault="006B153F" w:rsidP="00AB112D">
      <w:pPr>
        <w:pStyle w:val="FootnoteText"/>
      </w:pPr>
      <w:r>
        <w:rPr>
          <w:rStyle w:val="FootnoteReference"/>
        </w:rPr>
        <w:footnoteRef/>
      </w:r>
      <w:r>
        <w:t xml:space="preserve"> Telephone Consumer Protection Act of 1991, Pub. L. No. 102-243, 105 Stat. 2394 (1991) (</w:t>
      </w:r>
      <w:r>
        <w:rPr>
          <w:i/>
        </w:rPr>
        <w:t xml:space="preserve">codified as amended at </w:t>
      </w:r>
      <w:r>
        <w:t xml:space="preserve">47 U.S.C. § 227).  </w:t>
      </w:r>
      <w:r>
        <w:rPr>
          <w:i/>
        </w:rPr>
        <w:t xml:space="preserve">See also </w:t>
      </w:r>
      <w:r>
        <w:t xml:space="preserve">Junk Fax Prevention Act of 2005, Pub. L. No. 109-21, 119 Stat. 359 (2005).  </w:t>
      </w:r>
    </w:p>
  </w:footnote>
  <w:footnote w:id="4">
    <w:p w:rsidR="006E273B" w:rsidRDefault="006B153F" w:rsidP="00AB112D">
      <w:pPr>
        <w:pStyle w:val="FootnoteText"/>
      </w:pPr>
      <w:r>
        <w:rPr>
          <w:rStyle w:val="FootnoteReference"/>
        </w:rPr>
        <w:footnoteRef/>
      </w:r>
      <w:r>
        <w:t xml:space="preserve"> </w:t>
      </w:r>
      <w:r>
        <w:rPr>
          <w:color w:val="000000"/>
        </w:rPr>
        <w:t>47 U.S.C. § 227(b)(1)(C).  The prohibition is subject to certain exceptions, such as</w:t>
      </w:r>
      <w:r w:rsidR="003B49C0">
        <w:rPr>
          <w:color w:val="000000"/>
        </w:rPr>
        <w:t xml:space="preserve"> (1)</w:t>
      </w:r>
      <w:r>
        <w:rPr>
          <w:color w:val="000000"/>
        </w:rPr>
        <w:t xml:space="preserve"> if the sender has an “established business relationship” (EBR) with the recipient</w:t>
      </w:r>
      <w:r w:rsidR="003B49C0">
        <w:rPr>
          <w:color w:val="000000"/>
        </w:rPr>
        <w:t xml:space="preserve">, </w:t>
      </w:r>
      <w:r>
        <w:rPr>
          <w:color w:val="000000"/>
        </w:rPr>
        <w:t xml:space="preserve">and </w:t>
      </w:r>
      <w:r w:rsidR="003B49C0">
        <w:rPr>
          <w:color w:val="000000"/>
        </w:rPr>
        <w:t xml:space="preserve">(2) </w:t>
      </w:r>
      <w:r>
        <w:rPr>
          <w:color w:val="000000"/>
        </w:rPr>
        <w:t>the sender obtained the facsimile number from the recipient through voluntary communication in the context of an EBR, or from a directory, advertisement, or website through which the recipient voluntarily and publicly provided its facsimile number.  In addition, the unsolicited ad must notify the recipient how to opt out of receiving future such ads, and do so in compliance with certain requirements.  The Commission has adopted implementing rules.  47 C.F.R. § 64.1200(a)(4).</w:t>
      </w:r>
    </w:p>
  </w:footnote>
  <w:footnote w:id="5">
    <w:p w:rsidR="006E273B" w:rsidRDefault="006B153F" w:rsidP="00AB112D">
      <w:pPr>
        <w:pStyle w:val="FootnoteText"/>
      </w:pPr>
      <w:r w:rsidRPr="008D5B3C">
        <w:rPr>
          <w:rStyle w:val="FootnoteReference"/>
        </w:rPr>
        <w:footnoteRef/>
      </w:r>
      <w:r w:rsidRPr="008D5B3C">
        <w:t xml:space="preserve"> 47 </w:t>
      </w:r>
      <w:r w:rsidR="008F0808">
        <w:t>U.S.C</w:t>
      </w:r>
      <w:r w:rsidRPr="008D5B3C">
        <w:t>. § 503(b)(5)</w:t>
      </w:r>
      <w:r w:rsidRPr="00F33E59">
        <w:t xml:space="preserve">.  </w:t>
      </w:r>
    </w:p>
  </w:footnote>
  <w:footnote w:id="6">
    <w:p w:rsidR="00557308" w:rsidRDefault="00557308">
      <w:pPr>
        <w:pStyle w:val="FootnoteText"/>
      </w:pPr>
      <w:r>
        <w:rPr>
          <w:rStyle w:val="FootnoteReference"/>
        </w:rPr>
        <w:footnoteRef/>
      </w:r>
      <w:r>
        <w:t xml:space="preserve"> </w:t>
      </w:r>
      <w:r w:rsidRPr="00557308">
        <w:t xml:space="preserve">According to publicly available information, Presidential Who’s Who, Inc. is also operating under the business name of Presidential Who’s Who.  Lexis Business Reports Database available at www.lexis.com (last visited Mar. 19, 2014).  Therefore, all references in this Order to “Presidential Who’s Who, Inc.” encompass Presidential Who’s Who, Inc. as well as Presidential Who’s Who.  Presidential Who’s Who, Inc. has had offices at 134 Rockaway Ave., Valley Stream, NY 11580, and 17 West Merrick Rd., Suite B, Valley Stream, NY  11580-5701.  Frank Ciaccio is President and Chief Executive Officer, and Mark Anthony McGuiness is Chief Operating Officer.  All references in this Order to Presidential Who’s Who, Inc. also encompass the foregoing individuals, as well as the corporate entity itself.  </w:t>
      </w:r>
    </w:p>
  </w:footnote>
  <w:footnote w:id="7">
    <w:p w:rsidR="006E273B" w:rsidRDefault="00E01DF8" w:rsidP="00E01DF8">
      <w:pPr>
        <w:pStyle w:val="FootnoteText"/>
      </w:pPr>
      <w:r w:rsidRPr="00F33E59">
        <w:rPr>
          <w:rStyle w:val="FootnoteReference"/>
        </w:rPr>
        <w:footnoteRef/>
      </w:r>
      <w:r w:rsidRPr="00F33E59">
        <w:t xml:space="preserve"> Citation from Kurt A. Schroeder, Deputy Chief, Telecommunications Consumers Division, </w:t>
      </w:r>
      <w:r>
        <w:t xml:space="preserve">FCC </w:t>
      </w:r>
      <w:r w:rsidRPr="00F33E59">
        <w:t>Enforcement Bureau, to Presidential Who’s Who (June 18, 2008)</w:t>
      </w:r>
      <w:r>
        <w:t xml:space="preserve"> (on file in </w:t>
      </w:r>
      <w:r w:rsidRPr="00F33E59">
        <w:t>EB-08-TC-2507</w:t>
      </w:r>
      <w:r>
        <w:t>)</w:t>
      </w:r>
      <w:r w:rsidRPr="00F33E59">
        <w:t>.</w:t>
      </w:r>
      <w:r w:rsidRPr="00726F8A">
        <w:t xml:space="preserve">   </w:t>
      </w:r>
    </w:p>
  </w:footnote>
  <w:footnote w:id="8">
    <w:p w:rsidR="006E273B" w:rsidRDefault="006B153F">
      <w:pPr>
        <w:pStyle w:val="FootnoteText"/>
      </w:pPr>
      <w:r>
        <w:rPr>
          <w:rStyle w:val="FootnoteReference"/>
        </w:rPr>
        <w:footnoteRef/>
      </w:r>
      <w:r w:rsidRPr="00A851A3">
        <w:rPr>
          <w:rStyle w:val="FootnoteReference"/>
        </w:rPr>
        <w:t xml:space="preserve"> </w:t>
      </w:r>
      <w:r w:rsidRPr="008D5B3C">
        <w:rPr>
          <w:i/>
        </w:rPr>
        <w:t>Id</w:t>
      </w:r>
      <w:r>
        <w:t xml:space="preserve">. </w:t>
      </w:r>
    </w:p>
  </w:footnote>
  <w:footnote w:id="9">
    <w:p w:rsidR="006E273B" w:rsidRDefault="006B153F" w:rsidP="0002057D">
      <w:pPr>
        <w:spacing w:after="120"/>
        <w:ind w:right="-14"/>
      </w:pPr>
      <w:r>
        <w:rPr>
          <w:rStyle w:val="FootnoteReference"/>
        </w:rPr>
        <w:footnoteRef/>
      </w:r>
      <w:r>
        <w:t xml:space="preserve"> </w:t>
      </w:r>
      <w:r>
        <w:rPr>
          <w:sz w:val="20"/>
        </w:rPr>
        <w:t xml:space="preserve">Telephone interview conducted on July 11, 2008 between Mr. Frank Ciaccio, representing Presidential Who’s Who, and Kurt Schroeder, Deputy Chief, Telecommunications Consumers Division, FCC Enforcement Bureau, and Mary Romano, Special Advisor, Telecommunications Consumers Division, FCC Enforcement Bureau.  </w:t>
      </w:r>
    </w:p>
  </w:footnote>
  <w:footnote w:id="10">
    <w:p w:rsidR="006E273B" w:rsidRDefault="006B153F" w:rsidP="0002057D">
      <w:pPr>
        <w:pStyle w:val="FootnoteText"/>
      </w:pPr>
      <w:r w:rsidRPr="007F2A37">
        <w:rPr>
          <w:rStyle w:val="FootnoteReference"/>
        </w:rPr>
        <w:footnoteRef/>
      </w:r>
      <w:r w:rsidRPr="007F2A37">
        <w:t xml:space="preserve"> </w:t>
      </w:r>
      <w:r w:rsidRPr="008D5B3C">
        <w:rPr>
          <w:i/>
        </w:rPr>
        <w:t>Id</w:t>
      </w:r>
      <w:r>
        <w:t>.  Also, during this interview, Commission staff explained to Mr. Ciaccio that the fax in question was a pretext to an advertisement, and thus</w:t>
      </w:r>
      <w:r w:rsidRPr="00140BC2">
        <w:t>, a prohibited unsolicited advertisement</w:t>
      </w:r>
      <w:r>
        <w:t xml:space="preserve"> pursuant</w:t>
      </w:r>
      <w:r w:rsidRPr="00140BC2">
        <w:t xml:space="preserve"> </w:t>
      </w:r>
      <w:r>
        <w:t xml:space="preserve">to the Act and the Commission’s rules.  47 U.S.C. § 227(a)(5); 47 C.F.R. § 64.1200(f)(14).  Mr. Ciaccio subsequently claimed that the fax was sent in error.  However, </w:t>
      </w:r>
      <w:r w:rsidRPr="00601ACB">
        <w:t>neither the TCPA nor the Commission’s rules contain any exceptions for unsolicited fax advertisements sent in error.</w:t>
      </w:r>
      <w:r>
        <w:t xml:space="preserve">  </w:t>
      </w:r>
      <w:r w:rsidRPr="003B20C4">
        <w:rPr>
          <w:i/>
        </w:rPr>
        <w:t>See also</w:t>
      </w:r>
      <w:r>
        <w:t xml:space="preserve"> </w:t>
      </w:r>
      <w:r w:rsidRPr="007F2A37">
        <w:rPr>
          <w:i/>
        </w:rPr>
        <w:t xml:space="preserve">September 2010 NAL, </w:t>
      </w:r>
      <w:r w:rsidRPr="007F2A37">
        <w:rPr>
          <w:iCs/>
        </w:rPr>
        <w:t>25 FCC Rcd 13759</w:t>
      </w:r>
      <w:r w:rsidRPr="007F2A37">
        <w:t xml:space="preserve"> at 13762</w:t>
      </w:r>
      <w:r>
        <w:t xml:space="preserve">, para. 7; </w:t>
      </w:r>
      <w:r w:rsidRPr="007F2A37">
        <w:rPr>
          <w:i/>
        </w:rPr>
        <w:t xml:space="preserve">June 2011 NAL, </w:t>
      </w:r>
      <w:r w:rsidRPr="007F2A37">
        <w:rPr>
          <w:iCs/>
        </w:rPr>
        <w:t>26 FCC Rcd 8989 at 8991-92</w:t>
      </w:r>
      <w:r>
        <w:rPr>
          <w:iCs/>
        </w:rPr>
        <w:t xml:space="preserve">, para. 8 (discussing </w:t>
      </w:r>
      <w:r w:rsidRPr="007F2A37">
        <w:t>the faxes in question serv</w:t>
      </w:r>
      <w:r>
        <w:t xml:space="preserve">ing as </w:t>
      </w:r>
      <w:r w:rsidRPr="007F2A37">
        <w:rPr>
          <w:szCs w:val="22"/>
        </w:rPr>
        <w:t>pretext</w:t>
      </w:r>
      <w:r>
        <w:rPr>
          <w:szCs w:val="22"/>
        </w:rPr>
        <w:t>s</w:t>
      </w:r>
      <w:r w:rsidRPr="007F2A37">
        <w:rPr>
          <w:szCs w:val="22"/>
        </w:rPr>
        <w:t xml:space="preserve"> to advertise commercial products</w:t>
      </w:r>
      <w:r>
        <w:rPr>
          <w:szCs w:val="22"/>
        </w:rPr>
        <w:t>)</w:t>
      </w:r>
      <w:r w:rsidRPr="007F2A37">
        <w:rPr>
          <w:szCs w:val="22"/>
        </w:rPr>
        <w:t xml:space="preserve">. </w:t>
      </w:r>
      <w:r>
        <w:rPr>
          <w:szCs w:val="22"/>
        </w:rPr>
        <w:t xml:space="preserve"> </w:t>
      </w:r>
      <w:r w:rsidRPr="00992879">
        <w:rPr>
          <w:i/>
        </w:rPr>
        <w:t>See infra</w:t>
      </w:r>
      <w:r w:rsidRPr="00992879">
        <w:t xml:space="preserve"> paras. </w:t>
      </w:r>
      <w:r>
        <w:t>9-</w:t>
      </w:r>
      <w:r w:rsidRPr="00992879">
        <w:t>10.</w:t>
      </w:r>
      <w:r>
        <w:t xml:space="preserve">  </w:t>
      </w:r>
    </w:p>
  </w:footnote>
  <w:footnote w:id="11">
    <w:p w:rsidR="006E273B" w:rsidRDefault="006B153F">
      <w:pPr>
        <w:pStyle w:val="FootnoteText"/>
      </w:pPr>
      <w:r>
        <w:rPr>
          <w:rStyle w:val="FootnoteReference"/>
        </w:rPr>
        <w:footnoteRef/>
      </w:r>
      <w:r w:rsidR="00D43723">
        <w:t xml:space="preserve"> </w:t>
      </w:r>
      <w:r w:rsidR="00D43723" w:rsidRPr="00D43723">
        <w:rPr>
          <w:i/>
        </w:rPr>
        <w:t>See Presidential Who’s Who dba Presidential Who’s Who, Inc.</w:t>
      </w:r>
      <w:r w:rsidR="00D43723" w:rsidRPr="00D43723">
        <w:t>, Notice of Apparent Liability for Forfeiture, 25 FCC Rcd 13759 (2010) (</w:t>
      </w:r>
      <w:r w:rsidR="00D43723" w:rsidRPr="00D43723">
        <w:rPr>
          <w:i/>
        </w:rPr>
        <w:t>September 2010 NAL</w:t>
      </w:r>
      <w:r w:rsidR="00D43723" w:rsidRPr="00D43723">
        <w:t xml:space="preserve">); and </w:t>
      </w:r>
      <w:r w:rsidR="00D43723" w:rsidRPr="00D43723">
        <w:rPr>
          <w:i/>
        </w:rPr>
        <w:t>Presidential Who’s Who dba Presidential Who’s Who, Inc.</w:t>
      </w:r>
      <w:r w:rsidR="00D43723" w:rsidRPr="00D43723">
        <w:t>, Notice of Apparent Liability for Forfeiture, 26 FCC Rcd 8989 (2011) (</w:t>
      </w:r>
      <w:r w:rsidR="00D43723" w:rsidRPr="00D43723">
        <w:rPr>
          <w:i/>
        </w:rPr>
        <w:t>June 2011 NAL</w:t>
      </w:r>
      <w:r w:rsidR="00D43723" w:rsidRPr="00D43723">
        <w:t>)</w:t>
      </w:r>
      <w:r w:rsidRPr="00206D8B">
        <w:t>.</w:t>
      </w:r>
    </w:p>
  </w:footnote>
  <w:footnote w:id="12">
    <w:p w:rsidR="006E273B" w:rsidRDefault="006B153F">
      <w:pPr>
        <w:pStyle w:val="FootnoteText"/>
      </w:pPr>
      <w:r w:rsidRPr="00DA4476">
        <w:rPr>
          <w:rStyle w:val="FootnoteReference"/>
        </w:rPr>
        <w:footnoteRef/>
      </w:r>
      <w:r w:rsidRPr="00DA4476">
        <w:t xml:space="preserve">  </w:t>
      </w:r>
      <w:r w:rsidRPr="00CD67C0">
        <w:t xml:space="preserve">On November 10, 2010, Mr. Ciaccio sent a letter to the Commission claiming that he had not received the </w:t>
      </w:r>
      <w:r w:rsidRPr="00CD67C0">
        <w:rPr>
          <w:i/>
        </w:rPr>
        <w:t>September 2010 NAL</w:t>
      </w:r>
      <w:r>
        <w:t xml:space="preserve">.  </w:t>
      </w:r>
      <w:r w:rsidRPr="00CD67C0">
        <w:rPr>
          <w:i/>
        </w:rPr>
        <w:t>See</w:t>
      </w:r>
      <w:r w:rsidRPr="00CD67C0">
        <w:t xml:space="preserve"> Letter from Frank Ciaccio, Presidential Who’s Who, to Marlene H. Dortch, Secretary, F</w:t>
      </w:r>
      <w:r>
        <w:t xml:space="preserve">ederal </w:t>
      </w:r>
      <w:r w:rsidRPr="00CD67C0">
        <w:t>C</w:t>
      </w:r>
      <w:r>
        <w:t xml:space="preserve">ommunications </w:t>
      </w:r>
      <w:r w:rsidRPr="00CD67C0">
        <w:t>C</w:t>
      </w:r>
      <w:r>
        <w:t>ommission</w:t>
      </w:r>
      <w:r w:rsidRPr="00CD67C0">
        <w:t xml:space="preserve"> (Nov</w:t>
      </w:r>
      <w:r>
        <w:t xml:space="preserve">. </w:t>
      </w:r>
      <w:r w:rsidRPr="00CD67C0">
        <w:t>10, 2010) (on file in EB-08-TC-2507).</w:t>
      </w:r>
      <w:r>
        <w:t xml:space="preserve">  </w:t>
      </w:r>
      <w:r w:rsidR="003B49C0">
        <w:t>On December 20, 2010, t</w:t>
      </w:r>
      <w:r>
        <w:t xml:space="preserve">he Commission redirected a </w:t>
      </w:r>
      <w:r w:rsidRPr="00EC4C3E">
        <w:t xml:space="preserve">copy of the </w:t>
      </w:r>
      <w:r w:rsidRPr="00EC4C3E">
        <w:rPr>
          <w:i/>
        </w:rPr>
        <w:t>September 2010 NAL</w:t>
      </w:r>
      <w:r w:rsidRPr="00EC4C3E">
        <w:t xml:space="preserve"> (and associated complaints) to the </w:t>
      </w:r>
      <w:r>
        <w:t xml:space="preserve">new address provided by the </w:t>
      </w:r>
      <w:r w:rsidRPr="00EC4C3E">
        <w:t>company</w:t>
      </w:r>
      <w:r>
        <w:t xml:space="preserve"> </w:t>
      </w:r>
      <w:r w:rsidRPr="00EC4C3E">
        <w:t>via United States Postal Service and by e-mail.</w:t>
      </w:r>
      <w:r>
        <w:t xml:space="preserve">  </w:t>
      </w:r>
      <w:r w:rsidRPr="00880A44">
        <w:rPr>
          <w:i/>
        </w:rPr>
        <w:t>See</w:t>
      </w:r>
      <w:r>
        <w:t xml:space="preserve"> Letter from Rosemary Cabral, </w:t>
      </w:r>
      <w:r w:rsidRPr="00DF24EE">
        <w:t xml:space="preserve">Staff Attorney, Telecommunications Consumers Division, </w:t>
      </w:r>
      <w:r>
        <w:t xml:space="preserve">FCC </w:t>
      </w:r>
      <w:r w:rsidRPr="00DF24EE">
        <w:t>Enforcement Bureau</w:t>
      </w:r>
      <w:r>
        <w:t xml:space="preserve">, </w:t>
      </w:r>
      <w:r w:rsidRPr="001A1B65">
        <w:t xml:space="preserve">to </w:t>
      </w:r>
      <w:r>
        <w:t>Frank Ciaccio, Presidential Who’s Who (Dec. 20, 2010) (on file in EB-</w:t>
      </w:r>
      <w:r w:rsidRPr="00F33E59">
        <w:t>08-TC-2507</w:t>
      </w:r>
      <w:r>
        <w:t xml:space="preserve">).  </w:t>
      </w:r>
      <w:r>
        <w:rPr>
          <w:i/>
        </w:rPr>
        <w:t>S</w:t>
      </w:r>
      <w:r w:rsidRPr="00390BC6">
        <w:rPr>
          <w:i/>
        </w:rPr>
        <w:t>ee also</w:t>
      </w:r>
      <w:r>
        <w:t xml:space="preserve"> E-Mail from Rosemary Cabral, </w:t>
      </w:r>
      <w:r w:rsidR="004D7B65" w:rsidRPr="00DF24EE">
        <w:t xml:space="preserve">Staff Attorney, Telecommunications Consumers Division, </w:t>
      </w:r>
      <w:r w:rsidR="004D7B65">
        <w:t xml:space="preserve">FCC </w:t>
      </w:r>
      <w:r w:rsidR="004D7B65" w:rsidRPr="00DF24EE">
        <w:t>Enforcement Bureau</w:t>
      </w:r>
      <w:r w:rsidR="004D7B65" w:rsidRPr="001A1B65">
        <w:t xml:space="preserve">, </w:t>
      </w:r>
      <w:r w:rsidRPr="001A1B65">
        <w:t xml:space="preserve">to </w:t>
      </w:r>
      <w:r>
        <w:t>Frank Ciaccio</w:t>
      </w:r>
      <w:r w:rsidR="004D7B65">
        <w:t>, Presidential Who’s Who</w:t>
      </w:r>
      <w:r>
        <w:t xml:space="preserve"> (Dec. 20, 2010, 3:38 p.m. E.D.T.) (E-mail forwarded </w:t>
      </w:r>
      <w:r w:rsidRPr="000D1715">
        <w:rPr>
          <w:i/>
        </w:rPr>
        <w:t>September 2010 NAL</w:t>
      </w:r>
      <w:r>
        <w:t xml:space="preserve">).  Commission staff subsequently received an e-mail from Mr. Ciaccio confirming receipt. </w:t>
      </w:r>
      <w:r>
        <w:rPr>
          <w:i/>
        </w:rPr>
        <w:t xml:space="preserve"> See</w:t>
      </w:r>
      <w:r w:rsidRPr="00390BC6">
        <w:t xml:space="preserve"> </w:t>
      </w:r>
      <w:r>
        <w:t xml:space="preserve">E-Mail from Frank Ciaccio, </w:t>
      </w:r>
      <w:r w:rsidR="004D7B65">
        <w:t xml:space="preserve">Presidential Who’s Who, </w:t>
      </w:r>
      <w:r>
        <w:t>to Rosemary Cabral</w:t>
      </w:r>
      <w:r w:rsidR="004D7B65">
        <w:t xml:space="preserve">, </w:t>
      </w:r>
      <w:r w:rsidR="004D7B65" w:rsidRPr="00DF24EE">
        <w:t xml:space="preserve">Staff Attorney, Telecommunications Consumers Division, </w:t>
      </w:r>
      <w:r w:rsidR="004D7B65">
        <w:t xml:space="preserve">FCC </w:t>
      </w:r>
      <w:r w:rsidR="004D7B65" w:rsidRPr="00DF24EE">
        <w:t>Enforcement Bureau</w:t>
      </w:r>
      <w:r>
        <w:t xml:space="preserve"> (Jan. 3, 2011, 11:08 a.m. E.D.T.).  </w:t>
      </w:r>
    </w:p>
  </w:footnote>
  <w:footnote w:id="13">
    <w:p w:rsidR="006E273B" w:rsidRDefault="006B153F">
      <w:pPr>
        <w:pStyle w:val="FootnoteText"/>
      </w:pPr>
      <w:r>
        <w:rPr>
          <w:rStyle w:val="FootnoteReference"/>
        </w:rPr>
        <w:footnoteRef/>
      </w:r>
      <w:r>
        <w:t xml:space="preserve"> </w:t>
      </w:r>
      <w:r>
        <w:rPr>
          <w:i/>
        </w:rPr>
        <w:t xml:space="preserve">September 2010 NAL, </w:t>
      </w:r>
      <w:r>
        <w:t xml:space="preserve">25 FCC Rcd at 13763. </w:t>
      </w:r>
      <w:r>
        <w:rPr>
          <w:i/>
        </w:rPr>
        <w:t xml:space="preserve"> </w:t>
      </w:r>
    </w:p>
  </w:footnote>
  <w:footnote w:id="14">
    <w:p w:rsidR="006E273B" w:rsidRDefault="006B153F">
      <w:pPr>
        <w:pStyle w:val="FootnoteText"/>
      </w:pPr>
      <w:r>
        <w:rPr>
          <w:rStyle w:val="FootnoteReference"/>
        </w:rPr>
        <w:footnoteRef/>
      </w:r>
      <w:r>
        <w:t xml:space="preserve"> Mr. Ciaccio </w:t>
      </w:r>
      <w:r w:rsidR="001A1854">
        <w:t xml:space="preserve">made his </w:t>
      </w:r>
      <w:r>
        <w:t>request</w:t>
      </w:r>
      <w:r w:rsidR="001A1854">
        <w:t xml:space="preserve"> for</w:t>
      </w:r>
      <w:r>
        <w:t xml:space="preserve"> an extension via telephone to Rosemary Cabral,</w:t>
      </w:r>
      <w:r w:rsidRPr="001A1B65">
        <w:t xml:space="preserve"> Staff Attorney, Telecommunications Consumers Division, </w:t>
      </w:r>
      <w:r>
        <w:t xml:space="preserve">FCC </w:t>
      </w:r>
      <w:r w:rsidRPr="001A1B65">
        <w:t>Enforcement Bureau</w:t>
      </w:r>
      <w:r>
        <w:t xml:space="preserve">, </w:t>
      </w:r>
      <w:r w:rsidR="001A1854">
        <w:t xml:space="preserve">and </w:t>
      </w:r>
      <w:r>
        <w:t>follow</w:t>
      </w:r>
      <w:r w:rsidR="001A1854">
        <w:t xml:space="preserve">ed </w:t>
      </w:r>
      <w:r>
        <w:t xml:space="preserve">up via e-mail.  Mr. Ciaccio stated that additional time was required due to illness.  </w:t>
      </w:r>
      <w:r w:rsidRPr="003B20C4">
        <w:rPr>
          <w:i/>
        </w:rPr>
        <w:t>See</w:t>
      </w:r>
      <w:r>
        <w:t xml:space="preserve"> E-mail from Frank Ciaccio, </w:t>
      </w:r>
      <w:r w:rsidR="004D7B65">
        <w:t xml:space="preserve">Presidential Who’s Who, </w:t>
      </w:r>
      <w:r>
        <w:t>to Rosemary Cabral</w:t>
      </w:r>
      <w:r w:rsidR="004D7B65">
        <w:t xml:space="preserve">, </w:t>
      </w:r>
      <w:r w:rsidR="004D7B65" w:rsidRPr="00DF24EE">
        <w:t xml:space="preserve">Staff Attorney, Telecommunications Consumers Division, </w:t>
      </w:r>
      <w:r w:rsidR="004D7B65">
        <w:t xml:space="preserve">FCC </w:t>
      </w:r>
      <w:r w:rsidR="004D7B65" w:rsidRPr="00DF24EE">
        <w:t>Enforcement Bureau</w:t>
      </w:r>
      <w:r>
        <w:t xml:space="preserve"> (Jan. 20, 2011, 3:07 p.m. E.D.T.).</w:t>
      </w:r>
      <w:r>
        <w:rPr>
          <w:i/>
        </w:rPr>
        <w:t xml:space="preserve"> </w:t>
      </w:r>
    </w:p>
  </w:footnote>
  <w:footnote w:id="15">
    <w:p w:rsidR="006E273B" w:rsidRDefault="006B153F" w:rsidP="00590D5B">
      <w:pPr>
        <w:pStyle w:val="FootnoteText"/>
      </w:pPr>
      <w:r w:rsidRPr="00992879">
        <w:rPr>
          <w:rStyle w:val="FootnoteReference"/>
        </w:rPr>
        <w:footnoteRef/>
      </w:r>
      <w:r w:rsidRPr="00992879">
        <w:t xml:space="preserve"> </w:t>
      </w:r>
      <w:r w:rsidRPr="00992879">
        <w:rPr>
          <w:i/>
        </w:rPr>
        <w:t>See</w:t>
      </w:r>
      <w:r w:rsidRPr="00992879">
        <w:t xml:space="preserve"> Letter from Frank Ciaccio, Presidential Who’s Who, to Rosemary Cabral, Staff Attorney, Telecommunications Consumers Division, </w:t>
      </w:r>
      <w:r>
        <w:t xml:space="preserve">FCC </w:t>
      </w:r>
      <w:r w:rsidRPr="00992879">
        <w:t>Enforcement Bureau</w:t>
      </w:r>
      <w:r>
        <w:t xml:space="preserve">, </w:t>
      </w:r>
      <w:r w:rsidRPr="00992879">
        <w:t>at 1 (filed Jan</w:t>
      </w:r>
      <w:r>
        <w:t xml:space="preserve">. </w:t>
      </w:r>
      <w:r w:rsidRPr="00992879">
        <w:t>26, 2011</w:t>
      </w:r>
      <w:r>
        <w:t xml:space="preserve">) (on file </w:t>
      </w:r>
      <w:r w:rsidRPr="00992879">
        <w:t>in EB-08-TC-2507) (</w:t>
      </w:r>
      <w:r w:rsidRPr="00992879">
        <w:rPr>
          <w:i/>
        </w:rPr>
        <w:t>PWW’s NAL Response</w:t>
      </w:r>
      <w:r w:rsidRPr="00992879">
        <w:t xml:space="preserve">); </w:t>
      </w:r>
      <w:r w:rsidRPr="00772E94">
        <w:rPr>
          <w:i/>
        </w:rPr>
        <w:t>s</w:t>
      </w:r>
      <w:r w:rsidRPr="00992879">
        <w:rPr>
          <w:i/>
        </w:rPr>
        <w:t>ee also</w:t>
      </w:r>
      <w:r w:rsidRPr="00992879">
        <w:t xml:space="preserve"> E-mail from Frank Ciaccio</w:t>
      </w:r>
      <w:r>
        <w:t xml:space="preserve">, </w:t>
      </w:r>
      <w:r w:rsidR="004D7B65" w:rsidRPr="00992879">
        <w:t>Presidential Who’s Who</w:t>
      </w:r>
      <w:r w:rsidR="004D7B65">
        <w:t>,</w:t>
      </w:r>
      <w:r w:rsidR="004D7B65" w:rsidRPr="00992879">
        <w:t xml:space="preserve"> </w:t>
      </w:r>
      <w:r w:rsidRPr="00992879">
        <w:t xml:space="preserve">to Rosemary Cabral, </w:t>
      </w:r>
      <w:r w:rsidR="004D7B65" w:rsidRPr="00992879">
        <w:t xml:space="preserve">Staff Attorney, Telecommunications Consumers Division, </w:t>
      </w:r>
      <w:r w:rsidR="004D7B65">
        <w:t xml:space="preserve">FCC </w:t>
      </w:r>
      <w:r w:rsidR="004D7B65" w:rsidRPr="00992879">
        <w:t>Enforcement Bureau</w:t>
      </w:r>
      <w:r w:rsidR="004D7B65">
        <w:t xml:space="preserve"> </w:t>
      </w:r>
      <w:r w:rsidRPr="00992879">
        <w:t>(Feb</w:t>
      </w:r>
      <w:r>
        <w:t xml:space="preserve">. </w:t>
      </w:r>
      <w:r w:rsidRPr="00992879">
        <w:t xml:space="preserve">3, 2011, 4:10 p.m. EDT) (including an electronic copy of </w:t>
      </w:r>
      <w:r w:rsidRPr="00992879">
        <w:rPr>
          <w:i/>
        </w:rPr>
        <w:t>PWW’S NAL Response</w:t>
      </w:r>
      <w:r w:rsidRPr="00992879">
        <w:t>).</w:t>
      </w:r>
      <w:r>
        <w:rPr>
          <w:i/>
        </w:rPr>
        <w:t xml:space="preserve">  See infra</w:t>
      </w:r>
      <w:r>
        <w:t xml:space="preserve"> para.</w:t>
      </w:r>
      <w:r w:rsidR="00BB0FE5">
        <w:t xml:space="preserve"> </w:t>
      </w:r>
      <w:r w:rsidR="00BB0FE5">
        <w:fldChar w:fldCharType="begin"/>
      </w:r>
      <w:r w:rsidR="00BB0FE5">
        <w:instrText xml:space="preserve"> NOTEREF _Ref383007860 \h </w:instrText>
      </w:r>
      <w:r w:rsidR="00BB0FE5">
        <w:fldChar w:fldCharType="separate"/>
      </w:r>
      <w:r w:rsidR="000A0EFD">
        <w:t>8</w:t>
      </w:r>
      <w:r w:rsidR="00BB0FE5">
        <w:fldChar w:fldCharType="end"/>
      </w:r>
      <w:r>
        <w:t>.</w:t>
      </w:r>
    </w:p>
  </w:footnote>
  <w:footnote w:id="16">
    <w:p w:rsidR="006E273B" w:rsidRDefault="006B153F">
      <w:pPr>
        <w:pStyle w:val="FootnoteText"/>
      </w:pPr>
      <w:r>
        <w:rPr>
          <w:rStyle w:val="FootnoteReference"/>
        </w:rPr>
        <w:footnoteRef/>
      </w:r>
      <w:r>
        <w:t xml:space="preserve"> Commission staff requested </w:t>
      </w:r>
      <w:r w:rsidRPr="00351068">
        <w:t>by both telephone and e-mail</w:t>
      </w:r>
      <w:r>
        <w:t xml:space="preserve"> that Presidential Who’s Who submit additional information to support its </w:t>
      </w:r>
      <w:r w:rsidRPr="00351068">
        <w:t>response</w:t>
      </w:r>
      <w:r>
        <w:t xml:space="preserve">.  </w:t>
      </w:r>
      <w:r w:rsidRPr="00351068">
        <w:rPr>
          <w:i/>
        </w:rPr>
        <w:t xml:space="preserve">See </w:t>
      </w:r>
      <w:r w:rsidRPr="00351068">
        <w:t>E-Mail from Rosemary Cabral, Staff Attorney</w:t>
      </w:r>
      <w:r w:rsidRPr="005643BB">
        <w:t xml:space="preserve">, Telecommunications Consumers Division, </w:t>
      </w:r>
      <w:r>
        <w:t xml:space="preserve">FCC </w:t>
      </w:r>
      <w:r w:rsidRPr="005643BB">
        <w:t>Enforcement Bureau,</w:t>
      </w:r>
      <w:r w:rsidRPr="00D66755">
        <w:t xml:space="preserve"> </w:t>
      </w:r>
      <w:r w:rsidRPr="005643BB">
        <w:t>to Frank Ciaccio, Presidential Who’s Who (Feb</w:t>
      </w:r>
      <w:r>
        <w:t xml:space="preserve">. </w:t>
      </w:r>
      <w:r w:rsidRPr="005643BB">
        <w:t>7, 2011, 2:05 p.m. E.D.T.) (</w:t>
      </w:r>
      <w:r w:rsidR="003B49C0">
        <w:t>e</w:t>
      </w:r>
      <w:r w:rsidRPr="005643BB">
        <w:t xml:space="preserve">-mail following conversation requesting additional information in support </w:t>
      </w:r>
      <w:r w:rsidRPr="00D66755">
        <w:t>of January 26,</w:t>
      </w:r>
      <w:r w:rsidRPr="005643BB">
        <w:t xml:space="preserve"> 2011 letter from Presidential Who’s Who). </w:t>
      </w:r>
    </w:p>
  </w:footnote>
  <w:footnote w:id="17">
    <w:p w:rsidR="006E273B" w:rsidRDefault="006B153F">
      <w:pPr>
        <w:pStyle w:val="FootnoteText"/>
      </w:pPr>
      <w:r w:rsidRPr="00206D8B">
        <w:rPr>
          <w:rStyle w:val="FootnoteReference"/>
        </w:rPr>
        <w:footnoteRef/>
      </w:r>
      <w:r w:rsidRPr="00206D8B">
        <w:t xml:space="preserve"> </w:t>
      </w:r>
      <w:r w:rsidRPr="00206D8B">
        <w:rPr>
          <w:i/>
        </w:rPr>
        <w:t xml:space="preserve">See supra </w:t>
      </w:r>
      <w:r w:rsidR="00BB0FE5">
        <w:t xml:space="preserve">note </w:t>
      </w:r>
      <w:r w:rsidR="00BB0FE5">
        <w:fldChar w:fldCharType="begin"/>
      </w:r>
      <w:r w:rsidR="00BB0FE5">
        <w:instrText xml:space="preserve"> NOTEREF _Ref383007890 \h </w:instrText>
      </w:r>
      <w:r w:rsidR="00BB0FE5">
        <w:fldChar w:fldCharType="separate"/>
      </w:r>
      <w:r w:rsidR="000A0EFD">
        <w:t>10</w:t>
      </w:r>
      <w:r w:rsidR="00BB0FE5">
        <w:fldChar w:fldCharType="end"/>
      </w:r>
      <w:r w:rsidRPr="00206D8B">
        <w:t>.</w:t>
      </w:r>
      <w:r>
        <w:t xml:space="preserve">  Presidential Who’s Who </w:t>
      </w:r>
      <w:r w:rsidRPr="009C5AC0">
        <w:t>acknowledg</w:t>
      </w:r>
      <w:r>
        <w:t>ed</w:t>
      </w:r>
      <w:r w:rsidRPr="009C5AC0">
        <w:t xml:space="preserve"> receipt</w:t>
      </w:r>
      <w:r>
        <w:t xml:space="preserve"> of the NAL, as evidenced by a signed </w:t>
      </w:r>
      <w:r w:rsidRPr="009C5AC0">
        <w:t>United State</w:t>
      </w:r>
      <w:r>
        <w:t xml:space="preserve">s Postal Service return receipt, </w:t>
      </w:r>
      <w:r w:rsidRPr="009C5AC0">
        <w:t>Article Number 700</w:t>
      </w:r>
      <w:r>
        <w:t>8</w:t>
      </w:r>
      <w:r w:rsidRPr="009C5AC0">
        <w:t xml:space="preserve"> </w:t>
      </w:r>
      <w:r>
        <w:t>1140 0000 8055 9798 (dated June 16, 2011).</w:t>
      </w:r>
    </w:p>
  </w:footnote>
  <w:footnote w:id="18">
    <w:p w:rsidR="006E273B" w:rsidRDefault="006B153F">
      <w:pPr>
        <w:pStyle w:val="FootnoteText"/>
      </w:pPr>
      <w:r>
        <w:rPr>
          <w:rStyle w:val="FootnoteReference"/>
        </w:rPr>
        <w:footnoteRef/>
      </w:r>
      <w:r>
        <w:t xml:space="preserve"> </w:t>
      </w:r>
      <w:r w:rsidRPr="00DF24EE">
        <w:rPr>
          <w:i/>
        </w:rPr>
        <w:t xml:space="preserve">See </w:t>
      </w:r>
      <w:r w:rsidRPr="00DF24EE">
        <w:t>E-mail from Frank Ciaccio</w:t>
      </w:r>
      <w:r>
        <w:t>, Presidential Who’s Who,</w:t>
      </w:r>
      <w:r w:rsidRPr="00DF24EE">
        <w:t xml:space="preserve"> to Rosemary Cabral, Staff Attorney, Telecommunications Consumers Division, </w:t>
      </w:r>
      <w:r>
        <w:t xml:space="preserve">FCC </w:t>
      </w:r>
      <w:r w:rsidRPr="00DF24EE">
        <w:t>Enforcement Bureau</w:t>
      </w:r>
      <w:r>
        <w:t xml:space="preserve"> </w:t>
      </w:r>
      <w:r w:rsidRPr="00DF24EE">
        <w:t>(Aug</w:t>
      </w:r>
      <w:r>
        <w:t>.</w:t>
      </w:r>
      <w:r w:rsidRPr="00DF24EE">
        <w:t xml:space="preserve"> 12, 2011, 11:07 a.m. EDT).</w:t>
      </w:r>
    </w:p>
  </w:footnote>
  <w:footnote w:id="19">
    <w:p w:rsidR="006E273B" w:rsidRDefault="006B153F" w:rsidP="00EF22E0">
      <w:pPr>
        <w:pStyle w:val="FootnoteText"/>
      </w:pPr>
      <w:r w:rsidRPr="00797ADC">
        <w:rPr>
          <w:rStyle w:val="FootnoteReference"/>
        </w:rPr>
        <w:footnoteRef/>
      </w:r>
      <w:r w:rsidRPr="00797ADC">
        <w:t xml:space="preserve"> </w:t>
      </w:r>
      <w:r w:rsidRPr="004D0A27">
        <w:t xml:space="preserve">Telephone interview conducted on August 17, 2011 between </w:t>
      </w:r>
      <w:r>
        <w:t xml:space="preserve">Mr. Ciaccio, Presidential Who’s Who, </w:t>
      </w:r>
      <w:r w:rsidRPr="004D0A27">
        <w:t xml:space="preserve">Richard A. Hindman, Chief, Consumers Telecommunications Consumers Division, </w:t>
      </w:r>
      <w:r>
        <w:t xml:space="preserve">FCC </w:t>
      </w:r>
      <w:r w:rsidRPr="004D0A27">
        <w:t>Enforcement Bureau</w:t>
      </w:r>
      <w:r>
        <w:t xml:space="preserve">, </w:t>
      </w:r>
      <w:r w:rsidRPr="004D0A27">
        <w:t xml:space="preserve">and Rosemary Cabral, Staff Attorney, Telecommunications Consumers Division, </w:t>
      </w:r>
      <w:r>
        <w:t xml:space="preserve">FCC </w:t>
      </w:r>
      <w:r w:rsidRPr="004D0A27">
        <w:t>Enforcement Bureau</w:t>
      </w:r>
      <w:r>
        <w:t>.</w:t>
      </w:r>
      <w:r w:rsidRPr="00D74AEE">
        <w:t xml:space="preserve">  </w:t>
      </w:r>
      <w:r>
        <w:t>Although Mr. Ciaccio claimed that he had not been warned that such activity was unlawful, C</w:t>
      </w:r>
      <w:r w:rsidRPr="00425931">
        <w:t>ommission staff</w:t>
      </w:r>
      <w:r>
        <w:t xml:space="preserve"> reminded Mr. Ciaccio that Commission staff </w:t>
      </w:r>
      <w:r w:rsidR="00376075">
        <w:t xml:space="preserve">had previously </w:t>
      </w:r>
      <w:r w:rsidRPr="00425931">
        <w:t xml:space="preserve">informed </w:t>
      </w:r>
      <w:r>
        <w:t>him</w:t>
      </w:r>
      <w:r w:rsidR="00376075">
        <w:t>—</w:t>
      </w:r>
      <w:r w:rsidR="00376075" w:rsidRPr="00425931">
        <w:t xml:space="preserve">in </w:t>
      </w:r>
      <w:r w:rsidR="00376075">
        <w:t>both the</w:t>
      </w:r>
      <w:r w:rsidR="00376075" w:rsidRPr="00425931">
        <w:t xml:space="preserve"> interview after the citation was issued </w:t>
      </w:r>
      <w:r w:rsidR="00376075">
        <w:t xml:space="preserve">in July 2008, and then </w:t>
      </w:r>
      <w:r w:rsidR="00376075" w:rsidRPr="00425931">
        <w:t xml:space="preserve">again in the </w:t>
      </w:r>
      <w:r w:rsidR="00376075" w:rsidRPr="00425931">
        <w:rPr>
          <w:i/>
        </w:rPr>
        <w:t>September 2010 NAL</w:t>
      </w:r>
      <w:r w:rsidR="00376075">
        <w:rPr>
          <w:i/>
        </w:rPr>
        <w:t>—</w:t>
      </w:r>
      <w:r w:rsidRPr="00425931">
        <w:t xml:space="preserve">that the subject matter of the Presidential Who’s Who faxes </w:t>
      </w:r>
      <w:r>
        <w:t xml:space="preserve">constituted </w:t>
      </w:r>
      <w:r w:rsidRPr="00425931">
        <w:t xml:space="preserve">an advertisement prohibited under the Act and </w:t>
      </w:r>
      <w:r>
        <w:t>the Commission’s</w:t>
      </w:r>
      <w:r w:rsidR="00376075">
        <w:t xml:space="preserve"> rules</w:t>
      </w:r>
      <w:r w:rsidRPr="00D66755">
        <w:t xml:space="preserve">.  </w:t>
      </w:r>
      <w:r w:rsidRPr="00D66755">
        <w:rPr>
          <w:i/>
        </w:rPr>
        <w:t>See supra</w:t>
      </w:r>
      <w:r w:rsidRPr="00D66755">
        <w:t xml:space="preserve"> notes 9, 11;</w:t>
      </w:r>
      <w:r>
        <w:t xml:space="preserve"> </w:t>
      </w:r>
      <w:r w:rsidRPr="00A959D8">
        <w:rPr>
          <w:i/>
        </w:rPr>
        <w:t>see also</w:t>
      </w:r>
      <w:r>
        <w:t xml:space="preserve"> </w:t>
      </w:r>
      <w:r w:rsidRPr="00F33E59">
        <w:rPr>
          <w:i/>
        </w:rPr>
        <w:t>September 2010 NAL</w:t>
      </w:r>
      <w:r>
        <w:rPr>
          <w:i/>
        </w:rPr>
        <w:t>,</w:t>
      </w:r>
      <w:r w:rsidRPr="001A1B65">
        <w:rPr>
          <w:iCs/>
        </w:rPr>
        <w:t xml:space="preserve"> 25 FCC Rcd 13759</w:t>
      </w:r>
      <w:r>
        <w:rPr>
          <w:rFonts w:ascii="Arial" w:hAnsi="Arial" w:cs="Arial"/>
          <w:i/>
          <w:iCs/>
          <w:sz w:val="19"/>
          <w:szCs w:val="19"/>
        </w:rPr>
        <w:t>.</w:t>
      </w:r>
    </w:p>
  </w:footnote>
  <w:footnote w:id="20">
    <w:p w:rsidR="006E273B" w:rsidRDefault="00E01DF8">
      <w:pPr>
        <w:pStyle w:val="FootnoteText"/>
      </w:pPr>
      <w:r>
        <w:rPr>
          <w:rStyle w:val="FootnoteReference"/>
        </w:rPr>
        <w:footnoteRef/>
      </w:r>
      <w:r>
        <w:t xml:space="preserve"> </w:t>
      </w:r>
      <w:r w:rsidR="00931BD0" w:rsidRPr="00DF24EE">
        <w:rPr>
          <w:i/>
        </w:rPr>
        <w:t xml:space="preserve">See </w:t>
      </w:r>
      <w:r w:rsidR="00931BD0" w:rsidRPr="00931BD0">
        <w:t xml:space="preserve">Facsimile </w:t>
      </w:r>
      <w:r w:rsidR="00931BD0" w:rsidRPr="00DF24EE">
        <w:t>from Frank Ciaccio</w:t>
      </w:r>
      <w:r w:rsidR="00931BD0">
        <w:t>, Presidential Who’s Who,</w:t>
      </w:r>
      <w:r w:rsidR="00931BD0" w:rsidRPr="00DF24EE">
        <w:t xml:space="preserve"> to Rosemary Cabral, Staff Attorney, Telecommunications Consumers Division, </w:t>
      </w:r>
      <w:r w:rsidR="00931BD0">
        <w:t xml:space="preserve">FCC </w:t>
      </w:r>
      <w:r w:rsidR="00931BD0" w:rsidRPr="00DF24EE">
        <w:t>Enforcement Bureau</w:t>
      </w:r>
      <w:r w:rsidR="00931BD0">
        <w:t xml:space="preserve"> </w:t>
      </w:r>
      <w:r w:rsidR="00931BD0" w:rsidRPr="00DF24EE">
        <w:t>(</w:t>
      </w:r>
      <w:r w:rsidR="00931BD0">
        <w:t>October 24, 2011</w:t>
      </w:r>
      <w:r w:rsidR="00931BD0" w:rsidRPr="00DF24EE">
        <w:t xml:space="preserve">, </w:t>
      </w:r>
      <w:r w:rsidR="00931BD0">
        <w:t>9</w:t>
      </w:r>
      <w:r w:rsidR="00931BD0" w:rsidRPr="00DF24EE">
        <w:t>:</w:t>
      </w:r>
      <w:r w:rsidR="00931BD0">
        <w:t>56</w:t>
      </w:r>
      <w:r w:rsidR="00931BD0" w:rsidRPr="00DF24EE">
        <w:t xml:space="preserve"> a.m. EDT)</w:t>
      </w:r>
      <w:r w:rsidR="00034A48">
        <w:t>.</w:t>
      </w:r>
      <w:r w:rsidR="00942FE8">
        <w:t xml:space="preserve"> </w:t>
      </w:r>
    </w:p>
  </w:footnote>
  <w:footnote w:id="21">
    <w:p w:rsidR="006E273B" w:rsidRDefault="006B153F" w:rsidP="000004CB">
      <w:pPr>
        <w:pStyle w:val="FootnoteText"/>
      </w:pPr>
      <w:r>
        <w:rPr>
          <w:rStyle w:val="FootnoteReference"/>
        </w:rPr>
        <w:footnoteRef/>
      </w:r>
      <w:r>
        <w:t xml:space="preserve"> 47 U.S.C. § 503(b)(2)(D).  Section 503(b)(2)(D) provides for forfeitures of up to $10,000 for each</w:t>
      </w:r>
      <w:r w:rsidR="00BF454E">
        <w:t xml:space="preserve"> violation</w:t>
      </w:r>
      <w:r>
        <w:t xml:space="preserve"> </w:t>
      </w:r>
      <w:r w:rsidRPr="008612A7">
        <w:t>in cases where the violation does not involve Commission licensee</w:t>
      </w:r>
      <w:r w:rsidR="000004CB">
        <w:t>s</w:t>
      </w:r>
      <w:r w:rsidRPr="008612A7">
        <w:t xml:space="preserve"> or common carriers, among others.  </w:t>
      </w:r>
      <w:r>
        <w:rPr>
          <w:i/>
        </w:rPr>
        <w:t>See</w:t>
      </w:r>
      <w:r>
        <w:t xml:space="preserve"> 47 U.S.C. § 503(b)(2)(C).  In accordance with the inflation adjustment requirements contained in the Debt Collection Improvement Act of 1996, Pub. L. No. 104-134, Sec. 31001, 110 Stat. 1321, </w:t>
      </w:r>
      <w:r w:rsidRPr="00562800">
        <w:t>the Commission increased the maximum statutory forfeiture under Section 503(b)(2)(C) to $16,000.</w:t>
      </w:r>
      <w:r>
        <w:t xml:space="preserve">  </w:t>
      </w:r>
      <w:r>
        <w:rPr>
          <w:i/>
        </w:rPr>
        <w:t>See</w:t>
      </w:r>
      <w:r>
        <w:t xml:space="preserve"> 47 C.F.R. §1.80(b)(7).  </w:t>
      </w:r>
      <w:r>
        <w:rPr>
          <w:i/>
        </w:rPr>
        <w:t>See also Amendment of Section 1.80(b) of the Commission’s Rules, Adjustment of Forfeiture Maxima to Reflect Inflation,</w:t>
      </w:r>
      <w:r>
        <w:t xml:space="preserve"> 23 FCC Rcd 9845 (2008) (amendment of section 1.80(b) to reflect an increase in the maximum forfeiture for this type of violation to $16,000).</w:t>
      </w:r>
    </w:p>
  </w:footnote>
  <w:footnote w:id="22">
    <w:p w:rsidR="006E273B" w:rsidRDefault="006B153F" w:rsidP="005643BB">
      <w:pPr>
        <w:pStyle w:val="FootnoteText"/>
        <w:tabs>
          <w:tab w:val="left" w:pos="8352"/>
        </w:tabs>
      </w:pPr>
      <w:r w:rsidRPr="00885A50">
        <w:rPr>
          <w:rStyle w:val="FootnoteReference"/>
        </w:rPr>
        <w:footnoteRef/>
      </w:r>
      <w:r w:rsidRPr="00885A50">
        <w:t xml:space="preserve"> </w:t>
      </w:r>
      <w:r>
        <w:t xml:space="preserve">47 U.S.C. § 503(b)(2)(E).     </w:t>
      </w:r>
    </w:p>
  </w:footnote>
  <w:footnote w:id="23">
    <w:p w:rsidR="006E273B" w:rsidRDefault="006B153F">
      <w:pPr>
        <w:pStyle w:val="FootnoteText"/>
      </w:pPr>
      <w:r>
        <w:rPr>
          <w:rStyle w:val="FootnoteReference"/>
        </w:rPr>
        <w:footnoteRef/>
      </w:r>
      <w:r>
        <w:t xml:space="preserve"> </w:t>
      </w:r>
      <w:r w:rsidRPr="00E41AB0">
        <w:rPr>
          <w:i/>
        </w:rPr>
        <w:t>See supra</w:t>
      </w:r>
      <w:r w:rsidR="00BB0FE5">
        <w:t xml:space="preserve"> note </w:t>
      </w:r>
      <w:r w:rsidR="00BB0FE5">
        <w:fldChar w:fldCharType="begin"/>
      </w:r>
      <w:r w:rsidR="00BB0FE5">
        <w:instrText xml:space="preserve"> NOTEREF _Ref383007941 \h </w:instrText>
      </w:r>
      <w:r w:rsidR="00BB0FE5">
        <w:fldChar w:fldCharType="separate"/>
      </w:r>
      <w:r w:rsidR="000A0EFD">
        <w:t>18</w:t>
      </w:r>
      <w:r w:rsidR="00BB0FE5">
        <w:fldChar w:fldCharType="end"/>
      </w:r>
      <w:r>
        <w:t xml:space="preserve">.  </w:t>
      </w:r>
    </w:p>
  </w:footnote>
  <w:footnote w:id="24">
    <w:p w:rsidR="006E273B" w:rsidRDefault="006B153F">
      <w:pPr>
        <w:pStyle w:val="FootnoteText"/>
      </w:pPr>
      <w:r w:rsidRPr="003D7721">
        <w:rPr>
          <w:rStyle w:val="FootnoteReference"/>
        </w:rPr>
        <w:footnoteRef/>
      </w:r>
      <w:r w:rsidRPr="003D7721">
        <w:t xml:space="preserve"> </w:t>
      </w:r>
      <w:r w:rsidRPr="003D7721">
        <w:rPr>
          <w:i/>
        </w:rPr>
        <w:t>See supra</w:t>
      </w:r>
      <w:r w:rsidR="00BB0FE5">
        <w:t xml:space="preserve"> note </w:t>
      </w:r>
      <w:r w:rsidR="00BB0FE5">
        <w:fldChar w:fldCharType="begin"/>
      </w:r>
      <w:r w:rsidR="00BB0FE5">
        <w:instrText xml:space="preserve"> NOTEREF _Ref383007982 \h </w:instrText>
      </w:r>
      <w:r w:rsidR="00BB0FE5">
        <w:fldChar w:fldCharType="separate"/>
      </w:r>
      <w:r w:rsidR="000A0EFD">
        <w:t>14</w:t>
      </w:r>
      <w:r w:rsidR="00BB0FE5">
        <w:fldChar w:fldCharType="end"/>
      </w:r>
      <w:r w:rsidRPr="003D7721">
        <w:t xml:space="preserve">.  </w:t>
      </w:r>
    </w:p>
  </w:footnote>
  <w:footnote w:id="25">
    <w:p w:rsidR="006E273B" w:rsidRDefault="006B153F">
      <w:pPr>
        <w:pStyle w:val="FootnoteText"/>
      </w:pPr>
      <w:r>
        <w:rPr>
          <w:rStyle w:val="FootnoteReference"/>
        </w:rPr>
        <w:footnoteRef/>
      </w:r>
      <w:r>
        <w:t xml:space="preserve"> </w:t>
      </w:r>
      <w:r w:rsidRPr="00E41AB0">
        <w:rPr>
          <w:i/>
        </w:rPr>
        <w:t>See supra</w:t>
      </w:r>
      <w:r w:rsidR="00BB0FE5">
        <w:t xml:space="preserve"> note </w:t>
      </w:r>
      <w:r w:rsidR="00BB0FE5">
        <w:fldChar w:fldCharType="begin"/>
      </w:r>
      <w:r w:rsidR="00BB0FE5">
        <w:instrText xml:space="preserve"> NOTEREF _Ref383007996 \h </w:instrText>
      </w:r>
      <w:r w:rsidR="00BB0FE5">
        <w:fldChar w:fldCharType="separate"/>
      </w:r>
      <w:r w:rsidR="000A0EFD">
        <w:t>19</w:t>
      </w:r>
      <w:r w:rsidR="00BB0FE5">
        <w:fldChar w:fldCharType="end"/>
      </w:r>
      <w:r>
        <w:t xml:space="preserve">.  During the August 17, 2011 interview, Mr. Ciaccio </w:t>
      </w:r>
      <w:r w:rsidRPr="00206D8B">
        <w:t>indicated that the company was unable to pay the proposed forfeiture amounts.</w:t>
      </w:r>
      <w:r>
        <w:t xml:space="preserve"> </w:t>
      </w:r>
    </w:p>
  </w:footnote>
  <w:footnote w:id="26">
    <w:p w:rsidR="006E273B" w:rsidRDefault="006B153F" w:rsidP="00125562">
      <w:pPr>
        <w:pStyle w:val="FootnoteText"/>
      </w:pPr>
      <w:r>
        <w:rPr>
          <w:rStyle w:val="FootnoteReference"/>
        </w:rPr>
        <w:footnoteRef/>
      </w:r>
      <w:r>
        <w:t xml:space="preserve"> </w:t>
      </w:r>
      <w:r w:rsidRPr="005C2E31">
        <w:rPr>
          <w:i/>
        </w:rPr>
        <w:t>Rules and Regulations Implementing the Telephone Consumer Protection Act of 1991, Junk Fax Prevention Act</w:t>
      </w:r>
      <w:r>
        <w:t xml:space="preserve">, Report &amp; Order &amp; Third Order on Reconsideration, 21 FCC Rcd 3787 at 3814 (2006) </w:t>
      </w:r>
      <w:r w:rsidRPr="00D66755">
        <w:t>(</w:t>
      </w:r>
      <w:r w:rsidRPr="00D66755">
        <w:rPr>
          <w:i/>
        </w:rPr>
        <w:t>Junk Fax Prevention Act R&amp;O</w:t>
      </w:r>
      <w:r w:rsidRPr="00D66755">
        <w:t>).</w:t>
      </w:r>
      <w:r>
        <w:t xml:space="preserve">   </w:t>
      </w:r>
    </w:p>
  </w:footnote>
  <w:footnote w:id="27">
    <w:p w:rsidR="006E273B" w:rsidRDefault="006B153F" w:rsidP="00D267D8">
      <w:pPr>
        <w:pStyle w:val="FootnoteText"/>
      </w:pPr>
      <w:r>
        <w:rPr>
          <w:rStyle w:val="FootnoteReference"/>
        </w:rPr>
        <w:footnoteRef/>
      </w:r>
      <w:r>
        <w:t xml:space="preserve"> </w:t>
      </w:r>
      <w:r w:rsidRPr="00117F96">
        <w:rPr>
          <w:i/>
        </w:rPr>
        <w:t>See supra</w:t>
      </w:r>
      <w:r>
        <w:t xml:space="preserve"> note</w:t>
      </w:r>
      <w:r w:rsidR="00BB0FE5">
        <w:t xml:space="preserve"> </w:t>
      </w:r>
      <w:r w:rsidR="00BB0FE5">
        <w:fldChar w:fldCharType="begin"/>
      </w:r>
      <w:r w:rsidR="00BB0FE5">
        <w:instrText xml:space="preserve"> NOTEREF _Ref325468533 \h </w:instrText>
      </w:r>
      <w:r w:rsidR="00BB0FE5">
        <w:fldChar w:fldCharType="separate"/>
      </w:r>
      <w:r w:rsidR="000A0EFD">
        <w:t>9</w:t>
      </w:r>
      <w:r w:rsidR="00BB0FE5">
        <w:fldChar w:fldCharType="end"/>
      </w:r>
      <w:r>
        <w:t xml:space="preserve">.  </w:t>
      </w:r>
    </w:p>
  </w:footnote>
  <w:footnote w:id="28">
    <w:p w:rsidR="006E273B" w:rsidRDefault="006B153F" w:rsidP="00473129">
      <w:pPr>
        <w:spacing w:after="120"/>
      </w:pPr>
      <w:r>
        <w:rPr>
          <w:rStyle w:val="FootnoteReference"/>
        </w:rPr>
        <w:footnoteRef/>
      </w:r>
      <w:r>
        <w:t xml:space="preserve"> </w:t>
      </w:r>
      <w:r w:rsidRPr="005C775B">
        <w:rPr>
          <w:i/>
          <w:sz w:val="20"/>
        </w:rPr>
        <w:t>Start Wireless Group, Inc. D/B/A Page Plus Cellular</w:t>
      </w:r>
      <w:r w:rsidRPr="005C775B">
        <w:rPr>
          <w:sz w:val="20"/>
        </w:rPr>
        <w:t>, 27 FCC Rcd 350, 354 (Enf.</w:t>
      </w:r>
      <w:r>
        <w:rPr>
          <w:sz w:val="20"/>
        </w:rPr>
        <w:t xml:space="preserve"> </w:t>
      </w:r>
      <w:r w:rsidRPr="005C775B">
        <w:rPr>
          <w:sz w:val="20"/>
        </w:rPr>
        <w:t xml:space="preserve">Bur. 2012) (although violator </w:t>
      </w:r>
      <w:r w:rsidRPr="005C775B">
        <w:rPr>
          <w:kern w:val="0"/>
          <w:sz w:val="20"/>
        </w:rPr>
        <w:t xml:space="preserve">claimed that it was “completely unaware” of its obligation to comply with </w:t>
      </w:r>
      <w:r>
        <w:rPr>
          <w:kern w:val="0"/>
          <w:sz w:val="20"/>
        </w:rPr>
        <w:t>the</w:t>
      </w:r>
      <w:r w:rsidRPr="005C775B">
        <w:rPr>
          <w:kern w:val="0"/>
          <w:sz w:val="20"/>
        </w:rPr>
        <w:t xml:space="preserve"> rules, ignoran</w:t>
      </w:r>
      <w:r>
        <w:rPr>
          <w:kern w:val="0"/>
          <w:sz w:val="20"/>
        </w:rPr>
        <w:t>ce of the Act or the Commission’</w:t>
      </w:r>
      <w:r w:rsidRPr="005C775B">
        <w:rPr>
          <w:kern w:val="0"/>
          <w:sz w:val="20"/>
        </w:rPr>
        <w:t>s rules does not exonerate, excuse, or mitigate violations).</w:t>
      </w:r>
      <w:r>
        <w:rPr>
          <w:kern w:val="0"/>
          <w:sz w:val="20"/>
        </w:rPr>
        <w:t xml:space="preserve">  Longstanding Commission precedent supports the proposition that i</w:t>
      </w:r>
      <w:r w:rsidRPr="005C775B">
        <w:rPr>
          <w:kern w:val="0"/>
          <w:sz w:val="20"/>
        </w:rPr>
        <w:t>gnorance of the law is not a defense or mitigating circumstance.</w:t>
      </w:r>
      <w:r w:rsidRPr="005C775B">
        <w:rPr>
          <w:i/>
          <w:kern w:val="0"/>
          <w:sz w:val="20"/>
        </w:rPr>
        <w:t xml:space="preserve">  See</w:t>
      </w:r>
      <w:r w:rsidRPr="005C775B">
        <w:rPr>
          <w:sz w:val="20"/>
        </w:rPr>
        <w:t xml:space="preserve"> </w:t>
      </w:r>
      <w:bookmarkStart w:id="8" w:name="SR;2191"/>
      <w:bookmarkStart w:id="9" w:name="SearchTerm"/>
      <w:bookmarkEnd w:id="8"/>
      <w:bookmarkEnd w:id="9"/>
      <w:r w:rsidRPr="005D2DD7">
        <w:rPr>
          <w:i/>
          <w:kern w:val="0"/>
          <w:sz w:val="20"/>
        </w:rPr>
        <w:t>Dynasty Mortgage, LLC</w:t>
      </w:r>
      <w:r w:rsidRPr="005D2DD7">
        <w:rPr>
          <w:kern w:val="0"/>
          <w:sz w:val="20"/>
        </w:rPr>
        <w:t>, 20 FCC</w:t>
      </w:r>
      <w:r>
        <w:rPr>
          <w:kern w:val="0"/>
          <w:sz w:val="20"/>
        </w:rPr>
        <w:t xml:space="preserve"> </w:t>
      </w:r>
      <w:r w:rsidRPr="005D2DD7">
        <w:rPr>
          <w:kern w:val="0"/>
          <w:sz w:val="20"/>
        </w:rPr>
        <w:t>R</w:t>
      </w:r>
      <w:r>
        <w:rPr>
          <w:kern w:val="0"/>
          <w:sz w:val="20"/>
        </w:rPr>
        <w:t>cd</w:t>
      </w:r>
      <w:r w:rsidRPr="005D2DD7">
        <w:rPr>
          <w:kern w:val="0"/>
          <w:sz w:val="20"/>
        </w:rPr>
        <w:t xml:space="preserve"> 4921, 4929</w:t>
      </w:r>
      <w:r>
        <w:rPr>
          <w:kern w:val="0"/>
          <w:sz w:val="20"/>
        </w:rPr>
        <w:t xml:space="preserve"> (2005) (</w:t>
      </w:r>
      <w:r w:rsidRPr="005D2DD7">
        <w:rPr>
          <w:kern w:val="0"/>
          <w:sz w:val="20"/>
        </w:rPr>
        <w:t xml:space="preserve">citing </w:t>
      </w:r>
      <w:hyperlink r:id="rId1" w:history="1">
        <w:r w:rsidRPr="00801213">
          <w:rPr>
            <w:rStyle w:val="Hyperlink"/>
            <w:i/>
            <w:iCs/>
            <w:color w:val="auto"/>
            <w:sz w:val="20"/>
            <w:u w:val="none"/>
          </w:rPr>
          <w:t>Southern California Broadcasting Co.</w:t>
        </w:r>
        <w:r w:rsidRPr="00801213">
          <w:rPr>
            <w:rStyle w:val="Hyperlink"/>
            <w:color w:val="auto"/>
            <w:sz w:val="20"/>
            <w:u w:val="none"/>
          </w:rPr>
          <w:t>, 6 FCC Rcd 4387, 4388 (1991)</w:t>
        </w:r>
      </w:hyperlink>
      <w:r>
        <w:rPr>
          <w:sz w:val="20"/>
        </w:rPr>
        <w:t>,</w:t>
      </w:r>
      <w:r w:rsidRPr="00801213">
        <w:rPr>
          <w:sz w:val="20"/>
        </w:rPr>
        <w:t xml:space="preserve"> </w:t>
      </w:r>
      <w:r w:rsidRPr="00801213">
        <w:rPr>
          <w:i/>
          <w:iCs/>
          <w:sz w:val="20"/>
        </w:rPr>
        <w:t>recon. denied,</w:t>
      </w:r>
      <w:r w:rsidRPr="00801213">
        <w:rPr>
          <w:sz w:val="20"/>
        </w:rPr>
        <w:t xml:space="preserve"> </w:t>
      </w:r>
      <w:hyperlink r:id="rId2" w:history="1">
        <w:r w:rsidRPr="00801213">
          <w:rPr>
            <w:rStyle w:val="Hyperlink"/>
            <w:color w:val="auto"/>
            <w:sz w:val="20"/>
            <w:u w:val="none"/>
          </w:rPr>
          <w:t>7 FCC Rcd 3454 (1992)</w:t>
        </w:r>
      </w:hyperlink>
      <w:r>
        <w:rPr>
          <w:sz w:val="20"/>
        </w:rPr>
        <w:t xml:space="preserve">). </w:t>
      </w:r>
      <w:r w:rsidRPr="00A42019">
        <w:rPr>
          <w:i/>
          <w:kern w:val="0"/>
          <w:sz w:val="20"/>
        </w:rPr>
        <w:t xml:space="preserve"> </w:t>
      </w:r>
    </w:p>
  </w:footnote>
  <w:footnote w:id="29">
    <w:p w:rsidR="006E273B" w:rsidRDefault="006B153F" w:rsidP="00DA3658">
      <w:pPr>
        <w:pStyle w:val="FootnoteText"/>
      </w:pPr>
      <w:r>
        <w:rPr>
          <w:rStyle w:val="FootnoteReference"/>
        </w:rPr>
        <w:footnoteRef/>
      </w:r>
      <w:r>
        <w:t xml:space="preserve"> 47 C.F.R. § 64.1200(a)(4)(i). </w:t>
      </w:r>
      <w:r w:rsidR="005B6132">
        <w:t xml:space="preserve"> An</w:t>
      </w:r>
      <w:r w:rsidR="005B6132" w:rsidRPr="005B6132">
        <w:t xml:space="preserve"> </w:t>
      </w:r>
      <w:r w:rsidR="005B6132">
        <w:t xml:space="preserve">EBR is an established business relationship.  </w:t>
      </w:r>
      <w:r w:rsidR="005B6132">
        <w:rPr>
          <w:i/>
        </w:rPr>
        <w:t>See</w:t>
      </w:r>
      <w:r w:rsidR="005B6132">
        <w:t xml:space="preserve"> </w:t>
      </w:r>
      <w:r w:rsidR="005B6132">
        <w:rPr>
          <w:i/>
        </w:rPr>
        <w:t>supra</w:t>
      </w:r>
      <w:r w:rsidR="00BB0FE5">
        <w:t xml:space="preserve"> note </w:t>
      </w:r>
      <w:r w:rsidR="00BB0FE5">
        <w:fldChar w:fldCharType="begin"/>
      </w:r>
      <w:r w:rsidR="00BB0FE5">
        <w:instrText xml:space="preserve"> NOTEREF _Ref383007774 \h </w:instrText>
      </w:r>
      <w:r w:rsidR="00BB0FE5">
        <w:fldChar w:fldCharType="separate"/>
      </w:r>
      <w:r w:rsidR="000A0EFD">
        <w:t>3</w:t>
      </w:r>
      <w:r w:rsidR="00BB0FE5">
        <w:fldChar w:fldCharType="end"/>
      </w:r>
      <w:r w:rsidR="005B6132">
        <w:t xml:space="preserve">; 47 C.F.R. § 64.1200(f)(6).  </w:t>
      </w:r>
    </w:p>
  </w:footnote>
  <w:footnote w:id="30">
    <w:p w:rsidR="006E273B" w:rsidRDefault="006B153F" w:rsidP="00DA3658">
      <w:pPr>
        <w:pStyle w:val="FootnoteText"/>
      </w:pPr>
      <w:r w:rsidRPr="00501AB4">
        <w:rPr>
          <w:rStyle w:val="FootnoteReference"/>
        </w:rPr>
        <w:footnoteRef/>
      </w:r>
      <w:r w:rsidRPr="00501AB4">
        <w:t xml:space="preserve"> </w:t>
      </w:r>
      <w:r>
        <w:rPr>
          <w:i/>
        </w:rPr>
        <w:t>Junk Fax Prevention Act R&amp;O</w:t>
      </w:r>
      <w:r>
        <w:t>, 21 FCC Rcd at 3797</w:t>
      </w:r>
      <w:r>
        <w:rPr>
          <w:color w:val="000000"/>
        </w:rPr>
        <w:t>.</w:t>
      </w:r>
    </w:p>
  </w:footnote>
  <w:footnote w:id="31">
    <w:p w:rsidR="00E9202A" w:rsidRDefault="00E9202A" w:rsidP="00E9202A">
      <w:pPr>
        <w:pStyle w:val="FootnoteText"/>
      </w:pPr>
      <w:r>
        <w:rPr>
          <w:rStyle w:val="FootnoteReference"/>
        </w:rPr>
        <w:footnoteRef/>
      </w:r>
      <w:r>
        <w:t xml:space="preserve"> </w:t>
      </w:r>
      <w:r w:rsidRPr="00E72F5B">
        <w:rPr>
          <w:i/>
        </w:rPr>
        <w:t>See, e.g., Alpha Ambulance, Inc,</w:t>
      </w:r>
      <w:r w:rsidRPr="00EB0F23">
        <w:t>.</w:t>
      </w:r>
      <w:r w:rsidRPr="00E72F5B">
        <w:t xml:space="preserve"> 19 FCC Rcd 2547, 2548-49 ¶ 5 (2004</w:t>
      </w:r>
      <w:r w:rsidRPr="00EB0F23">
        <w:rPr>
          <w:i/>
        </w:rPr>
        <w:t xml:space="preserve">); </w:t>
      </w:r>
      <w:r w:rsidRPr="00E72F5B">
        <w:rPr>
          <w:i/>
        </w:rPr>
        <w:t>Long Distance Direct, Inc</w:t>
      </w:r>
      <w:r w:rsidRPr="00EB0F23">
        <w:rPr>
          <w:i/>
        </w:rPr>
        <w:t>.</w:t>
      </w:r>
      <w:r w:rsidRPr="00E72F5B">
        <w:t xml:space="preserve"> 15 FCC Rcd 3297, 3305 (2000</w:t>
      </w:r>
      <w:r w:rsidRPr="00EB0F23">
        <w:rPr>
          <w:i/>
        </w:rPr>
        <w:t xml:space="preserve">); </w:t>
      </w:r>
      <w:r w:rsidRPr="00E72F5B">
        <w:rPr>
          <w:i/>
        </w:rPr>
        <w:t>PJB Communications of Virginia, Inc</w:t>
      </w:r>
      <w:r w:rsidRPr="00EB0F23">
        <w:t xml:space="preserve">., </w:t>
      </w:r>
      <w:r w:rsidRPr="00E72F5B">
        <w:t xml:space="preserve">7 FCC Rcd 2088, 2089 ¶ 8 (1992); </w:t>
      </w:r>
      <w:r w:rsidRPr="00E72F5B">
        <w:rPr>
          <w:i/>
        </w:rPr>
        <w:t xml:space="preserve">see also </w:t>
      </w:r>
      <w:r w:rsidR="007409FE">
        <w:rPr>
          <w:i/>
        </w:rPr>
        <w:t xml:space="preserve">Commission’s </w:t>
      </w:r>
      <w:r w:rsidRPr="00E72F5B">
        <w:rPr>
          <w:i/>
        </w:rPr>
        <w:t>Forfeiture Policy Statement</w:t>
      </w:r>
      <w:r w:rsidR="007409FE">
        <w:rPr>
          <w:i/>
        </w:rPr>
        <w:t xml:space="preserve"> and Amendment of Section 1.80 of the Rules to Incorporate the Forfeiture Guidelines, Report and Order</w:t>
      </w:r>
      <w:r w:rsidRPr="00E72F5B">
        <w:t xml:space="preserve">, 12 FCC Rcd </w:t>
      </w:r>
      <w:r w:rsidR="00B96941">
        <w:t>17087,</w:t>
      </w:r>
      <w:r w:rsidRPr="00E72F5B">
        <w:t xml:space="preserve"> 17106-07 ¶ 43</w:t>
      </w:r>
      <w:r w:rsidR="00B96941">
        <w:t xml:space="preserve"> (1997)</w:t>
      </w:r>
      <w:r w:rsidRPr="00E72F5B">
        <w:t>.</w:t>
      </w:r>
      <w:r w:rsidRPr="00E9202A">
        <w:t xml:space="preserve">  </w:t>
      </w:r>
    </w:p>
  </w:footnote>
  <w:footnote w:id="32">
    <w:p w:rsidR="00E9202A" w:rsidRDefault="00E9202A" w:rsidP="00E9202A">
      <w:pPr>
        <w:pStyle w:val="FootnoteText"/>
      </w:pPr>
      <w:r>
        <w:rPr>
          <w:rStyle w:val="FootnoteReference"/>
        </w:rPr>
        <w:footnoteRef/>
      </w:r>
      <w:r>
        <w:t xml:space="preserve"> </w:t>
      </w:r>
      <w:r w:rsidRPr="00DF2E4A">
        <w:rPr>
          <w:i/>
        </w:rPr>
        <w:t xml:space="preserve">See, </w:t>
      </w:r>
      <w:r w:rsidR="008F0808" w:rsidRPr="00DF2E4A">
        <w:rPr>
          <w:i/>
        </w:rPr>
        <w:t>e.g.</w:t>
      </w:r>
      <w:r w:rsidRPr="00DF2E4A">
        <w:rPr>
          <w:i/>
        </w:rPr>
        <w:t>, June 201</w:t>
      </w:r>
      <w:r>
        <w:rPr>
          <w:i/>
        </w:rPr>
        <w:t>1</w:t>
      </w:r>
      <w:r w:rsidRPr="00DF2E4A">
        <w:rPr>
          <w:i/>
        </w:rPr>
        <w:t xml:space="preserve"> NAL</w:t>
      </w:r>
      <w:r>
        <w:t xml:space="preserve">, 26 FCC Rcd at 8996.  </w:t>
      </w:r>
    </w:p>
  </w:footnote>
  <w:footnote w:id="33">
    <w:p w:rsidR="00181D61" w:rsidRDefault="00181D61">
      <w:pPr>
        <w:pStyle w:val="FootnoteText"/>
      </w:pPr>
      <w:r>
        <w:rPr>
          <w:rStyle w:val="FootnoteReference"/>
        </w:rPr>
        <w:footnoteRef/>
      </w:r>
      <w:r>
        <w:t xml:space="preserve"> </w:t>
      </w:r>
      <w:r w:rsidR="008B217D">
        <w:t>Westlaw</w:t>
      </w:r>
      <w:r w:rsidR="00CF775B">
        <w:t xml:space="preserve"> C</w:t>
      </w:r>
      <w:r w:rsidR="00E8587F">
        <w:t>orporate Records &amp; Business Registrations database, 2014 Westlaw Record ID</w:t>
      </w:r>
      <w:r w:rsidR="00CF775B" w:rsidRPr="002A6369">
        <w:t xml:space="preserve"> 3496939</w:t>
      </w:r>
      <w:r w:rsidR="00E8587F">
        <w:t xml:space="preserve">, </w:t>
      </w:r>
      <w:r w:rsidR="00E8587F" w:rsidRPr="00E8587F">
        <w:rPr>
          <w:i/>
        </w:rPr>
        <w:t>available at</w:t>
      </w:r>
      <w:r w:rsidR="00E8587F">
        <w:t xml:space="preserve"> </w:t>
      </w:r>
      <w:r w:rsidR="00E8587F" w:rsidRPr="00697B43">
        <w:t>http://www.westlaw.com</w:t>
      </w:r>
      <w:r w:rsidR="00E8587F">
        <w:t xml:space="preserve"> </w:t>
      </w:r>
      <w:r w:rsidR="008B217D">
        <w:t>(</w:t>
      </w:r>
      <w:r w:rsidR="00E8587F">
        <w:t xml:space="preserve">last </w:t>
      </w:r>
      <w:r w:rsidR="008B217D">
        <w:t xml:space="preserve">visited </w:t>
      </w:r>
      <w:r w:rsidR="00E42AAC">
        <w:t>Mar</w:t>
      </w:r>
      <w:r w:rsidR="008B217D">
        <w:t xml:space="preserve">. </w:t>
      </w:r>
      <w:r w:rsidR="00E42AAC">
        <w:t>19</w:t>
      </w:r>
      <w:r w:rsidR="008B217D">
        <w:t>, 2014)</w:t>
      </w:r>
      <w:r w:rsidR="002A6369">
        <w:t>.</w:t>
      </w:r>
    </w:p>
  </w:footnote>
  <w:footnote w:id="34">
    <w:p w:rsidR="00181D61" w:rsidRDefault="00181D61">
      <w:pPr>
        <w:pStyle w:val="FootnoteText"/>
      </w:pPr>
      <w:r>
        <w:rPr>
          <w:rStyle w:val="FootnoteReference"/>
        </w:rPr>
        <w:footnoteRef/>
      </w:r>
      <w:r>
        <w:t xml:space="preserve"> Westlaw</w:t>
      </w:r>
      <w:r w:rsidR="00E8587F">
        <w:t xml:space="preserve"> </w:t>
      </w:r>
      <w:r>
        <w:t>Business Profile Record</w:t>
      </w:r>
      <w:r w:rsidR="00E8587F">
        <w:t xml:space="preserve">, </w:t>
      </w:r>
      <w:r w:rsidR="007409FE" w:rsidRPr="007409FE">
        <w:rPr>
          <w:i/>
        </w:rPr>
        <w:t>available at</w:t>
      </w:r>
      <w:r w:rsidR="007409FE" w:rsidRPr="007409FE">
        <w:t xml:space="preserve"> </w:t>
      </w:r>
      <w:r w:rsidR="007409FE" w:rsidRPr="00697B43">
        <w:t>http://www.westlaw.com</w:t>
      </w:r>
      <w:r w:rsidR="007409FE">
        <w:t xml:space="preserve"> </w:t>
      </w:r>
      <w:r w:rsidR="007409FE" w:rsidRPr="007409FE">
        <w:t xml:space="preserve">(last visited </w:t>
      </w:r>
      <w:r w:rsidR="00E42AAC">
        <w:t>Mar</w:t>
      </w:r>
      <w:r w:rsidR="007409FE" w:rsidRPr="007409FE">
        <w:t xml:space="preserve">. </w:t>
      </w:r>
      <w:r w:rsidR="00E42AAC">
        <w:t>19</w:t>
      </w:r>
      <w:r w:rsidR="007409FE" w:rsidRPr="007409FE">
        <w:t>, 2014)</w:t>
      </w:r>
      <w:r w:rsidR="007409FE">
        <w:t xml:space="preserve">, Westlaw Business Profile reports sales of more than $6 million in 2012 for </w:t>
      </w:r>
      <w:r>
        <w:t>Presidential Who’s Who</w:t>
      </w:r>
      <w:r w:rsidR="0052558F">
        <w:t>’s Merrick Road address</w:t>
      </w:r>
      <w:r>
        <w:t xml:space="preserve">.  </w:t>
      </w:r>
    </w:p>
  </w:footnote>
  <w:footnote w:id="35">
    <w:p w:rsidR="00E108A9" w:rsidRDefault="00E108A9" w:rsidP="00E108A9">
      <w:pPr>
        <w:pStyle w:val="FootnoteText"/>
        <w:tabs>
          <w:tab w:val="left" w:pos="8352"/>
        </w:tabs>
      </w:pPr>
      <w:r w:rsidRPr="00885A50">
        <w:rPr>
          <w:rStyle w:val="FootnoteReference"/>
        </w:rPr>
        <w:footnoteRef/>
      </w:r>
      <w:r w:rsidRPr="00885A50">
        <w:t xml:space="preserve"> </w:t>
      </w:r>
      <w:r>
        <w:t xml:space="preserve">47 U.S.C. § 503(b)(2)(E).     </w:t>
      </w:r>
    </w:p>
  </w:footnote>
  <w:footnote w:id="36">
    <w:p w:rsidR="006E273B" w:rsidRDefault="006B153F" w:rsidP="007124E8">
      <w:pPr>
        <w:pStyle w:val="FootnoteText"/>
      </w:pPr>
      <w:r>
        <w:rPr>
          <w:rStyle w:val="FootnoteReference"/>
        </w:rPr>
        <w:footnoteRef/>
      </w:r>
      <w:r>
        <w:t xml:space="preserve"> 47 C.F.R. § 1.80.</w:t>
      </w:r>
    </w:p>
  </w:footnote>
  <w:footnote w:id="37">
    <w:p w:rsidR="006E273B" w:rsidRDefault="006B153F" w:rsidP="007124E8">
      <w:pPr>
        <w:pStyle w:val="FootnoteText"/>
      </w:pPr>
      <w:r>
        <w:rPr>
          <w:rStyle w:val="FootnoteReference"/>
        </w:rPr>
        <w:footnoteRef/>
      </w:r>
      <w:r>
        <w:t xml:space="preserve"> 47 U.S.C. § 504(a).</w:t>
      </w:r>
    </w:p>
  </w:footnote>
  <w:footnote w:id="38">
    <w:p w:rsidR="006E273B" w:rsidRDefault="006B153F" w:rsidP="007124E8">
      <w:pPr>
        <w:pStyle w:val="FootnoteText"/>
      </w:pPr>
      <w:r>
        <w:rPr>
          <w:rStyle w:val="FootnoteReference"/>
        </w:rPr>
        <w:footnoteRef/>
      </w:r>
      <w:r>
        <w:t xml:space="preserve"> </w:t>
      </w:r>
      <w:r w:rsidRPr="00626BA2">
        <w:rPr>
          <w:rFonts w:eastAsia="MS Mincho" w:cs="Arial"/>
        </w:rPr>
        <w:t>FCC Form 159 </w:t>
      </w:r>
      <w:r>
        <w:rPr>
          <w:rFonts w:eastAsia="MS Mincho" w:cs="Arial"/>
        </w:rPr>
        <w:t>and</w:t>
      </w:r>
      <w:r w:rsidRPr="00626BA2">
        <w:rPr>
          <w:rFonts w:eastAsia="MS Mincho" w:cs="Arial"/>
        </w:rPr>
        <w:t> </w:t>
      </w:r>
      <w:r>
        <w:rPr>
          <w:rFonts w:eastAsia="MS Mincho" w:cs="Arial"/>
        </w:rPr>
        <w:t xml:space="preserve">detailed </w:t>
      </w:r>
      <w:r w:rsidRPr="00626BA2">
        <w:rPr>
          <w:rFonts w:eastAsia="MS Mincho" w:cs="Arial"/>
        </w:rPr>
        <w:t>instructions for completing the form may be obtained at http://www.fcc.gov/Forms/Form159/159.pdf.</w:t>
      </w:r>
    </w:p>
  </w:footnote>
  <w:footnote w:id="39">
    <w:p w:rsidR="006E273B" w:rsidRDefault="006B153F" w:rsidP="007124E8">
      <w:pPr>
        <w:pStyle w:val="FootnoteText"/>
      </w:pPr>
      <w:r>
        <w:rPr>
          <w:rStyle w:val="FootnoteReference"/>
        </w:rPr>
        <w:footnoteRef/>
      </w:r>
      <w:r>
        <w:t xml:space="preserve"> </w:t>
      </w:r>
      <w:r w:rsidRPr="00D70F1F">
        <w:rPr>
          <w:i/>
        </w:rPr>
        <w:t>See</w:t>
      </w:r>
      <w: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E82" w:rsidRDefault="00C12E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550" w:rsidRPr="00D47997" w:rsidRDefault="00754550" w:rsidP="00754550">
    <w:pPr>
      <w:pStyle w:val="Header"/>
    </w:pPr>
    <w:r w:rsidRPr="00D47997">
      <w:rPr>
        <w:noProof/>
      </w:rPr>
      <mc:AlternateContent>
        <mc:Choice Requires="wps">
          <w:drawing>
            <wp:anchor distT="0" distB="0" distL="114300" distR="114300" simplePos="0" relativeHeight="251661312" behindDoc="1" locked="0" layoutInCell="0" allowOverlap="1" wp14:anchorId="0EE262AA" wp14:editId="1DEFC86F">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D47997">
      <w:tab/>
      <w:t>Federal Communications Commission</w:t>
    </w:r>
    <w:r w:rsidRPr="00D47997">
      <w:tab/>
      <w:t>FCC 14-34</w:t>
    </w:r>
  </w:p>
  <w:p w:rsidR="006B153F" w:rsidRPr="00D47997" w:rsidRDefault="006B153F" w:rsidP="007545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550" w:rsidRPr="00D47997" w:rsidRDefault="00754550" w:rsidP="00754550">
    <w:pPr>
      <w:pStyle w:val="Header"/>
    </w:pPr>
    <w:r w:rsidRPr="00D47997">
      <w:rPr>
        <w:noProof/>
      </w:rPr>
      <mc:AlternateContent>
        <mc:Choice Requires="wps">
          <w:drawing>
            <wp:anchor distT="0" distB="0" distL="114300" distR="114300" simplePos="0" relativeHeight="251659264" behindDoc="1" locked="0" layoutInCell="0" allowOverlap="1" wp14:anchorId="27497225" wp14:editId="47ACB5A8">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Pr="00D47997">
      <w:tab/>
      <w:t>Federal Communications Commission</w:t>
    </w:r>
    <w:r w:rsidRPr="00D47997">
      <w:tab/>
      <w:t>FCC 14-34</w:t>
    </w:r>
  </w:p>
  <w:p w:rsidR="006B153F" w:rsidRPr="00D47997" w:rsidRDefault="006B153F" w:rsidP="007545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4453DFB"/>
    <w:multiLevelType w:val="multilevel"/>
    <w:tmpl w:val="0D8AE0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2A264BC"/>
    <w:multiLevelType w:val="hybridMultilevel"/>
    <w:tmpl w:val="4622E4A8"/>
    <w:lvl w:ilvl="0" w:tplc="ABA43370">
      <w:start w:val="5"/>
      <w:numFmt w:val="decimal"/>
      <w:lvlText w:val="%1."/>
      <w:lvlJc w:val="left"/>
      <w:pPr>
        <w:tabs>
          <w:tab w:val="num" w:pos="1440"/>
        </w:tabs>
        <w:ind w:left="1440" w:hanging="720"/>
      </w:pPr>
      <w:rPr>
        <w:rFonts w:cs="Times New Roman" w:hint="default"/>
      </w:rPr>
    </w:lvl>
    <w:lvl w:ilvl="1" w:tplc="43429F42"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541F6B38"/>
    <w:multiLevelType w:val="multilevel"/>
    <w:tmpl w:val="D892E404"/>
    <w:lvl w:ilvl="0">
      <w:start w:val="1"/>
      <w:numFmt w:val="upperRoman"/>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76FA2B00"/>
    <w:multiLevelType w:val="multilevel"/>
    <w:tmpl w:val="66C40B3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num w:numId="1">
    <w:abstractNumId w:val="2"/>
  </w:num>
  <w:num w:numId="2">
    <w:abstractNumId w:val="9"/>
  </w:num>
  <w:num w:numId="3">
    <w:abstractNumId w:val="8"/>
  </w:num>
  <w:num w:numId="4">
    <w:abstractNumId w:val="5"/>
  </w:num>
  <w:num w:numId="5">
    <w:abstractNumId w:val="1"/>
  </w:num>
  <w:num w:numId="6">
    <w:abstractNumId w:val="9"/>
    <w:lvlOverride w:ilvl="0">
      <w:startOverride w:val="1"/>
    </w:lvlOverride>
  </w:num>
  <w:num w:numId="7">
    <w:abstractNumId w:val="9"/>
  </w:num>
  <w:num w:numId="8">
    <w:abstractNumId w:val="9"/>
  </w:num>
  <w:num w:numId="9">
    <w:abstractNumId w:val="9"/>
  </w:num>
  <w:num w:numId="10">
    <w:abstractNumId w:val="9"/>
  </w:num>
  <w:num w:numId="11">
    <w:abstractNumId w:val="9"/>
  </w:num>
  <w:num w:numId="12">
    <w:abstractNumId w:val="9"/>
  </w:num>
  <w:num w:numId="13">
    <w:abstractNumId w:val="4"/>
  </w:num>
  <w:num w:numId="14">
    <w:abstractNumId w:val="6"/>
  </w:num>
  <w:num w:numId="15">
    <w:abstractNumId w:val="3"/>
  </w:num>
  <w:num w:numId="16">
    <w:abstractNumId w:val="0"/>
  </w:num>
  <w:num w:numId="17">
    <w:abstractNumId w:val="7"/>
  </w:num>
  <w:num w:numId="18">
    <w:abstractNumId w:val="10"/>
  </w:num>
  <w:num w:numId="19">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5"/>
    <w:rsid w:val="000004CB"/>
    <w:rsid w:val="00001F3C"/>
    <w:rsid w:val="00003821"/>
    <w:rsid w:val="00003A52"/>
    <w:rsid w:val="00011A30"/>
    <w:rsid w:val="000120AB"/>
    <w:rsid w:val="0002057D"/>
    <w:rsid w:val="00021EDC"/>
    <w:rsid w:val="000246C7"/>
    <w:rsid w:val="00027529"/>
    <w:rsid w:val="000276D1"/>
    <w:rsid w:val="00030707"/>
    <w:rsid w:val="000329A0"/>
    <w:rsid w:val="00033A27"/>
    <w:rsid w:val="00034231"/>
    <w:rsid w:val="00034A48"/>
    <w:rsid w:val="00036039"/>
    <w:rsid w:val="00036EAC"/>
    <w:rsid w:val="00037F00"/>
    <w:rsid w:val="00037F90"/>
    <w:rsid w:val="0004228F"/>
    <w:rsid w:val="00042B92"/>
    <w:rsid w:val="00042CB5"/>
    <w:rsid w:val="00044684"/>
    <w:rsid w:val="00045260"/>
    <w:rsid w:val="00045E34"/>
    <w:rsid w:val="0004686F"/>
    <w:rsid w:val="00046BA4"/>
    <w:rsid w:val="00046D9C"/>
    <w:rsid w:val="00047A38"/>
    <w:rsid w:val="00050DCF"/>
    <w:rsid w:val="000525DC"/>
    <w:rsid w:val="000528AF"/>
    <w:rsid w:val="000544DE"/>
    <w:rsid w:val="00057C65"/>
    <w:rsid w:val="000619A6"/>
    <w:rsid w:val="00061D27"/>
    <w:rsid w:val="0006262B"/>
    <w:rsid w:val="00073FFE"/>
    <w:rsid w:val="0007581D"/>
    <w:rsid w:val="000765B6"/>
    <w:rsid w:val="00083597"/>
    <w:rsid w:val="00084363"/>
    <w:rsid w:val="0008535A"/>
    <w:rsid w:val="000875BF"/>
    <w:rsid w:val="00087F8A"/>
    <w:rsid w:val="00091BCF"/>
    <w:rsid w:val="00093BA1"/>
    <w:rsid w:val="00094980"/>
    <w:rsid w:val="00096145"/>
    <w:rsid w:val="00096D8C"/>
    <w:rsid w:val="000A0EFD"/>
    <w:rsid w:val="000A0FCF"/>
    <w:rsid w:val="000A0FF0"/>
    <w:rsid w:val="000A3FEC"/>
    <w:rsid w:val="000A603B"/>
    <w:rsid w:val="000A7AC2"/>
    <w:rsid w:val="000B422A"/>
    <w:rsid w:val="000B5D0D"/>
    <w:rsid w:val="000B7ED5"/>
    <w:rsid w:val="000C0B65"/>
    <w:rsid w:val="000C4341"/>
    <w:rsid w:val="000C5EE1"/>
    <w:rsid w:val="000C65E6"/>
    <w:rsid w:val="000D0EC8"/>
    <w:rsid w:val="000D1715"/>
    <w:rsid w:val="000E27A6"/>
    <w:rsid w:val="000E308E"/>
    <w:rsid w:val="000E3D42"/>
    <w:rsid w:val="000E470C"/>
    <w:rsid w:val="000E6FB1"/>
    <w:rsid w:val="000F0DA5"/>
    <w:rsid w:val="000F0EF6"/>
    <w:rsid w:val="000F1899"/>
    <w:rsid w:val="000F3954"/>
    <w:rsid w:val="000F43D3"/>
    <w:rsid w:val="000F6444"/>
    <w:rsid w:val="00111B0A"/>
    <w:rsid w:val="00117F96"/>
    <w:rsid w:val="00122BD5"/>
    <w:rsid w:val="00124516"/>
    <w:rsid w:val="0012470F"/>
    <w:rsid w:val="00125562"/>
    <w:rsid w:val="0012566D"/>
    <w:rsid w:val="00125E89"/>
    <w:rsid w:val="00126450"/>
    <w:rsid w:val="00130240"/>
    <w:rsid w:val="0013209F"/>
    <w:rsid w:val="00133BF3"/>
    <w:rsid w:val="0013405B"/>
    <w:rsid w:val="001342AC"/>
    <w:rsid w:val="00137BFF"/>
    <w:rsid w:val="00140BC2"/>
    <w:rsid w:val="00141FAC"/>
    <w:rsid w:val="00143002"/>
    <w:rsid w:val="0015034C"/>
    <w:rsid w:val="0015194E"/>
    <w:rsid w:val="00152F96"/>
    <w:rsid w:val="00153042"/>
    <w:rsid w:val="00153AF7"/>
    <w:rsid w:val="0015553F"/>
    <w:rsid w:val="00156F85"/>
    <w:rsid w:val="00157443"/>
    <w:rsid w:val="00166F1F"/>
    <w:rsid w:val="00167A89"/>
    <w:rsid w:val="00173605"/>
    <w:rsid w:val="0017431E"/>
    <w:rsid w:val="0018019D"/>
    <w:rsid w:val="00181D61"/>
    <w:rsid w:val="00181F41"/>
    <w:rsid w:val="0018358A"/>
    <w:rsid w:val="00185756"/>
    <w:rsid w:val="001910F6"/>
    <w:rsid w:val="0019622E"/>
    <w:rsid w:val="001A1854"/>
    <w:rsid w:val="001A1B65"/>
    <w:rsid w:val="001A2551"/>
    <w:rsid w:val="001A5C6F"/>
    <w:rsid w:val="001B3206"/>
    <w:rsid w:val="001B44AD"/>
    <w:rsid w:val="001B680A"/>
    <w:rsid w:val="001B7F71"/>
    <w:rsid w:val="001C09CA"/>
    <w:rsid w:val="001C0AB8"/>
    <w:rsid w:val="001C3D73"/>
    <w:rsid w:val="001C6360"/>
    <w:rsid w:val="001D1915"/>
    <w:rsid w:val="001D3423"/>
    <w:rsid w:val="001D5E2A"/>
    <w:rsid w:val="001D6BCF"/>
    <w:rsid w:val="001E01CA"/>
    <w:rsid w:val="001E0BD0"/>
    <w:rsid w:val="001E12D2"/>
    <w:rsid w:val="001E5BDE"/>
    <w:rsid w:val="001F2F5F"/>
    <w:rsid w:val="001F53AC"/>
    <w:rsid w:val="00203BA2"/>
    <w:rsid w:val="00206747"/>
    <w:rsid w:val="00206D8B"/>
    <w:rsid w:val="0020740E"/>
    <w:rsid w:val="00207D10"/>
    <w:rsid w:val="00210361"/>
    <w:rsid w:val="00211544"/>
    <w:rsid w:val="00216F48"/>
    <w:rsid w:val="00221BAB"/>
    <w:rsid w:val="00223D95"/>
    <w:rsid w:val="00225C87"/>
    <w:rsid w:val="00227167"/>
    <w:rsid w:val="0022767A"/>
    <w:rsid w:val="00230E71"/>
    <w:rsid w:val="00230EB6"/>
    <w:rsid w:val="00233A63"/>
    <w:rsid w:val="00241EDB"/>
    <w:rsid w:val="00243EDC"/>
    <w:rsid w:val="0024689A"/>
    <w:rsid w:val="00250AE0"/>
    <w:rsid w:val="00251A61"/>
    <w:rsid w:val="0025660B"/>
    <w:rsid w:val="00260CD2"/>
    <w:rsid w:val="00261520"/>
    <w:rsid w:val="00262171"/>
    <w:rsid w:val="00265E92"/>
    <w:rsid w:val="00267877"/>
    <w:rsid w:val="002678C2"/>
    <w:rsid w:val="00271828"/>
    <w:rsid w:val="00271D51"/>
    <w:rsid w:val="00273F59"/>
    <w:rsid w:val="00274772"/>
    <w:rsid w:val="00274B1A"/>
    <w:rsid w:val="002845E7"/>
    <w:rsid w:val="00284B94"/>
    <w:rsid w:val="00285017"/>
    <w:rsid w:val="00285F89"/>
    <w:rsid w:val="00286D1D"/>
    <w:rsid w:val="00286DDA"/>
    <w:rsid w:val="00287BC2"/>
    <w:rsid w:val="002933A5"/>
    <w:rsid w:val="002A2D2E"/>
    <w:rsid w:val="002A57E7"/>
    <w:rsid w:val="002A6369"/>
    <w:rsid w:val="002A6E01"/>
    <w:rsid w:val="002B6794"/>
    <w:rsid w:val="002B7BDC"/>
    <w:rsid w:val="002C2CE5"/>
    <w:rsid w:val="002D1626"/>
    <w:rsid w:val="002D4D6F"/>
    <w:rsid w:val="002D4ECE"/>
    <w:rsid w:val="002E106A"/>
    <w:rsid w:val="002E35A8"/>
    <w:rsid w:val="002F137A"/>
    <w:rsid w:val="002F2C5C"/>
    <w:rsid w:val="003023C2"/>
    <w:rsid w:val="0030336C"/>
    <w:rsid w:val="00304BC2"/>
    <w:rsid w:val="003110CC"/>
    <w:rsid w:val="00311115"/>
    <w:rsid w:val="003113A3"/>
    <w:rsid w:val="0031244E"/>
    <w:rsid w:val="00316860"/>
    <w:rsid w:val="00317A28"/>
    <w:rsid w:val="00322BE6"/>
    <w:rsid w:val="00325323"/>
    <w:rsid w:val="0033092E"/>
    <w:rsid w:val="00334543"/>
    <w:rsid w:val="0034018F"/>
    <w:rsid w:val="00340D4C"/>
    <w:rsid w:val="00343749"/>
    <w:rsid w:val="00351068"/>
    <w:rsid w:val="003518B4"/>
    <w:rsid w:val="003562F4"/>
    <w:rsid w:val="00357535"/>
    <w:rsid w:val="003642FF"/>
    <w:rsid w:val="00367459"/>
    <w:rsid w:val="003733EE"/>
    <w:rsid w:val="00376075"/>
    <w:rsid w:val="0037638A"/>
    <w:rsid w:val="00385EF6"/>
    <w:rsid w:val="00390617"/>
    <w:rsid w:val="00390BC6"/>
    <w:rsid w:val="00391A8D"/>
    <w:rsid w:val="00393F1B"/>
    <w:rsid w:val="00396827"/>
    <w:rsid w:val="003A64DD"/>
    <w:rsid w:val="003B0550"/>
    <w:rsid w:val="003B20C4"/>
    <w:rsid w:val="003B20CF"/>
    <w:rsid w:val="003B4934"/>
    <w:rsid w:val="003B49C0"/>
    <w:rsid w:val="003B4A1B"/>
    <w:rsid w:val="003B694F"/>
    <w:rsid w:val="003C4794"/>
    <w:rsid w:val="003C7E32"/>
    <w:rsid w:val="003D571F"/>
    <w:rsid w:val="003D7721"/>
    <w:rsid w:val="003E5A1C"/>
    <w:rsid w:val="003F0772"/>
    <w:rsid w:val="003F1498"/>
    <w:rsid w:val="003F171C"/>
    <w:rsid w:val="003F31F6"/>
    <w:rsid w:val="003F390E"/>
    <w:rsid w:val="003F3E10"/>
    <w:rsid w:val="003F6223"/>
    <w:rsid w:val="003F7E27"/>
    <w:rsid w:val="00401395"/>
    <w:rsid w:val="00401B61"/>
    <w:rsid w:val="0040242F"/>
    <w:rsid w:val="00404292"/>
    <w:rsid w:val="00406A37"/>
    <w:rsid w:val="00412E01"/>
    <w:rsid w:val="00412FC5"/>
    <w:rsid w:val="004167F9"/>
    <w:rsid w:val="00421F3B"/>
    <w:rsid w:val="00422276"/>
    <w:rsid w:val="00423D40"/>
    <w:rsid w:val="004242F1"/>
    <w:rsid w:val="00425931"/>
    <w:rsid w:val="00425B12"/>
    <w:rsid w:val="00430BBC"/>
    <w:rsid w:val="00433CA3"/>
    <w:rsid w:val="004406ED"/>
    <w:rsid w:val="004426BC"/>
    <w:rsid w:val="00444B41"/>
    <w:rsid w:val="00445A00"/>
    <w:rsid w:val="0045143E"/>
    <w:rsid w:val="00451B0F"/>
    <w:rsid w:val="00454213"/>
    <w:rsid w:val="004574AC"/>
    <w:rsid w:val="004639FC"/>
    <w:rsid w:val="00467E70"/>
    <w:rsid w:val="00473129"/>
    <w:rsid w:val="0047571D"/>
    <w:rsid w:val="00477511"/>
    <w:rsid w:val="004805AC"/>
    <w:rsid w:val="0048084B"/>
    <w:rsid w:val="00481DE6"/>
    <w:rsid w:val="004823C7"/>
    <w:rsid w:val="00482979"/>
    <w:rsid w:val="00483B23"/>
    <w:rsid w:val="0048460E"/>
    <w:rsid w:val="004926CF"/>
    <w:rsid w:val="00492840"/>
    <w:rsid w:val="004A095B"/>
    <w:rsid w:val="004A10C7"/>
    <w:rsid w:val="004A22DF"/>
    <w:rsid w:val="004B4C6A"/>
    <w:rsid w:val="004B4DD8"/>
    <w:rsid w:val="004B61AB"/>
    <w:rsid w:val="004C1F15"/>
    <w:rsid w:val="004C2608"/>
    <w:rsid w:val="004C2EE3"/>
    <w:rsid w:val="004C576C"/>
    <w:rsid w:val="004C7C83"/>
    <w:rsid w:val="004D0A27"/>
    <w:rsid w:val="004D19E8"/>
    <w:rsid w:val="004D22BC"/>
    <w:rsid w:val="004D34C1"/>
    <w:rsid w:val="004D472C"/>
    <w:rsid w:val="004D6646"/>
    <w:rsid w:val="004D7B65"/>
    <w:rsid w:val="004E070D"/>
    <w:rsid w:val="004E2F29"/>
    <w:rsid w:val="004E358E"/>
    <w:rsid w:val="004E4A22"/>
    <w:rsid w:val="004F0601"/>
    <w:rsid w:val="004F07C4"/>
    <w:rsid w:val="004F1443"/>
    <w:rsid w:val="004F4D6F"/>
    <w:rsid w:val="00500F9D"/>
    <w:rsid w:val="00501AB4"/>
    <w:rsid w:val="00502F8D"/>
    <w:rsid w:val="00511968"/>
    <w:rsid w:val="00511B27"/>
    <w:rsid w:val="00513B6C"/>
    <w:rsid w:val="005145A3"/>
    <w:rsid w:val="00522347"/>
    <w:rsid w:val="0052558F"/>
    <w:rsid w:val="0052580F"/>
    <w:rsid w:val="00527A83"/>
    <w:rsid w:val="005313FD"/>
    <w:rsid w:val="005316C7"/>
    <w:rsid w:val="00531C42"/>
    <w:rsid w:val="00534C86"/>
    <w:rsid w:val="00535462"/>
    <w:rsid w:val="00535C0A"/>
    <w:rsid w:val="00535C56"/>
    <w:rsid w:val="00536827"/>
    <w:rsid w:val="005436CD"/>
    <w:rsid w:val="005439E2"/>
    <w:rsid w:val="00551564"/>
    <w:rsid w:val="005528E2"/>
    <w:rsid w:val="00553205"/>
    <w:rsid w:val="00553AB5"/>
    <w:rsid w:val="00553CDA"/>
    <w:rsid w:val="0055614C"/>
    <w:rsid w:val="00557308"/>
    <w:rsid w:val="00562800"/>
    <w:rsid w:val="005643BB"/>
    <w:rsid w:val="005654BA"/>
    <w:rsid w:val="00567BCB"/>
    <w:rsid w:val="00571DC8"/>
    <w:rsid w:val="005728FA"/>
    <w:rsid w:val="00572B73"/>
    <w:rsid w:val="00573A40"/>
    <w:rsid w:val="00576C93"/>
    <w:rsid w:val="005775A9"/>
    <w:rsid w:val="0058434E"/>
    <w:rsid w:val="00590D5B"/>
    <w:rsid w:val="0059113E"/>
    <w:rsid w:val="005931F8"/>
    <w:rsid w:val="005941B1"/>
    <w:rsid w:val="00594997"/>
    <w:rsid w:val="00597726"/>
    <w:rsid w:val="005A0515"/>
    <w:rsid w:val="005A3FAF"/>
    <w:rsid w:val="005A6AD3"/>
    <w:rsid w:val="005B255F"/>
    <w:rsid w:val="005B517F"/>
    <w:rsid w:val="005B5EFB"/>
    <w:rsid w:val="005B6132"/>
    <w:rsid w:val="005C1B58"/>
    <w:rsid w:val="005C1EB3"/>
    <w:rsid w:val="005C2E31"/>
    <w:rsid w:val="005C4166"/>
    <w:rsid w:val="005C6491"/>
    <w:rsid w:val="005C775B"/>
    <w:rsid w:val="005C77B8"/>
    <w:rsid w:val="005D2DD7"/>
    <w:rsid w:val="005D615E"/>
    <w:rsid w:val="005D79BA"/>
    <w:rsid w:val="005E248C"/>
    <w:rsid w:val="005E2EF0"/>
    <w:rsid w:val="005E710A"/>
    <w:rsid w:val="005E71B3"/>
    <w:rsid w:val="005F2889"/>
    <w:rsid w:val="005F4072"/>
    <w:rsid w:val="00600240"/>
    <w:rsid w:val="00601200"/>
    <w:rsid w:val="00601ACB"/>
    <w:rsid w:val="00601F3B"/>
    <w:rsid w:val="00606B50"/>
    <w:rsid w:val="00607646"/>
    <w:rsid w:val="00607729"/>
    <w:rsid w:val="00607BA5"/>
    <w:rsid w:val="00610934"/>
    <w:rsid w:val="00613ACD"/>
    <w:rsid w:val="0062110A"/>
    <w:rsid w:val="00621154"/>
    <w:rsid w:val="0062286A"/>
    <w:rsid w:val="00623B1E"/>
    <w:rsid w:val="0062409D"/>
    <w:rsid w:val="00626914"/>
    <w:rsid w:val="00626BA2"/>
    <w:rsid w:val="00626D45"/>
    <w:rsid w:val="00626EB6"/>
    <w:rsid w:val="00631885"/>
    <w:rsid w:val="00634172"/>
    <w:rsid w:val="00635B44"/>
    <w:rsid w:val="0063716B"/>
    <w:rsid w:val="00640F79"/>
    <w:rsid w:val="00641CCF"/>
    <w:rsid w:val="00643301"/>
    <w:rsid w:val="00655D03"/>
    <w:rsid w:val="00656400"/>
    <w:rsid w:val="00657D94"/>
    <w:rsid w:val="0067365C"/>
    <w:rsid w:val="00674CEC"/>
    <w:rsid w:val="006754E6"/>
    <w:rsid w:val="00677057"/>
    <w:rsid w:val="006801A8"/>
    <w:rsid w:val="00680E84"/>
    <w:rsid w:val="00681B18"/>
    <w:rsid w:val="00683F84"/>
    <w:rsid w:val="00684C01"/>
    <w:rsid w:val="00686364"/>
    <w:rsid w:val="0069606B"/>
    <w:rsid w:val="00696F4A"/>
    <w:rsid w:val="0069762A"/>
    <w:rsid w:val="00697B43"/>
    <w:rsid w:val="006A0BF7"/>
    <w:rsid w:val="006A4CC5"/>
    <w:rsid w:val="006A68E7"/>
    <w:rsid w:val="006A6A81"/>
    <w:rsid w:val="006B113A"/>
    <w:rsid w:val="006B153F"/>
    <w:rsid w:val="006B384B"/>
    <w:rsid w:val="006B3E55"/>
    <w:rsid w:val="006B524E"/>
    <w:rsid w:val="006B5A6A"/>
    <w:rsid w:val="006B6640"/>
    <w:rsid w:val="006B7C7F"/>
    <w:rsid w:val="006C47D0"/>
    <w:rsid w:val="006C7844"/>
    <w:rsid w:val="006D2566"/>
    <w:rsid w:val="006D461E"/>
    <w:rsid w:val="006D5103"/>
    <w:rsid w:val="006D53BB"/>
    <w:rsid w:val="006E080B"/>
    <w:rsid w:val="006E273B"/>
    <w:rsid w:val="006E32CD"/>
    <w:rsid w:val="006E3FF6"/>
    <w:rsid w:val="006E5EDB"/>
    <w:rsid w:val="006F17BE"/>
    <w:rsid w:val="006F20BD"/>
    <w:rsid w:val="006F2603"/>
    <w:rsid w:val="006F4E20"/>
    <w:rsid w:val="006F7393"/>
    <w:rsid w:val="006F741E"/>
    <w:rsid w:val="006F7605"/>
    <w:rsid w:val="00700033"/>
    <w:rsid w:val="007016F5"/>
    <w:rsid w:val="0070224F"/>
    <w:rsid w:val="00702470"/>
    <w:rsid w:val="00702DD8"/>
    <w:rsid w:val="007051CD"/>
    <w:rsid w:val="00705C17"/>
    <w:rsid w:val="007071A8"/>
    <w:rsid w:val="00707E4B"/>
    <w:rsid w:val="00707FE7"/>
    <w:rsid w:val="007115F7"/>
    <w:rsid w:val="007124E8"/>
    <w:rsid w:val="0071283E"/>
    <w:rsid w:val="007135F7"/>
    <w:rsid w:val="0071720A"/>
    <w:rsid w:val="0072137F"/>
    <w:rsid w:val="00723551"/>
    <w:rsid w:val="00724DA0"/>
    <w:rsid w:val="00725950"/>
    <w:rsid w:val="007264AE"/>
    <w:rsid w:val="00726F8A"/>
    <w:rsid w:val="00730A3D"/>
    <w:rsid w:val="007314A1"/>
    <w:rsid w:val="00735265"/>
    <w:rsid w:val="007358AC"/>
    <w:rsid w:val="007401BA"/>
    <w:rsid w:val="007409FE"/>
    <w:rsid w:val="00743CCD"/>
    <w:rsid w:val="007467BC"/>
    <w:rsid w:val="00752042"/>
    <w:rsid w:val="00753401"/>
    <w:rsid w:val="00754550"/>
    <w:rsid w:val="007566ED"/>
    <w:rsid w:val="00756D80"/>
    <w:rsid w:val="007570B8"/>
    <w:rsid w:val="00757A54"/>
    <w:rsid w:val="00762607"/>
    <w:rsid w:val="00763804"/>
    <w:rsid w:val="00767686"/>
    <w:rsid w:val="00772E94"/>
    <w:rsid w:val="0077472D"/>
    <w:rsid w:val="00775199"/>
    <w:rsid w:val="007757B5"/>
    <w:rsid w:val="0077792A"/>
    <w:rsid w:val="007853AA"/>
    <w:rsid w:val="007854B0"/>
    <w:rsid w:val="00785689"/>
    <w:rsid w:val="007879B1"/>
    <w:rsid w:val="00793500"/>
    <w:rsid w:val="00796F5B"/>
    <w:rsid w:val="0079754B"/>
    <w:rsid w:val="00797ADC"/>
    <w:rsid w:val="007A1E6D"/>
    <w:rsid w:val="007A6077"/>
    <w:rsid w:val="007A7C34"/>
    <w:rsid w:val="007B173F"/>
    <w:rsid w:val="007B296A"/>
    <w:rsid w:val="007B61F5"/>
    <w:rsid w:val="007C19A5"/>
    <w:rsid w:val="007C302F"/>
    <w:rsid w:val="007C673B"/>
    <w:rsid w:val="007D1B25"/>
    <w:rsid w:val="007E0574"/>
    <w:rsid w:val="007F297C"/>
    <w:rsid w:val="007F2A37"/>
    <w:rsid w:val="007F33CB"/>
    <w:rsid w:val="007F63FA"/>
    <w:rsid w:val="00801213"/>
    <w:rsid w:val="008120A1"/>
    <w:rsid w:val="00814D2A"/>
    <w:rsid w:val="00815ADB"/>
    <w:rsid w:val="00817D90"/>
    <w:rsid w:val="00821F15"/>
    <w:rsid w:val="008227BC"/>
    <w:rsid w:val="00822CE0"/>
    <w:rsid w:val="00826B9A"/>
    <w:rsid w:val="008279BF"/>
    <w:rsid w:val="00830471"/>
    <w:rsid w:val="00830D9B"/>
    <w:rsid w:val="00831D16"/>
    <w:rsid w:val="00832788"/>
    <w:rsid w:val="00833DDC"/>
    <w:rsid w:val="00833E16"/>
    <w:rsid w:val="00835C94"/>
    <w:rsid w:val="00835CA8"/>
    <w:rsid w:val="008372E7"/>
    <w:rsid w:val="0084120F"/>
    <w:rsid w:val="00841AB1"/>
    <w:rsid w:val="00845577"/>
    <w:rsid w:val="00845C23"/>
    <w:rsid w:val="00847AE9"/>
    <w:rsid w:val="00850FC9"/>
    <w:rsid w:val="008523AF"/>
    <w:rsid w:val="008549A5"/>
    <w:rsid w:val="008551B8"/>
    <w:rsid w:val="008556D0"/>
    <w:rsid w:val="008568BC"/>
    <w:rsid w:val="008612A7"/>
    <w:rsid w:val="00867463"/>
    <w:rsid w:val="00867AC8"/>
    <w:rsid w:val="0087532D"/>
    <w:rsid w:val="00876FF1"/>
    <w:rsid w:val="008773AF"/>
    <w:rsid w:val="00880A44"/>
    <w:rsid w:val="00885A50"/>
    <w:rsid w:val="008909FB"/>
    <w:rsid w:val="00892EEF"/>
    <w:rsid w:val="00892F82"/>
    <w:rsid w:val="0089498B"/>
    <w:rsid w:val="0089673B"/>
    <w:rsid w:val="00897852"/>
    <w:rsid w:val="008A5311"/>
    <w:rsid w:val="008A5DCD"/>
    <w:rsid w:val="008B0314"/>
    <w:rsid w:val="008B217D"/>
    <w:rsid w:val="008B2FCD"/>
    <w:rsid w:val="008B4684"/>
    <w:rsid w:val="008B5209"/>
    <w:rsid w:val="008B5CC7"/>
    <w:rsid w:val="008C0E1A"/>
    <w:rsid w:val="008C2019"/>
    <w:rsid w:val="008C3817"/>
    <w:rsid w:val="008C4E9F"/>
    <w:rsid w:val="008C53F7"/>
    <w:rsid w:val="008D0FC4"/>
    <w:rsid w:val="008D2D89"/>
    <w:rsid w:val="008D5B3C"/>
    <w:rsid w:val="008E1CC3"/>
    <w:rsid w:val="008E5F77"/>
    <w:rsid w:val="008E67EB"/>
    <w:rsid w:val="008E763A"/>
    <w:rsid w:val="008F0808"/>
    <w:rsid w:val="008F1845"/>
    <w:rsid w:val="0090196F"/>
    <w:rsid w:val="0090746A"/>
    <w:rsid w:val="00913BBC"/>
    <w:rsid w:val="00921803"/>
    <w:rsid w:val="00921F7A"/>
    <w:rsid w:val="00922C23"/>
    <w:rsid w:val="00924CE9"/>
    <w:rsid w:val="009251EF"/>
    <w:rsid w:val="00926178"/>
    <w:rsid w:val="00926503"/>
    <w:rsid w:val="00927444"/>
    <w:rsid w:val="00927BF1"/>
    <w:rsid w:val="00931AA9"/>
    <w:rsid w:val="00931BD0"/>
    <w:rsid w:val="00942FE8"/>
    <w:rsid w:val="00943D06"/>
    <w:rsid w:val="00944972"/>
    <w:rsid w:val="009500C0"/>
    <w:rsid w:val="009520C5"/>
    <w:rsid w:val="009553FF"/>
    <w:rsid w:val="00961CAE"/>
    <w:rsid w:val="00963FEA"/>
    <w:rsid w:val="00966DCE"/>
    <w:rsid w:val="00977E85"/>
    <w:rsid w:val="0098144C"/>
    <w:rsid w:val="009825DC"/>
    <w:rsid w:val="00983635"/>
    <w:rsid w:val="009851AE"/>
    <w:rsid w:val="00990A5E"/>
    <w:rsid w:val="00992879"/>
    <w:rsid w:val="00993F2E"/>
    <w:rsid w:val="00996413"/>
    <w:rsid w:val="00996DDE"/>
    <w:rsid w:val="00997A33"/>
    <w:rsid w:val="009A0857"/>
    <w:rsid w:val="009A47CD"/>
    <w:rsid w:val="009B2819"/>
    <w:rsid w:val="009B37EF"/>
    <w:rsid w:val="009B5ADB"/>
    <w:rsid w:val="009C1D62"/>
    <w:rsid w:val="009C5AC0"/>
    <w:rsid w:val="009C751D"/>
    <w:rsid w:val="009D0CB5"/>
    <w:rsid w:val="009D60D7"/>
    <w:rsid w:val="009E0F6D"/>
    <w:rsid w:val="009E3F50"/>
    <w:rsid w:val="009E42FE"/>
    <w:rsid w:val="009F08AD"/>
    <w:rsid w:val="009F1156"/>
    <w:rsid w:val="00A00E4D"/>
    <w:rsid w:val="00A02D0D"/>
    <w:rsid w:val="00A04133"/>
    <w:rsid w:val="00A044DD"/>
    <w:rsid w:val="00A04990"/>
    <w:rsid w:val="00A07826"/>
    <w:rsid w:val="00A10137"/>
    <w:rsid w:val="00A1642E"/>
    <w:rsid w:val="00A2110B"/>
    <w:rsid w:val="00A217A0"/>
    <w:rsid w:val="00A22C40"/>
    <w:rsid w:val="00A25001"/>
    <w:rsid w:val="00A344A8"/>
    <w:rsid w:val="00A42019"/>
    <w:rsid w:val="00A454C9"/>
    <w:rsid w:val="00A45F4F"/>
    <w:rsid w:val="00A53292"/>
    <w:rsid w:val="00A5578A"/>
    <w:rsid w:val="00A600A9"/>
    <w:rsid w:val="00A6204B"/>
    <w:rsid w:val="00A63411"/>
    <w:rsid w:val="00A63747"/>
    <w:rsid w:val="00A70594"/>
    <w:rsid w:val="00A72638"/>
    <w:rsid w:val="00A72697"/>
    <w:rsid w:val="00A746EF"/>
    <w:rsid w:val="00A74FC2"/>
    <w:rsid w:val="00A768D0"/>
    <w:rsid w:val="00A82FC8"/>
    <w:rsid w:val="00A84E26"/>
    <w:rsid w:val="00A84E9D"/>
    <w:rsid w:val="00A851A3"/>
    <w:rsid w:val="00A86561"/>
    <w:rsid w:val="00A90C11"/>
    <w:rsid w:val="00A90D3F"/>
    <w:rsid w:val="00A9127E"/>
    <w:rsid w:val="00A959D8"/>
    <w:rsid w:val="00AA0DEC"/>
    <w:rsid w:val="00AA10F1"/>
    <w:rsid w:val="00AA1A04"/>
    <w:rsid w:val="00AA2AEE"/>
    <w:rsid w:val="00AA45CC"/>
    <w:rsid w:val="00AA5005"/>
    <w:rsid w:val="00AA5050"/>
    <w:rsid w:val="00AA55B7"/>
    <w:rsid w:val="00AA5B9E"/>
    <w:rsid w:val="00AA695F"/>
    <w:rsid w:val="00AB112D"/>
    <w:rsid w:val="00AB2407"/>
    <w:rsid w:val="00AB38DF"/>
    <w:rsid w:val="00AB53DF"/>
    <w:rsid w:val="00AB5C9D"/>
    <w:rsid w:val="00AC18B9"/>
    <w:rsid w:val="00AC314D"/>
    <w:rsid w:val="00AC4535"/>
    <w:rsid w:val="00AC4A6B"/>
    <w:rsid w:val="00AC4E2B"/>
    <w:rsid w:val="00AC7A43"/>
    <w:rsid w:val="00AD0C6D"/>
    <w:rsid w:val="00AD2EBC"/>
    <w:rsid w:val="00AD4BC1"/>
    <w:rsid w:val="00AD777B"/>
    <w:rsid w:val="00AE22DB"/>
    <w:rsid w:val="00AE51C7"/>
    <w:rsid w:val="00AF2030"/>
    <w:rsid w:val="00AF2478"/>
    <w:rsid w:val="00AF7EBC"/>
    <w:rsid w:val="00B045EE"/>
    <w:rsid w:val="00B050C7"/>
    <w:rsid w:val="00B054A1"/>
    <w:rsid w:val="00B07E5C"/>
    <w:rsid w:val="00B1107F"/>
    <w:rsid w:val="00B13236"/>
    <w:rsid w:val="00B13C64"/>
    <w:rsid w:val="00B229A4"/>
    <w:rsid w:val="00B40E61"/>
    <w:rsid w:val="00B4720E"/>
    <w:rsid w:val="00B52617"/>
    <w:rsid w:val="00B5678A"/>
    <w:rsid w:val="00B64607"/>
    <w:rsid w:val="00B65449"/>
    <w:rsid w:val="00B703CB"/>
    <w:rsid w:val="00B72C7C"/>
    <w:rsid w:val="00B732D1"/>
    <w:rsid w:val="00B7406B"/>
    <w:rsid w:val="00B811F7"/>
    <w:rsid w:val="00B83C97"/>
    <w:rsid w:val="00B83DB8"/>
    <w:rsid w:val="00B85CF9"/>
    <w:rsid w:val="00B96941"/>
    <w:rsid w:val="00BA2CC4"/>
    <w:rsid w:val="00BA2F75"/>
    <w:rsid w:val="00BA5DC6"/>
    <w:rsid w:val="00BA6196"/>
    <w:rsid w:val="00BB0FE5"/>
    <w:rsid w:val="00BB2552"/>
    <w:rsid w:val="00BB3F0B"/>
    <w:rsid w:val="00BB4AAB"/>
    <w:rsid w:val="00BB59FD"/>
    <w:rsid w:val="00BB7730"/>
    <w:rsid w:val="00BC21AA"/>
    <w:rsid w:val="00BC2A8B"/>
    <w:rsid w:val="00BC69ED"/>
    <w:rsid w:val="00BC6D8C"/>
    <w:rsid w:val="00BC6F56"/>
    <w:rsid w:val="00BD4340"/>
    <w:rsid w:val="00BD6F8C"/>
    <w:rsid w:val="00BE340E"/>
    <w:rsid w:val="00BE3953"/>
    <w:rsid w:val="00BE5080"/>
    <w:rsid w:val="00BE7A5B"/>
    <w:rsid w:val="00BF0439"/>
    <w:rsid w:val="00BF25B2"/>
    <w:rsid w:val="00BF454E"/>
    <w:rsid w:val="00BF4A55"/>
    <w:rsid w:val="00C02393"/>
    <w:rsid w:val="00C027E1"/>
    <w:rsid w:val="00C07BF6"/>
    <w:rsid w:val="00C07CB5"/>
    <w:rsid w:val="00C114A8"/>
    <w:rsid w:val="00C1173E"/>
    <w:rsid w:val="00C1274C"/>
    <w:rsid w:val="00C12BF9"/>
    <w:rsid w:val="00C12E82"/>
    <w:rsid w:val="00C15A3C"/>
    <w:rsid w:val="00C21861"/>
    <w:rsid w:val="00C267A1"/>
    <w:rsid w:val="00C34006"/>
    <w:rsid w:val="00C352F2"/>
    <w:rsid w:val="00C409A7"/>
    <w:rsid w:val="00C40FE2"/>
    <w:rsid w:val="00C413EC"/>
    <w:rsid w:val="00C426B1"/>
    <w:rsid w:val="00C449A2"/>
    <w:rsid w:val="00C44EA2"/>
    <w:rsid w:val="00C5085E"/>
    <w:rsid w:val="00C53543"/>
    <w:rsid w:val="00C53640"/>
    <w:rsid w:val="00C548C5"/>
    <w:rsid w:val="00C56CF6"/>
    <w:rsid w:val="00C5710B"/>
    <w:rsid w:val="00C5791A"/>
    <w:rsid w:val="00C57F26"/>
    <w:rsid w:val="00C640C8"/>
    <w:rsid w:val="00C643AB"/>
    <w:rsid w:val="00C75772"/>
    <w:rsid w:val="00C75DF7"/>
    <w:rsid w:val="00C770ED"/>
    <w:rsid w:val="00C864D0"/>
    <w:rsid w:val="00C9061F"/>
    <w:rsid w:val="00C90D6A"/>
    <w:rsid w:val="00C91DE1"/>
    <w:rsid w:val="00C9371A"/>
    <w:rsid w:val="00C95329"/>
    <w:rsid w:val="00C96651"/>
    <w:rsid w:val="00C96A2B"/>
    <w:rsid w:val="00CA247E"/>
    <w:rsid w:val="00CA6928"/>
    <w:rsid w:val="00CA6BF4"/>
    <w:rsid w:val="00CB049E"/>
    <w:rsid w:val="00CB2107"/>
    <w:rsid w:val="00CB3D86"/>
    <w:rsid w:val="00CB6291"/>
    <w:rsid w:val="00CC4A65"/>
    <w:rsid w:val="00CC72B6"/>
    <w:rsid w:val="00CD1330"/>
    <w:rsid w:val="00CD67C0"/>
    <w:rsid w:val="00CD7AFD"/>
    <w:rsid w:val="00CD7F03"/>
    <w:rsid w:val="00CE1809"/>
    <w:rsid w:val="00CE3017"/>
    <w:rsid w:val="00CE4699"/>
    <w:rsid w:val="00CE64D6"/>
    <w:rsid w:val="00CE77F9"/>
    <w:rsid w:val="00CF2245"/>
    <w:rsid w:val="00CF296B"/>
    <w:rsid w:val="00CF38C5"/>
    <w:rsid w:val="00CF775B"/>
    <w:rsid w:val="00D0218D"/>
    <w:rsid w:val="00D10F46"/>
    <w:rsid w:val="00D12001"/>
    <w:rsid w:val="00D16FB5"/>
    <w:rsid w:val="00D2214E"/>
    <w:rsid w:val="00D22F9E"/>
    <w:rsid w:val="00D2465F"/>
    <w:rsid w:val="00D26074"/>
    <w:rsid w:val="00D267D8"/>
    <w:rsid w:val="00D26D36"/>
    <w:rsid w:val="00D30A64"/>
    <w:rsid w:val="00D31022"/>
    <w:rsid w:val="00D37959"/>
    <w:rsid w:val="00D405E1"/>
    <w:rsid w:val="00D43568"/>
    <w:rsid w:val="00D43723"/>
    <w:rsid w:val="00D44B74"/>
    <w:rsid w:val="00D4738F"/>
    <w:rsid w:val="00D47997"/>
    <w:rsid w:val="00D503BD"/>
    <w:rsid w:val="00D50690"/>
    <w:rsid w:val="00D51014"/>
    <w:rsid w:val="00D564A4"/>
    <w:rsid w:val="00D56B5D"/>
    <w:rsid w:val="00D56CC8"/>
    <w:rsid w:val="00D5737D"/>
    <w:rsid w:val="00D60A18"/>
    <w:rsid w:val="00D61000"/>
    <w:rsid w:val="00D613B2"/>
    <w:rsid w:val="00D631A4"/>
    <w:rsid w:val="00D63E43"/>
    <w:rsid w:val="00D66755"/>
    <w:rsid w:val="00D70F1F"/>
    <w:rsid w:val="00D72D84"/>
    <w:rsid w:val="00D73B41"/>
    <w:rsid w:val="00D74AEE"/>
    <w:rsid w:val="00D74D23"/>
    <w:rsid w:val="00D84540"/>
    <w:rsid w:val="00D84A37"/>
    <w:rsid w:val="00D91ED4"/>
    <w:rsid w:val="00D94BA9"/>
    <w:rsid w:val="00D96126"/>
    <w:rsid w:val="00D974DA"/>
    <w:rsid w:val="00DA111B"/>
    <w:rsid w:val="00DA2529"/>
    <w:rsid w:val="00DA3658"/>
    <w:rsid w:val="00DA39A1"/>
    <w:rsid w:val="00DA4476"/>
    <w:rsid w:val="00DA5A74"/>
    <w:rsid w:val="00DA6B40"/>
    <w:rsid w:val="00DA6E79"/>
    <w:rsid w:val="00DB130A"/>
    <w:rsid w:val="00DB1692"/>
    <w:rsid w:val="00DB25D4"/>
    <w:rsid w:val="00DB2E5E"/>
    <w:rsid w:val="00DB40A2"/>
    <w:rsid w:val="00DC10A1"/>
    <w:rsid w:val="00DC2361"/>
    <w:rsid w:val="00DC2959"/>
    <w:rsid w:val="00DC364E"/>
    <w:rsid w:val="00DC463B"/>
    <w:rsid w:val="00DC4DFD"/>
    <w:rsid w:val="00DC554E"/>
    <w:rsid w:val="00DC655F"/>
    <w:rsid w:val="00DD07B0"/>
    <w:rsid w:val="00DD0B59"/>
    <w:rsid w:val="00DD0FE3"/>
    <w:rsid w:val="00DD1315"/>
    <w:rsid w:val="00DD1569"/>
    <w:rsid w:val="00DD218B"/>
    <w:rsid w:val="00DD56F8"/>
    <w:rsid w:val="00DD65B4"/>
    <w:rsid w:val="00DD666B"/>
    <w:rsid w:val="00DD6D45"/>
    <w:rsid w:val="00DD7189"/>
    <w:rsid w:val="00DD7EBD"/>
    <w:rsid w:val="00DF16DC"/>
    <w:rsid w:val="00DF24EE"/>
    <w:rsid w:val="00DF2BF7"/>
    <w:rsid w:val="00DF2E4A"/>
    <w:rsid w:val="00DF4CE0"/>
    <w:rsid w:val="00DF62B6"/>
    <w:rsid w:val="00E0035D"/>
    <w:rsid w:val="00E016B2"/>
    <w:rsid w:val="00E01DF8"/>
    <w:rsid w:val="00E03A3D"/>
    <w:rsid w:val="00E07225"/>
    <w:rsid w:val="00E101FA"/>
    <w:rsid w:val="00E108A9"/>
    <w:rsid w:val="00E22F1E"/>
    <w:rsid w:val="00E25BD6"/>
    <w:rsid w:val="00E27791"/>
    <w:rsid w:val="00E27885"/>
    <w:rsid w:val="00E32786"/>
    <w:rsid w:val="00E3499E"/>
    <w:rsid w:val="00E41AB0"/>
    <w:rsid w:val="00E42AAC"/>
    <w:rsid w:val="00E433CE"/>
    <w:rsid w:val="00E460D7"/>
    <w:rsid w:val="00E520B9"/>
    <w:rsid w:val="00E52A13"/>
    <w:rsid w:val="00E5409F"/>
    <w:rsid w:val="00E54146"/>
    <w:rsid w:val="00E55225"/>
    <w:rsid w:val="00E63C0D"/>
    <w:rsid w:val="00E66957"/>
    <w:rsid w:val="00E7031A"/>
    <w:rsid w:val="00E72F5B"/>
    <w:rsid w:val="00E80900"/>
    <w:rsid w:val="00E81FA1"/>
    <w:rsid w:val="00E854C2"/>
    <w:rsid w:val="00E8587F"/>
    <w:rsid w:val="00E902C3"/>
    <w:rsid w:val="00E90CD8"/>
    <w:rsid w:val="00E9202A"/>
    <w:rsid w:val="00EA0AD8"/>
    <w:rsid w:val="00EA4114"/>
    <w:rsid w:val="00EA6998"/>
    <w:rsid w:val="00EA6F45"/>
    <w:rsid w:val="00EB0F23"/>
    <w:rsid w:val="00EB2E24"/>
    <w:rsid w:val="00EB45BB"/>
    <w:rsid w:val="00EC2406"/>
    <w:rsid w:val="00EC4C3E"/>
    <w:rsid w:val="00EC6040"/>
    <w:rsid w:val="00EC7B02"/>
    <w:rsid w:val="00ED106D"/>
    <w:rsid w:val="00ED3A98"/>
    <w:rsid w:val="00ED3D72"/>
    <w:rsid w:val="00ED5EDD"/>
    <w:rsid w:val="00EE2DD4"/>
    <w:rsid w:val="00EE3CD0"/>
    <w:rsid w:val="00EE5FF7"/>
    <w:rsid w:val="00EE6488"/>
    <w:rsid w:val="00EF0AA1"/>
    <w:rsid w:val="00EF1256"/>
    <w:rsid w:val="00EF22E0"/>
    <w:rsid w:val="00EF2A13"/>
    <w:rsid w:val="00EF32D9"/>
    <w:rsid w:val="00EF4C5D"/>
    <w:rsid w:val="00EF6DCB"/>
    <w:rsid w:val="00EF76A9"/>
    <w:rsid w:val="00F021FA"/>
    <w:rsid w:val="00F05B92"/>
    <w:rsid w:val="00F103FF"/>
    <w:rsid w:val="00F13EDA"/>
    <w:rsid w:val="00F23B5A"/>
    <w:rsid w:val="00F25A3B"/>
    <w:rsid w:val="00F27ECB"/>
    <w:rsid w:val="00F31B7E"/>
    <w:rsid w:val="00F331A8"/>
    <w:rsid w:val="00F33E59"/>
    <w:rsid w:val="00F47F94"/>
    <w:rsid w:val="00F52CC4"/>
    <w:rsid w:val="00F5333D"/>
    <w:rsid w:val="00F53AE2"/>
    <w:rsid w:val="00F54F21"/>
    <w:rsid w:val="00F62E97"/>
    <w:rsid w:val="00F64209"/>
    <w:rsid w:val="00F643DE"/>
    <w:rsid w:val="00F8043B"/>
    <w:rsid w:val="00F82347"/>
    <w:rsid w:val="00F826C4"/>
    <w:rsid w:val="00F831B0"/>
    <w:rsid w:val="00F86F7A"/>
    <w:rsid w:val="00F9305C"/>
    <w:rsid w:val="00F939DB"/>
    <w:rsid w:val="00F93BF5"/>
    <w:rsid w:val="00F94345"/>
    <w:rsid w:val="00F95C56"/>
    <w:rsid w:val="00FA04C6"/>
    <w:rsid w:val="00FB0869"/>
    <w:rsid w:val="00FB1B49"/>
    <w:rsid w:val="00FB2E8E"/>
    <w:rsid w:val="00FC732B"/>
    <w:rsid w:val="00FD4A22"/>
    <w:rsid w:val="00FD64CA"/>
    <w:rsid w:val="00FD69BC"/>
    <w:rsid w:val="00FE633D"/>
    <w:rsid w:val="00FE6FDE"/>
    <w:rsid w:val="00FF1C2B"/>
    <w:rsid w:val="00FF472A"/>
    <w:rsid w:val="00FF5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8B9"/>
    <w:pPr>
      <w:widowControl w:val="0"/>
    </w:pPr>
    <w:rPr>
      <w:snapToGrid w:val="0"/>
      <w:kern w:val="28"/>
      <w:sz w:val="22"/>
    </w:rPr>
  </w:style>
  <w:style w:type="paragraph" w:styleId="Heading1">
    <w:name w:val="heading 1"/>
    <w:basedOn w:val="Normal"/>
    <w:next w:val="ParaNum"/>
    <w:link w:val="Heading1Char"/>
    <w:qFormat/>
    <w:rsid w:val="00AC18B9"/>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C18B9"/>
    <w:pPr>
      <w:keepNext/>
      <w:numPr>
        <w:ilvl w:val="1"/>
        <w:numId w:val="13"/>
      </w:numPr>
      <w:spacing w:after="120"/>
      <w:outlineLvl w:val="1"/>
    </w:pPr>
    <w:rPr>
      <w:b/>
    </w:rPr>
  </w:style>
  <w:style w:type="paragraph" w:styleId="Heading3">
    <w:name w:val="heading 3"/>
    <w:basedOn w:val="Normal"/>
    <w:next w:val="ParaNum"/>
    <w:link w:val="Heading3Char"/>
    <w:qFormat/>
    <w:rsid w:val="00AC18B9"/>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AC18B9"/>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AC18B9"/>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AC18B9"/>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AC18B9"/>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AC18B9"/>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C18B9"/>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C18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C18B9"/>
  </w:style>
  <w:style w:type="character" w:customStyle="1" w:styleId="Heading2Char">
    <w:name w:val="Heading 2 Char"/>
    <w:link w:val="Heading2"/>
    <w:locked/>
    <w:rsid w:val="00274772"/>
    <w:rPr>
      <w:b/>
      <w:snapToGrid w:val="0"/>
      <w:kern w:val="28"/>
      <w:sz w:val="22"/>
    </w:rPr>
  </w:style>
  <w:style w:type="character" w:customStyle="1" w:styleId="Heading3Char">
    <w:name w:val="Heading 3 Char"/>
    <w:link w:val="Heading3"/>
    <w:locked/>
    <w:rsid w:val="006E273B"/>
    <w:rPr>
      <w:b/>
      <w:snapToGrid w:val="0"/>
      <w:kern w:val="28"/>
      <w:sz w:val="22"/>
    </w:rPr>
  </w:style>
  <w:style w:type="character" w:customStyle="1" w:styleId="Heading4Char">
    <w:name w:val="Heading 4 Char"/>
    <w:link w:val="Heading4"/>
    <w:locked/>
    <w:rsid w:val="006E273B"/>
    <w:rPr>
      <w:b/>
      <w:snapToGrid w:val="0"/>
      <w:kern w:val="28"/>
      <w:sz w:val="22"/>
    </w:rPr>
  </w:style>
  <w:style w:type="character" w:customStyle="1" w:styleId="Heading5Char">
    <w:name w:val="Heading 5 Char"/>
    <w:link w:val="Heading5"/>
    <w:locked/>
    <w:rsid w:val="006E273B"/>
    <w:rPr>
      <w:b/>
      <w:snapToGrid w:val="0"/>
      <w:kern w:val="28"/>
      <w:sz w:val="22"/>
    </w:rPr>
  </w:style>
  <w:style w:type="character" w:customStyle="1" w:styleId="Heading6Char">
    <w:name w:val="Heading 6 Char"/>
    <w:link w:val="Heading6"/>
    <w:locked/>
    <w:rsid w:val="006E273B"/>
    <w:rPr>
      <w:b/>
      <w:snapToGrid w:val="0"/>
      <w:kern w:val="28"/>
      <w:sz w:val="22"/>
    </w:rPr>
  </w:style>
  <w:style w:type="character" w:customStyle="1" w:styleId="Heading7Char">
    <w:name w:val="Heading 7 Char"/>
    <w:link w:val="Heading7"/>
    <w:locked/>
    <w:rsid w:val="006E273B"/>
    <w:rPr>
      <w:b/>
      <w:snapToGrid w:val="0"/>
      <w:kern w:val="28"/>
      <w:sz w:val="22"/>
    </w:rPr>
  </w:style>
  <w:style w:type="character" w:customStyle="1" w:styleId="Heading8Char">
    <w:name w:val="Heading 8 Char"/>
    <w:link w:val="Heading8"/>
    <w:locked/>
    <w:rsid w:val="006E273B"/>
    <w:rPr>
      <w:b/>
      <w:snapToGrid w:val="0"/>
      <w:kern w:val="28"/>
      <w:sz w:val="22"/>
    </w:rPr>
  </w:style>
  <w:style w:type="character" w:customStyle="1" w:styleId="Heading9Char">
    <w:name w:val="Heading 9 Char"/>
    <w:link w:val="Heading9"/>
    <w:locked/>
    <w:rsid w:val="006E273B"/>
    <w:rPr>
      <w:b/>
      <w:snapToGrid w:val="0"/>
      <w:kern w:val="28"/>
      <w:sz w:val="22"/>
    </w:rPr>
  </w:style>
  <w:style w:type="paragraph" w:customStyle="1" w:styleId="ParaNum">
    <w:name w:val="ParaNum"/>
    <w:basedOn w:val="Normal"/>
    <w:link w:val="ParaNumChar1"/>
    <w:rsid w:val="00AC18B9"/>
    <w:pPr>
      <w:numPr>
        <w:numId w:val="2"/>
      </w:numPr>
      <w:tabs>
        <w:tab w:val="clear" w:pos="1080"/>
        <w:tab w:val="num" w:pos="1440"/>
      </w:tabs>
      <w:spacing w:after="120"/>
    </w:pPr>
  </w:style>
  <w:style w:type="paragraph" w:styleId="BalloonText">
    <w:name w:val="Balloon Text"/>
    <w:basedOn w:val="Normal"/>
    <w:link w:val="BalloonTextChar"/>
    <w:uiPriority w:val="99"/>
    <w:semiHidden/>
    <w:rsid w:val="00036EAC"/>
    <w:rPr>
      <w:rFonts w:ascii="Tahoma" w:hAnsi="Tahoma"/>
      <w:sz w:val="16"/>
      <w:lang w:bidi="he-IL"/>
    </w:rPr>
  </w:style>
  <w:style w:type="character" w:styleId="CommentReference">
    <w:name w:val="annotation reference"/>
    <w:uiPriority w:val="99"/>
    <w:semiHidden/>
    <w:rsid w:val="007854B0"/>
    <w:rPr>
      <w:rFonts w:cs="Times New Roman"/>
      <w:sz w:val="16"/>
    </w:rPr>
  </w:style>
  <w:style w:type="character" w:customStyle="1" w:styleId="Heading1Char">
    <w:name w:val="Heading 1 Char"/>
    <w:link w:val="Heading1"/>
    <w:locked/>
    <w:rsid w:val="006E273B"/>
    <w:rPr>
      <w:rFonts w:ascii="Times New Roman Bold" w:hAnsi="Times New Roman Bold"/>
      <w:b/>
      <w:caps/>
      <w:snapToGrid w:val="0"/>
      <w:kern w:val="28"/>
      <w:sz w:val="22"/>
    </w:rPr>
  </w:style>
  <w:style w:type="paragraph" w:styleId="EndnoteText">
    <w:name w:val="endnote text"/>
    <w:basedOn w:val="Normal"/>
    <w:link w:val="EndnoteTextChar"/>
    <w:semiHidden/>
    <w:rsid w:val="00AC18B9"/>
    <w:rPr>
      <w:sz w:val="20"/>
    </w:rPr>
  </w:style>
  <w:style w:type="character" w:styleId="EndnoteReference">
    <w:name w:val="endnote reference"/>
    <w:semiHidden/>
    <w:rsid w:val="00AC18B9"/>
    <w:rPr>
      <w:vertAlign w:val="superscript"/>
    </w:rPr>
  </w:style>
  <w:style w:type="character" w:customStyle="1" w:styleId="EndnoteTextChar">
    <w:name w:val="Endnote Text Char"/>
    <w:link w:val="EndnoteText"/>
    <w:semiHidden/>
    <w:locked/>
    <w:rsid w:val="006E273B"/>
    <w:rPr>
      <w:snapToGrid w:val="0"/>
      <w:kern w:val="28"/>
    </w:rPr>
  </w:style>
  <w:style w:type="paragraph" w:styleId="FootnoteText">
    <w:name w:val="footnote text"/>
    <w:aliases w:val="Footnote Text Char,Footnote Text Char2 Char,Footnote Text Char Char Char,Footnote Text Char1 Char Char1 Char,Footnote Text Char Char1 Char Char Char,Footnote Text Char3 Char Char Char Char Char,fn Char,ALTS FOOTNOTE,fn,rrfootnote,f"/>
    <w:link w:val="FootnoteTextChar1"/>
    <w:rsid w:val="00AC18B9"/>
    <w:pPr>
      <w:spacing w:after="120"/>
    </w:pPr>
  </w:style>
  <w:style w:type="paragraph" w:styleId="Caption">
    <w:name w:val="caption"/>
    <w:basedOn w:val="Normal"/>
    <w:next w:val="Normal"/>
    <w:uiPriority w:val="99"/>
    <w:qFormat/>
    <w:rsid w:val="006F20BD"/>
    <w:pPr>
      <w:widowControl/>
      <w:spacing w:before="120" w:after="120"/>
    </w:pPr>
    <w:rPr>
      <w:b/>
      <w:kern w:val="0"/>
    </w:rPr>
  </w:style>
  <w:style w:type="paragraph" w:customStyle="1" w:styleId="ParaNumChar">
    <w:name w:val="ParaNum Char"/>
    <w:basedOn w:val="Normal"/>
    <w:uiPriority w:val="99"/>
    <w:rsid w:val="006F20BD"/>
    <w:pPr>
      <w:tabs>
        <w:tab w:val="left" w:pos="1440"/>
        <w:tab w:val="num" w:pos="9270"/>
      </w:tabs>
      <w:spacing w:after="220"/>
      <w:ind w:left="8190" w:firstLine="720"/>
      <w:jc w:val="both"/>
    </w:pPr>
    <w:rPr>
      <w:kern w:val="0"/>
    </w:rPr>
  </w:style>
  <w:style w:type="character" w:styleId="FootnoteReference">
    <w:name w:val="footnote reference"/>
    <w:aliases w:val="Style 12,(NECG) Footnote Reference,Appel note de bas de p,Style 124,Style 4,Style 13,o,fr,Style 3"/>
    <w:rsid w:val="00AC18B9"/>
    <w:rPr>
      <w:rFonts w:ascii="Times New Roman" w:hAnsi="Times New Roman"/>
      <w:dstrike w:val="0"/>
      <w:color w:val="auto"/>
      <w:sz w:val="20"/>
      <w:vertAlign w:val="superscript"/>
    </w:rPr>
  </w:style>
  <w:style w:type="paragraph" w:styleId="TOC1">
    <w:name w:val="toc 1"/>
    <w:basedOn w:val="Normal"/>
    <w:next w:val="Normal"/>
    <w:semiHidden/>
    <w:rsid w:val="00AC18B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C18B9"/>
    <w:pPr>
      <w:tabs>
        <w:tab w:val="left" w:pos="720"/>
        <w:tab w:val="right" w:leader="dot" w:pos="9360"/>
      </w:tabs>
      <w:suppressAutoHyphens/>
      <w:ind w:left="720" w:right="720" w:hanging="360"/>
    </w:pPr>
    <w:rPr>
      <w:noProof/>
    </w:rPr>
  </w:style>
  <w:style w:type="paragraph" w:styleId="TOC3">
    <w:name w:val="toc 3"/>
    <w:basedOn w:val="Normal"/>
    <w:next w:val="Normal"/>
    <w:semiHidden/>
    <w:rsid w:val="00AC18B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C18B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C18B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C18B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C18B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C18B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C18B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C18B9"/>
    <w:pPr>
      <w:tabs>
        <w:tab w:val="right" w:pos="9360"/>
      </w:tabs>
      <w:suppressAutoHyphens/>
    </w:pPr>
  </w:style>
  <w:style w:type="character" w:customStyle="1" w:styleId="EquationCaption">
    <w:name w:val="_Equation Caption"/>
    <w:rsid w:val="00AC18B9"/>
  </w:style>
  <w:style w:type="paragraph" w:styleId="Header">
    <w:name w:val="header"/>
    <w:basedOn w:val="Normal"/>
    <w:link w:val="HeaderChar"/>
    <w:autoRedefine/>
    <w:rsid w:val="00AC18B9"/>
    <w:pPr>
      <w:tabs>
        <w:tab w:val="center" w:pos="4680"/>
        <w:tab w:val="right" w:pos="9360"/>
      </w:tabs>
    </w:pPr>
    <w:rPr>
      <w:b/>
    </w:rPr>
  </w:style>
  <w:style w:type="paragraph" w:styleId="Footer">
    <w:name w:val="footer"/>
    <w:basedOn w:val="Normal"/>
    <w:link w:val="FooterChar"/>
    <w:rsid w:val="00AC18B9"/>
    <w:pPr>
      <w:tabs>
        <w:tab w:val="center" w:pos="4320"/>
        <w:tab w:val="right" w:pos="8640"/>
      </w:tabs>
    </w:pPr>
  </w:style>
  <w:style w:type="character" w:customStyle="1" w:styleId="HeaderChar">
    <w:name w:val="Header Char"/>
    <w:link w:val="Header"/>
    <w:locked/>
    <w:rsid w:val="006E273B"/>
    <w:rPr>
      <w:b/>
      <w:snapToGrid w:val="0"/>
      <w:kern w:val="28"/>
      <w:sz w:val="22"/>
    </w:rPr>
  </w:style>
  <w:style w:type="character" w:styleId="PageNumber">
    <w:name w:val="page number"/>
    <w:basedOn w:val="DefaultParagraphFont"/>
    <w:rsid w:val="00AC18B9"/>
  </w:style>
  <w:style w:type="character" w:customStyle="1" w:styleId="FooterChar">
    <w:name w:val="Footer Char"/>
    <w:link w:val="Footer"/>
    <w:locked/>
    <w:rsid w:val="006E273B"/>
    <w:rPr>
      <w:snapToGrid w:val="0"/>
      <w:kern w:val="28"/>
      <w:sz w:val="22"/>
    </w:rPr>
  </w:style>
  <w:style w:type="paragraph" w:styleId="BlockText">
    <w:name w:val="Block Text"/>
    <w:basedOn w:val="Normal"/>
    <w:rsid w:val="00AC18B9"/>
    <w:pPr>
      <w:spacing w:after="240"/>
      <w:ind w:left="1440" w:right="1440"/>
    </w:pPr>
  </w:style>
  <w:style w:type="paragraph" w:customStyle="1" w:styleId="Paratitle">
    <w:name w:val="Para title"/>
    <w:basedOn w:val="Normal"/>
    <w:rsid w:val="00AC18B9"/>
    <w:pPr>
      <w:tabs>
        <w:tab w:val="center" w:pos="9270"/>
      </w:tabs>
      <w:spacing w:after="240"/>
    </w:pPr>
    <w:rPr>
      <w:spacing w:val="-2"/>
    </w:rPr>
  </w:style>
  <w:style w:type="paragraph" w:customStyle="1" w:styleId="Bullet">
    <w:name w:val="Bullet"/>
    <w:basedOn w:val="Normal"/>
    <w:rsid w:val="00AC18B9"/>
    <w:pPr>
      <w:tabs>
        <w:tab w:val="left" w:pos="2160"/>
      </w:tabs>
      <w:spacing w:after="220"/>
      <w:ind w:left="2160" w:hanging="720"/>
    </w:pPr>
  </w:style>
  <w:style w:type="paragraph" w:customStyle="1" w:styleId="TableFormat">
    <w:name w:val="TableFormat"/>
    <w:basedOn w:val="Bullet"/>
    <w:rsid w:val="00AC18B9"/>
    <w:pPr>
      <w:tabs>
        <w:tab w:val="clear" w:pos="2160"/>
        <w:tab w:val="left" w:pos="5040"/>
      </w:tabs>
      <w:ind w:left="5040" w:hanging="3600"/>
    </w:pPr>
  </w:style>
  <w:style w:type="paragraph" w:customStyle="1" w:styleId="TOCTitle">
    <w:name w:val="TOC Title"/>
    <w:basedOn w:val="Normal"/>
    <w:rsid w:val="00AC18B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C18B9"/>
    <w:pPr>
      <w:jc w:val="center"/>
    </w:pPr>
    <w:rPr>
      <w:rFonts w:ascii="Times New Roman Bold" w:hAnsi="Times New Roman Bold"/>
      <w:b/>
      <w:bCs/>
      <w:caps/>
      <w:szCs w:val="22"/>
    </w:rPr>
  </w:style>
  <w:style w:type="character" w:styleId="Hyperlink">
    <w:name w:val="Hyperlink"/>
    <w:rsid w:val="00AC18B9"/>
    <w:rPr>
      <w:color w:val="0000FF"/>
      <w:u w:val="single"/>
    </w:rPr>
  </w:style>
  <w:style w:type="character" w:customStyle="1" w:styleId="FootnoteTextChar1">
    <w:name w:val="Footnote Text Char1"/>
    <w:aliases w:val="Footnote Text Char Char,Footnote Text Char2 Char Char,Footnote Text Char Char Char Char,Footnote Text Char1 Char Char1 Char Char,Footnote Text Char Char1 Char Char Char Char,Footnote Text Char3 Char Char Char Char Char Char,fn Char1"/>
    <w:link w:val="FootnoteText"/>
    <w:locked/>
    <w:rsid w:val="00BB2552"/>
  </w:style>
  <w:style w:type="character" w:customStyle="1" w:styleId="BalloonTextChar">
    <w:name w:val="Balloon Text Char"/>
    <w:link w:val="BalloonText"/>
    <w:uiPriority w:val="99"/>
    <w:semiHidden/>
    <w:locked/>
    <w:rsid w:val="006E273B"/>
    <w:rPr>
      <w:rFonts w:ascii="Tahoma" w:hAnsi="Tahoma"/>
      <w:kern w:val="28"/>
      <w:sz w:val="16"/>
    </w:rPr>
  </w:style>
  <w:style w:type="paragraph" w:styleId="CommentText">
    <w:name w:val="annotation text"/>
    <w:basedOn w:val="Normal"/>
    <w:link w:val="CommentTextChar"/>
    <w:uiPriority w:val="99"/>
    <w:semiHidden/>
    <w:rsid w:val="007854B0"/>
    <w:rPr>
      <w:sz w:val="20"/>
      <w:lang w:bidi="he-IL"/>
    </w:rPr>
  </w:style>
  <w:style w:type="paragraph" w:styleId="CommentSubject">
    <w:name w:val="annotation subject"/>
    <w:basedOn w:val="CommentText"/>
    <w:next w:val="CommentText"/>
    <w:link w:val="CommentSubjectChar"/>
    <w:uiPriority w:val="99"/>
    <w:semiHidden/>
    <w:rsid w:val="007854B0"/>
    <w:rPr>
      <w:b/>
    </w:rPr>
  </w:style>
  <w:style w:type="character" w:customStyle="1" w:styleId="CommentTextChar">
    <w:name w:val="Comment Text Char"/>
    <w:link w:val="CommentText"/>
    <w:uiPriority w:val="99"/>
    <w:semiHidden/>
    <w:locked/>
    <w:rsid w:val="006E273B"/>
    <w:rPr>
      <w:kern w:val="28"/>
      <w:sz w:val="20"/>
    </w:rPr>
  </w:style>
  <w:style w:type="character" w:customStyle="1" w:styleId="documentbody1">
    <w:name w:val="documentbody1"/>
    <w:uiPriority w:val="99"/>
    <w:rsid w:val="004D0A27"/>
    <w:rPr>
      <w:rFonts w:ascii="Verdana" w:hAnsi="Verdana"/>
      <w:sz w:val="19"/>
      <w:shd w:val="clear" w:color="auto" w:fill="FFFFFF"/>
    </w:rPr>
  </w:style>
  <w:style w:type="character" w:customStyle="1" w:styleId="CommentSubjectChar">
    <w:name w:val="Comment Subject Char"/>
    <w:link w:val="CommentSubject"/>
    <w:uiPriority w:val="99"/>
    <w:semiHidden/>
    <w:locked/>
    <w:rsid w:val="006E273B"/>
    <w:rPr>
      <w:b/>
      <w:kern w:val="28"/>
      <w:sz w:val="20"/>
    </w:rPr>
  </w:style>
  <w:style w:type="character" w:styleId="Emphasis">
    <w:name w:val="Emphasis"/>
    <w:uiPriority w:val="99"/>
    <w:qFormat/>
    <w:rsid w:val="004D0A27"/>
    <w:rPr>
      <w:rFonts w:cs="Times New Roman"/>
      <w:i/>
    </w:rPr>
  </w:style>
  <w:style w:type="character" w:customStyle="1" w:styleId="ALTSFOOTNOTEChar">
    <w:name w:val="ALTS FOOTNOTE Char"/>
    <w:aliases w:val="rrfootnote Char Char"/>
    <w:uiPriority w:val="99"/>
    <w:semiHidden/>
    <w:locked/>
    <w:rsid w:val="00601200"/>
    <w:rPr>
      <w:lang w:val="en-US" w:eastAsia="en-US"/>
    </w:rPr>
  </w:style>
  <w:style w:type="paragraph" w:styleId="HTMLPreformatted">
    <w:name w:val="HTML Preformatted"/>
    <w:basedOn w:val="Normal"/>
    <w:link w:val="HTMLPreformattedChar"/>
    <w:uiPriority w:val="99"/>
    <w:semiHidden/>
    <w:rsid w:val="002747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lang w:bidi="he-IL"/>
    </w:rPr>
  </w:style>
  <w:style w:type="character" w:customStyle="1" w:styleId="apple-converted-space">
    <w:name w:val="apple-converted-space"/>
    <w:uiPriority w:val="99"/>
    <w:rsid w:val="00AC314D"/>
  </w:style>
  <w:style w:type="character" w:customStyle="1" w:styleId="HTMLPreformattedChar">
    <w:name w:val="HTML Preformatted Char"/>
    <w:link w:val="HTMLPreformatted"/>
    <w:uiPriority w:val="99"/>
    <w:semiHidden/>
    <w:locked/>
    <w:rsid w:val="00274772"/>
    <w:rPr>
      <w:rFonts w:ascii="Courier New" w:hAnsi="Courier New"/>
    </w:rPr>
  </w:style>
  <w:style w:type="character" w:customStyle="1" w:styleId="FootnoteTextCharCharChar1CharCharCharChar">
    <w:name w:val="Footnote Text Char Char Char1 Char Char Char Char"/>
    <w:basedOn w:val="DefaultParagraphFont"/>
    <w:semiHidden/>
    <w:locked/>
    <w:rsid w:val="00DA111B"/>
  </w:style>
  <w:style w:type="character" w:customStyle="1" w:styleId="ParaNumChar1">
    <w:name w:val="ParaNum Char1"/>
    <w:link w:val="ParaNum"/>
    <w:locked/>
    <w:rsid w:val="001D5E2A"/>
    <w:rPr>
      <w:snapToGrid w:val="0"/>
      <w:kern w:val="28"/>
      <w:sz w:val="22"/>
    </w:rPr>
  </w:style>
  <w:style w:type="paragraph" w:styleId="ListParagraph">
    <w:name w:val="List Paragraph"/>
    <w:basedOn w:val="Normal"/>
    <w:uiPriority w:val="34"/>
    <w:qFormat/>
    <w:rsid w:val="0048084B"/>
    <w:pPr>
      <w:ind w:left="720"/>
      <w:contextualSpacing/>
    </w:pPr>
  </w:style>
  <w:style w:type="paragraph" w:styleId="Revision">
    <w:name w:val="Revision"/>
    <w:hidden/>
    <w:uiPriority w:val="99"/>
    <w:semiHidden/>
    <w:rsid w:val="00626D45"/>
    <w:rPr>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8B9"/>
    <w:pPr>
      <w:widowControl w:val="0"/>
    </w:pPr>
    <w:rPr>
      <w:snapToGrid w:val="0"/>
      <w:kern w:val="28"/>
      <w:sz w:val="22"/>
    </w:rPr>
  </w:style>
  <w:style w:type="paragraph" w:styleId="Heading1">
    <w:name w:val="heading 1"/>
    <w:basedOn w:val="Normal"/>
    <w:next w:val="ParaNum"/>
    <w:link w:val="Heading1Char"/>
    <w:qFormat/>
    <w:rsid w:val="00AC18B9"/>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C18B9"/>
    <w:pPr>
      <w:keepNext/>
      <w:numPr>
        <w:ilvl w:val="1"/>
        <w:numId w:val="13"/>
      </w:numPr>
      <w:spacing w:after="120"/>
      <w:outlineLvl w:val="1"/>
    </w:pPr>
    <w:rPr>
      <w:b/>
    </w:rPr>
  </w:style>
  <w:style w:type="paragraph" w:styleId="Heading3">
    <w:name w:val="heading 3"/>
    <w:basedOn w:val="Normal"/>
    <w:next w:val="ParaNum"/>
    <w:link w:val="Heading3Char"/>
    <w:qFormat/>
    <w:rsid w:val="00AC18B9"/>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AC18B9"/>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AC18B9"/>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AC18B9"/>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AC18B9"/>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AC18B9"/>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C18B9"/>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C18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C18B9"/>
  </w:style>
  <w:style w:type="character" w:customStyle="1" w:styleId="Heading2Char">
    <w:name w:val="Heading 2 Char"/>
    <w:link w:val="Heading2"/>
    <w:locked/>
    <w:rsid w:val="00274772"/>
    <w:rPr>
      <w:b/>
      <w:snapToGrid w:val="0"/>
      <w:kern w:val="28"/>
      <w:sz w:val="22"/>
    </w:rPr>
  </w:style>
  <w:style w:type="character" w:customStyle="1" w:styleId="Heading3Char">
    <w:name w:val="Heading 3 Char"/>
    <w:link w:val="Heading3"/>
    <w:locked/>
    <w:rsid w:val="006E273B"/>
    <w:rPr>
      <w:b/>
      <w:snapToGrid w:val="0"/>
      <w:kern w:val="28"/>
      <w:sz w:val="22"/>
    </w:rPr>
  </w:style>
  <w:style w:type="character" w:customStyle="1" w:styleId="Heading4Char">
    <w:name w:val="Heading 4 Char"/>
    <w:link w:val="Heading4"/>
    <w:locked/>
    <w:rsid w:val="006E273B"/>
    <w:rPr>
      <w:b/>
      <w:snapToGrid w:val="0"/>
      <w:kern w:val="28"/>
      <w:sz w:val="22"/>
    </w:rPr>
  </w:style>
  <w:style w:type="character" w:customStyle="1" w:styleId="Heading5Char">
    <w:name w:val="Heading 5 Char"/>
    <w:link w:val="Heading5"/>
    <w:locked/>
    <w:rsid w:val="006E273B"/>
    <w:rPr>
      <w:b/>
      <w:snapToGrid w:val="0"/>
      <w:kern w:val="28"/>
      <w:sz w:val="22"/>
    </w:rPr>
  </w:style>
  <w:style w:type="character" w:customStyle="1" w:styleId="Heading6Char">
    <w:name w:val="Heading 6 Char"/>
    <w:link w:val="Heading6"/>
    <w:locked/>
    <w:rsid w:val="006E273B"/>
    <w:rPr>
      <w:b/>
      <w:snapToGrid w:val="0"/>
      <w:kern w:val="28"/>
      <w:sz w:val="22"/>
    </w:rPr>
  </w:style>
  <w:style w:type="character" w:customStyle="1" w:styleId="Heading7Char">
    <w:name w:val="Heading 7 Char"/>
    <w:link w:val="Heading7"/>
    <w:locked/>
    <w:rsid w:val="006E273B"/>
    <w:rPr>
      <w:b/>
      <w:snapToGrid w:val="0"/>
      <w:kern w:val="28"/>
      <w:sz w:val="22"/>
    </w:rPr>
  </w:style>
  <w:style w:type="character" w:customStyle="1" w:styleId="Heading8Char">
    <w:name w:val="Heading 8 Char"/>
    <w:link w:val="Heading8"/>
    <w:locked/>
    <w:rsid w:val="006E273B"/>
    <w:rPr>
      <w:b/>
      <w:snapToGrid w:val="0"/>
      <w:kern w:val="28"/>
      <w:sz w:val="22"/>
    </w:rPr>
  </w:style>
  <w:style w:type="character" w:customStyle="1" w:styleId="Heading9Char">
    <w:name w:val="Heading 9 Char"/>
    <w:link w:val="Heading9"/>
    <w:locked/>
    <w:rsid w:val="006E273B"/>
    <w:rPr>
      <w:b/>
      <w:snapToGrid w:val="0"/>
      <w:kern w:val="28"/>
      <w:sz w:val="22"/>
    </w:rPr>
  </w:style>
  <w:style w:type="paragraph" w:customStyle="1" w:styleId="ParaNum">
    <w:name w:val="ParaNum"/>
    <w:basedOn w:val="Normal"/>
    <w:link w:val="ParaNumChar1"/>
    <w:rsid w:val="00AC18B9"/>
    <w:pPr>
      <w:numPr>
        <w:numId w:val="2"/>
      </w:numPr>
      <w:tabs>
        <w:tab w:val="clear" w:pos="1080"/>
        <w:tab w:val="num" w:pos="1440"/>
      </w:tabs>
      <w:spacing w:after="120"/>
    </w:pPr>
  </w:style>
  <w:style w:type="paragraph" w:styleId="BalloonText">
    <w:name w:val="Balloon Text"/>
    <w:basedOn w:val="Normal"/>
    <w:link w:val="BalloonTextChar"/>
    <w:uiPriority w:val="99"/>
    <w:semiHidden/>
    <w:rsid w:val="00036EAC"/>
    <w:rPr>
      <w:rFonts w:ascii="Tahoma" w:hAnsi="Tahoma"/>
      <w:sz w:val="16"/>
      <w:lang w:bidi="he-IL"/>
    </w:rPr>
  </w:style>
  <w:style w:type="character" w:styleId="CommentReference">
    <w:name w:val="annotation reference"/>
    <w:uiPriority w:val="99"/>
    <w:semiHidden/>
    <w:rsid w:val="007854B0"/>
    <w:rPr>
      <w:rFonts w:cs="Times New Roman"/>
      <w:sz w:val="16"/>
    </w:rPr>
  </w:style>
  <w:style w:type="character" w:customStyle="1" w:styleId="Heading1Char">
    <w:name w:val="Heading 1 Char"/>
    <w:link w:val="Heading1"/>
    <w:locked/>
    <w:rsid w:val="006E273B"/>
    <w:rPr>
      <w:rFonts w:ascii="Times New Roman Bold" w:hAnsi="Times New Roman Bold"/>
      <w:b/>
      <w:caps/>
      <w:snapToGrid w:val="0"/>
      <w:kern w:val="28"/>
      <w:sz w:val="22"/>
    </w:rPr>
  </w:style>
  <w:style w:type="paragraph" w:styleId="EndnoteText">
    <w:name w:val="endnote text"/>
    <w:basedOn w:val="Normal"/>
    <w:link w:val="EndnoteTextChar"/>
    <w:semiHidden/>
    <w:rsid w:val="00AC18B9"/>
    <w:rPr>
      <w:sz w:val="20"/>
    </w:rPr>
  </w:style>
  <w:style w:type="character" w:styleId="EndnoteReference">
    <w:name w:val="endnote reference"/>
    <w:semiHidden/>
    <w:rsid w:val="00AC18B9"/>
    <w:rPr>
      <w:vertAlign w:val="superscript"/>
    </w:rPr>
  </w:style>
  <w:style w:type="character" w:customStyle="1" w:styleId="EndnoteTextChar">
    <w:name w:val="Endnote Text Char"/>
    <w:link w:val="EndnoteText"/>
    <w:semiHidden/>
    <w:locked/>
    <w:rsid w:val="006E273B"/>
    <w:rPr>
      <w:snapToGrid w:val="0"/>
      <w:kern w:val="28"/>
    </w:rPr>
  </w:style>
  <w:style w:type="paragraph" w:styleId="FootnoteText">
    <w:name w:val="footnote text"/>
    <w:aliases w:val="Footnote Text Char,Footnote Text Char2 Char,Footnote Text Char Char Char,Footnote Text Char1 Char Char1 Char,Footnote Text Char Char1 Char Char Char,Footnote Text Char3 Char Char Char Char Char,fn Char,ALTS FOOTNOTE,fn,rrfootnote,f"/>
    <w:link w:val="FootnoteTextChar1"/>
    <w:rsid w:val="00AC18B9"/>
    <w:pPr>
      <w:spacing w:after="120"/>
    </w:pPr>
  </w:style>
  <w:style w:type="paragraph" w:styleId="Caption">
    <w:name w:val="caption"/>
    <w:basedOn w:val="Normal"/>
    <w:next w:val="Normal"/>
    <w:uiPriority w:val="99"/>
    <w:qFormat/>
    <w:rsid w:val="006F20BD"/>
    <w:pPr>
      <w:widowControl/>
      <w:spacing w:before="120" w:after="120"/>
    </w:pPr>
    <w:rPr>
      <w:b/>
      <w:kern w:val="0"/>
    </w:rPr>
  </w:style>
  <w:style w:type="paragraph" w:customStyle="1" w:styleId="ParaNumChar">
    <w:name w:val="ParaNum Char"/>
    <w:basedOn w:val="Normal"/>
    <w:uiPriority w:val="99"/>
    <w:rsid w:val="006F20BD"/>
    <w:pPr>
      <w:tabs>
        <w:tab w:val="left" w:pos="1440"/>
        <w:tab w:val="num" w:pos="9270"/>
      </w:tabs>
      <w:spacing w:after="220"/>
      <w:ind w:left="8190" w:firstLine="720"/>
      <w:jc w:val="both"/>
    </w:pPr>
    <w:rPr>
      <w:kern w:val="0"/>
    </w:rPr>
  </w:style>
  <w:style w:type="character" w:styleId="FootnoteReference">
    <w:name w:val="footnote reference"/>
    <w:aliases w:val="Style 12,(NECG) Footnote Reference,Appel note de bas de p,Style 124,Style 4,Style 13,o,fr,Style 3"/>
    <w:rsid w:val="00AC18B9"/>
    <w:rPr>
      <w:rFonts w:ascii="Times New Roman" w:hAnsi="Times New Roman"/>
      <w:dstrike w:val="0"/>
      <w:color w:val="auto"/>
      <w:sz w:val="20"/>
      <w:vertAlign w:val="superscript"/>
    </w:rPr>
  </w:style>
  <w:style w:type="paragraph" w:styleId="TOC1">
    <w:name w:val="toc 1"/>
    <w:basedOn w:val="Normal"/>
    <w:next w:val="Normal"/>
    <w:semiHidden/>
    <w:rsid w:val="00AC18B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C18B9"/>
    <w:pPr>
      <w:tabs>
        <w:tab w:val="left" w:pos="720"/>
        <w:tab w:val="right" w:leader="dot" w:pos="9360"/>
      </w:tabs>
      <w:suppressAutoHyphens/>
      <w:ind w:left="720" w:right="720" w:hanging="360"/>
    </w:pPr>
    <w:rPr>
      <w:noProof/>
    </w:rPr>
  </w:style>
  <w:style w:type="paragraph" w:styleId="TOC3">
    <w:name w:val="toc 3"/>
    <w:basedOn w:val="Normal"/>
    <w:next w:val="Normal"/>
    <w:semiHidden/>
    <w:rsid w:val="00AC18B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C18B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C18B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C18B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C18B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C18B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C18B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C18B9"/>
    <w:pPr>
      <w:tabs>
        <w:tab w:val="right" w:pos="9360"/>
      </w:tabs>
      <w:suppressAutoHyphens/>
    </w:pPr>
  </w:style>
  <w:style w:type="character" w:customStyle="1" w:styleId="EquationCaption">
    <w:name w:val="_Equation Caption"/>
    <w:rsid w:val="00AC18B9"/>
  </w:style>
  <w:style w:type="paragraph" w:styleId="Header">
    <w:name w:val="header"/>
    <w:basedOn w:val="Normal"/>
    <w:link w:val="HeaderChar"/>
    <w:autoRedefine/>
    <w:rsid w:val="00AC18B9"/>
    <w:pPr>
      <w:tabs>
        <w:tab w:val="center" w:pos="4680"/>
        <w:tab w:val="right" w:pos="9360"/>
      </w:tabs>
    </w:pPr>
    <w:rPr>
      <w:b/>
    </w:rPr>
  </w:style>
  <w:style w:type="paragraph" w:styleId="Footer">
    <w:name w:val="footer"/>
    <w:basedOn w:val="Normal"/>
    <w:link w:val="FooterChar"/>
    <w:rsid w:val="00AC18B9"/>
    <w:pPr>
      <w:tabs>
        <w:tab w:val="center" w:pos="4320"/>
        <w:tab w:val="right" w:pos="8640"/>
      </w:tabs>
    </w:pPr>
  </w:style>
  <w:style w:type="character" w:customStyle="1" w:styleId="HeaderChar">
    <w:name w:val="Header Char"/>
    <w:link w:val="Header"/>
    <w:locked/>
    <w:rsid w:val="006E273B"/>
    <w:rPr>
      <w:b/>
      <w:snapToGrid w:val="0"/>
      <w:kern w:val="28"/>
      <w:sz w:val="22"/>
    </w:rPr>
  </w:style>
  <w:style w:type="character" w:styleId="PageNumber">
    <w:name w:val="page number"/>
    <w:basedOn w:val="DefaultParagraphFont"/>
    <w:rsid w:val="00AC18B9"/>
  </w:style>
  <w:style w:type="character" w:customStyle="1" w:styleId="FooterChar">
    <w:name w:val="Footer Char"/>
    <w:link w:val="Footer"/>
    <w:locked/>
    <w:rsid w:val="006E273B"/>
    <w:rPr>
      <w:snapToGrid w:val="0"/>
      <w:kern w:val="28"/>
      <w:sz w:val="22"/>
    </w:rPr>
  </w:style>
  <w:style w:type="paragraph" w:styleId="BlockText">
    <w:name w:val="Block Text"/>
    <w:basedOn w:val="Normal"/>
    <w:rsid w:val="00AC18B9"/>
    <w:pPr>
      <w:spacing w:after="240"/>
      <w:ind w:left="1440" w:right="1440"/>
    </w:pPr>
  </w:style>
  <w:style w:type="paragraph" w:customStyle="1" w:styleId="Paratitle">
    <w:name w:val="Para title"/>
    <w:basedOn w:val="Normal"/>
    <w:rsid w:val="00AC18B9"/>
    <w:pPr>
      <w:tabs>
        <w:tab w:val="center" w:pos="9270"/>
      </w:tabs>
      <w:spacing w:after="240"/>
    </w:pPr>
    <w:rPr>
      <w:spacing w:val="-2"/>
    </w:rPr>
  </w:style>
  <w:style w:type="paragraph" w:customStyle="1" w:styleId="Bullet">
    <w:name w:val="Bullet"/>
    <w:basedOn w:val="Normal"/>
    <w:rsid w:val="00AC18B9"/>
    <w:pPr>
      <w:tabs>
        <w:tab w:val="left" w:pos="2160"/>
      </w:tabs>
      <w:spacing w:after="220"/>
      <w:ind w:left="2160" w:hanging="720"/>
    </w:pPr>
  </w:style>
  <w:style w:type="paragraph" w:customStyle="1" w:styleId="TableFormat">
    <w:name w:val="TableFormat"/>
    <w:basedOn w:val="Bullet"/>
    <w:rsid w:val="00AC18B9"/>
    <w:pPr>
      <w:tabs>
        <w:tab w:val="clear" w:pos="2160"/>
        <w:tab w:val="left" w:pos="5040"/>
      </w:tabs>
      <w:ind w:left="5040" w:hanging="3600"/>
    </w:pPr>
  </w:style>
  <w:style w:type="paragraph" w:customStyle="1" w:styleId="TOCTitle">
    <w:name w:val="TOC Title"/>
    <w:basedOn w:val="Normal"/>
    <w:rsid w:val="00AC18B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C18B9"/>
    <w:pPr>
      <w:jc w:val="center"/>
    </w:pPr>
    <w:rPr>
      <w:rFonts w:ascii="Times New Roman Bold" w:hAnsi="Times New Roman Bold"/>
      <w:b/>
      <w:bCs/>
      <w:caps/>
      <w:szCs w:val="22"/>
    </w:rPr>
  </w:style>
  <w:style w:type="character" w:styleId="Hyperlink">
    <w:name w:val="Hyperlink"/>
    <w:rsid w:val="00AC18B9"/>
    <w:rPr>
      <w:color w:val="0000FF"/>
      <w:u w:val="single"/>
    </w:rPr>
  </w:style>
  <w:style w:type="character" w:customStyle="1" w:styleId="FootnoteTextChar1">
    <w:name w:val="Footnote Text Char1"/>
    <w:aliases w:val="Footnote Text Char Char,Footnote Text Char2 Char Char,Footnote Text Char Char Char Char,Footnote Text Char1 Char Char1 Char Char,Footnote Text Char Char1 Char Char Char Char,Footnote Text Char3 Char Char Char Char Char Char,fn Char1"/>
    <w:link w:val="FootnoteText"/>
    <w:locked/>
    <w:rsid w:val="00BB2552"/>
  </w:style>
  <w:style w:type="character" w:customStyle="1" w:styleId="BalloonTextChar">
    <w:name w:val="Balloon Text Char"/>
    <w:link w:val="BalloonText"/>
    <w:uiPriority w:val="99"/>
    <w:semiHidden/>
    <w:locked/>
    <w:rsid w:val="006E273B"/>
    <w:rPr>
      <w:rFonts w:ascii="Tahoma" w:hAnsi="Tahoma"/>
      <w:kern w:val="28"/>
      <w:sz w:val="16"/>
    </w:rPr>
  </w:style>
  <w:style w:type="paragraph" w:styleId="CommentText">
    <w:name w:val="annotation text"/>
    <w:basedOn w:val="Normal"/>
    <w:link w:val="CommentTextChar"/>
    <w:uiPriority w:val="99"/>
    <w:semiHidden/>
    <w:rsid w:val="007854B0"/>
    <w:rPr>
      <w:sz w:val="20"/>
      <w:lang w:bidi="he-IL"/>
    </w:rPr>
  </w:style>
  <w:style w:type="paragraph" w:styleId="CommentSubject">
    <w:name w:val="annotation subject"/>
    <w:basedOn w:val="CommentText"/>
    <w:next w:val="CommentText"/>
    <w:link w:val="CommentSubjectChar"/>
    <w:uiPriority w:val="99"/>
    <w:semiHidden/>
    <w:rsid w:val="007854B0"/>
    <w:rPr>
      <w:b/>
    </w:rPr>
  </w:style>
  <w:style w:type="character" w:customStyle="1" w:styleId="CommentTextChar">
    <w:name w:val="Comment Text Char"/>
    <w:link w:val="CommentText"/>
    <w:uiPriority w:val="99"/>
    <w:semiHidden/>
    <w:locked/>
    <w:rsid w:val="006E273B"/>
    <w:rPr>
      <w:kern w:val="28"/>
      <w:sz w:val="20"/>
    </w:rPr>
  </w:style>
  <w:style w:type="character" w:customStyle="1" w:styleId="documentbody1">
    <w:name w:val="documentbody1"/>
    <w:uiPriority w:val="99"/>
    <w:rsid w:val="004D0A27"/>
    <w:rPr>
      <w:rFonts w:ascii="Verdana" w:hAnsi="Verdana"/>
      <w:sz w:val="19"/>
      <w:shd w:val="clear" w:color="auto" w:fill="FFFFFF"/>
    </w:rPr>
  </w:style>
  <w:style w:type="character" w:customStyle="1" w:styleId="CommentSubjectChar">
    <w:name w:val="Comment Subject Char"/>
    <w:link w:val="CommentSubject"/>
    <w:uiPriority w:val="99"/>
    <w:semiHidden/>
    <w:locked/>
    <w:rsid w:val="006E273B"/>
    <w:rPr>
      <w:b/>
      <w:kern w:val="28"/>
      <w:sz w:val="20"/>
    </w:rPr>
  </w:style>
  <w:style w:type="character" w:styleId="Emphasis">
    <w:name w:val="Emphasis"/>
    <w:uiPriority w:val="99"/>
    <w:qFormat/>
    <w:rsid w:val="004D0A27"/>
    <w:rPr>
      <w:rFonts w:cs="Times New Roman"/>
      <w:i/>
    </w:rPr>
  </w:style>
  <w:style w:type="character" w:customStyle="1" w:styleId="ALTSFOOTNOTEChar">
    <w:name w:val="ALTS FOOTNOTE Char"/>
    <w:aliases w:val="rrfootnote Char Char"/>
    <w:uiPriority w:val="99"/>
    <w:semiHidden/>
    <w:locked/>
    <w:rsid w:val="00601200"/>
    <w:rPr>
      <w:lang w:val="en-US" w:eastAsia="en-US"/>
    </w:rPr>
  </w:style>
  <w:style w:type="paragraph" w:styleId="HTMLPreformatted">
    <w:name w:val="HTML Preformatted"/>
    <w:basedOn w:val="Normal"/>
    <w:link w:val="HTMLPreformattedChar"/>
    <w:uiPriority w:val="99"/>
    <w:semiHidden/>
    <w:rsid w:val="002747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lang w:bidi="he-IL"/>
    </w:rPr>
  </w:style>
  <w:style w:type="character" w:customStyle="1" w:styleId="apple-converted-space">
    <w:name w:val="apple-converted-space"/>
    <w:uiPriority w:val="99"/>
    <w:rsid w:val="00AC314D"/>
  </w:style>
  <w:style w:type="character" w:customStyle="1" w:styleId="HTMLPreformattedChar">
    <w:name w:val="HTML Preformatted Char"/>
    <w:link w:val="HTMLPreformatted"/>
    <w:uiPriority w:val="99"/>
    <w:semiHidden/>
    <w:locked/>
    <w:rsid w:val="00274772"/>
    <w:rPr>
      <w:rFonts w:ascii="Courier New" w:hAnsi="Courier New"/>
    </w:rPr>
  </w:style>
  <w:style w:type="character" w:customStyle="1" w:styleId="FootnoteTextCharCharChar1CharCharCharChar">
    <w:name w:val="Footnote Text Char Char Char1 Char Char Char Char"/>
    <w:basedOn w:val="DefaultParagraphFont"/>
    <w:semiHidden/>
    <w:locked/>
    <w:rsid w:val="00DA111B"/>
  </w:style>
  <w:style w:type="character" w:customStyle="1" w:styleId="ParaNumChar1">
    <w:name w:val="ParaNum Char1"/>
    <w:link w:val="ParaNum"/>
    <w:locked/>
    <w:rsid w:val="001D5E2A"/>
    <w:rPr>
      <w:snapToGrid w:val="0"/>
      <w:kern w:val="28"/>
      <w:sz w:val="22"/>
    </w:rPr>
  </w:style>
  <w:style w:type="paragraph" w:styleId="ListParagraph">
    <w:name w:val="List Paragraph"/>
    <w:basedOn w:val="Normal"/>
    <w:uiPriority w:val="34"/>
    <w:qFormat/>
    <w:rsid w:val="0048084B"/>
    <w:pPr>
      <w:ind w:left="720"/>
      <w:contextualSpacing/>
    </w:pPr>
  </w:style>
  <w:style w:type="paragraph" w:styleId="Revision">
    <w:name w:val="Revision"/>
    <w:hidden/>
    <w:uiPriority w:val="99"/>
    <w:semiHidden/>
    <w:rsid w:val="00626D45"/>
    <w:rPr>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6453">
      <w:bodyDiv w:val="1"/>
      <w:marLeft w:val="105"/>
      <w:marRight w:val="105"/>
      <w:marTop w:val="0"/>
      <w:marBottom w:val="0"/>
      <w:divBdr>
        <w:top w:val="none" w:sz="0" w:space="0" w:color="auto"/>
        <w:left w:val="none" w:sz="0" w:space="0" w:color="auto"/>
        <w:bottom w:val="none" w:sz="0" w:space="0" w:color="auto"/>
        <w:right w:val="none" w:sz="0" w:space="0" w:color="auto"/>
      </w:divBdr>
      <w:divsChild>
        <w:div w:id="889462683">
          <w:marLeft w:val="0"/>
          <w:marRight w:val="0"/>
          <w:marTop w:val="0"/>
          <w:marBottom w:val="0"/>
          <w:divBdr>
            <w:top w:val="none" w:sz="0" w:space="0" w:color="auto"/>
            <w:left w:val="none" w:sz="0" w:space="0" w:color="auto"/>
            <w:bottom w:val="none" w:sz="0" w:space="0" w:color="auto"/>
            <w:right w:val="none" w:sz="0" w:space="0" w:color="auto"/>
          </w:divBdr>
          <w:divsChild>
            <w:div w:id="1854147816">
              <w:marLeft w:val="0"/>
              <w:marRight w:val="0"/>
              <w:marTop w:val="0"/>
              <w:marBottom w:val="0"/>
              <w:divBdr>
                <w:top w:val="none" w:sz="0" w:space="0" w:color="auto"/>
                <w:left w:val="none" w:sz="0" w:space="0" w:color="auto"/>
                <w:bottom w:val="none" w:sz="0" w:space="0" w:color="auto"/>
                <w:right w:val="none" w:sz="0" w:space="0" w:color="auto"/>
              </w:divBdr>
            </w:div>
          </w:divsChild>
        </w:div>
        <w:div w:id="1846675590">
          <w:marLeft w:val="0"/>
          <w:marRight w:val="0"/>
          <w:marTop w:val="0"/>
          <w:marBottom w:val="0"/>
          <w:divBdr>
            <w:top w:val="none" w:sz="0" w:space="0" w:color="auto"/>
            <w:left w:val="none" w:sz="0" w:space="0" w:color="auto"/>
            <w:bottom w:val="none" w:sz="0" w:space="0" w:color="auto"/>
            <w:right w:val="none" w:sz="0" w:space="0" w:color="auto"/>
          </w:divBdr>
          <w:divsChild>
            <w:div w:id="185415014">
              <w:marLeft w:val="0"/>
              <w:marRight w:val="0"/>
              <w:marTop w:val="0"/>
              <w:marBottom w:val="0"/>
              <w:divBdr>
                <w:top w:val="none" w:sz="0" w:space="0" w:color="auto"/>
                <w:left w:val="none" w:sz="0" w:space="0" w:color="auto"/>
                <w:bottom w:val="none" w:sz="0" w:space="0" w:color="auto"/>
                <w:right w:val="none" w:sz="0" w:space="0" w:color="auto"/>
              </w:divBdr>
            </w:div>
            <w:div w:id="2127189901">
              <w:marLeft w:val="0"/>
              <w:marRight w:val="0"/>
              <w:marTop w:val="0"/>
              <w:marBottom w:val="0"/>
              <w:divBdr>
                <w:top w:val="none" w:sz="0" w:space="0" w:color="auto"/>
                <w:left w:val="none" w:sz="0" w:space="0" w:color="auto"/>
                <w:bottom w:val="none" w:sz="0" w:space="0" w:color="auto"/>
                <w:right w:val="none" w:sz="0" w:space="0" w:color="auto"/>
              </w:divBdr>
              <w:divsChild>
                <w:div w:id="62326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96257">
      <w:bodyDiv w:val="1"/>
      <w:marLeft w:val="0"/>
      <w:marRight w:val="0"/>
      <w:marTop w:val="0"/>
      <w:marBottom w:val="0"/>
      <w:divBdr>
        <w:top w:val="none" w:sz="0" w:space="0" w:color="auto"/>
        <w:left w:val="none" w:sz="0" w:space="0" w:color="auto"/>
        <w:bottom w:val="none" w:sz="0" w:space="0" w:color="auto"/>
        <w:right w:val="none" w:sz="0" w:space="0" w:color="auto"/>
      </w:divBdr>
    </w:div>
    <w:div w:id="1205411890">
      <w:marLeft w:val="0"/>
      <w:marRight w:val="0"/>
      <w:marTop w:val="0"/>
      <w:marBottom w:val="0"/>
      <w:divBdr>
        <w:top w:val="none" w:sz="0" w:space="0" w:color="auto"/>
        <w:left w:val="none" w:sz="0" w:space="0" w:color="auto"/>
        <w:bottom w:val="none" w:sz="0" w:space="0" w:color="auto"/>
        <w:right w:val="none" w:sz="0" w:space="0" w:color="auto"/>
      </w:divBdr>
    </w:div>
    <w:div w:id="1205411891">
      <w:marLeft w:val="0"/>
      <w:marRight w:val="0"/>
      <w:marTop w:val="0"/>
      <w:marBottom w:val="0"/>
      <w:divBdr>
        <w:top w:val="none" w:sz="0" w:space="0" w:color="auto"/>
        <w:left w:val="none" w:sz="0" w:space="0" w:color="auto"/>
        <w:bottom w:val="none" w:sz="0" w:space="0" w:color="auto"/>
        <w:right w:val="none" w:sz="0" w:space="0" w:color="auto"/>
      </w:divBdr>
    </w:div>
    <w:div w:id="1205411892">
      <w:marLeft w:val="0"/>
      <w:marRight w:val="0"/>
      <w:marTop w:val="0"/>
      <w:marBottom w:val="0"/>
      <w:divBdr>
        <w:top w:val="none" w:sz="0" w:space="0" w:color="auto"/>
        <w:left w:val="none" w:sz="0" w:space="0" w:color="auto"/>
        <w:bottom w:val="none" w:sz="0" w:space="0" w:color="auto"/>
        <w:right w:val="none" w:sz="0" w:space="0" w:color="auto"/>
      </w:divBdr>
    </w:div>
    <w:div w:id="1242332072">
      <w:bodyDiv w:val="1"/>
      <w:marLeft w:val="0"/>
      <w:marRight w:val="0"/>
      <w:marTop w:val="0"/>
      <w:marBottom w:val="0"/>
      <w:divBdr>
        <w:top w:val="none" w:sz="0" w:space="0" w:color="auto"/>
        <w:left w:val="none" w:sz="0" w:space="0" w:color="auto"/>
        <w:bottom w:val="none" w:sz="0" w:space="0" w:color="auto"/>
        <w:right w:val="none" w:sz="0" w:space="0" w:color="auto"/>
      </w:divBdr>
    </w:div>
    <w:div w:id="1571189490">
      <w:bodyDiv w:val="1"/>
      <w:marLeft w:val="0"/>
      <w:marRight w:val="0"/>
      <w:marTop w:val="0"/>
      <w:marBottom w:val="0"/>
      <w:divBdr>
        <w:top w:val="none" w:sz="0" w:space="0" w:color="auto"/>
        <w:left w:val="none" w:sz="0" w:space="0" w:color="auto"/>
        <w:bottom w:val="none" w:sz="0" w:space="0" w:color="auto"/>
        <w:right w:val="none" w:sz="0" w:space="0" w:color="auto"/>
      </w:divBdr>
    </w:div>
    <w:div w:id="1782609880">
      <w:bodyDiv w:val="1"/>
      <w:marLeft w:val="0"/>
      <w:marRight w:val="0"/>
      <w:marTop w:val="0"/>
      <w:marBottom w:val="0"/>
      <w:divBdr>
        <w:top w:val="none" w:sz="0" w:space="0" w:color="auto"/>
        <w:left w:val="none" w:sz="0" w:space="0" w:color="auto"/>
        <w:bottom w:val="none" w:sz="0" w:space="0" w:color="auto"/>
        <w:right w:val="none" w:sz="0" w:space="0" w:color="auto"/>
      </w:divBdr>
    </w:div>
    <w:div w:id="1865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eb2.westlaw.com/find/default.wl?mt=194&amp;db=4493&amp;tc=-1&amp;rp=%2ffind%2fdefault.wl&amp;findtype=Y&amp;ordoc=2018088210&amp;serialnum=1992237816&amp;vr=2.0&amp;fn=_top&amp;sv=Split&amp;tf=-1&amp;pbc=BDC95090&amp;rs=WLW12.04" TargetMode="External"/><Relationship Id="rId1" Type="http://schemas.openxmlformats.org/officeDocument/2006/relationships/hyperlink" Target="https://web2.westlaw.com/find/default.wl?mt=194&amp;db=4493&amp;tc=-1&amp;rp=%2ffind%2fdefault.wl&amp;findtype=Y&amp;ordoc=2006294756&amp;serialnum=1991224243&amp;vr=2.0&amp;fn=_top&amp;sv=Split&amp;tf=-1&amp;referencepositiontype=S&amp;pbc=78A7F634&amp;referenceposition=4388&amp;rs=WLW12.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2516</Words>
  <Characters>13758</Characters>
  <Application>Microsoft Office Word</Application>
  <DocSecurity>0</DocSecurity>
  <Lines>217</Lines>
  <Paragraphs>50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16360</CharactersWithSpaces>
  <SharedDoc>false</SharedDoc>
  <HyperlinkBase> </HyperlinkBase>
  <HLinks>
    <vt:vector size="12" baseType="variant">
      <vt:variant>
        <vt:i4>8323097</vt:i4>
      </vt:variant>
      <vt:variant>
        <vt:i4>21</vt:i4>
      </vt:variant>
      <vt:variant>
        <vt:i4>0</vt:i4>
      </vt:variant>
      <vt:variant>
        <vt:i4>5</vt:i4>
      </vt:variant>
      <vt:variant>
        <vt:lpwstr>https://web2.westlaw.com/find/default.wl?mt=194&amp;db=4493&amp;tc=-1&amp;rp=%2ffind%2fdefault.wl&amp;findtype=Y&amp;ordoc=2018088210&amp;serialnum=1992237816&amp;vr=2.0&amp;fn=_top&amp;sv=Split&amp;tf=-1&amp;pbc=BDC95090&amp;rs=WLW12.04</vt:lpwstr>
      </vt:variant>
      <vt:variant>
        <vt:lpwstr/>
      </vt:variant>
      <vt:variant>
        <vt:i4>2424905</vt:i4>
      </vt:variant>
      <vt:variant>
        <vt:i4>18</vt:i4>
      </vt:variant>
      <vt:variant>
        <vt:i4>0</vt:i4>
      </vt:variant>
      <vt:variant>
        <vt:i4>5</vt:i4>
      </vt:variant>
      <vt:variant>
        <vt:lpwstr>https://web2.westlaw.com/find/default.wl?mt=194&amp;db=4493&amp;tc=-1&amp;rp=%2ffind%2fdefault.wl&amp;findtype=Y&amp;ordoc=2006294756&amp;serialnum=1991224243&amp;vr=2.0&amp;fn=_top&amp;sv=Split&amp;tf=-1&amp;referencepositiontype=S&amp;pbc=78A7F634&amp;referenceposition=4388&amp;rs=WLW12.04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2014-01-30T18:36:00Z</cp:lastPrinted>
  <dcterms:created xsi:type="dcterms:W3CDTF">2014-03-28T18:10:00Z</dcterms:created>
  <dcterms:modified xsi:type="dcterms:W3CDTF">2014-03-28T18:10:00Z</dcterms:modified>
  <cp:category> </cp:category>
  <cp:contentStatus> </cp:contentStatus>
</cp:coreProperties>
</file>