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0" w:rsidRPr="00EC5899" w:rsidRDefault="00211460" w:rsidP="0072705F">
      <w:pPr>
        <w:jc w:val="center"/>
        <w:rPr>
          <w:b/>
          <w:szCs w:val="22"/>
        </w:rPr>
      </w:pPr>
      <w:bookmarkStart w:id="0" w:name="_GoBack"/>
      <w:bookmarkEnd w:id="0"/>
      <w:r w:rsidRPr="00EC5899">
        <w:rPr>
          <w:b/>
          <w:szCs w:val="22"/>
        </w:rPr>
        <w:t>Before the</w:t>
      </w:r>
    </w:p>
    <w:p w:rsidR="00211460" w:rsidRPr="00EC5899" w:rsidRDefault="00211460" w:rsidP="0072705F">
      <w:pPr>
        <w:jc w:val="center"/>
        <w:rPr>
          <w:b/>
          <w:szCs w:val="22"/>
        </w:rPr>
      </w:pPr>
      <w:r w:rsidRPr="00EC5899">
        <w:rPr>
          <w:b/>
          <w:szCs w:val="22"/>
        </w:rPr>
        <w:t>Federal Communications Commission</w:t>
      </w:r>
    </w:p>
    <w:p w:rsidR="00211460" w:rsidRPr="00EC5899" w:rsidRDefault="00211460" w:rsidP="0072705F">
      <w:pPr>
        <w:jc w:val="center"/>
        <w:rPr>
          <w:szCs w:val="22"/>
        </w:rPr>
      </w:pPr>
      <w:r w:rsidRPr="00EC5899">
        <w:rPr>
          <w:b/>
          <w:szCs w:val="22"/>
        </w:rPr>
        <w:t>Washington</w:t>
      </w:r>
      <w:r w:rsidRPr="00D43349">
        <w:rPr>
          <w:rFonts w:ascii="Times New Roman Bold" w:hAnsi="Times New Roman Bold"/>
          <w:b/>
          <w:bCs/>
          <w:caps/>
          <w:snapToGrid/>
          <w:szCs w:val="22"/>
        </w:rPr>
        <w:t>,</w:t>
      </w:r>
      <w:r w:rsidRPr="00EC5899">
        <w:rPr>
          <w:b/>
          <w:szCs w:val="22"/>
        </w:rPr>
        <w:t xml:space="preserve"> D.C.  20554</w:t>
      </w:r>
    </w:p>
    <w:p w:rsidR="00211460" w:rsidRDefault="00211460" w:rsidP="00EC5899">
      <w:pPr>
        <w:jc w:val="both"/>
        <w:rPr>
          <w:szCs w:val="22"/>
        </w:rPr>
      </w:pPr>
    </w:p>
    <w:p w:rsidR="00CD2328" w:rsidRPr="00EC5899" w:rsidRDefault="00CD2328" w:rsidP="00EC5899">
      <w:pPr>
        <w:jc w:val="both"/>
        <w:rPr>
          <w:szCs w:val="22"/>
        </w:rPr>
      </w:pPr>
    </w:p>
    <w:tbl>
      <w:tblPr>
        <w:tblW w:w="9648" w:type="dxa"/>
        <w:tblLayout w:type="fixed"/>
        <w:tblLook w:val="0000" w:firstRow="0" w:lastRow="0" w:firstColumn="0" w:lastColumn="0" w:noHBand="0" w:noVBand="0"/>
      </w:tblPr>
      <w:tblGrid>
        <w:gridCol w:w="4698"/>
        <w:gridCol w:w="720"/>
        <w:gridCol w:w="4230"/>
      </w:tblGrid>
      <w:tr w:rsidR="00974482" w:rsidRPr="00EC5899" w:rsidTr="00410E1D">
        <w:tc>
          <w:tcPr>
            <w:tcW w:w="4698" w:type="dxa"/>
          </w:tcPr>
          <w:p w:rsidR="00974482" w:rsidRPr="00EC5899" w:rsidRDefault="00974482" w:rsidP="00A61442">
            <w:pPr>
              <w:ind w:right="-18"/>
              <w:rPr>
                <w:szCs w:val="22"/>
              </w:rPr>
            </w:pPr>
            <w:r w:rsidRPr="00EC5899">
              <w:rPr>
                <w:szCs w:val="22"/>
              </w:rPr>
              <w:t xml:space="preserve">In </w:t>
            </w:r>
            <w:r w:rsidR="005C77AD">
              <w:rPr>
                <w:szCs w:val="22"/>
              </w:rPr>
              <w:t xml:space="preserve">the Matter </w:t>
            </w:r>
            <w:r w:rsidRPr="00EC5899">
              <w:rPr>
                <w:szCs w:val="22"/>
              </w:rPr>
              <w:t xml:space="preserve">of  </w:t>
            </w:r>
          </w:p>
          <w:p w:rsidR="00974482" w:rsidRPr="00EC5899" w:rsidRDefault="00974482" w:rsidP="00A61442">
            <w:pPr>
              <w:ind w:right="-18"/>
              <w:rPr>
                <w:szCs w:val="22"/>
              </w:rPr>
            </w:pPr>
          </w:p>
          <w:p w:rsidR="00974482" w:rsidRPr="00CE552F" w:rsidRDefault="007D38D2" w:rsidP="00A61442">
            <w:pPr>
              <w:ind w:right="-18"/>
              <w:rPr>
                <w:szCs w:val="22"/>
              </w:rPr>
            </w:pPr>
            <w:r w:rsidRPr="00CE552F">
              <w:rPr>
                <w:szCs w:val="22"/>
              </w:rPr>
              <w:t>Covenant Network</w:t>
            </w:r>
          </w:p>
          <w:p w:rsidR="00974482" w:rsidRPr="00EC5899" w:rsidRDefault="007D38D2" w:rsidP="00CD2328">
            <w:pPr>
              <w:ind w:right="-18"/>
              <w:rPr>
                <w:b/>
                <w:szCs w:val="22"/>
              </w:rPr>
            </w:pPr>
            <w:r w:rsidRPr="00EC5899">
              <w:rPr>
                <w:szCs w:val="22"/>
              </w:rPr>
              <w:t>For a New Non</w:t>
            </w:r>
            <w:r w:rsidR="00A61442">
              <w:rPr>
                <w:szCs w:val="22"/>
              </w:rPr>
              <w:t>c</w:t>
            </w:r>
            <w:r w:rsidRPr="00EC5899">
              <w:rPr>
                <w:szCs w:val="22"/>
              </w:rPr>
              <w:t xml:space="preserve">ommercial </w:t>
            </w:r>
            <w:r w:rsidR="00A61442">
              <w:rPr>
                <w:szCs w:val="22"/>
              </w:rPr>
              <w:t xml:space="preserve">Educational </w:t>
            </w:r>
            <w:r w:rsidRPr="00EC5899">
              <w:rPr>
                <w:szCs w:val="22"/>
              </w:rPr>
              <w:t>FM Station at Macomb, Illinois</w:t>
            </w:r>
          </w:p>
        </w:tc>
        <w:tc>
          <w:tcPr>
            <w:tcW w:w="720" w:type="dxa"/>
          </w:tcPr>
          <w:p w:rsidR="00974482" w:rsidRPr="00EC5899" w:rsidRDefault="00974482" w:rsidP="00EC5899">
            <w:pPr>
              <w:jc w:val="both"/>
              <w:rPr>
                <w:b/>
                <w:szCs w:val="22"/>
              </w:rPr>
            </w:pPr>
            <w:r w:rsidRPr="00EC5899">
              <w:rPr>
                <w:b/>
                <w:szCs w:val="22"/>
              </w:rPr>
              <w:t>)</w:t>
            </w:r>
          </w:p>
          <w:p w:rsidR="00974482" w:rsidRPr="00EC5899" w:rsidRDefault="00974482" w:rsidP="00EC5899">
            <w:pPr>
              <w:jc w:val="both"/>
              <w:rPr>
                <w:b/>
                <w:szCs w:val="22"/>
              </w:rPr>
            </w:pPr>
            <w:r w:rsidRPr="00EC5899">
              <w:rPr>
                <w:b/>
                <w:szCs w:val="22"/>
              </w:rPr>
              <w:t>)</w:t>
            </w:r>
          </w:p>
          <w:p w:rsidR="00974482" w:rsidRPr="00EC5899" w:rsidRDefault="00974482" w:rsidP="00EC5899">
            <w:pPr>
              <w:jc w:val="both"/>
              <w:rPr>
                <w:b/>
                <w:szCs w:val="22"/>
              </w:rPr>
            </w:pPr>
            <w:r w:rsidRPr="00EC5899">
              <w:rPr>
                <w:b/>
                <w:szCs w:val="22"/>
              </w:rPr>
              <w:t>)</w:t>
            </w:r>
          </w:p>
          <w:p w:rsidR="00974482" w:rsidRPr="00EC5899" w:rsidRDefault="00974482" w:rsidP="00EC5899">
            <w:pPr>
              <w:jc w:val="both"/>
              <w:rPr>
                <w:b/>
                <w:szCs w:val="22"/>
              </w:rPr>
            </w:pPr>
            <w:r w:rsidRPr="00EC5899">
              <w:rPr>
                <w:b/>
                <w:szCs w:val="22"/>
              </w:rPr>
              <w:t>)</w:t>
            </w:r>
          </w:p>
          <w:p w:rsidR="00974482" w:rsidRPr="00EC5899" w:rsidRDefault="00974482" w:rsidP="00CD2328">
            <w:pPr>
              <w:jc w:val="both"/>
              <w:rPr>
                <w:b/>
                <w:szCs w:val="22"/>
              </w:rPr>
            </w:pPr>
            <w:r w:rsidRPr="00EC5899">
              <w:rPr>
                <w:b/>
                <w:szCs w:val="22"/>
              </w:rPr>
              <w:t>)</w:t>
            </w:r>
          </w:p>
        </w:tc>
        <w:tc>
          <w:tcPr>
            <w:tcW w:w="4230" w:type="dxa"/>
          </w:tcPr>
          <w:p w:rsidR="00974482" w:rsidRPr="00EC5899" w:rsidRDefault="00974482" w:rsidP="00EC5899">
            <w:pPr>
              <w:jc w:val="both"/>
              <w:rPr>
                <w:szCs w:val="22"/>
              </w:rPr>
            </w:pPr>
          </w:p>
          <w:p w:rsidR="00974482" w:rsidRPr="00EC5899" w:rsidRDefault="00974482" w:rsidP="00EC5899">
            <w:pPr>
              <w:jc w:val="both"/>
              <w:rPr>
                <w:szCs w:val="22"/>
              </w:rPr>
            </w:pPr>
          </w:p>
          <w:p w:rsidR="00974482" w:rsidRPr="00EC5899" w:rsidRDefault="007D38D2" w:rsidP="00EC5899">
            <w:pPr>
              <w:jc w:val="both"/>
              <w:rPr>
                <w:szCs w:val="22"/>
              </w:rPr>
            </w:pPr>
            <w:r w:rsidRPr="00EC5899">
              <w:rPr>
                <w:szCs w:val="22"/>
              </w:rPr>
              <w:t>File No. BNPED-20071018BDN</w:t>
            </w:r>
          </w:p>
          <w:p w:rsidR="007D38D2" w:rsidRPr="00EC5899" w:rsidRDefault="007D38D2" w:rsidP="00EC5899">
            <w:pPr>
              <w:jc w:val="both"/>
              <w:rPr>
                <w:szCs w:val="22"/>
              </w:rPr>
            </w:pPr>
            <w:r w:rsidRPr="00EC5899">
              <w:rPr>
                <w:szCs w:val="22"/>
              </w:rPr>
              <w:t>Facility ID No. 172248</w:t>
            </w:r>
          </w:p>
          <w:p w:rsidR="00974482" w:rsidRPr="00EC5899" w:rsidRDefault="00974482" w:rsidP="00EC5899">
            <w:pPr>
              <w:jc w:val="both"/>
              <w:rPr>
                <w:szCs w:val="22"/>
              </w:rPr>
            </w:pPr>
          </w:p>
        </w:tc>
      </w:tr>
    </w:tbl>
    <w:p w:rsidR="00CD2328" w:rsidRDefault="00CD2328" w:rsidP="00CD2328">
      <w:pPr>
        <w:jc w:val="both"/>
        <w:rPr>
          <w:snapToGrid/>
        </w:rPr>
      </w:pPr>
    </w:p>
    <w:p w:rsidR="0004767F" w:rsidRDefault="0004767F" w:rsidP="00CD2328">
      <w:pPr>
        <w:jc w:val="both"/>
        <w:rPr>
          <w:snapToGrid/>
        </w:rPr>
      </w:pPr>
    </w:p>
    <w:p w:rsidR="00211460" w:rsidRDefault="00211460" w:rsidP="00CD2328">
      <w:pPr>
        <w:pStyle w:val="StyleBoldCentered"/>
      </w:pPr>
      <w:r w:rsidRPr="00D43349">
        <w:rPr>
          <w:snapToGrid/>
        </w:rPr>
        <w:t>MEMORANDUM</w:t>
      </w:r>
      <w:r w:rsidR="00CD2328">
        <w:t xml:space="preserve"> OPINION AND ORDER</w:t>
      </w:r>
    </w:p>
    <w:p w:rsidR="00CD2328" w:rsidRDefault="00CD2328" w:rsidP="00CD2328">
      <w:pPr>
        <w:jc w:val="both"/>
        <w:rPr>
          <w:szCs w:val="22"/>
        </w:rPr>
      </w:pPr>
    </w:p>
    <w:tbl>
      <w:tblPr>
        <w:tblW w:w="0" w:type="auto"/>
        <w:tblLook w:val="0000" w:firstRow="0" w:lastRow="0" w:firstColumn="0" w:lastColumn="0" w:noHBand="0" w:noVBand="0"/>
      </w:tblPr>
      <w:tblGrid>
        <w:gridCol w:w="4788"/>
        <w:gridCol w:w="4788"/>
      </w:tblGrid>
      <w:tr w:rsidR="006E34A9" w:rsidRPr="00EC5899" w:rsidTr="00E853D9">
        <w:tc>
          <w:tcPr>
            <w:tcW w:w="4788" w:type="dxa"/>
          </w:tcPr>
          <w:p w:rsidR="006E34A9" w:rsidRPr="00A5353E" w:rsidRDefault="006E34A9" w:rsidP="00A77F45">
            <w:pPr>
              <w:suppressAutoHyphens/>
              <w:spacing w:line="227" w:lineRule="auto"/>
              <w:rPr>
                <w:b/>
                <w:spacing w:val="-2"/>
              </w:rPr>
            </w:pPr>
            <w:r w:rsidRPr="00A5353E">
              <w:rPr>
                <w:b/>
                <w:spacing w:val="-2"/>
              </w:rPr>
              <w:t xml:space="preserve">Adopted:  </w:t>
            </w:r>
            <w:r w:rsidR="00A77F45">
              <w:rPr>
                <w:b/>
                <w:spacing w:val="-2"/>
              </w:rPr>
              <w:t>April 15, 2014</w:t>
            </w:r>
          </w:p>
        </w:tc>
        <w:tc>
          <w:tcPr>
            <w:tcW w:w="4788" w:type="dxa"/>
          </w:tcPr>
          <w:p w:rsidR="006E34A9" w:rsidRPr="00A5353E" w:rsidRDefault="0004767F" w:rsidP="00A77F45">
            <w:pPr>
              <w:suppressAutoHyphens/>
              <w:spacing w:line="227" w:lineRule="auto"/>
              <w:rPr>
                <w:spacing w:val="-2"/>
              </w:rPr>
            </w:pPr>
            <w:r>
              <w:rPr>
                <w:b/>
                <w:spacing w:val="-2"/>
              </w:rPr>
              <w:t xml:space="preserve">                                      </w:t>
            </w:r>
            <w:r w:rsidR="006E34A9" w:rsidRPr="00A5353E">
              <w:rPr>
                <w:b/>
                <w:spacing w:val="-2"/>
              </w:rPr>
              <w:t xml:space="preserve">Released:  </w:t>
            </w:r>
            <w:r w:rsidR="00A77F45">
              <w:rPr>
                <w:b/>
                <w:spacing w:val="-2"/>
              </w:rPr>
              <w:t>April 16, 2014</w:t>
            </w:r>
          </w:p>
        </w:tc>
      </w:tr>
      <w:tr w:rsidR="0004767F" w:rsidRPr="00EC5899" w:rsidTr="00E853D9">
        <w:tc>
          <w:tcPr>
            <w:tcW w:w="4788" w:type="dxa"/>
          </w:tcPr>
          <w:p w:rsidR="0004767F" w:rsidRPr="00A5353E" w:rsidRDefault="0004767F" w:rsidP="00A77F45">
            <w:pPr>
              <w:suppressAutoHyphens/>
              <w:spacing w:line="227" w:lineRule="auto"/>
              <w:rPr>
                <w:b/>
                <w:spacing w:val="-2"/>
              </w:rPr>
            </w:pPr>
          </w:p>
        </w:tc>
        <w:tc>
          <w:tcPr>
            <w:tcW w:w="4788" w:type="dxa"/>
          </w:tcPr>
          <w:p w:rsidR="0004767F" w:rsidRPr="00A5353E" w:rsidRDefault="0004767F" w:rsidP="00A77F45">
            <w:pPr>
              <w:suppressAutoHyphens/>
              <w:spacing w:line="227" w:lineRule="auto"/>
              <w:rPr>
                <w:b/>
                <w:spacing w:val="-2"/>
              </w:rPr>
            </w:pPr>
          </w:p>
        </w:tc>
      </w:tr>
    </w:tbl>
    <w:p w:rsidR="00211460" w:rsidRPr="00EC5899" w:rsidRDefault="00211460" w:rsidP="00EC5899">
      <w:pPr>
        <w:tabs>
          <w:tab w:val="left" w:pos="1980"/>
          <w:tab w:val="left" w:pos="4680"/>
        </w:tabs>
        <w:jc w:val="both"/>
        <w:rPr>
          <w:szCs w:val="22"/>
        </w:rPr>
      </w:pPr>
      <w:r w:rsidRPr="00EC5899">
        <w:rPr>
          <w:szCs w:val="22"/>
        </w:rPr>
        <w:t>By the Commission:</w:t>
      </w:r>
      <w:r w:rsidRPr="00EC5899">
        <w:rPr>
          <w:szCs w:val="22"/>
        </w:rPr>
        <w:tab/>
        <w:t xml:space="preserve"> </w:t>
      </w:r>
    </w:p>
    <w:p w:rsidR="00CD2328" w:rsidRPr="00EC5899" w:rsidRDefault="00CD2328" w:rsidP="00EC5899">
      <w:pPr>
        <w:tabs>
          <w:tab w:val="left" w:pos="1980"/>
          <w:tab w:val="left" w:pos="4680"/>
        </w:tabs>
        <w:jc w:val="both"/>
        <w:rPr>
          <w:szCs w:val="22"/>
        </w:rPr>
      </w:pPr>
    </w:p>
    <w:p w:rsidR="00F41290" w:rsidRPr="00991E2C" w:rsidRDefault="000C5BE5" w:rsidP="00983858">
      <w:pPr>
        <w:pStyle w:val="ParaNum"/>
      </w:pPr>
      <w:r w:rsidRPr="00EC5899">
        <w:t xml:space="preserve">The Commission has </w:t>
      </w:r>
      <w:r w:rsidR="005160C9" w:rsidRPr="00EC5899">
        <w:t xml:space="preserve">before it </w:t>
      </w:r>
      <w:r w:rsidR="007D38D2" w:rsidRPr="00EC5899">
        <w:t>an Application for Review</w:t>
      </w:r>
      <w:r w:rsidRPr="00EC5899">
        <w:t xml:space="preserve"> </w:t>
      </w:r>
      <w:r w:rsidR="007464BE" w:rsidRPr="00EC5899">
        <w:t xml:space="preserve">(“AFR”) </w:t>
      </w:r>
      <w:r w:rsidRPr="00EC5899">
        <w:t xml:space="preserve">filed by </w:t>
      </w:r>
      <w:r w:rsidR="007D38D2" w:rsidRPr="00EC5899">
        <w:t>Covenant Network</w:t>
      </w:r>
      <w:r w:rsidR="005160C9" w:rsidRPr="00EC5899">
        <w:t xml:space="preserve"> (“Covenant”)</w:t>
      </w:r>
      <w:r w:rsidRPr="00EC5899">
        <w:t xml:space="preserve"> on </w:t>
      </w:r>
      <w:r w:rsidR="004A6ACD" w:rsidRPr="00EC5899">
        <w:t>February 20, 2009</w:t>
      </w:r>
      <w:r w:rsidRPr="00EC5899">
        <w:t>.</w:t>
      </w:r>
      <w:r w:rsidR="004D0816" w:rsidRPr="00EC5899">
        <w:t xml:space="preserve"> </w:t>
      </w:r>
      <w:r w:rsidR="00A65DBA" w:rsidRPr="00EC5899">
        <w:t xml:space="preserve"> </w:t>
      </w:r>
      <w:r w:rsidR="007D38D2" w:rsidRPr="00EC5899">
        <w:t>Covenant</w:t>
      </w:r>
      <w:r w:rsidR="00F77925" w:rsidRPr="00EC5899">
        <w:t xml:space="preserve"> </w:t>
      </w:r>
      <w:r w:rsidR="007D38D2" w:rsidRPr="00EC5899">
        <w:t>challenges</w:t>
      </w:r>
      <w:r w:rsidR="006E18C7" w:rsidRPr="00EC5899">
        <w:t xml:space="preserve"> </w:t>
      </w:r>
      <w:r w:rsidR="004A6ACD" w:rsidRPr="00EC5899">
        <w:t>the dismissal of its application for a new non-commercial FM station at Macomb, Illinois</w:t>
      </w:r>
      <w:r w:rsidR="00F41290" w:rsidRPr="00EC5899">
        <w:t xml:space="preserve"> (“Application”)</w:t>
      </w:r>
      <w:r w:rsidR="004A6ACD" w:rsidRPr="00EC5899">
        <w:t>, for failure to satisfy the community coverage requirements set forth in Section 73.515 of the Commission’s rules (“Rules”).</w:t>
      </w:r>
      <w:r w:rsidR="00F41290" w:rsidRPr="00EC5899">
        <w:rPr>
          <w:rStyle w:val="FootnoteReference"/>
          <w:szCs w:val="22"/>
        </w:rPr>
        <w:footnoteReference w:id="2"/>
      </w:r>
      <w:r w:rsidR="005160C9" w:rsidRPr="00EC5899">
        <w:t xml:space="preserve">  </w:t>
      </w:r>
    </w:p>
    <w:p w:rsidR="00F41290" w:rsidRPr="00991E2C" w:rsidRDefault="00F41290" w:rsidP="00983858">
      <w:pPr>
        <w:pStyle w:val="ParaNum"/>
      </w:pPr>
      <w:r w:rsidRPr="00EC5899">
        <w:t xml:space="preserve">Covenant filed the Application during a filing window </w:t>
      </w:r>
      <w:r w:rsidR="00F369BE" w:rsidRPr="00EC5899">
        <w:t>opened by the Commission in October 2007</w:t>
      </w:r>
      <w:r w:rsidRPr="00EC5899">
        <w:t>.  Subsequently, the Commission determined that the Application was mutually exclusive with another application filed during that window.</w:t>
      </w:r>
      <w:r w:rsidRPr="00EC5899">
        <w:rPr>
          <w:rStyle w:val="FootnoteReference"/>
          <w:szCs w:val="22"/>
        </w:rPr>
        <w:footnoteReference w:id="3"/>
      </w:r>
      <w:r w:rsidRPr="00EC5899">
        <w:t xml:space="preserve">  Covenant then amended the </w:t>
      </w:r>
      <w:r w:rsidR="005B612B" w:rsidRPr="00EC5899">
        <w:t>Application</w:t>
      </w:r>
      <w:r w:rsidR="005B612B">
        <w:t xml:space="preserve"> </w:t>
      </w:r>
      <w:r w:rsidR="005B612B" w:rsidRPr="00EC5899">
        <w:t>in</w:t>
      </w:r>
      <w:r w:rsidRPr="00EC5899">
        <w:t xml:space="preserve"> an attempt to </w:t>
      </w:r>
      <w:r w:rsidR="00264E0F" w:rsidRPr="00EC5899">
        <w:t>eliminate</w:t>
      </w:r>
      <w:r w:rsidRPr="00EC5899">
        <w:t xml:space="preserve"> the mutual exclusivity.  </w:t>
      </w:r>
      <w:r w:rsidR="007464BE" w:rsidRPr="00EC5899">
        <w:t>The</w:t>
      </w:r>
      <w:r w:rsidRPr="00EC5899">
        <w:t xml:space="preserve"> Media Bureau (“Bureau”) dismissed the Application as unacceptable for filing, explaining that “an engineering study … revealed that the proposed facility fails to provide adequate community coverage” as required by Section 73.515 of the Rules</w:t>
      </w:r>
      <w:r w:rsidR="001607B4">
        <w:t xml:space="preserve"> and </w:t>
      </w:r>
      <w:r w:rsidR="00A61CE4">
        <w:t>noting that the application did not address this coverage issue</w:t>
      </w:r>
      <w:r w:rsidRPr="00EC5899">
        <w:t>.</w:t>
      </w:r>
      <w:r w:rsidRPr="00EC5899">
        <w:rPr>
          <w:rStyle w:val="FootnoteReference"/>
          <w:szCs w:val="22"/>
        </w:rPr>
        <w:footnoteReference w:id="4"/>
      </w:r>
      <w:r w:rsidRPr="00EC5899">
        <w:t xml:space="preserve">  </w:t>
      </w:r>
    </w:p>
    <w:p w:rsidR="00F41290" w:rsidRPr="00991E2C" w:rsidRDefault="002245D1" w:rsidP="00983858">
      <w:pPr>
        <w:pStyle w:val="ParaNum"/>
      </w:pPr>
      <w:r w:rsidRPr="00EC5899">
        <w:t>Covenant challenged the Bureau’s decision</w:t>
      </w:r>
      <w:r w:rsidR="00264E0F" w:rsidRPr="00EC5899">
        <w:t xml:space="preserve"> in a </w:t>
      </w:r>
      <w:r w:rsidR="005F26E3">
        <w:t>“</w:t>
      </w:r>
      <w:r w:rsidR="00264E0F" w:rsidRPr="00EC5899">
        <w:t xml:space="preserve">Petition for Reconsideration and Petition for Leave to Amend and for Reinstatement of Application </w:t>
      </w:r>
      <w:r w:rsidR="00264E0F" w:rsidRPr="00EC5899">
        <w:rPr>
          <w:i/>
        </w:rPr>
        <w:t>Nunc Pro Tunc</w:t>
      </w:r>
      <w:r w:rsidR="005F26E3" w:rsidRPr="005B612B">
        <w:t>”</w:t>
      </w:r>
      <w:r w:rsidR="00264E0F" w:rsidRPr="00EC5899">
        <w:t xml:space="preserve"> (“November Petition”)</w:t>
      </w:r>
      <w:r w:rsidR="009E13D5" w:rsidRPr="00EC5899">
        <w:t>.</w:t>
      </w:r>
      <w:r w:rsidR="00C422D3" w:rsidRPr="00EC5899">
        <w:rPr>
          <w:rStyle w:val="FootnoteReference"/>
          <w:szCs w:val="22"/>
        </w:rPr>
        <w:footnoteReference w:id="5"/>
      </w:r>
      <w:r w:rsidR="00F41290" w:rsidRPr="00EC5899">
        <w:t xml:space="preserve">  </w:t>
      </w:r>
      <w:r w:rsidRPr="00EC5899">
        <w:t xml:space="preserve">It </w:t>
      </w:r>
      <w:r w:rsidR="00264E0F" w:rsidRPr="00EC5899">
        <w:t>concurrently</w:t>
      </w:r>
      <w:r w:rsidR="00F41290" w:rsidRPr="00EC5899">
        <w:t xml:space="preserve"> </w:t>
      </w:r>
      <w:r w:rsidR="00A61CE4">
        <w:t xml:space="preserve">again </w:t>
      </w:r>
      <w:r w:rsidR="000F0F5C">
        <w:t xml:space="preserve">sought to </w:t>
      </w:r>
      <w:r w:rsidRPr="00EC5899">
        <w:t>amend</w:t>
      </w:r>
      <w:r w:rsidR="00F41290" w:rsidRPr="00EC5899">
        <w:t xml:space="preserve"> the Application </w:t>
      </w:r>
      <w:r w:rsidRPr="00EC5899">
        <w:t xml:space="preserve">to include a new exhibit, which Covenant claimed demonstrated compliance with the Commission’s community coverage requirements.  </w:t>
      </w:r>
      <w:r w:rsidR="007464BE" w:rsidRPr="00EC5899">
        <w:t>The</w:t>
      </w:r>
      <w:r w:rsidR="009E13D5" w:rsidRPr="00EC5899">
        <w:t xml:space="preserve"> Bureau denied the </w:t>
      </w:r>
      <w:r w:rsidR="00C422D3" w:rsidRPr="00EC5899">
        <w:t xml:space="preserve">November </w:t>
      </w:r>
      <w:r w:rsidR="009E13D5" w:rsidRPr="00EC5899">
        <w:t>Petition.</w:t>
      </w:r>
      <w:r w:rsidR="00C422D3" w:rsidRPr="00EC5899">
        <w:rPr>
          <w:rStyle w:val="FootnoteReference"/>
          <w:szCs w:val="22"/>
        </w:rPr>
        <w:footnoteReference w:id="6"/>
      </w:r>
      <w:r w:rsidR="009E13D5" w:rsidRPr="00EC5899">
        <w:t xml:space="preserve">  The Bureau </w:t>
      </w:r>
      <w:r w:rsidRPr="00EC5899">
        <w:t xml:space="preserve">noted that the amendment did not alter any of the technical characteristics of the proposed station.  It explained that, by its own calculations, the proposed facility </w:t>
      </w:r>
      <w:r w:rsidR="001A1489">
        <w:t xml:space="preserve">still </w:t>
      </w:r>
      <w:r w:rsidRPr="00EC5899">
        <w:t>did not satisfy the community coverage requirements and set forth the percentages of total population and total area that it calculated the proposed station would cover.</w:t>
      </w:r>
      <w:r w:rsidR="00674E75">
        <w:t xml:space="preserve"> </w:t>
      </w:r>
    </w:p>
    <w:p w:rsidR="000C5BE5" w:rsidRPr="00D43349" w:rsidRDefault="00F41290" w:rsidP="009E14A4">
      <w:pPr>
        <w:pStyle w:val="ParaNum"/>
        <w:keepNext/>
        <w:widowControl/>
      </w:pPr>
      <w:r w:rsidRPr="00EC5899">
        <w:t xml:space="preserve"> </w:t>
      </w:r>
      <w:r w:rsidR="002245D1" w:rsidRPr="00EC5899">
        <w:t>Covenant challenged this decision</w:t>
      </w:r>
      <w:r w:rsidR="005160C9" w:rsidRPr="00EC5899">
        <w:t xml:space="preserve"> </w:t>
      </w:r>
      <w:r w:rsidR="002245D1" w:rsidRPr="00EC5899">
        <w:t xml:space="preserve">too </w:t>
      </w:r>
      <w:r w:rsidR="00264E0F" w:rsidRPr="00EC5899">
        <w:t xml:space="preserve">in a </w:t>
      </w:r>
      <w:r w:rsidR="005F26E3">
        <w:t>“</w:t>
      </w:r>
      <w:r w:rsidR="00264E0F" w:rsidRPr="00EC5899">
        <w:t xml:space="preserve">Petition for Reconsideration and Petition for Leave to Amend and for Reinstatement of Application </w:t>
      </w:r>
      <w:r w:rsidR="00264E0F" w:rsidRPr="00EC5899">
        <w:rPr>
          <w:i/>
        </w:rPr>
        <w:t>Nunc Pro Tunc</w:t>
      </w:r>
      <w:r w:rsidR="00264E0F" w:rsidRPr="00EC5899">
        <w:t xml:space="preserve"> or, in the Alternative, Application </w:t>
      </w:r>
      <w:r w:rsidR="00264E0F" w:rsidRPr="00EC5899">
        <w:lastRenderedPageBreak/>
        <w:t>for Review</w:t>
      </w:r>
      <w:r w:rsidR="005F26E3">
        <w:t>”</w:t>
      </w:r>
      <w:r w:rsidR="00264E0F" w:rsidRPr="00EC5899">
        <w:t xml:space="preserve"> (“December Petition”).  It</w:t>
      </w:r>
      <w:r w:rsidR="002245D1" w:rsidRPr="00EC5899">
        <w:t xml:space="preserve"> </w:t>
      </w:r>
      <w:r w:rsidR="00264E0F" w:rsidRPr="00EC5899">
        <w:t xml:space="preserve">again </w:t>
      </w:r>
      <w:r w:rsidR="000F0F5C">
        <w:t xml:space="preserve">sought to </w:t>
      </w:r>
      <w:r w:rsidR="002245D1" w:rsidRPr="00EC5899">
        <w:t xml:space="preserve">amend its Application to include a new </w:t>
      </w:r>
      <w:r w:rsidR="00A61CE4">
        <w:t xml:space="preserve">coverage </w:t>
      </w:r>
      <w:r w:rsidR="002245D1" w:rsidRPr="00EC5899">
        <w:t>exhibit.</w:t>
      </w:r>
      <w:r w:rsidR="00C422D3" w:rsidRPr="00EC5899">
        <w:rPr>
          <w:rStyle w:val="FootnoteReference"/>
          <w:szCs w:val="22"/>
        </w:rPr>
        <w:footnoteReference w:id="7"/>
      </w:r>
      <w:r w:rsidR="002245D1" w:rsidRPr="00EC5899">
        <w:t xml:space="preserve">  </w:t>
      </w:r>
      <w:r w:rsidR="007464BE" w:rsidRPr="00EC5899">
        <w:t>T</w:t>
      </w:r>
      <w:r w:rsidR="00C422D3" w:rsidRPr="00EC5899">
        <w:t>he Bureau dismissed the December Petition</w:t>
      </w:r>
      <w:r w:rsidR="00A61CE4">
        <w:t xml:space="preserve"> and rejected the amendment,</w:t>
      </w:r>
      <w:r w:rsidR="00C422D3" w:rsidRPr="00EC5899">
        <w:rPr>
          <w:rStyle w:val="FootnoteReference"/>
          <w:szCs w:val="22"/>
        </w:rPr>
        <w:footnoteReference w:id="8"/>
      </w:r>
      <w:r w:rsidR="00C422D3" w:rsidRPr="00EC5899">
        <w:t xml:space="preserve"> </w:t>
      </w:r>
      <w:r w:rsidR="00A61CE4">
        <w:t>citing</w:t>
      </w:r>
      <w:r w:rsidR="00C422D3" w:rsidRPr="00EC5899">
        <w:t xml:space="preserve"> the Commission’s established policy</w:t>
      </w:r>
      <w:r w:rsidR="00887778">
        <w:t>, announced in 1984,</w:t>
      </w:r>
      <w:r w:rsidR="00C422D3" w:rsidRPr="00EC5899">
        <w:t xml:space="preserve"> of denying </w:t>
      </w:r>
      <w:r w:rsidR="00C422D3" w:rsidRPr="00EC5899">
        <w:rPr>
          <w:i/>
        </w:rPr>
        <w:t>nunc pro tunc</w:t>
      </w:r>
      <w:r w:rsidR="00C422D3" w:rsidRPr="00EC5899">
        <w:t xml:space="preserve"> reconsideration rights to </w:t>
      </w:r>
      <w:r w:rsidR="00A61CE4">
        <w:t xml:space="preserve">an </w:t>
      </w:r>
      <w:r w:rsidR="00C422D3" w:rsidRPr="00EC5899">
        <w:t>applicant whose application is returned or dismissed a second time.</w:t>
      </w:r>
      <w:r w:rsidR="00C422D3" w:rsidRPr="00EC5899">
        <w:rPr>
          <w:rStyle w:val="FootnoteReference"/>
          <w:szCs w:val="22"/>
        </w:rPr>
        <w:footnoteReference w:id="9"/>
      </w:r>
    </w:p>
    <w:p w:rsidR="006D6294" w:rsidRDefault="007464BE" w:rsidP="00983858">
      <w:pPr>
        <w:pStyle w:val="ParaNum"/>
      </w:pPr>
      <w:r w:rsidRPr="00D260F3">
        <w:t xml:space="preserve">Covenant seeks Commission review of these Bureau decisions.  It argues that the </w:t>
      </w:r>
      <w:r w:rsidR="005722EC" w:rsidRPr="00D260F3">
        <w:t>I</w:t>
      </w:r>
      <w:r w:rsidRPr="00D260F3">
        <w:t xml:space="preserve">nitial </w:t>
      </w:r>
      <w:r w:rsidR="005722EC" w:rsidRPr="00D260F3">
        <w:t>Bureau D</w:t>
      </w:r>
      <w:r w:rsidRPr="00D260F3">
        <w:t xml:space="preserve">ecision failed to comply with the precedent set forth in </w:t>
      </w:r>
      <w:r w:rsidRPr="00D260F3">
        <w:rPr>
          <w:i/>
        </w:rPr>
        <w:t>Salzer v. FCC,</w:t>
      </w:r>
      <w:r w:rsidR="008F6610" w:rsidRPr="00EC5899">
        <w:rPr>
          <w:rStyle w:val="FootnoteReference"/>
          <w:szCs w:val="22"/>
        </w:rPr>
        <w:footnoteReference w:id="10"/>
      </w:r>
      <w:r w:rsidRPr="00D260F3">
        <w:t xml:space="preserve"> </w:t>
      </w:r>
      <w:r w:rsidR="00D260F3" w:rsidRPr="00D260F3">
        <w:t xml:space="preserve">and </w:t>
      </w:r>
      <w:r w:rsidR="00D260F3" w:rsidRPr="005B612B">
        <w:rPr>
          <w:i/>
        </w:rPr>
        <w:t>Glaser v. FCC</w:t>
      </w:r>
      <w:r w:rsidR="00D260F3">
        <w:t>,</w:t>
      </w:r>
      <w:r w:rsidR="00D260F3">
        <w:rPr>
          <w:rStyle w:val="FootnoteReference"/>
          <w:szCs w:val="22"/>
        </w:rPr>
        <w:footnoteReference w:id="11"/>
      </w:r>
      <w:r w:rsidR="00D260F3">
        <w:t xml:space="preserve"> </w:t>
      </w:r>
      <w:r w:rsidRPr="00D260F3">
        <w:t>and asserts that various aspects of the Bureau decisions violated the Administrative Procedure Act.</w:t>
      </w:r>
      <w:r w:rsidR="00750A3F" w:rsidRPr="00EC5899">
        <w:rPr>
          <w:rStyle w:val="FootnoteReference"/>
          <w:szCs w:val="22"/>
        </w:rPr>
        <w:footnoteReference w:id="12"/>
      </w:r>
      <w:r w:rsidRPr="00D260F3">
        <w:t xml:space="preserve">  Covenant makes these arguments for the first time in its AFR.</w:t>
      </w:r>
      <w:r w:rsidR="00D260F3" w:rsidRPr="00D260F3" w:rsidDel="00D260F3">
        <w:t xml:space="preserve"> </w:t>
      </w:r>
    </w:p>
    <w:p w:rsidR="006D6294" w:rsidRDefault="0030309E" w:rsidP="00983858">
      <w:pPr>
        <w:pStyle w:val="ParaNum"/>
      </w:pPr>
      <w:r w:rsidRPr="009D6C11">
        <w:t xml:space="preserve">Upon review of the AFR and the entire record, we conclude that Covenant’s arguments must fail because Covenant never presented them to the Bureau.  </w:t>
      </w:r>
      <w:r w:rsidR="00FC4D30" w:rsidRPr="009D6C11">
        <w:t xml:space="preserve">Section 5(c)(5) of the Communications Act of 1934, as amended, and Section 1.115(c) of bar applications for review that </w:t>
      </w:r>
      <w:r w:rsidR="009B073F" w:rsidRPr="009D6C11">
        <w:t>rely “</w:t>
      </w:r>
      <w:r w:rsidR="00FC4D30" w:rsidRPr="009D6C11">
        <w:t>on questions of fact or law upon which the [designated authority issuing the decision] has been afforded no opportunity to pass.”</w:t>
      </w:r>
      <w:r w:rsidR="009B073F" w:rsidRPr="00D260F3">
        <w:rPr>
          <w:rStyle w:val="FootnoteReference"/>
          <w:szCs w:val="22"/>
        </w:rPr>
        <w:footnoteReference w:id="13"/>
      </w:r>
      <w:r w:rsidR="00FC4D30" w:rsidRPr="009D6C11">
        <w:t xml:space="preserve">  </w:t>
      </w:r>
    </w:p>
    <w:p w:rsidR="000C5BE5" w:rsidRPr="009D6C11" w:rsidRDefault="000C5BE5" w:rsidP="00983858">
      <w:pPr>
        <w:pStyle w:val="ParaNum"/>
      </w:pPr>
      <w:r w:rsidRPr="009D6C11">
        <w:t>ACCORDINGLY, IT IS ORDERED that, pursuant to Section 5(c)(5) of the Communications Act of 1934, as amended,</w:t>
      </w:r>
      <w:r w:rsidRPr="00EC5899">
        <w:rPr>
          <w:rStyle w:val="FootnoteReference"/>
          <w:szCs w:val="22"/>
        </w:rPr>
        <w:footnoteReference w:id="14"/>
      </w:r>
      <w:r w:rsidR="006E4333" w:rsidRPr="009D6C11">
        <w:t xml:space="preserve"> and Section 1.115(c</w:t>
      </w:r>
      <w:r w:rsidRPr="009D6C11">
        <w:t>) of the Commission’s Rules</w:t>
      </w:r>
      <w:r w:rsidR="00831823" w:rsidRPr="009D6C11">
        <w:t>,</w:t>
      </w:r>
      <w:r w:rsidRPr="00EC5899">
        <w:rPr>
          <w:rStyle w:val="FootnoteReference"/>
          <w:szCs w:val="22"/>
        </w:rPr>
        <w:footnoteReference w:id="15"/>
      </w:r>
      <w:r w:rsidRPr="009D6C11">
        <w:t xml:space="preserve"> the Application for Review filed by </w:t>
      </w:r>
      <w:r w:rsidR="00831823" w:rsidRPr="009D6C11">
        <w:t>Covenant Network</w:t>
      </w:r>
      <w:r w:rsidRPr="009D6C11">
        <w:t xml:space="preserve"> IS </w:t>
      </w:r>
      <w:r w:rsidR="0030309E" w:rsidRPr="009D6C11">
        <w:t>DISMISSED</w:t>
      </w:r>
      <w:r w:rsidRPr="009D6C11">
        <w:t>.</w:t>
      </w:r>
      <w:r w:rsidR="00BF33FD" w:rsidRPr="009D6C11">
        <w:t xml:space="preserve">  </w:t>
      </w:r>
    </w:p>
    <w:p w:rsidR="005660EA" w:rsidRDefault="005660EA" w:rsidP="00EC5899">
      <w:pPr>
        <w:jc w:val="both"/>
        <w:rPr>
          <w:szCs w:val="22"/>
        </w:rPr>
      </w:pPr>
    </w:p>
    <w:p w:rsidR="006E34A9" w:rsidRDefault="006E34A9" w:rsidP="0017296B">
      <w:r>
        <w:tab/>
      </w:r>
      <w:r>
        <w:tab/>
      </w:r>
      <w:r>
        <w:tab/>
      </w:r>
      <w:r>
        <w:tab/>
      </w:r>
      <w:r>
        <w:tab/>
      </w:r>
      <w:r>
        <w:tab/>
        <w:t>FEDERAL COMMUNICATIONS COMMISSION</w:t>
      </w:r>
    </w:p>
    <w:p w:rsidR="006E34A9" w:rsidRDefault="006E34A9" w:rsidP="0017296B"/>
    <w:p w:rsidR="006E34A9" w:rsidRDefault="006E34A9" w:rsidP="0017296B"/>
    <w:p w:rsidR="006E34A9" w:rsidRDefault="006E34A9" w:rsidP="0017296B"/>
    <w:p w:rsidR="006E34A9" w:rsidRDefault="006E34A9" w:rsidP="0017296B"/>
    <w:p w:rsidR="006E34A9" w:rsidRDefault="006E34A9" w:rsidP="0017296B">
      <w:r>
        <w:tab/>
      </w:r>
      <w:r>
        <w:tab/>
      </w:r>
      <w:r>
        <w:tab/>
      </w:r>
      <w:r>
        <w:tab/>
      </w:r>
      <w:r>
        <w:tab/>
      </w:r>
      <w:r>
        <w:tab/>
        <w:t>Marlene H. Dortch</w:t>
      </w:r>
    </w:p>
    <w:p w:rsidR="006E34A9" w:rsidRPr="00EC5899" w:rsidRDefault="006E34A9" w:rsidP="00434367">
      <w:pPr>
        <w:rPr>
          <w:szCs w:val="22"/>
        </w:rPr>
      </w:pPr>
      <w:r>
        <w:tab/>
      </w:r>
      <w:r>
        <w:tab/>
      </w:r>
      <w:r>
        <w:tab/>
      </w:r>
      <w:r>
        <w:tab/>
      </w:r>
      <w:r>
        <w:tab/>
      </w:r>
      <w:r>
        <w:tab/>
        <w:t>Secretary</w:t>
      </w:r>
    </w:p>
    <w:sectPr w:rsidR="006E34A9" w:rsidRPr="00EC5899" w:rsidSect="009806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1C" w:rsidRDefault="007B781C">
      <w:r>
        <w:separator/>
      </w:r>
    </w:p>
  </w:endnote>
  <w:endnote w:type="continuationSeparator" w:id="0">
    <w:p w:rsidR="007B781C" w:rsidRDefault="007B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57" w:rsidRDefault="00611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98062C">
    <w:pPr>
      <w:pStyle w:val="Footer"/>
      <w:jc w:val="center"/>
    </w:pPr>
    <w:r>
      <w:rPr>
        <w:rStyle w:val="PageNumber"/>
      </w:rPr>
      <w:fldChar w:fldCharType="begin"/>
    </w:r>
    <w:r w:rsidR="00F805DF">
      <w:rPr>
        <w:rStyle w:val="PageNumber"/>
      </w:rPr>
      <w:instrText xml:space="preserve"> PAGE </w:instrText>
    </w:r>
    <w:r>
      <w:rPr>
        <w:rStyle w:val="PageNumber"/>
      </w:rPr>
      <w:fldChar w:fldCharType="separate"/>
    </w:r>
    <w:r w:rsidR="008959D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57" w:rsidRDefault="0061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1C" w:rsidRDefault="007B781C">
      <w:pPr>
        <w:rPr>
          <w:sz w:val="20"/>
        </w:rPr>
      </w:pPr>
      <w:r>
        <w:rPr>
          <w:sz w:val="20"/>
        </w:rPr>
        <w:separator/>
      </w:r>
    </w:p>
  </w:footnote>
  <w:footnote w:type="continuationSeparator" w:id="0">
    <w:p w:rsidR="007B781C" w:rsidRDefault="007B781C">
      <w:r>
        <w:continuationSeparator/>
      </w:r>
    </w:p>
    <w:p w:rsidR="007B781C" w:rsidRPr="00E41545" w:rsidRDefault="007B781C">
      <w:pPr>
        <w:rPr>
          <w:sz w:val="20"/>
        </w:rPr>
      </w:pPr>
      <w:r w:rsidRPr="00E41545">
        <w:rPr>
          <w:sz w:val="20"/>
        </w:rPr>
        <w:t>(Continued f</w:t>
      </w:r>
      <w:r>
        <w:rPr>
          <w:sz w:val="20"/>
        </w:rPr>
        <w:t>ro</w:t>
      </w:r>
      <w:r w:rsidRPr="00E41545">
        <w:rPr>
          <w:sz w:val="20"/>
        </w:rPr>
        <w:t>m previous page)</w:t>
      </w:r>
    </w:p>
  </w:footnote>
  <w:footnote w:type="continuationNotice" w:id="1">
    <w:p w:rsidR="007B781C" w:rsidRDefault="007B781C">
      <w:pPr>
        <w:jc w:val="right"/>
        <w:rPr>
          <w:sz w:val="20"/>
        </w:rPr>
      </w:pPr>
      <w:r>
        <w:rPr>
          <w:sz w:val="20"/>
        </w:rPr>
        <w:t>(continued . . .)</w:t>
      </w:r>
    </w:p>
  </w:footnote>
  <w:footnote w:id="2">
    <w:p w:rsidR="00F41290" w:rsidRPr="00EC5899" w:rsidRDefault="00F41290" w:rsidP="00E6417F">
      <w:pPr>
        <w:pStyle w:val="FootnoteText"/>
      </w:pPr>
      <w:r w:rsidRPr="00EC5899">
        <w:rPr>
          <w:rStyle w:val="FootnoteReference"/>
        </w:rPr>
        <w:footnoteRef/>
      </w:r>
      <w:r w:rsidRPr="00EC5899">
        <w:t xml:space="preserve"> 47 C.F.R. § 73.515.</w:t>
      </w:r>
    </w:p>
  </w:footnote>
  <w:footnote w:id="3">
    <w:p w:rsidR="00F41290" w:rsidRPr="00EC5899" w:rsidRDefault="00F41290" w:rsidP="00E6417F">
      <w:pPr>
        <w:pStyle w:val="FootnoteText"/>
      </w:pPr>
      <w:r w:rsidRPr="00EC5899">
        <w:rPr>
          <w:rStyle w:val="FootnoteReference"/>
        </w:rPr>
        <w:footnoteRef/>
      </w:r>
      <w:r w:rsidRPr="00EC5899">
        <w:t xml:space="preserve"> </w:t>
      </w:r>
      <w:r w:rsidRPr="00EC5899">
        <w:rPr>
          <w:i/>
        </w:rPr>
        <w:t>Media Bureau Announces Groups of Mutually Exclusive Applications Submitted in the October 2007 Filing Window for Noncommercial Educational FM Stations</w:t>
      </w:r>
      <w:r w:rsidRPr="00EC5899">
        <w:t xml:space="preserve">, Public Notice, </w:t>
      </w:r>
      <w:r w:rsidR="007242A8" w:rsidRPr="00EC5899">
        <w:t>23 FCC Rcd 3914</w:t>
      </w:r>
      <w:r w:rsidRPr="00EC5899">
        <w:t xml:space="preserve"> (MB Mar. 7, 2008).  </w:t>
      </w:r>
    </w:p>
  </w:footnote>
  <w:footnote w:id="4">
    <w:p w:rsidR="00F41290" w:rsidRPr="00EC5899" w:rsidRDefault="00F41290" w:rsidP="00E6417F">
      <w:pPr>
        <w:pStyle w:val="FootnoteText"/>
      </w:pPr>
      <w:r w:rsidRPr="00EC5899">
        <w:rPr>
          <w:rStyle w:val="FootnoteReference"/>
        </w:rPr>
        <w:footnoteRef/>
      </w:r>
      <w:r w:rsidRPr="00EC5899">
        <w:t xml:space="preserve"> </w:t>
      </w:r>
      <w:r w:rsidRPr="00EC5899">
        <w:rPr>
          <w:i/>
        </w:rPr>
        <w:t xml:space="preserve">Letter from Rodolfo F. Bonacci, Assistant Chief, Audio Division, Media Bureau, to Covenant Network </w:t>
      </w:r>
      <w:r w:rsidRPr="00EC5899">
        <w:t>(dated Nov. 7, 2008).</w:t>
      </w:r>
    </w:p>
  </w:footnote>
  <w:footnote w:id="5">
    <w:p w:rsidR="00C422D3" w:rsidRPr="00EC5899" w:rsidRDefault="00C422D3" w:rsidP="00E6417F">
      <w:pPr>
        <w:pStyle w:val="FootnoteText"/>
      </w:pPr>
      <w:r w:rsidRPr="00EC5899">
        <w:rPr>
          <w:rStyle w:val="FootnoteReference"/>
        </w:rPr>
        <w:footnoteRef/>
      </w:r>
      <w:r w:rsidRPr="00EC5899">
        <w:t xml:space="preserve"> Covenant Network, Petition for Reconsideration and Petition for Leave to Amend and </w:t>
      </w:r>
      <w:r w:rsidR="00264E0F" w:rsidRPr="00EC5899">
        <w:t>f</w:t>
      </w:r>
      <w:r w:rsidRPr="00EC5899">
        <w:t xml:space="preserve">or Reinstatement of Application </w:t>
      </w:r>
      <w:r w:rsidRPr="00EC5899">
        <w:rPr>
          <w:i/>
        </w:rPr>
        <w:t>Nunc Pro Tunc</w:t>
      </w:r>
      <w:r w:rsidRPr="00EC5899">
        <w:t xml:space="preserve"> (rec’d November 13, 2008).  </w:t>
      </w:r>
    </w:p>
  </w:footnote>
  <w:footnote w:id="6">
    <w:p w:rsidR="00C422D3" w:rsidRPr="00EC5899" w:rsidRDefault="00C422D3" w:rsidP="00E6417F">
      <w:pPr>
        <w:pStyle w:val="FootnoteText"/>
        <w:rPr>
          <w:i/>
        </w:rPr>
      </w:pPr>
      <w:r w:rsidRPr="00EC5899">
        <w:rPr>
          <w:rStyle w:val="FootnoteReference"/>
        </w:rPr>
        <w:footnoteRef/>
      </w:r>
      <w:r w:rsidRPr="00EC5899">
        <w:t xml:space="preserve"> </w:t>
      </w:r>
      <w:r w:rsidRPr="00EC5899">
        <w:rPr>
          <w:i/>
        </w:rPr>
        <w:t xml:space="preserve">Letter from Rodolfo F. Bonacci, Assistant Chief, Audio Division, Media Bureau, to Covenant Network </w:t>
      </w:r>
      <w:r w:rsidRPr="00EC5899">
        <w:t>(dated Dec. 8, 2008).</w:t>
      </w:r>
    </w:p>
  </w:footnote>
  <w:footnote w:id="7">
    <w:p w:rsidR="00C422D3" w:rsidRPr="00EC5899" w:rsidRDefault="00C422D3" w:rsidP="00E6417F">
      <w:pPr>
        <w:pStyle w:val="FootnoteText"/>
      </w:pPr>
      <w:r w:rsidRPr="00EC5899">
        <w:rPr>
          <w:rStyle w:val="FootnoteReference"/>
        </w:rPr>
        <w:footnoteRef/>
      </w:r>
      <w:r w:rsidRPr="00EC5899">
        <w:t xml:space="preserve"> Covenant Network, Petition for Reconsideration and P</w:t>
      </w:r>
      <w:r w:rsidR="00264E0F" w:rsidRPr="00EC5899">
        <w:t>etition for Leave to Amend and f</w:t>
      </w:r>
      <w:r w:rsidRPr="00EC5899">
        <w:t xml:space="preserve">or Reinstatement of Application </w:t>
      </w:r>
      <w:r w:rsidRPr="00EC5899">
        <w:rPr>
          <w:i/>
        </w:rPr>
        <w:t>Nunc Pro Tunc</w:t>
      </w:r>
      <w:r w:rsidRPr="00EC5899">
        <w:t xml:space="preserve"> or, in the Alternative, Application for Review (rec’d December 15, 2008).</w:t>
      </w:r>
      <w:r w:rsidRPr="00EC5899">
        <w:rPr>
          <w:i/>
        </w:rPr>
        <w:t xml:space="preserve">  </w:t>
      </w:r>
    </w:p>
  </w:footnote>
  <w:footnote w:id="8">
    <w:p w:rsidR="00C422D3" w:rsidRPr="00EC5899" w:rsidRDefault="00C422D3" w:rsidP="00E6417F">
      <w:pPr>
        <w:pStyle w:val="FootnoteText"/>
      </w:pPr>
      <w:r w:rsidRPr="00EC5899">
        <w:rPr>
          <w:rStyle w:val="FootnoteReference"/>
        </w:rPr>
        <w:footnoteRef/>
      </w:r>
      <w:r w:rsidRPr="00EC5899">
        <w:t xml:space="preserve"> </w:t>
      </w:r>
      <w:r w:rsidRPr="00EC5899">
        <w:rPr>
          <w:i/>
        </w:rPr>
        <w:t xml:space="preserve">Letter from Rodolfo F. Bonacci, Assistant Chief, Audio Division, Media Bureau, to Covenant Network </w:t>
      </w:r>
      <w:r w:rsidRPr="00EC5899">
        <w:t xml:space="preserve">(dated </w:t>
      </w:r>
      <w:r w:rsidR="00A31670" w:rsidRPr="00EC5899">
        <w:t>Jan</w:t>
      </w:r>
      <w:r w:rsidRPr="00EC5899">
        <w:t xml:space="preserve">. </w:t>
      </w:r>
      <w:r w:rsidR="00A31670" w:rsidRPr="00EC5899">
        <w:t>16, 2009</w:t>
      </w:r>
      <w:r w:rsidRPr="00EC5899">
        <w:t>).</w:t>
      </w:r>
    </w:p>
  </w:footnote>
  <w:footnote w:id="9">
    <w:p w:rsidR="00C422D3" w:rsidRPr="00EC5899" w:rsidRDefault="00C422D3" w:rsidP="00E6417F">
      <w:pPr>
        <w:pStyle w:val="FootnoteText"/>
      </w:pPr>
      <w:r w:rsidRPr="00EC5899">
        <w:rPr>
          <w:rStyle w:val="FootnoteReference"/>
        </w:rPr>
        <w:footnoteRef/>
      </w:r>
      <w:r w:rsidRPr="00EC5899">
        <w:t xml:space="preserve"> </w:t>
      </w:r>
      <w:r w:rsidR="007464BE" w:rsidRPr="00EC5899">
        <w:rPr>
          <w:i/>
        </w:rPr>
        <w:t>Id.</w:t>
      </w:r>
      <w:r w:rsidR="007464BE" w:rsidRPr="00EC5899">
        <w:t xml:space="preserve">, </w:t>
      </w:r>
      <w:r w:rsidR="007464BE" w:rsidRPr="00EC5899">
        <w:rPr>
          <w:i/>
        </w:rPr>
        <w:t>citing Commission States Future Policy in Incomplete and Patently Defective AM and FM Construction Permit Applications</w:t>
      </w:r>
      <w:r w:rsidR="007464BE" w:rsidRPr="00EC5899">
        <w:t>, Public Notice, 56 RR 2d 776 (1984).</w:t>
      </w:r>
      <w:r w:rsidR="00785762">
        <w:t xml:space="preserve"> </w:t>
      </w:r>
      <w:r w:rsidR="005E40E0">
        <w:t>In imposing this procedural rule thirty years ago, the Commission observed</w:t>
      </w:r>
      <w:r w:rsidR="005B612B">
        <w:t xml:space="preserve">:  </w:t>
      </w:r>
      <w:r w:rsidR="005E40E0">
        <w:t xml:space="preserve">“Incomplete and patently defective applications place an inordinate burden on our processing staff.  This burden entails repeated requests by the staff for information clearly called for by the application. This delays the processing of not only the incomplete and patently defective applications, but also the processing of grantable applications.  More important, service to the public in the initiation of new broadcast service is delayed.” </w:t>
      </w:r>
      <w:r w:rsidR="005B612B">
        <w:rPr>
          <w:i/>
        </w:rPr>
        <w:t>Id.</w:t>
      </w:r>
      <w:r w:rsidR="005E40E0">
        <w:t xml:space="preserve"> at 777.</w:t>
      </w:r>
      <w:r w:rsidR="00F86D47">
        <w:t xml:space="preserve">  </w:t>
      </w:r>
    </w:p>
  </w:footnote>
  <w:footnote w:id="10">
    <w:p w:rsidR="008F6610" w:rsidRPr="00EC5899" w:rsidRDefault="008F6610" w:rsidP="00E6417F">
      <w:pPr>
        <w:pStyle w:val="FootnoteText"/>
      </w:pPr>
      <w:r w:rsidRPr="00EC5899">
        <w:rPr>
          <w:rStyle w:val="FootnoteReference"/>
        </w:rPr>
        <w:footnoteRef/>
      </w:r>
      <w:r w:rsidRPr="00EC5899">
        <w:t xml:space="preserve"> </w:t>
      </w:r>
      <w:r w:rsidR="00750A3F" w:rsidRPr="00EC5899">
        <w:rPr>
          <w:i/>
        </w:rPr>
        <w:t xml:space="preserve">See </w:t>
      </w:r>
      <w:r w:rsidR="00750A3F" w:rsidRPr="00EC5899">
        <w:t xml:space="preserve">AFR at 7-10, </w:t>
      </w:r>
      <w:r w:rsidR="00750A3F" w:rsidRPr="00EC5899">
        <w:rPr>
          <w:i/>
        </w:rPr>
        <w:t>citing Salzer v. FCC</w:t>
      </w:r>
      <w:r w:rsidR="00750A3F" w:rsidRPr="00EC5899">
        <w:t>,</w:t>
      </w:r>
      <w:r w:rsidR="00750A3F" w:rsidRPr="00EC5899">
        <w:rPr>
          <w:i/>
        </w:rPr>
        <w:t xml:space="preserve"> </w:t>
      </w:r>
      <w:r w:rsidRPr="00EC5899">
        <w:t>778 F.2d 869 (D.C. Cir. 1985).</w:t>
      </w:r>
    </w:p>
  </w:footnote>
  <w:footnote w:id="11">
    <w:p w:rsidR="00D260F3" w:rsidRDefault="00D260F3">
      <w:pPr>
        <w:pStyle w:val="FootnoteText"/>
      </w:pPr>
      <w:r>
        <w:rPr>
          <w:rStyle w:val="FootnoteReference"/>
        </w:rPr>
        <w:footnoteRef/>
      </w:r>
      <w:r>
        <w:t xml:space="preserve"> </w:t>
      </w:r>
      <w:r w:rsidRPr="005B612B">
        <w:rPr>
          <w:i/>
        </w:rPr>
        <w:t>See</w:t>
      </w:r>
      <w:r>
        <w:t xml:space="preserve"> AFR at </w:t>
      </w:r>
      <w:r w:rsidR="00F6186D">
        <w:t xml:space="preserve">9, </w:t>
      </w:r>
      <w:r w:rsidR="00F6186D" w:rsidRPr="005B612B">
        <w:rPr>
          <w:i/>
        </w:rPr>
        <w:t xml:space="preserve">citing </w:t>
      </w:r>
      <w:r w:rsidRPr="005B612B">
        <w:rPr>
          <w:i/>
        </w:rPr>
        <w:t>Glaser v. FCC</w:t>
      </w:r>
      <w:r w:rsidR="00F6186D">
        <w:t>, 20 F.3d 1184 (D.C. 1994).</w:t>
      </w:r>
    </w:p>
  </w:footnote>
  <w:footnote w:id="12">
    <w:p w:rsidR="00750A3F" w:rsidRPr="00EC5899" w:rsidRDefault="00750A3F" w:rsidP="00E6417F">
      <w:pPr>
        <w:pStyle w:val="FootnoteText"/>
      </w:pPr>
      <w:r w:rsidRPr="00EC5899">
        <w:rPr>
          <w:rStyle w:val="FootnoteReference"/>
        </w:rPr>
        <w:footnoteRef/>
      </w:r>
      <w:r w:rsidRPr="00EC5899">
        <w:t xml:space="preserve"> </w:t>
      </w:r>
      <w:r w:rsidRPr="00EC5899">
        <w:rPr>
          <w:i/>
        </w:rPr>
        <w:t xml:space="preserve">Id. </w:t>
      </w:r>
      <w:r w:rsidRPr="00EC5899">
        <w:t>at 11-14.</w:t>
      </w:r>
    </w:p>
  </w:footnote>
  <w:footnote w:id="13">
    <w:p w:rsidR="009B073F" w:rsidRPr="00EC5899" w:rsidRDefault="009B073F" w:rsidP="00E6417F">
      <w:pPr>
        <w:pStyle w:val="FootnoteText"/>
      </w:pPr>
      <w:r w:rsidRPr="00EC5899">
        <w:rPr>
          <w:rStyle w:val="FootnoteReference"/>
        </w:rPr>
        <w:footnoteRef/>
      </w:r>
      <w:r w:rsidRPr="00EC5899">
        <w:t xml:space="preserve"> </w:t>
      </w:r>
      <w:r w:rsidRPr="00EC5899">
        <w:rPr>
          <w:i/>
          <w:iCs/>
        </w:rPr>
        <w:t>See</w:t>
      </w:r>
      <w:r w:rsidRPr="00EC5899">
        <w:t xml:space="preserve"> 47 U.S.C. § 155(c)(5); 47 C.F.R. § </w:t>
      </w:r>
      <w:r w:rsidRPr="00EC5899">
        <w:rPr>
          <w:rStyle w:val="term1"/>
          <w:b w:val="0"/>
        </w:rPr>
        <w:t>1.115(c)</w:t>
      </w:r>
      <w:r w:rsidRPr="00EC5899">
        <w:t>.</w:t>
      </w:r>
    </w:p>
  </w:footnote>
  <w:footnote w:id="14">
    <w:p w:rsidR="000C5BE5" w:rsidRPr="00EC5899" w:rsidRDefault="000C5BE5" w:rsidP="00E6417F">
      <w:pPr>
        <w:pStyle w:val="FootnoteText"/>
      </w:pPr>
      <w:r w:rsidRPr="00EC5899">
        <w:rPr>
          <w:rStyle w:val="FootnoteReference"/>
        </w:rPr>
        <w:footnoteRef/>
      </w:r>
      <w:r w:rsidRPr="00EC5899">
        <w:t xml:space="preserve"> 47 U.S.C. § 155(c)(5).</w:t>
      </w:r>
    </w:p>
  </w:footnote>
  <w:footnote w:id="15">
    <w:p w:rsidR="000C5BE5" w:rsidRPr="00EC5899" w:rsidRDefault="000C5BE5" w:rsidP="00E6417F">
      <w:pPr>
        <w:pStyle w:val="FootnoteText"/>
      </w:pPr>
      <w:r w:rsidRPr="00EC5899">
        <w:rPr>
          <w:rStyle w:val="FootnoteReference"/>
        </w:rPr>
        <w:footnoteRef/>
      </w:r>
      <w:r w:rsidRPr="00EC5899">
        <w:t xml:space="preserve"> 47 C.F</w:t>
      </w:r>
      <w:r w:rsidR="0030309E" w:rsidRPr="00EC5899">
        <w:t>.</w:t>
      </w:r>
      <w:r w:rsidRPr="00EC5899">
        <w:t>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57" w:rsidRDefault="00611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pPr>
      <w:pStyle w:val="Header"/>
      <w:rPr>
        <w:b w:val="0"/>
      </w:rPr>
    </w:pPr>
    <w:r>
      <w:tab/>
      <w:t>Federal Communicatio</w:t>
    </w:r>
    <w:r w:rsidR="00255387">
      <w:t>ns Commission</w:t>
    </w:r>
    <w:r w:rsidR="00255387">
      <w:tab/>
      <w:t>FCC 1</w:t>
    </w:r>
    <w:r w:rsidR="005F7AD7">
      <w:t>4</w:t>
    </w:r>
    <w:r>
      <w:t>-</w:t>
    </w:r>
    <w:r w:rsidR="00434367">
      <w:t>39</w:t>
    </w:r>
  </w:p>
  <w:p w:rsidR="009D04A7" w:rsidRDefault="00DF06AE">
    <w:pPr>
      <w:pStyle w:val="Header"/>
    </w:pPr>
    <w:r>
      <w:rPr>
        <w:noProof/>
      </w:rPr>
      <mc:AlternateContent>
        <mc:Choice Requires="wps">
          <w:drawing>
            <wp:anchor distT="4294967295" distB="4294967295" distL="114300" distR="114300" simplePos="0" relativeHeight="251658240" behindDoc="0" locked="0" layoutInCell="0" allowOverlap="1" wp14:anchorId="0F61EF82" wp14:editId="3B2E0320">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F805DF">
    <w:pPr>
      <w:pStyle w:val="Header"/>
      <w:rPr>
        <w:b w:val="0"/>
      </w:rPr>
    </w:pPr>
    <w:r>
      <w:tab/>
      <w:t>Federal Communications Commission</w:t>
    </w:r>
    <w:r>
      <w:tab/>
      <w:t>FCC 1</w:t>
    </w:r>
    <w:r w:rsidR="005F7AD7">
      <w:t>4</w:t>
    </w:r>
    <w:r>
      <w:t>-</w:t>
    </w:r>
    <w:r w:rsidR="00434367">
      <w:t>39</w:t>
    </w:r>
    <w:r>
      <w:t xml:space="preserve"> </w:t>
    </w:r>
  </w:p>
  <w:p w:rsidR="009D04A7" w:rsidRDefault="00DF06AE">
    <w:pPr>
      <w:pStyle w:val="Header"/>
    </w:pPr>
    <w:r>
      <w:rPr>
        <w:noProof/>
      </w:rPr>
      <mc:AlternateContent>
        <mc:Choice Requires="wps">
          <w:drawing>
            <wp:anchor distT="4294967295" distB="4294967295" distL="114300" distR="114300" simplePos="0" relativeHeight="251657216" behindDoc="0" locked="0" layoutInCell="0" allowOverlap="1" wp14:anchorId="71199123" wp14:editId="7CE1ED90">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FB"/>
    <w:multiLevelType w:val="hybridMultilevel"/>
    <w:tmpl w:val="18C6DF30"/>
    <w:lvl w:ilvl="0" w:tplc="AD9A6B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A52053E0"/>
    <w:lvl w:ilvl="0">
      <w:start w:val="1"/>
      <w:numFmt w:val="decimal"/>
      <w:lvlText w:val="%1."/>
      <w:lvlJc w:val="left"/>
      <w:pPr>
        <w:tabs>
          <w:tab w:val="num" w:pos="360"/>
        </w:tabs>
        <w:ind w:left="-720" w:firstLine="720"/>
      </w:pPr>
      <w:rPr>
        <w:b w:val="0"/>
        <w:i w:val="0"/>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F6A53BE"/>
    <w:multiLevelType w:val="hybridMultilevel"/>
    <w:tmpl w:val="13AAA9F0"/>
    <w:lvl w:ilvl="0" w:tplc="C86A309A">
      <w:start w:val="1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9">
    <w:nsid w:val="70121FA2"/>
    <w:multiLevelType w:val="hybridMultilevel"/>
    <w:tmpl w:val="5FCC96D2"/>
    <w:lvl w:ilvl="0" w:tplc="1302A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30"/>
  </w:num>
  <w:num w:numId="3">
    <w:abstractNumId w:val="6"/>
  </w:num>
  <w:num w:numId="4">
    <w:abstractNumId w:val="23"/>
  </w:num>
  <w:num w:numId="5">
    <w:abstractNumId w:val="10"/>
  </w:num>
  <w:num w:numId="6">
    <w:abstractNumId w:val="26"/>
  </w:num>
  <w:num w:numId="7">
    <w:abstractNumId w:val="18"/>
  </w:num>
  <w:num w:numId="8">
    <w:abstractNumId w:val="11"/>
  </w:num>
  <w:num w:numId="9">
    <w:abstractNumId w:val="25"/>
  </w:num>
  <w:num w:numId="10">
    <w:abstractNumId w:val="16"/>
  </w:num>
  <w:num w:numId="11">
    <w:abstractNumId w:val="15"/>
  </w:num>
  <w:num w:numId="12">
    <w:abstractNumId w:val="12"/>
  </w:num>
  <w:num w:numId="13">
    <w:abstractNumId w:val="17"/>
  </w:num>
  <w:num w:numId="14">
    <w:abstractNumId w:val="24"/>
  </w:num>
  <w:num w:numId="15">
    <w:abstractNumId w:val="4"/>
  </w:num>
  <w:num w:numId="16">
    <w:abstractNumId w:val="5"/>
  </w:num>
  <w:num w:numId="17">
    <w:abstractNumId w:val="13"/>
  </w:num>
  <w:num w:numId="18">
    <w:abstractNumId w:val="3"/>
  </w:num>
  <w:num w:numId="19">
    <w:abstractNumId w:val="14"/>
  </w:num>
  <w:num w:numId="20">
    <w:abstractNumId w:val="19"/>
  </w:num>
  <w:num w:numId="21">
    <w:abstractNumId w:val="22"/>
  </w:num>
  <w:num w:numId="22">
    <w:abstractNumId w:val="1"/>
  </w:num>
  <w:num w:numId="23">
    <w:abstractNumId w:val="21"/>
  </w:num>
  <w:num w:numId="24">
    <w:abstractNumId w:val="0"/>
  </w:num>
  <w:num w:numId="25">
    <w:abstractNumId w:val="17"/>
    <w:lvlOverride w:ilvl="0">
      <w:startOverride w:val="1"/>
    </w:lvlOverride>
  </w:num>
  <w:num w:numId="26">
    <w:abstractNumId w:val="29"/>
  </w:num>
  <w:num w:numId="27">
    <w:abstractNumId w:val="7"/>
  </w:num>
  <w:num w:numId="28">
    <w:abstractNumId w:val="27"/>
  </w:num>
  <w:num w:numId="29">
    <w:abstractNumId w:val="9"/>
  </w:num>
  <w:num w:numId="30">
    <w:abstractNumId w:val="20"/>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1"/>
    <w:rsid w:val="00011F8B"/>
    <w:rsid w:val="000325D2"/>
    <w:rsid w:val="00042567"/>
    <w:rsid w:val="0004767F"/>
    <w:rsid w:val="00064DC4"/>
    <w:rsid w:val="000702C1"/>
    <w:rsid w:val="00075D3F"/>
    <w:rsid w:val="000A2C6F"/>
    <w:rsid w:val="000B5147"/>
    <w:rsid w:val="000C5BE5"/>
    <w:rsid w:val="000D6B11"/>
    <w:rsid w:val="000F0F5C"/>
    <w:rsid w:val="000F62A4"/>
    <w:rsid w:val="001020FD"/>
    <w:rsid w:val="00123DF5"/>
    <w:rsid w:val="00150FBA"/>
    <w:rsid w:val="001607B4"/>
    <w:rsid w:val="00171F57"/>
    <w:rsid w:val="00171FDF"/>
    <w:rsid w:val="00172B06"/>
    <w:rsid w:val="00173988"/>
    <w:rsid w:val="001757A0"/>
    <w:rsid w:val="00177597"/>
    <w:rsid w:val="00183FE7"/>
    <w:rsid w:val="00195478"/>
    <w:rsid w:val="001A1121"/>
    <w:rsid w:val="001A1489"/>
    <w:rsid w:val="001B4D52"/>
    <w:rsid w:val="001B5E11"/>
    <w:rsid w:val="001B637D"/>
    <w:rsid w:val="001E1F96"/>
    <w:rsid w:val="001F297E"/>
    <w:rsid w:val="001F655F"/>
    <w:rsid w:val="00205F9B"/>
    <w:rsid w:val="00211460"/>
    <w:rsid w:val="002245D1"/>
    <w:rsid w:val="00231532"/>
    <w:rsid w:val="002337EB"/>
    <w:rsid w:val="00245E83"/>
    <w:rsid w:val="00246677"/>
    <w:rsid w:val="00251283"/>
    <w:rsid w:val="00255387"/>
    <w:rsid w:val="00256B92"/>
    <w:rsid w:val="00263D85"/>
    <w:rsid w:val="00264E0C"/>
    <w:rsid w:val="00264E0F"/>
    <w:rsid w:val="0026556C"/>
    <w:rsid w:val="00276245"/>
    <w:rsid w:val="00286839"/>
    <w:rsid w:val="00293769"/>
    <w:rsid w:val="002D23B8"/>
    <w:rsid w:val="002D658A"/>
    <w:rsid w:val="002E2A5E"/>
    <w:rsid w:val="002E707E"/>
    <w:rsid w:val="002F2BB6"/>
    <w:rsid w:val="003021BB"/>
    <w:rsid w:val="0030309E"/>
    <w:rsid w:val="00353F26"/>
    <w:rsid w:val="003865D9"/>
    <w:rsid w:val="0039460B"/>
    <w:rsid w:val="003A4617"/>
    <w:rsid w:val="003A4A14"/>
    <w:rsid w:val="003A57CE"/>
    <w:rsid w:val="003A7F52"/>
    <w:rsid w:val="003C1BE1"/>
    <w:rsid w:val="003C51F7"/>
    <w:rsid w:val="003D5A02"/>
    <w:rsid w:val="003F10AF"/>
    <w:rsid w:val="003F6FAE"/>
    <w:rsid w:val="00410A8E"/>
    <w:rsid w:val="00432466"/>
    <w:rsid w:val="00434367"/>
    <w:rsid w:val="00490619"/>
    <w:rsid w:val="004A49A3"/>
    <w:rsid w:val="004A6ACD"/>
    <w:rsid w:val="004C0A08"/>
    <w:rsid w:val="004D0816"/>
    <w:rsid w:val="004D544B"/>
    <w:rsid w:val="004E58C0"/>
    <w:rsid w:val="00502D1F"/>
    <w:rsid w:val="00510BEB"/>
    <w:rsid w:val="005160C9"/>
    <w:rsid w:val="005236C9"/>
    <w:rsid w:val="00545F8F"/>
    <w:rsid w:val="005523E0"/>
    <w:rsid w:val="0055589A"/>
    <w:rsid w:val="00557DEE"/>
    <w:rsid w:val="005660EA"/>
    <w:rsid w:val="005722EC"/>
    <w:rsid w:val="00575218"/>
    <w:rsid w:val="00576748"/>
    <w:rsid w:val="00596F8E"/>
    <w:rsid w:val="005A75C9"/>
    <w:rsid w:val="005B612B"/>
    <w:rsid w:val="005B6D6B"/>
    <w:rsid w:val="005C1E1B"/>
    <w:rsid w:val="005C77AD"/>
    <w:rsid w:val="005D0E79"/>
    <w:rsid w:val="005E2D6F"/>
    <w:rsid w:val="005E40E0"/>
    <w:rsid w:val="005F26E3"/>
    <w:rsid w:val="005F34A6"/>
    <w:rsid w:val="005F7AD7"/>
    <w:rsid w:val="00605970"/>
    <w:rsid w:val="00611657"/>
    <w:rsid w:val="00611E00"/>
    <w:rsid w:val="0061575A"/>
    <w:rsid w:val="006358C3"/>
    <w:rsid w:val="00636A59"/>
    <w:rsid w:val="00650C2F"/>
    <w:rsid w:val="00654319"/>
    <w:rsid w:val="00674E75"/>
    <w:rsid w:val="00675775"/>
    <w:rsid w:val="00681D3B"/>
    <w:rsid w:val="006876D7"/>
    <w:rsid w:val="006878EF"/>
    <w:rsid w:val="00690D66"/>
    <w:rsid w:val="006914BC"/>
    <w:rsid w:val="006A0DF5"/>
    <w:rsid w:val="006A72C6"/>
    <w:rsid w:val="006A7410"/>
    <w:rsid w:val="006C1960"/>
    <w:rsid w:val="006C703C"/>
    <w:rsid w:val="006C7926"/>
    <w:rsid w:val="006D6294"/>
    <w:rsid w:val="006D66ED"/>
    <w:rsid w:val="006E18C7"/>
    <w:rsid w:val="006E34A9"/>
    <w:rsid w:val="006E4333"/>
    <w:rsid w:val="006F2041"/>
    <w:rsid w:val="0070430D"/>
    <w:rsid w:val="00713D3F"/>
    <w:rsid w:val="0072214E"/>
    <w:rsid w:val="007242A8"/>
    <w:rsid w:val="0072705F"/>
    <w:rsid w:val="00727D7D"/>
    <w:rsid w:val="00736822"/>
    <w:rsid w:val="00737859"/>
    <w:rsid w:val="00741D76"/>
    <w:rsid w:val="007461AE"/>
    <w:rsid w:val="007464BE"/>
    <w:rsid w:val="00750291"/>
    <w:rsid w:val="00750A3F"/>
    <w:rsid w:val="00752ED8"/>
    <w:rsid w:val="00766175"/>
    <w:rsid w:val="00785762"/>
    <w:rsid w:val="007A184F"/>
    <w:rsid w:val="007B781C"/>
    <w:rsid w:val="007D38D2"/>
    <w:rsid w:val="00811D62"/>
    <w:rsid w:val="00816CAA"/>
    <w:rsid w:val="008227E5"/>
    <w:rsid w:val="00824866"/>
    <w:rsid w:val="00824F74"/>
    <w:rsid w:val="0082710C"/>
    <w:rsid w:val="00831823"/>
    <w:rsid w:val="00856A61"/>
    <w:rsid w:val="00857544"/>
    <w:rsid w:val="00861514"/>
    <w:rsid w:val="0087344A"/>
    <w:rsid w:val="008749FA"/>
    <w:rsid w:val="0087508C"/>
    <w:rsid w:val="00882213"/>
    <w:rsid w:val="00882FBC"/>
    <w:rsid w:val="00887778"/>
    <w:rsid w:val="008936CA"/>
    <w:rsid w:val="00895624"/>
    <w:rsid w:val="008959DD"/>
    <w:rsid w:val="008B425B"/>
    <w:rsid w:val="008B7B09"/>
    <w:rsid w:val="008C6666"/>
    <w:rsid w:val="008D498F"/>
    <w:rsid w:val="008E469C"/>
    <w:rsid w:val="008F4F09"/>
    <w:rsid w:val="008F6610"/>
    <w:rsid w:val="008F74C1"/>
    <w:rsid w:val="00906C58"/>
    <w:rsid w:val="00972D7B"/>
    <w:rsid w:val="00974482"/>
    <w:rsid w:val="0097598D"/>
    <w:rsid w:val="0098062C"/>
    <w:rsid w:val="00983858"/>
    <w:rsid w:val="00986030"/>
    <w:rsid w:val="00991E2C"/>
    <w:rsid w:val="009A0417"/>
    <w:rsid w:val="009A5897"/>
    <w:rsid w:val="009B073F"/>
    <w:rsid w:val="009D04A7"/>
    <w:rsid w:val="009D6C11"/>
    <w:rsid w:val="009E13D5"/>
    <w:rsid w:val="009E14A4"/>
    <w:rsid w:val="009F7763"/>
    <w:rsid w:val="00A22171"/>
    <w:rsid w:val="00A31670"/>
    <w:rsid w:val="00A36666"/>
    <w:rsid w:val="00A61442"/>
    <w:rsid w:val="00A61CE4"/>
    <w:rsid w:val="00A65DBA"/>
    <w:rsid w:val="00A77F45"/>
    <w:rsid w:val="00A96094"/>
    <w:rsid w:val="00AA0CC8"/>
    <w:rsid w:val="00AA29F1"/>
    <w:rsid w:val="00AD25EC"/>
    <w:rsid w:val="00AD6261"/>
    <w:rsid w:val="00AE4E9F"/>
    <w:rsid w:val="00B1657E"/>
    <w:rsid w:val="00B23441"/>
    <w:rsid w:val="00B31B9C"/>
    <w:rsid w:val="00B45E06"/>
    <w:rsid w:val="00B464F9"/>
    <w:rsid w:val="00B631F8"/>
    <w:rsid w:val="00B75045"/>
    <w:rsid w:val="00B81E58"/>
    <w:rsid w:val="00B86CB9"/>
    <w:rsid w:val="00BA188F"/>
    <w:rsid w:val="00BB7452"/>
    <w:rsid w:val="00BC3F33"/>
    <w:rsid w:val="00BE1FC4"/>
    <w:rsid w:val="00BF33FD"/>
    <w:rsid w:val="00C00507"/>
    <w:rsid w:val="00C02716"/>
    <w:rsid w:val="00C0276E"/>
    <w:rsid w:val="00C14B99"/>
    <w:rsid w:val="00C26924"/>
    <w:rsid w:val="00C422D3"/>
    <w:rsid w:val="00C45AA7"/>
    <w:rsid w:val="00C463E0"/>
    <w:rsid w:val="00C518FC"/>
    <w:rsid w:val="00C6397F"/>
    <w:rsid w:val="00C67825"/>
    <w:rsid w:val="00C72DE2"/>
    <w:rsid w:val="00C774AC"/>
    <w:rsid w:val="00C969AF"/>
    <w:rsid w:val="00CA4869"/>
    <w:rsid w:val="00CA4C3A"/>
    <w:rsid w:val="00CA7698"/>
    <w:rsid w:val="00CC180E"/>
    <w:rsid w:val="00CC330C"/>
    <w:rsid w:val="00CD2328"/>
    <w:rsid w:val="00CE552F"/>
    <w:rsid w:val="00CF40E1"/>
    <w:rsid w:val="00CF76A5"/>
    <w:rsid w:val="00D028FB"/>
    <w:rsid w:val="00D260F3"/>
    <w:rsid w:val="00D33E22"/>
    <w:rsid w:val="00D43349"/>
    <w:rsid w:val="00D61CE5"/>
    <w:rsid w:val="00D67194"/>
    <w:rsid w:val="00D7032C"/>
    <w:rsid w:val="00D74F01"/>
    <w:rsid w:val="00D92D98"/>
    <w:rsid w:val="00DB24FC"/>
    <w:rsid w:val="00DD1919"/>
    <w:rsid w:val="00DF06AE"/>
    <w:rsid w:val="00DF3A78"/>
    <w:rsid w:val="00E0379B"/>
    <w:rsid w:val="00E41545"/>
    <w:rsid w:val="00E6417F"/>
    <w:rsid w:val="00E6499C"/>
    <w:rsid w:val="00E66C6E"/>
    <w:rsid w:val="00E76628"/>
    <w:rsid w:val="00E76DFE"/>
    <w:rsid w:val="00E77354"/>
    <w:rsid w:val="00E865D5"/>
    <w:rsid w:val="00EC2757"/>
    <w:rsid w:val="00EC5899"/>
    <w:rsid w:val="00EE30F4"/>
    <w:rsid w:val="00EE55AC"/>
    <w:rsid w:val="00F14B0B"/>
    <w:rsid w:val="00F278DF"/>
    <w:rsid w:val="00F369BE"/>
    <w:rsid w:val="00F41290"/>
    <w:rsid w:val="00F4244D"/>
    <w:rsid w:val="00F46FBC"/>
    <w:rsid w:val="00F6186D"/>
    <w:rsid w:val="00F73F34"/>
    <w:rsid w:val="00F77925"/>
    <w:rsid w:val="00F805DF"/>
    <w:rsid w:val="00F80B3A"/>
    <w:rsid w:val="00F86D47"/>
    <w:rsid w:val="00FB4D0C"/>
    <w:rsid w:val="00FC0940"/>
    <w:rsid w:val="00FC3A67"/>
    <w:rsid w:val="00FC4D30"/>
    <w:rsid w:val="00FD087B"/>
    <w:rsid w:val="00FD2040"/>
    <w:rsid w:val="00FE2FEC"/>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DD"/>
    <w:pPr>
      <w:widowControl w:val="0"/>
    </w:pPr>
    <w:rPr>
      <w:snapToGrid w:val="0"/>
      <w:kern w:val="28"/>
      <w:sz w:val="22"/>
    </w:rPr>
  </w:style>
  <w:style w:type="paragraph" w:styleId="Heading1">
    <w:name w:val="heading 1"/>
    <w:basedOn w:val="Normal"/>
    <w:next w:val="ParaNum"/>
    <w:qFormat/>
    <w:rsid w:val="008959DD"/>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59DD"/>
    <w:pPr>
      <w:keepNext/>
      <w:numPr>
        <w:ilvl w:val="1"/>
        <w:numId w:val="29"/>
      </w:numPr>
      <w:spacing w:after="120"/>
      <w:outlineLvl w:val="1"/>
    </w:pPr>
    <w:rPr>
      <w:b/>
    </w:rPr>
  </w:style>
  <w:style w:type="paragraph" w:styleId="Heading3">
    <w:name w:val="heading 3"/>
    <w:basedOn w:val="Normal"/>
    <w:next w:val="ParaNum"/>
    <w:qFormat/>
    <w:rsid w:val="008959DD"/>
    <w:pPr>
      <w:keepNext/>
      <w:numPr>
        <w:ilvl w:val="2"/>
        <w:numId w:val="29"/>
      </w:numPr>
      <w:tabs>
        <w:tab w:val="left" w:pos="2160"/>
      </w:tabs>
      <w:spacing w:after="120"/>
      <w:outlineLvl w:val="2"/>
    </w:pPr>
    <w:rPr>
      <w:b/>
    </w:rPr>
  </w:style>
  <w:style w:type="paragraph" w:styleId="Heading4">
    <w:name w:val="heading 4"/>
    <w:basedOn w:val="Normal"/>
    <w:next w:val="ParaNum"/>
    <w:qFormat/>
    <w:rsid w:val="008959DD"/>
    <w:pPr>
      <w:keepNext/>
      <w:numPr>
        <w:ilvl w:val="3"/>
        <w:numId w:val="29"/>
      </w:numPr>
      <w:tabs>
        <w:tab w:val="left" w:pos="2880"/>
      </w:tabs>
      <w:spacing w:after="120"/>
      <w:outlineLvl w:val="3"/>
    </w:pPr>
    <w:rPr>
      <w:b/>
    </w:rPr>
  </w:style>
  <w:style w:type="paragraph" w:styleId="Heading5">
    <w:name w:val="heading 5"/>
    <w:basedOn w:val="Normal"/>
    <w:next w:val="ParaNum"/>
    <w:qFormat/>
    <w:rsid w:val="008959DD"/>
    <w:pPr>
      <w:keepNext/>
      <w:numPr>
        <w:ilvl w:val="4"/>
        <w:numId w:val="29"/>
      </w:numPr>
      <w:tabs>
        <w:tab w:val="left" w:pos="3600"/>
      </w:tabs>
      <w:suppressAutoHyphens/>
      <w:spacing w:after="120"/>
      <w:outlineLvl w:val="4"/>
    </w:pPr>
    <w:rPr>
      <w:b/>
    </w:rPr>
  </w:style>
  <w:style w:type="paragraph" w:styleId="Heading6">
    <w:name w:val="heading 6"/>
    <w:basedOn w:val="Normal"/>
    <w:next w:val="ParaNum"/>
    <w:qFormat/>
    <w:rsid w:val="008959DD"/>
    <w:pPr>
      <w:numPr>
        <w:ilvl w:val="5"/>
        <w:numId w:val="29"/>
      </w:numPr>
      <w:tabs>
        <w:tab w:val="left" w:pos="4320"/>
      </w:tabs>
      <w:spacing w:after="120"/>
      <w:outlineLvl w:val="5"/>
    </w:pPr>
    <w:rPr>
      <w:b/>
    </w:rPr>
  </w:style>
  <w:style w:type="paragraph" w:styleId="Heading7">
    <w:name w:val="heading 7"/>
    <w:basedOn w:val="Normal"/>
    <w:next w:val="ParaNum"/>
    <w:qFormat/>
    <w:rsid w:val="008959DD"/>
    <w:pPr>
      <w:numPr>
        <w:ilvl w:val="6"/>
        <w:numId w:val="29"/>
      </w:numPr>
      <w:tabs>
        <w:tab w:val="left" w:pos="5040"/>
      </w:tabs>
      <w:spacing w:after="120"/>
      <w:ind w:left="5040" w:hanging="720"/>
      <w:outlineLvl w:val="6"/>
    </w:pPr>
    <w:rPr>
      <w:b/>
    </w:rPr>
  </w:style>
  <w:style w:type="paragraph" w:styleId="Heading8">
    <w:name w:val="heading 8"/>
    <w:basedOn w:val="Normal"/>
    <w:next w:val="ParaNum"/>
    <w:qFormat/>
    <w:rsid w:val="008959DD"/>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qFormat/>
    <w:rsid w:val="008959DD"/>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59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59D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8959DD"/>
    <w:pPr>
      <w:numPr>
        <w:numId w:val="28"/>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8959DD"/>
    <w:pPr>
      <w:spacing w:after="120"/>
    </w:pPr>
  </w:style>
  <w:style w:type="paragraph" w:customStyle="1" w:styleId="Bullet">
    <w:name w:val="Bullet"/>
    <w:basedOn w:val="Normal"/>
    <w:rsid w:val="008959DD"/>
    <w:pPr>
      <w:tabs>
        <w:tab w:val="left" w:pos="2160"/>
      </w:tabs>
      <w:spacing w:after="220"/>
      <w:ind w:left="2160" w:hanging="720"/>
    </w:pPr>
  </w:style>
  <w:style w:type="paragraph" w:styleId="BlockText">
    <w:name w:val="Block Text"/>
    <w:basedOn w:val="Normal"/>
    <w:rsid w:val="008959DD"/>
    <w:pPr>
      <w:spacing w:after="240"/>
      <w:ind w:left="1440" w:right="1440"/>
    </w:pPr>
  </w:style>
  <w:style w:type="paragraph" w:customStyle="1" w:styleId="TableFormat">
    <w:name w:val="TableFormat"/>
    <w:basedOn w:val="Bullet"/>
    <w:rsid w:val="008959DD"/>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8959DD"/>
    <w:rPr>
      <w:rFonts w:ascii="Times New Roman" w:hAnsi="Times New Roman"/>
      <w:dstrike w:val="0"/>
      <w:color w:val="auto"/>
      <w:sz w:val="20"/>
      <w:vertAlign w:val="superscript"/>
    </w:rPr>
  </w:style>
  <w:style w:type="paragraph" w:styleId="Header">
    <w:name w:val="header"/>
    <w:basedOn w:val="Normal"/>
    <w:link w:val="HeaderChar"/>
    <w:autoRedefine/>
    <w:rsid w:val="008959DD"/>
    <w:pPr>
      <w:tabs>
        <w:tab w:val="center" w:pos="4680"/>
        <w:tab w:val="right" w:pos="9360"/>
      </w:tabs>
    </w:pPr>
    <w:rPr>
      <w:b/>
    </w:rPr>
  </w:style>
  <w:style w:type="paragraph" w:styleId="Footer">
    <w:name w:val="footer"/>
    <w:basedOn w:val="Normal"/>
    <w:link w:val="FooterChar"/>
    <w:rsid w:val="008959DD"/>
    <w:pPr>
      <w:tabs>
        <w:tab w:val="center" w:pos="4320"/>
        <w:tab w:val="right" w:pos="8640"/>
      </w:tabs>
    </w:pPr>
  </w:style>
  <w:style w:type="paragraph" w:styleId="TOC2">
    <w:name w:val="toc 2"/>
    <w:basedOn w:val="Normal"/>
    <w:next w:val="Normal"/>
    <w:semiHidden/>
    <w:rsid w:val="008959DD"/>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8959D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895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5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5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5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5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5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59DD"/>
    <w:pPr>
      <w:tabs>
        <w:tab w:val="left" w:pos="3240"/>
        <w:tab w:val="right" w:leader="dot" w:pos="9360"/>
      </w:tabs>
      <w:suppressAutoHyphens/>
      <w:ind w:left="3240" w:hanging="360"/>
    </w:pPr>
    <w:rPr>
      <w:noProof/>
    </w:rPr>
  </w:style>
  <w:style w:type="character" w:styleId="PageNumber">
    <w:name w:val="page number"/>
    <w:basedOn w:val="DefaultParagraphFont"/>
    <w:rsid w:val="008959DD"/>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8959DD"/>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b/>
      <w:snapToGrid w:val="0"/>
      <w:kern w:val="28"/>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napToGrid w:val="0"/>
      <w:kern w:val="28"/>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napToGrid w:val="0"/>
      <w:kern w:val="28"/>
      <w:sz w:val="22"/>
    </w:rPr>
  </w:style>
  <w:style w:type="character" w:customStyle="1" w:styleId="term1">
    <w:name w:val="term1"/>
    <w:basedOn w:val="DefaultParagraphFont"/>
    <w:rsid w:val="002245D1"/>
    <w:rPr>
      <w:b/>
      <w:bCs/>
    </w:rPr>
  </w:style>
  <w:style w:type="character" w:customStyle="1" w:styleId="pmterms31">
    <w:name w:val="pmterms31"/>
    <w:basedOn w:val="DefaultParagraphFont"/>
    <w:rsid w:val="006D66ED"/>
    <w:rPr>
      <w:b/>
      <w:bCs/>
      <w:i w:val="0"/>
      <w:iCs w:val="0"/>
      <w:color w:val="000000"/>
    </w:rPr>
  </w:style>
  <w:style w:type="paragraph" w:styleId="PlainText">
    <w:name w:val="Plain Text"/>
    <w:basedOn w:val="Normal"/>
    <w:link w:val="PlainTextChar"/>
    <w:uiPriority w:val="99"/>
    <w:semiHidden/>
    <w:unhideWhenUsed/>
    <w:rsid w:val="007A184F"/>
    <w:rPr>
      <w:rFonts w:ascii="Calibri" w:eastAsiaTheme="minorHAnsi" w:hAnsi="Calibri" w:cstheme="minorBidi"/>
      <w:sz w:val="24"/>
      <w:szCs w:val="21"/>
    </w:rPr>
  </w:style>
  <w:style w:type="character" w:customStyle="1" w:styleId="PlainTextChar">
    <w:name w:val="Plain Text Char"/>
    <w:basedOn w:val="DefaultParagraphFont"/>
    <w:link w:val="PlainText"/>
    <w:uiPriority w:val="99"/>
    <w:semiHidden/>
    <w:rsid w:val="007A184F"/>
    <w:rPr>
      <w:rFonts w:ascii="Calibri" w:eastAsiaTheme="minorHAnsi" w:hAnsi="Calibri" w:cstheme="minorBidi"/>
      <w:sz w:val="24"/>
      <w:szCs w:val="21"/>
    </w:rPr>
  </w:style>
  <w:style w:type="paragraph" w:styleId="EndnoteText">
    <w:name w:val="endnote text"/>
    <w:basedOn w:val="Normal"/>
    <w:link w:val="EndnoteTextChar"/>
    <w:semiHidden/>
    <w:rsid w:val="008959DD"/>
    <w:rPr>
      <w:sz w:val="20"/>
    </w:rPr>
  </w:style>
  <w:style w:type="character" w:customStyle="1" w:styleId="EndnoteTextChar">
    <w:name w:val="Endnote Text Char"/>
    <w:basedOn w:val="DefaultParagraphFont"/>
    <w:link w:val="EndnoteText"/>
    <w:semiHidden/>
    <w:rsid w:val="00D43349"/>
    <w:rPr>
      <w:snapToGrid w:val="0"/>
      <w:kern w:val="28"/>
    </w:rPr>
  </w:style>
  <w:style w:type="character" w:styleId="EndnoteReference">
    <w:name w:val="endnote reference"/>
    <w:semiHidden/>
    <w:rsid w:val="008959DD"/>
    <w:rPr>
      <w:vertAlign w:val="superscript"/>
    </w:rPr>
  </w:style>
  <w:style w:type="paragraph" w:styleId="TOAHeading">
    <w:name w:val="toa heading"/>
    <w:basedOn w:val="Normal"/>
    <w:next w:val="Normal"/>
    <w:semiHidden/>
    <w:rsid w:val="008959DD"/>
    <w:pPr>
      <w:tabs>
        <w:tab w:val="right" w:pos="9360"/>
      </w:tabs>
      <w:suppressAutoHyphens/>
    </w:pPr>
  </w:style>
  <w:style w:type="character" w:customStyle="1" w:styleId="EquationCaption">
    <w:name w:val="_Equation Caption"/>
    <w:rsid w:val="008959DD"/>
  </w:style>
  <w:style w:type="paragraph" w:customStyle="1" w:styleId="Paratitle">
    <w:name w:val="Para title"/>
    <w:basedOn w:val="Normal"/>
    <w:rsid w:val="008959DD"/>
    <w:pPr>
      <w:tabs>
        <w:tab w:val="center" w:pos="9270"/>
      </w:tabs>
      <w:spacing w:after="240"/>
    </w:pPr>
    <w:rPr>
      <w:spacing w:val="-2"/>
    </w:rPr>
  </w:style>
  <w:style w:type="paragraph" w:customStyle="1" w:styleId="TOCTitle">
    <w:name w:val="TOC Title"/>
    <w:basedOn w:val="Normal"/>
    <w:rsid w:val="00895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59D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DD"/>
    <w:pPr>
      <w:widowControl w:val="0"/>
    </w:pPr>
    <w:rPr>
      <w:snapToGrid w:val="0"/>
      <w:kern w:val="28"/>
      <w:sz w:val="22"/>
    </w:rPr>
  </w:style>
  <w:style w:type="paragraph" w:styleId="Heading1">
    <w:name w:val="heading 1"/>
    <w:basedOn w:val="Normal"/>
    <w:next w:val="ParaNum"/>
    <w:qFormat/>
    <w:rsid w:val="008959DD"/>
    <w:pPr>
      <w:keepNext/>
      <w:numPr>
        <w:numId w:val="2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59DD"/>
    <w:pPr>
      <w:keepNext/>
      <w:numPr>
        <w:ilvl w:val="1"/>
        <w:numId w:val="29"/>
      </w:numPr>
      <w:spacing w:after="120"/>
      <w:outlineLvl w:val="1"/>
    </w:pPr>
    <w:rPr>
      <w:b/>
    </w:rPr>
  </w:style>
  <w:style w:type="paragraph" w:styleId="Heading3">
    <w:name w:val="heading 3"/>
    <w:basedOn w:val="Normal"/>
    <w:next w:val="ParaNum"/>
    <w:qFormat/>
    <w:rsid w:val="008959DD"/>
    <w:pPr>
      <w:keepNext/>
      <w:numPr>
        <w:ilvl w:val="2"/>
        <w:numId w:val="29"/>
      </w:numPr>
      <w:tabs>
        <w:tab w:val="left" w:pos="2160"/>
      </w:tabs>
      <w:spacing w:after="120"/>
      <w:outlineLvl w:val="2"/>
    </w:pPr>
    <w:rPr>
      <w:b/>
    </w:rPr>
  </w:style>
  <w:style w:type="paragraph" w:styleId="Heading4">
    <w:name w:val="heading 4"/>
    <w:basedOn w:val="Normal"/>
    <w:next w:val="ParaNum"/>
    <w:qFormat/>
    <w:rsid w:val="008959DD"/>
    <w:pPr>
      <w:keepNext/>
      <w:numPr>
        <w:ilvl w:val="3"/>
        <w:numId w:val="29"/>
      </w:numPr>
      <w:tabs>
        <w:tab w:val="left" w:pos="2880"/>
      </w:tabs>
      <w:spacing w:after="120"/>
      <w:outlineLvl w:val="3"/>
    </w:pPr>
    <w:rPr>
      <w:b/>
    </w:rPr>
  </w:style>
  <w:style w:type="paragraph" w:styleId="Heading5">
    <w:name w:val="heading 5"/>
    <w:basedOn w:val="Normal"/>
    <w:next w:val="ParaNum"/>
    <w:qFormat/>
    <w:rsid w:val="008959DD"/>
    <w:pPr>
      <w:keepNext/>
      <w:numPr>
        <w:ilvl w:val="4"/>
        <w:numId w:val="29"/>
      </w:numPr>
      <w:tabs>
        <w:tab w:val="left" w:pos="3600"/>
      </w:tabs>
      <w:suppressAutoHyphens/>
      <w:spacing w:after="120"/>
      <w:outlineLvl w:val="4"/>
    </w:pPr>
    <w:rPr>
      <w:b/>
    </w:rPr>
  </w:style>
  <w:style w:type="paragraph" w:styleId="Heading6">
    <w:name w:val="heading 6"/>
    <w:basedOn w:val="Normal"/>
    <w:next w:val="ParaNum"/>
    <w:qFormat/>
    <w:rsid w:val="008959DD"/>
    <w:pPr>
      <w:numPr>
        <w:ilvl w:val="5"/>
        <w:numId w:val="29"/>
      </w:numPr>
      <w:tabs>
        <w:tab w:val="left" w:pos="4320"/>
      </w:tabs>
      <w:spacing w:after="120"/>
      <w:outlineLvl w:val="5"/>
    </w:pPr>
    <w:rPr>
      <w:b/>
    </w:rPr>
  </w:style>
  <w:style w:type="paragraph" w:styleId="Heading7">
    <w:name w:val="heading 7"/>
    <w:basedOn w:val="Normal"/>
    <w:next w:val="ParaNum"/>
    <w:qFormat/>
    <w:rsid w:val="008959DD"/>
    <w:pPr>
      <w:numPr>
        <w:ilvl w:val="6"/>
        <w:numId w:val="29"/>
      </w:numPr>
      <w:tabs>
        <w:tab w:val="left" w:pos="5040"/>
      </w:tabs>
      <w:spacing w:after="120"/>
      <w:ind w:left="5040" w:hanging="720"/>
      <w:outlineLvl w:val="6"/>
    </w:pPr>
    <w:rPr>
      <w:b/>
    </w:rPr>
  </w:style>
  <w:style w:type="paragraph" w:styleId="Heading8">
    <w:name w:val="heading 8"/>
    <w:basedOn w:val="Normal"/>
    <w:next w:val="ParaNum"/>
    <w:qFormat/>
    <w:rsid w:val="008959DD"/>
    <w:pPr>
      <w:numPr>
        <w:ilvl w:val="7"/>
        <w:numId w:val="29"/>
      </w:numPr>
      <w:tabs>
        <w:tab w:val="clear" w:pos="5400"/>
        <w:tab w:val="left" w:pos="5760"/>
      </w:tabs>
      <w:spacing w:after="120"/>
      <w:ind w:left="5760" w:hanging="720"/>
      <w:outlineLvl w:val="7"/>
    </w:pPr>
    <w:rPr>
      <w:b/>
    </w:rPr>
  </w:style>
  <w:style w:type="paragraph" w:styleId="Heading9">
    <w:name w:val="heading 9"/>
    <w:basedOn w:val="Normal"/>
    <w:next w:val="ParaNum"/>
    <w:qFormat/>
    <w:rsid w:val="008959DD"/>
    <w:pPr>
      <w:numPr>
        <w:ilvl w:val="8"/>
        <w:numId w:val="2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59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59D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8959DD"/>
    <w:pPr>
      <w:numPr>
        <w:numId w:val="28"/>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8959DD"/>
    <w:pPr>
      <w:spacing w:after="120"/>
    </w:pPr>
  </w:style>
  <w:style w:type="paragraph" w:customStyle="1" w:styleId="Bullet">
    <w:name w:val="Bullet"/>
    <w:basedOn w:val="Normal"/>
    <w:rsid w:val="008959DD"/>
    <w:pPr>
      <w:tabs>
        <w:tab w:val="left" w:pos="2160"/>
      </w:tabs>
      <w:spacing w:after="220"/>
      <w:ind w:left="2160" w:hanging="720"/>
    </w:pPr>
  </w:style>
  <w:style w:type="paragraph" w:styleId="BlockText">
    <w:name w:val="Block Text"/>
    <w:basedOn w:val="Normal"/>
    <w:rsid w:val="008959DD"/>
    <w:pPr>
      <w:spacing w:after="240"/>
      <w:ind w:left="1440" w:right="1440"/>
    </w:pPr>
  </w:style>
  <w:style w:type="paragraph" w:customStyle="1" w:styleId="TableFormat">
    <w:name w:val="TableFormat"/>
    <w:basedOn w:val="Bullet"/>
    <w:rsid w:val="008959DD"/>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8959DD"/>
    <w:rPr>
      <w:rFonts w:ascii="Times New Roman" w:hAnsi="Times New Roman"/>
      <w:dstrike w:val="0"/>
      <w:color w:val="auto"/>
      <w:sz w:val="20"/>
      <w:vertAlign w:val="superscript"/>
    </w:rPr>
  </w:style>
  <w:style w:type="paragraph" w:styleId="Header">
    <w:name w:val="header"/>
    <w:basedOn w:val="Normal"/>
    <w:link w:val="HeaderChar"/>
    <w:autoRedefine/>
    <w:rsid w:val="008959DD"/>
    <w:pPr>
      <w:tabs>
        <w:tab w:val="center" w:pos="4680"/>
        <w:tab w:val="right" w:pos="9360"/>
      </w:tabs>
    </w:pPr>
    <w:rPr>
      <w:b/>
    </w:rPr>
  </w:style>
  <w:style w:type="paragraph" w:styleId="Footer">
    <w:name w:val="footer"/>
    <w:basedOn w:val="Normal"/>
    <w:link w:val="FooterChar"/>
    <w:rsid w:val="008959DD"/>
    <w:pPr>
      <w:tabs>
        <w:tab w:val="center" w:pos="4320"/>
        <w:tab w:val="right" w:pos="8640"/>
      </w:tabs>
    </w:pPr>
  </w:style>
  <w:style w:type="paragraph" w:styleId="TOC2">
    <w:name w:val="toc 2"/>
    <w:basedOn w:val="Normal"/>
    <w:next w:val="Normal"/>
    <w:semiHidden/>
    <w:rsid w:val="008959DD"/>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8959DD"/>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895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5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5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5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5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5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59DD"/>
    <w:pPr>
      <w:tabs>
        <w:tab w:val="left" w:pos="3240"/>
        <w:tab w:val="right" w:leader="dot" w:pos="9360"/>
      </w:tabs>
      <w:suppressAutoHyphens/>
      <w:ind w:left="3240" w:hanging="360"/>
    </w:pPr>
    <w:rPr>
      <w:noProof/>
    </w:rPr>
  </w:style>
  <w:style w:type="character" w:styleId="PageNumber">
    <w:name w:val="page number"/>
    <w:basedOn w:val="DefaultParagraphFont"/>
    <w:rsid w:val="008959DD"/>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8959DD"/>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basedOn w:val="DefaultParagraphFont"/>
    <w:link w:val="BalloonText"/>
    <w:uiPriority w:val="99"/>
    <w:semiHidden/>
    <w:rsid w:val="005A75C9"/>
    <w:rPr>
      <w:rFonts w:ascii="Tahoma" w:hAnsi="Tahoma" w:cs="Tahoma"/>
      <w:sz w:val="16"/>
      <w:szCs w:val="16"/>
    </w:rPr>
  </w:style>
  <w:style w:type="character" w:customStyle="1" w:styleId="HeaderChar">
    <w:name w:val="Header Char"/>
    <w:basedOn w:val="DefaultParagraphFont"/>
    <w:link w:val="Header"/>
    <w:rsid w:val="00211460"/>
    <w:rPr>
      <w:b/>
      <w:snapToGrid w:val="0"/>
      <w:kern w:val="28"/>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basedOn w:val="DefaultParagraphFont"/>
    <w:link w:val="BodyText"/>
    <w:rsid w:val="00211460"/>
    <w:rPr>
      <w:sz w:val="22"/>
    </w:rPr>
  </w:style>
  <w:style w:type="character" w:customStyle="1" w:styleId="FooterChar">
    <w:name w:val="Footer Char"/>
    <w:basedOn w:val="DefaultParagraphFont"/>
    <w:link w:val="Footer"/>
    <w:rsid w:val="00211460"/>
    <w:rPr>
      <w:snapToGrid w:val="0"/>
      <w:kern w:val="28"/>
      <w:sz w:val="22"/>
    </w:rPr>
  </w:style>
  <w:style w:type="character" w:styleId="CommentReference">
    <w:name w:val="annotation reference"/>
    <w:basedOn w:val="DefaultParagraphFont"/>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basedOn w:val="CommentTextChar"/>
    <w:link w:val="CommentSubject"/>
    <w:uiPriority w:val="99"/>
    <w:semiHidden/>
    <w:rsid w:val="00B1657E"/>
    <w:rPr>
      <w:b/>
      <w:bCs/>
    </w:rPr>
  </w:style>
  <w:style w:type="character" w:customStyle="1" w:styleId="ParaNumChar">
    <w:name w:val="ParaNum Char"/>
    <w:link w:val="ParaNum"/>
    <w:rsid w:val="000C5BE5"/>
    <w:rPr>
      <w:snapToGrid w:val="0"/>
      <w:kern w:val="28"/>
      <w:sz w:val="22"/>
    </w:rPr>
  </w:style>
  <w:style w:type="character" w:customStyle="1" w:styleId="term1">
    <w:name w:val="term1"/>
    <w:basedOn w:val="DefaultParagraphFont"/>
    <w:rsid w:val="002245D1"/>
    <w:rPr>
      <w:b/>
      <w:bCs/>
    </w:rPr>
  </w:style>
  <w:style w:type="character" w:customStyle="1" w:styleId="pmterms31">
    <w:name w:val="pmterms31"/>
    <w:basedOn w:val="DefaultParagraphFont"/>
    <w:rsid w:val="006D66ED"/>
    <w:rPr>
      <w:b/>
      <w:bCs/>
      <w:i w:val="0"/>
      <w:iCs w:val="0"/>
      <w:color w:val="000000"/>
    </w:rPr>
  </w:style>
  <w:style w:type="paragraph" w:styleId="PlainText">
    <w:name w:val="Plain Text"/>
    <w:basedOn w:val="Normal"/>
    <w:link w:val="PlainTextChar"/>
    <w:uiPriority w:val="99"/>
    <w:semiHidden/>
    <w:unhideWhenUsed/>
    <w:rsid w:val="007A184F"/>
    <w:rPr>
      <w:rFonts w:ascii="Calibri" w:eastAsiaTheme="minorHAnsi" w:hAnsi="Calibri" w:cstheme="minorBidi"/>
      <w:sz w:val="24"/>
      <w:szCs w:val="21"/>
    </w:rPr>
  </w:style>
  <w:style w:type="character" w:customStyle="1" w:styleId="PlainTextChar">
    <w:name w:val="Plain Text Char"/>
    <w:basedOn w:val="DefaultParagraphFont"/>
    <w:link w:val="PlainText"/>
    <w:uiPriority w:val="99"/>
    <w:semiHidden/>
    <w:rsid w:val="007A184F"/>
    <w:rPr>
      <w:rFonts w:ascii="Calibri" w:eastAsiaTheme="minorHAnsi" w:hAnsi="Calibri" w:cstheme="minorBidi"/>
      <w:sz w:val="24"/>
      <w:szCs w:val="21"/>
    </w:rPr>
  </w:style>
  <w:style w:type="paragraph" w:styleId="EndnoteText">
    <w:name w:val="endnote text"/>
    <w:basedOn w:val="Normal"/>
    <w:link w:val="EndnoteTextChar"/>
    <w:semiHidden/>
    <w:rsid w:val="008959DD"/>
    <w:rPr>
      <w:sz w:val="20"/>
    </w:rPr>
  </w:style>
  <w:style w:type="character" w:customStyle="1" w:styleId="EndnoteTextChar">
    <w:name w:val="Endnote Text Char"/>
    <w:basedOn w:val="DefaultParagraphFont"/>
    <w:link w:val="EndnoteText"/>
    <w:semiHidden/>
    <w:rsid w:val="00D43349"/>
    <w:rPr>
      <w:snapToGrid w:val="0"/>
      <w:kern w:val="28"/>
    </w:rPr>
  </w:style>
  <w:style w:type="character" w:styleId="EndnoteReference">
    <w:name w:val="endnote reference"/>
    <w:semiHidden/>
    <w:rsid w:val="008959DD"/>
    <w:rPr>
      <w:vertAlign w:val="superscript"/>
    </w:rPr>
  </w:style>
  <w:style w:type="paragraph" w:styleId="TOAHeading">
    <w:name w:val="toa heading"/>
    <w:basedOn w:val="Normal"/>
    <w:next w:val="Normal"/>
    <w:semiHidden/>
    <w:rsid w:val="008959DD"/>
    <w:pPr>
      <w:tabs>
        <w:tab w:val="right" w:pos="9360"/>
      </w:tabs>
      <w:suppressAutoHyphens/>
    </w:pPr>
  </w:style>
  <w:style w:type="character" w:customStyle="1" w:styleId="EquationCaption">
    <w:name w:val="_Equation Caption"/>
    <w:rsid w:val="008959DD"/>
  </w:style>
  <w:style w:type="paragraph" w:customStyle="1" w:styleId="Paratitle">
    <w:name w:val="Para title"/>
    <w:basedOn w:val="Normal"/>
    <w:rsid w:val="008959DD"/>
    <w:pPr>
      <w:tabs>
        <w:tab w:val="center" w:pos="9270"/>
      </w:tabs>
      <w:spacing w:after="240"/>
    </w:pPr>
    <w:rPr>
      <w:spacing w:val="-2"/>
    </w:rPr>
  </w:style>
  <w:style w:type="paragraph" w:customStyle="1" w:styleId="TOCTitle">
    <w:name w:val="TOC Title"/>
    <w:basedOn w:val="Normal"/>
    <w:rsid w:val="00895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59D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560</Words>
  <Characters>3167</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2014-04-16T16:06:00Z</dcterms:created>
  <dcterms:modified xsi:type="dcterms:W3CDTF">2014-04-16T16:06:00Z</dcterms:modified>
  <cp:category> </cp:category>
  <cp:contentStatus> </cp:contentStatus>
</cp:coreProperties>
</file>