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0" w:rsidRPr="00150FBA" w:rsidRDefault="00211460" w:rsidP="00211460">
      <w:pPr>
        <w:jc w:val="center"/>
        <w:rPr>
          <w:b/>
          <w:szCs w:val="22"/>
        </w:rPr>
      </w:pPr>
      <w:bookmarkStart w:id="0" w:name="_GoBack"/>
      <w:bookmarkEnd w:id="0"/>
      <w:r w:rsidRPr="00150FBA">
        <w:rPr>
          <w:b/>
          <w:szCs w:val="22"/>
        </w:rPr>
        <w:t>Before the</w:t>
      </w:r>
    </w:p>
    <w:p w:rsidR="00211460" w:rsidRPr="00150FBA" w:rsidRDefault="00211460" w:rsidP="00211460">
      <w:pPr>
        <w:jc w:val="center"/>
        <w:rPr>
          <w:b/>
          <w:szCs w:val="22"/>
        </w:rPr>
      </w:pPr>
      <w:r w:rsidRPr="00150FBA">
        <w:rPr>
          <w:b/>
          <w:szCs w:val="22"/>
        </w:rPr>
        <w:t>Federal Communications Commission</w:t>
      </w:r>
    </w:p>
    <w:p w:rsidR="00211460" w:rsidRPr="00150FBA" w:rsidRDefault="00211460" w:rsidP="00211460">
      <w:pPr>
        <w:jc w:val="center"/>
        <w:rPr>
          <w:szCs w:val="22"/>
        </w:rPr>
      </w:pPr>
      <w:r w:rsidRPr="00150FBA">
        <w:rPr>
          <w:b/>
          <w:szCs w:val="22"/>
        </w:rPr>
        <w:t>Washington, D.C.  20554</w:t>
      </w:r>
    </w:p>
    <w:p w:rsidR="00E94291" w:rsidRPr="00150FBA" w:rsidRDefault="00E94291" w:rsidP="00211460">
      <w:pPr>
        <w:rPr>
          <w:szCs w:val="22"/>
        </w:rPr>
      </w:pPr>
    </w:p>
    <w:tbl>
      <w:tblPr>
        <w:tblW w:w="9648" w:type="dxa"/>
        <w:tblLayout w:type="fixed"/>
        <w:tblLook w:val="0000" w:firstRow="0" w:lastRow="0" w:firstColumn="0" w:lastColumn="0" w:noHBand="0" w:noVBand="0"/>
      </w:tblPr>
      <w:tblGrid>
        <w:gridCol w:w="4698"/>
        <w:gridCol w:w="720"/>
        <w:gridCol w:w="4230"/>
      </w:tblGrid>
      <w:tr w:rsidR="00974482" w:rsidRPr="00150FBA" w:rsidTr="00F25718">
        <w:trPr>
          <w:trHeight w:val="4842"/>
        </w:trPr>
        <w:tc>
          <w:tcPr>
            <w:tcW w:w="4698" w:type="dxa"/>
          </w:tcPr>
          <w:p w:rsidR="00974482" w:rsidRPr="00150FBA" w:rsidRDefault="00974482" w:rsidP="00410E1D">
            <w:pPr>
              <w:ind w:right="-18"/>
              <w:rPr>
                <w:szCs w:val="22"/>
              </w:rPr>
            </w:pPr>
            <w:r w:rsidRPr="00150FBA">
              <w:rPr>
                <w:szCs w:val="22"/>
              </w:rPr>
              <w:t xml:space="preserve">In </w:t>
            </w:r>
            <w:r w:rsidR="00C44110">
              <w:rPr>
                <w:szCs w:val="22"/>
              </w:rPr>
              <w:t>th</w:t>
            </w:r>
            <w:r w:rsidRPr="00150FBA">
              <w:rPr>
                <w:szCs w:val="22"/>
              </w:rPr>
              <w:t>e</w:t>
            </w:r>
            <w:r w:rsidR="00C44110">
              <w:rPr>
                <w:szCs w:val="22"/>
              </w:rPr>
              <w:t xml:space="preserve"> Matter of</w:t>
            </w:r>
            <w:r w:rsidRPr="00150FBA">
              <w:rPr>
                <w:szCs w:val="22"/>
              </w:rPr>
              <w:t xml:space="preserve">  </w:t>
            </w:r>
          </w:p>
          <w:p w:rsidR="00974482" w:rsidRPr="00150FBA" w:rsidRDefault="00974482" w:rsidP="00410E1D">
            <w:pPr>
              <w:ind w:right="-18"/>
              <w:rPr>
                <w:szCs w:val="22"/>
              </w:rPr>
            </w:pPr>
          </w:p>
          <w:p w:rsidR="00974482" w:rsidRPr="00A77C70" w:rsidRDefault="00B82247" w:rsidP="00410E1D">
            <w:pPr>
              <w:ind w:right="-18"/>
              <w:rPr>
                <w:szCs w:val="22"/>
              </w:rPr>
            </w:pPr>
            <w:r w:rsidRPr="00A77C70">
              <w:rPr>
                <w:szCs w:val="22"/>
              </w:rPr>
              <w:t>Blues and Gospel Heritage Association</w:t>
            </w:r>
          </w:p>
          <w:p w:rsidR="00974482" w:rsidRPr="00150FBA" w:rsidRDefault="00974482" w:rsidP="00410E1D">
            <w:pPr>
              <w:ind w:right="-18"/>
              <w:rPr>
                <w:szCs w:val="22"/>
              </w:rPr>
            </w:pPr>
          </w:p>
          <w:p w:rsidR="00C44110" w:rsidRDefault="00B82247" w:rsidP="00410E1D">
            <w:pPr>
              <w:ind w:right="-18"/>
              <w:rPr>
                <w:szCs w:val="22"/>
              </w:rPr>
            </w:pPr>
            <w:r>
              <w:rPr>
                <w:szCs w:val="22"/>
              </w:rPr>
              <w:t>Application for Permit to Construct a</w:t>
            </w:r>
          </w:p>
          <w:p w:rsidR="00974482" w:rsidRPr="00150FBA" w:rsidRDefault="00B82247" w:rsidP="00B82247">
            <w:pPr>
              <w:ind w:right="-18"/>
              <w:rPr>
                <w:szCs w:val="22"/>
              </w:rPr>
            </w:pPr>
            <w:r>
              <w:rPr>
                <w:szCs w:val="22"/>
              </w:rPr>
              <w:t xml:space="preserve">New Noncommercial Educational FM </w:t>
            </w:r>
            <w:r w:rsidR="00974482" w:rsidRPr="00150FBA">
              <w:rPr>
                <w:szCs w:val="22"/>
              </w:rPr>
              <w:t xml:space="preserve">Station </w:t>
            </w:r>
            <w:r>
              <w:rPr>
                <w:szCs w:val="22"/>
              </w:rPr>
              <w:t>at Jonestown, Mississippi</w:t>
            </w:r>
          </w:p>
          <w:p w:rsidR="00974482" w:rsidRPr="00150FBA" w:rsidRDefault="00974482" w:rsidP="00410E1D">
            <w:pPr>
              <w:ind w:right="-18"/>
              <w:rPr>
                <w:szCs w:val="22"/>
              </w:rPr>
            </w:pP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and</w:t>
            </w:r>
          </w:p>
          <w:p w:rsidR="00974482" w:rsidRPr="00150FBA" w:rsidRDefault="00974482" w:rsidP="00410E1D">
            <w:pPr>
              <w:ind w:right="-18"/>
              <w:rPr>
                <w:szCs w:val="22"/>
              </w:rPr>
            </w:pPr>
          </w:p>
          <w:p w:rsidR="00974482" w:rsidRPr="00A77C70" w:rsidRDefault="00B82247" w:rsidP="00410E1D">
            <w:pPr>
              <w:ind w:right="-18"/>
              <w:rPr>
                <w:szCs w:val="22"/>
              </w:rPr>
            </w:pPr>
            <w:r w:rsidRPr="00A77C70">
              <w:rPr>
                <w:szCs w:val="22"/>
              </w:rPr>
              <w:t>Quitman County Development Organization d/b/a Deep South Delta Foundation</w:t>
            </w:r>
          </w:p>
          <w:p w:rsidR="00974482" w:rsidRPr="00150FBA" w:rsidRDefault="00974482" w:rsidP="00410E1D">
            <w:pPr>
              <w:ind w:right="-18"/>
              <w:rPr>
                <w:b/>
                <w:szCs w:val="22"/>
              </w:rPr>
            </w:pPr>
          </w:p>
          <w:p w:rsidR="00B82247" w:rsidRDefault="00B82247" w:rsidP="00B82247">
            <w:pPr>
              <w:ind w:right="-18"/>
              <w:rPr>
                <w:szCs w:val="22"/>
              </w:rPr>
            </w:pPr>
            <w:r>
              <w:rPr>
                <w:szCs w:val="22"/>
              </w:rPr>
              <w:t>Application for Permit to Construct a</w:t>
            </w:r>
          </w:p>
          <w:p w:rsidR="00B82247" w:rsidRPr="00150FBA" w:rsidRDefault="00B82247" w:rsidP="00B82247">
            <w:pPr>
              <w:ind w:right="-18"/>
              <w:rPr>
                <w:szCs w:val="22"/>
              </w:rPr>
            </w:pPr>
            <w:r>
              <w:rPr>
                <w:szCs w:val="22"/>
              </w:rPr>
              <w:t xml:space="preserve">New Noncommercial Educational FM </w:t>
            </w:r>
            <w:r w:rsidRPr="00150FBA">
              <w:rPr>
                <w:szCs w:val="22"/>
              </w:rPr>
              <w:t xml:space="preserve">Station </w:t>
            </w:r>
            <w:r w:rsidR="001105C0">
              <w:rPr>
                <w:szCs w:val="22"/>
              </w:rPr>
              <w:t>at Clark</w:t>
            </w:r>
            <w:r>
              <w:rPr>
                <w:szCs w:val="22"/>
              </w:rPr>
              <w:t>sdale, Mississippi</w:t>
            </w:r>
          </w:p>
          <w:p w:rsidR="00974482" w:rsidRPr="00150FBA" w:rsidRDefault="00974482" w:rsidP="00410E1D">
            <w:pPr>
              <w:ind w:right="-18"/>
              <w:rPr>
                <w:b/>
                <w:szCs w:val="22"/>
              </w:rPr>
            </w:pPr>
            <w:r w:rsidRPr="00150FBA">
              <w:rPr>
                <w:szCs w:val="22"/>
              </w:rPr>
              <w:t xml:space="preserve">                                      </w:t>
            </w:r>
          </w:p>
        </w:tc>
        <w:tc>
          <w:tcPr>
            <w:tcW w:w="720" w:type="dxa"/>
          </w:tcPr>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 xml:space="preserve">) </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Default="00B82247" w:rsidP="00410E1D">
            <w:pPr>
              <w:rPr>
                <w:b/>
                <w:szCs w:val="22"/>
              </w:rPr>
            </w:pPr>
            <w:r>
              <w:rPr>
                <w:b/>
                <w:szCs w:val="22"/>
              </w:rPr>
              <w:t>)</w:t>
            </w:r>
          </w:p>
          <w:p w:rsidR="00B82247" w:rsidRPr="00150FBA" w:rsidRDefault="00B82247" w:rsidP="00410E1D">
            <w:pPr>
              <w:rPr>
                <w:b/>
                <w:szCs w:val="22"/>
              </w:rPr>
            </w:pPr>
            <w:r>
              <w:rPr>
                <w:b/>
                <w:szCs w:val="22"/>
              </w:rPr>
              <w:t>)</w:t>
            </w:r>
          </w:p>
        </w:tc>
        <w:tc>
          <w:tcPr>
            <w:tcW w:w="4230" w:type="dxa"/>
          </w:tcPr>
          <w:p w:rsidR="00B82247" w:rsidRDefault="00B82247" w:rsidP="00410E1D">
            <w:pPr>
              <w:rPr>
                <w:szCs w:val="22"/>
              </w:rPr>
            </w:pPr>
          </w:p>
          <w:p w:rsidR="00974482" w:rsidRPr="00150FBA" w:rsidRDefault="00B82247" w:rsidP="00410E1D">
            <w:pPr>
              <w:rPr>
                <w:szCs w:val="22"/>
              </w:rPr>
            </w:pPr>
            <w:r>
              <w:rPr>
                <w:szCs w:val="22"/>
              </w:rPr>
              <w:t>NCE MX Group 145</w:t>
            </w:r>
          </w:p>
          <w:p w:rsidR="00974482" w:rsidRPr="00150FBA" w:rsidRDefault="00974482" w:rsidP="00410E1D">
            <w:pPr>
              <w:rPr>
                <w:szCs w:val="22"/>
              </w:rPr>
            </w:pPr>
          </w:p>
          <w:p w:rsidR="00974482" w:rsidRPr="00150FBA" w:rsidRDefault="00974482" w:rsidP="00410E1D">
            <w:pPr>
              <w:rPr>
                <w:szCs w:val="22"/>
              </w:rPr>
            </w:pPr>
          </w:p>
          <w:p w:rsidR="00B82247" w:rsidRDefault="00B82247" w:rsidP="00410E1D">
            <w:pPr>
              <w:rPr>
                <w:szCs w:val="22"/>
              </w:rPr>
            </w:pPr>
          </w:p>
          <w:p w:rsidR="00974482" w:rsidRPr="00150FBA" w:rsidRDefault="00974482" w:rsidP="00410E1D">
            <w:pPr>
              <w:rPr>
                <w:szCs w:val="22"/>
              </w:rPr>
            </w:pPr>
            <w:r w:rsidRPr="00150FBA">
              <w:rPr>
                <w:szCs w:val="22"/>
              </w:rPr>
              <w:t xml:space="preserve">File No. </w:t>
            </w:r>
            <w:r w:rsidR="00B82247">
              <w:rPr>
                <w:szCs w:val="22"/>
              </w:rPr>
              <w:t>BNPED-20071022AWT</w:t>
            </w:r>
          </w:p>
          <w:p w:rsidR="00974482" w:rsidRPr="00150FBA" w:rsidRDefault="00B82247" w:rsidP="00410E1D">
            <w:pPr>
              <w:rPr>
                <w:szCs w:val="22"/>
              </w:rPr>
            </w:pPr>
            <w:r>
              <w:rPr>
                <w:szCs w:val="22"/>
              </w:rPr>
              <w:t>Facility I.D. No. 177327</w:t>
            </w:r>
            <w:r w:rsidR="00974482" w:rsidRPr="00150FBA">
              <w:rPr>
                <w:szCs w:val="22"/>
              </w:rPr>
              <w:t xml:space="preserve">                             </w:t>
            </w: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B82247" w:rsidRDefault="00B82247" w:rsidP="00410E1D">
            <w:pPr>
              <w:rPr>
                <w:szCs w:val="22"/>
              </w:rPr>
            </w:pPr>
          </w:p>
          <w:p w:rsidR="00B82247" w:rsidRDefault="00B82247" w:rsidP="00410E1D">
            <w:pPr>
              <w:rPr>
                <w:szCs w:val="22"/>
              </w:rPr>
            </w:pPr>
          </w:p>
          <w:p w:rsidR="00B82247" w:rsidRDefault="00B82247" w:rsidP="00410E1D">
            <w:pPr>
              <w:rPr>
                <w:szCs w:val="22"/>
              </w:rPr>
            </w:pPr>
          </w:p>
          <w:p w:rsidR="00974482" w:rsidRPr="00150FBA" w:rsidRDefault="00974482" w:rsidP="00410E1D">
            <w:pPr>
              <w:rPr>
                <w:szCs w:val="22"/>
              </w:rPr>
            </w:pPr>
            <w:r w:rsidRPr="00B464F9">
              <w:rPr>
                <w:szCs w:val="22"/>
              </w:rPr>
              <w:t xml:space="preserve">File No. </w:t>
            </w:r>
            <w:r w:rsidR="00B82247">
              <w:rPr>
                <w:szCs w:val="22"/>
              </w:rPr>
              <w:t>BNPED-20071022AHR</w:t>
            </w:r>
          </w:p>
          <w:p w:rsidR="00974482" w:rsidRPr="00150FBA" w:rsidRDefault="00B82247" w:rsidP="00410E1D">
            <w:pPr>
              <w:rPr>
                <w:szCs w:val="22"/>
              </w:rPr>
            </w:pPr>
            <w:r>
              <w:rPr>
                <w:szCs w:val="22"/>
              </w:rPr>
              <w:t>Facility ID No. 176186</w:t>
            </w: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tc>
      </w:tr>
    </w:tbl>
    <w:p w:rsidR="00211460" w:rsidRDefault="00211460" w:rsidP="00B82247">
      <w:pPr>
        <w:jc w:val="center"/>
        <w:rPr>
          <w:szCs w:val="22"/>
        </w:rPr>
      </w:pPr>
      <w:r w:rsidRPr="00B82247">
        <w:rPr>
          <w:b/>
          <w:szCs w:val="22"/>
        </w:rPr>
        <w:t>MEMORANDUM OPINION AND ORDER</w:t>
      </w:r>
    </w:p>
    <w:p w:rsidR="00227107" w:rsidRDefault="00227107" w:rsidP="00B82247">
      <w:pPr>
        <w:rPr>
          <w:szCs w:val="22"/>
        </w:rPr>
      </w:pPr>
    </w:p>
    <w:p w:rsidR="00A77C70" w:rsidRDefault="00A77C70" w:rsidP="00A77C70">
      <w:pPr>
        <w:tabs>
          <w:tab w:val="left" w:pos="720"/>
          <w:tab w:val="right" w:pos="9360"/>
        </w:tabs>
        <w:suppressAutoHyphens/>
        <w:spacing w:line="227" w:lineRule="auto"/>
        <w:rPr>
          <w:spacing w:val="-2"/>
        </w:rPr>
      </w:pPr>
      <w:r>
        <w:rPr>
          <w:b/>
          <w:spacing w:val="-2"/>
        </w:rPr>
        <w:t>Adopted:  April 15, 2014</w:t>
      </w:r>
      <w:r>
        <w:rPr>
          <w:b/>
          <w:spacing w:val="-2"/>
        </w:rPr>
        <w:tab/>
        <w:t>Released:  April 16, 2014</w:t>
      </w:r>
    </w:p>
    <w:p w:rsidR="00A77C70" w:rsidRDefault="00A77C70" w:rsidP="00211460">
      <w:pPr>
        <w:tabs>
          <w:tab w:val="left" w:pos="1980"/>
          <w:tab w:val="left" w:pos="4680"/>
        </w:tabs>
        <w:rPr>
          <w:b/>
        </w:rPr>
      </w:pPr>
    </w:p>
    <w:p w:rsidR="00211460" w:rsidRPr="00150FBA" w:rsidRDefault="00211460" w:rsidP="00211460">
      <w:pPr>
        <w:tabs>
          <w:tab w:val="left" w:pos="1980"/>
          <w:tab w:val="left" w:pos="4680"/>
        </w:tabs>
        <w:rPr>
          <w:szCs w:val="22"/>
        </w:rPr>
      </w:pPr>
      <w:r w:rsidRPr="00150FBA">
        <w:rPr>
          <w:szCs w:val="22"/>
        </w:rPr>
        <w:t>By the Commission:</w:t>
      </w:r>
      <w:r w:rsidRPr="00150FBA">
        <w:rPr>
          <w:szCs w:val="22"/>
        </w:rPr>
        <w:tab/>
        <w:t xml:space="preserve"> </w:t>
      </w:r>
    </w:p>
    <w:p w:rsidR="00211460" w:rsidRPr="00150FBA" w:rsidRDefault="00211460" w:rsidP="00211460">
      <w:pPr>
        <w:tabs>
          <w:tab w:val="left" w:pos="1980"/>
          <w:tab w:val="left" w:pos="4680"/>
        </w:tabs>
        <w:rPr>
          <w:szCs w:val="22"/>
        </w:rPr>
      </w:pPr>
    </w:p>
    <w:p w:rsidR="000C5BE5" w:rsidRPr="00150FBA" w:rsidRDefault="000C5BE5" w:rsidP="00073874">
      <w:pPr>
        <w:pStyle w:val="ParaNum"/>
      </w:pPr>
      <w:r w:rsidRPr="00150FBA">
        <w:t xml:space="preserve">The Commission has before it </w:t>
      </w:r>
      <w:r w:rsidR="00AD6F47">
        <w:t>a November 25, 2011 Application</w:t>
      </w:r>
      <w:r w:rsidRPr="00150FBA">
        <w:t xml:space="preserve"> for Review filed by </w:t>
      </w:r>
      <w:r w:rsidR="00AD6F47">
        <w:t>Blues and Gospel Heritage Association (“BGHA</w:t>
      </w:r>
      <w:r w:rsidRPr="00150FBA">
        <w:t xml:space="preserve">”) </w:t>
      </w:r>
      <w:r w:rsidR="00AD6F47">
        <w:t xml:space="preserve">which seeks </w:t>
      </w:r>
      <w:r w:rsidR="006E18C7">
        <w:t xml:space="preserve">review of </w:t>
      </w:r>
      <w:r w:rsidR="00AD6F47">
        <w:t>an October 25, 2011 decision letter by the M</w:t>
      </w:r>
      <w:r w:rsidR="006E18C7">
        <w:t>edia Bureau (“</w:t>
      </w:r>
      <w:r w:rsidR="001F297E">
        <w:t>Bureau</w:t>
      </w:r>
      <w:r w:rsidR="00AD6F47">
        <w:t>”).</w:t>
      </w:r>
      <w:r w:rsidR="00197543">
        <w:rPr>
          <w:rStyle w:val="FootnoteReference"/>
        </w:rPr>
        <w:footnoteReference w:id="2"/>
      </w:r>
      <w:r w:rsidR="00AD6F47">
        <w:t xml:space="preserve">  The </w:t>
      </w:r>
      <w:r w:rsidR="00AD6F47">
        <w:rPr>
          <w:i/>
        </w:rPr>
        <w:t>Letter</w:t>
      </w:r>
      <w:r w:rsidR="00AD6F47">
        <w:t xml:space="preserve"> affirmed </w:t>
      </w:r>
      <w:r w:rsidR="00F25802">
        <w:t>the</w:t>
      </w:r>
      <w:r w:rsidR="00A91B51">
        <w:t xml:space="preserve"> </w:t>
      </w:r>
      <w:r w:rsidR="00AD6F47">
        <w:t>Bureau</w:t>
      </w:r>
      <w:r w:rsidR="00F25802">
        <w:t>’s</w:t>
      </w:r>
      <w:r w:rsidR="00A91B51">
        <w:t xml:space="preserve"> </w:t>
      </w:r>
      <w:r w:rsidR="00F25802">
        <w:t xml:space="preserve">earlier </w:t>
      </w:r>
      <w:r w:rsidR="00A91B51">
        <w:t>dismis</w:t>
      </w:r>
      <w:r w:rsidR="00F25802">
        <w:t xml:space="preserve">sal of </w:t>
      </w:r>
      <w:r w:rsidR="00AD6F47">
        <w:t>BGHA’</w:t>
      </w:r>
      <w:r w:rsidR="0060505E">
        <w:t xml:space="preserve">s application for </w:t>
      </w:r>
      <w:r w:rsidR="00AD6F47">
        <w:t>a new noncommercial educational (“NCE”) FM station at Jonestown, Mississippi and grant</w:t>
      </w:r>
      <w:r w:rsidR="00F25802">
        <w:t xml:space="preserve"> of</w:t>
      </w:r>
      <w:r w:rsidR="00A91B51">
        <w:t xml:space="preserve"> the</w:t>
      </w:r>
      <w:r w:rsidR="00AD6F47">
        <w:t xml:space="preserve"> mu</w:t>
      </w:r>
      <w:r w:rsidR="0060505E">
        <w:t xml:space="preserve">tually exclusive application of </w:t>
      </w:r>
      <w:r w:rsidR="00CE238F">
        <w:t>Quitman Count</w:t>
      </w:r>
      <w:r w:rsidR="00AD6F47">
        <w:t xml:space="preserve">y Development Organization d/b/a Deep South Delta Foundation (“Quitman”) </w:t>
      </w:r>
      <w:r w:rsidR="00D86839">
        <w:t>to construct</w:t>
      </w:r>
      <w:r w:rsidR="0060505E">
        <w:t xml:space="preserve"> a new </w:t>
      </w:r>
      <w:r w:rsidR="00AD6F47">
        <w:t>NCE FM station at Clarksdale, Mississippi.</w:t>
      </w:r>
      <w:r w:rsidR="00D14DF8">
        <w:rPr>
          <w:rStyle w:val="FootnoteReference"/>
        </w:rPr>
        <w:footnoteReference w:id="3"/>
      </w:r>
      <w:r w:rsidR="00AD6F47">
        <w:t xml:space="preserve">  </w:t>
      </w:r>
      <w:r w:rsidR="00396A2B" w:rsidRPr="00396A2B">
        <w:t>Quitman, whose mission is to transform the Mississippi Delta through self-help strategies,</w:t>
      </w:r>
      <w:r w:rsidR="00396A2B" w:rsidRPr="00396A2B">
        <w:rPr>
          <w:vertAlign w:val="superscript"/>
        </w:rPr>
        <w:footnoteReference w:id="4"/>
      </w:r>
      <w:r w:rsidR="00396A2B" w:rsidRPr="00396A2B">
        <w:t xml:space="preserve"> </w:t>
      </w:r>
      <w:r w:rsidR="0060505E">
        <w:t xml:space="preserve">prevailed over BGHA </w:t>
      </w:r>
      <w:r w:rsidR="007D53B9">
        <w:t xml:space="preserve">because </w:t>
      </w:r>
      <w:r w:rsidR="00D86839">
        <w:t xml:space="preserve">only </w:t>
      </w:r>
      <w:r w:rsidR="007D53B9">
        <w:t>Quitman</w:t>
      </w:r>
      <w:r w:rsidR="00D86839">
        <w:t xml:space="preserve"> </w:t>
      </w:r>
      <w:r w:rsidR="00EC6420">
        <w:t xml:space="preserve">qualified for </w:t>
      </w:r>
      <w:r w:rsidR="007D53B9">
        <w:t xml:space="preserve">a </w:t>
      </w:r>
      <w:r w:rsidR="0060505E">
        <w:t xml:space="preserve">threshold fair distribution of service </w:t>
      </w:r>
      <w:r w:rsidR="007D53B9">
        <w:t>preference</w:t>
      </w:r>
      <w:r w:rsidR="0060505E">
        <w:t xml:space="preserve"> </w:t>
      </w:r>
      <w:r w:rsidR="00D77E99">
        <w:t>by proposing to provide</w:t>
      </w:r>
      <w:r w:rsidR="00EC6420">
        <w:t xml:space="preserve"> </w:t>
      </w:r>
      <w:r w:rsidR="0060505E">
        <w:t xml:space="preserve">a first </w:t>
      </w:r>
      <w:r w:rsidR="00BD3F63">
        <w:t xml:space="preserve">and/or second </w:t>
      </w:r>
      <w:r w:rsidR="0060505E">
        <w:t>NCE aural reception service</w:t>
      </w:r>
      <w:r w:rsidR="00EC6420">
        <w:t xml:space="preserve"> to potential listeners</w:t>
      </w:r>
      <w:r w:rsidR="0060505E">
        <w:t>.</w:t>
      </w:r>
      <w:r w:rsidR="00D52278">
        <w:rPr>
          <w:rStyle w:val="FootnoteReference"/>
        </w:rPr>
        <w:footnoteReference w:id="5"/>
      </w:r>
      <w:r w:rsidR="0060505E">
        <w:t xml:space="preserve">   </w:t>
      </w:r>
      <w:r w:rsidR="007D53B9">
        <w:t xml:space="preserve">The Bureau </w:t>
      </w:r>
      <w:r w:rsidR="00D86839">
        <w:t>observ</w:t>
      </w:r>
      <w:r w:rsidR="00D77E99">
        <w:t xml:space="preserve">ed that Quitman had submitted exhibits </w:t>
      </w:r>
      <w:r w:rsidR="00D86839">
        <w:t>supporting its fair distribution claim and t</w:t>
      </w:r>
      <w:r w:rsidR="00470CAB">
        <w:t xml:space="preserve">hat the Bureau had </w:t>
      </w:r>
      <w:r w:rsidR="00470CAB">
        <w:lastRenderedPageBreak/>
        <w:t>conducted an independent engineering analysis which confirmed Quitman’</w:t>
      </w:r>
      <w:r w:rsidR="00D86839">
        <w:t>s claim</w:t>
      </w:r>
      <w:r w:rsidR="00470CAB">
        <w:t>.</w:t>
      </w:r>
      <w:r w:rsidR="00D52278">
        <w:rPr>
          <w:rStyle w:val="FootnoteReference"/>
        </w:rPr>
        <w:footnoteReference w:id="6"/>
      </w:r>
      <w:r w:rsidR="00373495">
        <w:t xml:space="preserve">  </w:t>
      </w:r>
      <w:r w:rsidR="001D361F">
        <w:t>BGHA a</w:t>
      </w:r>
      <w:r w:rsidR="00470CAB">
        <w:t xml:space="preserve">rgues on review that </w:t>
      </w:r>
      <w:r w:rsidR="007D53B9">
        <w:t xml:space="preserve">the Bureau erred </w:t>
      </w:r>
      <w:r w:rsidR="00D86839">
        <w:t>because neither Q</w:t>
      </w:r>
      <w:r w:rsidR="0071023D">
        <w:t>uitman nor the Bureau publicly disclosed</w:t>
      </w:r>
      <w:r w:rsidR="00D86839">
        <w:t xml:space="preserve"> the engineering and technical calculations upon which the</w:t>
      </w:r>
      <w:r w:rsidR="0071023D">
        <w:t>ir fair distribution analyses were</w:t>
      </w:r>
      <w:r w:rsidR="00D86839">
        <w:t xml:space="preserve"> based, making </w:t>
      </w:r>
      <w:r w:rsidR="004627CB">
        <w:t xml:space="preserve">verification by </w:t>
      </w:r>
      <w:r w:rsidR="006641CB">
        <w:t>BGHA</w:t>
      </w:r>
      <w:r w:rsidR="00D86839">
        <w:t xml:space="preserve"> </w:t>
      </w:r>
      <w:r w:rsidR="004627CB">
        <w:t>impossible.</w:t>
      </w:r>
      <w:r w:rsidR="004627CB">
        <w:rPr>
          <w:rStyle w:val="FootnoteReference"/>
        </w:rPr>
        <w:footnoteReference w:id="7"/>
      </w:r>
      <w:r w:rsidR="00D86839">
        <w:t xml:space="preserve">  </w:t>
      </w:r>
    </w:p>
    <w:p w:rsidR="00A65DBA" w:rsidRPr="00150FBA" w:rsidRDefault="004115C1" w:rsidP="00E94291">
      <w:pPr>
        <w:pStyle w:val="ParaNum"/>
      </w:pPr>
      <w:r>
        <w:t>Upon review of the Application for Review</w:t>
      </w:r>
      <w:r w:rsidR="001105C0">
        <w:rPr>
          <w:rStyle w:val="FootnoteReference"/>
        </w:rPr>
        <w:footnoteReference w:id="8"/>
      </w:r>
      <w:r w:rsidR="00A65DBA">
        <w:t xml:space="preserve"> and the entire record, we conclude that </w:t>
      </w:r>
      <w:r>
        <w:t xml:space="preserve">BGHA </w:t>
      </w:r>
      <w:r w:rsidR="005D2AFD">
        <w:rPr>
          <w:szCs w:val="22"/>
        </w:rPr>
        <w:t xml:space="preserve">has failed to demonstrate that the Bureau erred.  The Bureau properly decided the matters raised, and we uphold its decision for the reasons stated in its </w:t>
      </w:r>
      <w:r w:rsidR="005D2AFD" w:rsidRPr="00633D07">
        <w:rPr>
          <w:i/>
          <w:szCs w:val="22"/>
        </w:rPr>
        <w:t>Letter</w:t>
      </w:r>
      <w:r w:rsidR="005D2AFD">
        <w:rPr>
          <w:szCs w:val="22"/>
        </w:rPr>
        <w:t xml:space="preserve">.   </w:t>
      </w:r>
    </w:p>
    <w:p w:rsidR="000C5BE5" w:rsidRPr="00E94291" w:rsidRDefault="000C5BE5" w:rsidP="00C271E8">
      <w:pPr>
        <w:pStyle w:val="ParaNum"/>
      </w:pPr>
      <w:r w:rsidRPr="00A65DBA">
        <w:t>ACCORDINGLY, IT IS ORDERED that, pursuant to Section 5(c)(5) of the Communications Act of 1934, as amended,</w:t>
      </w:r>
      <w:r w:rsidRPr="00150FBA">
        <w:rPr>
          <w:rStyle w:val="FootnoteReference"/>
          <w:szCs w:val="22"/>
        </w:rPr>
        <w:footnoteReference w:id="9"/>
      </w:r>
      <w:r w:rsidRPr="00A65DBA">
        <w:t xml:space="preserve"> and Section 1.115(g) of the Commission’s Rules</w:t>
      </w:r>
      <w:r w:rsidR="00881023">
        <w:t>,</w:t>
      </w:r>
      <w:r w:rsidRPr="00150FBA">
        <w:rPr>
          <w:rStyle w:val="FootnoteReference"/>
          <w:szCs w:val="22"/>
        </w:rPr>
        <w:footnoteReference w:id="10"/>
      </w:r>
      <w:r w:rsidR="00881023">
        <w:t xml:space="preserve"> </w:t>
      </w:r>
      <w:r w:rsidRPr="00A65DBA">
        <w:t xml:space="preserve">the Application for Review filed by </w:t>
      </w:r>
      <w:r w:rsidR="005C7311">
        <w:t xml:space="preserve">Blues and Gospel Heritage Association </w:t>
      </w:r>
      <w:r w:rsidRPr="00A65DBA">
        <w:t>IS DENIED</w:t>
      </w:r>
      <w:r w:rsidR="005C7311">
        <w:t xml:space="preserve">.  </w:t>
      </w:r>
    </w:p>
    <w:p w:rsidR="00CF76A5" w:rsidRPr="006358C3" w:rsidRDefault="005660EA" w:rsidP="00187295">
      <w:pPr>
        <w:spacing w:before="240"/>
      </w:pPr>
      <w:r w:rsidRPr="006358C3">
        <w:tab/>
      </w:r>
      <w:r w:rsidRPr="006358C3">
        <w:tab/>
      </w:r>
      <w:r w:rsidRPr="006358C3">
        <w:tab/>
      </w:r>
      <w:r w:rsidRPr="006358C3">
        <w:tab/>
      </w:r>
      <w:r w:rsidRPr="006358C3">
        <w:tab/>
      </w:r>
      <w:r w:rsidRPr="006358C3">
        <w:tab/>
      </w:r>
      <w:r w:rsidR="00CF76A5" w:rsidRPr="006358C3">
        <w:t>FEDERAL COMMUNICATIONS COMMISSION</w:t>
      </w:r>
    </w:p>
    <w:p w:rsidR="00CF76A5" w:rsidRDefault="00CF76A5" w:rsidP="00CF76A5"/>
    <w:p w:rsidR="00E94291" w:rsidRDefault="00E94291" w:rsidP="00CF76A5"/>
    <w:p w:rsidR="00A77C70" w:rsidRDefault="00A77C70" w:rsidP="00CF76A5"/>
    <w:p w:rsidR="00E94291" w:rsidRPr="006358C3" w:rsidRDefault="00E94291" w:rsidP="00CF76A5"/>
    <w:p w:rsidR="00CF76A5" w:rsidRPr="006358C3" w:rsidRDefault="00C44110" w:rsidP="00B82247">
      <w:r>
        <w:t xml:space="preserve"> </w:t>
      </w:r>
      <w:r>
        <w:tab/>
      </w:r>
      <w:r>
        <w:tab/>
      </w:r>
      <w:r>
        <w:tab/>
      </w:r>
      <w:r>
        <w:tab/>
      </w:r>
      <w:r>
        <w:tab/>
      </w:r>
      <w:r>
        <w:tab/>
      </w:r>
      <w:r w:rsidR="00CF76A5" w:rsidRPr="006358C3">
        <w:t>Marlene H. Dortch</w:t>
      </w:r>
    </w:p>
    <w:p w:rsidR="00750291" w:rsidRPr="006358C3" w:rsidRDefault="00227107" w:rsidP="00211460">
      <w:r>
        <w:t xml:space="preserve"> </w:t>
      </w:r>
      <w:r>
        <w:tab/>
      </w:r>
      <w:r>
        <w:tab/>
      </w:r>
      <w:r>
        <w:tab/>
      </w:r>
      <w:r>
        <w:tab/>
      </w:r>
      <w:r>
        <w:tab/>
      </w:r>
      <w:r>
        <w:tab/>
      </w:r>
      <w:r w:rsidR="00CF76A5" w:rsidRPr="006358C3">
        <w:t>Secretary</w:t>
      </w:r>
    </w:p>
    <w:sectPr w:rsidR="00750291" w:rsidRPr="006358C3" w:rsidSect="007D01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47" w:rsidRDefault="00920947">
      <w:r>
        <w:separator/>
      </w:r>
    </w:p>
  </w:endnote>
  <w:endnote w:type="continuationSeparator" w:id="0">
    <w:p w:rsidR="00920947" w:rsidRDefault="0092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9D" w:rsidRDefault="0058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7D01C8" w:rsidP="00B82247">
    <w:pPr>
      <w:pStyle w:val="Footer"/>
      <w:tabs>
        <w:tab w:val="clear" w:pos="4320"/>
        <w:tab w:val="clear" w:pos="8640"/>
      </w:tabs>
      <w:jc w:val="center"/>
    </w:pPr>
    <w:r>
      <w:rPr>
        <w:rStyle w:val="PageNumber"/>
      </w:rPr>
      <w:fldChar w:fldCharType="begin"/>
    </w:r>
    <w:r w:rsidR="00F805DF">
      <w:rPr>
        <w:rStyle w:val="PageNumber"/>
      </w:rPr>
      <w:instrText xml:space="preserve"> PAGE </w:instrText>
    </w:r>
    <w:r>
      <w:rPr>
        <w:rStyle w:val="PageNumber"/>
      </w:rPr>
      <w:fldChar w:fldCharType="separate"/>
    </w:r>
    <w:r w:rsidR="0019031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9B" w:rsidRDefault="00883B9B" w:rsidP="00B82247">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47" w:rsidRDefault="00920947">
      <w:pPr>
        <w:rPr>
          <w:sz w:val="20"/>
        </w:rPr>
      </w:pPr>
      <w:r>
        <w:rPr>
          <w:sz w:val="20"/>
        </w:rPr>
        <w:separator/>
      </w:r>
    </w:p>
  </w:footnote>
  <w:footnote w:type="continuationSeparator" w:id="0">
    <w:p w:rsidR="00920947" w:rsidRDefault="00920947">
      <w:r>
        <w:continuationSeparator/>
      </w:r>
    </w:p>
    <w:p w:rsidR="00920947" w:rsidRPr="00E41545" w:rsidRDefault="00920947">
      <w:pPr>
        <w:rPr>
          <w:sz w:val="20"/>
        </w:rPr>
      </w:pPr>
      <w:r w:rsidRPr="00E41545">
        <w:rPr>
          <w:sz w:val="20"/>
        </w:rPr>
        <w:t>(Continued f</w:t>
      </w:r>
      <w:r>
        <w:rPr>
          <w:sz w:val="20"/>
        </w:rPr>
        <w:t>ro</w:t>
      </w:r>
      <w:r w:rsidRPr="00E41545">
        <w:rPr>
          <w:sz w:val="20"/>
        </w:rPr>
        <w:t>m previous page)</w:t>
      </w:r>
    </w:p>
  </w:footnote>
  <w:footnote w:type="continuationNotice" w:id="1">
    <w:p w:rsidR="00920947" w:rsidRDefault="00920947">
      <w:pPr>
        <w:jc w:val="right"/>
        <w:rPr>
          <w:sz w:val="20"/>
        </w:rPr>
      </w:pPr>
      <w:r>
        <w:rPr>
          <w:sz w:val="20"/>
        </w:rPr>
        <w:t>(continued . . .)</w:t>
      </w:r>
    </w:p>
  </w:footnote>
  <w:footnote w:id="2">
    <w:p w:rsidR="00197543" w:rsidRPr="00197543" w:rsidRDefault="00197543">
      <w:pPr>
        <w:pStyle w:val="FootnoteText"/>
      </w:pPr>
      <w:r>
        <w:rPr>
          <w:rStyle w:val="FootnoteReference"/>
        </w:rPr>
        <w:footnoteRef/>
      </w:r>
      <w:r>
        <w:t xml:space="preserve"> </w:t>
      </w:r>
      <w:r>
        <w:rPr>
          <w:i/>
        </w:rPr>
        <w:t xml:space="preserve">See Blues and Gospel Heritage Association, </w:t>
      </w:r>
      <w:r>
        <w:t>Letter, Ref. 1800B3-VMM (MB Oct</w:t>
      </w:r>
      <w:r w:rsidR="002C4086">
        <w:t>.</w:t>
      </w:r>
      <w:r>
        <w:t xml:space="preserve"> 25, 2011) (“</w:t>
      </w:r>
      <w:r>
        <w:rPr>
          <w:i/>
        </w:rPr>
        <w:t>Letter</w:t>
      </w:r>
      <w:r>
        <w:t>”).</w:t>
      </w:r>
    </w:p>
  </w:footnote>
  <w:footnote w:id="3">
    <w:p w:rsidR="00D14DF8" w:rsidRPr="00670429" w:rsidRDefault="00D14DF8">
      <w:pPr>
        <w:pStyle w:val="FootnoteText"/>
      </w:pPr>
      <w:r>
        <w:rPr>
          <w:rStyle w:val="FootnoteReference"/>
        </w:rPr>
        <w:footnoteRef/>
      </w:r>
      <w:r>
        <w:t xml:space="preserve"> </w:t>
      </w:r>
      <w:r w:rsidR="00670429">
        <w:rPr>
          <w:i/>
        </w:rPr>
        <w:t xml:space="preserve">See </w:t>
      </w:r>
      <w:r>
        <w:rPr>
          <w:i/>
        </w:rPr>
        <w:t xml:space="preserve">Blues and Gospel Heritage Association, </w:t>
      </w:r>
      <w:r>
        <w:t>Letter,</w:t>
      </w:r>
      <w:r w:rsidR="00670429">
        <w:t xml:space="preserve"> 25 FCC Rcd 8472 (MB 2010).  </w:t>
      </w:r>
      <w:r w:rsidR="00670429">
        <w:rPr>
          <w:i/>
        </w:rPr>
        <w:t xml:space="preserve">See also Threshold Fair Distribution Analysis of 26 Groups of NCE Applications, </w:t>
      </w:r>
      <w:r w:rsidR="00670429">
        <w:t>Memorandum Opinion and Order, 23 FCC Rcd 9934</w:t>
      </w:r>
      <w:r w:rsidR="009523A6">
        <w:t>, 9941</w:t>
      </w:r>
      <w:r w:rsidR="00670429">
        <w:t xml:space="preserve"> (2008).</w:t>
      </w:r>
    </w:p>
  </w:footnote>
  <w:footnote w:id="4">
    <w:p w:rsidR="00396A2B" w:rsidRPr="00073874" w:rsidRDefault="00396A2B" w:rsidP="00396A2B">
      <w:pPr>
        <w:pStyle w:val="FootnoteText"/>
      </w:pPr>
      <w:r>
        <w:rPr>
          <w:rStyle w:val="FootnoteReference"/>
        </w:rPr>
        <w:footnoteRef/>
      </w:r>
      <w:r>
        <w:t xml:space="preserve"> </w:t>
      </w:r>
      <w:r w:rsidR="00073874">
        <w:rPr>
          <w:i/>
        </w:rPr>
        <w:t xml:space="preserve">See </w:t>
      </w:r>
      <w:hyperlink r:id="rId1" w:history="1">
        <w:r w:rsidR="00073874" w:rsidRPr="00073874">
          <w:rPr>
            <w:rStyle w:val="Hyperlink"/>
          </w:rPr>
          <w:t>http://www.qcdo.org/</w:t>
        </w:r>
      </w:hyperlink>
      <w:r w:rsidR="00073874">
        <w:t xml:space="preserve">.  </w:t>
      </w:r>
      <w:r w:rsidR="00073874" w:rsidRPr="00073874">
        <w:t xml:space="preserve">Apart from its radio venture, </w:t>
      </w:r>
      <w:r w:rsidR="00073874">
        <w:t>Quitman</w:t>
      </w:r>
      <w:r w:rsidR="00073874" w:rsidRPr="00073874">
        <w:t xml:space="preserve"> focuses on housing development, micro-enterprise loans, </w:t>
      </w:r>
      <w:r w:rsidR="006B30EB">
        <w:t>energy</w:t>
      </w:r>
      <w:r w:rsidR="00073874" w:rsidRPr="00073874">
        <w:t xml:space="preserve"> assistance for the elderly</w:t>
      </w:r>
      <w:r w:rsidR="006B30EB">
        <w:t xml:space="preserve"> and disabled</w:t>
      </w:r>
      <w:r w:rsidR="00073874" w:rsidRPr="00073874">
        <w:t>, and early childhood</w:t>
      </w:r>
      <w:r w:rsidR="00073874">
        <w:t xml:space="preserve"> development.</w:t>
      </w:r>
    </w:p>
  </w:footnote>
  <w:footnote w:id="5">
    <w:p w:rsidR="00D52278" w:rsidRPr="00D52278" w:rsidRDefault="00D52278">
      <w:pPr>
        <w:pStyle w:val="FootnoteText"/>
      </w:pPr>
      <w:r>
        <w:rPr>
          <w:rStyle w:val="FootnoteReference"/>
        </w:rPr>
        <w:footnoteRef/>
      </w:r>
      <w:r>
        <w:t xml:space="preserve"> </w:t>
      </w:r>
      <w:r>
        <w:rPr>
          <w:i/>
        </w:rPr>
        <w:t xml:space="preserve">See </w:t>
      </w:r>
      <w:r>
        <w:t xml:space="preserve">47 U.S.C. </w:t>
      </w:r>
      <w:r w:rsidRPr="00320BF6">
        <w:t>§</w:t>
      </w:r>
      <w:r>
        <w:t xml:space="preserve"> 307(b); 47 C.F.R. </w:t>
      </w:r>
      <w:r w:rsidRPr="00320BF6">
        <w:t>§</w:t>
      </w:r>
      <w:r>
        <w:t xml:space="preserve"> 73.7002.  In order to qualify for a fair distribution preference</w:t>
      </w:r>
      <w:r w:rsidR="00206B87">
        <w:t xml:space="preserve">, an applicant must propose to serve a different community from that proposed by a mutually exclusive applicant and </w:t>
      </w:r>
      <w:r>
        <w:t xml:space="preserve">must provide a first and/or second NCE aural service to (a) at least ten percent of the people residing within the station’s predicted 60 dBu service contour, and (b) to a minimum of 2,000 people.  47 C.F.R. </w:t>
      </w:r>
      <w:r w:rsidRPr="00320BF6">
        <w:t>§</w:t>
      </w:r>
      <w:r>
        <w:t xml:space="preserve"> 73.7002(b).</w:t>
      </w:r>
      <w:r w:rsidR="007515B3">
        <w:t xml:space="preserve">  BGHA did not claim a fair distribution preference.</w:t>
      </w:r>
    </w:p>
  </w:footnote>
  <w:footnote w:id="6">
    <w:p w:rsidR="00D52278" w:rsidRPr="00D52278" w:rsidRDefault="00D52278">
      <w:pPr>
        <w:pStyle w:val="FootnoteText"/>
      </w:pPr>
      <w:r>
        <w:rPr>
          <w:rStyle w:val="FootnoteReference"/>
        </w:rPr>
        <w:footnoteRef/>
      </w:r>
      <w:r w:rsidR="002C4086">
        <w:t xml:space="preserve"> Quitman claimed that its proposed station’s signal</w:t>
      </w:r>
      <w:r>
        <w:t xml:space="preserve"> would reach a first-</w:t>
      </w:r>
      <w:r w:rsidR="006641CB">
        <w:t>NCE-</w:t>
      </w:r>
      <w:r>
        <w:t xml:space="preserve">service population of 17,149 persons, just over 32 percent of the population within its 60 dBu contour.  </w:t>
      </w:r>
      <w:r>
        <w:rPr>
          <w:i/>
        </w:rPr>
        <w:t xml:space="preserve">See Letter </w:t>
      </w:r>
      <w:r>
        <w:t>at 2 and n.10 citing File No. BNPED-20071022AHR, Exhibit 12 (First service statemen</w:t>
      </w:r>
      <w:r w:rsidR="00FB53C2">
        <w:t>t and coverage map), Attachments</w:t>
      </w:r>
      <w:r>
        <w:t xml:space="preserve"> 12 (First service coverage map), 16 (community coverage map), and 17 (Engineering statement and exhibits).</w:t>
      </w:r>
    </w:p>
  </w:footnote>
  <w:footnote w:id="7">
    <w:p w:rsidR="004627CB" w:rsidRDefault="004627CB">
      <w:pPr>
        <w:pStyle w:val="FootnoteText"/>
      </w:pPr>
      <w:r>
        <w:rPr>
          <w:rStyle w:val="FootnoteReference"/>
        </w:rPr>
        <w:footnoteRef/>
      </w:r>
      <w:r>
        <w:t xml:space="preserve"> Application for Review at 1-3.</w:t>
      </w:r>
      <w:r w:rsidR="002C580A">
        <w:t xml:space="preserve">  In an Opposition </w:t>
      </w:r>
      <w:r w:rsidR="004858DA">
        <w:t xml:space="preserve">filed </w:t>
      </w:r>
      <w:r w:rsidR="002C580A">
        <w:t xml:space="preserve">on December 7, 2011, Quitman </w:t>
      </w:r>
      <w:r w:rsidR="004858DA">
        <w:t>argues that the map</w:t>
      </w:r>
      <w:r w:rsidR="002C580A">
        <w:t xml:space="preserve"> supplied</w:t>
      </w:r>
      <w:r w:rsidR="004858DA">
        <w:t xml:space="preserve"> in its application</w:t>
      </w:r>
      <w:r w:rsidR="002C580A">
        <w:t xml:space="preserve"> contained all of the information BGHA would have needed to verify Quitman’s engineering using one of several commercially available software programs.  Quitman Opposition at 2.  </w:t>
      </w:r>
      <w:r w:rsidR="002E0617">
        <w:t xml:space="preserve">BGHA </w:t>
      </w:r>
      <w:r w:rsidR="007C6399">
        <w:t>did not</w:t>
      </w:r>
      <w:r w:rsidR="002E0617">
        <w:t xml:space="preserve"> file a reply to the Opposition.</w:t>
      </w:r>
    </w:p>
  </w:footnote>
  <w:footnote w:id="8">
    <w:p w:rsidR="001105C0" w:rsidRDefault="001105C0">
      <w:pPr>
        <w:pStyle w:val="FootnoteText"/>
      </w:pPr>
      <w:r>
        <w:rPr>
          <w:rStyle w:val="FootnoteReference"/>
        </w:rPr>
        <w:footnoteRef/>
      </w:r>
      <w:r>
        <w:t xml:space="preserve"> BGHA also maintains that, </w:t>
      </w:r>
      <w:r w:rsidR="009105EA">
        <w:t>with</w:t>
      </w:r>
      <w:r>
        <w:t xml:space="preserve"> </w:t>
      </w:r>
      <w:r w:rsidR="009105EA">
        <w:t>the Bureau’s grant of</w:t>
      </w:r>
      <w:r>
        <w:t xml:space="preserve"> the Quitman application, </w:t>
      </w:r>
      <w:r w:rsidR="009105EA">
        <w:t>BGSA’s</w:t>
      </w:r>
      <w:r>
        <w:t xml:space="preserve"> due process rights under the Fifth Amendment of the United States Constitution “have been infringed,” in that it has been “denied a valuable property interest….”  Application for Review at 2. </w:t>
      </w:r>
      <w:r w:rsidR="00FF49B8">
        <w:t xml:space="preserve"> </w:t>
      </w:r>
      <w:r>
        <w:t xml:space="preserve">Because BGSA failed to present this argument to the Bureau, it is precluded from raising it here. See 47 C.F.R.§ 1.115(c).  </w:t>
      </w:r>
      <w:r w:rsidR="00C138BA">
        <w:t xml:space="preserve"> </w:t>
      </w:r>
    </w:p>
  </w:footnote>
  <w:footnote w:id="9">
    <w:p w:rsidR="000C5BE5" w:rsidRPr="00320BF6" w:rsidRDefault="000C5BE5" w:rsidP="001F297E">
      <w:pPr>
        <w:pStyle w:val="FootnoteText"/>
      </w:pPr>
      <w:r w:rsidRPr="00320BF6">
        <w:rPr>
          <w:rStyle w:val="FootnoteReference"/>
        </w:rPr>
        <w:footnoteRef/>
      </w:r>
      <w:r w:rsidRPr="00320BF6">
        <w:t xml:space="preserve"> 47 U.S.C. § 155(c)(5).</w:t>
      </w:r>
    </w:p>
  </w:footnote>
  <w:footnote w:id="10">
    <w:p w:rsidR="000C5BE5" w:rsidRPr="00320BF6" w:rsidRDefault="000C5BE5" w:rsidP="001F297E">
      <w:pPr>
        <w:pStyle w:val="FootnoteText"/>
      </w:pPr>
      <w:r w:rsidRPr="00320BF6">
        <w:rPr>
          <w:rStyle w:val="FootnoteReference"/>
        </w:rPr>
        <w:footnoteRef/>
      </w:r>
      <w:r w:rsidRPr="00320BF6">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9D" w:rsidRDefault="00584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rsidP="009C34CB">
    <w:pPr>
      <w:pStyle w:val="Header"/>
    </w:pPr>
    <w:r>
      <w:tab/>
      <w:t>Federal Communicatio</w:t>
    </w:r>
    <w:r w:rsidR="00255387">
      <w:t>ns Commission</w:t>
    </w:r>
    <w:r w:rsidR="00255387">
      <w:tab/>
    </w:r>
    <w:r w:rsidR="00255387" w:rsidRPr="009C34CB">
      <w:t>FCC 1</w:t>
    </w:r>
    <w:r w:rsidR="005F7AD7" w:rsidRPr="009C34CB">
      <w:t>4</w:t>
    </w:r>
    <w:r w:rsidRPr="009C34CB">
      <w:t>-</w:t>
    </w:r>
    <w:r w:rsidR="00CA6580">
      <w:t>43</w:t>
    </w:r>
  </w:p>
  <w:p w:rsidR="009D04A7" w:rsidRDefault="00C108D0" w:rsidP="009C34CB">
    <w:pPr>
      <w:pStyle w:val="Header"/>
    </w:pPr>
    <w:r>
      <w:rPr>
        <w:noProof/>
      </w:rPr>
      <mc:AlternateContent>
        <mc:Choice Requires="wps">
          <w:drawing>
            <wp:anchor distT="4294967295" distB="4294967295" distL="114300" distR="114300" simplePos="0" relativeHeight="251658240" behindDoc="0" locked="0" layoutInCell="0" allowOverlap="1" wp14:anchorId="1B1A53EC" wp14:editId="5C12458C">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rsidP="009C34CB">
    <w:pPr>
      <w:pStyle w:val="Header"/>
    </w:pPr>
    <w:r>
      <w:tab/>
      <w:t>Federal Communications Commission</w:t>
    </w:r>
    <w:r>
      <w:tab/>
      <w:t>FCC 1</w:t>
    </w:r>
    <w:r w:rsidR="005F7AD7">
      <w:t>4</w:t>
    </w:r>
    <w:r>
      <w:t>-</w:t>
    </w:r>
    <w:r w:rsidR="00CA6580">
      <w:t>43</w:t>
    </w:r>
    <w:r>
      <w:t xml:space="preserve"> </w:t>
    </w:r>
  </w:p>
  <w:p w:rsidR="009D04A7" w:rsidRDefault="00C108D0" w:rsidP="009C34CB">
    <w:pPr>
      <w:pStyle w:val="Header"/>
    </w:pPr>
    <w:r>
      <w:rPr>
        <w:noProof/>
      </w:rPr>
      <mc:AlternateContent>
        <mc:Choice Requires="wps">
          <w:drawing>
            <wp:anchor distT="4294967295" distB="4294967295" distL="114300" distR="114300" simplePos="0" relativeHeight="251657216" behindDoc="0" locked="0" layoutInCell="0" allowOverlap="1" wp14:anchorId="56EA0B22" wp14:editId="6BB9FF6D">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B"/>
    <w:multiLevelType w:val="hybridMultilevel"/>
    <w:tmpl w:val="18C6DF30"/>
    <w:lvl w:ilvl="0" w:tplc="AD9A6B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A52053E0"/>
    <w:lvl w:ilvl="0">
      <w:start w:val="1"/>
      <w:numFmt w:val="decimal"/>
      <w:lvlText w:val="%1."/>
      <w:lvlJc w:val="left"/>
      <w:pPr>
        <w:tabs>
          <w:tab w:val="num" w:pos="360"/>
        </w:tabs>
        <w:ind w:left="-720" w:firstLine="720"/>
      </w:pPr>
      <w:rPr>
        <w:b w:val="0"/>
        <w:i w:val="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F6A53BE"/>
    <w:multiLevelType w:val="hybridMultilevel"/>
    <w:tmpl w:val="13AAA9F0"/>
    <w:lvl w:ilvl="0" w:tplc="C86A309A">
      <w:start w:val="1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9">
    <w:nsid w:val="70121FA2"/>
    <w:multiLevelType w:val="hybridMultilevel"/>
    <w:tmpl w:val="5FCC96D2"/>
    <w:lvl w:ilvl="0" w:tplc="1302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30"/>
  </w:num>
  <w:num w:numId="3">
    <w:abstractNumId w:val="6"/>
  </w:num>
  <w:num w:numId="4">
    <w:abstractNumId w:val="23"/>
  </w:num>
  <w:num w:numId="5">
    <w:abstractNumId w:val="10"/>
  </w:num>
  <w:num w:numId="6">
    <w:abstractNumId w:val="26"/>
  </w:num>
  <w:num w:numId="7">
    <w:abstractNumId w:val="18"/>
  </w:num>
  <w:num w:numId="8">
    <w:abstractNumId w:val="11"/>
  </w:num>
  <w:num w:numId="9">
    <w:abstractNumId w:val="25"/>
  </w:num>
  <w:num w:numId="10">
    <w:abstractNumId w:val="16"/>
  </w:num>
  <w:num w:numId="11">
    <w:abstractNumId w:val="15"/>
  </w:num>
  <w:num w:numId="12">
    <w:abstractNumId w:val="12"/>
  </w:num>
  <w:num w:numId="13">
    <w:abstractNumId w:val="17"/>
  </w:num>
  <w:num w:numId="14">
    <w:abstractNumId w:val="24"/>
  </w:num>
  <w:num w:numId="15">
    <w:abstractNumId w:val="4"/>
  </w:num>
  <w:num w:numId="16">
    <w:abstractNumId w:val="5"/>
  </w:num>
  <w:num w:numId="17">
    <w:abstractNumId w:val="13"/>
  </w:num>
  <w:num w:numId="18">
    <w:abstractNumId w:val="3"/>
  </w:num>
  <w:num w:numId="19">
    <w:abstractNumId w:val="14"/>
  </w:num>
  <w:num w:numId="20">
    <w:abstractNumId w:val="19"/>
  </w:num>
  <w:num w:numId="21">
    <w:abstractNumId w:val="22"/>
  </w:num>
  <w:num w:numId="22">
    <w:abstractNumId w:val="1"/>
  </w:num>
  <w:num w:numId="23">
    <w:abstractNumId w:val="21"/>
  </w:num>
  <w:num w:numId="24">
    <w:abstractNumId w:val="0"/>
  </w:num>
  <w:num w:numId="25">
    <w:abstractNumId w:val="17"/>
    <w:lvlOverride w:ilvl="0">
      <w:startOverride w:val="1"/>
    </w:lvlOverride>
  </w:num>
  <w:num w:numId="26">
    <w:abstractNumId w:val="29"/>
  </w:num>
  <w:num w:numId="27">
    <w:abstractNumId w:val="7"/>
  </w:num>
  <w:num w:numId="28">
    <w:abstractNumId w:val="27"/>
  </w:num>
  <w:num w:numId="29">
    <w:abstractNumId w:val="9"/>
  </w:num>
  <w:num w:numId="30">
    <w:abstractNumId w:val="20"/>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1"/>
    <w:rsid w:val="00011622"/>
    <w:rsid w:val="00011F8B"/>
    <w:rsid w:val="000325D2"/>
    <w:rsid w:val="00042567"/>
    <w:rsid w:val="0004498E"/>
    <w:rsid w:val="00046D66"/>
    <w:rsid w:val="00073874"/>
    <w:rsid w:val="000A2C6F"/>
    <w:rsid w:val="000B097D"/>
    <w:rsid w:val="000B5147"/>
    <w:rsid w:val="000C5BE5"/>
    <w:rsid w:val="000D6B11"/>
    <w:rsid w:val="000F488F"/>
    <w:rsid w:val="000F6BCF"/>
    <w:rsid w:val="001105C0"/>
    <w:rsid w:val="00123DF5"/>
    <w:rsid w:val="00134F05"/>
    <w:rsid w:val="00150FBA"/>
    <w:rsid w:val="00171F57"/>
    <w:rsid w:val="00171FDF"/>
    <w:rsid w:val="00172B06"/>
    <w:rsid w:val="00173988"/>
    <w:rsid w:val="001757A0"/>
    <w:rsid w:val="00177597"/>
    <w:rsid w:val="00187295"/>
    <w:rsid w:val="0019031A"/>
    <w:rsid w:val="00195478"/>
    <w:rsid w:val="00197543"/>
    <w:rsid w:val="001A1121"/>
    <w:rsid w:val="001B4D52"/>
    <w:rsid w:val="001B5E11"/>
    <w:rsid w:val="001B637D"/>
    <w:rsid w:val="001D361F"/>
    <w:rsid w:val="001E1F96"/>
    <w:rsid w:val="001F297E"/>
    <w:rsid w:val="00205F9B"/>
    <w:rsid w:val="00206B87"/>
    <w:rsid w:val="00211460"/>
    <w:rsid w:val="00227107"/>
    <w:rsid w:val="00231532"/>
    <w:rsid w:val="002457FA"/>
    <w:rsid w:val="00251283"/>
    <w:rsid w:val="00255387"/>
    <w:rsid w:val="0025617A"/>
    <w:rsid w:val="00256B92"/>
    <w:rsid w:val="00264E0C"/>
    <w:rsid w:val="0026556C"/>
    <w:rsid w:val="00276245"/>
    <w:rsid w:val="00286839"/>
    <w:rsid w:val="00293769"/>
    <w:rsid w:val="002C4086"/>
    <w:rsid w:val="002C580A"/>
    <w:rsid w:val="002D1040"/>
    <w:rsid w:val="002D23B8"/>
    <w:rsid w:val="002D658A"/>
    <w:rsid w:val="002E0617"/>
    <w:rsid w:val="002E2A5E"/>
    <w:rsid w:val="002F2BB6"/>
    <w:rsid w:val="00324269"/>
    <w:rsid w:val="00373495"/>
    <w:rsid w:val="003865D9"/>
    <w:rsid w:val="00396A2B"/>
    <w:rsid w:val="003A7F52"/>
    <w:rsid w:val="003C51F7"/>
    <w:rsid w:val="003E7249"/>
    <w:rsid w:val="003F10AF"/>
    <w:rsid w:val="003F6FAE"/>
    <w:rsid w:val="00410A8E"/>
    <w:rsid w:val="004115C1"/>
    <w:rsid w:val="00413808"/>
    <w:rsid w:val="00432466"/>
    <w:rsid w:val="004339A2"/>
    <w:rsid w:val="004627CB"/>
    <w:rsid w:val="00470CAB"/>
    <w:rsid w:val="004838E7"/>
    <w:rsid w:val="004858DA"/>
    <w:rsid w:val="004A4794"/>
    <w:rsid w:val="004D0816"/>
    <w:rsid w:val="004E58C0"/>
    <w:rsid w:val="00510BEB"/>
    <w:rsid w:val="005236C9"/>
    <w:rsid w:val="005523E0"/>
    <w:rsid w:val="00557DEE"/>
    <w:rsid w:val="005660EA"/>
    <w:rsid w:val="00575218"/>
    <w:rsid w:val="00576748"/>
    <w:rsid w:val="0058409D"/>
    <w:rsid w:val="005A75C9"/>
    <w:rsid w:val="005B6D6B"/>
    <w:rsid w:val="005C1E1B"/>
    <w:rsid w:val="005C7311"/>
    <w:rsid w:val="005D2AFD"/>
    <w:rsid w:val="005E2D6F"/>
    <w:rsid w:val="005F34A6"/>
    <w:rsid w:val="005F7AD7"/>
    <w:rsid w:val="0060505E"/>
    <w:rsid w:val="00605970"/>
    <w:rsid w:val="00611E00"/>
    <w:rsid w:val="0061575A"/>
    <w:rsid w:val="00632A2D"/>
    <w:rsid w:val="006358C3"/>
    <w:rsid w:val="00636A59"/>
    <w:rsid w:val="00641B2A"/>
    <w:rsid w:val="00650C2F"/>
    <w:rsid w:val="00654319"/>
    <w:rsid w:val="006641CB"/>
    <w:rsid w:val="00665390"/>
    <w:rsid w:val="00670429"/>
    <w:rsid w:val="00690D66"/>
    <w:rsid w:val="006914BC"/>
    <w:rsid w:val="006A0DF5"/>
    <w:rsid w:val="006A72C6"/>
    <w:rsid w:val="006A7410"/>
    <w:rsid w:val="006B30EB"/>
    <w:rsid w:val="006C1960"/>
    <w:rsid w:val="006C703C"/>
    <w:rsid w:val="006E18C7"/>
    <w:rsid w:val="006E60C2"/>
    <w:rsid w:val="006F2041"/>
    <w:rsid w:val="0071023D"/>
    <w:rsid w:val="00713D3F"/>
    <w:rsid w:val="007155B2"/>
    <w:rsid w:val="0072214E"/>
    <w:rsid w:val="00727D7D"/>
    <w:rsid w:val="00737859"/>
    <w:rsid w:val="00741D76"/>
    <w:rsid w:val="007461AE"/>
    <w:rsid w:val="00750291"/>
    <w:rsid w:val="007515B3"/>
    <w:rsid w:val="00752ED8"/>
    <w:rsid w:val="00766175"/>
    <w:rsid w:val="007819F9"/>
    <w:rsid w:val="007C6399"/>
    <w:rsid w:val="007D01C8"/>
    <w:rsid w:val="007D53B9"/>
    <w:rsid w:val="00811D62"/>
    <w:rsid w:val="008228EA"/>
    <w:rsid w:val="00856A61"/>
    <w:rsid w:val="00857544"/>
    <w:rsid w:val="00861514"/>
    <w:rsid w:val="0087344A"/>
    <w:rsid w:val="008749FA"/>
    <w:rsid w:val="0087508C"/>
    <w:rsid w:val="00881023"/>
    <w:rsid w:val="00883B9B"/>
    <w:rsid w:val="008936CA"/>
    <w:rsid w:val="00895624"/>
    <w:rsid w:val="008B7B09"/>
    <w:rsid w:val="008C6666"/>
    <w:rsid w:val="008E2EF2"/>
    <w:rsid w:val="008F6B68"/>
    <w:rsid w:val="008F74C1"/>
    <w:rsid w:val="00906C58"/>
    <w:rsid w:val="009105EA"/>
    <w:rsid w:val="00920947"/>
    <w:rsid w:val="009523A6"/>
    <w:rsid w:val="00972D7B"/>
    <w:rsid w:val="00974482"/>
    <w:rsid w:val="0097598D"/>
    <w:rsid w:val="00986030"/>
    <w:rsid w:val="009A0417"/>
    <w:rsid w:val="009A5897"/>
    <w:rsid w:val="009C34CB"/>
    <w:rsid w:val="009C61A1"/>
    <w:rsid w:val="009C7DD8"/>
    <w:rsid w:val="009D04A7"/>
    <w:rsid w:val="009F244D"/>
    <w:rsid w:val="009F7763"/>
    <w:rsid w:val="00A22171"/>
    <w:rsid w:val="00A30E5A"/>
    <w:rsid w:val="00A36666"/>
    <w:rsid w:val="00A65DBA"/>
    <w:rsid w:val="00A77C70"/>
    <w:rsid w:val="00A86B98"/>
    <w:rsid w:val="00A91B51"/>
    <w:rsid w:val="00A96094"/>
    <w:rsid w:val="00AA0CC8"/>
    <w:rsid w:val="00AA29F1"/>
    <w:rsid w:val="00AB2AA6"/>
    <w:rsid w:val="00AD6F47"/>
    <w:rsid w:val="00B1657E"/>
    <w:rsid w:val="00B22D0E"/>
    <w:rsid w:val="00B31864"/>
    <w:rsid w:val="00B31B9C"/>
    <w:rsid w:val="00B45E06"/>
    <w:rsid w:val="00B464F9"/>
    <w:rsid w:val="00B81E58"/>
    <w:rsid w:val="00B82247"/>
    <w:rsid w:val="00B86CB9"/>
    <w:rsid w:val="00BA188F"/>
    <w:rsid w:val="00BA4157"/>
    <w:rsid w:val="00BB7452"/>
    <w:rsid w:val="00BC3F33"/>
    <w:rsid w:val="00BD3F63"/>
    <w:rsid w:val="00BF1638"/>
    <w:rsid w:val="00BF33FD"/>
    <w:rsid w:val="00C02716"/>
    <w:rsid w:val="00C108D0"/>
    <w:rsid w:val="00C138BA"/>
    <w:rsid w:val="00C14B99"/>
    <w:rsid w:val="00C17176"/>
    <w:rsid w:val="00C26924"/>
    <w:rsid w:val="00C271E8"/>
    <w:rsid w:val="00C44110"/>
    <w:rsid w:val="00C45AA7"/>
    <w:rsid w:val="00C518FC"/>
    <w:rsid w:val="00C6397F"/>
    <w:rsid w:val="00C72DE2"/>
    <w:rsid w:val="00C7304D"/>
    <w:rsid w:val="00C774AC"/>
    <w:rsid w:val="00C969AF"/>
    <w:rsid w:val="00CA4869"/>
    <w:rsid w:val="00CA4C3A"/>
    <w:rsid w:val="00CA6580"/>
    <w:rsid w:val="00CC180E"/>
    <w:rsid w:val="00CC330C"/>
    <w:rsid w:val="00CC4A5F"/>
    <w:rsid w:val="00CD6294"/>
    <w:rsid w:val="00CE238F"/>
    <w:rsid w:val="00CF76A5"/>
    <w:rsid w:val="00D14DF8"/>
    <w:rsid w:val="00D30C88"/>
    <w:rsid w:val="00D4372E"/>
    <w:rsid w:val="00D52278"/>
    <w:rsid w:val="00D61CE5"/>
    <w:rsid w:val="00D71A26"/>
    <w:rsid w:val="00D74F01"/>
    <w:rsid w:val="00D77E99"/>
    <w:rsid w:val="00D86839"/>
    <w:rsid w:val="00DB24FC"/>
    <w:rsid w:val="00DB367A"/>
    <w:rsid w:val="00DF3A78"/>
    <w:rsid w:val="00E41545"/>
    <w:rsid w:val="00E6499C"/>
    <w:rsid w:val="00E66C6E"/>
    <w:rsid w:val="00E74908"/>
    <w:rsid w:val="00E75113"/>
    <w:rsid w:val="00E76628"/>
    <w:rsid w:val="00E76DFE"/>
    <w:rsid w:val="00E865D5"/>
    <w:rsid w:val="00E94291"/>
    <w:rsid w:val="00EA2213"/>
    <w:rsid w:val="00EC6420"/>
    <w:rsid w:val="00ED6B09"/>
    <w:rsid w:val="00EE30F4"/>
    <w:rsid w:val="00EE55AC"/>
    <w:rsid w:val="00EE7A95"/>
    <w:rsid w:val="00F14B0B"/>
    <w:rsid w:val="00F25718"/>
    <w:rsid w:val="00F25802"/>
    <w:rsid w:val="00F278DF"/>
    <w:rsid w:val="00F46FBC"/>
    <w:rsid w:val="00F77925"/>
    <w:rsid w:val="00F805DF"/>
    <w:rsid w:val="00F80B3A"/>
    <w:rsid w:val="00FB4D0C"/>
    <w:rsid w:val="00FB53C2"/>
    <w:rsid w:val="00FD087B"/>
    <w:rsid w:val="00FD2040"/>
    <w:rsid w:val="00FE2FEC"/>
    <w:rsid w:val="00FF0178"/>
    <w:rsid w:val="00FF38B5"/>
    <w:rsid w:val="00FF4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A"/>
    <w:pPr>
      <w:widowControl w:val="0"/>
    </w:pPr>
    <w:rPr>
      <w:snapToGrid w:val="0"/>
      <w:kern w:val="28"/>
      <w:sz w:val="22"/>
    </w:rPr>
  </w:style>
  <w:style w:type="paragraph" w:styleId="Heading1">
    <w:name w:val="heading 1"/>
    <w:basedOn w:val="Normal"/>
    <w:next w:val="ParaNum"/>
    <w:qFormat/>
    <w:rsid w:val="0019031A"/>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9031A"/>
    <w:pPr>
      <w:keepNext/>
      <w:numPr>
        <w:ilvl w:val="1"/>
        <w:numId w:val="29"/>
      </w:numPr>
      <w:spacing w:after="120"/>
      <w:outlineLvl w:val="1"/>
    </w:pPr>
    <w:rPr>
      <w:b/>
    </w:rPr>
  </w:style>
  <w:style w:type="paragraph" w:styleId="Heading3">
    <w:name w:val="heading 3"/>
    <w:basedOn w:val="Normal"/>
    <w:next w:val="ParaNum"/>
    <w:qFormat/>
    <w:rsid w:val="0019031A"/>
    <w:pPr>
      <w:keepNext/>
      <w:numPr>
        <w:ilvl w:val="2"/>
        <w:numId w:val="29"/>
      </w:numPr>
      <w:tabs>
        <w:tab w:val="left" w:pos="2160"/>
      </w:tabs>
      <w:spacing w:after="120"/>
      <w:outlineLvl w:val="2"/>
    </w:pPr>
    <w:rPr>
      <w:b/>
    </w:rPr>
  </w:style>
  <w:style w:type="paragraph" w:styleId="Heading4">
    <w:name w:val="heading 4"/>
    <w:basedOn w:val="Normal"/>
    <w:next w:val="ParaNum"/>
    <w:qFormat/>
    <w:rsid w:val="0019031A"/>
    <w:pPr>
      <w:keepNext/>
      <w:numPr>
        <w:ilvl w:val="3"/>
        <w:numId w:val="29"/>
      </w:numPr>
      <w:tabs>
        <w:tab w:val="left" w:pos="2880"/>
      </w:tabs>
      <w:spacing w:after="120"/>
      <w:outlineLvl w:val="3"/>
    </w:pPr>
    <w:rPr>
      <w:b/>
    </w:rPr>
  </w:style>
  <w:style w:type="paragraph" w:styleId="Heading5">
    <w:name w:val="heading 5"/>
    <w:basedOn w:val="Normal"/>
    <w:next w:val="ParaNum"/>
    <w:qFormat/>
    <w:rsid w:val="0019031A"/>
    <w:pPr>
      <w:keepNext/>
      <w:numPr>
        <w:ilvl w:val="4"/>
        <w:numId w:val="29"/>
      </w:numPr>
      <w:tabs>
        <w:tab w:val="left" w:pos="3600"/>
      </w:tabs>
      <w:suppressAutoHyphens/>
      <w:spacing w:after="120"/>
      <w:outlineLvl w:val="4"/>
    </w:pPr>
    <w:rPr>
      <w:b/>
    </w:rPr>
  </w:style>
  <w:style w:type="paragraph" w:styleId="Heading6">
    <w:name w:val="heading 6"/>
    <w:basedOn w:val="Normal"/>
    <w:next w:val="ParaNum"/>
    <w:qFormat/>
    <w:rsid w:val="0019031A"/>
    <w:pPr>
      <w:numPr>
        <w:ilvl w:val="5"/>
        <w:numId w:val="29"/>
      </w:numPr>
      <w:tabs>
        <w:tab w:val="left" w:pos="4320"/>
      </w:tabs>
      <w:spacing w:after="120"/>
      <w:outlineLvl w:val="5"/>
    </w:pPr>
    <w:rPr>
      <w:b/>
    </w:rPr>
  </w:style>
  <w:style w:type="paragraph" w:styleId="Heading7">
    <w:name w:val="heading 7"/>
    <w:basedOn w:val="Normal"/>
    <w:next w:val="ParaNum"/>
    <w:qFormat/>
    <w:rsid w:val="0019031A"/>
    <w:pPr>
      <w:numPr>
        <w:ilvl w:val="6"/>
        <w:numId w:val="29"/>
      </w:numPr>
      <w:tabs>
        <w:tab w:val="left" w:pos="5040"/>
      </w:tabs>
      <w:spacing w:after="120"/>
      <w:ind w:left="5040" w:hanging="720"/>
      <w:outlineLvl w:val="6"/>
    </w:pPr>
    <w:rPr>
      <w:b/>
    </w:rPr>
  </w:style>
  <w:style w:type="paragraph" w:styleId="Heading8">
    <w:name w:val="heading 8"/>
    <w:basedOn w:val="Normal"/>
    <w:next w:val="ParaNum"/>
    <w:qFormat/>
    <w:rsid w:val="0019031A"/>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qFormat/>
    <w:rsid w:val="0019031A"/>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03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31A"/>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19031A"/>
    <w:pPr>
      <w:numPr>
        <w:numId w:val="28"/>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19031A"/>
    <w:pPr>
      <w:spacing w:after="120"/>
    </w:pPr>
  </w:style>
  <w:style w:type="paragraph" w:customStyle="1" w:styleId="Bullet">
    <w:name w:val="Bullet"/>
    <w:basedOn w:val="Normal"/>
    <w:rsid w:val="0019031A"/>
    <w:pPr>
      <w:tabs>
        <w:tab w:val="left" w:pos="2160"/>
      </w:tabs>
      <w:spacing w:after="220"/>
      <w:ind w:left="2160" w:hanging="720"/>
    </w:pPr>
  </w:style>
  <w:style w:type="paragraph" w:styleId="BlockText">
    <w:name w:val="Block Text"/>
    <w:basedOn w:val="Normal"/>
    <w:rsid w:val="0019031A"/>
    <w:pPr>
      <w:spacing w:after="240"/>
      <w:ind w:left="1440" w:right="1440"/>
    </w:pPr>
  </w:style>
  <w:style w:type="paragraph" w:customStyle="1" w:styleId="TableFormat">
    <w:name w:val="TableFormat"/>
    <w:basedOn w:val="Bullet"/>
    <w:rsid w:val="0019031A"/>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19031A"/>
    <w:rPr>
      <w:rFonts w:ascii="Times New Roman" w:hAnsi="Times New Roman"/>
      <w:dstrike w:val="0"/>
      <w:color w:val="auto"/>
      <w:sz w:val="20"/>
      <w:vertAlign w:val="superscript"/>
    </w:rPr>
  </w:style>
  <w:style w:type="paragraph" w:styleId="Header">
    <w:name w:val="header"/>
    <w:basedOn w:val="Normal"/>
    <w:link w:val="HeaderChar"/>
    <w:autoRedefine/>
    <w:rsid w:val="0019031A"/>
    <w:pPr>
      <w:tabs>
        <w:tab w:val="center" w:pos="4680"/>
        <w:tab w:val="right" w:pos="9360"/>
      </w:tabs>
    </w:pPr>
    <w:rPr>
      <w:b/>
    </w:rPr>
  </w:style>
  <w:style w:type="paragraph" w:styleId="Footer">
    <w:name w:val="footer"/>
    <w:basedOn w:val="Normal"/>
    <w:link w:val="FooterChar"/>
    <w:rsid w:val="0019031A"/>
    <w:pPr>
      <w:tabs>
        <w:tab w:val="center" w:pos="4320"/>
        <w:tab w:val="right" w:pos="8640"/>
      </w:tabs>
    </w:pPr>
  </w:style>
  <w:style w:type="paragraph" w:styleId="TOC2">
    <w:name w:val="toc 2"/>
    <w:basedOn w:val="Normal"/>
    <w:next w:val="Normal"/>
    <w:semiHidden/>
    <w:rsid w:val="0019031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19031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903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03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03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03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03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03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031A"/>
    <w:pPr>
      <w:tabs>
        <w:tab w:val="left" w:pos="3240"/>
        <w:tab w:val="right" w:leader="dot" w:pos="9360"/>
      </w:tabs>
      <w:suppressAutoHyphens/>
      <w:ind w:left="3240" w:hanging="360"/>
    </w:pPr>
    <w:rPr>
      <w:noProof/>
    </w:rPr>
  </w:style>
  <w:style w:type="character" w:styleId="PageNumber">
    <w:name w:val="page number"/>
    <w:basedOn w:val="DefaultParagraphFont"/>
    <w:rsid w:val="0019031A"/>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19031A"/>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9C34CB"/>
    <w:rPr>
      <w:b/>
      <w:snapToGrid w:val="0"/>
      <w:kern w:val="28"/>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napToGrid w:val="0"/>
      <w:kern w:val="28"/>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napToGrid w:val="0"/>
      <w:kern w:val="28"/>
      <w:sz w:val="22"/>
    </w:rPr>
  </w:style>
  <w:style w:type="paragraph" w:styleId="Revision">
    <w:name w:val="Revision"/>
    <w:hidden/>
    <w:uiPriority w:val="99"/>
    <w:semiHidden/>
    <w:rsid w:val="00C44110"/>
    <w:rPr>
      <w:sz w:val="22"/>
    </w:rPr>
  </w:style>
  <w:style w:type="paragraph" w:styleId="EndnoteText">
    <w:name w:val="endnote text"/>
    <w:basedOn w:val="Normal"/>
    <w:link w:val="EndnoteTextChar"/>
    <w:semiHidden/>
    <w:rsid w:val="0019031A"/>
    <w:rPr>
      <w:sz w:val="20"/>
    </w:rPr>
  </w:style>
  <w:style w:type="character" w:customStyle="1" w:styleId="EndnoteTextChar">
    <w:name w:val="Endnote Text Char"/>
    <w:basedOn w:val="DefaultParagraphFont"/>
    <w:link w:val="EndnoteText"/>
    <w:semiHidden/>
    <w:rsid w:val="009C34CB"/>
    <w:rPr>
      <w:snapToGrid w:val="0"/>
      <w:kern w:val="28"/>
    </w:rPr>
  </w:style>
  <w:style w:type="character" w:styleId="EndnoteReference">
    <w:name w:val="endnote reference"/>
    <w:semiHidden/>
    <w:rsid w:val="0019031A"/>
    <w:rPr>
      <w:vertAlign w:val="superscript"/>
    </w:rPr>
  </w:style>
  <w:style w:type="paragraph" w:styleId="TOAHeading">
    <w:name w:val="toa heading"/>
    <w:basedOn w:val="Normal"/>
    <w:next w:val="Normal"/>
    <w:semiHidden/>
    <w:rsid w:val="0019031A"/>
    <w:pPr>
      <w:tabs>
        <w:tab w:val="right" w:pos="9360"/>
      </w:tabs>
      <w:suppressAutoHyphens/>
    </w:pPr>
  </w:style>
  <w:style w:type="character" w:customStyle="1" w:styleId="EquationCaption">
    <w:name w:val="_Equation Caption"/>
    <w:rsid w:val="0019031A"/>
  </w:style>
  <w:style w:type="paragraph" w:customStyle="1" w:styleId="Paratitle">
    <w:name w:val="Para title"/>
    <w:basedOn w:val="Normal"/>
    <w:rsid w:val="0019031A"/>
    <w:pPr>
      <w:tabs>
        <w:tab w:val="center" w:pos="9270"/>
      </w:tabs>
      <w:spacing w:after="240"/>
    </w:pPr>
    <w:rPr>
      <w:spacing w:val="-2"/>
    </w:rPr>
  </w:style>
  <w:style w:type="paragraph" w:customStyle="1" w:styleId="TOCTitle">
    <w:name w:val="TOC Title"/>
    <w:basedOn w:val="Normal"/>
    <w:rsid w:val="001903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031A"/>
    <w:pPr>
      <w:jc w:val="center"/>
    </w:pPr>
    <w:rPr>
      <w:rFonts w:ascii="Times New Roman Bold" w:hAnsi="Times New Roman Bold"/>
      <w:b/>
      <w:bCs/>
      <w:caps/>
      <w:szCs w:val="22"/>
    </w:rPr>
  </w:style>
  <w:style w:type="character" w:styleId="FollowedHyperlink">
    <w:name w:val="FollowedHyperlink"/>
    <w:basedOn w:val="DefaultParagraphFont"/>
    <w:uiPriority w:val="99"/>
    <w:semiHidden/>
    <w:unhideWhenUsed/>
    <w:rsid w:val="00CE23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A"/>
    <w:pPr>
      <w:widowControl w:val="0"/>
    </w:pPr>
    <w:rPr>
      <w:snapToGrid w:val="0"/>
      <w:kern w:val="28"/>
      <w:sz w:val="22"/>
    </w:rPr>
  </w:style>
  <w:style w:type="paragraph" w:styleId="Heading1">
    <w:name w:val="heading 1"/>
    <w:basedOn w:val="Normal"/>
    <w:next w:val="ParaNum"/>
    <w:qFormat/>
    <w:rsid w:val="0019031A"/>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9031A"/>
    <w:pPr>
      <w:keepNext/>
      <w:numPr>
        <w:ilvl w:val="1"/>
        <w:numId w:val="29"/>
      </w:numPr>
      <w:spacing w:after="120"/>
      <w:outlineLvl w:val="1"/>
    </w:pPr>
    <w:rPr>
      <w:b/>
    </w:rPr>
  </w:style>
  <w:style w:type="paragraph" w:styleId="Heading3">
    <w:name w:val="heading 3"/>
    <w:basedOn w:val="Normal"/>
    <w:next w:val="ParaNum"/>
    <w:qFormat/>
    <w:rsid w:val="0019031A"/>
    <w:pPr>
      <w:keepNext/>
      <w:numPr>
        <w:ilvl w:val="2"/>
        <w:numId w:val="29"/>
      </w:numPr>
      <w:tabs>
        <w:tab w:val="left" w:pos="2160"/>
      </w:tabs>
      <w:spacing w:after="120"/>
      <w:outlineLvl w:val="2"/>
    </w:pPr>
    <w:rPr>
      <w:b/>
    </w:rPr>
  </w:style>
  <w:style w:type="paragraph" w:styleId="Heading4">
    <w:name w:val="heading 4"/>
    <w:basedOn w:val="Normal"/>
    <w:next w:val="ParaNum"/>
    <w:qFormat/>
    <w:rsid w:val="0019031A"/>
    <w:pPr>
      <w:keepNext/>
      <w:numPr>
        <w:ilvl w:val="3"/>
        <w:numId w:val="29"/>
      </w:numPr>
      <w:tabs>
        <w:tab w:val="left" w:pos="2880"/>
      </w:tabs>
      <w:spacing w:after="120"/>
      <w:outlineLvl w:val="3"/>
    </w:pPr>
    <w:rPr>
      <w:b/>
    </w:rPr>
  </w:style>
  <w:style w:type="paragraph" w:styleId="Heading5">
    <w:name w:val="heading 5"/>
    <w:basedOn w:val="Normal"/>
    <w:next w:val="ParaNum"/>
    <w:qFormat/>
    <w:rsid w:val="0019031A"/>
    <w:pPr>
      <w:keepNext/>
      <w:numPr>
        <w:ilvl w:val="4"/>
        <w:numId w:val="29"/>
      </w:numPr>
      <w:tabs>
        <w:tab w:val="left" w:pos="3600"/>
      </w:tabs>
      <w:suppressAutoHyphens/>
      <w:spacing w:after="120"/>
      <w:outlineLvl w:val="4"/>
    </w:pPr>
    <w:rPr>
      <w:b/>
    </w:rPr>
  </w:style>
  <w:style w:type="paragraph" w:styleId="Heading6">
    <w:name w:val="heading 6"/>
    <w:basedOn w:val="Normal"/>
    <w:next w:val="ParaNum"/>
    <w:qFormat/>
    <w:rsid w:val="0019031A"/>
    <w:pPr>
      <w:numPr>
        <w:ilvl w:val="5"/>
        <w:numId w:val="29"/>
      </w:numPr>
      <w:tabs>
        <w:tab w:val="left" w:pos="4320"/>
      </w:tabs>
      <w:spacing w:after="120"/>
      <w:outlineLvl w:val="5"/>
    </w:pPr>
    <w:rPr>
      <w:b/>
    </w:rPr>
  </w:style>
  <w:style w:type="paragraph" w:styleId="Heading7">
    <w:name w:val="heading 7"/>
    <w:basedOn w:val="Normal"/>
    <w:next w:val="ParaNum"/>
    <w:qFormat/>
    <w:rsid w:val="0019031A"/>
    <w:pPr>
      <w:numPr>
        <w:ilvl w:val="6"/>
        <w:numId w:val="29"/>
      </w:numPr>
      <w:tabs>
        <w:tab w:val="left" w:pos="5040"/>
      </w:tabs>
      <w:spacing w:after="120"/>
      <w:ind w:left="5040" w:hanging="720"/>
      <w:outlineLvl w:val="6"/>
    </w:pPr>
    <w:rPr>
      <w:b/>
    </w:rPr>
  </w:style>
  <w:style w:type="paragraph" w:styleId="Heading8">
    <w:name w:val="heading 8"/>
    <w:basedOn w:val="Normal"/>
    <w:next w:val="ParaNum"/>
    <w:qFormat/>
    <w:rsid w:val="0019031A"/>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qFormat/>
    <w:rsid w:val="0019031A"/>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03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31A"/>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19031A"/>
    <w:pPr>
      <w:numPr>
        <w:numId w:val="28"/>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19031A"/>
    <w:pPr>
      <w:spacing w:after="120"/>
    </w:pPr>
  </w:style>
  <w:style w:type="paragraph" w:customStyle="1" w:styleId="Bullet">
    <w:name w:val="Bullet"/>
    <w:basedOn w:val="Normal"/>
    <w:rsid w:val="0019031A"/>
    <w:pPr>
      <w:tabs>
        <w:tab w:val="left" w:pos="2160"/>
      </w:tabs>
      <w:spacing w:after="220"/>
      <w:ind w:left="2160" w:hanging="720"/>
    </w:pPr>
  </w:style>
  <w:style w:type="paragraph" w:styleId="BlockText">
    <w:name w:val="Block Text"/>
    <w:basedOn w:val="Normal"/>
    <w:rsid w:val="0019031A"/>
    <w:pPr>
      <w:spacing w:after="240"/>
      <w:ind w:left="1440" w:right="1440"/>
    </w:pPr>
  </w:style>
  <w:style w:type="paragraph" w:customStyle="1" w:styleId="TableFormat">
    <w:name w:val="TableFormat"/>
    <w:basedOn w:val="Bullet"/>
    <w:rsid w:val="0019031A"/>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19031A"/>
    <w:rPr>
      <w:rFonts w:ascii="Times New Roman" w:hAnsi="Times New Roman"/>
      <w:dstrike w:val="0"/>
      <w:color w:val="auto"/>
      <w:sz w:val="20"/>
      <w:vertAlign w:val="superscript"/>
    </w:rPr>
  </w:style>
  <w:style w:type="paragraph" w:styleId="Header">
    <w:name w:val="header"/>
    <w:basedOn w:val="Normal"/>
    <w:link w:val="HeaderChar"/>
    <w:autoRedefine/>
    <w:rsid w:val="0019031A"/>
    <w:pPr>
      <w:tabs>
        <w:tab w:val="center" w:pos="4680"/>
        <w:tab w:val="right" w:pos="9360"/>
      </w:tabs>
    </w:pPr>
    <w:rPr>
      <w:b/>
    </w:rPr>
  </w:style>
  <w:style w:type="paragraph" w:styleId="Footer">
    <w:name w:val="footer"/>
    <w:basedOn w:val="Normal"/>
    <w:link w:val="FooterChar"/>
    <w:rsid w:val="0019031A"/>
    <w:pPr>
      <w:tabs>
        <w:tab w:val="center" w:pos="4320"/>
        <w:tab w:val="right" w:pos="8640"/>
      </w:tabs>
    </w:pPr>
  </w:style>
  <w:style w:type="paragraph" w:styleId="TOC2">
    <w:name w:val="toc 2"/>
    <w:basedOn w:val="Normal"/>
    <w:next w:val="Normal"/>
    <w:semiHidden/>
    <w:rsid w:val="0019031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19031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903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03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03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03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03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03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031A"/>
    <w:pPr>
      <w:tabs>
        <w:tab w:val="left" w:pos="3240"/>
        <w:tab w:val="right" w:leader="dot" w:pos="9360"/>
      </w:tabs>
      <w:suppressAutoHyphens/>
      <w:ind w:left="3240" w:hanging="360"/>
    </w:pPr>
    <w:rPr>
      <w:noProof/>
    </w:rPr>
  </w:style>
  <w:style w:type="character" w:styleId="PageNumber">
    <w:name w:val="page number"/>
    <w:basedOn w:val="DefaultParagraphFont"/>
    <w:rsid w:val="0019031A"/>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19031A"/>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9C34CB"/>
    <w:rPr>
      <w:b/>
      <w:snapToGrid w:val="0"/>
      <w:kern w:val="28"/>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napToGrid w:val="0"/>
      <w:kern w:val="28"/>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napToGrid w:val="0"/>
      <w:kern w:val="28"/>
      <w:sz w:val="22"/>
    </w:rPr>
  </w:style>
  <w:style w:type="paragraph" w:styleId="Revision">
    <w:name w:val="Revision"/>
    <w:hidden/>
    <w:uiPriority w:val="99"/>
    <w:semiHidden/>
    <w:rsid w:val="00C44110"/>
    <w:rPr>
      <w:sz w:val="22"/>
    </w:rPr>
  </w:style>
  <w:style w:type="paragraph" w:styleId="EndnoteText">
    <w:name w:val="endnote text"/>
    <w:basedOn w:val="Normal"/>
    <w:link w:val="EndnoteTextChar"/>
    <w:semiHidden/>
    <w:rsid w:val="0019031A"/>
    <w:rPr>
      <w:sz w:val="20"/>
    </w:rPr>
  </w:style>
  <w:style w:type="character" w:customStyle="1" w:styleId="EndnoteTextChar">
    <w:name w:val="Endnote Text Char"/>
    <w:basedOn w:val="DefaultParagraphFont"/>
    <w:link w:val="EndnoteText"/>
    <w:semiHidden/>
    <w:rsid w:val="009C34CB"/>
    <w:rPr>
      <w:snapToGrid w:val="0"/>
      <w:kern w:val="28"/>
    </w:rPr>
  </w:style>
  <w:style w:type="character" w:styleId="EndnoteReference">
    <w:name w:val="endnote reference"/>
    <w:semiHidden/>
    <w:rsid w:val="0019031A"/>
    <w:rPr>
      <w:vertAlign w:val="superscript"/>
    </w:rPr>
  </w:style>
  <w:style w:type="paragraph" w:styleId="TOAHeading">
    <w:name w:val="toa heading"/>
    <w:basedOn w:val="Normal"/>
    <w:next w:val="Normal"/>
    <w:semiHidden/>
    <w:rsid w:val="0019031A"/>
    <w:pPr>
      <w:tabs>
        <w:tab w:val="right" w:pos="9360"/>
      </w:tabs>
      <w:suppressAutoHyphens/>
    </w:pPr>
  </w:style>
  <w:style w:type="character" w:customStyle="1" w:styleId="EquationCaption">
    <w:name w:val="_Equation Caption"/>
    <w:rsid w:val="0019031A"/>
  </w:style>
  <w:style w:type="paragraph" w:customStyle="1" w:styleId="Paratitle">
    <w:name w:val="Para title"/>
    <w:basedOn w:val="Normal"/>
    <w:rsid w:val="0019031A"/>
    <w:pPr>
      <w:tabs>
        <w:tab w:val="center" w:pos="9270"/>
      </w:tabs>
      <w:spacing w:after="240"/>
    </w:pPr>
    <w:rPr>
      <w:spacing w:val="-2"/>
    </w:rPr>
  </w:style>
  <w:style w:type="paragraph" w:customStyle="1" w:styleId="TOCTitle">
    <w:name w:val="TOC Title"/>
    <w:basedOn w:val="Normal"/>
    <w:rsid w:val="001903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031A"/>
    <w:pPr>
      <w:jc w:val="center"/>
    </w:pPr>
    <w:rPr>
      <w:rFonts w:ascii="Times New Roman Bold" w:hAnsi="Times New Roman Bold"/>
      <w:b/>
      <w:bCs/>
      <w:caps/>
      <w:szCs w:val="22"/>
    </w:rPr>
  </w:style>
  <w:style w:type="character" w:styleId="FollowedHyperlink">
    <w:name w:val="FollowedHyperlink"/>
    <w:basedOn w:val="DefaultParagraphFont"/>
    <w:uiPriority w:val="99"/>
    <w:semiHidden/>
    <w:unhideWhenUsed/>
    <w:rsid w:val="00CE2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qcd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381</Words>
  <Characters>2157</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2014-04-16T19:37:00Z</dcterms:created>
  <dcterms:modified xsi:type="dcterms:W3CDTF">2014-04-16T19:37:00Z</dcterms:modified>
  <cp:category> </cp:category>
  <cp:contentStatus> </cp:contentStatus>
</cp:coreProperties>
</file>