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BA" w:rsidRPr="008B2F67" w:rsidRDefault="008D63BA" w:rsidP="000F55B9">
      <w:pPr>
        <w:widowControl/>
        <w:jc w:val="center"/>
        <w:rPr>
          <w:b/>
        </w:rPr>
      </w:pPr>
      <w:bookmarkStart w:id="0" w:name="_GoBack"/>
      <w:bookmarkEnd w:id="0"/>
      <w:r w:rsidRPr="008B2F67">
        <w:rPr>
          <w:b/>
        </w:rPr>
        <w:t>Before the</w:t>
      </w:r>
    </w:p>
    <w:p w:rsidR="008D63BA" w:rsidRDefault="008D63BA" w:rsidP="000F55B9">
      <w:pPr>
        <w:pStyle w:val="StyleBoldCentered"/>
        <w:widowControl/>
        <w:rPr>
          <w:rFonts w:ascii="Times New Roman" w:hAnsi="Times New Roman"/>
          <w:caps w:val="0"/>
        </w:rPr>
      </w:pPr>
      <w:r w:rsidRPr="008B2F67">
        <w:rPr>
          <w:rFonts w:ascii="Times New Roman" w:hAnsi="Times New Roman"/>
        </w:rPr>
        <w:t>F</w:t>
      </w:r>
      <w:r w:rsidRPr="008B2F67">
        <w:rPr>
          <w:rFonts w:ascii="Times New Roman" w:hAnsi="Times New Roman"/>
          <w:caps w:val="0"/>
        </w:rPr>
        <w:t>ederal Communications Commission</w:t>
      </w:r>
    </w:p>
    <w:p w:rsidR="008D63BA" w:rsidRPr="008B2F67" w:rsidRDefault="004C0F88" w:rsidP="000F55B9">
      <w:pPr>
        <w:pStyle w:val="StyleBoldCentered"/>
        <w:widowControl/>
        <w:rPr>
          <w:rFonts w:ascii="Times New Roman" w:hAnsi="Times New Roman"/>
        </w:rPr>
      </w:pPr>
      <w:r>
        <w:rPr>
          <w:rFonts w:ascii="Times New Roman" w:hAnsi="Times New Roman"/>
          <w:caps w:val="0"/>
        </w:rPr>
        <w:t>Washington, D.C. 20554</w:t>
      </w:r>
    </w:p>
    <w:p w:rsidR="008D63BA" w:rsidRPr="008B2F67" w:rsidRDefault="008D63BA" w:rsidP="000F55B9">
      <w:pPr>
        <w:widowControl/>
      </w:pPr>
    </w:p>
    <w:tbl>
      <w:tblPr>
        <w:tblW w:w="0" w:type="auto"/>
        <w:tblLayout w:type="fixed"/>
        <w:tblLook w:val="0000" w:firstRow="0" w:lastRow="0" w:firstColumn="0" w:lastColumn="0" w:noHBand="0" w:noVBand="0"/>
      </w:tblPr>
      <w:tblGrid>
        <w:gridCol w:w="4698"/>
        <w:gridCol w:w="630"/>
        <w:gridCol w:w="4248"/>
      </w:tblGrid>
      <w:tr w:rsidR="008D63BA" w:rsidRPr="008B2F67">
        <w:trPr>
          <w:trHeight w:val="2511"/>
        </w:trPr>
        <w:tc>
          <w:tcPr>
            <w:tcW w:w="4698" w:type="dxa"/>
          </w:tcPr>
          <w:p w:rsidR="008D63BA" w:rsidRPr="008B2F67" w:rsidRDefault="008D63BA" w:rsidP="000F55B9">
            <w:pPr>
              <w:widowControl/>
              <w:tabs>
                <w:tab w:val="center" w:pos="4680"/>
              </w:tabs>
              <w:suppressAutoHyphens/>
              <w:rPr>
                <w:spacing w:val="-2"/>
              </w:rPr>
            </w:pPr>
            <w:r w:rsidRPr="008B2F67">
              <w:rPr>
                <w:spacing w:val="-2"/>
              </w:rPr>
              <w:t>In the Matter of</w:t>
            </w:r>
          </w:p>
          <w:p w:rsidR="008D63BA" w:rsidRPr="008B2F67" w:rsidRDefault="008D63BA" w:rsidP="000F55B9">
            <w:pPr>
              <w:widowControl/>
              <w:tabs>
                <w:tab w:val="center" w:pos="4680"/>
              </w:tabs>
              <w:suppressAutoHyphens/>
              <w:rPr>
                <w:spacing w:val="-2"/>
              </w:rPr>
            </w:pPr>
          </w:p>
          <w:p w:rsidR="008D63BA" w:rsidRPr="008B2F67" w:rsidRDefault="00B60636" w:rsidP="000F55B9">
            <w:pPr>
              <w:widowControl/>
              <w:ind w:right="-18"/>
            </w:pPr>
            <w:r w:rsidRPr="008B2F67">
              <w:t>Revisions of Parts 2 and 25 of the Commission’s Rules to Govern the Use of Earth Stations Aboard Aircraft Communicating with Fixed-Satellite Service Geostationary-Orbit Space Stations Operating in the 10.95-11.2 GHz, 11.45-11.7 GHz, 11.7-12.2 GHz and 14.0-14.5 GHz Frequency Bands</w:t>
            </w:r>
          </w:p>
          <w:p w:rsidR="008D63BA" w:rsidRPr="008B2F67" w:rsidRDefault="008D63BA" w:rsidP="000F55B9">
            <w:pPr>
              <w:widowControl/>
              <w:tabs>
                <w:tab w:val="center" w:pos="4680"/>
              </w:tabs>
              <w:suppressAutoHyphens/>
              <w:rPr>
                <w:spacing w:val="-2"/>
              </w:rPr>
            </w:pPr>
          </w:p>
        </w:tc>
        <w:tc>
          <w:tcPr>
            <w:tcW w:w="630" w:type="dxa"/>
          </w:tcPr>
          <w:p w:rsidR="008D63BA" w:rsidRPr="008B2F67" w:rsidRDefault="008D63BA" w:rsidP="000F55B9">
            <w:pPr>
              <w:widowControl/>
              <w:tabs>
                <w:tab w:val="center" w:pos="4680"/>
              </w:tabs>
              <w:suppressAutoHyphens/>
              <w:rPr>
                <w:spacing w:val="-2"/>
              </w:rPr>
            </w:pPr>
            <w:r w:rsidRPr="008B2F67">
              <w:rPr>
                <w:spacing w:val="-2"/>
              </w:rPr>
              <w:t>)</w:t>
            </w:r>
          </w:p>
          <w:p w:rsidR="008D63BA" w:rsidRPr="008B2F67" w:rsidRDefault="008D63BA" w:rsidP="000F55B9">
            <w:pPr>
              <w:widowControl/>
              <w:tabs>
                <w:tab w:val="center" w:pos="4680"/>
              </w:tabs>
              <w:suppressAutoHyphens/>
              <w:rPr>
                <w:spacing w:val="-2"/>
              </w:rPr>
            </w:pPr>
            <w:r w:rsidRPr="008B2F67">
              <w:rPr>
                <w:spacing w:val="-2"/>
              </w:rPr>
              <w:t>)</w:t>
            </w:r>
          </w:p>
          <w:p w:rsidR="008D63BA" w:rsidRPr="008B2F67" w:rsidRDefault="008D63BA" w:rsidP="000F55B9">
            <w:pPr>
              <w:widowControl/>
              <w:tabs>
                <w:tab w:val="center" w:pos="4680"/>
              </w:tabs>
              <w:suppressAutoHyphens/>
              <w:rPr>
                <w:spacing w:val="-2"/>
              </w:rPr>
            </w:pPr>
            <w:r w:rsidRPr="008B2F67">
              <w:rPr>
                <w:spacing w:val="-2"/>
              </w:rPr>
              <w:t>)</w:t>
            </w:r>
          </w:p>
          <w:p w:rsidR="008D63BA" w:rsidRPr="008B2F67" w:rsidRDefault="008D63BA" w:rsidP="000F55B9">
            <w:pPr>
              <w:widowControl/>
              <w:tabs>
                <w:tab w:val="center" w:pos="4680"/>
              </w:tabs>
              <w:suppressAutoHyphens/>
              <w:rPr>
                <w:spacing w:val="-2"/>
              </w:rPr>
            </w:pPr>
            <w:r w:rsidRPr="008B2F67">
              <w:rPr>
                <w:spacing w:val="-2"/>
              </w:rPr>
              <w:t>)</w:t>
            </w:r>
          </w:p>
          <w:p w:rsidR="008D63BA" w:rsidRPr="008B2F67" w:rsidRDefault="008D63BA" w:rsidP="000F55B9">
            <w:pPr>
              <w:widowControl/>
              <w:tabs>
                <w:tab w:val="center" w:pos="4680"/>
              </w:tabs>
              <w:suppressAutoHyphens/>
              <w:rPr>
                <w:spacing w:val="-2"/>
              </w:rPr>
            </w:pPr>
            <w:r w:rsidRPr="008B2F67">
              <w:rPr>
                <w:spacing w:val="-2"/>
              </w:rPr>
              <w:t>)</w:t>
            </w:r>
          </w:p>
          <w:p w:rsidR="008D63BA" w:rsidRPr="008B2F67" w:rsidRDefault="008D63BA" w:rsidP="000F55B9">
            <w:pPr>
              <w:widowControl/>
              <w:tabs>
                <w:tab w:val="center" w:pos="4680"/>
              </w:tabs>
              <w:suppressAutoHyphens/>
              <w:rPr>
                <w:spacing w:val="-2"/>
              </w:rPr>
            </w:pPr>
            <w:r w:rsidRPr="008B2F67">
              <w:rPr>
                <w:spacing w:val="-2"/>
              </w:rPr>
              <w:t>)</w:t>
            </w:r>
          </w:p>
          <w:p w:rsidR="00E65475" w:rsidRPr="008B2F67" w:rsidRDefault="00B60636" w:rsidP="000F55B9">
            <w:pPr>
              <w:widowControl/>
              <w:tabs>
                <w:tab w:val="center" w:pos="4680"/>
              </w:tabs>
              <w:suppressAutoHyphens/>
              <w:rPr>
                <w:spacing w:val="-2"/>
              </w:rPr>
            </w:pPr>
            <w:r w:rsidRPr="008B2F67">
              <w:rPr>
                <w:spacing w:val="-2"/>
              </w:rPr>
              <w:t>)</w:t>
            </w:r>
          </w:p>
          <w:p w:rsidR="00B60636" w:rsidRPr="008B2F67" w:rsidRDefault="00B60636" w:rsidP="000F55B9">
            <w:pPr>
              <w:widowControl/>
              <w:tabs>
                <w:tab w:val="center" w:pos="4680"/>
              </w:tabs>
              <w:suppressAutoHyphens/>
              <w:rPr>
                <w:spacing w:val="-2"/>
              </w:rPr>
            </w:pPr>
            <w:r w:rsidRPr="008B2F67">
              <w:rPr>
                <w:spacing w:val="-2"/>
              </w:rPr>
              <w:t>)</w:t>
            </w:r>
          </w:p>
          <w:p w:rsidR="00B60636" w:rsidRPr="008B2F67" w:rsidRDefault="00B60636" w:rsidP="000F55B9">
            <w:pPr>
              <w:widowControl/>
              <w:tabs>
                <w:tab w:val="center" w:pos="4680"/>
              </w:tabs>
              <w:suppressAutoHyphens/>
              <w:rPr>
                <w:spacing w:val="-2"/>
              </w:rPr>
            </w:pPr>
            <w:r w:rsidRPr="008B2F67">
              <w:rPr>
                <w:spacing w:val="-2"/>
              </w:rPr>
              <w:t>)</w:t>
            </w:r>
          </w:p>
        </w:tc>
        <w:tc>
          <w:tcPr>
            <w:tcW w:w="4248" w:type="dxa"/>
          </w:tcPr>
          <w:p w:rsidR="008D63BA" w:rsidRPr="008B2F67" w:rsidRDefault="008D63BA" w:rsidP="000F55B9">
            <w:pPr>
              <w:widowControl/>
              <w:tabs>
                <w:tab w:val="center" w:pos="4680"/>
              </w:tabs>
              <w:suppressAutoHyphens/>
              <w:rPr>
                <w:spacing w:val="-2"/>
              </w:rPr>
            </w:pPr>
          </w:p>
          <w:p w:rsidR="008D63BA" w:rsidRPr="008B2F67" w:rsidRDefault="008D63BA" w:rsidP="000F55B9">
            <w:pPr>
              <w:pStyle w:val="TOAHeading"/>
              <w:widowControl/>
              <w:tabs>
                <w:tab w:val="clear" w:pos="9360"/>
                <w:tab w:val="center" w:pos="4680"/>
              </w:tabs>
              <w:rPr>
                <w:spacing w:val="-2"/>
              </w:rPr>
            </w:pPr>
          </w:p>
          <w:p w:rsidR="00FB2198" w:rsidRPr="008B2F67" w:rsidRDefault="00FB2198" w:rsidP="000F55B9">
            <w:pPr>
              <w:widowControl/>
              <w:rPr>
                <w:spacing w:val="-2"/>
              </w:rPr>
            </w:pPr>
          </w:p>
          <w:p w:rsidR="008D63BA" w:rsidRPr="008B2F67" w:rsidRDefault="005357DE" w:rsidP="000F55B9">
            <w:pPr>
              <w:widowControl/>
              <w:rPr>
                <w:spacing w:val="-2"/>
              </w:rPr>
            </w:pPr>
            <w:r w:rsidRPr="008B2F67">
              <w:rPr>
                <w:spacing w:val="-2"/>
              </w:rPr>
              <w:t>IB Docket No. 12-376</w:t>
            </w:r>
          </w:p>
          <w:p w:rsidR="008D63BA" w:rsidRPr="008B2F67" w:rsidRDefault="008D63BA" w:rsidP="000F55B9">
            <w:pPr>
              <w:widowControl/>
              <w:tabs>
                <w:tab w:val="center" w:pos="4680"/>
              </w:tabs>
              <w:suppressAutoHyphens/>
              <w:rPr>
                <w:spacing w:val="-2"/>
              </w:rPr>
            </w:pPr>
          </w:p>
          <w:p w:rsidR="00243FAE" w:rsidRPr="008B2F67" w:rsidRDefault="00243FAE" w:rsidP="000F55B9">
            <w:pPr>
              <w:widowControl/>
              <w:rPr>
                <w:spacing w:val="-2"/>
              </w:rPr>
            </w:pPr>
          </w:p>
          <w:p w:rsidR="00243FAE" w:rsidRPr="008B2F67" w:rsidRDefault="00243FAE" w:rsidP="000F55B9">
            <w:pPr>
              <w:widowControl/>
              <w:rPr>
                <w:spacing w:val="-2"/>
              </w:rPr>
            </w:pPr>
          </w:p>
          <w:p w:rsidR="00243FAE" w:rsidRPr="008B2F67" w:rsidRDefault="00243FAE" w:rsidP="000F55B9">
            <w:pPr>
              <w:widowControl/>
              <w:rPr>
                <w:spacing w:val="-2"/>
              </w:rPr>
            </w:pPr>
          </w:p>
          <w:p w:rsidR="008D63BA" w:rsidRPr="008B2F67" w:rsidRDefault="008D63BA" w:rsidP="000F55B9">
            <w:pPr>
              <w:widowControl/>
              <w:rPr>
                <w:spacing w:val="-2"/>
              </w:rPr>
            </w:pPr>
          </w:p>
        </w:tc>
      </w:tr>
    </w:tbl>
    <w:p w:rsidR="008D63BA" w:rsidRPr="008B2F67" w:rsidRDefault="008D63BA" w:rsidP="000F55B9">
      <w:pPr>
        <w:widowControl/>
      </w:pPr>
    </w:p>
    <w:p w:rsidR="008D63BA" w:rsidRPr="008B2F67" w:rsidRDefault="007A2088" w:rsidP="000F55B9">
      <w:pPr>
        <w:widowControl/>
        <w:tabs>
          <w:tab w:val="left" w:pos="-720"/>
        </w:tabs>
        <w:suppressAutoHyphens/>
        <w:jc w:val="center"/>
        <w:rPr>
          <w:spacing w:val="-2"/>
        </w:rPr>
      </w:pPr>
      <w:r w:rsidRPr="008B2F67">
        <w:rPr>
          <w:b/>
          <w:spacing w:val="-2"/>
        </w:rPr>
        <w:t>SECOND</w:t>
      </w:r>
      <w:r w:rsidR="0061392E" w:rsidRPr="008B2F67">
        <w:rPr>
          <w:b/>
          <w:spacing w:val="-2"/>
        </w:rPr>
        <w:t xml:space="preserve"> </w:t>
      </w:r>
      <w:r w:rsidR="008D63BA" w:rsidRPr="008B2F67">
        <w:rPr>
          <w:b/>
          <w:spacing w:val="-2"/>
        </w:rPr>
        <w:t xml:space="preserve">REPORT AND ORDER AND </w:t>
      </w:r>
      <w:r w:rsidR="005357DE" w:rsidRPr="008B2F67">
        <w:rPr>
          <w:b/>
          <w:spacing w:val="-2"/>
        </w:rPr>
        <w:t>ORDER ON RECONSIDERATION</w:t>
      </w:r>
    </w:p>
    <w:p w:rsidR="00AA5F68" w:rsidRDefault="00AA5F68" w:rsidP="00AA5F68">
      <w:pPr>
        <w:tabs>
          <w:tab w:val="left" w:pos="-720"/>
        </w:tabs>
        <w:suppressAutoHyphens/>
        <w:spacing w:line="227" w:lineRule="auto"/>
        <w:rPr>
          <w:spacing w:val="-2"/>
        </w:rPr>
      </w:pPr>
    </w:p>
    <w:p w:rsidR="00AA5F68" w:rsidRDefault="00AA5F68" w:rsidP="00AA5F68">
      <w:pPr>
        <w:tabs>
          <w:tab w:val="left" w:pos="720"/>
          <w:tab w:val="right" w:pos="9360"/>
        </w:tabs>
        <w:suppressAutoHyphens/>
        <w:spacing w:line="227" w:lineRule="auto"/>
        <w:rPr>
          <w:spacing w:val="-2"/>
        </w:rPr>
      </w:pPr>
      <w:r>
        <w:rPr>
          <w:b/>
          <w:spacing w:val="-2"/>
        </w:rPr>
        <w:t>Adopted:  A</w:t>
      </w:r>
      <w:r w:rsidR="00D96DFC">
        <w:rPr>
          <w:b/>
          <w:spacing w:val="-2"/>
        </w:rPr>
        <w:t>pril 17, 2014</w:t>
      </w:r>
      <w:r>
        <w:rPr>
          <w:b/>
          <w:spacing w:val="-2"/>
        </w:rPr>
        <w:tab/>
        <w:t>Released:  April 18, 2014</w:t>
      </w:r>
    </w:p>
    <w:p w:rsidR="00AA5F68" w:rsidRDefault="00AA5F68" w:rsidP="00AA5F68"/>
    <w:p w:rsidR="005531AA" w:rsidRPr="008B2F67" w:rsidRDefault="005531AA" w:rsidP="000F55B9">
      <w:pPr>
        <w:widowControl/>
      </w:pPr>
      <w:r>
        <w:t>By the Commission:</w:t>
      </w:r>
    </w:p>
    <w:p w:rsidR="009302DD" w:rsidRDefault="009302DD" w:rsidP="009302DD">
      <w:pPr>
        <w:pStyle w:val="TOCTitle"/>
      </w:pPr>
      <w:bookmarkStart w:id="1" w:name="TOChere"/>
      <w:r>
        <w:t>Table of Contents</w:t>
      </w:r>
    </w:p>
    <w:p w:rsidR="009302DD" w:rsidRDefault="009302DD" w:rsidP="009302DD">
      <w:pPr>
        <w:pStyle w:val="Paratitle"/>
      </w:pPr>
      <w:r>
        <w:t>Heading</w:t>
      </w:r>
      <w:r>
        <w:tab/>
        <w:t>Paragraph #</w:t>
      </w:r>
      <w:bookmarkStart w:id="2" w:name="start_here"/>
      <w:bookmarkEnd w:id="2"/>
    </w:p>
    <w:p w:rsidR="009302DD" w:rsidRDefault="009302DD" w:rsidP="009302DD">
      <w:pPr>
        <w:pStyle w:val="TOC1"/>
        <w:rPr>
          <w:rFonts w:asciiTheme="minorHAnsi" w:eastAsiaTheme="minorEastAsia" w:hAnsiTheme="minorHAnsi" w:cstheme="minorBidi"/>
          <w:caps w:val="0"/>
          <w:snapToGrid/>
          <w:kern w:val="0"/>
          <w:szCs w:val="22"/>
        </w:rPr>
      </w:pPr>
      <w:r w:rsidRPr="001F2D18">
        <w:t>I.</w:t>
      </w:r>
      <w:r>
        <w:rPr>
          <w:rFonts w:asciiTheme="minorHAnsi" w:eastAsiaTheme="minorEastAsia" w:hAnsiTheme="minorHAnsi" w:cstheme="minorBidi"/>
          <w:caps w:val="0"/>
          <w:snapToGrid/>
          <w:kern w:val="0"/>
          <w:szCs w:val="22"/>
        </w:rPr>
        <w:tab/>
      </w:r>
      <w:r w:rsidRPr="001F2D18">
        <w:t>introduction</w:t>
      </w:r>
      <w:r>
        <w:tab/>
        <w:t>1</w:t>
      </w:r>
    </w:p>
    <w:p w:rsidR="009302DD" w:rsidRDefault="009302DD" w:rsidP="009302DD">
      <w:pPr>
        <w:pStyle w:val="TOC1"/>
        <w:rPr>
          <w:rFonts w:asciiTheme="minorHAnsi" w:eastAsiaTheme="minorEastAsia" w:hAnsiTheme="minorHAnsi" w:cstheme="minorBidi"/>
          <w:caps w:val="0"/>
          <w:snapToGrid/>
          <w:kern w:val="0"/>
          <w:szCs w:val="22"/>
        </w:rPr>
      </w:pPr>
      <w:r w:rsidRPr="001F2D18">
        <w:t>II.</w:t>
      </w:r>
      <w:r>
        <w:rPr>
          <w:rFonts w:asciiTheme="minorHAnsi" w:eastAsiaTheme="minorEastAsia" w:hAnsiTheme="minorHAnsi" w:cstheme="minorBidi"/>
          <w:caps w:val="0"/>
          <w:snapToGrid/>
          <w:kern w:val="0"/>
          <w:szCs w:val="22"/>
        </w:rPr>
        <w:tab/>
      </w:r>
      <w:r w:rsidRPr="001F2D18">
        <w:t>background</w:t>
      </w:r>
      <w:r>
        <w:tab/>
        <w:t>2</w:t>
      </w:r>
    </w:p>
    <w:p w:rsidR="009302DD" w:rsidRDefault="009302DD" w:rsidP="009302DD">
      <w:pPr>
        <w:pStyle w:val="TOC1"/>
        <w:rPr>
          <w:rFonts w:asciiTheme="minorHAnsi" w:eastAsiaTheme="minorEastAsia" w:hAnsiTheme="minorHAnsi" w:cstheme="minorBidi"/>
          <w:caps w:val="0"/>
          <w:snapToGrid/>
          <w:kern w:val="0"/>
          <w:szCs w:val="22"/>
        </w:rPr>
      </w:pPr>
      <w:r w:rsidRPr="001F2D18">
        <w:t>III.</w:t>
      </w:r>
      <w:r>
        <w:rPr>
          <w:rFonts w:asciiTheme="minorHAnsi" w:eastAsiaTheme="minorEastAsia" w:hAnsiTheme="minorHAnsi" w:cstheme="minorBidi"/>
          <w:caps w:val="0"/>
          <w:snapToGrid/>
          <w:kern w:val="0"/>
          <w:szCs w:val="22"/>
        </w:rPr>
        <w:tab/>
      </w:r>
      <w:r w:rsidRPr="001F2D18">
        <w:t>SECOND Report and order</w:t>
      </w:r>
      <w:r>
        <w:tab/>
        <w:t>7</w:t>
      </w:r>
    </w:p>
    <w:p w:rsidR="009302DD" w:rsidRDefault="009302DD" w:rsidP="009302D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14.0-14.5 GHz Band</w:t>
      </w:r>
      <w:r>
        <w:tab/>
        <w:t>7</w:t>
      </w:r>
    </w:p>
    <w:p w:rsidR="009302DD" w:rsidRDefault="009302DD" w:rsidP="009302D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Section 25.227(b)(2)(i)</w:t>
      </w:r>
      <w:r>
        <w:tab/>
        <w:t>11</w:t>
      </w:r>
    </w:p>
    <w:p w:rsidR="009302DD" w:rsidRDefault="009302DD" w:rsidP="009302DD">
      <w:pPr>
        <w:pStyle w:val="TOC1"/>
        <w:rPr>
          <w:rFonts w:asciiTheme="minorHAnsi" w:eastAsiaTheme="minorEastAsia" w:hAnsiTheme="minorHAnsi" w:cstheme="minorBidi"/>
          <w:caps w:val="0"/>
          <w:snapToGrid/>
          <w:kern w:val="0"/>
          <w:szCs w:val="22"/>
        </w:rPr>
      </w:pPr>
      <w:r w:rsidRPr="001F2D18">
        <w:t>IV.</w:t>
      </w:r>
      <w:r>
        <w:rPr>
          <w:rFonts w:asciiTheme="minorHAnsi" w:eastAsiaTheme="minorEastAsia" w:hAnsiTheme="minorHAnsi" w:cstheme="minorBidi"/>
          <w:caps w:val="0"/>
          <w:snapToGrid/>
          <w:kern w:val="0"/>
          <w:szCs w:val="22"/>
        </w:rPr>
        <w:tab/>
      </w:r>
      <w:r w:rsidRPr="001F2D18">
        <w:t>Order on Reconsideration</w:t>
      </w:r>
      <w:r>
        <w:tab/>
        <w:t>13</w:t>
      </w:r>
    </w:p>
    <w:p w:rsidR="009302DD" w:rsidRDefault="009302DD" w:rsidP="009302D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U.S.-Registered Civil Aircraft</w:t>
      </w:r>
      <w:r>
        <w:tab/>
        <w:t>14</w:t>
      </w:r>
    </w:p>
    <w:p w:rsidR="009302DD" w:rsidRDefault="009302DD" w:rsidP="009302D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Dynamic Power ESAA Systems</w:t>
      </w:r>
      <w:r>
        <w:tab/>
        <w:t>18</w:t>
      </w:r>
    </w:p>
    <w:p w:rsidR="009302DD" w:rsidRDefault="009302DD" w:rsidP="009302DD">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Dynamic Power ESAA Operations that Exceed the Off-Axis EIRP-Density Limits</w:t>
      </w:r>
      <w:r>
        <w:tab/>
        <w:t>18</w:t>
      </w:r>
    </w:p>
    <w:p w:rsidR="009302DD" w:rsidRDefault="009302DD" w:rsidP="009302D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Cessation of Emissions</w:t>
      </w:r>
      <w:r>
        <w:tab/>
        <w:t>22</w:t>
      </w:r>
    </w:p>
    <w:p w:rsidR="009302DD" w:rsidRDefault="009302DD" w:rsidP="009302DD">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Antenna Pointing Error Requirement</w:t>
      </w:r>
      <w:r>
        <w:tab/>
        <w:t>27</w:t>
      </w:r>
    </w:p>
    <w:p w:rsidR="009302DD" w:rsidRDefault="009302DD" w:rsidP="009302DD">
      <w:pPr>
        <w:pStyle w:val="TOC1"/>
        <w:rPr>
          <w:rFonts w:asciiTheme="minorHAnsi" w:eastAsiaTheme="minorEastAsia" w:hAnsiTheme="minorHAnsi" w:cstheme="minorBidi"/>
          <w:caps w:val="0"/>
          <w:snapToGrid/>
          <w:kern w:val="0"/>
          <w:szCs w:val="22"/>
        </w:rPr>
      </w:pPr>
      <w:r w:rsidRPr="001F2D18">
        <w:t>V.</w:t>
      </w:r>
      <w:r>
        <w:rPr>
          <w:rFonts w:asciiTheme="minorHAnsi" w:eastAsiaTheme="minorEastAsia" w:hAnsiTheme="minorHAnsi" w:cstheme="minorBidi"/>
          <w:caps w:val="0"/>
          <w:snapToGrid/>
          <w:kern w:val="0"/>
          <w:szCs w:val="22"/>
        </w:rPr>
        <w:tab/>
      </w:r>
      <w:r w:rsidRPr="001F2D18">
        <w:t>PROCEDURAL MATTERS</w:t>
      </w:r>
      <w:r>
        <w:tab/>
        <w:t>30</w:t>
      </w:r>
    </w:p>
    <w:p w:rsidR="009302DD" w:rsidRDefault="009302DD" w:rsidP="009302D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30</w:t>
      </w:r>
    </w:p>
    <w:p w:rsidR="009302DD" w:rsidRDefault="009302DD" w:rsidP="009302D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Paperwork Reduction Act and Congressional Review Act</w:t>
      </w:r>
      <w:r>
        <w:tab/>
        <w:t>31</w:t>
      </w:r>
    </w:p>
    <w:p w:rsidR="009302DD" w:rsidRDefault="009302DD" w:rsidP="009302DD">
      <w:pPr>
        <w:pStyle w:val="TOC1"/>
        <w:rPr>
          <w:rFonts w:asciiTheme="minorHAnsi" w:eastAsiaTheme="minorEastAsia" w:hAnsiTheme="minorHAnsi" w:cstheme="minorBidi"/>
          <w:caps w:val="0"/>
          <w:snapToGrid/>
          <w:kern w:val="0"/>
          <w:szCs w:val="22"/>
        </w:rPr>
      </w:pPr>
      <w:r w:rsidRPr="001F2D18">
        <w:t>VI.</w:t>
      </w:r>
      <w:r>
        <w:rPr>
          <w:rFonts w:asciiTheme="minorHAnsi" w:eastAsiaTheme="minorEastAsia" w:hAnsiTheme="minorHAnsi" w:cstheme="minorBidi"/>
          <w:caps w:val="0"/>
          <w:snapToGrid/>
          <w:kern w:val="0"/>
          <w:szCs w:val="22"/>
        </w:rPr>
        <w:tab/>
      </w:r>
      <w:r w:rsidRPr="001F2D18">
        <w:t>ORDERING CLAUSES</w:t>
      </w:r>
      <w:r>
        <w:tab/>
        <w:t>32</w:t>
      </w:r>
    </w:p>
    <w:bookmarkEnd w:id="1"/>
    <w:p w:rsidR="00230BB8" w:rsidRDefault="00230BB8" w:rsidP="000F55B9">
      <w:pPr>
        <w:widowControl/>
      </w:pPr>
      <w:r>
        <w:t>Appendix A - Final</w:t>
      </w:r>
      <w:r w:rsidR="00F17087">
        <w:t xml:space="preserve"> Regulatory Flexibility Certification</w:t>
      </w:r>
      <w:r>
        <w:t xml:space="preserve"> for the Second Report and Order</w:t>
      </w:r>
    </w:p>
    <w:p w:rsidR="00230BB8" w:rsidRDefault="00230BB8" w:rsidP="000F55B9">
      <w:pPr>
        <w:widowControl/>
      </w:pPr>
      <w:r>
        <w:t>Appendix B - Final Regu</w:t>
      </w:r>
      <w:r w:rsidR="001D7A9E">
        <w:t xml:space="preserve">latory Flexibility </w:t>
      </w:r>
      <w:r w:rsidR="00714EA3">
        <w:t>Certification</w:t>
      </w:r>
      <w:r>
        <w:t xml:space="preserve"> for the Order on Reconsideration</w:t>
      </w:r>
    </w:p>
    <w:p w:rsidR="00A655C6" w:rsidRPr="008B2F67" w:rsidRDefault="00230BB8" w:rsidP="000F55B9">
      <w:pPr>
        <w:widowControl/>
      </w:pPr>
      <w:r>
        <w:t xml:space="preserve">Appendix C - </w:t>
      </w:r>
      <w:r w:rsidR="00A655C6" w:rsidRPr="008B2F67">
        <w:t>List of Parties</w:t>
      </w:r>
    </w:p>
    <w:p w:rsidR="00A655C6" w:rsidRPr="008B2F67" w:rsidRDefault="00230BB8" w:rsidP="000F55B9">
      <w:pPr>
        <w:widowControl/>
      </w:pPr>
      <w:r>
        <w:t>Appendix D -</w:t>
      </w:r>
      <w:r w:rsidR="00A655C6" w:rsidRPr="008B2F67">
        <w:t xml:space="preserve"> Final Rules</w:t>
      </w:r>
    </w:p>
    <w:p w:rsidR="008D63BA" w:rsidRPr="008B2F67" w:rsidRDefault="008D63BA" w:rsidP="000F55B9">
      <w:pPr>
        <w:widowControl/>
      </w:pPr>
    </w:p>
    <w:p w:rsidR="008D63BA" w:rsidRPr="008B2F67" w:rsidRDefault="008D63BA" w:rsidP="00C3133B">
      <w:pPr>
        <w:pStyle w:val="Heading1"/>
      </w:pPr>
      <w:bookmarkStart w:id="3" w:name="_Toc305666427"/>
      <w:bookmarkStart w:id="4" w:name="_Toc305668688"/>
      <w:bookmarkStart w:id="5" w:name="_Toc305672004"/>
      <w:bookmarkStart w:id="6" w:name="_Toc305672053"/>
      <w:bookmarkStart w:id="7" w:name="_Toc305672263"/>
      <w:bookmarkStart w:id="8" w:name="_Toc305672687"/>
      <w:bookmarkStart w:id="9" w:name="_Toc305673455"/>
      <w:bookmarkStart w:id="10" w:name="_Toc305674201"/>
      <w:bookmarkStart w:id="11" w:name="_Toc305674290"/>
      <w:bookmarkStart w:id="12" w:name="_Toc305674348"/>
      <w:bookmarkStart w:id="13" w:name="_Toc305674521"/>
      <w:bookmarkStart w:id="14" w:name="_Toc305674627"/>
      <w:bookmarkStart w:id="15" w:name="_Toc305674843"/>
      <w:bookmarkStart w:id="16" w:name="_Toc305674988"/>
      <w:bookmarkStart w:id="17" w:name="_Toc305677286"/>
      <w:bookmarkStart w:id="18" w:name="_Toc307322829"/>
      <w:bookmarkStart w:id="19" w:name="_Toc307466297"/>
      <w:bookmarkStart w:id="20" w:name="_Toc307474883"/>
      <w:bookmarkStart w:id="21" w:name="_Toc307490068"/>
      <w:bookmarkStart w:id="22" w:name="_Toc307490146"/>
      <w:bookmarkStart w:id="23" w:name="_Toc307490262"/>
      <w:bookmarkStart w:id="24" w:name="_Toc307490352"/>
      <w:bookmarkStart w:id="25" w:name="_Toc307565947"/>
      <w:bookmarkStart w:id="26" w:name="_Toc309635708"/>
      <w:bookmarkStart w:id="27" w:name="_Toc361752995"/>
      <w:bookmarkStart w:id="28" w:name="_Toc361753262"/>
      <w:bookmarkStart w:id="29" w:name="_Toc361990957"/>
      <w:bookmarkStart w:id="30" w:name="_Toc362618074"/>
      <w:bookmarkStart w:id="31" w:name="_Toc362618117"/>
      <w:bookmarkStart w:id="32" w:name="_Toc362961097"/>
      <w:bookmarkStart w:id="33" w:name="_Toc364432478"/>
      <w:bookmarkStart w:id="34" w:name="_Toc364673955"/>
      <w:bookmarkStart w:id="35" w:name="_Toc365015450"/>
      <w:bookmarkStart w:id="36" w:name="_Toc374538711"/>
      <w:bookmarkStart w:id="37" w:name="_Toc376787507"/>
      <w:bookmarkStart w:id="38" w:name="_Toc379959720"/>
      <w:bookmarkStart w:id="39" w:name="_Toc379959867"/>
      <w:bookmarkStart w:id="40" w:name="_Toc379982287"/>
      <w:bookmarkStart w:id="41" w:name="_Toc380656020"/>
      <w:bookmarkStart w:id="42" w:name="_Toc380661555"/>
      <w:bookmarkStart w:id="43" w:name="_Toc383443112"/>
      <w:bookmarkStart w:id="44" w:name="_Toc383680119"/>
      <w:bookmarkStart w:id="45" w:name="_Toc383701092"/>
      <w:r w:rsidRPr="002443EE">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D63BA" w:rsidRPr="008B2F67" w:rsidRDefault="00E4761C" w:rsidP="00C3133B">
      <w:pPr>
        <w:pStyle w:val="ParaNum"/>
      </w:pPr>
      <w:bookmarkStart w:id="46" w:name="_Ref248027894"/>
      <w:r w:rsidRPr="008B2F67">
        <w:t>In this</w:t>
      </w:r>
      <w:r w:rsidR="007F340D" w:rsidRPr="008B2F67">
        <w:t xml:space="preserve"> Second Report and Order and Order on Reconsideration</w:t>
      </w:r>
      <w:bookmarkEnd w:id="46"/>
      <w:r w:rsidR="00EA26B8" w:rsidRPr="008B2F67">
        <w:t xml:space="preserve"> for Earth Stations Aboard </w:t>
      </w:r>
      <w:r w:rsidR="000833D4" w:rsidRPr="008B2F67">
        <w:t>Aircraft (ESAA) (</w:t>
      </w:r>
      <w:r w:rsidR="000833D4" w:rsidRPr="008B2F67">
        <w:rPr>
          <w:i/>
          <w:iCs/>
        </w:rPr>
        <w:t>ESAA Second Order and Reconsideration Order</w:t>
      </w:r>
      <w:r w:rsidR="000833D4" w:rsidRPr="008B2F67">
        <w:rPr>
          <w:iCs/>
        </w:rPr>
        <w:t>)</w:t>
      </w:r>
      <w:r w:rsidR="000833D4" w:rsidRPr="008B2F67">
        <w:t xml:space="preserve">, </w:t>
      </w:r>
      <w:r w:rsidR="00D120B0">
        <w:t>we promote regulatory parity by adopting a primary allocation for ESAA in the 14.0-14.5 GHz band.  We also provide regulatory certainty by</w:t>
      </w:r>
      <w:r w:rsidR="000833D4" w:rsidRPr="008B2F67">
        <w:t xml:space="preserve"> clarify</w:t>
      </w:r>
      <w:r w:rsidR="00D120B0">
        <w:t>ing</w:t>
      </w:r>
      <w:r w:rsidR="000833D4" w:rsidRPr="008B2F67">
        <w:t xml:space="preserve"> </w:t>
      </w:r>
      <w:r w:rsidR="00D120B0" w:rsidRPr="002443EE">
        <w:t>some</w:t>
      </w:r>
      <w:r w:rsidR="00D120B0">
        <w:t xml:space="preserve"> of the </w:t>
      </w:r>
      <w:r w:rsidR="000833D4" w:rsidRPr="008B2F67">
        <w:t>ESAA rules</w:t>
      </w:r>
      <w:r w:rsidR="00D120B0">
        <w:t>, as a result of a petition for reconsideration and clarification</w:t>
      </w:r>
      <w:r w:rsidR="000833D4" w:rsidRPr="008B2F67">
        <w:t xml:space="preserve"> filed by </w:t>
      </w:r>
      <w:r w:rsidR="00D120B0">
        <w:t xml:space="preserve">The Boeing Company (Boeing).  </w:t>
      </w:r>
      <w:r w:rsidR="00EA206A">
        <w:t>These changes promote regulatory and operational certainty for ESAA systems</w:t>
      </w:r>
      <w:r w:rsidR="00E86826">
        <w:t xml:space="preserve"> sharing spectrum with other applications in the Fixed-Satellite Service (FSS)</w:t>
      </w:r>
      <w:r w:rsidR="00EA206A">
        <w:t>.</w:t>
      </w:r>
    </w:p>
    <w:p w:rsidR="008D63BA" w:rsidRPr="008B2F67" w:rsidRDefault="00252B83" w:rsidP="00C3133B">
      <w:pPr>
        <w:pStyle w:val="Heading1"/>
      </w:pPr>
      <w:bookmarkStart w:id="47" w:name="_Toc361752996"/>
      <w:bookmarkStart w:id="48" w:name="_Toc361753263"/>
      <w:bookmarkStart w:id="49" w:name="_Toc361990958"/>
      <w:bookmarkStart w:id="50" w:name="_Toc362618075"/>
      <w:bookmarkStart w:id="51" w:name="_Toc362618118"/>
      <w:bookmarkStart w:id="52" w:name="_Toc362961098"/>
      <w:bookmarkStart w:id="53" w:name="_Toc364432479"/>
      <w:bookmarkStart w:id="54" w:name="_Toc364673956"/>
      <w:bookmarkStart w:id="55" w:name="_Toc365015451"/>
      <w:bookmarkStart w:id="56" w:name="_Toc374538712"/>
      <w:bookmarkStart w:id="57" w:name="_Toc376787508"/>
      <w:bookmarkStart w:id="58" w:name="_Toc379959721"/>
      <w:bookmarkStart w:id="59" w:name="_Toc379959868"/>
      <w:bookmarkStart w:id="60" w:name="_Toc379982288"/>
      <w:bookmarkStart w:id="61" w:name="_Toc380656021"/>
      <w:bookmarkStart w:id="62" w:name="_Toc380661556"/>
      <w:bookmarkStart w:id="63" w:name="_Toc383443113"/>
      <w:bookmarkStart w:id="64" w:name="_Toc383680120"/>
      <w:bookmarkStart w:id="65" w:name="_Toc383701093"/>
      <w:r w:rsidRPr="008B2F67">
        <w:lastRenderedPageBreak/>
        <w:t>background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EE58B5" w:rsidRPr="008B2F67" w:rsidRDefault="00EE58B5" w:rsidP="00C3133B">
      <w:pPr>
        <w:pStyle w:val="ParaNum"/>
      </w:pPr>
      <w:r w:rsidRPr="008B2F67">
        <w:t>ESAA service is among the emerging mobile broadband applicatio</w:t>
      </w:r>
      <w:r w:rsidR="00E86826">
        <w:t xml:space="preserve">ns in spectrum allocated to the </w:t>
      </w:r>
      <w:r w:rsidRPr="008B2F67">
        <w:t xml:space="preserve">FSS.  The other mobile applications </w:t>
      </w:r>
      <w:r w:rsidR="008556D1" w:rsidRPr="008B2F67">
        <w:t>in FSS spectrum are</w:t>
      </w:r>
      <w:r w:rsidR="007D2605" w:rsidRPr="008B2F67">
        <w:t xml:space="preserve"> </w:t>
      </w:r>
      <w:r w:rsidRPr="008B2F67">
        <w:t>Earth Stations on Vessels (ESV) and Vehicle-Mounted E</w:t>
      </w:r>
      <w:r w:rsidR="009B1F8B">
        <w:t>arth Stations (VMES), providing</w:t>
      </w:r>
      <w:r w:rsidRPr="008B2F67">
        <w:t xml:space="preserve"> broadband services to </w:t>
      </w:r>
      <w:r w:rsidR="00760A7A">
        <w:t xml:space="preserve">customers </w:t>
      </w:r>
      <w:r w:rsidR="005C448E">
        <w:t>at</w:t>
      </w:r>
      <w:r w:rsidR="00760A7A">
        <w:t xml:space="preserve"> sea and on land</w:t>
      </w:r>
      <w:r w:rsidRPr="008B2F67">
        <w:t>, respectively.</w:t>
      </w:r>
      <w:r w:rsidRPr="008B2F67">
        <w:rPr>
          <w:rStyle w:val="FootnoteReference"/>
        </w:rPr>
        <w:footnoteReference w:id="2"/>
      </w:r>
      <w:r w:rsidRPr="008B2F67">
        <w:t xml:space="preserve">  ESAAs</w:t>
      </w:r>
      <w:r w:rsidR="00921466" w:rsidRPr="008B2F67">
        <w:t xml:space="preserve"> are earth stations</w:t>
      </w:r>
      <w:r w:rsidR="00B95E6D" w:rsidRPr="008B2F67">
        <w:t xml:space="preserve"> aboard </w:t>
      </w:r>
      <w:r w:rsidRPr="008B2F67">
        <w:t>aircraft that rec</w:t>
      </w:r>
      <w:r w:rsidR="00921466" w:rsidRPr="008B2F67">
        <w:t>eive from and transmit to a geo</w:t>
      </w:r>
      <w:r w:rsidR="001D7B13">
        <w:t>stationary</w:t>
      </w:r>
      <w:r w:rsidRPr="008B2F67">
        <w:t xml:space="preserve"> orbit (GSO) FSS satellite</w:t>
      </w:r>
      <w:r w:rsidR="00870CB3">
        <w:t>.</w:t>
      </w:r>
      <w:r w:rsidRPr="008B2F67">
        <w:rPr>
          <w:rStyle w:val="FootnoteReference"/>
        </w:rPr>
        <w:footnoteReference w:id="3"/>
      </w:r>
      <w:r w:rsidR="00870CB3">
        <w:t xml:space="preserve"> </w:t>
      </w:r>
      <w:r w:rsidRPr="008B2F67">
        <w:t xml:space="preserve"> ESAA</w:t>
      </w:r>
      <w:r w:rsidR="00671CD6" w:rsidRPr="008B2F67">
        <w:t>s, when combined with technologies such as Wi-Fi inside the aircraft hull,</w:t>
      </w:r>
      <w:r w:rsidRPr="008B2F67">
        <w:t xml:space="preserve"> offer broadband services for in-flight passengers and crew</w:t>
      </w:r>
      <w:r w:rsidR="00385707" w:rsidRPr="008B2F67">
        <w:t xml:space="preserve"> aboard commercial and private aircraft</w:t>
      </w:r>
      <w:r w:rsidRPr="008B2F67">
        <w:t xml:space="preserve">. </w:t>
      </w:r>
    </w:p>
    <w:p w:rsidR="00AF23B1" w:rsidRDefault="00A83D46">
      <w:pPr>
        <w:pStyle w:val="ParaNum"/>
      </w:pPr>
      <w:r>
        <w:rPr>
          <w:i/>
        </w:rPr>
        <w:t xml:space="preserve">ESAA NPRM &amp; Order.  </w:t>
      </w:r>
      <w:r w:rsidR="008839A7" w:rsidRPr="008B2F67">
        <w:t>In 2012</w:t>
      </w:r>
      <w:r w:rsidR="00EE58B5" w:rsidRPr="008B2F67">
        <w:t xml:space="preserve">, </w:t>
      </w:r>
      <w:r w:rsidR="00ED67F6">
        <w:t xml:space="preserve">the Commission </w:t>
      </w:r>
      <w:r w:rsidR="00ED67F6" w:rsidRPr="008B2F67">
        <w:t xml:space="preserve">adopted the </w:t>
      </w:r>
      <w:r w:rsidR="00ED67F6" w:rsidRPr="008B2F67">
        <w:rPr>
          <w:i/>
        </w:rPr>
        <w:t>ESAA NPRM &amp; Order</w:t>
      </w:r>
      <w:r w:rsidR="00ED67F6" w:rsidRPr="008B2F67">
        <w:t xml:space="preserve">, which amended the U.S. Table of </w:t>
      </w:r>
      <w:r w:rsidR="00ED67F6">
        <w:t xml:space="preserve">Frequency </w:t>
      </w:r>
      <w:r w:rsidR="00ED67F6" w:rsidRPr="008B2F67">
        <w:t xml:space="preserve">Allocations </w:t>
      </w:r>
      <w:r w:rsidR="00D7186E">
        <w:t xml:space="preserve">(Table of Allocations) </w:t>
      </w:r>
      <w:r w:rsidR="00ED67F6" w:rsidRPr="008B2F67">
        <w:t xml:space="preserve">in Part 2 </w:t>
      </w:r>
      <w:r w:rsidR="00D7186E">
        <w:t xml:space="preserve">of the Commission’s rules </w:t>
      </w:r>
      <w:r w:rsidR="00ED67F6" w:rsidRPr="008B2F67">
        <w:t>and established service and licensing rules for ESAA operators in Part 25 of the Commission’s rules.</w:t>
      </w:r>
      <w:r w:rsidR="002F02B4" w:rsidRPr="008B2F67">
        <w:rPr>
          <w:rStyle w:val="FootnoteReference"/>
        </w:rPr>
        <w:footnoteReference w:id="4"/>
      </w:r>
      <w:r w:rsidR="00ED67F6">
        <w:t xml:space="preserve"> </w:t>
      </w:r>
      <w:r w:rsidR="002F02B4">
        <w:t xml:space="preserve"> </w:t>
      </w:r>
      <w:r w:rsidR="00AF23B1">
        <w:t>With regard to the Table of Allocations, t</w:t>
      </w:r>
      <w:r w:rsidR="00AF23B1" w:rsidRPr="008B2F67">
        <w:t>he Commission added</w:t>
      </w:r>
      <w:r w:rsidR="00AF23B1">
        <w:t xml:space="preserve"> non-Federal footnotes NG52, NG54</w:t>
      </w:r>
      <w:r w:rsidR="00AF23B1" w:rsidRPr="008B2F67">
        <w:t xml:space="preserve"> and NG55 and United States footnote US133 </w:t>
      </w:r>
      <w:r w:rsidR="00AF23B1">
        <w:t xml:space="preserve">to the </w:t>
      </w:r>
      <w:r w:rsidR="00AF23B1" w:rsidRPr="008B2F67">
        <w:t>Ta</w:t>
      </w:r>
      <w:r w:rsidR="00AF23B1">
        <w:t>ble of Allocations</w:t>
      </w:r>
      <w:r w:rsidR="00AF23B1" w:rsidRPr="008B2F67">
        <w:t>.</w:t>
      </w:r>
      <w:r w:rsidR="00AF23B1" w:rsidRPr="008B2F67">
        <w:rPr>
          <w:rStyle w:val="FootnoteReference"/>
        </w:rPr>
        <w:footnoteReference w:id="5"/>
      </w:r>
      <w:r w:rsidR="00AF23B1" w:rsidRPr="008B2F67">
        <w:t xml:space="preserve">  </w:t>
      </w:r>
      <w:r w:rsidR="00AF23B1">
        <w:t xml:space="preserve">Footnote </w:t>
      </w:r>
      <w:r w:rsidR="00AF23B1" w:rsidRPr="008B2F67">
        <w:t>NG52 authorizes ESAA operations in the 10.95-11.2 GHz and 11.45-11.7 GHz bands on an unprotected basis, which means that those earth stations are not allowed to claim protection from transmissions of non-Federal stations in the Fixed Service</w:t>
      </w:r>
      <w:r w:rsidR="00AF23B1">
        <w:t xml:space="preserve"> (FS).  Footnote </w:t>
      </w:r>
      <w:r w:rsidR="00AF23B1" w:rsidRPr="008B2F67">
        <w:t>NG54 authorizes ESAA operations in the 14.0-14.5 GHz band on a secondary basis</w:t>
      </w:r>
      <w:r w:rsidR="00AF23B1">
        <w:t>,</w:t>
      </w:r>
      <w:r w:rsidR="00AF23B1" w:rsidRPr="008B2F67">
        <w:t xml:space="preserve"> </w:t>
      </w:r>
      <w:r w:rsidR="00AF23B1">
        <w:t>and</w:t>
      </w:r>
      <w:r w:rsidR="00AF23B1" w:rsidRPr="008B2F67">
        <w:t xml:space="preserve"> </w:t>
      </w:r>
      <w:r w:rsidR="00AF23B1">
        <w:t xml:space="preserve">footnote </w:t>
      </w:r>
      <w:r w:rsidR="00AF23B1" w:rsidRPr="008B2F67">
        <w:t>NG55 authorizes ESAA operations in the 11.7-12.2 GHz band on a primary basis.</w:t>
      </w:r>
      <w:r w:rsidR="00AF23B1" w:rsidRPr="008B2F67">
        <w:rPr>
          <w:rStyle w:val="FootnoteReference"/>
        </w:rPr>
        <w:footnoteReference w:id="6"/>
      </w:r>
      <w:r w:rsidR="00AF23B1" w:rsidRPr="008B2F67">
        <w:t xml:space="preserve">  </w:t>
      </w:r>
      <w:r w:rsidR="00AF23B1">
        <w:t xml:space="preserve">Footnote </w:t>
      </w:r>
      <w:r w:rsidR="00AF23B1" w:rsidRPr="008B2F67">
        <w:t>US133 requires ESAA licensees to coordinate with space research service and radio astronomy service in order to prevent harmful interference to those services.</w:t>
      </w:r>
      <w:r w:rsidR="00AF23B1">
        <w:t xml:space="preserve">   </w:t>
      </w:r>
    </w:p>
    <w:p w:rsidR="003E7651" w:rsidRPr="008B2F67" w:rsidRDefault="00AF23B1">
      <w:pPr>
        <w:pStyle w:val="ParaNum"/>
      </w:pPr>
      <w:r>
        <w:t xml:space="preserve">With regard to the adoption of </w:t>
      </w:r>
      <w:r w:rsidR="00FD5169">
        <w:t xml:space="preserve">secondary status for ESAA in </w:t>
      </w:r>
      <w:r>
        <w:t>footnote NG54, t</w:t>
      </w:r>
      <w:r w:rsidR="00EE58B5" w:rsidRPr="008B2F67">
        <w:t xml:space="preserve">he Commission </w:t>
      </w:r>
      <w:r w:rsidR="00ED67F6">
        <w:t xml:space="preserve">determined that the </w:t>
      </w:r>
      <w:r w:rsidR="00ED67F6">
        <w:rPr>
          <w:i/>
        </w:rPr>
        <w:t xml:space="preserve">ad hoc </w:t>
      </w:r>
      <w:r w:rsidR="00ED67F6">
        <w:t xml:space="preserve">approach toward authorizing </w:t>
      </w:r>
      <w:r w:rsidR="00ED67F6" w:rsidRPr="008B2F67">
        <w:t xml:space="preserve">ESAA </w:t>
      </w:r>
      <w:r w:rsidR="00ED67F6">
        <w:t xml:space="preserve">operations </w:t>
      </w:r>
      <w:r w:rsidR="00ED67F6" w:rsidRPr="008B2F67">
        <w:t xml:space="preserve">in the 14.0-14.5 </w:t>
      </w:r>
      <w:r w:rsidR="00ED67F6" w:rsidRPr="008B2F67">
        <w:lastRenderedPageBreak/>
        <w:t>GHz band</w:t>
      </w:r>
      <w:r w:rsidR="00ED67F6">
        <w:t xml:space="preserve"> sho</w:t>
      </w:r>
      <w:r w:rsidR="00896CFF">
        <w:t xml:space="preserve">uld be replaced with an </w:t>
      </w:r>
      <w:r w:rsidR="00ED67F6">
        <w:t>allocation.</w:t>
      </w:r>
      <w:r w:rsidR="00ED67F6">
        <w:rPr>
          <w:rStyle w:val="FootnoteReference"/>
        </w:rPr>
        <w:footnoteReference w:id="7"/>
      </w:r>
      <w:r w:rsidR="00ED67F6">
        <w:t xml:space="preserve"> </w:t>
      </w:r>
      <w:r w:rsidR="00CA3D99">
        <w:t xml:space="preserve"> T</w:t>
      </w:r>
      <w:r w:rsidR="00ED67F6">
        <w:t>he Commission concluded that there was a sufficient basis to give at least secondary status to ESAA as an application of FSS</w:t>
      </w:r>
      <w:r w:rsidR="00A83D46">
        <w:t xml:space="preserve"> in this band</w:t>
      </w:r>
      <w:r w:rsidR="00ED67F6">
        <w:t xml:space="preserve">, as it had proposed in the underlying </w:t>
      </w:r>
      <w:r w:rsidR="00ED67F6">
        <w:rPr>
          <w:i/>
        </w:rPr>
        <w:t>Notice</w:t>
      </w:r>
      <w:r w:rsidR="00ED67F6">
        <w:t>, and that the factors supporting such action could potentially justify allocating ESAA on a primary basis in this band.</w:t>
      </w:r>
      <w:r w:rsidR="00ED67F6">
        <w:rPr>
          <w:rStyle w:val="FootnoteReference"/>
        </w:rPr>
        <w:footnoteReference w:id="8"/>
      </w:r>
      <w:r w:rsidR="00ED67F6">
        <w:t xml:space="preserve">  Nevertheless, the Commission decided th</w:t>
      </w:r>
      <w:r w:rsidR="00C2463D">
        <w:t>at a primary allocation would</w:t>
      </w:r>
      <w:r w:rsidR="00ED67F6">
        <w:t xml:space="preserve"> have been “premature” at that time, observing that the </w:t>
      </w:r>
      <w:r w:rsidR="00ED67F6">
        <w:rPr>
          <w:i/>
        </w:rPr>
        <w:t xml:space="preserve">Notice </w:t>
      </w:r>
      <w:r w:rsidR="00ED67F6">
        <w:t>“[had] not specifically s[ought] comment on allocating the [ESAA] uplink to primary status, and the record, while strongly suggesting that primary status would be appropriate, [was] not sufficiently developed at th[at] time to make such an allocation.”</w:t>
      </w:r>
      <w:r w:rsidR="00ED67F6">
        <w:rPr>
          <w:rStyle w:val="FootnoteReference"/>
        </w:rPr>
        <w:footnoteReference w:id="9"/>
      </w:r>
      <w:r w:rsidR="00CA3D99">
        <w:t xml:space="preserve">  </w:t>
      </w:r>
      <w:r w:rsidR="009A5367">
        <w:t xml:space="preserve">As a result, </w:t>
      </w:r>
      <w:r w:rsidR="00DF3726">
        <w:t xml:space="preserve">the Commission decided to issue an </w:t>
      </w:r>
      <w:r w:rsidR="00CA3D99" w:rsidRPr="008B2F67">
        <w:rPr>
          <w:i/>
        </w:rPr>
        <w:t xml:space="preserve">NPRM </w:t>
      </w:r>
      <w:r w:rsidR="00DF3726">
        <w:t xml:space="preserve">along with the </w:t>
      </w:r>
      <w:r w:rsidR="00DF3726" w:rsidRPr="00CF288D">
        <w:rPr>
          <w:i/>
        </w:rPr>
        <w:t>Order</w:t>
      </w:r>
      <w:r w:rsidR="00CA3D99" w:rsidRPr="008B2F67">
        <w:t>,</w:t>
      </w:r>
      <w:r w:rsidR="00CA3D99" w:rsidRPr="008B2F67">
        <w:rPr>
          <w:i/>
        </w:rPr>
        <w:t xml:space="preserve"> </w:t>
      </w:r>
      <w:r w:rsidR="00F3667E">
        <w:t>seek</w:t>
      </w:r>
      <w:r w:rsidR="00DF3726">
        <w:t>ing</w:t>
      </w:r>
      <w:r w:rsidR="00CA3D99" w:rsidRPr="008B2F67">
        <w:t xml:space="preserve"> comment on</w:t>
      </w:r>
      <w:r w:rsidR="00CA3D99">
        <w:t xml:space="preserve"> </w:t>
      </w:r>
      <w:r w:rsidR="00CA3D99" w:rsidRPr="008B2F67">
        <w:t>its tentative conclusion to change the status of ESAA operations in the 14.0-14.5 GHz band from secondary status to primary status.</w:t>
      </w:r>
      <w:r w:rsidR="00CA3D99" w:rsidRPr="008B2F67">
        <w:rPr>
          <w:rStyle w:val="FootnoteReference"/>
        </w:rPr>
        <w:footnoteReference w:id="10"/>
      </w:r>
      <w:r w:rsidR="00CA3D99">
        <w:t xml:space="preserve">  Eight parties filed comments on the </w:t>
      </w:r>
      <w:r w:rsidR="00CA3D99" w:rsidRPr="00791511">
        <w:rPr>
          <w:i/>
        </w:rPr>
        <w:t>NPRM</w:t>
      </w:r>
      <w:r w:rsidR="00CA3D99">
        <w:t>, while no parties filed replies.</w:t>
      </w:r>
      <w:r w:rsidR="00CA3D99" w:rsidRPr="008B2F67">
        <w:rPr>
          <w:rStyle w:val="FootnoteReference"/>
        </w:rPr>
        <w:footnoteReference w:id="11"/>
      </w:r>
      <w:r w:rsidR="003133C3" w:rsidRPr="008B2F67">
        <w:t xml:space="preserve">  </w:t>
      </w:r>
    </w:p>
    <w:p w:rsidR="003605D5" w:rsidRDefault="00C11451" w:rsidP="00C3133B">
      <w:pPr>
        <w:pStyle w:val="ParaNum"/>
        <w:widowControl/>
      </w:pPr>
      <w:r>
        <w:t>In addition, the Commission</w:t>
      </w:r>
      <w:r w:rsidR="00E25759">
        <w:t xml:space="preserve"> </w:t>
      </w:r>
      <w:r w:rsidR="00904A65" w:rsidRPr="008B2F67">
        <w:t>established</w:t>
      </w:r>
      <w:r w:rsidR="00EE58B5" w:rsidRPr="008B2F67">
        <w:t xml:space="preserve"> service and licensing rules fo</w:t>
      </w:r>
      <w:r w:rsidR="00900A0F" w:rsidRPr="008B2F67">
        <w:t>r ESAA</w:t>
      </w:r>
      <w:r w:rsidR="00EE58B5" w:rsidRPr="008B2F67">
        <w:t xml:space="preserve"> </w:t>
      </w:r>
      <w:r w:rsidR="008936A0" w:rsidRPr="008B2F67">
        <w:t xml:space="preserve">operations </w:t>
      </w:r>
      <w:r w:rsidR="00EE58B5" w:rsidRPr="008B2F67">
        <w:t>ba</w:t>
      </w:r>
      <w:r w:rsidR="008936A0" w:rsidRPr="008B2F67">
        <w:t xml:space="preserve">sed </w:t>
      </w:r>
      <w:r w:rsidR="005F6FEA" w:rsidRPr="008B2F67">
        <w:t xml:space="preserve">on the rules adopted for </w:t>
      </w:r>
      <w:r w:rsidR="00C73B95">
        <w:t xml:space="preserve">the technically similar </w:t>
      </w:r>
      <w:r w:rsidR="005F6FEA" w:rsidRPr="008B2F67">
        <w:t>VSAT networks</w:t>
      </w:r>
      <w:r w:rsidR="00C73B95">
        <w:t>,</w:t>
      </w:r>
      <w:r w:rsidR="005F6FEA" w:rsidRPr="008B2F67">
        <w:t xml:space="preserve"> as well as </w:t>
      </w:r>
      <w:r w:rsidR="00C73B95">
        <w:t xml:space="preserve">other mobile FSS networks, </w:t>
      </w:r>
      <w:r w:rsidR="00C73B95" w:rsidRPr="00C73B95">
        <w:rPr>
          <w:i/>
        </w:rPr>
        <w:t>i.e.</w:t>
      </w:r>
      <w:r w:rsidR="00C73B95">
        <w:t xml:space="preserve">, </w:t>
      </w:r>
      <w:r w:rsidR="005F6FEA" w:rsidRPr="008B2F67">
        <w:t>ESV and VMES</w:t>
      </w:r>
      <w:r w:rsidR="00C73B95">
        <w:t>,</w:t>
      </w:r>
      <w:r w:rsidR="00EE58B5" w:rsidRPr="008B2F67">
        <w:t xml:space="preserve"> noting that author</w:t>
      </w:r>
      <w:r w:rsidR="00DE1298" w:rsidRPr="008B2F67">
        <w:t>izing ESAA</w:t>
      </w:r>
      <w:r w:rsidR="00EE58B5" w:rsidRPr="008B2F67">
        <w:t xml:space="preserve"> operations in the FSS Ku-band presented many technical issues tha</w:t>
      </w:r>
      <w:r w:rsidR="00EA2E31">
        <w:t xml:space="preserve">t are similar to </w:t>
      </w:r>
      <w:r w:rsidR="00681593">
        <w:t xml:space="preserve">those </w:t>
      </w:r>
      <w:r w:rsidR="00C73B95">
        <w:t>adopted for such systems.</w:t>
      </w:r>
      <w:r w:rsidR="00EE58B5" w:rsidRPr="008B2F67">
        <w:rPr>
          <w:rStyle w:val="FootnoteReference"/>
        </w:rPr>
        <w:footnoteReference w:id="12"/>
      </w:r>
      <w:r w:rsidR="003E7651" w:rsidRPr="008B2F67">
        <w:t xml:space="preserve"> </w:t>
      </w:r>
      <w:r w:rsidR="00614D1F" w:rsidRPr="008B2F67">
        <w:t xml:space="preserve"> </w:t>
      </w:r>
      <w:r w:rsidR="00EE58B5" w:rsidRPr="008B2F67">
        <w:t>As part of the</w:t>
      </w:r>
      <w:r w:rsidR="00614D1F" w:rsidRPr="008B2F67">
        <w:t xml:space="preserve"> ESAA</w:t>
      </w:r>
      <w:r w:rsidR="00E9355B" w:rsidRPr="008B2F67">
        <w:t xml:space="preserve"> service rules</w:t>
      </w:r>
      <w:r w:rsidR="00EE58B5" w:rsidRPr="008B2F67">
        <w:t>, the Commission adopted technical measures to protect other radio services in the Ku-band, in</w:t>
      </w:r>
      <w:r w:rsidR="003E670F" w:rsidRPr="008B2F67">
        <w:t>cluding the FSS and</w:t>
      </w:r>
      <w:r w:rsidR="00EE58B5" w:rsidRPr="008B2F67">
        <w:t xml:space="preserve"> FS (in the extended </w:t>
      </w:r>
      <w:r w:rsidR="00C76C23" w:rsidRPr="008B2F67">
        <w:t>Ku-band)</w:t>
      </w:r>
      <w:r w:rsidR="00E9355B" w:rsidRPr="008B2F67">
        <w:t>,</w:t>
      </w:r>
      <w:r w:rsidR="00EE58B5" w:rsidRPr="008B2F67">
        <w:t xml:space="preserve"> from harmful interference.  For example, to prote</w:t>
      </w:r>
      <w:r w:rsidR="00811219">
        <w:t>ct FSS satellites operating adjacent to</w:t>
      </w:r>
      <w:r w:rsidR="00EE58B5" w:rsidRPr="008B2F67">
        <w:t xml:space="preserve"> the target satellite</w:t>
      </w:r>
      <w:r w:rsidR="00614D1F" w:rsidRPr="008B2F67">
        <w:t xml:space="preserve"> of a</w:t>
      </w:r>
      <w:r w:rsidR="00E9355B" w:rsidRPr="008B2F67">
        <w:t>n</w:t>
      </w:r>
      <w:r w:rsidR="00614D1F" w:rsidRPr="008B2F67">
        <w:t xml:space="preserve"> ESAA</w:t>
      </w:r>
      <w:r w:rsidR="00EE58B5" w:rsidRPr="008B2F67">
        <w:t xml:space="preserve"> earth station, the Commission adopted: (1) off-axis EIRP-density limits,</w:t>
      </w:r>
      <w:r w:rsidR="00EE58B5" w:rsidRPr="008B2F67">
        <w:rPr>
          <w:rStyle w:val="FootnoteReference"/>
        </w:rPr>
        <w:footnoteReference w:id="13"/>
      </w:r>
      <w:r w:rsidR="00EE58B5" w:rsidRPr="008B2F67">
        <w:t xml:space="preserve"> </w:t>
      </w:r>
      <w:r w:rsidR="00811219">
        <w:t>which limit</w:t>
      </w:r>
      <w:r w:rsidR="001509BB">
        <w:t xml:space="preserve"> </w:t>
      </w:r>
      <w:r w:rsidR="00085CB6">
        <w:t>the power-density in directions away from the line connecting the focal point of the ESAA antenna to the orbital location of the target satellite</w:t>
      </w:r>
      <w:r w:rsidR="004B6EC8">
        <w:t>,</w:t>
      </w:r>
      <w:r w:rsidR="00EE58B5" w:rsidRPr="008B2F67">
        <w:t xml:space="preserve"> and (2) antenna pointing error </w:t>
      </w:r>
      <w:r w:rsidR="00D1091A">
        <w:t xml:space="preserve">limitations and shut-off </w:t>
      </w:r>
      <w:r w:rsidR="00EE58B5" w:rsidRPr="008B2F67">
        <w:t>requirements.</w:t>
      </w:r>
      <w:r w:rsidR="00EE58B5" w:rsidRPr="008B2F67">
        <w:rPr>
          <w:rStyle w:val="FootnoteReference"/>
        </w:rPr>
        <w:footnoteReference w:id="14"/>
      </w:r>
      <w:r w:rsidR="00EE58B5" w:rsidRPr="008B2F67">
        <w:t xml:space="preserve"> </w:t>
      </w:r>
      <w:r w:rsidR="00E71FB9" w:rsidRPr="008B2F67">
        <w:t xml:space="preserve"> </w:t>
      </w:r>
      <w:r w:rsidR="00EE58B5" w:rsidRPr="008B2F67">
        <w:t xml:space="preserve">Further, the Commission established rules for </w:t>
      </w:r>
      <w:r w:rsidR="00E71FB9" w:rsidRPr="008B2F67">
        <w:t>licensing ESAA</w:t>
      </w:r>
      <w:r w:rsidR="00207FA9" w:rsidRPr="008B2F67">
        <w:t xml:space="preserve"> systems, </w:t>
      </w:r>
      <w:r w:rsidR="00464862">
        <w:t xml:space="preserve">providing </w:t>
      </w:r>
      <w:r w:rsidR="00207FA9" w:rsidRPr="008B2F67">
        <w:t xml:space="preserve">ESAA applicants </w:t>
      </w:r>
      <w:r w:rsidR="00464862">
        <w:t xml:space="preserve">the option </w:t>
      </w:r>
      <w:r w:rsidR="00207FA9" w:rsidRPr="008B2F67">
        <w:t xml:space="preserve">to choose between individual and </w:t>
      </w:r>
      <w:r w:rsidR="001A6381" w:rsidRPr="008B2F67">
        <w:t>blanket l</w:t>
      </w:r>
      <w:r w:rsidR="005D0A7D" w:rsidRPr="008B2F67">
        <w:t>icen</w:t>
      </w:r>
      <w:r w:rsidR="00A66B38" w:rsidRPr="008B2F67">
        <w:t>s</w:t>
      </w:r>
      <w:r w:rsidR="00B7642D" w:rsidRPr="008B2F67">
        <w:t>ing and allowing ESAA systems</w:t>
      </w:r>
      <w:r w:rsidR="000459F6">
        <w:t xml:space="preserve"> to designate the</w:t>
      </w:r>
      <w:r w:rsidR="00F50F97" w:rsidRPr="008B2F67">
        <w:t xml:space="preserve"> </w:t>
      </w:r>
      <w:r w:rsidR="001A6381" w:rsidRPr="008B2F67">
        <w:t>Permi</w:t>
      </w:r>
      <w:r w:rsidR="00DE277A">
        <w:t>tted List as the point of communication</w:t>
      </w:r>
      <w:r w:rsidR="005D5DB2" w:rsidRPr="008B2F67">
        <w:rPr>
          <w:rStyle w:val="FootnoteReference"/>
        </w:rPr>
        <w:footnoteReference w:id="15"/>
      </w:r>
      <w:r w:rsidR="00472F83">
        <w:t xml:space="preserve"> if the ESAA</w:t>
      </w:r>
      <w:r w:rsidR="00A66B38" w:rsidRPr="008B2F67">
        <w:t xml:space="preserve"> </w:t>
      </w:r>
      <w:r w:rsidR="002336B0">
        <w:t>operator</w:t>
      </w:r>
      <w:r w:rsidR="00472F83">
        <w:t>s</w:t>
      </w:r>
      <w:r w:rsidR="002336B0">
        <w:t xml:space="preserve"> comply with</w:t>
      </w:r>
      <w:r w:rsidR="001A6381" w:rsidRPr="008B2F67">
        <w:t xml:space="preserve"> the off-axis EIRP</w:t>
      </w:r>
      <w:r w:rsidR="006E654B" w:rsidRPr="008B2F67">
        <w:t>-density limits</w:t>
      </w:r>
      <w:r w:rsidR="00EE58B5" w:rsidRPr="008B2F67">
        <w:t>.</w:t>
      </w:r>
      <w:r w:rsidR="00EE58B5" w:rsidRPr="008B2F67">
        <w:rPr>
          <w:rStyle w:val="FootnoteReference"/>
        </w:rPr>
        <w:footnoteReference w:id="16"/>
      </w:r>
      <w:r w:rsidR="002267E2" w:rsidRPr="008B2F67">
        <w:t xml:space="preserve">  The Commission also adopted a regulatory framework for ESAA systems on U.S.-registered </w:t>
      </w:r>
      <w:r w:rsidR="00AC05C0" w:rsidRPr="008B2F67">
        <w:t xml:space="preserve">aircraft </w:t>
      </w:r>
      <w:r w:rsidR="00863541" w:rsidRPr="008B2F67">
        <w:t xml:space="preserve">operating in or near foreign nations and over international waters and </w:t>
      </w:r>
      <w:r w:rsidR="002267E2" w:rsidRPr="008B2F67">
        <w:t>non-U.S.-registered aircraft</w:t>
      </w:r>
      <w:r w:rsidR="00863541" w:rsidRPr="008B2F67">
        <w:t xml:space="preserve"> operating in U.S. airspace</w:t>
      </w:r>
      <w:r w:rsidR="002267E2" w:rsidRPr="008B2F67">
        <w:t>.</w:t>
      </w:r>
      <w:r w:rsidR="00697213" w:rsidRPr="008B2F67">
        <w:rPr>
          <w:rStyle w:val="FootnoteReference"/>
        </w:rPr>
        <w:footnoteReference w:id="17"/>
      </w:r>
    </w:p>
    <w:p w:rsidR="00357391" w:rsidRPr="008B2F67" w:rsidRDefault="003605D5">
      <w:pPr>
        <w:pStyle w:val="ParaNum"/>
      </w:pPr>
      <w:r>
        <w:rPr>
          <w:i/>
        </w:rPr>
        <w:t>Boeing Petition</w:t>
      </w:r>
      <w:r w:rsidR="005D6436">
        <w:rPr>
          <w:i/>
        </w:rPr>
        <w:t xml:space="preserve"> for Reconsideration</w:t>
      </w:r>
      <w:r>
        <w:rPr>
          <w:i/>
        </w:rPr>
        <w:t xml:space="preserve">.  </w:t>
      </w:r>
      <w:r w:rsidR="00690A45" w:rsidRPr="008B2F67">
        <w:t>On January 28, 2013</w:t>
      </w:r>
      <w:r w:rsidR="00EE58B5" w:rsidRPr="008B2F67">
        <w:t>, Boeing filed a Peti</w:t>
      </w:r>
      <w:r w:rsidR="00690A45" w:rsidRPr="008B2F67">
        <w:t>tion for Reconsideration</w:t>
      </w:r>
      <w:r w:rsidR="005D6436">
        <w:t xml:space="preserve"> of </w:t>
      </w:r>
      <w:r w:rsidR="00143159">
        <w:t xml:space="preserve">the </w:t>
      </w:r>
      <w:r w:rsidR="005D6436">
        <w:rPr>
          <w:i/>
        </w:rPr>
        <w:t>ESAA NPRM &amp; Order</w:t>
      </w:r>
      <w:r w:rsidR="00791511">
        <w:t>,</w:t>
      </w:r>
      <w:r w:rsidR="00EE58B5" w:rsidRPr="00791511">
        <w:rPr>
          <w:i/>
        </w:rPr>
        <w:t xml:space="preserve"> </w:t>
      </w:r>
      <w:r w:rsidR="00EE58B5" w:rsidRPr="008B2F67">
        <w:t xml:space="preserve">requesting that the Commission </w:t>
      </w:r>
      <w:r w:rsidR="00120BD7" w:rsidRPr="008B2F67">
        <w:t xml:space="preserve">clarify and </w:t>
      </w:r>
      <w:r w:rsidR="0034532D" w:rsidRPr="008B2F67">
        <w:t xml:space="preserve">modify certain </w:t>
      </w:r>
      <w:r w:rsidR="00EE58B5" w:rsidRPr="008B2F67">
        <w:t>rules</w:t>
      </w:r>
      <w:r w:rsidR="005D6436">
        <w:t xml:space="preserve"> adopted</w:t>
      </w:r>
      <w:r w:rsidR="00EE58B5" w:rsidRPr="008B2F67">
        <w:t xml:space="preserve"> for </w:t>
      </w:r>
      <w:r w:rsidR="00690A45" w:rsidRPr="008B2F67">
        <w:t>ESAA</w:t>
      </w:r>
      <w:r w:rsidR="00EE58B5" w:rsidRPr="008B2F67">
        <w:t xml:space="preserve"> systems.</w:t>
      </w:r>
      <w:r w:rsidR="00EE58B5" w:rsidRPr="008B2F67">
        <w:rPr>
          <w:rStyle w:val="FootnoteReference"/>
        </w:rPr>
        <w:footnoteReference w:id="18"/>
      </w:r>
      <w:r w:rsidR="00EE58B5" w:rsidRPr="008B2F67">
        <w:t xml:space="preserve">  </w:t>
      </w:r>
      <w:r w:rsidR="00DF26D8" w:rsidRPr="008B2F67">
        <w:t>On June 24</w:t>
      </w:r>
      <w:r w:rsidR="00187B49" w:rsidRPr="008B2F67">
        <w:t>, 2013</w:t>
      </w:r>
      <w:r w:rsidR="003624F5" w:rsidRPr="008B2F67">
        <w:t>, ViaSat</w:t>
      </w:r>
      <w:r w:rsidR="00244C67" w:rsidRPr="008B2F67">
        <w:t xml:space="preserve"> filed comments</w:t>
      </w:r>
      <w:r w:rsidR="00791511">
        <w:t xml:space="preserve"> on the Boeing P</w:t>
      </w:r>
      <w:r w:rsidR="00187B49" w:rsidRPr="008B2F67">
        <w:t>etition</w:t>
      </w:r>
      <w:r w:rsidR="00EE58B5" w:rsidRPr="008B2F67">
        <w:t>.</w:t>
      </w:r>
      <w:r w:rsidR="00EE58B5" w:rsidRPr="008B2F67">
        <w:rPr>
          <w:rStyle w:val="FootnoteReference"/>
        </w:rPr>
        <w:footnoteReference w:id="19"/>
      </w:r>
      <w:r w:rsidR="00157D7C" w:rsidRPr="008B2F67">
        <w:t xml:space="preserve">  Boeing did not file</w:t>
      </w:r>
      <w:r w:rsidR="007574E4" w:rsidRPr="008B2F67">
        <w:t xml:space="preserve"> a reply to ViaSat’s comments</w:t>
      </w:r>
      <w:r w:rsidR="00EE58B5" w:rsidRPr="008B2F67">
        <w:t>.</w:t>
      </w:r>
    </w:p>
    <w:p w:rsidR="00E158A6" w:rsidRDefault="00A32BD6" w:rsidP="00C3133B">
      <w:pPr>
        <w:pStyle w:val="Heading1"/>
      </w:pPr>
      <w:bookmarkStart w:id="66" w:name="_Toc362618076"/>
      <w:bookmarkStart w:id="67" w:name="_Toc362618119"/>
      <w:bookmarkStart w:id="68" w:name="_Toc362961099"/>
      <w:bookmarkStart w:id="69" w:name="_Toc364432480"/>
      <w:bookmarkStart w:id="70" w:name="_Toc364673957"/>
      <w:bookmarkStart w:id="71" w:name="_Toc365015452"/>
      <w:bookmarkStart w:id="72" w:name="_Toc374538713"/>
      <w:bookmarkStart w:id="73" w:name="_Toc376787509"/>
      <w:bookmarkStart w:id="74" w:name="_Toc379959722"/>
      <w:bookmarkStart w:id="75" w:name="_Toc379959869"/>
      <w:bookmarkStart w:id="76" w:name="_Toc379982289"/>
      <w:bookmarkStart w:id="77" w:name="_Toc380656022"/>
      <w:bookmarkStart w:id="78" w:name="_Toc380661557"/>
      <w:bookmarkStart w:id="79" w:name="_Toc383443114"/>
      <w:bookmarkStart w:id="80" w:name="_Toc383680121"/>
      <w:bookmarkStart w:id="81" w:name="_Toc383701094"/>
      <w:bookmarkStart w:id="82" w:name="_Toc361752997"/>
      <w:bookmarkStart w:id="83" w:name="_Toc361753264"/>
      <w:bookmarkStart w:id="84" w:name="_Toc361990959"/>
      <w:r w:rsidRPr="008B2F67">
        <w:t xml:space="preserve">SECOND </w:t>
      </w:r>
      <w:r w:rsidR="00E158A6" w:rsidRPr="008B2F67">
        <w:t>Report and order</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8B78BD" w:rsidRPr="008B78BD" w:rsidRDefault="00BA307C" w:rsidP="000F55B9">
      <w:pPr>
        <w:pStyle w:val="Heading2"/>
        <w:widowControl/>
      </w:pPr>
      <w:bookmarkStart w:id="85" w:name="_Toc379982290"/>
      <w:bookmarkStart w:id="86" w:name="_Toc380656023"/>
      <w:bookmarkStart w:id="87" w:name="_Toc380661558"/>
      <w:bookmarkStart w:id="88" w:name="_Toc383443115"/>
      <w:bookmarkStart w:id="89" w:name="_Toc383680122"/>
      <w:bookmarkStart w:id="90" w:name="_Toc383701095"/>
      <w:r>
        <w:t>14</w:t>
      </w:r>
      <w:r w:rsidR="00C73B95">
        <w:t>.0</w:t>
      </w:r>
      <w:r>
        <w:t>-14.5 GHz Band</w:t>
      </w:r>
      <w:bookmarkEnd w:id="85"/>
      <w:bookmarkEnd w:id="86"/>
      <w:bookmarkEnd w:id="87"/>
      <w:bookmarkEnd w:id="88"/>
      <w:bookmarkEnd w:id="89"/>
      <w:bookmarkEnd w:id="90"/>
    </w:p>
    <w:p w:rsidR="00E158A6" w:rsidRPr="008B2F67" w:rsidRDefault="00D54AC4" w:rsidP="00C3133B">
      <w:pPr>
        <w:pStyle w:val="ParaNum"/>
      </w:pPr>
      <w:r w:rsidRPr="00D54AC4">
        <w:rPr>
          <w:i/>
        </w:rPr>
        <w:t>Background.</w:t>
      </w:r>
      <w:r>
        <w:t xml:space="preserve">  </w:t>
      </w:r>
      <w:r w:rsidR="00E158A6" w:rsidRPr="008B2F67">
        <w:t xml:space="preserve">In the </w:t>
      </w:r>
      <w:r w:rsidR="00E158A6" w:rsidRPr="008B2F67">
        <w:rPr>
          <w:i/>
        </w:rPr>
        <w:t>ESAA NPRM &amp; Order</w:t>
      </w:r>
      <w:r w:rsidR="00E158A6" w:rsidRPr="008B2F67">
        <w:t>, the Commission tentativ</w:t>
      </w:r>
      <w:r w:rsidR="001153F5">
        <w:t xml:space="preserve">ely concluded that ESAA </w:t>
      </w:r>
      <w:r w:rsidR="00E158A6" w:rsidRPr="008B2F67">
        <w:t>should be authorized on a primary basis in the 14.0-14.5 GHz uplink band, noting that several parties had argued that regulator</w:t>
      </w:r>
      <w:r w:rsidR="001153F5">
        <w:t xml:space="preserve">y parity calls for ESAA </w:t>
      </w:r>
      <w:r w:rsidR="00E158A6" w:rsidRPr="008B2F67">
        <w:t>to be primary,</w:t>
      </w:r>
      <w:r w:rsidR="001153F5">
        <w:t xml:space="preserve"> just like ESV and VMES</w:t>
      </w:r>
      <w:r w:rsidR="00E158A6" w:rsidRPr="008B2F67">
        <w:t xml:space="preserve"> are primary in that band.</w:t>
      </w:r>
      <w:r w:rsidR="00E158A6" w:rsidRPr="008B2F67">
        <w:rPr>
          <w:rStyle w:val="FootnoteReference"/>
        </w:rPr>
        <w:footnoteReference w:id="20"/>
      </w:r>
      <w:r w:rsidR="00E158A6" w:rsidRPr="008B2F67">
        <w:t xml:space="preserve">  The Commission proposed to revise footnote NG55 which would grant primary status to ESAA in the 14.0-14.5 GHz band, and, as an administrative matter, combine ESV, VMES and ESAA into the same footnote as applications of the FSS with primary status in the 11.7-12.2 GHz and 14.0-14.5 GHz bands.</w:t>
      </w:r>
      <w:r w:rsidR="00E158A6" w:rsidRPr="008B2F67">
        <w:rPr>
          <w:rStyle w:val="FootnoteReference"/>
        </w:rPr>
        <w:footnoteReference w:id="21"/>
      </w:r>
      <w:r w:rsidR="00E158A6" w:rsidRPr="008B2F67">
        <w:t xml:space="preserve">  As a result, footnotes NG54 (allocation status for ESAA in the 14</w:t>
      </w:r>
      <w:r w:rsidR="0000650A">
        <w:t>.0</w:t>
      </w:r>
      <w:r w:rsidR="00E158A6" w:rsidRPr="008B2F67">
        <w:t>-14.5 GHz band), NG183 (allocation status for ESVs), and NG187 (allocation status for VMES) would be removed.  The proposed footnote NG55 reads as follows:</w:t>
      </w:r>
    </w:p>
    <w:p w:rsidR="00E158A6" w:rsidRPr="008B2F67" w:rsidRDefault="00E158A6" w:rsidP="00C3133B">
      <w:pPr>
        <w:pStyle w:val="ParaNum"/>
        <w:numPr>
          <w:ilvl w:val="0"/>
          <w:numId w:val="0"/>
        </w:numPr>
        <w:ind w:left="720"/>
      </w:pPr>
      <w:r w:rsidRPr="008B2F67">
        <w:t>NG55  In the bands 11.7-12.2 GHz (space-to-Earth) and 14</w:t>
      </w:r>
      <w:r w:rsidR="00DB114D">
        <w:t>.0</w:t>
      </w:r>
      <w:r w:rsidRPr="008B2F67">
        <w:t>-14.5 GHz (Earth-to-space), Earth Stations on Vessels (ESV), Vehicle-Mounted Earth Stations (VMES), and Earth Stations Aboard Aircraft (ESAA) as regulated under 47 CFR part 25 are applications of the fixed-satellite service and may be authorized to communicate with geostationary satellites in the fixed-satellite service on a primary basis.</w:t>
      </w:r>
    </w:p>
    <w:p w:rsidR="00E158A6" w:rsidRPr="008B2F67" w:rsidRDefault="00E158A6" w:rsidP="00C3133B">
      <w:pPr>
        <w:pStyle w:val="ParaNum"/>
      </w:pPr>
      <w:r w:rsidRPr="008B2F67">
        <w:t>All commenters filed in supp</w:t>
      </w:r>
      <w:r w:rsidR="00C07F42">
        <w:t>ort of the Commission’s</w:t>
      </w:r>
      <w:r w:rsidRPr="008B2F67">
        <w:t xml:space="preserve"> proposed footnote NG55 and the tentative con</w:t>
      </w:r>
      <w:r w:rsidR="001153F5">
        <w:t xml:space="preserve">clusion to elevate ESAA </w:t>
      </w:r>
      <w:r w:rsidRPr="008B2F67">
        <w:t>to primary status</w:t>
      </w:r>
      <w:r w:rsidR="00405F1F" w:rsidRPr="008B2F67">
        <w:t xml:space="preserve"> in the 14.0-14.5 GHz band.  N</w:t>
      </w:r>
      <w:r w:rsidR="00C75DDB">
        <w:t>one of the commenters argue</w:t>
      </w:r>
      <w:r w:rsidRPr="008B2F67">
        <w:t xml:space="preserve"> for changes to the technical rules in order to elevate ESAA to primary status.</w:t>
      </w:r>
      <w:r w:rsidRPr="008B2F67">
        <w:rPr>
          <w:rStyle w:val="FootnoteReference"/>
        </w:rPr>
        <w:footnoteReference w:id="22"/>
      </w:r>
      <w:r w:rsidRPr="008B2F67">
        <w:t xml:space="preserve">  </w:t>
      </w:r>
      <w:r w:rsidR="00405F1F" w:rsidRPr="0082579E">
        <w:t>Some of the</w:t>
      </w:r>
      <w:r w:rsidRPr="008B2F67">
        <w:rPr>
          <w:b/>
        </w:rPr>
        <w:t xml:space="preserve"> </w:t>
      </w:r>
      <w:r w:rsidR="0082579E">
        <w:t>c</w:t>
      </w:r>
      <w:r w:rsidRPr="008B2F67">
        <w:t xml:space="preserve">ommenters argue that the Commission should grant </w:t>
      </w:r>
      <w:r w:rsidR="001153F5">
        <w:t xml:space="preserve">primary status for ESAA </w:t>
      </w:r>
      <w:r w:rsidRPr="008B2F67">
        <w:t xml:space="preserve">before new services are allocated in the 14.0-14.5 GHz band, citing, in particular, the recent </w:t>
      </w:r>
      <w:r w:rsidRPr="008B2F67">
        <w:rPr>
          <w:i/>
        </w:rPr>
        <w:t>Air-Ground</w:t>
      </w:r>
      <w:r w:rsidRPr="008B2F67">
        <w:t xml:space="preserve"> </w:t>
      </w:r>
      <w:r w:rsidRPr="008B2F67">
        <w:rPr>
          <w:i/>
        </w:rPr>
        <w:t>NPRM</w:t>
      </w:r>
      <w:r w:rsidRPr="008B2F67">
        <w:t>,</w:t>
      </w:r>
      <w:r w:rsidRPr="008B2F67">
        <w:rPr>
          <w:rStyle w:val="FootnoteReference"/>
        </w:rPr>
        <w:footnoteReference w:id="23"/>
      </w:r>
      <w:r w:rsidRPr="008B2F67">
        <w:t xml:space="preserve"> which seeks comment on establishing a new, terrestrial-based air-ground mobile broadband service for aircraft in that band.</w:t>
      </w:r>
      <w:r w:rsidRPr="008B2F67">
        <w:rPr>
          <w:rStyle w:val="FootnoteReference"/>
        </w:rPr>
        <w:footnoteReference w:id="24"/>
      </w:r>
      <w:r w:rsidRPr="008B2F67">
        <w:t xml:space="preserve"> </w:t>
      </w:r>
      <w:r w:rsidRPr="008B2F67">
        <w:rPr>
          <w:b/>
        </w:rPr>
        <w:t xml:space="preserve"> </w:t>
      </w:r>
      <w:r w:rsidR="00DA04B7">
        <w:t>Boeing argues</w:t>
      </w:r>
      <w:r w:rsidR="00A92181">
        <w:t xml:space="preserve"> that</w:t>
      </w:r>
      <w:r w:rsidR="00DA04B7" w:rsidRPr="008B2F67">
        <w:rPr>
          <w:b/>
        </w:rPr>
        <w:t xml:space="preserve"> </w:t>
      </w:r>
      <w:r w:rsidR="00DA04B7">
        <w:t>e</w:t>
      </w:r>
      <w:r w:rsidR="00DA04B7" w:rsidRPr="008B2F67">
        <w:t>levating ESAA to primary status would promote reli</w:t>
      </w:r>
      <w:r w:rsidR="00DA04B7">
        <w:t>ability in ESAA service, which c</w:t>
      </w:r>
      <w:r w:rsidR="00DA04B7" w:rsidRPr="008B2F67">
        <w:t>ould lead to efficiency gains for the airline industry.</w:t>
      </w:r>
      <w:r w:rsidR="00DA04B7">
        <w:rPr>
          <w:rStyle w:val="FootnoteReference"/>
        </w:rPr>
        <w:footnoteReference w:id="25"/>
      </w:r>
      <w:r w:rsidR="00DA04B7" w:rsidRPr="008B2F67">
        <w:t xml:space="preserve">  </w:t>
      </w:r>
      <w:r w:rsidR="00A92181">
        <w:t>According to Boeing, r</w:t>
      </w:r>
      <w:r w:rsidR="00DA04B7" w:rsidRPr="008B2F67">
        <w:t xml:space="preserve">eliable ESAA service would assist airlines in consolidating the </w:t>
      </w:r>
      <w:r w:rsidR="00184724">
        <w:t xml:space="preserve">multiple </w:t>
      </w:r>
      <w:r w:rsidR="00DA04B7" w:rsidRPr="008B2F67">
        <w:t xml:space="preserve">data </w:t>
      </w:r>
      <w:r w:rsidR="00184724">
        <w:t xml:space="preserve">streams </w:t>
      </w:r>
      <w:r w:rsidR="00DA04B7" w:rsidRPr="008B2F67">
        <w:t xml:space="preserve">that </w:t>
      </w:r>
      <w:r w:rsidR="00604DCA">
        <w:t xml:space="preserve">they </w:t>
      </w:r>
      <w:r w:rsidR="00DA04B7" w:rsidRPr="008B2F67">
        <w:t xml:space="preserve">currently </w:t>
      </w:r>
      <w:r w:rsidR="00604DCA">
        <w:t>receive</w:t>
      </w:r>
      <w:r w:rsidR="00DA04B7" w:rsidRPr="008B2F67">
        <w:t xml:space="preserve"> from multiple communications systems</w:t>
      </w:r>
      <w:r w:rsidR="00DA04B7" w:rsidRPr="008B2F67">
        <w:rPr>
          <w:rStyle w:val="FootnoteReference"/>
        </w:rPr>
        <w:footnoteReference w:id="26"/>
      </w:r>
      <w:r w:rsidR="00DA04B7" w:rsidRPr="008B2F67">
        <w:t xml:space="preserve"> as well as</w:t>
      </w:r>
      <w:r w:rsidR="00DA04B7">
        <w:t xml:space="preserve"> help to</w:t>
      </w:r>
      <w:r w:rsidR="00DA04B7" w:rsidRPr="008B2F67">
        <w:t xml:space="preserve"> monitor, in real-time, equipment and inventories, which could lead to quicker turn-around of aircraft at the gate.</w:t>
      </w:r>
      <w:r w:rsidR="00DA04B7" w:rsidRPr="008B2F67">
        <w:rPr>
          <w:rStyle w:val="FootnoteReference"/>
        </w:rPr>
        <w:footnoteReference w:id="27"/>
      </w:r>
      <w:r w:rsidR="0041088A">
        <w:t xml:space="preserve"> </w:t>
      </w:r>
      <w:r w:rsidR="00DA04B7" w:rsidRPr="008B2F67">
        <w:t xml:space="preserve"> </w:t>
      </w:r>
      <w:r w:rsidR="002F66AB">
        <w:t>Global VSAT Forum (</w:t>
      </w:r>
      <w:r w:rsidR="00EE1455">
        <w:t>GVF</w:t>
      </w:r>
      <w:r w:rsidR="002F66AB">
        <w:t>)</w:t>
      </w:r>
      <w:r w:rsidR="00EE1455">
        <w:t xml:space="preserve"> </w:t>
      </w:r>
      <w:r w:rsidR="00EE1455" w:rsidRPr="001627FE">
        <w:rPr>
          <w:rFonts w:cs="Calibri"/>
          <w:szCs w:val="30"/>
        </w:rPr>
        <w:t>claim</w:t>
      </w:r>
      <w:r w:rsidR="00EE1455">
        <w:rPr>
          <w:rFonts w:cs="Calibri"/>
          <w:szCs w:val="30"/>
        </w:rPr>
        <w:t>s</w:t>
      </w:r>
      <w:r w:rsidR="00EE1455" w:rsidRPr="001627FE">
        <w:rPr>
          <w:rFonts w:cs="Calibri"/>
          <w:szCs w:val="30"/>
        </w:rPr>
        <w:t xml:space="preserve"> that the Commission’s rules for ESAA could serve as a model for rules adopted by other administrations, which in turn could promote U.S. competitiveness because U.S. manufacturers, airlines and satellite service providers are major participants in</w:t>
      </w:r>
      <w:r w:rsidR="00EE1455">
        <w:rPr>
          <w:rFonts w:cs="Calibri"/>
          <w:szCs w:val="30"/>
        </w:rPr>
        <w:t xml:space="preserve"> the in-flight broadband market</w:t>
      </w:r>
      <w:r w:rsidR="00EE1455" w:rsidRPr="001627FE">
        <w:rPr>
          <w:rFonts w:cs="Calibri"/>
          <w:szCs w:val="30"/>
        </w:rPr>
        <w:t>.</w:t>
      </w:r>
      <w:r w:rsidR="00EE1455">
        <w:rPr>
          <w:rStyle w:val="FootnoteReference"/>
          <w:rFonts w:cs="Calibri"/>
          <w:szCs w:val="30"/>
        </w:rPr>
        <w:footnoteReference w:id="28"/>
      </w:r>
      <w:r w:rsidR="00EE1455" w:rsidRPr="001627FE">
        <w:rPr>
          <w:rFonts w:cs="Calibri"/>
          <w:szCs w:val="30"/>
        </w:rPr>
        <w:t> </w:t>
      </w:r>
    </w:p>
    <w:p w:rsidR="0090093F" w:rsidRDefault="00E158A6">
      <w:pPr>
        <w:pStyle w:val="ParaNum"/>
      </w:pPr>
      <w:r w:rsidRPr="008B2F67">
        <w:rPr>
          <w:i/>
        </w:rPr>
        <w:t>Discussion</w:t>
      </w:r>
      <w:r w:rsidRPr="008B2F67">
        <w:t>.  Today we grant primary status for ESAA in the 14.0-14.5 GHz band</w:t>
      </w:r>
      <w:r w:rsidR="00D54AC4">
        <w:t>, as the Commission proposed in the</w:t>
      </w:r>
      <w:r w:rsidR="00D54AC4" w:rsidRPr="00D54AC4">
        <w:rPr>
          <w:i/>
        </w:rPr>
        <w:t xml:space="preserve"> </w:t>
      </w:r>
      <w:r w:rsidR="00D54AC4" w:rsidRPr="008B2F67">
        <w:rPr>
          <w:i/>
        </w:rPr>
        <w:t>ESAA NPRM &amp; Order</w:t>
      </w:r>
      <w:r w:rsidR="00D54AC4">
        <w:t>.  To this end, we revise footnot</w:t>
      </w:r>
      <w:r w:rsidR="00324DC3">
        <w:t>e NG55 of the Table of</w:t>
      </w:r>
      <w:r w:rsidR="00D54AC4">
        <w:t xml:space="preserve"> Allocations, 47 C.F.R. § 2.106, by adding an authorization for ESAA to operate in this band on a primary basis.  In addition, we consolidate, under the same footnote, ESV, VMES and ESAA, and authorize operations on a primary basis for all three applications in </w:t>
      </w:r>
      <w:r w:rsidR="00D54AC4" w:rsidRPr="00E86836">
        <w:t>the 11.7-12.2 GHz and 14.0-14.5 GHz bands</w:t>
      </w:r>
      <w:r w:rsidR="0066701B">
        <w:t>.</w:t>
      </w:r>
      <w:r w:rsidRPr="008B2F67">
        <w:t xml:space="preserve">  We agree with many of the reasons that the commenters raise for granting primary status.  In particular, we agree with commenters arguing that regulato</w:t>
      </w:r>
      <w:r w:rsidR="00ED627B">
        <w:t>ry parity calls for ESAA</w:t>
      </w:r>
      <w:r w:rsidRPr="008B2F67">
        <w:t xml:space="preserve"> to be on equal fo</w:t>
      </w:r>
      <w:r w:rsidR="00ED627B">
        <w:t>oting with ESV and VMES</w:t>
      </w:r>
      <w:r w:rsidRPr="008B2F67">
        <w:t>, both of which have primary status and both of which are technically and operationally similar to ESAA.</w:t>
      </w:r>
      <w:r w:rsidRPr="008B2F67">
        <w:rPr>
          <w:rStyle w:val="FootnoteReference"/>
        </w:rPr>
        <w:footnoteReference w:id="29"/>
      </w:r>
      <w:r w:rsidRPr="008B2F67">
        <w:t xml:space="preserve"> </w:t>
      </w:r>
      <w:r w:rsidR="00BE5D8B">
        <w:t xml:space="preserve"> </w:t>
      </w:r>
      <w:r w:rsidRPr="008B2F67">
        <w:t xml:space="preserve">As we noted in the </w:t>
      </w:r>
      <w:r w:rsidRPr="008B2F67">
        <w:rPr>
          <w:i/>
        </w:rPr>
        <w:t>ESAA NPRM &amp; Order</w:t>
      </w:r>
      <w:r w:rsidR="00AB6465">
        <w:t>,</w:t>
      </w:r>
      <w:r w:rsidRPr="008B2F67">
        <w:t xml:space="preserve"> and, as commenters point out, primary status i</w:t>
      </w:r>
      <w:r w:rsidR="00704A7B">
        <w:t>s justified because ESAA</w:t>
      </w:r>
      <w:r w:rsidRPr="008B2F67">
        <w:t xml:space="preserve"> has a long history of</w:t>
      </w:r>
      <w:r w:rsidR="00E17BEB">
        <w:t xml:space="preserve"> operating without causing interference to</w:t>
      </w:r>
      <w:r w:rsidR="00155BA3">
        <w:t xml:space="preserve"> other FSS providers</w:t>
      </w:r>
      <w:r w:rsidRPr="008B2F67">
        <w:t>.</w:t>
      </w:r>
      <w:r w:rsidRPr="008B2F67">
        <w:rPr>
          <w:rStyle w:val="FootnoteReference"/>
        </w:rPr>
        <w:footnoteReference w:id="30"/>
      </w:r>
      <w:r w:rsidRPr="008B2F67">
        <w:t xml:space="preserve"> </w:t>
      </w:r>
      <w:r w:rsidR="004619D5">
        <w:t xml:space="preserve"> </w:t>
      </w:r>
      <w:r w:rsidRPr="008B2F67">
        <w:t>We also agree with commenters contending that primary status would promote regulatory and operational certainty, which, in turn, would help services being offered in this band to continue to grow and improve.</w:t>
      </w:r>
      <w:r w:rsidRPr="008B2F67">
        <w:rPr>
          <w:rStyle w:val="FootnoteReference"/>
        </w:rPr>
        <w:footnoteReference w:id="31"/>
      </w:r>
      <w:r w:rsidRPr="008B2F67">
        <w:t xml:space="preserve">  Accordingly, in section 2.106, we revise f</w:t>
      </w:r>
      <w:r w:rsidR="00D35B25" w:rsidRPr="008B2F67">
        <w:t>ootnote NG55</w:t>
      </w:r>
      <w:r w:rsidRPr="008B2F67">
        <w:t xml:space="preserve"> and remove </w:t>
      </w:r>
      <w:r w:rsidRPr="003625D3">
        <w:t>footnotes NG54, NG183, and NG187.</w:t>
      </w:r>
    </w:p>
    <w:p w:rsidR="00E158A6" w:rsidRPr="0090093F" w:rsidRDefault="00484020">
      <w:pPr>
        <w:pStyle w:val="ParaNum"/>
      </w:pPr>
      <w:r>
        <w:rPr>
          <w:snapToGrid/>
        </w:rPr>
        <w:t xml:space="preserve">By granting </w:t>
      </w:r>
      <w:r w:rsidR="0090093F">
        <w:rPr>
          <w:snapToGrid/>
        </w:rPr>
        <w:t>primary status to ESAA in the</w:t>
      </w:r>
      <w:r>
        <w:rPr>
          <w:snapToGrid/>
        </w:rPr>
        <w:t xml:space="preserve"> 14.0-14.5 GHz band</w:t>
      </w:r>
      <w:r w:rsidR="0090093F">
        <w:rPr>
          <w:snapToGrid/>
        </w:rPr>
        <w:t xml:space="preserve">, </w:t>
      </w:r>
      <w:r>
        <w:rPr>
          <w:snapToGrid/>
        </w:rPr>
        <w:t>we ensure that ESAA has allocation parity with the comparable mobile applications of this FSS band</w:t>
      </w:r>
      <w:r w:rsidR="0090093F">
        <w:rPr>
          <w:snapToGrid/>
        </w:rPr>
        <w:t xml:space="preserve">.  The </w:t>
      </w:r>
      <w:r w:rsidR="00531A0D">
        <w:rPr>
          <w:snapToGrid/>
        </w:rPr>
        <w:t xml:space="preserve">revised </w:t>
      </w:r>
      <w:r w:rsidR="0090093F">
        <w:rPr>
          <w:snapToGrid/>
        </w:rPr>
        <w:t>rule</w:t>
      </w:r>
      <w:r w:rsidR="0090093F" w:rsidRPr="0090093F">
        <w:rPr>
          <w:snapToGrid/>
        </w:rPr>
        <w:t xml:space="preserve"> adopted in this proceeding will provide the benefit of </w:t>
      </w:r>
      <w:r w:rsidR="0090093F">
        <w:rPr>
          <w:snapToGrid/>
        </w:rPr>
        <w:t>enhancing</w:t>
      </w:r>
      <w:r w:rsidR="00B66386">
        <w:rPr>
          <w:snapToGrid/>
        </w:rPr>
        <w:t xml:space="preserve"> competition and we </w:t>
      </w:r>
      <w:r>
        <w:rPr>
          <w:snapToGrid/>
        </w:rPr>
        <w:t>find</w:t>
      </w:r>
      <w:r w:rsidR="00B66386">
        <w:rPr>
          <w:snapToGrid/>
        </w:rPr>
        <w:t xml:space="preserve"> no material cost</w:t>
      </w:r>
      <w:r>
        <w:rPr>
          <w:snapToGrid/>
        </w:rPr>
        <w:t>s</w:t>
      </w:r>
      <w:r w:rsidR="00B66386">
        <w:rPr>
          <w:snapToGrid/>
        </w:rPr>
        <w:t>.</w:t>
      </w:r>
      <w:r w:rsidR="0090093F" w:rsidRPr="0090093F">
        <w:rPr>
          <w:snapToGrid/>
        </w:rPr>
        <w:t xml:space="preserve">  Alo</w:t>
      </w:r>
      <w:r w:rsidR="009E72BC">
        <w:rPr>
          <w:snapToGrid/>
        </w:rPr>
        <w:t xml:space="preserve">ng with VMES and ESV, ESAA </w:t>
      </w:r>
      <w:r w:rsidR="0090093F" w:rsidRPr="0090093F">
        <w:rPr>
          <w:snapToGrid/>
        </w:rPr>
        <w:t>extend</w:t>
      </w:r>
      <w:r w:rsidR="009E72BC">
        <w:rPr>
          <w:snapToGrid/>
        </w:rPr>
        <w:t>s</w:t>
      </w:r>
      <w:r w:rsidR="0090093F" w:rsidRPr="0090093F">
        <w:rPr>
          <w:snapToGrid/>
        </w:rPr>
        <w:t xml:space="preserve"> broadband internet services seamlessly throughout land, sea and air.</w:t>
      </w:r>
    </w:p>
    <w:p w:rsidR="008B78BD" w:rsidRDefault="008B78BD" w:rsidP="000F55B9">
      <w:pPr>
        <w:pStyle w:val="Heading2"/>
        <w:widowControl/>
      </w:pPr>
      <w:bookmarkStart w:id="91" w:name="_Toc374538721"/>
      <w:bookmarkStart w:id="92" w:name="_Toc376787517"/>
      <w:bookmarkStart w:id="93" w:name="_Toc379959730"/>
      <w:bookmarkStart w:id="94" w:name="_Toc379959877"/>
      <w:bookmarkStart w:id="95" w:name="_Toc379982291"/>
      <w:bookmarkStart w:id="96" w:name="_Toc380656024"/>
      <w:bookmarkStart w:id="97" w:name="_Toc380661559"/>
      <w:bookmarkStart w:id="98" w:name="_Toc383443116"/>
      <w:bookmarkStart w:id="99" w:name="_Toc383680123"/>
      <w:bookmarkStart w:id="100" w:name="_Toc383701096"/>
      <w:r>
        <w:t>Section 25.227(b)(2)(i)</w:t>
      </w:r>
      <w:bookmarkEnd w:id="91"/>
      <w:bookmarkEnd w:id="92"/>
      <w:bookmarkEnd w:id="93"/>
      <w:bookmarkEnd w:id="94"/>
      <w:bookmarkEnd w:id="95"/>
      <w:bookmarkEnd w:id="96"/>
      <w:bookmarkEnd w:id="97"/>
      <w:bookmarkEnd w:id="98"/>
      <w:bookmarkEnd w:id="99"/>
      <w:bookmarkEnd w:id="100"/>
    </w:p>
    <w:p w:rsidR="004A14E5" w:rsidRDefault="008B78BD">
      <w:pPr>
        <w:pStyle w:val="ParaNum"/>
      </w:pPr>
      <w:r>
        <w:t xml:space="preserve">In addition </w:t>
      </w:r>
      <w:r w:rsidR="00AB6465">
        <w:t xml:space="preserve">to </w:t>
      </w:r>
      <w:r>
        <w:t xml:space="preserve">the changes to the ESAA allocation rules we adopt above, we </w:t>
      </w:r>
      <w:r w:rsidR="00531A0D">
        <w:t xml:space="preserve">also </w:t>
      </w:r>
      <w:r>
        <w:t>are making a necessary minor administrative change to section 25.227(b)(2)(i) of the Commission’s rules.</w:t>
      </w:r>
      <w:r>
        <w:rPr>
          <w:rStyle w:val="FootnoteReference"/>
        </w:rPr>
        <w:footnoteReference w:id="32"/>
      </w:r>
      <w:r>
        <w:t xml:space="preserve">  </w:t>
      </w:r>
      <w:r w:rsidR="00245A89">
        <w:t>As stated above, the Commission</w:t>
      </w:r>
      <w:r w:rsidR="004A14E5">
        <w:t xml:space="preserve"> in t</w:t>
      </w:r>
      <w:r>
        <w:t xml:space="preserve">he </w:t>
      </w:r>
      <w:r w:rsidRPr="004A4E88">
        <w:rPr>
          <w:i/>
        </w:rPr>
        <w:t>ESAA NPRM &amp; Order</w:t>
      </w:r>
      <w:r>
        <w:t xml:space="preserve"> </w:t>
      </w:r>
      <w:r w:rsidR="004A14E5">
        <w:t>intended for the ESAA rules to be consistent with the VMES and ESV rules</w:t>
      </w:r>
      <w:r>
        <w:t xml:space="preserve">. </w:t>
      </w:r>
      <w:r w:rsidR="0047713C">
        <w:t xml:space="preserve">If </w:t>
      </w:r>
      <w:r w:rsidR="00491BFB">
        <w:t>VMES and ESV</w:t>
      </w:r>
      <w:r w:rsidR="004A4E88" w:rsidRPr="004A4E88">
        <w:t xml:space="preserve"> license applicants request authority to operate at power levels that exceed the otherwise applicable EIRP-density envelop</w:t>
      </w:r>
      <w:r w:rsidR="004A4E88">
        <w:t>e, the applicants</w:t>
      </w:r>
      <w:r w:rsidR="0047713C" w:rsidRPr="0047713C">
        <w:t xml:space="preserve"> </w:t>
      </w:r>
      <w:r w:rsidR="0047713C">
        <w:t>must</w:t>
      </w:r>
      <w:r w:rsidR="004A4E88">
        <w:t xml:space="preserve"> certify</w:t>
      </w:r>
      <w:r w:rsidR="0047713C">
        <w:t>, among other things,</w:t>
      </w:r>
      <w:r w:rsidR="004A4E88">
        <w:t xml:space="preserve"> </w:t>
      </w:r>
      <w:r>
        <w:t>that the proposed earth station has the potential to create harmful interference to adjacent satellite operators.</w:t>
      </w:r>
      <w:r>
        <w:rPr>
          <w:rStyle w:val="FootnoteReference"/>
        </w:rPr>
        <w:footnoteReference w:id="33"/>
      </w:r>
      <w:r>
        <w:t xml:space="preserve"> </w:t>
      </w:r>
      <w:r w:rsidR="00CC1344">
        <w:t xml:space="preserve"> </w:t>
      </w:r>
      <w:r>
        <w:t>However,</w:t>
      </w:r>
      <w:r w:rsidR="004A4E88">
        <w:t xml:space="preserve"> when adopting the comparable rules for ESAA in section 25.227(b)(2)(i), the rule erroneously </w:t>
      </w:r>
      <w:r>
        <w:t xml:space="preserve">states that target satellite operators should certify that the proposed ESAA operations have the potential to </w:t>
      </w:r>
      <w:r w:rsidRPr="004A4E88">
        <w:rPr>
          <w:i/>
        </w:rPr>
        <w:t>receive</w:t>
      </w:r>
      <w:r>
        <w:t xml:space="preserve"> harmful interference instead</w:t>
      </w:r>
      <w:r w:rsidR="00CD65B6">
        <w:t xml:space="preserve"> of</w:t>
      </w:r>
      <w:r>
        <w:t xml:space="preserve"> </w:t>
      </w:r>
      <w:r w:rsidRPr="004A4E88">
        <w:rPr>
          <w:i/>
        </w:rPr>
        <w:t>create</w:t>
      </w:r>
      <w:r>
        <w:t xml:space="preserve"> harmful interference.</w:t>
      </w:r>
      <w:r>
        <w:rPr>
          <w:rStyle w:val="FootnoteReference"/>
        </w:rPr>
        <w:footnoteReference w:id="34"/>
      </w:r>
      <w:r w:rsidR="006D6E91">
        <w:t xml:space="preserve">  </w:t>
      </w:r>
      <w:r w:rsidR="00317542">
        <w:t>To be</w:t>
      </w:r>
      <w:r w:rsidR="006D6E91">
        <w:t xml:space="preserve"> consistent with the </w:t>
      </w:r>
      <w:r w:rsidR="00CE59C7">
        <w:t xml:space="preserve">certification </w:t>
      </w:r>
      <w:r w:rsidR="006D6E91">
        <w:t>language in the ESV and VMES rules</w:t>
      </w:r>
      <w:r w:rsidR="00317542">
        <w:t>, we revise s</w:t>
      </w:r>
      <w:r w:rsidR="00317542" w:rsidRPr="0040323E">
        <w:t>ection</w:t>
      </w:r>
      <w:r w:rsidR="00317542">
        <w:t xml:space="preserve"> 25.227(b)(2)(i) to require target satellite operators to certify that the proposed ESAA operations have the potential to </w:t>
      </w:r>
      <w:r w:rsidR="00317542" w:rsidRPr="004A4E88">
        <w:rPr>
          <w:i/>
        </w:rPr>
        <w:t>create</w:t>
      </w:r>
      <w:r w:rsidR="00D3529B">
        <w:t xml:space="preserve"> harmful interference</w:t>
      </w:r>
      <w:r w:rsidR="006D6E91">
        <w:t>.</w:t>
      </w:r>
      <w:r w:rsidR="00E374DD">
        <w:rPr>
          <w:rStyle w:val="FootnoteReference"/>
        </w:rPr>
        <w:footnoteReference w:id="35"/>
      </w:r>
    </w:p>
    <w:p w:rsidR="008B78BD" w:rsidRPr="008B2F67" w:rsidRDefault="008B78BD">
      <w:pPr>
        <w:pStyle w:val="ParaNum"/>
      </w:pPr>
      <w:r>
        <w:t xml:space="preserve">This rule change </w:t>
      </w:r>
      <w:r w:rsidRPr="008B78BD">
        <w:t xml:space="preserve">corrects a minor error in </w:t>
      </w:r>
      <w:r>
        <w:t xml:space="preserve">section 25.227(b)(2)(i), and as </w:t>
      </w:r>
      <w:r w:rsidRPr="008B78BD">
        <w:t xml:space="preserve">such, it constitutes a routine, “clean-up” matter that entails no substantive decisions of any consequence or significance to industry or the general public.  Accordingly, we find that this revision falls under </w:t>
      </w:r>
      <w:r w:rsidR="002C2EF5">
        <w:t>s</w:t>
      </w:r>
      <w:r>
        <w:t>ection 553(b)(B) of the Administrative Procedure Act, 5 U.S.C. § 553(b)(B), which exempts rule changes from notice and comment procedures “when the agency for good cause finds (and incorporates the finding and a brief statement for reasons therefore in the rules issued) that notice and public procedures thereon are . . . unnecessary.”</w:t>
      </w:r>
      <w:r>
        <w:rPr>
          <w:rStyle w:val="FootnoteReference"/>
        </w:rPr>
        <w:footnoteReference w:id="36"/>
      </w:r>
    </w:p>
    <w:p w:rsidR="00357391" w:rsidRPr="008B2F67" w:rsidRDefault="008627CA" w:rsidP="00C3133B">
      <w:pPr>
        <w:pStyle w:val="Heading1"/>
      </w:pPr>
      <w:bookmarkStart w:id="101" w:name="_Toc362618077"/>
      <w:bookmarkStart w:id="102" w:name="_Toc362618120"/>
      <w:bookmarkStart w:id="103" w:name="_Toc362961100"/>
      <w:bookmarkStart w:id="104" w:name="_Toc364432481"/>
      <w:bookmarkStart w:id="105" w:name="_Toc364673958"/>
      <w:bookmarkStart w:id="106" w:name="_Toc365015453"/>
      <w:bookmarkStart w:id="107" w:name="_Toc374538714"/>
      <w:bookmarkStart w:id="108" w:name="_Toc376787510"/>
      <w:bookmarkStart w:id="109" w:name="_Toc379959723"/>
      <w:bookmarkStart w:id="110" w:name="_Toc379959870"/>
      <w:bookmarkStart w:id="111" w:name="_Toc379982292"/>
      <w:bookmarkStart w:id="112" w:name="_Toc380656025"/>
      <w:bookmarkStart w:id="113" w:name="_Toc380661560"/>
      <w:bookmarkStart w:id="114" w:name="_Toc383443117"/>
      <w:bookmarkStart w:id="115" w:name="_Toc383680124"/>
      <w:bookmarkStart w:id="116" w:name="_Toc383701097"/>
      <w:r w:rsidRPr="008B2F67">
        <w:t>Order on</w:t>
      </w:r>
      <w:r w:rsidR="004B2CA8" w:rsidRPr="008B2F67">
        <w:t xml:space="preserve"> Reconsideration</w:t>
      </w:r>
      <w:bookmarkEnd w:id="82"/>
      <w:bookmarkEnd w:id="83"/>
      <w:bookmarkEnd w:id="8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8627CA" w:rsidRPr="008B2F67" w:rsidRDefault="00A97841" w:rsidP="00C3133B">
      <w:pPr>
        <w:pStyle w:val="ParaNum"/>
        <w:widowControl/>
      </w:pPr>
      <w:r w:rsidRPr="00B7526D">
        <w:t>As</w:t>
      </w:r>
      <w:r w:rsidRPr="008B2F67">
        <w:t xml:space="preserve"> noted</w:t>
      </w:r>
      <w:r w:rsidR="008627CA" w:rsidRPr="008B2F67">
        <w:t xml:space="preserve"> above, Boeing filed a petition</w:t>
      </w:r>
      <w:r w:rsidR="008627CA" w:rsidRPr="008B2F67">
        <w:rPr>
          <w:rStyle w:val="FootnoteReference"/>
        </w:rPr>
        <w:footnoteReference w:id="37"/>
      </w:r>
      <w:r w:rsidR="00FC7F5C">
        <w:t xml:space="preserve"> seeking</w:t>
      </w:r>
      <w:r w:rsidR="0000650A">
        <w:t xml:space="preserve"> </w:t>
      </w:r>
      <w:r w:rsidR="002C2EF5">
        <w:t>reconsideration and/or clarification of</w:t>
      </w:r>
      <w:r w:rsidR="00FC7F5C">
        <w:t xml:space="preserve">: (1) </w:t>
      </w:r>
      <w:r w:rsidR="00F85BC2" w:rsidRPr="008B2F67">
        <w:t>section</w:t>
      </w:r>
      <w:r w:rsidR="00FC7F5C">
        <w:t>s</w:t>
      </w:r>
      <w:r w:rsidR="00F85BC2" w:rsidRPr="008B2F67">
        <w:t xml:space="preserve"> 25.103</w:t>
      </w:r>
      <w:r w:rsidR="00F86672">
        <w:t xml:space="preserve"> (definition of ESAA)</w:t>
      </w:r>
      <w:r w:rsidR="00F85BC2" w:rsidRPr="008B2F67">
        <w:t xml:space="preserve"> a</w:t>
      </w:r>
      <w:r w:rsidR="009C262E" w:rsidRPr="008B2F67">
        <w:t xml:space="preserve">nd 25.227(b)(14) </w:t>
      </w:r>
      <w:r w:rsidR="00F86672">
        <w:t xml:space="preserve">(requiring ESAA terminals </w:t>
      </w:r>
      <w:r w:rsidR="00603437">
        <w:t xml:space="preserve">operating </w:t>
      </w:r>
      <w:r w:rsidR="00F86672">
        <w:t>in U.S. airspace to be licensed) of the Commission’s rules, proposing that the Commission incorporate</w:t>
      </w:r>
      <w:r w:rsidR="009C262E" w:rsidRPr="008B2F67">
        <w:t xml:space="preserve"> the phrase “or on U.S.-flagged</w:t>
      </w:r>
      <w:r w:rsidR="003F2663">
        <w:t xml:space="preserve"> aircraft</w:t>
      </w:r>
      <w:r w:rsidR="009C262E" w:rsidRPr="008B2F67">
        <w:t>”</w:t>
      </w:r>
      <w:r w:rsidR="003F2663">
        <w:t xml:space="preserve"> into those rules;</w:t>
      </w:r>
      <w:r w:rsidR="00F85BC2" w:rsidRPr="008B2F67">
        <w:t xml:space="preserve"> (2) </w:t>
      </w:r>
      <w:r w:rsidR="009C262E" w:rsidRPr="008B2F67">
        <w:t xml:space="preserve">the </w:t>
      </w:r>
      <w:r w:rsidR="006E477F">
        <w:t>certification requirements</w:t>
      </w:r>
      <w:r w:rsidR="00F85BC2" w:rsidRPr="008B2F67">
        <w:t xml:space="preserve"> for dynamic power </w:t>
      </w:r>
      <w:r w:rsidR="00360B3E">
        <w:t xml:space="preserve">ESAA </w:t>
      </w:r>
      <w:r w:rsidR="00F85BC2" w:rsidRPr="008B2F67">
        <w:t xml:space="preserve">systems operating above the off-axis EIRP-density limits; </w:t>
      </w:r>
      <w:r w:rsidR="00315A30">
        <w:t xml:space="preserve">(3) </w:t>
      </w:r>
      <w:r w:rsidR="00315A30" w:rsidRPr="008B2F67">
        <w:t xml:space="preserve">the cessation of emissions requirement for dynamic power </w:t>
      </w:r>
      <w:r w:rsidR="00315A30">
        <w:t xml:space="preserve">ESAA </w:t>
      </w:r>
      <w:r w:rsidR="00315A30" w:rsidRPr="008B2F67">
        <w:t>systems;</w:t>
      </w:r>
      <w:r w:rsidR="00315A30">
        <w:t xml:space="preserve"> </w:t>
      </w:r>
      <w:r w:rsidR="00F85BC2" w:rsidRPr="008B2F67">
        <w:t xml:space="preserve">and (4) </w:t>
      </w:r>
      <w:r w:rsidR="009C262E" w:rsidRPr="008B2F67">
        <w:t>the me</w:t>
      </w:r>
      <w:r w:rsidR="00522D49">
        <w:t>aning of sigma in section 27.227</w:t>
      </w:r>
      <w:r w:rsidR="00522D49" w:rsidRPr="008B2F67">
        <w:t>(b)(1)(iii)(A)</w:t>
      </w:r>
      <w:r w:rsidR="009C262E" w:rsidRPr="008B2F67">
        <w:t xml:space="preserve">, which sets forth the </w:t>
      </w:r>
      <w:r w:rsidR="00F85BC2" w:rsidRPr="008B2F67">
        <w:t xml:space="preserve">licensing requirements </w:t>
      </w:r>
      <w:r w:rsidR="009C262E" w:rsidRPr="008B2F67">
        <w:t xml:space="preserve">for demonstrating compliance with </w:t>
      </w:r>
      <w:r w:rsidR="00F85BC2" w:rsidRPr="008B2F67">
        <w:t>the antenna pointing error</w:t>
      </w:r>
      <w:r w:rsidR="0000650A">
        <w:t xml:space="preserve"> limitations</w:t>
      </w:r>
      <w:r w:rsidR="00F85BC2" w:rsidRPr="008B2F67">
        <w:t>.</w:t>
      </w:r>
    </w:p>
    <w:p w:rsidR="0028162B" w:rsidRPr="008B2F67" w:rsidRDefault="00A00801" w:rsidP="000F55B9">
      <w:pPr>
        <w:pStyle w:val="Heading2"/>
        <w:widowControl/>
      </w:pPr>
      <w:bookmarkStart w:id="117" w:name="_Toc361752998"/>
      <w:bookmarkStart w:id="118" w:name="_Toc361753265"/>
      <w:bookmarkStart w:id="119" w:name="_Toc361990960"/>
      <w:bookmarkStart w:id="120" w:name="_Toc362618078"/>
      <w:bookmarkStart w:id="121" w:name="_Toc362618121"/>
      <w:bookmarkStart w:id="122" w:name="_Toc362961101"/>
      <w:bookmarkStart w:id="123" w:name="_Toc364432482"/>
      <w:bookmarkStart w:id="124" w:name="_Toc364673959"/>
      <w:bookmarkStart w:id="125" w:name="_Toc365015454"/>
      <w:bookmarkStart w:id="126" w:name="_Toc374538715"/>
      <w:bookmarkStart w:id="127" w:name="_Toc376787511"/>
      <w:bookmarkStart w:id="128" w:name="_Toc379959724"/>
      <w:bookmarkStart w:id="129" w:name="_Toc379959871"/>
      <w:bookmarkStart w:id="130" w:name="_Toc379982293"/>
      <w:bookmarkStart w:id="131" w:name="_Toc380656026"/>
      <w:bookmarkStart w:id="132" w:name="_Toc380661561"/>
      <w:bookmarkStart w:id="133" w:name="_Toc383443118"/>
      <w:bookmarkStart w:id="134" w:name="_Toc383680125"/>
      <w:bookmarkStart w:id="135" w:name="_Toc383701098"/>
      <w:r w:rsidRPr="008B2F67">
        <w:t>U.S.-Registered</w:t>
      </w:r>
      <w:r w:rsidR="00357391" w:rsidRPr="008B2F67">
        <w:t xml:space="preserve"> </w:t>
      </w:r>
      <w:r w:rsidR="00C52042">
        <w:t xml:space="preserve">Civil </w:t>
      </w:r>
      <w:r w:rsidR="00357391" w:rsidRPr="008B2F67">
        <w:t>Aircraft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A0685D" w:rsidRPr="008B2F67" w:rsidRDefault="001A4E01">
      <w:pPr>
        <w:pStyle w:val="ParaNum"/>
      </w:pPr>
      <w:r w:rsidRPr="001A4E01">
        <w:rPr>
          <w:i/>
        </w:rPr>
        <w:t>Background.</w:t>
      </w:r>
      <w:r>
        <w:t xml:space="preserve">  </w:t>
      </w:r>
      <w:r w:rsidR="008274F4" w:rsidRPr="008B2F67">
        <w:t xml:space="preserve">In the </w:t>
      </w:r>
      <w:r w:rsidR="008274F4" w:rsidRPr="008B2F67">
        <w:rPr>
          <w:i/>
        </w:rPr>
        <w:t xml:space="preserve">ESAA </w:t>
      </w:r>
      <w:r w:rsidR="0092072D" w:rsidRPr="008B2F67">
        <w:rPr>
          <w:i/>
        </w:rPr>
        <w:t xml:space="preserve">NPRM &amp; </w:t>
      </w:r>
      <w:r w:rsidR="008274F4" w:rsidRPr="008B2F67">
        <w:rPr>
          <w:i/>
        </w:rPr>
        <w:t>Order</w:t>
      </w:r>
      <w:r w:rsidR="00A00801" w:rsidRPr="008B2F67">
        <w:t xml:space="preserve">, the Commission adopted a </w:t>
      </w:r>
      <w:r w:rsidR="00A1331E" w:rsidRPr="008B2F67">
        <w:t xml:space="preserve">regulatory </w:t>
      </w:r>
      <w:r w:rsidR="00A00801" w:rsidRPr="008B2F67">
        <w:t xml:space="preserve">framework for U.S.-registered and non-U.S.-registered aircraft, recognizing that aircraft routes </w:t>
      </w:r>
      <w:r>
        <w:t xml:space="preserve">can </w:t>
      </w:r>
      <w:r w:rsidR="00967B72" w:rsidRPr="008B2F67">
        <w:t>extend beyond the borders of the United States</w:t>
      </w:r>
      <w:r w:rsidR="00A00801" w:rsidRPr="008B2F67">
        <w:t>.</w:t>
      </w:r>
      <w:r w:rsidR="00192127" w:rsidRPr="008B2F67">
        <w:rPr>
          <w:rStyle w:val="FootnoteReference"/>
        </w:rPr>
        <w:footnoteReference w:id="38"/>
      </w:r>
      <w:r w:rsidR="003F0EA2" w:rsidRPr="008B2F67">
        <w:t xml:space="preserve">  For U.S.-register</w:t>
      </w:r>
      <w:r w:rsidR="008326A0" w:rsidRPr="008B2F67">
        <w:t xml:space="preserve">ed aircraft entering foreign airspace, the Commission </w:t>
      </w:r>
      <w:r w:rsidR="00A1331E" w:rsidRPr="008B2F67">
        <w:t>requires</w:t>
      </w:r>
      <w:r w:rsidR="008326A0" w:rsidRPr="008B2F67">
        <w:t xml:space="preserve"> the ESAA airborne terminal to operate pursuant to the Commission’s technical rules or the foreign administration’s technical rules, whichever are stricter.</w:t>
      </w:r>
      <w:r w:rsidR="00A423A9" w:rsidRPr="008B2F67">
        <w:rPr>
          <w:rStyle w:val="FootnoteReference"/>
        </w:rPr>
        <w:footnoteReference w:id="39"/>
      </w:r>
      <w:r w:rsidR="0069606B" w:rsidRPr="008B2F67">
        <w:t xml:space="preserve">  If the foreign administration has not adopted regulations for ESAA terminals, the operators of ESAA on U.S.-registered aircraft </w:t>
      </w:r>
      <w:r w:rsidR="00A1331E" w:rsidRPr="008B2F67">
        <w:t xml:space="preserve">must </w:t>
      </w:r>
      <w:r w:rsidR="00521927" w:rsidRPr="008B2F67">
        <w:t>coordinate their operations with any potentially affected operations.</w:t>
      </w:r>
      <w:r w:rsidR="001914A5" w:rsidRPr="008B2F67">
        <w:rPr>
          <w:rStyle w:val="FootnoteReference"/>
        </w:rPr>
        <w:footnoteReference w:id="40"/>
      </w:r>
      <w:r w:rsidR="003C2FA3" w:rsidRPr="008B2F67">
        <w:t xml:space="preserve">  Over international waters, the Commission noted that the adjacent satellite operators would need protection from the ESAA terminals on U.S.-registered aircraft.  As a result, the Commission required these </w:t>
      </w:r>
      <w:r w:rsidR="00020265">
        <w:t xml:space="preserve">ESAA </w:t>
      </w:r>
      <w:r w:rsidR="003C2FA3" w:rsidRPr="008B2F67">
        <w:t>operators to certify that their target satellite operators have verified that the proposed ESAA operations are within the coordinated parameters.</w:t>
      </w:r>
      <w:r w:rsidR="00547611" w:rsidRPr="008B2F67">
        <w:rPr>
          <w:rStyle w:val="FootnoteReference"/>
        </w:rPr>
        <w:footnoteReference w:id="41"/>
      </w:r>
    </w:p>
    <w:p w:rsidR="007F6486" w:rsidRPr="008B2F67" w:rsidRDefault="0012652A">
      <w:pPr>
        <w:pStyle w:val="ParaNum"/>
      </w:pPr>
      <w:r w:rsidRPr="008B2F67">
        <w:rPr>
          <w:i/>
        </w:rPr>
        <w:t>Boeing Petition</w:t>
      </w:r>
      <w:r w:rsidRPr="008B2F67">
        <w:t xml:space="preserve">.  </w:t>
      </w:r>
      <w:r w:rsidR="007C6D64" w:rsidRPr="008B2F67">
        <w:t>Boeing requests that the Commiss</w:t>
      </w:r>
      <w:r w:rsidR="00994830" w:rsidRPr="008B2F67">
        <w:t>ion modify the definition of ESA</w:t>
      </w:r>
      <w:r w:rsidR="007C6D64" w:rsidRPr="008B2F67">
        <w:t>A in section 25.</w:t>
      </w:r>
      <w:r w:rsidR="007A1F52" w:rsidRPr="008B2F67">
        <w:t>103</w:t>
      </w:r>
      <w:r w:rsidR="003D56DF" w:rsidRPr="008B2F67">
        <w:rPr>
          <w:rStyle w:val="FootnoteReference"/>
        </w:rPr>
        <w:footnoteReference w:id="42"/>
      </w:r>
      <w:r w:rsidR="00D85EB1" w:rsidRPr="008B2F67">
        <w:rPr>
          <w:b/>
        </w:rPr>
        <w:t xml:space="preserve"> </w:t>
      </w:r>
      <w:r w:rsidR="007C6D64" w:rsidRPr="008B2F67">
        <w:t>by adding the language</w:t>
      </w:r>
      <w:r w:rsidR="007F6486" w:rsidRPr="008B2F67">
        <w:t xml:space="preserve"> </w:t>
      </w:r>
      <w:r w:rsidR="00E15474" w:rsidRPr="008B2F67">
        <w:t>“or on U.S.-flagged aircraft” (</w:t>
      </w:r>
      <w:r w:rsidR="00C16474" w:rsidRPr="008B2F67">
        <w:t xml:space="preserve">underlined </w:t>
      </w:r>
      <w:r w:rsidR="00E15474" w:rsidRPr="008B2F67">
        <w:t>below)</w:t>
      </w:r>
      <w:r w:rsidR="007F6486" w:rsidRPr="008B2F67">
        <w:t xml:space="preserve"> as follows:</w:t>
      </w:r>
    </w:p>
    <w:p w:rsidR="009B494D" w:rsidRPr="008B2F67" w:rsidRDefault="003D4BF7" w:rsidP="00C3133B">
      <w:pPr>
        <w:pStyle w:val="ParaNum"/>
        <w:numPr>
          <w:ilvl w:val="0"/>
          <w:numId w:val="0"/>
        </w:numPr>
        <w:ind w:left="720"/>
      </w:pPr>
      <w:r w:rsidRPr="008B2F67">
        <w:rPr>
          <w:i/>
        </w:rPr>
        <w:t>Earth Stations Aboard Aircraft (ESAA)</w:t>
      </w:r>
      <w:r w:rsidRPr="008B2F67">
        <w:t>.</w:t>
      </w:r>
      <w:r w:rsidRPr="008B2F67">
        <w:rPr>
          <w:i/>
        </w:rPr>
        <w:t xml:space="preserve"> </w:t>
      </w:r>
      <w:r w:rsidR="007F6486" w:rsidRPr="008B2F67">
        <w:t xml:space="preserve">ESAA is an earth station or earth stations, operating from an aircraft, that receives from and transmits to geostationary satellite orbit Fixed-Satellite Service space stations and operates within the United States </w:t>
      </w:r>
      <w:r w:rsidR="007F6486" w:rsidRPr="008B2F67">
        <w:rPr>
          <w:u w:val="single"/>
        </w:rPr>
        <w:t>or on U.S.-flagged aircraft</w:t>
      </w:r>
      <w:r w:rsidR="007F6486" w:rsidRPr="008B2F67">
        <w:t xml:space="preserve"> pursuant to the requirements set out </w:t>
      </w:r>
      <w:r w:rsidR="00B41983">
        <w:t xml:space="preserve">in </w:t>
      </w:r>
      <w:r w:rsidR="007F6486" w:rsidRPr="008B2F67">
        <w:t>§ 25.227</w:t>
      </w:r>
      <w:r w:rsidR="00ED6A57" w:rsidRPr="008B2F67">
        <w:t xml:space="preserve"> of this part.</w:t>
      </w:r>
    </w:p>
    <w:p w:rsidR="009B494D" w:rsidRDefault="007F6486" w:rsidP="00C3133B">
      <w:pPr>
        <w:pStyle w:val="ParaNum"/>
        <w:numPr>
          <w:ilvl w:val="0"/>
          <w:numId w:val="0"/>
        </w:numPr>
      </w:pPr>
      <w:r w:rsidRPr="008B2F67">
        <w:t>Boeing contends that this change</w:t>
      </w:r>
      <w:r w:rsidR="004F4E3E" w:rsidRPr="008B2F67">
        <w:t xml:space="preserve"> would show that the definition includes</w:t>
      </w:r>
      <w:r w:rsidR="007C6D64" w:rsidRPr="008B2F67">
        <w:t xml:space="preserve"> ESAA </w:t>
      </w:r>
      <w:r w:rsidR="00314E36">
        <w:t xml:space="preserve">networks that </w:t>
      </w:r>
      <w:r w:rsidR="004F4E3E" w:rsidRPr="008B2F67">
        <w:t>not only operate</w:t>
      </w:r>
      <w:r w:rsidR="007C6D64" w:rsidRPr="008B2F67">
        <w:t xml:space="preserve"> within </w:t>
      </w:r>
      <w:r w:rsidR="004F4E3E" w:rsidRPr="008B2F67">
        <w:t xml:space="preserve">U.S. airspace, </w:t>
      </w:r>
      <w:r w:rsidR="000638F2" w:rsidRPr="008B2F67">
        <w:t xml:space="preserve">but also </w:t>
      </w:r>
      <w:r w:rsidR="000638F2">
        <w:t xml:space="preserve">those that </w:t>
      </w:r>
      <w:r w:rsidR="000638F2" w:rsidRPr="008B2F67">
        <w:t>operate on U.S.-registered aircraft</w:t>
      </w:r>
      <w:r w:rsidR="000638F2">
        <w:t xml:space="preserve"> outside U.S. airspace</w:t>
      </w:r>
      <w:r w:rsidR="004F4E3E" w:rsidRPr="008B2F67">
        <w:t>.</w:t>
      </w:r>
      <w:r w:rsidR="001507C2" w:rsidRPr="008B2F67">
        <w:rPr>
          <w:rStyle w:val="FootnoteReference"/>
        </w:rPr>
        <w:footnoteReference w:id="43"/>
      </w:r>
      <w:r w:rsidR="00414233" w:rsidRPr="008B2F67">
        <w:t xml:space="preserve">  Boeing further argues that the Commission should add the same phrase </w:t>
      </w:r>
      <w:r w:rsidR="00AB0AC0" w:rsidRPr="008B2F67">
        <w:t xml:space="preserve">(underlined below) </w:t>
      </w:r>
      <w:r w:rsidR="00414233" w:rsidRPr="008B2F67">
        <w:t xml:space="preserve">to section 25.227(a)(14) so that it reads as follows: </w:t>
      </w:r>
      <w:r w:rsidR="007A7BB1">
        <w:t>“</w:t>
      </w:r>
      <w:r w:rsidR="00414233" w:rsidRPr="008B2F67">
        <w:t xml:space="preserve">[a]ll ESAA terminals operated in U.S. airspace </w:t>
      </w:r>
      <w:r w:rsidR="00414233" w:rsidRPr="009B494D">
        <w:rPr>
          <w:u w:val="single"/>
        </w:rPr>
        <w:t>or on U.S.-flagged aircraft</w:t>
      </w:r>
      <w:r w:rsidR="00414233" w:rsidRPr="008B2F67">
        <w:t xml:space="preserve"> must be licensed by the Commission.</w:t>
      </w:r>
      <w:r w:rsidR="007A7BB1">
        <w:t>”</w:t>
      </w:r>
      <w:r w:rsidR="005907A7" w:rsidRPr="008B2F67">
        <w:rPr>
          <w:rStyle w:val="FootnoteReference"/>
        </w:rPr>
        <w:footnoteReference w:id="44"/>
      </w:r>
      <w:r w:rsidR="00FD70D8">
        <w:t xml:space="preserve">  In its subsequent </w:t>
      </w:r>
      <w:r w:rsidR="00FD70D8" w:rsidRPr="00C278EF">
        <w:rPr>
          <w:i/>
        </w:rPr>
        <w:t>ex parte</w:t>
      </w:r>
      <w:r w:rsidR="00FD70D8">
        <w:t xml:space="preserve"> filing, B</w:t>
      </w:r>
      <w:r w:rsidR="00224320">
        <w:t>oeing stated that section 25.103</w:t>
      </w:r>
      <w:r w:rsidR="00FD70D8">
        <w:t xml:space="preserve"> should “include earth stations operating on U.S. registered aircraft regardless of whether such aircraft are operating within the United States.”</w:t>
      </w:r>
      <w:r w:rsidR="00FD70D8">
        <w:rPr>
          <w:rStyle w:val="FootnoteReference"/>
        </w:rPr>
        <w:footnoteReference w:id="45"/>
      </w:r>
    </w:p>
    <w:p w:rsidR="009B494D" w:rsidRPr="008B2F67" w:rsidRDefault="009B494D" w:rsidP="00C3133B">
      <w:pPr>
        <w:pStyle w:val="ParaNum"/>
      </w:pPr>
      <w:r>
        <w:t xml:space="preserve">In support of its request, </w:t>
      </w:r>
      <w:r w:rsidRPr="008B2F67">
        <w:t xml:space="preserve">Boeing </w:t>
      </w:r>
      <w:r>
        <w:t>notes</w:t>
      </w:r>
      <w:r w:rsidRPr="008B2F67">
        <w:t xml:space="preserve"> that</w:t>
      </w:r>
      <w:r>
        <w:t>, as acknowledged by the Commission,</w:t>
      </w:r>
      <w:r w:rsidRPr="008B2F67">
        <w:t xml:space="preserve"> section 301(e) of the Communications Act requires operators of radio transmitters that are on an “aircraft of the United States” to secure a license from the Commission</w:t>
      </w:r>
      <w:r>
        <w:t>.</w:t>
      </w:r>
      <w:r w:rsidRPr="00F66198">
        <w:rPr>
          <w:vertAlign w:val="superscript"/>
        </w:rPr>
        <w:footnoteReference w:id="46"/>
      </w:r>
      <w:r>
        <w:t xml:space="preserve">  Boeing also notes that</w:t>
      </w:r>
      <w:r w:rsidRPr="008B2F67">
        <w:t xml:space="preserve"> the Commission requires ESAA airborne terminals on U.S.-registered aircraft operating in foreign airspace to comply with the Commission’s technical rules or the rules of the foreign administration, whichever are more constraining.</w:t>
      </w:r>
      <w:r w:rsidRPr="008B2F67">
        <w:rPr>
          <w:rStyle w:val="FootnoteReference"/>
        </w:rPr>
        <w:footnoteReference w:id="47"/>
      </w:r>
      <w:r w:rsidRPr="008B2F67">
        <w:t xml:space="preserve">  </w:t>
      </w:r>
      <w:r>
        <w:t>Boeing claims that the proposed change is needed to ensure that the requirements adopted by the Commis</w:t>
      </w:r>
      <w:r w:rsidR="00965FF7">
        <w:t>s</w:t>
      </w:r>
      <w:r>
        <w:t>ion in the</w:t>
      </w:r>
      <w:r w:rsidRPr="009B494D">
        <w:rPr>
          <w:i/>
        </w:rPr>
        <w:t xml:space="preserve"> ESAA NPRM &amp; Order</w:t>
      </w:r>
      <w:r>
        <w:t xml:space="preserve"> are adequately reflected in the Commission’s rules.</w:t>
      </w:r>
      <w:r w:rsidR="002F22F7">
        <w:rPr>
          <w:rStyle w:val="FootnoteReference"/>
        </w:rPr>
        <w:footnoteReference w:id="48"/>
      </w:r>
      <w:r>
        <w:t xml:space="preserve">  </w:t>
      </w:r>
      <w:r w:rsidR="0066782A">
        <w:t xml:space="preserve">Viasat’s comments did not address </w:t>
      </w:r>
      <w:r w:rsidRPr="008B2F67">
        <w:t>Boeing’s request.</w:t>
      </w:r>
    </w:p>
    <w:p w:rsidR="009E2607" w:rsidRPr="006B3D98" w:rsidRDefault="00BA5905" w:rsidP="00C3133B">
      <w:pPr>
        <w:pStyle w:val="ParaNum"/>
        <w:widowControl/>
      </w:pPr>
      <w:r w:rsidRPr="006B3D98">
        <w:rPr>
          <w:rFonts w:eastAsia="Calibri"/>
          <w:i/>
          <w:snapToGrid/>
          <w:kern w:val="0"/>
        </w:rPr>
        <w:t>Discussion.</w:t>
      </w:r>
      <w:r w:rsidRPr="006B3D98">
        <w:rPr>
          <w:rFonts w:eastAsia="Calibri"/>
          <w:snapToGrid/>
          <w:kern w:val="0"/>
        </w:rPr>
        <w:t xml:space="preserve">  As explained in the </w:t>
      </w:r>
      <w:r w:rsidRPr="006B3D98">
        <w:rPr>
          <w:rFonts w:eastAsia="Calibri"/>
          <w:i/>
          <w:snapToGrid/>
          <w:kern w:val="0"/>
        </w:rPr>
        <w:t>ESAA NPRM &amp; Order</w:t>
      </w:r>
      <w:r w:rsidR="009E4BBD">
        <w:rPr>
          <w:rFonts w:eastAsia="Calibri"/>
          <w:snapToGrid/>
          <w:kern w:val="0"/>
        </w:rPr>
        <w:t>, pursuant to s</w:t>
      </w:r>
      <w:r w:rsidRPr="006B3D98">
        <w:rPr>
          <w:rFonts w:eastAsia="Calibri"/>
          <w:snapToGrid/>
          <w:kern w:val="0"/>
        </w:rPr>
        <w:t>ection 301</w:t>
      </w:r>
      <w:r w:rsidRPr="006B3D98">
        <w:t>(e) of the Communications Act, “the Commission is responsible for licensing aircraft terminals on all U.S.-registered aircraft, regardless of whether the aircraft is within or outside U.S. territory.”</w:t>
      </w:r>
      <w:r w:rsidRPr="006B3D98">
        <w:rPr>
          <w:vertAlign w:val="superscript"/>
        </w:rPr>
        <w:footnoteReference w:id="49"/>
      </w:r>
      <w:r w:rsidRPr="006B3D98">
        <w:t xml:space="preserve">  Accordingly, we agree with Boeing that sections 25.103 and 25.227(a)(14), to be consistent with this determination, should be revised.  Instead of inserting language as Boeing proposes for the definition of ESAA in section 25.103, however, we remove the unnecessary language from that rule that may suggest that licensed operations are limited to U.S. airspace.  Specifically, the definition of ESAA in section 25.103 will now read as follows: “</w:t>
      </w:r>
      <w:r w:rsidRPr="006B3D98">
        <w:rPr>
          <w:rFonts w:eastAsia="TimesNewRoman"/>
        </w:rPr>
        <w:t>Earth stations operating aboard aircraft that receive from and transmit to geostationary-orbit Fixed-Satellite Service space stations pursuant to the requirements in § 25.227 of this part.”  In addition, we revise section 25.227(a)(14) to</w:t>
      </w:r>
      <w:r w:rsidRPr="006B3D98">
        <w:t xml:space="preserve"> read as follows</w:t>
      </w:r>
      <w:r w:rsidRPr="006B3D98">
        <w:rPr>
          <w:bCs/>
        </w:rPr>
        <w:t>: “</w:t>
      </w:r>
      <w:r w:rsidRPr="006B3D98">
        <w:t>All ESAA terminals operated in U.S. airspace, whether on U.S.-registered civil aircraft or non-U.S.-registered civil aircraft, must be licensed by the Commission.  All ESAA terminals on U.S.-registered civil aircraft operating outside of U.S. airspace must be licensed by the Commission, except as provided by section 303(t) of the Communications Act.”</w:t>
      </w:r>
      <w:r w:rsidRPr="006B3D98">
        <w:rPr>
          <w:vertAlign w:val="superscript"/>
        </w:rPr>
        <w:footnoteReference w:id="50"/>
      </w:r>
      <w:r w:rsidRPr="006B3D98">
        <w:t xml:space="preserve">  Adopting these changes codifies in our rules the Commission’s conclusion from the </w:t>
      </w:r>
      <w:r w:rsidRPr="006B3D98">
        <w:rPr>
          <w:i/>
        </w:rPr>
        <w:t>ESAA NPRM &amp; Order</w:t>
      </w:r>
      <w:r w:rsidRPr="006B3D98">
        <w:t xml:space="preserve"> that section 301(e) of the Communications Act obliges us to license aircraft terminals on all U.S.-registered civil aircraft, regardless of whether the a</w:t>
      </w:r>
      <w:r w:rsidR="00B778E7">
        <w:t>ircraft is within or outside of</w:t>
      </w:r>
      <w:r w:rsidRPr="006B3D98">
        <w:t xml:space="preserve"> U.S. territory.</w:t>
      </w:r>
      <w:r w:rsidR="00C46EAA">
        <w:rPr>
          <w:rStyle w:val="FootnoteReference"/>
          <w:szCs w:val="22"/>
        </w:rPr>
        <w:footnoteReference w:id="51"/>
      </w:r>
    </w:p>
    <w:p w:rsidR="00844E63" w:rsidRPr="008B2F67" w:rsidRDefault="00160D7E" w:rsidP="000F55B9">
      <w:pPr>
        <w:pStyle w:val="Heading2"/>
        <w:widowControl/>
      </w:pPr>
      <w:bookmarkStart w:id="136" w:name="_Toc361752999"/>
      <w:bookmarkStart w:id="137" w:name="_Toc361753266"/>
      <w:bookmarkStart w:id="138" w:name="_Toc361990961"/>
      <w:bookmarkStart w:id="139" w:name="_Toc362618079"/>
      <w:bookmarkStart w:id="140" w:name="_Toc362618122"/>
      <w:bookmarkStart w:id="141" w:name="_Toc362961102"/>
      <w:bookmarkStart w:id="142" w:name="_Toc364432483"/>
      <w:bookmarkStart w:id="143" w:name="_Toc364673960"/>
      <w:bookmarkStart w:id="144" w:name="_Toc365015455"/>
      <w:bookmarkStart w:id="145" w:name="_Toc374538716"/>
      <w:bookmarkStart w:id="146" w:name="_Toc376787512"/>
      <w:bookmarkStart w:id="147" w:name="_Toc379959725"/>
      <w:bookmarkStart w:id="148" w:name="_Toc379959872"/>
      <w:bookmarkStart w:id="149" w:name="_Toc379982294"/>
      <w:bookmarkStart w:id="150" w:name="_Toc380656027"/>
      <w:bookmarkStart w:id="151" w:name="_Toc380661562"/>
      <w:bookmarkStart w:id="152" w:name="_Toc383443119"/>
      <w:bookmarkStart w:id="153" w:name="_Toc383680126"/>
      <w:bookmarkStart w:id="154" w:name="_Toc383701099"/>
      <w:r w:rsidRPr="008B2F67">
        <w:t>Dynamic Power ESAA Systems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B54E06" w:rsidRPr="008B2F67" w:rsidRDefault="00B54E06" w:rsidP="000F55B9">
      <w:pPr>
        <w:pStyle w:val="Heading3"/>
        <w:widowControl/>
      </w:pPr>
      <w:bookmarkStart w:id="155" w:name="_Toc361753001"/>
      <w:bookmarkStart w:id="156" w:name="_Toc361753268"/>
      <w:bookmarkStart w:id="157" w:name="_Toc361990963"/>
      <w:bookmarkStart w:id="158" w:name="_Toc362618081"/>
      <w:bookmarkStart w:id="159" w:name="_Toc362618124"/>
      <w:bookmarkStart w:id="160" w:name="_Toc362961104"/>
      <w:bookmarkStart w:id="161" w:name="_Toc364673962"/>
      <w:bookmarkStart w:id="162" w:name="_Toc365015457"/>
      <w:bookmarkStart w:id="163" w:name="_Toc374538718"/>
      <w:bookmarkStart w:id="164" w:name="_Toc376787514"/>
      <w:bookmarkStart w:id="165" w:name="_Toc379959727"/>
      <w:bookmarkStart w:id="166" w:name="_Toc379959873"/>
      <w:bookmarkStart w:id="167" w:name="_Toc379982295"/>
      <w:bookmarkStart w:id="168" w:name="_Toc380656028"/>
      <w:bookmarkStart w:id="169" w:name="_Toc380661563"/>
      <w:bookmarkStart w:id="170" w:name="_Toc383443120"/>
      <w:bookmarkStart w:id="171" w:name="_Toc383680127"/>
      <w:bookmarkStart w:id="172" w:name="_Toc383701100"/>
      <w:bookmarkStart w:id="173" w:name="_Toc361753000"/>
      <w:bookmarkStart w:id="174" w:name="_Toc361753267"/>
      <w:bookmarkStart w:id="175" w:name="_Toc361990962"/>
      <w:bookmarkStart w:id="176" w:name="_Toc362618080"/>
      <w:bookmarkStart w:id="177" w:name="_Toc362618123"/>
      <w:bookmarkStart w:id="178" w:name="_Toc362961103"/>
      <w:bookmarkStart w:id="179" w:name="_Toc364673961"/>
      <w:bookmarkStart w:id="180" w:name="_Toc365015456"/>
      <w:bookmarkStart w:id="181" w:name="_Toc374538717"/>
      <w:bookmarkStart w:id="182" w:name="_Toc376787513"/>
      <w:bookmarkStart w:id="183" w:name="_Toc379959726"/>
      <w:r w:rsidRPr="008B2F67">
        <w:t>Dynamic Power ESAA Operations that Exceed the Off-Axis EIRP-Density Limits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8B2F67">
        <w:t xml:space="preserve">  </w:t>
      </w:r>
    </w:p>
    <w:p w:rsidR="00B54E06" w:rsidRPr="008B2F67" w:rsidRDefault="00C30B0C" w:rsidP="00C3133B">
      <w:pPr>
        <w:pStyle w:val="ParaNum"/>
      </w:pPr>
      <w:r w:rsidRPr="00293A0D">
        <w:t>Dynamic</w:t>
      </w:r>
      <w:r>
        <w:t xml:space="preserve"> power </w:t>
      </w:r>
      <w:r w:rsidR="00F363A6">
        <w:t xml:space="preserve">ESAA </w:t>
      </w:r>
      <w:r>
        <w:t xml:space="preserve">systems consist of multiple, co-frequency terminals operating simultaneously at varying power levels.  </w:t>
      </w:r>
      <w:r w:rsidR="00F61FF4">
        <w:t>The off-axis EIRP-density limits applicable to dynamic power ESAA systems</w:t>
      </w:r>
      <w:r w:rsidR="000172C0">
        <w:t>, in the aggregate,</w:t>
      </w:r>
      <w:r w:rsidR="00F61FF4">
        <w:t xml:space="preserve"> are one decibel (dB) less than the limits applicable to other ESAA systems.</w:t>
      </w:r>
      <w:r w:rsidR="00F61FF4" w:rsidRPr="008B2F67">
        <w:rPr>
          <w:rStyle w:val="FootnoteReference"/>
        </w:rPr>
        <w:footnoteReference w:id="52"/>
      </w:r>
      <w:r w:rsidR="00F61FF4">
        <w:t xml:space="preserve">  </w:t>
      </w:r>
      <w:r w:rsidR="00D3529B">
        <w:t>Dynamic power ESAA applicants may</w:t>
      </w:r>
      <w:r w:rsidR="00B54E06" w:rsidRPr="008B2F67">
        <w:t xml:space="preserve"> operate above </w:t>
      </w:r>
      <w:r w:rsidR="00F61FF4">
        <w:t>these</w:t>
      </w:r>
      <w:r w:rsidR="00B54E06" w:rsidRPr="008B2F67">
        <w:t xml:space="preserve"> limits as long as the</w:t>
      </w:r>
      <w:r w:rsidR="00D3529B">
        <w:t xml:space="preserve">y file </w:t>
      </w:r>
      <w:r w:rsidR="00C71B69">
        <w:t xml:space="preserve">the requisite </w:t>
      </w:r>
      <w:r w:rsidR="00D3529B">
        <w:t>certifications</w:t>
      </w:r>
      <w:r w:rsidR="00C71B69">
        <w:t xml:space="preserve"> and demonstration</w:t>
      </w:r>
      <w:r w:rsidR="005F712A">
        <w:t>s</w:t>
      </w:r>
      <w:r w:rsidR="00C71B69">
        <w:t>.</w:t>
      </w:r>
      <w:r w:rsidR="00A654B7">
        <w:rPr>
          <w:rStyle w:val="FootnoteReference"/>
        </w:rPr>
        <w:footnoteReference w:id="53"/>
      </w:r>
    </w:p>
    <w:p w:rsidR="00B54E06" w:rsidRPr="008B2F67" w:rsidRDefault="00B54E06">
      <w:pPr>
        <w:pStyle w:val="ParaNum"/>
      </w:pPr>
      <w:r w:rsidRPr="00C537BF">
        <w:rPr>
          <w:i/>
        </w:rPr>
        <w:t xml:space="preserve">Boeing Petition.  </w:t>
      </w:r>
      <w:r w:rsidRPr="008B2F67">
        <w:t xml:space="preserve">Boeing requests that the Commission </w:t>
      </w:r>
      <w:r w:rsidR="007C1298">
        <w:t>clarify the intended purpose of</w:t>
      </w:r>
      <w:r w:rsidR="00A12671">
        <w:t xml:space="preserve"> the certification requirement in </w:t>
      </w:r>
      <w:r w:rsidR="007C1298">
        <w:t>section 25.227(b)(3)(ii)(B), which</w:t>
      </w:r>
      <w:r w:rsidR="00F55550">
        <w:t xml:space="preserve"> </w:t>
      </w:r>
      <w:r w:rsidR="007C1298">
        <w:t>requires</w:t>
      </w:r>
      <w:r w:rsidR="000172C0">
        <w:t xml:space="preserve"> </w:t>
      </w:r>
      <w:r w:rsidR="00787145">
        <w:t xml:space="preserve">a dynamic power </w:t>
      </w:r>
      <w:r w:rsidR="00F55550">
        <w:t xml:space="preserve">ESAA applicant </w:t>
      </w:r>
      <w:r w:rsidR="00787145">
        <w:t>to</w:t>
      </w:r>
      <w:r w:rsidR="00F55550">
        <w:t xml:space="preserve"> provide </w:t>
      </w:r>
      <w:r w:rsidR="00F55550" w:rsidRPr="008B2F67">
        <w:t>“[a] statement from the target satellite operator certifying that the proposed operation of the ESAA has the potential to create harmful interference to satellite networks adjacent to the target satellite(s) that may be unacceptable.”</w:t>
      </w:r>
      <w:r w:rsidR="00F55550" w:rsidRPr="008B2F67">
        <w:rPr>
          <w:rStyle w:val="FootnoteReference"/>
        </w:rPr>
        <w:footnoteReference w:id="54"/>
      </w:r>
      <w:r w:rsidR="00C537BF">
        <w:t xml:space="preserve"> </w:t>
      </w:r>
      <w:r w:rsidR="0062455A">
        <w:t xml:space="preserve"> </w:t>
      </w:r>
      <w:r w:rsidRPr="008B2F67">
        <w:t xml:space="preserve">Boeing also seeks clarification of </w:t>
      </w:r>
      <w:r w:rsidR="000172C0">
        <w:t xml:space="preserve">the </w:t>
      </w:r>
      <w:r w:rsidRPr="008B2F67">
        <w:t>certification requirement</w:t>
      </w:r>
      <w:r w:rsidR="00A12671">
        <w:t xml:space="preserve"> in section 25.227(b)(3)(ii)(D), which</w:t>
      </w:r>
      <w:r w:rsidR="000172C0">
        <w:t xml:space="preserve"> </w:t>
      </w:r>
      <w:r w:rsidR="000172C0" w:rsidRPr="008B2F67">
        <w:t>requires</w:t>
      </w:r>
      <w:r w:rsidRPr="008B2F67">
        <w:t xml:space="preserve"> ESAA applicants to provide a statement from the target satellite operator certifying that the ESAA applicant’s aggregate off-axis EIRP-density levels </w:t>
      </w:r>
      <w:r>
        <w:t xml:space="preserve">will be included </w:t>
      </w:r>
      <w:r w:rsidRPr="008B2F67">
        <w:t>in all future coordination agreements.</w:t>
      </w:r>
      <w:r w:rsidRPr="008B2F67">
        <w:rPr>
          <w:rStyle w:val="FootnoteReference"/>
        </w:rPr>
        <w:footnoteReference w:id="55"/>
      </w:r>
      <w:r w:rsidRPr="008B2F67">
        <w:t xml:space="preserve">  Specifically, Boeing asks that the Commission clarify, in the rule, that this requirement applies </w:t>
      </w:r>
      <w:r w:rsidR="00B96799">
        <w:t xml:space="preserve">only </w:t>
      </w:r>
      <w:r w:rsidRPr="008B2F67">
        <w:t>when the ESAA network is using the capacity of the target satellite by adding the phrase “during the period that the ESAA network is using the target satellite” to the end of that rule.</w:t>
      </w:r>
      <w:r w:rsidRPr="008B2F67">
        <w:rPr>
          <w:rStyle w:val="FootnoteReference"/>
        </w:rPr>
        <w:footnoteReference w:id="56"/>
      </w:r>
      <w:r w:rsidR="00787145">
        <w:t xml:space="preserve"> </w:t>
      </w:r>
      <w:r w:rsidR="0066782A">
        <w:t xml:space="preserve">Viasat’s comments did not address </w:t>
      </w:r>
      <w:r w:rsidR="0066782A" w:rsidRPr="008B2F67">
        <w:t>Boeing’s request</w:t>
      </w:r>
      <w:r w:rsidR="00C537BF">
        <w:t>s</w:t>
      </w:r>
      <w:r w:rsidR="0066782A" w:rsidRPr="008B2F67">
        <w:t>.</w:t>
      </w:r>
    </w:p>
    <w:p w:rsidR="008C6235" w:rsidRDefault="00B54E06">
      <w:pPr>
        <w:pStyle w:val="ParaNum"/>
      </w:pPr>
      <w:r w:rsidRPr="00787145">
        <w:rPr>
          <w:i/>
        </w:rPr>
        <w:t>Discussion.</w:t>
      </w:r>
      <w:r w:rsidR="00A2679D">
        <w:t xml:space="preserve">  </w:t>
      </w:r>
      <w:r w:rsidR="00C537BF" w:rsidRPr="00C537BF">
        <w:t xml:space="preserve">The Commission applied the concepts from the </w:t>
      </w:r>
      <w:r w:rsidR="00C537BF" w:rsidRPr="00787145">
        <w:rPr>
          <w:i/>
        </w:rPr>
        <w:t>Part 25 Streamlining</w:t>
      </w:r>
      <w:r w:rsidR="00C537BF" w:rsidRPr="00C537BF">
        <w:t xml:space="preserve"> proceedings when it adopted licensing rules to allow </w:t>
      </w:r>
      <w:r w:rsidR="000172C0">
        <w:t xml:space="preserve">dynamic power </w:t>
      </w:r>
      <w:r w:rsidR="00C537BF" w:rsidRPr="00C537BF">
        <w:t xml:space="preserve">ESV and VMES applicants to request </w:t>
      </w:r>
      <w:r w:rsidR="000172C0">
        <w:t xml:space="preserve">aggregate </w:t>
      </w:r>
      <w:r w:rsidR="00C537BF" w:rsidRPr="00C537BF">
        <w:t>operations that exceeded the relevant off-axis EIRP-density limits.</w:t>
      </w:r>
      <w:r w:rsidR="00C537BF" w:rsidRPr="00C537BF">
        <w:rPr>
          <w:vertAlign w:val="superscript"/>
        </w:rPr>
        <w:footnoteReference w:id="57"/>
      </w:r>
      <w:r w:rsidR="003742F4">
        <w:t xml:space="preserve"> </w:t>
      </w:r>
      <w:r w:rsidR="000172C0" w:rsidRPr="00C537BF">
        <w:t>In adopting the</w:t>
      </w:r>
      <w:r w:rsidR="000172C0">
        <w:t xml:space="preserve"> certification requirements for applicants requesting such operations, </w:t>
      </w:r>
      <w:r w:rsidR="000172C0" w:rsidRPr="00C537BF">
        <w:t>the Commission balanced a number of competing factors and recognized that requiring applicants to file a number of specific statements, in the form of a certification from the target satellite operator, was significantly less burdensome than requiring applicants to file entire coordination agreements.</w:t>
      </w:r>
      <w:r w:rsidR="000172C0" w:rsidRPr="00C537BF">
        <w:rPr>
          <w:vertAlign w:val="superscript"/>
        </w:rPr>
        <w:footnoteReference w:id="58"/>
      </w:r>
      <w:r w:rsidR="000172C0">
        <w:t xml:space="preserve"> </w:t>
      </w:r>
      <w:r w:rsidR="00C537BF" w:rsidRPr="00C537BF">
        <w:t xml:space="preserve">The certifications </w:t>
      </w:r>
      <w:r w:rsidR="000172C0">
        <w:t>that the Commission</w:t>
      </w:r>
      <w:r w:rsidR="00F55550">
        <w:t xml:space="preserve"> required</w:t>
      </w:r>
      <w:r w:rsidR="000172C0">
        <w:t xml:space="preserve"> </w:t>
      </w:r>
      <w:r w:rsidR="00C537BF" w:rsidRPr="00C537BF">
        <w:t>include the min</w:t>
      </w:r>
      <w:r w:rsidR="004B04E7">
        <w:t>imal certification at issue in section 25.227(B)(3)(ii)(B)</w:t>
      </w:r>
      <w:r w:rsidR="00C537BF" w:rsidRPr="00C537BF">
        <w:t xml:space="preserve"> – an acknowledgement that a transmission above the off-axis EIRP density limits may cause unacceptable interference to other networks</w:t>
      </w:r>
      <w:r w:rsidR="00F55550">
        <w:t>.</w:t>
      </w:r>
      <w:r w:rsidR="00787145">
        <w:t xml:space="preserve"> </w:t>
      </w:r>
      <w:r w:rsidR="00275DBE">
        <w:t xml:space="preserve"> </w:t>
      </w:r>
      <w:r w:rsidR="009A5B57">
        <w:t>W</w:t>
      </w:r>
      <w:r w:rsidR="008904A6">
        <w:t xml:space="preserve">e strive to maintain consistency in the service and technical rules for ESAA, ESV, and VMES in order to promote regulatory clarity, particularly </w:t>
      </w:r>
      <w:r w:rsidR="000172C0">
        <w:t xml:space="preserve">taking into account that </w:t>
      </w:r>
      <w:r w:rsidR="008904A6">
        <w:t xml:space="preserve">an operator </w:t>
      </w:r>
      <w:r w:rsidR="000172C0">
        <w:t xml:space="preserve">could be </w:t>
      </w:r>
      <w:r w:rsidR="008904A6">
        <w:t>provid</w:t>
      </w:r>
      <w:r w:rsidR="000172C0">
        <w:t>ing</w:t>
      </w:r>
      <w:r w:rsidR="008904A6">
        <w:t xml:space="preserve"> more than one of these services.</w:t>
      </w:r>
      <w:r w:rsidR="001E08D3">
        <w:t xml:space="preserve">  </w:t>
      </w:r>
      <w:r w:rsidR="000172C0">
        <w:t xml:space="preserve">Therefore, the </w:t>
      </w:r>
      <w:r w:rsidR="00F55550">
        <w:t>concepts and reasoning in the ESV and VMES proceedings supporting these certifications provide the intended purpose that Boeing seeks.</w:t>
      </w:r>
      <w:r w:rsidR="00787145" w:rsidRPr="00C537BF">
        <w:rPr>
          <w:vertAlign w:val="superscript"/>
        </w:rPr>
        <w:footnoteReference w:id="59"/>
      </w:r>
    </w:p>
    <w:p w:rsidR="00B54E06" w:rsidRDefault="00B54E06">
      <w:pPr>
        <w:pStyle w:val="ParaNum"/>
      </w:pPr>
      <w:r w:rsidRPr="008B2F67">
        <w:t xml:space="preserve">With regard </w:t>
      </w:r>
      <w:r>
        <w:t xml:space="preserve">to </w:t>
      </w:r>
      <w:r w:rsidRPr="008B2F67">
        <w:t xml:space="preserve">section 25.227(b)(3)(ii)(D), we </w:t>
      </w:r>
      <w:r w:rsidR="0060634F">
        <w:t>agree with</w:t>
      </w:r>
      <w:r w:rsidR="00BB4FB1">
        <w:t xml:space="preserve"> Boeing</w:t>
      </w:r>
      <w:r w:rsidR="0060634F">
        <w:t xml:space="preserve"> t</w:t>
      </w:r>
      <w:r w:rsidR="00BB4FB1" w:rsidRPr="008B2F67">
        <w:t xml:space="preserve">hat this </w:t>
      </w:r>
      <w:r w:rsidR="00BB4FB1">
        <w:t>rule</w:t>
      </w:r>
      <w:r w:rsidR="00BB4FB1" w:rsidRPr="008B2F67">
        <w:t xml:space="preserve"> only applies when the ESAA network is using the capacity of the target satellite</w:t>
      </w:r>
      <w:r w:rsidR="0060634F">
        <w:t xml:space="preserve">, but we decline Boeing’s request to </w:t>
      </w:r>
      <w:r w:rsidR="0006091D">
        <w:t xml:space="preserve">add the additional phrase to </w:t>
      </w:r>
      <w:r w:rsidR="0060634F">
        <w:t>this rule</w:t>
      </w:r>
      <w:r w:rsidR="00BB4FB1">
        <w:t xml:space="preserve">.  </w:t>
      </w:r>
      <w:r w:rsidR="0060634F">
        <w:t>S</w:t>
      </w:r>
      <w:r w:rsidR="00570FBD">
        <w:t>ection 25.227(b)(3)(ii)(D)</w:t>
      </w:r>
      <w:r w:rsidR="00570FBD" w:rsidRPr="008B2F67">
        <w:t xml:space="preserve"> requires ESAA applicants to provide a statement from the target satellite operator certifying that the ESAA applicant’s aggregate off-axis EIRP-density levels </w:t>
      </w:r>
      <w:r w:rsidR="00570FBD">
        <w:t xml:space="preserve">will be included </w:t>
      </w:r>
      <w:r w:rsidR="00570FBD" w:rsidRPr="008B2F67">
        <w:t>in all future coordination agreements</w:t>
      </w:r>
      <w:r w:rsidR="00570FBD">
        <w:t xml:space="preserve">.  </w:t>
      </w:r>
      <w:r w:rsidR="0006091D">
        <w:t>As with the other certification obligations in the ESAA rules, t</w:t>
      </w:r>
      <w:r w:rsidR="0006091D" w:rsidRPr="0006091D">
        <w:t>he language</w:t>
      </w:r>
      <w:r w:rsidR="0006091D">
        <w:t xml:space="preserve"> of this</w:t>
      </w:r>
      <w:r w:rsidR="0006091D" w:rsidRPr="0006091D">
        <w:t xml:space="preserve"> rule is similar to the rule</w:t>
      </w:r>
      <w:r w:rsidR="0006091D">
        <w:t>s</w:t>
      </w:r>
      <w:r w:rsidR="0006091D" w:rsidRPr="0006091D">
        <w:t xml:space="preserve"> for ESV and VMES</w:t>
      </w:r>
      <w:r w:rsidR="0006091D">
        <w:t xml:space="preserve">, and it is accepted in the satellite industry that a satellite operator need not </w:t>
      </w:r>
      <w:r w:rsidR="0006091D" w:rsidRPr="0006091D">
        <w:t>coordinate technical parameters for transmissions that are no longer used on its satellite network</w:t>
      </w:r>
      <w:r w:rsidR="0006091D">
        <w:t xml:space="preserve">. Therefore, </w:t>
      </w:r>
      <w:r w:rsidR="003F66A7">
        <w:t>modifying this certification requirement</w:t>
      </w:r>
      <w:r w:rsidR="003D76AB">
        <w:t xml:space="preserve"> to reflect </w:t>
      </w:r>
      <w:r w:rsidR="0006091D">
        <w:t>Boeing’s request</w:t>
      </w:r>
      <w:r w:rsidR="003D76AB">
        <w:t xml:space="preserve"> </w:t>
      </w:r>
      <w:r w:rsidR="001A5FAE">
        <w:t>is</w:t>
      </w:r>
      <w:r w:rsidR="003D76AB">
        <w:t xml:space="preserve"> unnecessary</w:t>
      </w:r>
      <w:r w:rsidR="0060634F">
        <w:t xml:space="preserve">.  </w:t>
      </w:r>
    </w:p>
    <w:p w:rsidR="0028162B" w:rsidRPr="008B2F67" w:rsidRDefault="00844E63" w:rsidP="000F55B9">
      <w:pPr>
        <w:pStyle w:val="Heading3"/>
        <w:widowControl/>
      </w:pPr>
      <w:bookmarkStart w:id="184" w:name="_Toc379959874"/>
      <w:bookmarkStart w:id="185" w:name="_Toc379982296"/>
      <w:bookmarkStart w:id="186" w:name="_Toc380656029"/>
      <w:bookmarkStart w:id="187" w:name="_Toc380661564"/>
      <w:bookmarkStart w:id="188" w:name="_Toc383443121"/>
      <w:bookmarkStart w:id="189" w:name="_Toc383680128"/>
      <w:bookmarkStart w:id="190" w:name="_Toc383701101"/>
      <w:r w:rsidRPr="008B2F67">
        <w:t>Cessation of Emissions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00160D7E" w:rsidRPr="008B2F67">
        <w:t xml:space="preserve">  </w:t>
      </w:r>
    </w:p>
    <w:p w:rsidR="00A0685D" w:rsidRPr="008B2F67" w:rsidRDefault="00160D7E">
      <w:pPr>
        <w:pStyle w:val="ParaNum"/>
      </w:pPr>
      <w:r w:rsidRPr="008B2F67">
        <w:t xml:space="preserve">In the </w:t>
      </w:r>
      <w:r w:rsidRPr="008B2F67">
        <w:rPr>
          <w:i/>
        </w:rPr>
        <w:t xml:space="preserve">ESAA </w:t>
      </w:r>
      <w:r w:rsidR="005C39A7" w:rsidRPr="008B2F67">
        <w:rPr>
          <w:i/>
        </w:rPr>
        <w:t xml:space="preserve">NPRM &amp; </w:t>
      </w:r>
      <w:r w:rsidRPr="008B2F67">
        <w:rPr>
          <w:i/>
        </w:rPr>
        <w:t>Order</w:t>
      </w:r>
      <w:r w:rsidRPr="008B2F67">
        <w:t>, the Co</w:t>
      </w:r>
      <w:r w:rsidR="006C630A" w:rsidRPr="008B2F67">
        <w:t xml:space="preserve">mmission </w:t>
      </w:r>
      <w:r w:rsidR="005C3737" w:rsidRPr="008B2F67">
        <w:t>required dynamic power ESAA systems to cease transmissions under two scenarios.</w:t>
      </w:r>
      <w:r w:rsidR="00614B17" w:rsidRPr="008B2F67">
        <w:rPr>
          <w:rStyle w:val="FootnoteReference"/>
        </w:rPr>
        <w:footnoteReference w:id="60"/>
      </w:r>
      <w:r w:rsidR="005C3737" w:rsidRPr="008B2F67">
        <w:t xml:space="preserve">  First, if an individual transmitter’s power-density exceeded the </w:t>
      </w:r>
      <w:r w:rsidR="00CF4EFC">
        <w:t xml:space="preserve">applicable </w:t>
      </w:r>
      <w:r w:rsidR="005C3737" w:rsidRPr="008B2F67">
        <w:t>off-axis EIRP-density limits, then the Commission required the ESAA system to cease transmissions within 100 milliseconds of de</w:t>
      </w:r>
      <w:r w:rsidR="00F23317" w:rsidRPr="008B2F67">
        <w:t>tecting this violation.  The Commission required the individual transmitter to be self-monitoring and capable of shutting itself off.</w:t>
      </w:r>
      <w:r w:rsidR="00CF4EFC" w:rsidRPr="008B2F67">
        <w:rPr>
          <w:rStyle w:val="FootnoteReference"/>
        </w:rPr>
        <w:footnoteReference w:id="61"/>
      </w:r>
      <w:r w:rsidR="00F23317" w:rsidRPr="008B2F67">
        <w:t xml:space="preserve">  Second, if the power-density from one or more transmitters caused the aggregate EIRP-densities to exceed the </w:t>
      </w:r>
      <w:r w:rsidR="003B28E7">
        <w:t xml:space="preserve">applicable </w:t>
      </w:r>
      <w:r w:rsidR="00F23317" w:rsidRPr="008B2F67">
        <w:t>off-axis EIRP-density limits, then the Commission required the transmitter or transmitters to reduce or cease emissions within 100 milliseconds of receiving a command from the system’s network control and monitoring center</w:t>
      </w:r>
      <w:r w:rsidR="00D73939">
        <w:t xml:space="preserve"> (NCMC)</w:t>
      </w:r>
      <w:r w:rsidR="00F23317" w:rsidRPr="008B2F67">
        <w:t>.</w:t>
      </w:r>
      <w:r w:rsidR="00614B17" w:rsidRPr="008B2F67">
        <w:rPr>
          <w:rStyle w:val="FootnoteReference"/>
        </w:rPr>
        <w:footnoteReference w:id="62"/>
      </w:r>
      <w:r w:rsidR="005C3737" w:rsidRPr="008B2F67">
        <w:t xml:space="preserve"> </w:t>
      </w:r>
      <w:r w:rsidR="00E46890" w:rsidRPr="008B2F67">
        <w:t xml:space="preserve"> In section 25.227(b)(3)(i) of the rules, the Commission required ESAA </w:t>
      </w:r>
      <w:r w:rsidR="00F64226" w:rsidRPr="008B2F67">
        <w:t>l</w:t>
      </w:r>
      <w:r w:rsidR="00E46890" w:rsidRPr="008B2F67">
        <w:t xml:space="preserve">icense </w:t>
      </w:r>
      <w:r w:rsidR="00F64226" w:rsidRPr="008B2F67">
        <w:t xml:space="preserve">applicants </w:t>
      </w:r>
      <w:r w:rsidR="00E46890" w:rsidRPr="008B2F67">
        <w:t>to demonstrate that they could cease transmitting under both scenarios.</w:t>
      </w:r>
      <w:r w:rsidR="00E46890" w:rsidRPr="008B2F67">
        <w:rPr>
          <w:rStyle w:val="FootnoteReference"/>
        </w:rPr>
        <w:footnoteReference w:id="63"/>
      </w:r>
    </w:p>
    <w:p w:rsidR="00F570EC" w:rsidRDefault="004C7A2A" w:rsidP="00C3133B">
      <w:pPr>
        <w:pStyle w:val="ParaNum"/>
        <w:widowControl/>
      </w:pPr>
      <w:r w:rsidRPr="008B2F67">
        <w:rPr>
          <w:i/>
        </w:rPr>
        <w:t>Boeing Petition</w:t>
      </w:r>
      <w:r w:rsidRPr="008B2F67">
        <w:t>.</w:t>
      </w:r>
      <w:r w:rsidRPr="008B2F67">
        <w:rPr>
          <w:i/>
        </w:rPr>
        <w:t xml:space="preserve">  </w:t>
      </w:r>
      <w:r w:rsidR="00CC32C7" w:rsidRPr="008B2F67">
        <w:t>Boeing raises two issues with respect to section 25.227(b)(3)(i).  First, Boeing argues that section 25.227(b)(3)(i) should not require applicants to demonstr</w:t>
      </w:r>
      <w:r w:rsidR="00BE4923" w:rsidRPr="008B2F67">
        <w:t>ate that individual terminals</w:t>
      </w:r>
      <w:r w:rsidR="000A0053" w:rsidRPr="008B2F67">
        <w:t xml:space="preserve"> track the aggregate off-axis EIRP-densit</w:t>
      </w:r>
      <w:r w:rsidR="001A6F52" w:rsidRPr="008B2F67">
        <w:t xml:space="preserve">y for the entire ESAA system.  </w:t>
      </w:r>
      <w:r w:rsidR="00E54419" w:rsidRPr="008B2F67">
        <w:t>Boeing</w:t>
      </w:r>
      <w:r w:rsidR="000A0053" w:rsidRPr="008B2F67">
        <w:t xml:space="preserve"> claims that this rule is contrary to section 25.227(a)(3)(ii)(B) which states that the entire system must be capable of shutting off an individual transmitter or the entire system if the aggregate off-axis EIRP-densities exceed those supplied to the target satellite.</w:t>
      </w:r>
      <w:r w:rsidR="003E0341" w:rsidRPr="008B2F67">
        <w:rPr>
          <w:rStyle w:val="FootnoteReference"/>
        </w:rPr>
        <w:footnoteReference w:id="64"/>
      </w:r>
      <w:r w:rsidR="00C743FF" w:rsidRPr="008B2F67">
        <w:t xml:space="preserve">  </w:t>
      </w:r>
      <w:r w:rsidR="00CF4A19" w:rsidRPr="008B2F67">
        <w:t>Boeing, therefore, recommends that the Commission remove the phrase “an individual transmitter” in section 25.227(b)(3)(i) so th</w:t>
      </w:r>
      <w:r w:rsidR="00AC68E3" w:rsidRPr="008B2F67">
        <w:t xml:space="preserve">at only “the entire system” is </w:t>
      </w:r>
      <w:r w:rsidR="00CF4A19" w:rsidRPr="008B2F67">
        <w:t xml:space="preserve">capable of </w:t>
      </w:r>
      <w:r w:rsidR="00BE4E07" w:rsidRPr="008B2F67">
        <w:t>monitoring the aggregate off-axis EIRP-density of an ESAA system.</w:t>
      </w:r>
      <w:r w:rsidR="00071764" w:rsidRPr="008B2F67">
        <w:rPr>
          <w:rStyle w:val="FootnoteReference"/>
        </w:rPr>
        <w:footnoteReference w:id="65"/>
      </w:r>
      <w:r w:rsidR="00961236">
        <w:t xml:space="preserve">  In its </w:t>
      </w:r>
      <w:r w:rsidR="00961236" w:rsidRPr="00C278EF">
        <w:rPr>
          <w:i/>
        </w:rPr>
        <w:t>ex parte</w:t>
      </w:r>
      <w:r w:rsidR="00961236">
        <w:t xml:space="preserve"> filing, Boeing argues that the language in section 25.227(b)(3)(i) should closely reflect the language in section 25.227(a)(3)(ii)(B).</w:t>
      </w:r>
      <w:r w:rsidR="003920CD">
        <w:rPr>
          <w:rStyle w:val="FootnoteReference"/>
        </w:rPr>
        <w:footnoteReference w:id="66"/>
      </w:r>
    </w:p>
    <w:p w:rsidR="0050482E" w:rsidRPr="008B2F67" w:rsidRDefault="00741A71">
      <w:pPr>
        <w:pStyle w:val="ParaNum"/>
      </w:pPr>
      <w:r w:rsidRPr="008B2F67">
        <w:t>Second, Boeing argues that the Commission should remove the time requirement, “100 milliseconds,” from section 25.227(b)(3)(i) because it is not clear what event trigg</w:t>
      </w:r>
      <w:r w:rsidR="00202D29" w:rsidRPr="008B2F67">
        <w:t>ers the 100 millisecond time</w:t>
      </w:r>
      <w:r w:rsidRPr="008B2F67">
        <w:t xml:space="preserve"> requirement.</w:t>
      </w:r>
      <w:r w:rsidR="005659A0" w:rsidRPr="008B2F67">
        <w:rPr>
          <w:rStyle w:val="FootnoteReference"/>
        </w:rPr>
        <w:footnoteReference w:id="67"/>
      </w:r>
      <w:r w:rsidR="00A379E2" w:rsidRPr="008B2F67">
        <w:t xml:space="preserve">  Boeing argues the rule’s</w:t>
      </w:r>
      <w:r w:rsidR="008B01BC" w:rsidRPr="008B2F67">
        <w:t xml:space="preserve"> </w:t>
      </w:r>
      <w:r w:rsidR="00613A1B" w:rsidRPr="008B2F67">
        <w:t xml:space="preserve">language suggests that the </w:t>
      </w:r>
      <w:r w:rsidR="00E870A3" w:rsidRPr="008B2F67">
        <w:t xml:space="preserve">dynamic power </w:t>
      </w:r>
      <w:r w:rsidR="00613A1B" w:rsidRPr="008B2F67">
        <w:t>ESAA system must cease emissions at the</w:t>
      </w:r>
      <w:r w:rsidR="00AF5226">
        <w:t xml:space="preserve"> time of the exceeda</w:t>
      </w:r>
      <w:r w:rsidR="00613A1B" w:rsidRPr="008B2F67">
        <w:t xml:space="preserve">nce, which </w:t>
      </w:r>
      <w:r w:rsidR="006572BD">
        <w:t>it argues</w:t>
      </w:r>
      <w:r w:rsidR="005E3422">
        <w:t xml:space="preserve"> </w:t>
      </w:r>
      <w:r w:rsidR="00E53155" w:rsidRPr="008B2F67">
        <w:t>is infeasible for these systems.</w:t>
      </w:r>
      <w:r w:rsidR="00F93698" w:rsidRPr="008B2F67">
        <w:rPr>
          <w:rStyle w:val="FootnoteReference"/>
        </w:rPr>
        <w:footnoteReference w:id="68"/>
      </w:r>
      <w:r w:rsidR="004B5D6F" w:rsidRPr="008B2F67">
        <w:t xml:space="preserve">  Boeing claims that such an interpretation would impose a stricter time limit than discussed in the </w:t>
      </w:r>
      <w:r w:rsidR="004B5D6F" w:rsidRPr="008B2F67">
        <w:rPr>
          <w:i/>
        </w:rPr>
        <w:t>ESAA NPRM &amp; Order</w:t>
      </w:r>
      <w:r w:rsidR="004B5D6F" w:rsidRPr="008B2F67">
        <w:t>, where</w:t>
      </w:r>
      <w:r w:rsidR="002475ED">
        <w:t xml:space="preserve"> Boeing claims that</w:t>
      </w:r>
      <w:r w:rsidR="004B5D6F" w:rsidRPr="008B2F67">
        <w:t xml:space="preserve"> the Commission stated that the NCMC must issue a command </w:t>
      </w:r>
      <w:r w:rsidR="002475ED">
        <w:t>within 100 milliseconds</w:t>
      </w:r>
      <w:r w:rsidR="004B5D6F" w:rsidRPr="008B2F67">
        <w:t>.</w:t>
      </w:r>
      <w:r w:rsidR="004429AF" w:rsidRPr="008B2F67">
        <w:rPr>
          <w:rStyle w:val="FootnoteReference"/>
        </w:rPr>
        <w:footnoteReference w:id="69"/>
      </w:r>
      <w:r w:rsidR="00FC1DDA">
        <w:t xml:space="preserve"> </w:t>
      </w:r>
    </w:p>
    <w:p w:rsidR="004C7A2A" w:rsidRPr="008B2F67" w:rsidRDefault="00430688">
      <w:pPr>
        <w:pStyle w:val="ParaNum"/>
      </w:pPr>
      <w:r w:rsidRPr="008B2F67">
        <w:t xml:space="preserve">ViaSat supports Boeing’s request to clarify section 25.227(b)(3)(i) with respect to the reference point from which the 100 milliseconds is to be measured.  </w:t>
      </w:r>
      <w:r w:rsidR="0064017F" w:rsidRPr="008B2F67">
        <w:t>Vi</w:t>
      </w:r>
      <w:r w:rsidR="006525AE" w:rsidRPr="008B2F67">
        <w:t>aSat reasons that the ESAA rule is</w:t>
      </w:r>
      <w:r w:rsidR="0064017F" w:rsidRPr="008B2F67">
        <w:t xml:space="preserve"> based on the ESV rule, section </w:t>
      </w:r>
      <w:r w:rsidR="00F503E4">
        <w:t xml:space="preserve">25.222(b)(3)(ii), which </w:t>
      </w:r>
      <w:r w:rsidR="0064017F" w:rsidRPr="008B2F67">
        <w:t>states that the 100 millisecond time frame begins upon receiving a command from the system’s central control and monitoring station.</w:t>
      </w:r>
      <w:r w:rsidR="00921361" w:rsidRPr="008B2F67">
        <w:rPr>
          <w:rStyle w:val="FootnoteReference"/>
        </w:rPr>
        <w:footnoteReference w:id="70"/>
      </w:r>
    </w:p>
    <w:p w:rsidR="0080040C" w:rsidRDefault="00CF4998">
      <w:pPr>
        <w:pStyle w:val="ParaNum"/>
      </w:pPr>
      <w:r w:rsidRPr="00B81A8B">
        <w:rPr>
          <w:i/>
        </w:rPr>
        <w:t>Discussion.</w:t>
      </w:r>
      <w:r w:rsidR="00E870A3" w:rsidRPr="00B81A8B">
        <w:rPr>
          <w:i/>
        </w:rPr>
        <w:t xml:space="preserve">  </w:t>
      </w:r>
      <w:r w:rsidR="00AC4CC6" w:rsidRPr="008B2F67">
        <w:t>We</w:t>
      </w:r>
      <w:r w:rsidR="00F04412">
        <w:t xml:space="preserve"> agree with Boeing </w:t>
      </w:r>
      <w:r w:rsidR="00A42A09">
        <w:t>and ViaS</w:t>
      </w:r>
      <w:r w:rsidR="00EE5530">
        <w:t xml:space="preserve">at </w:t>
      </w:r>
      <w:r w:rsidR="00F04412">
        <w:t xml:space="preserve">that section 25.227(b)(3)(i) should be </w:t>
      </w:r>
      <w:r w:rsidR="007C667B">
        <w:t>clarified</w:t>
      </w:r>
      <w:r w:rsidR="00EE5530">
        <w:t xml:space="preserve">. </w:t>
      </w:r>
      <w:r w:rsidR="000E7D8F" w:rsidRPr="008B2F67">
        <w:t xml:space="preserve"> </w:t>
      </w:r>
      <w:r w:rsidR="007C667B">
        <w:t>Instead of revising section 25.227(b)(3)(i) to more closely reflect the language</w:t>
      </w:r>
      <w:r w:rsidR="00AB6465">
        <w:t xml:space="preserve"> of section 25.227(a)(3)(ii)(B)</w:t>
      </w:r>
      <w:r w:rsidR="007C667B">
        <w:t xml:space="preserve"> as Boeing suggests,</w:t>
      </w:r>
      <w:r w:rsidR="006D795D">
        <w:rPr>
          <w:rStyle w:val="FootnoteReference"/>
        </w:rPr>
        <w:footnoteReference w:id="71"/>
      </w:r>
      <w:r w:rsidR="007C667B">
        <w:t xml:space="preserve"> </w:t>
      </w:r>
      <w:r w:rsidR="00990048">
        <w:t xml:space="preserve">however, </w:t>
      </w:r>
      <w:r w:rsidR="007C667B">
        <w:t>we revise section 25.227(b)(3)(i) to more closely reflect the language</w:t>
      </w:r>
      <w:r w:rsidR="00055C75">
        <w:t xml:space="preserve"> </w:t>
      </w:r>
      <w:r w:rsidR="007C667B">
        <w:t>in</w:t>
      </w:r>
      <w:r w:rsidR="00055C75">
        <w:t xml:space="preserve"> the </w:t>
      </w:r>
      <w:r w:rsidR="00055C75">
        <w:rPr>
          <w:i/>
        </w:rPr>
        <w:t xml:space="preserve">ESAA NPRM &amp; Order </w:t>
      </w:r>
      <w:r w:rsidR="007C667B">
        <w:t xml:space="preserve">and in </w:t>
      </w:r>
      <w:r w:rsidR="00BC0419">
        <w:t>section 25.222(b)(3)(ii) of the</w:t>
      </w:r>
      <w:r w:rsidR="00055C75">
        <w:t xml:space="preserve"> ESV rules.</w:t>
      </w:r>
      <w:r w:rsidR="0010076A">
        <w:rPr>
          <w:rStyle w:val="FootnoteReference"/>
        </w:rPr>
        <w:footnoteReference w:id="72"/>
      </w:r>
      <w:r w:rsidR="0010076A">
        <w:t xml:space="preserve"> </w:t>
      </w:r>
      <w:r w:rsidR="00055C75">
        <w:t xml:space="preserve">  </w:t>
      </w:r>
      <w:r w:rsidR="000B2DB1">
        <w:t xml:space="preserve">First, </w:t>
      </w:r>
      <w:r w:rsidR="007922C4">
        <w:t xml:space="preserve">the language in the </w:t>
      </w:r>
      <w:r w:rsidR="007922C4">
        <w:rPr>
          <w:i/>
        </w:rPr>
        <w:t xml:space="preserve">ESAA NPRM &amp; Order </w:t>
      </w:r>
      <w:r w:rsidR="007922C4">
        <w:t xml:space="preserve">and section 25.222(b)(3)(ii) </w:t>
      </w:r>
      <w:r w:rsidR="00990048">
        <w:t xml:space="preserve">clearly </w:t>
      </w:r>
      <w:r w:rsidR="00577D67">
        <w:t>requires individual transmitters to be</w:t>
      </w:r>
      <w:r w:rsidR="007922C4">
        <w:t xml:space="preserve"> self-mon</w:t>
      </w:r>
      <w:r w:rsidR="00577D67">
        <w:t>itoring and capable of shutting themselves off</w:t>
      </w:r>
      <w:r w:rsidR="007922C4">
        <w:t xml:space="preserve">. </w:t>
      </w:r>
      <w:r w:rsidR="00DE55CA">
        <w:t xml:space="preserve"> </w:t>
      </w:r>
      <w:r w:rsidR="000564A9">
        <w:t>Significantly, t</w:t>
      </w:r>
      <w:r w:rsidR="00577D67">
        <w:t xml:space="preserve">he language </w:t>
      </w:r>
      <w:r w:rsidR="000564A9">
        <w:t xml:space="preserve">in those items </w:t>
      </w:r>
      <w:r w:rsidR="00577D67">
        <w:t>does not require individual transmitters to monitor the aggregate EIRP</w:t>
      </w:r>
      <w:r w:rsidR="000564A9">
        <w:t xml:space="preserve"> of the entire system</w:t>
      </w:r>
      <w:r w:rsidR="00454F6C">
        <w:t xml:space="preserve">. </w:t>
      </w:r>
      <w:r w:rsidR="00CA348D">
        <w:t xml:space="preserve"> </w:t>
      </w:r>
      <w:r w:rsidR="007922C4">
        <w:t xml:space="preserve">Second, </w:t>
      </w:r>
      <w:r w:rsidR="000B2DB1">
        <w:t>w</w:t>
      </w:r>
      <w:r w:rsidR="00E6736B">
        <w:t xml:space="preserve">e </w:t>
      </w:r>
      <w:r w:rsidR="00765726">
        <w:t xml:space="preserve">agree with ViaSat that the reference point from which the 100-millisecond requirement is to be measured </w:t>
      </w:r>
      <w:r w:rsidR="00CA245A">
        <w:t>for exceeding the</w:t>
      </w:r>
      <w:r w:rsidR="00471B9F">
        <w:t xml:space="preserve"> </w:t>
      </w:r>
      <w:r w:rsidR="007922C4">
        <w:t xml:space="preserve">ESAA system’s </w:t>
      </w:r>
      <w:r w:rsidR="00471B9F">
        <w:t>aggregate</w:t>
      </w:r>
      <w:r w:rsidR="00CA245A">
        <w:t xml:space="preserve"> off-axis EIRP-density </w:t>
      </w:r>
      <w:r w:rsidR="00765726">
        <w:t>is upon receiving a command from the ESAA system’s NCMC.</w:t>
      </w:r>
      <w:r w:rsidR="003E054D">
        <w:rPr>
          <w:rStyle w:val="FootnoteReference"/>
        </w:rPr>
        <w:footnoteReference w:id="73"/>
      </w:r>
      <w:r w:rsidR="00765726">
        <w:t xml:space="preserve"> </w:t>
      </w:r>
      <w:r w:rsidR="00074721">
        <w:t xml:space="preserve"> </w:t>
      </w:r>
      <w:r w:rsidR="00240EE2">
        <w:t>The language in section 25.227(a</w:t>
      </w:r>
      <w:r w:rsidR="00454F6C">
        <w:t>)(3)(ii)(B) does not</w:t>
      </w:r>
      <w:r w:rsidR="00240EE2">
        <w:t xml:space="preserve"> specify a 100 millisecond requirement for ceasing aggregate transmissions.  </w:t>
      </w:r>
      <w:r w:rsidR="00060613">
        <w:t>Thus, w</w:t>
      </w:r>
      <w:r w:rsidR="00055C75">
        <w:t xml:space="preserve">e find </w:t>
      </w:r>
      <w:r w:rsidR="000B2DB1">
        <w:t xml:space="preserve">that </w:t>
      </w:r>
      <w:r w:rsidR="00332C50">
        <w:t>adopting language based on</w:t>
      </w:r>
      <w:r w:rsidR="00074721">
        <w:t xml:space="preserve"> the </w:t>
      </w:r>
      <w:r w:rsidR="00074721" w:rsidRPr="000E7D8F">
        <w:rPr>
          <w:i/>
        </w:rPr>
        <w:t xml:space="preserve">ESAA NPRM &amp; Order </w:t>
      </w:r>
      <w:r w:rsidR="00060613">
        <w:t>and section 25.222(b)(3)(ii) provid</w:t>
      </w:r>
      <w:r w:rsidR="00055C75">
        <w:t>e</w:t>
      </w:r>
      <w:r w:rsidR="007922C4">
        <w:t>s</w:t>
      </w:r>
      <w:r w:rsidR="00055C75">
        <w:t xml:space="preserve"> a clear road map for ESA</w:t>
      </w:r>
      <w:r w:rsidR="00332C50">
        <w:t>A</w:t>
      </w:r>
      <w:r w:rsidR="00055C75">
        <w:t xml:space="preserve"> applicants demonstrating their ability to comply with</w:t>
      </w:r>
      <w:r w:rsidR="00060613">
        <w:t xml:space="preserve"> the cessation of emission requirements</w:t>
      </w:r>
      <w:r w:rsidR="00055C75">
        <w:t>.  Accordingly</w:t>
      </w:r>
      <w:r w:rsidR="00060613">
        <w:t>,</w:t>
      </w:r>
      <w:r w:rsidR="00980EDF">
        <w:t xml:space="preserve"> we </w:t>
      </w:r>
      <w:r w:rsidR="00F17F65">
        <w:t>revise</w:t>
      </w:r>
      <w:r w:rsidR="00BC0419">
        <w:t xml:space="preserve"> </w:t>
      </w:r>
      <w:r w:rsidR="00980EDF">
        <w:t>section 25.227(b)(3)(i) as follows:</w:t>
      </w:r>
    </w:p>
    <w:p w:rsidR="005C5327" w:rsidRPr="008B2F67" w:rsidRDefault="0080040C" w:rsidP="00C3133B">
      <w:pPr>
        <w:pStyle w:val="ParaNum"/>
        <w:numPr>
          <w:ilvl w:val="0"/>
          <w:numId w:val="0"/>
        </w:numPr>
        <w:ind w:left="720"/>
      </w:pPr>
      <w:r>
        <w:t xml:space="preserve">The ESAA applicant shall provide a detailed showing that an individual ESAA terminal is </w:t>
      </w:r>
      <w:r w:rsidR="00F17F65">
        <w:t xml:space="preserve">self-monitoring and capable of shutting itself off </w:t>
      </w:r>
      <w:r>
        <w:t xml:space="preserve">automatically </w:t>
      </w:r>
      <w:r w:rsidR="00F17F65">
        <w:t>within 100 milliseconds</w:t>
      </w:r>
      <w:r>
        <w:rPr>
          <w:b/>
        </w:rPr>
        <w:t xml:space="preserve"> </w:t>
      </w:r>
      <w:r>
        <w:t>if the ESAA transmitter exceeds the off-axis EIRP-density limit specified in paragraph (a)(3)(i) of this section</w:t>
      </w:r>
      <w:r w:rsidR="00CA126F">
        <w:t xml:space="preserve">.  The ESAA applicant also shall provide a detailed showing that one or more transmitters are capable of automatically ceasing or reducing emissions within 100 milliseconds of receiving </w:t>
      </w:r>
      <w:r w:rsidR="007922C4">
        <w:t>a</w:t>
      </w:r>
      <w:r w:rsidR="00CA126F">
        <w:t xml:space="preserve"> command from the system’s network control and monitoring center </w:t>
      </w:r>
      <w:r w:rsidR="007922C4">
        <w:t>t</w:t>
      </w:r>
      <w:r w:rsidR="00D33A9F">
        <w:t>hat</w:t>
      </w:r>
      <w:r w:rsidR="007922C4">
        <w:t xml:space="preserve"> </w:t>
      </w:r>
      <w:r w:rsidR="00CA126F">
        <w:t>the aggregate off-axis EIRP spectral-densities of the transmitter or transmitters exceed the off-axis EIRP-density limits specified in paragraph (a)(3)(i) of this section.</w:t>
      </w:r>
      <w:r w:rsidR="00074721">
        <w:t xml:space="preserve"> </w:t>
      </w:r>
      <w:r w:rsidR="007922C4">
        <w:t>The International Bureau will place this showing on public notice along with the application.</w:t>
      </w:r>
      <w:r w:rsidR="000B2DB1">
        <w:t xml:space="preserve"> </w:t>
      </w:r>
      <w:r w:rsidR="00B81A8B" w:rsidRPr="008B2F67">
        <w:t xml:space="preserve">  </w:t>
      </w:r>
      <w:r w:rsidR="000A1F56">
        <w:t xml:space="preserve"> </w:t>
      </w:r>
      <w:r w:rsidR="00240EE2">
        <w:t xml:space="preserve"> </w:t>
      </w:r>
    </w:p>
    <w:p w:rsidR="0028162B" w:rsidRPr="008B2F67" w:rsidRDefault="00E14D29" w:rsidP="000F55B9">
      <w:pPr>
        <w:pStyle w:val="Heading2"/>
        <w:widowControl/>
      </w:pPr>
      <w:bookmarkStart w:id="191" w:name="_Toc361753002"/>
      <w:bookmarkStart w:id="192" w:name="_Toc361753269"/>
      <w:bookmarkStart w:id="193" w:name="_Toc361990964"/>
      <w:bookmarkStart w:id="194" w:name="_Toc362618082"/>
      <w:bookmarkStart w:id="195" w:name="_Toc362618125"/>
      <w:bookmarkStart w:id="196" w:name="_Toc362961105"/>
      <w:bookmarkStart w:id="197" w:name="_Toc364432484"/>
      <w:bookmarkStart w:id="198" w:name="_Toc364673963"/>
      <w:bookmarkStart w:id="199" w:name="_Toc365015458"/>
      <w:bookmarkStart w:id="200" w:name="_Toc374538719"/>
      <w:bookmarkStart w:id="201" w:name="_Toc376787515"/>
      <w:bookmarkStart w:id="202" w:name="_Toc379959728"/>
      <w:bookmarkStart w:id="203" w:name="_Toc379959875"/>
      <w:bookmarkStart w:id="204" w:name="_Toc379982297"/>
      <w:bookmarkStart w:id="205" w:name="_Toc380656030"/>
      <w:bookmarkStart w:id="206" w:name="_Toc380661565"/>
      <w:bookmarkStart w:id="207" w:name="_Toc383443122"/>
      <w:bookmarkStart w:id="208" w:name="_Toc383680129"/>
      <w:bookmarkStart w:id="209" w:name="_Toc383701102"/>
      <w:r w:rsidRPr="008B2F67">
        <w:t>Antenna Pointing Error Requirement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8B2F67">
        <w:t xml:space="preserve">  </w:t>
      </w:r>
    </w:p>
    <w:p w:rsidR="00E14D29" w:rsidRPr="008B2F67" w:rsidRDefault="00E14D29" w:rsidP="00C3133B">
      <w:pPr>
        <w:pStyle w:val="ParaNum"/>
      </w:pPr>
      <w:r w:rsidRPr="008B2F67">
        <w:t xml:space="preserve">Section 25.227(a)(1)(ii)(A) requires ESAA operators to maintain </w:t>
      </w:r>
      <w:r w:rsidR="00987F37">
        <w:t>an antenna pointing error that is less than or equal to</w:t>
      </w:r>
      <w:r w:rsidRPr="008B2F67">
        <w:t xml:space="preserve"> 0.2 degrees.  In the </w:t>
      </w:r>
      <w:r w:rsidRPr="008B2F67">
        <w:rPr>
          <w:i/>
        </w:rPr>
        <w:t>ESAA NPRM &amp; Order</w:t>
      </w:r>
      <w:r w:rsidRPr="008B2F67">
        <w:t>, the Commission stated that, as part of the application process, the ESAA applicant must demonstrate that the antenna pointing error is within three sigma</w:t>
      </w:r>
      <w:r w:rsidR="00883BBA" w:rsidRPr="008B2F67">
        <w:t xml:space="preserve"> </w:t>
      </w:r>
      <w:r w:rsidR="00492559" w:rsidRPr="008B2F67">
        <w:t>(</w:t>
      </w:r>
      <w:r w:rsidR="00492559" w:rsidRPr="00FF51C7">
        <w:rPr>
          <w:rFonts w:ascii="Cambria Math" w:hAnsi="Cambria Math"/>
        </w:rPr>
        <w:t>б</w:t>
      </w:r>
      <w:r w:rsidR="00492559" w:rsidRPr="008B2F67">
        <w:t>)</w:t>
      </w:r>
      <w:r w:rsidRPr="008B2F67">
        <w:t xml:space="preserve"> from the mean value.  This requirement is codified in section 25.227(b)(1)(iii)(A).</w:t>
      </w:r>
    </w:p>
    <w:p w:rsidR="00057D0B" w:rsidRDefault="0046661B">
      <w:pPr>
        <w:pStyle w:val="ParaNum"/>
      </w:pPr>
      <w:r w:rsidRPr="008B2F67">
        <w:rPr>
          <w:i/>
        </w:rPr>
        <w:t>Boeing Petition</w:t>
      </w:r>
      <w:r w:rsidRPr="008B2F67">
        <w:t xml:space="preserve">.  Boeing requests that the Commission add the following </w:t>
      </w:r>
      <w:r w:rsidR="00883BBA" w:rsidRPr="008B2F67">
        <w:t xml:space="preserve">underlined </w:t>
      </w:r>
      <w:r w:rsidRPr="008B2F67">
        <w:t xml:space="preserve">phrase to section 25.227(b)(1)(iii)(A): </w:t>
      </w:r>
      <w:r w:rsidR="00883BBA" w:rsidRPr="008B2F67">
        <w:t xml:space="preserve"> “[a]s part of the engineering analysis the ESAA applicant must show that the antenna pointing error is within three sigma </w:t>
      </w:r>
      <w:r w:rsidR="00492559" w:rsidRPr="008B2F67">
        <w:t xml:space="preserve">(б) </w:t>
      </w:r>
      <w:r w:rsidR="00883BBA" w:rsidRPr="008B2F67">
        <w:t xml:space="preserve">from the mean value </w:t>
      </w:r>
      <w:r w:rsidRPr="008B2F67">
        <w:rPr>
          <w:u w:val="single"/>
        </w:rPr>
        <w:t>(</w:t>
      </w:r>
      <w:r w:rsidRPr="008B2F67">
        <w:rPr>
          <w:i/>
          <w:u w:val="single"/>
        </w:rPr>
        <w:t>i.e.</w:t>
      </w:r>
      <w:r w:rsidRPr="008B2F67">
        <w:rPr>
          <w:u w:val="single"/>
        </w:rPr>
        <w:t>, that the antenna maintains a pointing error of 0.2 degrees for 99.7 percent of the time)</w:t>
      </w:r>
      <w:r w:rsidR="008753FB">
        <w:t>.</w:t>
      </w:r>
      <w:r w:rsidRPr="008B2F67">
        <w:t>”</w:t>
      </w:r>
      <w:r w:rsidR="006116EE" w:rsidRPr="008B2F67">
        <w:rPr>
          <w:rStyle w:val="FootnoteReference"/>
        </w:rPr>
        <w:footnoteReference w:id="74"/>
      </w:r>
      <w:r w:rsidRPr="008B2F67">
        <w:t xml:space="preserve"> </w:t>
      </w:r>
      <w:r w:rsidR="008753FB">
        <w:t xml:space="preserve"> The phrase that Boeing requests we add to the rule is</w:t>
      </w:r>
      <w:r w:rsidRPr="008B2F67">
        <w:t xml:space="preserve"> used in the </w:t>
      </w:r>
      <w:r w:rsidRPr="008B2F67">
        <w:rPr>
          <w:i/>
        </w:rPr>
        <w:t>ESAA NPRM &amp; Order</w:t>
      </w:r>
      <w:r w:rsidRPr="008B2F67">
        <w:t xml:space="preserve"> to explain what the Commission meant by the </w:t>
      </w:r>
      <w:r w:rsidR="00FF7D5F">
        <w:t>expression</w:t>
      </w:r>
      <w:r w:rsidRPr="008B2F67">
        <w:t xml:space="preserve"> “within three sigma from the mean value.”</w:t>
      </w:r>
      <w:r w:rsidR="00DF1D95" w:rsidRPr="008B2F67">
        <w:rPr>
          <w:rStyle w:val="FootnoteReference"/>
        </w:rPr>
        <w:footnoteReference w:id="75"/>
      </w:r>
      <w:r w:rsidR="00126361" w:rsidRPr="008B2F67">
        <w:t xml:space="preserve">  </w:t>
      </w:r>
      <w:r w:rsidR="00256BCD">
        <w:t xml:space="preserve">Boeing argues that such a change would ensure that the rule reflects the Commission’s intent as discussed in the </w:t>
      </w:r>
      <w:r w:rsidR="00256BCD">
        <w:rPr>
          <w:i/>
        </w:rPr>
        <w:t>ESAA NPRM &amp; Order</w:t>
      </w:r>
      <w:r w:rsidR="00256BCD">
        <w:t xml:space="preserve">. </w:t>
      </w:r>
      <w:r w:rsidR="00256BCD">
        <w:rPr>
          <w:i/>
        </w:rPr>
        <w:t xml:space="preserve"> </w:t>
      </w:r>
      <w:r w:rsidR="00126361" w:rsidRPr="008B2F67">
        <w:t>ViaSat agrees with Boeing’s proposal.</w:t>
      </w:r>
      <w:r w:rsidR="00897D31" w:rsidRPr="008B2F67">
        <w:rPr>
          <w:rStyle w:val="FootnoteReference"/>
        </w:rPr>
        <w:footnoteReference w:id="76"/>
      </w:r>
      <w:r w:rsidR="001858C9" w:rsidRPr="008B2F67">
        <w:t xml:space="preserve">  </w:t>
      </w:r>
    </w:p>
    <w:p w:rsidR="00057D0B" w:rsidRDefault="00057D0B">
      <w:pPr>
        <w:pStyle w:val="ParaNum"/>
      </w:pPr>
      <w:r>
        <w:rPr>
          <w:i/>
        </w:rPr>
        <w:t xml:space="preserve">Discussion.  </w:t>
      </w:r>
      <w:r w:rsidR="00405251">
        <w:t xml:space="preserve">We </w:t>
      </w:r>
      <w:r w:rsidR="00AE6B05" w:rsidRPr="008B2F67">
        <w:t>agree with Boeing</w:t>
      </w:r>
      <w:r w:rsidR="00405251">
        <w:t xml:space="preserve"> that section 25.227(b)(1)(iii)(A) should include language clarifying the intended meaning of</w:t>
      </w:r>
      <w:r w:rsidR="00A10040">
        <w:t xml:space="preserve"> the phrase “the ESAA applicant must show that </w:t>
      </w:r>
      <w:r w:rsidR="00405251">
        <w:t>the antenna pointing error is</w:t>
      </w:r>
      <w:r w:rsidR="00526A03">
        <w:t xml:space="preserve"> within three</w:t>
      </w:r>
      <w:r w:rsidR="00405251">
        <w:t xml:space="preserve"> sigma</w:t>
      </w:r>
      <w:r w:rsidR="00A10040">
        <w:t xml:space="preserve"> </w:t>
      </w:r>
      <w:r w:rsidR="00A10040" w:rsidRPr="008B2F67">
        <w:t>(</w:t>
      </w:r>
      <w:r w:rsidR="00934432" w:rsidRPr="008B2F67">
        <w:t>б</w:t>
      </w:r>
      <w:r w:rsidR="00A10040" w:rsidRPr="008B2F67">
        <w:t xml:space="preserve">) </w:t>
      </w:r>
      <w:r w:rsidR="00A10040">
        <w:t>from the mean value.”</w:t>
      </w:r>
      <w:r w:rsidR="00405251">
        <w:t xml:space="preserve"> </w:t>
      </w:r>
      <w:r w:rsidR="00205F16">
        <w:t xml:space="preserve"> </w:t>
      </w:r>
      <w:r w:rsidR="00C8175D">
        <w:t xml:space="preserve">However, </w:t>
      </w:r>
      <w:r w:rsidR="00341305">
        <w:t>instead of</w:t>
      </w:r>
      <w:r w:rsidR="00EF62FD">
        <w:t xml:space="preserve"> granting</w:t>
      </w:r>
      <w:r w:rsidR="00C8175D">
        <w:t xml:space="preserve"> Boeing’</w:t>
      </w:r>
      <w:r w:rsidR="003C2F29">
        <w:t>s proposal to adopt the</w:t>
      </w:r>
      <w:r w:rsidR="00266BA3">
        <w:t xml:space="preserve"> </w:t>
      </w:r>
      <w:r w:rsidR="008753FB">
        <w:t>exact</w:t>
      </w:r>
      <w:r w:rsidR="00C8175D">
        <w:t xml:space="preserve"> language</w:t>
      </w:r>
      <w:r w:rsidR="003C2F29">
        <w:t xml:space="preserve"> used in the </w:t>
      </w:r>
      <w:r w:rsidR="003C2F29">
        <w:rPr>
          <w:i/>
        </w:rPr>
        <w:t>ESAA NPRM &amp; Order</w:t>
      </w:r>
      <w:r w:rsidR="007F4FDD">
        <w:t xml:space="preserve">, we </w:t>
      </w:r>
      <w:r w:rsidR="008753FB">
        <w:t xml:space="preserve">revise the rule to </w:t>
      </w:r>
      <w:r w:rsidR="007F4FDD">
        <w:t xml:space="preserve">more </w:t>
      </w:r>
      <w:r w:rsidR="008753FB">
        <w:t xml:space="preserve">accurately reflect </w:t>
      </w:r>
      <w:r w:rsidR="007F4FDD">
        <w:t xml:space="preserve">the </w:t>
      </w:r>
      <w:r w:rsidR="005E398F">
        <w:t xml:space="preserve">intended </w:t>
      </w:r>
      <w:r w:rsidR="007F4FDD">
        <w:t xml:space="preserve">meaning </w:t>
      </w:r>
      <w:r w:rsidR="00890356">
        <w:t>of</w:t>
      </w:r>
      <w:r w:rsidR="00E517D1">
        <w:t xml:space="preserve"> this phrase</w:t>
      </w:r>
      <w:r w:rsidR="008244B3">
        <w:t>.</w:t>
      </w:r>
      <w:r w:rsidR="00C8175D">
        <w:t xml:space="preserve">  </w:t>
      </w:r>
      <w:r w:rsidR="007F4FDD">
        <w:t>In particular</w:t>
      </w:r>
      <w:r w:rsidR="00F82869">
        <w:t xml:space="preserve">, we </w:t>
      </w:r>
      <w:r w:rsidR="00A53D55">
        <w:t>modify the</w:t>
      </w:r>
      <w:r w:rsidR="00341305">
        <w:t xml:space="preserve"> last sentence of </w:t>
      </w:r>
      <w:r w:rsidR="00F82869">
        <w:t>section 25.227(b)(1)(iii)(A)</w:t>
      </w:r>
      <w:r w:rsidR="00A53D55">
        <w:t xml:space="preserve"> as follows</w:t>
      </w:r>
      <w:r>
        <w:t xml:space="preserve">: </w:t>
      </w:r>
    </w:p>
    <w:p w:rsidR="00934432" w:rsidRPr="00934432" w:rsidRDefault="00934432" w:rsidP="00C3133B">
      <w:pPr>
        <w:pStyle w:val="ParaNum"/>
        <w:numPr>
          <w:ilvl w:val="0"/>
          <w:numId w:val="0"/>
        </w:numPr>
        <w:ind w:left="720"/>
        <w:rPr>
          <w:rFonts w:ascii="Tahoma" w:hAnsi="Tahoma" w:cs="Tahoma"/>
          <w:snapToGrid/>
          <w:szCs w:val="26"/>
        </w:rPr>
      </w:pPr>
      <w:r w:rsidRPr="00934432">
        <w:rPr>
          <w:snapToGrid/>
        </w:rPr>
        <w:t xml:space="preserve">As part of the engineering analysis, the ESAA applicant must show that </w:t>
      </w:r>
      <w:r w:rsidR="007B2793">
        <w:t xml:space="preserve">the antenna pointing error is within three sigma </w:t>
      </w:r>
      <w:r w:rsidR="007B2793" w:rsidRPr="008B2F67">
        <w:t xml:space="preserve">(б) </w:t>
      </w:r>
      <w:r w:rsidR="007B2793">
        <w:t xml:space="preserve">from the mean value, </w:t>
      </w:r>
      <w:r w:rsidR="007B2793" w:rsidRPr="007B2793">
        <w:rPr>
          <w:i/>
        </w:rPr>
        <w:t>i.e.</w:t>
      </w:r>
      <w:r w:rsidR="007B2793">
        <w:t>, that t</w:t>
      </w:r>
      <w:r w:rsidR="007B2793" w:rsidRPr="00934432">
        <w:rPr>
          <w:snapToGrid/>
        </w:rPr>
        <w:t xml:space="preserve">here is a 0.997 probability </w:t>
      </w:r>
      <w:r w:rsidR="007B2793">
        <w:t xml:space="preserve">the </w:t>
      </w:r>
      <w:r w:rsidR="007B2793" w:rsidRPr="00934432">
        <w:rPr>
          <w:snapToGrid/>
        </w:rPr>
        <w:t>antenna maintains a pointing error within 0.2º</w:t>
      </w:r>
      <w:r w:rsidRPr="00934432">
        <w:rPr>
          <w:snapToGrid/>
        </w:rPr>
        <w:t>; and</w:t>
      </w:r>
    </w:p>
    <w:p w:rsidR="007F4FDD" w:rsidRDefault="00824FC7" w:rsidP="00C3133B">
      <w:pPr>
        <w:pStyle w:val="ParaNum"/>
        <w:widowControl/>
        <w:numPr>
          <w:ilvl w:val="0"/>
          <w:numId w:val="0"/>
        </w:numPr>
      </w:pPr>
      <w:r>
        <w:t>We</w:t>
      </w:r>
      <w:r w:rsidR="0035409A">
        <w:t xml:space="preserve"> adopt this</w:t>
      </w:r>
      <w:r>
        <w:t xml:space="preserve"> language</w:t>
      </w:r>
      <w:r w:rsidR="005E398F">
        <w:t xml:space="preserve"> because it is</w:t>
      </w:r>
      <w:r w:rsidR="00745BD3">
        <w:t xml:space="preserve"> consistent with the inten</w:t>
      </w:r>
      <w:r w:rsidR="005E398F">
        <w:t>ded meaning</w:t>
      </w:r>
      <w:r w:rsidR="00745BD3">
        <w:t xml:space="preserve"> of maintaining the pointing error within three sigma from the mean value</w:t>
      </w:r>
      <w:r w:rsidR="0035409A">
        <w:t>, which is to provide a statistical measurement of the antenna pointing error</w:t>
      </w:r>
      <w:r w:rsidR="005E398F">
        <w:t>.  As a result, such language ensures</w:t>
      </w:r>
      <w:r w:rsidR="007F4FDD">
        <w:t xml:space="preserve"> the ESAA applicant demonstrates the antenna’s ability to maintain an antenna pointing error that is less than or equal to 0.2 degrees with the probability of 0.997,</w:t>
      </w:r>
      <w:r w:rsidR="005E398F">
        <w:t xml:space="preserve"> which is the</w:t>
      </w:r>
      <w:r w:rsidR="007F4FDD">
        <w:t xml:space="preserve"> equivalent to the three sigma (</w:t>
      </w:r>
      <w:r w:rsidR="002718C6" w:rsidRPr="008B2F67">
        <w:t>б</w:t>
      </w:r>
      <w:r w:rsidR="007F4FDD">
        <w:t>) value</w:t>
      </w:r>
      <w:r w:rsidR="005E398F">
        <w:t>.</w:t>
      </w:r>
    </w:p>
    <w:p w:rsidR="00947872" w:rsidRPr="008B78BD" w:rsidRDefault="00D148F9" w:rsidP="00C3133B">
      <w:pPr>
        <w:pStyle w:val="Heading1"/>
      </w:pPr>
      <w:bookmarkStart w:id="210" w:name="_Toc361753004"/>
      <w:bookmarkStart w:id="211" w:name="_Toc361753271"/>
      <w:bookmarkStart w:id="212" w:name="_Toc361990966"/>
      <w:bookmarkStart w:id="213" w:name="_Toc362618083"/>
      <w:bookmarkStart w:id="214" w:name="_Toc362618126"/>
      <w:bookmarkStart w:id="215" w:name="_Toc362961106"/>
      <w:bookmarkStart w:id="216" w:name="_Toc364432485"/>
      <w:bookmarkStart w:id="217" w:name="_Toc364673964"/>
      <w:bookmarkStart w:id="218" w:name="_Toc365015459"/>
      <w:bookmarkStart w:id="219" w:name="_Toc374538720"/>
      <w:bookmarkStart w:id="220" w:name="_Toc376787516"/>
      <w:bookmarkStart w:id="221" w:name="_Toc379959729"/>
      <w:bookmarkStart w:id="222" w:name="_Toc379959876"/>
      <w:bookmarkStart w:id="223" w:name="_Toc379982298"/>
      <w:bookmarkStart w:id="224" w:name="_Toc380656031"/>
      <w:bookmarkStart w:id="225" w:name="_Toc380661566"/>
      <w:bookmarkStart w:id="226" w:name="_Toc383443123"/>
      <w:bookmarkStart w:id="227" w:name="_Toc383680130"/>
      <w:bookmarkStart w:id="228" w:name="_Toc383701103"/>
      <w:r w:rsidRPr="008B2F67">
        <w:t>PROCEDURAL MATTERS</w:t>
      </w:r>
      <w:bookmarkStart w:id="229" w:name="_Toc173826081"/>
      <w:bookmarkStart w:id="230" w:name="_Toc180400820"/>
      <w:bookmarkStart w:id="231" w:name="_Toc191291309"/>
      <w:bookmarkStart w:id="232" w:name="_Toc191440258"/>
      <w:bookmarkStart w:id="233" w:name="_Toc191868605"/>
      <w:bookmarkStart w:id="234" w:name="_Toc192645548"/>
      <w:bookmarkStart w:id="235" w:name="_Toc228179804"/>
      <w:bookmarkStart w:id="236" w:name="_Toc228769738"/>
      <w:bookmarkStart w:id="237" w:name="_Toc236802986"/>
      <w:bookmarkStart w:id="238" w:name="_Toc280621719"/>
      <w:bookmarkStart w:id="239" w:name="_Toc280621778"/>
      <w:bookmarkStart w:id="240" w:name="_Toc280622802"/>
      <w:bookmarkStart w:id="241" w:name="_Toc284853640"/>
      <w:bookmarkStart w:id="242" w:name="_Toc287607424"/>
      <w:bookmarkStart w:id="243" w:name="_Toc294266331"/>
      <w:bookmarkStart w:id="244" w:name="_Toc294267557"/>
      <w:bookmarkStart w:id="245" w:name="_Toc321835400"/>
      <w:bookmarkStart w:id="246" w:name="_Toc325447338"/>
      <w:bookmarkStart w:id="247" w:name="_Toc326066860"/>
      <w:bookmarkStart w:id="248" w:name="_Toc328735280"/>
      <w:bookmarkStart w:id="249" w:name="_Toc331079942"/>
      <w:bookmarkStart w:id="250" w:name="_Toc331580278"/>
      <w:bookmarkStart w:id="251" w:name="_Toc332097418"/>
      <w:bookmarkStart w:id="252" w:name="_Toc332117301"/>
      <w:bookmarkStart w:id="253" w:name="_Toc332358158"/>
      <w:bookmarkStart w:id="254" w:name="_Toc332789502"/>
      <w:bookmarkStart w:id="255" w:name="_Toc333912994"/>
      <w:bookmarkStart w:id="256" w:name="_Toc345073423"/>
      <w:bookmarkStart w:id="257" w:name="_Toc361753005"/>
      <w:bookmarkStart w:id="258" w:name="_Toc361753272"/>
      <w:bookmarkStart w:id="259" w:name="_Toc361990967"/>
      <w:bookmarkStart w:id="260" w:name="_Toc362618084"/>
      <w:bookmarkStart w:id="261" w:name="_Toc362618127"/>
      <w:bookmarkStart w:id="262" w:name="_Toc362961107"/>
      <w:bookmarkStart w:id="263" w:name="_Toc364432486"/>
      <w:bookmarkStart w:id="264" w:name="_Toc364673965"/>
      <w:bookmarkStart w:id="265" w:name="_Toc365015460"/>
      <w:bookmarkStart w:id="266" w:name="_Toc317169817"/>
      <w:bookmarkStart w:id="267" w:name="_Toc320013842"/>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2671E0" w:rsidRPr="008B2F67" w:rsidRDefault="002671E0" w:rsidP="000F55B9">
      <w:pPr>
        <w:pStyle w:val="Heading2"/>
        <w:widowControl/>
      </w:pPr>
      <w:bookmarkStart w:id="268" w:name="_Toc374538722"/>
      <w:bookmarkStart w:id="269" w:name="_Toc376787518"/>
      <w:bookmarkStart w:id="270" w:name="_Toc379959731"/>
      <w:bookmarkStart w:id="271" w:name="_Toc379959878"/>
      <w:bookmarkStart w:id="272" w:name="_Toc379982299"/>
      <w:bookmarkStart w:id="273" w:name="_Toc380656032"/>
      <w:bookmarkStart w:id="274" w:name="_Toc380661567"/>
      <w:bookmarkStart w:id="275" w:name="_Toc383443124"/>
      <w:bookmarkStart w:id="276" w:name="_Toc383680131"/>
      <w:bookmarkStart w:id="277" w:name="_Toc383701104"/>
      <w:r w:rsidRPr="008B2F67">
        <w:t xml:space="preserve">Final Regulatory Flexibility </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002706D8">
        <w:t>Analysis</w:t>
      </w:r>
      <w:bookmarkEnd w:id="265"/>
      <w:bookmarkEnd w:id="268"/>
      <w:bookmarkEnd w:id="269"/>
      <w:bookmarkEnd w:id="270"/>
      <w:bookmarkEnd w:id="271"/>
      <w:bookmarkEnd w:id="272"/>
      <w:bookmarkEnd w:id="273"/>
      <w:bookmarkEnd w:id="274"/>
      <w:bookmarkEnd w:id="275"/>
      <w:bookmarkEnd w:id="276"/>
      <w:bookmarkEnd w:id="277"/>
      <w:r w:rsidRPr="008B2F67">
        <w:t xml:space="preserve"> </w:t>
      </w:r>
      <w:bookmarkEnd w:id="266"/>
      <w:bookmarkEnd w:id="267"/>
    </w:p>
    <w:p w:rsidR="002671E0" w:rsidRPr="008B2F67" w:rsidRDefault="00CC3B22" w:rsidP="00C3133B">
      <w:pPr>
        <w:pStyle w:val="ParaNum"/>
        <w:widowControl/>
      </w:pPr>
      <w:r>
        <w:t>The Commis</w:t>
      </w:r>
      <w:r w:rsidR="00B0480B">
        <w:t>sion has prepared a F</w:t>
      </w:r>
      <w:r>
        <w:t>inal</w:t>
      </w:r>
      <w:r w:rsidR="00B0480B">
        <w:t xml:space="preserve"> Regulatory Flexibility Certification</w:t>
      </w:r>
      <w:r>
        <w:t xml:space="preserve"> in Appendix </w:t>
      </w:r>
      <w:r w:rsidR="00B0480B">
        <w:t>A</w:t>
      </w:r>
      <w:r>
        <w:t xml:space="preserve"> for the Second Report and Order and a Final Regulatory Flexibility Certification for the Order </w:t>
      </w:r>
      <w:r w:rsidR="00B0480B">
        <w:t>on Reconsideration in Appendix B</w:t>
      </w:r>
      <w:r>
        <w:t>.</w:t>
      </w:r>
    </w:p>
    <w:p w:rsidR="009010AF" w:rsidRPr="008B2F67" w:rsidRDefault="009010AF" w:rsidP="000F55B9">
      <w:pPr>
        <w:pStyle w:val="Heading2"/>
        <w:widowControl/>
      </w:pPr>
      <w:bookmarkStart w:id="278" w:name="_Toc173825632"/>
      <w:bookmarkStart w:id="279" w:name="_Toc173826082"/>
      <w:bookmarkStart w:id="280" w:name="_Toc180400821"/>
      <w:bookmarkStart w:id="281" w:name="_Toc191291310"/>
      <w:bookmarkStart w:id="282" w:name="_Toc191440259"/>
      <w:bookmarkStart w:id="283" w:name="_Toc191868606"/>
      <w:bookmarkStart w:id="284" w:name="_Toc192645549"/>
      <w:bookmarkStart w:id="285" w:name="_Toc228179805"/>
      <w:bookmarkStart w:id="286" w:name="_Toc228769739"/>
      <w:bookmarkStart w:id="287" w:name="_Toc236802987"/>
      <w:bookmarkStart w:id="288" w:name="_Toc280621720"/>
      <w:bookmarkStart w:id="289" w:name="_Toc280621779"/>
      <w:bookmarkStart w:id="290" w:name="_Toc280622803"/>
      <w:bookmarkStart w:id="291" w:name="_Toc284853641"/>
      <w:bookmarkStart w:id="292" w:name="_Toc287607425"/>
      <w:bookmarkStart w:id="293" w:name="_Toc294266332"/>
      <w:bookmarkStart w:id="294" w:name="_Toc294267558"/>
      <w:bookmarkStart w:id="295" w:name="_Toc317169818"/>
      <w:bookmarkStart w:id="296" w:name="_Toc320013843"/>
      <w:bookmarkStart w:id="297" w:name="_Toc321835401"/>
      <w:bookmarkStart w:id="298" w:name="_Toc325447339"/>
      <w:bookmarkStart w:id="299" w:name="_Toc326066861"/>
      <w:bookmarkStart w:id="300" w:name="_Toc328735281"/>
      <w:bookmarkStart w:id="301" w:name="_Toc331079943"/>
      <w:bookmarkStart w:id="302" w:name="_Toc331580279"/>
      <w:bookmarkStart w:id="303" w:name="_Toc332097419"/>
      <w:bookmarkStart w:id="304" w:name="_Toc332117302"/>
      <w:bookmarkStart w:id="305" w:name="_Toc332358159"/>
      <w:bookmarkStart w:id="306" w:name="_Toc332789503"/>
      <w:bookmarkStart w:id="307" w:name="_Toc333912995"/>
      <w:bookmarkStart w:id="308" w:name="_Toc345073424"/>
      <w:bookmarkStart w:id="309" w:name="_Toc361753006"/>
      <w:bookmarkStart w:id="310" w:name="_Toc361753273"/>
      <w:bookmarkStart w:id="311" w:name="_Toc361990968"/>
      <w:bookmarkStart w:id="312" w:name="_Toc362618085"/>
      <w:bookmarkStart w:id="313" w:name="_Toc362618128"/>
      <w:bookmarkStart w:id="314" w:name="_Toc362961108"/>
      <w:bookmarkStart w:id="315" w:name="_Toc364432487"/>
      <w:bookmarkStart w:id="316" w:name="_Toc364673966"/>
      <w:bookmarkStart w:id="317" w:name="_Toc365015461"/>
      <w:bookmarkStart w:id="318" w:name="_Toc374538723"/>
      <w:bookmarkStart w:id="319" w:name="_Toc376787519"/>
      <w:bookmarkStart w:id="320" w:name="_Toc379959732"/>
      <w:bookmarkStart w:id="321" w:name="_Toc379959879"/>
      <w:bookmarkStart w:id="322" w:name="_Toc379982300"/>
      <w:bookmarkStart w:id="323" w:name="_Toc380656033"/>
      <w:bookmarkStart w:id="324" w:name="_Toc380661568"/>
      <w:bookmarkStart w:id="325" w:name="_Toc383443125"/>
      <w:bookmarkStart w:id="326" w:name="_Toc383680132"/>
      <w:bookmarkStart w:id="327" w:name="_Toc383701105"/>
      <w:r w:rsidRPr="008B2F67">
        <w:t xml:space="preserve">Final Paperwork Reduction Act </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8B2F67">
        <w:t>and Congressional Review Act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B53ED6" w:rsidRPr="008B2F67" w:rsidRDefault="00682CB5">
      <w:pPr>
        <w:pStyle w:val="ParaNum"/>
      </w:pPr>
      <w:r>
        <w:t>This document does not contain new or modified</w:t>
      </w:r>
      <w:r w:rsidRPr="007F1765">
        <w:t xml:space="preserve"> information collection requirements subject to the Paperwork Reduction Act of 1995 (PRA), Public La</w:t>
      </w:r>
      <w:r>
        <w:t>w 104-13.  In addition</w:t>
      </w:r>
      <w:r w:rsidRPr="007F1765">
        <w:t xml:space="preserve">, it does not contain any new or modified information collection burden for small business concerns with fewer than 25 employees, pursuant to the Small Business Paperwork Relief Act of 2002, Public Law 107-198, </w:t>
      </w:r>
      <w:r w:rsidRPr="007F1765">
        <w:rPr>
          <w:i/>
          <w:iCs/>
        </w:rPr>
        <w:t xml:space="preserve">see </w:t>
      </w:r>
      <w:r w:rsidRPr="007F1765">
        <w:t>44 U.S.C. 3506(c)(4).</w:t>
      </w:r>
      <w:r>
        <w:t xml:space="preserve">  </w:t>
      </w:r>
      <w:r w:rsidRPr="00DD4377">
        <w:t xml:space="preserve">The Commission will send a copy of this </w:t>
      </w:r>
      <w:r>
        <w:t>Second Report and Order and Order on Reconsideration</w:t>
      </w:r>
      <w:r w:rsidRPr="00DD4377">
        <w:t xml:space="preserve"> to Congress and the Government Accountability Office pursuant to the Congressional Review Act, </w:t>
      </w:r>
      <w:r w:rsidRPr="00DD4377">
        <w:rPr>
          <w:i/>
          <w:iCs/>
        </w:rPr>
        <w:t>see</w:t>
      </w:r>
      <w:r w:rsidRPr="00DD4377">
        <w:t xml:space="preserve"> 5 U.S.C. 801(a)(1)(A).</w:t>
      </w:r>
    </w:p>
    <w:p w:rsidR="00B53ED6" w:rsidRPr="00E76904" w:rsidRDefault="00B53ED6" w:rsidP="00C3133B">
      <w:pPr>
        <w:pStyle w:val="Heading1"/>
      </w:pPr>
      <w:bookmarkStart w:id="328" w:name="_Toc361753007"/>
      <w:bookmarkStart w:id="329" w:name="_Toc361753274"/>
      <w:bookmarkStart w:id="330" w:name="_Toc361990969"/>
      <w:bookmarkStart w:id="331" w:name="_Toc362618086"/>
      <w:bookmarkStart w:id="332" w:name="_Toc362618129"/>
      <w:bookmarkStart w:id="333" w:name="_Toc362961109"/>
      <w:bookmarkStart w:id="334" w:name="_Toc364432488"/>
      <w:bookmarkStart w:id="335" w:name="_Toc364673967"/>
      <w:bookmarkStart w:id="336" w:name="_Toc365015462"/>
      <w:bookmarkStart w:id="337" w:name="_Toc374538724"/>
      <w:bookmarkStart w:id="338" w:name="_Toc376787520"/>
      <w:bookmarkStart w:id="339" w:name="_Toc379959733"/>
      <w:bookmarkStart w:id="340" w:name="_Toc379959880"/>
      <w:bookmarkStart w:id="341" w:name="_Toc379982301"/>
      <w:bookmarkStart w:id="342" w:name="_Toc380656034"/>
      <w:bookmarkStart w:id="343" w:name="_Toc380661569"/>
      <w:bookmarkStart w:id="344" w:name="_Toc383443126"/>
      <w:bookmarkStart w:id="345" w:name="_Toc383680133"/>
      <w:bookmarkStart w:id="346" w:name="_Toc383701106"/>
      <w:r w:rsidRPr="00E76904">
        <w:t>ORDERING CLAUSES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A175BE" w:rsidRDefault="00A175BE" w:rsidP="00C3133B">
      <w:pPr>
        <w:pStyle w:val="ParaNum"/>
      </w:pPr>
      <w:r w:rsidRPr="00C01EA8">
        <w:rPr>
          <w:rStyle w:val="documentbody1"/>
          <w:rFonts w:ascii="Times New Roman" w:hAnsi="Times New Roman"/>
          <w:sz w:val="22"/>
          <w:szCs w:val="22"/>
        </w:rPr>
        <w:t xml:space="preserve">IT IS ORDERED that, pursuant to sections 4(i), 7, 302, 303(c), 303(e), 303(f) and 303(r) of the Communications Act of 1934, as amended, </w:t>
      </w:r>
      <w:r w:rsidRPr="000A2E93">
        <w:t>47 U.S.C. sections 154(i)</w:t>
      </w:r>
      <w:r w:rsidRPr="00C01EA8">
        <w:rPr>
          <w:rStyle w:val="documentbody1"/>
          <w:rFonts w:ascii="Times New Roman" w:hAnsi="Times New Roman"/>
          <w:sz w:val="22"/>
          <w:szCs w:val="22"/>
        </w:rPr>
        <w:t xml:space="preserve">, </w:t>
      </w:r>
      <w:r w:rsidRPr="000A2E93">
        <w:t>157</w:t>
      </w:r>
      <w:r w:rsidRPr="00C01EA8">
        <w:rPr>
          <w:rStyle w:val="documentbody1"/>
          <w:rFonts w:ascii="Times New Roman" w:hAnsi="Times New Roman"/>
          <w:sz w:val="22"/>
          <w:szCs w:val="22"/>
        </w:rPr>
        <w:t xml:space="preserve">, </w:t>
      </w:r>
      <w:r w:rsidRPr="000A2E93">
        <w:t>302</w:t>
      </w:r>
      <w:r w:rsidR="00732504">
        <w:t>a</w:t>
      </w:r>
      <w:r w:rsidRPr="00C01EA8">
        <w:rPr>
          <w:rStyle w:val="documentbody1"/>
          <w:rFonts w:ascii="Times New Roman" w:hAnsi="Times New Roman"/>
          <w:sz w:val="22"/>
          <w:szCs w:val="22"/>
        </w:rPr>
        <w:t xml:space="preserve">, </w:t>
      </w:r>
      <w:r w:rsidRPr="000A2E93">
        <w:t>303(c)</w:t>
      </w:r>
      <w:r w:rsidRPr="00C01EA8">
        <w:rPr>
          <w:rStyle w:val="documentbody1"/>
          <w:rFonts w:ascii="Times New Roman" w:hAnsi="Times New Roman"/>
          <w:sz w:val="22"/>
          <w:szCs w:val="22"/>
        </w:rPr>
        <w:t xml:space="preserve">, </w:t>
      </w:r>
      <w:r w:rsidRPr="000A2E93">
        <w:t>303(e)</w:t>
      </w:r>
      <w:r w:rsidRPr="00C01EA8">
        <w:rPr>
          <w:rStyle w:val="documentbody1"/>
          <w:rFonts w:ascii="Times New Roman" w:hAnsi="Times New Roman"/>
          <w:sz w:val="22"/>
          <w:szCs w:val="22"/>
        </w:rPr>
        <w:t xml:space="preserve">, </w:t>
      </w:r>
      <w:r w:rsidRPr="000A2E93">
        <w:t>303(f)</w:t>
      </w:r>
      <w:r w:rsidRPr="00C01EA8">
        <w:rPr>
          <w:rStyle w:val="documentbody1"/>
          <w:rFonts w:ascii="Times New Roman" w:hAnsi="Times New Roman"/>
          <w:sz w:val="22"/>
          <w:szCs w:val="22"/>
        </w:rPr>
        <w:t xml:space="preserve"> and </w:t>
      </w:r>
      <w:r w:rsidRPr="000A2E93">
        <w:t>303(r)</w:t>
      </w:r>
      <w:r w:rsidRPr="00C01EA8">
        <w:rPr>
          <w:rStyle w:val="documentbody1"/>
          <w:rFonts w:ascii="Times New Roman" w:hAnsi="Times New Roman"/>
          <w:sz w:val="22"/>
          <w:szCs w:val="22"/>
        </w:rPr>
        <w:t>, this Second Report and Order and Order on Reconsideration IS ADOPTED</w:t>
      </w:r>
      <w:bookmarkStart w:id="347" w:name="SDU_231"/>
      <w:bookmarkEnd w:id="347"/>
      <w:r w:rsidRPr="00C01EA8">
        <w:rPr>
          <w:rStyle w:val="documentbody1"/>
          <w:rFonts w:ascii="Times New Roman" w:hAnsi="Times New Roman"/>
          <w:sz w:val="22"/>
          <w:szCs w:val="22"/>
        </w:rPr>
        <w:t xml:space="preserve">.  </w:t>
      </w:r>
      <w:r w:rsidRPr="00C01EA8">
        <w:rPr>
          <w:shd w:val="clear" w:color="auto" w:fill="FFFFFF"/>
        </w:rPr>
        <w:t>Part 25 of the Commission’s rules IS AMENDED, as specified in Appendix D, effective 30 days after publication in the Federal Register.</w:t>
      </w:r>
      <w:r w:rsidRPr="00C01EA8">
        <w:t xml:space="preserve"> </w:t>
      </w:r>
    </w:p>
    <w:p w:rsidR="00A175BE" w:rsidRPr="00C01EA8" w:rsidRDefault="00A175BE">
      <w:pPr>
        <w:pStyle w:val="ParaNum"/>
        <w:rPr>
          <w:rStyle w:val="documentbody1"/>
        </w:rPr>
      </w:pPr>
      <w:r>
        <w:t xml:space="preserve">IT </w:t>
      </w:r>
      <w:r w:rsidRPr="00D10EC0">
        <w:rPr>
          <w:rStyle w:val="documentbody1"/>
          <w:rFonts w:ascii="Times New Roman" w:hAnsi="Times New Roman"/>
          <w:sz w:val="22"/>
        </w:rPr>
        <w:t xml:space="preserve">IS FURTHER ORDERED that the Petition for Reconsideration filed by The Boeing Company IS GRANTED </w:t>
      </w:r>
      <w:r w:rsidR="00726BBC">
        <w:rPr>
          <w:rStyle w:val="documentbody1"/>
          <w:rFonts w:ascii="Times New Roman" w:hAnsi="Times New Roman"/>
          <w:sz w:val="22"/>
        </w:rPr>
        <w:t>IN PART</w:t>
      </w:r>
      <w:r w:rsidRPr="00D10EC0">
        <w:rPr>
          <w:rStyle w:val="documentbody1"/>
          <w:rFonts w:ascii="Times New Roman" w:hAnsi="Times New Roman"/>
          <w:sz w:val="22"/>
        </w:rPr>
        <w:t xml:space="preserve"> to the extent described above and IS DENIED in all other respects.</w:t>
      </w:r>
    </w:p>
    <w:p w:rsidR="00A175BE" w:rsidRPr="00C01EA8" w:rsidRDefault="00A175BE">
      <w:pPr>
        <w:pStyle w:val="ParaNum"/>
        <w:rPr>
          <w:rStyle w:val="documentbody1"/>
        </w:rPr>
      </w:pPr>
      <w:r>
        <w:rPr>
          <w:rStyle w:val="documentbody1"/>
          <w:rFonts w:ascii="Times New Roman" w:hAnsi="Times New Roman"/>
          <w:sz w:val="22"/>
        </w:rPr>
        <w:t>IT</w:t>
      </w:r>
      <w:r w:rsidRPr="00C01EA8">
        <w:rPr>
          <w:rStyle w:val="documentbody1"/>
          <w:rFonts w:ascii="Times New Roman" w:hAnsi="Times New Roman"/>
          <w:sz w:val="22"/>
        </w:rPr>
        <w:t xml:space="preserve"> IS FU</w:t>
      </w:r>
      <w:r w:rsidR="004C6F6F">
        <w:rPr>
          <w:rStyle w:val="documentbody1"/>
          <w:rFonts w:ascii="Times New Roman" w:hAnsi="Times New Roman"/>
          <w:sz w:val="22"/>
        </w:rPr>
        <w:t>RTHER ORDERED that the</w:t>
      </w:r>
      <w:r w:rsidRPr="00C01EA8">
        <w:rPr>
          <w:rStyle w:val="documentbody1"/>
          <w:rFonts w:ascii="Times New Roman" w:hAnsi="Times New Roman"/>
          <w:sz w:val="22"/>
        </w:rPr>
        <w:t xml:space="preserve"> Final Regulatory Flexibility Certification</w:t>
      </w:r>
      <w:r w:rsidR="004C6F6F">
        <w:rPr>
          <w:rStyle w:val="documentbody1"/>
          <w:rFonts w:ascii="Times New Roman" w:hAnsi="Times New Roman"/>
          <w:sz w:val="22"/>
        </w:rPr>
        <w:t>s</w:t>
      </w:r>
      <w:r w:rsidRPr="00C01EA8">
        <w:rPr>
          <w:rStyle w:val="documentbody1"/>
          <w:rFonts w:ascii="Times New Roman" w:hAnsi="Times New Roman"/>
          <w:sz w:val="22"/>
        </w:rPr>
        <w:t>, as required by section 604 of the Regulatory Flexibility Act, ARE ADOPTED.</w:t>
      </w:r>
    </w:p>
    <w:p w:rsidR="00A175BE" w:rsidRDefault="00207E82">
      <w:pPr>
        <w:pStyle w:val="ParaNum"/>
      </w:pPr>
      <w:r>
        <w:rPr>
          <w:rStyle w:val="documentbody1"/>
          <w:rFonts w:ascii="Times New Roman" w:hAnsi="Times New Roman"/>
          <w:sz w:val="22"/>
        </w:rPr>
        <w:t xml:space="preserve">IT </w:t>
      </w:r>
      <w:r w:rsidR="00A175BE">
        <w:rPr>
          <w:rStyle w:val="documentbody1"/>
          <w:rFonts w:ascii="Times New Roman" w:hAnsi="Times New Roman"/>
          <w:sz w:val="22"/>
        </w:rPr>
        <w:t>I</w:t>
      </w:r>
      <w:r w:rsidR="00A175BE" w:rsidRPr="00D10EC0">
        <w:rPr>
          <w:rStyle w:val="documentbody1"/>
          <w:rFonts w:ascii="Times New Roman" w:hAnsi="Times New Roman"/>
          <w:sz w:val="22"/>
        </w:rPr>
        <w:t xml:space="preserve">S FURTHER ORDERED that the Commission’s Consumer and Governmental Affairs Bureau, Reference Information Center, SHALL SEND a copy of this </w:t>
      </w:r>
      <w:r w:rsidR="00A175BE">
        <w:rPr>
          <w:rStyle w:val="documentbody1"/>
          <w:rFonts w:ascii="Times New Roman" w:hAnsi="Times New Roman"/>
          <w:sz w:val="22"/>
        </w:rPr>
        <w:t xml:space="preserve">Second Report and Order and </w:t>
      </w:r>
      <w:r w:rsidR="00A175BE" w:rsidRPr="00D10EC0">
        <w:rPr>
          <w:rStyle w:val="documentbody1"/>
          <w:rFonts w:ascii="Times New Roman" w:hAnsi="Times New Roman"/>
          <w:sz w:val="22"/>
        </w:rPr>
        <w:t>Order on Reconsideration including the</w:t>
      </w:r>
      <w:r w:rsidR="00A175BE">
        <w:rPr>
          <w:rStyle w:val="documentbody1"/>
          <w:rFonts w:ascii="Times New Roman" w:hAnsi="Times New Roman"/>
          <w:sz w:val="22"/>
        </w:rPr>
        <w:t xml:space="preserve"> Final</w:t>
      </w:r>
      <w:r w:rsidR="00E41E96">
        <w:rPr>
          <w:rStyle w:val="documentbody1"/>
          <w:rFonts w:ascii="Times New Roman" w:hAnsi="Times New Roman"/>
          <w:sz w:val="22"/>
        </w:rPr>
        <w:t xml:space="preserve"> Regulatory Flexibility Certifications</w:t>
      </w:r>
      <w:r w:rsidR="00A175BE" w:rsidRPr="00D10EC0">
        <w:rPr>
          <w:rStyle w:val="documentbody1"/>
          <w:rFonts w:ascii="Times New Roman" w:hAnsi="Times New Roman"/>
          <w:sz w:val="22"/>
        </w:rPr>
        <w:t>, to the Chief Counsel for Advocacy of the Small Business Administration.</w:t>
      </w:r>
    </w:p>
    <w:p w:rsidR="002D0891" w:rsidRDefault="002D0891"/>
    <w:p w:rsidR="00500D4C" w:rsidRDefault="00500D4C" w:rsidP="00C3133B">
      <w:r>
        <w:tab/>
      </w:r>
      <w:r>
        <w:tab/>
      </w:r>
      <w:r>
        <w:tab/>
      </w:r>
      <w:r>
        <w:tab/>
      </w:r>
      <w:r>
        <w:tab/>
      </w:r>
      <w:r>
        <w:tab/>
        <w:t>FEDERAL COMMUNICATIONS COMMISSION</w:t>
      </w:r>
    </w:p>
    <w:p w:rsidR="00500D4C" w:rsidRDefault="00500D4C" w:rsidP="00C3133B"/>
    <w:p w:rsidR="00500D4C" w:rsidRDefault="00500D4C" w:rsidP="00C3133B"/>
    <w:p w:rsidR="00500D4C" w:rsidRDefault="00500D4C" w:rsidP="00C3133B"/>
    <w:p w:rsidR="00500D4C" w:rsidRDefault="00500D4C" w:rsidP="00C3133B"/>
    <w:p w:rsidR="00500D4C" w:rsidRDefault="00500D4C" w:rsidP="00C3133B">
      <w:r>
        <w:tab/>
      </w:r>
      <w:r>
        <w:tab/>
      </w:r>
      <w:r>
        <w:tab/>
      </w:r>
      <w:r>
        <w:tab/>
      </w:r>
      <w:r>
        <w:tab/>
      </w:r>
      <w:r>
        <w:tab/>
        <w:t>Marlene H. Dortch</w:t>
      </w:r>
    </w:p>
    <w:p w:rsidR="00500D4C" w:rsidRDefault="00500D4C" w:rsidP="00C3133B">
      <w:r>
        <w:tab/>
      </w:r>
      <w:r>
        <w:tab/>
      </w:r>
      <w:r>
        <w:tab/>
      </w:r>
      <w:r>
        <w:tab/>
      </w:r>
      <w:r>
        <w:tab/>
      </w:r>
      <w:r>
        <w:tab/>
        <w:t>Secretary</w:t>
      </w:r>
    </w:p>
    <w:p w:rsidR="00500D4C" w:rsidRPr="008B2F67" w:rsidRDefault="00500D4C"/>
    <w:p w:rsidR="00E27BE5" w:rsidRDefault="00E27BE5" w:rsidP="000F55B9">
      <w:pPr>
        <w:widowControl/>
        <w:rPr>
          <w:b/>
        </w:rPr>
        <w:sectPr w:rsidR="00E27BE5" w:rsidSect="000B1E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299"/>
        </w:sectPr>
      </w:pPr>
    </w:p>
    <w:p w:rsidR="002228BE" w:rsidRPr="00C3133B" w:rsidRDefault="000C6485" w:rsidP="00C3133B">
      <w:pPr>
        <w:jc w:val="center"/>
        <w:rPr>
          <w:b/>
        </w:rPr>
      </w:pPr>
      <w:r w:rsidRPr="00C3133B">
        <w:rPr>
          <w:b/>
        </w:rPr>
        <w:t>A</w:t>
      </w:r>
      <w:r w:rsidR="00E27BE5">
        <w:rPr>
          <w:b/>
        </w:rPr>
        <w:t>PPENDIX</w:t>
      </w:r>
      <w:r w:rsidR="002228BE" w:rsidRPr="00C3133B">
        <w:rPr>
          <w:b/>
        </w:rPr>
        <w:t xml:space="preserve"> A</w:t>
      </w:r>
    </w:p>
    <w:p w:rsidR="002228BE" w:rsidRPr="00C3133B" w:rsidRDefault="002228BE" w:rsidP="00C3133B">
      <w:pPr>
        <w:jc w:val="center"/>
        <w:rPr>
          <w:b/>
        </w:rPr>
      </w:pPr>
    </w:p>
    <w:p w:rsidR="00334FD5" w:rsidRDefault="00334FD5" w:rsidP="00C3133B">
      <w:pPr>
        <w:jc w:val="center"/>
        <w:rPr>
          <w:b/>
        </w:rPr>
      </w:pPr>
      <w:r w:rsidRPr="00C3133B">
        <w:rPr>
          <w:b/>
        </w:rPr>
        <w:t xml:space="preserve">Final Regulatory Flexibility </w:t>
      </w:r>
      <w:r w:rsidR="00113D2D" w:rsidRPr="00C3133B">
        <w:rPr>
          <w:b/>
        </w:rPr>
        <w:t>Certification</w:t>
      </w:r>
      <w:r w:rsidR="00A15D85" w:rsidRPr="00C3133B">
        <w:rPr>
          <w:b/>
        </w:rPr>
        <w:t xml:space="preserve"> for the Second Report and Order</w:t>
      </w:r>
    </w:p>
    <w:p w:rsidR="00E27BE5" w:rsidRDefault="00E27BE5" w:rsidP="00C3133B">
      <w:pPr>
        <w:jc w:val="center"/>
        <w:rPr>
          <w:b/>
        </w:rPr>
      </w:pPr>
    </w:p>
    <w:p w:rsidR="00E27BE5" w:rsidRPr="00C3133B" w:rsidRDefault="00E27BE5" w:rsidP="00C3133B">
      <w:pPr>
        <w:jc w:val="center"/>
        <w:rPr>
          <w:b/>
        </w:rPr>
      </w:pPr>
    </w:p>
    <w:p w:rsidR="00113D2D" w:rsidRPr="008C3E30" w:rsidRDefault="00113D2D" w:rsidP="00C3133B">
      <w:pPr>
        <w:pStyle w:val="ParaNum"/>
        <w:numPr>
          <w:ilvl w:val="0"/>
          <w:numId w:val="15"/>
        </w:numPr>
        <w:tabs>
          <w:tab w:val="clear" w:pos="1080"/>
          <w:tab w:val="num" w:pos="1440"/>
        </w:tabs>
      </w:pPr>
      <w:r w:rsidRPr="008C3E30">
        <w:t>The Regulatory Flexibility Act of 1980, as amended (RFA),</w:t>
      </w:r>
      <w:r>
        <w:rPr>
          <w:vertAlign w:val="superscript"/>
        </w:rPr>
        <w:footnoteReference w:id="77"/>
      </w:r>
      <w:r w:rsidRPr="008C3E30">
        <w:t xml:space="preserve"> requires that a regulatory flexibility analysis be prepared for notice-and-comment rule making proceedings, unless the agency certifies that “the rule will not, if promulgated, have a significant economic impact on a substantial number of small entities.”</w:t>
      </w:r>
      <w:r>
        <w:rPr>
          <w:vertAlign w:val="superscript"/>
        </w:rPr>
        <w:footnoteReference w:id="78"/>
      </w:r>
      <w:r w:rsidRPr="008C3E30">
        <w:t xml:space="preserve">  The RFA generally defines the term “small entity” as having the same meaning as the terms “small business,” “small organization,” and “small governmental jurisdiction.”</w:t>
      </w:r>
      <w:r>
        <w:rPr>
          <w:vertAlign w:val="superscript"/>
        </w:rPr>
        <w:footnoteReference w:id="79"/>
      </w:r>
      <w:r w:rsidRPr="008C3E30">
        <w:t xml:space="preserve">  In addition, the term “small business” has the same meaning as the term “small business concern” under the Small Business Act.</w:t>
      </w:r>
      <w:r>
        <w:rPr>
          <w:vertAlign w:val="superscript"/>
        </w:rPr>
        <w:footnoteReference w:id="80"/>
      </w:r>
      <w:r w:rsidRPr="008C3E30">
        <w:t xml:space="preserve">  A “small business concern” is one which: (1) is independently owned and operated; (2) is not dominant in its field of operation; and (3) satisfies any additional criteria established by the U.S. Small Business Administration (SBA).</w:t>
      </w:r>
      <w:r>
        <w:rPr>
          <w:vertAlign w:val="superscript"/>
        </w:rPr>
        <w:footnoteReference w:id="81"/>
      </w:r>
    </w:p>
    <w:p w:rsidR="00113D2D" w:rsidRDefault="00113D2D" w:rsidP="00C3133B">
      <w:pPr>
        <w:pStyle w:val="ParaNum"/>
      </w:pPr>
      <w:r>
        <w:t xml:space="preserve">In light of the rules adopted in the </w:t>
      </w:r>
      <w:r>
        <w:rPr>
          <w:i/>
        </w:rPr>
        <w:t xml:space="preserve">Order on Reconsideration, </w:t>
      </w:r>
      <w:r>
        <w:t>we find that there are only two categories of licensees that would be affected by the new rules.  These categories of licensees are Satellite Telecommunications and Fixed-Satellite Transmit/Receive Earth Stations.  The SBA has determined that the small business size standard for Satellite Telecommunications is a business that</w:t>
      </w:r>
      <w:r w:rsidR="00BA51ED">
        <w:t xml:space="preserve"> has $30</w:t>
      </w:r>
      <w:r>
        <w:t xml:space="preserve"> million or less in average annual receipts.</w:t>
      </w:r>
      <w:r>
        <w:rPr>
          <w:rStyle w:val="FootnoteReference"/>
          <w:szCs w:val="22"/>
        </w:rPr>
        <w:footnoteReference w:id="82"/>
      </w:r>
      <w:r>
        <w:t xml:space="preserve">  Commission records reveal that there are 20 space station licensees and operators in the Ku-band. We do not request or collect annual revenue information concerning such licensees and operators, and thus are unable to estimate the number of geostationary space station licensees and operators that would constitute a small business under the SBA definition cited above, or apply any rules providing special consideration for geostationary space station licensees and operators that are small businesses.  Currently there are approximately </w:t>
      </w:r>
      <w:r w:rsidRPr="00867754">
        <w:t>2,879</w:t>
      </w:r>
      <w:r>
        <w:t xml:space="preserve"> operational fixed-satellite transmit/receive earth stations authorized for use in the Ku-band.  The Commission does not request or collect annual revenue information, and thus is unable to estimate the number of earth stations that would constitute a small business under the SBA definition.  Of the two classifications of licensees, we estimate that approximately 6</w:t>
      </w:r>
      <w:r w:rsidRPr="006F162B">
        <w:t xml:space="preserve"> </w:t>
      </w:r>
      <w:r>
        <w:t xml:space="preserve">entities will provide ESAA service.  For the reasons described below, we certify that the clarification to the rules adopted in this </w:t>
      </w:r>
      <w:r>
        <w:rPr>
          <w:i/>
        </w:rPr>
        <w:t>Order on Reconsideration</w:t>
      </w:r>
      <w:r>
        <w:t xml:space="preserve"> will not have a significant economic impact on a substantial number of small entities.</w:t>
      </w:r>
    </w:p>
    <w:p w:rsidR="00113D2D" w:rsidRPr="001B2CD8" w:rsidRDefault="00113D2D" w:rsidP="0057213E">
      <w:pPr>
        <w:pStyle w:val="ParaNum"/>
        <w:widowControl/>
      </w:pPr>
      <w:r w:rsidRPr="008B2F67">
        <w:t xml:space="preserve">In the </w:t>
      </w:r>
      <w:r w:rsidRPr="008B2F67">
        <w:rPr>
          <w:i/>
        </w:rPr>
        <w:t>ESAA NPRM &amp; Order</w:t>
      </w:r>
      <w:r w:rsidRPr="008B2F67">
        <w:t>, the Commission tentativ</w:t>
      </w:r>
      <w:r>
        <w:t xml:space="preserve">ely concluded that ESAA </w:t>
      </w:r>
      <w:r w:rsidRPr="008B2F67">
        <w:t>should be authorized on a primary basis in the 14.0-14.5 GHz uplink band, noting that several parties had argued that regulator</w:t>
      </w:r>
      <w:r>
        <w:t xml:space="preserve">y parity calls for ESAA </w:t>
      </w:r>
      <w:r w:rsidRPr="008B2F67">
        <w:t>to be primary,</w:t>
      </w:r>
      <w:r>
        <w:t xml:space="preserve"> just like ESV and VMES</w:t>
      </w:r>
      <w:r w:rsidRPr="008B2F67">
        <w:t xml:space="preserve"> are primary in that band.</w:t>
      </w:r>
      <w:r w:rsidRPr="008B2F67">
        <w:rPr>
          <w:rStyle w:val="FootnoteReference"/>
        </w:rPr>
        <w:footnoteReference w:id="83"/>
      </w:r>
      <w:r w:rsidRPr="008B2F67">
        <w:t xml:space="preserve">  The Commission proposed to revise footnote NG55 which would grant primary status to ESAA in the 14.0-14.5 GHz band, and, as an administrative matter, combine ESV, VMES and ESAA into the same footnote as applications of the FSS with primary status in the 11.7-12.2 GHz and 14.0-14.5 GHz bands.</w:t>
      </w:r>
      <w:r>
        <w:rPr>
          <w:szCs w:val="22"/>
        </w:rPr>
        <w:t xml:space="preserve">  </w:t>
      </w:r>
    </w:p>
    <w:p w:rsidR="00113D2D" w:rsidRDefault="00113D2D" w:rsidP="00C3133B">
      <w:pPr>
        <w:pStyle w:val="ParaNum"/>
      </w:pPr>
      <w:r>
        <w:t xml:space="preserve">In the </w:t>
      </w:r>
      <w:r>
        <w:rPr>
          <w:i/>
        </w:rPr>
        <w:t>ESAA Second Report and Order</w:t>
      </w:r>
      <w:r>
        <w:t xml:space="preserve">, the Commission adopted its tentative conclusion to grant primary status to ESAA operators in the 14.0-14.5 GHz band. </w:t>
      </w:r>
      <w:r>
        <w:rPr>
          <w:i/>
        </w:rPr>
        <w:t xml:space="preserve"> </w:t>
      </w:r>
      <w:r>
        <w:t xml:space="preserve">The Commission also made a minor administrative change to section 25.227(b)(2)(i) of the Commission’s rules by replacing the word “receive” with the word “create” in that rule, acknowledging that the term “receive” was incorrectly put into the rule originally.  The Commission does not expect a substantial number of small entities to incur significant costs associated with the changes adopted in this </w:t>
      </w:r>
      <w:r>
        <w:rPr>
          <w:i/>
        </w:rPr>
        <w:t>Second Report and Order</w:t>
      </w:r>
      <w:r>
        <w:t xml:space="preserve">.  The change from secondary status to primary status in the 14.0-14.5 GHz band will benefit both large and small entities by allowing greater regulatory certainty in providing ESAA service.  In addition, the administrative change to section 25.227(b)(2)(i) is a “clean-up” change involving no substantive decision of significance to small business or the industry in general.  Overall, we believe these changes do not impose a significant economic impact on small entities.  Therefore, we certify that the requirements adopted in this </w:t>
      </w:r>
      <w:r>
        <w:rPr>
          <w:i/>
          <w:iCs/>
        </w:rPr>
        <w:t>Second Report and Order</w:t>
      </w:r>
      <w:r>
        <w:t xml:space="preserve"> will not have a significant economic impact on a substantial number of small entities.</w:t>
      </w:r>
    </w:p>
    <w:p w:rsidR="00E27BE5" w:rsidRDefault="00E27BE5" w:rsidP="00BA51ED">
      <w:pPr>
        <w:widowControl/>
        <w:jc w:val="center"/>
        <w:sectPr w:rsidR="00E27BE5" w:rsidSect="000B1E0F">
          <w:footerReference w:type="first" r:id="rId14"/>
          <w:footnotePr>
            <w:numRestart w:val="eachSect"/>
          </w:footnotePr>
          <w:pgSz w:w="12240" w:h="15840"/>
          <w:pgMar w:top="1440" w:right="1440" w:bottom="720" w:left="1440" w:header="720" w:footer="720" w:gutter="0"/>
          <w:cols w:space="720"/>
          <w:titlePg/>
          <w:docGrid w:linePitch="299"/>
        </w:sectPr>
      </w:pPr>
    </w:p>
    <w:p w:rsidR="00E27BE5" w:rsidRDefault="00E27BE5" w:rsidP="00C3133B">
      <w:pPr>
        <w:jc w:val="center"/>
        <w:rPr>
          <w:b/>
        </w:rPr>
      </w:pPr>
      <w:r w:rsidRPr="00C3133B">
        <w:rPr>
          <w:b/>
        </w:rPr>
        <w:t>APPENDIX B</w:t>
      </w:r>
    </w:p>
    <w:p w:rsidR="00E27BE5" w:rsidRDefault="00E27BE5" w:rsidP="00C3133B">
      <w:pPr>
        <w:jc w:val="center"/>
        <w:rPr>
          <w:b/>
        </w:rPr>
      </w:pPr>
    </w:p>
    <w:p w:rsidR="00E27BE5" w:rsidRPr="00C3133B" w:rsidRDefault="00E27BE5" w:rsidP="00C3133B">
      <w:pPr>
        <w:jc w:val="center"/>
        <w:rPr>
          <w:b/>
        </w:rPr>
      </w:pPr>
      <w:r w:rsidRPr="00E27BE5">
        <w:rPr>
          <w:b/>
        </w:rPr>
        <w:t>Final Regulatory Flexibility Certification for Order on Reconsideration</w:t>
      </w:r>
    </w:p>
    <w:p w:rsidR="003E6D82" w:rsidRDefault="003E6D82" w:rsidP="00C3133B">
      <w:pPr>
        <w:pStyle w:val="ParaNum"/>
        <w:numPr>
          <w:ilvl w:val="0"/>
          <w:numId w:val="0"/>
        </w:numPr>
        <w:jc w:val="center"/>
      </w:pPr>
    </w:p>
    <w:p w:rsidR="00F366AF" w:rsidRPr="008C3E30" w:rsidRDefault="00F366AF" w:rsidP="00C3133B">
      <w:pPr>
        <w:pStyle w:val="ParaNum"/>
        <w:numPr>
          <w:ilvl w:val="0"/>
          <w:numId w:val="16"/>
        </w:numPr>
        <w:tabs>
          <w:tab w:val="clear" w:pos="1080"/>
          <w:tab w:val="num" w:pos="1440"/>
        </w:tabs>
      </w:pPr>
      <w:r w:rsidRPr="008C3E30">
        <w:t>The Regulatory Flexibility Act of 1980, as amended (RFA),</w:t>
      </w:r>
      <w:r>
        <w:rPr>
          <w:vertAlign w:val="superscript"/>
        </w:rPr>
        <w:footnoteReference w:id="84"/>
      </w:r>
      <w:r w:rsidRPr="008C3E30">
        <w:t xml:space="preserve"> requires that a regulatory flexibility analysis be prepared for notice-and-comment rule making proceedings, unless the agency certifies that “the rule will not, if promulgated, have a significant economic impact on a substantial number of small entities.”</w:t>
      </w:r>
      <w:r>
        <w:rPr>
          <w:vertAlign w:val="superscript"/>
        </w:rPr>
        <w:footnoteReference w:id="85"/>
      </w:r>
      <w:r w:rsidRPr="008C3E30">
        <w:t xml:space="preserve">  The RFA generally defines the term “small entity” as having the same meaning as the terms “small business,” “small organization,” and “small governmental jurisdiction.”</w:t>
      </w:r>
      <w:r>
        <w:rPr>
          <w:vertAlign w:val="superscript"/>
        </w:rPr>
        <w:footnoteReference w:id="86"/>
      </w:r>
      <w:r w:rsidRPr="008C3E30">
        <w:t xml:space="preserve">  In addition, the term “small business” has the same meaning as the term “small business concern” under the Small Business Act.</w:t>
      </w:r>
      <w:r>
        <w:rPr>
          <w:vertAlign w:val="superscript"/>
        </w:rPr>
        <w:footnoteReference w:id="87"/>
      </w:r>
      <w:r w:rsidRPr="008C3E30">
        <w:t xml:space="preserve">  A “small business concern” is one which: (1) is independently owned and operated; (2) is not dominant in its field of operation; and (3) satisfies any additional criteria established by the U.S. Small Business Administration (SBA).</w:t>
      </w:r>
      <w:r>
        <w:rPr>
          <w:vertAlign w:val="superscript"/>
        </w:rPr>
        <w:footnoteReference w:id="88"/>
      </w:r>
    </w:p>
    <w:p w:rsidR="00F366AF" w:rsidRDefault="00F366AF" w:rsidP="00C3133B">
      <w:pPr>
        <w:pStyle w:val="ParaNum"/>
      </w:pPr>
      <w:r>
        <w:t xml:space="preserve">In light of the rules adopted in the </w:t>
      </w:r>
      <w:r>
        <w:rPr>
          <w:i/>
        </w:rPr>
        <w:t xml:space="preserve">Order on Reconsideration, </w:t>
      </w:r>
      <w:r>
        <w:t>we find that there are only two categories of licensees that would be affected by the new rules.  These categories of licensees are Satellite Telecommunications and Fixed-Satellite Transmit/Receive Earth Stations.  The SBA has determined that the small business size standard for Satellite Telecommunications is a business that</w:t>
      </w:r>
      <w:r w:rsidR="00BA51ED">
        <w:t xml:space="preserve"> has $30</w:t>
      </w:r>
      <w:r>
        <w:t xml:space="preserve"> million or less in average annual receipts.</w:t>
      </w:r>
      <w:r>
        <w:rPr>
          <w:rStyle w:val="FootnoteReference"/>
          <w:szCs w:val="22"/>
        </w:rPr>
        <w:footnoteReference w:id="89"/>
      </w:r>
      <w:r>
        <w:t xml:space="preserve">  Commission records reveal that there are 20 space station licensees and operators in the Ku-band. We do not request or collect annual revenue information concerning such licensees and operators, and thus are unable to estimate the number of geostationary space station licensees and operators that would constitute a small business under the SBA definition cited above, or apply any rules providing special consideration for geostationary space station licensees and operators that are small businesses.  Currently there are approximately </w:t>
      </w:r>
      <w:r w:rsidRPr="00867754">
        <w:t>2,879</w:t>
      </w:r>
      <w:r>
        <w:t xml:space="preserve"> operational fixed-satellite transmit/receive earth stations authorized for use in the Ku-band.  The Commission does not request or collect annual revenue information, and thus is unable to estimate the number of earth stations that would constitute a small business under the SBA definition.  Of the two classifications of licensees, we estimate that approximately 6</w:t>
      </w:r>
      <w:r w:rsidRPr="006F162B">
        <w:t xml:space="preserve"> </w:t>
      </w:r>
      <w:r>
        <w:t xml:space="preserve">entities will provide ESAA service.  For the reasons described below, we certify that the clarification to the rules adopted in this </w:t>
      </w:r>
      <w:r>
        <w:rPr>
          <w:i/>
        </w:rPr>
        <w:t>Order on Reconsideration</w:t>
      </w:r>
      <w:r>
        <w:t xml:space="preserve"> will not have a significant economic impact on a substantial number of small entities.</w:t>
      </w:r>
    </w:p>
    <w:p w:rsidR="00F366AF" w:rsidRPr="001B2CD8" w:rsidRDefault="00F366AF" w:rsidP="00C3133B">
      <w:pPr>
        <w:pStyle w:val="ParaNum"/>
      </w:pPr>
      <w:r>
        <w:t>T</w:t>
      </w:r>
      <w:r w:rsidRPr="008B2F67">
        <w:t xml:space="preserve">he </w:t>
      </w:r>
      <w:r w:rsidRPr="008B2F67">
        <w:rPr>
          <w:i/>
        </w:rPr>
        <w:t>ESAA Order</w:t>
      </w:r>
      <w:r w:rsidRPr="008B2F67">
        <w:t xml:space="preserve"> established service and licensing rules for ESAA operations based on the rules adopted for VSAT networks as well as ESV and VMES networks, noting that authorizing ESAA operations in the FSS Ku-band presented many technical issues tha</w:t>
      </w:r>
      <w:r>
        <w:t>t are similar to authorizing the ESV and VMES</w:t>
      </w:r>
      <w:r w:rsidRPr="008B2F67">
        <w:t xml:space="preserve"> operations in that band.</w:t>
      </w:r>
      <w:r>
        <w:t xml:space="preserve">  ESAA terminals communicate with FSS GSO space stations operating in the extended Ku-band (10.95-11.2 GHz and 11.45-11.7 GHz bands) and conventional Ku-band (11.7-12.2 GHz and 14.0-14.5 GHz bands).</w:t>
      </w:r>
      <w:r w:rsidRPr="008B2F67">
        <w:t xml:space="preserve">  As part of the ESAA service rules, the Commission adopted technical measures to protect other radio services in the Ku-band, including the FSS and FS (in the extended Ku-band), from harmful interference.  The Commission also adopted a regulatory framework for ESAA systems on U.S.-registered aircraft operating in or near foreign nations and over international waters and non-U.S.-registered aircraft operating in U.S. airspace.</w:t>
      </w:r>
      <w:r>
        <w:rPr>
          <w:szCs w:val="22"/>
        </w:rPr>
        <w:t xml:space="preserve">  </w:t>
      </w:r>
    </w:p>
    <w:p w:rsidR="004063B0" w:rsidRDefault="00F366AF" w:rsidP="00C3133B">
      <w:pPr>
        <w:pStyle w:val="ParaNum"/>
      </w:pPr>
      <w:r>
        <w:t xml:space="preserve">The Commission does not expect small entities to incur significant costs associated with the changes adopted in this </w:t>
      </w:r>
      <w:r>
        <w:rPr>
          <w:i/>
        </w:rPr>
        <w:t>Order on Reconsideration</w:t>
      </w:r>
      <w:r>
        <w:t xml:space="preserve">.  The changes will benefit both large and small entities by allowing greater regulatory certainty in providing ESAA service.  We believe these changes are nominal and do not impose a significant economic impact on small entities.  Therefore, we certify that the requirements adopted in this </w:t>
      </w:r>
      <w:r>
        <w:rPr>
          <w:i/>
          <w:iCs/>
        </w:rPr>
        <w:t>Order on Reconsideration</w:t>
      </w:r>
      <w:r>
        <w:t xml:space="preserve"> will not have a significant economic impact on a substantial number of small entities.</w:t>
      </w:r>
    </w:p>
    <w:p w:rsidR="007E667C" w:rsidRDefault="00EE2F2F" w:rsidP="000F55B9">
      <w:pPr>
        <w:widowControl/>
        <w:jc w:val="center"/>
        <w:rPr>
          <w:b/>
        </w:rPr>
      </w:pPr>
      <w:r>
        <w:rPr>
          <w:b/>
        </w:rPr>
        <w:br w:type="page"/>
      </w:r>
      <w:r w:rsidR="007E667C" w:rsidRPr="00472D01">
        <w:rPr>
          <w:b/>
        </w:rPr>
        <w:t>APPENDIX</w:t>
      </w:r>
      <w:r w:rsidR="007E667C">
        <w:rPr>
          <w:b/>
        </w:rPr>
        <w:t xml:space="preserve"> C</w:t>
      </w:r>
    </w:p>
    <w:p w:rsidR="007E667C" w:rsidRDefault="007E667C" w:rsidP="000F55B9">
      <w:pPr>
        <w:widowControl/>
        <w:jc w:val="center"/>
        <w:rPr>
          <w:b/>
        </w:rPr>
      </w:pPr>
    </w:p>
    <w:p w:rsidR="00C7539E" w:rsidRDefault="007E667C" w:rsidP="000F55B9">
      <w:pPr>
        <w:widowControl/>
        <w:jc w:val="center"/>
        <w:rPr>
          <w:b/>
        </w:rPr>
      </w:pPr>
      <w:r>
        <w:rPr>
          <w:b/>
        </w:rPr>
        <w:t>List of Parties</w:t>
      </w:r>
    </w:p>
    <w:p w:rsidR="002228BE" w:rsidRPr="008B2F67" w:rsidRDefault="002228BE">
      <w:pPr>
        <w:pStyle w:val="ParaNum"/>
        <w:numPr>
          <w:ilvl w:val="0"/>
          <w:numId w:val="0"/>
        </w:numPr>
      </w:pPr>
    </w:p>
    <w:p w:rsidR="002228BE" w:rsidRPr="008B2F67" w:rsidRDefault="00D97D07">
      <w:pPr>
        <w:pStyle w:val="ParaNum"/>
        <w:numPr>
          <w:ilvl w:val="0"/>
          <w:numId w:val="0"/>
        </w:numPr>
      </w:pPr>
      <w:r>
        <w:t>Petition</w:t>
      </w:r>
      <w:r w:rsidR="00592B40">
        <w:t xml:space="preserve"> for Reconsideration</w:t>
      </w:r>
      <w:r w:rsidR="00726BBC">
        <w:t xml:space="preserve"> and Clarification of the Order</w:t>
      </w:r>
      <w:r w:rsidR="00D61F94">
        <w:t>, Comments</w:t>
      </w:r>
      <w:r w:rsidR="002179D6">
        <w:t xml:space="preserve"> and Ex Partes</w:t>
      </w:r>
    </w:p>
    <w:p w:rsidR="002228BE" w:rsidRDefault="002228BE">
      <w:pPr>
        <w:pStyle w:val="ParaNum"/>
        <w:numPr>
          <w:ilvl w:val="0"/>
          <w:numId w:val="0"/>
        </w:numPr>
      </w:pPr>
      <w:r w:rsidRPr="008B2F67">
        <w:t>The Boeing Company (Boeing)</w:t>
      </w:r>
    </w:p>
    <w:p w:rsidR="00590ACC" w:rsidRPr="008B2F67" w:rsidRDefault="0005430F">
      <w:pPr>
        <w:pStyle w:val="ParaNum"/>
        <w:numPr>
          <w:ilvl w:val="0"/>
          <w:numId w:val="0"/>
        </w:numPr>
      </w:pPr>
      <w:r>
        <w:t>ViaSat, Inc. (ViaS</w:t>
      </w:r>
      <w:r w:rsidR="00590ACC">
        <w:t>at)</w:t>
      </w:r>
    </w:p>
    <w:p w:rsidR="002228BE" w:rsidRPr="008B2F67" w:rsidRDefault="002228BE">
      <w:pPr>
        <w:pStyle w:val="ParaNum"/>
        <w:numPr>
          <w:ilvl w:val="0"/>
          <w:numId w:val="0"/>
        </w:numPr>
      </w:pPr>
    </w:p>
    <w:p w:rsidR="00B0400B" w:rsidRDefault="00B0400B">
      <w:pPr>
        <w:pStyle w:val="ParaNum"/>
        <w:numPr>
          <w:ilvl w:val="0"/>
          <w:numId w:val="0"/>
        </w:numPr>
      </w:pPr>
      <w:r>
        <w:t>Comments</w:t>
      </w:r>
      <w:r w:rsidR="00592B40">
        <w:t xml:space="preserve"> for the Second Report and Order</w:t>
      </w:r>
    </w:p>
    <w:p w:rsidR="00227CA9" w:rsidRDefault="00B0400B">
      <w:pPr>
        <w:pStyle w:val="ParaNum"/>
        <w:numPr>
          <w:ilvl w:val="0"/>
          <w:numId w:val="0"/>
        </w:numPr>
      </w:pPr>
      <w:r>
        <w:t>Boeing</w:t>
      </w:r>
    </w:p>
    <w:p w:rsidR="00CA029A" w:rsidRDefault="00227CA9">
      <w:pPr>
        <w:pStyle w:val="ParaNum"/>
        <w:numPr>
          <w:ilvl w:val="0"/>
          <w:numId w:val="0"/>
        </w:numPr>
      </w:pPr>
      <w:r>
        <w:t>Global VSAT Forum</w:t>
      </w:r>
      <w:r w:rsidR="00D1091A">
        <w:t xml:space="preserve"> (GVF)</w:t>
      </w:r>
    </w:p>
    <w:p w:rsidR="0087509B" w:rsidRDefault="00CA029A">
      <w:pPr>
        <w:pStyle w:val="ParaNum"/>
        <w:numPr>
          <w:ilvl w:val="0"/>
          <w:numId w:val="0"/>
        </w:numPr>
      </w:pPr>
      <w:r>
        <w:t>Gogo LLC</w:t>
      </w:r>
    </w:p>
    <w:p w:rsidR="00CA029A" w:rsidRDefault="0087509B">
      <w:pPr>
        <w:pStyle w:val="ParaNum"/>
        <w:numPr>
          <w:ilvl w:val="0"/>
          <w:numId w:val="0"/>
        </w:numPr>
      </w:pPr>
      <w:r>
        <w:t>Panasonic Avionics Corporation</w:t>
      </w:r>
    </w:p>
    <w:p w:rsidR="00B0400B" w:rsidRDefault="00CA029A">
      <w:pPr>
        <w:pStyle w:val="ParaNum"/>
        <w:numPr>
          <w:ilvl w:val="0"/>
          <w:numId w:val="0"/>
        </w:numPr>
      </w:pPr>
      <w:r>
        <w:t>Row 44</w:t>
      </w:r>
      <w:r w:rsidR="001C38C2">
        <w:t xml:space="preserve"> Inc.</w:t>
      </w:r>
    </w:p>
    <w:p w:rsidR="00B0400B" w:rsidRDefault="00B0400B">
      <w:pPr>
        <w:pStyle w:val="ParaNum"/>
        <w:numPr>
          <w:ilvl w:val="0"/>
          <w:numId w:val="0"/>
        </w:numPr>
      </w:pPr>
      <w:r>
        <w:t>Satellite Industry Association</w:t>
      </w:r>
    </w:p>
    <w:p w:rsidR="00B0400B" w:rsidRDefault="00B0400B">
      <w:pPr>
        <w:pStyle w:val="ParaNum"/>
        <w:numPr>
          <w:ilvl w:val="0"/>
          <w:numId w:val="0"/>
        </w:numPr>
      </w:pPr>
      <w:r>
        <w:t>Telecommunications Industry Association</w:t>
      </w:r>
    </w:p>
    <w:p w:rsidR="002228BE" w:rsidRPr="00B0400B" w:rsidRDefault="00227CA9">
      <w:pPr>
        <w:pStyle w:val="ParaNum"/>
        <w:numPr>
          <w:ilvl w:val="0"/>
          <w:numId w:val="0"/>
        </w:numPr>
      </w:pPr>
      <w:r>
        <w:t>ViaSat</w:t>
      </w:r>
    </w:p>
    <w:p w:rsidR="00870448" w:rsidRPr="008B2F67" w:rsidRDefault="00870448" w:rsidP="000F55B9">
      <w:pPr>
        <w:widowControl/>
      </w:pPr>
    </w:p>
    <w:p w:rsidR="007E667C" w:rsidRDefault="00392A85" w:rsidP="00C3133B">
      <w:pPr>
        <w:widowControl/>
        <w:jc w:val="center"/>
        <w:rPr>
          <w:b/>
        </w:rPr>
      </w:pPr>
      <w:r w:rsidRPr="008B2F67">
        <w:rPr>
          <w:b/>
        </w:rPr>
        <w:br w:type="page"/>
      </w:r>
      <w:r w:rsidR="007E667C" w:rsidRPr="00472D01">
        <w:rPr>
          <w:b/>
        </w:rPr>
        <w:t xml:space="preserve">APPENDIX </w:t>
      </w:r>
      <w:r w:rsidR="007E667C">
        <w:rPr>
          <w:b/>
        </w:rPr>
        <w:t>D</w:t>
      </w:r>
    </w:p>
    <w:p w:rsidR="007E667C" w:rsidRDefault="007E667C" w:rsidP="00C3133B">
      <w:pPr>
        <w:widowControl/>
        <w:jc w:val="center"/>
        <w:rPr>
          <w:b/>
        </w:rPr>
      </w:pPr>
    </w:p>
    <w:p w:rsidR="00392A85" w:rsidRPr="008B2F67" w:rsidRDefault="007E667C" w:rsidP="00C3133B">
      <w:pPr>
        <w:widowControl/>
        <w:jc w:val="center"/>
      </w:pPr>
      <w:r>
        <w:rPr>
          <w:b/>
        </w:rPr>
        <w:t>Final Rules</w:t>
      </w:r>
    </w:p>
    <w:p w:rsidR="00A432AE" w:rsidRPr="008B2F67" w:rsidRDefault="00A432AE" w:rsidP="000F55B9">
      <w:pPr>
        <w:widowControl/>
        <w:rPr>
          <w:b/>
        </w:rPr>
      </w:pPr>
    </w:p>
    <w:p w:rsidR="00A432AE" w:rsidRPr="008B2F67" w:rsidRDefault="00A432AE" w:rsidP="000F55B9">
      <w:pPr>
        <w:widowControl/>
        <w:suppressAutoHyphens/>
        <w:spacing w:after="100"/>
        <w:rPr>
          <w:spacing w:val="-3"/>
        </w:rPr>
      </w:pPr>
      <w:r w:rsidRPr="008B2F67">
        <w:rPr>
          <w:spacing w:val="-3"/>
        </w:rPr>
        <w:t>For the reasons discussed in the preamble, the Federal Communications Commission amend</w:t>
      </w:r>
      <w:r w:rsidR="006336E3">
        <w:rPr>
          <w:spacing w:val="-3"/>
        </w:rPr>
        <w:t>s</w:t>
      </w:r>
      <w:r w:rsidRPr="008B2F67">
        <w:rPr>
          <w:spacing w:val="-3"/>
        </w:rPr>
        <w:t xml:space="preserve"> 47 CFR part</w:t>
      </w:r>
      <w:r w:rsidR="006336E3">
        <w:rPr>
          <w:spacing w:val="-3"/>
        </w:rPr>
        <w:t>s</w:t>
      </w:r>
      <w:r w:rsidRPr="008B2F67">
        <w:rPr>
          <w:spacing w:val="-3"/>
        </w:rPr>
        <w:t> </w:t>
      </w:r>
      <w:r w:rsidRPr="008B2F67">
        <w:t>2</w:t>
      </w:r>
      <w:r w:rsidR="006336E3">
        <w:t xml:space="preserve"> and 25</w:t>
      </w:r>
      <w:r w:rsidRPr="008B2F67">
        <w:t xml:space="preserve"> </w:t>
      </w:r>
      <w:r w:rsidRPr="008B2F67">
        <w:rPr>
          <w:spacing w:val="-3"/>
        </w:rPr>
        <w:t>as follows:</w:t>
      </w:r>
    </w:p>
    <w:p w:rsidR="00A432AE" w:rsidRPr="008B2F67" w:rsidRDefault="00A432AE" w:rsidP="000F55B9">
      <w:pPr>
        <w:widowControl/>
        <w:rPr>
          <w:b/>
        </w:rPr>
      </w:pPr>
    </w:p>
    <w:p w:rsidR="00A432AE" w:rsidRPr="008B2F67" w:rsidRDefault="00A432AE" w:rsidP="000F55B9">
      <w:pPr>
        <w:widowControl/>
        <w:suppressAutoHyphens/>
        <w:rPr>
          <w:b/>
        </w:rPr>
      </w:pPr>
      <w:r w:rsidRPr="008B2F67">
        <w:rPr>
          <w:b/>
        </w:rPr>
        <w:t>PART 2 – Frequency Allocations And Radio Treaty Matters;</w:t>
      </w:r>
      <w:r w:rsidR="00DA22DB">
        <w:rPr>
          <w:b/>
        </w:rPr>
        <w:t xml:space="preserve"> </w:t>
      </w:r>
      <w:r w:rsidRPr="008B2F67">
        <w:rPr>
          <w:b/>
        </w:rPr>
        <w:t xml:space="preserve">General Rules And Regulations </w:t>
      </w:r>
    </w:p>
    <w:p w:rsidR="00A432AE" w:rsidRPr="008B2F67" w:rsidRDefault="00A432AE" w:rsidP="000F55B9">
      <w:pPr>
        <w:widowControl/>
        <w:jc w:val="center"/>
        <w:rPr>
          <w:b/>
        </w:rPr>
      </w:pPr>
    </w:p>
    <w:p w:rsidR="00A432AE" w:rsidRPr="008B2F67" w:rsidRDefault="00A432AE">
      <w:pPr>
        <w:pStyle w:val="ParaNum"/>
        <w:numPr>
          <w:ilvl w:val="0"/>
          <w:numId w:val="0"/>
        </w:numPr>
      </w:pPr>
      <w:r w:rsidRPr="008B2F67">
        <w:t>1.</w:t>
      </w:r>
      <w:r w:rsidRPr="008B2F67">
        <w:tab/>
        <w:t>The authority citation for Part 2 continues to read as follows:</w:t>
      </w:r>
    </w:p>
    <w:p w:rsidR="00A432AE" w:rsidRPr="008B2F67" w:rsidRDefault="00A432AE" w:rsidP="000F55B9">
      <w:pPr>
        <w:widowControl/>
      </w:pPr>
      <w:r w:rsidRPr="008B2F67">
        <w:tab/>
        <w:t>AUTHORITY:  47 U.S.C. 154, 302a, 303, and 336, unless otherwise noted.</w:t>
      </w:r>
    </w:p>
    <w:p w:rsidR="00A432AE" w:rsidRPr="008B2F67" w:rsidRDefault="00A432AE" w:rsidP="000F55B9">
      <w:pPr>
        <w:widowControl/>
      </w:pPr>
    </w:p>
    <w:p w:rsidR="00A432AE" w:rsidRPr="008B2F67" w:rsidRDefault="00A432AE" w:rsidP="000F55B9">
      <w:pPr>
        <w:widowControl/>
        <w:spacing w:after="120"/>
      </w:pPr>
      <w:r w:rsidRPr="008B2F67">
        <w:t xml:space="preserve">2.  </w:t>
      </w:r>
      <w:r w:rsidRPr="008B2F67">
        <w:tab/>
        <w:t>Section 2.106, the Table of Frequency Allocations, is amended as follows:</w:t>
      </w:r>
    </w:p>
    <w:p w:rsidR="00A432AE" w:rsidRPr="008B2F67" w:rsidRDefault="00A432AE" w:rsidP="000F55B9">
      <w:pPr>
        <w:widowControl/>
        <w:spacing w:after="100"/>
        <w:ind w:firstLine="720"/>
      </w:pPr>
      <w:r w:rsidRPr="008B2F67">
        <w:t>a. Pages 47 and 49 are revised.</w:t>
      </w:r>
    </w:p>
    <w:p w:rsidR="00A432AE" w:rsidRPr="008B2F67" w:rsidRDefault="00A432AE" w:rsidP="000F55B9">
      <w:pPr>
        <w:widowControl/>
        <w:spacing w:after="120"/>
        <w:ind w:left="720"/>
      </w:pPr>
      <w:r w:rsidRPr="008B2F67">
        <w:t>b. In the list of non-Federal Government (NG) Footnotes, footnote NG55 is revised and footnotes NG54, NG183 and NG187 are removed.</w:t>
      </w:r>
    </w:p>
    <w:p w:rsidR="00A432AE" w:rsidRPr="008B2F67" w:rsidRDefault="00A432AE" w:rsidP="000F55B9">
      <w:pPr>
        <w:widowControl/>
        <w:suppressAutoHyphens/>
        <w:spacing w:after="120"/>
        <w:rPr>
          <w:b/>
          <w:spacing w:val="-3"/>
          <w:u w:val="single"/>
        </w:rPr>
      </w:pPr>
      <w:r w:rsidRPr="008B2F67">
        <w:rPr>
          <w:b/>
          <w:spacing w:val="-3"/>
          <w:u w:val="single"/>
        </w:rPr>
        <w:t>§ 2.106</w:t>
      </w:r>
      <w:r w:rsidRPr="008B2F67">
        <w:rPr>
          <w:b/>
          <w:color w:val="000000"/>
          <w:u w:val="single"/>
        </w:rPr>
        <w:t>  </w:t>
      </w:r>
      <w:r w:rsidRPr="008B2F67">
        <w:rPr>
          <w:b/>
          <w:spacing w:val="-3"/>
          <w:u w:val="single"/>
        </w:rPr>
        <w:t> Table of Frequency Allocations</w:t>
      </w:r>
      <w:r w:rsidRPr="008B2F67">
        <w:rPr>
          <w:b/>
          <w:spacing w:val="-3"/>
        </w:rPr>
        <w:t>.</w:t>
      </w:r>
    </w:p>
    <w:p w:rsidR="00A432AE" w:rsidRPr="008B2F67" w:rsidRDefault="00A432AE" w:rsidP="000F55B9">
      <w:pPr>
        <w:widowControl/>
        <w:suppressAutoHyphens/>
        <w:spacing w:after="120"/>
        <w:ind w:firstLine="360"/>
      </w:pPr>
      <w:r w:rsidRPr="008B2F67">
        <w:t>The revisions and additions read as follows:</w:t>
      </w:r>
    </w:p>
    <w:p w:rsidR="00A432AE" w:rsidRPr="008B2F67" w:rsidRDefault="00A432AE" w:rsidP="000F55B9">
      <w:pPr>
        <w:widowControl/>
        <w:suppressAutoHyphens/>
        <w:spacing w:after="120"/>
        <w:ind w:firstLine="360"/>
      </w:pPr>
      <w:r w:rsidRPr="008B2F67">
        <w:t>* * * * *</w:t>
      </w:r>
    </w:p>
    <w:p w:rsidR="00A432AE" w:rsidRPr="008B2F67" w:rsidRDefault="00A432AE" w:rsidP="000F55B9">
      <w:pPr>
        <w:widowControl/>
        <w:suppressAutoHyphens/>
        <w:spacing w:after="120"/>
        <w:ind w:firstLine="360"/>
      </w:pPr>
    </w:p>
    <w:p w:rsidR="00A432AE" w:rsidRPr="008B2F67" w:rsidRDefault="00A432AE" w:rsidP="000F55B9">
      <w:pPr>
        <w:widowControl/>
        <w:jc w:val="center"/>
        <w:sectPr w:rsidR="00A432AE" w:rsidRPr="008B2F67" w:rsidSect="00C3133B">
          <w:footnotePr>
            <w:numRestart w:val="eachSect"/>
          </w:footnotePr>
          <w:pgSz w:w="12240" w:h="15840"/>
          <w:pgMar w:top="1440" w:right="1440" w:bottom="720" w:left="1440" w:header="720" w:footer="720" w:gutter="0"/>
          <w:cols w:space="720"/>
          <w:titlePg/>
          <w:docGrid w:linePitch="299"/>
        </w:sectPr>
      </w:pPr>
    </w:p>
    <w:tbl>
      <w:tblPr>
        <w:tblW w:w="5000" w:type="pct"/>
        <w:tblLayout w:type="fixed"/>
        <w:tblCellMar>
          <w:left w:w="64" w:type="dxa"/>
          <w:right w:w="64" w:type="dxa"/>
        </w:tblCellMar>
        <w:tblLook w:val="0000" w:firstRow="0" w:lastRow="0" w:firstColumn="0" w:lastColumn="0" w:noHBand="0" w:noVBand="0"/>
      </w:tblPr>
      <w:tblGrid>
        <w:gridCol w:w="2371"/>
        <w:gridCol w:w="33"/>
        <w:gridCol w:w="2462"/>
        <w:gridCol w:w="2589"/>
        <w:gridCol w:w="2294"/>
        <w:gridCol w:w="34"/>
        <w:gridCol w:w="2372"/>
        <w:gridCol w:w="198"/>
        <w:gridCol w:w="1815"/>
      </w:tblGrid>
      <w:tr w:rsidR="00A432AE" w:rsidRPr="00731875">
        <w:tc>
          <w:tcPr>
            <w:tcW w:w="12353" w:type="dxa"/>
            <w:gridSpan w:val="8"/>
            <w:tcBorders>
              <w:top w:val="single" w:sz="6" w:space="0" w:color="000000"/>
              <w:left w:val="nil"/>
              <w:bottom w:val="single" w:sz="6" w:space="0" w:color="FFFFFF"/>
              <w:right w:val="nil"/>
            </w:tcBorders>
          </w:tcPr>
          <w:p w:rsidR="00A432AE" w:rsidRPr="00194EFD" w:rsidRDefault="005A2529" w:rsidP="000F55B9">
            <w:pPr>
              <w:widowControl/>
              <w:suppressAutoHyphens/>
              <w:spacing w:before="20" w:after="20"/>
              <w:ind w:left="-58" w:right="-72"/>
              <w:rPr>
                <w:rFonts w:ascii="Arial Narrow" w:hAnsi="Arial Narrow"/>
                <w:sz w:val="17"/>
              </w:rPr>
            </w:pPr>
            <w:r w:rsidRPr="00194EFD">
              <w:rPr>
                <w:rFonts w:ascii="Arial Narrow" w:hAnsi="Arial Narrow"/>
                <w:sz w:val="17"/>
              </w:rPr>
              <w:t>Table of Frequency Allocations                                                                                                                             10-14 GHz (SHF)</w:t>
            </w:r>
          </w:p>
        </w:tc>
        <w:tc>
          <w:tcPr>
            <w:tcW w:w="1815" w:type="dxa"/>
            <w:tcBorders>
              <w:top w:val="single" w:sz="6" w:space="0" w:color="000000"/>
              <w:left w:val="nil"/>
              <w:bottom w:val="single" w:sz="6" w:space="0" w:color="auto"/>
              <w:right w:val="nil"/>
            </w:tcBorders>
          </w:tcPr>
          <w:p w:rsidR="00A432AE" w:rsidRPr="00194EFD" w:rsidRDefault="005A2529" w:rsidP="000F55B9">
            <w:pPr>
              <w:widowControl/>
              <w:suppressAutoHyphens/>
              <w:spacing w:before="20" w:after="20"/>
              <w:ind w:right="-45"/>
              <w:jc w:val="right"/>
              <w:rPr>
                <w:rFonts w:ascii="Arial Narrow" w:hAnsi="Arial Narrow"/>
                <w:color w:val="000000"/>
                <w:sz w:val="17"/>
              </w:rPr>
            </w:pPr>
            <w:r w:rsidRPr="00194EFD">
              <w:rPr>
                <w:rFonts w:ascii="Arial Narrow" w:hAnsi="Arial Narrow"/>
                <w:color w:val="000000"/>
                <w:sz w:val="17"/>
              </w:rPr>
              <w:t>Page 47</w:t>
            </w:r>
          </w:p>
        </w:tc>
      </w:tr>
      <w:tr w:rsidR="00A432AE" w:rsidRPr="00731875">
        <w:tc>
          <w:tcPr>
            <w:tcW w:w="7455" w:type="dxa"/>
            <w:gridSpan w:val="4"/>
            <w:tcBorders>
              <w:top w:val="single" w:sz="6" w:space="0" w:color="000000"/>
              <w:left w:val="nil"/>
              <w:bottom w:val="nil"/>
              <w:right w:val="nil"/>
            </w:tcBorders>
          </w:tcPr>
          <w:p w:rsidR="00A432AE" w:rsidRPr="00194EFD" w:rsidRDefault="005A2529" w:rsidP="000F55B9">
            <w:pPr>
              <w:widowControl/>
              <w:suppressAutoHyphens/>
              <w:spacing w:before="10" w:after="6"/>
              <w:ind w:right="-72"/>
              <w:jc w:val="center"/>
              <w:rPr>
                <w:rFonts w:ascii="Arial Narrow" w:hAnsi="Arial Narrow"/>
                <w:color w:val="000000"/>
                <w:sz w:val="17"/>
              </w:rPr>
            </w:pPr>
            <w:r w:rsidRPr="00194EFD">
              <w:rPr>
                <w:rFonts w:ascii="Arial Narrow" w:hAnsi="Arial Narrow"/>
                <w:color w:val="000000"/>
                <w:sz w:val="17"/>
              </w:rPr>
              <w:t>International Table</w:t>
            </w:r>
          </w:p>
        </w:tc>
        <w:tc>
          <w:tcPr>
            <w:tcW w:w="4700" w:type="dxa"/>
            <w:gridSpan w:val="3"/>
            <w:tcBorders>
              <w:top w:val="single" w:sz="6" w:space="0" w:color="000000"/>
              <w:left w:val="double" w:sz="6" w:space="0" w:color="000000"/>
              <w:bottom w:val="nil"/>
              <w:right w:val="nil"/>
            </w:tcBorders>
          </w:tcPr>
          <w:p w:rsidR="00A432AE" w:rsidRPr="00194EFD" w:rsidRDefault="005A2529" w:rsidP="000F55B9">
            <w:pPr>
              <w:widowControl/>
              <w:suppressAutoHyphens/>
              <w:spacing w:before="10" w:after="6"/>
              <w:ind w:right="-72"/>
              <w:jc w:val="center"/>
              <w:rPr>
                <w:rFonts w:ascii="Arial Narrow" w:hAnsi="Arial Narrow"/>
                <w:color w:val="000000"/>
                <w:sz w:val="17"/>
              </w:rPr>
            </w:pPr>
            <w:r w:rsidRPr="00194EFD">
              <w:rPr>
                <w:rFonts w:ascii="Arial Narrow" w:hAnsi="Arial Narrow"/>
                <w:color w:val="000000"/>
                <w:sz w:val="17"/>
              </w:rPr>
              <w:t>United States Table</w:t>
            </w:r>
          </w:p>
        </w:tc>
        <w:tc>
          <w:tcPr>
            <w:tcW w:w="2013" w:type="dxa"/>
            <w:gridSpan w:val="2"/>
            <w:vMerge w:val="restart"/>
            <w:tcBorders>
              <w:top w:val="single" w:sz="6" w:space="0" w:color="auto"/>
              <w:left w:val="double" w:sz="6" w:space="0" w:color="000000"/>
              <w:bottom w:val="single" w:sz="6" w:space="0" w:color="auto"/>
              <w:right w:val="nil"/>
            </w:tcBorders>
          </w:tcPr>
          <w:p w:rsidR="00A432AE" w:rsidRPr="00194EFD" w:rsidRDefault="005A2529" w:rsidP="000F55B9">
            <w:pPr>
              <w:widowControl/>
              <w:suppressAutoHyphens/>
              <w:spacing w:before="20" w:after="20"/>
              <w:ind w:right="-72"/>
              <w:rPr>
                <w:rFonts w:ascii="Arial Narrow" w:hAnsi="Arial Narrow"/>
                <w:color w:val="000000"/>
                <w:sz w:val="17"/>
              </w:rPr>
            </w:pPr>
            <w:r w:rsidRPr="00194EFD">
              <w:rPr>
                <w:rFonts w:ascii="Arial Narrow" w:hAnsi="Arial Narrow"/>
                <w:color w:val="000000"/>
                <w:sz w:val="17"/>
              </w:rPr>
              <w:t>FCC Rule Part(s)</w:t>
            </w:r>
          </w:p>
        </w:tc>
      </w:tr>
      <w:tr w:rsidR="00A432AE" w:rsidRPr="00731875">
        <w:tc>
          <w:tcPr>
            <w:tcW w:w="2371" w:type="dxa"/>
            <w:tcBorders>
              <w:top w:val="single" w:sz="6" w:space="0" w:color="auto"/>
              <w:left w:val="nil"/>
              <w:bottom w:val="single" w:sz="6" w:space="0" w:color="auto"/>
              <w:right w:val="single" w:sz="6" w:space="0" w:color="FFFFFF"/>
            </w:tcBorders>
          </w:tcPr>
          <w:p w:rsidR="00A432AE" w:rsidRPr="00194EFD" w:rsidRDefault="005A2529" w:rsidP="000F55B9">
            <w:pPr>
              <w:widowControl/>
              <w:suppressAutoHyphens/>
              <w:spacing w:before="10" w:after="10"/>
              <w:ind w:left="-58" w:right="-72"/>
              <w:rPr>
                <w:rFonts w:ascii="Arial Narrow" w:hAnsi="Arial Narrow"/>
                <w:color w:val="000000"/>
                <w:sz w:val="17"/>
              </w:rPr>
            </w:pPr>
            <w:r w:rsidRPr="00194EFD">
              <w:rPr>
                <w:rFonts w:ascii="Arial Narrow" w:hAnsi="Arial Narrow"/>
                <w:color w:val="000000"/>
                <w:sz w:val="17"/>
              </w:rPr>
              <w:t>Region 1 Table</w:t>
            </w:r>
          </w:p>
        </w:tc>
        <w:tc>
          <w:tcPr>
            <w:tcW w:w="2495" w:type="dxa"/>
            <w:gridSpan w:val="2"/>
            <w:tcBorders>
              <w:top w:val="single" w:sz="6" w:space="0" w:color="000000"/>
              <w:left w:val="single" w:sz="6" w:space="0" w:color="000000"/>
              <w:bottom w:val="single" w:sz="6" w:space="0" w:color="auto"/>
              <w:right w:val="single" w:sz="6" w:space="0" w:color="FFFFFF"/>
            </w:tcBorders>
          </w:tcPr>
          <w:p w:rsidR="00A432AE" w:rsidRPr="00194EFD" w:rsidRDefault="005A2529" w:rsidP="000F55B9">
            <w:pPr>
              <w:widowControl/>
              <w:suppressAutoHyphens/>
              <w:spacing w:before="10" w:after="10"/>
              <w:ind w:right="-72"/>
              <w:rPr>
                <w:rFonts w:ascii="Arial Narrow" w:hAnsi="Arial Narrow"/>
                <w:color w:val="000000"/>
                <w:sz w:val="17"/>
              </w:rPr>
            </w:pPr>
            <w:r w:rsidRPr="00194EFD">
              <w:rPr>
                <w:rFonts w:ascii="Arial Narrow" w:hAnsi="Arial Narrow"/>
                <w:color w:val="000000"/>
                <w:sz w:val="17"/>
              </w:rPr>
              <w:t>Region 2 Table</w:t>
            </w:r>
          </w:p>
        </w:tc>
        <w:tc>
          <w:tcPr>
            <w:tcW w:w="2589" w:type="dxa"/>
            <w:tcBorders>
              <w:top w:val="single" w:sz="6" w:space="0" w:color="000000"/>
              <w:left w:val="single" w:sz="6" w:space="0" w:color="000000"/>
              <w:bottom w:val="single" w:sz="6" w:space="0" w:color="auto"/>
              <w:right w:val="single" w:sz="6" w:space="0" w:color="FFFFFF"/>
            </w:tcBorders>
          </w:tcPr>
          <w:p w:rsidR="00A432AE" w:rsidRPr="00194EFD" w:rsidRDefault="005A2529" w:rsidP="000F55B9">
            <w:pPr>
              <w:widowControl/>
              <w:suppressAutoHyphens/>
              <w:spacing w:before="10" w:after="10"/>
              <w:ind w:right="-72"/>
              <w:rPr>
                <w:rFonts w:ascii="Arial Narrow" w:hAnsi="Arial Narrow"/>
                <w:color w:val="000000"/>
                <w:sz w:val="17"/>
              </w:rPr>
            </w:pPr>
            <w:r w:rsidRPr="00194EFD">
              <w:rPr>
                <w:rFonts w:ascii="Arial Narrow" w:hAnsi="Arial Narrow"/>
                <w:color w:val="000000"/>
                <w:sz w:val="17"/>
              </w:rPr>
              <w:t>Region 3 Table</w:t>
            </w:r>
          </w:p>
        </w:tc>
        <w:tc>
          <w:tcPr>
            <w:tcW w:w="2294" w:type="dxa"/>
            <w:tcBorders>
              <w:top w:val="single" w:sz="6" w:space="0" w:color="auto"/>
              <w:left w:val="double" w:sz="6" w:space="0" w:color="000000"/>
              <w:bottom w:val="single" w:sz="6" w:space="0" w:color="auto"/>
              <w:right w:val="single" w:sz="6" w:space="0" w:color="FFFFFF"/>
            </w:tcBorders>
          </w:tcPr>
          <w:p w:rsidR="00A432AE" w:rsidRPr="00194EFD" w:rsidRDefault="005A2529" w:rsidP="000F55B9">
            <w:pPr>
              <w:widowControl/>
              <w:suppressAutoHyphens/>
              <w:spacing w:before="10" w:after="10"/>
              <w:ind w:right="-72"/>
              <w:rPr>
                <w:rFonts w:ascii="Arial Narrow" w:hAnsi="Arial Narrow"/>
                <w:color w:val="000000"/>
                <w:sz w:val="17"/>
              </w:rPr>
            </w:pPr>
            <w:r w:rsidRPr="00194EFD">
              <w:rPr>
                <w:rFonts w:ascii="Arial Narrow" w:hAnsi="Arial Narrow"/>
                <w:color w:val="000000"/>
                <w:sz w:val="17"/>
              </w:rPr>
              <w:t>Federal Table</w:t>
            </w:r>
          </w:p>
        </w:tc>
        <w:tc>
          <w:tcPr>
            <w:tcW w:w="2406" w:type="dxa"/>
            <w:gridSpan w:val="2"/>
            <w:tcBorders>
              <w:top w:val="single" w:sz="6" w:space="0" w:color="000000"/>
              <w:left w:val="single" w:sz="6" w:space="0" w:color="000000"/>
              <w:bottom w:val="single" w:sz="6" w:space="0" w:color="auto"/>
              <w:right w:val="single" w:sz="6" w:space="0" w:color="FFFFFF"/>
            </w:tcBorders>
          </w:tcPr>
          <w:p w:rsidR="00A432AE" w:rsidRPr="00194EFD" w:rsidRDefault="005A2529" w:rsidP="000F55B9">
            <w:pPr>
              <w:widowControl/>
              <w:suppressAutoHyphens/>
              <w:spacing w:before="10" w:after="10"/>
              <w:ind w:right="-72"/>
              <w:rPr>
                <w:rFonts w:ascii="Arial Narrow" w:hAnsi="Arial Narrow"/>
                <w:color w:val="000000"/>
                <w:sz w:val="17"/>
              </w:rPr>
            </w:pPr>
            <w:r w:rsidRPr="00194EFD">
              <w:rPr>
                <w:rFonts w:ascii="Arial Narrow" w:hAnsi="Arial Narrow"/>
                <w:color w:val="000000"/>
                <w:sz w:val="17"/>
              </w:rPr>
              <w:t>Non-Federal Table</w:t>
            </w:r>
          </w:p>
        </w:tc>
        <w:tc>
          <w:tcPr>
            <w:tcW w:w="2013" w:type="dxa"/>
            <w:gridSpan w:val="2"/>
            <w:vMerge/>
            <w:tcBorders>
              <w:top w:val="single" w:sz="6" w:space="0" w:color="auto"/>
              <w:left w:val="double" w:sz="6" w:space="0" w:color="000000"/>
              <w:bottom w:val="single" w:sz="6" w:space="0" w:color="auto"/>
              <w:right w:val="nil"/>
            </w:tcBorders>
            <w:vAlign w:val="center"/>
          </w:tcPr>
          <w:p w:rsidR="00A432AE" w:rsidRPr="00194EFD" w:rsidRDefault="00A432AE" w:rsidP="000F55B9">
            <w:pPr>
              <w:widowControl/>
              <w:suppressAutoHyphens/>
              <w:ind w:right="-72"/>
              <w:rPr>
                <w:rFonts w:ascii="Arial Narrow" w:hAnsi="Arial Narrow"/>
                <w:color w:val="000000"/>
                <w:sz w:val="17"/>
              </w:rPr>
            </w:pPr>
          </w:p>
        </w:tc>
      </w:tr>
      <w:tr w:rsidR="00A432AE" w:rsidRPr="00731875">
        <w:trPr>
          <w:trHeight w:val="894"/>
        </w:trPr>
        <w:tc>
          <w:tcPr>
            <w:tcW w:w="2371" w:type="dxa"/>
            <w:tcBorders>
              <w:top w:val="single" w:sz="6" w:space="0" w:color="auto"/>
              <w:left w:val="nil"/>
              <w:bottom w:val="single" w:sz="6" w:space="0" w:color="FFFFFF"/>
              <w:right w:val="single" w:sz="6" w:space="0" w:color="FFFFFF"/>
            </w:tcBorders>
          </w:tcPr>
          <w:p w:rsidR="00A432AE"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10-10.45</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FIXED</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MOBILE</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RADIOLOCATION</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Amateur</w:t>
            </w:r>
          </w:p>
          <w:p w:rsidR="00DE7DC1" w:rsidRPr="00194EFD"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194EFD">
              <w:rPr>
                <w:rFonts w:ascii="Arial Narrow" w:hAnsi="Arial Narrow"/>
                <w:color w:val="000000"/>
                <w:sz w:val="17"/>
              </w:rPr>
              <w:t>5.479</w:t>
            </w:r>
          </w:p>
        </w:tc>
        <w:tc>
          <w:tcPr>
            <w:tcW w:w="2495" w:type="dxa"/>
            <w:gridSpan w:val="2"/>
            <w:tcBorders>
              <w:top w:val="single" w:sz="6" w:space="0" w:color="auto"/>
              <w:left w:val="single" w:sz="6" w:space="0" w:color="000000"/>
              <w:bottom w:val="single" w:sz="6" w:space="0" w:color="FFFFFF"/>
              <w:right w:val="single" w:sz="6" w:space="0" w:color="FFFFFF"/>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10-10.45</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RADIOLOCATION</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Amateur</w:t>
            </w:r>
          </w:p>
          <w:p w:rsidR="00A432AE" w:rsidRPr="00194EFD" w:rsidRDefault="00A432AE" w:rsidP="000F55B9">
            <w:pPr>
              <w:widowControl/>
              <w:suppressAutoHyphens/>
              <w:ind w:right="-72"/>
              <w:rPr>
                <w:rFonts w:ascii="Arial Narrow" w:hAnsi="Arial Narrow"/>
                <w:color w:val="000000"/>
                <w:sz w:val="17"/>
              </w:rPr>
            </w:pPr>
          </w:p>
          <w:p w:rsidR="00A432AE" w:rsidRPr="00194EFD" w:rsidRDefault="00A432AE" w:rsidP="000F55B9">
            <w:pPr>
              <w:widowControl/>
              <w:suppressAutoHyphens/>
              <w:ind w:right="-72"/>
              <w:rPr>
                <w:rFonts w:ascii="Arial Narrow" w:hAnsi="Arial Narrow"/>
                <w:color w:val="000000"/>
                <w:sz w:val="17"/>
              </w:rPr>
            </w:pPr>
          </w:p>
          <w:p w:rsidR="00DE7DC1" w:rsidRPr="00194EFD"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ind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194EFD">
              <w:rPr>
                <w:rFonts w:ascii="Arial Narrow" w:hAnsi="Arial Narrow"/>
                <w:color w:val="000000"/>
                <w:sz w:val="17"/>
              </w:rPr>
              <w:t>5.479  5.480</w:t>
            </w:r>
          </w:p>
        </w:tc>
        <w:tc>
          <w:tcPr>
            <w:tcW w:w="2589" w:type="dxa"/>
            <w:tcBorders>
              <w:top w:val="single" w:sz="6" w:space="0" w:color="auto"/>
              <w:left w:val="single" w:sz="6" w:space="0" w:color="000000"/>
              <w:bottom w:val="single" w:sz="6" w:space="0" w:color="FFFFFF"/>
              <w:right w:val="single" w:sz="6" w:space="0" w:color="FFFFFF"/>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10-10.45</w:t>
            </w:r>
          </w:p>
          <w:p w:rsidR="00DE7DC1" w:rsidRPr="00194EFD" w:rsidRDefault="005A2529" w:rsidP="000F55B9">
            <w:pPr>
              <w:widowControl/>
              <w:suppressAutoHyphens/>
              <w:spacing w:line="228" w:lineRule="auto"/>
              <w:ind w:right="-72"/>
              <w:rPr>
                <w:rFonts w:ascii="Arial Narrow" w:hAnsi="Arial Narrow"/>
                <w:color w:val="000000"/>
                <w:sz w:val="17"/>
              </w:rPr>
            </w:pPr>
            <w:r w:rsidRPr="00194EFD">
              <w:rPr>
                <w:rFonts w:ascii="Arial Narrow" w:hAnsi="Arial Narrow"/>
                <w:color w:val="000000"/>
                <w:sz w:val="17"/>
              </w:rPr>
              <w:t>FIXED</w:t>
            </w:r>
          </w:p>
          <w:p w:rsidR="00DE7DC1" w:rsidRPr="00194EFD" w:rsidRDefault="005A2529" w:rsidP="000F55B9">
            <w:pPr>
              <w:widowControl/>
              <w:suppressAutoHyphens/>
              <w:spacing w:line="228" w:lineRule="auto"/>
              <w:ind w:right="-72"/>
              <w:rPr>
                <w:rFonts w:ascii="Arial Narrow" w:hAnsi="Arial Narrow"/>
                <w:color w:val="000000"/>
                <w:sz w:val="17"/>
              </w:rPr>
            </w:pPr>
            <w:r w:rsidRPr="00194EFD">
              <w:rPr>
                <w:rFonts w:ascii="Arial Narrow" w:hAnsi="Arial Narrow"/>
                <w:color w:val="000000"/>
                <w:sz w:val="17"/>
              </w:rPr>
              <w:t>MOBILE</w:t>
            </w:r>
          </w:p>
          <w:p w:rsidR="00DE7DC1" w:rsidRPr="00194EFD" w:rsidRDefault="005A2529" w:rsidP="000F55B9">
            <w:pPr>
              <w:widowControl/>
              <w:suppressAutoHyphens/>
              <w:spacing w:line="228" w:lineRule="auto"/>
              <w:ind w:right="-72"/>
              <w:rPr>
                <w:rFonts w:ascii="Arial Narrow" w:hAnsi="Arial Narrow"/>
                <w:color w:val="000000"/>
                <w:sz w:val="17"/>
              </w:rPr>
            </w:pPr>
            <w:r w:rsidRPr="00194EFD">
              <w:rPr>
                <w:rFonts w:ascii="Arial Narrow" w:hAnsi="Arial Narrow"/>
                <w:color w:val="000000"/>
                <w:sz w:val="17"/>
              </w:rPr>
              <w:t>RADIOLOCATION</w:t>
            </w:r>
          </w:p>
          <w:p w:rsidR="00DE7DC1" w:rsidRPr="00194EFD" w:rsidRDefault="005A2529" w:rsidP="000F55B9">
            <w:pPr>
              <w:widowControl/>
              <w:suppressAutoHyphens/>
              <w:spacing w:line="228" w:lineRule="auto"/>
              <w:ind w:right="-72"/>
              <w:rPr>
                <w:rFonts w:ascii="Arial Narrow" w:hAnsi="Arial Narrow"/>
                <w:color w:val="000000"/>
                <w:sz w:val="17"/>
              </w:rPr>
            </w:pPr>
            <w:r w:rsidRPr="00194EFD">
              <w:rPr>
                <w:rFonts w:ascii="Arial Narrow" w:hAnsi="Arial Narrow"/>
                <w:color w:val="000000"/>
                <w:sz w:val="17"/>
              </w:rPr>
              <w:t>Amateur</w:t>
            </w:r>
          </w:p>
          <w:p w:rsidR="00DE7DC1" w:rsidRPr="00194EFD"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194EFD">
              <w:rPr>
                <w:rFonts w:ascii="Arial Narrow" w:hAnsi="Arial Narrow"/>
                <w:color w:val="000000"/>
                <w:sz w:val="17"/>
              </w:rPr>
              <w:t>5.479</w:t>
            </w:r>
          </w:p>
        </w:tc>
        <w:tc>
          <w:tcPr>
            <w:tcW w:w="2294" w:type="dxa"/>
            <w:tcBorders>
              <w:top w:val="single" w:sz="6" w:space="0" w:color="auto"/>
              <w:left w:val="double" w:sz="6" w:space="0" w:color="000000"/>
              <w:right w:val="single" w:sz="6" w:space="0" w:color="FFFFFF"/>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10-10.5</w:t>
            </w:r>
          </w:p>
          <w:p w:rsidR="00DE7DC1"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RADIOLOCATION  US108  G32</w:t>
            </w:r>
          </w:p>
        </w:tc>
        <w:tc>
          <w:tcPr>
            <w:tcW w:w="2406" w:type="dxa"/>
            <w:gridSpan w:val="2"/>
            <w:tcBorders>
              <w:top w:val="single" w:sz="6" w:space="0" w:color="auto"/>
              <w:left w:val="single" w:sz="6" w:space="0" w:color="000000"/>
              <w:bottom w:val="single" w:sz="6" w:space="0" w:color="FFFFFF"/>
              <w:right w:val="single" w:sz="6" w:space="0" w:color="FFFFFF"/>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10-10.45</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Amateur</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Radiolocation  US108</w:t>
            </w:r>
          </w:p>
          <w:p w:rsidR="00A432AE" w:rsidRPr="00194EFD" w:rsidRDefault="00A432AE" w:rsidP="000F55B9">
            <w:pPr>
              <w:widowControl/>
              <w:suppressAutoHyphens/>
              <w:ind w:right="-72"/>
              <w:rPr>
                <w:rFonts w:ascii="Arial Narrow" w:hAnsi="Arial Narrow"/>
                <w:color w:val="000000"/>
                <w:sz w:val="17"/>
              </w:rPr>
            </w:pPr>
          </w:p>
          <w:p w:rsidR="00A432AE" w:rsidRPr="00194EFD" w:rsidRDefault="00A432AE" w:rsidP="000F55B9">
            <w:pPr>
              <w:widowControl/>
              <w:suppressAutoHyphens/>
              <w:ind w:right="-72"/>
              <w:rPr>
                <w:rFonts w:ascii="Arial Narrow" w:hAnsi="Arial Narrow"/>
                <w:color w:val="000000"/>
                <w:sz w:val="17"/>
              </w:rPr>
            </w:pPr>
          </w:p>
          <w:p w:rsidR="00DE7DC1" w:rsidRPr="00194EFD"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ind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194EFD">
              <w:rPr>
                <w:rFonts w:ascii="Arial Narrow" w:hAnsi="Arial Narrow"/>
                <w:color w:val="000000"/>
                <w:sz w:val="17"/>
              </w:rPr>
              <w:t>5.479  US128  NG50</w:t>
            </w:r>
          </w:p>
        </w:tc>
        <w:tc>
          <w:tcPr>
            <w:tcW w:w="2013" w:type="dxa"/>
            <w:gridSpan w:val="2"/>
            <w:vMerge w:val="restart"/>
            <w:tcBorders>
              <w:top w:val="single" w:sz="6" w:space="0" w:color="auto"/>
              <w:left w:val="double" w:sz="6" w:space="0" w:color="000000"/>
              <w:bottom w:val="single" w:sz="6" w:space="0" w:color="FFFFFF"/>
              <w:right w:val="nil"/>
            </w:tcBorders>
          </w:tcPr>
          <w:p w:rsidR="00A432AE" w:rsidRPr="00194EFD" w:rsidRDefault="00A432AE" w:rsidP="000F55B9">
            <w:pPr>
              <w:widowControl/>
              <w:suppressAutoHyphens/>
              <w:ind w:right="-72"/>
              <w:rPr>
                <w:rFonts w:ascii="Arial Narrow" w:hAnsi="Arial Narrow"/>
                <w:color w:val="000000"/>
                <w:sz w:val="17"/>
              </w:rPr>
            </w:pP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Private Land Mobile (90)</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Amateur Radio (97)</w:t>
            </w:r>
          </w:p>
        </w:tc>
      </w:tr>
      <w:tr w:rsidR="00A432AE" w:rsidRPr="00731875">
        <w:trPr>
          <w:trHeight w:val="732"/>
        </w:trPr>
        <w:tc>
          <w:tcPr>
            <w:tcW w:w="7455" w:type="dxa"/>
            <w:gridSpan w:val="4"/>
            <w:tcBorders>
              <w:top w:val="single" w:sz="6" w:space="0" w:color="000000"/>
              <w:left w:val="nil"/>
              <w:bottom w:val="single" w:sz="6" w:space="0" w:color="FFFFFF"/>
              <w:right w:val="nil"/>
            </w:tcBorders>
          </w:tcPr>
          <w:p w:rsidR="00A432AE" w:rsidRPr="00194EFD" w:rsidRDefault="005A2529" w:rsidP="000F55B9">
            <w:pPr>
              <w:widowControl/>
              <w:suppressAutoHyphens/>
              <w:ind w:left="-64" w:right="-72"/>
              <w:rPr>
                <w:rFonts w:ascii="Arial Narrow" w:hAnsi="Arial Narrow"/>
                <w:color w:val="000000"/>
                <w:sz w:val="17"/>
              </w:rPr>
            </w:pPr>
            <w:r w:rsidRPr="00194EFD">
              <w:rPr>
                <w:rFonts w:ascii="Arial Narrow" w:hAnsi="Arial Narrow"/>
                <w:color w:val="000000"/>
                <w:sz w:val="17"/>
              </w:rPr>
              <w:t>10.45-10.5</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RADIOLOCATION</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Amateur</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Amateur-satellite</w:t>
            </w:r>
          </w:p>
          <w:p w:rsidR="00DE7DC1" w:rsidRPr="00194EFD" w:rsidRDefault="00DE7DC1" w:rsidP="000F55B9">
            <w:pPr>
              <w:widowControl/>
              <w:suppressAutoHyphens/>
              <w:spacing w:line="108" w:lineRule="auto"/>
              <w:ind w:left="-58"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194EFD">
              <w:rPr>
                <w:rFonts w:ascii="Arial Narrow" w:hAnsi="Arial Narrow"/>
                <w:color w:val="000000"/>
                <w:sz w:val="17"/>
              </w:rPr>
              <w:t>5.481</w:t>
            </w:r>
          </w:p>
        </w:tc>
        <w:tc>
          <w:tcPr>
            <w:tcW w:w="2294" w:type="dxa"/>
            <w:tcBorders>
              <w:left w:val="double" w:sz="6" w:space="0" w:color="000000"/>
              <w:bottom w:val="single" w:sz="6" w:space="0" w:color="FFFFFF"/>
              <w:right w:val="single" w:sz="6" w:space="0" w:color="FFFFFF"/>
            </w:tcBorders>
            <w:vAlign w:val="bottom"/>
          </w:tcPr>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194EFD">
              <w:rPr>
                <w:rFonts w:ascii="Arial Narrow" w:hAnsi="Arial Narrow"/>
                <w:color w:val="000000"/>
                <w:sz w:val="17"/>
              </w:rPr>
              <w:t>5.479  US128</w:t>
            </w:r>
          </w:p>
        </w:tc>
        <w:tc>
          <w:tcPr>
            <w:tcW w:w="2406" w:type="dxa"/>
            <w:gridSpan w:val="2"/>
            <w:tcBorders>
              <w:top w:val="single" w:sz="6" w:space="0" w:color="000000"/>
              <w:left w:val="single" w:sz="6" w:space="0" w:color="000000"/>
              <w:bottom w:val="single" w:sz="6" w:space="0" w:color="FFFFFF"/>
              <w:right w:val="single" w:sz="6" w:space="0" w:color="FFFFFF"/>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10.45-10.5</w:t>
            </w:r>
          </w:p>
          <w:p w:rsidR="00DE7DC1" w:rsidRPr="00194EFD" w:rsidRDefault="005A2529" w:rsidP="000F55B9">
            <w:pPr>
              <w:widowControl/>
              <w:suppressAutoHyphens/>
              <w:spacing w:line="228" w:lineRule="auto"/>
              <w:ind w:right="-72"/>
              <w:rPr>
                <w:rFonts w:ascii="Arial Narrow" w:hAnsi="Arial Narrow"/>
                <w:color w:val="000000"/>
                <w:sz w:val="17"/>
              </w:rPr>
            </w:pPr>
            <w:r w:rsidRPr="00194EFD">
              <w:rPr>
                <w:rFonts w:ascii="Arial Narrow" w:hAnsi="Arial Narrow"/>
                <w:color w:val="000000"/>
                <w:sz w:val="17"/>
              </w:rPr>
              <w:t>Amateur</w:t>
            </w:r>
          </w:p>
          <w:p w:rsidR="00DE7DC1" w:rsidRPr="00194EFD" w:rsidRDefault="005A2529" w:rsidP="000F55B9">
            <w:pPr>
              <w:widowControl/>
              <w:suppressAutoHyphens/>
              <w:spacing w:line="228" w:lineRule="auto"/>
              <w:ind w:right="-72"/>
              <w:rPr>
                <w:rFonts w:ascii="Arial Narrow" w:hAnsi="Arial Narrow"/>
                <w:color w:val="000000"/>
                <w:sz w:val="17"/>
              </w:rPr>
            </w:pPr>
            <w:r w:rsidRPr="00194EFD">
              <w:rPr>
                <w:rFonts w:ascii="Arial Narrow" w:hAnsi="Arial Narrow"/>
                <w:color w:val="000000"/>
                <w:sz w:val="17"/>
              </w:rPr>
              <w:t>Amateur-satellite</w:t>
            </w:r>
          </w:p>
          <w:p w:rsidR="00DE7DC1" w:rsidRPr="00194EFD" w:rsidRDefault="005A2529" w:rsidP="000F55B9">
            <w:pPr>
              <w:widowControl/>
              <w:suppressAutoHyphens/>
              <w:spacing w:line="228" w:lineRule="auto"/>
              <w:ind w:right="-72"/>
              <w:rPr>
                <w:rFonts w:ascii="Arial Narrow" w:hAnsi="Arial Narrow"/>
                <w:color w:val="000000"/>
                <w:sz w:val="17"/>
              </w:rPr>
            </w:pPr>
            <w:r w:rsidRPr="00194EFD">
              <w:rPr>
                <w:rFonts w:ascii="Arial Narrow" w:hAnsi="Arial Narrow"/>
                <w:color w:val="000000"/>
                <w:sz w:val="17"/>
              </w:rPr>
              <w:t>Radiolocation  US108</w:t>
            </w:r>
          </w:p>
          <w:p w:rsidR="00DE7DC1" w:rsidRPr="00194EFD"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194EFD">
              <w:rPr>
                <w:rFonts w:ascii="Arial Narrow" w:hAnsi="Arial Narrow"/>
                <w:color w:val="000000"/>
                <w:sz w:val="17"/>
              </w:rPr>
              <w:t xml:space="preserve">US128  NG50  </w:t>
            </w:r>
          </w:p>
        </w:tc>
        <w:tc>
          <w:tcPr>
            <w:tcW w:w="2013" w:type="dxa"/>
            <w:gridSpan w:val="2"/>
            <w:vMerge/>
            <w:tcBorders>
              <w:top w:val="single" w:sz="6" w:space="0" w:color="auto"/>
              <w:left w:val="double" w:sz="6" w:space="0" w:color="000000"/>
              <w:bottom w:val="single" w:sz="6" w:space="0" w:color="FFFFFF"/>
              <w:right w:val="nil"/>
            </w:tcBorders>
            <w:vAlign w:val="center"/>
          </w:tcPr>
          <w:p w:rsidR="00A432AE" w:rsidRPr="00194EFD" w:rsidRDefault="00A432AE" w:rsidP="000F55B9">
            <w:pPr>
              <w:widowControl/>
              <w:suppressAutoHyphens/>
              <w:ind w:right="-72"/>
              <w:rPr>
                <w:rFonts w:ascii="Arial Narrow" w:hAnsi="Arial Narrow"/>
                <w:color w:val="000000"/>
                <w:sz w:val="17"/>
              </w:rPr>
            </w:pPr>
          </w:p>
        </w:tc>
      </w:tr>
      <w:tr w:rsidR="00A432AE" w:rsidRPr="00731875">
        <w:trPr>
          <w:trHeight w:val="399"/>
        </w:trPr>
        <w:tc>
          <w:tcPr>
            <w:tcW w:w="2371" w:type="dxa"/>
            <w:tcBorders>
              <w:top w:val="single" w:sz="6" w:space="0" w:color="000000"/>
              <w:left w:val="nil"/>
              <w:bottom w:val="single" w:sz="6" w:space="0" w:color="FFFFFF"/>
              <w:right w:val="single" w:sz="6" w:space="0" w:color="FFFFFF"/>
            </w:tcBorders>
          </w:tcPr>
          <w:p w:rsidR="00A432AE"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10.5-10.55</w:t>
            </w:r>
          </w:p>
          <w:p w:rsidR="00A432AE"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FIXED</w:t>
            </w:r>
          </w:p>
          <w:p w:rsidR="00A432AE"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MOBILE</w:t>
            </w:r>
          </w:p>
          <w:p w:rsidR="00A432AE"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Radiolocation</w:t>
            </w:r>
          </w:p>
        </w:tc>
        <w:tc>
          <w:tcPr>
            <w:tcW w:w="5084" w:type="dxa"/>
            <w:gridSpan w:val="3"/>
            <w:tcBorders>
              <w:top w:val="single" w:sz="6" w:space="0" w:color="000000"/>
              <w:left w:val="single" w:sz="6" w:space="0" w:color="000000"/>
              <w:bottom w:val="single" w:sz="6" w:space="0" w:color="FFFFFF"/>
              <w:right w:val="nil"/>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10.5-10.55</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FIXED</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MOBILE</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RADIOLOCATION</w:t>
            </w:r>
          </w:p>
        </w:tc>
        <w:tc>
          <w:tcPr>
            <w:tcW w:w="4700" w:type="dxa"/>
            <w:gridSpan w:val="3"/>
            <w:tcBorders>
              <w:top w:val="single" w:sz="6" w:space="0" w:color="000000"/>
              <w:left w:val="double" w:sz="6" w:space="0" w:color="000000"/>
              <w:bottom w:val="single" w:sz="6" w:space="0" w:color="FFFFFF"/>
              <w:right w:val="nil"/>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10.5-10.55</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RADIOLOCATION  US59</w:t>
            </w:r>
          </w:p>
        </w:tc>
        <w:tc>
          <w:tcPr>
            <w:tcW w:w="2013" w:type="dxa"/>
            <w:gridSpan w:val="2"/>
            <w:tcBorders>
              <w:top w:val="single" w:sz="6" w:space="0" w:color="000000"/>
              <w:left w:val="double" w:sz="6" w:space="0" w:color="000000"/>
              <w:bottom w:val="single" w:sz="6" w:space="0" w:color="FFFFFF"/>
              <w:right w:val="nil"/>
            </w:tcBorders>
          </w:tcPr>
          <w:p w:rsidR="00A432AE" w:rsidRPr="00194EFD" w:rsidRDefault="00A432AE" w:rsidP="000F55B9">
            <w:pPr>
              <w:widowControl/>
              <w:suppressAutoHyphens/>
              <w:ind w:right="-72"/>
              <w:rPr>
                <w:rFonts w:ascii="Arial Narrow" w:hAnsi="Arial Narrow"/>
                <w:color w:val="000000"/>
                <w:sz w:val="17"/>
              </w:rPr>
            </w:pP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Private Land Mobile (90)</w:t>
            </w:r>
          </w:p>
        </w:tc>
      </w:tr>
      <w:tr w:rsidR="00A432AE" w:rsidRPr="00731875">
        <w:tc>
          <w:tcPr>
            <w:tcW w:w="7455" w:type="dxa"/>
            <w:gridSpan w:val="4"/>
            <w:tcBorders>
              <w:top w:val="single" w:sz="6" w:space="0" w:color="000000"/>
              <w:left w:val="nil"/>
              <w:bottom w:val="single" w:sz="6" w:space="0" w:color="FFFFFF"/>
              <w:right w:val="nil"/>
            </w:tcBorders>
          </w:tcPr>
          <w:p w:rsidR="00A432AE" w:rsidRPr="00194EFD" w:rsidRDefault="005A2529" w:rsidP="000F55B9">
            <w:pPr>
              <w:widowControl/>
              <w:suppressAutoHyphens/>
              <w:ind w:left="-58" w:right="-72"/>
              <w:rPr>
                <w:rFonts w:ascii="Arial Narrow" w:hAnsi="Arial Narrow"/>
                <w:color w:val="000000"/>
                <w:sz w:val="17"/>
                <w:lang w:val="fr-FR"/>
              </w:rPr>
            </w:pPr>
            <w:r w:rsidRPr="00194EFD">
              <w:rPr>
                <w:rFonts w:ascii="Arial Narrow" w:hAnsi="Arial Narrow"/>
                <w:color w:val="000000"/>
                <w:sz w:val="17"/>
                <w:lang w:val="fr-FR"/>
              </w:rPr>
              <w:t>10.55-10.6</w:t>
            </w:r>
          </w:p>
          <w:p w:rsidR="00DE7DC1" w:rsidRPr="00194EFD" w:rsidRDefault="005A2529" w:rsidP="000F55B9">
            <w:pPr>
              <w:widowControl/>
              <w:suppressAutoHyphens/>
              <w:spacing w:line="228" w:lineRule="auto"/>
              <w:ind w:left="-58" w:right="-72"/>
              <w:rPr>
                <w:rFonts w:ascii="Arial Narrow" w:hAnsi="Arial Narrow"/>
                <w:color w:val="000000"/>
                <w:sz w:val="17"/>
                <w:lang w:val="fr-FR"/>
              </w:rPr>
            </w:pPr>
            <w:r w:rsidRPr="00194EFD">
              <w:rPr>
                <w:rFonts w:ascii="Arial Narrow" w:hAnsi="Arial Narrow"/>
                <w:color w:val="000000"/>
                <w:sz w:val="17"/>
                <w:lang w:val="fr-FR"/>
              </w:rPr>
              <w:t>FIXED</w:t>
            </w:r>
          </w:p>
          <w:p w:rsidR="00DE7DC1" w:rsidRPr="00194EFD" w:rsidRDefault="005A2529" w:rsidP="000F55B9">
            <w:pPr>
              <w:widowControl/>
              <w:suppressAutoHyphens/>
              <w:spacing w:line="228" w:lineRule="auto"/>
              <w:ind w:left="-58" w:right="-72"/>
              <w:rPr>
                <w:rFonts w:ascii="Arial Narrow" w:hAnsi="Arial Narrow"/>
                <w:color w:val="000000"/>
                <w:sz w:val="17"/>
                <w:lang w:val="fr-FR"/>
              </w:rPr>
            </w:pPr>
            <w:r w:rsidRPr="00194EFD">
              <w:rPr>
                <w:rFonts w:ascii="Arial Narrow" w:hAnsi="Arial Narrow"/>
                <w:color w:val="000000"/>
                <w:sz w:val="17"/>
                <w:lang w:val="fr-FR"/>
              </w:rPr>
              <w:t>MOBILE except aeronautical mobile</w:t>
            </w:r>
          </w:p>
          <w:p w:rsidR="00A432AE" w:rsidRPr="00194EFD" w:rsidRDefault="005A2529" w:rsidP="000F55B9">
            <w:pPr>
              <w:widowControl/>
              <w:suppressAutoHyphens/>
              <w:ind w:left="-58" w:right="-72"/>
              <w:rPr>
                <w:rFonts w:ascii="Arial Narrow" w:hAnsi="Arial Narrow"/>
                <w:color w:val="000000"/>
                <w:sz w:val="17"/>
                <w:lang w:val="fr-FR"/>
              </w:rPr>
            </w:pPr>
            <w:r w:rsidRPr="00194EFD">
              <w:rPr>
                <w:rFonts w:ascii="Arial Narrow" w:hAnsi="Arial Narrow"/>
                <w:color w:val="000000"/>
                <w:sz w:val="17"/>
                <w:lang w:val="fr-FR"/>
              </w:rPr>
              <w:t>Radiolocation</w:t>
            </w:r>
          </w:p>
        </w:tc>
        <w:tc>
          <w:tcPr>
            <w:tcW w:w="2294" w:type="dxa"/>
            <w:tcBorders>
              <w:top w:val="single" w:sz="6" w:space="0" w:color="000000"/>
              <w:left w:val="double" w:sz="6" w:space="0" w:color="000000"/>
              <w:bottom w:val="single" w:sz="6" w:space="0" w:color="FFFFFF"/>
              <w:right w:val="single" w:sz="6" w:space="0" w:color="FFFFFF"/>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10.55-10.6</w:t>
            </w:r>
          </w:p>
        </w:tc>
        <w:tc>
          <w:tcPr>
            <w:tcW w:w="2406" w:type="dxa"/>
            <w:gridSpan w:val="2"/>
            <w:tcBorders>
              <w:top w:val="single" w:sz="6" w:space="0" w:color="000000"/>
              <w:left w:val="single" w:sz="6" w:space="0" w:color="000000"/>
              <w:bottom w:val="single" w:sz="6" w:space="0" w:color="FFFFFF"/>
              <w:right w:val="single" w:sz="6" w:space="0" w:color="FFFFFF"/>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10.55-10.6</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FIXED</w:t>
            </w:r>
          </w:p>
        </w:tc>
        <w:tc>
          <w:tcPr>
            <w:tcW w:w="2013" w:type="dxa"/>
            <w:gridSpan w:val="2"/>
            <w:vMerge w:val="restart"/>
            <w:tcBorders>
              <w:top w:val="single" w:sz="6" w:space="0" w:color="000000"/>
              <w:left w:val="double" w:sz="6" w:space="0" w:color="000000"/>
              <w:bottom w:val="single" w:sz="6" w:space="0" w:color="FFFFFF"/>
              <w:right w:val="nil"/>
            </w:tcBorders>
          </w:tcPr>
          <w:p w:rsidR="00A432AE" w:rsidRPr="00194EFD" w:rsidRDefault="00A432AE" w:rsidP="000F55B9">
            <w:pPr>
              <w:widowControl/>
              <w:suppressAutoHyphens/>
              <w:ind w:right="-72"/>
              <w:rPr>
                <w:rFonts w:ascii="Arial Narrow" w:hAnsi="Arial Narrow"/>
                <w:color w:val="000000"/>
                <w:sz w:val="17"/>
              </w:rPr>
            </w:pP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Fixed Microwave (101)</w:t>
            </w:r>
          </w:p>
        </w:tc>
      </w:tr>
      <w:tr w:rsidR="00A432AE" w:rsidRPr="00731875">
        <w:trPr>
          <w:trHeight w:val="1371"/>
        </w:trPr>
        <w:tc>
          <w:tcPr>
            <w:tcW w:w="7455" w:type="dxa"/>
            <w:gridSpan w:val="4"/>
            <w:tcBorders>
              <w:top w:val="single" w:sz="6" w:space="0" w:color="000000"/>
              <w:left w:val="nil"/>
              <w:bottom w:val="single" w:sz="6" w:space="0" w:color="FFFFFF"/>
              <w:right w:val="nil"/>
            </w:tcBorders>
          </w:tcPr>
          <w:p w:rsidR="00A432AE"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10.6-10.68</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EARTH EXPLORATION-SATELLITE (passive)</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FIXED</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MOBILE except aeronautical mobile</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RADIO ASTRONOMY</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SPACE RESEARCH (passive)</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Radiolocation</w:t>
            </w:r>
          </w:p>
          <w:p w:rsidR="00DE7DC1" w:rsidRPr="00194EFD"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194EFD">
              <w:rPr>
                <w:rFonts w:ascii="Arial Narrow" w:hAnsi="Arial Narrow"/>
                <w:color w:val="000000"/>
                <w:sz w:val="17"/>
              </w:rPr>
              <w:t>5.149  5.482  5.482A</w:t>
            </w:r>
          </w:p>
        </w:tc>
        <w:tc>
          <w:tcPr>
            <w:tcW w:w="2294" w:type="dxa"/>
            <w:tcBorders>
              <w:top w:val="single" w:sz="6" w:space="0" w:color="000000"/>
              <w:left w:val="double" w:sz="6" w:space="0" w:color="000000"/>
              <w:bottom w:val="single" w:sz="6" w:space="0" w:color="FFFFFF"/>
              <w:right w:val="single" w:sz="6" w:space="0" w:color="FFFFFF"/>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10.6-10.68</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EARTH EXPLORATION-</w:t>
            </w:r>
          </w:p>
          <w:p w:rsidR="00A432AE" w:rsidRPr="00194EFD" w:rsidRDefault="005A2529" w:rsidP="000F55B9">
            <w:pPr>
              <w:widowControl/>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194EFD">
              <w:rPr>
                <w:rFonts w:ascii="Arial Narrow" w:hAnsi="Arial Narrow"/>
                <w:color w:val="000000"/>
                <w:sz w:val="17"/>
              </w:rPr>
              <w:t xml:space="preserve">   SATELLITE (passive)</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SPACE RESEARCH (passive)</w:t>
            </w:r>
          </w:p>
          <w:p w:rsidR="00A432AE" w:rsidRPr="00194EFD" w:rsidRDefault="00A432AE" w:rsidP="000F55B9">
            <w:pPr>
              <w:widowControl/>
              <w:suppressAutoHyphens/>
              <w:ind w:right="-72"/>
              <w:rPr>
                <w:rFonts w:ascii="Arial Narrow" w:hAnsi="Arial Narrow"/>
                <w:color w:val="000000"/>
                <w:sz w:val="17"/>
              </w:rPr>
            </w:pPr>
          </w:p>
          <w:p w:rsidR="00A432AE" w:rsidRPr="00194EFD" w:rsidRDefault="00A432AE" w:rsidP="000F55B9">
            <w:pPr>
              <w:widowControl/>
              <w:suppressAutoHyphens/>
              <w:ind w:right="-72"/>
              <w:rPr>
                <w:rFonts w:ascii="Arial Narrow" w:hAnsi="Arial Narrow"/>
                <w:color w:val="000000"/>
                <w:sz w:val="17"/>
              </w:rPr>
            </w:pPr>
          </w:p>
          <w:p w:rsidR="00A432AE" w:rsidRPr="00194EFD" w:rsidRDefault="00A432AE" w:rsidP="000F55B9">
            <w:pPr>
              <w:widowControl/>
              <w:suppressAutoHyphens/>
              <w:ind w:right="-72"/>
              <w:rPr>
                <w:rFonts w:ascii="Arial Narrow" w:hAnsi="Arial Narrow"/>
                <w:color w:val="000000"/>
                <w:sz w:val="17"/>
              </w:rPr>
            </w:pPr>
          </w:p>
          <w:p w:rsidR="00DE7DC1" w:rsidRPr="00194EFD"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ind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194EFD">
              <w:rPr>
                <w:rFonts w:ascii="Arial Narrow" w:hAnsi="Arial Narrow"/>
                <w:color w:val="000000"/>
                <w:sz w:val="17"/>
              </w:rPr>
              <w:t>US130  US131  US265</w:t>
            </w:r>
          </w:p>
        </w:tc>
        <w:tc>
          <w:tcPr>
            <w:tcW w:w="2406" w:type="dxa"/>
            <w:gridSpan w:val="2"/>
            <w:tcBorders>
              <w:top w:val="single" w:sz="6" w:space="0" w:color="000000"/>
              <w:left w:val="single" w:sz="6" w:space="0" w:color="000000"/>
              <w:bottom w:val="single" w:sz="6" w:space="0" w:color="FFFFFF"/>
              <w:right w:val="single" w:sz="6" w:space="0" w:color="FFFFFF"/>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10.6-10.68</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EARTH EXPLORATION-</w:t>
            </w:r>
          </w:p>
          <w:p w:rsidR="00A432AE" w:rsidRPr="00194EFD" w:rsidRDefault="005A2529" w:rsidP="000F55B9">
            <w:pPr>
              <w:widowControl/>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194EFD">
              <w:rPr>
                <w:rFonts w:ascii="Arial Narrow" w:hAnsi="Arial Narrow"/>
                <w:color w:val="000000"/>
                <w:sz w:val="17"/>
              </w:rPr>
              <w:t xml:space="preserve">   SATELLITE (passive)</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FIXED  US265</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SPACE RESEARCH (passive)</w:t>
            </w:r>
          </w:p>
          <w:p w:rsidR="00A432AE" w:rsidRPr="00194EFD" w:rsidRDefault="00A432AE" w:rsidP="000F55B9">
            <w:pPr>
              <w:widowControl/>
              <w:suppressAutoHyphens/>
              <w:ind w:right="-72"/>
              <w:rPr>
                <w:rFonts w:ascii="Arial Narrow" w:hAnsi="Arial Narrow"/>
                <w:color w:val="000000"/>
                <w:sz w:val="17"/>
              </w:rPr>
            </w:pPr>
          </w:p>
          <w:p w:rsidR="00A432AE" w:rsidRPr="00194EFD" w:rsidRDefault="00A432AE" w:rsidP="000F55B9">
            <w:pPr>
              <w:widowControl/>
              <w:suppressAutoHyphens/>
              <w:ind w:right="-72"/>
              <w:rPr>
                <w:rFonts w:ascii="Arial Narrow" w:hAnsi="Arial Narrow"/>
                <w:color w:val="000000"/>
                <w:sz w:val="17"/>
              </w:rPr>
            </w:pPr>
          </w:p>
          <w:p w:rsidR="00DE7DC1" w:rsidRPr="00194EFD"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ind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194EFD">
              <w:rPr>
                <w:rFonts w:ascii="Arial Narrow" w:hAnsi="Arial Narrow"/>
                <w:color w:val="000000"/>
                <w:sz w:val="17"/>
              </w:rPr>
              <w:t>US130  US131</w:t>
            </w:r>
          </w:p>
        </w:tc>
        <w:tc>
          <w:tcPr>
            <w:tcW w:w="2013" w:type="dxa"/>
            <w:gridSpan w:val="2"/>
            <w:vMerge/>
            <w:tcBorders>
              <w:top w:val="single" w:sz="6" w:space="0" w:color="000000"/>
              <w:left w:val="double" w:sz="6" w:space="0" w:color="000000"/>
              <w:bottom w:val="single" w:sz="6" w:space="0" w:color="FFFFFF"/>
              <w:right w:val="nil"/>
            </w:tcBorders>
            <w:vAlign w:val="center"/>
          </w:tcPr>
          <w:p w:rsidR="00A432AE" w:rsidRPr="00194EFD" w:rsidRDefault="00A432AE" w:rsidP="000F55B9">
            <w:pPr>
              <w:widowControl/>
              <w:suppressAutoHyphens/>
              <w:ind w:right="-72"/>
              <w:rPr>
                <w:rFonts w:ascii="Arial Narrow" w:hAnsi="Arial Narrow"/>
                <w:color w:val="000000"/>
                <w:sz w:val="17"/>
              </w:rPr>
            </w:pPr>
          </w:p>
        </w:tc>
      </w:tr>
      <w:tr w:rsidR="00A432AE" w:rsidRPr="00731875">
        <w:trPr>
          <w:trHeight w:val="597"/>
        </w:trPr>
        <w:tc>
          <w:tcPr>
            <w:tcW w:w="7455" w:type="dxa"/>
            <w:gridSpan w:val="4"/>
            <w:tcBorders>
              <w:top w:val="single" w:sz="6" w:space="0" w:color="000000"/>
              <w:left w:val="nil"/>
              <w:bottom w:val="single" w:sz="6" w:space="0" w:color="auto"/>
              <w:right w:val="nil"/>
            </w:tcBorders>
          </w:tcPr>
          <w:p w:rsidR="00A432AE"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10.68-10.7</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EARTH EXPLORATION-SATELLITE (passive)</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RADIO ASTRONOMY</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SPACE RESEARCH (passive)</w:t>
            </w:r>
          </w:p>
          <w:p w:rsidR="00DE7DC1" w:rsidRPr="00194EFD"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194EFD">
              <w:rPr>
                <w:rFonts w:ascii="Arial Narrow" w:hAnsi="Arial Narrow"/>
                <w:color w:val="000000"/>
                <w:sz w:val="17"/>
              </w:rPr>
              <w:t>5.340  5.483</w:t>
            </w:r>
          </w:p>
        </w:tc>
        <w:tc>
          <w:tcPr>
            <w:tcW w:w="4700" w:type="dxa"/>
            <w:gridSpan w:val="3"/>
            <w:tcBorders>
              <w:top w:val="single" w:sz="6" w:space="0" w:color="000000"/>
              <w:left w:val="double" w:sz="6" w:space="0" w:color="000000"/>
              <w:bottom w:val="single" w:sz="6" w:space="0" w:color="auto"/>
              <w:right w:val="nil"/>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10.68-10.7</w:t>
            </w:r>
          </w:p>
          <w:p w:rsidR="00DE7DC1" w:rsidRPr="00194EFD" w:rsidRDefault="005A2529" w:rsidP="000F55B9">
            <w:pPr>
              <w:widowControl/>
              <w:suppressAutoHyphens/>
              <w:spacing w:line="228" w:lineRule="auto"/>
              <w:ind w:right="-72"/>
              <w:rPr>
                <w:rFonts w:ascii="Arial Narrow" w:hAnsi="Arial Narrow"/>
                <w:color w:val="000000"/>
                <w:sz w:val="17"/>
              </w:rPr>
            </w:pPr>
            <w:r w:rsidRPr="00194EFD">
              <w:rPr>
                <w:rFonts w:ascii="Arial Narrow" w:hAnsi="Arial Narrow"/>
                <w:color w:val="000000"/>
                <w:sz w:val="17"/>
              </w:rPr>
              <w:t>EARTH EXPLORATION-SATELLITE (passive)</w:t>
            </w:r>
          </w:p>
          <w:p w:rsidR="00DE7DC1" w:rsidRPr="00194EFD" w:rsidRDefault="005A2529" w:rsidP="000F55B9">
            <w:pPr>
              <w:widowControl/>
              <w:suppressAutoHyphens/>
              <w:spacing w:line="228" w:lineRule="auto"/>
              <w:ind w:right="-72"/>
              <w:rPr>
                <w:rFonts w:ascii="Arial Narrow" w:hAnsi="Arial Narrow"/>
                <w:color w:val="000000"/>
                <w:sz w:val="17"/>
              </w:rPr>
            </w:pPr>
            <w:r w:rsidRPr="00194EFD">
              <w:rPr>
                <w:rFonts w:ascii="Arial Narrow" w:hAnsi="Arial Narrow"/>
                <w:color w:val="000000"/>
                <w:sz w:val="17"/>
              </w:rPr>
              <w:t>RADIO ASTRONOMY  US74</w:t>
            </w:r>
          </w:p>
          <w:p w:rsidR="00DE7DC1" w:rsidRPr="00194EFD" w:rsidRDefault="005A2529" w:rsidP="000F55B9">
            <w:pPr>
              <w:widowControl/>
              <w:suppressAutoHyphens/>
              <w:spacing w:line="228" w:lineRule="auto"/>
              <w:ind w:right="-72"/>
              <w:rPr>
                <w:rFonts w:ascii="Arial Narrow" w:hAnsi="Arial Narrow"/>
                <w:color w:val="000000"/>
                <w:sz w:val="17"/>
              </w:rPr>
            </w:pPr>
            <w:r w:rsidRPr="00194EFD">
              <w:rPr>
                <w:rFonts w:ascii="Arial Narrow" w:hAnsi="Arial Narrow"/>
                <w:color w:val="000000"/>
                <w:sz w:val="17"/>
              </w:rPr>
              <w:t>SPACE RESEARCH (passive)</w:t>
            </w:r>
          </w:p>
          <w:p w:rsidR="00DE7DC1" w:rsidRPr="00194EFD"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194EFD">
              <w:rPr>
                <w:rFonts w:ascii="Arial Narrow" w:hAnsi="Arial Narrow"/>
                <w:color w:val="000000"/>
                <w:sz w:val="17"/>
              </w:rPr>
              <w:t>US131  US246</w:t>
            </w:r>
          </w:p>
        </w:tc>
        <w:tc>
          <w:tcPr>
            <w:tcW w:w="2013" w:type="dxa"/>
            <w:gridSpan w:val="2"/>
            <w:tcBorders>
              <w:top w:val="single" w:sz="6" w:space="0" w:color="000000"/>
              <w:left w:val="double" w:sz="6" w:space="0" w:color="000000"/>
              <w:bottom w:val="single" w:sz="6" w:space="0" w:color="auto"/>
              <w:right w:val="nil"/>
            </w:tcBorders>
          </w:tcPr>
          <w:p w:rsidR="00A432AE" w:rsidRPr="00194EFD" w:rsidRDefault="00A432AE" w:rsidP="000F55B9">
            <w:pPr>
              <w:widowControl/>
              <w:suppressAutoHyphens/>
              <w:ind w:right="-72"/>
              <w:rPr>
                <w:rFonts w:ascii="Arial Narrow" w:hAnsi="Arial Narrow"/>
                <w:color w:val="000000"/>
                <w:sz w:val="17"/>
              </w:rPr>
            </w:pPr>
          </w:p>
        </w:tc>
      </w:tr>
      <w:tr w:rsidR="00A432AE" w:rsidRPr="00731875">
        <w:tc>
          <w:tcPr>
            <w:tcW w:w="2404" w:type="dxa"/>
            <w:gridSpan w:val="2"/>
            <w:tcBorders>
              <w:top w:val="single" w:sz="6" w:space="0" w:color="000000"/>
              <w:left w:val="nil"/>
              <w:bottom w:val="single" w:sz="6" w:space="0" w:color="auto"/>
              <w:right w:val="single" w:sz="6" w:space="0" w:color="auto"/>
            </w:tcBorders>
          </w:tcPr>
          <w:p w:rsidR="00A432AE"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10.7-11.7</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FIXED</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FIXED-SATELLITE (space-to-Earth)</w:t>
            </w: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194EFD">
              <w:rPr>
                <w:rFonts w:ascii="Arial Narrow" w:hAnsi="Arial Narrow"/>
                <w:color w:val="000000"/>
                <w:sz w:val="17"/>
              </w:rPr>
              <w:t xml:space="preserve">   5.441  5.484A  (Earth-to-space)</w:t>
            </w: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194EFD">
              <w:rPr>
                <w:rFonts w:ascii="Arial Narrow" w:hAnsi="Arial Narrow"/>
                <w:color w:val="000000"/>
                <w:sz w:val="17"/>
              </w:rPr>
              <w:t xml:space="preserve">   5.484</w:t>
            </w:r>
          </w:p>
          <w:p w:rsidR="00A432AE"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MOBILE except aeronautical mobile</w:t>
            </w:r>
          </w:p>
        </w:tc>
        <w:tc>
          <w:tcPr>
            <w:tcW w:w="5051" w:type="dxa"/>
            <w:gridSpan w:val="2"/>
            <w:tcBorders>
              <w:top w:val="single" w:sz="6" w:space="0" w:color="000000"/>
              <w:left w:val="single" w:sz="6" w:space="0" w:color="auto"/>
              <w:bottom w:val="single" w:sz="6" w:space="0" w:color="auto"/>
              <w:right w:val="nil"/>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10.7-11.7</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FIXED</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FIXED-SATELLITE (space-to-Earth)  5.441  5.484A</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MOBILE except aeronautical mobile</w:t>
            </w:r>
          </w:p>
        </w:tc>
        <w:tc>
          <w:tcPr>
            <w:tcW w:w="2328" w:type="dxa"/>
            <w:gridSpan w:val="2"/>
            <w:tcBorders>
              <w:top w:val="single" w:sz="6" w:space="0" w:color="000000"/>
              <w:left w:val="double" w:sz="6" w:space="0" w:color="000000"/>
              <w:bottom w:val="single" w:sz="6" w:space="0" w:color="000000"/>
              <w:right w:val="single" w:sz="6" w:space="0" w:color="auto"/>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10.7-11.7</w:t>
            </w:r>
          </w:p>
          <w:p w:rsidR="00A432AE" w:rsidRPr="00194EFD" w:rsidRDefault="00A432AE" w:rsidP="000F55B9">
            <w:pPr>
              <w:widowControl/>
              <w:suppressAutoHyphens/>
              <w:ind w:right="-72"/>
              <w:rPr>
                <w:rFonts w:ascii="Arial Narrow" w:hAnsi="Arial Narrow"/>
                <w:color w:val="000000"/>
                <w:sz w:val="17"/>
              </w:rPr>
            </w:pPr>
          </w:p>
          <w:p w:rsidR="00A432AE" w:rsidRPr="00194EFD" w:rsidRDefault="00A432AE" w:rsidP="000F55B9">
            <w:pPr>
              <w:widowControl/>
              <w:suppressAutoHyphens/>
              <w:ind w:right="-72"/>
              <w:rPr>
                <w:rFonts w:ascii="Arial Narrow" w:hAnsi="Arial Narrow"/>
                <w:color w:val="000000"/>
                <w:sz w:val="17"/>
              </w:rPr>
            </w:pPr>
          </w:p>
          <w:p w:rsidR="00DE7DC1" w:rsidRPr="00194EFD" w:rsidRDefault="00DE7DC1"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p>
          <w:p w:rsidR="00DE7DC1" w:rsidRPr="00194EFD" w:rsidRDefault="00DE7DC1" w:rsidP="000F55B9">
            <w:pPr>
              <w:widowControl/>
              <w:suppressAutoHyphens/>
              <w:spacing w:line="216" w:lineRule="auto"/>
              <w:ind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194EFD">
              <w:rPr>
                <w:rFonts w:ascii="Arial Narrow" w:hAnsi="Arial Narrow"/>
                <w:color w:val="000000"/>
                <w:sz w:val="17"/>
              </w:rPr>
              <w:t>US131  US211</w:t>
            </w:r>
          </w:p>
        </w:tc>
        <w:tc>
          <w:tcPr>
            <w:tcW w:w="2372" w:type="dxa"/>
            <w:tcBorders>
              <w:top w:val="single" w:sz="6" w:space="0" w:color="000000"/>
              <w:left w:val="single" w:sz="6" w:space="0" w:color="auto"/>
              <w:bottom w:val="single" w:sz="6" w:space="0" w:color="auto"/>
              <w:right w:val="nil"/>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10.7-11.7</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FIXED</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FIXED-SATELLITE (space-to-</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 xml:space="preserve">   Earth)  5.441  US131  US211   </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 xml:space="preserve">   NG52</w:t>
            </w:r>
          </w:p>
        </w:tc>
        <w:tc>
          <w:tcPr>
            <w:tcW w:w="2013" w:type="dxa"/>
            <w:gridSpan w:val="2"/>
            <w:tcBorders>
              <w:top w:val="single" w:sz="6" w:space="0" w:color="000000"/>
              <w:left w:val="double" w:sz="6" w:space="0" w:color="000000"/>
              <w:bottom w:val="single" w:sz="6" w:space="0" w:color="auto"/>
              <w:right w:val="nil"/>
            </w:tcBorders>
          </w:tcPr>
          <w:p w:rsidR="00A432AE" w:rsidRPr="00194EFD" w:rsidRDefault="00A432AE" w:rsidP="000F55B9">
            <w:pPr>
              <w:widowControl/>
              <w:suppressAutoHyphens/>
              <w:ind w:right="-72"/>
              <w:rPr>
                <w:rFonts w:ascii="Arial Narrow" w:hAnsi="Arial Narrow"/>
                <w:color w:val="000000"/>
                <w:sz w:val="17"/>
              </w:rPr>
            </w:pP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Satellite Communications (25)</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Fixed Microwave (101)</w:t>
            </w:r>
          </w:p>
        </w:tc>
      </w:tr>
      <w:tr w:rsidR="00866CB0" w:rsidRPr="00731875">
        <w:trPr>
          <w:trHeight w:val="75"/>
        </w:trPr>
        <w:tc>
          <w:tcPr>
            <w:tcW w:w="2404" w:type="dxa"/>
            <w:gridSpan w:val="2"/>
            <w:vMerge w:val="restart"/>
            <w:tcBorders>
              <w:top w:val="single" w:sz="6" w:space="0" w:color="auto"/>
              <w:left w:val="nil"/>
              <w:right w:val="single" w:sz="6" w:space="0" w:color="FFFFFF"/>
            </w:tcBorders>
          </w:tcPr>
          <w:p w:rsidR="00A432AE"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br w:type="page"/>
              <w:t>11.7-12.5</w:t>
            </w:r>
          </w:p>
          <w:p w:rsidR="00A432AE"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FIXED</w:t>
            </w:r>
          </w:p>
          <w:p w:rsidR="00DE7DC1"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MOBILE except aeronautical mobile</w:t>
            </w:r>
          </w:p>
          <w:p w:rsidR="00A432AE"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BROADCASTING</w:t>
            </w:r>
          </w:p>
          <w:p w:rsidR="00DE7DC1"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BROADCASTING-SATELLITE 5.492</w:t>
            </w:r>
          </w:p>
        </w:tc>
        <w:tc>
          <w:tcPr>
            <w:tcW w:w="2462" w:type="dxa"/>
            <w:tcBorders>
              <w:top w:val="single" w:sz="6" w:space="0" w:color="000000"/>
              <w:left w:val="single" w:sz="6" w:space="0" w:color="000000"/>
              <w:bottom w:val="single" w:sz="6" w:space="0" w:color="auto"/>
              <w:right w:val="single" w:sz="6" w:space="0" w:color="FFFFFF"/>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11.7-12.1</w:t>
            </w:r>
          </w:p>
          <w:p w:rsidR="00DE7DC1" w:rsidRPr="00194EFD" w:rsidRDefault="005A2529" w:rsidP="000F55B9">
            <w:pPr>
              <w:widowControl/>
              <w:suppressAutoHyphens/>
              <w:spacing w:line="228" w:lineRule="auto"/>
              <w:ind w:right="-72"/>
              <w:rPr>
                <w:rFonts w:ascii="Arial Narrow" w:hAnsi="Arial Narrow"/>
                <w:color w:val="000000"/>
                <w:sz w:val="17"/>
              </w:rPr>
            </w:pPr>
            <w:r w:rsidRPr="00194EFD">
              <w:rPr>
                <w:rFonts w:ascii="Arial Narrow" w:hAnsi="Arial Narrow"/>
                <w:color w:val="000000"/>
                <w:sz w:val="17"/>
              </w:rPr>
              <w:t>FIXED  5.486</w:t>
            </w:r>
          </w:p>
          <w:p w:rsidR="00DE7DC1" w:rsidRPr="00194EFD" w:rsidRDefault="005A2529" w:rsidP="000F55B9">
            <w:pPr>
              <w:widowControl/>
              <w:suppressAutoHyphens/>
              <w:spacing w:line="228" w:lineRule="auto"/>
              <w:ind w:right="-72"/>
              <w:rPr>
                <w:rFonts w:ascii="Arial Narrow" w:hAnsi="Arial Narrow"/>
                <w:color w:val="000000"/>
                <w:sz w:val="17"/>
              </w:rPr>
            </w:pPr>
            <w:r w:rsidRPr="00194EFD">
              <w:rPr>
                <w:rFonts w:ascii="Arial Narrow" w:hAnsi="Arial Narrow"/>
                <w:color w:val="000000"/>
                <w:sz w:val="17"/>
              </w:rPr>
              <w:t>FIXED-SATELLITE (space-to-Earth)</w:t>
            </w:r>
          </w:p>
          <w:p w:rsidR="00A432AE" w:rsidRPr="00194EFD" w:rsidRDefault="005A2529" w:rsidP="000F55B9">
            <w:pPr>
              <w:widowControl/>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lang w:val="fr-FR"/>
              </w:rPr>
            </w:pPr>
            <w:r w:rsidRPr="00194EFD">
              <w:rPr>
                <w:rFonts w:ascii="Arial Narrow" w:hAnsi="Arial Narrow"/>
                <w:color w:val="000000"/>
                <w:sz w:val="17"/>
              </w:rPr>
              <w:t xml:space="preserve">   </w:t>
            </w:r>
            <w:r w:rsidRPr="00194EFD">
              <w:rPr>
                <w:rFonts w:ascii="Arial Narrow" w:hAnsi="Arial Narrow"/>
                <w:color w:val="000000"/>
                <w:sz w:val="17"/>
                <w:lang w:val="fr-FR"/>
              </w:rPr>
              <w:t>5.484A  5.488</w:t>
            </w:r>
          </w:p>
          <w:p w:rsidR="00A432AE" w:rsidRPr="00194EFD" w:rsidRDefault="005A2529" w:rsidP="000F55B9">
            <w:pPr>
              <w:widowControl/>
              <w:suppressAutoHyphens/>
              <w:ind w:right="-72"/>
              <w:rPr>
                <w:rFonts w:ascii="Arial Narrow" w:hAnsi="Arial Narrow"/>
                <w:color w:val="000000"/>
                <w:sz w:val="17"/>
                <w:lang w:val="fr-FR"/>
              </w:rPr>
            </w:pPr>
            <w:r w:rsidRPr="00194EFD">
              <w:rPr>
                <w:rFonts w:ascii="Arial Narrow" w:hAnsi="Arial Narrow"/>
                <w:color w:val="000000"/>
                <w:sz w:val="17"/>
                <w:lang w:val="fr-FR"/>
              </w:rPr>
              <w:t>Mobile except aeronautical mobile</w:t>
            </w:r>
          </w:p>
          <w:p w:rsidR="00DE7DC1" w:rsidRPr="00194EFD" w:rsidRDefault="00DE7DC1" w:rsidP="000F55B9">
            <w:pPr>
              <w:widowControl/>
              <w:suppressAutoHyphens/>
              <w:spacing w:line="108" w:lineRule="auto"/>
              <w:ind w:right="-72"/>
              <w:rPr>
                <w:rFonts w:ascii="Arial Narrow" w:hAnsi="Arial Narrow"/>
                <w:color w:val="000000"/>
                <w:sz w:val="17"/>
                <w:lang w:val="fr-FR"/>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lang w:val="fr-FR"/>
              </w:rPr>
            </w:pPr>
            <w:r w:rsidRPr="00194EFD">
              <w:rPr>
                <w:rFonts w:ascii="Arial Narrow" w:hAnsi="Arial Narrow"/>
                <w:color w:val="000000"/>
                <w:sz w:val="17"/>
                <w:lang w:val="fr-FR"/>
              </w:rPr>
              <w:t>5.485</w:t>
            </w:r>
          </w:p>
        </w:tc>
        <w:tc>
          <w:tcPr>
            <w:tcW w:w="2589" w:type="dxa"/>
            <w:tcBorders>
              <w:top w:val="single" w:sz="6" w:space="0" w:color="000000"/>
              <w:left w:val="single" w:sz="6" w:space="0" w:color="000000"/>
              <w:right w:val="single" w:sz="6" w:space="0" w:color="FFFFFF"/>
            </w:tcBorders>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11.7-12.2</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FIXED</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MOBILE except aeronautical mobile</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BROADCASTING</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BROADCASTING-SATELLITE  5.492</w:t>
            </w:r>
          </w:p>
        </w:tc>
        <w:tc>
          <w:tcPr>
            <w:tcW w:w="2328" w:type="dxa"/>
            <w:gridSpan w:val="2"/>
            <w:vMerge w:val="restart"/>
            <w:tcBorders>
              <w:top w:val="single" w:sz="6" w:space="0" w:color="000000"/>
              <w:left w:val="double" w:sz="6" w:space="0" w:color="000000"/>
              <w:bottom w:val="single" w:sz="6" w:space="0" w:color="auto"/>
              <w:right w:val="single" w:sz="6" w:space="0" w:color="FFFFFF"/>
            </w:tcBorders>
          </w:tcPr>
          <w:p w:rsidR="00A432AE" w:rsidRPr="00194EFD" w:rsidRDefault="005A2529" w:rsidP="000F55B9">
            <w:pPr>
              <w:widowControl/>
              <w:suppressAutoHyphens/>
              <w:spacing w:before="36"/>
              <w:ind w:right="-72"/>
              <w:rPr>
                <w:rFonts w:ascii="Arial Narrow" w:hAnsi="Arial Narrow"/>
                <w:color w:val="000000"/>
                <w:sz w:val="17"/>
              </w:rPr>
            </w:pPr>
            <w:r w:rsidRPr="00194EFD">
              <w:rPr>
                <w:rFonts w:ascii="Arial Narrow" w:hAnsi="Arial Narrow"/>
                <w:color w:val="000000"/>
                <w:sz w:val="17"/>
              </w:rPr>
              <w:t>11.7-12.2</w:t>
            </w:r>
          </w:p>
        </w:tc>
        <w:tc>
          <w:tcPr>
            <w:tcW w:w="2372" w:type="dxa"/>
            <w:tcBorders>
              <w:top w:val="single" w:sz="6" w:space="0" w:color="000000"/>
              <w:left w:val="single" w:sz="6" w:space="0" w:color="000000"/>
              <w:right w:val="single" w:sz="6" w:space="0" w:color="FFFFFF"/>
            </w:tcBorders>
            <w:shd w:val="clear" w:color="auto" w:fill="auto"/>
          </w:tcPr>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11.7-12.2</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FIXED-SATELLITE (space-to-</w:t>
            </w:r>
          </w:p>
          <w:p w:rsidR="00A432AE" w:rsidRPr="00194EFD" w:rsidRDefault="005A2529" w:rsidP="000F55B9">
            <w:pPr>
              <w:widowControl/>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194EFD">
              <w:rPr>
                <w:rFonts w:ascii="Arial Narrow" w:hAnsi="Arial Narrow"/>
                <w:color w:val="000000"/>
                <w:sz w:val="17"/>
              </w:rPr>
              <w:t xml:space="preserve">   Earth)  5.485  5.488</w:t>
            </w: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 xml:space="preserve">   NG55  NG143</w:t>
            </w:r>
          </w:p>
        </w:tc>
        <w:tc>
          <w:tcPr>
            <w:tcW w:w="2013" w:type="dxa"/>
            <w:gridSpan w:val="2"/>
            <w:vMerge w:val="restart"/>
            <w:tcBorders>
              <w:top w:val="single" w:sz="6" w:space="0" w:color="auto"/>
              <w:left w:val="double" w:sz="6" w:space="0" w:color="000000"/>
              <w:bottom w:val="single" w:sz="6" w:space="0" w:color="auto"/>
              <w:right w:val="nil"/>
            </w:tcBorders>
          </w:tcPr>
          <w:p w:rsidR="00A432AE" w:rsidRPr="00194EFD" w:rsidRDefault="00A432AE" w:rsidP="000F55B9">
            <w:pPr>
              <w:widowControl/>
              <w:suppressAutoHyphens/>
              <w:ind w:right="-72"/>
              <w:rPr>
                <w:rFonts w:ascii="Arial Narrow" w:hAnsi="Arial Narrow"/>
                <w:color w:val="000000"/>
                <w:sz w:val="17"/>
              </w:rPr>
            </w:pPr>
          </w:p>
          <w:p w:rsidR="00A432AE" w:rsidRPr="00194EFD" w:rsidRDefault="005A2529" w:rsidP="000F55B9">
            <w:pPr>
              <w:widowControl/>
              <w:suppressAutoHyphens/>
              <w:ind w:right="-72"/>
              <w:rPr>
                <w:rFonts w:ascii="Arial Narrow" w:hAnsi="Arial Narrow"/>
                <w:color w:val="000000"/>
                <w:sz w:val="17"/>
              </w:rPr>
            </w:pPr>
            <w:r w:rsidRPr="00194EFD">
              <w:rPr>
                <w:rFonts w:ascii="Arial Narrow" w:hAnsi="Arial Narrow"/>
                <w:color w:val="000000"/>
                <w:sz w:val="17"/>
              </w:rPr>
              <w:t>Satellite Communications (25)</w:t>
            </w:r>
          </w:p>
        </w:tc>
      </w:tr>
      <w:tr w:rsidR="00866CB0" w:rsidRPr="00731875">
        <w:trPr>
          <w:trHeight w:val="40"/>
        </w:trPr>
        <w:tc>
          <w:tcPr>
            <w:tcW w:w="2404" w:type="dxa"/>
            <w:gridSpan w:val="2"/>
            <w:vMerge/>
            <w:tcBorders>
              <w:top w:val="single" w:sz="6" w:space="0" w:color="auto"/>
              <w:left w:val="nil"/>
              <w:right w:val="single" w:sz="6" w:space="0" w:color="FFFFFF"/>
            </w:tcBorders>
            <w:vAlign w:val="center"/>
          </w:tcPr>
          <w:p w:rsidR="00A432AE" w:rsidRPr="00761A73" w:rsidRDefault="00A432AE" w:rsidP="000F55B9">
            <w:pPr>
              <w:widowControl/>
              <w:suppressAutoHyphens/>
              <w:ind w:left="-64" w:right="-72"/>
              <w:rPr>
                <w:rFonts w:ascii="Arial Narrow" w:hAnsi="Arial Narrow"/>
                <w:color w:val="000000"/>
                <w:sz w:val="17"/>
              </w:rPr>
            </w:pPr>
          </w:p>
        </w:tc>
        <w:tc>
          <w:tcPr>
            <w:tcW w:w="2462" w:type="dxa"/>
            <w:tcBorders>
              <w:top w:val="single" w:sz="6" w:space="0" w:color="auto"/>
              <w:left w:val="single" w:sz="6" w:space="0" w:color="000000"/>
              <w:bottom w:val="single" w:sz="6" w:space="0" w:color="auto"/>
              <w:right w:val="single" w:sz="6" w:space="0" w:color="FFFFFF"/>
            </w:tcBorders>
          </w:tcPr>
          <w:p w:rsidR="00A432AE" w:rsidRPr="00761A73" w:rsidRDefault="005A2529" w:rsidP="000F55B9">
            <w:pPr>
              <w:widowControl/>
              <w:suppressAutoHyphens/>
              <w:ind w:right="-72"/>
              <w:rPr>
                <w:rFonts w:ascii="Arial Narrow" w:hAnsi="Arial Narrow"/>
                <w:color w:val="000000"/>
                <w:sz w:val="17"/>
              </w:rPr>
            </w:pPr>
            <w:r w:rsidRPr="00761A73">
              <w:rPr>
                <w:rFonts w:ascii="Arial Narrow" w:hAnsi="Arial Narrow"/>
                <w:color w:val="000000"/>
                <w:sz w:val="17"/>
              </w:rPr>
              <w:t>12.1-12.2</w:t>
            </w:r>
          </w:p>
          <w:p w:rsidR="00DE7DC1" w:rsidRPr="00761A73" w:rsidRDefault="005A2529" w:rsidP="000F55B9">
            <w:pPr>
              <w:widowControl/>
              <w:suppressAutoHyphens/>
              <w:spacing w:line="228" w:lineRule="auto"/>
              <w:ind w:right="-72"/>
              <w:rPr>
                <w:rFonts w:ascii="Arial Narrow" w:hAnsi="Arial Narrow"/>
                <w:color w:val="000000"/>
                <w:sz w:val="17"/>
              </w:rPr>
            </w:pPr>
            <w:r w:rsidRPr="00761A73">
              <w:rPr>
                <w:rFonts w:ascii="Arial Narrow" w:hAnsi="Arial Narrow"/>
                <w:color w:val="000000"/>
                <w:sz w:val="17"/>
              </w:rPr>
              <w:t>FIXED-SATELLITE (space-to-Earth)</w:t>
            </w: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761A73">
              <w:rPr>
                <w:rFonts w:ascii="Arial Narrow" w:hAnsi="Arial Narrow"/>
                <w:color w:val="000000"/>
                <w:sz w:val="17"/>
              </w:rPr>
              <w:t xml:space="preserve">   </w:t>
            </w:r>
            <w:r w:rsidR="00950CD7">
              <w:rPr>
                <w:rFonts w:ascii="Arial Narrow" w:hAnsi="Arial Narrow"/>
                <w:color w:val="000000"/>
                <w:sz w:val="17"/>
                <w:szCs w:val="17"/>
              </w:rPr>
              <w:t xml:space="preserve"> </w:t>
            </w:r>
            <w:r w:rsidRPr="00194EFD">
              <w:rPr>
                <w:rFonts w:ascii="Arial Narrow" w:hAnsi="Arial Narrow"/>
                <w:color w:val="000000"/>
                <w:sz w:val="17"/>
              </w:rPr>
              <w:t>5.484A  5.488</w:t>
            </w:r>
          </w:p>
          <w:p w:rsidR="00DE7DC1" w:rsidRPr="00194EFD" w:rsidRDefault="00DE7DC1" w:rsidP="000F55B9">
            <w:pPr>
              <w:widowControl/>
              <w:suppressAutoHyphens/>
              <w:spacing w:line="108" w:lineRule="auto"/>
              <w:ind w:right="-72"/>
              <w:rPr>
                <w:rFonts w:ascii="Arial Narrow" w:hAnsi="Arial Narrow"/>
                <w:color w:val="000000"/>
                <w:sz w:val="17"/>
              </w:rPr>
            </w:pPr>
          </w:p>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194EFD">
              <w:rPr>
                <w:rFonts w:ascii="Arial Narrow" w:hAnsi="Arial Narrow"/>
                <w:color w:val="000000"/>
                <w:sz w:val="17"/>
              </w:rPr>
              <w:t>5.485  5.489</w:t>
            </w:r>
          </w:p>
        </w:tc>
        <w:tc>
          <w:tcPr>
            <w:tcW w:w="2589" w:type="dxa"/>
            <w:tcBorders>
              <w:top w:val="nil"/>
              <w:left w:val="single" w:sz="6" w:space="0" w:color="000000"/>
              <w:bottom w:val="single" w:sz="6" w:space="0" w:color="auto"/>
              <w:right w:val="single" w:sz="6" w:space="0" w:color="FFFFFF"/>
            </w:tcBorders>
            <w:vAlign w:val="bottom"/>
          </w:tcPr>
          <w:p w:rsidR="00DE7DC1" w:rsidRPr="00194EFD"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194EFD">
              <w:rPr>
                <w:rFonts w:ascii="Arial Narrow" w:hAnsi="Arial Narrow"/>
                <w:color w:val="000000"/>
                <w:sz w:val="17"/>
              </w:rPr>
              <w:t>5.487  5.487A</w:t>
            </w:r>
          </w:p>
        </w:tc>
        <w:tc>
          <w:tcPr>
            <w:tcW w:w="2328" w:type="dxa"/>
            <w:gridSpan w:val="2"/>
            <w:vMerge/>
            <w:tcBorders>
              <w:top w:val="single" w:sz="6" w:space="0" w:color="auto"/>
              <w:left w:val="double" w:sz="6" w:space="0" w:color="000000"/>
              <w:bottom w:val="single" w:sz="6" w:space="0" w:color="auto"/>
              <w:right w:val="single" w:sz="6" w:space="0" w:color="FFFFFF"/>
            </w:tcBorders>
          </w:tcPr>
          <w:p w:rsidR="00A432AE" w:rsidRPr="00194EFD" w:rsidRDefault="00A432AE" w:rsidP="000F55B9">
            <w:pPr>
              <w:widowControl/>
              <w:suppressAutoHyphens/>
              <w:ind w:right="-72"/>
              <w:rPr>
                <w:rFonts w:ascii="Arial Narrow" w:hAnsi="Arial Narrow"/>
                <w:color w:val="000000"/>
                <w:sz w:val="17"/>
              </w:rPr>
            </w:pPr>
          </w:p>
        </w:tc>
        <w:tc>
          <w:tcPr>
            <w:tcW w:w="2372" w:type="dxa"/>
            <w:tcBorders>
              <w:top w:val="nil"/>
              <w:left w:val="single" w:sz="6" w:space="0" w:color="000000"/>
              <w:bottom w:val="single" w:sz="6" w:space="0" w:color="auto"/>
              <w:right w:val="single" w:sz="6" w:space="0" w:color="FFFFFF"/>
            </w:tcBorders>
            <w:shd w:val="clear" w:color="auto" w:fill="auto"/>
            <w:vAlign w:val="bottom"/>
          </w:tcPr>
          <w:p w:rsidR="00A432AE" w:rsidRPr="00194EFD" w:rsidRDefault="00A432AE" w:rsidP="000F55B9">
            <w:pPr>
              <w:widowControl/>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c>
          <w:tcPr>
            <w:tcW w:w="2013" w:type="dxa"/>
            <w:gridSpan w:val="2"/>
            <w:vMerge/>
            <w:tcBorders>
              <w:top w:val="single" w:sz="6" w:space="0" w:color="auto"/>
              <w:left w:val="double" w:sz="6" w:space="0" w:color="000000"/>
              <w:bottom w:val="single" w:sz="6" w:space="0" w:color="auto"/>
              <w:right w:val="nil"/>
            </w:tcBorders>
            <w:vAlign w:val="center"/>
          </w:tcPr>
          <w:p w:rsidR="00A432AE" w:rsidRPr="00194EFD" w:rsidRDefault="00A432AE" w:rsidP="000F55B9">
            <w:pPr>
              <w:widowControl/>
              <w:suppressAutoHyphens/>
              <w:ind w:right="-72"/>
              <w:rPr>
                <w:rFonts w:ascii="Arial Narrow" w:hAnsi="Arial Narrow"/>
                <w:color w:val="000000"/>
                <w:sz w:val="17"/>
              </w:rPr>
            </w:pPr>
          </w:p>
        </w:tc>
      </w:tr>
    </w:tbl>
    <w:p w:rsidR="00A432AE" w:rsidRPr="008B2F67" w:rsidRDefault="00A432AE" w:rsidP="000F55B9">
      <w:pPr>
        <w:widowControl/>
        <w:suppressAutoHyphens/>
        <w:spacing w:before="20" w:after="20"/>
        <w:ind w:left="-58" w:right="-72"/>
        <w:rPr>
          <w:sz w:val="17"/>
        </w:rPr>
        <w:sectPr w:rsidR="00A432AE" w:rsidRPr="008B2F67">
          <w:headerReference w:type="default" r:id="rId15"/>
          <w:pgSz w:w="15840" w:h="12240" w:orient="landscape" w:code="1"/>
          <w:pgMar w:top="720" w:right="1080" w:bottom="720" w:left="720" w:header="0" w:footer="720" w:gutter="0"/>
          <w:cols w:space="720"/>
        </w:sectPr>
      </w:pPr>
    </w:p>
    <w:tbl>
      <w:tblPr>
        <w:tblW w:w="5000" w:type="pct"/>
        <w:tblLayout w:type="fixed"/>
        <w:tblCellMar>
          <w:left w:w="64" w:type="dxa"/>
          <w:right w:w="64" w:type="dxa"/>
        </w:tblCellMar>
        <w:tblLook w:val="0000" w:firstRow="0" w:lastRow="0" w:firstColumn="0" w:lastColumn="0" w:noHBand="0" w:noVBand="0"/>
      </w:tblPr>
      <w:tblGrid>
        <w:gridCol w:w="2708"/>
        <w:gridCol w:w="2395"/>
        <w:gridCol w:w="2432"/>
        <w:gridCol w:w="2072"/>
        <w:gridCol w:w="2432"/>
        <w:gridCol w:w="1769"/>
      </w:tblGrid>
      <w:tr w:rsidR="00A432AE" w:rsidRPr="003C4374">
        <w:tc>
          <w:tcPr>
            <w:tcW w:w="12039" w:type="dxa"/>
            <w:gridSpan w:val="5"/>
            <w:tcBorders>
              <w:top w:val="single" w:sz="6" w:space="0" w:color="000000"/>
              <w:left w:val="nil"/>
              <w:bottom w:val="single" w:sz="6" w:space="0" w:color="FFFFFF"/>
              <w:right w:val="nil"/>
            </w:tcBorders>
          </w:tcPr>
          <w:p w:rsidR="00DE7DC1" w:rsidRPr="004F6D15" w:rsidRDefault="005A2529" w:rsidP="000F55B9">
            <w:pPr>
              <w:widowControl/>
              <w:suppressAutoHyphens/>
              <w:spacing w:before="10" w:after="10"/>
              <w:ind w:left="-58" w:right="-72"/>
              <w:rPr>
                <w:rFonts w:ascii="Arial Narrow" w:hAnsi="Arial Narrow"/>
                <w:color w:val="000000"/>
                <w:sz w:val="17"/>
              </w:rPr>
            </w:pPr>
            <w:r w:rsidRPr="004F6D15">
              <w:rPr>
                <w:rFonts w:ascii="Arial Narrow" w:hAnsi="Arial Narrow"/>
                <w:sz w:val="17"/>
              </w:rPr>
              <w:br w:type="page"/>
            </w:r>
            <w:r w:rsidRPr="004F6D15">
              <w:rPr>
                <w:rFonts w:ascii="Arial Narrow" w:hAnsi="Arial Narrow"/>
                <w:color w:val="000000"/>
                <w:sz w:val="17"/>
              </w:rPr>
              <w:t>Table of Frequency Allocations                                                                                                                                 14-17.7 GHz (SHF)</w:t>
            </w:r>
          </w:p>
        </w:tc>
        <w:tc>
          <w:tcPr>
            <w:tcW w:w="1769" w:type="dxa"/>
            <w:tcBorders>
              <w:top w:val="single" w:sz="6" w:space="0" w:color="000000"/>
              <w:left w:val="nil"/>
              <w:bottom w:val="single" w:sz="6" w:space="0" w:color="auto"/>
              <w:right w:val="nil"/>
            </w:tcBorders>
          </w:tcPr>
          <w:p w:rsidR="00A432AE" w:rsidRPr="004F6D15" w:rsidRDefault="005A2529" w:rsidP="000F55B9">
            <w:pPr>
              <w:widowControl/>
              <w:suppressAutoHyphens/>
              <w:spacing w:before="20" w:after="20"/>
              <w:ind w:right="-72"/>
              <w:jc w:val="center"/>
              <w:rPr>
                <w:rFonts w:ascii="Arial Narrow" w:hAnsi="Arial Narrow"/>
                <w:color w:val="000000"/>
                <w:sz w:val="17"/>
              </w:rPr>
            </w:pPr>
            <w:r w:rsidRPr="004F6D15">
              <w:rPr>
                <w:rFonts w:ascii="Arial Narrow" w:hAnsi="Arial Narrow"/>
                <w:color w:val="000000"/>
                <w:sz w:val="17"/>
              </w:rPr>
              <w:t xml:space="preserve">                           </w:t>
            </w:r>
            <w:r w:rsidR="00CF3FCC">
              <w:rPr>
                <w:rFonts w:ascii="Arial Narrow" w:hAnsi="Arial Narrow"/>
                <w:color w:val="000000"/>
                <w:sz w:val="17"/>
                <w:szCs w:val="17"/>
              </w:rPr>
              <w:t xml:space="preserve">   </w:t>
            </w:r>
            <w:r w:rsidRPr="004F6D15">
              <w:rPr>
                <w:rFonts w:ascii="Arial Narrow" w:hAnsi="Arial Narrow"/>
                <w:color w:val="000000"/>
                <w:sz w:val="17"/>
              </w:rPr>
              <w:t>Page 49</w:t>
            </w:r>
          </w:p>
        </w:tc>
      </w:tr>
      <w:tr w:rsidR="00A432AE" w:rsidRPr="003C4374">
        <w:tc>
          <w:tcPr>
            <w:tcW w:w="7535" w:type="dxa"/>
            <w:gridSpan w:val="3"/>
            <w:tcBorders>
              <w:top w:val="single" w:sz="6" w:space="0" w:color="000000"/>
              <w:left w:val="nil"/>
              <w:bottom w:val="nil"/>
              <w:right w:val="nil"/>
            </w:tcBorders>
          </w:tcPr>
          <w:p w:rsidR="00A432AE" w:rsidRPr="004F6D15" w:rsidRDefault="005A2529" w:rsidP="000F55B9">
            <w:pPr>
              <w:widowControl/>
              <w:suppressAutoHyphens/>
              <w:spacing w:before="10" w:after="10"/>
              <w:ind w:right="-72"/>
              <w:jc w:val="center"/>
              <w:rPr>
                <w:rFonts w:ascii="Arial Narrow" w:hAnsi="Arial Narrow"/>
                <w:color w:val="000000"/>
                <w:sz w:val="17"/>
              </w:rPr>
            </w:pPr>
            <w:r w:rsidRPr="004F6D15">
              <w:rPr>
                <w:rFonts w:ascii="Arial Narrow" w:hAnsi="Arial Narrow"/>
                <w:color w:val="000000"/>
                <w:sz w:val="17"/>
              </w:rPr>
              <w:t>International Table</w:t>
            </w:r>
          </w:p>
        </w:tc>
        <w:tc>
          <w:tcPr>
            <w:tcW w:w="4504" w:type="dxa"/>
            <w:gridSpan w:val="2"/>
            <w:tcBorders>
              <w:top w:val="single" w:sz="6" w:space="0" w:color="000000"/>
              <w:left w:val="double" w:sz="6" w:space="0" w:color="000000"/>
              <w:bottom w:val="nil"/>
              <w:right w:val="nil"/>
            </w:tcBorders>
          </w:tcPr>
          <w:p w:rsidR="00A432AE" w:rsidRPr="004F6D15" w:rsidRDefault="005A2529" w:rsidP="000F55B9">
            <w:pPr>
              <w:widowControl/>
              <w:suppressAutoHyphens/>
              <w:spacing w:before="10" w:after="10"/>
              <w:ind w:right="-72"/>
              <w:jc w:val="center"/>
              <w:rPr>
                <w:rFonts w:ascii="Arial Narrow" w:hAnsi="Arial Narrow"/>
                <w:color w:val="000000"/>
                <w:sz w:val="17"/>
              </w:rPr>
            </w:pPr>
            <w:r w:rsidRPr="004F6D15">
              <w:rPr>
                <w:rFonts w:ascii="Arial Narrow" w:hAnsi="Arial Narrow"/>
                <w:color w:val="000000"/>
                <w:sz w:val="17"/>
              </w:rPr>
              <w:t>United States Table</w:t>
            </w:r>
          </w:p>
        </w:tc>
        <w:tc>
          <w:tcPr>
            <w:tcW w:w="1769" w:type="dxa"/>
            <w:vMerge w:val="restart"/>
            <w:tcBorders>
              <w:top w:val="single" w:sz="6" w:space="0" w:color="auto"/>
              <w:left w:val="double" w:sz="6" w:space="0" w:color="000000"/>
              <w:bottom w:val="single" w:sz="6" w:space="0" w:color="auto"/>
              <w:right w:val="nil"/>
            </w:tcBorders>
          </w:tcPr>
          <w:p w:rsidR="00A432AE" w:rsidRPr="004F6D15" w:rsidRDefault="005A2529" w:rsidP="000F55B9">
            <w:pPr>
              <w:widowControl/>
              <w:suppressAutoHyphens/>
              <w:spacing w:before="10" w:after="10"/>
              <w:ind w:right="-72"/>
              <w:rPr>
                <w:rFonts w:ascii="Arial Narrow" w:hAnsi="Arial Narrow"/>
                <w:color w:val="000000"/>
                <w:sz w:val="17"/>
              </w:rPr>
            </w:pPr>
            <w:r w:rsidRPr="004F6D15">
              <w:rPr>
                <w:rFonts w:ascii="Arial Narrow" w:hAnsi="Arial Narrow"/>
                <w:color w:val="000000"/>
                <w:sz w:val="17"/>
              </w:rPr>
              <w:t>FCC Rule Part(s)</w:t>
            </w:r>
          </w:p>
        </w:tc>
      </w:tr>
      <w:tr w:rsidR="00A432AE" w:rsidRPr="003C4374">
        <w:tc>
          <w:tcPr>
            <w:tcW w:w="2708" w:type="dxa"/>
            <w:tcBorders>
              <w:top w:val="single" w:sz="6" w:space="0" w:color="auto"/>
              <w:left w:val="nil"/>
              <w:bottom w:val="single" w:sz="6" w:space="0" w:color="auto"/>
              <w:right w:val="single" w:sz="6" w:space="0" w:color="FFFFFF"/>
            </w:tcBorders>
          </w:tcPr>
          <w:p w:rsidR="00DE7DC1" w:rsidRPr="004F6D15" w:rsidRDefault="005A2529" w:rsidP="000F55B9">
            <w:pPr>
              <w:widowControl/>
              <w:suppressAutoHyphens/>
              <w:spacing w:before="10" w:after="10"/>
              <w:ind w:left="-58" w:right="-72"/>
              <w:rPr>
                <w:rFonts w:ascii="Arial Narrow" w:hAnsi="Arial Narrow"/>
                <w:color w:val="000000"/>
                <w:sz w:val="17"/>
              </w:rPr>
            </w:pPr>
            <w:r w:rsidRPr="004F6D15">
              <w:rPr>
                <w:rFonts w:ascii="Arial Narrow" w:hAnsi="Arial Narrow"/>
                <w:color w:val="000000"/>
                <w:sz w:val="17"/>
              </w:rPr>
              <w:t>Region 1 Table</w:t>
            </w:r>
          </w:p>
        </w:tc>
        <w:tc>
          <w:tcPr>
            <w:tcW w:w="2395" w:type="dxa"/>
            <w:tcBorders>
              <w:top w:val="single" w:sz="6" w:space="0" w:color="000000"/>
              <w:left w:val="single" w:sz="6" w:space="0" w:color="000000"/>
              <w:right w:val="single" w:sz="6" w:space="0" w:color="FFFFFF"/>
            </w:tcBorders>
          </w:tcPr>
          <w:p w:rsidR="00A432AE" w:rsidRPr="004F6D15" w:rsidRDefault="005A2529" w:rsidP="000F55B9">
            <w:pPr>
              <w:widowControl/>
              <w:suppressAutoHyphens/>
              <w:spacing w:before="10" w:after="10"/>
              <w:ind w:right="-72"/>
              <w:rPr>
                <w:rFonts w:ascii="Arial Narrow" w:hAnsi="Arial Narrow"/>
                <w:color w:val="000000"/>
                <w:sz w:val="17"/>
              </w:rPr>
            </w:pPr>
            <w:r w:rsidRPr="004F6D15">
              <w:rPr>
                <w:rFonts w:ascii="Arial Narrow" w:hAnsi="Arial Narrow"/>
                <w:color w:val="000000"/>
                <w:sz w:val="17"/>
              </w:rPr>
              <w:t>Region 2 Table</w:t>
            </w:r>
          </w:p>
        </w:tc>
        <w:tc>
          <w:tcPr>
            <w:tcW w:w="2432" w:type="dxa"/>
            <w:tcBorders>
              <w:top w:val="single" w:sz="6" w:space="0" w:color="000000"/>
              <w:left w:val="single" w:sz="6" w:space="0" w:color="000000"/>
              <w:right w:val="single" w:sz="6" w:space="0" w:color="FFFFFF"/>
            </w:tcBorders>
          </w:tcPr>
          <w:p w:rsidR="00A432AE" w:rsidRPr="004F6D15" w:rsidRDefault="005A2529" w:rsidP="000F55B9">
            <w:pPr>
              <w:widowControl/>
              <w:suppressAutoHyphens/>
              <w:spacing w:before="10" w:after="10"/>
              <w:ind w:right="-72"/>
              <w:rPr>
                <w:rFonts w:ascii="Arial Narrow" w:hAnsi="Arial Narrow"/>
                <w:color w:val="000000"/>
                <w:sz w:val="17"/>
              </w:rPr>
            </w:pPr>
            <w:r w:rsidRPr="004F6D15">
              <w:rPr>
                <w:rFonts w:ascii="Arial Narrow" w:hAnsi="Arial Narrow"/>
                <w:color w:val="000000"/>
                <w:sz w:val="17"/>
              </w:rPr>
              <w:t>Region 3 Table</w:t>
            </w:r>
          </w:p>
        </w:tc>
        <w:tc>
          <w:tcPr>
            <w:tcW w:w="2072" w:type="dxa"/>
            <w:tcBorders>
              <w:top w:val="single" w:sz="6" w:space="0" w:color="auto"/>
              <w:left w:val="double" w:sz="6" w:space="0" w:color="000000"/>
              <w:bottom w:val="single" w:sz="6" w:space="0" w:color="auto"/>
              <w:right w:val="single" w:sz="6" w:space="0" w:color="FFFFFF"/>
            </w:tcBorders>
          </w:tcPr>
          <w:p w:rsidR="00A432AE" w:rsidRPr="004F6D15" w:rsidRDefault="005A2529" w:rsidP="000F55B9">
            <w:pPr>
              <w:widowControl/>
              <w:suppressAutoHyphens/>
              <w:spacing w:before="10" w:after="10"/>
              <w:ind w:right="-72"/>
              <w:rPr>
                <w:rFonts w:ascii="Arial Narrow" w:hAnsi="Arial Narrow"/>
                <w:color w:val="000000"/>
                <w:sz w:val="17"/>
              </w:rPr>
            </w:pPr>
            <w:r w:rsidRPr="004F6D15">
              <w:rPr>
                <w:rFonts w:ascii="Arial Narrow" w:hAnsi="Arial Narrow"/>
                <w:color w:val="000000"/>
                <w:sz w:val="17"/>
              </w:rPr>
              <w:t>Federal Table</w:t>
            </w:r>
          </w:p>
        </w:tc>
        <w:tc>
          <w:tcPr>
            <w:tcW w:w="2432" w:type="dxa"/>
            <w:tcBorders>
              <w:top w:val="single" w:sz="6" w:space="0" w:color="000000"/>
              <w:left w:val="single" w:sz="6" w:space="0" w:color="000000"/>
              <w:bottom w:val="single" w:sz="6" w:space="0" w:color="auto"/>
              <w:right w:val="single" w:sz="6" w:space="0" w:color="FFFFFF"/>
            </w:tcBorders>
          </w:tcPr>
          <w:p w:rsidR="00A432AE" w:rsidRPr="004F6D15" w:rsidRDefault="005A2529" w:rsidP="000F55B9">
            <w:pPr>
              <w:widowControl/>
              <w:suppressAutoHyphens/>
              <w:spacing w:before="10" w:after="10"/>
              <w:ind w:right="-72"/>
              <w:rPr>
                <w:rFonts w:ascii="Arial Narrow" w:hAnsi="Arial Narrow"/>
                <w:color w:val="000000"/>
                <w:sz w:val="17"/>
              </w:rPr>
            </w:pPr>
            <w:r w:rsidRPr="004F6D15">
              <w:rPr>
                <w:rFonts w:ascii="Arial Narrow" w:hAnsi="Arial Narrow"/>
                <w:color w:val="000000"/>
                <w:sz w:val="17"/>
              </w:rPr>
              <w:t>Non-Federal Table</w:t>
            </w:r>
          </w:p>
        </w:tc>
        <w:tc>
          <w:tcPr>
            <w:tcW w:w="1769" w:type="dxa"/>
            <w:vMerge/>
            <w:tcBorders>
              <w:top w:val="single" w:sz="6" w:space="0" w:color="auto"/>
              <w:left w:val="double" w:sz="6" w:space="0" w:color="000000"/>
              <w:bottom w:val="single" w:sz="6" w:space="0" w:color="auto"/>
              <w:right w:val="nil"/>
            </w:tcBorders>
            <w:vAlign w:val="center"/>
          </w:tcPr>
          <w:p w:rsidR="00A432AE" w:rsidRPr="004F6D15" w:rsidRDefault="00A432AE" w:rsidP="000F55B9">
            <w:pPr>
              <w:widowControl/>
              <w:suppressAutoHyphens/>
              <w:spacing w:before="10" w:after="10"/>
              <w:ind w:right="-72"/>
              <w:rPr>
                <w:rFonts w:ascii="Arial Narrow" w:hAnsi="Arial Narrow"/>
                <w:color w:val="000000"/>
                <w:sz w:val="17"/>
              </w:rPr>
            </w:pPr>
          </w:p>
        </w:tc>
      </w:tr>
      <w:tr w:rsidR="00A432AE" w:rsidRPr="003C4374">
        <w:tc>
          <w:tcPr>
            <w:tcW w:w="7535" w:type="dxa"/>
            <w:gridSpan w:val="3"/>
            <w:tcBorders>
              <w:top w:val="single" w:sz="6" w:space="0" w:color="auto"/>
              <w:left w:val="nil"/>
              <w:right w:val="double" w:sz="6" w:space="0" w:color="auto"/>
            </w:tcBorders>
          </w:tcPr>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14-14.25</w:t>
            </w:r>
          </w:p>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FIXED-SATELLITE (Earth-to-space)  5.457A  5.457B  5.484A  5.506  5.506B</w:t>
            </w:r>
          </w:p>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RADIONAVIGATION  5.504</w:t>
            </w:r>
          </w:p>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Mobile-satellite (Earth-to-space)  5.504B  5.504C  5.506A</w:t>
            </w:r>
          </w:p>
          <w:p w:rsidR="00A432AE" w:rsidRPr="004F6D15"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ight="-72"/>
              <w:rPr>
                <w:rFonts w:ascii="Arial Narrow" w:hAnsi="Arial Narrow"/>
                <w:color w:val="000000"/>
                <w:sz w:val="17"/>
              </w:rPr>
            </w:pPr>
            <w:r w:rsidRPr="004F6D15">
              <w:rPr>
                <w:rFonts w:ascii="Arial Narrow" w:hAnsi="Arial Narrow"/>
                <w:color w:val="000000"/>
                <w:sz w:val="17"/>
              </w:rPr>
              <w:t>Space research</w:t>
            </w:r>
          </w:p>
        </w:tc>
        <w:tc>
          <w:tcPr>
            <w:tcW w:w="2072" w:type="dxa"/>
            <w:tcBorders>
              <w:top w:val="single" w:sz="6" w:space="0" w:color="auto"/>
              <w:left w:val="double" w:sz="6" w:space="0" w:color="auto"/>
              <w:bottom w:val="single" w:sz="6" w:space="0" w:color="auto"/>
              <w:right w:val="single" w:sz="6" w:space="0" w:color="FFFFFF"/>
            </w:tcBorders>
          </w:tcPr>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14-14.2</w:t>
            </w:r>
          </w:p>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Space research  US133</w:t>
            </w:r>
          </w:p>
        </w:tc>
        <w:tc>
          <w:tcPr>
            <w:tcW w:w="2432" w:type="dxa"/>
            <w:tcBorders>
              <w:top w:val="single" w:sz="6" w:space="0" w:color="000000"/>
              <w:left w:val="single" w:sz="6" w:space="0" w:color="000000"/>
              <w:bottom w:val="single" w:sz="6" w:space="0" w:color="auto"/>
              <w:right w:val="single" w:sz="6" w:space="0" w:color="FFFFFF"/>
            </w:tcBorders>
          </w:tcPr>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14-14.2</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FIXED-SATELLITE (Earth-to-space)</w:t>
            </w:r>
          </w:p>
          <w:p w:rsidR="00DE7DC1" w:rsidRPr="004F6D15" w:rsidRDefault="005A2529" w:rsidP="000F55B9">
            <w:pPr>
              <w:widowControl/>
              <w:suppressAutoHyphens/>
              <w:spacing w:line="204" w:lineRule="auto"/>
              <w:ind w:right="-72"/>
              <w:rPr>
                <w:rFonts w:ascii="Arial Narrow" w:hAnsi="Arial Narrow"/>
                <w:color w:val="000000"/>
                <w:sz w:val="17"/>
              </w:rPr>
            </w:pPr>
            <w:r w:rsidRPr="004F6D15">
              <w:rPr>
                <w:rFonts w:ascii="Arial Narrow" w:hAnsi="Arial Narrow"/>
                <w:color w:val="000000"/>
                <w:sz w:val="17"/>
              </w:rPr>
              <w:t xml:space="preserve">   NG55</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Mobile-satellite (Earth-to-space)</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Space research</w:t>
            </w:r>
          </w:p>
          <w:p w:rsidR="00DE7DC1" w:rsidRPr="004F6D15" w:rsidRDefault="00DE7DC1" w:rsidP="000F55B9">
            <w:pPr>
              <w:widowControl/>
              <w:suppressAutoHyphens/>
              <w:spacing w:line="108" w:lineRule="auto"/>
              <w:ind w:right="-72"/>
              <w:rPr>
                <w:rFonts w:ascii="Arial Narrow" w:hAnsi="Arial Narrow"/>
                <w:color w:val="000000"/>
                <w:sz w:val="17"/>
              </w:rPr>
            </w:pPr>
          </w:p>
          <w:p w:rsidR="00DE7DC1" w:rsidRPr="004F6D15"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4F6D15">
              <w:rPr>
                <w:rFonts w:ascii="Arial Narrow" w:hAnsi="Arial Narrow"/>
                <w:color w:val="000000"/>
                <w:sz w:val="17"/>
              </w:rPr>
              <w:t>US133</w:t>
            </w:r>
          </w:p>
        </w:tc>
        <w:tc>
          <w:tcPr>
            <w:tcW w:w="1769" w:type="dxa"/>
            <w:vMerge w:val="restart"/>
            <w:tcBorders>
              <w:top w:val="single" w:sz="6" w:space="0" w:color="auto"/>
              <w:left w:val="double" w:sz="6" w:space="0" w:color="000000"/>
              <w:right w:val="nil"/>
            </w:tcBorders>
          </w:tcPr>
          <w:p w:rsidR="00A432AE" w:rsidRPr="004F6D15" w:rsidRDefault="00A432AE" w:rsidP="000F55B9">
            <w:pPr>
              <w:widowControl/>
              <w:suppressAutoHyphens/>
              <w:ind w:right="-72"/>
              <w:rPr>
                <w:rFonts w:ascii="Arial Narrow" w:hAnsi="Arial Narrow"/>
                <w:color w:val="000000"/>
                <w:sz w:val="17"/>
              </w:rPr>
            </w:pPr>
          </w:p>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Satellite Communications</w:t>
            </w:r>
          </w:p>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 xml:space="preserve">   (25)</w:t>
            </w:r>
          </w:p>
        </w:tc>
      </w:tr>
      <w:tr w:rsidR="00DD6AB0" w:rsidRPr="003C4374">
        <w:tc>
          <w:tcPr>
            <w:tcW w:w="7535" w:type="dxa"/>
            <w:gridSpan w:val="3"/>
            <w:tcBorders>
              <w:left w:val="nil"/>
              <w:bottom w:val="single" w:sz="6" w:space="0" w:color="000000"/>
              <w:right w:val="double" w:sz="6" w:space="0" w:color="auto"/>
            </w:tcBorders>
            <w:vAlign w:val="bottom"/>
          </w:tcPr>
          <w:p w:rsidR="00DE7DC1" w:rsidRPr="004F6D15"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4F6D15">
              <w:rPr>
                <w:rFonts w:ascii="Arial Narrow" w:hAnsi="Arial Narrow"/>
                <w:color w:val="000000"/>
                <w:sz w:val="17"/>
              </w:rPr>
              <w:t>5.504A  5.505</w:t>
            </w:r>
          </w:p>
        </w:tc>
        <w:tc>
          <w:tcPr>
            <w:tcW w:w="2072" w:type="dxa"/>
            <w:vMerge w:val="restart"/>
            <w:tcBorders>
              <w:top w:val="single" w:sz="6" w:space="0" w:color="auto"/>
              <w:left w:val="double" w:sz="6" w:space="0" w:color="auto"/>
              <w:right w:val="single" w:sz="6" w:space="0" w:color="FFFFFF"/>
            </w:tcBorders>
            <w:shd w:val="clear" w:color="auto" w:fill="auto"/>
          </w:tcPr>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14.2-14.4</w:t>
            </w:r>
          </w:p>
        </w:tc>
        <w:tc>
          <w:tcPr>
            <w:tcW w:w="2432" w:type="dxa"/>
            <w:vMerge w:val="restart"/>
            <w:tcBorders>
              <w:top w:val="single" w:sz="6" w:space="0" w:color="000000"/>
              <w:left w:val="single" w:sz="6" w:space="0" w:color="000000"/>
              <w:right w:val="single" w:sz="6" w:space="0" w:color="FFFFFF"/>
            </w:tcBorders>
          </w:tcPr>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14.2-14.47</w:t>
            </w:r>
          </w:p>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FIXED-SATELLITE (Earth-to-space)</w:t>
            </w:r>
          </w:p>
          <w:p w:rsidR="00DD6AB0" w:rsidRPr="004F6D15" w:rsidRDefault="005A2529" w:rsidP="000F55B9">
            <w:pPr>
              <w:widowControl/>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4F6D15">
              <w:rPr>
                <w:rFonts w:ascii="Arial Narrow" w:hAnsi="Arial Narrow"/>
                <w:color w:val="000000"/>
                <w:sz w:val="17"/>
              </w:rPr>
              <w:t xml:space="preserve">   NG55</w:t>
            </w:r>
          </w:p>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Mobile-satellite (Earth-to-space)</w:t>
            </w:r>
          </w:p>
        </w:tc>
        <w:tc>
          <w:tcPr>
            <w:tcW w:w="1769" w:type="dxa"/>
            <w:vMerge/>
            <w:tcBorders>
              <w:left w:val="double" w:sz="6" w:space="0" w:color="000000"/>
              <w:right w:val="nil"/>
            </w:tcBorders>
          </w:tcPr>
          <w:p w:rsidR="00DD6AB0" w:rsidRPr="004F6D15" w:rsidRDefault="00DD6AB0" w:rsidP="000F55B9">
            <w:pPr>
              <w:widowControl/>
              <w:suppressAutoHyphens/>
              <w:ind w:right="-72"/>
              <w:rPr>
                <w:rFonts w:ascii="Arial Narrow" w:hAnsi="Arial Narrow"/>
                <w:color w:val="000000"/>
                <w:sz w:val="17"/>
              </w:rPr>
            </w:pPr>
          </w:p>
        </w:tc>
      </w:tr>
      <w:tr w:rsidR="00DD6AB0" w:rsidRPr="003C4374">
        <w:tc>
          <w:tcPr>
            <w:tcW w:w="7535" w:type="dxa"/>
            <w:gridSpan w:val="3"/>
            <w:tcBorders>
              <w:top w:val="nil"/>
              <w:left w:val="nil"/>
              <w:bottom w:val="single" w:sz="6" w:space="0" w:color="FFFFFF"/>
              <w:right w:val="double" w:sz="6" w:space="0" w:color="auto"/>
            </w:tcBorders>
          </w:tcPr>
          <w:p w:rsidR="00DD6AB0" w:rsidRPr="00194EFD" w:rsidRDefault="005A2529" w:rsidP="000F55B9">
            <w:pPr>
              <w:widowControl/>
              <w:suppressAutoHyphens/>
              <w:ind w:left="-58" w:right="-72"/>
              <w:rPr>
                <w:rFonts w:ascii="Arial Narrow" w:hAnsi="Arial Narrow"/>
                <w:color w:val="000000"/>
                <w:sz w:val="17"/>
              </w:rPr>
            </w:pPr>
            <w:r w:rsidRPr="00194EFD">
              <w:rPr>
                <w:rFonts w:ascii="Arial Narrow" w:hAnsi="Arial Narrow"/>
                <w:color w:val="000000"/>
                <w:sz w:val="17"/>
              </w:rPr>
              <w:t>14.25-14.3</w:t>
            </w:r>
          </w:p>
          <w:p w:rsidR="00DE7DC1" w:rsidRPr="00194EFD"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FIXED-SATELLITE (Earth-to-space)  5.457A  5.457B  5.484A  5.506  5.506B</w:t>
            </w:r>
          </w:p>
          <w:p w:rsidR="00DE7DC1" w:rsidRPr="004F6D15" w:rsidRDefault="005A2529" w:rsidP="000F55B9">
            <w:pPr>
              <w:widowControl/>
              <w:suppressAutoHyphens/>
              <w:spacing w:line="228" w:lineRule="auto"/>
              <w:ind w:left="-58" w:right="-72"/>
              <w:rPr>
                <w:rFonts w:ascii="Arial Narrow" w:hAnsi="Arial Narrow"/>
                <w:color w:val="000000"/>
                <w:sz w:val="17"/>
              </w:rPr>
            </w:pPr>
            <w:r w:rsidRPr="00194EFD">
              <w:rPr>
                <w:rFonts w:ascii="Arial Narrow" w:hAnsi="Arial Narrow"/>
                <w:color w:val="000000"/>
                <w:sz w:val="17"/>
              </w:rPr>
              <w:t>RADIONAVIGATION</w:t>
            </w:r>
            <w:r w:rsidRPr="004F6D15">
              <w:rPr>
                <w:rFonts w:ascii="Arial Narrow" w:hAnsi="Arial Narrow"/>
                <w:color w:val="000000"/>
                <w:sz w:val="17"/>
              </w:rPr>
              <w:t xml:space="preserve"> 5.504</w:t>
            </w:r>
          </w:p>
          <w:p w:rsidR="00DE7DC1" w:rsidRPr="004F6D15" w:rsidRDefault="005A2529" w:rsidP="000F55B9">
            <w:pPr>
              <w:widowControl/>
              <w:suppressAutoHyphens/>
              <w:spacing w:line="228" w:lineRule="auto"/>
              <w:ind w:left="-58" w:right="-72"/>
              <w:rPr>
                <w:rFonts w:ascii="Arial Narrow" w:hAnsi="Arial Narrow"/>
                <w:color w:val="000000"/>
                <w:sz w:val="17"/>
              </w:rPr>
            </w:pPr>
            <w:r w:rsidRPr="004F6D15">
              <w:rPr>
                <w:rFonts w:ascii="Arial Narrow" w:hAnsi="Arial Narrow"/>
                <w:color w:val="000000"/>
                <w:sz w:val="17"/>
              </w:rPr>
              <w:t>Mobile-satellite (Earth-to-space)  5.504B  5.506A  5.508A</w:t>
            </w:r>
          </w:p>
          <w:p w:rsidR="00DE7DC1" w:rsidRPr="004F6D15" w:rsidRDefault="005A2529" w:rsidP="000F55B9">
            <w:pPr>
              <w:widowControl/>
              <w:suppressAutoHyphens/>
              <w:spacing w:line="228" w:lineRule="auto"/>
              <w:ind w:left="-58" w:right="-72"/>
              <w:rPr>
                <w:rFonts w:ascii="Arial Narrow" w:hAnsi="Arial Narrow"/>
                <w:color w:val="000000"/>
                <w:sz w:val="17"/>
              </w:rPr>
            </w:pPr>
            <w:r w:rsidRPr="004F6D15">
              <w:rPr>
                <w:rFonts w:ascii="Arial Narrow" w:hAnsi="Arial Narrow"/>
                <w:color w:val="000000"/>
                <w:sz w:val="17"/>
              </w:rPr>
              <w:t>Space research</w:t>
            </w:r>
          </w:p>
          <w:p w:rsidR="00DE7DC1" w:rsidRPr="004F6D15"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DE7DC1" w:rsidRPr="004F6D15"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4F6D15">
              <w:rPr>
                <w:rFonts w:ascii="Arial Narrow" w:hAnsi="Arial Narrow"/>
                <w:color w:val="000000"/>
                <w:sz w:val="17"/>
              </w:rPr>
              <w:t>5.504A  5.505  5.508</w:t>
            </w:r>
          </w:p>
        </w:tc>
        <w:tc>
          <w:tcPr>
            <w:tcW w:w="2072" w:type="dxa"/>
            <w:vMerge/>
            <w:tcBorders>
              <w:left w:val="double" w:sz="6" w:space="0" w:color="auto"/>
              <w:right w:val="single" w:sz="6" w:space="0" w:color="FFFFFF"/>
            </w:tcBorders>
            <w:shd w:val="clear" w:color="auto" w:fill="auto"/>
            <w:vAlign w:val="center"/>
          </w:tcPr>
          <w:p w:rsidR="00DD6AB0" w:rsidRPr="004F6D15" w:rsidRDefault="00DD6AB0" w:rsidP="000F55B9">
            <w:pPr>
              <w:widowControl/>
              <w:suppressAutoHyphens/>
              <w:ind w:right="-72"/>
              <w:rPr>
                <w:rFonts w:ascii="Arial Narrow" w:hAnsi="Arial Narrow"/>
                <w:color w:val="000000"/>
                <w:sz w:val="17"/>
              </w:rPr>
            </w:pPr>
          </w:p>
        </w:tc>
        <w:tc>
          <w:tcPr>
            <w:tcW w:w="2432" w:type="dxa"/>
            <w:vMerge/>
            <w:tcBorders>
              <w:left w:val="single" w:sz="6" w:space="0" w:color="000000"/>
              <w:right w:val="single" w:sz="6" w:space="0" w:color="FFFFFF"/>
            </w:tcBorders>
            <w:vAlign w:val="center"/>
          </w:tcPr>
          <w:p w:rsidR="00DD6AB0" w:rsidRPr="004F6D15" w:rsidRDefault="00DD6AB0" w:rsidP="000F55B9">
            <w:pPr>
              <w:widowControl/>
              <w:suppressAutoHyphens/>
              <w:ind w:right="-72"/>
              <w:rPr>
                <w:rFonts w:ascii="Arial Narrow" w:hAnsi="Arial Narrow"/>
                <w:color w:val="000000"/>
                <w:sz w:val="17"/>
              </w:rPr>
            </w:pPr>
          </w:p>
        </w:tc>
        <w:tc>
          <w:tcPr>
            <w:tcW w:w="1769" w:type="dxa"/>
            <w:vMerge/>
            <w:tcBorders>
              <w:left w:val="double" w:sz="6" w:space="0" w:color="000000"/>
              <w:right w:val="nil"/>
            </w:tcBorders>
            <w:vAlign w:val="center"/>
          </w:tcPr>
          <w:p w:rsidR="00DD6AB0" w:rsidRPr="004F6D15" w:rsidRDefault="00DD6AB0" w:rsidP="000F55B9">
            <w:pPr>
              <w:widowControl/>
              <w:suppressAutoHyphens/>
              <w:ind w:right="-72"/>
              <w:rPr>
                <w:rFonts w:ascii="Arial Narrow" w:hAnsi="Arial Narrow"/>
                <w:color w:val="000000"/>
                <w:sz w:val="17"/>
              </w:rPr>
            </w:pPr>
          </w:p>
        </w:tc>
      </w:tr>
      <w:tr w:rsidR="00DD6AB0" w:rsidRPr="003C4374">
        <w:tc>
          <w:tcPr>
            <w:tcW w:w="2708" w:type="dxa"/>
            <w:tcBorders>
              <w:top w:val="single" w:sz="6" w:space="0" w:color="000000"/>
              <w:left w:val="nil"/>
              <w:bottom w:val="single" w:sz="6" w:space="0" w:color="auto"/>
              <w:right w:val="single" w:sz="6" w:space="0" w:color="FFFFFF"/>
            </w:tcBorders>
          </w:tcPr>
          <w:p w:rsidR="00DD6AB0" w:rsidRPr="004F6D15" w:rsidRDefault="005A2529" w:rsidP="000F55B9">
            <w:pPr>
              <w:widowControl/>
              <w:suppressAutoHyphens/>
              <w:ind w:left="-64" w:right="-72"/>
              <w:rPr>
                <w:rFonts w:ascii="Arial Narrow" w:hAnsi="Arial Narrow"/>
                <w:color w:val="000000"/>
                <w:sz w:val="17"/>
              </w:rPr>
            </w:pPr>
            <w:r w:rsidRPr="004F6D15">
              <w:rPr>
                <w:rFonts w:ascii="Arial Narrow" w:hAnsi="Arial Narrow"/>
                <w:color w:val="000000"/>
                <w:sz w:val="17"/>
              </w:rPr>
              <w:t>14.3-14.4</w:t>
            </w:r>
          </w:p>
          <w:p w:rsidR="00DE7DC1" w:rsidRPr="004F6D15" w:rsidRDefault="005A2529" w:rsidP="000F55B9">
            <w:pPr>
              <w:widowControl/>
              <w:suppressAutoHyphens/>
              <w:spacing w:line="228" w:lineRule="auto"/>
              <w:ind w:left="-58" w:right="-72"/>
              <w:rPr>
                <w:rFonts w:ascii="Arial Narrow" w:hAnsi="Arial Narrow"/>
                <w:color w:val="000000"/>
                <w:sz w:val="17"/>
              </w:rPr>
            </w:pPr>
            <w:r w:rsidRPr="004F6D15">
              <w:rPr>
                <w:rFonts w:ascii="Arial Narrow" w:hAnsi="Arial Narrow"/>
                <w:color w:val="000000"/>
                <w:sz w:val="17"/>
              </w:rPr>
              <w:t>FIXED</w:t>
            </w:r>
          </w:p>
          <w:p w:rsidR="00DE7DC1" w:rsidRPr="004F6D15" w:rsidRDefault="005A2529" w:rsidP="000F55B9">
            <w:pPr>
              <w:widowControl/>
              <w:suppressAutoHyphens/>
              <w:spacing w:line="228" w:lineRule="auto"/>
              <w:ind w:left="-58" w:right="-72"/>
              <w:rPr>
                <w:rFonts w:ascii="Arial Narrow" w:hAnsi="Arial Narrow"/>
                <w:color w:val="000000"/>
                <w:sz w:val="17"/>
              </w:rPr>
            </w:pPr>
            <w:r w:rsidRPr="004F6D15">
              <w:rPr>
                <w:rFonts w:ascii="Arial Narrow" w:hAnsi="Arial Narrow"/>
                <w:color w:val="000000"/>
                <w:sz w:val="17"/>
              </w:rPr>
              <w:t>FIXED-SATELLITE (Earth-to-space)</w:t>
            </w:r>
          </w:p>
          <w:p w:rsidR="00DE7DC1" w:rsidRPr="004F6D15"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4F6D15">
              <w:rPr>
                <w:rFonts w:ascii="Arial Narrow" w:hAnsi="Arial Narrow"/>
                <w:color w:val="000000"/>
                <w:sz w:val="17"/>
              </w:rPr>
              <w:t xml:space="preserve">   5.457A  5.457B  5.484A  5.506  5.506B</w:t>
            </w:r>
          </w:p>
          <w:p w:rsidR="00DE7DC1" w:rsidRPr="004F6D15" w:rsidRDefault="005A2529" w:rsidP="000F55B9">
            <w:pPr>
              <w:widowControl/>
              <w:suppressAutoHyphens/>
              <w:spacing w:line="228" w:lineRule="auto"/>
              <w:ind w:left="-58" w:right="-72"/>
              <w:rPr>
                <w:rFonts w:ascii="Arial Narrow" w:hAnsi="Arial Narrow"/>
                <w:color w:val="000000"/>
                <w:sz w:val="17"/>
              </w:rPr>
            </w:pPr>
            <w:r w:rsidRPr="004F6D15">
              <w:rPr>
                <w:rFonts w:ascii="Arial Narrow" w:hAnsi="Arial Narrow"/>
                <w:color w:val="000000"/>
                <w:sz w:val="17"/>
              </w:rPr>
              <w:t>MOBILE except aeronautical mobile</w:t>
            </w:r>
          </w:p>
          <w:p w:rsidR="00DE7DC1" w:rsidRPr="004F6D15" w:rsidRDefault="005A2529" w:rsidP="000F55B9">
            <w:pPr>
              <w:widowControl/>
              <w:suppressAutoHyphens/>
              <w:spacing w:line="228" w:lineRule="auto"/>
              <w:ind w:left="-58" w:right="-72"/>
              <w:rPr>
                <w:rFonts w:ascii="Arial Narrow" w:hAnsi="Arial Narrow"/>
                <w:color w:val="000000"/>
                <w:sz w:val="17"/>
              </w:rPr>
            </w:pPr>
            <w:r w:rsidRPr="004F6D15">
              <w:rPr>
                <w:rFonts w:ascii="Arial Narrow" w:hAnsi="Arial Narrow"/>
                <w:color w:val="000000"/>
                <w:sz w:val="17"/>
              </w:rPr>
              <w:t>Mobile-satellite (Earth-to-space)  5.504B</w:t>
            </w:r>
          </w:p>
          <w:p w:rsidR="00DE7DC1" w:rsidRPr="004F6D15"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4F6D15">
              <w:rPr>
                <w:rFonts w:ascii="Arial Narrow" w:hAnsi="Arial Narrow"/>
                <w:color w:val="000000"/>
                <w:sz w:val="17"/>
              </w:rPr>
              <w:t xml:space="preserve">   5.506A  5.509A</w:t>
            </w:r>
          </w:p>
          <w:p w:rsidR="00DE7DC1" w:rsidRPr="004F6D15" w:rsidRDefault="005A2529" w:rsidP="000F55B9">
            <w:pPr>
              <w:widowControl/>
              <w:suppressAutoHyphens/>
              <w:spacing w:line="228" w:lineRule="auto"/>
              <w:ind w:left="-58" w:right="-72"/>
              <w:rPr>
                <w:rFonts w:ascii="Arial Narrow" w:hAnsi="Arial Narrow"/>
                <w:color w:val="000000"/>
                <w:sz w:val="17"/>
              </w:rPr>
            </w:pPr>
            <w:r w:rsidRPr="004F6D15">
              <w:rPr>
                <w:rFonts w:ascii="Arial Narrow" w:hAnsi="Arial Narrow"/>
                <w:color w:val="000000"/>
                <w:sz w:val="17"/>
              </w:rPr>
              <w:t>Radionavigation-satellite</w:t>
            </w:r>
          </w:p>
          <w:p w:rsidR="00DE7DC1" w:rsidRPr="004F6D15"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DE7DC1" w:rsidRPr="004F6D15"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4F6D15">
              <w:rPr>
                <w:rFonts w:ascii="Arial Narrow" w:hAnsi="Arial Narrow"/>
                <w:color w:val="000000"/>
                <w:sz w:val="17"/>
              </w:rPr>
              <w:t>5.504A</w:t>
            </w:r>
          </w:p>
        </w:tc>
        <w:tc>
          <w:tcPr>
            <w:tcW w:w="2395" w:type="dxa"/>
            <w:tcBorders>
              <w:top w:val="single" w:sz="6" w:space="0" w:color="000000"/>
              <w:left w:val="single" w:sz="6" w:space="0" w:color="000000"/>
              <w:bottom w:val="single" w:sz="6" w:space="0" w:color="auto"/>
              <w:right w:val="single" w:sz="6" w:space="0" w:color="FFFFFF"/>
            </w:tcBorders>
          </w:tcPr>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14.3-14.4</w:t>
            </w:r>
          </w:p>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FIXED-SATELLITE (Earth-to-space)</w:t>
            </w:r>
          </w:p>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 xml:space="preserve">   5.457A  5.484A  5.506  5.506B</w:t>
            </w:r>
          </w:p>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Mobile-satellite (Earth-to-space)</w:t>
            </w:r>
          </w:p>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 xml:space="preserve">   5.506A</w:t>
            </w:r>
          </w:p>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Radionavigation-satellite</w:t>
            </w:r>
          </w:p>
          <w:p w:rsidR="00DD6AB0" w:rsidRPr="004F6D15" w:rsidRDefault="00DD6AB0" w:rsidP="000F55B9">
            <w:pPr>
              <w:widowControl/>
              <w:suppressAutoHyphens/>
              <w:ind w:right="-72"/>
              <w:rPr>
                <w:rFonts w:ascii="Arial Narrow" w:hAnsi="Arial Narrow"/>
                <w:color w:val="000000"/>
                <w:sz w:val="17"/>
              </w:rPr>
            </w:pPr>
          </w:p>
          <w:p w:rsidR="00DE7DC1" w:rsidRPr="004F6D15"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DE7DC1" w:rsidRPr="004F6D15"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DE7DC1" w:rsidRPr="004F6D15" w:rsidRDefault="005A2529" w:rsidP="000F55B9">
            <w:pPr>
              <w:widowControl/>
              <w:tabs>
                <w:tab w:val="left" w:pos="-855"/>
                <w:tab w:val="left" w:pos="-252"/>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4F6D15">
              <w:rPr>
                <w:rFonts w:ascii="Arial Narrow" w:hAnsi="Arial Narrow"/>
                <w:color w:val="000000"/>
                <w:sz w:val="17"/>
              </w:rPr>
              <w:t>5.504A</w:t>
            </w:r>
          </w:p>
        </w:tc>
        <w:tc>
          <w:tcPr>
            <w:tcW w:w="2432" w:type="dxa"/>
            <w:tcBorders>
              <w:top w:val="single" w:sz="6" w:space="0" w:color="000000"/>
              <w:left w:val="single" w:sz="6" w:space="0" w:color="000000"/>
              <w:bottom w:val="single" w:sz="6" w:space="0" w:color="auto"/>
              <w:right w:val="double" w:sz="6" w:space="0" w:color="auto"/>
            </w:tcBorders>
          </w:tcPr>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14.3-14.4</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FIXED</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FIXED-SATELLITE (Earth-to-space)</w:t>
            </w:r>
          </w:p>
          <w:p w:rsidR="00DE7DC1" w:rsidRPr="004F6D15" w:rsidRDefault="005A2529" w:rsidP="000F55B9">
            <w:pPr>
              <w:widowControl/>
              <w:suppressAutoHyphens/>
              <w:spacing w:line="204" w:lineRule="auto"/>
              <w:ind w:right="-72"/>
              <w:rPr>
                <w:rFonts w:ascii="Arial Narrow" w:hAnsi="Arial Narrow"/>
                <w:color w:val="000000"/>
                <w:sz w:val="17"/>
              </w:rPr>
            </w:pPr>
            <w:r w:rsidRPr="004F6D15">
              <w:rPr>
                <w:rFonts w:ascii="Arial Narrow" w:hAnsi="Arial Narrow"/>
                <w:color w:val="000000"/>
                <w:sz w:val="17"/>
              </w:rPr>
              <w:t xml:space="preserve">   5.457A  5.484A  5.506  5.506B</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MOBILE except aeronautical mobile</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Mobile-satellite (Earth-to-space)</w:t>
            </w:r>
          </w:p>
          <w:p w:rsidR="00DE7DC1" w:rsidRPr="004F6D15" w:rsidRDefault="005A2529" w:rsidP="000F55B9">
            <w:pPr>
              <w:widowControl/>
              <w:suppressAutoHyphens/>
              <w:spacing w:line="204" w:lineRule="auto"/>
              <w:ind w:right="-72"/>
              <w:rPr>
                <w:rFonts w:ascii="Arial Narrow" w:hAnsi="Arial Narrow"/>
                <w:color w:val="000000"/>
                <w:sz w:val="17"/>
              </w:rPr>
            </w:pPr>
            <w:r w:rsidRPr="004F6D15">
              <w:rPr>
                <w:rFonts w:ascii="Arial Narrow" w:hAnsi="Arial Narrow"/>
                <w:color w:val="000000"/>
                <w:sz w:val="17"/>
              </w:rPr>
              <w:t xml:space="preserve">   5.504B  5.506A  5.509A</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Radionavigation-satellite</w:t>
            </w:r>
          </w:p>
          <w:p w:rsidR="00DE7DC1" w:rsidRPr="004F6D15"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right="-72"/>
              <w:rPr>
                <w:rFonts w:ascii="Arial Narrow" w:hAnsi="Arial Narrow"/>
                <w:color w:val="000000"/>
                <w:sz w:val="17"/>
              </w:rPr>
            </w:pPr>
          </w:p>
          <w:p w:rsidR="00DE7DC1" w:rsidRPr="004F6D15" w:rsidRDefault="005A2529" w:rsidP="000F55B9">
            <w:pPr>
              <w:widowControl/>
              <w:tabs>
                <w:tab w:val="left" w:pos="-855"/>
                <w:tab w:val="left" w:pos="-252"/>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4F6D15">
              <w:rPr>
                <w:rFonts w:ascii="Arial Narrow" w:hAnsi="Arial Narrow"/>
                <w:color w:val="000000"/>
                <w:sz w:val="17"/>
              </w:rPr>
              <w:t>5.504A</w:t>
            </w:r>
          </w:p>
        </w:tc>
        <w:tc>
          <w:tcPr>
            <w:tcW w:w="2072" w:type="dxa"/>
            <w:vMerge/>
            <w:tcBorders>
              <w:left w:val="double" w:sz="6" w:space="0" w:color="auto"/>
              <w:bottom w:val="single" w:sz="6" w:space="0" w:color="auto"/>
              <w:right w:val="single" w:sz="6" w:space="0" w:color="FFFFFF"/>
            </w:tcBorders>
            <w:shd w:val="clear" w:color="auto" w:fill="auto"/>
            <w:vAlign w:val="bottom"/>
          </w:tcPr>
          <w:p w:rsidR="00DD6AB0" w:rsidRPr="004F6D15" w:rsidRDefault="00DD6AB0" w:rsidP="000F55B9">
            <w:pPr>
              <w:widowControl/>
              <w:suppressAutoHyphens/>
              <w:ind w:right="-72"/>
              <w:rPr>
                <w:rFonts w:ascii="Arial Narrow" w:hAnsi="Arial Narrow"/>
                <w:color w:val="000000"/>
                <w:sz w:val="17"/>
              </w:rPr>
            </w:pPr>
          </w:p>
        </w:tc>
        <w:tc>
          <w:tcPr>
            <w:tcW w:w="2432" w:type="dxa"/>
            <w:vMerge/>
            <w:tcBorders>
              <w:left w:val="single" w:sz="6" w:space="0" w:color="000000"/>
              <w:right w:val="single" w:sz="6" w:space="0" w:color="FFFFFF"/>
            </w:tcBorders>
            <w:vAlign w:val="center"/>
          </w:tcPr>
          <w:p w:rsidR="00DD6AB0" w:rsidRPr="004F6D15" w:rsidRDefault="00DD6AB0" w:rsidP="000F55B9">
            <w:pPr>
              <w:widowControl/>
              <w:suppressAutoHyphens/>
              <w:ind w:right="-72"/>
              <w:rPr>
                <w:rFonts w:ascii="Arial Narrow" w:hAnsi="Arial Narrow"/>
                <w:color w:val="000000"/>
                <w:sz w:val="17"/>
              </w:rPr>
            </w:pPr>
          </w:p>
        </w:tc>
        <w:tc>
          <w:tcPr>
            <w:tcW w:w="1769" w:type="dxa"/>
            <w:vMerge/>
            <w:tcBorders>
              <w:left w:val="double" w:sz="6" w:space="0" w:color="000000"/>
              <w:right w:val="nil"/>
            </w:tcBorders>
            <w:vAlign w:val="center"/>
          </w:tcPr>
          <w:p w:rsidR="00DD6AB0" w:rsidRPr="004F6D15" w:rsidRDefault="00DD6AB0" w:rsidP="000F55B9">
            <w:pPr>
              <w:widowControl/>
              <w:suppressAutoHyphens/>
              <w:ind w:right="-72"/>
              <w:rPr>
                <w:rFonts w:ascii="Arial Narrow" w:hAnsi="Arial Narrow"/>
                <w:color w:val="000000"/>
                <w:sz w:val="17"/>
              </w:rPr>
            </w:pPr>
          </w:p>
        </w:tc>
      </w:tr>
      <w:tr w:rsidR="00DD6AB0" w:rsidRPr="003C4374">
        <w:trPr>
          <w:trHeight w:val="1317"/>
        </w:trPr>
        <w:tc>
          <w:tcPr>
            <w:tcW w:w="7535" w:type="dxa"/>
            <w:gridSpan w:val="3"/>
            <w:tcBorders>
              <w:top w:val="single" w:sz="6" w:space="0" w:color="auto"/>
              <w:left w:val="nil"/>
              <w:bottom w:val="single" w:sz="6" w:space="0" w:color="FFFFFF"/>
              <w:right w:val="double" w:sz="6" w:space="0" w:color="auto"/>
            </w:tcBorders>
          </w:tcPr>
          <w:p w:rsidR="00DD6AB0"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14.4-14.47</w:t>
            </w:r>
          </w:p>
          <w:p w:rsidR="00DE7DC1" w:rsidRPr="004F6D15" w:rsidRDefault="005A2529" w:rsidP="000F55B9">
            <w:pPr>
              <w:widowControl/>
              <w:suppressAutoHyphens/>
              <w:spacing w:line="216" w:lineRule="auto"/>
              <w:ind w:left="-58" w:right="-72"/>
              <w:rPr>
                <w:rFonts w:ascii="Arial Narrow" w:hAnsi="Arial Narrow"/>
                <w:color w:val="000000"/>
                <w:sz w:val="17"/>
              </w:rPr>
            </w:pPr>
            <w:r w:rsidRPr="004F6D15">
              <w:rPr>
                <w:rFonts w:ascii="Arial Narrow" w:hAnsi="Arial Narrow"/>
                <w:color w:val="000000"/>
                <w:sz w:val="17"/>
              </w:rPr>
              <w:t>FIXED</w:t>
            </w:r>
          </w:p>
          <w:p w:rsidR="00DE7DC1" w:rsidRPr="004F6D15" w:rsidRDefault="005A2529" w:rsidP="000F55B9">
            <w:pPr>
              <w:widowControl/>
              <w:suppressAutoHyphens/>
              <w:spacing w:line="216" w:lineRule="auto"/>
              <w:ind w:left="-58" w:right="-72"/>
              <w:rPr>
                <w:rFonts w:ascii="Arial Narrow" w:hAnsi="Arial Narrow"/>
                <w:color w:val="000000"/>
                <w:sz w:val="17"/>
              </w:rPr>
            </w:pPr>
            <w:r w:rsidRPr="004F6D15">
              <w:rPr>
                <w:rFonts w:ascii="Arial Narrow" w:hAnsi="Arial Narrow"/>
                <w:color w:val="000000"/>
                <w:sz w:val="17"/>
              </w:rPr>
              <w:t>FIXED-SATELLITE (Earth-to-space)  5.457A  5.457B  5.484A  5.506  5.506B</w:t>
            </w:r>
          </w:p>
          <w:p w:rsidR="00DE7DC1" w:rsidRPr="004F6D15" w:rsidRDefault="005A2529" w:rsidP="000F55B9">
            <w:pPr>
              <w:widowControl/>
              <w:suppressAutoHyphens/>
              <w:spacing w:line="216" w:lineRule="auto"/>
              <w:ind w:left="-58" w:right="-72"/>
              <w:rPr>
                <w:rFonts w:ascii="Arial Narrow" w:hAnsi="Arial Narrow"/>
                <w:color w:val="000000"/>
                <w:sz w:val="17"/>
              </w:rPr>
            </w:pPr>
            <w:r w:rsidRPr="004F6D15">
              <w:rPr>
                <w:rFonts w:ascii="Arial Narrow" w:hAnsi="Arial Narrow"/>
                <w:color w:val="000000"/>
                <w:sz w:val="17"/>
              </w:rPr>
              <w:t>MOBILE except aeronautical mobile</w:t>
            </w:r>
          </w:p>
          <w:p w:rsidR="00DE7DC1" w:rsidRPr="004F6D15" w:rsidRDefault="005A2529" w:rsidP="000F55B9">
            <w:pPr>
              <w:widowControl/>
              <w:suppressAutoHyphens/>
              <w:spacing w:line="216" w:lineRule="auto"/>
              <w:ind w:left="-58" w:right="-72"/>
              <w:rPr>
                <w:rFonts w:ascii="Arial Narrow" w:hAnsi="Arial Narrow"/>
                <w:color w:val="000000"/>
                <w:sz w:val="17"/>
              </w:rPr>
            </w:pPr>
            <w:r w:rsidRPr="004F6D15">
              <w:rPr>
                <w:rFonts w:ascii="Arial Narrow" w:hAnsi="Arial Narrow"/>
                <w:color w:val="000000"/>
                <w:sz w:val="17"/>
              </w:rPr>
              <w:t>Mobile-satellite (Earth-to-space)  5.504B  5.506A  5.509A</w:t>
            </w:r>
          </w:p>
          <w:p w:rsidR="00DE7DC1" w:rsidRPr="004F6D15" w:rsidRDefault="005A2529" w:rsidP="000F55B9">
            <w:pPr>
              <w:widowControl/>
              <w:suppressAutoHyphens/>
              <w:spacing w:line="216" w:lineRule="auto"/>
              <w:ind w:left="-58" w:right="-72"/>
              <w:rPr>
                <w:rFonts w:ascii="Arial Narrow" w:hAnsi="Arial Narrow"/>
                <w:color w:val="000000"/>
                <w:sz w:val="17"/>
              </w:rPr>
            </w:pPr>
            <w:r w:rsidRPr="004F6D15">
              <w:rPr>
                <w:rFonts w:ascii="Arial Narrow" w:hAnsi="Arial Narrow"/>
                <w:color w:val="000000"/>
                <w:sz w:val="17"/>
              </w:rPr>
              <w:t>Space research (space-to-Earth)</w:t>
            </w:r>
          </w:p>
          <w:p w:rsidR="00DE7DC1" w:rsidRPr="004F6D15"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DE7DC1" w:rsidRPr="004F6D15"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4F6D15">
              <w:rPr>
                <w:rFonts w:ascii="Arial Narrow" w:hAnsi="Arial Narrow"/>
                <w:color w:val="000000"/>
                <w:sz w:val="17"/>
              </w:rPr>
              <w:t>5.504A</w:t>
            </w:r>
          </w:p>
        </w:tc>
        <w:tc>
          <w:tcPr>
            <w:tcW w:w="2072" w:type="dxa"/>
            <w:tcBorders>
              <w:top w:val="single" w:sz="6" w:space="0" w:color="auto"/>
              <w:left w:val="double" w:sz="6" w:space="0" w:color="auto"/>
              <w:bottom w:val="single" w:sz="6" w:space="0" w:color="FFFFFF"/>
              <w:right w:val="single" w:sz="6" w:space="0" w:color="FFFFFF"/>
            </w:tcBorders>
          </w:tcPr>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14.4-14.47</w:t>
            </w:r>
          </w:p>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Fixed</w:t>
            </w:r>
          </w:p>
          <w:p w:rsidR="00DD6AB0"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Mobile</w:t>
            </w:r>
          </w:p>
        </w:tc>
        <w:tc>
          <w:tcPr>
            <w:tcW w:w="2432" w:type="dxa"/>
            <w:vMerge/>
            <w:tcBorders>
              <w:left w:val="single" w:sz="6" w:space="0" w:color="000000"/>
              <w:bottom w:val="single" w:sz="6" w:space="0" w:color="FFFFFF"/>
              <w:right w:val="single" w:sz="6" w:space="0" w:color="FFFFFF"/>
            </w:tcBorders>
            <w:vAlign w:val="bottom"/>
          </w:tcPr>
          <w:p w:rsidR="00DD6AB0" w:rsidRPr="004F6D15" w:rsidRDefault="00DD6AB0" w:rsidP="000F55B9">
            <w:pPr>
              <w:widowControl/>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p>
        </w:tc>
        <w:tc>
          <w:tcPr>
            <w:tcW w:w="1769" w:type="dxa"/>
            <w:vMerge/>
            <w:tcBorders>
              <w:left w:val="double" w:sz="6" w:space="0" w:color="000000"/>
              <w:right w:val="nil"/>
            </w:tcBorders>
          </w:tcPr>
          <w:p w:rsidR="00DD6AB0" w:rsidRPr="004F6D15" w:rsidRDefault="00DD6AB0" w:rsidP="000F55B9">
            <w:pPr>
              <w:widowControl/>
              <w:suppressAutoHyphens/>
              <w:ind w:right="-72"/>
              <w:rPr>
                <w:rFonts w:ascii="Arial Narrow" w:hAnsi="Arial Narrow"/>
                <w:color w:val="000000"/>
                <w:sz w:val="17"/>
              </w:rPr>
            </w:pPr>
          </w:p>
        </w:tc>
      </w:tr>
      <w:tr w:rsidR="00A432AE" w:rsidRPr="003C4374">
        <w:trPr>
          <w:trHeight w:val="885"/>
        </w:trPr>
        <w:tc>
          <w:tcPr>
            <w:tcW w:w="7535" w:type="dxa"/>
            <w:gridSpan w:val="3"/>
            <w:tcBorders>
              <w:top w:val="single" w:sz="6" w:space="0" w:color="000000"/>
              <w:left w:val="nil"/>
              <w:bottom w:val="single" w:sz="6" w:space="0" w:color="auto"/>
              <w:right w:val="double" w:sz="6" w:space="0" w:color="auto"/>
            </w:tcBorders>
          </w:tcPr>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14.47-14.5</w:t>
            </w:r>
          </w:p>
          <w:p w:rsidR="00DE7DC1" w:rsidRPr="004F6D15" w:rsidRDefault="005A2529" w:rsidP="000F55B9">
            <w:pPr>
              <w:widowControl/>
              <w:suppressAutoHyphens/>
              <w:spacing w:line="216" w:lineRule="auto"/>
              <w:ind w:left="-58" w:right="-72"/>
              <w:rPr>
                <w:rFonts w:ascii="Arial Narrow" w:hAnsi="Arial Narrow"/>
                <w:color w:val="000000"/>
                <w:sz w:val="17"/>
              </w:rPr>
            </w:pPr>
            <w:r w:rsidRPr="004F6D15">
              <w:rPr>
                <w:rFonts w:ascii="Arial Narrow" w:hAnsi="Arial Narrow"/>
                <w:color w:val="000000"/>
                <w:sz w:val="17"/>
              </w:rPr>
              <w:t>FIXED</w:t>
            </w:r>
          </w:p>
          <w:p w:rsidR="00DE7DC1" w:rsidRPr="004F6D15" w:rsidRDefault="005A2529" w:rsidP="000F55B9">
            <w:pPr>
              <w:widowControl/>
              <w:suppressAutoHyphens/>
              <w:spacing w:line="216" w:lineRule="auto"/>
              <w:ind w:left="-58" w:right="-72"/>
              <w:rPr>
                <w:rFonts w:ascii="Arial Narrow" w:hAnsi="Arial Narrow"/>
                <w:color w:val="000000"/>
                <w:sz w:val="17"/>
              </w:rPr>
            </w:pPr>
            <w:r w:rsidRPr="004F6D15">
              <w:rPr>
                <w:rFonts w:ascii="Arial Narrow" w:hAnsi="Arial Narrow"/>
                <w:color w:val="000000"/>
                <w:sz w:val="17"/>
              </w:rPr>
              <w:t>FIXED-SATELLITE (Earth-to-space)  5.457A  5.457B  5.484A  5.506  5.506B</w:t>
            </w:r>
          </w:p>
          <w:p w:rsidR="00DE7DC1" w:rsidRPr="004F6D15" w:rsidRDefault="005A2529" w:rsidP="000F55B9">
            <w:pPr>
              <w:widowControl/>
              <w:suppressAutoHyphens/>
              <w:spacing w:line="216" w:lineRule="auto"/>
              <w:ind w:left="-58" w:right="-72"/>
              <w:rPr>
                <w:rFonts w:ascii="Arial Narrow" w:hAnsi="Arial Narrow"/>
                <w:color w:val="000000"/>
                <w:sz w:val="17"/>
              </w:rPr>
            </w:pPr>
            <w:r w:rsidRPr="004F6D15">
              <w:rPr>
                <w:rFonts w:ascii="Arial Narrow" w:hAnsi="Arial Narrow"/>
                <w:color w:val="000000"/>
                <w:sz w:val="17"/>
              </w:rPr>
              <w:t>MOBILE except aeronautical mobile</w:t>
            </w:r>
          </w:p>
          <w:p w:rsidR="00DE7DC1" w:rsidRPr="004F6D15" w:rsidRDefault="005A2529" w:rsidP="000F55B9">
            <w:pPr>
              <w:widowControl/>
              <w:suppressAutoHyphens/>
              <w:spacing w:line="216" w:lineRule="auto"/>
              <w:ind w:left="-58" w:right="-72"/>
              <w:rPr>
                <w:rFonts w:ascii="Arial Narrow" w:hAnsi="Arial Narrow"/>
                <w:color w:val="000000"/>
                <w:sz w:val="17"/>
              </w:rPr>
            </w:pPr>
            <w:r w:rsidRPr="004F6D15">
              <w:rPr>
                <w:rFonts w:ascii="Arial Narrow" w:hAnsi="Arial Narrow"/>
                <w:color w:val="000000"/>
                <w:sz w:val="17"/>
              </w:rPr>
              <w:t>Mobile-satellite (Earth-to-space)  5.504B  5.506A  5.509A</w:t>
            </w:r>
          </w:p>
          <w:p w:rsidR="00DE7DC1" w:rsidRPr="004F6D15" w:rsidRDefault="005A2529" w:rsidP="000F55B9">
            <w:pPr>
              <w:widowControl/>
              <w:suppressAutoHyphens/>
              <w:spacing w:line="216" w:lineRule="auto"/>
              <w:ind w:left="-58" w:right="-72"/>
              <w:rPr>
                <w:rFonts w:ascii="Arial Narrow" w:hAnsi="Arial Narrow"/>
                <w:color w:val="000000"/>
                <w:sz w:val="17"/>
              </w:rPr>
            </w:pPr>
            <w:r w:rsidRPr="004F6D15">
              <w:rPr>
                <w:rFonts w:ascii="Arial Narrow" w:hAnsi="Arial Narrow"/>
                <w:color w:val="000000"/>
                <w:sz w:val="17"/>
              </w:rPr>
              <w:t>Radio astronomy</w:t>
            </w:r>
          </w:p>
          <w:p w:rsidR="00DE7DC1" w:rsidRPr="004F6D15"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ight="-72"/>
              <w:rPr>
                <w:rFonts w:ascii="Arial Narrow" w:hAnsi="Arial Narrow"/>
                <w:color w:val="000000"/>
                <w:sz w:val="17"/>
              </w:rPr>
            </w:pPr>
          </w:p>
          <w:p w:rsidR="00DE7DC1" w:rsidRPr="004F6D15"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ight="-72"/>
              <w:rPr>
                <w:rFonts w:ascii="Arial Narrow" w:hAnsi="Arial Narrow"/>
                <w:color w:val="000000"/>
                <w:sz w:val="17"/>
              </w:rPr>
            </w:pPr>
            <w:r w:rsidRPr="004F6D15">
              <w:rPr>
                <w:rFonts w:ascii="Arial Narrow" w:hAnsi="Arial Narrow"/>
                <w:color w:val="000000"/>
                <w:sz w:val="17"/>
              </w:rPr>
              <w:t>5.149  5.504A</w:t>
            </w:r>
          </w:p>
        </w:tc>
        <w:tc>
          <w:tcPr>
            <w:tcW w:w="2072" w:type="dxa"/>
            <w:tcBorders>
              <w:top w:val="single" w:sz="6" w:space="0" w:color="000000"/>
              <w:left w:val="double" w:sz="6" w:space="0" w:color="auto"/>
              <w:bottom w:val="single" w:sz="6" w:space="0" w:color="auto"/>
              <w:right w:val="single" w:sz="6" w:space="0" w:color="FFFFFF"/>
            </w:tcBorders>
          </w:tcPr>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14.47-14.5</w:t>
            </w:r>
          </w:p>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Fixed</w:t>
            </w:r>
          </w:p>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Mobile</w:t>
            </w:r>
          </w:p>
          <w:p w:rsidR="00A432AE" w:rsidRPr="004F6D15" w:rsidRDefault="00A432AE" w:rsidP="000F55B9">
            <w:pPr>
              <w:widowControl/>
              <w:suppressAutoHyphens/>
              <w:ind w:right="-72"/>
              <w:rPr>
                <w:rFonts w:ascii="Arial Narrow" w:hAnsi="Arial Narrow"/>
                <w:color w:val="000000"/>
                <w:sz w:val="17"/>
              </w:rPr>
            </w:pPr>
          </w:p>
          <w:p w:rsidR="00A432AE" w:rsidRPr="004F6D15" w:rsidRDefault="00A432AE"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p>
          <w:p w:rsidR="00DE7DC1" w:rsidRPr="004F6D15" w:rsidRDefault="00DE7DC1" w:rsidP="000F55B9">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rPr>
            </w:pPr>
          </w:p>
          <w:p w:rsidR="00DE7DC1" w:rsidRPr="004F6D15"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4F6D15">
              <w:rPr>
                <w:rFonts w:ascii="Arial Narrow" w:hAnsi="Arial Narrow"/>
                <w:color w:val="000000"/>
                <w:sz w:val="17"/>
              </w:rPr>
              <w:t>US133  US203  US342</w:t>
            </w:r>
          </w:p>
        </w:tc>
        <w:tc>
          <w:tcPr>
            <w:tcW w:w="2432" w:type="dxa"/>
            <w:tcBorders>
              <w:top w:val="single" w:sz="6" w:space="0" w:color="000000"/>
              <w:left w:val="single" w:sz="6" w:space="0" w:color="000000"/>
              <w:bottom w:val="single" w:sz="6" w:space="0" w:color="auto"/>
              <w:right w:val="single" w:sz="6" w:space="0" w:color="FFFFFF"/>
            </w:tcBorders>
          </w:tcPr>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14.47-14.5</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FIXED-SATELLITE (Earth-to-space)</w:t>
            </w:r>
          </w:p>
          <w:p w:rsidR="00A432AE" w:rsidRPr="004F6D15" w:rsidRDefault="005A2529" w:rsidP="000F55B9">
            <w:pPr>
              <w:widowControl/>
              <w:tabs>
                <w:tab w:val="left" w:pos="0"/>
                <w:tab w:val="left" w:pos="336"/>
                <w:tab w:val="left" w:pos="1892"/>
                <w:tab w:val="left" w:pos="2880"/>
                <w:tab w:val="left" w:pos="3600"/>
                <w:tab w:val="left" w:pos="4320"/>
                <w:tab w:val="left" w:pos="5040"/>
              </w:tabs>
              <w:suppressAutoHyphens/>
              <w:ind w:right="-72"/>
              <w:rPr>
                <w:rFonts w:ascii="Arial Narrow" w:hAnsi="Arial Narrow"/>
                <w:color w:val="000000"/>
                <w:sz w:val="17"/>
              </w:rPr>
            </w:pPr>
            <w:r w:rsidRPr="004F6D15">
              <w:rPr>
                <w:rFonts w:ascii="Arial Narrow" w:hAnsi="Arial Narrow"/>
                <w:color w:val="000000"/>
                <w:sz w:val="17"/>
              </w:rPr>
              <w:t xml:space="preserve">     NG55</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Mobile-satellite (Earth-to-space)</w:t>
            </w:r>
          </w:p>
          <w:p w:rsidR="00A432AE" w:rsidRPr="004F6D15" w:rsidRDefault="00A432AE" w:rsidP="000F55B9">
            <w:pPr>
              <w:widowControl/>
              <w:suppressAutoHyphens/>
              <w:ind w:right="-72"/>
              <w:rPr>
                <w:rFonts w:ascii="Arial Narrow" w:hAnsi="Arial Narrow"/>
                <w:color w:val="000000"/>
                <w:sz w:val="17"/>
              </w:rPr>
            </w:pPr>
          </w:p>
          <w:p w:rsidR="00C640BA" w:rsidRPr="004F6D15" w:rsidRDefault="00C640BA" w:rsidP="000F55B9">
            <w:pPr>
              <w:widowControl/>
              <w:suppressAutoHyphens/>
              <w:ind w:right="-72"/>
              <w:rPr>
                <w:rFonts w:ascii="Arial Narrow" w:hAnsi="Arial Narrow"/>
                <w:color w:val="000000"/>
                <w:sz w:val="17"/>
              </w:rPr>
            </w:pPr>
          </w:p>
          <w:p w:rsidR="00DE7DC1" w:rsidRPr="004F6D15"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4F6D15">
              <w:rPr>
                <w:rFonts w:ascii="Arial Narrow" w:hAnsi="Arial Narrow"/>
                <w:color w:val="000000"/>
                <w:sz w:val="17"/>
              </w:rPr>
              <w:t>US133  US203  US342</w:t>
            </w:r>
          </w:p>
        </w:tc>
        <w:tc>
          <w:tcPr>
            <w:tcW w:w="1769" w:type="dxa"/>
            <w:vMerge/>
            <w:tcBorders>
              <w:left w:val="double" w:sz="6" w:space="0" w:color="000000"/>
              <w:bottom w:val="single" w:sz="6" w:space="0" w:color="auto"/>
              <w:right w:val="nil"/>
            </w:tcBorders>
            <w:vAlign w:val="center"/>
          </w:tcPr>
          <w:p w:rsidR="00A432AE" w:rsidRPr="004F6D15" w:rsidRDefault="00A432AE" w:rsidP="000F55B9">
            <w:pPr>
              <w:widowControl/>
              <w:suppressAutoHyphens/>
              <w:ind w:right="-72"/>
              <w:rPr>
                <w:rFonts w:ascii="Arial Narrow" w:hAnsi="Arial Narrow"/>
                <w:color w:val="000000"/>
                <w:sz w:val="17"/>
              </w:rPr>
            </w:pPr>
          </w:p>
        </w:tc>
      </w:tr>
      <w:tr w:rsidR="00A432AE" w:rsidRPr="003C4374">
        <w:tc>
          <w:tcPr>
            <w:tcW w:w="7535" w:type="dxa"/>
            <w:gridSpan w:val="3"/>
            <w:vMerge w:val="restart"/>
            <w:tcBorders>
              <w:top w:val="single" w:sz="6" w:space="0" w:color="auto"/>
              <w:left w:val="nil"/>
              <w:bottom w:val="single" w:sz="6" w:space="0" w:color="auto"/>
              <w:right w:val="nil"/>
            </w:tcBorders>
          </w:tcPr>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14.5-14.8</w:t>
            </w:r>
          </w:p>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FIXED</w:t>
            </w:r>
          </w:p>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FIXED-SATELLITE (Earth-to-space)  5.510</w:t>
            </w:r>
          </w:p>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MOBILE</w:t>
            </w:r>
          </w:p>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Space research</w:t>
            </w:r>
          </w:p>
        </w:tc>
        <w:tc>
          <w:tcPr>
            <w:tcW w:w="2072" w:type="dxa"/>
            <w:tcBorders>
              <w:top w:val="single" w:sz="6" w:space="0" w:color="auto"/>
              <w:left w:val="double" w:sz="6" w:space="0" w:color="000000"/>
              <w:bottom w:val="single" w:sz="6" w:space="0" w:color="000000"/>
              <w:right w:val="single" w:sz="6" w:space="0" w:color="FFFFFF"/>
            </w:tcBorders>
          </w:tcPr>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14.5-14.7145</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FIXED</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Mobile</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Space research</w:t>
            </w:r>
          </w:p>
        </w:tc>
        <w:tc>
          <w:tcPr>
            <w:tcW w:w="2432" w:type="dxa"/>
            <w:vMerge w:val="restart"/>
            <w:tcBorders>
              <w:top w:val="single" w:sz="6" w:space="0" w:color="auto"/>
              <w:left w:val="single" w:sz="6" w:space="0" w:color="000000"/>
              <w:right w:val="double" w:sz="6" w:space="0" w:color="auto"/>
            </w:tcBorders>
          </w:tcPr>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14.5-14.8</w:t>
            </w:r>
          </w:p>
        </w:tc>
        <w:tc>
          <w:tcPr>
            <w:tcW w:w="1769" w:type="dxa"/>
            <w:vMerge w:val="restart"/>
            <w:tcBorders>
              <w:top w:val="single" w:sz="6" w:space="0" w:color="auto"/>
              <w:left w:val="double" w:sz="6" w:space="0" w:color="auto"/>
              <w:right w:val="nil"/>
            </w:tcBorders>
          </w:tcPr>
          <w:p w:rsidR="00A432AE" w:rsidRPr="004F6D15" w:rsidRDefault="00A432AE" w:rsidP="000F55B9">
            <w:pPr>
              <w:widowControl/>
              <w:suppressAutoHyphens/>
              <w:ind w:right="-72"/>
              <w:rPr>
                <w:rFonts w:ascii="Arial Narrow" w:hAnsi="Arial Narrow"/>
                <w:color w:val="000000"/>
                <w:sz w:val="17"/>
              </w:rPr>
            </w:pPr>
          </w:p>
        </w:tc>
      </w:tr>
      <w:tr w:rsidR="00A432AE" w:rsidRPr="003C4374">
        <w:tc>
          <w:tcPr>
            <w:tcW w:w="7535" w:type="dxa"/>
            <w:gridSpan w:val="3"/>
            <w:vMerge/>
            <w:tcBorders>
              <w:top w:val="single" w:sz="6" w:space="0" w:color="auto"/>
              <w:left w:val="nil"/>
              <w:bottom w:val="single" w:sz="6" w:space="0" w:color="auto"/>
              <w:right w:val="nil"/>
            </w:tcBorders>
            <w:vAlign w:val="center"/>
          </w:tcPr>
          <w:p w:rsidR="00A432AE" w:rsidRPr="00761A73" w:rsidRDefault="00A432AE" w:rsidP="000F55B9">
            <w:pPr>
              <w:widowControl/>
              <w:suppressAutoHyphens/>
              <w:ind w:left="-58" w:right="-72"/>
              <w:rPr>
                <w:rFonts w:ascii="Arial Narrow" w:hAnsi="Arial Narrow"/>
                <w:color w:val="000000"/>
                <w:sz w:val="17"/>
              </w:rPr>
            </w:pPr>
          </w:p>
        </w:tc>
        <w:tc>
          <w:tcPr>
            <w:tcW w:w="2072" w:type="dxa"/>
            <w:tcBorders>
              <w:top w:val="single" w:sz="6" w:space="0" w:color="000000"/>
              <w:left w:val="double" w:sz="6" w:space="0" w:color="000000"/>
              <w:bottom w:val="single" w:sz="6" w:space="0" w:color="auto"/>
              <w:right w:val="single" w:sz="6" w:space="0" w:color="FFFFFF"/>
            </w:tcBorders>
          </w:tcPr>
          <w:p w:rsidR="00A432AE" w:rsidRPr="00761A73" w:rsidRDefault="005A2529" w:rsidP="000F55B9">
            <w:pPr>
              <w:widowControl/>
              <w:suppressAutoHyphens/>
              <w:ind w:right="-72"/>
              <w:rPr>
                <w:rFonts w:ascii="Arial Narrow" w:hAnsi="Arial Narrow"/>
                <w:color w:val="000000"/>
                <w:sz w:val="17"/>
              </w:rPr>
            </w:pPr>
            <w:r w:rsidRPr="00761A73">
              <w:rPr>
                <w:rFonts w:ascii="Arial Narrow" w:hAnsi="Arial Narrow"/>
                <w:color w:val="000000"/>
                <w:sz w:val="17"/>
              </w:rPr>
              <w:t>14.7145-14.8</w:t>
            </w:r>
          </w:p>
          <w:p w:rsidR="00DE7DC1" w:rsidRPr="00761A73" w:rsidRDefault="005A2529" w:rsidP="000F55B9">
            <w:pPr>
              <w:widowControl/>
              <w:suppressAutoHyphens/>
              <w:spacing w:line="228" w:lineRule="auto"/>
              <w:ind w:right="-72"/>
              <w:rPr>
                <w:rFonts w:ascii="Arial Narrow" w:hAnsi="Arial Narrow"/>
                <w:color w:val="000000"/>
                <w:sz w:val="17"/>
              </w:rPr>
            </w:pPr>
            <w:r w:rsidRPr="00761A73">
              <w:rPr>
                <w:rFonts w:ascii="Arial Narrow" w:hAnsi="Arial Narrow"/>
                <w:color w:val="000000"/>
                <w:sz w:val="17"/>
              </w:rPr>
              <w:t>MOBILE</w:t>
            </w:r>
          </w:p>
          <w:p w:rsidR="00DE7DC1" w:rsidRPr="00761A73" w:rsidRDefault="005A2529" w:rsidP="000F55B9">
            <w:pPr>
              <w:widowControl/>
              <w:suppressAutoHyphens/>
              <w:spacing w:line="228" w:lineRule="auto"/>
              <w:ind w:right="-72"/>
              <w:rPr>
                <w:rFonts w:ascii="Arial Narrow" w:hAnsi="Arial Narrow"/>
                <w:color w:val="000000"/>
                <w:sz w:val="17"/>
              </w:rPr>
            </w:pPr>
            <w:r w:rsidRPr="00761A73">
              <w:rPr>
                <w:rFonts w:ascii="Arial Narrow" w:hAnsi="Arial Narrow"/>
                <w:color w:val="000000"/>
                <w:sz w:val="17"/>
              </w:rPr>
              <w:t>Fixed</w:t>
            </w:r>
          </w:p>
          <w:p w:rsidR="00DE7DC1" w:rsidRPr="00761A73" w:rsidRDefault="005A2529" w:rsidP="000F55B9">
            <w:pPr>
              <w:widowControl/>
              <w:suppressAutoHyphens/>
              <w:spacing w:line="228" w:lineRule="auto"/>
              <w:ind w:right="-72"/>
              <w:rPr>
                <w:rFonts w:ascii="Arial Narrow" w:hAnsi="Arial Narrow"/>
                <w:color w:val="000000"/>
                <w:sz w:val="17"/>
              </w:rPr>
            </w:pPr>
            <w:r w:rsidRPr="00761A73">
              <w:rPr>
                <w:rFonts w:ascii="Arial Narrow" w:hAnsi="Arial Narrow"/>
                <w:color w:val="000000"/>
                <w:sz w:val="17"/>
              </w:rPr>
              <w:t>Space research</w:t>
            </w:r>
          </w:p>
        </w:tc>
        <w:tc>
          <w:tcPr>
            <w:tcW w:w="2432" w:type="dxa"/>
            <w:vMerge/>
            <w:tcBorders>
              <w:left w:val="single" w:sz="6" w:space="0" w:color="000000"/>
              <w:bottom w:val="single" w:sz="6" w:space="0" w:color="auto"/>
              <w:right w:val="double" w:sz="6" w:space="0" w:color="auto"/>
            </w:tcBorders>
          </w:tcPr>
          <w:p w:rsidR="00A432AE" w:rsidRPr="00761A73" w:rsidRDefault="00A432AE" w:rsidP="000F55B9">
            <w:pPr>
              <w:widowControl/>
              <w:suppressAutoHyphens/>
              <w:ind w:right="-72"/>
              <w:rPr>
                <w:rFonts w:ascii="Arial Narrow" w:hAnsi="Arial Narrow"/>
                <w:color w:val="000000"/>
                <w:sz w:val="17"/>
              </w:rPr>
            </w:pPr>
          </w:p>
        </w:tc>
        <w:tc>
          <w:tcPr>
            <w:tcW w:w="1769" w:type="dxa"/>
            <w:vMerge/>
            <w:tcBorders>
              <w:left w:val="double" w:sz="6" w:space="0" w:color="auto"/>
              <w:bottom w:val="single" w:sz="6" w:space="0" w:color="auto"/>
              <w:right w:val="nil"/>
            </w:tcBorders>
          </w:tcPr>
          <w:p w:rsidR="00A432AE" w:rsidRPr="00761A73" w:rsidRDefault="00A432AE" w:rsidP="000F55B9">
            <w:pPr>
              <w:widowControl/>
              <w:suppressAutoHyphens/>
              <w:ind w:right="-72"/>
              <w:rPr>
                <w:rFonts w:ascii="Arial Narrow" w:hAnsi="Arial Narrow"/>
                <w:color w:val="000000"/>
                <w:sz w:val="17"/>
              </w:rPr>
            </w:pPr>
          </w:p>
        </w:tc>
      </w:tr>
      <w:tr w:rsidR="00A432AE" w:rsidRPr="003C4374">
        <w:tc>
          <w:tcPr>
            <w:tcW w:w="7535" w:type="dxa"/>
            <w:gridSpan w:val="3"/>
            <w:tcBorders>
              <w:top w:val="single" w:sz="6" w:space="0" w:color="auto"/>
              <w:left w:val="nil"/>
              <w:right w:val="nil"/>
            </w:tcBorders>
          </w:tcPr>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14.8-15.35</w:t>
            </w:r>
          </w:p>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FIXED</w:t>
            </w:r>
          </w:p>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MOBILE</w:t>
            </w:r>
          </w:p>
          <w:p w:rsidR="00A432AE" w:rsidRPr="004F6D15" w:rsidRDefault="005A2529" w:rsidP="000F55B9">
            <w:pPr>
              <w:widowControl/>
              <w:suppressAutoHyphens/>
              <w:ind w:left="-58" w:right="-72"/>
              <w:rPr>
                <w:rFonts w:ascii="Arial Narrow" w:hAnsi="Arial Narrow"/>
                <w:color w:val="000000"/>
                <w:sz w:val="17"/>
              </w:rPr>
            </w:pPr>
            <w:r w:rsidRPr="004F6D15">
              <w:rPr>
                <w:rFonts w:ascii="Arial Narrow" w:hAnsi="Arial Narrow"/>
                <w:color w:val="000000"/>
                <w:sz w:val="17"/>
              </w:rPr>
              <w:t>Space research</w:t>
            </w:r>
          </w:p>
        </w:tc>
        <w:tc>
          <w:tcPr>
            <w:tcW w:w="2072" w:type="dxa"/>
            <w:tcBorders>
              <w:top w:val="single" w:sz="6" w:space="0" w:color="auto"/>
              <w:left w:val="double" w:sz="6" w:space="0" w:color="000000"/>
              <w:bottom w:val="single" w:sz="6" w:space="0" w:color="000000"/>
              <w:right w:val="single" w:sz="6" w:space="0" w:color="FFFFFF"/>
            </w:tcBorders>
          </w:tcPr>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14.8-15.1365</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MOBILE</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SPACE RESEARCH</w:t>
            </w:r>
          </w:p>
          <w:p w:rsidR="00DE7DC1" w:rsidRPr="004F6D15" w:rsidRDefault="005A2529" w:rsidP="000F55B9">
            <w:pPr>
              <w:widowControl/>
              <w:suppressAutoHyphens/>
              <w:spacing w:line="228" w:lineRule="auto"/>
              <w:ind w:right="-72"/>
              <w:rPr>
                <w:rFonts w:ascii="Arial Narrow" w:hAnsi="Arial Narrow"/>
                <w:color w:val="000000"/>
                <w:sz w:val="17"/>
              </w:rPr>
            </w:pPr>
            <w:r w:rsidRPr="004F6D15">
              <w:rPr>
                <w:rFonts w:ascii="Arial Narrow" w:hAnsi="Arial Narrow"/>
                <w:color w:val="000000"/>
                <w:sz w:val="17"/>
              </w:rPr>
              <w:t>Fixed</w:t>
            </w:r>
          </w:p>
          <w:p w:rsidR="00DE7DC1" w:rsidRPr="004F6D15" w:rsidRDefault="00DE7DC1" w:rsidP="000F55B9">
            <w:pPr>
              <w:widowControl/>
              <w:suppressAutoHyphens/>
              <w:spacing w:line="108" w:lineRule="auto"/>
              <w:ind w:right="-72"/>
              <w:rPr>
                <w:rFonts w:ascii="Arial Narrow" w:hAnsi="Arial Narrow"/>
                <w:color w:val="000000"/>
                <w:sz w:val="17"/>
              </w:rPr>
            </w:pPr>
          </w:p>
          <w:p w:rsidR="00DE7DC1" w:rsidRPr="004F6D15" w:rsidRDefault="005A2529" w:rsidP="000F55B9">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72"/>
              <w:rPr>
                <w:rFonts w:ascii="Arial Narrow" w:hAnsi="Arial Narrow"/>
                <w:color w:val="000000"/>
                <w:sz w:val="17"/>
              </w:rPr>
            </w:pPr>
            <w:r w:rsidRPr="004F6D15">
              <w:rPr>
                <w:rFonts w:ascii="Arial Narrow" w:hAnsi="Arial Narrow"/>
                <w:color w:val="000000"/>
                <w:sz w:val="17"/>
              </w:rPr>
              <w:t>US310</w:t>
            </w:r>
          </w:p>
        </w:tc>
        <w:tc>
          <w:tcPr>
            <w:tcW w:w="2432" w:type="dxa"/>
            <w:tcBorders>
              <w:top w:val="single" w:sz="6" w:space="0" w:color="auto"/>
              <w:left w:val="single" w:sz="6" w:space="0" w:color="000000"/>
              <w:bottom w:val="single" w:sz="6" w:space="0" w:color="000000"/>
              <w:right w:val="double" w:sz="6" w:space="0" w:color="auto"/>
            </w:tcBorders>
          </w:tcPr>
          <w:p w:rsidR="00A432AE" w:rsidRPr="004F6D15" w:rsidRDefault="005A2529" w:rsidP="000F55B9">
            <w:pPr>
              <w:widowControl/>
              <w:suppressAutoHyphens/>
              <w:ind w:right="-72"/>
              <w:rPr>
                <w:rFonts w:ascii="Arial Narrow" w:hAnsi="Arial Narrow"/>
                <w:color w:val="000000"/>
                <w:sz w:val="17"/>
              </w:rPr>
            </w:pPr>
            <w:r w:rsidRPr="004F6D15">
              <w:rPr>
                <w:rFonts w:ascii="Arial Narrow" w:hAnsi="Arial Narrow"/>
                <w:color w:val="000000"/>
                <w:sz w:val="17"/>
              </w:rPr>
              <w:t>14.8-15.1365</w:t>
            </w:r>
          </w:p>
          <w:p w:rsidR="00DE7DC1" w:rsidRPr="004F6D15" w:rsidRDefault="00DE7DC1" w:rsidP="000F55B9">
            <w:pPr>
              <w:widowControl/>
              <w:suppressAutoHyphens/>
              <w:spacing w:line="228" w:lineRule="auto"/>
              <w:ind w:right="-72"/>
              <w:rPr>
                <w:rFonts w:ascii="Arial Narrow" w:hAnsi="Arial Narrow"/>
                <w:color w:val="000000"/>
                <w:sz w:val="17"/>
              </w:rPr>
            </w:pPr>
          </w:p>
          <w:p w:rsidR="00DE7DC1" w:rsidRPr="004F6D15" w:rsidRDefault="00DE7DC1" w:rsidP="000F55B9">
            <w:pPr>
              <w:widowControl/>
              <w:suppressAutoHyphens/>
              <w:spacing w:line="228" w:lineRule="auto"/>
              <w:ind w:right="-72"/>
              <w:rPr>
                <w:rFonts w:ascii="Arial Narrow" w:hAnsi="Arial Narrow"/>
                <w:color w:val="000000"/>
                <w:sz w:val="17"/>
              </w:rPr>
            </w:pPr>
          </w:p>
          <w:p w:rsidR="00DE7DC1" w:rsidRPr="004F6D15" w:rsidRDefault="00DE7DC1" w:rsidP="000F55B9">
            <w:pPr>
              <w:widowControl/>
              <w:suppressAutoHyphens/>
              <w:spacing w:line="228" w:lineRule="auto"/>
              <w:ind w:right="-72"/>
              <w:rPr>
                <w:rFonts w:ascii="Arial Narrow" w:hAnsi="Arial Narrow"/>
                <w:color w:val="000000"/>
                <w:sz w:val="17"/>
              </w:rPr>
            </w:pPr>
          </w:p>
          <w:p w:rsidR="00DE7DC1" w:rsidRPr="004F6D15" w:rsidRDefault="00DE7DC1" w:rsidP="000F55B9">
            <w:pPr>
              <w:widowControl/>
              <w:suppressAutoHyphens/>
              <w:spacing w:line="108" w:lineRule="auto"/>
              <w:ind w:right="-72"/>
              <w:rPr>
                <w:rFonts w:ascii="Arial Narrow" w:hAnsi="Arial Narrow"/>
                <w:color w:val="000000"/>
                <w:sz w:val="17"/>
              </w:rPr>
            </w:pPr>
          </w:p>
          <w:p w:rsidR="00DE7DC1" w:rsidRPr="004F6D15" w:rsidRDefault="005A2529" w:rsidP="000F55B9">
            <w:pPr>
              <w:widowControl/>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color w:val="000000"/>
                <w:sz w:val="17"/>
              </w:rPr>
            </w:pPr>
            <w:r w:rsidRPr="004F6D15">
              <w:rPr>
                <w:rFonts w:ascii="Arial Narrow" w:hAnsi="Arial Narrow"/>
                <w:color w:val="000000"/>
                <w:sz w:val="17"/>
              </w:rPr>
              <w:t>US310</w:t>
            </w:r>
          </w:p>
        </w:tc>
        <w:tc>
          <w:tcPr>
            <w:tcW w:w="1769" w:type="dxa"/>
            <w:tcBorders>
              <w:top w:val="single" w:sz="6" w:space="0" w:color="auto"/>
              <w:left w:val="double" w:sz="6" w:space="0" w:color="auto"/>
              <w:bottom w:val="single" w:sz="6" w:space="0" w:color="000000"/>
              <w:right w:val="nil"/>
            </w:tcBorders>
            <w:vAlign w:val="center"/>
          </w:tcPr>
          <w:p w:rsidR="00A432AE" w:rsidRPr="004F6D15" w:rsidRDefault="00A432AE" w:rsidP="000F55B9">
            <w:pPr>
              <w:widowControl/>
              <w:suppressAutoHyphens/>
              <w:ind w:right="-72"/>
              <w:rPr>
                <w:rFonts w:ascii="Arial Narrow" w:hAnsi="Arial Narrow"/>
                <w:color w:val="000000"/>
                <w:sz w:val="17"/>
              </w:rPr>
            </w:pPr>
          </w:p>
        </w:tc>
      </w:tr>
    </w:tbl>
    <w:p w:rsidR="00A432AE" w:rsidRPr="008B2F67" w:rsidRDefault="00A432AE" w:rsidP="000F55B9">
      <w:pPr>
        <w:widowControl/>
        <w:sectPr w:rsidR="00A432AE" w:rsidRPr="008B2F67">
          <w:pgSz w:w="15840" w:h="12240" w:orient="landscape" w:code="1"/>
          <w:pgMar w:top="720" w:right="1080" w:bottom="720" w:left="1080" w:header="0" w:footer="720" w:gutter="0"/>
          <w:cols w:space="720"/>
        </w:sectPr>
      </w:pPr>
    </w:p>
    <w:p w:rsidR="00591B09" w:rsidRDefault="00591B09" w:rsidP="000F55B9">
      <w:pPr>
        <w:widowControl/>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tab/>
      </w:r>
      <w:r w:rsidRPr="008B2F67">
        <w:t>* * * * *</w:t>
      </w:r>
    </w:p>
    <w:p w:rsidR="00C928E1" w:rsidRPr="008B2F67" w:rsidRDefault="00C928E1" w:rsidP="000F55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8B2F67">
        <w:rPr>
          <w:b/>
          <w:bCs/>
        </w:rPr>
        <w:t>N</w:t>
      </w:r>
      <w:r w:rsidRPr="008B2F67">
        <w:rPr>
          <w:b/>
          <w:bCs/>
          <w:sz w:val="18"/>
          <w:szCs w:val="18"/>
        </w:rPr>
        <w:t>ON</w:t>
      </w:r>
      <w:r w:rsidRPr="008B2F67">
        <w:rPr>
          <w:b/>
          <w:bCs/>
        </w:rPr>
        <w:t>-F</w:t>
      </w:r>
      <w:r w:rsidRPr="008B2F67">
        <w:rPr>
          <w:b/>
          <w:bCs/>
          <w:sz w:val="18"/>
          <w:szCs w:val="18"/>
        </w:rPr>
        <w:t xml:space="preserve">EDERAL </w:t>
      </w:r>
      <w:r w:rsidRPr="008B2F67">
        <w:rPr>
          <w:b/>
          <w:bCs/>
        </w:rPr>
        <w:t>G</w:t>
      </w:r>
      <w:r w:rsidRPr="008B2F67">
        <w:rPr>
          <w:b/>
          <w:bCs/>
          <w:sz w:val="18"/>
          <w:szCs w:val="18"/>
        </w:rPr>
        <w:t>OVERNMENT</w:t>
      </w:r>
      <w:r w:rsidR="00561EFE" w:rsidRPr="008B2F67">
        <w:rPr>
          <w:b/>
          <w:bCs/>
          <w:sz w:val="18"/>
          <w:szCs w:val="18"/>
        </w:rPr>
        <w:t xml:space="preserve"> </w:t>
      </w:r>
      <w:r w:rsidRPr="008B2F67">
        <w:rPr>
          <w:b/>
          <w:bCs/>
        </w:rPr>
        <w:t>(NG) F</w:t>
      </w:r>
      <w:r w:rsidRPr="008B2F67">
        <w:rPr>
          <w:b/>
          <w:bCs/>
          <w:sz w:val="18"/>
          <w:szCs w:val="18"/>
        </w:rPr>
        <w:t>OOTNOTES</w:t>
      </w:r>
    </w:p>
    <w:p w:rsidR="00DF2E24" w:rsidRPr="008B2F67" w:rsidRDefault="00DF2E24" w:rsidP="000F55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F2E24" w:rsidRPr="008B2F67" w:rsidRDefault="00DF2E24" w:rsidP="000F55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B2F67">
        <w:tab/>
        <w:t xml:space="preserve">   * * * * *</w:t>
      </w:r>
    </w:p>
    <w:p w:rsidR="00C928E1" w:rsidRPr="008B2F67" w:rsidRDefault="00A27837" w:rsidP="000F55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p>
    <w:p w:rsidR="0087186A" w:rsidRPr="008B2F67" w:rsidRDefault="00217AD0" w:rsidP="000F55B9">
      <w:pPr>
        <w:widowControl/>
        <w:ind w:firstLine="720"/>
      </w:pPr>
      <w:r w:rsidRPr="008B2F67">
        <w:t>NG55  In the bands 11.7-12.2 GHz (space-to-Earth) and 14</w:t>
      </w:r>
      <w:r w:rsidR="00DB114D">
        <w:t>.0</w:t>
      </w:r>
      <w:r w:rsidRPr="008B2F67">
        <w:t>-14.5 GHz (Earth-to-space), Earth Stations on Vessels (ESV), Vehicle-Mounted Earth Stations (VMES), and Earth Stations Aboard Aircraft (ESAA) as regulated under 47 CFR part 25 are applications of the fixed-satellite service and may be authorized to communicate with geostationary satellites in the fixed-satellite service on a primary basis.</w:t>
      </w:r>
    </w:p>
    <w:p w:rsidR="0087186A" w:rsidRPr="008B2F67" w:rsidRDefault="0087186A" w:rsidP="000F55B9">
      <w:pPr>
        <w:widowControl/>
        <w:ind w:firstLine="720"/>
      </w:pPr>
    </w:p>
    <w:p w:rsidR="002F5D68" w:rsidRPr="008B2F67" w:rsidRDefault="0087186A" w:rsidP="000F55B9">
      <w:pPr>
        <w:widowControl/>
        <w:ind w:firstLine="720"/>
      </w:pPr>
      <w:r w:rsidRPr="008B2F67">
        <w:t>* * * * *</w:t>
      </w:r>
    </w:p>
    <w:p w:rsidR="00CB4596" w:rsidRPr="008B2F67" w:rsidRDefault="00CB4596" w:rsidP="000F55B9">
      <w:pPr>
        <w:widowControl/>
        <w:ind w:firstLine="720"/>
      </w:pPr>
    </w:p>
    <w:p w:rsidR="002F5D68" w:rsidRPr="008B2F67" w:rsidRDefault="002F5D68" w:rsidP="00C3133B">
      <w:pPr>
        <w:pStyle w:val="ParaNum"/>
        <w:numPr>
          <w:ilvl w:val="0"/>
          <w:numId w:val="0"/>
        </w:numPr>
        <w:rPr>
          <w:i/>
        </w:rPr>
      </w:pPr>
      <w:r w:rsidRPr="008B2F67">
        <w:t>PART 25 – SATELLITE COMMUNICATIONS</w:t>
      </w:r>
    </w:p>
    <w:p w:rsidR="002F5D68" w:rsidRPr="008B2F67" w:rsidRDefault="002F5D68">
      <w:pPr>
        <w:pStyle w:val="ParaNum"/>
        <w:numPr>
          <w:ilvl w:val="0"/>
          <w:numId w:val="0"/>
        </w:numPr>
      </w:pPr>
    </w:p>
    <w:p w:rsidR="00DE7DC1" w:rsidRDefault="002F5D68" w:rsidP="00C3133B">
      <w:pPr>
        <w:pStyle w:val="ParaNum"/>
        <w:numPr>
          <w:ilvl w:val="0"/>
          <w:numId w:val="5"/>
        </w:numPr>
      </w:pPr>
      <w:r w:rsidRPr="008B2F67">
        <w:t>The authority citation for Part 25 continues to read as follows:</w:t>
      </w:r>
    </w:p>
    <w:p w:rsidR="00540DE8" w:rsidRPr="008B2F67" w:rsidRDefault="00540DE8" w:rsidP="00C3133B">
      <w:pPr>
        <w:pStyle w:val="ParaNum"/>
        <w:numPr>
          <w:ilvl w:val="0"/>
          <w:numId w:val="0"/>
        </w:numPr>
        <w:ind w:left="360"/>
      </w:pPr>
    </w:p>
    <w:p w:rsidR="005D3E89" w:rsidRDefault="002F5D68">
      <w:pPr>
        <w:pStyle w:val="ParaNum"/>
        <w:numPr>
          <w:ilvl w:val="0"/>
          <w:numId w:val="0"/>
        </w:numPr>
        <w:ind w:left="360"/>
      </w:pPr>
      <w:r w:rsidRPr="008B2F67">
        <w:t xml:space="preserve">AUTHORITY: Interprets or applies Sections 4, 301, 302, 303, 307, 309, </w:t>
      </w:r>
      <w:r w:rsidR="008C3620">
        <w:t>319, 332, 705 and 721</w:t>
      </w:r>
      <w:r w:rsidRPr="008B2F67">
        <w:t xml:space="preserve"> of the Communications Act as amended, 47 U.S.C. Sections 154, 301, 302, 303, 307, 309,</w:t>
      </w:r>
      <w:r w:rsidR="008C3620">
        <w:t xml:space="preserve"> 319,</w:t>
      </w:r>
      <w:r w:rsidRPr="008B2F67">
        <w:t xml:space="preserve"> 332, </w:t>
      </w:r>
      <w:r w:rsidR="004331FF">
        <w:t>6</w:t>
      </w:r>
      <w:r w:rsidR="008C3620">
        <w:t xml:space="preserve">05 </w:t>
      </w:r>
      <w:r w:rsidRPr="008B2F67">
        <w:t>and 7</w:t>
      </w:r>
      <w:r w:rsidR="008C3620">
        <w:t>21</w:t>
      </w:r>
      <w:r w:rsidRPr="008B2F67">
        <w:t>, unless otherwise noted.</w:t>
      </w:r>
    </w:p>
    <w:p w:rsidR="002F5D68" w:rsidRPr="008B2F67" w:rsidRDefault="002F5D68">
      <w:pPr>
        <w:pStyle w:val="ParaNum"/>
        <w:numPr>
          <w:ilvl w:val="0"/>
          <w:numId w:val="0"/>
        </w:numPr>
        <w:ind w:left="360"/>
      </w:pPr>
    </w:p>
    <w:p w:rsidR="00DE7DC1" w:rsidRDefault="0085362F" w:rsidP="00C3133B">
      <w:pPr>
        <w:pStyle w:val="ParaNum"/>
        <w:numPr>
          <w:ilvl w:val="0"/>
          <w:numId w:val="5"/>
        </w:numPr>
      </w:pPr>
      <w:r>
        <w:t xml:space="preserve">Amend </w:t>
      </w:r>
      <w:r w:rsidR="00CB4596" w:rsidRPr="008B2F67">
        <w:t>Section 25.103</w:t>
      </w:r>
      <w:r w:rsidR="00561B9A" w:rsidRPr="008B2F67">
        <w:t xml:space="preserve"> </w:t>
      </w:r>
      <w:r w:rsidR="00CB4596" w:rsidRPr="008B2F67">
        <w:t>as follows:</w:t>
      </w:r>
    </w:p>
    <w:p w:rsidR="00CB4596" w:rsidRPr="008B2F67" w:rsidRDefault="00CB4596" w:rsidP="00C3133B">
      <w:pPr>
        <w:pStyle w:val="ParaNum"/>
        <w:numPr>
          <w:ilvl w:val="0"/>
          <w:numId w:val="0"/>
        </w:numPr>
        <w:ind w:left="360"/>
      </w:pPr>
    </w:p>
    <w:p w:rsidR="00BF2139" w:rsidRPr="008B2F67" w:rsidRDefault="00BF2139" w:rsidP="00C3133B">
      <w:pPr>
        <w:pStyle w:val="ParaNum"/>
        <w:numPr>
          <w:ilvl w:val="0"/>
          <w:numId w:val="0"/>
        </w:numPr>
      </w:pPr>
      <w:r w:rsidRPr="008B2F67">
        <w:t>§ 25.103 Definitions</w:t>
      </w:r>
    </w:p>
    <w:p w:rsidR="00F33DA3" w:rsidRDefault="00F33DA3">
      <w:pPr>
        <w:pStyle w:val="ParaNum"/>
        <w:numPr>
          <w:ilvl w:val="0"/>
          <w:numId w:val="0"/>
        </w:numPr>
      </w:pPr>
    </w:p>
    <w:p w:rsidR="00BF2139" w:rsidRPr="008B2F67" w:rsidRDefault="00BF2139">
      <w:pPr>
        <w:pStyle w:val="ParaNum"/>
        <w:numPr>
          <w:ilvl w:val="0"/>
          <w:numId w:val="0"/>
        </w:numPr>
      </w:pPr>
      <w:r w:rsidRPr="008B2F67">
        <w:t>* * * * *</w:t>
      </w:r>
    </w:p>
    <w:p w:rsidR="00F33DA3" w:rsidRDefault="00F33DA3">
      <w:pPr>
        <w:pStyle w:val="ParaNum"/>
        <w:numPr>
          <w:ilvl w:val="0"/>
          <w:numId w:val="0"/>
        </w:numPr>
      </w:pPr>
    </w:p>
    <w:p w:rsidR="00561B9A" w:rsidRPr="00912449" w:rsidRDefault="00487A9A" w:rsidP="000F55B9">
      <w:pPr>
        <w:widowControl/>
        <w:autoSpaceDE w:val="0"/>
        <w:autoSpaceDN w:val="0"/>
        <w:adjustRightInd w:val="0"/>
      </w:pPr>
      <w:r w:rsidRPr="008B2F67">
        <w:rPr>
          <w:i/>
        </w:rPr>
        <w:t>Earth Stations Aboard Aircraft (ESAA)</w:t>
      </w:r>
      <w:r w:rsidRPr="008B2F67">
        <w:t>.</w:t>
      </w:r>
      <w:r w:rsidRPr="008B2F67">
        <w:rPr>
          <w:i/>
        </w:rPr>
        <w:t xml:space="preserve"> </w:t>
      </w:r>
      <w:r w:rsidRPr="00AD382A">
        <w:rPr>
          <w:rFonts w:eastAsia="TimesNewRoman"/>
          <w:snapToGrid/>
          <w:kern w:val="0"/>
        </w:rPr>
        <w:t>Earth stations operating aboard aircraft that receive from and transmit to geostationary-orbit Fixed-Satellite Service space stations pursuant to the requirements in § 25.227 of this part.</w:t>
      </w:r>
    </w:p>
    <w:p w:rsidR="00F33DA3" w:rsidRDefault="00F33DA3">
      <w:pPr>
        <w:pStyle w:val="ParaNum"/>
        <w:numPr>
          <w:ilvl w:val="0"/>
          <w:numId w:val="0"/>
        </w:numPr>
      </w:pPr>
    </w:p>
    <w:p w:rsidR="00F33DA3" w:rsidRDefault="00BF2139">
      <w:pPr>
        <w:pStyle w:val="ParaNum"/>
        <w:numPr>
          <w:ilvl w:val="0"/>
          <w:numId w:val="0"/>
        </w:numPr>
      </w:pPr>
      <w:r w:rsidRPr="008B2F67">
        <w:t>* * * * *</w:t>
      </w:r>
    </w:p>
    <w:p w:rsidR="00BF2139" w:rsidRPr="008B2F67" w:rsidRDefault="00BF2139">
      <w:pPr>
        <w:pStyle w:val="ParaNum"/>
        <w:numPr>
          <w:ilvl w:val="0"/>
          <w:numId w:val="0"/>
        </w:numPr>
      </w:pPr>
    </w:p>
    <w:p w:rsidR="00DE7DC1" w:rsidRDefault="00672FB8">
      <w:pPr>
        <w:pStyle w:val="ParaNum"/>
        <w:numPr>
          <w:ilvl w:val="0"/>
          <w:numId w:val="0"/>
        </w:numPr>
      </w:pPr>
      <w:r>
        <w:t>5.</w:t>
      </w:r>
      <w:r>
        <w:tab/>
      </w:r>
      <w:r w:rsidR="002F5D68" w:rsidRPr="008B2F67">
        <w:t>Amend Section 25.227 as follows:</w:t>
      </w:r>
    </w:p>
    <w:p w:rsidR="00FF070A" w:rsidRPr="008B2F67" w:rsidRDefault="00FF070A" w:rsidP="00C3133B">
      <w:pPr>
        <w:pStyle w:val="ParaNum"/>
        <w:numPr>
          <w:ilvl w:val="0"/>
          <w:numId w:val="0"/>
        </w:numPr>
        <w:ind w:left="360"/>
      </w:pPr>
    </w:p>
    <w:p w:rsidR="00DE7DC1" w:rsidRDefault="00EA75F7" w:rsidP="000F55B9">
      <w:pPr>
        <w:widowControl/>
        <w:tabs>
          <w:tab w:val="left" w:pos="1080"/>
        </w:tabs>
        <w:ind w:left="1080" w:hanging="360"/>
      </w:pPr>
      <w:r>
        <w:t>a.</w:t>
      </w:r>
      <w:r>
        <w:tab/>
      </w:r>
      <w:r w:rsidR="006A0FED">
        <w:t>Revise</w:t>
      </w:r>
      <w:r w:rsidR="002F5D68" w:rsidRPr="008B2F67">
        <w:t xml:space="preserve"> paragraph (a)(14);</w:t>
      </w:r>
    </w:p>
    <w:p w:rsidR="00DE7DC1" w:rsidRDefault="00DE7DC1" w:rsidP="0057213E">
      <w:pPr>
        <w:pStyle w:val="ParaNum"/>
        <w:numPr>
          <w:ilvl w:val="0"/>
          <w:numId w:val="0"/>
        </w:numPr>
        <w:spacing w:after="0"/>
        <w:ind w:left="1080"/>
      </w:pPr>
    </w:p>
    <w:p w:rsidR="00DE7DC1" w:rsidRDefault="00EA75F7" w:rsidP="000F55B9">
      <w:pPr>
        <w:widowControl/>
        <w:tabs>
          <w:tab w:val="left" w:pos="1080"/>
        </w:tabs>
        <w:ind w:left="1080" w:hanging="360"/>
      </w:pPr>
      <w:r>
        <w:t>b.</w:t>
      </w:r>
      <w:r>
        <w:tab/>
      </w:r>
      <w:r w:rsidR="00357E8A">
        <w:t>Revise</w:t>
      </w:r>
      <w:r w:rsidR="006E1648">
        <w:t xml:space="preserve"> paragraph (b)(1)(iii)(A);</w:t>
      </w:r>
    </w:p>
    <w:p w:rsidR="00DE7DC1" w:rsidRDefault="00DE7DC1" w:rsidP="000F55B9">
      <w:pPr>
        <w:pStyle w:val="ListParagraph"/>
        <w:widowControl/>
        <w:tabs>
          <w:tab w:val="left" w:pos="1080"/>
        </w:tabs>
        <w:ind w:left="1080" w:hanging="360"/>
      </w:pPr>
    </w:p>
    <w:p w:rsidR="00DE7DC1" w:rsidRDefault="00EA75F7" w:rsidP="000F55B9">
      <w:pPr>
        <w:widowControl/>
        <w:tabs>
          <w:tab w:val="left" w:pos="1080"/>
        </w:tabs>
        <w:ind w:left="1080" w:hanging="360"/>
      </w:pPr>
      <w:r>
        <w:t>c.</w:t>
      </w:r>
      <w:r>
        <w:tab/>
      </w:r>
      <w:r w:rsidR="006E1648">
        <w:t>Revise paragraph (b)(2)(i); and</w:t>
      </w:r>
    </w:p>
    <w:p w:rsidR="006E1648" w:rsidRDefault="006E1648" w:rsidP="000F55B9">
      <w:pPr>
        <w:widowControl/>
        <w:tabs>
          <w:tab w:val="left" w:pos="1080"/>
        </w:tabs>
        <w:ind w:left="1080" w:hanging="360"/>
      </w:pPr>
    </w:p>
    <w:p w:rsidR="006E1648" w:rsidRDefault="006E1648" w:rsidP="000F55B9">
      <w:pPr>
        <w:widowControl/>
        <w:tabs>
          <w:tab w:val="left" w:pos="1080"/>
        </w:tabs>
        <w:ind w:left="1080" w:hanging="360"/>
      </w:pPr>
      <w:r>
        <w:t>d.</w:t>
      </w:r>
      <w:r>
        <w:tab/>
        <w:t>Revise paragraph (b)(3)(i).</w:t>
      </w:r>
    </w:p>
    <w:p w:rsidR="00FF070A" w:rsidRPr="008B2F67" w:rsidRDefault="00FF070A" w:rsidP="00C3133B">
      <w:pPr>
        <w:pStyle w:val="ParaNum"/>
        <w:numPr>
          <w:ilvl w:val="0"/>
          <w:numId w:val="0"/>
        </w:numPr>
      </w:pPr>
    </w:p>
    <w:p w:rsidR="00392A85" w:rsidRPr="008B2F67" w:rsidRDefault="00B4152D">
      <w:pPr>
        <w:pStyle w:val="ParaNum"/>
        <w:numPr>
          <w:ilvl w:val="0"/>
          <w:numId w:val="0"/>
        </w:numPr>
      </w:pPr>
      <w:r w:rsidRPr="008B2F67">
        <w:t>§ 25.227</w:t>
      </w:r>
      <w:r w:rsidR="00392A85" w:rsidRPr="008B2F67">
        <w:t xml:space="preserve"> Blanket Licensing pro</w:t>
      </w:r>
      <w:r w:rsidR="00515E18">
        <w:t xml:space="preserve">visions for </w:t>
      </w:r>
      <w:r w:rsidR="00392A85" w:rsidRPr="008B2F67">
        <w:t>Earth Stations</w:t>
      </w:r>
      <w:r w:rsidRPr="008B2F67">
        <w:t xml:space="preserve"> Aboard Aircraft (ESAA</w:t>
      </w:r>
      <w:r w:rsidR="00392A85" w:rsidRPr="008B2F67">
        <w:t>s) receiving in the 10.95-11.2 GHz (space-to-Earth), 11.45-11.7 GHz (space-to-Earth), and 11.7-12.2 GHz (space-to-Earth) frequency bands and transmitting in the 14.0-14.5 GHz (Earth-to-space) frequency band, operating with Geostationary Satellites in the Fixed-Satellite Service</w:t>
      </w:r>
    </w:p>
    <w:p w:rsidR="00FF070A" w:rsidRDefault="00FF070A">
      <w:pPr>
        <w:pStyle w:val="ParaNum"/>
        <w:numPr>
          <w:ilvl w:val="0"/>
          <w:numId w:val="0"/>
        </w:numPr>
      </w:pPr>
    </w:p>
    <w:p w:rsidR="00F33DA3" w:rsidRDefault="002B579C">
      <w:pPr>
        <w:pStyle w:val="ParaNum"/>
        <w:numPr>
          <w:ilvl w:val="0"/>
          <w:numId w:val="0"/>
        </w:numPr>
      </w:pPr>
      <w:r w:rsidRPr="008B2F67">
        <w:t>(a) * * *</w:t>
      </w:r>
    </w:p>
    <w:p w:rsidR="002B579C" w:rsidRPr="008B2F67" w:rsidRDefault="002B579C">
      <w:pPr>
        <w:pStyle w:val="ParaNum"/>
        <w:numPr>
          <w:ilvl w:val="0"/>
          <w:numId w:val="0"/>
        </w:numPr>
      </w:pPr>
    </w:p>
    <w:p w:rsidR="002B579C" w:rsidRDefault="002B579C" w:rsidP="00C3133B">
      <w:pPr>
        <w:pStyle w:val="ParaNum"/>
        <w:numPr>
          <w:ilvl w:val="0"/>
          <w:numId w:val="0"/>
        </w:numPr>
        <w:ind w:left="720"/>
      </w:pPr>
      <w:r w:rsidRPr="008B2F67">
        <w:rPr>
          <w:bCs/>
        </w:rPr>
        <w:t xml:space="preserve">(14) </w:t>
      </w:r>
      <w:r w:rsidR="00047223" w:rsidRPr="008B2F67">
        <w:t>All ESAA terminals operated in U.S. airspace</w:t>
      </w:r>
      <w:r w:rsidR="00047223">
        <w:t>, whether</w:t>
      </w:r>
      <w:r w:rsidR="00047223" w:rsidRPr="008B2F67">
        <w:t xml:space="preserve"> </w:t>
      </w:r>
      <w:r w:rsidR="00047223">
        <w:t xml:space="preserve">on U.S.-registered civil aircraft or non-U.S.-registered civil aircraft, must be licensed by the </w:t>
      </w:r>
      <w:r w:rsidR="00047223" w:rsidRPr="008B2F67">
        <w:t>Commission.</w:t>
      </w:r>
      <w:r w:rsidR="00047223" w:rsidRPr="004D0381">
        <w:t xml:space="preserve"> </w:t>
      </w:r>
      <w:r w:rsidR="00047223">
        <w:t xml:space="preserve"> All ESAA terminals on U.S.-registered civil aircraft operating outside of U.S. airspace must be licensed by the Commission</w:t>
      </w:r>
      <w:r w:rsidR="00047223" w:rsidRPr="0067698C">
        <w:t>, except as provided by Section 303(t) of the Communications Act</w:t>
      </w:r>
      <w:r w:rsidR="00C66738">
        <w:t>.</w:t>
      </w:r>
    </w:p>
    <w:p w:rsidR="00EB7A16" w:rsidRPr="008B2F67" w:rsidRDefault="00EB7A16">
      <w:pPr>
        <w:pStyle w:val="ParaNum"/>
        <w:numPr>
          <w:ilvl w:val="0"/>
          <w:numId w:val="0"/>
        </w:numPr>
        <w:ind w:left="720"/>
      </w:pPr>
    </w:p>
    <w:p w:rsidR="0071237A" w:rsidRDefault="0071237A" w:rsidP="00C3133B">
      <w:pPr>
        <w:pStyle w:val="ParaNum"/>
        <w:numPr>
          <w:ilvl w:val="0"/>
          <w:numId w:val="0"/>
        </w:numPr>
      </w:pPr>
      <w:r w:rsidRPr="008B2F67">
        <w:t>* * *</w:t>
      </w:r>
    </w:p>
    <w:p w:rsidR="00EB7A16" w:rsidRPr="008B2F67" w:rsidRDefault="00EB7A16">
      <w:pPr>
        <w:pStyle w:val="ParaNum"/>
        <w:numPr>
          <w:ilvl w:val="0"/>
          <w:numId w:val="0"/>
        </w:numPr>
      </w:pPr>
    </w:p>
    <w:p w:rsidR="0071237A" w:rsidRDefault="0071237A">
      <w:pPr>
        <w:pStyle w:val="ParaNum"/>
        <w:numPr>
          <w:ilvl w:val="0"/>
          <w:numId w:val="0"/>
        </w:numPr>
      </w:pPr>
      <w:r w:rsidRPr="008B2F67">
        <w:t>(b) * * *</w:t>
      </w:r>
    </w:p>
    <w:p w:rsidR="00EB7A16" w:rsidRPr="008B2F67" w:rsidRDefault="00EB7A16">
      <w:pPr>
        <w:pStyle w:val="ParaNum"/>
        <w:numPr>
          <w:ilvl w:val="0"/>
          <w:numId w:val="0"/>
        </w:numPr>
      </w:pPr>
    </w:p>
    <w:p w:rsidR="005D3E89" w:rsidRDefault="0071237A" w:rsidP="00C3133B">
      <w:pPr>
        <w:pStyle w:val="ParaNum"/>
        <w:numPr>
          <w:ilvl w:val="0"/>
          <w:numId w:val="4"/>
        </w:numPr>
      </w:pPr>
      <w:r w:rsidRPr="008B2F67">
        <w:t>* * *</w:t>
      </w:r>
    </w:p>
    <w:p w:rsidR="0071237A" w:rsidRPr="008B2F67" w:rsidRDefault="0071237A" w:rsidP="00C3133B">
      <w:pPr>
        <w:pStyle w:val="ParaNum"/>
        <w:numPr>
          <w:ilvl w:val="0"/>
          <w:numId w:val="0"/>
        </w:numPr>
        <w:ind w:left="1080"/>
      </w:pPr>
    </w:p>
    <w:p w:rsidR="0071237A" w:rsidRDefault="0071237A" w:rsidP="00C3133B">
      <w:pPr>
        <w:pStyle w:val="ParaNum"/>
        <w:numPr>
          <w:ilvl w:val="0"/>
          <w:numId w:val="0"/>
        </w:numPr>
      </w:pPr>
      <w:r w:rsidRPr="008B2F67">
        <w:tab/>
      </w:r>
      <w:r w:rsidRPr="008B2F67">
        <w:tab/>
        <w:t>(iii) * * *</w:t>
      </w:r>
    </w:p>
    <w:p w:rsidR="00EB7A16" w:rsidRPr="008B2F67" w:rsidRDefault="00EB7A16">
      <w:pPr>
        <w:pStyle w:val="ParaNum"/>
        <w:numPr>
          <w:ilvl w:val="0"/>
          <w:numId w:val="0"/>
        </w:numPr>
      </w:pPr>
    </w:p>
    <w:p w:rsidR="0071237A" w:rsidRDefault="008753FB" w:rsidP="00C3133B">
      <w:pPr>
        <w:pStyle w:val="ParaNum"/>
        <w:numPr>
          <w:ilvl w:val="0"/>
          <w:numId w:val="0"/>
        </w:numPr>
        <w:ind w:left="2160"/>
      </w:pPr>
      <w:r>
        <w:t xml:space="preserve">(A) </w:t>
      </w:r>
      <w:r w:rsidR="00A60BA2">
        <w:t>d</w:t>
      </w:r>
      <w:r w:rsidR="004F5638">
        <w:t>emonstrate that the total tracking error budget of their antenna is within 0.2º or less between the orbital location of the target satellite and the axis of the main lobe of the ESAA antenna</w:t>
      </w:r>
      <w:r w:rsidR="004322C2" w:rsidRPr="008B2F67">
        <w:t xml:space="preserve">. </w:t>
      </w:r>
      <w:r w:rsidR="007B2793">
        <w:t xml:space="preserve"> </w:t>
      </w:r>
      <w:r w:rsidR="007B2793" w:rsidRPr="007B2793">
        <w:rPr>
          <w:snapToGrid/>
          <w:kern w:val="0"/>
        </w:rPr>
        <w:t xml:space="preserve">As part of the engineering analysis, the ESAA applicant must show that the antenna pointing error is within three sigma (б) from the mean value, </w:t>
      </w:r>
      <w:r w:rsidR="007B2793" w:rsidRPr="007B2793">
        <w:rPr>
          <w:i/>
          <w:snapToGrid/>
          <w:kern w:val="0"/>
        </w:rPr>
        <w:t>i.e.</w:t>
      </w:r>
      <w:r w:rsidR="007B2793" w:rsidRPr="007B2793">
        <w:rPr>
          <w:snapToGrid/>
          <w:kern w:val="0"/>
        </w:rPr>
        <w:t>, that there is a 0.997 probability the antenna maintains a pointing error within 0.2º; and</w:t>
      </w:r>
    </w:p>
    <w:p w:rsidR="003F0A75" w:rsidRDefault="003F0A75" w:rsidP="00C3133B">
      <w:pPr>
        <w:pStyle w:val="ParaNum"/>
        <w:numPr>
          <w:ilvl w:val="0"/>
          <w:numId w:val="0"/>
        </w:numPr>
      </w:pPr>
    </w:p>
    <w:p w:rsidR="003F0A75" w:rsidRDefault="003F0A75">
      <w:pPr>
        <w:pStyle w:val="ParaNum"/>
        <w:numPr>
          <w:ilvl w:val="0"/>
          <w:numId w:val="0"/>
        </w:numPr>
      </w:pPr>
      <w:r>
        <w:t>* * *</w:t>
      </w:r>
    </w:p>
    <w:p w:rsidR="003F0A75" w:rsidRDefault="003F0A75">
      <w:pPr>
        <w:pStyle w:val="ParaNum"/>
        <w:numPr>
          <w:ilvl w:val="0"/>
          <w:numId w:val="0"/>
        </w:numPr>
      </w:pPr>
    </w:p>
    <w:p w:rsidR="003F0A75" w:rsidRDefault="003F0A75" w:rsidP="00C3133B">
      <w:pPr>
        <w:pStyle w:val="ParaNum"/>
        <w:numPr>
          <w:ilvl w:val="0"/>
          <w:numId w:val="4"/>
        </w:numPr>
      </w:pPr>
      <w:r>
        <w:t>* * *</w:t>
      </w:r>
    </w:p>
    <w:p w:rsidR="003F0A75" w:rsidRDefault="003F0A75" w:rsidP="00C3133B">
      <w:pPr>
        <w:pStyle w:val="ParaNum"/>
        <w:numPr>
          <w:ilvl w:val="0"/>
          <w:numId w:val="0"/>
        </w:numPr>
        <w:ind w:left="1080"/>
      </w:pPr>
    </w:p>
    <w:p w:rsidR="00775BE3" w:rsidRDefault="003F0A75" w:rsidP="00C3133B">
      <w:pPr>
        <w:pStyle w:val="ParaNum"/>
        <w:numPr>
          <w:ilvl w:val="0"/>
          <w:numId w:val="0"/>
        </w:numPr>
        <w:ind w:left="1440"/>
      </w:pPr>
      <w:r>
        <w:t>(i) A statement from the target satellite operator certifying that the proposed operation of the ESAA has the potential to create harmful interference to satellite networks adjacent to the target satellite(s) that may be unacceptable.</w:t>
      </w:r>
    </w:p>
    <w:p w:rsidR="00775BE3" w:rsidRDefault="00775BE3" w:rsidP="00C3133B">
      <w:pPr>
        <w:pStyle w:val="ParaNum"/>
        <w:numPr>
          <w:ilvl w:val="0"/>
          <w:numId w:val="0"/>
        </w:numPr>
      </w:pPr>
    </w:p>
    <w:p w:rsidR="00775BE3" w:rsidRDefault="00775BE3">
      <w:pPr>
        <w:pStyle w:val="ParaNum"/>
        <w:numPr>
          <w:ilvl w:val="0"/>
          <w:numId w:val="0"/>
        </w:numPr>
      </w:pPr>
      <w:r>
        <w:t>* * *</w:t>
      </w:r>
    </w:p>
    <w:p w:rsidR="00775BE3" w:rsidRDefault="00775BE3">
      <w:pPr>
        <w:pStyle w:val="ParaNum"/>
        <w:numPr>
          <w:ilvl w:val="0"/>
          <w:numId w:val="0"/>
        </w:numPr>
      </w:pPr>
    </w:p>
    <w:p w:rsidR="00775BE3" w:rsidRDefault="00775BE3">
      <w:pPr>
        <w:pStyle w:val="ParaNum"/>
        <w:numPr>
          <w:ilvl w:val="0"/>
          <w:numId w:val="0"/>
        </w:numPr>
      </w:pPr>
      <w:r>
        <w:tab/>
        <w:t>(3) * * *</w:t>
      </w:r>
    </w:p>
    <w:p w:rsidR="00775BE3" w:rsidRDefault="00775BE3">
      <w:pPr>
        <w:pStyle w:val="ParaNum"/>
        <w:numPr>
          <w:ilvl w:val="0"/>
          <w:numId w:val="0"/>
        </w:numPr>
      </w:pPr>
    </w:p>
    <w:p w:rsidR="003F0A75" w:rsidRPr="007922C4" w:rsidRDefault="00775BE3" w:rsidP="00C3133B">
      <w:pPr>
        <w:pStyle w:val="ParaNum"/>
        <w:numPr>
          <w:ilvl w:val="0"/>
          <w:numId w:val="0"/>
        </w:numPr>
        <w:ind w:left="1440"/>
      </w:pPr>
      <w:r>
        <w:t>(i) The applicant shall make a detailed showing of the measures it intends to employ to maintain the effective aggregate EIRP density from all simultaneously transmitting co-frequency terminals operating with the same satellite transponder at least 1 dB below the off-axis EIRP density limits defined in paragraph (a)(1)(i)(A) through (C) of this section.  In this context, the term “effective” means that the resultant co-polarized and cross-polarized EIRP density experienced by any GSO or non-GSO satellite shall not exceed that produced by a single ESAA transmitter operating at 1 dB below the limits defined in paragraphs (a)(</w:t>
      </w:r>
      <w:r w:rsidRPr="00225D1F">
        <w:t>1</w:t>
      </w:r>
      <w:r>
        <w:t xml:space="preserve">)(i)(A) through (C) of this section.  </w:t>
      </w:r>
      <w:r w:rsidR="007922C4">
        <w:t>The ESAA applicant shall provide a detailed showing that an individual ESAA terminal is self-monitoring and capable of shutting itself off automatically within 100 milliseconds</w:t>
      </w:r>
      <w:r w:rsidR="007922C4">
        <w:rPr>
          <w:b/>
        </w:rPr>
        <w:t xml:space="preserve"> </w:t>
      </w:r>
      <w:r w:rsidR="007922C4">
        <w:t>if the ESAA transmitter exceeds the off-axis EIRP-density limit specified in paragraph (a)(3)(i) of this section.  The ESAA applicant also shall provide a detailed showing that one or more transmitters are capable of automatically ceasing or reducing emissions within 100 milliseconds of receiving a command from the system’s network control and monitoring center th</w:t>
      </w:r>
      <w:r w:rsidR="00590ACC">
        <w:t>at</w:t>
      </w:r>
      <w:r w:rsidR="007922C4">
        <w:t xml:space="preserve"> the aggregate off-axis EIRP spectral-densities of the transmitter or transmitters exceed the off-axis EIRP-density limits specified in paragraph (a)(3)(i) of this section. The International Bureau will place this showing on public not</w:t>
      </w:r>
      <w:r w:rsidR="00590ACC">
        <w:t>ice along with the application.</w:t>
      </w:r>
    </w:p>
    <w:p w:rsidR="00EB7A16" w:rsidRPr="008B2F67" w:rsidRDefault="00EB7A16" w:rsidP="00C3133B">
      <w:pPr>
        <w:pStyle w:val="ParaNum"/>
        <w:numPr>
          <w:ilvl w:val="0"/>
          <w:numId w:val="0"/>
        </w:numPr>
        <w:ind w:left="2520"/>
      </w:pPr>
    </w:p>
    <w:p w:rsidR="00181D1F" w:rsidRDefault="00181D1F" w:rsidP="00C3133B">
      <w:pPr>
        <w:pStyle w:val="ParaNum"/>
        <w:numPr>
          <w:ilvl w:val="0"/>
          <w:numId w:val="0"/>
        </w:numPr>
        <w:ind w:left="1440"/>
      </w:pPr>
      <w:r w:rsidRPr="008B2F67">
        <w:t>(ii)</w:t>
      </w:r>
      <w:r>
        <w:t xml:space="preserve"> * * *</w:t>
      </w:r>
    </w:p>
    <w:p w:rsidR="00181D1F" w:rsidRDefault="00181D1F">
      <w:pPr>
        <w:pStyle w:val="ParaNum"/>
        <w:numPr>
          <w:ilvl w:val="0"/>
          <w:numId w:val="0"/>
        </w:numPr>
        <w:ind w:left="1440"/>
      </w:pPr>
    </w:p>
    <w:p w:rsidR="00181D1F" w:rsidRPr="008B2F67" w:rsidRDefault="00181D1F" w:rsidP="00C3133B">
      <w:pPr>
        <w:pStyle w:val="ParaNum"/>
        <w:numPr>
          <w:ilvl w:val="0"/>
          <w:numId w:val="0"/>
        </w:numPr>
      </w:pPr>
      <w:r w:rsidRPr="008B2F67">
        <w:t>* * * * *</w:t>
      </w:r>
    </w:p>
    <w:sectPr w:rsidR="00181D1F" w:rsidRPr="008B2F67" w:rsidSect="005B3096">
      <w:headerReference w:type="default" r:id="rId16"/>
      <w:footerReference w:type="even" r:id="rId17"/>
      <w:footerReference w:type="default" r:id="rId18"/>
      <w:footerReference w:type="first" r:id="rId19"/>
      <w:footnotePr>
        <w:numRestart w:val="eachSect"/>
      </w:footnotePr>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9EC" w:rsidRDefault="006979EC">
      <w:pPr>
        <w:spacing w:line="20" w:lineRule="exact"/>
      </w:pPr>
    </w:p>
  </w:endnote>
  <w:endnote w:type="continuationSeparator" w:id="0">
    <w:p w:rsidR="006979EC" w:rsidRDefault="006979EC">
      <w:r>
        <w:t xml:space="preserve"> </w:t>
      </w:r>
    </w:p>
  </w:endnote>
  <w:endnote w:type="continuationNotice" w:id="1">
    <w:p w:rsidR="006979EC" w:rsidRDefault="006979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4F" w:rsidRDefault="00735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3B" w:rsidRDefault="00C3133B">
    <w:pPr>
      <w:pStyle w:val="Footer"/>
      <w:jc w:val="center"/>
    </w:pPr>
    <w:r>
      <w:fldChar w:fldCharType="begin"/>
    </w:r>
    <w:r>
      <w:instrText xml:space="preserve"> PAGE   \* MERGEFORMAT </w:instrText>
    </w:r>
    <w:r>
      <w:fldChar w:fldCharType="separate"/>
    </w:r>
    <w:r w:rsidR="005E175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3B" w:rsidRDefault="00C3133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04393"/>
      <w:docPartObj>
        <w:docPartGallery w:val="Page Numbers (Bottom of Page)"/>
        <w:docPartUnique/>
      </w:docPartObj>
    </w:sdtPr>
    <w:sdtEndPr>
      <w:rPr>
        <w:noProof/>
      </w:rPr>
    </w:sdtEndPr>
    <w:sdtContent>
      <w:p w:rsidR="00C3133B" w:rsidRDefault="00C3133B">
        <w:pPr>
          <w:pStyle w:val="Footer"/>
          <w:jc w:val="center"/>
        </w:pPr>
        <w:r>
          <w:fldChar w:fldCharType="begin"/>
        </w:r>
        <w:r>
          <w:instrText xml:space="preserve"> PAGE   \* MERGEFORMAT </w:instrText>
        </w:r>
        <w:r>
          <w:fldChar w:fldCharType="separate"/>
        </w:r>
        <w:r w:rsidR="002D39CD">
          <w:rPr>
            <w:noProof/>
          </w:rPr>
          <w:t>14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3B" w:rsidRDefault="00C3133B">
    <w:pPr>
      <w:pStyle w:val="Footer"/>
      <w:framePr w:wrap="around" w:vAnchor="text" w:hAnchor="margin" w:xAlign="center" w:y="1"/>
    </w:pPr>
    <w:r>
      <w:fldChar w:fldCharType="begin"/>
    </w:r>
    <w:r>
      <w:instrText xml:space="preserve">PAGE  </w:instrText>
    </w:r>
    <w:r>
      <w:fldChar w:fldCharType="end"/>
    </w:r>
  </w:p>
  <w:p w:rsidR="00C3133B" w:rsidRDefault="00C313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3B" w:rsidRDefault="00C3133B" w:rsidP="00776BFC">
    <w:pPr>
      <w:pStyle w:val="Footer"/>
      <w:jc w:val="center"/>
    </w:pPr>
    <w:r>
      <w:fldChar w:fldCharType="begin"/>
    </w:r>
    <w:r>
      <w:instrText xml:space="preserve"> PAGE   \* MERGEFORMAT </w:instrText>
    </w:r>
    <w:r>
      <w:fldChar w:fldCharType="separate"/>
    </w:r>
    <w:r w:rsidR="002D39CD">
      <w:rPr>
        <w:noProof/>
      </w:rPr>
      <w:t>22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3B" w:rsidRDefault="00C3133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9EC" w:rsidRDefault="006979EC">
      <w:r>
        <w:separator/>
      </w:r>
    </w:p>
  </w:footnote>
  <w:footnote w:type="continuationSeparator" w:id="0">
    <w:p w:rsidR="006979EC" w:rsidRDefault="006979EC" w:rsidP="00C3133B">
      <w:pPr>
        <w:spacing w:before="120"/>
        <w:rPr>
          <w:sz w:val="20"/>
        </w:rPr>
      </w:pPr>
      <w:r>
        <w:rPr>
          <w:sz w:val="20"/>
        </w:rPr>
        <w:t xml:space="preserve">(Continued from previous page)  </w:t>
      </w:r>
      <w:r>
        <w:rPr>
          <w:sz w:val="20"/>
        </w:rPr>
        <w:separator/>
      </w:r>
    </w:p>
  </w:footnote>
  <w:footnote w:type="continuationNotice" w:id="1">
    <w:p w:rsidR="006979EC" w:rsidRDefault="006979EC" w:rsidP="00C3133B">
      <w:pPr>
        <w:jc w:val="right"/>
        <w:rPr>
          <w:sz w:val="20"/>
        </w:rPr>
      </w:pPr>
      <w:r>
        <w:rPr>
          <w:sz w:val="20"/>
        </w:rPr>
        <w:t>(continued….)</w:t>
      </w:r>
    </w:p>
  </w:footnote>
  <w:footnote w:id="2">
    <w:p w:rsidR="00C3133B" w:rsidRPr="00ED67F6" w:rsidRDefault="00C3133B" w:rsidP="000F55B9">
      <w:pPr>
        <w:pStyle w:val="FootnoteText"/>
        <w:rPr>
          <w:i/>
        </w:rPr>
      </w:pPr>
      <w:r w:rsidRPr="00ED67F6">
        <w:rPr>
          <w:rStyle w:val="FootnoteReference"/>
        </w:rPr>
        <w:footnoteRef/>
      </w:r>
      <w:r w:rsidRPr="00ED67F6">
        <w:t xml:space="preserve"> </w:t>
      </w:r>
      <w:r w:rsidRPr="00ED67F6">
        <w:rPr>
          <w:i/>
        </w:rPr>
        <w:t>See generally Procedures to Govern the Use of Satellite Earth Stations on Board Vessels in the 5925-6425 MHz/3700-4200 MHz Bands and 14.0-14.5 GHz/11.7-12.2 GHz Bands</w:t>
      </w:r>
      <w:r w:rsidRPr="00ED67F6">
        <w:t>, IB Docket No. 02-10, Report and Order, FCC 04-286, 20 FCC Rcd 674 (2005) (</w:t>
      </w:r>
      <w:r w:rsidRPr="00ED67F6">
        <w:rPr>
          <w:i/>
        </w:rPr>
        <w:t>ESV Order</w:t>
      </w:r>
      <w:r w:rsidRPr="00ED67F6">
        <w:t>);</w:t>
      </w:r>
      <w:r w:rsidRPr="00ED67F6">
        <w:rPr>
          <w:i/>
        </w:rPr>
        <w:t xml:space="preserve"> see also</w:t>
      </w:r>
      <w:r w:rsidRPr="00ED67F6">
        <w:t xml:space="preserve"> </w:t>
      </w:r>
      <w:r w:rsidRPr="00ED67F6">
        <w:rPr>
          <w:i/>
        </w:rPr>
        <w:t>Amendment of Parts 2 and 25 of the Commission’s Rules to Allocate Spectrum and Adopt Service Rules and Procedures to Govern the Use of Vehicle-Mounted Earth Stations in Certain Frequency Bands Allocated to the Fixed-Satellite Service</w:t>
      </w:r>
      <w:r w:rsidRPr="00ED67F6">
        <w:t>, IB Docket No. 07-101, Report and Order, FCC 09-64, 24 FCC Rcd 10414 (2009) (</w:t>
      </w:r>
      <w:r w:rsidRPr="00ED67F6">
        <w:rPr>
          <w:i/>
        </w:rPr>
        <w:t>VMES Order</w:t>
      </w:r>
      <w:r w:rsidRPr="00ED67F6">
        <w:t>).</w:t>
      </w:r>
    </w:p>
  </w:footnote>
  <w:footnote w:id="3">
    <w:p w:rsidR="00C3133B" w:rsidRPr="00ED67F6" w:rsidRDefault="00C3133B" w:rsidP="000F55B9">
      <w:pPr>
        <w:pStyle w:val="FootnoteText"/>
        <w:rPr>
          <w:b/>
        </w:rPr>
      </w:pPr>
      <w:r w:rsidRPr="00ED67F6">
        <w:rPr>
          <w:rStyle w:val="FootnoteReference"/>
        </w:rPr>
        <w:footnoteRef/>
      </w:r>
      <w:r w:rsidRPr="00ED67F6">
        <w:t xml:space="preserve"> </w:t>
      </w:r>
      <w:r w:rsidRPr="00ED67F6">
        <w:rPr>
          <w:i/>
        </w:rPr>
        <w:t xml:space="preserve">See </w:t>
      </w:r>
      <w:r>
        <w:t>47 C.F.R. § 25.103.</w:t>
      </w:r>
    </w:p>
  </w:footnote>
  <w:footnote w:id="4">
    <w:p w:rsidR="00C3133B" w:rsidRPr="00ED67F6" w:rsidRDefault="00C3133B" w:rsidP="000F55B9">
      <w:pPr>
        <w:pStyle w:val="FootnoteText"/>
      </w:pPr>
      <w:r w:rsidRPr="00ED67F6">
        <w:rPr>
          <w:rStyle w:val="FootnoteReference"/>
        </w:rPr>
        <w:footnoteRef/>
      </w:r>
      <w:r w:rsidRPr="00ED67F6">
        <w:t xml:space="preserve"> </w:t>
      </w:r>
      <w:r w:rsidRPr="00ED67F6">
        <w:rPr>
          <w:i/>
        </w:rPr>
        <w:t>See Revisions to Parts 2 and 25 of the Commission’s Rules to Govern the Use of Earth Stations Aboard Aircraft Communicating with Fixed-Satellite Service Geostationary-Orbit Space Stations Operating in the 10.95-11.2 GHz, 11.45-11.7 GHz, 11.7-12.2 GHz and 14.0-14.5 GHz Frequency Bands</w:t>
      </w:r>
      <w:r w:rsidRPr="00ED67F6">
        <w:t>,</w:t>
      </w:r>
      <w:r w:rsidRPr="00ED67F6">
        <w:rPr>
          <w:i/>
        </w:rPr>
        <w:t xml:space="preserve"> </w:t>
      </w:r>
      <w:r w:rsidRPr="00ED67F6">
        <w:t>IB Docket No. 12-376, Notice of Proposed Rulemaking and Report and Order, FCC 12-161, 27 FCC Rcd 16510 (2012) (</w:t>
      </w:r>
      <w:r w:rsidRPr="00ED67F6">
        <w:rPr>
          <w:i/>
        </w:rPr>
        <w:t>ESAA NPRM &amp; Order</w:t>
      </w:r>
      <w:r w:rsidRPr="00ED67F6">
        <w:t>). Specifically, the ESAA licensees are authorized to operate in the 14.0-14.5 GHz band and the 11.7-12.2 GHz band, which are the conventional Ku-band uplink and downlink bands, respectively, and in the 10.95-11.2 GHz band and the 11.45-11.7 GHz band, which are part of the extended Ku-band.</w:t>
      </w:r>
      <w:r>
        <w:t xml:space="preserve">  </w:t>
      </w:r>
      <w:r w:rsidRPr="00ED67F6">
        <w:t xml:space="preserve">In the initial </w:t>
      </w:r>
      <w:r w:rsidRPr="00ED67F6">
        <w:rPr>
          <w:i/>
        </w:rPr>
        <w:t>Notice</w:t>
      </w:r>
      <w:r w:rsidRPr="00ED67F6">
        <w:t xml:space="preserve"> released in 2005, the Commission considered communications between satellites and earth stations on aircraft to be part of the Aeronautical Mobile Satellite Service (AMSS), a mobile application of the Mobile Satellite Service.  </w:t>
      </w:r>
      <w:r w:rsidRPr="00ED67F6">
        <w:rPr>
          <w:i/>
        </w:rPr>
        <w:t>See generally Service Rules and Procedures to Govern the Use of Aeronautical Mobile Satellite Service Earth Stations in Frequency Bands Allocated to the Fixed Satellite Service</w:t>
      </w:r>
      <w:r w:rsidRPr="00ED67F6">
        <w:t>, IB Docket No. 05-20, Notice of Proposed Rulemaking, 20 FCC Rcd 2906 (2005) (</w:t>
      </w:r>
      <w:r w:rsidRPr="00ED67F6">
        <w:rPr>
          <w:i/>
        </w:rPr>
        <w:t>Notice</w:t>
      </w:r>
      <w:r w:rsidRPr="00ED67F6">
        <w:t>).</w:t>
      </w:r>
      <w:r w:rsidRPr="00ED67F6">
        <w:rPr>
          <w:i/>
        </w:rPr>
        <w:t xml:space="preserve">  </w:t>
      </w:r>
      <w:r w:rsidRPr="00ED67F6">
        <w:t xml:space="preserve">In the </w:t>
      </w:r>
      <w:r w:rsidRPr="00ED67F6">
        <w:rPr>
          <w:i/>
        </w:rPr>
        <w:t>ESAA NPRM &amp; Order</w:t>
      </w:r>
      <w:r w:rsidRPr="00ED67F6">
        <w:t>, the Commission agreed with commenters proposing to change the name of the service to be more consistent with other mobile users of FSS and, thus, the Commissi</w:t>
      </w:r>
      <w:r>
        <w:t xml:space="preserve">on adopted the acronym “ESAA.”  </w:t>
      </w:r>
      <w:r w:rsidRPr="00ED67F6">
        <w:t xml:space="preserve">As part of that process, the Commission also closed out the AMSS docket, IB Docket No. 05-20, and created a new ESAA docket, IB Docket No. 12-376.  </w:t>
      </w:r>
      <w:r w:rsidRPr="00ED67F6">
        <w:rPr>
          <w:i/>
        </w:rPr>
        <w:t>See ESAA NPRM &amp; Order</w:t>
      </w:r>
      <w:r w:rsidRPr="00ED67F6">
        <w:t>, 27 FCC Rcd at 16516, ¶ 11, n.18.</w:t>
      </w:r>
    </w:p>
  </w:footnote>
  <w:footnote w:id="5">
    <w:p w:rsidR="00C3133B" w:rsidRPr="00ED67F6" w:rsidRDefault="00C3133B" w:rsidP="000F55B9">
      <w:pPr>
        <w:pStyle w:val="FootnoteText"/>
      </w:pPr>
      <w:r w:rsidRPr="00ED67F6">
        <w:rPr>
          <w:rStyle w:val="FootnoteReference"/>
        </w:rPr>
        <w:footnoteRef/>
      </w:r>
      <w:r w:rsidRPr="00ED67F6">
        <w:t xml:space="preserve"> </w:t>
      </w:r>
      <w:r w:rsidRPr="00ED67F6">
        <w:rPr>
          <w:i/>
        </w:rPr>
        <w:t xml:space="preserve">See </w:t>
      </w:r>
      <w:r w:rsidRPr="00ED67F6">
        <w:t>47 C.F.R. § 2.106.</w:t>
      </w:r>
    </w:p>
  </w:footnote>
  <w:footnote w:id="6">
    <w:p w:rsidR="00C3133B" w:rsidRPr="00ED67F6" w:rsidRDefault="00C3133B" w:rsidP="000F55B9">
      <w:pPr>
        <w:pStyle w:val="FootnoteText"/>
      </w:pPr>
      <w:r w:rsidRPr="00ED67F6">
        <w:rPr>
          <w:rStyle w:val="FootnoteReference"/>
        </w:rPr>
        <w:footnoteRef/>
      </w:r>
      <w:r w:rsidRPr="00ED67F6">
        <w:t xml:space="preserve"> </w:t>
      </w:r>
      <w:r w:rsidRPr="00ED67F6">
        <w:rPr>
          <w:i/>
        </w:rPr>
        <w:t>ESAA NPRM &amp; Order</w:t>
      </w:r>
      <w:r w:rsidRPr="00ED67F6">
        <w:t>, 27 FCC Rcd at 16518-19, ¶¶ 16-17.</w:t>
      </w:r>
    </w:p>
  </w:footnote>
  <w:footnote w:id="7">
    <w:p w:rsidR="00C3133B" w:rsidRPr="00ED67F6" w:rsidRDefault="00C3133B" w:rsidP="000F55B9">
      <w:pPr>
        <w:pStyle w:val="FootnoteText"/>
      </w:pPr>
      <w:r w:rsidRPr="00ED67F6">
        <w:rPr>
          <w:rStyle w:val="FootnoteReference"/>
        </w:rPr>
        <w:footnoteRef/>
      </w:r>
      <w:r w:rsidRPr="00ED67F6">
        <w:t xml:space="preserve"> </w:t>
      </w:r>
      <w:r w:rsidRPr="00ED67F6">
        <w:rPr>
          <w:i/>
        </w:rPr>
        <w:t>See ESAA NPRM &amp; Order</w:t>
      </w:r>
      <w:r>
        <w:t xml:space="preserve">, </w:t>
      </w:r>
      <w:r w:rsidRPr="00ED67F6">
        <w:t xml:space="preserve">27 FCC Rcd </w:t>
      </w:r>
      <w:r>
        <w:t xml:space="preserve">at </w:t>
      </w:r>
      <w:r w:rsidRPr="00ED67F6">
        <w:t xml:space="preserve">16521-22, </w:t>
      </w:r>
      <w:r w:rsidRPr="00ED67F6">
        <w:rPr>
          <w:rFonts w:ascii="Calibri" w:hAnsi="Calibri" w:cs="Calibri"/>
        </w:rPr>
        <w:t>¶¶</w:t>
      </w:r>
      <w:r w:rsidRPr="00ED67F6">
        <w:t xml:space="preserve"> 22-24 (discussing the various public interest benefits cited by the commenters at that stage of the proceeding, coupled with the fact that, over years of operation, these </w:t>
      </w:r>
      <w:r w:rsidRPr="00ED67F6">
        <w:rPr>
          <w:i/>
        </w:rPr>
        <w:t>ad hoc</w:t>
      </w:r>
      <w:r w:rsidRPr="00ED67F6">
        <w:t xml:space="preserve"> ESAA authorizations had generated no reported instances of interference</w:t>
      </w:r>
      <w:r>
        <w:t>)</w:t>
      </w:r>
      <w:r w:rsidRPr="00ED67F6">
        <w:t>.</w:t>
      </w:r>
    </w:p>
  </w:footnote>
  <w:footnote w:id="8">
    <w:p w:rsidR="00C3133B" w:rsidRPr="00ED67F6" w:rsidRDefault="00C3133B" w:rsidP="000F55B9">
      <w:pPr>
        <w:pStyle w:val="FootnoteText"/>
      </w:pPr>
      <w:r w:rsidRPr="00ED67F6">
        <w:rPr>
          <w:rStyle w:val="FootnoteReference"/>
        </w:rPr>
        <w:footnoteRef/>
      </w:r>
      <w:r w:rsidRPr="00ED67F6">
        <w:t xml:space="preserve"> </w:t>
      </w:r>
      <w:r>
        <w:rPr>
          <w:i/>
        </w:rPr>
        <w:t>ESAA NPRM &amp; Order</w:t>
      </w:r>
      <w:r>
        <w:t xml:space="preserve">, 27 FCC Rcd </w:t>
      </w:r>
      <w:r w:rsidRPr="00ED67F6">
        <w:t xml:space="preserve">at 16522, </w:t>
      </w:r>
      <w:r w:rsidRPr="00ED67F6">
        <w:rPr>
          <w:rFonts w:ascii="Calibri" w:hAnsi="Calibri" w:cs="Calibri"/>
        </w:rPr>
        <w:t>¶</w:t>
      </w:r>
      <w:r w:rsidRPr="00ED67F6">
        <w:t xml:space="preserve"> 24; </w:t>
      </w:r>
      <w:r w:rsidRPr="00ED67F6">
        <w:rPr>
          <w:i/>
        </w:rPr>
        <w:t>see also Notice</w:t>
      </w:r>
      <w:r w:rsidRPr="00ED67F6">
        <w:t>, 20 FCC Rcd at 2918, ¶ 20.</w:t>
      </w:r>
    </w:p>
  </w:footnote>
  <w:footnote w:id="9">
    <w:p w:rsidR="00C3133B" w:rsidRPr="00ED67F6" w:rsidRDefault="00C3133B" w:rsidP="000F55B9">
      <w:pPr>
        <w:pStyle w:val="FootnoteText"/>
      </w:pPr>
      <w:r w:rsidRPr="00ED67F6">
        <w:rPr>
          <w:rStyle w:val="FootnoteReference"/>
        </w:rPr>
        <w:footnoteRef/>
      </w:r>
      <w:r w:rsidRPr="00ED67F6">
        <w:t xml:space="preserve"> </w:t>
      </w:r>
      <w:r>
        <w:rPr>
          <w:i/>
        </w:rPr>
        <w:t>ESAA NPRM &amp; Order</w:t>
      </w:r>
      <w:r>
        <w:t xml:space="preserve">, 27 FCC Rcd </w:t>
      </w:r>
      <w:r w:rsidRPr="00ED67F6">
        <w:t>at 16522,</w:t>
      </w:r>
      <w:r w:rsidRPr="00ED67F6">
        <w:rPr>
          <w:rFonts w:ascii="Calibri" w:hAnsi="Calibri" w:cs="Calibri"/>
        </w:rPr>
        <w:t xml:space="preserve"> ¶</w:t>
      </w:r>
      <w:r w:rsidRPr="00ED67F6">
        <w:t xml:space="preserve"> 24. </w:t>
      </w:r>
    </w:p>
  </w:footnote>
  <w:footnote w:id="10">
    <w:p w:rsidR="00C3133B" w:rsidRPr="00ED67F6" w:rsidRDefault="00C3133B" w:rsidP="000F55B9">
      <w:pPr>
        <w:pStyle w:val="FootnoteText"/>
      </w:pPr>
      <w:r w:rsidRPr="00ED67F6">
        <w:rPr>
          <w:rStyle w:val="FootnoteReference"/>
        </w:rPr>
        <w:footnoteRef/>
      </w:r>
      <w:r w:rsidRPr="00ED67F6">
        <w:t xml:space="preserve"> </w:t>
      </w:r>
      <w:r w:rsidRPr="00ED67F6">
        <w:rPr>
          <w:i/>
        </w:rPr>
        <w:t xml:space="preserve">Id. </w:t>
      </w:r>
      <w:r>
        <w:t>at 16564-</w:t>
      </w:r>
      <w:r w:rsidRPr="00ED67F6">
        <w:t>65, ¶ 142.</w:t>
      </w:r>
    </w:p>
  </w:footnote>
  <w:footnote w:id="11">
    <w:p w:rsidR="00C3133B" w:rsidRPr="00ED67F6" w:rsidRDefault="00C3133B" w:rsidP="000F55B9">
      <w:pPr>
        <w:pStyle w:val="FootnoteText"/>
      </w:pPr>
      <w:r w:rsidRPr="00ED67F6">
        <w:rPr>
          <w:rStyle w:val="FootnoteReference"/>
        </w:rPr>
        <w:footnoteRef/>
      </w:r>
      <w:r w:rsidRPr="00ED67F6">
        <w:t xml:space="preserve"> </w:t>
      </w:r>
      <w:r>
        <w:t xml:space="preserve">Parties filing comments in response to the </w:t>
      </w:r>
      <w:r w:rsidRPr="00791511">
        <w:rPr>
          <w:i/>
        </w:rPr>
        <w:t>NPRM</w:t>
      </w:r>
      <w:r>
        <w:t xml:space="preserve"> are listed in Appendix C.</w:t>
      </w:r>
    </w:p>
  </w:footnote>
  <w:footnote w:id="12">
    <w:p w:rsidR="00C3133B" w:rsidRPr="00ED67F6" w:rsidRDefault="00C3133B" w:rsidP="000F55B9">
      <w:pPr>
        <w:pStyle w:val="FootnoteText"/>
      </w:pPr>
      <w:r w:rsidRPr="00ED67F6">
        <w:rPr>
          <w:rStyle w:val="FootnoteReference"/>
        </w:rPr>
        <w:footnoteRef/>
      </w:r>
      <w:r w:rsidRPr="00ED67F6">
        <w:t xml:space="preserve"> </w:t>
      </w:r>
      <w:r w:rsidRPr="00ED67F6">
        <w:rPr>
          <w:i/>
        </w:rPr>
        <w:t>ESAA NPRM &amp; Order</w:t>
      </w:r>
      <w:r>
        <w:t>, 27 FCC Rcd at 16528, ¶ 41.</w:t>
      </w:r>
    </w:p>
  </w:footnote>
  <w:footnote w:id="13">
    <w:p w:rsidR="00C3133B" w:rsidRPr="00ED67F6" w:rsidRDefault="00C3133B" w:rsidP="000F55B9">
      <w:pPr>
        <w:pStyle w:val="FootnoteText"/>
      </w:pPr>
      <w:r w:rsidRPr="00ED67F6">
        <w:rPr>
          <w:rStyle w:val="FootnoteReference"/>
        </w:rPr>
        <w:footnoteRef/>
      </w:r>
      <w:r w:rsidRPr="00ED67F6">
        <w:t xml:space="preserve"> </w:t>
      </w:r>
      <w:r w:rsidRPr="00ED67F6">
        <w:rPr>
          <w:i/>
        </w:rPr>
        <w:t>Id.</w:t>
      </w:r>
      <w:r w:rsidRPr="00ED67F6">
        <w:t xml:space="preserve"> at 16530-35, ¶¶ 44-56.  The phrase “off-axis EIRP-density” is used synonymously with “off-axis power-density.”</w:t>
      </w:r>
    </w:p>
  </w:footnote>
  <w:footnote w:id="14">
    <w:p w:rsidR="00C3133B" w:rsidRPr="00ED67F6" w:rsidRDefault="00C3133B" w:rsidP="000F55B9">
      <w:pPr>
        <w:pStyle w:val="FootnoteText"/>
      </w:pPr>
      <w:r w:rsidRPr="00ED67F6">
        <w:rPr>
          <w:rStyle w:val="FootnoteReference"/>
        </w:rPr>
        <w:footnoteRef/>
      </w:r>
      <w:r w:rsidRPr="00ED67F6">
        <w:t xml:space="preserve"> </w:t>
      </w:r>
      <w:r w:rsidRPr="00ED67F6">
        <w:rPr>
          <w:i/>
        </w:rPr>
        <w:t>Id.</w:t>
      </w:r>
      <w:r>
        <w:t xml:space="preserve"> at 16537-</w:t>
      </w:r>
      <w:r w:rsidRPr="00ED67F6">
        <w:t>40, ¶¶ 62-71.</w:t>
      </w:r>
    </w:p>
  </w:footnote>
  <w:footnote w:id="15">
    <w:p w:rsidR="00C3133B" w:rsidRPr="00ED67F6" w:rsidRDefault="00C3133B" w:rsidP="000F55B9">
      <w:pPr>
        <w:widowControl/>
        <w:spacing w:after="120"/>
        <w:rPr>
          <w:sz w:val="20"/>
        </w:rPr>
      </w:pPr>
      <w:r w:rsidRPr="00ED67F6">
        <w:rPr>
          <w:rStyle w:val="FootnoteReference"/>
        </w:rPr>
        <w:footnoteRef/>
      </w:r>
      <w:r w:rsidRPr="00ED67F6">
        <w:rPr>
          <w:sz w:val="20"/>
        </w:rPr>
        <w:t xml:space="preserve"> In 2013, the Commission removed the term “ALSAT” (</w:t>
      </w:r>
      <w:r w:rsidRPr="00ED67F6">
        <w:rPr>
          <w:i/>
          <w:sz w:val="20"/>
        </w:rPr>
        <w:t>i.e</w:t>
      </w:r>
      <w:r w:rsidRPr="00ED67F6">
        <w:rPr>
          <w:sz w:val="20"/>
        </w:rPr>
        <w:t xml:space="preserve">., all U.S.-licensed space stations providing FSS in the conventional C- and Ku-bands) from its satellite service rules and in the application procedures in favor of the broader term “Permitted List.”  As a result, a licensed earth station with Permitted List as the authorized point of communications may communicate with, consistent with the technical parameters of its license, all U.S.-licensed GSO FSS space stations authorized to operate in the conventional C-, Ku-, and Ka-bands and all non-U.S.-licensed space stations operating in these bands that are included on the Permitted List.  </w:t>
      </w:r>
      <w:r w:rsidRPr="00ED67F6">
        <w:rPr>
          <w:i/>
          <w:sz w:val="20"/>
        </w:rPr>
        <w:t>See Comprehensive Review of Licensing and Operating Rules for Satellite Services</w:t>
      </w:r>
      <w:r w:rsidRPr="00ED67F6">
        <w:rPr>
          <w:sz w:val="20"/>
        </w:rPr>
        <w:t>, IB Docket No. 12-267, Report and Order, FCC 13-111, 28 FCC Rcd 12403</w:t>
      </w:r>
      <w:r w:rsidRPr="00ED67F6">
        <w:rPr>
          <w:b/>
          <w:sz w:val="20"/>
        </w:rPr>
        <w:t xml:space="preserve">, </w:t>
      </w:r>
      <w:r w:rsidRPr="00ED67F6">
        <w:rPr>
          <w:sz w:val="20"/>
        </w:rPr>
        <w:t>12410 ¶ 13 (2013) (</w:t>
      </w:r>
      <w:r w:rsidRPr="00ED67F6">
        <w:rPr>
          <w:i/>
          <w:sz w:val="20"/>
        </w:rPr>
        <w:t>Part 25 Review R&amp;O</w:t>
      </w:r>
      <w:r w:rsidRPr="00ED67F6">
        <w:rPr>
          <w:sz w:val="20"/>
        </w:rPr>
        <w:t xml:space="preserve">).  </w:t>
      </w:r>
      <w:r w:rsidRPr="00ED67F6">
        <w:rPr>
          <w:i/>
          <w:sz w:val="20"/>
        </w:rPr>
        <w:t>See also Amendment of the Commission’s Regulatory Policies to Allow Non-U.S. Licensed Space Stations to Provide Domestic and International Satellite Service in the United States</w:t>
      </w:r>
      <w:r w:rsidRPr="00ED67F6">
        <w:rPr>
          <w:sz w:val="20"/>
        </w:rPr>
        <w:t>, IB Docket No. 96-111, First Order on Reconsideration, FCC 99-325, 15 FCC Rcd 7207, 7210-11, ¶ 6, 7214-16, ¶¶ 16-20 (1999).  The current Permitted List is available at http://www.fcc.gov/ib/sd/se/permitted.html.</w:t>
      </w:r>
    </w:p>
  </w:footnote>
  <w:footnote w:id="16">
    <w:p w:rsidR="00C3133B" w:rsidRPr="00ED67F6" w:rsidRDefault="00C3133B" w:rsidP="000F55B9">
      <w:pPr>
        <w:pStyle w:val="FootnoteText"/>
      </w:pPr>
      <w:r w:rsidRPr="00ED67F6">
        <w:rPr>
          <w:rStyle w:val="FootnoteReference"/>
        </w:rPr>
        <w:footnoteRef/>
      </w:r>
      <w:r w:rsidRPr="00ED67F6">
        <w:t xml:space="preserve"> </w:t>
      </w:r>
      <w:r w:rsidRPr="00ED67F6">
        <w:rPr>
          <w:i/>
        </w:rPr>
        <w:t>ESAA NPRM &amp; Order</w:t>
      </w:r>
      <w:r w:rsidRPr="00ED67F6">
        <w:t>, 27 FCC Rcd at 16549-16555, ¶¶ 101-118.</w:t>
      </w:r>
    </w:p>
  </w:footnote>
  <w:footnote w:id="17">
    <w:p w:rsidR="00C3133B" w:rsidRPr="00ED67F6" w:rsidRDefault="00C3133B" w:rsidP="000F55B9">
      <w:pPr>
        <w:pStyle w:val="FootnoteText"/>
      </w:pPr>
      <w:r w:rsidRPr="00ED67F6">
        <w:rPr>
          <w:rStyle w:val="FootnoteReference"/>
        </w:rPr>
        <w:footnoteRef/>
      </w:r>
      <w:r w:rsidRPr="00ED67F6">
        <w:t xml:space="preserve"> </w:t>
      </w:r>
      <w:r w:rsidRPr="00ED67F6">
        <w:rPr>
          <w:i/>
        </w:rPr>
        <w:t>Id.</w:t>
      </w:r>
      <w:r w:rsidRPr="00ED67F6">
        <w:t xml:space="preserve"> at 16555-61, ¶¶ 119-131.</w:t>
      </w:r>
    </w:p>
  </w:footnote>
  <w:footnote w:id="18">
    <w:p w:rsidR="00C3133B" w:rsidRPr="00DD0A1E" w:rsidRDefault="00C3133B" w:rsidP="000F55B9">
      <w:pPr>
        <w:pStyle w:val="FootnoteText"/>
        <w:rPr>
          <w:b/>
        </w:rPr>
      </w:pPr>
      <w:r w:rsidRPr="00ED67F6">
        <w:rPr>
          <w:rStyle w:val="FootnoteReference"/>
        </w:rPr>
        <w:footnoteRef/>
      </w:r>
      <w:r w:rsidRPr="00ED67F6">
        <w:t xml:space="preserve"> </w:t>
      </w:r>
      <w:r w:rsidRPr="00ED67F6">
        <w:rPr>
          <w:i/>
        </w:rPr>
        <w:t xml:space="preserve">See </w:t>
      </w:r>
      <w:r w:rsidRPr="00ED67F6">
        <w:t xml:space="preserve">Petition of The Boeing Company for Reconsideration and Clarification (filed Jan. 28, 2013) (Boeing Petition).  </w:t>
      </w:r>
      <w:r>
        <w:rPr>
          <w:i/>
        </w:rPr>
        <w:t>See also</w:t>
      </w:r>
      <w:r>
        <w:t xml:space="preserve"> letter from Bruce A. Olcott, Counsel for The Boeing Company, to Marlene H. Dortch, Secretary, FCC (dated March 18, 2014) (Boeing Ex Parte).</w:t>
      </w:r>
    </w:p>
  </w:footnote>
  <w:footnote w:id="19">
    <w:p w:rsidR="00C3133B" w:rsidRPr="00ED67F6" w:rsidRDefault="00C3133B" w:rsidP="000F55B9">
      <w:pPr>
        <w:pStyle w:val="FootnoteText"/>
      </w:pPr>
      <w:r w:rsidRPr="00ED67F6">
        <w:rPr>
          <w:rStyle w:val="FootnoteReference"/>
        </w:rPr>
        <w:footnoteRef/>
      </w:r>
      <w:r w:rsidRPr="00ED67F6">
        <w:t xml:space="preserve"> Comments of ViaSat, Inc. (filed June 24, 2013) (ViaSat Comments).</w:t>
      </w:r>
    </w:p>
  </w:footnote>
  <w:footnote w:id="20">
    <w:p w:rsidR="00C3133B" w:rsidRPr="008C08C0" w:rsidRDefault="00C3133B" w:rsidP="000F55B9">
      <w:pPr>
        <w:pStyle w:val="FootnoteText"/>
      </w:pPr>
      <w:r w:rsidRPr="00ED67F6">
        <w:rPr>
          <w:rStyle w:val="FootnoteReference"/>
        </w:rPr>
        <w:footnoteRef/>
      </w:r>
      <w:r w:rsidRPr="00ED67F6">
        <w:t xml:space="preserve"> </w:t>
      </w:r>
      <w:r w:rsidRPr="00ED67F6">
        <w:rPr>
          <w:i/>
        </w:rPr>
        <w:t>ESAA NPRM &amp; Order</w:t>
      </w:r>
      <w:r w:rsidRPr="00ED67F6">
        <w:t>, 27 FCC Rcd at 16565, ¶ 142.</w:t>
      </w:r>
      <w:r>
        <w:t xml:space="preserve"> </w:t>
      </w:r>
    </w:p>
  </w:footnote>
  <w:footnote w:id="21">
    <w:p w:rsidR="00C3133B" w:rsidRPr="00ED67F6" w:rsidRDefault="00C3133B" w:rsidP="000F55B9">
      <w:pPr>
        <w:pStyle w:val="FootnoteText"/>
      </w:pPr>
      <w:r w:rsidRPr="00ED67F6">
        <w:rPr>
          <w:rStyle w:val="FootnoteReference"/>
        </w:rPr>
        <w:footnoteRef/>
      </w:r>
      <w:r w:rsidRPr="00ED67F6">
        <w:t xml:space="preserve"> </w:t>
      </w:r>
      <w:r w:rsidRPr="00ED67F6">
        <w:rPr>
          <w:i/>
        </w:rPr>
        <w:t xml:space="preserve">Id. </w:t>
      </w:r>
      <w:r w:rsidRPr="00ED67F6">
        <w:t xml:space="preserve">at 16565, ¶ 142.  </w:t>
      </w:r>
    </w:p>
  </w:footnote>
  <w:footnote w:id="22">
    <w:p w:rsidR="00C3133B" w:rsidRPr="00ED67F6" w:rsidRDefault="00C3133B" w:rsidP="000F55B9">
      <w:pPr>
        <w:pStyle w:val="FootnoteText"/>
      </w:pPr>
      <w:r w:rsidRPr="00ED67F6">
        <w:rPr>
          <w:rStyle w:val="FootnoteReference"/>
        </w:rPr>
        <w:footnoteRef/>
      </w:r>
      <w:r w:rsidRPr="00ED67F6">
        <w:t xml:space="preserve"> </w:t>
      </w:r>
      <w:r w:rsidRPr="00ED67F6">
        <w:rPr>
          <w:i/>
        </w:rPr>
        <w:t>See</w:t>
      </w:r>
      <w:r w:rsidRPr="00ED67F6">
        <w:t xml:space="preserve"> Comments of The Boeing Company (May 22, 2013) (Boeing Comments); Comments of the Global VSAT Forum (May 22, 2013) (GVF Comments); Comments of Gogo LLC (dated May 22, 2013) (Gogo Comments); Comments of Panasonic Avionics Corporation (May 22, 2013) (Panasonic Comments); Comments of Row 44, Inc. (May 22, 2013) (Row 44 Comments); Comments of the Satellite Industry Association (dated May 22, 2013) (SIA Comments); Comments of the Telecommunications Industry Association (May 22, 2013) (TIA Comments); Comments of ViaSat, Inc. (May 22, 2013) (ViaSat Comments).</w:t>
      </w:r>
    </w:p>
  </w:footnote>
  <w:footnote w:id="23">
    <w:p w:rsidR="00C3133B" w:rsidRPr="00ED67F6" w:rsidRDefault="00C3133B" w:rsidP="000F55B9">
      <w:pPr>
        <w:pStyle w:val="FootnoteText"/>
      </w:pPr>
      <w:r w:rsidRPr="00ED67F6">
        <w:rPr>
          <w:rStyle w:val="FootnoteReference"/>
        </w:rPr>
        <w:footnoteRef/>
      </w:r>
      <w:r w:rsidRPr="00ED67F6">
        <w:t xml:space="preserve"> </w:t>
      </w:r>
      <w:r w:rsidRPr="00ED67F6">
        <w:rPr>
          <w:i/>
        </w:rPr>
        <w:t>See Expanding Access to Broadband and Encouraging Innovation through Establishment of an Air-Ground Mobile Broadband Secondary Service for Passengers Aboard Aircraft in the 14.0-14.5 GHz Band</w:t>
      </w:r>
      <w:r w:rsidRPr="00ED67F6">
        <w:t>, GN Docket No. 13-114, Notice of Proposed Rulemaking, FCC 13-66, 28 FCC Rcd 6765 (2013) (</w:t>
      </w:r>
      <w:r w:rsidRPr="00ED67F6">
        <w:rPr>
          <w:i/>
        </w:rPr>
        <w:t>Air-Ground NPRM</w:t>
      </w:r>
      <w:r w:rsidRPr="00ED67F6">
        <w:t>).</w:t>
      </w:r>
    </w:p>
  </w:footnote>
  <w:footnote w:id="24">
    <w:p w:rsidR="00C3133B" w:rsidRPr="00ED67F6" w:rsidRDefault="00C3133B" w:rsidP="000F55B9">
      <w:pPr>
        <w:pStyle w:val="FootnoteText"/>
      </w:pPr>
      <w:r w:rsidRPr="00ED67F6">
        <w:rPr>
          <w:rStyle w:val="FootnoteReference"/>
        </w:rPr>
        <w:footnoteRef/>
      </w:r>
      <w:r w:rsidRPr="00ED67F6">
        <w:t xml:space="preserve"> Boeing Comments at 2-5; Panasonic Comments at 3-4 (to ensure a successful spectrum sharing regime with the new secondary services); Row 44 Comments at 5 (to avoid confusion regarding the potential impact of new services on current services in the Ku-band).  Boeing adds that establishing a primary allocation for ESAA would assist the Commission in determining whether new secondary status services will be able to tolerate interference from services with primary status.  Boeing Comments at 6.</w:t>
      </w:r>
    </w:p>
  </w:footnote>
  <w:footnote w:id="25">
    <w:p w:rsidR="00C3133B" w:rsidRPr="00ED67F6" w:rsidRDefault="00C3133B" w:rsidP="000F55B9">
      <w:pPr>
        <w:pStyle w:val="FootnoteText"/>
      </w:pPr>
      <w:r w:rsidRPr="00ED67F6">
        <w:rPr>
          <w:rStyle w:val="FootnoteReference"/>
        </w:rPr>
        <w:footnoteRef/>
      </w:r>
      <w:r>
        <w:t xml:space="preserve"> </w:t>
      </w:r>
      <w:r>
        <w:rPr>
          <w:i/>
        </w:rPr>
        <w:t>Id.</w:t>
      </w:r>
      <w:r w:rsidRPr="00ED67F6">
        <w:t xml:space="preserve"> at 6-10.</w:t>
      </w:r>
    </w:p>
  </w:footnote>
  <w:footnote w:id="26">
    <w:p w:rsidR="00C3133B" w:rsidRPr="00ED67F6" w:rsidRDefault="00C3133B" w:rsidP="000F55B9">
      <w:pPr>
        <w:pStyle w:val="FootnoteText"/>
      </w:pPr>
      <w:r w:rsidRPr="00ED67F6">
        <w:rPr>
          <w:rStyle w:val="FootnoteReference"/>
        </w:rPr>
        <w:footnoteRef/>
      </w:r>
      <w:r w:rsidRPr="00ED67F6">
        <w:t xml:space="preserve"> According to Boeing, passenger information and entertainment data typically goes through short range wireless local area network connections and critical data is transmitted over low-bandwidth systems such as Aircraft Communications Addressing and Reporting System and Very High Fr</w:t>
      </w:r>
      <w:r>
        <w:t xml:space="preserve">equency Digital Link (VDL2).  </w:t>
      </w:r>
      <w:r>
        <w:rPr>
          <w:i/>
        </w:rPr>
        <w:t>Id.</w:t>
      </w:r>
      <w:r>
        <w:t xml:space="preserve"> at 6 n.16.</w:t>
      </w:r>
    </w:p>
  </w:footnote>
  <w:footnote w:id="27">
    <w:p w:rsidR="00C3133B" w:rsidRPr="00ED67F6" w:rsidRDefault="00C3133B" w:rsidP="000F55B9">
      <w:pPr>
        <w:pStyle w:val="FootnoteText"/>
      </w:pPr>
      <w:r w:rsidRPr="00ED67F6">
        <w:rPr>
          <w:rStyle w:val="FootnoteReference"/>
        </w:rPr>
        <w:footnoteRef/>
      </w:r>
      <w:r>
        <w:t xml:space="preserve"> </w:t>
      </w:r>
      <w:r>
        <w:rPr>
          <w:i/>
        </w:rPr>
        <w:t>Id.</w:t>
      </w:r>
      <w:r w:rsidRPr="00ED67F6">
        <w:t xml:space="preserve"> at 6-7.  Boeing also argues that reliable ESAA service would promote the use of telemedicine to assist ailing passengers on the aircraft, maximize the use of Electronic Flight Bags, which provide pilots access to real-time data for weather and air traffic in their area, and assist aircraft mechanics in obtaining the data needed to make repairs in advance of the aircraft arriving at the gate.  </w:t>
      </w:r>
      <w:r w:rsidRPr="00ED67F6">
        <w:rPr>
          <w:i/>
        </w:rPr>
        <w:t>Id.</w:t>
      </w:r>
      <w:r w:rsidRPr="00ED67F6">
        <w:t xml:space="preserve"> at 7-9.  </w:t>
      </w:r>
    </w:p>
  </w:footnote>
  <w:footnote w:id="28">
    <w:p w:rsidR="00C3133B" w:rsidRPr="00ED67F6" w:rsidRDefault="00C3133B" w:rsidP="000F55B9">
      <w:pPr>
        <w:pStyle w:val="FootnoteText"/>
      </w:pPr>
      <w:r w:rsidRPr="00ED67F6">
        <w:rPr>
          <w:rStyle w:val="FootnoteReference"/>
        </w:rPr>
        <w:footnoteRef/>
      </w:r>
      <w:r w:rsidRPr="00ED67F6">
        <w:t xml:space="preserve"> GVF Comments at 2, 6.</w:t>
      </w:r>
    </w:p>
  </w:footnote>
  <w:footnote w:id="29">
    <w:p w:rsidR="00C3133B" w:rsidRPr="00ED67F6" w:rsidRDefault="00C3133B" w:rsidP="000F55B9">
      <w:pPr>
        <w:pStyle w:val="FootnoteText"/>
      </w:pPr>
      <w:r w:rsidRPr="00ED67F6">
        <w:rPr>
          <w:rStyle w:val="FootnoteReference"/>
        </w:rPr>
        <w:footnoteRef/>
      </w:r>
      <w:r w:rsidRPr="00ED67F6">
        <w:t xml:space="preserve"> </w:t>
      </w:r>
      <w:r w:rsidRPr="00ED67F6">
        <w:rPr>
          <w:i/>
        </w:rPr>
        <w:t>See</w:t>
      </w:r>
      <w:r w:rsidRPr="00ED67F6">
        <w:t xml:space="preserve"> </w:t>
      </w:r>
      <w:r w:rsidRPr="00ED67F6">
        <w:rPr>
          <w:i/>
        </w:rPr>
        <w:t>id.</w:t>
      </w:r>
      <w:r w:rsidRPr="00ED67F6">
        <w:t xml:space="preserve"> at 2-4; GVF Comments at 5; Gogo Comments at 4; Panasonic Comments at 2; Row 44 Comments at 4-5; TIA Comments at 3, 5 (also arguing that the NPRM’s proposal promotes technology neutrality); ViaSat Comments at 3-4 (arguing that the rationale used for granting primary status in the 11.7-12.2 GHz band – to promote the deployment of new services without causing harmful interference to other services in the band – applies to granting primary status in the 14.0-14.5 GHz band).</w:t>
      </w:r>
    </w:p>
  </w:footnote>
  <w:footnote w:id="30">
    <w:p w:rsidR="00C3133B" w:rsidRPr="00ED67F6" w:rsidRDefault="00C3133B" w:rsidP="000F55B9">
      <w:pPr>
        <w:pStyle w:val="FootnoteText"/>
      </w:pPr>
      <w:r w:rsidRPr="00ED67F6">
        <w:rPr>
          <w:rStyle w:val="FootnoteReference"/>
        </w:rPr>
        <w:footnoteRef/>
      </w:r>
      <w:r w:rsidRPr="00ED67F6">
        <w:t xml:space="preserve"> </w:t>
      </w:r>
      <w:r w:rsidRPr="00ED67F6">
        <w:rPr>
          <w:i/>
        </w:rPr>
        <w:t>See, e.g.</w:t>
      </w:r>
      <w:r w:rsidRPr="00ED67F6">
        <w:t>,</w:t>
      </w:r>
      <w:r w:rsidRPr="00ED67F6">
        <w:rPr>
          <w:i/>
        </w:rPr>
        <w:t xml:space="preserve"> </w:t>
      </w:r>
      <w:r w:rsidRPr="00ED67F6">
        <w:t xml:space="preserve">Boeing Comments at 3; GVF Comments at 2; Panasonic Comments at 2; Row 44 Comments at 3; SIA Comments at 2; ViaSat Comments at 2-3 (arguing that the Commission cited the history of non-interference in the 11.7-12.2 GHz band and, therefore, should do the same here).  </w:t>
      </w:r>
      <w:r w:rsidRPr="00ED67F6">
        <w:rPr>
          <w:i/>
        </w:rPr>
        <w:t>See also</w:t>
      </w:r>
      <w:r w:rsidRPr="00ED67F6">
        <w:t xml:space="preserve"> </w:t>
      </w:r>
      <w:r w:rsidRPr="00ED67F6">
        <w:rPr>
          <w:i/>
        </w:rPr>
        <w:t>ESAA NPRM &amp; Order</w:t>
      </w:r>
      <w:r w:rsidRPr="00ED67F6">
        <w:t>, 27 FCC Rcd at 16522, ¶ 24.</w:t>
      </w:r>
    </w:p>
  </w:footnote>
  <w:footnote w:id="31">
    <w:p w:rsidR="00C3133B" w:rsidRPr="00ED67F6" w:rsidRDefault="00C3133B" w:rsidP="000F55B9">
      <w:pPr>
        <w:pStyle w:val="FootnoteText"/>
      </w:pPr>
      <w:r w:rsidRPr="00ED67F6">
        <w:rPr>
          <w:rStyle w:val="FootnoteReference"/>
        </w:rPr>
        <w:footnoteRef/>
      </w:r>
      <w:r w:rsidRPr="00ED67F6">
        <w:t xml:space="preserve"> Gogo Comments at 3; Row 44 Comments at 4; SIA Comments at 3-4.</w:t>
      </w:r>
    </w:p>
  </w:footnote>
  <w:footnote w:id="32">
    <w:p w:rsidR="00C3133B" w:rsidRPr="00ED67F6" w:rsidRDefault="00C3133B" w:rsidP="000F55B9">
      <w:pPr>
        <w:pStyle w:val="FootnoteText"/>
      </w:pPr>
      <w:r w:rsidRPr="00ED67F6">
        <w:rPr>
          <w:rStyle w:val="FootnoteReference"/>
        </w:rPr>
        <w:footnoteRef/>
      </w:r>
      <w:r w:rsidRPr="00ED67F6">
        <w:t xml:space="preserve"> 47 C.F.R. § 25.227(b)(2)(i).   </w:t>
      </w:r>
    </w:p>
  </w:footnote>
  <w:footnote w:id="33">
    <w:p w:rsidR="00C3133B" w:rsidRPr="00ED67F6" w:rsidRDefault="00C3133B" w:rsidP="000F55B9">
      <w:pPr>
        <w:pStyle w:val="FootnoteText"/>
      </w:pPr>
      <w:r w:rsidRPr="00ED67F6">
        <w:rPr>
          <w:rStyle w:val="FootnoteReference"/>
        </w:rPr>
        <w:footnoteRef/>
      </w:r>
      <w:r>
        <w:t xml:space="preserve"> 47 C.F.R. §§ 25.222(b)(2)(i), 25.226(b</w:t>
      </w:r>
      <w:r w:rsidRPr="00ED67F6">
        <w:t>)</w:t>
      </w:r>
      <w:r>
        <w:t>(2)(i)</w:t>
      </w:r>
      <w:r w:rsidRPr="00ED67F6">
        <w:t xml:space="preserve">.    </w:t>
      </w:r>
    </w:p>
  </w:footnote>
  <w:footnote w:id="34">
    <w:p w:rsidR="00C3133B" w:rsidRPr="00ED67F6" w:rsidRDefault="00C3133B" w:rsidP="000F55B9">
      <w:pPr>
        <w:pStyle w:val="FootnoteText"/>
      </w:pPr>
      <w:r w:rsidRPr="00ED67F6">
        <w:rPr>
          <w:rStyle w:val="FootnoteReference"/>
        </w:rPr>
        <w:footnoteRef/>
      </w:r>
      <w:r w:rsidRPr="00ED67F6">
        <w:t xml:space="preserve"> 47 C.F.R. § 25.227(b)(2)(i).   </w:t>
      </w:r>
    </w:p>
  </w:footnote>
  <w:footnote w:id="35">
    <w:p w:rsidR="00C3133B" w:rsidRPr="00ED67F6" w:rsidRDefault="00C3133B" w:rsidP="000F55B9">
      <w:pPr>
        <w:pStyle w:val="FootnoteText"/>
      </w:pPr>
      <w:r w:rsidRPr="00ED67F6">
        <w:rPr>
          <w:rStyle w:val="FootnoteReference"/>
        </w:rPr>
        <w:footnoteRef/>
      </w:r>
      <w:r w:rsidRPr="00ED67F6">
        <w:t xml:space="preserve"> </w:t>
      </w:r>
      <w:r>
        <w:t>This correction also is consistent with the similar rule applied to dynamic power ESAA systems</w:t>
      </w:r>
      <w:r w:rsidRPr="00CC1344">
        <w:t xml:space="preserve"> </w:t>
      </w:r>
      <w:r w:rsidRPr="008B2F67">
        <w:t>that</w:t>
      </w:r>
      <w:r>
        <w:t>, in the aggregate,</w:t>
      </w:r>
      <w:r w:rsidRPr="008B2F67">
        <w:t xml:space="preserve"> </w:t>
      </w:r>
      <w:r>
        <w:t>e</w:t>
      </w:r>
      <w:r w:rsidRPr="008B2F67">
        <w:t xml:space="preserve">xceed the </w:t>
      </w:r>
      <w:r>
        <w:t>o</w:t>
      </w:r>
      <w:r w:rsidRPr="008B2F67">
        <w:t>ff-</w:t>
      </w:r>
      <w:r>
        <w:t>a</w:t>
      </w:r>
      <w:r w:rsidRPr="008B2F67">
        <w:t>xis EIRP-</w:t>
      </w:r>
      <w:r>
        <w:t>d</w:t>
      </w:r>
      <w:r w:rsidRPr="008B2F67">
        <w:t xml:space="preserve">ensity </w:t>
      </w:r>
      <w:r>
        <w:t>l</w:t>
      </w:r>
      <w:r w:rsidRPr="008B2F67">
        <w:t>imits</w:t>
      </w:r>
      <w:r>
        <w:t xml:space="preserve">. </w:t>
      </w:r>
      <w:r w:rsidRPr="0016249C">
        <w:rPr>
          <w:i/>
        </w:rPr>
        <w:t>See</w:t>
      </w:r>
      <w:r>
        <w:t xml:space="preserve"> </w:t>
      </w:r>
      <w:r w:rsidRPr="00CC1344">
        <w:rPr>
          <w:i/>
        </w:rPr>
        <w:t>infra</w:t>
      </w:r>
      <w:r>
        <w:t xml:space="preserve"> Section IV.B.1 (discussing 47 C.F.R. § 25.227(b)(3)(ii)(B)). Moreover, requiring a certification that ESAA operations may “receive” harmful interference would not make sense in this context, because the certification is designed to acknowledge the risk of harmful interference faced by adjacent satellite operators, and that the risk would be addressed by the target satellite operator completing coordination with those adjacent satellite operators.</w:t>
      </w:r>
    </w:p>
  </w:footnote>
  <w:footnote w:id="36">
    <w:p w:rsidR="00C3133B" w:rsidRPr="00ED67F6" w:rsidRDefault="00C3133B" w:rsidP="000F55B9">
      <w:pPr>
        <w:pStyle w:val="FootnoteText"/>
      </w:pPr>
      <w:r w:rsidRPr="00ED67F6">
        <w:rPr>
          <w:rStyle w:val="FootnoteReference"/>
        </w:rPr>
        <w:footnoteRef/>
      </w:r>
      <w:r w:rsidRPr="00ED67F6">
        <w:t xml:space="preserve">  The “unnecessary” exception to the notice requirement is</w:t>
      </w:r>
      <w:r w:rsidRPr="00ED67F6">
        <w:rPr>
          <w:color w:val="000000"/>
        </w:rPr>
        <w:t xml:space="preserve"> “confined to those situations in which the administrative rule is a routine determination, insignificant in nature and impact, and inconsequential to the industry and to the public.”  </w:t>
      </w:r>
      <w:r w:rsidRPr="00ED67F6">
        <w:rPr>
          <w:i/>
          <w:iCs/>
        </w:rPr>
        <w:t>Utility Solid Waste Activities Group v. EPA</w:t>
      </w:r>
      <w:r w:rsidRPr="00ED67F6">
        <w:t>, 236 F.3d 749, 755 (D.C. Cir., 2001) (</w:t>
      </w:r>
      <w:r w:rsidRPr="00ED67F6">
        <w:rPr>
          <w:iCs/>
        </w:rPr>
        <w:t>citing</w:t>
      </w:r>
      <w:r w:rsidRPr="00ED67F6">
        <w:rPr>
          <w:i/>
          <w:iCs/>
        </w:rPr>
        <w:t xml:space="preserve"> Texaco v. FPC</w:t>
      </w:r>
      <w:r w:rsidRPr="00ED67F6">
        <w:t>, 412 F.2d 740, 743 (3d Cir. 1969) (</w:t>
      </w:r>
      <w:r w:rsidRPr="00ED67F6">
        <w:rPr>
          <w:i/>
        </w:rPr>
        <w:t>Texaco</w:t>
      </w:r>
      <w:r w:rsidRPr="00ED67F6">
        <w:t xml:space="preserve">)).  </w:t>
      </w:r>
      <w:r w:rsidRPr="00ED67F6">
        <w:rPr>
          <w:color w:val="000000"/>
        </w:rPr>
        <w:t xml:space="preserve">“‘Unnecessary’ refers to the issuance of a minor rule or amendment in which the public is not particularly interested.”  </w:t>
      </w:r>
      <w:r w:rsidRPr="00ED67F6">
        <w:rPr>
          <w:i/>
          <w:iCs/>
          <w:color w:val="000000"/>
        </w:rPr>
        <w:t>Texaco</w:t>
      </w:r>
      <w:r w:rsidRPr="00ED67F6">
        <w:rPr>
          <w:color w:val="000000"/>
        </w:rPr>
        <w:t xml:space="preserve">, 412 F.2d at 743 n.3.  </w:t>
      </w:r>
      <w:r w:rsidRPr="00ED67F6">
        <w:rPr>
          <w:i/>
          <w:color w:val="000000"/>
        </w:rPr>
        <w:t>See also</w:t>
      </w:r>
      <w:r w:rsidRPr="00ED67F6">
        <w:rPr>
          <w:color w:val="000000"/>
        </w:rPr>
        <w:t xml:space="preserve"> </w:t>
      </w:r>
      <w:r w:rsidRPr="00ED67F6">
        <w:rPr>
          <w:i/>
        </w:rPr>
        <w:t>Amendment of Parts 1, 2, 15, 74, 78, 87, 90,and 97 of the Commission’s Rules Regarding Implementation of the Final Acts of the World Radiocommunication Conference (Geneva, 2007) (WRC-07), Other Allocation Issues, and Related Rule Updates</w:t>
      </w:r>
      <w:r w:rsidRPr="00ED67F6">
        <w:t xml:space="preserve">, </w:t>
      </w:r>
      <w:r w:rsidRPr="00ED67F6">
        <w:rPr>
          <w:i/>
        </w:rPr>
        <w:t>Notice of Proposed Rulemaking and Order</w:t>
      </w:r>
      <w:r w:rsidRPr="00ED67F6">
        <w:t>, ET Docket No. 12-338, 27 FCC Rcd 14598, 14657</w:t>
      </w:r>
      <w:r>
        <w:t>,</w:t>
      </w:r>
      <w:r w:rsidRPr="00ED67F6">
        <w:t xml:space="preserve"> ¶ 158 (2012) (finding that minor clean-up revisions to the Table of Frequency Allocations, 47 C.F.R. § 2.106, fall within the “unnecessary” exception).  </w:t>
      </w:r>
      <w:r w:rsidRPr="00ED67F6">
        <w:rPr>
          <w:color w:val="000000"/>
        </w:rPr>
        <w:t xml:space="preserve"> </w:t>
      </w:r>
    </w:p>
  </w:footnote>
  <w:footnote w:id="37">
    <w:p w:rsidR="00C3133B" w:rsidRPr="00ED67F6" w:rsidRDefault="00C3133B" w:rsidP="000F55B9">
      <w:pPr>
        <w:pStyle w:val="FootnoteText"/>
      </w:pPr>
      <w:r w:rsidRPr="00ED67F6">
        <w:rPr>
          <w:rStyle w:val="FootnoteReference"/>
        </w:rPr>
        <w:footnoteRef/>
      </w:r>
      <w:r w:rsidRPr="00ED67F6">
        <w:t xml:space="preserve"> </w:t>
      </w:r>
      <w:r w:rsidRPr="006D70E9">
        <w:t>We note that, in addition to the Petition for Reconsideration and Clarification filed by Boeing, six members of the public filed letters in this proceeding requesting that the Commission address the potential for exposure to radiofrequency energy from Wi-Fi to airplane passengers and crew.  In addition, one member of the public filed a letter raising public safety and liability concerns related to Internet access on airplanes.  We decline to address these concerns here because the rules adopted in this proceeding relate only to transmissions between the FSS satellite and the ESAA terminal outside the passenger compartment of the airplane, and not to Wi-Fi inside the airplane.  With regard to the six commenters raising radiofrequency radiation exposure concerns, we emphasize that the Commission’s Equipment Authorization (EA) program ensures that unlicensed network devices, including Wi-Fi transmitters, are compliant with its rules, including those rules limiting human exposure to RF energy, before a Grant can be issued.  To the extent that commenters express concern over potential exposures at levels below the Commission’s limits, we note the Commission issued a Notice of Inquiry (Inquiry) in ET Docket No. 13-84, released March 29, 2013, examining whether it should consider any changes to its existing RF safety standards.  We further note that all six commenters filing in this proceeding (IB Docket 12-376) filed separate comments in response to the Inquiry in ET Docket No. 13-84.  The Commission will consider these comments together with the record developed in that proceeding.  With regard to the commenter raising public safety concerns, we note that the Commission issued a Notice of Proposed Rulemaking (NPRM) in WT Docket No. 13-301, released December 13, 2013, proposing new rules governing mobile communications services aboard aircraft, which includes seeking comment on public safety issues and that the commenter filed a separate comment in response to the NPRM in WT Docket No. 13-301.  Although the Commission observed in tha</w:t>
      </w:r>
      <w:r>
        <w:t xml:space="preserve">t proceeding that </w:t>
      </w:r>
      <w:r w:rsidRPr="006D70E9">
        <w:t xml:space="preserve">airline-related public safety issues fall within the jurisdiction of the Federal Aviation Administration, we invited comment on whether there is </w:t>
      </w:r>
      <w:r w:rsidRPr="00820C8F">
        <w:rPr>
          <w:szCs w:val="24"/>
        </w:rPr>
        <w:t xml:space="preserve">any aspect of the FAA’s authority that we should appropriately consider </w:t>
      </w:r>
      <w:r>
        <w:rPr>
          <w:szCs w:val="24"/>
        </w:rPr>
        <w:t xml:space="preserve">in </w:t>
      </w:r>
      <w:r w:rsidRPr="00820C8F">
        <w:rPr>
          <w:szCs w:val="24"/>
        </w:rPr>
        <w:t>our aircraft communications proceeding.</w:t>
      </w:r>
      <w:r w:rsidRPr="006D70E9">
        <w:t xml:space="preserve">  </w:t>
      </w:r>
      <w:r w:rsidRPr="006D70E9">
        <w:rPr>
          <w:i/>
          <w:spacing w:val="-2"/>
        </w:rPr>
        <w:t>Expanding Access to Mobile Wireless Services Onboard Aircraft</w:t>
      </w:r>
      <w:r w:rsidRPr="006D70E9">
        <w:rPr>
          <w:spacing w:val="-2"/>
        </w:rPr>
        <w:t xml:space="preserve">, </w:t>
      </w:r>
      <w:r w:rsidRPr="006D70E9">
        <w:rPr>
          <w:i/>
        </w:rPr>
        <w:t>Notice of Proposed Rulemaking</w:t>
      </w:r>
      <w:r>
        <w:t xml:space="preserve">, </w:t>
      </w:r>
      <w:r w:rsidRPr="006D70E9">
        <w:rPr>
          <w:spacing w:val="-2"/>
        </w:rPr>
        <w:t>WT Docket No. 13-301, 28 FCC Rcd 17132, 17148</w:t>
      </w:r>
      <w:r>
        <w:rPr>
          <w:spacing w:val="-2"/>
        </w:rPr>
        <w:t>,</w:t>
      </w:r>
      <w:r w:rsidRPr="006D70E9">
        <w:rPr>
          <w:spacing w:val="-2"/>
        </w:rPr>
        <w:t xml:space="preserve"> ¶ 40 (2013).  </w:t>
      </w:r>
      <w:r w:rsidRPr="006D70E9">
        <w:t>The Commission will consider that comment, as appropriate, in the context of that proceeding.</w:t>
      </w:r>
    </w:p>
  </w:footnote>
  <w:footnote w:id="38">
    <w:p w:rsidR="00C3133B" w:rsidRPr="00ED67F6" w:rsidRDefault="00C3133B" w:rsidP="000F55B9">
      <w:pPr>
        <w:pStyle w:val="FootnoteText"/>
      </w:pPr>
      <w:r w:rsidRPr="00ED67F6">
        <w:rPr>
          <w:rStyle w:val="FootnoteReference"/>
        </w:rPr>
        <w:footnoteRef/>
      </w:r>
      <w:r w:rsidRPr="00ED67F6">
        <w:t xml:space="preserve"> </w:t>
      </w:r>
      <w:r w:rsidRPr="00ED67F6">
        <w:rPr>
          <w:i/>
        </w:rPr>
        <w:t>ESAA NPRM &amp; Order</w:t>
      </w:r>
      <w:r w:rsidRPr="00ED67F6">
        <w:t xml:space="preserve">, </w:t>
      </w:r>
      <w:r>
        <w:t>27 FCC Rcd at 16555-61, ¶¶ 119-</w:t>
      </w:r>
      <w:r w:rsidRPr="00ED67F6">
        <w:t>31.</w:t>
      </w:r>
    </w:p>
  </w:footnote>
  <w:footnote w:id="39">
    <w:p w:rsidR="00C3133B" w:rsidRPr="00ED67F6" w:rsidRDefault="00C3133B" w:rsidP="000F55B9">
      <w:pPr>
        <w:pStyle w:val="FootnoteText"/>
      </w:pPr>
      <w:r w:rsidRPr="00ED67F6">
        <w:rPr>
          <w:rStyle w:val="FootnoteReference"/>
        </w:rPr>
        <w:footnoteRef/>
      </w:r>
      <w:r w:rsidRPr="00ED67F6">
        <w:t xml:space="preserve"> </w:t>
      </w:r>
      <w:r w:rsidRPr="00ED67F6">
        <w:rPr>
          <w:i/>
        </w:rPr>
        <w:t>Id.</w:t>
      </w:r>
      <w:r>
        <w:t xml:space="preserve"> at 16555-56, ¶¶ 121-</w:t>
      </w:r>
      <w:r w:rsidRPr="00ED67F6">
        <w:t>22.</w:t>
      </w:r>
    </w:p>
  </w:footnote>
  <w:footnote w:id="40">
    <w:p w:rsidR="00C3133B" w:rsidRPr="00ED67F6" w:rsidRDefault="00C3133B" w:rsidP="000F55B9">
      <w:pPr>
        <w:pStyle w:val="FootnoteText"/>
      </w:pPr>
      <w:r w:rsidRPr="00ED67F6">
        <w:rPr>
          <w:rStyle w:val="FootnoteReference"/>
        </w:rPr>
        <w:footnoteRef/>
      </w:r>
      <w:r w:rsidRPr="00ED67F6">
        <w:t xml:space="preserve"> </w:t>
      </w:r>
      <w:r w:rsidRPr="00ED67F6">
        <w:rPr>
          <w:i/>
        </w:rPr>
        <w:t>Id</w:t>
      </w:r>
      <w:r w:rsidRPr="00ED67F6">
        <w:t>.</w:t>
      </w:r>
    </w:p>
  </w:footnote>
  <w:footnote w:id="41">
    <w:p w:rsidR="00C3133B" w:rsidRPr="00ED67F6" w:rsidRDefault="00C3133B" w:rsidP="000F55B9">
      <w:pPr>
        <w:pStyle w:val="FootnoteText"/>
      </w:pPr>
      <w:r w:rsidRPr="00ED67F6">
        <w:rPr>
          <w:rStyle w:val="FootnoteReference"/>
        </w:rPr>
        <w:footnoteRef/>
      </w:r>
      <w:r w:rsidRPr="00ED67F6">
        <w:t xml:space="preserve"> </w:t>
      </w:r>
      <w:r w:rsidRPr="00ED67F6">
        <w:rPr>
          <w:i/>
        </w:rPr>
        <w:t>Id.</w:t>
      </w:r>
      <w:r>
        <w:t xml:space="preserve"> at 16556, ¶¶ 123-</w:t>
      </w:r>
      <w:r w:rsidRPr="00ED67F6">
        <w:t>24.</w:t>
      </w:r>
    </w:p>
  </w:footnote>
  <w:footnote w:id="42">
    <w:p w:rsidR="00C3133B" w:rsidRPr="00ED67F6" w:rsidRDefault="00C3133B" w:rsidP="000F55B9">
      <w:pPr>
        <w:pStyle w:val="FootnoteText"/>
      </w:pPr>
      <w:r w:rsidRPr="00ED67F6">
        <w:rPr>
          <w:rStyle w:val="FootnoteReference"/>
        </w:rPr>
        <w:footnoteRef/>
      </w:r>
      <w:r w:rsidRPr="00ED67F6">
        <w:t xml:space="preserve"> Boeing Petition at 2-3. After the filing of Boeing’s petition, the Commission consolidated the Part 25 definitions, including the definition for ESAA, into section 25.103.  </w:t>
      </w:r>
      <w:r w:rsidRPr="00ED67F6">
        <w:rPr>
          <w:i/>
        </w:rPr>
        <w:t>See Part 25 Review R&amp;O</w:t>
      </w:r>
      <w:r>
        <w:t>, 28 FCC Rcd at 12407-</w:t>
      </w:r>
      <w:r w:rsidRPr="00ED67F6">
        <w:t>12, ¶¶ 6-17.</w:t>
      </w:r>
    </w:p>
  </w:footnote>
  <w:footnote w:id="43">
    <w:p w:rsidR="00C3133B" w:rsidRPr="00ED67F6" w:rsidRDefault="00C3133B" w:rsidP="000F55B9">
      <w:pPr>
        <w:pStyle w:val="FootnoteText"/>
      </w:pPr>
      <w:r w:rsidRPr="00ED67F6">
        <w:rPr>
          <w:rStyle w:val="FootnoteReference"/>
        </w:rPr>
        <w:footnoteRef/>
      </w:r>
      <w:r w:rsidRPr="00ED67F6">
        <w:t xml:space="preserve"> Boeing Petition at 2-3.</w:t>
      </w:r>
    </w:p>
  </w:footnote>
  <w:footnote w:id="44">
    <w:p w:rsidR="00C3133B" w:rsidRPr="00ED67F6" w:rsidRDefault="00C3133B" w:rsidP="000F55B9">
      <w:pPr>
        <w:pStyle w:val="FootnoteText"/>
      </w:pPr>
      <w:r w:rsidRPr="00ED67F6">
        <w:rPr>
          <w:rStyle w:val="FootnoteReference"/>
        </w:rPr>
        <w:footnoteRef/>
      </w:r>
      <w:r w:rsidRPr="00ED67F6">
        <w:t xml:space="preserve"> </w:t>
      </w:r>
      <w:r w:rsidRPr="00ED67F6">
        <w:rPr>
          <w:i/>
        </w:rPr>
        <w:t>Id.</w:t>
      </w:r>
      <w:r w:rsidRPr="00ED67F6">
        <w:t xml:space="preserve"> at 3.</w:t>
      </w:r>
    </w:p>
  </w:footnote>
  <w:footnote w:id="45">
    <w:p w:rsidR="00C3133B" w:rsidRDefault="00C3133B" w:rsidP="000F55B9">
      <w:pPr>
        <w:pStyle w:val="FootnoteText"/>
      </w:pPr>
      <w:r>
        <w:rPr>
          <w:rStyle w:val="FootnoteReference"/>
        </w:rPr>
        <w:footnoteRef/>
      </w:r>
      <w:r>
        <w:t xml:space="preserve"> Boeing Ex Parte at 1.</w:t>
      </w:r>
    </w:p>
  </w:footnote>
  <w:footnote w:id="46">
    <w:p w:rsidR="00C3133B" w:rsidRPr="00ED67F6" w:rsidRDefault="00C3133B" w:rsidP="000F55B9">
      <w:pPr>
        <w:pStyle w:val="FootnoteText"/>
      </w:pPr>
      <w:r w:rsidRPr="00ED67F6">
        <w:rPr>
          <w:rStyle w:val="FootnoteReference"/>
        </w:rPr>
        <w:footnoteRef/>
      </w:r>
      <w:r w:rsidRPr="00ED67F6">
        <w:t xml:space="preserve"> 47 U.S.C. § 301(e); </w:t>
      </w:r>
      <w:r w:rsidRPr="00ED67F6">
        <w:rPr>
          <w:i/>
        </w:rPr>
        <w:t>see also</w:t>
      </w:r>
      <w:r w:rsidRPr="00ED67F6">
        <w:t>, 47 U.S.C § 303(t).  Section 301(e) contains an exception codified in Section 303(t) of the Communications Act.  Section 303(t), in turn, provides the Commission with the authority to permit licensing of U.S.-registered aircraft by a foreign administration in certain limited circumstances.  47 U.S.C § 303(t).</w:t>
      </w:r>
    </w:p>
  </w:footnote>
  <w:footnote w:id="47">
    <w:p w:rsidR="00C3133B" w:rsidRPr="00ED67F6" w:rsidRDefault="00C3133B" w:rsidP="000F55B9">
      <w:pPr>
        <w:pStyle w:val="FootnoteText"/>
      </w:pPr>
      <w:r w:rsidRPr="00ED67F6">
        <w:rPr>
          <w:rStyle w:val="FootnoteReference"/>
        </w:rPr>
        <w:footnoteRef/>
      </w:r>
      <w:r w:rsidRPr="00ED67F6">
        <w:t xml:space="preserve"> Boeing Petition at 2.</w:t>
      </w:r>
    </w:p>
  </w:footnote>
  <w:footnote w:id="48">
    <w:p w:rsidR="00C3133B" w:rsidRPr="00ED67F6" w:rsidRDefault="00C3133B" w:rsidP="000F55B9">
      <w:pPr>
        <w:pStyle w:val="FootnoteText"/>
        <w:rPr>
          <w:i/>
        </w:rPr>
      </w:pPr>
      <w:r w:rsidRPr="00ED67F6">
        <w:rPr>
          <w:rStyle w:val="FootnoteReference"/>
        </w:rPr>
        <w:footnoteRef/>
      </w:r>
      <w:r w:rsidRPr="00ED67F6">
        <w:t xml:space="preserve"> </w:t>
      </w:r>
      <w:r w:rsidRPr="00ED67F6">
        <w:rPr>
          <w:i/>
        </w:rPr>
        <w:t>Id.</w:t>
      </w:r>
    </w:p>
  </w:footnote>
  <w:footnote w:id="49">
    <w:p w:rsidR="00C3133B" w:rsidRPr="00C46EAA" w:rsidRDefault="00C3133B" w:rsidP="000F55B9">
      <w:pPr>
        <w:pStyle w:val="FootnoteText"/>
      </w:pPr>
      <w:r>
        <w:rPr>
          <w:rStyle w:val="FootnoteReference"/>
        </w:rPr>
        <w:footnoteRef/>
      </w:r>
      <w:r>
        <w:t xml:space="preserve"> </w:t>
      </w:r>
      <w:r w:rsidRPr="00C46EAA">
        <w:rPr>
          <w:i/>
        </w:rPr>
        <w:t>ESAA NPRM &amp; Order</w:t>
      </w:r>
      <w:r w:rsidRPr="00C46EAA">
        <w:t>, 27 FCC Rcd at 16555, ¶ 120,</w:t>
      </w:r>
      <w:r w:rsidRPr="00C46EAA">
        <w:rPr>
          <w:snapToGrid w:val="0"/>
        </w:rPr>
        <w:t xml:space="preserve"> n.292. </w:t>
      </w:r>
      <w:r w:rsidRPr="00C46EAA">
        <w:t xml:space="preserve"> T</w:t>
      </w:r>
      <w:r w:rsidRPr="00C46EAA">
        <w:rPr>
          <w:snapToGrid w:val="0"/>
        </w:rPr>
        <w:t xml:space="preserve">he Commission explained that section 301(e) of the Communications Act provides authority for licensing operations on U.S.-registered aircraft regardless </w:t>
      </w:r>
      <w:r>
        <w:rPr>
          <w:snapToGrid w:val="0"/>
        </w:rPr>
        <w:t>of the location of the aircraft.</w:t>
      </w:r>
      <w:r w:rsidRPr="00C46EAA">
        <w:rPr>
          <w:snapToGrid w:val="0"/>
        </w:rPr>
        <w:t xml:space="preserve">  </w:t>
      </w:r>
      <w:r w:rsidRPr="00C46EAA">
        <w:rPr>
          <w:i/>
          <w:snapToGrid w:val="0"/>
        </w:rPr>
        <w:t>Id</w:t>
      </w:r>
      <w:r w:rsidRPr="00C46EAA">
        <w:rPr>
          <w:snapToGrid w:val="0"/>
        </w:rPr>
        <w:t>.</w:t>
      </w:r>
      <w:r w:rsidRPr="00C46EAA">
        <w:t xml:space="preserve"> (citing </w:t>
      </w:r>
      <w:r w:rsidRPr="00C46EAA">
        <w:rPr>
          <w:i/>
        </w:rPr>
        <w:t>Notice</w:t>
      </w:r>
      <w:r w:rsidRPr="00C46EAA">
        <w:t>, 20 FCC Rcd at 2936, ¶ 57).</w:t>
      </w:r>
    </w:p>
  </w:footnote>
  <w:footnote w:id="50">
    <w:p w:rsidR="00C3133B" w:rsidRPr="0030345A" w:rsidRDefault="00C3133B" w:rsidP="000F55B9">
      <w:pPr>
        <w:pStyle w:val="FootnoteText"/>
      </w:pPr>
      <w:r w:rsidRPr="00C46EAA">
        <w:rPr>
          <w:rStyle w:val="FootnoteReference"/>
        </w:rPr>
        <w:footnoteRef/>
      </w:r>
      <w:r w:rsidRPr="00C46EAA">
        <w:t xml:space="preserve"> We note that we use the phrase “or on U.S.-registered civil aircraft” instead of “or on U.S.-flagged aircraft” in section 25.227(a)(14) to be consistent with the terminology used in the </w:t>
      </w:r>
      <w:r w:rsidRPr="00C46EAA">
        <w:rPr>
          <w:i/>
        </w:rPr>
        <w:t>ESAA NPRM &amp; Order</w:t>
      </w:r>
      <w:r w:rsidRPr="00C46EAA">
        <w:t xml:space="preserve"> and in the </w:t>
      </w:r>
      <w:r w:rsidRPr="00C46EAA">
        <w:rPr>
          <w:i/>
        </w:rPr>
        <w:t>Part 25 Review R&amp;O</w:t>
      </w:r>
      <w:r w:rsidRPr="00C46EAA">
        <w:t xml:space="preserve">.  </w:t>
      </w:r>
      <w:r w:rsidRPr="00C46EAA">
        <w:rPr>
          <w:i/>
        </w:rPr>
        <w:t>See ESAA NPRM &amp; Order</w:t>
      </w:r>
      <w:r>
        <w:t>, 27 FCC Rcd at 16555</w:t>
      </w:r>
      <w:r w:rsidRPr="00C46EAA">
        <w:t xml:space="preserve">-56, ¶¶ 119-24; </w:t>
      </w:r>
      <w:r w:rsidRPr="00C46EAA">
        <w:rPr>
          <w:i/>
        </w:rPr>
        <w:t>Part 25 Review R&amp;O</w:t>
      </w:r>
      <w:r w:rsidRPr="00C46EAA">
        <w:t>, 28 FCC Rcd at 12416-18, ¶¶ 36-39.</w:t>
      </w:r>
    </w:p>
  </w:footnote>
  <w:footnote w:id="51">
    <w:p w:rsidR="00C3133B" w:rsidRPr="00C46EAA" w:rsidRDefault="00C3133B" w:rsidP="000F55B9">
      <w:pPr>
        <w:pStyle w:val="FootnoteText"/>
      </w:pPr>
      <w:r>
        <w:rPr>
          <w:rStyle w:val="FootnoteReference"/>
        </w:rPr>
        <w:footnoteRef/>
      </w:r>
      <w:r>
        <w:t xml:space="preserve"> </w:t>
      </w:r>
      <w:r w:rsidRPr="00C46EAA">
        <w:rPr>
          <w:i/>
        </w:rPr>
        <w:t>See supra</w:t>
      </w:r>
      <w:r w:rsidRPr="00C46EAA">
        <w:t xml:space="preserve"> note </w:t>
      </w:r>
      <w:r>
        <w:t>4</w:t>
      </w:r>
      <w:r w:rsidRPr="00610E47">
        <w:t>8.</w:t>
      </w:r>
    </w:p>
  </w:footnote>
  <w:footnote w:id="52">
    <w:p w:rsidR="00C3133B" w:rsidRPr="00ED67F6" w:rsidRDefault="00C3133B" w:rsidP="000F55B9">
      <w:pPr>
        <w:pStyle w:val="FootnoteText"/>
      </w:pPr>
      <w:r w:rsidRPr="00ED67F6">
        <w:rPr>
          <w:rStyle w:val="FootnoteReference"/>
        </w:rPr>
        <w:footnoteRef/>
      </w:r>
      <w:r w:rsidRPr="00ED67F6">
        <w:t xml:space="preserve"> </w:t>
      </w:r>
      <w:r w:rsidRPr="00ED67F6">
        <w:rPr>
          <w:i/>
        </w:rPr>
        <w:t>ESAA NPRM &amp; Order</w:t>
      </w:r>
      <w:r w:rsidRPr="00ED67F6">
        <w:t>, 27 FCC Rcd at</w:t>
      </w:r>
      <w:r>
        <w:t xml:space="preserve"> </w:t>
      </w:r>
      <w:r w:rsidRPr="00ED67F6">
        <w:t>16541, ¶ 7</w:t>
      </w:r>
      <w:r>
        <w:t>6</w:t>
      </w:r>
      <w:r w:rsidRPr="00ED67F6">
        <w:t>.</w:t>
      </w:r>
    </w:p>
  </w:footnote>
  <w:footnote w:id="53">
    <w:p w:rsidR="00C3133B" w:rsidRDefault="00C3133B" w:rsidP="000F55B9">
      <w:pPr>
        <w:pStyle w:val="FootnoteText"/>
      </w:pPr>
      <w:r>
        <w:rPr>
          <w:rStyle w:val="FootnoteReference"/>
        </w:rPr>
        <w:footnoteRef/>
      </w:r>
      <w:r>
        <w:t xml:space="preserve"> </w:t>
      </w:r>
      <w:r>
        <w:rPr>
          <w:i/>
        </w:rPr>
        <w:t xml:space="preserve">See </w:t>
      </w:r>
      <w:r>
        <w:t>47 C.F.R. § 25.227(b)(3)(ii).</w:t>
      </w:r>
    </w:p>
  </w:footnote>
  <w:footnote w:id="54">
    <w:p w:rsidR="00C3133B" w:rsidRPr="00ED67F6" w:rsidRDefault="00C3133B" w:rsidP="00F55550">
      <w:pPr>
        <w:pStyle w:val="FootnoteText"/>
      </w:pPr>
      <w:r w:rsidRPr="00ED67F6">
        <w:rPr>
          <w:rStyle w:val="FootnoteReference"/>
        </w:rPr>
        <w:footnoteRef/>
      </w:r>
      <w:r w:rsidRPr="00ED67F6">
        <w:t xml:space="preserve"> </w:t>
      </w:r>
      <w:r>
        <w:t>Boeing Petition at 7 (citing 47 C.F.R. § 25.227(b)(3)(ii)(B)).</w:t>
      </w:r>
    </w:p>
  </w:footnote>
  <w:footnote w:id="55">
    <w:p w:rsidR="00C3133B" w:rsidRPr="00ED67F6" w:rsidRDefault="00C3133B" w:rsidP="000F55B9">
      <w:pPr>
        <w:pStyle w:val="FootnoteText"/>
      </w:pPr>
      <w:r w:rsidRPr="00ED67F6">
        <w:rPr>
          <w:rStyle w:val="FootnoteReference"/>
        </w:rPr>
        <w:footnoteRef/>
      </w:r>
      <w:r w:rsidRPr="00ED67F6">
        <w:t xml:space="preserve"> </w:t>
      </w:r>
      <w:r>
        <w:rPr>
          <w:i/>
        </w:rPr>
        <w:t>Id.</w:t>
      </w:r>
      <w:r>
        <w:t xml:space="preserve"> at 7-8 (citing 47 C.F.R. § 25.227(b)(3)(ii)(D)).</w:t>
      </w:r>
    </w:p>
  </w:footnote>
  <w:footnote w:id="56">
    <w:p w:rsidR="00C3133B" w:rsidRPr="00ED67F6" w:rsidRDefault="00C3133B" w:rsidP="000F55B9">
      <w:pPr>
        <w:pStyle w:val="FootnoteText"/>
      </w:pPr>
      <w:r w:rsidRPr="00ED67F6">
        <w:rPr>
          <w:rStyle w:val="FootnoteReference"/>
        </w:rPr>
        <w:footnoteRef/>
      </w:r>
      <w:r w:rsidRPr="00ED67F6">
        <w:t xml:space="preserve"> </w:t>
      </w:r>
      <w:r>
        <w:rPr>
          <w:i/>
        </w:rPr>
        <w:t>Id.</w:t>
      </w:r>
      <w:r>
        <w:t xml:space="preserve"> at 8.</w:t>
      </w:r>
    </w:p>
  </w:footnote>
  <w:footnote w:id="57">
    <w:p w:rsidR="00C3133B" w:rsidRPr="00AF7B73" w:rsidRDefault="00C3133B" w:rsidP="00C537BF">
      <w:pPr>
        <w:pStyle w:val="FootnoteText"/>
      </w:pPr>
      <w:r>
        <w:rPr>
          <w:rStyle w:val="FootnoteReference"/>
        </w:rPr>
        <w:footnoteRef/>
      </w:r>
      <w:r>
        <w:t xml:space="preserve"> </w:t>
      </w:r>
      <w:r>
        <w:rPr>
          <w:i/>
        </w:rPr>
        <w:t>See</w:t>
      </w:r>
      <w:r w:rsidRPr="00ED67F6">
        <w:rPr>
          <w:i/>
        </w:rPr>
        <w:t xml:space="preserve"> 2000 Biennial Regulatory Review – Streamlining and Other Revisions of Part 25 of the Commission’s Rules Governing the Licensing of, and Spectrum Usage By, Sa</w:t>
      </w:r>
      <w:r>
        <w:rPr>
          <w:i/>
        </w:rPr>
        <w:t xml:space="preserve">tellite Network Earth Stations </w:t>
      </w:r>
      <w:r w:rsidRPr="00ED67F6">
        <w:rPr>
          <w:i/>
        </w:rPr>
        <w:t>and Space Stations; Amendment of Part 25 of the Commission’s Rules and Regulations to Reduce Alien Carrier Interference Between Fixed-Satellites at Reduced Orbital Spacings and to Revise Application Procedures for Satellite Communication Services</w:t>
      </w:r>
      <w:r w:rsidRPr="00ED67F6">
        <w:t>, IB Docket No. 00-248, CC Docket No. 86-496, Fifth Report and Order in IB Docket No. 00-248 and Third Report and Order in CC Docket No. 86-496, 20 FCC Rcd 5666 (2005)</w:t>
      </w:r>
      <w:r w:rsidRPr="00ED67F6">
        <w:rPr>
          <w:i/>
        </w:rPr>
        <w:t xml:space="preserve"> </w:t>
      </w:r>
      <w:r w:rsidRPr="00ED67F6">
        <w:t>(</w:t>
      </w:r>
      <w:r>
        <w:rPr>
          <w:i/>
        </w:rPr>
        <w:t xml:space="preserve">Part 25 </w:t>
      </w:r>
      <w:r w:rsidRPr="00ED67F6">
        <w:rPr>
          <w:i/>
        </w:rPr>
        <w:t>Streamlining</w:t>
      </w:r>
      <w:r>
        <w:rPr>
          <w:i/>
        </w:rPr>
        <w:t xml:space="preserve"> 5th R&amp;O</w:t>
      </w:r>
      <w:r>
        <w:t>)</w:t>
      </w:r>
      <w:r w:rsidRPr="00ED67F6">
        <w:t>.</w:t>
      </w:r>
    </w:p>
  </w:footnote>
  <w:footnote w:id="58">
    <w:p w:rsidR="00C3133B" w:rsidRPr="00AF7B73" w:rsidRDefault="00C3133B" w:rsidP="000172C0">
      <w:pPr>
        <w:pStyle w:val="FootnoteText"/>
      </w:pPr>
      <w:r>
        <w:rPr>
          <w:rStyle w:val="FootnoteReference"/>
        </w:rPr>
        <w:footnoteRef/>
      </w:r>
      <w:r>
        <w:t xml:space="preserve"> </w:t>
      </w:r>
      <w:r>
        <w:rPr>
          <w:i/>
        </w:rPr>
        <w:t>See, e.g.</w:t>
      </w:r>
      <w:r>
        <w:t>,</w:t>
      </w:r>
      <w:r w:rsidRPr="006D3796">
        <w:rPr>
          <w:i/>
        </w:rPr>
        <w:t xml:space="preserve"> Procedures to Govern the Use of Satellite Earth Stations on Board Vessels in the 5925-6425 MHz/3700-4200 MHz Bands and 14.0-14.5 GHz/11.7-12.2 GHz Bands</w:t>
      </w:r>
      <w:r w:rsidRPr="006D3796">
        <w:t>, IB Docket No. 02-10, Order on Reconsideration, FCC 09-63, 24 FCC Rcd 10369, 10376, ¶ 14 (2009)</w:t>
      </w:r>
      <w:r w:rsidRPr="006D3796">
        <w:rPr>
          <w:i/>
        </w:rPr>
        <w:t>; VMES Order</w:t>
      </w:r>
      <w:r w:rsidRPr="006D3796">
        <w:t xml:space="preserve">, 24 FCC Rcd at 10446, ¶ 99.  In the </w:t>
      </w:r>
      <w:r w:rsidRPr="006D3796">
        <w:rPr>
          <w:i/>
        </w:rPr>
        <w:t>Part 25 Streamlining 5th R&amp;O</w:t>
      </w:r>
      <w:r w:rsidRPr="006D3796">
        <w:t xml:space="preserve">, the Commission chose to require applicants to file certifications instead of affidavits by the potentially affected satellite operators, which would have been a much more burdensome approach than filing certifications by the target satellite operator. </w:t>
      </w:r>
      <w:r w:rsidRPr="006D3796">
        <w:rPr>
          <w:i/>
        </w:rPr>
        <w:t xml:space="preserve"> See Part 25 Streamlining 5th R&amp;O</w:t>
      </w:r>
      <w:r w:rsidRPr="006D3796">
        <w:t>, 20 FCC Rcd at 5686, ¶ 46</w:t>
      </w:r>
      <w:r>
        <w:t>.</w:t>
      </w:r>
    </w:p>
  </w:footnote>
  <w:footnote w:id="59">
    <w:p w:rsidR="00C3133B" w:rsidRPr="00AF7B73" w:rsidRDefault="00C3133B" w:rsidP="00787145">
      <w:pPr>
        <w:pStyle w:val="FootnoteText"/>
      </w:pPr>
      <w:r>
        <w:rPr>
          <w:rStyle w:val="FootnoteReference"/>
        </w:rPr>
        <w:footnoteRef/>
      </w:r>
      <w:r>
        <w:t xml:space="preserve"> As noted, the Commission has adopted a number of licensing rules that allow earth station operators to seek authority for operations in excess of the relevant off-axis EIRP-density limits. W</w:t>
      </w:r>
      <w:r w:rsidRPr="000C21C8">
        <w:t>e may review the certification requirements for all similar non-routine operations as part of our larger examination of our licensing rules in the open Part 25 proceeding</w:t>
      </w:r>
      <w:r>
        <w:t>,</w:t>
      </w:r>
      <w:r w:rsidRPr="000C21C8">
        <w:t xml:space="preserve"> and any modifications to our rules resulting from this review may also apply to ESAA systems.</w:t>
      </w:r>
    </w:p>
  </w:footnote>
  <w:footnote w:id="60">
    <w:p w:rsidR="00C3133B" w:rsidRPr="00ED67F6" w:rsidRDefault="00C3133B" w:rsidP="000F55B9">
      <w:pPr>
        <w:pStyle w:val="FootnoteText"/>
      </w:pPr>
      <w:r w:rsidRPr="00ED67F6">
        <w:rPr>
          <w:rStyle w:val="FootnoteReference"/>
        </w:rPr>
        <w:footnoteRef/>
      </w:r>
      <w:r w:rsidRPr="00ED67F6">
        <w:t xml:space="preserve"> </w:t>
      </w:r>
      <w:r w:rsidRPr="00ED67F6">
        <w:rPr>
          <w:i/>
        </w:rPr>
        <w:t>ESAA NPRM &amp; Order</w:t>
      </w:r>
      <w:r w:rsidRPr="00ED67F6">
        <w:t>, 27 FCC Rcd at</w:t>
      </w:r>
      <w:r>
        <w:t xml:space="preserve"> </w:t>
      </w:r>
      <w:r w:rsidRPr="00ED67F6">
        <w:t>16541, ¶ 78.</w:t>
      </w:r>
    </w:p>
  </w:footnote>
  <w:footnote w:id="61">
    <w:p w:rsidR="00C3133B" w:rsidRPr="00ED67F6" w:rsidRDefault="00C3133B" w:rsidP="000F55B9">
      <w:pPr>
        <w:pStyle w:val="FootnoteText"/>
      </w:pPr>
      <w:r w:rsidRPr="00ED67F6">
        <w:rPr>
          <w:rStyle w:val="FootnoteReference"/>
        </w:rPr>
        <w:footnoteRef/>
      </w:r>
      <w:r w:rsidRPr="00ED67F6">
        <w:t xml:space="preserve"> </w:t>
      </w:r>
      <w:r>
        <w:rPr>
          <w:i/>
        </w:rPr>
        <w:t>Id</w:t>
      </w:r>
      <w:r w:rsidRPr="00ED67F6">
        <w:t>.</w:t>
      </w:r>
    </w:p>
  </w:footnote>
  <w:footnote w:id="62">
    <w:p w:rsidR="00C3133B" w:rsidRPr="00ED67F6" w:rsidRDefault="00C3133B" w:rsidP="000F55B9">
      <w:pPr>
        <w:pStyle w:val="FootnoteText"/>
      </w:pPr>
      <w:r w:rsidRPr="00ED67F6">
        <w:rPr>
          <w:rStyle w:val="FootnoteReference"/>
        </w:rPr>
        <w:footnoteRef/>
      </w:r>
      <w:r w:rsidRPr="00ED67F6">
        <w:t xml:space="preserve"> </w:t>
      </w:r>
      <w:r>
        <w:rPr>
          <w:i/>
        </w:rPr>
        <w:t>Id</w:t>
      </w:r>
      <w:r>
        <w:t xml:space="preserve">.  </w:t>
      </w:r>
      <w:r w:rsidRPr="00ED67F6">
        <w:rPr>
          <w:lang w:eastAsia="ko-KR"/>
        </w:rPr>
        <w:t>The NCMC monitors entire system power allocations.</w:t>
      </w:r>
    </w:p>
  </w:footnote>
  <w:footnote w:id="63">
    <w:p w:rsidR="00C3133B" w:rsidRPr="00ED67F6" w:rsidRDefault="00C3133B" w:rsidP="000F55B9">
      <w:pPr>
        <w:pStyle w:val="FootnoteText"/>
      </w:pPr>
      <w:r w:rsidRPr="00ED67F6">
        <w:rPr>
          <w:rStyle w:val="FootnoteReference"/>
        </w:rPr>
        <w:footnoteRef/>
      </w:r>
      <w:r w:rsidRPr="00ED67F6">
        <w:t xml:space="preserve"> </w:t>
      </w:r>
      <w:r w:rsidRPr="00ED67F6">
        <w:rPr>
          <w:i/>
        </w:rPr>
        <w:t xml:space="preserve">See </w:t>
      </w:r>
      <w:r w:rsidRPr="00ED67F6">
        <w:t>47 C.F.R. § 25.227(b)(3)(i).</w:t>
      </w:r>
    </w:p>
  </w:footnote>
  <w:footnote w:id="64">
    <w:p w:rsidR="00C3133B" w:rsidRPr="00ED67F6" w:rsidRDefault="00C3133B" w:rsidP="000F55B9">
      <w:pPr>
        <w:pStyle w:val="FootnoteText"/>
      </w:pPr>
      <w:r w:rsidRPr="00ED67F6">
        <w:rPr>
          <w:rStyle w:val="FootnoteReference"/>
        </w:rPr>
        <w:footnoteRef/>
      </w:r>
      <w:r w:rsidRPr="00ED67F6">
        <w:t xml:space="preserve"> Boeing Petition at 4.</w:t>
      </w:r>
    </w:p>
  </w:footnote>
  <w:footnote w:id="65">
    <w:p w:rsidR="00C3133B" w:rsidRPr="00ED67F6" w:rsidRDefault="00C3133B" w:rsidP="000F55B9">
      <w:pPr>
        <w:pStyle w:val="FootnoteText"/>
      </w:pPr>
      <w:r w:rsidRPr="00ED67F6">
        <w:rPr>
          <w:rStyle w:val="FootnoteReference"/>
        </w:rPr>
        <w:footnoteRef/>
      </w:r>
      <w:r w:rsidRPr="00ED67F6">
        <w:t xml:space="preserve"> </w:t>
      </w:r>
      <w:r w:rsidRPr="00ED67F6">
        <w:rPr>
          <w:i/>
        </w:rPr>
        <w:t>Id.</w:t>
      </w:r>
      <w:r w:rsidRPr="00ED67F6">
        <w:t xml:space="preserve"> at 4-5.</w:t>
      </w:r>
    </w:p>
  </w:footnote>
  <w:footnote w:id="66">
    <w:p w:rsidR="00C3133B" w:rsidRDefault="00C3133B" w:rsidP="000F55B9">
      <w:pPr>
        <w:pStyle w:val="FootnoteText"/>
      </w:pPr>
      <w:r>
        <w:rPr>
          <w:rStyle w:val="FootnoteReference"/>
        </w:rPr>
        <w:footnoteRef/>
      </w:r>
      <w:r>
        <w:t xml:space="preserve"> Boeing Ex Parte at 2.  Section 25.227(a)(3)(ii)(B) provides that “[t]he ESAA shall operate in accordance with the off-axis EIRP spectral-densities that the ESAA supplied to the target satellite operator in order to obtain the certifications listed in paragraph (b)(3)(ii) of this section.  The individual ESAA terminals shall automatically cease emissions within 100 milliseconds if the ESAA transmitter exceeds the off-axis EIRP spectral-densities supplied to the target satellite operator.  The overall system shall be capable of shutting of an individual transmitter or the entire system if the aggregate off-axis EIRP spectral-densities exceed those supplied to the target satellite operator.”  47 C.F.R. § 25.227(a)(3)(ii)(B).  </w:t>
      </w:r>
    </w:p>
  </w:footnote>
  <w:footnote w:id="67">
    <w:p w:rsidR="00C3133B" w:rsidRPr="00ED67F6" w:rsidRDefault="00C3133B" w:rsidP="000F55B9">
      <w:pPr>
        <w:pStyle w:val="FootnoteText"/>
      </w:pPr>
      <w:r w:rsidRPr="00ED67F6">
        <w:rPr>
          <w:rStyle w:val="FootnoteReference"/>
        </w:rPr>
        <w:footnoteRef/>
      </w:r>
      <w:r w:rsidRPr="00ED67F6">
        <w:t xml:space="preserve"> </w:t>
      </w:r>
      <w:r w:rsidRPr="00ED67F6">
        <w:rPr>
          <w:i/>
        </w:rPr>
        <w:t>Id.</w:t>
      </w:r>
      <w:r w:rsidRPr="00ED67F6">
        <w:t xml:space="preserve"> at 5.</w:t>
      </w:r>
    </w:p>
  </w:footnote>
  <w:footnote w:id="68">
    <w:p w:rsidR="00C3133B" w:rsidRPr="00ED67F6" w:rsidRDefault="00C3133B" w:rsidP="000F55B9">
      <w:pPr>
        <w:pStyle w:val="FootnoteText"/>
        <w:rPr>
          <w:i/>
        </w:rPr>
      </w:pPr>
      <w:r w:rsidRPr="00ED67F6">
        <w:rPr>
          <w:rStyle w:val="FootnoteReference"/>
        </w:rPr>
        <w:footnoteRef/>
      </w:r>
      <w:r w:rsidRPr="00ED67F6">
        <w:t xml:space="preserve"> </w:t>
      </w:r>
      <w:r w:rsidRPr="00ED67F6">
        <w:rPr>
          <w:i/>
        </w:rPr>
        <w:t>Id.</w:t>
      </w:r>
    </w:p>
  </w:footnote>
  <w:footnote w:id="69">
    <w:p w:rsidR="00C3133B" w:rsidRPr="00ED67F6" w:rsidRDefault="00C3133B" w:rsidP="000F55B9">
      <w:pPr>
        <w:pStyle w:val="FootnoteText"/>
        <w:rPr>
          <w:i/>
        </w:rPr>
      </w:pPr>
      <w:r w:rsidRPr="00ED67F6">
        <w:rPr>
          <w:rStyle w:val="FootnoteReference"/>
        </w:rPr>
        <w:footnoteRef/>
      </w:r>
      <w:r w:rsidRPr="00ED67F6">
        <w:t xml:space="preserve"> </w:t>
      </w:r>
      <w:r w:rsidRPr="00ED67F6">
        <w:rPr>
          <w:i/>
        </w:rPr>
        <w:t>Id.</w:t>
      </w:r>
    </w:p>
  </w:footnote>
  <w:footnote w:id="70">
    <w:p w:rsidR="00C3133B" w:rsidRPr="00ED67F6" w:rsidRDefault="00C3133B" w:rsidP="000F55B9">
      <w:pPr>
        <w:pStyle w:val="FootnoteText"/>
      </w:pPr>
      <w:r w:rsidRPr="00ED67F6">
        <w:rPr>
          <w:rStyle w:val="FootnoteReference"/>
        </w:rPr>
        <w:footnoteRef/>
      </w:r>
      <w:r w:rsidRPr="00ED67F6">
        <w:t xml:space="preserve"> ViaSat Comments at 2, n.6.</w:t>
      </w:r>
    </w:p>
  </w:footnote>
  <w:footnote w:id="71">
    <w:p w:rsidR="00C3133B" w:rsidRPr="006D795D" w:rsidRDefault="00C3133B" w:rsidP="000F55B9">
      <w:pPr>
        <w:pStyle w:val="FootnoteText"/>
      </w:pPr>
      <w:r>
        <w:rPr>
          <w:rStyle w:val="FootnoteReference"/>
        </w:rPr>
        <w:footnoteRef/>
      </w:r>
      <w:r>
        <w:t xml:space="preserve"> Boeing Ex Parte at 2.</w:t>
      </w:r>
    </w:p>
  </w:footnote>
  <w:footnote w:id="72">
    <w:p w:rsidR="00C3133B" w:rsidRPr="00B521C8" w:rsidRDefault="00C3133B" w:rsidP="000F55B9">
      <w:pPr>
        <w:pStyle w:val="FootnoteText"/>
      </w:pPr>
      <w:r>
        <w:rPr>
          <w:rStyle w:val="FootnoteReference"/>
        </w:rPr>
        <w:footnoteRef/>
      </w:r>
      <w:r>
        <w:t xml:space="preserve"> </w:t>
      </w:r>
      <w:r w:rsidRPr="00B14F0E">
        <w:rPr>
          <w:i/>
        </w:rPr>
        <w:t>See ESAA NPRM &amp; Order</w:t>
      </w:r>
      <w:r w:rsidRPr="00B14F0E">
        <w:t xml:space="preserve">, 27 FCC Rcd at 16541, ¶ 78; 47 C.F.R. § 25.222(b)(3)(ii).  Paragraph 78 of the </w:t>
      </w:r>
      <w:r w:rsidRPr="00B14F0E">
        <w:rPr>
          <w:i/>
        </w:rPr>
        <w:t>ESAA NPRM &amp; Order</w:t>
      </w:r>
      <w:r w:rsidRPr="00B14F0E">
        <w:t xml:space="preserve"> provides that “[f]irst, if the power-density from an individual transmitter exceeds the applicable power-density limit, then that transmitter must cease emissions automatically within 100 milliseconds of detecting this violation.  Under this scenario, the individual transmitter must be self-monitoring and capable of shutting itself off.  Second, if the power of one or more transmitters causes the aggregate off-axis EIRP densities to exceed the applicable power-density limit, then the transmitter or transmitters must cease or reduce emissions within 100 milliseconds of receiving the appropriate command from the system’s NCMC.”  Section 25.222(b)(3)(ii) provides that: </w:t>
      </w:r>
      <w:r>
        <w:t>“[t]</w:t>
      </w:r>
      <w:r w:rsidRPr="00B14F0E">
        <w:t xml:space="preserve">he ESV applicant shall provide a detailed showing that an individual ESV terminal is capable of automatically ceasing emissions within 100 milliseconds if the ESV transmitter exceeds the off-axis EIRP-density limit specified in paragraph (a)(3)(i) of this section and that the individual transmitter is self-monitoring and capable of shutting itself off. </w:t>
      </w:r>
      <w:r>
        <w:t xml:space="preserve"> </w:t>
      </w:r>
      <w:r w:rsidRPr="00B14F0E">
        <w:t>The ESV applicant shall also provide a detailed showing that one or more transmitters are capable of automatically ceasing or reducing emissions within 100 milliseconds of receiving the appropriate command from the system's central control and monitoring station if the aggregate off-axis EIRP spectral-densities of the transmitter or transmitters exceed the off-axis EIRP-density limits specified in paragraph (a)(3)(i) of this section.</w:t>
      </w:r>
      <w:r>
        <w:t>”  47 C.F.R. § 25.222(b)(3)(ii).</w:t>
      </w:r>
    </w:p>
  </w:footnote>
  <w:footnote w:id="73">
    <w:p w:rsidR="00C3133B" w:rsidRPr="00ED67F6" w:rsidRDefault="00C3133B" w:rsidP="000F55B9">
      <w:pPr>
        <w:pStyle w:val="FootnoteText"/>
      </w:pPr>
      <w:r w:rsidRPr="00ED67F6">
        <w:rPr>
          <w:rStyle w:val="FootnoteReference"/>
        </w:rPr>
        <w:footnoteRef/>
      </w:r>
      <w:r w:rsidRPr="00ED67F6">
        <w:t xml:space="preserve"> </w:t>
      </w:r>
      <w:r w:rsidRPr="00ED67F6">
        <w:rPr>
          <w:i/>
        </w:rPr>
        <w:t xml:space="preserve">See </w:t>
      </w:r>
      <w:r>
        <w:t xml:space="preserve">ViaSat Comments </w:t>
      </w:r>
      <w:r w:rsidRPr="00ED67F6">
        <w:t xml:space="preserve">at 2, n.4 &amp; n.6 (citing the </w:t>
      </w:r>
      <w:r w:rsidRPr="00ED67F6">
        <w:rPr>
          <w:i/>
        </w:rPr>
        <w:t>ESAA NPRM &amp; Order</w:t>
      </w:r>
      <w:r>
        <w:t>, 27 FCC Rcd at 16541-42, ¶¶ 76, 78,</w:t>
      </w:r>
      <w:r w:rsidRPr="00ED67F6">
        <w:t xml:space="preserve"> and section 25.222(b)(3)(ii)</w:t>
      </w:r>
      <w:r>
        <w:t>)</w:t>
      </w:r>
      <w:r w:rsidRPr="00ED67F6">
        <w:t>.</w:t>
      </w:r>
    </w:p>
  </w:footnote>
  <w:footnote w:id="74">
    <w:p w:rsidR="00C3133B" w:rsidRPr="00ED67F6" w:rsidRDefault="00C3133B" w:rsidP="000F55B9">
      <w:pPr>
        <w:pStyle w:val="FootnoteText"/>
      </w:pPr>
      <w:r w:rsidRPr="00ED67F6">
        <w:rPr>
          <w:rStyle w:val="FootnoteReference"/>
        </w:rPr>
        <w:footnoteRef/>
      </w:r>
      <w:r>
        <w:t xml:space="preserve"> Boeing Petition at 6; Boeing Ex Parte at 2.</w:t>
      </w:r>
    </w:p>
  </w:footnote>
  <w:footnote w:id="75">
    <w:p w:rsidR="00C3133B" w:rsidRPr="00ED67F6" w:rsidRDefault="00C3133B" w:rsidP="000F55B9">
      <w:pPr>
        <w:pStyle w:val="FootnoteText"/>
      </w:pPr>
      <w:r w:rsidRPr="00ED67F6">
        <w:rPr>
          <w:rStyle w:val="FootnoteReference"/>
        </w:rPr>
        <w:footnoteRef/>
      </w:r>
      <w:r w:rsidRPr="00ED67F6">
        <w:t xml:space="preserve"> </w:t>
      </w:r>
      <w:r w:rsidRPr="00ED67F6">
        <w:rPr>
          <w:i/>
        </w:rPr>
        <w:t>See</w:t>
      </w:r>
      <w:r w:rsidRPr="00ED67F6">
        <w:t xml:space="preserve"> </w:t>
      </w:r>
      <w:r w:rsidRPr="00ED67F6">
        <w:rPr>
          <w:i/>
        </w:rPr>
        <w:t>ESAA NPRM &amp; Order</w:t>
      </w:r>
      <w:r w:rsidRPr="00ED67F6">
        <w:t>, 27 FCC Rcd at 16538, ¶ 65.</w:t>
      </w:r>
    </w:p>
  </w:footnote>
  <w:footnote w:id="76">
    <w:p w:rsidR="00C3133B" w:rsidRPr="00ED67F6" w:rsidRDefault="00C3133B" w:rsidP="000F55B9">
      <w:pPr>
        <w:pStyle w:val="FootnoteText"/>
      </w:pPr>
      <w:r w:rsidRPr="00ED67F6">
        <w:rPr>
          <w:rStyle w:val="FootnoteReference"/>
        </w:rPr>
        <w:footnoteRef/>
      </w:r>
      <w:r w:rsidRPr="00ED67F6">
        <w:t xml:space="preserve"> ViaSat Petition at 3.</w:t>
      </w:r>
    </w:p>
  </w:footnote>
  <w:footnote w:id="77">
    <w:p w:rsidR="00C3133B" w:rsidRPr="00ED67F6" w:rsidRDefault="00C3133B" w:rsidP="00113D2D">
      <w:pPr>
        <w:pStyle w:val="FootnoteText"/>
      </w:pPr>
      <w:r w:rsidRPr="00ED67F6">
        <w:rPr>
          <w:rStyle w:val="FootnoteReference"/>
        </w:rPr>
        <w:footnoteRef/>
      </w:r>
      <w:r w:rsidRPr="00ED67F6">
        <w:t xml:space="preserve"> The RFA, </w:t>
      </w:r>
      <w:r w:rsidRPr="00ED67F6">
        <w:rPr>
          <w:i/>
        </w:rPr>
        <w:t>see</w:t>
      </w:r>
      <w:r w:rsidRPr="00ED67F6">
        <w:t xml:space="preserve"> 5 U.S.C. §§ 601-612, has been amended by the Small Business Regulatory Enforcement Fairness Act of 1996 (SBREFA), Pub. L. No. 104-121, Title II, 110 Stat. 857 (1996).</w:t>
      </w:r>
    </w:p>
  </w:footnote>
  <w:footnote w:id="78">
    <w:p w:rsidR="00C3133B" w:rsidRPr="00ED67F6" w:rsidRDefault="00C3133B" w:rsidP="00113D2D">
      <w:pPr>
        <w:pStyle w:val="FootnoteText"/>
      </w:pPr>
      <w:r w:rsidRPr="00ED67F6">
        <w:rPr>
          <w:rStyle w:val="FootnoteReference"/>
        </w:rPr>
        <w:footnoteRef/>
      </w:r>
      <w:r w:rsidRPr="00ED67F6">
        <w:t xml:space="preserve"> 5 U.S.C. § 605(b).</w:t>
      </w:r>
    </w:p>
  </w:footnote>
  <w:footnote w:id="79">
    <w:p w:rsidR="00C3133B" w:rsidRPr="00ED67F6" w:rsidRDefault="00C3133B" w:rsidP="00113D2D">
      <w:pPr>
        <w:pStyle w:val="FootnoteText"/>
      </w:pPr>
      <w:r w:rsidRPr="00ED67F6">
        <w:rPr>
          <w:rStyle w:val="FootnoteReference"/>
        </w:rPr>
        <w:footnoteRef/>
      </w:r>
      <w:r w:rsidRPr="00ED67F6">
        <w:t xml:space="preserve"> 5 U.S.C. § 601(6).</w:t>
      </w:r>
    </w:p>
  </w:footnote>
  <w:footnote w:id="80">
    <w:p w:rsidR="00C3133B" w:rsidRPr="00ED67F6" w:rsidRDefault="00C3133B" w:rsidP="00113D2D">
      <w:pPr>
        <w:pStyle w:val="FootnoteText"/>
      </w:pPr>
      <w:r w:rsidRPr="00ED67F6">
        <w:rPr>
          <w:rStyle w:val="FootnoteReference"/>
        </w:rPr>
        <w:footnoteRef/>
      </w:r>
      <w:r w:rsidRPr="00ED67F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1">
    <w:p w:rsidR="00C3133B" w:rsidRPr="00ED67F6" w:rsidRDefault="00C3133B" w:rsidP="00113D2D">
      <w:pPr>
        <w:pStyle w:val="FootnoteText"/>
        <w:rPr>
          <w:rStyle w:val="FootnoteReference"/>
          <w:snapToGrid w:val="0"/>
          <w:kern w:val="28"/>
        </w:rPr>
      </w:pPr>
      <w:r w:rsidRPr="00ED67F6">
        <w:rPr>
          <w:rStyle w:val="FootnoteReference"/>
        </w:rPr>
        <w:footnoteRef/>
      </w:r>
      <w:r w:rsidRPr="00ED67F6">
        <w:t xml:space="preserve"> 15 U.S.C. § 632.</w:t>
      </w:r>
    </w:p>
  </w:footnote>
  <w:footnote w:id="82">
    <w:p w:rsidR="00C3133B" w:rsidRPr="00ED67F6" w:rsidRDefault="00C3133B" w:rsidP="00113D2D">
      <w:pPr>
        <w:pStyle w:val="FootnoteText"/>
      </w:pPr>
      <w:r w:rsidRPr="00ED67F6">
        <w:rPr>
          <w:rStyle w:val="FootnoteReference"/>
        </w:rPr>
        <w:footnoteRef/>
      </w:r>
      <w:r w:rsidRPr="00ED67F6">
        <w:t xml:space="preserve"> 13 C.F.R. § 121.20</w:t>
      </w:r>
      <w:r>
        <w:t>1, NAICS code 517410</w:t>
      </w:r>
      <w:r w:rsidRPr="00ED67F6">
        <w:t>.</w:t>
      </w:r>
    </w:p>
  </w:footnote>
  <w:footnote w:id="83">
    <w:p w:rsidR="00C3133B" w:rsidRPr="008C08C0" w:rsidRDefault="00C3133B" w:rsidP="00113D2D">
      <w:pPr>
        <w:pStyle w:val="FootnoteText"/>
      </w:pPr>
      <w:r w:rsidRPr="00ED67F6">
        <w:rPr>
          <w:rStyle w:val="FootnoteReference"/>
        </w:rPr>
        <w:footnoteRef/>
      </w:r>
      <w:r w:rsidRPr="00ED67F6">
        <w:t xml:space="preserve"> </w:t>
      </w:r>
      <w:r w:rsidRPr="00ED67F6">
        <w:rPr>
          <w:i/>
        </w:rPr>
        <w:t>ESAA NPRM &amp; Order</w:t>
      </w:r>
      <w:r w:rsidRPr="00ED67F6">
        <w:t>, 27 FCC Rcd at 16565, ¶ 142.</w:t>
      </w:r>
      <w:r>
        <w:t xml:space="preserve"> </w:t>
      </w:r>
    </w:p>
  </w:footnote>
  <w:footnote w:id="84">
    <w:p w:rsidR="00C3133B" w:rsidRPr="00ED67F6" w:rsidRDefault="00C3133B" w:rsidP="000F55B9">
      <w:pPr>
        <w:pStyle w:val="FootnoteText"/>
      </w:pPr>
      <w:r w:rsidRPr="00ED67F6">
        <w:rPr>
          <w:rStyle w:val="FootnoteReference"/>
        </w:rPr>
        <w:footnoteRef/>
      </w:r>
      <w:r w:rsidRPr="00ED67F6">
        <w:t xml:space="preserve"> The RFA, </w:t>
      </w:r>
      <w:r w:rsidRPr="00ED67F6">
        <w:rPr>
          <w:i/>
        </w:rPr>
        <w:t>see</w:t>
      </w:r>
      <w:r w:rsidRPr="00ED67F6">
        <w:t xml:space="preserve"> 5 U.S.C. §§ 601-612, has been amended by the Small Business Regulatory Enforcement Fairness Act of 1996 (SBREFA), Pub. L. No. 104-121, Title II, 110 Stat. 857 (1996).</w:t>
      </w:r>
    </w:p>
  </w:footnote>
  <w:footnote w:id="85">
    <w:p w:rsidR="00C3133B" w:rsidRPr="00ED67F6" w:rsidRDefault="00C3133B" w:rsidP="000F55B9">
      <w:pPr>
        <w:pStyle w:val="FootnoteText"/>
      </w:pPr>
      <w:r w:rsidRPr="00ED67F6">
        <w:rPr>
          <w:rStyle w:val="FootnoteReference"/>
        </w:rPr>
        <w:footnoteRef/>
      </w:r>
      <w:r w:rsidRPr="00ED67F6">
        <w:t xml:space="preserve"> 5 U.S.C. § 605(b).</w:t>
      </w:r>
    </w:p>
  </w:footnote>
  <w:footnote w:id="86">
    <w:p w:rsidR="00C3133B" w:rsidRPr="00ED67F6" w:rsidRDefault="00C3133B" w:rsidP="000F55B9">
      <w:pPr>
        <w:pStyle w:val="FootnoteText"/>
      </w:pPr>
      <w:r w:rsidRPr="00ED67F6">
        <w:rPr>
          <w:rStyle w:val="FootnoteReference"/>
        </w:rPr>
        <w:footnoteRef/>
      </w:r>
      <w:r w:rsidRPr="00ED67F6">
        <w:t xml:space="preserve"> 5 U.S.C. § 601(6).</w:t>
      </w:r>
    </w:p>
  </w:footnote>
  <w:footnote w:id="87">
    <w:p w:rsidR="00C3133B" w:rsidRPr="00ED67F6" w:rsidRDefault="00C3133B" w:rsidP="000F55B9">
      <w:pPr>
        <w:pStyle w:val="FootnoteText"/>
      </w:pPr>
      <w:r w:rsidRPr="00ED67F6">
        <w:rPr>
          <w:rStyle w:val="FootnoteReference"/>
        </w:rPr>
        <w:footnoteRef/>
      </w:r>
      <w:r w:rsidRPr="00ED67F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8">
    <w:p w:rsidR="00C3133B" w:rsidRPr="00ED67F6" w:rsidRDefault="00C3133B" w:rsidP="000F55B9">
      <w:pPr>
        <w:pStyle w:val="FootnoteText"/>
        <w:rPr>
          <w:rStyle w:val="FootnoteReference"/>
          <w:snapToGrid w:val="0"/>
          <w:kern w:val="28"/>
        </w:rPr>
      </w:pPr>
      <w:r w:rsidRPr="00ED67F6">
        <w:rPr>
          <w:rStyle w:val="FootnoteReference"/>
        </w:rPr>
        <w:footnoteRef/>
      </w:r>
      <w:r w:rsidRPr="00ED67F6">
        <w:t xml:space="preserve"> 15 U.S.C. § 632.</w:t>
      </w:r>
    </w:p>
  </w:footnote>
  <w:footnote w:id="89">
    <w:p w:rsidR="00C3133B" w:rsidRPr="00ED67F6" w:rsidRDefault="00C3133B" w:rsidP="000F55B9">
      <w:pPr>
        <w:pStyle w:val="FootnoteText"/>
      </w:pPr>
      <w:bookmarkStart w:id="348" w:name="_DV_C617"/>
      <w:r w:rsidRPr="00ED67F6">
        <w:rPr>
          <w:rStyle w:val="FootnoteReference"/>
        </w:rPr>
        <w:footnoteRef/>
      </w:r>
      <w:r w:rsidRPr="00ED67F6">
        <w:t xml:space="preserve"> </w:t>
      </w:r>
      <w:r>
        <w:t>13 C.F.R. § 121.201, NAICS code</w:t>
      </w:r>
      <w:r w:rsidRPr="00ED67F6">
        <w:t xml:space="preserve"> 517410</w:t>
      </w:r>
      <w:bookmarkEnd w:id="348"/>
      <w:r w:rsidRPr="00ED67F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4F" w:rsidRDefault="00735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3B" w:rsidRPr="003D156F" w:rsidRDefault="00C3133B" w:rsidP="00A53368">
    <w:pPr>
      <w:pStyle w:val="Header"/>
    </w:pPr>
    <w:r w:rsidRPr="003D156F">
      <w:tab/>
      <w:t>Federal Communications Commission</w:t>
    </w:r>
    <w:r w:rsidRPr="003D156F">
      <w:tab/>
      <w:t>FCC 1</w:t>
    </w:r>
    <w:r>
      <w:t>4-45</w:t>
    </w:r>
  </w:p>
  <w:p w:rsidR="00C3133B" w:rsidRDefault="005E1757" w:rsidP="00A53368">
    <w:pPr>
      <w:pStyle w:val="Header"/>
    </w:pPr>
    <w:r>
      <w:rPr>
        <w:noProof/>
        <w:snapToGrid/>
      </w:rPr>
      <w:pict>
        <v:line id="Line 2" o:spid="_x0000_s2049" style="position:absolute;z-index:251657728;visibility:visible;mso-wrap-distance-top:-6e-5mm;mso-wrap-distance-bottom:-6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3B" w:rsidRDefault="00C3133B" w:rsidP="00A53368">
    <w:pPr>
      <w:pStyle w:val="Header"/>
    </w:pPr>
    <w:r>
      <w:tab/>
      <w:t>Federal Communications Commission</w:t>
    </w:r>
    <w:r>
      <w:tab/>
      <w:t xml:space="preserve">FCC 14-45  </w:t>
    </w:r>
  </w:p>
  <w:p w:rsidR="00C3133B" w:rsidRDefault="005E1757" w:rsidP="00A53368">
    <w:pPr>
      <w:pStyle w:val="Header"/>
    </w:pPr>
    <w:r>
      <w:rPr>
        <w:noProof/>
        <w:snapToGrid/>
      </w:rPr>
      <w:pict>
        <v:line id="Line 1" o:spid="_x0000_s2048" style="position:absolute;z-index:251656704;visibility:visible;mso-wrap-distance-top:-6e-5mm;mso-wrap-distance-bottom:-6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3B" w:rsidRDefault="00C3133B" w:rsidP="00A53368">
    <w:pPr>
      <w:pStyle w:val="Header"/>
    </w:pPr>
    <w:r>
      <w:tab/>
    </w:r>
  </w:p>
  <w:p w:rsidR="00C3133B" w:rsidRDefault="00C3133B" w:rsidP="00A533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3B" w:rsidRPr="003D156F" w:rsidRDefault="00C3133B" w:rsidP="00A53368">
    <w:pPr>
      <w:pStyle w:val="Header"/>
    </w:pPr>
    <w:r w:rsidRPr="003D156F">
      <w:tab/>
      <w:t>Federal Communications Commission</w:t>
    </w:r>
    <w:r w:rsidRPr="003D156F">
      <w:tab/>
      <w:t>FCC 1</w:t>
    </w:r>
    <w:r>
      <w:t>4-45</w:t>
    </w:r>
  </w:p>
  <w:p w:rsidR="00C3133B" w:rsidRPr="00A53368" w:rsidRDefault="005E1757" w:rsidP="00A53368">
    <w:pPr>
      <w:pStyle w:val="Header"/>
    </w:pPr>
    <w:r>
      <w:rPr>
        <w:noProof/>
        <w:snapToGrid/>
      </w:rPr>
      <w:pict>
        <v:line id="_x0000_s2050" style="position:absolute;z-index:251658752;visibility:visible;mso-wrap-distance-top:-6e-5mm;mso-wrap-distance-bottom:-6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4A3735"/>
    <w:multiLevelType w:val="hybridMultilevel"/>
    <w:tmpl w:val="60B09CD0"/>
    <w:lvl w:ilvl="0" w:tplc="CC380F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F9E3197"/>
    <w:multiLevelType w:val="hybridMultilevel"/>
    <w:tmpl w:val="0F0C9DBE"/>
    <w:lvl w:ilvl="0" w:tplc="705280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4"/>
  </w:num>
  <w:num w:numId="3">
    <w:abstractNumId w:val="7"/>
  </w:num>
  <w:num w:numId="4">
    <w:abstractNumId w:val="6"/>
  </w:num>
  <w:num w:numId="5">
    <w:abstractNumId w:val="8"/>
    <w:lvlOverride w:ilvl="0">
      <w:startOverride w:val="3"/>
    </w:lvlOverride>
  </w:num>
  <w:num w:numId="6">
    <w:abstractNumId w:val="8"/>
  </w:num>
  <w:num w:numId="7">
    <w:abstractNumId w:val="8"/>
  </w:num>
  <w:num w:numId="8">
    <w:abstractNumId w:val="1"/>
  </w:num>
  <w:num w:numId="9">
    <w:abstractNumId w:val="8"/>
  </w:num>
  <w:num w:numId="10">
    <w:abstractNumId w:val="2"/>
  </w:num>
  <w:num w:numId="11">
    <w:abstractNumId w:val="5"/>
  </w:num>
  <w:num w:numId="12">
    <w:abstractNumId w:val="3"/>
  </w:num>
  <w:num w:numId="13">
    <w:abstractNumId w:val="0"/>
  </w:num>
  <w:num w:numId="14">
    <w:abstractNumId w:val="8"/>
  </w:num>
  <w:num w:numId="15">
    <w:abstractNumId w:val="8"/>
    <w:lvlOverride w:ilvl="0">
      <w:startOverride w:val="1"/>
    </w:lvlOverride>
  </w:num>
  <w:num w:numId="16">
    <w:abstractNumId w:val="8"/>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504502"/>
    <w:rsid w:val="00002C1A"/>
    <w:rsid w:val="00004FA4"/>
    <w:rsid w:val="0000650A"/>
    <w:rsid w:val="00006C28"/>
    <w:rsid w:val="0001094F"/>
    <w:rsid w:val="00012E68"/>
    <w:rsid w:val="00013179"/>
    <w:rsid w:val="000139FC"/>
    <w:rsid w:val="00014C8F"/>
    <w:rsid w:val="000154E8"/>
    <w:rsid w:val="000165AE"/>
    <w:rsid w:val="000172C0"/>
    <w:rsid w:val="00017CAC"/>
    <w:rsid w:val="00020265"/>
    <w:rsid w:val="0002058F"/>
    <w:rsid w:val="0002144C"/>
    <w:rsid w:val="000222CD"/>
    <w:rsid w:val="000227E5"/>
    <w:rsid w:val="00022B01"/>
    <w:rsid w:val="00023270"/>
    <w:rsid w:val="00023DBF"/>
    <w:rsid w:val="00025BE5"/>
    <w:rsid w:val="00026B57"/>
    <w:rsid w:val="00030678"/>
    <w:rsid w:val="00030B88"/>
    <w:rsid w:val="00032E16"/>
    <w:rsid w:val="000330F9"/>
    <w:rsid w:val="00033250"/>
    <w:rsid w:val="00033876"/>
    <w:rsid w:val="00033C7E"/>
    <w:rsid w:val="000377E2"/>
    <w:rsid w:val="00041A8F"/>
    <w:rsid w:val="00043073"/>
    <w:rsid w:val="0004383A"/>
    <w:rsid w:val="000459F6"/>
    <w:rsid w:val="00047223"/>
    <w:rsid w:val="000509FA"/>
    <w:rsid w:val="000510AC"/>
    <w:rsid w:val="000513F8"/>
    <w:rsid w:val="00051A13"/>
    <w:rsid w:val="00051B06"/>
    <w:rsid w:val="000527CD"/>
    <w:rsid w:val="00052A86"/>
    <w:rsid w:val="0005307C"/>
    <w:rsid w:val="00053981"/>
    <w:rsid w:val="00053F9A"/>
    <w:rsid w:val="0005430F"/>
    <w:rsid w:val="00054594"/>
    <w:rsid w:val="0005513C"/>
    <w:rsid w:val="0005584D"/>
    <w:rsid w:val="00055C75"/>
    <w:rsid w:val="000564A9"/>
    <w:rsid w:val="00056CB9"/>
    <w:rsid w:val="00057D0B"/>
    <w:rsid w:val="00060613"/>
    <w:rsid w:val="0006091D"/>
    <w:rsid w:val="00060962"/>
    <w:rsid w:val="00060E93"/>
    <w:rsid w:val="000638F2"/>
    <w:rsid w:val="00064D60"/>
    <w:rsid w:val="00067AFC"/>
    <w:rsid w:val="00071417"/>
    <w:rsid w:val="0007172C"/>
    <w:rsid w:val="00071764"/>
    <w:rsid w:val="000720D4"/>
    <w:rsid w:val="00073B1E"/>
    <w:rsid w:val="00073F99"/>
    <w:rsid w:val="00074721"/>
    <w:rsid w:val="00075433"/>
    <w:rsid w:val="00076997"/>
    <w:rsid w:val="00077BF8"/>
    <w:rsid w:val="000808AF"/>
    <w:rsid w:val="00080AEA"/>
    <w:rsid w:val="000824AE"/>
    <w:rsid w:val="00082536"/>
    <w:rsid w:val="0008300F"/>
    <w:rsid w:val="000831BF"/>
    <w:rsid w:val="000833D4"/>
    <w:rsid w:val="00083C7D"/>
    <w:rsid w:val="00083EB4"/>
    <w:rsid w:val="00084287"/>
    <w:rsid w:val="00085CB6"/>
    <w:rsid w:val="00086E04"/>
    <w:rsid w:val="00086ECC"/>
    <w:rsid w:val="00090BE9"/>
    <w:rsid w:val="000916D4"/>
    <w:rsid w:val="00093C98"/>
    <w:rsid w:val="000942CB"/>
    <w:rsid w:val="00094577"/>
    <w:rsid w:val="000947B1"/>
    <w:rsid w:val="000953F3"/>
    <w:rsid w:val="00095C11"/>
    <w:rsid w:val="000967FB"/>
    <w:rsid w:val="00097C4E"/>
    <w:rsid w:val="000A0053"/>
    <w:rsid w:val="000A0776"/>
    <w:rsid w:val="000A1F56"/>
    <w:rsid w:val="000A2E93"/>
    <w:rsid w:val="000A2EF0"/>
    <w:rsid w:val="000A3B51"/>
    <w:rsid w:val="000B0AF2"/>
    <w:rsid w:val="000B113E"/>
    <w:rsid w:val="000B1B2C"/>
    <w:rsid w:val="000B1E0F"/>
    <w:rsid w:val="000B1EEC"/>
    <w:rsid w:val="000B2DB1"/>
    <w:rsid w:val="000B5967"/>
    <w:rsid w:val="000B649A"/>
    <w:rsid w:val="000B6B61"/>
    <w:rsid w:val="000C16BB"/>
    <w:rsid w:val="000C5C74"/>
    <w:rsid w:val="000C6485"/>
    <w:rsid w:val="000D08FD"/>
    <w:rsid w:val="000D1780"/>
    <w:rsid w:val="000D38CD"/>
    <w:rsid w:val="000D4E16"/>
    <w:rsid w:val="000D6CD7"/>
    <w:rsid w:val="000D6CFA"/>
    <w:rsid w:val="000E2178"/>
    <w:rsid w:val="000E47F9"/>
    <w:rsid w:val="000E7AE8"/>
    <w:rsid w:val="000E7D6F"/>
    <w:rsid w:val="000E7D8F"/>
    <w:rsid w:val="000F1F5C"/>
    <w:rsid w:val="000F3164"/>
    <w:rsid w:val="000F3971"/>
    <w:rsid w:val="000F46FB"/>
    <w:rsid w:val="000F4F89"/>
    <w:rsid w:val="000F553F"/>
    <w:rsid w:val="000F55B9"/>
    <w:rsid w:val="000F616A"/>
    <w:rsid w:val="000F7C9E"/>
    <w:rsid w:val="0010076A"/>
    <w:rsid w:val="00101554"/>
    <w:rsid w:val="00101EF3"/>
    <w:rsid w:val="00103CE3"/>
    <w:rsid w:val="00104A92"/>
    <w:rsid w:val="00105202"/>
    <w:rsid w:val="00110208"/>
    <w:rsid w:val="00113A0F"/>
    <w:rsid w:val="00113D2D"/>
    <w:rsid w:val="001151B9"/>
    <w:rsid w:val="001153F5"/>
    <w:rsid w:val="001155A3"/>
    <w:rsid w:val="001159E7"/>
    <w:rsid w:val="001159F4"/>
    <w:rsid w:val="0012071C"/>
    <w:rsid w:val="00120BD7"/>
    <w:rsid w:val="00120BE6"/>
    <w:rsid w:val="00121B89"/>
    <w:rsid w:val="00122828"/>
    <w:rsid w:val="00123855"/>
    <w:rsid w:val="00123A28"/>
    <w:rsid w:val="00125C3E"/>
    <w:rsid w:val="00126361"/>
    <w:rsid w:val="0012652A"/>
    <w:rsid w:val="00130026"/>
    <w:rsid w:val="001301CE"/>
    <w:rsid w:val="00130B5F"/>
    <w:rsid w:val="00132363"/>
    <w:rsid w:val="001324B6"/>
    <w:rsid w:val="001335B3"/>
    <w:rsid w:val="00134812"/>
    <w:rsid w:val="001376C3"/>
    <w:rsid w:val="00140636"/>
    <w:rsid w:val="00141076"/>
    <w:rsid w:val="001412E4"/>
    <w:rsid w:val="001417DE"/>
    <w:rsid w:val="00143159"/>
    <w:rsid w:val="00146187"/>
    <w:rsid w:val="00146E2C"/>
    <w:rsid w:val="001479D7"/>
    <w:rsid w:val="001507C2"/>
    <w:rsid w:val="001509BB"/>
    <w:rsid w:val="0015202A"/>
    <w:rsid w:val="00153EB1"/>
    <w:rsid w:val="00155BA3"/>
    <w:rsid w:val="00156B08"/>
    <w:rsid w:val="00157798"/>
    <w:rsid w:val="00157D7C"/>
    <w:rsid w:val="00160297"/>
    <w:rsid w:val="00160D7E"/>
    <w:rsid w:val="001612BE"/>
    <w:rsid w:val="0016249C"/>
    <w:rsid w:val="001627FE"/>
    <w:rsid w:val="00162C9A"/>
    <w:rsid w:val="00163087"/>
    <w:rsid w:val="00166F2B"/>
    <w:rsid w:val="00167A12"/>
    <w:rsid w:val="001722A7"/>
    <w:rsid w:val="0017274F"/>
    <w:rsid w:val="00172912"/>
    <w:rsid w:val="00172C1E"/>
    <w:rsid w:val="00174D55"/>
    <w:rsid w:val="00175B8C"/>
    <w:rsid w:val="00176196"/>
    <w:rsid w:val="0017740B"/>
    <w:rsid w:val="00177C01"/>
    <w:rsid w:val="00181042"/>
    <w:rsid w:val="00181D1F"/>
    <w:rsid w:val="00184724"/>
    <w:rsid w:val="00184AF0"/>
    <w:rsid w:val="001858C9"/>
    <w:rsid w:val="0018674F"/>
    <w:rsid w:val="00186C45"/>
    <w:rsid w:val="00187444"/>
    <w:rsid w:val="001879BC"/>
    <w:rsid w:val="00187B49"/>
    <w:rsid w:val="00187DBB"/>
    <w:rsid w:val="0019000C"/>
    <w:rsid w:val="00190EF0"/>
    <w:rsid w:val="001914A5"/>
    <w:rsid w:val="00192127"/>
    <w:rsid w:val="0019366F"/>
    <w:rsid w:val="00193BCD"/>
    <w:rsid w:val="00194C00"/>
    <w:rsid w:val="00194EFD"/>
    <w:rsid w:val="00196FA6"/>
    <w:rsid w:val="0019737E"/>
    <w:rsid w:val="001A2743"/>
    <w:rsid w:val="001A3011"/>
    <w:rsid w:val="001A4E01"/>
    <w:rsid w:val="001A5A06"/>
    <w:rsid w:val="001A5FAE"/>
    <w:rsid w:val="001A6381"/>
    <w:rsid w:val="001A6A6B"/>
    <w:rsid w:val="001A6F52"/>
    <w:rsid w:val="001A7953"/>
    <w:rsid w:val="001B0763"/>
    <w:rsid w:val="001B11A9"/>
    <w:rsid w:val="001B1BE8"/>
    <w:rsid w:val="001B2679"/>
    <w:rsid w:val="001C099D"/>
    <w:rsid w:val="001C11BF"/>
    <w:rsid w:val="001C233C"/>
    <w:rsid w:val="001C233E"/>
    <w:rsid w:val="001C38C2"/>
    <w:rsid w:val="001C3A58"/>
    <w:rsid w:val="001C5593"/>
    <w:rsid w:val="001C6676"/>
    <w:rsid w:val="001C7A22"/>
    <w:rsid w:val="001D06ED"/>
    <w:rsid w:val="001D2586"/>
    <w:rsid w:val="001D5318"/>
    <w:rsid w:val="001D7A9E"/>
    <w:rsid w:val="001D7B13"/>
    <w:rsid w:val="001D7CB2"/>
    <w:rsid w:val="001E08D3"/>
    <w:rsid w:val="001E22B0"/>
    <w:rsid w:val="001E31D3"/>
    <w:rsid w:val="001E4ED5"/>
    <w:rsid w:val="001E59B0"/>
    <w:rsid w:val="001E5CB2"/>
    <w:rsid w:val="001E7CE2"/>
    <w:rsid w:val="001F0667"/>
    <w:rsid w:val="001F0D77"/>
    <w:rsid w:val="001F2F6B"/>
    <w:rsid w:val="001F3E0D"/>
    <w:rsid w:val="001F4DB3"/>
    <w:rsid w:val="00200A5C"/>
    <w:rsid w:val="00202D29"/>
    <w:rsid w:val="00202EF0"/>
    <w:rsid w:val="00203AAC"/>
    <w:rsid w:val="00204F6E"/>
    <w:rsid w:val="00205391"/>
    <w:rsid w:val="00205A36"/>
    <w:rsid w:val="00205D95"/>
    <w:rsid w:val="00205F16"/>
    <w:rsid w:val="00207A17"/>
    <w:rsid w:val="00207E82"/>
    <w:rsid w:val="00207FA9"/>
    <w:rsid w:val="00212EE6"/>
    <w:rsid w:val="0021458F"/>
    <w:rsid w:val="002177B1"/>
    <w:rsid w:val="002179D6"/>
    <w:rsid w:val="00217AD0"/>
    <w:rsid w:val="00217EA7"/>
    <w:rsid w:val="00220B53"/>
    <w:rsid w:val="002219A0"/>
    <w:rsid w:val="0022226F"/>
    <w:rsid w:val="00222575"/>
    <w:rsid w:val="002228BE"/>
    <w:rsid w:val="00222BD5"/>
    <w:rsid w:val="00223145"/>
    <w:rsid w:val="00224320"/>
    <w:rsid w:val="00224459"/>
    <w:rsid w:val="0022451C"/>
    <w:rsid w:val="00225491"/>
    <w:rsid w:val="00225D1F"/>
    <w:rsid w:val="002267E2"/>
    <w:rsid w:val="002277BA"/>
    <w:rsid w:val="00227CA9"/>
    <w:rsid w:val="00230B22"/>
    <w:rsid w:val="00230BB8"/>
    <w:rsid w:val="00231BFF"/>
    <w:rsid w:val="00232E6A"/>
    <w:rsid w:val="002336B0"/>
    <w:rsid w:val="002346EE"/>
    <w:rsid w:val="00237315"/>
    <w:rsid w:val="002405C0"/>
    <w:rsid w:val="002409E9"/>
    <w:rsid w:val="00240A7A"/>
    <w:rsid w:val="00240EE2"/>
    <w:rsid w:val="00241113"/>
    <w:rsid w:val="002417E4"/>
    <w:rsid w:val="00241C9E"/>
    <w:rsid w:val="00243DC7"/>
    <w:rsid w:val="00243FAE"/>
    <w:rsid w:val="002443EE"/>
    <w:rsid w:val="00244C67"/>
    <w:rsid w:val="002455AD"/>
    <w:rsid w:val="00245A89"/>
    <w:rsid w:val="00246459"/>
    <w:rsid w:val="002470A4"/>
    <w:rsid w:val="002475ED"/>
    <w:rsid w:val="002502C4"/>
    <w:rsid w:val="002528AB"/>
    <w:rsid w:val="00252B83"/>
    <w:rsid w:val="002547E7"/>
    <w:rsid w:val="00256720"/>
    <w:rsid w:val="00256BCD"/>
    <w:rsid w:val="00257010"/>
    <w:rsid w:val="002571BB"/>
    <w:rsid w:val="00257DB5"/>
    <w:rsid w:val="00260497"/>
    <w:rsid w:val="00260B94"/>
    <w:rsid w:val="00261CD8"/>
    <w:rsid w:val="00262461"/>
    <w:rsid w:val="00265B2A"/>
    <w:rsid w:val="00266BA3"/>
    <w:rsid w:val="00266CCD"/>
    <w:rsid w:val="002671E0"/>
    <w:rsid w:val="00267BF5"/>
    <w:rsid w:val="00267CE4"/>
    <w:rsid w:val="00270427"/>
    <w:rsid w:val="002706D8"/>
    <w:rsid w:val="002718C6"/>
    <w:rsid w:val="00271BFF"/>
    <w:rsid w:val="002726DD"/>
    <w:rsid w:val="002726ED"/>
    <w:rsid w:val="00273616"/>
    <w:rsid w:val="00273BA7"/>
    <w:rsid w:val="00275DBE"/>
    <w:rsid w:val="00276EE8"/>
    <w:rsid w:val="00277A29"/>
    <w:rsid w:val="00280B5F"/>
    <w:rsid w:val="0028162B"/>
    <w:rsid w:val="0028215F"/>
    <w:rsid w:val="002841CE"/>
    <w:rsid w:val="0028480D"/>
    <w:rsid w:val="0028517A"/>
    <w:rsid w:val="002851EF"/>
    <w:rsid w:val="00285424"/>
    <w:rsid w:val="00285A89"/>
    <w:rsid w:val="00285B2D"/>
    <w:rsid w:val="002878AB"/>
    <w:rsid w:val="00287F1B"/>
    <w:rsid w:val="00290A67"/>
    <w:rsid w:val="002921AC"/>
    <w:rsid w:val="002928D6"/>
    <w:rsid w:val="00293A0D"/>
    <w:rsid w:val="00293C34"/>
    <w:rsid w:val="002954AC"/>
    <w:rsid w:val="0029605A"/>
    <w:rsid w:val="00296C75"/>
    <w:rsid w:val="00297161"/>
    <w:rsid w:val="002A07FF"/>
    <w:rsid w:val="002A1840"/>
    <w:rsid w:val="002A271B"/>
    <w:rsid w:val="002A303C"/>
    <w:rsid w:val="002A307F"/>
    <w:rsid w:val="002A3C9C"/>
    <w:rsid w:val="002A5E7E"/>
    <w:rsid w:val="002A620F"/>
    <w:rsid w:val="002A70D0"/>
    <w:rsid w:val="002B161C"/>
    <w:rsid w:val="002B2454"/>
    <w:rsid w:val="002B3397"/>
    <w:rsid w:val="002B421C"/>
    <w:rsid w:val="002B4444"/>
    <w:rsid w:val="002B579C"/>
    <w:rsid w:val="002C1B59"/>
    <w:rsid w:val="002C2114"/>
    <w:rsid w:val="002C2EF5"/>
    <w:rsid w:val="002C4772"/>
    <w:rsid w:val="002C6FB6"/>
    <w:rsid w:val="002C7B42"/>
    <w:rsid w:val="002D03F3"/>
    <w:rsid w:val="002D0891"/>
    <w:rsid w:val="002D09CA"/>
    <w:rsid w:val="002D0E32"/>
    <w:rsid w:val="002D194B"/>
    <w:rsid w:val="002D2B09"/>
    <w:rsid w:val="002D2DE1"/>
    <w:rsid w:val="002D39CD"/>
    <w:rsid w:val="002D4E26"/>
    <w:rsid w:val="002D5703"/>
    <w:rsid w:val="002D5860"/>
    <w:rsid w:val="002D75C7"/>
    <w:rsid w:val="002E11B5"/>
    <w:rsid w:val="002E60AB"/>
    <w:rsid w:val="002E79CB"/>
    <w:rsid w:val="002E79D6"/>
    <w:rsid w:val="002F02B4"/>
    <w:rsid w:val="002F1E31"/>
    <w:rsid w:val="002F22D2"/>
    <w:rsid w:val="002F22F7"/>
    <w:rsid w:val="002F376C"/>
    <w:rsid w:val="002F3C0E"/>
    <w:rsid w:val="002F5D68"/>
    <w:rsid w:val="002F66AB"/>
    <w:rsid w:val="003003DE"/>
    <w:rsid w:val="00300912"/>
    <w:rsid w:val="0030345A"/>
    <w:rsid w:val="0030428B"/>
    <w:rsid w:val="003106FA"/>
    <w:rsid w:val="0031136B"/>
    <w:rsid w:val="0031152B"/>
    <w:rsid w:val="00311C34"/>
    <w:rsid w:val="003133C3"/>
    <w:rsid w:val="00314E36"/>
    <w:rsid w:val="00315286"/>
    <w:rsid w:val="00315812"/>
    <w:rsid w:val="00315A30"/>
    <w:rsid w:val="00316047"/>
    <w:rsid w:val="00317542"/>
    <w:rsid w:val="00324DC3"/>
    <w:rsid w:val="00325F30"/>
    <w:rsid w:val="00325FB0"/>
    <w:rsid w:val="00332C50"/>
    <w:rsid w:val="0033302D"/>
    <w:rsid w:val="00334FD5"/>
    <w:rsid w:val="00337063"/>
    <w:rsid w:val="003372D4"/>
    <w:rsid w:val="003402B2"/>
    <w:rsid w:val="00340666"/>
    <w:rsid w:val="00340F57"/>
    <w:rsid w:val="00341305"/>
    <w:rsid w:val="00341C05"/>
    <w:rsid w:val="0034352A"/>
    <w:rsid w:val="00343B41"/>
    <w:rsid w:val="0034532D"/>
    <w:rsid w:val="003462D6"/>
    <w:rsid w:val="003469A2"/>
    <w:rsid w:val="0035075D"/>
    <w:rsid w:val="0035409A"/>
    <w:rsid w:val="003570E2"/>
    <w:rsid w:val="00357391"/>
    <w:rsid w:val="00357AEA"/>
    <w:rsid w:val="00357E8A"/>
    <w:rsid w:val="003605D5"/>
    <w:rsid w:val="00360B3E"/>
    <w:rsid w:val="00361CFF"/>
    <w:rsid w:val="00361D3F"/>
    <w:rsid w:val="003624F5"/>
    <w:rsid w:val="003625D3"/>
    <w:rsid w:val="00362C89"/>
    <w:rsid w:val="00366504"/>
    <w:rsid w:val="003703C4"/>
    <w:rsid w:val="00371F14"/>
    <w:rsid w:val="00371F3A"/>
    <w:rsid w:val="0037212D"/>
    <w:rsid w:val="0037333D"/>
    <w:rsid w:val="0037354A"/>
    <w:rsid w:val="003742F4"/>
    <w:rsid w:val="00376262"/>
    <w:rsid w:val="0038242B"/>
    <w:rsid w:val="00382430"/>
    <w:rsid w:val="003832DF"/>
    <w:rsid w:val="003833BF"/>
    <w:rsid w:val="00384CE5"/>
    <w:rsid w:val="00385707"/>
    <w:rsid w:val="00385896"/>
    <w:rsid w:val="003877DE"/>
    <w:rsid w:val="0039114D"/>
    <w:rsid w:val="003920CD"/>
    <w:rsid w:val="00392A85"/>
    <w:rsid w:val="003949F7"/>
    <w:rsid w:val="00394B4C"/>
    <w:rsid w:val="003A09EC"/>
    <w:rsid w:val="003A0FB6"/>
    <w:rsid w:val="003A464D"/>
    <w:rsid w:val="003A67A7"/>
    <w:rsid w:val="003B1B85"/>
    <w:rsid w:val="003B2823"/>
    <w:rsid w:val="003B28E7"/>
    <w:rsid w:val="003B2C11"/>
    <w:rsid w:val="003B415F"/>
    <w:rsid w:val="003B4367"/>
    <w:rsid w:val="003B5862"/>
    <w:rsid w:val="003C13FC"/>
    <w:rsid w:val="003C241C"/>
    <w:rsid w:val="003C2F29"/>
    <w:rsid w:val="003C2FA3"/>
    <w:rsid w:val="003C3B6F"/>
    <w:rsid w:val="003C4374"/>
    <w:rsid w:val="003C4A29"/>
    <w:rsid w:val="003C7078"/>
    <w:rsid w:val="003C7987"/>
    <w:rsid w:val="003D0179"/>
    <w:rsid w:val="003D0BAA"/>
    <w:rsid w:val="003D156F"/>
    <w:rsid w:val="003D1D1B"/>
    <w:rsid w:val="003D32EA"/>
    <w:rsid w:val="003D36EB"/>
    <w:rsid w:val="003D4BF7"/>
    <w:rsid w:val="003D5007"/>
    <w:rsid w:val="003D534C"/>
    <w:rsid w:val="003D56DF"/>
    <w:rsid w:val="003D57FA"/>
    <w:rsid w:val="003D5BD3"/>
    <w:rsid w:val="003D6428"/>
    <w:rsid w:val="003D65D8"/>
    <w:rsid w:val="003D6992"/>
    <w:rsid w:val="003D76AB"/>
    <w:rsid w:val="003E02A1"/>
    <w:rsid w:val="003E0341"/>
    <w:rsid w:val="003E054D"/>
    <w:rsid w:val="003E2BD0"/>
    <w:rsid w:val="003E30DC"/>
    <w:rsid w:val="003E3206"/>
    <w:rsid w:val="003E5C55"/>
    <w:rsid w:val="003E670F"/>
    <w:rsid w:val="003E6D82"/>
    <w:rsid w:val="003E726D"/>
    <w:rsid w:val="003E7651"/>
    <w:rsid w:val="003F09B2"/>
    <w:rsid w:val="003F0A75"/>
    <w:rsid w:val="003F0EA2"/>
    <w:rsid w:val="003F0F00"/>
    <w:rsid w:val="003F1019"/>
    <w:rsid w:val="003F1559"/>
    <w:rsid w:val="003F2663"/>
    <w:rsid w:val="003F27F3"/>
    <w:rsid w:val="003F2E73"/>
    <w:rsid w:val="003F4037"/>
    <w:rsid w:val="003F66A7"/>
    <w:rsid w:val="004006B6"/>
    <w:rsid w:val="00402687"/>
    <w:rsid w:val="00402B5B"/>
    <w:rsid w:val="00403557"/>
    <w:rsid w:val="004035EE"/>
    <w:rsid w:val="00405251"/>
    <w:rsid w:val="00405F1F"/>
    <w:rsid w:val="004063B0"/>
    <w:rsid w:val="004076BA"/>
    <w:rsid w:val="0041088A"/>
    <w:rsid w:val="0041307D"/>
    <w:rsid w:val="00414233"/>
    <w:rsid w:val="00414535"/>
    <w:rsid w:val="00416061"/>
    <w:rsid w:val="004164DF"/>
    <w:rsid w:val="00416569"/>
    <w:rsid w:val="00416B47"/>
    <w:rsid w:val="00417979"/>
    <w:rsid w:val="0042211F"/>
    <w:rsid w:val="00422B99"/>
    <w:rsid w:val="00422BA2"/>
    <w:rsid w:val="0042484B"/>
    <w:rsid w:val="004252C2"/>
    <w:rsid w:val="00426132"/>
    <w:rsid w:val="00427703"/>
    <w:rsid w:val="00427F07"/>
    <w:rsid w:val="00430688"/>
    <w:rsid w:val="00431B30"/>
    <w:rsid w:val="004322C2"/>
    <w:rsid w:val="00432D86"/>
    <w:rsid w:val="004331FF"/>
    <w:rsid w:val="004336A5"/>
    <w:rsid w:val="004352BC"/>
    <w:rsid w:val="004357F9"/>
    <w:rsid w:val="00435B4D"/>
    <w:rsid w:val="00440CA4"/>
    <w:rsid w:val="004425A6"/>
    <w:rsid w:val="004429AF"/>
    <w:rsid w:val="00443C95"/>
    <w:rsid w:val="004538A2"/>
    <w:rsid w:val="00453C14"/>
    <w:rsid w:val="00454F6C"/>
    <w:rsid w:val="004570ED"/>
    <w:rsid w:val="00460696"/>
    <w:rsid w:val="004607E1"/>
    <w:rsid w:val="004619D5"/>
    <w:rsid w:val="00464862"/>
    <w:rsid w:val="00464A46"/>
    <w:rsid w:val="00464FF4"/>
    <w:rsid w:val="004656FC"/>
    <w:rsid w:val="00466114"/>
    <w:rsid w:val="0046661B"/>
    <w:rsid w:val="00466D2C"/>
    <w:rsid w:val="00467FCF"/>
    <w:rsid w:val="0047014E"/>
    <w:rsid w:val="00470F8F"/>
    <w:rsid w:val="00471B9F"/>
    <w:rsid w:val="0047243B"/>
    <w:rsid w:val="004728F5"/>
    <w:rsid w:val="00472F83"/>
    <w:rsid w:val="004739B0"/>
    <w:rsid w:val="004743E6"/>
    <w:rsid w:val="0047456E"/>
    <w:rsid w:val="00474A1B"/>
    <w:rsid w:val="00474DE4"/>
    <w:rsid w:val="00474EF3"/>
    <w:rsid w:val="0047713C"/>
    <w:rsid w:val="00477F86"/>
    <w:rsid w:val="004818E5"/>
    <w:rsid w:val="00484020"/>
    <w:rsid w:val="0048504B"/>
    <w:rsid w:val="00486279"/>
    <w:rsid w:val="004865B4"/>
    <w:rsid w:val="00487A9A"/>
    <w:rsid w:val="00490A59"/>
    <w:rsid w:val="00491BFB"/>
    <w:rsid w:val="00492559"/>
    <w:rsid w:val="0049260A"/>
    <w:rsid w:val="00492B14"/>
    <w:rsid w:val="004954A3"/>
    <w:rsid w:val="0049785B"/>
    <w:rsid w:val="004A0191"/>
    <w:rsid w:val="004A070E"/>
    <w:rsid w:val="004A14E5"/>
    <w:rsid w:val="004A37A6"/>
    <w:rsid w:val="004A3D19"/>
    <w:rsid w:val="004A456E"/>
    <w:rsid w:val="004A4AD0"/>
    <w:rsid w:val="004A4E88"/>
    <w:rsid w:val="004A53F3"/>
    <w:rsid w:val="004A68BD"/>
    <w:rsid w:val="004A7D53"/>
    <w:rsid w:val="004B04E7"/>
    <w:rsid w:val="004B2CA8"/>
    <w:rsid w:val="004B348A"/>
    <w:rsid w:val="004B34E6"/>
    <w:rsid w:val="004B36D0"/>
    <w:rsid w:val="004B56D3"/>
    <w:rsid w:val="004B5D6F"/>
    <w:rsid w:val="004B6EC8"/>
    <w:rsid w:val="004B7FBF"/>
    <w:rsid w:val="004C09ED"/>
    <w:rsid w:val="004C0F88"/>
    <w:rsid w:val="004C2981"/>
    <w:rsid w:val="004C32E2"/>
    <w:rsid w:val="004C5AD8"/>
    <w:rsid w:val="004C6F6F"/>
    <w:rsid w:val="004C79F4"/>
    <w:rsid w:val="004C7A2A"/>
    <w:rsid w:val="004D1252"/>
    <w:rsid w:val="004D40BB"/>
    <w:rsid w:val="004D4FB7"/>
    <w:rsid w:val="004D5171"/>
    <w:rsid w:val="004D7194"/>
    <w:rsid w:val="004E01FF"/>
    <w:rsid w:val="004E1268"/>
    <w:rsid w:val="004E1F2A"/>
    <w:rsid w:val="004E1F8E"/>
    <w:rsid w:val="004E21A1"/>
    <w:rsid w:val="004E26FA"/>
    <w:rsid w:val="004E39E6"/>
    <w:rsid w:val="004E3F60"/>
    <w:rsid w:val="004E7437"/>
    <w:rsid w:val="004F1F52"/>
    <w:rsid w:val="004F3276"/>
    <w:rsid w:val="004F4E3E"/>
    <w:rsid w:val="004F5638"/>
    <w:rsid w:val="004F6D15"/>
    <w:rsid w:val="00500D4C"/>
    <w:rsid w:val="0050304F"/>
    <w:rsid w:val="0050421D"/>
    <w:rsid w:val="00504291"/>
    <w:rsid w:val="00504502"/>
    <w:rsid w:val="0050482E"/>
    <w:rsid w:val="00506CF1"/>
    <w:rsid w:val="005070AB"/>
    <w:rsid w:val="0051033D"/>
    <w:rsid w:val="00511371"/>
    <w:rsid w:val="00514192"/>
    <w:rsid w:val="005144EE"/>
    <w:rsid w:val="00515C2B"/>
    <w:rsid w:val="00515E18"/>
    <w:rsid w:val="005161F2"/>
    <w:rsid w:val="005165E6"/>
    <w:rsid w:val="00517C91"/>
    <w:rsid w:val="00520106"/>
    <w:rsid w:val="005201C9"/>
    <w:rsid w:val="0052039B"/>
    <w:rsid w:val="00521927"/>
    <w:rsid w:val="005223B1"/>
    <w:rsid w:val="00522B48"/>
    <w:rsid w:val="00522D49"/>
    <w:rsid w:val="00522E8E"/>
    <w:rsid w:val="00522F9F"/>
    <w:rsid w:val="0052461C"/>
    <w:rsid w:val="0052508D"/>
    <w:rsid w:val="005250A4"/>
    <w:rsid w:val="00525DB5"/>
    <w:rsid w:val="00526A03"/>
    <w:rsid w:val="00530AA7"/>
    <w:rsid w:val="005316BC"/>
    <w:rsid w:val="00531A0D"/>
    <w:rsid w:val="00531C4C"/>
    <w:rsid w:val="005324DA"/>
    <w:rsid w:val="00533074"/>
    <w:rsid w:val="005335C8"/>
    <w:rsid w:val="00534412"/>
    <w:rsid w:val="005346EB"/>
    <w:rsid w:val="00535088"/>
    <w:rsid w:val="00535616"/>
    <w:rsid w:val="005357DE"/>
    <w:rsid w:val="00540DE8"/>
    <w:rsid w:val="00540F42"/>
    <w:rsid w:val="00543316"/>
    <w:rsid w:val="00543AD1"/>
    <w:rsid w:val="005443E8"/>
    <w:rsid w:val="00544C64"/>
    <w:rsid w:val="00546362"/>
    <w:rsid w:val="005469BD"/>
    <w:rsid w:val="00547611"/>
    <w:rsid w:val="00550F6D"/>
    <w:rsid w:val="005531AA"/>
    <w:rsid w:val="005537BB"/>
    <w:rsid w:val="0055528C"/>
    <w:rsid w:val="00555DDC"/>
    <w:rsid w:val="00557E73"/>
    <w:rsid w:val="00560341"/>
    <w:rsid w:val="00560B27"/>
    <w:rsid w:val="00561B9A"/>
    <w:rsid w:val="00561EFE"/>
    <w:rsid w:val="00562113"/>
    <w:rsid w:val="00563C6A"/>
    <w:rsid w:val="00563FC9"/>
    <w:rsid w:val="0056430A"/>
    <w:rsid w:val="005647F0"/>
    <w:rsid w:val="005652CE"/>
    <w:rsid w:val="00565478"/>
    <w:rsid w:val="0056576A"/>
    <w:rsid w:val="005659A0"/>
    <w:rsid w:val="00566B3E"/>
    <w:rsid w:val="005704ED"/>
    <w:rsid w:val="00570981"/>
    <w:rsid w:val="00570FBD"/>
    <w:rsid w:val="00571028"/>
    <w:rsid w:val="00571995"/>
    <w:rsid w:val="0057213E"/>
    <w:rsid w:val="005724A2"/>
    <w:rsid w:val="00573010"/>
    <w:rsid w:val="005737E5"/>
    <w:rsid w:val="005745B1"/>
    <w:rsid w:val="00575061"/>
    <w:rsid w:val="005752E0"/>
    <w:rsid w:val="00576EF3"/>
    <w:rsid w:val="005777E0"/>
    <w:rsid w:val="00577D67"/>
    <w:rsid w:val="005810F4"/>
    <w:rsid w:val="005819B0"/>
    <w:rsid w:val="005826BD"/>
    <w:rsid w:val="00582999"/>
    <w:rsid w:val="00582C20"/>
    <w:rsid w:val="005834D9"/>
    <w:rsid w:val="00584A5C"/>
    <w:rsid w:val="005852D4"/>
    <w:rsid w:val="005907A7"/>
    <w:rsid w:val="00590ACC"/>
    <w:rsid w:val="00590DF5"/>
    <w:rsid w:val="00591B09"/>
    <w:rsid w:val="005928EC"/>
    <w:rsid w:val="00592B40"/>
    <w:rsid w:val="00594146"/>
    <w:rsid w:val="005957E1"/>
    <w:rsid w:val="005A2529"/>
    <w:rsid w:val="005A2852"/>
    <w:rsid w:val="005A32F4"/>
    <w:rsid w:val="005A3825"/>
    <w:rsid w:val="005A4887"/>
    <w:rsid w:val="005A59AC"/>
    <w:rsid w:val="005A603D"/>
    <w:rsid w:val="005B034A"/>
    <w:rsid w:val="005B174A"/>
    <w:rsid w:val="005B272B"/>
    <w:rsid w:val="005B27C6"/>
    <w:rsid w:val="005B2F70"/>
    <w:rsid w:val="005B3096"/>
    <w:rsid w:val="005B3CF4"/>
    <w:rsid w:val="005B3EA4"/>
    <w:rsid w:val="005B4EAC"/>
    <w:rsid w:val="005B4FBC"/>
    <w:rsid w:val="005C00F2"/>
    <w:rsid w:val="005C126E"/>
    <w:rsid w:val="005C12CD"/>
    <w:rsid w:val="005C2A25"/>
    <w:rsid w:val="005C3737"/>
    <w:rsid w:val="005C39A7"/>
    <w:rsid w:val="005C3EF6"/>
    <w:rsid w:val="005C448E"/>
    <w:rsid w:val="005C5327"/>
    <w:rsid w:val="005C5B56"/>
    <w:rsid w:val="005C5E61"/>
    <w:rsid w:val="005C676D"/>
    <w:rsid w:val="005C7E07"/>
    <w:rsid w:val="005D0A7D"/>
    <w:rsid w:val="005D1613"/>
    <w:rsid w:val="005D3E89"/>
    <w:rsid w:val="005D40C8"/>
    <w:rsid w:val="005D45A3"/>
    <w:rsid w:val="005D484D"/>
    <w:rsid w:val="005D4973"/>
    <w:rsid w:val="005D5DB2"/>
    <w:rsid w:val="005D6436"/>
    <w:rsid w:val="005D6695"/>
    <w:rsid w:val="005D6A72"/>
    <w:rsid w:val="005D7284"/>
    <w:rsid w:val="005E1757"/>
    <w:rsid w:val="005E20AB"/>
    <w:rsid w:val="005E22B5"/>
    <w:rsid w:val="005E234D"/>
    <w:rsid w:val="005E2EBC"/>
    <w:rsid w:val="005E3422"/>
    <w:rsid w:val="005E398F"/>
    <w:rsid w:val="005E4744"/>
    <w:rsid w:val="005E5F89"/>
    <w:rsid w:val="005E6082"/>
    <w:rsid w:val="005E7A8A"/>
    <w:rsid w:val="005E7E86"/>
    <w:rsid w:val="005F2194"/>
    <w:rsid w:val="005F3D0E"/>
    <w:rsid w:val="005F456F"/>
    <w:rsid w:val="005F4EBD"/>
    <w:rsid w:val="005F51BB"/>
    <w:rsid w:val="005F5D44"/>
    <w:rsid w:val="005F6251"/>
    <w:rsid w:val="005F6FEA"/>
    <w:rsid w:val="005F712A"/>
    <w:rsid w:val="00600BD4"/>
    <w:rsid w:val="00603437"/>
    <w:rsid w:val="00604838"/>
    <w:rsid w:val="00604DCA"/>
    <w:rsid w:val="00605313"/>
    <w:rsid w:val="0060634F"/>
    <w:rsid w:val="00607355"/>
    <w:rsid w:val="006109DA"/>
    <w:rsid w:val="00610E47"/>
    <w:rsid w:val="006116EE"/>
    <w:rsid w:val="00611D41"/>
    <w:rsid w:val="00612AE4"/>
    <w:rsid w:val="00612DD1"/>
    <w:rsid w:val="00612F67"/>
    <w:rsid w:val="0061392E"/>
    <w:rsid w:val="00613A1B"/>
    <w:rsid w:val="00614B17"/>
    <w:rsid w:val="00614D1F"/>
    <w:rsid w:val="00617C0F"/>
    <w:rsid w:val="00617E3B"/>
    <w:rsid w:val="006206A5"/>
    <w:rsid w:val="0062292A"/>
    <w:rsid w:val="0062426E"/>
    <w:rsid w:val="00624453"/>
    <w:rsid w:val="0062455A"/>
    <w:rsid w:val="00625AA7"/>
    <w:rsid w:val="00625DB4"/>
    <w:rsid w:val="006264F4"/>
    <w:rsid w:val="00626AA0"/>
    <w:rsid w:val="00631104"/>
    <w:rsid w:val="006324FD"/>
    <w:rsid w:val="006336E3"/>
    <w:rsid w:val="00635C8E"/>
    <w:rsid w:val="006362E0"/>
    <w:rsid w:val="0064017F"/>
    <w:rsid w:val="00640835"/>
    <w:rsid w:val="00642C1E"/>
    <w:rsid w:val="00642EBD"/>
    <w:rsid w:val="00642FA5"/>
    <w:rsid w:val="00644FA3"/>
    <w:rsid w:val="00645A3A"/>
    <w:rsid w:val="006471B7"/>
    <w:rsid w:val="00650339"/>
    <w:rsid w:val="00650574"/>
    <w:rsid w:val="00651D0C"/>
    <w:rsid w:val="0065233A"/>
    <w:rsid w:val="006525AE"/>
    <w:rsid w:val="00652712"/>
    <w:rsid w:val="0065286A"/>
    <w:rsid w:val="00652EC3"/>
    <w:rsid w:val="0065419D"/>
    <w:rsid w:val="00654435"/>
    <w:rsid w:val="00654F61"/>
    <w:rsid w:val="006572BD"/>
    <w:rsid w:val="006600E2"/>
    <w:rsid w:val="00660973"/>
    <w:rsid w:val="00660F07"/>
    <w:rsid w:val="00661628"/>
    <w:rsid w:val="00661C9C"/>
    <w:rsid w:val="00663980"/>
    <w:rsid w:val="00665926"/>
    <w:rsid w:val="00666C6B"/>
    <w:rsid w:val="0066701B"/>
    <w:rsid w:val="0066782A"/>
    <w:rsid w:val="00667F24"/>
    <w:rsid w:val="00671CD6"/>
    <w:rsid w:val="00671EBC"/>
    <w:rsid w:val="00672D5D"/>
    <w:rsid w:val="00672FB8"/>
    <w:rsid w:val="00673A0E"/>
    <w:rsid w:val="006748C8"/>
    <w:rsid w:val="006749DF"/>
    <w:rsid w:val="006758B7"/>
    <w:rsid w:val="00676CFB"/>
    <w:rsid w:val="00676FCE"/>
    <w:rsid w:val="00677E82"/>
    <w:rsid w:val="00680A9D"/>
    <w:rsid w:val="00681593"/>
    <w:rsid w:val="0068198A"/>
    <w:rsid w:val="006822F3"/>
    <w:rsid w:val="00682CB5"/>
    <w:rsid w:val="00684F12"/>
    <w:rsid w:val="006900B6"/>
    <w:rsid w:val="006901E1"/>
    <w:rsid w:val="00690299"/>
    <w:rsid w:val="00690A45"/>
    <w:rsid w:val="00690ABD"/>
    <w:rsid w:val="006916DF"/>
    <w:rsid w:val="0069200D"/>
    <w:rsid w:val="00692FE0"/>
    <w:rsid w:val="006947CA"/>
    <w:rsid w:val="0069606B"/>
    <w:rsid w:val="006962B8"/>
    <w:rsid w:val="00697213"/>
    <w:rsid w:val="006979EC"/>
    <w:rsid w:val="006A083D"/>
    <w:rsid w:val="006A0FED"/>
    <w:rsid w:val="006A2083"/>
    <w:rsid w:val="006A33DC"/>
    <w:rsid w:val="006A7367"/>
    <w:rsid w:val="006A74CD"/>
    <w:rsid w:val="006A7725"/>
    <w:rsid w:val="006A781C"/>
    <w:rsid w:val="006B3D98"/>
    <w:rsid w:val="006B5BF1"/>
    <w:rsid w:val="006B67EE"/>
    <w:rsid w:val="006C10C7"/>
    <w:rsid w:val="006C44ED"/>
    <w:rsid w:val="006C630A"/>
    <w:rsid w:val="006C63B3"/>
    <w:rsid w:val="006C647F"/>
    <w:rsid w:val="006D05EA"/>
    <w:rsid w:val="006D29CE"/>
    <w:rsid w:val="006D3796"/>
    <w:rsid w:val="006D4361"/>
    <w:rsid w:val="006D4CEC"/>
    <w:rsid w:val="006D5004"/>
    <w:rsid w:val="006D5A8B"/>
    <w:rsid w:val="006D60AB"/>
    <w:rsid w:val="006D645E"/>
    <w:rsid w:val="006D6E91"/>
    <w:rsid w:val="006D795D"/>
    <w:rsid w:val="006E1648"/>
    <w:rsid w:val="006E477F"/>
    <w:rsid w:val="006E654B"/>
    <w:rsid w:val="006E654F"/>
    <w:rsid w:val="006E7501"/>
    <w:rsid w:val="006F03BD"/>
    <w:rsid w:val="006F0B75"/>
    <w:rsid w:val="006F0BA6"/>
    <w:rsid w:val="006F1225"/>
    <w:rsid w:val="006F2548"/>
    <w:rsid w:val="006F51FF"/>
    <w:rsid w:val="006F5B71"/>
    <w:rsid w:val="006F77C9"/>
    <w:rsid w:val="0070054B"/>
    <w:rsid w:val="00700AD5"/>
    <w:rsid w:val="00702237"/>
    <w:rsid w:val="0070264F"/>
    <w:rsid w:val="00702778"/>
    <w:rsid w:val="00702954"/>
    <w:rsid w:val="00703497"/>
    <w:rsid w:val="007048E6"/>
    <w:rsid w:val="00704A7B"/>
    <w:rsid w:val="0070611C"/>
    <w:rsid w:val="007079A3"/>
    <w:rsid w:val="00707FE1"/>
    <w:rsid w:val="007102DE"/>
    <w:rsid w:val="00710868"/>
    <w:rsid w:val="00710C9B"/>
    <w:rsid w:val="0071237A"/>
    <w:rsid w:val="007126E4"/>
    <w:rsid w:val="007128CC"/>
    <w:rsid w:val="00712D6E"/>
    <w:rsid w:val="007137BE"/>
    <w:rsid w:val="00713A47"/>
    <w:rsid w:val="00713ABB"/>
    <w:rsid w:val="00714AF3"/>
    <w:rsid w:val="00714EA3"/>
    <w:rsid w:val="00714FB7"/>
    <w:rsid w:val="0071733B"/>
    <w:rsid w:val="0071774E"/>
    <w:rsid w:val="0072023F"/>
    <w:rsid w:val="007229CA"/>
    <w:rsid w:val="0072304D"/>
    <w:rsid w:val="007233C4"/>
    <w:rsid w:val="007245E4"/>
    <w:rsid w:val="00724B5A"/>
    <w:rsid w:val="00724F24"/>
    <w:rsid w:val="00726BBC"/>
    <w:rsid w:val="00727C44"/>
    <w:rsid w:val="00731875"/>
    <w:rsid w:val="0073201B"/>
    <w:rsid w:val="00732504"/>
    <w:rsid w:val="007325A5"/>
    <w:rsid w:val="00735179"/>
    <w:rsid w:val="007351A1"/>
    <w:rsid w:val="00735220"/>
    <w:rsid w:val="00735A4F"/>
    <w:rsid w:val="00736619"/>
    <w:rsid w:val="00736853"/>
    <w:rsid w:val="007368FB"/>
    <w:rsid w:val="007371E0"/>
    <w:rsid w:val="007411F4"/>
    <w:rsid w:val="00741A71"/>
    <w:rsid w:val="00742E46"/>
    <w:rsid w:val="007431C3"/>
    <w:rsid w:val="00743F50"/>
    <w:rsid w:val="00744678"/>
    <w:rsid w:val="007452AF"/>
    <w:rsid w:val="0074532F"/>
    <w:rsid w:val="007458B0"/>
    <w:rsid w:val="00745BD3"/>
    <w:rsid w:val="007460E1"/>
    <w:rsid w:val="007464E4"/>
    <w:rsid w:val="00746639"/>
    <w:rsid w:val="007504ED"/>
    <w:rsid w:val="007510BE"/>
    <w:rsid w:val="00751315"/>
    <w:rsid w:val="00752A8C"/>
    <w:rsid w:val="00756AF3"/>
    <w:rsid w:val="00756B7F"/>
    <w:rsid w:val="007574E4"/>
    <w:rsid w:val="00760A7A"/>
    <w:rsid w:val="00760D90"/>
    <w:rsid w:val="00761A73"/>
    <w:rsid w:val="00761BDE"/>
    <w:rsid w:val="0076205D"/>
    <w:rsid w:val="00762F5F"/>
    <w:rsid w:val="00765002"/>
    <w:rsid w:val="007650A6"/>
    <w:rsid w:val="0076547E"/>
    <w:rsid w:val="00765726"/>
    <w:rsid w:val="00765B95"/>
    <w:rsid w:val="00766D2B"/>
    <w:rsid w:val="00767546"/>
    <w:rsid w:val="0077211E"/>
    <w:rsid w:val="007722FF"/>
    <w:rsid w:val="00773B2A"/>
    <w:rsid w:val="00774B85"/>
    <w:rsid w:val="007752B0"/>
    <w:rsid w:val="00775BE3"/>
    <w:rsid w:val="00776BFC"/>
    <w:rsid w:val="00777263"/>
    <w:rsid w:val="00777446"/>
    <w:rsid w:val="007778B5"/>
    <w:rsid w:val="007826DD"/>
    <w:rsid w:val="0078333E"/>
    <w:rsid w:val="00784AAC"/>
    <w:rsid w:val="00786478"/>
    <w:rsid w:val="00787145"/>
    <w:rsid w:val="007905CC"/>
    <w:rsid w:val="00791511"/>
    <w:rsid w:val="00791B07"/>
    <w:rsid w:val="00791D43"/>
    <w:rsid w:val="007922C4"/>
    <w:rsid w:val="00792400"/>
    <w:rsid w:val="00793E27"/>
    <w:rsid w:val="00794B23"/>
    <w:rsid w:val="00795192"/>
    <w:rsid w:val="007960E2"/>
    <w:rsid w:val="0079670C"/>
    <w:rsid w:val="0079694A"/>
    <w:rsid w:val="007971A3"/>
    <w:rsid w:val="007971C1"/>
    <w:rsid w:val="00797E3E"/>
    <w:rsid w:val="007A1B54"/>
    <w:rsid w:val="007A1F52"/>
    <w:rsid w:val="007A2088"/>
    <w:rsid w:val="007A23A9"/>
    <w:rsid w:val="007A2B6F"/>
    <w:rsid w:val="007A4075"/>
    <w:rsid w:val="007A4318"/>
    <w:rsid w:val="007A5833"/>
    <w:rsid w:val="007A6399"/>
    <w:rsid w:val="007A6A56"/>
    <w:rsid w:val="007A715E"/>
    <w:rsid w:val="007A792D"/>
    <w:rsid w:val="007A7BB1"/>
    <w:rsid w:val="007B038F"/>
    <w:rsid w:val="007B186D"/>
    <w:rsid w:val="007B25D5"/>
    <w:rsid w:val="007B2793"/>
    <w:rsid w:val="007B279D"/>
    <w:rsid w:val="007B4732"/>
    <w:rsid w:val="007B5065"/>
    <w:rsid w:val="007C0835"/>
    <w:rsid w:val="007C1298"/>
    <w:rsid w:val="007C275D"/>
    <w:rsid w:val="007C3F97"/>
    <w:rsid w:val="007C46A1"/>
    <w:rsid w:val="007C4CEC"/>
    <w:rsid w:val="007C4E31"/>
    <w:rsid w:val="007C5219"/>
    <w:rsid w:val="007C667B"/>
    <w:rsid w:val="007C6D64"/>
    <w:rsid w:val="007C7D53"/>
    <w:rsid w:val="007D04B7"/>
    <w:rsid w:val="007D12B4"/>
    <w:rsid w:val="007D1C8F"/>
    <w:rsid w:val="007D2605"/>
    <w:rsid w:val="007D3E9A"/>
    <w:rsid w:val="007D3F96"/>
    <w:rsid w:val="007D4532"/>
    <w:rsid w:val="007D678E"/>
    <w:rsid w:val="007D7C2F"/>
    <w:rsid w:val="007E0D49"/>
    <w:rsid w:val="007E12C5"/>
    <w:rsid w:val="007E1C72"/>
    <w:rsid w:val="007E2690"/>
    <w:rsid w:val="007E5185"/>
    <w:rsid w:val="007E667C"/>
    <w:rsid w:val="007E691C"/>
    <w:rsid w:val="007E7530"/>
    <w:rsid w:val="007F076E"/>
    <w:rsid w:val="007F13D8"/>
    <w:rsid w:val="007F1671"/>
    <w:rsid w:val="007F2631"/>
    <w:rsid w:val="007F29D2"/>
    <w:rsid w:val="007F340D"/>
    <w:rsid w:val="007F491F"/>
    <w:rsid w:val="007F4FDD"/>
    <w:rsid w:val="007F5775"/>
    <w:rsid w:val="007F6486"/>
    <w:rsid w:val="007F6BC4"/>
    <w:rsid w:val="007F7081"/>
    <w:rsid w:val="007F7C5D"/>
    <w:rsid w:val="0080040C"/>
    <w:rsid w:val="0080153B"/>
    <w:rsid w:val="00801EE4"/>
    <w:rsid w:val="00804A61"/>
    <w:rsid w:val="008058AF"/>
    <w:rsid w:val="00807B5B"/>
    <w:rsid w:val="00807D71"/>
    <w:rsid w:val="00811219"/>
    <w:rsid w:val="00811B4D"/>
    <w:rsid w:val="00812052"/>
    <w:rsid w:val="00812BB0"/>
    <w:rsid w:val="00815509"/>
    <w:rsid w:val="00815C87"/>
    <w:rsid w:val="00817524"/>
    <w:rsid w:val="00817683"/>
    <w:rsid w:val="00821D67"/>
    <w:rsid w:val="008244B3"/>
    <w:rsid w:val="00824692"/>
    <w:rsid w:val="00824A9C"/>
    <w:rsid w:val="00824CBD"/>
    <w:rsid w:val="00824FC7"/>
    <w:rsid w:val="0082579E"/>
    <w:rsid w:val="00826E02"/>
    <w:rsid w:val="008274F4"/>
    <w:rsid w:val="00827DEB"/>
    <w:rsid w:val="008300EE"/>
    <w:rsid w:val="008307F5"/>
    <w:rsid w:val="00831C2B"/>
    <w:rsid w:val="008320F1"/>
    <w:rsid w:val="00832672"/>
    <w:rsid w:val="008326A0"/>
    <w:rsid w:val="00832CDF"/>
    <w:rsid w:val="00833339"/>
    <w:rsid w:val="008352AE"/>
    <w:rsid w:val="00835898"/>
    <w:rsid w:val="00835D32"/>
    <w:rsid w:val="00836F13"/>
    <w:rsid w:val="00837D82"/>
    <w:rsid w:val="00841FFA"/>
    <w:rsid w:val="008423E9"/>
    <w:rsid w:val="00842837"/>
    <w:rsid w:val="00843356"/>
    <w:rsid w:val="00844E63"/>
    <w:rsid w:val="00844FC2"/>
    <w:rsid w:val="00845770"/>
    <w:rsid w:val="00846C0E"/>
    <w:rsid w:val="008513BA"/>
    <w:rsid w:val="00852380"/>
    <w:rsid w:val="008530AF"/>
    <w:rsid w:val="0085362F"/>
    <w:rsid w:val="008556D1"/>
    <w:rsid w:val="00860C3E"/>
    <w:rsid w:val="008611EC"/>
    <w:rsid w:val="008615CD"/>
    <w:rsid w:val="008618A7"/>
    <w:rsid w:val="008627CA"/>
    <w:rsid w:val="008627E7"/>
    <w:rsid w:val="00863196"/>
    <w:rsid w:val="00863541"/>
    <w:rsid w:val="00866CB0"/>
    <w:rsid w:val="008700BA"/>
    <w:rsid w:val="00870448"/>
    <w:rsid w:val="008706EF"/>
    <w:rsid w:val="00870CB3"/>
    <w:rsid w:val="00871155"/>
    <w:rsid w:val="0087186A"/>
    <w:rsid w:val="00871AD4"/>
    <w:rsid w:val="0087334D"/>
    <w:rsid w:val="0087471C"/>
    <w:rsid w:val="00874B9D"/>
    <w:rsid w:val="00874D1A"/>
    <w:rsid w:val="0087509B"/>
    <w:rsid w:val="008753FB"/>
    <w:rsid w:val="00875486"/>
    <w:rsid w:val="0087720B"/>
    <w:rsid w:val="008802F6"/>
    <w:rsid w:val="008823E5"/>
    <w:rsid w:val="008839A7"/>
    <w:rsid w:val="00883BBA"/>
    <w:rsid w:val="008857C9"/>
    <w:rsid w:val="00886E6E"/>
    <w:rsid w:val="00887CFD"/>
    <w:rsid w:val="00887FF6"/>
    <w:rsid w:val="00890356"/>
    <w:rsid w:val="008904A6"/>
    <w:rsid w:val="00892442"/>
    <w:rsid w:val="008932FB"/>
    <w:rsid w:val="008936A0"/>
    <w:rsid w:val="0089384E"/>
    <w:rsid w:val="00896366"/>
    <w:rsid w:val="00896CFF"/>
    <w:rsid w:val="00897D31"/>
    <w:rsid w:val="008A0272"/>
    <w:rsid w:val="008A2E86"/>
    <w:rsid w:val="008A5441"/>
    <w:rsid w:val="008A5894"/>
    <w:rsid w:val="008A5B9C"/>
    <w:rsid w:val="008A75AF"/>
    <w:rsid w:val="008B01BC"/>
    <w:rsid w:val="008B0706"/>
    <w:rsid w:val="008B109F"/>
    <w:rsid w:val="008B2F67"/>
    <w:rsid w:val="008B362D"/>
    <w:rsid w:val="008B39BE"/>
    <w:rsid w:val="008B3A27"/>
    <w:rsid w:val="008B5555"/>
    <w:rsid w:val="008B5637"/>
    <w:rsid w:val="008B73D1"/>
    <w:rsid w:val="008B78BD"/>
    <w:rsid w:val="008B7C1D"/>
    <w:rsid w:val="008C08C0"/>
    <w:rsid w:val="008C1F0B"/>
    <w:rsid w:val="008C207B"/>
    <w:rsid w:val="008C3620"/>
    <w:rsid w:val="008C3E30"/>
    <w:rsid w:val="008C3E37"/>
    <w:rsid w:val="008C5430"/>
    <w:rsid w:val="008C5903"/>
    <w:rsid w:val="008C6235"/>
    <w:rsid w:val="008C6B16"/>
    <w:rsid w:val="008C740E"/>
    <w:rsid w:val="008D026F"/>
    <w:rsid w:val="008D0E9A"/>
    <w:rsid w:val="008D0FFC"/>
    <w:rsid w:val="008D11CC"/>
    <w:rsid w:val="008D1275"/>
    <w:rsid w:val="008D537C"/>
    <w:rsid w:val="008D63BA"/>
    <w:rsid w:val="008E18CF"/>
    <w:rsid w:val="008E327C"/>
    <w:rsid w:val="008E35D0"/>
    <w:rsid w:val="008E7360"/>
    <w:rsid w:val="008F1403"/>
    <w:rsid w:val="008F1BBD"/>
    <w:rsid w:val="008F279D"/>
    <w:rsid w:val="008F4907"/>
    <w:rsid w:val="008F4E82"/>
    <w:rsid w:val="008F6D5F"/>
    <w:rsid w:val="0090093F"/>
    <w:rsid w:val="00900A0F"/>
    <w:rsid w:val="009010AF"/>
    <w:rsid w:val="009032D2"/>
    <w:rsid w:val="009033E4"/>
    <w:rsid w:val="009034C3"/>
    <w:rsid w:val="0090375A"/>
    <w:rsid w:val="0090384B"/>
    <w:rsid w:val="00904A65"/>
    <w:rsid w:val="00904F07"/>
    <w:rsid w:val="009051D4"/>
    <w:rsid w:val="00906041"/>
    <w:rsid w:val="00906B15"/>
    <w:rsid w:val="009106C1"/>
    <w:rsid w:val="0091174B"/>
    <w:rsid w:val="00912449"/>
    <w:rsid w:val="00912868"/>
    <w:rsid w:val="00913239"/>
    <w:rsid w:val="00913FFB"/>
    <w:rsid w:val="00914F45"/>
    <w:rsid w:val="00916808"/>
    <w:rsid w:val="00916B7F"/>
    <w:rsid w:val="00920021"/>
    <w:rsid w:val="0092072D"/>
    <w:rsid w:val="00921361"/>
    <w:rsid w:val="00921466"/>
    <w:rsid w:val="00921A23"/>
    <w:rsid w:val="00922079"/>
    <w:rsid w:val="009223E8"/>
    <w:rsid w:val="00922989"/>
    <w:rsid w:val="00923A64"/>
    <w:rsid w:val="00924206"/>
    <w:rsid w:val="00924886"/>
    <w:rsid w:val="00925ADB"/>
    <w:rsid w:val="00925F43"/>
    <w:rsid w:val="009302DD"/>
    <w:rsid w:val="00932858"/>
    <w:rsid w:val="00934432"/>
    <w:rsid w:val="0093567A"/>
    <w:rsid w:val="00937E5F"/>
    <w:rsid w:val="00940663"/>
    <w:rsid w:val="009410CC"/>
    <w:rsid w:val="00944051"/>
    <w:rsid w:val="00945EA7"/>
    <w:rsid w:val="0094684D"/>
    <w:rsid w:val="00947872"/>
    <w:rsid w:val="00950B2B"/>
    <w:rsid w:val="00950CD7"/>
    <w:rsid w:val="009518A2"/>
    <w:rsid w:val="0095198C"/>
    <w:rsid w:val="00953021"/>
    <w:rsid w:val="00953AFE"/>
    <w:rsid w:val="00953E3A"/>
    <w:rsid w:val="009561C1"/>
    <w:rsid w:val="009603AE"/>
    <w:rsid w:val="0096044F"/>
    <w:rsid w:val="00960CFF"/>
    <w:rsid w:val="00960EF7"/>
    <w:rsid w:val="009610AA"/>
    <w:rsid w:val="00961236"/>
    <w:rsid w:val="009638DD"/>
    <w:rsid w:val="00963C39"/>
    <w:rsid w:val="00965115"/>
    <w:rsid w:val="00965878"/>
    <w:rsid w:val="00965D2F"/>
    <w:rsid w:val="00965FBA"/>
    <w:rsid w:val="00965FF7"/>
    <w:rsid w:val="00967118"/>
    <w:rsid w:val="00967B72"/>
    <w:rsid w:val="00973358"/>
    <w:rsid w:val="00973610"/>
    <w:rsid w:val="0097379E"/>
    <w:rsid w:val="0097448C"/>
    <w:rsid w:val="009755D1"/>
    <w:rsid w:val="00977136"/>
    <w:rsid w:val="00977215"/>
    <w:rsid w:val="00980EDF"/>
    <w:rsid w:val="00981B4A"/>
    <w:rsid w:val="00983C21"/>
    <w:rsid w:val="00984BBB"/>
    <w:rsid w:val="00985C3A"/>
    <w:rsid w:val="00987F37"/>
    <w:rsid w:val="00990048"/>
    <w:rsid w:val="00992886"/>
    <w:rsid w:val="00992CF4"/>
    <w:rsid w:val="00993A87"/>
    <w:rsid w:val="00994830"/>
    <w:rsid w:val="009951F0"/>
    <w:rsid w:val="0099758D"/>
    <w:rsid w:val="0099760E"/>
    <w:rsid w:val="009A0655"/>
    <w:rsid w:val="009A0C35"/>
    <w:rsid w:val="009A181E"/>
    <w:rsid w:val="009A18F1"/>
    <w:rsid w:val="009A3B66"/>
    <w:rsid w:val="009A4C5C"/>
    <w:rsid w:val="009A5367"/>
    <w:rsid w:val="009A553C"/>
    <w:rsid w:val="009A5B57"/>
    <w:rsid w:val="009B0081"/>
    <w:rsid w:val="009B18E7"/>
    <w:rsid w:val="009B1F8B"/>
    <w:rsid w:val="009B2419"/>
    <w:rsid w:val="009B37E0"/>
    <w:rsid w:val="009B494D"/>
    <w:rsid w:val="009B4B43"/>
    <w:rsid w:val="009B4D5E"/>
    <w:rsid w:val="009B6B10"/>
    <w:rsid w:val="009B759D"/>
    <w:rsid w:val="009B7627"/>
    <w:rsid w:val="009B7937"/>
    <w:rsid w:val="009C13B4"/>
    <w:rsid w:val="009C1B80"/>
    <w:rsid w:val="009C262E"/>
    <w:rsid w:val="009C2E27"/>
    <w:rsid w:val="009C49C4"/>
    <w:rsid w:val="009C5246"/>
    <w:rsid w:val="009C5780"/>
    <w:rsid w:val="009D18E4"/>
    <w:rsid w:val="009D23ED"/>
    <w:rsid w:val="009D2D99"/>
    <w:rsid w:val="009D2E7B"/>
    <w:rsid w:val="009D3386"/>
    <w:rsid w:val="009D3509"/>
    <w:rsid w:val="009D5AE9"/>
    <w:rsid w:val="009D716D"/>
    <w:rsid w:val="009E0A3F"/>
    <w:rsid w:val="009E19D5"/>
    <w:rsid w:val="009E1E38"/>
    <w:rsid w:val="009E2607"/>
    <w:rsid w:val="009E29D9"/>
    <w:rsid w:val="009E3059"/>
    <w:rsid w:val="009E3109"/>
    <w:rsid w:val="009E4921"/>
    <w:rsid w:val="009E4BBD"/>
    <w:rsid w:val="009E6418"/>
    <w:rsid w:val="009E65FE"/>
    <w:rsid w:val="009E72BC"/>
    <w:rsid w:val="009F1806"/>
    <w:rsid w:val="009F1A8F"/>
    <w:rsid w:val="009F2030"/>
    <w:rsid w:val="009F26FA"/>
    <w:rsid w:val="009F2796"/>
    <w:rsid w:val="009F2BB5"/>
    <w:rsid w:val="009F52B4"/>
    <w:rsid w:val="009F67A3"/>
    <w:rsid w:val="009F7B61"/>
    <w:rsid w:val="00A00801"/>
    <w:rsid w:val="00A0212E"/>
    <w:rsid w:val="00A0287A"/>
    <w:rsid w:val="00A04D77"/>
    <w:rsid w:val="00A054B6"/>
    <w:rsid w:val="00A0685D"/>
    <w:rsid w:val="00A06D2B"/>
    <w:rsid w:val="00A06FE1"/>
    <w:rsid w:val="00A07029"/>
    <w:rsid w:val="00A076C1"/>
    <w:rsid w:val="00A10040"/>
    <w:rsid w:val="00A103CB"/>
    <w:rsid w:val="00A10F12"/>
    <w:rsid w:val="00A1266E"/>
    <w:rsid w:val="00A12671"/>
    <w:rsid w:val="00A13159"/>
    <w:rsid w:val="00A1331E"/>
    <w:rsid w:val="00A14739"/>
    <w:rsid w:val="00A15D85"/>
    <w:rsid w:val="00A16164"/>
    <w:rsid w:val="00A175BE"/>
    <w:rsid w:val="00A20305"/>
    <w:rsid w:val="00A22411"/>
    <w:rsid w:val="00A22DC9"/>
    <w:rsid w:val="00A2679D"/>
    <w:rsid w:val="00A27837"/>
    <w:rsid w:val="00A278AB"/>
    <w:rsid w:val="00A27C27"/>
    <w:rsid w:val="00A30EA3"/>
    <w:rsid w:val="00A31127"/>
    <w:rsid w:val="00A31D12"/>
    <w:rsid w:val="00A31F4A"/>
    <w:rsid w:val="00A32BD6"/>
    <w:rsid w:val="00A34040"/>
    <w:rsid w:val="00A35C09"/>
    <w:rsid w:val="00A37281"/>
    <w:rsid w:val="00A373CA"/>
    <w:rsid w:val="00A37842"/>
    <w:rsid w:val="00A379E2"/>
    <w:rsid w:val="00A37D79"/>
    <w:rsid w:val="00A423A9"/>
    <w:rsid w:val="00A42A09"/>
    <w:rsid w:val="00A432AE"/>
    <w:rsid w:val="00A43B68"/>
    <w:rsid w:val="00A458A0"/>
    <w:rsid w:val="00A45DBE"/>
    <w:rsid w:val="00A46ED2"/>
    <w:rsid w:val="00A5019D"/>
    <w:rsid w:val="00A503BD"/>
    <w:rsid w:val="00A5317E"/>
    <w:rsid w:val="00A53368"/>
    <w:rsid w:val="00A53D55"/>
    <w:rsid w:val="00A54157"/>
    <w:rsid w:val="00A54823"/>
    <w:rsid w:val="00A54938"/>
    <w:rsid w:val="00A56E9D"/>
    <w:rsid w:val="00A6026B"/>
    <w:rsid w:val="00A60AE9"/>
    <w:rsid w:val="00A60BA2"/>
    <w:rsid w:val="00A6185C"/>
    <w:rsid w:val="00A6332C"/>
    <w:rsid w:val="00A63424"/>
    <w:rsid w:val="00A642A3"/>
    <w:rsid w:val="00A64EB3"/>
    <w:rsid w:val="00A654B7"/>
    <w:rsid w:val="00A655C6"/>
    <w:rsid w:val="00A65A12"/>
    <w:rsid w:val="00A66B38"/>
    <w:rsid w:val="00A678D0"/>
    <w:rsid w:val="00A740E3"/>
    <w:rsid w:val="00A76EAC"/>
    <w:rsid w:val="00A8096D"/>
    <w:rsid w:val="00A80A32"/>
    <w:rsid w:val="00A814C1"/>
    <w:rsid w:val="00A8183D"/>
    <w:rsid w:val="00A83D46"/>
    <w:rsid w:val="00A84546"/>
    <w:rsid w:val="00A863F5"/>
    <w:rsid w:val="00A86B3C"/>
    <w:rsid w:val="00A90E97"/>
    <w:rsid w:val="00A92181"/>
    <w:rsid w:val="00A9476D"/>
    <w:rsid w:val="00A96B81"/>
    <w:rsid w:val="00A97841"/>
    <w:rsid w:val="00A97C7B"/>
    <w:rsid w:val="00AA0452"/>
    <w:rsid w:val="00AA3F62"/>
    <w:rsid w:val="00AA41CD"/>
    <w:rsid w:val="00AA429D"/>
    <w:rsid w:val="00AA56B2"/>
    <w:rsid w:val="00AA5F68"/>
    <w:rsid w:val="00AA6122"/>
    <w:rsid w:val="00AA63D5"/>
    <w:rsid w:val="00AA7ACA"/>
    <w:rsid w:val="00AB0634"/>
    <w:rsid w:val="00AB0AC0"/>
    <w:rsid w:val="00AB24BA"/>
    <w:rsid w:val="00AB2E73"/>
    <w:rsid w:val="00AB319A"/>
    <w:rsid w:val="00AB3E1B"/>
    <w:rsid w:val="00AB6465"/>
    <w:rsid w:val="00AB69BE"/>
    <w:rsid w:val="00AB7790"/>
    <w:rsid w:val="00AB7F06"/>
    <w:rsid w:val="00AB7FB3"/>
    <w:rsid w:val="00AC05C0"/>
    <w:rsid w:val="00AC07C1"/>
    <w:rsid w:val="00AC2025"/>
    <w:rsid w:val="00AC228F"/>
    <w:rsid w:val="00AC32C7"/>
    <w:rsid w:val="00AC3B35"/>
    <w:rsid w:val="00AC4CC6"/>
    <w:rsid w:val="00AC521F"/>
    <w:rsid w:val="00AC53AD"/>
    <w:rsid w:val="00AC68E3"/>
    <w:rsid w:val="00AC6F77"/>
    <w:rsid w:val="00AC79C7"/>
    <w:rsid w:val="00AD21E2"/>
    <w:rsid w:val="00AD292F"/>
    <w:rsid w:val="00AD2B78"/>
    <w:rsid w:val="00AD382A"/>
    <w:rsid w:val="00AD3B34"/>
    <w:rsid w:val="00AD417E"/>
    <w:rsid w:val="00AD5D3B"/>
    <w:rsid w:val="00AD7EA3"/>
    <w:rsid w:val="00AE0824"/>
    <w:rsid w:val="00AE0AB1"/>
    <w:rsid w:val="00AE2E9F"/>
    <w:rsid w:val="00AE3F12"/>
    <w:rsid w:val="00AE6417"/>
    <w:rsid w:val="00AE6B05"/>
    <w:rsid w:val="00AF12B7"/>
    <w:rsid w:val="00AF23B1"/>
    <w:rsid w:val="00AF3F95"/>
    <w:rsid w:val="00AF4F12"/>
    <w:rsid w:val="00AF5226"/>
    <w:rsid w:val="00AF5C7E"/>
    <w:rsid w:val="00AF7B73"/>
    <w:rsid w:val="00B00364"/>
    <w:rsid w:val="00B00469"/>
    <w:rsid w:val="00B01AAF"/>
    <w:rsid w:val="00B02ACE"/>
    <w:rsid w:val="00B0400B"/>
    <w:rsid w:val="00B04556"/>
    <w:rsid w:val="00B0480B"/>
    <w:rsid w:val="00B064EC"/>
    <w:rsid w:val="00B102B3"/>
    <w:rsid w:val="00B10BA9"/>
    <w:rsid w:val="00B11A20"/>
    <w:rsid w:val="00B11E68"/>
    <w:rsid w:val="00B11F2E"/>
    <w:rsid w:val="00B1373C"/>
    <w:rsid w:val="00B14F0E"/>
    <w:rsid w:val="00B15164"/>
    <w:rsid w:val="00B15C5C"/>
    <w:rsid w:val="00B163D1"/>
    <w:rsid w:val="00B173A8"/>
    <w:rsid w:val="00B174C9"/>
    <w:rsid w:val="00B20000"/>
    <w:rsid w:val="00B20D7D"/>
    <w:rsid w:val="00B216FD"/>
    <w:rsid w:val="00B2329C"/>
    <w:rsid w:val="00B234C6"/>
    <w:rsid w:val="00B247C9"/>
    <w:rsid w:val="00B256AA"/>
    <w:rsid w:val="00B269DF"/>
    <w:rsid w:val="00B26F26"/>
    <w:rsid w:val="00B2720B"/>
    <w:rsid w:val="00B32040"/>
    <w:rsid w:val="00B328CB"/>
    <w:rsid w:val="00B3353C"/>
    <w:rsid w:val="00B33BAC"/>
    <w:rsid w:val="00B3539C"/>
    <w:rsid w:val="00B37128"/>
    <w:rsid w:val="00B3765C"/>
    <w:rsid w:val="00B377E2"/>
    <w:rsid w:val="00B4152D"/>
    <w:rsid w:val="00B41983"/>
    <w:rsid w:val="00B4250B"/>
    <w:rsid w:val="00B438A1"/>
    <w:rsid w:val="00B43977"/>
    <w:rsid w:val="00B47D3E"/>
    <w:rsid w:val="00B521C8"/>
    <w:rsid w:val="00B53774"/>
    <w:rsid w:val="00B53D5B"/>
    <w:rsid w:val="00B53ED6"/>
    <w:rsid w:val="00B54E06"/>
    <w:rsid w:val="00B56DB7"/>
    <w:rsid w:val="00B5771B"/>
    <w:rsid w:val="00B60116"/>
    <w:rsid w:val="00B60636"/>
    <w:rsid w:val="00B63323"/>
    <w:rsid w:val="00B6372A"/>
    <w:rsid w:val="00B64BDC"/>
    <w:rsid w:val="00B66386"/>
    <w:rsid w:val="00B6692B"/>
    <w:rsid w:val="00B66CE5"/>
    <w:rsid w:val="00B703EE"/>
    <w:rsid w:val="00B73067"/>
    <w:rsid w:val="00B74D9B"/>
    <w:rsid w:val="00B7526D"/>
    <w:rsid w:val="00B753B6"/>
    <w:rsid w:val="00B7642D"/>
    <w:rsid w:val="00B778E7"/>
    <w:rsid w:val="00B81A8B"/>
    <w:rsid w:val="00B822C1"/>
    <w:rsid w:val="00B83136"/>
    <w:rsid w:val="00B923F3"/>
    <w:rsid w:val="00B93F8C"/>
    <w:rsid w:val="00B942ED"/>
    <w:rsid w:val="00B9464E"/>
    <w:rsid w:val="00B94714"/>
    <w:rsid w:val="00B94997"/>
    <w:rsid w:val="00B95090"/>
    <w:rsid w:val="00B9515E"/>
    <w:rsid w:val="00B95CD3"/>
    <w:rsid w:val="00B95E6D"/>
    <w:rsid w:val="00B960F4"/>
    <w:rsid w:val="00B96799"/>
    <w:rsid w:val="00B96B00"/>
    <w:rsid w:val="00B97E06"/>
    <w:rsid w:val="00B97F80"/>
    <w:rsid w:val="00BA307C"/>
    <w:rsid w:val="00BA3E55"/>
    <w:rsid w:val="00BA51ED"/>
    <w:rsid w:val="00BA54A2"/>
    <w:rsid w:val="00BA5905"/>
    <w:rsid w:val="00BA5D17"/>
    <w:rsid w:val="00BA6F24"/>
    <w:rsid w:val="00BB02AE"/>
    <w:rsid w:val="00BB0DD8"/>
    <w:rsid w:val="00BB2EAF"/>
    <w:rsid w:val="00BB4FB1"/>
    <w:rsid w:val="00BB7ACC"/>
    <w:rsid w:val="00BB7C7A"/>
    <w:rsid w:val="00BC0419"/>
    <w:rsid w:val="00BC145C"/>
    <w:rsid w:val="00BC15E2"/>
    <w:rsid w:val="00BC4CB0"/>
    <w:rsid w:val="00BC55C8"/>
    <w:rsid w:val="00BC5A04"/>
    <w:rsid w:val="00BC7BBE"/>
    <w:rsid w:val="00BC7D25"/>
    <w:rsid w:val="00BD06E3"/>
    <w:rsid w:val="00BD1163"/>
    <w:rsid w:val="00BD1433"/>
    <w:rsid w:val="00BD1EE4"/>
    <w:rsid w:val="00BD3465"/>
    <w:rsid w:val="00BD350E"/>
    <w:rsid w:val="00BD70CC"/>
    <w:rsid w:val="00BD749A"/>
    <w:rsid w:val="00BD7CA0"/>
    <w:rsid w:val="00BE0277"/>
    <w:rsid w:val="00BE19A2"/>
    <w:rsid w:val="00BE2762"/>
    <w:rsid w:val="00BE31BE"/>
    <w:rsid w:val="00BE45A1"/>
    <w:rsid w:val="00BE4923"/>
    <w:rsid w:val="00BE4E07"/>
    <w:rsid w:val="00BE5D8B"/>
    <w:rsid w:val="00BE689F"/>
    <w:rsid w:val="00BE696A"/>
    <w:rsid w:val="00BE6E61"/>
    <w:rsid w:val="00BE7D99"/>
    <w:rsid w:val="00BF0366"/>
    <w:rsid w:val="00BF2139"/>
    <w:rsid w:val="00BF21FE"/>
    <w:rsid w:val="00BF373C"/>
    <w:rsid w:val="00BF39C8"/>
    <w:rsid w:val="00BF47F9"/>
    <w:rsid w:val="00BF65E1"/>
    <w:rsid w:val="00BF7439"/>
    <w:rsid w:val="00C00446"/>
    <w:rsid w:val="00C02C97"/>
    <w:rsid w:val="00C0371F"/>
    <w:rsid w:val="00C05051"/>
    <w:rsid w:val="00C05541"/>
    <w:rsid w:val="00C0687D"/>
    <w:rsid w:val="00C07706"/>
    <w:rsid w:val="00C07F42"/>
    <w:rsid w:val="00C10DE1"/>
    <w:rsid w:val="00C11431"/>
    <w:rsid w:val="00C11451"/>
    <w:rsid w:val="00C11FCF"/>
    <w:rsid w:val="00C13463"/>
    <w:rsid w:val="00C1402C"/>
    <w:rsid w:val="00C150CF"/>
    <w:rsid w:val="00C16474"/>
    <w:rsid w:val="00C169A1"/>
    <w:rsid w:val="00C2073F"/>
    <w:rsid w:val="00C2463D"/>
    <w:rsid w:val="00C246F0"/>
    <w:rsid w:val="00C2753E"/>
    <w:rsid w:val="00C278EF"/>
    <w:rsid w:val="00C30B0C"/>
    <w:rsid w:val="00C310C4"/>
    <w:rsid w:val="00C3133B"/>
    <w:rsid w:val="00C36F26"/>
    <w:rsid w:val="00C3750A"/>
    <w:rsid w:val="00C37581"/>
    <w:rsid w:val="00C378D4"/>
    <w:rsid w:val="00C40CB0"/>
    <w:rsid w:val="00C41205"/>
    <w:rsid w:val="00C41CAD"/>
    <w:rsid w:val="00C42376"/>
    <w:rsid w:val="00C4295D"/>
    <w:rsid w:val="00C42EFD"/>
    <w:rsid w:val="00C46EAA"/>
    <w:rsid w:val="00C51221"/>
    <w:rsid w:val="00C51D5B"/>
    <w:rsid w:val="00C51FA0"/>
    <w:rsid w:val="00C52042"/>
    <w:rsid w:val="00C52EDA"/>
    <w:rsid w:val="00C537BF"/>
    <w:rsid w:val="00C55518"/>
    <w:rsid w:val="00C5691A"/>
    <w:rsid w:val="00C60261"/>
    <w:rsid w:val="00C62E8D"/>
    <w:rsid w:val="00C63B20"/>
    <w:rsid w:val="00C640BA"/>
    <w:rsid w:val="00C648C8"/>
    <w:rsid w:val="00C64982"/>
    <w:rsid w:val="00C6623A"/>
    <w:rsid w:val="00C66738"/>
    <w:rsid w:val="00C71B69"/>
    <w:rsid w:val="00C71F48"/>
    <w:rsid w:val="00C72632"/>
    <w:rsid w:val="00C73081"/>
    <w:rsid w:val="00C73B95"/>
    <w:rsid w:val="00C743FF"/>
    <w:rsid w:val="00C7539E"/>
    <w:rsid w:val="00C75DDB"/>
    <w:rsid w:val="00C76C23"/>
    <w:rsid w:val="00C814C8"/>
    <w:rsid w:val="00C81569"/>
    <w:rsid w:val="00C8171C"/>
    <w:rsid w:val="00C8175D"/>
    <w:rsid w:val="00C826B9"/>
    <w:rsid w:val="00C838CA"/>
    <w:rsid w:val="00C83A54"/>
    <w:rsid w:val="00C85040"/>
    <w:rsid w:val="00C85121"/>
    <w:rsid w:val="00C858E3"/>
    <w:rsid w:val="00C85B41"/>
    <w:rsid w:val="00C85D8B"/>
    <w:rsid w:val="00C85F13"/>
    <w:rsid w:val="00C8616D"/>
    <w:rsid w:val="00C866A8"/>
    <w:rsid w:val="00C87C92"/>
    <w:rsid w:val="00C90911"/>
    <w:rsid w:val="00C91F19"/>
    <w:rsid w:val="00C928E1"/>
    <w:rsid w:val="00C92AAE"/>
    <w:rsid w:val="00C938C7"/>
    <w:rsid w:val="00C941A8"/>
    <w:rsid w:val="00C9486F"/>
    <w:rsid w:val="00C955ED"/>
    <w:rsid w:val="00C95CBB"/>
    <w:rsid w:val="00CA029A"/>
    <w:rsid w:val="00CA038C"/>
    <w:rsid w:val="00CA126F"/>
    <w:rsid w:val="00CA1FA2"/>
    <w:rsid w:val="00CA245A"/>
    <w:rsid w:val="00CA2732"/>
    <w:rsid w:val="00CA33C9"/>
    <w:rsid w:val="00CA3487"/>
    <w:rsid w:val="00CA348D"/>
    <w:rsid w:val="00CA3D99"/>
    <w:rsid w:val="00CA584D"/>
    <w:rsid w:val="00CB0E12"/>
    <w:rsid w:val="00CB0F08"/>
    <w:rsid w:val="00CB1253"/>
    <w:rsid w:val="00CB16E7"/>
    <w:rsid w:val="00CB1B29"/>
    <w:rsid w:val="00CB2044"/>
    <w:rsid w:val="00CB2E61"/>
    <w:rsid w:val="00CB2E9B"/>
    <w:rsid w:val="00CB34E4"/>
    <w:rsid w:val="00CB3648"/>
    <w:rsid w:val="00CB4596"/>
    <w:rsid w:val="00CB4D27"/>
    <w:rsid w:val="00CB4E2F"/>
    <w:rsid w:val="00CB5389"/>
    <w:rsid w:val="00CB64AF"/>
    <w:rsid w:val="00CB7160"/>
    <w:rsid w:val="00CB7B85"/>
    <w:rsid w:val="00CC1344"/>
    <w:rsid w:val="00CC2981"/>
    <w:rsid w:val="00CC32C7"/>
    <w:rsid w:val="00CC3B22"/>
    <w:rsid w:val="00CC3D8A"/>
    <w:rsid w:val="00CC538B"/>
    <w:rsid w:val="00CC5462"/>
    <w:rsid w:val="00CC6745"/>
    <w:rsid w:val="00CC6B0D"/>
    <w:rsid w:val="00CC774C"/>
    <w:rsid w:val="00CC7E3E"/>
    <w:rsid w:val="00CD023B"/>
    <w:rsid w:val="00CD0B92"/>
    <w:rsid w:val="00CD4028"/>
    <w:rsid w:val="00CD42A8"/>
    <w:rsid w:val="00CD48E7"/>
    <w:rsid w:val="00CD61D9"/>
    <w:rsid w:val="00CD65AC"/>
    <w:rsid w:val="00CD65B6"/>
    <w:rsid w:val="00CD68E5"/>
    <w:rsid w:val="00CD7295"/>
    <w:rsid w:val="00CE0BB3"/>
    <w:rsid w:val="00CE0C12"/>
    <w:rsid w:val="00CE0FA0"/>
    <w:rsid w:val="00CE167E"/>
    <w:rsid w:val="00CE1C56"/>
    <w:rsid w:val="00CE3920"/>
    <w:rsid w:val="00CE460A"/>
    <w:rsid w:val="00CE4F58"/>
    <w:rsid w:val="00CE5181"/>
    <w:rsid w:val="00CE59C7"/>
    <w:rsid w:val="00CE5AED"/>
    <w:rsid w:val="00CE79D0"/>
    <w:rsid w:val="00CF0DE2"/>
    <w:rsid w:val="00CF0E5B"/>
    <w:rsid w:val="00CF288D"/>
    <w:rsid w:val="00CF2E14"/>
    <w:rsid w:val="00CF3B44"/>
    <w:rsid w:val="00CF3FCC"/>
    <w:rsid w:val="00CF4998"/>
    <w:rsid w:val="00CF4A19"/>
    <w:rsid w:val="00CF4EFC"/>
    <w:rsid w:val="00CF6164"/>
    <w:rsid w:val="00CF62A4"/>
    <w:rsid w:val="00CF6697"/>
    <w:rsid w:val="00D0020B"/>
    <w:rsid w:val="00D01CEB"/>
    <w:rsid w:val="00D0237C"/>
    <w:rsid w:val="00D02887"/>
    <w:rsid w:val="00D05388"/>
    <w:rsid w:val="00D1091A"/>
    <w:rsid w:val="00D10EC0"/>
    <w:rsid w:val="00D120B0"/>
    <w:rsid w:val="00D122D3"/>
    <w:rsid w:val="00D1244A"/>
    <w:rsid w:val="00D12705"/>
    <w:rsid w:val="00D1281D"/>
    <w:rsid w:val="00D148F9"/>
    <w:rsid w:val="00D14B3B"/>
    <w:rsid w:val="00D15AE8"/>
    <w:rsid w:val="00D16AF2"/>
    <w:rsid w:val="00D16BAD"/>
    <w:rsid w:val="00D2028A"/>
    <w:rsid w:val="00D20FE4"/>
    <w:rsid w:val="00D21022"/>
    <w:rsid w:val="00D21438"/>
    <w:rsid w:val="00D21DCB"/>
    <w:rsid w:val="00D2284A"/>
    <w:rsid w:val="00D22E68"/>
    <w:rsid w:val="00D23710"/>
    <w:rsid w:val="00D237EF"/>
    <w:rsid w:val="00D23D7D"/>
    <w:rsid w:val="00D24F4E"/>
    <w:rsid w:val="00D25D72"/>
    <w:rsid w:val="00D26467"/>
    <w:rsid w:val="00D26C31"/>
    <w:rsid w:val="00D26FCD"/>
    <w:rsid w:val="00D274DE"/>
    <w:rsid w:val="00D30462"/>
    <w:rsid w:val="00D30CEC"/>
    <w:rsid w:val="00D33A9F"/>
    <w:rsid w:val="00D33AE2"/>
    <w:rsid w:val="00D33F44"/>
    <w:rsid w:val="00D3529B"/>
    <w:rsid w:val="00D3548B"/>
    <w:rsid w:val="00D35B25"/>
    <w:rsid w:val="00D40FCA"/>
    <w:rsid w:val="00D4196F"/>
    <w:rsid w:val="00D426E8"/>
    <w:rsid w:val="00D4505D"/>
    <w:rsid w:val="00D45B5A"/>
    <w:rsid w:val="00D460EB"/>
    <w:rsid w:val="00D462CC"/>
    <w:rsid w:val="00D4654E"/>
    <w:rsid w:val="00D50D78"/>
    <w:rsid w:val="00D54325"/>
    <w:rsid w:val="00D54AC4"/>
    <w:rsid w:val="00D54F90"/>
    <w:rsid w:val="00D5525B"/>
    <w:rsid w:val="00D560AA"/>
    <w:rsid w:val="00D567A2"/>
    <w:rsid w:val="00D57477"/>
    <w:rsid w:val="00D60400"/>
    <w:rsid w:val="00D6130B"/>
    <w:rsid w:val="00D61F94"/>
    <w:rsid w:val="00D62020"/>
    <w:rsid w:val="00D62274"/>
    <w:rsid w:val="00D62FF2"/>
    <w:rsid w:val="00D644F0"/>
    <w:rsid w:val="00D65085"/>
    <w:rsid w:val="00D66EBF"/>
    <w:rsid w:val="00D7186E"/>
    <w:rsid w:val="00D73939"/>
    <w:rsid w:val="00D73B4A"/>
    <w:rsid w:val="00D7488B"/>
    <w:rsid w:val="00D75265"/>
    <w:rsid w:val="00D75A4D"/>
    <w:rsid w:val="00D7629C"/>
    <w:rsid w:val="00D77260"/>
    <w:rsid w:val="00D77B11"/>
    <w:rsid w:val="00D80A95"/>
    <w:rsid w:val="00D815B7"/>
    <w:rsid w:val="00D833EF"/>
    <w:rsid w:val="00D83EA3"/>
    <w:rsid w:val="00D840D3"/>
    <w:rsid w:val="00D846DA"/>
    <w:rsid w:val="00D8502A"/>
    <w:rsid w:val="00D85EB1"/>
    <w:rsid w:val="00D87B7A"/>
    <w:rsid w:val="00D91717"/>
    <w:rsid w:val="00D91856"/>
    <w:rsid w:val="00D92380"/>
    <w:rsid w:val="00D926FF"/>
    <w:rsid w:val="00D94D97"/>
    <w:rsid w:val="00D96D48"/>
    <w:rsid w:val="00D96DFC"/>
    <w:rsid w:val="00D97D07"/>
    <w:rsid w:val="00DA04B7"/>
    <w:rsid w:val="00DA1095"/>
    <w:rsid w:val="00DA22DB"/>
    <w:rsid w:val="00DA3340"/>
    <w:rsid w:val="00DA33C9"/>
    <w:rsid w:val="00DA5B50"/>
    <w:rsid w:val="00DA7215"/>
    <w:rsid w:val="00DA7E97"/>
    <w:rsid w:val="00DB08C5"/>
    <w:rsid w:val="00DB0A49"/>
    <w:rsid w:val="00DB114D"/>
    <w:rsid w:val="00DB18E2"/>
    <w:rsid w:val="00DB6185"/>
    <w:rsid w:val="00DB677A"/>
    <w:rsid w:val="00DB69A1"/>
    <w:rsid w:val="00DB7A3E"/>
    <w:rsid w:val="00DC0934"/>
    <w:rsid w:val="00DC2500"/>
    <w:rsid w:val="00DC2D93"/>
    <w:rsid w:val="00DC2DF7"/>
    <w:rsid w:val="00DC53D0"/>
    <w:rsid w:val="00DC565E"/>
    <w:rsid w:val="00DC568F"/>
    <w:rsid w:val="00DC5B7A"/>
    <w:rsid w:val="00DC6455"/>
    <w:rsid w:val="00DC64A0"/>
    <w:rsid w:val="00DC7BC1"/>
    <w:rsid w:val="00DD0530"/>
    <w:rsid w:val="00DD0A1E"/>
    <w:rsid w:val="00DD0A81"/>
    <w:rsid w:val="00DD11D4"/>
    <w:rsid w:val="00DD11E7"/>
    <w:rsid w:val="00DD52AC"/>
    <w:rsid w:val="00DD6AB0"/>
    <w:rsid w:val="00DE0FA7"/>
    <w:rsid w:val="00DE1298"/>
    <w:rsid w:val="00DE1D53"/>
    <w:rsid w:val="00DE2350"/>
    <w:rsid w:val="00DE277A"/>
    <w:rsid w:val="00DE46A3"/>
    <w:rsid w:val="00DE46C9"/>
    <w:rsid w:val="00DE55CA"/>
    <w:rsid w:val="00DE710D"/>
    <w:rsid w:val="00DE7DC1"/>
    <w:rsid w:val="00DF1C3B"/>
    <w:rsid w:val="00DF1D95"/>
    <w:rsid w:val="00DF26D8"/>
    <w:rsid w:val="00DF2E24"/>
    <w:rsid w:val="00DF3726"/>
    <w:rsid w:val="00DF485C"/>
    <w:rsid w:val="00DF4BFB"/>
    <w:rsid w:val="00DF4FC9"/>
    <w:rsid w:val="00DF5929"/>
    <w:rsid w:val="00DF5F7D"/>
    <w:rsid w:val="00DF6CC0"/>
    <w:rsid w:val="00DF74A6"/>
    <w:rsid w:val="00E02450"/>
    <w:rsid w:val="00E02F73"/>
    <w:rsid w:val="00E0532F"/>
    <w:rsid w:val="00E10011"/>
    <w:rsid w:val="00E12BCA"/>
    <w:rsid w:val="00E12D80"/>
    <w:rsid w:val="00E14797"/>
    <w:rsid w:val="00E148C9"/>
    <w:rsid w:val="00E14D29"/>
    <w:rsid w:val="00E15474"/>
    <w:rsid w:val="00E158A6"/>
    <w:rsid w:val="00E16D45"/>
    <w:rsid w:val="00E1709D"/>
    <w:rsid w:val="00E171E1"/>
    <w:rsid w:val="00E17BEB"/>
    <w:rsid w:val="00E20AE4"/>
    <w:rsid w:val="00E20B2D"/>
    <w:rsid w:val="00E20B5B"/>
    <w:rsid w:val="00E212C5"/>
    <w:rsid w:val="00E226D9"/>
    <w:rsid w:val="00E2270C"/>
    <w:rsid w:val="00E2346B"/>
    <w:rsid w:val="00E2549C"/>
    <w:rsid w:val="00E25759"/>
    <w:rsid w:val="00E258FE"/>
    <w:rsid w:val="00E25C6C"/>
    <w:rsid w:val="00E26EB0"/>
    <w:rsid w:val="00E27BE5"/>
    <w:rsid w:val="00E3059A"/>
    <w:rsid w:val="00E30FE5"/>
    <w:rsid w:val="00E312FA"/>
    <w:rsid w:val="00E31CA4"/>
    <w:rsid w:val="00E31FCF"/>
    <w:rsid w:val="00E32C80"/>
    <w:rsid w:val="00E35062"/>
    <w:rsid w:val="00E35090"/>
    <w:rsid w:val="00E35EAB"/>
    <w:rsid w:val="00E36533"/>
    <w:rsid w:val="00E36D8D"/>
    <w:rsid w:val="00E374DD"/>
    <w:rsid w:val="00E402EE"/>
    <w:rsid w:val="00E40533"/>
    <w:rsid w:val="00E41E96"/>
    <w:rsid w:val="00E43232"/>
    <w:rsid w:val="00E44205"/>
    <w:rsid w:val="00E44E4F"/>
    <w:rsid w:val="00E466B5"/>
    <w:rsid w:val="00E46890"/>
    <w:rsid w:val="00E4761C"/>
    <w:rsid w:val="00E501EA"/>
    <w:rsid w:val="00E5046E"/>
    <w:rsid w:val="00E517D1"/>
    <w:rsid w:val="00E53155"/>
    <w:rsid w:val="00E538A5"/>
    <w:rsid w:val="00E53A2D"/>
    <w:rsid w:val="00E53C53"/>
    <w:rsid w:val="00E54419"/>
    <w:rsid w:val="00E57A07"/>
    <w:rsid w:val="00E57A75"/>
    <w:rsid w:val="00E61F55"/>
    <w:rsid w:val="00E6465D"/>
    <w:rsid w:val="00E647CE"/>
    <w:rsid w:val="00E65475"/>
    <w:rsid w:val="00E66B28"/>
    <w:rsid w:val="00E6736B"/>
    <w:rsid w:val="00E67F7A"/>
    <w:rsid w:val="00E706C9"/>
    <w:rsid w:val="00E70F73"/>
    <w:rsid w:val="00E70FF4"/>
    <w:rsid w:val="00E71FB9"/>
    <w:rsid w:val="00E72DD3"/>
    <w:rsid w:val="00E75D73"/>
    <w:rsid w:val="00E76904"/>
    <w:rsid w:val="00E77CC0"/>
    <w:rsid w:val="00E80EB8"/>
    <w:rsid w:val="00E82EFC"/>
    <w:rsid w:val="00E8423E"/>
    <w:rsid w:val="00E853FB"/>
    <w:rsid w:val="00E86826"/>
    <w:rsid w:val="00E86FF9"/>
    <w:rsid w:val="00E870A3"/>
    <w:rsid w:val="00E916EA"/>
    <w:rsid w:val="00E91D36"/>
    <w:rsid w:val="00E9235B"/>
    <w:rsid w:val="00E9355B"/>
    <w:rsid w:val="00E94A15"/>
    <w:rsid w:val="00E97095"/>
    <w:rsid w:val="00EA0A92"/>
    <w:rsid w:val="00EA0B36"/>
    <w:rsid w:val="00EA206A"/>
    <w:rsid w:val="00EA26B8"/>
    <w:rsid w:val="00EA2E31"/>
    <w:rsid w:val="00EA4AF2"/>
    <w:rsid w:val="00EA5FA2"/>
    <w:rsid w:val="00EA75F7"/>
    <w:rsid w:val="00EB0391"/>
    <w:rsid w:val="00EB07FC"/>
    <w:rsid w:val="00EB2CF8"/>
    <w:rsid w:val="00EB3972"/>
    <w:rsid w:val="00EB3E18"/>
    <w:rsid w:val="00EB51AB"/>
    <w:rsid w:val="00EB5A34"/>
    <w:rsid w:val="00EB658C"/>
    <w:rsid w:val="00EB774E"/>
    <w:rsid w:val="00EB7A16"/>
    <w:rsid w:val="00EC0A67"/>
    <w:rsid w:val="00EC0BAA"/>
    <w:rsid w:val="00EC2532"/>
    <w:rsid w:val="00EC6219"/>
    <w:rsid w:val="00EC6230"/>
    <w:rsid w:val="00EC7908"/>
    <w:rsid w:val="00EC7A01"/>
    <w:rsid w:val="00ED0C40"/>
    <w:rsid w:val="00ED1B7C"/>
    <w:rsid w:val="00ED3235"/>
    <w:rsid w:val="00ED535F"/>
    <w:rsid w:val="00ED579E"/>
    <w:rsid w:val="00ED59C9"/>
    <w:rsid w:val="00ED627B"/>
    <w:rsid w:val="00ED63CE"/>
    <w:rsid w:val="00ED67F6"/>
    <w:rsid w:val="00ED6A57"/>
    <w:rsid w:val="00ED75F3"/>
    <w:rsid w:val="00EE022C"/>
    <w:rsid w:val="00EE11A3"/>
    <w:rsid w:val="00EE1455"/>
    <w:rsid w:val="00EE15C8"/>
    <w:rsid w:val="00EE16ED"/>
    <w:rsid w:val="00EE1C95"/>
    <w:rsid w:val="00EE2F2F"/>
    <w:rsid w:val="00EE41CF"/>
    <w:rsid w:val="00EE5530"/>
    <w:rsid w:val="00EE58B5"/>
    <w:rsid w:val="00EE622D"/>
    <w:rsid w:val="00EE7CDC"/>
    <w:rsid w:val="00EF0ED2"/>
    <w:rsid w:val="00EF5A0B"/>
    <w:rsid w:val="00EF62FD"/>
    <w:rsid w:val="00EF7734"/>
    <w:rsid w:val="00F00B2A"/>
    <w:rsid w:val="00F0128B"/>
    <w:rsid w:val="00F017D7"/>
    <w:rsid w:val="00F02226"/>
    <w:rsid w:val="00F0386A"/>
    <w:rsid w:val="00F04412"/>
    <w:rsid w:val="00F04E6F"/>
    <w:rsid w:val="00F05A84"/>
    <w:rsid w:val="00F078C1"/>
    <w:rsid w:val="00F10A96"/>
    <w:rsid w:val="00F10F3E"/>
    <w:rsid w:val="00F11046"/>
    <w:rsid w:val="00F11211"/>
    <w:rsid w:val="00F1534B"/>
    <w:rsid w:val="00F17087"/>
    <w:rsid w:val="00F17B36"/>
    <w:rsid w:val="00F17F65"/>
    <w:rsid w:val="00F228A6"/>
    <w:rsid w:val="00F23317"/>
    <w:rsid w:val="00F23B17"/>
    <w:rsid w:val="00F26505"/>
    <w:rsid w:val="00F270EA"/>
    <w:rsid w:val="00F305BE"/>
    <w:rsid w:val="00F308AA"/>
    <w:rsid w:val="00F31EC0"/>
    <w:rsid w:val="00F33DA3"/>
    <w:rsid w:val="00F342D7"/>
    <w:rsid w:val="00F358ED"/>
    <w:rsid w:val="00F363A6"/>
    <w:rsid w:val="00F3667E"/>
    <w:rsid w:val="00F366AF"/>
    <w:rsid w:val="00F37433"/>
    <w:rsid w:val="00F401A2"/>
    <w:rsid w:val="00F43553"/>
    <w:rsid w:val="00F43C2F"/>
    <w:rsid w:val="00F44D9D"/>
    <w:rsid w:val="00F45B2F"/>
    <w:rsid w:val="00F467AB"/>
    <w:rsid w:val="00F46A1D"/>
    <w:rsid w:val="00F470A1"/>
    <w:rsid w:val="00F47522"/>
    <w:rsid w:val="00F503E4"/>
    <w:rsid w:val="00F50A92"/>
    <w:rsid w:val="00F50F97"/>
    <w:rsid w:val="00F51410"/>
    <w:rsid w:val="00F52441"/>
    <w:rsid w:val="00F52EED"/>
    <w:rsid w:val="00F53E1A"/>
    <w:rsid w:val="00F55341"/>
    <w:rsid w:val="00F553DD"/>
    <w:rsid w:val="00F55550"/>
    <w:rsid w:val="00F57004"/>
    <w:rsid w:val="00F570EC"/>
    <w:rsid w:val="00F57858"/>
    <w:rsid w:val="00F61FF4"/>
    <w:rsid w:val="00F621ED"/>
    <w:rsid w:val="00F632EF"/>
    <w:rsid w:val="00F639CC"/>
    <w:rsid w:val="00F64226"/>
    <w:rsid w:val="00F66B4E"/>
    <w:rsid w:val="00F67312"/>
    <w:rsid w:val="00F702D7"/>
    <w:rsid w:val="00F70926"/>
    <w:rsid w:val="00F70D31"/>
    <w:rsid w:val="00F71DB8"/>
    <w:rsid w:val="00F736ED"/>
    <w:rsid w:val="00F74F3E"/>
    <w:rsid w:val="00F75700"/>
    <w:rsid w:val="00F759CD"/>
    <w:rsid w:val="00F75B42"/>
    <w:rsid w:val="00F77B4A"/>
    <w:rsid w:val="00F816AD"/>
    <w:rsid w:val="00F81B13"/>
    <w:rsid w:val="00F82869"/>
    <w:rsid w:val="00F82B9B"/>
    <w:rsid w:val="00F8551B"/>
    <w:rsid w:val="00F85BC2"/>
    <w:rsid w:val="00F85E59"/>
    <w:rsid w:val="00F86672"/>
    <w:rsid w:val="00F866B7"/>
    <w:rsid w:val="00F92860"/>
    <w:rsid w:val="00F93698"/>
    <w:rsid w:val="00F93B00"/>
    <w:rsid w:val="00F94EED"/>
    <w:rsid w:val="00F957F9"/>
    <w:rsid w:val="00F96E11"/>
    <w:rsid w:val="00F97666"/>
    <w:rsid w:val="00F97E7E"/>
    <w:rsid w:val="00FA4355"/>
    <w:rsid w:val="00FA5983"/>
    <w:rsid w:val="00FA7BF7"/>
    <w:rsid w:val="00FB09DA"/>
    <w:rsid w:val="00FB1853"/>
    <w:rsid w:val="00FB2198"/>
    <w:rsid w:val="00FB750C"/>
    <w:rsid w:val="00FB7813"/>
    <w:rsid w:val="00FC1DDA"/>
    <w:rsid w:val="00FC6099"/>
    <w:rsid w:val="00FC61DC"/>
    <w:rsid w:val="00FC667A"/>
    <w:rsid w:val="00FC79A3"/>
    <w:rsid w:val="00FC7F5C"/>
    <w:rsid w:val="00FD0562"/>
    <w:rsid w:val="00FD4648"/>
    <w:rsid w:val="00FD5169"/>
    <w:rsid w:val="00FD5250"/>
    <w:rsid w:val="00FD6B6E"/>
    <w:rsid w:val="00FD7089"/>
    <w:rsid w:val="00FD70D8"/>
    <w:rsid w:val="00FD72F3"/>
    <w:rsid w:val="00FD7EB4"/>
    <w:rsid w:val="00FE08FF"/>
    <w:rsid w:val="00FE0B50"/>
    <w:rsid w:val="00FE0DDF"/>
    <w:rsid w:val="00FE131E"/>
    <w:rsid w:val="00FE1B36"/>
    <w:rsid w:val="00FE69B3"/>
    <w:rsid w:val="00FE6C52"/>
    <w:rsid w:val="00FF070A"/>
    <w:rsid w:val="00FF5047"/>
    <w:rsid w:val="00FF5084"/>
    <w:rsid w:val="00FF51C7"/>
    <w:rsid w:val="00FF558B"/>
    <w:rsid w:val="00FF584A"/>
    <w:rsid w:val="00FF7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757"/>
    <w:pPr>
      <w:widowControl w:val="0"/>
    </w:pPr>
    <w:rPr>
      <w:snapToGrid w:val="0"/>
      <w:kern w:val="28"/>
      <w:sz w:val="22"/>
      <w:szCs w:val="20"/>
    </w:rPr>
  </w:style>
  <w:style w:type="paragraph" w:styleId="Heading1">
    <w:name w:val="heading 1"/>
    <w:basedOn w:val="Normal"/>
    <w:next w:val="ParaNum"/>
    <w:link w:val="Heading1Char"/>
    <w:qFormat/>
    <w:rsid w:val="005E175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E1757"/>
    <w:pPr>
      <w:keepNext/>
      <w:numPr>
        <w:ilvl w:val="1"/>
        <w:numId w:val="2"/>
      </w:numPr>
      <w:spacing w:after="120"/>
      <w:outlineLvl w:val="1"/>
    </w:pPr>
    <w:rPr>
      <w:b/>
    </w:rPr>
  </w:style>
  <w:style w:type="paragraph" w:styleId="Heading3">
    <w:name w:val="heading 3"/>
    <w:basedOn w:val="Normal"/>
    <w:next w:val="ParaNum"/>
    <w:qFormat/>
    <w:rsid w:val="005E1757"/>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
    <w:basedOn w:val="Normal"/>
    <w:next w:val="ParaNum"/>
    <w:qFormat/>
    <w:rsid w:val="005E1757"/>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5E1757"/>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5E1757"/>
    <w:pPr>
      <w:numPr>
        <w:ilvl w:val="5"/>
        <w:numId w:val="2"/>
      </w:numPr>
      <w:tabs>
        <w:tab w:val="left" w:pos="4320"/>
      </w:tabs>
      <w:spacing w:after="120"/>
      <w:outlineLvl w:val="5"/>
    </w:pPr>
    <w:rPr>
      <w:b/>
    </w:rPr>
  </w:style>
  <w:style w:type="paragraph" w:styleId="Heading7">
    <w:name w:val="heading 7"/>
    <w:basedOn w:val="Normal"/>
    <w:next w:val="ParaNum"/>
    <w:qFormat/>
    <w:rsid w:val="005E175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E175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5E175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E17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1757"/>
  </w:style>
  <w:style w:type="paragraph" w:customStyle="1" w:styleId="ParaNum">
    <w:name w:val="ParaNum"/>
    <w:basedOn w:val="Normal"/>
    <w:link w:val="ParaNumChar"/>
    <w:rsid w:val="005E1757"/>
    <w:pPr>
      <w:numPr>
        <w:numId w:val="1"/>
      </w:numPr>
      <w:tabs>
        <w:tab w:val="clear" w:pos="1080"/>
        <w:tab w:val="num" w:pos="1440"/>
      </w:tabs>
      <w:spacing w:after="120"/>
    </w:pPr>
  </w:style>
  <w:style w:type="character" w:customStyle="1" w:styleId="ParaNumChar">
    <w:name w:val="ParaNum Char"/>
    <w:link w:val="ParaNum"/>
    <w:rsid w:val="000B1E0F"/>
    <w:rPr>
      <w:snapToGrid w:val="0"/>
      <w:kern w:val="28"/>
      <w:sz w:val="22"/>
      <w:szCs w:val="20"/>
    </w:rPr>
  </w:style>
  <w:style w:type="character" w:customStyle="1" w:styleId="Heading2Char">
    <w:name w:val="Heading 2 Char"/>
    <w:link w:val="Heading2"/>
    <w:rsid w:val="008B78BD"/>
    <w:rPr>
      <w:b/>
      <w:snapToGrid w:val="0"/>
      <w:kern w:val="28"/>
      <w:sz w:val="22"/>
      <w:szCs w:val="20"/>
    </w:rPr>
  </w:style>
  <w:style w:type="paragraph" w:styleId="EndnoteText">
    <w:name w:val="endnote text"/>
    <w:basedOn w:val="Normal"/>
    <w:link w:val="EndnoteTextChar"/>
    <w:semiHidden/>
    <w:rsid w:val="005E1757"/>
    <w:rPr>
      <w:sz w:val="20"/>
    </w:rPr>
  </w:style>
  <w:style w:type="character" w:styleId="EndnoteReference">
    <w:name w:val="endnote reference"/>
    <w:semiHidden/>
    <w:rsid w:val="005E1757"/>
    <w:rPr>
      <w:vertAlign w:val="superscript"/>
    </w:rPr>
  </w:style>
  <w:style w:type="paragraph" w:styleId="FootnoteText">
    <w:name w:val="footnote text"/>
    <w:aliases w:val="Footnote Text Char2,Footnote Text Char Char1,Footnote Text Char3 Char Char,Footnote Text Char Char1 Char Char,Footnote Text Char2 Char Char1 Char Char,Footnote Text Char1 Char Char Char1 Char Char,Footnote Text Char Char1 Char,fn,f,FOOTNOT"/>
    <w:link w:val="FootnoteTextChar"/>
    <w:rsid w:val="005E1757"/>
    <w:pPr>
      <w:spacing w:after="120"/>
    </w:pPr>
    <w:rPr>
      <w:sz w:val="20"/>
      <w:szCs w:val="20"/>
    </w:rPr>
  </w:style>
  <w:style w:type="character" w:customStyle="1" w:styleId="FootnoteTextChar">
    <w:name w:val="Footnote Text Char"/>
    <w:aliases w:val="Footnote Text Char2 Char,Footnote Text Char Char1 Char1,Footnote Text Char3 Char Char Char,Footnote Text Char Char1 Char Char Char,Footnote Text Char2 Char Char1 Char Char Char,Footnote Text Char1 Char Char Char1 Char Char Char,f Char"/>
    <w:link w:val="FootnoteText"/>
    <w:rsid w:val="00B960F4"/>
    <w:rPr>
      <w:sz w:val="20"/>
      <w:szCs w:val="20"/>
    </w:rPr>
  </w:style>
  <w:style w:type="character" w:styleId="FootnoteReference">
    <w:name w:val="footnote reference"/>
    <w:aliases w:val="Appel note de bas de p,Style 12,(NECG) Footnote Reference,Style 124,Style 13,o,fr,Style 3,Style 17,FR,Footnote Reference/,Style 6"/>
    <w:rsid w:val="005E1757"/>
    <w:rPr>
      <w:rFonts w:ascii="Times New Roman" w:hAnsi="Times New Roman"/>
      <w:dstrike w:val="0"/>
      <w:color w:val="auto"/>
      <w:sz w:val="20"/>
      <w:vertAlign w:val="superscript"/>
    </w:rPr>
  </w:style>
  <w:style w:type="paragraph" w:styleId="TOC1">
    <w:name w:val="toc 1"/>
    <w:basedOn w:val="Normal"/>
    <w:next w:val="Normal"/>
    <w:rsid w:val="005E1757"/>
    <w:pPr>
      <w:tabs>
        <w:tab w:val="left" w:pos="360"/>
        <w:tab w:val="right" w:leader="dot" w:pos="9360"/>
      </w:tabs>
      <w:suppressAutoHyphens/>
      <w:ind w:left="360" w:right="720" w:hanging="360"/>
    </w:pPr>
    <w:rPr>
      <w:caps/>
      <w:noProof/>
    </w:rPr>
  </w:style>
  <w:style w:type="paragraph" w:styleId="TOC2">
    <w:name w:val="toc 2"/>
    <w:basedOn w:val="Normal"/>
    <w:next w:val="Normal"/>
    <w:rsid w:val="005E1757"/>
    <w:pPr>
      <w:tabs>
        <w:tab w:val="left" w:pos="720"/>
        <w:tab w:val="right" w:leader="dot" w:pos="9360"/>
      </w:tabs>
      <w:suppressAutoHyphens/>
      <w:ind w:left="720" w:right="720" w:hanging="360"/>
    </w:pPr>
    <w:rPr>
      <w:noProof/>
    </w:rPr>
  </w:style>
  <w:style w:type="paragraph" w:styleId="TOC3">
    <w:name w:val="toc 3"/>
    <w:basedOn w:val="Normal"/>
    <w:next w:val="Normal"/>
    <w:link w:val="TOC3Char"/>
    <w:rsid w:val="005E1757"/>
    <w:pPr>
      <w:tabs>
        <w:tab w:val="left" w:pos="1080"/>
        <w:tab w:val="right" w:leader="dot" w:pos="9360"/>
      </w:tabs>
      <w:suppressAutoHyphens/>
      <w:ind w:left="1080" w:right="720" w:hanging="360"/>
    </w:pPr>
    <w:rPr>
      <w:noProof/>
    </w:rPr>
  </w:style>
  <w:style w:type="character" w:customStyle="1" w:styleId="TOC3Char">
    <w:name w:val="TOC 3 Char"/>
    <w:link w:val="TOC3"/>
    <w:rsid w:val="00B960F4"/>
    <w:rPr>
      <w:noProof/>
      <w:snapToGrid w:val="0"/>
      <w:kern w:val="28"/>
      <w:sz w:val="22"/>
      <w:szCs w:val="20"/>
    </w:rPr>
  </w:style>
  <w:style w:type="paragraph" w:styleId="TOC4">
    <w:name w:val="toc 4"/>
    <w:basedOn w:val="Normal"/>
    <w:next w:val="Normal"/>
    <w:autoRedefine/>
    <w:rsid w:val="005E175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E17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17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17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17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17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1757"/>
    <w:pPr>
      <w:tabs>
        <w:tab w:val="right" w:pos="9360"/>
      </w:tabs>
      <w:suppressAutoHyphens/>
    </w:pPr>
  </w:style>
  <w:style w:type="character" w:customStyle="1" w:styleId="EquationCaption">
    <w:name w:val="_Equation Caption"/>
    <w:rsid w:val="005E1757"/>
  </w:style>
  <w:style w:type="paragraph" w:styleId="Header">
    <w:name w:val="header"/>
    <w:basedOn w:val="Normal"/>
    <w:link w:val="HeaderChar"/>
    <w:autoRedefine/>
    <w:rsid w:val="005E1757"/>
    <w:pPr>
      <w:tabs>
        <w:tab w:val="center" w:pos="4680"/>
        <w:tab w:val="right" w:pos="9360"/>
      </w:tabs>
    </w:pPr>
    <w:rPr>
      <w:b/>
    </w:rPr>
  </w:style>
  <w:style w:type="paragraph" w:styleId="Footer">
    <w:name w:val="footer"/>
    <w:basedOn w:val="Normal"/>
    <w:link w:val="FooterChar"/>
    <w:rsid w:val="005E1757"/>
    <w:pPr>
      <w:tabs>
        <w:tab w:val="center" w:pos="4320"/>
        <w:tab w:val="right" w:pos="8640"/>
      </w:tabs>
    </w:pPr>
  </w:style>
  <w:style w:type="character" w:styleId="PageNumber">
    <w:name w:val="page number"/>
    <w:basedOn w:val="DefaultParagraphFont"/>
    <w:rsid w:val="005E1757"/>
  </w:style>
  <w:style w:type="paragraph" w:styleId="BlockText">
    <w:name w:val="Block Text"/>
    <w:basedOn w:val="Normal"/>
    <w:rsid w:val="005E1757"/>
    <w:pPr>
      <w:spacing w:after="240"/>
      <w:ind w:left="1440" w:right="1440"/>
    </w:pPr>
  </w:style>
  <w:style w:type="paragraph" w:customStyle="1" w:styleId="Paratitle">
    <w:name w:val="Para title"/>
    <w:basedOn w:val="Normal"/>
    <w:rsid w:val="005E1757"/>
    <w:pPr>
      <w:tabs>
        <w:tab w:val="center" w:pos="9270"/>
      </w:tabs>
      <w:spacing w:after="240"/>
    </w:pPr>
    <w:rPr>
      <w:spacing w:val="-2"/>
    </w:rPr>
  </w:style>
  <w:style w:type="paragraph" w:customStyle="1" w:styleId="Bullet">
    <w:name w:val="Bullet"/>
    <w:basedOn w:val="Normal"/>
    <w:rsid w:val="005E1757"/>
    <w:pPr>
      <w:tabs>
        <w:tab w:val="left" w:pos="2160"/>
      </w:tabs>
      <w:spacing w:after="220"/>
      <w:ind w:left="2160" w:hanging="720"/>
    </w:pPr>
  </w:style>
  <w:style w:type="paragraph" w:customStyle="1" w:styleId="TableFormat">
    <w:name w:val="TableFormat"/>
    <w:basedOn w:val="Bullet"/>
    <w:rsid w:val="005E1757"/>
    <w:pPr>
      <w:tabs>
        <w:tab w:val="clear" w:pos="2160"/>
        <w:tab w:val="left" w:pos="5040"/>
      </w:tabs>
      <w:ind w:left="5040" w:hanging="3600"/>
    </w:pPr>
  </w:style>
  <w:style w:type="paragraph" w:customStyle="1" w:styleId="TOCTitle">
    <w:name w:val="TOC Title"/>
    <w:basedOn w:val="Normal"/>
    <w:rsid w:val="005E17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1757"/>
    <w:pPr>
      <w:jc w:val="center"/>
    </w:pPr>
    <w:rPr>
      <w:rFonts w:ascii="Times New Roman Bold" w:hAnsi="Times New Roman Bold"/>
      <w:b/>
      <w:bCs/>
      <w:caps/>
      <w:szCs w:val="22"/>
    </w:rPr>
  </w:style>
  <w:style w:type="character" w:styleId="Hyperlink">
    <w:name w:val="Hyperlink"/>
    <w:rsid w:val="005E1757"/>
    <w:rPr>
      <w:color w:val="0000FF"/>
      <w:u w:val="single"/>
    </w:rPr>
  </w:style>
  <w:style w:type="paragraph" w:styleId="Caption">
    <w:name w:val="caption"/>
    <w:basedOn w:val="Normal"/>
    <w:next w:val="Normal"/>
    <w:qFormat/>
    <w:rsid w:val="00B960F4"/>
    <w:pPr>
      <w:spacing w:before="120" w:after="120"/>
    </w:pPr>
    <w:rPr>
      <w:b/>
      <w:snapToGrid/>
    </w:rPr>
  </w:style>
  <w:style w:type="character" w:customStyle="1" w:styleId="documentbody">
    <w:name w:val="documentbody"/>
    <w:basedOn w:val="DefaultParagraphFont"/>
    <w:rsid w:val="00B960F4"/>
  </w:style>
  <w:style w:type="paragraph" w:customStyle="1" w:styleId="StyleParaNumLeft2">
    <w:name w:val="Style ParaNum + Left2"/>
    <w:basedOn w:val="ParaNum"/>
    <w:rsid w:val="0087720B"/>
    <w:pPr>
      <w:tabs>
        <w:tab w:val="left" w:pos="1440"/>
      </w:tabs>
      <w:spacing w:after="220"/>
    </w:pPr>
    <w:rPr>
      <w:snapToGrid/>
    </w:rPr>
  </w:style>
  <w:style w:type="character" w:customStyle="1" w:styleId="documentbody1">
    <w:name w:val="documentbody1"/>
    <w:rsid w:val="00B960F4"/>
    <w:rPr>
      <w:rFonts w:ascii="Verdana" w:hAnsi="Verdana" w:hint="default"/>
      <w:sz w:val="19"/>
      <w:szCs w:val="19"/>
      <w:shd w:val="clear" w:color="auto" w:fill="FFFFFF"/>
    </w:rPr>
  </w:style>
  <w:style w:type="character" w:customStyle="1" w:styleId="bestsection1">
    <w:name w:val="bestsection1"/>
    <w:rsid w:val="00B960F4"/>
    <w:rPr>
      <w:rFonts w:ascii="Verdana" w:hAnsi="Verdana" w:hint="default"/>
      <w:color w:val="FF0000"/>
      <w:sz w:val="19"/>
      <w:szCs w:val="19"/>
      <w:shd w:val="clear" w:color="auto" w:fill="FFFFFF"/>
    </w:rPr>
  </w:style>
  <w:style w:type="paragraph" w:customStyle="1" w:styleId="NumberedList">
    <w:name w:val="Numbered List"/>
    <w:basedOn w:val="Normal"/>
    <w:rsid w:val="00B960F4"/>
    <w:pPr>
      <w:numPr>
        <w:numId w:val="3"/>
      </w:numPr>
      <w:tabs>
        <w:tab w:val="clear" w:pos="1080"/>
      </w:tabs>
      <w:spacing w:after="220"/>
      <w:ind w:firstLine="0"/>
    </w:pPr>
    <w:rPr>
      <w:snapToGrid/>
    </w:rPr>
  </w:style>
  <w:style w:type="paragraph" w:styleId="HTMLPreformatted">
    <w:name w:val="HTML Preformatted"/>
    <w:basedOn w:val="Normal"/>
    <w:rsid w:val="00B9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Strong">
    <w:name w:val="Strong"/>
    <w:qFormat/>
    <w:rsid w:val="00B960F4"/>
    <w:rPr>
      <w:b/>
      <w:bCs/>
    </w:rPr>
  </w:style>
  <w:style w:type="paragraph" w:customStyle="1" w:styleId="ParaNumCharChar">
    <w:name w:val="ParaNum Char Char"/>
    <w:basedOn w:val="Normal"/>
    <w:link w:val="ParaNumCharCharChar"/>
    <w:rsid w:val="00B960F4"/>
    <w:pPr>
      <w:tabs>
        <w:tab w:val="num" w:pos="1080"/>
        <w:tab w:val="left" w:pos="1440"/>
      </w:tabs>
      <w:spacing w:after="220"/>
      <w:ind w:firstLine="720"/>
      <w:jc w:val="both"/>
    </w:pPr>
    <w:rPr>
      <w:snapToGrid/>
      <w:kern w:val="0"/>
    </w:rPr>
  </w:style>
  <w:style w:type="character" w:customStyle="1" w:styleId="ParaNumCharCharChar">
    <w:name w:val="ParaNum Char Char Char"/>
    <w:link w:val="ParaNumCharChar"/>
    <w:rsid w:val="00B960F4"/>
    <w:rPr>
      <w:sz w:val="22"/>
      <w:lang w:val="en-US" w:eastAsia="en-US" w:bidi="ar-SA"/>
    </w:rPr>
  </w:style>
  <w:style w:type="paragraph" w:customStyle="1" w:styleId="StyleParaNumLeft">
    <w:name w:val="Style ParaNum + Left"/>
    <w:basedOn w:val="ParaNum"/>
    <w:rsid w:val="0087720B"/>
    <w:pPr>
      <w:tabs>
        <w:tab w:val="left" w:pos="1440"/>
      </w:tabs>
      <w:spacing w:after="220"/>
    </w:pPr>
    <w:rPr>
      <w:snapToGrid/>
    </w:rPr>
  </w:style>
  <w:style w:type="paragraph" w:customStyle="1" w:styleId="StyleParaNumLeft1">
    <w:name w:val="Style ParaNum + Left1"/>
    <w:basedOn w:val="ParaNum"/>
    <w:rsid w:val="0087720B"/>
    <w:pPr>
      <w:tabs>
        <w:tab w:val="left" w:pos="1440"/>
      </w:tabs>
      <w:spacing w:after="220"/>
    </w:pPr>
    <w:rPr>
      <w:snapToGrid/>
    </w:rPr>
  </w:style>
  <w:style w:type="paragraph" w:customStyle="1" w:styleId="StyleStyleParaNumLeft2Italic">
    <w:name w:val="Style Style ParaNum + Left2 + Italic"/>
    <w:basedOn w:val="StyleParaNumLeft2"/>
    <w:rsid w:val="0087720B"/>
    <w:rPr>
      <w:i/>
      <w:iCs/>
    </w:rPr>
  </w:style>
  <w:style w:type="paragraph" w:customStyle="1" w:styleId="StyleTOC312pt">
    <w:name w:val="Style TOC 3 + 12 pt"/>
    <w:basedOn w:val="TOC3"/>
    <w:next w:val="TOC3"/>
    <w:link w:val="StyleTOC312ptChar"/>
    <w:rsid w:val="00B960F4"/>
    <w:pPr>
      <w:tabs>
        <w:tab w:val="clear" w:pos="1080"/>
        <w:tab w:val="left" w:pos="2160"/>
      </w:tabs>
      <w:ind w:left="2160" w:hanging="720"/>
      <w:jc w:val="both"/>
    </w:pPr>
  </w:style>
  <w:style w:type="character" w:customStyle="1" w:styleId="StyleTOC312ptChar">
    <w:name w:val="Style TOC 3 + 12 pt Char"/>
    <w:basedOn w:val="TOC3Char"/>
    <w:link w:val="StyleTOC312pt"/>
    <w:rsid w:val="00B960F4"/>
    <w:rPr>
      <w:noProof/>
      <w:snapToGrid w:val="0"/>
      <w:kern w:val="28"/>
      <w:sz w:val="22"/>
      <w:szCs w:val="20"/>
    </w:rPr>
  </w:style>
  <w:style w:type="character" w:customStyle="1" w:styleId="FootnoteTextChar1Char">
    <w:name w:val="Footnote Text Char1 Char"/>
    <w:aliases w:val="Footnote Text Char Char Char,Footnote Text Char5 Char Char Char,Footnote Text Char Char Char Char Char,Footnote Text Char4 Char Char1 Char Char Char,Footnote Text Char2 Char Char2 Char2 Char Char Char,Footnote Text Char Char"/>
    <w:semiHidden/>
    <w:locked/>
    <w:rsid w:val="00B960F4"/>
    <w:rPr>
      <w:lang w:val="en-US" w:eastAsia="en-US" w:bidi="ar-SA"/>
    </w:rPr>
  </w:style>
  <w:style w:type="character" w:styleId="CommentReference">
    <w:name w:val="annotation reference"/>
    <w:semiHidden/>
    <w:rsid w:val="00B960F4"/>
    <w:rPr>
      <w:sz w:val="16"/>
      <w:szCs w:val="16"/>
    </w:rPr>
  </w:style>
  <w:style w:type="paragraph" w:styleId="CommentText">
    <w:name w:val="annotation text"/>
    <w:basedOn w:val="Normal"/>
    <w:link w:val="CommentTextChar"/>
    <w:semiHidden/>
    <w:rsid w:val="00B960F4"/>
    <w:rPr>
      <w:sz w:val="20"/>
    </w:rPr>
  </w:style>
  <w:style w:type="paragraph" w:styleId="BalloonText">
    <w:name w:val="Balloon Text"/>
    <w:basedOn w:val="Normal"/>
    <w:link w:val="BalloonTextChar"/>
    <w:uiPriority w:val="99"/>
    <w:semiHidden/>
    <w:rsid w:val="00B960F4"/>
    <w:rPr>
      <w:rFonts w:ascii="Tahoma" w:hAnsi="Tahoma" w:cs="Tahoma"/>
      <w:sz w:val="16"/>
      <w:szCs w:val="16"/>
    </w:rPr>
  </w:style>
  <w:style w:type="paragraph" w:styleId="NormalWeb">
    <w:name w:val="Normal (Web)"/>
    <w:basedOn w:val="Normal"/>
    <w:rsid w:val="00B960F4"/>
    <w:pPr>
      <w:spacing w:before="100" w:beforeAutospacing="1" w:after="100" w:afterAutospacing="1"/>
    </w:pPr>
  </w:style>
  <w:style w:type="table" w:styleId="TableGrid">
    <w:name w:val="Table Grid"/>
    <w:basedOn w:val="TableNormal"/>
    <w:rsid w:val="00B960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F4EBD"/>
    <w:rPr>
      <w:b/>
      <w:bCs/>
    </w:rPr>
  </w:style>
  <w:style w:type="character" w:styleId="FollowedHyperlink">
    <w:name w:val="FollowedHyperlink"/>
    <w:basedOn w:val="DefaultParagraphFont"/>
    <w:rsid w:val="003E2BD0"/>
    <w:rPr>
      <w:color w:val="800080"/>
      <w:u w:val="single"/>
    </w:rPr>
  </w:style>
  <w:style w:type="paragraph" w:customStyle="1" w:styleId="Default">
    <w:name w:val="Default"/>
    <w:rsid w:val="00543316"/>
    <w:pPr>
      <w:autoSpaceDE w:val="0"/>
      <w:autoSpaceDN w:val="0"/>
      <w:adjustRightInd w:val="0"/>
    </w:pPr>
    <w:rPr>
      <w:rFonts w:eastAsia="MS Mincho"/>
      <w:color w:val="000000"/>
      <w:lang w:eastAsia="ja-JP"/>
    </w:rPr>
  </w:style>
  <w:style w:type="character" w:customStyle="1" w:styleId="ParaNumChar1">
    <w:name w:val="ParaNum Char1"/>
    <w:rsid w:val="00EE58B5"/>
    <w:rPr>
      <w:snapToGrid w:val="0"/>
      <w:kern w:val="28"/>
      <w:sz w:val="22"/>
    </w:rPr>
  </w:style>
  <w:style w:type="paragraph" w:styleId="ListParagraph">
    <w:name w:val="List Paragraph"/>
    <w:basedOn w:val="Normal"/>
    <w:rsid w:val="00C928E1"/>
    <w:pPr>
      <w:ind w:left="720"/>
      <w:contextualSpacing/>
    </w:pPr>
  </w:style>
  <w:style w:type="character" w:customStyle="1" w:styleId="HeaderChar">
    <w:name w:val="Header Char"/>
    <w:link w:val="Header"/>
    <w:locked/>
    <w:rsid w:val="00A53368"/>
    <w:rPr>
      <w:b/>
      <w:snapToGrid w:val="0"/>
      <w:kern w:val="28"/>
      <w:sz w:val="22"/>
      <w:szCs w:val="20"/>
    </w:rPr>
  </w:style>
  <w:style w:type="character" w:customStyle="1" w:styleId="FooterChar">
    <w:name w:val="Footer Char"/>
    <w:link w:val="Footer"/>
    <w:locked/>
    <w:rsid w:val="00A432AE"/>
    <w:rPr>
      <w:snapToGrid w:val="0"/>
      <w:kern w:val="28"/>
      <w:sz w:val="22"/>
      <w:szCs w:val="20"/>
    </w:rPr>
  </w:style>
  <w:style w:type="character" w:customStyle="1" w:styleId="Heading1Char">
    <w:name w:val="Heading 1 Char"/>
    <w:basedOn w:val="DefaultParagraphFont"/>
    <w:link w:val="Heading1"/>
    <w:rsid w:val="000B1E0F"/>
    <w:rPr>
      <w:rFonts w:ascii="Times New Roman Bold" w:hAnsi="Times New Roman Bold"/>
      <w:b/>
      <w:caps/>
      <w:snapToGrid w:val="0"/>
      <w:kern w:val="28"/>
      <w:sz w:val="22"/>
      <w:szCs w:val="20"/>
    </w:rPr>
  </w:style>
  <w:style w:type="paragraph" w:styleId="TOCHeading">
    <w:name w:val="TOC Heading"/>
    <w:basedOn w:val="Heading1"/>
    <w:next w:val="Normal"/>
    <w:uiPriority w:val="39"/>
    <w:unhideWhenUsed/>
    <w:qFormat/>
    <w:rsid w:val="004C0F88"/>
    <w:pPr>
      <w:keepLines/>
      <w:numPr>
        <w:numId w:val="0"/>
      </w:numPr>
      <w:tabs>
        <w:tab w:val="left" w:pos="720"/>
      </w:tabs>
      <w:suppressAutoHyphens w:val="0"/>
      <w:spacing w:before="480" w:after="0"/>
      <w:outlineLvl w:val="9"/>
    </w:pPr>
    <w:rPr>
      <w:rFonts w:ascii="Cambria" w:hAnsi="Cambria"/>
      <w:bCs/>
      <w:caps w:val="0"/>
      <w:color w:val="365F91"/>
      <w:sz w:val="28"/>
      <w:szCs w:val="28"/>
      <w:lang w:eastAsia="ja-JP"/>
    </w:rPr>
  </w:style>
  <w:style w:type="character" w:styleId="BookTitle">
    <w:name w:val="Book Title"/>
    <w:basedOn w:val="DefaultParagraphFont"/>
    <w:uiPriority w:val="33"/>
    <w:qFormat/>
    <w:rsid w:val="004C0F88"/>
    <w:rPr>
      <w:b/>
      <w:bCs/>
      <w:smallCaps/>
      <w:spacing w:val="5"/>
    </w:rPr>
  </w:style>
  <w:style w:type="character" w:customStyle="1" w:styleId="EndnoteTextChar">
    <w:name w:val="Endnote Text Char"/>
    <w:link w:val="EndnoteText"/>
    <w:semiHidden/>
    <w:locked/>
    <w:rsid w:val="007245E4"/>
    <w:rPr>
      <w:snapToGrid w:val="0"/>
      <w:kern w:val="28"/>
      <w:sz w:val="20"/>
      <w:szCs w:val="20"/>
    </w:rPr>
  </w:style>
  <w:style w:type="character" w:customStyle="1" w:styleId="footnotetex">
    <w:name w:val="footnote tex"/>
    <w:rsid w:val="007245E4"/>
    <w:rPr>
      <w:rFonts w:cs="Times New Roman"/>
    </w:rPr>
  </w:style>
  <w:style w:type="character" w:customStyle="1" w:styleId="StyleFootnoteReferenceStyle13Style12NECGFootnoteReferenc">
    <w:name w:val="Style Footnote ReferenceStyle 13Style 12(NECG) Footnote Referenc..."/>
    <w:rsid w:val="007245E4"/>
    <w:rPr>
      <w:rFonts w:ascii="Times New Roman" w:hAnsi="Times New Roman" w:cs="Times New Roman"/>
      <w:dstrike w:val="0"/>
      <w:color w:val="auto"/>
      <w:sz w:val="20"/>
      <w:vertAlign w:val="superscript"/>
    </w:rPr>
  </w:style>
  <w:style w:type="character" w:customStyle="1" w:styleId="CommentTextChar">
    <w:name w:val="Comment Text Char"/>
    <w:basedOn w:val="DefaultParagraphFont"/>
    <w:link w:val="CommentText"/>
    <w:semiHidden/>
    <w:rsid w:val="00BA5905"/>
    <w:rPr>
      <w:snapToGrid w:val="0"/>
      <w:kern w:val="28"/>
      <w:sz w:val="20"/>
    </w:rPr>
  </w:style>
  <w:style w:type="character" w:customStyle="1" w:styleId="BalloonTextChar">
    <w:name w:val="Balloon Text Char"/>
    <w:basedOn w:val="DefaultParagraphFont"/>
    <w:link w:val="BalloonText"/>
    <w:uiPriority w:val="99"/>
    <w:semiHidden/>
    <w:rsid w:val="00BA5905"/>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7374</Words>
  <Characters>42495</Characters>
  <Application>Microsoft Office Word</Application>
  <DocSecurity>0</DocSecurity>
  <Lines>970</Lines>
  <Paragraphs>422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50102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2014-03-27T17:19:00Z</cp:lastPrinted>
  <dcterms:created xsi:type="dcterms:W3CDTF">2014-04-18T16:51:00Z</dcterms:created>
  <dcterms:modified xsi:type="dcterms:W3CDTF">2014-04-18T16:51:00Z</dcterms:modified>
  <cp:category> </cp:category>
  <cp:contentStatus> </cp:contentStatus>
</cp:coreProperties>
</file>