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7C52AC" w:rsidRPr="007C52AC" w:rsidRDefault="00481E26" w:rsidP="007C52AC">
            <w:pPr>
              <w:tabs>
                <w:tab w:val="center" w:pos="4680"/>
              </w:tabs>
              <w:suppressAutoHyphens/>
              <w:rPr>
                <w:spacing w:val="-2"/>
              </w:rPr>
            </w:pPr>
            <w:r>
              <w:rPr>
                <w:spacing w:val="-2"/>
              </w:rPr>
              <w:t>Chapin Enterprises, LLC</w:t>
            </w:r>
          </w:p>
          <w:p w:rsidR="007C52AC" w:rsidRPr="007C52AC" w:rsidRDefault="007C52AC" w:rsidP="007C52AC">
            <w:pPr>
              <w:tabs>
                <w:tab w:val="center" w:pos="4680"/>
              </w:tabs>
              <w:suppressAutoHyphens/>
              <w:rPr>
                <w:spacing w:val="-2"/>
              </w:rPr>
            </w:pPr>
          </w:p>
          <w:p w:rsidR="00481E26" w:rsidRDefault="007C52AC" w:rsidP="007C52AC">
            <w:pPr>
              <w:tabs>
                <w:tab w:val="center" w:pos="4680"/>
              </w:tabs>
              <w:suppressAutoHyphens/>
              <w:rPr>
                <w:spacing w:val="-2"/>
              </w:rPr>
            </w:pPr>
            <w:r w:rsidRPr="007C52AC">
              <w:rPr>
                <w:spacing w:val="-2"/>
              </w:rPr>
              <w:t>Application for</w:t>
            </w:r>
            <w:r w:rsidR="00481E26">
              <w:rPr>
                <w:spacing w:val="-2"/>
              </w:rPr>
              <w:t xml:space="preserve"> a Construction Permit for a</w:t>
            </w:r>
            <w:r w:rsidRPr="007C52AC">
              <w:rPr>
                <w:spacing w:val="-2"/>
              </w:rPr>
              <w:t xml:space="preserve"> </w:t>
            </w:r>
          </w:p>
          <w:p w:rsidR="008825EF" w:rsidRDefault="00481E26" w:rsidP="00481E26">
            <w:pPr>
              <w:tabs>
                <w:tab w:val="center" w:pos="4680"/>
              </w:tabs>
              <w:suppressAutoHyphens/>
              <w:rPr>
                <w:spacing w:val="-2"/>
              </w:rPr>
            </w:pPr>
            <w:r>
              <w:rPr>
                <w:spacing w:val="-2"/>
              </w:rPr>
              <w:t>Minor Change to a</w:t>
            </w:r>
            <w:r w:rsidR="007C52AC" w:rsidRPr="007C52AC">
              <w:rPr>
                <w:spacing w:val="-2"/>
              </w:rPr>
              <w:t xml:space="preserve"> </w:t>
            </w:r>
            <w:r w:rsidR="008825EF">
              <w:rPr>
                <w:spacing w:val="-2"/>
              </w:rPr>
              <w:t>Licensed Facility</w:t>
            </w:r>
          </w:p>
          <w:p w:rsidR="008825EF" w:rsidRDefault="008825EF" w:rsidP="00481E26">
            <w:pPr>
              <w:tabs>
                <w:tab w:val="center" w:pos="4680"/>
              </w:tabs>
              <w:suppressAutoHyphens/>
              <w:rPr>
                <w:spacing w:val="-2"/>
              </w:rPr>
            </w:pPr>
          </w:p>
          <w:p w:rsidR="008825EF" w:rsidRDefault="008825EF" w:rsidP="00481E26">
            <w:pPr>
              <w:tabs>
                <w:tab w:val="center" w:pos="4680"/>
              </w:tabs>
              <w:suppressAutoHyphens/>
              <w:rPr>
                <w:spacing w:val="-2"/>
              </w:rPr>
            </w:pPr>
            <w:r>
              <w:rPr>
                <w:spacing w:val="-2"/>
              </w:rPr>
              <w:t>Application</w:t>
            </w:r>
            <w:r w:rsidR="00F22E5C">
              <w:rPr>
                <w:spacing w:val="-2"/>
              </w:rPr>
              <w:t xml:space="preserve">s for </w:t>
            </w:r>
            <w:r>
              <w:rPr>
                <w:spacing w:val="-2"/>
              </w:rPr>
              <w:t>Minor Modification of a Construction Permit</w:t>
            </w:r>
          </w:p>
          <w:p w:rsidR="008825EF" w:rsidRDefault="008825EF" w:rsidP="00481E26">
            <w:pPr>
              <w:tabs>
                <w:tab w:val="center" w:pos="4680"/>
              </w:tabs>
              <w:suppressAutoHyphens/>
              <w:rPr>
                <w:spacing w:val="-2"/>
              </w:rPr>
            </w:pPr>
          </w:p>
          <w:p w:rsidR="00481E26" w:rsidRPr="007115F7" w:rsidRDefault="0077295A" w:rsidP="00481E26">
            <w:pPr>
              <w:tabs>
                <w:tab w:val="center" w:pos="4680"/>
              </w:tabs>
              <w:suppressAutoHyphens/>
              <w:rPr>
                <w:spacing w:val="-2"/>
              </w:rPr>
            </w:pPr>
            <w:r>
              <w:rPr>
                <w:spacing w:val="-2"/>
              </w:rPr>
              <w:t xml:space="preserve">Station </w:t>
            </w:r>
            <w:r w:rsidR="00035B89">
              <w:rPr>
                <w:spacing w:val="-2"/>
              </w:rPr>
              <w:t>KVSS</w:t>
            </w:r>
            <w:r w:rsidR="00554A22">
              <w:rPr>
                <w:spacing w:val="-2"/>
              </w:rPr>
              <w:t>(FM)</w:t>
            </w:r>
            <w:r w:rsidR="00481E26">
              <w:rPr>
                <w:spacing w:val="-2"/>
              </w:rPr>
              <w:t>, Papillion, Nebraska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7C52AC" w:rsidRDefault="004C2EE3">
            <w:pPr>
              <w:tabs>
                <w:tab w:val="center" w:pos="4680"/>
              </w:tabs>
              <w:suppressAutoHyphens/>
              <w:rPr>
                <w:b/>
                <w:spacing w:val="-2"/>
              </w:rPr>
            </w:pPr>
            <w:r>
              <w:rPr>
                <w:b/>
                <w:spacing w:val="-2"/>
              </w:rPr>
              <w:t>)</w:t>
            </w:r>
          </w:p>
          <w:p w:rsidR="007C52AC" w:rsidRDefault="00545909">
            <w:pPr>
              <w:tabs>
                <w:tab w:val="center" w:pos="4680"/>
              </w:tabs>
              <w:suppressAutoHyphens/>
              <w:rPr>
                <w:b/>
                <w:spacing w:val="-2"/>
              </w:rPr>
            </w:pPr>
            <w:r w:rsidRPr="00545909">
              <w:rPr>
                <w:b/>
                <w:spacing w:val="-2"/>
              </w:rPr>
              <w:t>)</w:t>
            </w:r>
          </w:p>
          <w:p w:rsidR="008825EF" w:rsidRDefault="008825EF">
            <w:pPr>
              <w:tabs>
                <w:tab w:val="center" w:pos="4680"/>
              </w:tabs>
              <w:suppressAutoHyphens/>
              <w:rPr>
                <w:b/>
                <w:spacing w:val="-2"/>
              </w:rPr>
            </w:pPr>
            <w:r>
              <w:rPr>
                <w:b/>
                <w:spacing w:val="-2"/>
              </w:rPr>
              <w:t>)</w:t>
            </w:r>
          </w:p>
          <w:p w:rsidR="008825EF" w:rsidRDefault="008825EF">
            <w:pPr>
              <w:tabs>
                <w:tab w:val="center" w:pos="4680"/>
              </w:tabs>
              <w:suppressAutoHyphens/>
              <w:rPr>
                <w:b/>
                <w:spacing w:val="-2"/>
              </w:rPr>
            </w:pPr>
            <w:r>
              <w:rPr>
                <w:b/>
                <w:spacing w:val="-2"/>
              </w:rPr>
              <w:t>)</w:t>
            </w:r>
          </w:p>
          <w:p w:rsidR="008825EF" w:rsidRDefault="008825EF">
            <w:pPr>
              <w:tabs>
                <w:tab w:val="center" w:pos="4680"/>
              </w:tabs>
              <w:suppressAutoHyphens/>
              <w:rPr>
                <w:b/>
                <w:spacing w:val="-2"/>
              </w:rPr>
            </w:pPr>
            <w:r>
              <w:rPr>
                <w:b/>
                <w:spacing w:val="-2"/>
              </w:rPr>
              <w:t>)</w:t>
            </w:r>
          </w:p>
          <w:p w:rsidR="008825EF" w:rsidRPr="00545909" w:rsidRDefault="008825EF">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45909" w:rsidRDefault="00545909" w:rsidP="00545909">
            <w:pPr>
              <w:tabs>
                <w:tab w:val="center" w:pos="4680"/>
              </w:tabs>
              <w:suppressAutoHyphens/>
              <w:rPr>
                <w:spacing w:val="-2"/>
              </w:rPr>
            </w:pPr>
          </w:p>
          <w:p w:rsidR="00246DD2" w:rsidRDefault="00246DD2" w:rsidP="00545909">
            <w:pPr>
              <w:tabs>
                <w:tab w:val="center" w:pos="4680"/>
              </w:tabs>
              <w:suppressAutoHyphens/>
              <w:rPr>
                <w:spacing w:val="-2"/>
              </w:rPr>
            </w:pPr>
          </w:p>
          <w:p w:rsidR="00545909" w:rsidRDefault="00545909" w:rsidP="00545909">
            <w:pPr>
              <w:tabs>
                <w:tab w:val="center" w:pos="4680"/>
              </w:tabs>
              <w:suppressAutoHyphens/>
              <w:rPr>
                <w:spacing w:val="-2"/>
              </w:rPr>
            </w:pPr>
            <w:r w:rsidRPr="007C52AC">
              <w:rPr>
                <w:spacing w:val="-2"/>
              </w:rPr>
              <w:t>File No. B</w:t>
            </w:r>
            <w:r>
              <w:rPr>
                <w:spacing w:val="-2"/>
              </w:rPr>
              <w:t>PH-2007</w:t>
            </w:r>
            <w:r w:rsidR="00E27B4F">
              <w:rPr>
                <w:spacing w:val="-2"/>
              </w:rPr>
              <w:t>0119AFW</w:t>
            </w:r>
          </w:p>
          <w:p w:rsidR="008825EF" w:rsidRDefault="00E27B4F" w:rsidP="008825EF">
            <w:pPr>
              <w:tabs>
                <w:tab w:val="center" w:pos="4680"/>
              </w:tabs>
              <w:suppressAutoHyphens/>
              <w:rPr>
                <w:spacing w:val="-2"/>
              </w:rPr>
            </w:pPr>
            <w:r>
              <w:rPr>
                <w:spacing w:val="-2"/>
              </w:rPr>
              <w:t xml:space="preserve">             </w:t>
            </w:r>
          </w:p>
          <w:p w:rsidR="008825EF" w:rsidRDefault="008825EF" w:rsidP="008825EF">
            <w:pPr>
              <w:tabs>
                <w:tab w:val="center" w:pos="4680"/>
              </w:tabs>
              <w:suppressAutoHyphens/>
              <w:rPr>
                <w:spacing w:val="-2"/>
              </w:rPr>
            </w:pPr>
          </w:p>
          <w:p w:rsidR="008825EF" w:rsidRPr="007C52AC" w:rsidRDefault="008825EF" w:rsidP="008825EF">
            <w:pPr>
              <w:tabs>
                <w:tab w:val="center" w:pos="4680"/>
              </w:tabs>
              <w:suppressAutoHyphens/>
              <w:rPr>
                <w:spacing w:val="-2"/>
              </w:rPr>
            </w:pPr>
            <w:r>
              <w:rPr>
                <w:spacing w:val="-2"/>
              </w:rPr>
              <w:t>File No</w:t>
            </w:r>
            <w:r w:rsidR="00F22E5C">
              <w:rPr>
                <w:spacing w:val="-2"/>
              </w:rPr>
              <w:t>s</w:t>
            </w:r>
            <w:r>
              <w:rPr>
                <w:spacing w:val="-2"/>
              </w:rPr>
              <w:t>. BMPH-20080417AAY</w:t>
            </w:r>
          </w:p>
          <w:p w:rsidR="008825EF" w:rsidRDefault="00F22E5C" w:rsidP="008825EF">
            <w:pPr>
              <w:tabs>
                <w:tab w:val="center" w:pos="4680"/>
              </w:tabs>
              <w:suppressAutoHyphens/>
              <w:rPr>
                <w:spacing w:val="-2"/>
              </w:rPr>
            </w:pPr>
            <w:r>
              <w:rPr>
                <w:spacing w:val="-2"/>
              </w:rPr>
              <w:t xml:space="preserve">                </w:t>
            </w:r>
            <w:r w:rsidRPr="00F22E5C">
              <w:rPr>
                <w:spacing w:val="-2"/>
              </w:rPr>
              <w:t>BMPH-20090121ABD</w:t>
            </w:r>
          </w:p>
          <w:p w:rsidR="008825EF" w:rsidRDefault="008825EF" w:rsidP="008825EF">
            <w:pPr>
              <w:tabs>
                <w:tab w:val="center" w:pos="4680"/>
              </w:tabs>
              <w:suppressAutoHyphens/>
              <w:rPr>
                <w:spacing w:val="-2"/>
              </w:rPr>
            </w:pPr>
          </w:p>
          <w:p w:rsidR="007C52AC" w:rsidRDefault="008825EF" w:rsidP="008825EF">
            <w:pPr>
              <w:tabs>
                <w:tab w:val="center" w:pos="4680"/>
              </w:tabs>
              <w:suppressAutoHyphens/>
              <w:rPr>
                <w:spacing w:val="-2"/>
              </w:rPr>
            </w:pPr>
            <w:r>
              <w:rPr>
                <w:spacing w:val="-2"/>
              </w:rPr>
              <w:t>Facility ID No. 34435</w:t>
            </w:r>
          </w:p>
        </w:tc>
      </w:tr>
      <w:tr w:rsidR="007C52AC">
        <w:tc>
          <w:tcPr>
            <w:tcW w:w="4698" w:type="dxa"/>
          </w:tcPr>
          <w:p w:rsidR="007C52AC" w:rsidRDefault="007C52AC">
            <w:pPr>
              <w:tabs>
                <w:tab w:val="center" w:pos="4680"/>
              </w:tabs>
              <w:suppressAutoHyphens/>
              <w:rPr>
                <w:spacing w:val="-2"/>
              </w:rPr>
            </w:pPr>
          </w:p>
        </w:tc>
        <w:tc>
          <w:tcPr>
            <w:tcW w:w="630" w:type="dxa"/>
          </w:tcPr>
          <w:p w:rsidR="007C52AC" w:rsidRDefault="007C52AC">
            <w:pPr>
              <w:tabs>
                <w:tab w:val="center" w:pos="4680"/>
              </w:tabs>
              <w:suppressAutoHyphens/>
              <w:rPr>
                <w:b/>
                <w:spacing w:val="-2"/>
              </w:rPr>
            </w:pPr>
          </w:p>
        </w:tc>
        <w:tc>
          <w:tcPr>
            <w:tcW w:w="4248" w:type="dxa"/>
          </w:tcPr>
          <w:p w:rsidR="007C52AC" w:rsidRDefault="007C52AC">
            <w:pPr>
              <w:tabs>
                <w:tab w:val="center" w:pos="4680"/>
              </w:tabs>
              <w:suppressAutoHyphens/>
              <w:rPr>
                <w:spacing w:val="-2"/>
              </w:rPr>
            </w:pPr>
          </w:p>
        </w:tc>
      </w:tr>
    </w:tbl>
    <w:p w:rsidR="00841AB1" w:rsidRDefault="007C52AC"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633A4">
        <w:rPr>
          <w:b/>
          <w:spacing w:val="-2"/>
        </w:rPr>
        <w:t>April 17,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33A4">
        <w:rPr>
          <w:b/>
          <w:spacing w:val="-2"/>
        </w:rPr>
        <w:t>April 18, 2014</w:t>
      </w:r>
    </w:p>
    <w:p w:rsidR="00822CE0" w:rsidRDefault="00822CE0"/>
    <w:p w:rsidR="00E7792D" w:rsidRDefault="004C2EE3" w:rsidP="00E7792D">
      <w:pPr>
        <w:spacing w:after="120"/>
        <w:rPr>
          <w:spacing w:val="-2"/>
        </w:rPr>
      </w:pPr>
      <w:r>
        <w:t xml:space="preserve">By </w:t>
      </w:r>
      <w:r w:rsidR="004E4A22">
        <w:t>th</w:t>
      </w:r>
      <w:r w:rsidR="007C52AC">
        <w:t>e Commission</w:t>
      </w:r>
      <w:r>
        <w:rPr>
          <w:spacing w:val="-2"/>
        </w:rPr>
        <w:t>:</w:t>
      </w:r>
    </w:p>
    <w:p w:rsidR="00147289" w:rsidRDefault="00BB78FC" w:rsidP="000F33F4">
      <w:pPr>
        <w:pStyle w:val="ParaNum"/>
        <w:rPr>
          <w:snapToGrid/>
        </w:rPr>
      </w:pPr>
      <w:r w:rsidRPr="00E7792D">
        <w:rPr>
          <w:snapToGrid/>
          <w:kern w:val="0"/>
        </w:rPr>
        <w:t>In this Memor</w:t>
      </w:r>
      <w:r w:rsidR="00481E26">
        <w:rPr>
          <w:snapToGrid/>
          <w:kern w:val="0"/>
        </w:rPr>
        <w:t>andum Opinion and Order, we dismiss</w:t>
      </w:r>
      <w:r w:rsidR="00147289">
        <w:rPr>
          <w:snapToGrid/>
          <w:kern w:val="0"/>
        </w:rPr>
        <w:t xml:space="preserve"> in part and deny in part</w:t>
      </w:r>
      <w:r w:rsidR="00D374CF">
        <w:rPr>
          <w:snapToGrid/>
          <w:kern w:val="0"/>
        </w:rPr>
        <w:t xml:space="preserve"> an</w:t>
      </w:r>
      <w:r w:rsidRPr="00E7792D">
        <w:rPr>
          <w:snapToGrid/>
          <w:kern w:val="0"/>
        </w:rPr>
        <w:t xml:space="preserve"> </w:t>
      </w:r>
      <w:r w:rsidR="007C52AC" w:rsidRPr="00E7792D">
        <w:rPr>
          <w:snapToGrid/>
        </w:rPr>
        <w:t xml:space="preserve">Application for Review filed by </w:t>
      </w:r>
      <w:r w:rsidR="00E27B4F">
        <w:rPr>
          <w:snapToGrid/>
        </w:rPr>
        <w:t>William B. Clay</w:t>
      </w:r>
      <w:r w:rsidR="00CE2DD8" w:rsidRPr="00E7792D">
        <w:rPr>
          <w:snapToGrid/>
        </w:rPr>
        <w:t xml:space="preserve"> (“</w:t>
      </w:r>
      <w:r w:rsidR="00E27B4F">
        <w:rPr>
          <w:snapToGrid/>
        </w:rPr>
        <w:t>Clay</w:t>
      </w:r>
      <w:r w:rsidR="00CE2DD8" w:rsidRPr="00E7792D">
        <w:rPr>
          <w:snapToGrid/>
        </w:rPr>
        <w:t>”)</w:t>
      </w:r>
      <w:r w:rsidRPr="00E7792D">
        <w:rPr>
          <w:snapToGrid/>
        </w:rPr>
        <w:t xml:space="preserve"> on </w:t>
      </w:r>
      <w:r w:rsidR="00E27B4F">
        <w:rPr>
          <w:snapToGrid/>
        </w:rPr>
        <w:t>January 21, 2009</w:t>
      </w:r>
      <w:r w:rsidR="00D953BB" w:rsidRPr="00E7792D">
        <w:rPr>
          <w:snapToGrid/>
        </w:rPr>
        <w:t>.</w:t>
      </w:r>
      <w:r w:rsidR="00CC4815">
        <w:rPr>
          <w:rStyle w:val="FootnoteReference"/>
          <w:snapToGrid/>
          <w:szCs w:val="22"/>
        </w:rPr>
        <w:footnoteReference w:id="2"/>
      </w:r>
      <w:r w:rsidR="00D953BB" w:rsidRPr="00E7792D">
        <w:rPr>
          <w:snapToGrid/>
        </w:rPr>
        <w:t xml:space="preserve">  </w:t>
      </w:r>
      <w:r w:rsidR="00E27B4F">
        <w:rPr>
          <w:snapToGrid/>
        </w:rPr>
        <w:t>Clay</w:t>
      </w:r>
      <w:r w:rsidR="004750B9" w:rsidRPr="00E7792D">
        <w:rPr>
          <w:snapToGrid/>
        </w:rPr>
        <w:t xml:space="preserve"> seeks review of a </w:t>
      </w:r>
      <w:r w:rsidR="00E27B4F">
        <w:rPr>
          <w:snapToGrid/>
        </w:rPr>
        <w:t>December 18, 2008</w:t>
      </w:r>
      <w:r w:rsidR="00136EA4" w:rsidRPr="00E7792D">
        <w:rPr>
          <w:snapToGrid/>
        </w:rPr>
        <w:t xml:space="preserve">, action by the Media Bureau </w:t>
      </w:r>
      <w:r w:rsidR="00D953BB" w:rsidRPr="00E7792D">
        <w:rPr>
          <w:snapToGrid/>
        </w:rPr>
        <w:t>(“Bureau”)</w:t>
      </w:r>
      <w:r w:rsidR="00667007" w:rsidRPr="00E7792D">
        <w:rPr>
          <w:rStyle w:val="FootnoteReference"/>
          <w:snapToGrid/>
          <w:sz w:val="22"/>
          <w:szCs w:val="22"/>
        </w:rPr>
        <w:footnoteReference w:id="3"/>
      </w:r>
      <w:r w:rsidR="00667007" w:rsidRPr="00E7792D">
        <w:rPr>
          <w:snapToGrid/>
        </w:rPr>
        <w:t xml:space="preserve"> </w:t>
      </w:r>
      <w:r w:rsidR="00EB59C8">
        <w:t>that</w:t>
      </w:r>
      <w:r w:rsidR="002B15F7">
        <w:t>: (1)</w:t>
      </w:r>
      <w:r w:rsidR="00714E37" w:rsidRPr="00E7792D">
        <w:t xml:space="preserve"> </w:t>
      </w:r>
      <w:r w:rsidR="002C1513">
        <w:t>dismissed</w:t>
      </w:r>
      <w:r w:rsidR="00136EA4" w:rsidRPr="00E7792D">
        <w:rPr>
          <w:snapToGrid/>
        </w:rPr>
        <w:t xml:space="preserve"> </w:t>
      </w:r>
      <w:r w:rsidR="00E27B4F">
        <w:rPr>
          <w:snapToGrid/>
        </w:rPr>
        <w:t>Clay</w:t>
      </w:r>
      <w:r w:rsidR="007B26A5">
        <w:rPr>
          <w:snapToGrid/>
        </w:rPr>
        <w:t xml:space="preserve">’s </w:t>
      </w:r>
      <w:r w:rsidR="00667007">
        <w:rPr>
          <w:snapToGrid/>
        </w:rPr>
        <w:t xml:space="preserve">June 15, 2007, </w:t>
      </w:r>
      <w:r w:rsidR="007B26A5">
        <w:rPr>
          <w:snapToGrid/>
        </w:rPr>
        <w:t>Petition for Reconsideration</w:t>
      </w:r>
      <w:r w:rsidR="00A27FAB">
        <w:rPr>
          <w:snapToGrid/>
        </w:rPr>
        <w:t xml:space="preserve"> </w:t>
      </w:r>
      <w:r w:rsidR="00136EA4" w:rsidRPr="00E7792D">
        <w:rPr>
          <w:snapToGrid/>
        </w:rPr>
        <w:t xml:space="preserve">of </w:t>
      </w:r>
      <w:r w:rsidR="008825EF">
        <w:rPr>
          <w:snapToGrid/>
        </w:rPr>
        <w:t xml:space="preserve">the Bureau’s </w:t>
      </w:r>
      <w:r w:rsidR="00E27B4F">
        <w:rPr>
          <w:snapToGrid/>
        </w:rPr>
        <w:t xml:space="preserve">May </w:t>
      </w:r>
      <w:r w:rsidR="008825EF">
        <w:rPr>
          <w:snapToGrid/>
        </w:rPr>
        <w:t>17, 2007</w:t>
      </w:r>
      <w:r w:rsidR="002B15F7">
        <w:rPr>
          <w:snapToGrid/>
        </w:rPr>
        <w:t>,</w:t>
      </w:r>
      <w:r w:rsidR="008825EF">
        <w:rPr>
          <w:snapToGrid/>
        </w:rPr>
        <w:t xml:space="preserve"> grant of the above-captioned minor change application (“Community Change Application”)</w:t>
      </w:r>
      <w:r w:rsidR="002B15F7">
        <w:rPr>
          <w:snapToGrid/>
        </w:rPr>
        <w:t>;</w:t>
      </w:r>
      <w:r w:rsidR="008825EF">
        <w:rPr>
          <w:snapToGrid/>
        </w:rPr>
        <w:t xml:space="preserve"> and </w:t>
      </w:r>
      <w:r w:rsidR="002B15F7">
        <w:rPr>
          <w:snapToGrid/>
        </w:rPr>
        <w:t xml:space="preserve">(2) </w:t>
      </w:r>
      <w:r w:rsidR="00850156">
        <w:rPr>
          <w:snapToGrid/>
        </w:rPr>
        <w:t xml:space="preserve">denied Clay’s </w:t>
      </w:r>
      <w:r w:rsidR="00667007">
        <w:rPr>
          <w:snapToGrid/>
        </w:rPr>
        <w:t xml:space="preserve">May 16, 2008, </w:t>
      </w:r>
      <w:r w:rsidR="00850156">
        <w:rPr>
          <w:snapToGrid/>
        </w:rPr>
        <w:t>Informal Objection to</w:t>
      </w:r>
      <w:r w:rsidR="00165EC5">
        <w:rPr>
          <w:snapToGrid/>
        </w:rPr>
        <w:t>,</w:t>
      </w:r>
      <w:r w:rsidR="00850156">
        <w:rPr>
          <w:snapToGrid/>
        </w:rPr>
        <w:t xml:space="preserve"> and granted</w:t>
      </w:r>
      <w:r w:rsidR="00165EC5">
        <w:rPr>
          <w:snapToGrid/>
        </w:rPr>
        <w:t>,</w:t>
      </w:r>
      <w:r w:rsidR="00B74450">
        <w:rPr>
          <w:snapToGrid/>
        </w:rPr>
        <w:t xml:space="preserve"> Chapin’s</w:t>
      </w:r>
      <w:r w:rsidR="004750B9" w:rsidRPr="00E7792D">
        <w:rPr>
          <w:snapToGrid/>
        </w:rPr>
        <w:t xml:space="preserve"> above-captioned</w:t>
      </w:r>
      <w:r w:rsidR="00A27FAB">
        <w:rPr>
          <w:snapToGrid/>
        </w:rPr>
        <w:t xml:space="preserve"> minor modification</w:t>
      </w:r>
      <w:r w:rsidR="004750B9" w:rsidRPr="00E7792D">
        <w:rPr>
          <w:snapToGrid/>
        </w:rPr>
        <w:t xml:space="preserve"> application</w:t>
      </w:r>
      <w:r w:rsidR="00B74450">
        <w:rPr>
          <w:snapToGrid/>
        </w:rPr>
        <w:t xml:space="preserve">, File No. BMPH-20080417AAY </w:t>
      </w:r>
      <w:r w:rsidR="004750B9" w:rsidRPr="00E7792D">
        <w:rPr>
          <w:snapToGrid/>
        </w:rPr>
        <w:t>(“</w:t>
      </w:r>
      <w:r w:rsidR="00A27FAB">
        <w:rPr>
          <w:snapToGrid/>
        </w:rPr>
        <w:t xml:space="preserve">Modification </w:t>
      </w:r>
      <w:r w:rsidR="004750B9" w:rsidRPr="00E7792D">
        <w:rPr>
          <w:snapToGrid/>
        </w:rPr>
        <w:t>Application</w:t>
      </w:r>
      <w:r w:rsidR="00D953BB" w:rsidRPr="00E7792D">
        <w:rPr>
          <w:snapToGrid/>
        </w:rPr>
        <w:t>”)</w:t>
      </w:r>
      <w:r w:rsidR="00A27FAB">
        <w:rPr>
          <w:snapToGrid/>
        </w:rPr>
        <w:t xml:space="preserve"> </w:t>
      </w:r>
      <w:r w:rsidR="007B26A5">
        <w:rPr>
          <w:snapToGrid/>
        </w:rPr>
        <w:t>(collectively, the “Applications”)</w:t>
      </w:r>
      <w:r w:rsidR="00D953BB" w:rsidRPr="00E7792D">
        <w:rPr>
          <w:snapToGrid/>
        </w:rPr>
        <w:t>.</w:t>
      </w:r>
      <w:r w:rsidR="008F3C3B">
        <w:rPr>
          <w:rStyle w:val="FootnoteReference"/>
          <w:snapToGrid/>
          <w:szCs w:val="22"/>
        </w:rPr>
        <w:footnoteReference w:id="4"/>
      </w:r>
      <w:r w:rsidR="003E1A1E" w:rsidRPr="00E7792D">
        <w:rPr>
          <w:snapToGrid/>
        </w:rPr>
        <w:t xml:space="preserve"> </w:t>
      </w:r>
    </w:p>
    <w:p w:rsidR="00727CC7" w:rsidRDefault="00A27FAB" w:rsidP="000F33F4">
      <w:pPr>
        <w:pStyle w:val="ParaNum"/>
        <w:rPr>
          <w:snapToGrid/>
        </w:rPr>
      </w:pPr>
      <w:r>
        <w:rPr>
          <w:snapToGrid/>
        </w:rPr>
        <w:t>In the Community Change Applicat</w:t>
      </w:r>
      <w:r w:rsidR="002B15F7">
        <w:rPr>
          <w:snapToGrid/>
        </w:rPr>
        <w:t>ion</w:t>
      </w:r>
      <w:r w:rsidR="00F22E5C">
        <w:rPr>
          <w:snapToGrid/>
        </w:rPr>
        <w:t>,</w:t>
      </w:r>
      <w:r w:rsidR="0064420B">
        <w:rPr>
          <w:snapToGrid/>
        </w:rPr>
        <w:t xml:space="preserve"> filed on January 19, 2007</w:t>
      </w:r>
      <w:r w:rsidR="002B15F7">
        <w:rPr>
          <w:snapToGrid/>
        </w:rPr>
        <w:t>, Chapin sought to change the</w:t>
      </w:r>
      <w:r>
        <w:rPr>
          <w:snapToGrid/>
        </w:rPr>
        <w:t xml:space="preserve"> community of license</w:t>
      </w:r>
      <w:r w:rsidR="002B15F7">
        <w:rPr>
          <w:snapToGrid/>
        </w:rPr>
        <w:t xml:space="preserve"> of Station KVSS(FM) (formerly KBZR(FM)) (the “Station”) </w:t>
      </w:r>
      <w:r>
        <w:rPr>
          <w:snapToGrid/>
        </w:rPr>
        <w:t>from Lincoln, Nebraska, to Papillion, Nebraska</w:t>
      </w:r>
      <w:r w:rsidR="001D5385">
        <w:rPr>
          <w:snapToGrid/>
        </w:rPr>
        <w:t>.</w:t>
      </w:r>
      <w:r w:rsidR="00BC41FA">
        <w:rPr>
          <w:snapToGrid/>
        </w:rPr>
        <w:t xml:space="preserve">  </w:t>
      </w:r>
      <w:r w:rsidR="00CC4815">
        <w:rPr>
          <w:snapToGrid/>
        </w:rPr>
        <w:t>On May 14</w:t>
      </w:r>
      <w:r w:rsidR="0064420B">
        <w:rPr>
          <w:snapToGrid/>
        </w:rPr>
        <w:t>, 2007, t</w:t>
      </w:r>
      <w:r w:rsidR="003D1D70" w:rsidRPr="003D1D70">
        <w:rPr>
          <w:snapToGrid/>
        </w:rPr>
        <w:t xml:space="preserve">he </w:t>
      </w:r>
      <w:r w:rsidR="002C1513">
        <w:rPr>
          <w:snapToGrid/>
        </w:rPr>
        <w:t>Bureau granted the unopposed Community Change Application,</w:t>
      </w:r>
      <w:r w:rsidR="00AD0DF4">
        <w:rPr>
          <w:snapToGrid/>
        </w:rPr>
        <w:t xml:space="preserve"> having concluded</w:t>
      </w:r>
      <w:r w:rsidR="002C1513">
        <w:rPr>
          <w:snapToGrid/>
        </w:rPr>
        <w:t xml:space="preserve"> that the </w:t>
      </w:r>
      <w:r w:rsidR="003D1D70" w:rsidRPr="003D1D70">
        <w:rPr>
          <w:snapToGrid/>
        </w:rPr>
        <w:t xml:space="preserve">change resulted in a preferential arrangement of allotments under Section 307(b) of the Communications Act </w:t>
      </w:r>
      <w:r w:rsidR="0061077E">
        <w:rPr>
          <w:snapToGrid/>
        </w:rPr>
        <w:t>of 1934, as amended (the “Act”)</w:t>
      </w:r>
      <w:r w:rsidR="002C1513">
        <w:rPr>
          <w:snapToGrid/>
        </w:rPr>
        <w:t xml:space="preserve"> </w:t>
      </w:r>
      <w:r w:rsidR="003D1D70" w:rsidRPr="003D1D70">
        <w:rPr>
          <w:snapToGrid/>
        </w:rPr>
        <w:t xml:space="preserve">because it </w:t>
      </w:r>
      <w:r w:rsidR="00EB59C8">
        <w:rPr>
          <w:snapToGrid/>
        </w:rPr>
        <w:t>p</w:t>
      </w:r>
      <w:r w:rsidR="003D1D70" w:rsidRPr="003D1D70">
        <w:rPr>
          <w:snapToGrid/>
        </w:rPr>
        <w:t>rovide</w:t>
      </w:r>
      <w:r w:rsidR="00EB59C8">
        <w:rPr>
          <w:snapToGrid/>
        </w:rPr>
        <w:t>d</w:t>
      </w:r>
      <w:r w:rsidR="003D1D70" w:rsidRPr="003D1D70">
        <w:rPr>
          <w:snapToGrid/>
        </w:rPr>
        <w:t xml:space="preserve"> a first local </w:t>
      </w:r>
      <w:r w:rsidR="002C1513">
        <w:rPr>
          <w:snapToGrid/>
        </w:rPr>
        <w:t xml:space="preserve">transmission </w:t>
      </w:r>
      <w:r w:rsidR="003D1D70" w:rsidRPr="003D1D70">
        <w:rPr>
          <w:snapToGrid/>
        </w:rPr>
        <w:t>service to Papillion</w:t>
      </w:r>
      <w:r w:rsidR="002C1513">
        <w:rPr>
          <w:snapToGrid/>
        </w:rPr>
        <w:t xml:space="preserve"> under Priority 3 of the </w:t>
      </w:r>
      <w:r w:rsidR="002C1513">
        <w:rPr>
          <w:i/>
          <w:snapToGrid/>
        </w:rPr>
        <w:t>FM Assignment Policies</w:t>
      </w:r>
      <w:r w:rsidR="003D1D70" w:rsidRPr="003D1D70">
        <w:rPr>
          <w:snapToGrid/>
        </w:rPr>
        <w:t>.</w:t>
      </w:r>
      <w:r w:rsidR="001D5385">
        <w:rPr>
          <w:rStyle w:val="FootnoteReference"/>
          <w:snapToGrid/>
          <w:szCs w:val="22"/>
        </w:rPr>
        <w:footnoteReference w:id="5"/>
      </w:r>
      <w:r>
        <w:rPr>
          <w:snapToGrid/>
        </w:rPr>
        <w:t xml:space="preserve">  </w:t>
      </w:r>
      <w:r w:rsidR="00FB52DC">
        <w:rPr>
          <w:snapToGrid/>
        </w:rPr>
        <w:t xml:space="preserve"> </w:t>
      </w:r>
      <w:r w:rsidR="008F3C3B" w:rsidRPr="008F3C3B">
        <w:rPr>
          <w:snapToGrid/>
        </w:rPr>
        <w:lastRenderedPageBreak/>
        <w:t xml:space="preserve">On June 15, 2007, Clay filed a Petition for Reconsideration of </w:t>
      </w:r>
      <w:r w:rsidR="008F3C3B">
        <w:rPr>
          <w:snapToGrid/>
        </w:rPr>
        <w:t>that grant.  On April 17, 2008, Chapin filed the</w:t>
      </w:r>
      <w:r w:rsidR="008F3C3B" w:rsidRPr="008F3C3B">
        <w:rPr>
          <w:snapToGrid/>
        </w:rPr>
        <w:t xml:space="preserve"> Modification Application, </w:t>
      </w:r>
      <w:r w:rsidR="008F3C3B">
        <w:rPr>
          <w:snapToGrid/>
        </w:rPr>
        <w:t>which m</w:t>
      </w:r>
      <w:r w:rsidR="008F3C3B" w:rsidRPr="008F3C3B">
        <w:rPr>
          <w:snapToGrid/>
        </w:rPr>
        <w:t xml:space="preserve">odified Chapin’s minor change construction permit to specify a new transmitter site.  </w:t>
      </w:r>
      <w:r w:rsidR="00727CC7">
        <w:rPr>
          <w:snapToGrid/>
        </w:rPr>
        <w:t xml:space="preserve">On </w:t>
      </w:r>
      <w:r w:rsidR="00727CC7" w:rsidRPr="00727CC7">
        <w:rPr>
          <w:snapToGrid/>
        </w:rPr>
        <w:t xml:space="preserve">May 16, 2008, </w:t>
      </w:r>
      <w:r w:rsidR="00727CC7">
        <w:rPr>
          <w:snapToGrid/>
        </w:rPr>
        <w:t xml:space="preserve">Clay filed the </w:t>
      </w:r>
      <w:r w:rsidR="00727CC7" w:rsidRPr="00727CC7">
        <w:rPr>
          <w:snapToGrid/>
        </w:rPr>
        <w:t>Informal Objection</w:t>
      </w:r>
      <w:r w:rsidR="00727CC7">
        <w:rPr>
          <w:snapToGrid/>
        </w:rPr>
        <w:t xml:space="preserve"> against the Modification Application.</w:t>
      </w:r>
      <w:r w:rsidR="00727CC7" w:rsidRPr="00727CC7">
        <w:rPr>
          <w:snapToGrid/>
        </w:rPr>
        <w:t xml:space="preserve"> </w:t>
      </w:r>
    </w:p>
    <w:p w:rsidR="00850156" w:rsidRPr="00960774" w:rsidRDefault="003A77CF" w:rsidP="000F33F4">
      <w:pPr>
        <w:pStyle w:val="ParaNum"/>
        <w:rPr>
          <w:snapToGrid/>
        </w:rPr>
      </w:pPr>
      <w:r>
        <w:rPr>
          <w:snapToGrid/>
        </w:rPr>
        <w:t xml:space="preserve">In the </w:t>
      </w:r>
      <w:r>
        <w:rPr>
          <w:i/>
          <w:snapToGrid/>
        </w:rPr>
        <w:t>Reconsideration Decision</w:t>
      </w:r>
      <w:r w:rsidR="00FB52DC">
        <w:rPr>
          <w:snapToGrid/>
        </w:rPr>
        <w:t xml:space="preserve">, the </w:t>
      </w:r>
      <w:r w:rsidR="00FB52DC" w:rsidRPr="00FB52DC">
        <w:rPr>
          <w:snapToGrid/>
        </w:rPr>
        <w:t>Bureau dismissed Clay’s</w:t>
      </w:r>
      <w:r w:rsidR="00667007" w:rsidRPr="00667007">
        <w:rPr>
          <w:snapToGrid/>
        </w:rPr>
        <w:t xml:space="preserve"> </w:t>
      </w:r>
      <w:r w:rsidR="00FB52DC" w:rsidRPr="00FB52DC">
        <w:rPr>
          <w:snapToGrid/>
        </w:rPr>
        <w:t xml:space="preserve">Petition for Reconsideration, finding that Clay lacked standing as either a </w:t>
      </w:r>
      <w:r w:rsidR="00220A3A">
        <w:rPr>
          <w:snapToGrid/>
        </w:rPr>
        <w:t xml:space="preserve">competitor or </w:t>
      </w:r>
      <w:r w:rsidR="00FB52DC" w:rsidRPr="00FB52DC">
        <w:rPr>
          <w:snapToGrid/>
        </w:rPr>
        <w:t xml:space="preserve">listener of the Station.  </w:t>
      </w:r>
      <w:r w:rsidR="00E610CF" w:rsidRPr="00E610CF">
        <w:rPr>
          <w:snapToGrid/>
        </w:rPr>
        <w:t xml:space="preserve">The Bureau also held that Clay had not satisfied the </w:t>
      </w:r>
      <w:r w:rsidR="005125A4">
        <w:rPr>
          <w:snapToGrid/>
        </w:rPr>
        <w:t xml:space="preserve">procedural </w:t>
      </w:r>
      <w:r w:rsidR="00E610CF" w:rsidRPr="00E610CF">
        <w:rPr>
          <w:snapToGrid/>
        </w:rPr>
        <w:t xml:space="preserve">requirement under Section 1.106(b)(1) of </w:t>
      </w:r>
      <w:r w:rsidR="005125A4">
        <w:rPr>
          <w:snapToGrid/>
        </w:rPr>
        <w:t xml:space="preserve">the Rules to </w:t>
      </w:r>
      <w:r w:rsidR="00E610CF" w:rsidRPr="00E610CF">
        <w:rPr>
          <w:snapToGrid/>
        </w:rPr>
        <w:t>“show good reason why it was not possible for him to participate in the earlier stages of the proceeding</w:t>
      </w:r>
      <w:r w:rsidR="0007586A">
        <w:rPr>
          <w:snapToGrid/>
        </w:rPr>
        <w:t>.</w:t>
      </w:r>
      <w:r w:rsidR="00E610CF" w:rsidRPr="00E610CF">
        <w:rPr>
          <w:snapToGrid/>
        </w:rPr>
        <w:t>”</w:t>
      </w:r>
      <w:r w:rsidR="00E610CF" w:rsidRPr="00E610CF">
        <w:rPr>
          <w:snapToGrid/>
          <w:vertAlign w:val="superscript"/>
        </w:rPr>
        <w:footnoteReference w:id="6"/>
      </w:r>
      <w:r w:rsidR="00E610CF" w:rsidRPr="00E610CF">
        <w:rPr>
          <w:snapToGrid/>
        </w:rPr>
        <w:t xml:space="preserve">  Rather, the Bureau held, it was “possible for Clay to do so—he simply elected not to.”</w:t>
      </w:r>
      <w:r w:rsidR="00E610CF" w:rsidRPr="00E610CF">
        <w:rPr>
          <w:snapToGrid/>
          <w:vertAlign w:val="superscript"/>
        </w:rPr>
        <w:footnoteReference w:id="7"/>
      </w:r>
      <w:r w:rsidR="00E610CF">
        <w:rPr>
          <w:snapToGrid/>
        </w:rPr>
        <w:t xml:space="preserve">  </w:t>
      </w:r>
      <w:r w:rsidR="00FB52DC">
        <w:rPr>
          <w:snapToGrid/>
        </w:rPr>
        <w:t xml:space="preserve">However, </w:t>
      </w:r>
      <w:r w:rsidR="0061077E">
        <w:rPr>
          <w:snapToGrid/>
        </w:rPr>
        <w:t>because standing is not required to file an informal objection,</w:t>
      </w:r>
      <w:r w:rsidR="0061077E">
        <w:rPr>
          <w:rStyle w:val="FootnoteReference"/>
          <w:snapToGrid/>
          <w:szCs w:val="22"/>
        </w:rPr>
        <w:footnoteReference w:id="8"/>
      </w:r>
      <w:r w:rsidR="00667007">
        <w:rPr>
          <w:snapToGrid/>
        </w:rPr>
        <w:t xml:space="preserve"> the Bureau considered Clay’s </w:t>
      </w:r>
      <w:r w:rsidR="00667007" w:rsidRPr="00667007">
        <w:rPr>
          <w:snapToGrid/>
        </w:rPr>
        <w:t xml:space="preserve">May 16, 2008, </w:t>
      </w:r>
      <w:r w:rsidR="0061077E">
        <w:rPr>
          <w:snapToGrid/>
        </w:rPr>
        <w:t>Informal Objection</w:t>
      </w:r>
      <w:r w:rsidR="00667007">
        <w:rPr>
          <w:snapToGrid/>
        </w:rPr>
        <w:t xml:space="preserve"> to the Modification Application</w:t>
      </w:r>
      <w:r w:rsidR="0061077E">
        <w:rPr>
          <w:snapToGrid/>
        </w:rPr>
        <w:t xml:space="preserve"> on the merits</w:t>
      </w:r>
      <w:r w:rsidR="00020A21">
        <w:rPr>
          <w:snapToGrid/>
        </w:rPr>
        <w:t xml:space="preserve">, concluding </w:t>
      </w:r>
      <w:r w:rsidR="0061077E">
        <w:rPr>
          <w:snapToGrid/>
        </w:rPr>
        <w:t>that Clay had not raised a substantial or material question of fact that grant of the Modification Application was not in the public interest.</w:t>
      </w:r>
      <w:r w:rsidR="0061077E" w:rsidRPr="00FB52DC">
        <w:rPr>
          <w:snapToGrid/>
          <w:vertAlign w:val="superscript"/>
        </w:rPr>
        <w:footnoteReference w:id="9"/>
      </w:r>
      <w:r w:rsidR="00960774">
        <w:rPr>
          <w:snapToGrid/>
        </w:rPr>
        <w:t xml:space="preserve">  The Bureau, accordingly, granted the Modification Application.</w:t>
      </w:r>
      <w:r w:rsidR="00BC0E90">
        <w:rPr>
          <w:rStyle w:val="FootnoteReference"/>
          <w:snapToGrid/>
          <w:szCs w:val="22"/>
        </w:rPr>
        <w:footnoteReference w:id="10"/>
      </w:r>
    </w:p>
    <w:p w:rsidR="00920554" w:rsidRPr="00920554" w:rsidRDefault="00920554" w:rsidP="000F33F4">
      <w:pPr>
        <w:pStyle w:val="ParaNum"/>
        <w:rPr>
          <w:snapToGrid/>
        </w:rPr>
      </w:pPr>
      <w:r>
        <w:rPr>
          <w:snapToGrid/>
        </w:rPr>
        <w:t xml:space="preserve">On review, Clay objects to the </w:t>
      </w:r>
      <w:r>
        <w:rPr>
          <w:i/>
          <w:snapToGrid/>
        </w:rPr>
        <w:t xml:space="preserve">Reconsideration Decision </w:t>
      </w:r>
      <w:r>
        <w:rPr>
          <w:snapToGrid/>
        </w:rPr>
        <w:t>on two grounds.</w:t>
      </w:r>
      <w:r>
        <w:rPr>
          <w:i/>
          <w:snapToGrid/>
        </w:rPr>
        <w:t xml:space="preserve">  </w:t>
      </w:r>
      <w:r>
        <w:rPr>
          <w:snapToGrid/>
        </w:rPr>
        <w:t>First,</w:t>
      </w:r>
      <w:r>
        <w:rPr>
          <w:i/>
          <w:snapToGrid/>
        </w:rPr>
        <w:t xml:space="preserve"> </w:t>
      </w:r>
      <w:r w:rsidRPr="00920554">
        <w:rPr>
          <w:snapToGrid/>
        </w:rPr>
        <w:t xml:space="preserve">Clay </w:t>
      </w:r>
      <w:r>
        <w:rPr>
          <w:snapToGrid/>
        </w:rPr>
        <w:t xml:space="preserve">argues that the Bureau erred in </w:t>
      </w:r>
      <w:r w:rsidR="0061077E">
        <w:rPr>
          <w:snapToGrid/>
        </w:rPr>
        <w:t>finding that he lacked standing to file the</w:t>
      </w:r>
      <w:r w:rsidR="007A6353">
        <w:rPr>
          <w:snapToGrid/>
        </w:rPr>
        <w:t xml:space="preserve"> </w:t>
      </w:r>
      <w:r>
        <w:rPr>
          <w:snapToGrid/>
        </w:rPr>
        <w:t xml:space="preserve">Petition for Reconsideration.  </w:t>
      </w:r>
      <w:r w:rsidR="007A6353">
        <w:rPr>
          <w:snapToGrid/>
        </w:rPr>
        <w:t xml:space="preserve">Clay </w:t>
      </w:r>
      <w:r w:rsidR="00FB52DC">
        <w:rPr>
          <w:snapToGrid/>
        </w:rPr>
        <w:t>claims</w:t>
      </w:r>
      <w:r>
        <w:rPr>
          <w:snapToGrid/>
        </w:rPr>
        <w:t xml:space="preserve"> </w:t>
      </w:r>
      <w:r w:rsidRPr="00920554">
        <w:rPr>
          <w:snapToGrid/>
        </w:rPr>
        <w:t xml:space="preserve">standing to oppose the grant of the Applications because: </w:t>
      </w:r>
    </w:p>
    <w:p w:rsidR="00920554" w:rsidRDefault="00920554" w:rsidP="002C5FDC">
      <w:pPr>
        <w:spacing w:after="120"/>
        <w:ind w:left="720"/>
        <w:rPr>
          <w:snapToGrid/>
          <w:szCs w:val="22"/>
        </w:rPr>
      </w:pPr>
      <w:r w:rsidRPr="00920554">
        <w:rPr>
          <w:snapToGrid/>
          <w:szCs w:val="22"/>
        </w:rPr>
        <w:t xml:space="preserve">[Grant of the Applications established] binding precedent that would then make it that much harder for Clay, or anyone, to raise similar substantial public interest objections to other grants of this nature, where Clay resides or where others reside.  Based upon Clay’s asserted interest in and dependence upon rural FM radio service, this threat is concrete and particularized with respect to Clay and qualifies as a justiciable injury under Article III of the U.S. Constitution.  It is just such a </w:t>
      </w:r>
      <w:r w:rsidRPr="00920554">
        <w:rPr>
          <w:i/>
          <w:snapToGrid/>
          <w:szCs w:val="22"/>
        </w:rPr>
        <w:t xml:space="preserve">procedural </w:t>
      </w:r>
      <w:r w:rsidRPr="00920554">
        <w:rPr>
          <w:snapToGrid/>
          <w:szCs w:val="22"/>
        </w:rPr>
        <w:t xml:space="preserve">nexus that the Supreme Court recognizes as deserving a relaxed standard of immediacy in </w:t>
      </w:r>
      <w:r w:rsidRPr="00920554">
        <w:rPr>
          <w:i/>
          <w:snapToGrid/>
          <w:szCs w:val="22"/>
        </w:rPr>
        <w:t>Lujan v. Defenders of Wildlife</w:t>
      </w:r>
      <w:r w:rsidRPr="00920554">
        <w:rPr>
          <w:snapToGrid/>
          <w:szCs w:val="22"/>
        </w:rPr>
        <w:t>, 504 U.S. 555 (1992), n.7.</w:t>
      </w:r>
      <w:r w:rsidRPr="00920554">
        <w:rPr>
          <w:snapToGrid/>
          <w:szCs w:val="22"/>
          <w:vertAlign w:val="superscript"/>
        </w:rPr>
        <w:footnoteReference w:id="11"/>
      </w:r>
    </w:p>
    <w:p w:rsidR="00920554" w:rsidRDefault="00805207" w:rsidP="000F33F4">
      <w:pPr>
        <w:pStyle w:val="ParaNum"/>
        <w:rPr>
          <w:snapToGrid/>
        </w:rPr>
      </w:pPr>
      <w:r>
        <w:rPr>
          <w:snapToGrid/>
        </w:rPr>
        <w:t xml:space="preserve">Second, </w:t>
      </w:r>
      <w:r w:rsidR="00920554">
        <w:rPr>
          <w:snapToGrid/>
        </w:rPr>
        <w:t xml:space="preserve">Clay </w:t>
      </w:r>
      <w:r>
        <w:rPr>
          <w:snapToGrid/>
        </w:rPr>
        <w:t>r</w:t>
      </w:r>
      <w:r w:rsidR="0061077E">
        <w:rPr>
          <w:snapToGrid/>
        </w:rPr>
        <w:t>eiterate</w:t>
      </w:r>
      <w:r w:rsidR="00DF4015">
        <w:rPr>
          <w:snapToGrid/>
        </w:rPr>
        <w:t>s</w:t>
      </w:r>
      <w:r>
        <w:rPr>
          <w:snapToGrid/>
        </w:rPr>
        <w:t xml:space="preserve"> his</w:t>
      </w:r>
      <w:r w:rsidR="0061077E">
        <w:rPr>
          <w:snapToGrid/>
        </w:rPr>
        <w:t xml:space="preserve"> </w:t>
      </w:r>
      <w:r w:rsidR="00FB52DC">
        <w:rPr>
          <w:snapToGrid/>
        </w:rPr>
        <w:t>substantive</w:t>
      </w:r>
      <w:r>
        <w:rPr>
          <w:snapToGrid/>
        </w:rPr>
        <w:t xml:space="preserve"> </w:t>
      </w:r>
      <w:r w:rsidR="002C5FDC">
        <w:rPr>
          <w:snapToGrid/>
        </w:rPr>
        <w:t>objections to</w:t>
      </w:r>
      <w:r w:rsidR="00165EC5">
        <w:rPr>
          <w:snapToGrid/>
        </w:rPr>
        <w:t xml:space="preserve"> </w:t>
      </w:r>
      <w:r w:rsidR="002C5FDC">
        <w:rPr>
          <w:snapToGrid/>
        </w:rPr>
        <w:t xml:space="preserve">the </w:t>
      </w:r>
      <w:r w:rsidR="00165EC5">
        <w:rPr>
          <w:snapToGrid/>
        </w:rPr>
        <w:t>grant of the Applications</w:t>
      </w:r>
      <w:r>
        <w:rPr>
          <w:snapToGrid/>
        </w:rPr>
        <w:t>:</w:t>
      </w:r>
      <w:r w:rsidR="00920554">
        <w:rPr>
          <w:snapToGrid/>
        </w:rPr>
        <w:t xml:space="preserve"> </w:t>
      </w:r>
      <w:r w:rsidR="00920554" w:rsidRPr="00920554">
        <w:rPr>
          <w:snapToGrid/>
        </w:rPr>
        <w:t xml:space="preserve"> “</w:t>
      </w:r>
      <w:r w:rsidR="00920554">
        <w:rPr>
          <w:snapToGrid/>
        </w:rPr>
        <w:t>T</w:t>
      </w:r>
      <w:r w:rsidR="00920554" w:rsidRPr="00920554">
        <w:rPr>
          <w:snapToGrid/>
        </w:rPr>
        <w:t xml:space="preserve">he process and policies prescribed by the Commission in its [2006 </w:t>
      </w:r>
      <w:r w:rsidR="00920554" w:rsidRPr="00920554">
        <w:rPr>
          <w:i/>
          <w:snapToGrid/>
        </w:rPr>
        <w:t>Community of License Order</w:t>
      </w:r>
      <w:r w:rsidR="00920554" w:rsidRPr="00920554">
        <w:rPr>
          <w:snapToGrid/>
        </w:rPr>
        <w:t>], utterly failed to ensure that the facility authorized here has a reasonable probability of providing its community of license, Papillion, Nebraska, with an ‘outlet for local self-expression,’ the Commission’s only stated objective for its first local service allotment preference, which was dispositive in this case.”</w:t>
      </w:r>
      <w:r w:rsidR="00920554" w:rsidRPr="00920554">
        <w:rPr>
          <w:snapToGrid/>
          <w:vertAlign w:val="superscript"/>
        </w:rPr>
        <w:footnoteReference w:id="12"/>
      </w:r>
      <w:r w:rsidR="00920554" w:rsidRPr="00920554">
        <w:rPr>
          <w:snapToGrid/>
        </w:rPr>
        <w:t xml:space="preserve">  Rather, Clay contends, Chapin has a commercial incentive to cater to the Omaha Metro community as a whole rather than to the residents of Papillion, who constitute a small fraction of the total covered population.</w:t>
      </w:r>
      <w:r w:rsidR="00920554" w:rsidRPr="00920554">
        <w:rPr>
          <w:snapToGrid/>
          <w:vertAlign w:val="superscript"/>
        </w:rPr>
        <w:footnoteReference w:id="13"/>
      </w:r>
      <w:r w:rsidR="00920554" w:rsidRPr="00920554">
        <w:rPr>
          <w:snapToGrid/>
        </w:rPr>
        <w:t xml:space="preserve">    </w:t>
      </w:r>
    </w:p>
    <w:p w:rsidR="002C5FDC" w:rsidRDefault="0067008E" w:rsidP="000F33F4">
      <w:pPr>
        <w:pStyle w:val="ParaNum"/>
        <w:rPr>
          <w:snapToGrid/>
        </w:rPr>
      </w:pPr>
      <w:r>
        <w:rPr>
          <w:i/>
          <w:snapToGrid/>
        </w:rPr>
        <w:t xml:space="preserve">Petition for Reconsideration.  </w:t>
      </w:r>
      <w:r>
        <w:rPr>
          <w:snapToGrid/>
        </w:rPr>
        <w:t>W</w:t>
      </w:r>
      <w:r w:rsidR="004A35E0">
        <w:rPr>
          <w:snapToGrid/>
        </w:rPr>
        <w:t>e</w:t>
      </w:r>
      <w:r w:rsidR="00C9549F">
        <w:rPr>
          <w:snapToGrid/>
        </w:rPr>
        <w:t xml:space="preserve"> </w:t>
      </w:r>
      <w:r w:rsidR="00A0645B">
        <w:rPr>
          <w:snapToGrid/>
        </w:rPr>
        <w:t xml:space="preserve">agree with the Bureau’s </w:t>
      </w:r>
      <w:r w:rsidR="00551563">
        <w:rPr>
          <w:snapToGrid/>
        </w:rPr>
        <w:t xml:space="preserve">rationale and </w:t>
      </w:r>
      <w:r w:rsidR="002C5FDC">
        <w:rPr>
          <w:snapToGrid/>
        </w:rPr>
        <w:t>holding</w:t>
      </w:r>
      <w:r w:rsidR="00165EC5">
        <w:rPr>
          <w:snapToGrid/>
        </w:rPr>
        <w:t xml:space="preserve"> </w:t>
      </w:r>
      <w:r>
        <w:rPr>
          <w:snapToGrid/>
        </w:rPr>
        <w:t>that Clay lacked standing to file the Petition for Reconsideration</w:t>
      </w:r>
      <w:r w:rsidR="000F33F4">
        <w:rPr>
          <w:snapToGrid/>
        </w:rPr>
        <w:t xml:space="preserve"> </w:t>
      </w:r>
      <w:r w:rsidR="000F33F4">
        <w:t xml:space="preserve">and did not comply with the procedural </w:t>
      </w:r>
      <w:r w:rsidR="000F33F4">
        <w:lastRenderedPageBreak/>
        <w:t>requirements of Section 1.106(b)(1) of the Rules.</w:t>
      </w:r>
      <w:r w:rsidR="000F33F4">
        <w:rPr>
          <w:rStyle w:val="FootnoteReference"/>
          <w:szCs w:val="22"/>
        </w:rPr>
        <w:footnoteReference w:id="14"/>
      </w:r>
      <w:r w:rsidR="000F33F4">
        <w:rPr>
          <w:kern w:val="0"/>
          <w:sz w:val="24"/>
          <w:szCs w:val="24"/>
        </w:rPr>
        <w:t xml:space="preserve"> </w:t>
      </w:r>
      <w:r w:rsidR="00A0645B">
        <w:rPr>
          <w:snapToGrid/>
        </w:rPr>
        <w:t xml:space="preserve"> Therefore, for the reasons set out in in the </w:t>
      </w:r>
      <w:r w:rsidR="00A0645B">
        <w:rPr>
          <w:i/>
          <w:snapToGrid/>
        </w:rPr>
        <w:t>Reconsideration Decision</w:t>
      </w:r>
      <w:r w:rsidR="00A0645B">
        <w:rPr>
          <w:snapToGrid/>
        </w:rPr>
        <w:t>, we</w:t>
      </w:r>
      <w:r w:rsidR="00F13AB9">
        <w:rPr>
          <w:snapToGrid/>
        </w:rPr>
        <w:t xml:space="preserve"> </w:t>
      </w:r>
      <w:r w:rsidR="004A35E0">
        <w:rPr>
          <w:snapToGrid/>
        </w:rPr>
        <w:t>deny t</w:t>
      </w:r>
      <w:r w:rsidR="00174765">
        <w:rPr>
          <w:snapToGrid/>
        </w:rPr>
        <w:t>he Application for Review to the</w:t>
      </w:r>
      <w:r w:rsidR="004A35E0">
        <w:rPr>
          <w:snapToGrid/>
        </w:rPr>
        <w:t xml:space="preserve"> extent that it </w:t>
      </w:r>
      <w:r w:rsidR="00C9549F">
        <w:rPr>
          <w:snapToGrid/>
        </w:rPr>
        <w:t>challenges</w:t>
      </w:r>
      <w:r w:rsidR="004A35E0">
        <w:rPr>
          <w:snapToGrid/>
        </w:rPr>
        <w:t xml:space="preserve"> the Bureau’s</w:t>
      </w:r>
      <w:r w:rsidR="00F13AB9">
        <w:rPr>
          <w:snapToGrid/>
        </w:rPr>
        <w:t xml:space="preserve"> </w:t>
      </w:r>
      <w:r w:rsidR="00A0645B">
        <w:rPr>
          <w:snapToGrid/>
        </w:rPr>
        <w:t>dismissal of the Petition for Recon</w:t>
      </w:r>
      <w:r w:rsidR="00165EC5">
        <w:rPr>
          <w:snapToGrid/>
        </w:rPr>
        <w:t>sideration</w:t>
      </w:r>
      <w:r w:rsidR="00C9549F">
        <w:rPr>
          <w:snapToGrid/>
        </w:rPr>
        <w:t xml:space="preserve">.  </w:t>
      </w:r>
    </w:p>
    <w:p w:rsidR="00AF2482" w:rsidRPr="00254768" w:rsidRDefault="0067008E" w:rsidP="000F33F4">
      <w:pPr>
        <w:pStyle w:val="ParaNum"/>
        <w:rPr>
          <w:snapToGrid/>
        </w:rPr>
      </w:pPr>
      <w:r>
        <w:rPr>
          <w:i/>
          <w:snapToGrid/>
        </w:rPr>
        <w:t>Informal Objection.</w:t>
      </w:r>
      <w:r>
        <w:rPr>
          <w:snapToGrid/>
        </w:rPr>
        <w:t xml:space="preserve">  We</w:t>
      </w:r>
      <w:r w:rsidR="00CA7571">
        <w:rPr>
          <w:snapToGrid/>
        </w:rPr>
        <w:t xml:space="preserve"> also</w:t>
      </w:r>
      <w:r>
        <w:rPr>
          <w:snapToGrid/>
        </w:rPr>
        <w:t xml:space="preserve"> </w:t>
      </w:r>
      <w:r w:rsidR="004A35E0">
        <w:rPr>
          <w:snapToGrid/>
        </w:rPr>
        <w:t>find that Clay</w:t>
      </w:r>
      <w:r w:rsidR="00A0645B">
        <w:rPr>
          <w:snapToGrid/>
        </w:rPr>
        <w:t xml:space="preserve"> </w:t>
      </w:r>
      <w:r w:rsidR="004A35E0">
        <w:rPr>
          <w:snapToGrid/>
        </w:rPr>
        <w:t>lack</w:t>
      </w:r>
      <w:r w:rsidR="00A0645B">
        <w:rPr>
          <w:snapToGrid/>
        </w:rPr>
        <w:t>s</w:t>
      </w:r>
      <w:r w:rsidR="004A35E0">
        <w:rPr>
          <w:snapToGrid/>
        </w:rPr>
        <w:t xml:space="preserve"> standing</w:t>
      </w:r>
      <w:r w:rsidR="00C9549F">
        <w:rPr>
          <w:snapToGrid/>
        </w:rPr>
        <w:t>, on review,</w:t>
      </w:r>
      <w:r w:rsidR="004A35E0">
        <w:rPr>
          <w:snapToGrid/>
        </w:rPr>
        <w:t xml:space="preserve"> to </w:t>
      </w:r>
      <w:r w:rsidR="00F13AB9">
        <w:rPr>
          <w:snapToGrid/>
        </w:rPr>
        <w:t>challenge</w:t>
      </w:r>
      <w:r w:rsidR="004A35E0">
        <w:rPr>
          <w:snapToGrid/>
        </w:rPr>
        <w:t xml:space="preserve"> the Bureau’s </w:t>
      </w:r>
      <w:r w:rsidR="00165EC5">
        <w:rPr>
          <w:snapToGrid/>
        </w:rPr>
        <w:t>denial of</w:t>
      </w:r>
      <w:r w:rsidR="00A0645B">
        <w:rPr>
          <w:snapToGrid/>
        </w:rPr>
        <w:t xml:space="preserve"> the Informal Objection</w:t>
      </w:r>
      <w:r w:rsidR="00CD4A00">
        <w:rPr>
          <w:snapToGrid/>
        </w:rPr>
        <w:t xml:space="preserve"> to the Modification Application</w:t>
      </w:r>
      <w:r w:rsidR="00805207" w:rsidRPr="00805207">
        <w:rPr>
          <w:snapToGrid/>
        </w:rPr>
        <w:t xml:space="preserve">.  </w:t>
      </w:r>
      <w:r w:rsidR="002C5FDC">
        <w:rPr>
          <w:snapToGrid/>
        </w:rPr>
        <w:t>While</w:t>
      </w:r>
      <w:r w:rsidR="00D457ED">
        <w:rPr>
          <w:snapToGrid/>
        </w:rPr>
        <w:t xml:space="preserve"> </w:t>
      </w:r>
      <w:r w:rsidR="002C5FDC">
        <w:rPr>
          <w:snapToGrid/>
        </w:rPr>
        <w:t>Clay was not required to demonstrate standing</w:t>
      </w:r>
      <w:r w:rsidR="00D457ED">
        <w:rPr>
          <w:snapToGrid/>
        </w:rPr>
        <w:t xml:space="preserve"> as an informal objector, he is</w:t>
      </w:r>
      <w:r w:rsidR="009C1D1C">
        <w:rPr>
          <w:snapToGrid/>
        </w:rPr>
        <w:t xml:space="preserve"> now</w:t>
      </w:r>
      <w:r w:rsidR="00D457ED">
        <w:rPr>
          <w:snapToGrid/>
        </w:rPr>
        <w:t xml:space="preserve"> required to do so</w:t>
      </w:r>
      <w:r w:rsidR="00DF4015">
        <w:rPr>
          <w:snapToGrid/>
        </w:rPr>
        <w:t xml:space="preserve"> as an applicant for review</w:t>
      </w:r>
      <w:r w:rsidR="002C5FDC">
        <w:rPr>
          <w:snapToGrid/>
        </w:rPr>
        <w:t>.</w:t>
      </w:r>
      <w:r w:rsidR="002C5FDC">
        <w:rPr>
          <w:rStyle w:val="FootnoteReference"/>
          <w:snapToGrid/>
          <w:szCs w:val="22"/>
        </w:rPr>
        <w:footnoteReference w:id="15"/>
      </w:r>
      <w:r w:rsidR="002C5FDC">
        <w:rPr>
          <w:snapToGrid/>
        </w:rPr>
        <w:t xml:space="preserve">  </w:t>
      </w:r>
      <w:r w:rsidR="00B17605" w:rsidRPr="00805207">
        <w:rPr>
          <w:snapToGrid/>
        </w:rPr>
        <w:t>Under Section 1.115(a) of the Rules and Section 155(c)(4) of the</w:t>
      </w:r>
      <w:r w:rsidR="00CA7571">
        <w:rPr>
          <w:snapToGrid/>
        </w:rPr>
        <w:t xml:space="preserve"> Communications</w:t>
      </w:r>
      <w:r w:rsidR="00B17605" w:rsidRPr="00805207">
        <w:rPr>
          <w:snapToGrid/>
        </w:rPr>
        <w:t xml:space="preserve"> Act, an applicant for review must be a “person aggrieved” by an action taken pursuant to delegated authority.</w:t>
      </w:r>
      <w:r w:rsidR="00B17605" w:rsidRPr="00805207">
        <w:rPr>
          <w:snapToGrid/>
          <w:vertAlign w:val="superscript"/>
        </w:rPr>
        <w:footnoteReference w:id="16"/>
      </w:r>
      <w:r w:rsidR="00B17605" w:rsidRPr="00805207">
        <w:rPr>
          <w:snapToGrid/>
        </w:rPr>
        <w:t xml:space="preserve">  To show that it is “aggrieved” by an action, an applicant for review must demonstrate a direct causal link between the challenged action and the alleged injury to the applicant, and show that the injury would be prevented or redressed by the relief requested.</w:t>
      </w:r>
      <w:r w:rsidR="00B17605" w:rsidRPr="00805207">
        <w:rPr>
          <w:snapToGrid/>
          <w:vertAlign w:val="superscript"/>
        </w:rPr>
        <w:footnoteReference w:id="17"/>
      </w:r>
      <w:r w:rsidR="00B17605" w:rsidRPr="00805207">
        <w:rPr>
          <w:snapToGrid/>
        </w:rPr>
        <w:t xml:space="preserve">  In the broadcast regulatory context, standing is generally obtained in one of three ways: (1) as a competitor in the market suffering signal interference; (2) as a competitor in the market suffering economic harm; or (3) as a resident of the station's service area or regular listener of the station.</w:t>
      </w:r>
      <w:r w:rsidR="00B17605" w:rsidRPr="00805207">
        <w:rPr>
          <w:snapToGrid/>
          <w:vertAlign w:val="superscript"/>
        </w:rPr>
        <w:footnoteReference w:id="18"/>
      </w:r>
      <w:r w:rsidR="00B17605" w:rsidRPr="00805207">
        <w:rPr>
          <w:snapToGrid/>
        </w:rPr>
        <w:t xml:space="preserve"> </w:t>
      </w:r>
      <w:r w:rsidR="00B36608">
        <w:rPr>
          <w:snapToGrid/>
        </w:rPr>
        <w:t xml:space="preserve"> </w:t>
      </w:r>
      <w:r w:rsidR="002C5FDC">
        <w:rPr>
          <w:snapToGrid/>
        </w:rPr>
        <w:t>In this regard, a</w:t>
      </w:r>
      <w:r w:rsidR="00805207" w:rsidRPr="00805207">
        <w:rPr>
          <w:snapToGrid/>
        </w:rPr>
        <w:t xml:space="preserve">s the Bureau explained in the </w:t>
      </w:r>
      <w:r w:rsidR="00805207" w:rsidRPr="00805207">
        <w:rPr>
          <w:i/>
          <w:snapToGrid/>
        </w:rPr>
        <w:t>Reconsideration Decision</w:t>
      </w:r>
      <w:r w:rsidR="00805207" w:rsidRPr="00805207">
        <w:rPr>
          <w:snapToGrid/>
        </w:rPr>
        <w:t>,</w:t>
      </w:r>
      <w:r w:rsidR="00805207" w:rsidRPr="00805207">
        <w:rPr>
          <w:i/>
          <w:snapToGrid/>
        </w:rPr>
        <w:t xml:space="preserve"> </w:t>
      </w:r>
      <w:r w:rsidR="00805207" w:rsidRPr="00805207">
        <w:rPr>
          <w:snapToGrid/>
        </w:rPr>
        <w:t xml:space="preserve">Clay’s “procedural injury” arguments relying on </w:t>
      </w:r>
      <w:r w:rsidR="00805207" w:rsidRPr="00805207">
        <w:rPr>
          <w:i/>
          <w:snapToGrid/>
        </w:rPr>
        <w:t xml:space="preserve">Lujan </w:t>
      </w:r>
      <w:r w:rsidR="00805207" w:rsidRPr="00805207">
        <w:rPr>
          <w:snapToGrid/>
        </w:rPr>
        <w:t xml:space="preserve">are misplaced.  In </w:t>
      </w:r>
      <w:r w:rsidR="00805207" w:rsidRPr="00805207">
        <w:rPr>
          <w:i/>
          <w:snapToGrid/>
        </w:rPr>
        <w:t>Lujan</w:t>
      </w:r>
      <w:r w:rsidR="00805207" w:rsidRPr="00805207">
        <w:rPr>
          <w:snapToGrid/>
        </w:rPr>
        <w:t>, the Supreme Court stated that a “</w:t>
      </w:r>
      <w:bookmarkStart w:id="1" w:name="ctx3"/>
      <w:bookmarkEnd w:id="1"/>
      <w:r w:rsidR="00805207" w:rsidRPr="00805207">
        <w:rPr>
          <w:noProof/>
          <w:snapToGrid/>
        </w:rPr>
        <w:drawing>
          <wp:inline distT="0" distB="0" distL="0" distR="0" wp14:anchorId="3213B971" wp14:editId="39BDFCFE">
            <wp:extent cx="9525" cy="9525"/>
            <wp:effectExtent l="0" t="0" r="0" b="0"/>
            <wp:docPr id="11" name="Picture 11"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procedural</w:t>
      </w:r>
      <w:r w:rsidR="00805207" w:rsidRPr="00805207">
        <w:rPr>
          <w:noProof/>
          <w:snapToGrid/>
        </w:rPr>
        <w:drawing>
          <wp:inline distT="0" distB="0" distL="0" distR="0" wp14:anchorId="489F670D" wp14:editId="26414234">
            <wp:extent cx="9525" cy="9525"/>
            <wp:effectExtent l="0" t="0" r="0" b="0"/>
            <wp:docPr id="12" name="Picture 12"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 xml:space="preserve"> </w:t>
      </w:r>
      <w:bookmarkStart w:id="2" w:name="ctx4"/>
      <w:bookmarkEnd w:id="2"/>
      <w:r w:rsidR="00805207" w:rsidRPr="00805207">
        <w:rPr>
          <w:noProof/>
          <w:snapToGrid/>
        </w:rPr>
        <w:drawing>
          <wp:inline distT="0" distB="0" distL="0" distR="0" wp14:anchorId="30958E9F" wp14:editId="748D3968">
            <wp:extent cx="9525" cy="9525"/>
            <wp:effectExtent l="0" t="0" r="0" b="0"/>
            <wp:docPr id="13" name="Picture 13"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right</w:t>
      </w:r>
      <w:r w:rsidR="00805207" w:rsidRPr="00805207">
        <w:rPr>
          <w:noProof/>
          <w:snapToGrid/>
        </w:rPr>
        <w:drawing>
          <wp:inline distT="0" distB="0" distL="0" distR="0" wp14:anchorId="68E04E34" wp14:editId="002511A9">
            <wp:extent cx="9525" cy="9525"/>
            <wp:effectExtent l="0" t="0" r="0" b="0"/>
            <wp:docPr id="14" name="Picture 14"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7586A">
        <w:rPr>
          <w:snapToGrid/>
        </w:rPr>
        <w:t xml:space="preserve">” </w:t>
      </w:r>
      <w:r w:rsidR="00805207" w:rsidRPr="00805207">
        <w:rPr>
          <w:snapToGrid/>
        </w:rPr>
        <w:t xml:space="preserve">accrues only if there is an associated </w:t>
      </w:r>
      <w:bookmarkStart w:id="3" w:name="ctx5"/>
      <w:bookmarkEnd w:id="3"/>
      <w:r w:rsidR="00805207" w:rsidRPr="00805207">
        <w:rPr>
          <w:noProof/>
          <w:snapToGrid/>
        </w:rPr>
        <w:drawing>
          <wp:inline distT="0" distB="0" distL="0" distR="0" wp14:anchorId="29234209" wp14:editId="48A90B3E">
            <wp:extent cx="9525" cy="9525"/>
            <wp:effectExtent l="0" t="0" r="0" b="0"/>
            <wp:docPr id="15" name="Picture 15"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concrete</w:t>
      </w:r>
      <w:r w:rsidR="00805207" w:rsidRPr="00805207">
        <w:rPr>
          <w:noProof/>
          <w:snapToGrid/>
        </w:rPr>
        <w:drawing>
          <wp:inline distT="0" distB="0" distL="0" distR="0" wp14:anchorId="182125B0" wp14:editId="4AAF9473">
            <wp:extent cx="9525" cy="9525"/>
            <wp:effectExtent l="0" t="0" r="0" b="0"/>
            <wp:docPr id="16" name="Picture 16"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 xml:space="preserve"> harm to the person asserting the </w:t>
      </w:r>
      <w:bookmarkStart w:id="4" w:name="ctx6"/>
      <w:bookmarkEnd w:id="4"/>
      <w:r w:rsidR="00805207" w:rsidRPr="00805207">
        <w:rPr>
          <w:noProof/>
          <w:snapToGrid/>
        </w:rPr>
        <w:drawing>
          <wp:inline distT="0" distB="0" distL="0" distR="0" wp14:anchorId="4CDECC81" wp14:editId="1A584AB4">
            <wp:extent cx="9525" cy="9525"/>
            <wp:effectExtent l="0" t="0" r="0" b="0"/>
            <wp:docPr id="19" name="Picture 19"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right</w:t>
      </w:r>
      <w:r w:rsidR="00805207" w:rsidRPr="00805207">
        <w:rPr>
          <w:noProof/>
          <w:snapToGrid/>
        </w:rPr>
        <w:drawing>
          <wp:inline distT="0" distB="0" distL="0" distR="0" wp14:anchorId="4836AD10" wp14:editId="749A1833">
            <wp:extent cx="9525" cy="9525"/>
            <wp:effectExtent l="0" t="0" r="0" b="0"/>
            <wp:docPr id="20" name="Picture 20"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5207" w:rsidRPr="00805207">
        <w:rPr>
          <w:snapToGrid/>
        </w:rPr>
        <w:t>.</w:t>
      </w:r>
      <w:r w:rsidR="00805207" w:rsidRPr="00805207">
        <w:rPr>
          <w:snapToGrid/>
          <w:vertAlign w:val="superscript"/>
        </w:rPr>
        <w:footnoteReference w:id="19"/>
      </w:r>
      <w:r w:rsidR="00805207" w:rsidRPr="00805207">
        <w:rPr>
          <w:snapToGrid/>
        </w:rPr>
        <w:t xml:space="preserve">  Here, Clay fails to show any concrete harm accruing to him as a resident of Charlotte, North Carolina, a community located over 1,100 miles from either Papillion or Omaha</w:t>
      </w:r>
      <w:r w:rsidR="00D457ED">
        <w:rPr>
          <w:snapToGrid/>
        </w:rPr>
        <w:t>, from the grant</w:t>
      </w:r>
      <w:r w:rsidR="002C5FDC">
        <w:rPr>
          <w:snapToGrid/>
        </w:rPr>
        <w:t xml:space="preserve"> of the </w:t>
      </w:r>
      <w:r w:rsidR="00D457ED">
        <w:rPr>
          <w:snapToGrid/>
        </w:rPr>
        <w:t xml:space="preserve">Modification </w:t>
      </w:r>
      <w:r w:rsidR="002C5FDC">
        <w:rPr>
          <w:snapToGrid/>
        </w:rPr>
        <w:t>Applicati</w:t>
      </w:r>
      <w:r w:rsidR="00D457ED">
        <w:rPr>
          <w:snapToGrid/>
        </w:rPr>
        <w:t>on</w:t>
      </w:r>
      <w:r w:rsidR="00805207" w:rsidRPr="00805207">
        <w:rPr>
          <w:snapToGrid/>
        </w:rPr>
        <w:t>.</w:t>
      </w:r>
      <w:r w:rsidR="00805207" w:rsidRPr="00805207">
        <w:rPr>
          <w:snapToGrid/>
          <w:vertAlign w:val="superscript"/>
        </w:rPr>
        <w:footnoteReference w:id="20"/>
      </w:r>
      <w:r w:rsidR="00805207" w:rsidRPr="00805207">
        <w:rPr>
          <w:snapToGrid/>
        </w:rPr>
        <w:t xml:space="preserve">  He does not allege </w:t>
      </w:r>
      <w:r w:rsidR="00220A3A" w:rsidRPr="00805207">
        <w:rPr>
          <w:snapToGrid/>
        </w:rPr>
        <w:t>competitive harm or signal interference</w:t>
      </w:r>
      <w:r w:rsidR="00805207" w:rsidRPr="00805207">
        <w:rPr>
          <w:snapToGrid/>
        </w:rPr>
        <w:t xml:space="preserve">, nor does he allege </w:t>
      </w:r>
      <w:r w:rsidR="00220A3A" w:rsidRPr="00805207">
        <w:rPr>
          <w:snapToGrid/>
        </w:rPr>
        <w:t>to be a listener of the Station</w:t>
      </w:r>
      <w:r w:rsidR="00805207" w:rsidRPr="00805207">
        <w:rPr>
          <w:snapToGrid/>
        </w:rPr>
        <w:t xml:space="preserve">.  Clay cites no case in which standing has been granted on the basis that the legal precedent set by one case could affect future, similar, cases.  </w:t>
      </w:r>
      <w:r w:rsidR="00F84956">
        <w:rPr>
          <w:snapToGrid/>
        </w:rPr>
        <w:t>Moreover</w:t>
      </w:r>
      <w:r w:rsidR="00805207" w:rsidRPr="00805207">
        <w:rPr>
          <w:snapToGrid/>
        </w:rPr>
        <w:t>,</w:t>
      </w:r>
      <w:r w:rsidR="00F84956">
        <w:rPr>
          <w:snapToGrid/>
        </w:rPr>
        <w:t xml:space="preserve"> Clay has failed to demonstrate</w:t>
      </w:r>
      <w:r w:rsidR="00805207" w:rsidRPr="00805207">
        <w:rPr>
          <w:snapToGrid/>
        </w:rPr>
        <w:t xml:space="preserve"> </w:t>
      </w:r>
      <w:r w:rsidR="00F84956">
        <w:rPr>
          <w:snapToGrid/>
        </w:rPr>
        <w:t>a</w:t>
      </w:r>
      <w:r w:rsidR="00805207" w:rsidRPr="00805207">
        <w:rPr>
          <w:snapToGrid/>
        </w:rPr>
        <w:t xml:space="preserve"> causal link between the claimed</w:t>
      </w:r>
      <w:r w:rsidR="00DF4015">
        <w:rPr>
          <w:snapToGrid/>
        </w:rPr>
        <w:t xml:space="preserve"> injury and the grant</w:t>
      </w:r>
      <w:r w:rsidR="00805207" w:rsidRPr="00805207">
        <w:rPr>
          <w:snapToGrid/>
        </w:rPr>
        <w:t xml:space="preserve"> at issue.  </w:t>
      </w:r>
      <w:r w:rsidR="00551563">
        <w:rPr>
          <w:snapToGrid/>
        </w:rPr>
        <w:t>In granting the construction permit underlying the Modification Application, the Bureau</w:t>
      </w:r>
      <w:r w:rsidR="00805207" w:rsidRPr="00805207">
        <w:rPr>
          <w:snapToGrid/>
        </w:rPr>
        <w:t xml:space="preserve"> </w:t>
      </w:r>
      <w:r w:rsidR="00805207" w:rsidRPr="00805207">
        <w:rPr>
          <w:i/>
          <w:snapToGrid/>
        </w:rPr>
        <w:t xml:space="preserve">applied </w:t>
      </w:r>
      <w:r w:rsidR="00805207" w:rsidRPr="00805207">
        <w:rPr>
          <w:snapToGrid/>
        </w:rPr>
        <w:t xml:space="preserve">the processing rules adopted in the </w:t>
      </w:r>
      <w:r w:rsidR="00805207" w:rsidRPr="00805207">
        <w:rPr>
          <w:i/>
          <w:snapToGrid/>
        </w:rPr>
        <w:lastRenderedPageBreak/>
        <w:t>Community of License Order</w:t>
      </w:r>
      <w:r w:rsidR="00D457ED">
        <w:rPr>
          <w:snapToGrid/>
        </w:rPr>
        <w:t>; it</w:t>
      </w:r>
      <w:r w:rsidR="00805207" w:rsidRPr="00805207">
        <w:rPr>
          <w:snapToGrid/>
        </w:rPr>
        <w:t xml:space="preserve"> did not create them.</w:t>
      </w:r>
      <w:r w:rsidR="00805207" w:rsidRPr="00805207">
        <w:rPr>
          <w:snapToGrid/>
          <w:vertAlign w:val="superscript"/>
        </w:rPr>
        <w:footnoteReference w:id="21"/>
      </w:r>
      <w:r w:rsidR="00805207" w:rsidRPr="00805207">
        <w:rPr>
          <w:snapToGrid/>
        </w:rPr>
        <w:t xml:space="preserve">  Therefore, the</w:t>
      </w:r>
      <w:r w:rsidR="00254768">
        <w:rPr>
          <w:snapToGrid/>
        </w:rPr>
        <w:t xml:space="preserve"> relevant</w:t>
      </w:r>
      <w:r w:rsidR="00805207" w:rsidRPr="00805207">
        <w:rPr>
          <w:snapToGrid/>
        </w:rPr>
        <w:t xml:space="preserve"> rules would apply to any future applications notwithst</w:t>
      </w:r>
      <w:r w:rsidR="00D457ED">
        <w:rPr>
          <w:snapToGrid/>
        </w:rPr>
        <w:t xml:space="preserve">anding grant of </w:t>
      </w:r>
      <w:r w:rsidR="00551563">
        <w:rPr>
          <w:snapToGrid/>
        </w:rPr>
        <w:t>either</w:t>
      </w:r>
      <w:r w:rsidR="00D457ED">
        <w:rPr>
          <w:snapToGrid/>
        </w:rPr>
        <w:t xml:space="preserve"> Application</w:t>
      </w:r>
      <w:r w:rsidR="00805207" w:rsidRPr="00805207">
        <w:rPr>
          <w:snapToGrid/>
        </w:rPr>
        <w:t xml:space="preserve">.  </w:t>
      </w:r>
      <w:r w:rsidR="00DF4015">
        <w:rPr>
          <w:snapToGrid/>
        </w:rPr>
        <w:t>Th</w:t>
      </w:r>
      <w:r w:rsidR="00551563">
        <w:rPr>
          <w:snapToGrid/>
        </w:rPr>
        <w:t>is</w:t>
      </w:r>
      <w:r w:rsidR="00DF4015">
        <w:rPr>
          <w:snapToGrid/>
        </w:rPr>
        <w:t xml:space="preserve"> causal connection is even more attenuated by the fact that</w:t>
      </w:r>
      <w:r w:rsidR="00551563">
        <w:rPr>
          <w:snapToGrid/>
        </w:rPr>
        <w:t xml:space="preserve"> the</w:t>
      </w:r>
      <w:r w:rsidR="00DF4015">
        <w:rPr>
          <w:snapToGrid/>
        </w:rPr>
        <w:t xml:space="preserve"> grant of the Modification Application did </w:t>
      </w:r>
      <w:r w:rsidR="009C1D1C">
        <w:rPr>
          <w:snapToGrid/>
        </w:rPr>
        <w:t xml:space="preserve">not </w:t>
      </w:r>
      <w:r w:rsidR="00DF4015">
        <w:rPr>
          <w:snapToGrid/>
        </w:rPr>
        <w:t>authorize the move to Papillion</w:t>
      </w:r>
      <w:r w:rsidR="00551563">
        <w:rPr>
          <w:snapToGrid/>
        </w:rPr>
        <w:t>—</w:t>
      </w:r>
      <w:r w:rsidR="00CD4A00">
        <w:rPr>
          <w:snapToGrid/>
        </w:rPr>
        <w:t xml:space="preserve">which was </w:t>
      </w:r>
      <w:r w:rsidR="00DF4015">
        <w:rPr>
          <w:snapToGrid/>
        </w:rPr>
        <w:t xml:space="preserve">already </w:t>
      </w:r>
      <w:r w:rsidR="009C1D1C">
        <w:rPr>
          <w:snapToGrid/>
        </w:rPr>
        <w:t>authorized</w:t>
      </w:r>
      <w:r w:rsidR="00DF4015">
        <w:rPr>
          <w:snapToGrid/>
        </w:rPr>
        <w:t xml:space="preserve"> by </w:t>
      </w:r>
      <w:r w:rsidR="00CD4A00">
        <w:rPr>
          <w:snapToGrid/>
        </w:rPr>
        <w:t xml:space="preserve">the </w:t>
      </w:r>
      <w:r w:rsidR="00DF4015">
        <w:rPr>
          <w:snapToGrid/>
        </w:rPr>
        <w:t>grant of the Community Change Application</w:t>
      </w:r>
      <w:r w:rsidR="00551563">
        <w:rPr>
          <w:snapToGrid/>
        </w:rPr>
        <w:t>—</w:t>
      </w:r>
      <w:r w:rsidR="00DF4015">
        <w:rPr>
          <w:snapToGrid/>
        </w:rPr>
        <w:t>but merely “further dilute[d]” Papillion’s share of the covered population by expanding the Station’s signal coverage.</w:t>
      </w:r>
      <w:r w:rsidR="00DF4015">
        <w:rPr>
          <w:rStyle w:val="FootnoteReference"/>
          <w:snapToGrid/>
          <w:szCs w:val="22"/>
        </w:rPr>
        <w:footnoteReference w:id="22"/>
      </w:r>
      <w:r w:rsidR="00DF4015">
        <w:rPr>
          <w:snapToGrid/>
        </w:rPr>
        <w:t xml:space="preserve">  </w:t>
      </w:r>
      <w:r w:rsidR="00805207" w:rsidRPr="00805207">
        <w:rPr>
          <w:snapToGrid/>
        </w:rPr>
        <w:t>Finally, the relief Clay requests would no more directly and tangibly benefit him individually than the national public at large.</w:t>
      </w:r>
      <w:r w:rsidR="00805207" w:rsidRPr="00805207">
        <w:rPr>
          <w:snapToGrid/>
          <w:vertAlign w:val="superscript"/>
        </w:rPr>
        <w:footnoteReference w:id="23"/>
      </w:r>
      <w:r w:rsidR="00805207" w:rsidRPr="00805207">
        <w:rPr>
          <w:snapToGrid/>
        </w:rPr>
        <w:t xml:space="preserve">  For all of these reasons, </w:t>
      </w:r>
      <w:r w:rsidR="00F13AB9">
        <w:rPr>
          <w:snapToGrid/>
        </w:rPr>
        <w:t xml:space="preserve">Clay </w:t>
      </w:r>
      <w:r w:rsidR="00020A21">
        <w:rPr>
          <w:snapToGrid/>
        </w:rPr>
        <w:t>fails</w:t>
      </w:r>
      <w:r w:rsidR="00F13AB9" w:rsidRPr="00805207">
        <w:rPr>
          <w:snapToGrid/>
        </w:rPr>
        <w:t xml:space="preserve"> to identify a direct economic or other connection between his interests and grant of the</w:t>
      </w:r>
      <w:r w:rsidR="00DF4015">
        <w:rPr>
          <w:snapToGrid/>
        </w:rPr>
        <w:t xml:space="preserve"> Modification Application</w:t>
      </w:r>
      <w:r w:rsidR="00F13AB9" w:rsidRPr="00805207">
        <w:rPr>
          <w:snapToGrid/>
        </w:rPr>
        <w:t>.</w:t>
      </w:r>
      <w:r w:rsidR="00F13AB9">
        <w:rPr>
          <w:snapToGrid/>
        </w:rPr>
        <w:t xml:space="preserve">  Therefore, we dismiss</w:t>
      </w:r>
      <w:r w:rsidR="009C1D1C">
        <w:rPr>
          <w:snapToGrid/>
        </w:rPr>
        <w:t>, for lack of standing,</w:t>
      </w:r>
      <w:r w:rsidR="00F13AB9">
        <w:rPr>
          <w:snapToGrid/>
        </w:rPr>
        <w:t xml:space="preserve"> the Application for Review to the extent that it challenges the </w:t>
      </w:r>
      <w:r w:rsidR="002C5FDC">
        <w:rPr>
          <w:snapToGrid/>
        </w:rPr>
        <w:t>Bureau’s denial of Clay’s Informal Objection</w:t>
      </w:r>
      <w:r w:rsidR="00F13AB9">
        <w:rPr>
          <w:snapToGrid/>
        </w:rPr>
        <w:t xml:space="preserve">. </w:t>
      </w:r>
      <w:r w:rsidR="00805207" w:rsidRPr="00805207">
        <w:rPr>
          <w:snapToGrid/>
        </w:rPr>
        <w:t xml:space="preserve"> </w:t>
      </w:r>
    </w:p>
    <w:p w:rsidR="0040710F" w:rsidRDefault="0040710F" w:rsidP="000F33F4">
      <w:pPr>
        <w:pStyle w:val="ParaNum"/>
        <w:rPr>
          <w:snapToGrid/>
        </w:rPr>
      </w:pPr>
      <w:r w:rsidRPr="0040710F">
        <w:rPr>
          <w:snapToGrid/>
        </w:rPr>
        <w:t xml:space="preserve">ACCORDINGLY, IT IS ORDERED </w:t>
      </w:r>
      <w:r w:rsidR="00617C25">
        <w:rPr>
          <w:snapToGrid/>
        </w:rPr>
        <w:t>that, pursuant to S</w:t>
      </w:r>
      <w:r w:rsidR="00A65BF8">
        <w:rPr>
          <w:snapToGrid/>
        </w:rPr>
        <w:t>ection</w:t>
      </w:r>
      <w:r w:rsidR="0007586A">
        <w:rPr>
          <w:snapToGrid/>
        </w:rPr>
        <w:t xml:space="preserve"> </w:t>
      </w:r>
      <w:r w:rsidR="00697F2E">
        <w:rPr>
          <w:snapToGrid/>
        </w:rPr>
        <w:t>5(c)</w:t>
      </w:r>
      <w:r w:rsidRPr="0040710F">
        <w:rPr>
          <w:snapToGrid/>
        </w:rPr>
        <w:t xml:space="preserve"> of the </w:t>
      </w:r>
      <w:r w:rsidR="0007586A">
        <w:rPr>
          <w:snapToGrid/>
        </w:rPr>
        <w:t>C</w:t>
      </w:r>
      <w:r w:rsidRPr="0040710F">
        <w:rPr>
          <w:snapToGrid/>
        </w:rPr>
        <w:t>ommunications Act of 1934, as amended,</w:t>
      </w:r>
      <w:r w:rsidRPr="0040710F">
        <w:rPr>
          <w:snapToGrid/>
          <w:vertAlign w:val="superscript"/>
        </w:rPr>
        <w:footnoteReference w:id="24"/>
      </w:r>
      <w:r w:rsidR="00A65BF8">
        <w:rPr>
          <w:snapToGrid/>
        </w:rPr>
        <w:t xml:space="preserve"> and Section</w:t>
      </w:r>
      <w:r w:rsidR="0007586A">
        <w:rPr>
          <w:snapToGrid/>
        </w:rPr>
        <w:t>s</w:t>
      </w:r>
      <w:r w:rsidR="00A65BF8">
        <w:rPr>
          <w:snapToGrid/>
        </w:rPr>
        <w:t xml:space="preserve"> 1.115(a</w:t>
      </w:r>
      <w:r w:rsidRPr="0040710F">
        <w:rPr>
          <w:snapToGrid/>
        </w:rPr>
        <w:t>)</w:t>
      </w:r>
      <w:r w:rsidR="009C1D1C">
        <w:rPr>
          <w:snapToGrid/>
        </w:rPr>
        <w:t xml:space="preserve"> and (g)</w:t>
      </w:r>
      <w:r w:rsidRPr="0040710F">
        <w:rPr>
          <w:snapToGrid/>
        </w:rPr>
        <w:t xml:space="preserve"> of the Commission’s rules,</w:t>
      </w:r>
      <w:r w:rsidRPr="0040710F">
        <w:rPr>
          <w:snapToGrid/>
          <w:vertAlign w:val="superscript"/>
        </w:rPr>
        <w:footnoteReference w:id="25"/>
      </w:r>
      <w:r w:rsidRPr="0040710F">
        <w:rPr>
          <w:snapToGrid/>
        </w:rPr>
        <w:t xml:space="preserve"> the </w:t>
      </w:r>
      <w:r w:rsidR="00697F2E">
        <w:rPr>
          <w:snapToGrid/>
        </w:rPr>
        <w:t xml:space="preserve">Application for Review IS </w:t>
      </w:r>
      <w:r w:rsidR="00254768">
        <w:rPr>
          <w:snapToGrid/>
        </w:rPr>
        <w:t>D</w:t>
      </w:r>
      <w:r w:rsidR="00024F09">
        <w:rPr>
          <w:snapToGrid/>
        </w:rPr>
        <w:t xml:space="preserve">ISMISSED for the reasons stated in paragraph </w:t>
      </w:r>
      <w:r w:rsidR="008A25C9">
        <w:rPr>
          <w:snapToGrid/>
        </w:rPr>
        <w:t xml:space="preserve">6 </w:t>
      </w:r>
      <w:r w:rsidR="00024F09">
        <w:rPr>
          <w:snapToGrid/>
        </w:rPr>
        <w:t>above and otherwise IS D</w:t>
      </w:r>
      <w:r w:rsidR="00254768">
        <w:rPr>
          <w:snapToGrid/>
        </w:rPr>
        <w:t>ENIED</w:t>
      </w:r>
      <w:r w:rsidRPr="0040710F">
        <w:rPr>
          <w:snapToGrid/>
        </w:rPr>
        <w:t xml:space="preserve">.  </w:t>
      </w:r>
    </w:p>
    <w:p w:rsidR="00F43DDC" w:rsidRDefault="00F43DDC" w:rsidP="000F33F4">
      <w:pPr>
        <w:pStyle w:val="ParaNum"/>
        <w:rPr>
          <w:snapToGrid/>
        </w:rPr>
      </w:pPr>
      <w:r>
        <w:rPr>
          <w:snapToGrid/>
        </w:rPr>
        <w:t xml:space="preserve">IT IS FURTHER ORDERED that the </w:t>
      </w:r>
      <w:r w:rsidR="009129BC">
        <w:rPr>
          <w:snapToGrid/>
        </w:rPr>
        <w:t>Second P</w:t>
      </w:r>
      <w:r>
        <w:rPr>
          <w:snapToGrid/>
        </w:rPr>
        <w:t xml:space="preserve">etition for </w:t>
      </w:r>
      <w:r w:rsidR="009129BC">
        <w:rPr>
          <w:snapToGrid/>
        </w:rPr>
        <w:t>Re</w:t>
      </w:r>
      <w:r>
        <w:rPr>
          <w:snapToGrid/>
        </w:rPr>
        <w:t xml:space="preserve">consideration filed by Clay on </w:t>
      </w:r>
      <w:r w:rsidRPr="00F43DDC">
        <w:rPr>
          <w:snapToGrid/>
        </w:rPr>
        <w:t>January 29, 2009</w:t>
      </w:r>
      <w:r>
        <w:rPr>
          <w:snapToGrid/>
        </w:rPr>
        <w:t xml:space="preserve">, </w:t>
      </w:r>
      <w:r w:rsidR="009129BC">
        <w:rPr>
          <w:snapToGrid/>
        </w:rPr>
        <w:t>IS</w:t>
      </w:r>
      <w:r>
        <w:rPr>
          <w:snapToGrid/>
        </w:rPr>
        <w:t xml:space="preserve"> DISMISSED as moot. </w:t>
      </w:r>
    </w:p>
    <w:p w:rsidR="00697F2E" w:rsidRPr="0040710F" w:rsidRDefault="00697F2E" w:rsidP="0040710F">
      <w:pPr>
        <w:tabs>
          <w:tab w:val="left" w:pos="720"/>
          <w:tab w:val="left" w:pos="1430"/>
          <w:tab w:val="left" w:pos="4680"/>
        </w:tabs>
        <w:rPr>
          <w:snapToGrid/>
          <w:kern w:val="0"/>
          <w:szCs w:val="22"/>
        </w:rPr>
      </w:pPr>
    </w:p>
    <w:p w:rsidR="0040710F" w:rsidRPr="0040710F" w:rsidRDefault="0040710F" w:rsidP="0040710F">
      <w:pPr>
        <w:widowControl/>
        <w:tabs>
          <w:tab w:val="left" w:pos="720"/>
          <w:tab w:val="left" w:pos="1430"/>
          <w:tab w:val="left" w:pos="4680"/>
        </w:tabs>
        <w:jc w:val="both"/>
        <w:rPr>
          <w:snapToGrid/>
          <w:kern w:val="0"/>
          <w:szCs w:val="22"/>
        </w:rPr>
      </w:pPr>
    </w:p>
    <w:p w:rsidR="0040710F" w:rsidRPr="0040710F" w:rsidRDefault="0040710F" w:rsidP="0040710F">
      <w:pPr>
        <w:widowControl/>
        <w:tabs>
          <w:tab w:val="left" w:pos="0"/>
        </w:tabs>
        <w:suppressAutoHyphens/>
        <w:ind w:firstLine="990"/>
        <w:jc w:val="both"/>
        <w:rPr>
          <w:snapToGrid/>
          <w:kern w:val="0"/>
          <w:szCs w:val="22"/>
        </w:rPr>
      </w:pPr>
      <w:r w:rsidRPr="0040710F">
        <w:rPr>
          <w:snapToGrid/>
          <w:kern w:val="0"/>
          <w:szCs w:val="22"/>
        </w:rPr>
        <w:tab/>
      </w:r>
      <w:r w:rsidRPr="0040710F">
        <w:rPr>
          <w:snapToGrid/>
          <w:kern w:val="0"/>
          <w:szCs w:val="22"/>
        </w:rPr>
        <w:tab/>
      </w:r>
      <w:r w:rsidRPr="0040710F">
        <w:rPr>
          <w:snapToGrid/>
          <w:kern w:val="0"/>
          <w:szCs w:val="22"/>
        </w:rPr>
        <w:tab/>
      </w:r>
      <w:r w:rsidRPr="0040710F">
        <w:rPr>
          <w:snapToGrid/>
          <w:kern w:val="0"/>
          <w:szCs w:val="22"/>
        </w:rPr>
        <w:tab/>
      </w:r>
      <w:r w:rsidRPr="0040710F">
        <w:rPr>
          <w:snapToGrid/>
          <w:kern w:val="0"/>
          <w:szCs w:val="22"/>
        </w:rPr>
        <w:tab/>
        <w:t>FEDERAL COMMUNICATIONS COMMISSION</w:t>
      </w:r>
    </w:p>
    <w:p w:rsidR="0040710F" w:rsidRPr="0040710F" w:rsidRDefault="0040710F" w:rsidP="0040710F">
      <w:pPr>
        <w:widowControl/>
        <w:tabs>
          <w:tab w:val="left" w:pos="0"/>
        </w:tabs>
        <w:suppressAutoHyphens/>
        <w:ind w:firstLine="990"/>
        <w:jc w:val="both"/>
        <w:rPr>
          <w:snapToGrid/>
          <w:kern w:val="0"/>
          <w:szCs w:val="22"/>
        </w:rPr>
      </w:pPr>
    </w:p>
    <w:p w:rsidR="0040710F" w:rsidRPr="0040710F" w:rsidRDefault="0040710F" w:rsidP="0040710F">
      <w:pPr>
        <w:widowControl/>
        <w:tabs>
          <w:tab w:val="left" w:pos="0"/>
        </w:tabs>
        <w:suppressAutoHyphens/>
        <w:ind w:firstLine="990"/>
        <w:jc w:val="both"/>
        <w:rPr>
          <w:snapToGrid/>
          <w:kern w:val="0"/>
          <w:szCs w:val="22"/>
        </w:rPr>
      </w:pPr>
    </w:p>
    <w:p w:rsidR="0040710F" w:rsidRPr="0040710F" w:rsidRDefault="0040710F" w:rsidP="0040710F">
      <w:pPr>
        <w:widowControl/>
        <w:tabs>
          <w:tab w:val="left" w:pos="0"/>
        </w:tabs>
        <w:suppressAutoHyphens/>
        <w:ind w:firstLine="990"/>
        <w:jc w:val="both"/>
        <w:rPr>
          <w:snapToGrid/>
          <w:kern w:val="0"/>
          <w:szCs w:val="22"/>
        </w:rPr>
      </w:pPr>
    </w:p>
    <w:p w:rsidR="0040710F" w:rsidRPr="0040710F" w:rsidRDefault="0040710F" w:rsidP="0040710F">
      <w:pPr>
        <w:widowControl/>
        <w:tabs>
          <w:tab w:val="left" w:pos="0"/>
        </w:tabs>
        <w:suppressAutoHyphens/>
        <w:ind w:firstLine="990"/>
        <w:jc w:val="both"/>
        <w:rPr>
          <w:snapToGrid/>
          <w:kern w:val="0"/>
          <w:szCs w:val="22"/>
        </w:rPr>
      </w:pPr>
    </w:p>
    <w:p w:rsidR="0040710F" w:rsidRPr="0040710F" w:rsidRDefault="0040710F" w:rsidP="0040710F">
      <w:pPr>
        <w:widowControl/>
        <w:tabs>
          <w:tab w:val="left" w:pos="4320"/>
        </w:tabs>
        <w:suppressAutoHyphens/>
        <w:ind w:firstLine="990"/>
        <w:jc w:val="both"/>
        <w:rPr>
          <w:snapToGrid/>
          <w:kern w:val="0"/>
          <w:szCs w:val="22"/>
        </w:rPr>
      </w:pPr>
      <w:r w:rsidRPr="0040710F">
        <w:rPr>
          <w:snapToGrid/>
          <w:kern w:val="0"/>
          <w:szCs w:val="22"/>
        </w:rPr>
        <w:tab/>
        <w:t xml:space="preserve">Marlene H. Dortch  </w:t>
      </w:r>
    </w:p>
    <w:p w:rsidR="0071794E" w:rsidRDefault="0040710F" w:rsidP="0040710F">
      <w:pPr>
        <w:widowControl/>
        <w:ind w:right="-18"/>
      </w:pPr>
      <w:r w:rsidRPr="0040710F">
        <w:rPr>
          <w:snapToGrid/>
          <w:kern w:val="0"/>
          <w:szCs w:val="22"/>
        </w:rPr>
        <w:t xml:space="preserve">                    </w:t>
      </w:r>
      <w:r w:rsidRPr="0040710F">
        <w:rPr>
          <w:snapToGrid/>
          <w:kern w:val="0"/>
          <w:szCs w:val="22"/>
        </w:rPr>
        <w:tab/>
      </w:r>
      <w:r w:rsidRPr="0040710F">
        <w:rPr>
          <w:snapToGrid/>
          <w:kern w:val="0"/>
          <w:szCs w:val="22"/>
        </w:rPr>
        <w:tab/>
      </w:r>
      <w:r w:rsidRPr="0040710F">
        <w:rPr>
          <w:snapToGrid/>
          <w:kern w:val="0"/>
          <w:szCs w:val="22"/>
        </w:rPr>
        <w:tab/>
      </w:r>
      <w:r w:rsidRPr="0040710F">
        <w:rPr>
          <w:snapToGrid/>
          <w:kern w:val="0"/>
          <w:szCs w:val="22"/>
        </w:rPr>
        <w:tab/>
      </w:r>
      <w:r w:rsidRPr="0040710F">
        <w:rPr>
          <w:snapToGrid/>
          <w:kern w:val="0"/>
          <w:szCs w:val="22"/>
        </w:rPr>
        <w:tab/>
        <w:t>Secretary</w:t>
      </w:r>
    </w:p>
    <w:sectPr w:rsidR="0071794E" w:rsidSect="0055614C">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3E" w:rsidRDefault="00685F3E">
      <w:pPr>
        <w:spacing w:line="20" w:lineRule="exact"/>
      </w:pPr>
    </w:p>
  </w:endnote>
  <w:endnote w:type="continuationSeparator" w:id="0">
    <w:p w:rsidR="00685F3E" w:rsidRDefault="00685F3E">
      <w:r>
        <w:t xml:space="preserve"> </w:t>
      </w:r>
    </w:p>
  </w:endnote>
  <w:endnote w:type="continuationNotice" w:id="1">
    <w:p w:rsidR="00685F3E" w:rsidRDefault="00685F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766DC">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3E" w:rsidRDefault="00685F3E">
      <w:r>
        <w:separator/>
      </w:r>
    </w:p>
  </w:footnote>
  <w:footnote w:type="continuationSeparator" w:id="0">
    <w:p w:rsidR="00685F3E" w:rsidRDefault="00685F3E" w:rsidP="00C721AC">
      <w:pPr>
        <w:spacing w:before="120"/>
        <w:rPr>
          <w:sz w:val="20"/>
        </w:rPr>
      </w:pPr>
      <w:r>
        <w:rPr>
          <w:sz w:val="20"/>
        </w:rPr>
        <w:t xml:space="preserve">(Continued from previous page)  </w:t>
      </w:r>
      <w:r>
        <w:rPr>
          <w:sz w:val="20"/>
        </w:rPr>
        <w:separator/>
      </w:r>
    </w:p>
  </w:footnote>
  <w:footnote w:type="continuationNotice" w:id="1">
    <w:p w:rsidR="00685F3E" w:rsidRDefault="00685F3E" w:rsidP="00C721AC">
      <w:pPr>
        <w:jc w:val="right"/>
        <w:rPr>
          <w:sz w:val="20"/>
        </w:rPr>
      </w:pPr>
      <w:r>
        <w:rPr>
          <w:sz w:val="20"/>
        </w:rPr>
        <w:t>(continued….)</w:t>
      </w:r>
    </w:p>
  </w:footnote>
  <w:footnote w:id="2">
    <w:p w:rsidR="00CC4815" w:rsidRDefault="00CC4815">
      <w:pPr>
        <w:pStyle w:val="FootnoteText"/>
      </w:pPr>
      <w:r>
        <w:rPr>
          <w:rStyle w:val="FootnoteReference"/>
        </w:rPr>
        <w:footnoteRef/>
      </w:r>
      <w:r>
        <w:t xml:space="preserve"> On January 28, 2009, Chapin Enterprises, LLC (“Chapin”) filed an Opposition to the Application for Review.  On February 2, 2009, VSS Catholic Communications, Inc. (“VSS”) filed an Opposition to the Application for Review.  On February 9, 2009, Clay filed a Reply to </w:t>
      </w:r>
      <w:r w:rsidR="00D80B93">
        <w:t>Chapin’s Opposition</w:t>
      </w:r>
      <w:r w:rsidR="00B74450">
        <w:t>.  On February 17, 2009, Clay</w:t>
      </w:r>
      <w:r w:rsidR="00D80B93">
        <w:t xml:space="preserve"> filed a Reply to VSS’s Opposition.</w:t>
      </w:r>
    </w:p>
  </w:footnote>
  <w:footnote w:id="3">
    <w:p w:rsidR="00667007" w:rsidRPr="00AE4AC9" w:rsidRDefault="00667007" w:rsidP="00667007">
      <w:pPr>
        <w:pStyle w:val="FootnoteText"/>
      </w:pPr>
      <w:r>
        <w:rPr>
          <w:rStyle w:val="FootnoteReference"/>
        </w:rPr>
        <w:footnoteRef/>
      </w:r>
      <w:r>
        <w:t xml:space="preserve"> </w:t>
      </w:r>
      <w:r>
        <w:rPr>
          <w:i/>
        </w:rPr>
        <w:t>William B. Clay</w:t>
      </w:r>
      <w:r>
        <w:t xml:space="preserve">, Letter, </w:t>
      </w:r>
      <w:r w:rsidRPr="00E27B4F">
        <w:t xml:space="preserve">23 FCC Rcd 18034 </w:t>
      </w:r>
      <w:r>
        <w:t xml:space="preserve">(MB 2008) </w:t>
      </w:r>
      <w:r w:rsidRPr="00BB78FC">
        <w:t>(“</w:t>
      </w:r>
      <w:r w:rsidRPr="00BB78FC">
        <w:rPr>
          <w:i/>
        </w:rPr>
        <w:t>Reconsideration Decision</w:t>
      </w:r>
      <w:r w:rsidRPr="00BB78FC">
        <w:t>”)</w:t>
      </w:r>
      <w:r>
        <w:t xml:space="preserve">.  In January 2009, Chapin assigned Station KVSS(FM) to VSS.  </w:t>
      </w:r>
      <w:r>
        <w:rPr>
          <w:i/>
        </w:rPr>
        <w:t xml:space="preserve">See </w:t>
      </w:r>
      <w:r w:rsidRPr="009129BC">
        <w:t xml:space="preserve">File No. </w:t>
      </w:r>
      <w:r>
        <w:t>BALH-20080619AFR.  For purposes of convenience and consistency with the prior orders in this matter, we will continue to refer to the applicant as “Chapin” herein.</w:t>
      </w:r>
    </w:p>
  </w:footnote>
  <w:footnote w:id="4">
    <w:p w:rsidR="008F3C3B" w:rsidRDefault="008F3C3B" w:rsidP="008F3C3B">
      <w:pPr>
        <w:pStyle w:val="FootnoteText"/>
      </w:pPr>
      <w:r>
        <w:rPr>
          <w:rStyle w:val="FootnoteReference"/>
        </w:rPr>
        <w:footnoteRef/>
      </w:r>
      <w:r>
        <w:t xml:space="preserve"> A second modification application was filed on January 21, 2009, and granted on January 28, 2009 (“Second Modification Application”).  </w:t>
      </w:r>
      <w:r>
        <w:rPr>
          <w:i/>
        </w:rPr>
        <w:t xml:space="preserve">See </w:t>
      </w:r>
      <w:r>
        <w:t xml:space="preserve">File No. BMPH-20090121ABD.  On January 29, 2009, Clay filed an Informal Objection to the Second Modification Application, which we construe as a petition for reconsideration (“Second Petition for Reconsideration”).  In the Second Petition for Reconsideration, Clay requested that we defer action on the Second Modification Application pending Commission action on the Application for Review.  Because of the decision herein, the Second Petition for Reconsideration is dismissed as moot. </w:t>
      </w:r>
    </w:p>
  </w:footnote>
  <w:footnote w:id="5">
    <w:p w:rsidR="001D5385" w:rsidRDefault="001D5385">
      <w:pPr>
        <w:pStyle w:val="FootnoteText"/>
      </w:pPr>
      <w:r>
        <w:rPr>
          <w:rStyle w:val="FootnoteReference"/>
        </w:rPr>
        <w:footnoteRef/>
      </w:r>
      <w:r>
        <w:t xml:space="preserve"> </w:t>
      </w:r>
      <w:r w:rsidR="007327FE" w:rsidRPr="007327FE">
        <w:rPr>
          <w:i/>
        </w:rPr>
        <w:t>See Broadcast Applications, Public Notice, Report No. 46488 (May 17, 2008); see also</w:t>
      </w:r>
      <w:r w:rsidR="009163A8">
        <w:rPr>
          <w:i/>
        </w:rPr>
        <w:t xml:space="preserve"> </w:t>
      </w:r>
      <w:r w:rsidR="00763E0D" w:rsidRPr="00763E0D">
        <w:t>47 U.S.C. § 307(b).</w:t>
      </w:r>
      <w:r w:rsidR="00763E0D">
        <w:t xml:space="preserve">  </w:t>
      </w:r>
      <w:r w:rsidR="00763E0D" w:rsidRPr="00763E0D">
        <w:t xml:space="preserve">The FM allotment priorities are: (1) first fulltime aural service; (2) second fulltime aural service; (3) first local service; and (4) other public interest matters. </w:t>
      </w:r>
      <w:r w:rsidR="00763E0D">
        <w:t xml:space="preserve"> </w:t>
      </w:r>
      <w:r w:rsidR="00763E0D" w:rsidRPr="00763E0D">
        <w:t xml:space="preserve">Co-equal weight is given to Priorities 2 and 3. </w:t>
      </w:r>
      <w:r w:rsidR="00763E0D">
        <w:t xml:space="preserve"> </w:t>
      </w:r>
      <w:r w:rsidR="00763E0D" w:rsidRPr="00763E0D">
        <w:rPr>
          <w:i/>
        </w:rPr>
        <w:t>See Revision of FM Assignment Policies and Procedures</w:t>
      </w:r>
      <w:r w:rsidR="00763E0D" w:rsidRPr="00763E0D">
        <w:t>, Second Report and Order, 90 FCC 2d 88 (1982)</w:t>
      </w:r>
      <w:r w:rsidR="002C1513">
        <w:t xml:space="preserve"> (“</w:t>
      </w:r>
      <w:r w:rsidR="002C1513">
        <w:rPr>
          <w:i/>
        </w:rPr>
        <w:t>FM Assignment Policies</w:t>
      </w:r>
      <w:r w:rsidR="002C1513">
        <w:t>”)</w:t>
      </w:r>
      <w:r w:rsidR="00763E0D" w:rsidRPr="00763E0D">
        <w:t>.</w:t>
      </w:r>
    </w:p>
  </w:footnote>
  <w:footnote w:id="6">
    <w:p w:rsidR="00E610CF" w:rsidRDefault="00E610CF" w:rsidP="00E610CF">
      <w:pPr>
        <w:pStyle w:val="FootnoteText"/>
      </w:pPr>
      <w:r>
        <w:rPr>
          <w:rStyle w:val="FootnoteReference"/>
        </w:rPr>
        <w:footnoteRef/>
      </w:r>
      <w:r>
        <w:t xml:space="preserve"> 47 C.F.R. § 1.106(b)(1).</w:t>
      </w:r>
    </w:p>
  </w:footnote>
  <w:footnote w:id="7">
    <w:p w:rsidR="00E610CF" w:rsidRPr="00AE0A9A" w:rsidRDefault="00E610CF" w:rsidP="00E610CF">
      <w:pPr>
        <w:pStyle w:val="FootnoteText"/>
      </w:pPr>
      <w:r>
        <w:rPr>
          <w:rStyle w:val="FootnoteReference"/>
        </w:rPr>
        <w:footnoteRef/>
      </w:r>
      <w:r>
        <w:t xml:space="preserve"> </w:t>
      </w:r>
      <w:r>
        <w:rPr>
          <w:i/>
        </w:rPr>
        <w:t>Reconsideration Decision</w:t>
      </w:r>
      <w:r>
        <w:t xml:space="preserve">, 23 FCC Rcd at </w:t>
      </w:r>
      <w:r w:rsidR="005125A4">
        <w:t>18037</w:t>
      </w:r>
      <w:r>
        <w:t>.</w:t>
      </w:r>
    </w:p>
  </w:footnote>
  <w:footnote w:id="8">
    <w:p w:rsidR="0061077E" w:rsidRDefault="0061077E" w:rsidP="0061077E">
      <w:pPr>
        <w:pStyle w:val="FootnoteText"/>
      </w:pPr>
      <w:r>
        <w:rPr>
          <w:rStyle w:val="FootnoteReference"/>
        </w:rPr>
        <w:footnoteRef/>
      </w:r>
      <w:r>
        <w:t xml:space="preserve"> </w:t>
      </w:r>
      <w:r>
        <w:rPr>
          <w:i/>
        </w:rPr>
        <w:t>S</w:t>
      </w:r>
      <w:r w:rsidRPr="00024F09">
        <w:rPr>
          <w:i/>
        </w:rPr>
        <w:t>ee, e.g., Barry Friedman, Esq.</w:t>
      </w:r>
      <w:r w:rsidRPr="00024F09">
        <w:t>, Letter, 23 FCC Rcd 15613, n.19 (MB 2008).</w:t>
      </w:r>
    </w:p>
  </w:footnote>
  <w:footnote w:id="9">
    <w:p w:rsidR="0061077E" w:rsidRPr="00374E04" w:rsidRDefault="0061077E" w:rsidP="0061077E">
      <w:pPr>
        <w:pStyle w:val="FootnoteText"/>
      </w:pPr>
      <w:r>
        <w:rPr>
          <w:rStyle w:val="FootnoteReference"/>
        </w:rPr>
        <w:footnoteRef/>
      </w:r>
      <w:r>
        <w:t xml:space="preserve"> </w:t>
      </w:r>
      <w:r>
        <w:rPr>
          <w:i/>
        </w:rPr>
        <w:t>Reconsideration Decision</w:t>
      </w:r>
      <w:r w:rsidR="00BC0E90">
        <w:t>, 23 FCC Rcd</w:t>
      </w:r>
      <w:r>
        <w:rPr>
          <w:i/>
        </w:rPr>
        <w:t xml:space="preserve"> </w:t>
      </w:r>
      <w:r>
        <w:t xml:space="preserve">at </w:t>
      </w:r>
      <w:r w:rsidR="005125A4">
        <w:t>18039</w:t>
      </w:r>
      <w:r>
        <w:t>.</w:t>
      </w:r>
    </w:p>
  </w:footnote>
  <w:footnote w:id="10">
    <w:p w:rsidR="00BC0E90" w:rsidRPr="00BC0E90" w:rsidRDefault="00BC0E90">
      <w:pPr>
        <w:pStyle w:val="FootnoteText"/>
      </w:pPr>
      <w:r>
        <w:rPr>
          <w:rStyle w:val="FootnoteReference"/>
        </w:rPr>
        <w:footnoteRef/>
      </w:r>
      <w:r>
        <w:t xml:space="preserve"> </w:t>
      </w:r>
      <w:r>
        <w:rPr>
          <w:i/>
        </w:rPr>
        <w:t>Id</w:t>
      </w:r>
      <w:r>
        <w:t>. at 18040.</w:t>
      </w:r>
    </w:p>
  </w:footnote>
  <w:footnote w:id="11">
    <w:p w:rsidR="00920554" w:rsidRDefault="00920554" w:rsidP="00920554">
      <w:pPr>
        <w:pStyle w:val="FootnoteText"/>
      </w:pPr>
      <w:r>
        <w:rPr>
          <w:rStyle w:val="FootnoteReference"/>
        </w:rPr>
        <w:footnoteRef/>
      </w:r>
      <w:r>
        <w:t xml:space="preserve"> Application for Review at 9 (citations omitted) (emphasis in original). </w:t>
      </w:r>
    </w:p>
  </w:footnote>
  <w:footnote w:id="12">
    <w:p w:rsidR="00920554" w:rsidRDefault="00920554" w:rsidP="00920554">
      <w:pPr>
        <w:pStyle w:val="FootnoteText"/>
      </w:pPr>
      <w:r>
        <w:rPr>
          <w:rStyle w:val="FootnoteReference"/>
        </w:rPr>
        <w:footnoteRef/>
      </w:r>
      <w:r>
        <w:t xml:space="preserve"> </w:t>
      </w:r>
      <w:r w:rsidR="00F718B5">
        <w:rPr>
          <w:i/>
        </w:rPr>
        <w:t>Id</w:t>
      </w:r>
      <w:r w:rsidR="00F718B5">
        <w:t>.</w:t>
      </w:r>
      <w:r>
        <w:t xml:space="preserve"> at 2-3; </w:t>
      </w:r>
      <w:r w:rsidR="00F718B5">
        <w:rPr>
          <w:i/>
        </w:rPr>
        <w:t xml:space="preserve">see </w:t>
      </w:r>
      <w:r w:rsidRPr="00892B22">
        <w:rPr>
          <w:i/>
        </w:rPr>
        <w:t>Revision of Procedures Governing Amendments to FM Table of Allotments and Changes of Community of License in the Radio Broadcast Services</w:t>
      </w:r>
      <w:r>
        <w:t xml:space="preserve">, Report and Order, </w:t>
      </w:r>
      <w:r w:rsidRPr="00892B22">
        <w:rPr>
          <w:noProof/>
        </w:rPr>
        <w:drawing>
          <wp:inline distT="0" distB="0" distL="0" distR="0" wp14:anchorId="39944BA8" wp14:editId="09273F0E">
            <wp:extent cx="9525" cy="9525"/>
            <wp:effectExtent l="0" t="0" r="0" b="0"/>
            <wp:docPr id="17" name="Picture 17" descr="previous hit">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92B22">
        <w:t>21 FCC Rcd 14212</w:t>
      </w:r>
      <w:r w:rsidRPr="00892B22">
        <w:rPr>
          <w:noProof/>
        </w:rPr>
        <w:drawing>
          <wp:inline distT="0" distB="0" distL="0" distR="0" wp14:anchorId="41AAB974" wp14:editId="4D9967EA">
            <wp:extent cx="9525" cy="9525"/>
            <wp:effectExtent l="0" t="0" r="0" b="0"/>
            <wp:docPr id="18" name="Picture 18" descr="next hit">
              <a:hlinkClick xmlns:a="http://schemas.openxmlformats.org/drawingml/2006/main" r:id="rId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3"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(2006) (authorizing community of license changes through the minor modification application process)</w:t>
      </w:r>
      <w:r w:rsidR="00220A3A">
        <w:t xml:space="preserve"> (“</w:t>
      </w:r>
      <w:r w:rsidR="00220A3A">
        <w:rPr>
          <w:i/>
        </w:rPr>
        <w:t>Community of License Order</w:t>
      </w:r>
      <w:r w:rsidR="00220A3A">
        <w:t>”)</w:t>
      </w:r>
      <w:r>
        <w:t xml:space="preserve">. </w:t>
      </w:r>
    </w:p>
  </w:footnote>
  <w:footnote w:id="13">
    <w:p w:rsidR="00920554" w:rsidRPr="00EB59C8" w:rsidRDefault="00920554" w:rsidP="00920554">
      <w:pPr>
        <w:pStyle w:val="FootnoteText"/>
      </w:pPr>
      <w:r>
        <w:rPr>
          <w:rStyle w:val="FootnoteReference"/>
        </w:rPr>
        <w:footnoteRef/>
      </w:r>
      <w:r>
        <w:t xml:space="preserve"> Application for Review at 4.</w:t>
      </w:r>
    </w:p>
  </w:footnote>
  <w:footnote w:id="14">
    <w:p w:rsidR="000F33F4" w:rsidRDefault="000F33F4" w:rsidP="000F33F4">
      <w:pPr>
        <w:pStyle w:val="FootnoteText"/>
      </w:pPr>
      <w:r>
        <w:rPr>
          <w:rStyle w:val="FootnoteReference"/>
        </w:rPr>
        <w:footnoteRef/>
      </w:r>
      <w:r>
        <w:t xml:space="preserve"> 47 C.F.R. § 1.106(b)(1)</w:t>
      </w:r>
      <w:r w:rsidR="005F1259">
        <w:t xml:space="preserve"> </w:t>
      </w:r>
      <w:r w:rsidR="005F1259" w:rsidRPr="005F1259">
        <w:t>(petition for reconsideration subject to dismissal when petitioner does not show good reason for not participating in earlier stages of proceeding)</w:t>
      </w:r>
      <w:r>
        <w:t>.</w:t>
      </w:r>
    </w:p>
  </w:footnote>
  <w:footnote w:id="15">
    <w:p w:rsidR="002C5FDC" w:rsidRDefault="002C5FDC">
      <w:pPr>
        <w:pStyle w:val="FootnoteText"/>
      </w:pPr>
      <w:r>
        <w:rPr>
          <w:rStyle w:val="FootnoteReference"/>
        </w:rPr>
        <w:footnoteRef/>
      </w:r>
      <w:r>
        <w:t xml:space="preserve"> </w:t>
      </w:r>
      <w:r w:rsidRPr="002C5FDC">
        <w:t>47 U.S.C. § 155(c)(4); 47 C.F.R. § 1.115(a)</w:t>
      </w:r>
      <w:r>
        <w:t>.</w:t>
      </w:r>
    </w:p>
  </w:footnote>
  <w:footnote w:id="16">
    <w:p w:rsidR="00B17605" w:rsidRPr="00485B4C" w:rsidRDefault="00B17605" w:rsidP="00B17605">
      <w:pPr>
        <w:pStyle w:val="FootnoteText"/>
      </w:pPr>
      <w:r>
        <w:rPr>
          <w:rStyle w:val="FootnoteReference"/>
        </w:rPr>
        <w:footnoteRef/>
      </w:r>
      <w:r>
        <w:t xml:space="preserve"> 47 U.S.C. § 155(c)(4); 47 C.F.R. § 1.115(a) (“Any person aggrieved by any action taken pursuant to delegated authority may file an application requesting review of that action by the Commission </w:t>
      </w:r>
      <w:r w:rsidRPr="00A65BF8">
        <w:t>. . . Any application for review which fails to make an adequate showing in this respect will be dismissed</w:t>
      </w:r>
      <w:r>
        <w:t>.”).</w:t>
      </w:r>
    </w:p>
  </w:footnote>
  <w:footnote w:id="17">
    <w:p w:rsidR="00B17605" w:rsidRPr="009C79BB" w:rsidRDefault="00B17605" w:rsidP="00B17605">
      <w:pPr>
        <w:pStyle w:val="FootnoteText"/>
      </w:pPr>
      <w:r>
        <w:rPr>
          <w:rStyle w:val="FootnoteReference"/>
        </w:rPr>
        <w:footnoteRef/>
      </w:r>
      <w:r>
        <w:t xml:space="preserve"> </w:t>
      </w:r>
      <w:r>
        <w:rPr>
          <w:i/>
        </w:rPr>
        <w:t>See, e.g., Applications of AT&amp;T Inc. and Deutsche Telecom AG for Consent to Assign or Transfer Control of Licenses and Authorizations</w:t>
      </w:r>
      <w:r>
        <w:t xml:space="preserve">, Memorandum Opinion and Order, </w:t>
      </w:r>
      <w:r w:rsidRPr="00146BC1">
        <w:t>27 FCC Rcd 4423</w:t>
      </w:r>
      <w:r>
        <w:t>, 4425 (2012);</w:t>
      </w:r>
      <w:r>
        <w:rPr>
          <w:i/>
        </w:rPr>
        <w:t xml:space="preserve"> Applications of WINV, Inc. and WGUL-FM, Inc. for Renewal and Assignment of License of WINV(AM), Inverness, Florida</w:t>
      </w:r>
      <w:r>
        <w:t>, Memorandum Opinion and Order, 14 FCC Rcd 2032, 2033 (1998).</w:t>
      </w:r>
    </w:p>
  </w:footnote>
  <w:footnote w:id="18">
    <w:p w:rsidR="00B17605" w:rsidRPr="00AA1799" w:rsidRDefault="00B17605" w:rsidP="00B17605">
      <w:pPr>
        <w:pStyle w:val="FootnoteText"/>
      </w:pPr>
      <w:r w:rsidRPr="00AA1799">
        <w:rPr>
          <w:rStyle w:val="FootnoteReference"/>
        </w:rPr>
        <w:footnoteRef/>
      </w:r>
      <w:r w:rsidRPr="00AA1799">
        <w:t xml:space="preserve"> </w:t>
      </w:r>
      <w:r w:rsidRPr="00FA31BD">
        <w:rPr>
          <w:i/>
        </w:rPr>
        <w:t>See Applications of Clarke Broadcasting Corporation</w:t>
      </w:r>
      <w:r w:rsidRPr="00FA31BD">
        <w:t xml:space="preserve">, </w:t>
      </w:r>
      <w:r>
        <w:t xml:space="preserve">Memorandum Opinion and Order, </w:t>
      </w:r>
      <w:r w:rsidRPr="00FA31BD">
        <w:t>11 FCC Rcd 3057 (1996) (</w:t>
      </w:r>
      <w:r>
        <w:t xml:space="preserve">holding that </w:t>
      </w:r>
      <w:r w:rsidRPr="00FA31BD">
        <w:t xml:space="preserve">where </w:t>
      </w:r>
      <w:r>
        <w:t xml:space="preserve">there is </w:t>
      </w:r>
      <w:r w:rsidRPr="00FA31BD">
        <w:t>no nexus between</w:t>
      </w:r>
      <w:r>
        <w:t xml:space="preserve"> the</w:t>
      </w:r>
      <w:r w:rsidRPr="00FA31BD">
        <w:t xml:space="preserve"> challenged application and </w:t>
      </w:r>
      <w:r>
        <w:t xml:space="preserve">an </w:t>
      </w:r>
      <w:r w:rsidRPr="00FA31BD">
        <w:t xml:space="preserve">applicant for review, </w:t>
      </w:r>
      <w:r>
        <w:t>the</w:t>
      </w:r>
      <w:r w:rsidRPr="00FA31BD">
        <w:t xml:space="preserve"> applicant is not “aggrieved” for purposes of 47 C.F.R. </w:t>
      </w:r>
      <w:r>
        <w:t>§ 1.115(a</w:t>
      </w:r>
      <w:r w:rsidRPr="00FA31BD">
        <w:t>)</w:t>
      </w:r>
      <w:r>
        <w:t xml:space="preserve">); </w:t>
      </w:r>
      <w:r w:rsidRPr="00AA1799">
        <w:rPr>
          <w:i/>
        </w:rPr>
        <w:t>Chet-5 Broadcasting, L.P.</w:t>
      </w:r>
      <w:r w:rsidRPr="00AA1799">
        <w:t>, Memorandum Opinion and Order, 14 FCC Rcd 13041, 13042 (1999)</w:t>
      </w:r>
      <w:r>
        <w:t xml:space="preserve"> (“[W]</w:t>
      </w:r>
      <w:r w:rsidRPr="00846EEC">
        <w:t>e will accord party-in-interest status to a petitioner who demonstrates either residence in the station's service area or that the petitioner listens to or views the station regularly, and that such listening or viewing is not the result of transient contacts with the statio</w:t>
      </w:r>
      <w:r>
        <w:t xml:space="preserve">n”); </w:t>
      </w:r>
      <w:r w:rsidRPr="00AA1799">
        <w:rPr>
          <w:i/>
        </w:rPr>
        <w:t>Office of Communications of the United Church of Christ v. FCC</w:t>
      </w:r>
      <w:r w:rsidRPr="00AA1799">
        <w:t>, 359 F.2d 994</w:t>
      </w:r>
      <w:r>
        <w:t>, 1000-1006</w:t>
      </w:r>
      <w:r w:rsidRPr="00AA1799">
        <w:t xml:space="preserve"> (1966)</w:t>
      </w:r>
      <w:r>
        <w:t xml:space="preserve"> (expanding standing from traditional categories of electrical interference or economic injury to station listeners).</w:t>
      </w:r>
    </w:p>
  </w:footnote>
  <w:footnote w:id="19">
    <w:p w:rsidR="00805207" w:rsidRPr="0012387F" w:rsidRDefault="00805207" w:rsidP="00805207">
      <w:pPr>
        <w:pStyle w:val="FootnoteText"/>
      </w:pPr>
      <w:r>
        <w:rPr>
          <w:rStyle w:val="FootnoteReference"/>
        </w:rPr>
        <w:footnoteRef/>
      </w:r>
      <w:r>
        <w:t xml:space="preserve"> </w:t>
      </w:r>
      <w:r>
        <w:rPr>
          <w:i/>
        </w:rPr>
        <w:t>Lujan v. Defenders of Wildlife</w:t>
      </w:r>
      <w:r>
        <w:t>, 504 U.S. 555, n.8 (1992) (“</w:t>
      </w:r>
      <w:r>
        <w:rPr>
          <w:i/>
        </w:rPr>
        <w:t>Lujan</w:t>
      </w:r>
      <w:r>
        <w:t>”) (“</w:t>
      </w:r>
      <w:r w:rsidRPr="00554A22">
        <w:t>We do not hold that an individual cannot enforce procedural rights; he assuredly can, so long as the procedures in question are designed to protect some threatened concrete interest of his that is the ultimate basis of his standing.</w:t>
      </w:r>
      <w:r>
        <w:t xml:space="preserve">”). </w:t>
      </w:r>
    </w:p>
  </w:footnote>
  <w:footnote w:id="20">
    <w:p w:rsidR="00805207" w:rsidRDefault="00805207" w:rsidP="00805207">
      <w:pPr>
        <w:pStyle w:val="FootnoteText"/>
      </w:pPr>
      <w:r>
        <w:rPr>
          <w:rStyle w:val="FootnoteReference"/>
        </w:rPr>
        <w:footnoteRef/>
      </w:r>
      <w:r>
        <w:t xml:space="preserve"> The information on record in this proceeding establishes Charlotte as Clay’s residence.  However, it appears that Clay may have moved to Italy, according to a letter in another proceeding dated June 9, 2011.  </w:t>
      </w:r>
      <w:r>
        <w:rPr>
          <w:i/>
        </w:rPr>
        <w:t>William B. Clay</w:t>
      </w:r>
      <w:r>
        <w:t>, Letter, (MB Oct. 13, 2011) at n.8 (granting application File No. BMPH-20070119AGG).</w:t>
      </w:r>
      <w:r>
        <w:rPr>
          <w:i/>
        </w:rPr>
        <w:t xml:space="preserve">  </w:t>
      </w:r>
      <w:r>
        <w:t xml:space="preserve">Clearly, under our analysis, Clay would equally lack standing as a resident of Italy.  </w:t>
      </w:r>
    </w:p>
  </w:footnote>
  <w:footnote w:id="21">
    <w:p w:rsidR="00805207" w:rsidRDefault="00805207" w:rsidP="00805207">
      <w:pPr>
        <w:pStyle w:val="FootnoteText"/>
      </w:pPr>
      <w:r>
        <w:rPr>
          <w:rStyle w:val="FootnoteReference"/>
        </w:rPr>
        <w:footnoteRef/>
      </w:r>
      <w:r>
        <w:t xml:space="preserve"> The proper forum for Clay’s arguments was the proceeding leading to the </w:t>
      </w:r>
      <w:r w:rsidRPr="001D0567">
        <w:t xml:space="preserve">2006 </w:t>
      </w:r>
      <w:r w:rsidRPr="001D0567">
        <w:rPr>
          <w:i/>
        </w:rPr>
        <w:t>Community of License Order</w:t>
      </w:r>
      <w:r w:rsidRPr="001D0567">
        <w:t>,</w:t>
      </w:r>
      <w:r>
        <w:t xml:space="preserve"> in which Clay did participate</w:t>
      </w:r>
      <w:r w:rsidR="008A25C9">
        <w:t xml:space="preserve">.  </w:t>
      </w:r>
      <w:r>
        <w:t xml:space="preserve">Ultimately, Clay’s </w:t>
      </w:r>
      <w:r w:rsidRPr="00E25041">
        <w:t xml:space="preserve">concerns </w:t>
      </w:r>
      <w:r>
        <w:t>regarding our Section 307(b) procedures were further addressed in</w:t>
      </w:r>
      <w:r w:rsidRPr="00E25041">
        <w:t xml:space="preserve"> the </w:t>
      </w:r>
      <w:r w:rsidRPr="00E25041">
        <w:rPr>
          <w:i/>
        </w:rPr>
        <w:t xml:space="preserve">Rural Radio </w:t>
      </w:r>
      <w:r>
        <w:t>proceeding</w:t>
      </w:r>
      <w:r w:rsidRPr="00E25041">
        <w:t>, which</w:t>
      </w:r>
      <w:r>
        <w:t xml:space="preserve">, </w:t>
      </w:r>
      <w:r>
        <w:rPr>
          <w:i/>
        </w:rPr>
        <w:t>inter alia</w:t>
      </w:r>
      <w:r>
        <w:t>,</w:t>
      </w:r>
      <w:r w:rsidRPr="00E25041">
        <w:t xml:space="preserve"> established a rebuttable presumption that when a proposed community is located, as here, in an urbanized area (or could, through a minor modification, cover 50 </w:t>
      </w:r>
      <w:r>
        <w:t>percent of an urbanized area) the Commission</w:t>
      </w:r>
      <w:r w:rsidRPr="00E25041">
        <w:t xml:space="preserve"> will treat the application, for Section 307(b) purposes, as proposing to serve the entire urbanized area.  </w:t>
      </w:r>
      <w:r>
        <w:rPr>
          <w:i/>
        </w:rPr>
        <w:t xml:space="preserve">See </w:t>
      </w:r>
      <w:r w:rsidRPr="00E25041">
        <w:rPr>
          <w:i/>
        </w:rPr>
        <w:t xml:space="preserve">Policies to Promote </w:t>
      </w:r>
      <w:r w:rsidRPr="00CA5901">
        <w:rPr>
          <w:i/>
          <w:noProof/>
        </w:rPr>
        <w:drawing>
          <wp:inline distT="0" distB="0" distL="0" distR="0" wp14:anchorId="117E2681" wp14:editId="2F97D37E">
            <wp:extent cx="9525" cy="9525"/>
            <wp:effectExtent l="0" t="0" r="0" b="0"/>
            <wp:docPr id="21" name="Picture 21" descr="previous hit">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ous hit">
                      <a:hlinkClick r:id="rId4"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25041">
        <w:rPr>
          <w:i/>
        </w:rPr>
        <w:t>Rural Radio</w:t>
      </w:r>
      <w:r w:rsidRPr="00CA5901">
        <w:rPr>
          <w:i/>
          <w:noProof/>
        </w:rPr>
        <w:drawing>
          <wp:inline distT="0" distB="0" distL="0" distR="0" wp14:anchorId="6E995E30" wp14:editId="0CBF5A57">
            <wp:extent cx="9525" cy="9525"/>
            <wp:effectExtent l="0" t="0" r="0" b="0"/>
            <wp:docPr id="22" name="Picture 22" descr="next hit">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xt hit">
                      <a:hlinkClick r:id="rId5"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25041">
        <w:rPr>
          <w:i/>
        </w:rPr>
        <w:t xml:space="preserve"> Service and to Streamline Allotment and Assignment Procedures,</w:t>
      </w:r>
      <w:r w:rsidRPr="00E25041">
        <w:t xml:space="preserve"> Second Report and Order, First Order On Reconsideration, and Second Further Notice of Proposed Rule Making, 26 FCC Rcd 2556, 2567 (2011)</w:t>
      </w:r>
      <w:r>
        <w:rPr>
          <w:i/>
        </w:rPr>
        <w:t xml:space="preserve"> </w:t>
      </w:r>
      <w:r>
        <w:t>(subsequent history omitted);</w:t>
      </w:r>
      <w:r>
        <w:rPr>
          <w:i/>
        </w:rPr>
        <w:t xml:space="preserve"> </w:t>
      </w:r>
      <w:r w:rsidRPr="0010508E">
        <w:rPr>
          <w:i/>
        </w:rPr>
        <w:t>Policies to Promote Rural Radio Service and to Streamline Allot</w:t>
      </w:r>
      <w:r>
        <w:rPr>
          <w:i/>
        </w:rPr>
        <w:t>ment and Assignment Procedures</w:t>
      </w:r>
      <w:r>
        <w:t>,</w:t>
      </w:r>
      <w:r w:rsidRPr="0010508E">
        <w:t xml:space="preserve"> Second Order on Reconsideration,</w:t>
      </w:r>
      <w:r>
        <w:t xml:space="preserve"> 27 FCC Rcd 12829, 12840 (2012).</w:t>
      </w:r>
    </w:p>
  </w:footnote>
  <w:footnote w:id="22">
    <w:p w:rsidR="00DF4015" w:rsidRPr="00DF4015" w:rsidRDefault="00DF4015">
      <w:pPr>
        <w:pStyle w:val="FootnoteText"/>
      </w:pPr>
      <w:r>
        <w:rPr>
          <w:rStyle w:val="FootnoteReference"/>
        </w:rPr>
        <w:footnoteRef/>
      </w:r>
      <w:r>
        <w:t xml:space="preserve"> </w:t>
      </w:r>
      <w:r>
        <w:rPr>
          <w:i/>
        </w:rPr>
        <w:t xml:space="preserve">See </w:t>
      </w:r>
      <w:r>
        <w:t>Informal Objection at 7.</w:t>
      </w:r>
    </w:p>
  </w:footnote>
  <w:footnote w:id="23">
    <w:p w:rsidR="00805207" w:rsidRPr="00410596" w:rsidRDefault="00805207" w:rsidP="00805207">
      <w:pPr>
        <w:pStyle w:val="FootnoteText"/>
      </w:pPr>
      <w:r>
        <w:rPr>
          <w:rStyle w:val="FootnoteReference"/>
        </w:rPr>
        <w:footnoteRef/>
      </w:r>
      <w:r>
        <w:t xml:space="preserve"> </w:t>
      </w:r>
      <w:r w:rsidR="00F84956">
        <w:rPr>
          <w:i/>
        </w:rPr>
        <w:t xml:space="preserve">See, e.g., </w:t>
      </w:r>
      <w:r>
        <w:rPr>
          <w:i/>
        </w:rPr>
        <w:t>Lujan</w:t>
      </w:r>
      <w:r>
        <w:t>, 504 U.S. at 573-574 (“</w:t>
      </w:r>
      <w:r w:rsidRPr="00410596">
        <w:t>We have consistently held that a plaintiff raising only a generally available grievance about government—claiming only harm to his and every citizen's interest in proper application of the Constitution and law</w:t>
      </w:r>
      <w:r>
        <w:t xml:space="preserve">s, and seeking relief that </w:t>
      </w:r>
      <w:r w:rsidRPr="00410596">
        <w:t>no more directly and tangibly benefits him than it does the public at large—does not state an A</w:t>
      </w:r>
      <w:r>
        <w:t>rticle III case or controversy.”).</w:t>
      </w:r>
    </w:p>
  </w:footnote>
  <w:footnote w:id="24">
    <w:p w:rsidR="0040710F" w:rsidRPr="00320BF6" w:rsidRDefault="0040710F" w:rsidP="0040710F">
      <w:pPr>
        <w:pStyle w:val="FootnoteText"/>
      </w:pPr>
      <w:r w:rsidRPr="00320BF6">
        <w:rPr>
          <w:rStyle w:val="FootnoteReference"/>
        </w:rPr>
        <w:footnoteRef/>
      </w:r>
      <w:r w:rsidR="00A65BF8">
        <w:t xml:space="preserve"> </w:t>
      </w:r>
      <w:r w:rsidR="0008466D">
        <w:t>47 U.S.C. §§ 155(c)(4)</w:t>
      </w:r>
      <w:r w:rsidR="009C1D1C">
        <w:t>,(5)</w:t>
      </w:r>
      <w:r w:rsidR="0008466D">
        <w:t>.</w:t>
      </w:r>
    </w:p>
  </w:footnote>
  <w:footnote w:id="25">
    <w:p w:rsidR="0040710F" w:rsidRPr="00320BF6" w:rsidRDefault="0040710F" w:rsidP="0040710F">
      <w:pPr>
        <w:pStyle w:val="FootnoteText"/>
      </w:pPr>
      <w:r w:rsidRPr="00320BF6">
        <w:rPr>
          <w:rStyle w:val="FootnoteReference"/>
        </w:rPr>
        <w:footnoteRef/>
      </w:r>
      <w:r w:rsidR="00697F2E">
        <w:t xml:space="preserve"> 47 C.F.R. § 1.115(a</w:t>
      </w:r>
      <w:r w:rsidRPr="00320BF6">
        <w:t>)</w:t>
      </w:r>
      <w:r w:rsidR="006523FE">
        <w:t>,</w:t>
      </w:r>
      <w:r w:rsidR="009C1D1C">
        <w:t>(g)</w:t>
      </w:r>
      <w:r w:rsidRPr="00320B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58" w:rsidRDefault="006A3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633A4">
      <w:t>FCC 14-46</w:t>
    </w:r>
  </w:p>
  <w:p w:rsidR="00D25FB5" w:rsidRDefault="003E1A1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B92B027" wp14:editId="257CAA4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E1A1E"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633A4">
      <w:rPr>
        <w:spacing w:val="-2"/>
      </w:rPr>
      <w:t>FCC 14-46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0B613A"/>
    <w:multiLevelType w:val="hybridMultilevel"/>
    <w:tmpl w:val="CB1EEC0A"/>
    <w:lvl w:ilvl="0" w:tplc="B8F4E8D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10"/>
    <w:rsid w:val="00005D19"/>
    <w:rsid w:val="00011DA6"/>
    <w:rsid w:val="00012C5C"/>
    <w:rsid w:val="000130E8"/>
    <w:rsid w:val="00020A21"/>
    <w:rsid w:val="00024F09"/>
    <w:rsid w:val="0003058F"/>
    <w:rsid w:val="00035B89"/>
    <w:rsid w:val="00036039"/>
    <w:rsid w:val="00037F90"/>
    <w:rsid w:val="00042571"/>
    <w:rsid w:val="00064A11"/>
    <w:rsid w:val="00074A11"/>
    <w:rsid w:val="0007586A"/>
    <w:rsid w:val="0007640B"/>
    <w:rsid w:val="00076D84"/>
    <w:rsid w:val="0008466D"/>
    <w:rsid w:val="000870B5"/>
    <w:rsid w:val="000875BF"/>
    <w:rsid w:val="00096D8C"/>
    <w:rsid w:val="000C0B65"/>
    <w:rsid w:val="000C12A4"/>
    <w:rsid w:val="000C2C7A"/>
    <w:rsid w:val="000E05FE"/>
    <w:rsid w:val="000E3D42"/>
    <w:rsid w:val="000F33F4"/>
    <w:rsid w:val="001004EB"/>
    <w:rsid w:val="0010508E"/>
    <w:rsid w:val="00122BD5"/>
    <w:rsid w:val="0012387F"/>
    <w:rsid w:val="00133F79"/>
    <w:rsid w:val="00136EA4"/>
    <w:rsid w:val="00146BC1"/>
    <w:rsid w:val="00147289"/>
    <w:rsid w:val="001628A1"/>
    <w:rsid w:val="00165EC5"/>
    <w:rsid w:val="00166A92"/>
    <w:rsid w:val="00174765"/>
    <w:rsid w:val="00194A66"/>
    <w:rsid w:val="001A7C88"/>
    <w:rsid w:val="001B54CB"/>
    <w:rsid w:val="001C3C2F"/>
    <w:rsid w:val="001D0567"/>
    <w:rsid w:val="001D5385"/>
    <w:rsid w:val="001D6BCF"/>
    <w:rsid w:val="001E01CA"/>
    <w:rsid w:val="001E7A2A"/>
    <w:rsid w:val="00211ECB"/>
    <w:rsid w:val="00220A3A"/>
    <w:rsid w:val="002458E9"/>
    <w:rsid w:val="00246DD2"/>
    <w:rsid w:val="00254768"/>
    <w:rsid w:val="002639CC"/>
    <w:rsid w:val="002712C8"/>
    <w:rsid w:val="00275CF5"/>
    <w:rsid w:val="0028301F"/>
    <w:rsid w:val="00284D0A"/>
    <w:rsid w:val="00285017"/>
    <w:rsid w:val="002A2D2E"/>
    <w:rsid w:val="002A5C8A"/>
    <w:rsid w:val="002A700F"/>
    <w:rsid w:val="002B15F7"/>
    <w:rsid w:val="002C1513"/>
    <w:rsid w:val="002C5FDC"/>
    <w:rsid w:val="002C6D6B"/>
    <w:rsid w:val="002D6F2E"/>
    <w:rsid w:val="002E47FD"/>
    <w:rsid w:val="0031094E"/>
    <w:rsid w:val="00314413"/>
    <w:rsid w:val="00343749"/>
    <w:rsid w:val="003439AB"/>
    <w:rsid w:val="003470A2"/>
    <w:rsid w:val="00365153"/>
    <w:rsid w:val="003660ED"/>
    <w:rsid w:val="00374E04"/>
    <w:rsid w:val="00386ADC"/>
    <w:rsid w:val="003A4F02"/>
    <w:rsid w:val="003A77CF"/>
    <w:rsid w:val="003B0550"/>
    <w:rsid w:val="003B4189"/>
    <w:rsid w:val="003B643A"/>
    <w:rsid w:val="003B694F"/>
    <w:rsid w:val="003C22B7"/>
    <w:rsid w:val="003D1D70"/>
    <w:rsid w:val="003D36F2"/>
    <w:rsid w:val="003D4921"/>
    <w:rsid w:val="003E1A1E"/>
    <w:rsid w:val="003E3366"/>
    <w:rsid w:val="003F171C"/>
    <w:rsid w:val="00403DE9"/>
    <w:rsid w:val="0040710F"/>
    <w:rsid w:val="00410596"/>
    <w:rsid w:val="00412FC5"/>
    <w:rsid w:val="004178B4"/>
    <w:rsid w:val="004207E2"/>
    <w:rsid w:val="00422276"/>
    <w:rsid w:val="004242F1"/>
    <w:rsid w:val="0042547E"/>
    <w:rsid w:val="00445A00"/>
    <w:rsid w:val="00451B0F"/>
    <w:rsid w:val="004750B9"/>
    <w:rsid w:val="00481E26"/>
    <w:rsid w:val="00485B4C"/>
    <w:rsid w:val="004A35E0"/>
    <w:rsid w:val="004C0CA5"/>
    <w:rsid w:val="004C0FBB"/>
    <w:rsid w:val="004C2EE3"/>
    <w:rsid w:val="004E4A22"/>
    <w:rsid w:val="00503E2F"/>
    <w:rsid w:val="005059E4"/>
    <w:rsid w:val="00511968"/>
    <w:rsid w:val="005125A4"/>
    <w:rsid w:val="00522A0A"/>
    <w:rsid w:val="00527521"/>
    <w:rsid w:val="00545909"/>
    <w:rsid w:val="00551563"/>
    <w:rsid w:val="00554A22"/>
    <w:rsid w:val="0055614C"/>
    <w:rsid w:val="0055749C"/>
    <w:rsid w:val="005839FC"/>
    <w:rsid w:val="005A3F73"/>
    <w:rsid w:val="005A5DE9"/>
    <w:rsid w:val="005B0123"/>
    <w:rsid w:val="005B4DE0"/>
    <w:rsid w:val="005B54C0"/>
    <w:rsid w:val="005C370E"/>
    <w:rsid w:val="005D2639"/>
    <w:rsid w:val="005E14C2"/>
    <w:rsid w:val="005F1259"/>
    <w:rsid w:val="00607BA5"/>
    <w:rsid w:val="0061077E"/>
    <w:rsid w:val="00617C25"/>
    <w:rsid w:val="006238E9"/>
    <w:rsid w:val="00626EB6"/>
    <w:rsid w:val="0064420B"/>
    <w:rsid w:val="00645B29"/>
    <w:rsid w:val="006523FE"/>
    <w:rsid w:val="00655D03"/>
    <w:rsid w:val="006575BB"/>
    <w:rsid w:val="00667007"/>
    <w:rsid w:val="0067008E"/>
    <w:rsid w:val="006766DC"/>
    <w:rsid w:val="00683388"/>
    <w:rsid w:val="00683F84"/>
    <w:rsid w:val="00685F3E"/>
    <w:rsid w:val="006951B4"/>
    <w:rsid w:val="00697F2E"/>
    <w:rsid w:val="006A3758"/>
    <w:rsid w:val="006A6A81"/>
    <w:rsid w:val="006C6CC1"/>
    <w:rsid w:val="006E3D38"/>
    <w:rsid w:val="006F7393"/>
    <w:rsid w:val="0070224F"/>
    <w:rsid w:val="007115F7"/>
    <w:rsid w:val="00714E37"/>
    <w:rsid w:val="0071794E"/>
    <w:rsid w:val="00727CC7"/>
    <w:rsid w:val="007327FE"/>
    <w:rsid w:val="0074075C"/>
    <w:rsid w:val="00755EAA"/>
    <w:rsid w:val="007578AB"/>
    <w:rsid w:val="007628CD"/>
    <w:rsid w:val="00763E0D"/>
    <w:rsid w:val="0077295A"/>
    <w:rsid w:val="00775177"/>
    <w:rsid w:val="00785689"/>
    <w:rsid w:val="00792A80"/>
    <w:rsid w:val="0079754B"/>
    <w:rsid w:val="007A1E6D"/>
    <w:rsid w:val="007A6353"/>
    <w:rsid w:val="007B0EB2"/>
    <w:rsid w:val="007B26A5"/>
    <w:rsid w:val="007B3CAC"/>
    <w:rsid w:val="007C52AC"/>
    <w:rsid w:val="007E6307"/>
    <w:rsid w:val="007F004F"/>
    <w:rsid w:val="007F76AC"/>
    <w:rsid w:val="00805207"/>
    <w:rsid w:val="00810B6F"/>
    <w:rsid w:val="0082105A"/>
    <w:rsid w:val="00822CE0"/>
    <w:rsid w:val="00841AB1"/>
    <w:rsid w:val="0084437D"/>
    <w:rsid w:val="00846EEC"/>
    <w:rsid w:val="00850156"/>
    <w:rsid w:val="00856EE6"/>
    <w:rsid w:val="00864910"/>
    <w:rsid w:val="0087372D"/>
    <w:rsid w:val="00876026"/>
    <w:rsid w:val="008825EF"/>
    <w:rsid w:val="00892B22"/>
    <w:rsid w:val="008A25C9"/>
    <w:rsid w:val="008B4FFB"/>
    <w:rsid w:val="008C68F1"/>
    <w:rsid w:val="008F3C3B"/>
    <w:rsid w:val="009129BC"/>
    <w:rsid w:val="009163A8"/>
    <w:rsid w:val="00920554"/>
    <w:rsid w:val="0092114A"/>
    <w:rsid w:val="00921803"/>
    <w:rsid w:val="00926503"/>
    <w:rsid w:val="0093437D"/>
    <w:rsid w:val="0093512C"/>
    <w:rsid w:val="009526C9"/>
    <w:rsid w:val="00960774"/>
    <w:rsid w:val="009726D8"/>
    <w:rsid w:val="0098466D"/>
    <w:rsid w:val="009B0FE0"/>
    <w:rsid w:val="009C1D1C"/>
    <w:rsid w:val="009C79BB"/>
    <w:rsid w:val="009D23E1"/>
    <w:rsid w:val="009F76DB"/>
    <w:rsid w:val="00A0645B"/>
    <w:rsid w:val="00A16DD2"/>
    <w:rsid w:val="00A27FAB"/>
    <w:rsid w:val="00A32C3B"/>
    <w:rsid w:val="00A375AC"/>
    <w:rsid w:val="00A4030F"/>
    <w:rsid w:val="00A45F4F"/>
    <w:rsid w:val="00A600A9"/>
    <w:rsid w:val="00A65BF8"/>
    <w:rsid w:val="00AA55B7"/>
    <w:rsid w:val="00AA5B9E"/>
    <w:rsid w:val="00AA6FA2"/>
    <w:rsid w:val="00AB2407"/>
    <w:rsid w:val="00AB3154"/>
    <w:rsid w:val="00AB53DF"/>
    <w:rsid w:val="00AC253B"/>
    <w:rsid w:val="00AC7B8E"/>
    <w:rsid w:val="00AD0DF4"/>
    <w:rsid w:val="00AE05A4"/>
    <w:rsid w:val="00AE4AC9"/>
    <w:rsid w:val="00AF2482"/>
    <w:rsid w:val="00AF700E"/>
    <w:rsid w:val="00B07E5C"/>
    <w:rsid w:val="00B122FD"/>
    <w:rsid w:val="00B17605"/>
    <w:rsid w:val="00B36608"/>
    <w:rsid w:val="00B466DD"/>
    <w:rsid w:val="00B74450"/>
    <w:rsid w:val="00B811F7"/>
    <w:rsid w:val="00B8574A"/>
    <w:rsid w:val="00BA5DC6"/>
    <w:rsid w:val="00BA6196"/>
    <w:rsid w:val="00BB78FC"/>
    <w:rsid w:val="00BC0E90"/>
    <w:rsid w:val="00BC41FA"/>
    <w:rsid w:val="00BC68F7"/>
    <w:rsid w:val="00BC6D8C"/>
    <w:rsid w:val="00BE52BF"/>
    <w:rsid w:val="00C2570C"/>
    <w:rsid w:val="00C34006"/>
    <w:rsid w:val="00C40232"/>
    <w:rsid w:val="00C426B1"/>
    <w:rsid w:val="00C63178"/>
    <w:rsid w:val="00C63A56"/>
    <w:rsid w:val="00C66160"/>
    <w:rsid w:val="00C721AC"/>
    <w:rsid w:val="00C84110"/>
    <w:rsid w:val="00C90D6A"/>
    <w:rsid w:val="00C9549F"/>
    <w:rsid w:val="00CA247E"/>
    <w:rsid w:val="00CA5901"/>
    <w:rsid w:val="00CA7571"/>
    <w:rsid w:val="00CC15F0"/>
    <w:rsid w:val="00CC4815"/>
    <w:rsid w:val="00CC72B6"/>
    <w:rsid w:val="00CD4A00"/>
    <w:rsid w:val="00CE2DD8"/>
    <w:rsid w:val="00CE3FE7"/>
    <w:rsid w:val="00CE5427"/>
    <w:rsid w:val="00CF1FE3"/>
    <w:rsid w:val="00CF254F"/>
    <w:rsid w:val="00CF5FA2"/>
    <w:rsid w:val="00D0218D"/>
    <w:rsid w:val="00D07809"/>
    <w:rsid w:val="00D13DC0"/>
    <w:rsid w:val="00D25FB5"/>
    <w:rsid w:val="00D374CF"/>
    <w:rsid w:val="00D44223"/>
    <w:rsid w:val="00D457ED"/>
    <w:rsid w:val="00D473FB"/>
    <w:rsid w:val="00D61F78"/>
    <w:rsid w:val="00D7304B"/>
    <w:rsid w:val="00D75D9D"/>
    <w:rsid w:val="00D80B93"/>
    <w:rsid w:val="00D9235B"/>
    <w:rsid w:val="00D92C87"/>
    <w:rsid w:val="00D953BB"/>
    <w:rsid w:val="00DA2529"/>
    <w:rsid w:val="00DB130A"/>
    <w:rsid w:val="00DB2EBB"/>
    <w:rsid w:val="00DC10A1"/>
    <w:rsid w:val="00DC655F"/>
    <w:rsid w:val="00DD0B59"/>
    <w:rsid w:val="00DD1791"/>
    <w:rsid w:val="00DD50B9"/>
    <w:rsid w:val="00DD7EBD"/>
    <w:rsid w:val="00DF4015"/>
    <w:rsid w:val="00DF62B6"/>
    <w:rsid w:val="00E0423C"/>
    <w:rsid w:val="00E07225"/>
    <w:rsid w:val="00E25041"/>
    <w:rsid w:val="00E27B4F"/>
    <w:rsid w:val="00E458C9"/>
    <w:rsid w:val="00E5409F"/>
    <w:rsid w:val="00E54A92"/>
    <w:rsid w:val="00E56A2E"/>
    <w:rsid w:val="00E610CF"/>
    <w:rsid w:val="00E7792D"/>
    <w:rsid w:val="00E87AD0"/>
    <w:rsid w:val="00E95AC4"/>
    <w:rsid w:val="00EB2D8F"/>
    <w:rsid w:val="00EB59C8"/>
    <w:rsid w:val="00ED68CD"/>
    <w:rsid w:val="00EE149C"/>
    <w:rsid w:val="00EE6488"/>
    <w:rsid w:val="00EF00CD"/>
    <w:rsid w:val="00F021FA"/>
    <w:rsid w:val="00F02BC1"/>
    <w:rsid w:val="00F13AB9"/>
    <w:rsid w:val="00F22E5C"/>
    <w:rsid w:val="00F30DDB"/>
    <w:rsid w:val="00F357CE"/>
    <w:rsid w:val="00F43DDC"/>
    <w:rsid w:val="00F44323"/>
    <w:rsid w:val="00F552BF"/>
    <w:rsid w:val="00F611F6"/>
    <w:rsid w:val="00F62E97"/>
    <w:rsid w:val="00F633A4"/>
    <w:rsid w:val="00F64209"/>
    <w:rsid w:val="00F718B5"/>
    <w:rsid w:val="00F825FC"/>
    <w:rsid w:val="00F83540"/>
    <w:rsid w:val="00F836F0"/>
    <w:rsid w:val="00F84956"/>
    <w:rsid w:val="00F9183D"/>
    <w:rsid w:val="00F92B4B"/>
    <w:rsid w:val="00F93BF5"/>
    <w:rsid w:val="00FA31BD"/>
    <w:rsid w:val="00FA4189"/>
    <w:rsid w:val="00FB52DC"/>
    <w:rsid w:val="00FB6E59"/>
    <w:rsid w:val="00FC1B1C"/>
    <w:rsid w:val="00F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DD50B9"/>
    <w:pPr>
      <w:spacing w:after="120"/>
    </w:pPr>
  </w:style>
  <w:style w:type="character" w:customStyle="1" w:styleId="BodyTextChar">
    <w:name w:val="Body Text Char"/>
    <w:basedOn w:val="DefaultParagraphFont"/>
    <w:link w:val="BodyText"/>
    <w:rsid w:val="00DD50B9"/>
    <w:rPr>
      <w:snapToGrid w:val="0"/>
      <w:kern w:val="28"/>
      <w:sz w:val="22"/>
    </w:rPr>
  </w:style>
  <w:style w:type="character" w:styleId="CommentReference">
    <w:name w:val="annotation reference"/>
    <w:basedOn w:val="DefaultParagraphFont"/>
    <w:rsid w:val="00856EE6"/>
    <w:rPr>
      <w:sz w:val="16"/>
      <w:szCs w:val="16"/>
    </w:rPr>
  </w:style>
  <w:style w:type="paragraph" w:styleId="CommentText">
    <w:name w:val="annotation text"/>
    <w:basedOn w:val="Normal"/>
    <w:link w:val="CommentTextChar"/>
    <w:rsid w:val="00856EE6"/>
    <w:rPr>
      <w:sz w:val="20"/>
    </w:rPr>
  </w:style>
  <w:style w:type="character" w:customStyle="1" w:styleId="CommentTextChar">
    <w:name w:val="Comment Text Char"/>
    <w:basedOn w:val="DefaultParagraphFont"/>
    <w:link w:val="CommentText"/>
    <w:rsid w:val="00856EE6"/>
    <w:rPr>
      <w:snapToGrid w:val="0"/>
      <w:kern w:val="28"/>
    </w:rPr>
  </w:style>
  <w:style w:type="paragraph" w:styleId="CommentSubject">
    <w:name w:val="annotation subject"/>
    <w:basedOn w:val="CommentText"/>
    <w:next w:val="CommentText"/>
    <w:link w:val="CommentSubjectChar"/>
    <w:rsid w:val="00856EE6"/>
    <w:rPr>
      <w:b/>
      <w:bCs/>
    </w:rPr>
  </w:style>
  <w:style w:type="character" w:customStyle="1" w:styleId="CommentSubjectChar">
    <w:name w:val="Comment Subject Char"/>
    <w:basedOn w:val="CommentTextChar"/>
    <w:link w:val="CommentSubject"/>
    <w:rsid w:val="00856EE6"/>
    <w:rPr>
      <w:b/>
      <w:bCs/>
      <w:snapToGrid w:val="0"/>
      <w:kern w:val="28"/>
    </w:rPr>
  </w:style>
  <w:style w:type="paragraph" w:styleId="BalloonText">
    <w:name w:val="Balloon Text"/>
    <w:basedOn w:val="Normal"/>
    <w:link w:val="BalloonTextChar"/>
    <w:rsid w:val="00856EE6"/>
    <w:rPr>
      <w:rFonts w:ascii="Tahoma" w:hAnsi="Tahoma" w:cs="Tahoma"/>
      <w:sz w:val="16"/>
      <w:szCs w:val="16"/>
    </w:rPr>
  </w:style>
  <w:style w:type="character" w:customStyle="1" w:styleId="BalloonTextChar">
    <w:name w:val="Balloon Text Char"/>
    <w:basedOn w:val="DefaultParagraphFont"/>
    <w:link w:val="BalloonText"/>
    <w:rsid w:val="00856EE6"/>
    <w:rPr>
      <w:rFonts w:ascii="Tahoma" w:hAnsi="Tahoma" w:cs="Tahoma"/>
      <w:snapToGrid w:val="0"/>
      <w:kern w:val="28"/>
      <w:sz w:val="16"/>
      <w:szCs w:val="16"/>
    </w:rPr>
  </w:style>
  <w:style w:type="character" w:customStyle="1" w:styleId="emphi">
    <w:name w:val="emphi"/>
    <w:basedOn w:val="DefaultParagraphFont"/>
    <w:rsid w:val="00892B22"/>
  </w:style>
  <w:style w:type="character" w:customStyle="1" w:styleId="displayhltextactive">
    <w:name w:val="display_hl_text_active"/>
    <w:basedOn w:val="DefaultParagraphFont"/>
    <w:rsid w:val="00892B22"/>
  </w:style>
  <w:style w:type="character" w:customStyle="1" w:styleId="displayhltext">
    <w:name w:val="display_hl_text"/>
    <w:basedOn w:val="DefaultParagraphFont"/>
    <w:rsid w:val="00E458C9"/>
  </w:style>
  <w:style w:type="character" w:customStyle="1" w:styleId="FootnoteTextChar">
    <w:name w:val="Footnote Text Char"/>
    <w:basedOn w:val="DefaultParagraphFont"/>
    <w:link w:val="FootnoteText"/>
    <w:rsid w:val="000F3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DD50B9"/>
    <w:pPr>
      <w:spacing w:after="120"/>
    </w:pPr>
  </w:style>
  <w:style w:type="character" w:customStyle="1" w:styleId="BodyTextChar">
    <w:name w:val="Body Text Char"/>
    <w:basedOn w:val="DefaultParagraphFont"/>
    <w:link w:val="BodyText"/>
    <w:rsid w:val="00DD50B9"/>
    <w:rPr>
      <w:snapToGrid w:val="0"/>
      <w:kern w:val="28"/>
      <w:sz w:val="22"/>
    </w:rPr>
  </w:style>
  <w:style w:type="character" w:styleId="CommentReference">
    <w:name w:val="annotation reference"/>
    <w:basedOn w:val="DefaultParagraphFont"/>
    <w:rsid w:val="00856EE6"/>
    <w:rPr>
      <w:sz w:val="16"/>
      <w:szCs w:val="16"/>
    </w:rPr>
  </w:style>
  <w:style w:type="paragraph" w:styleId="CommentText">
    <w:name w:val="annotation text"/>
    <w:basedOn w:val="Normal"/>
    <w:link w:val="CommentTextChar"/>
    <w:rsid w:val="00856EE6"/>
    <w:rPr>
      <w:sz w:val="20"/>
    </w:rPr>
  </w:style>
  <w:style w:type="character" w:customStyle="1" w:styleId="CommentTextChar">
    <w:name w:val="Comment Text Char"/>
    <w:basedOn w:val="DefaultParagraphFont"/>
    <w:link w:val="CommentText"/>
    <w:rsid w:val="00856EE6"/>
    <w:rPr>
      <w:snapToGrid w:val="0"/>
      <w:kern w:val="28"/>
    </w:rPr>
  </w:style>
  <w:style w:type="paragraph" w:styleId="CommentSubject">
    <w:name w:val="annotation subject"/>
    <w:basedOn w:val="CommentText"/>
    <w:next w:val="CommentText"/>
    <w:link w:val="CommentSubjectChar"/>
    <w:rsid w:val="00856EE6"/>
    <w:rPr>
      <w:b/>
      <w:bCs/>
    </w:rPr>
  </w:style>
  <w:style w:type="character" w:customStyle="1" w:styleId="CommentSubjectChar">
    <w:name w:val="Comment Subject Char"/>
    <w:basedOn w:val="CommentTextChar"/>
    <w:link w:val="CommentSubject"/>
    <w:rsid w:val="00856EE6"/>
    <w:rPr>
      <w:b/>
      <w:bCs/>
      <w:snapToGrid w:val="0"/>
      <w:kern w:val="28"/>
    </w:rPr>
  </w:style>
  <w:style w:type="paragraph" w:styleId="BalloonText">
    <w:name w:val="Balloon Text"/>
    <w:basedOn w:val="Normal"/>
    <w:link w:val="BalloonTextChar"/>
    <w:rsid w:val="00856EE6"/>
    <w:rPr>
      <w:rFonts w:ascii="Tahoma" w:hAnsi="Tahoma" w:cs="Tahoma"/>
      <w:sz w:val="16"/>
      <w:szCs w:val="16"/>
    </w:rPr>
  </w:style>
  <w:style w:type="character" w:customStyle="1" w:styleId="BalloonTextChar">
    <w:name w:val="Balloon Text Char"/>
    <w:basedOn w:val="DefaultParagraphFont"/>
    <w:link w:val="BalloonText"/>
    <w:rsid w:val="00856EE6"/>
    <w:rPr>
      <w:rFonts w:ascii="Tahoma" w:hAnsi="Tahoma" w:cs="Tahoma"/>
      <w:snapToGrid w:val="0"/>
      <w:kern w:val="28"/>
      <w:sz w:val="16"/>
      <w:szCs w:val="16"/>
    </w:rPr>
  </w:style>
  <w:style w:type="character" w:customStyle="1" w:styleId="emphi">
    <w:name w:val="emphi"/>
    <w:basedOn w:val="DefaultParagraphFont"/>
    <w:rsid w:val="00892B22"/>
  </w:style>
  <w:style w:type="character" w:customStyle="1" w:styleId="displayhltextactive">
    <w:name w:val="display_hl_text_active"/>
    <w:basedOn w:val="DefaultParagraphFont"/>
    <w:rsid w:val="00892B22"/>
  </w:style>
  <w:style w:type="character" w:customStyle="1" w:styleId="displayhltext">
    <w:name w:val="display_hl_text"/>
    <w:basedOn w:val="DefaultParagraphFont"/>
    <w:rsid w:val="00E458C9"/>
  </w:style>
  <w:style w:type="character" w:customStyle="1" w:styleId="FootnoteTextChar">
    <w:name w:val="Footnote Text Char"/>
    <w:basedOn w:val="DefaultParagraphFont"/>
    <w:link w:val="FootnoteText"/>
    <w:rsid w:val="000F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39054">
      <w:bodyDiv w:val="1"/>
      <w:marLeft w:val="0"/>
      <w:marRight w:val="0"/>
      <w:marTop w:val="0"/>
      <w:marBottom w:val="0"/>
      <w:divBdr>
        <w:top w:val="none" w:sz="0" w:space="0" w:color="auto"/>
        <w:left w:val="none" w:sz="0" w:space="0" w:color="auto"/>
        <w:bottom w:val="none" w:sz="0" w:space="0" w:color="auto"/>
        <w:right w:val="none" w:sz="0" w:space="0" w:color="auto"/>
      </w:divBdr>
    </w:div>
    <w:div w:id="574358565">
      <w:bodyDiv w:val="1"/>
      <w:marLeft w:val="0"/>
      <w:marRight w:val="0"/>
      <w:marTop w:val="0"/>
      <w:marBottom w:val="0"/>
      <w:divBdr>
        <w:top w:val="none" w:sz="0" w:space="0" w:color="auto"/>
        <w:left w:val="none" w:sz="0" w:space="0" w:color="auto"/>
        <w:bottom w:val="none" w:sz="0" w:space="0" w:color="auto"/>
        <w:right w:val="none" w:sz="0" w:space="0" w:color="auto"/>
      </w:divBdr>
    </w:div>
    <w:div w:id="1555772715">
      <w:bodyDiv w:val="1"/>
      <w:marLeft w:val="0"/>
      <w:marRight w:val="0"/>
      <w:marTop w:val="0"/>
      <w:marBottom w:val="0"/>
      <w:divBdr>
        <w:top w:val="none" w:sz="0" w:space="0" w:color="auto"/>
        <w:left w:val="none" w:sz="0" w:space="0" w:color="auto"/>
        <w:bottom w:val="none" w:sz="0" w:space="0" w:color="auto"/>
        <w:right w:val="none" w:sz="0" w:space="0" w:color="auto"/>
      </w:divBdr>
      <w:divsChild>
        <w:div w:id="2041934838">
          <w:marLeft w:val="0"/>
          <w:marRight w:val="0"/>
          <w:marTop w:val="0"/>
          <w:marBottom w:val="0"/>
          <w:divBdr>
            <w:top w:val="none" w:sz="0" w:space="0" w:color="auto"/>
            <w:left w:val="none" w:sz="0" w:space="0" w:color="auto"/>
            <w:bottom w:val="none" w:sz="0" w:space="0" w:color="auto"/>
            <w:right w:val="none" w:sz="0" w:space="0" w:color="auto"/>
          </w:divBdr>
        </w:div>
        <w:div w:id="1632594453">
          <w:marLeft w:val="0"/>
          <w:marRight w:val="0"/>
          <w:marTop w:val="0"/>
          <w:marBottom w:val="0"/>
          <w:divBdr>
            <w:top w:val="none" w:sz="0" w:space="0" w:color="auto"/>
            <w:left w:val="none" w:sz="0" w:space="0" w:color="auto"/>
            <w:bottom w:val="none" w:sz="0" w:space="0" w:color="auto"/>
            <w:right w:val="none" w:sz="0" w:space="0" w:color="auto"/>
          </w:divBdr>
        </w:div>
        <w:div w:id="1091927054">
          <w:marLeft w:val="0"/>
          <w:marRight w:val="0"/>
          <w:marTop w:val="0"/>
          <w:marBottom w:val="0"/>
          <w:divBdr>
            <w:top w:val="none" w:sz="0" w:space="0" w:color="auto"/>
            <w:left w:val="none" w:sz="0" w:space="0" w:color="auto"/>
            <w:bottom w:val="none" w:sz="0" w:space="0" w:color="auto"/>
            <w:right w:val="none" w:sz="0" w:space="0" w:color="auto"/>
          </w:divBdr>
        </w:div>
        <w:div w:id="1110320916">
          <w:marLeft w:val="0"/>
          <w:marRight w:val="0"/>
          <w:marTop w:val="0"/>
          <w:marBottom w:val="0"/>
          <w:divBdr>
            <w:top w:val="none" w:sz="0" w:space="0" w:color="auto"/>
            <w:left w:val="none" w:sz="0" w:space="0" w:color="auto"/>
            <w:bottom w:val="none" w:sz="0" w:space="0" w:color="auto"/>
            <w:right w:val="none" w:sz="0" w:space="0" w:color="auto"/>
          </w:divBdr>
        </w:div>
        <w:div w:id="843399292">
          <w:marLeft w:val="0"/>
          <w:marRight w:val="0"/>
          <w:marTop w:val="0"/>
          <w:marBottom w:val="0"/>
          <w:divBdr>
            <w:top w:val="none" w:sz="0" w:space="0" w:color="auto"/>
            <w:left w:val="none" w:sz="0" w:space="0" w:color="auto"/>
            <w:bottom w:val="none" w:sz="0" w:space="0" w:color="auto"/>
            <w:right w:val="none" w:sz="0" w:space="0" w:color="auto"/>
          </w:divBdr>
        </w:div>
        <w:div w:id="2076779857">
          <w:marLeft w:val="0"/>
          <w:marRight w:val="0"/>
          <w:marTop w:val="0"/>
          <w:marBottom w:val="0"/>
          <w:divBdr>
            <w:top w:val="none" w:sz="0" w:space="0" w:color="auto"/>
            <w:left w:val="none" w:sz="0" w:space="0" w:color="auto"/>
            <w:bottom w:val="none" w:sz="0" w:space="0" w:color="auto"/>
            <w:right w:val="none" w:sz="0" w:space="0" w:color="auto"/>
          </w:divBdr>
        </w:div>
        <w:div w:id="699553488">
          <w:marLeft w:val="0"/>
          <w:marRight w:val="0"/>
          <w:marTop w:val="0"/>
          <w:marBottom w:val="0"/>
          <w:divBdr>
            <w:top w:val="none" w:sz="0" w:space="0" w:color="auto"/>
            <w:left w:val="none" w:sz="0" w:space="0" w:color="auto"/>
            <w:bottom w:val="none" w:sz="0" w:space="0" w:color="auto"/>
            <w:right w:val="none" w:sz="0" w:space="0" w:color="auto"/>
          </w:divBdr>
        </w:div>
        <w:div w:id="40053867">
          <w:marLeft w:val="0"/>
          <w:marRight w:val="0"/>
          <w:marTop w:val="0"/>
          <w:marBottom w:val="0"/>
          <w:divBdr>
            <w:top w:val="none" w:sz="0" w:space="0" w:color="auto"/>
            <w:left w:val="none" w:sz="0" w:space="0" w:color="auto"/>
            <w:bottom w:val="none" w:sz="0" w:space="0" w:color="auto"/>
            <w:right w:val="none" w:sz="0" w:space="0" w:color="auto"/>
          </w:divBdr>
        </w:div>
        <w:div w:id="450050189">
          <w:marLeft w:val="0"/>
          <w:marRight w:val="0"/>
          <w:marTop w:val="0"/>
          <w:marBottom w:val="0"/>
          <w:divBdr>
            <w:top w:val="none" w:sz="0" w:space="0" w:color="auto"/>
            <w:left w:val="none" w:sz="0" w:space="0" w:color="auto"/>
            <w:bottom w:val="none" w:sz="0" w:space="0" w:color="auto"/>
            <w:right w:val="none" w:sz="0" w:space="0" w:color="auto"/>
          </w:divBdr>
        </w:div>
        <w:div w:id="210504525">
          <w:marLeft w:val="0"/>
          <w:marRight w:val="0"/>
          <w:marTop w:val="0"/>
          <w:marBottom w:val="0"/>
          <w:divBdr>
            <w:top w:val="none" w:sz="0" w:space="0" w:color="auto"/>
            <w:left w:val="none" w:sz="0" w:space="0" w:color="auto"/>
            <w:bottom w:val="none" w:sz="0" w:space="0" w:color="auto"/>
            <w:right w:val="none" w:sz="0" w:space="0" w:color="auto"/>
          </w:divBdr>
        </w:div>
        <w:div w:id="356123281">
          <w:marLeft w:val="0"/>
          <w:marRight w:val="0"/>
          <w:marTop w:val="0"/>
          <w:marBottom w:val="0"/>
          <w:divBdr>
            <w:top w:val="none" w:sz="0" w:space="0" w:color="auto"/>
            <w:left w:val="none" w:sz="0" w:space="0" w:color="auto"/>
            <w:bottom w:val="none" w:sz="0" w:space="0" w:color="auto"/>
            <w:right w:val="none" w:sz="0" w:space="0" w:color="auto"/>
          </w:divBdr>
        </w:div>
        <w:div w:id="2129333">
          <w:marLeft w:val="0"/>
          <w:marRight w:val="0"/>
          <w:marTop w:val="0"/>
          <w:marBottom w:val="0"/>
          <w:divBdr>
            <w:top w:val="none" w:sz="0" w:space="0" w:color="auto"/>
            <w:left w:val="none" w:sz="0" w:space="0" w:color="auto"/>
            <w:bottom w:val="none" w:sz="0" w:space="0" w:color="auto"/>
            <w:right w:val="none" w:sz="0" w:space="0" w:color="auto"/>
          </w:divBdr>
        </w:div>
        <w:div w:id="1132862492">
          <w:marLeft w:val="0"/>
          <w:marRight w:val="0"/>
          <w:marTop w:val="0"/>
          <w:marBottom w:val="0"/>
          <w:divBdr>
            <w:top w:val="none" w:sz="0" w:space="0" w:color="auto"/>
            <w:left w:val="none" w:sz="0" w:space="0" w:color="auto"/>
            <w:bottom w:val="none" w:sz="0" w:space="0" w:color="auto"/>
            <w:right w:val="none" w:sz="0" w:space="0" w:color="auto"/>
          </w:divBdr>
        </w:div>
        <w:div w:id="1619098165">
          <w:marLeft w:val="0"/>
          <w:marRight w:val="0"/>
          <w:marTop w:val="0"/>
          <w:marBottom w:val="0"/>
          <w:divBdr>
            <w:top w:val="none" w:sz="0" w:space="0" w:color="auto"/>
            <w:left w:val="none" w:sz="0" w:space="0" w:color="auto"/>
            <w:bottom w:val="none" w:sz="0" w:space="0" w:color="auto"/>
            <w:right w:val="none" w:sz="0" w:space="0" w:color="auto"/>
          </w:divBdr>
        </w:div>
        <w:div w:id="1700161210">
          <w:marLeft w:val="0"/>
          <w:marRight w:val="0"/>
          <w:marTop w:val="0"/>
          <w:marBottom w:val="0"/>
          <w:divBdr>
            <w:top w:val="none" w:sz="0" w:space="0" w:color="auto"/>
            <w:left w:val="none" w:sz="0" w:space="0" w:color="auto"/>
            <w:bottom w:val="none" w:sz="0" w:space="0" w:color="auto"/>
            <w:right w:val="none" w:sz="0" w:space="0" w:color="auto"/>
          </w:divBdr>
        </w:div>
        <w:div w:id="435711146">
          <w:marLeft w:val="0"/>
          <w:marRight w:val="0"/>
          <w:marTop w:val="0"/>
          <w:marBottom w:val="0"/>
          <w:divBdr>
            <w:top w:val="none" w:sz="0" w:space="0" w:color="auto"/>
            <w:left w:val="none" w:sz="0" w:space="0" w:color="auto"/>
            <w:bottom w:val="none" w:sz="0" w:space="0" w:color="auto"/>
            <w:right w:val="none" w:sz="0" w:space="0" w:color="auto"/>
          </w:divBdr>
        </w:div>
        <w:div w:id="1683579823">
          <w:marLeft w:val="0"/>
          <w:marRight w:val="0"/>
          <w:marTop w:val="0"/>
          <w:marBottom w:val="0"/>
          <w:divBdr>
            <w:top w:val="none" w:sz="0" w:space="0" w:color="auto"/>
            <w:left w:val="none" w:sz="0" w:space="0" w:color="auto"/>
            <w:bottom w:val="none" w:sz="0" w:space="0" w:color="auto"/>
            <w:right w:val="none" w:sz="0" w:space="0" w:color="auto"/>
          </w:divBdr>
        </w:div>
      </w:divsChild>
    </w:div>
    <w:div w:id="1622682774">
      <w:bodyDiv w:val="1"/>
      <w:marLeft w:val="0"/>
      <w:marRight w:val="0"/>
      <w:marTop w:val="0"/>
      <w:marBottom w:val="0"/>
      <w:divBdr>
        <w:top w:val="none" w:sz="0" w:space="0" w:color="auto"/>
        <w:left w:val="none" w:sz="0" w:space="0" w:color="auto"/>
        <w:bottom w:val="none" w:sz="0" w:space="0" w:color="auto"/>
        <w:right w:val="none" w:sz="0" w:space="0" w:color="auto"/>
      </w:divBdr>
      <w:divsChild>
        <w:div w:id="1788311082">
          <w:marLeft w:val="0"/>
          <w:marRight w:val="0"/>
          <w:marTop w:val="0"/>
          <w:marBottom w:val="0"/>
          <w:divBdr>
            <w:top w:val="none" w:sz="0" w:space="0" w:color="auto"/>
            <w:left w:val="none" w:sz="0" w:space="0" w:color="auto"/>
            <w:bottom w:val="none" w:sz="0" w:space="0" w:color="auto"/>
            <w:right w:val="none" w:sz="0" w:space="0" w:color="auto"/>
          </w:divBdr>
          <w:divsChild>
            <w:div w:id="1578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3)" TargetMode="External"/><Relationship Id="rId13" Type="http://schemas.openxmlformats.org/officeDocument/2006/relationships/hyperlink" Target="javascript:top.docjs.prev_hit(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avascript:top.docjs.next_hit(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top.docjs.next_hit(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op.docjs.prev_hit(6)" TargetMode="External"/><Relationship Id="rId23" Type="http://schemas.openxmlformats.org/officeDocument/2006/relationships/fontTable" Target="fontTable.xml"/><Relationship Id="rId10" Type="http://schemas.openxmlformats.org/officeDocument/2006/relationships/hyperlink" Target="javascript:top.docjs.next_hit(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top.docjs.next_hit(5)"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next_hit(1)" TargetMode="External"/><Relationship Id="rId2" Type="http://schemas.openxmlformats.org/officeDocument/2006/relationships/image" Target="media/image1.png"/><Relationship Id="rId1" Type="http://schemas.openxmlformats.org/officeDocument/2006/relationships/hyperlink" Target="javascript:top.docjs.no_prev_doc_in_search_results()" TargetMode="External"/><Relationship Id="rId5" Type="http://schemas.openxmlformats.org/officeDocument/2006/relationships/hyperlink" Target="javascript:top.docjs.next_hit(5)" TargetMode="External"/><Relationship Id="rId4" Type="http://schemas.openxmlformats.org/officeDocument/2006/relationships/hyperlink" Target="javascript:top.docjs.prev_hit(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4</Pages>
  <Words>1322</Words>
  <Characters>7175</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2014-04-18T13:43:00Z</cp:lastPrinted>
  <dcterms:created xsi:type="dcterms:W3CDTF">2014-04-18T13:51:00Z</dcterms:created>
  <dcterms:modified xsi:type="dcterms:W3CDTF">2014-04-18T13:51:00Z</dcterms:modified>
  <cp:category> </cp:category>
  <cp:contentStatus> </cp:contentStatus>
</cp:coreProperties>
</file>