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E66A17" w:rsidTr="00C6504E">
        <w:trPr>
          <w:trHeight w:val="1800"/>
        </w:trPr>
        <w:tc>
          <w:tcPr>
            <w:tcW w:w="4698" w:type="dxa"/>
          </w:tcPr>
          <w:p w:rsidR="00E66A17" w:rsidRPr="00150FBA" w:rsidRDefault="00E66A17" w:rsidP="002572B6">
            <w:pPr>
              <w:ind w:right="-18"/>
              <w:rPr>
                <w:szCs w:val="22"/>
              </w:rPr>
            </w:pPr>
            <w:r w:rsidRPr="00150FBA">
              <w:rPr>
                <w:szCs w:val="22"/>
              </w:rPr>
              <w:t xml:space="preserve">In </w:t>
            </w:r>
            <w:r>
              <w:rPr>
                <w:szCs w:val="22"/>
              </w:rPr>
              <w:t>th</w:t>
            </w:r>
            <w:r w:rsidRPr="00150FBA">
              <w:rPr>
                <w:szCs w:val="22"/>
              </w:rPr>
              <w:t>e</w:t>
            </w:r>
            <w:r>
              <w:rPr>
                <w:szCs w:val="22"/>
              </w:rPr>
              <w:t xml:space="preserve"> Matter of</w:t>
            </w:r>
            <w:r w:rsidRPr="00150FBA">
              <w:rPr>
                <w:szCs w:val="22"/>
              </w:rPr>
              <w:t xml:space="preserve">  </w:t>
            </w:r>
          </w:p>
          <w:p w:rsidR="00E66A17" w:rsidRPr="00150FBA" w:rsidRDefault="00E66A17" w:rsidP="002572B6">
            <w:pPr>
              <w:ind w:right="-18"/>
              <w:rPr>
                <w:szCs w:val="22"/>
              </w:rPr>
            </w:pPr>
          </w:p>
          <w:p w:rsidR="00E66A17" w:rsidRPr="00E7597F" w:rsidRDefault="00CC1E9B" w:rsidP="002572B6">
            <w:pPr>
              <w:ind w:right="-18"/>
              <w:rPr>
                <w:szCs w:val="22"/>
              </w:rPr>
            </w:pPr>
            <w:r w:rsidRPr="00E7597F">
              <w:rPr>
                <w:szCs w:val="22"/>
              </w:rPr>
              <w:t>Galaxy Communications, L.P.</w:t>
            </w:r>
          </w:p>
          <w:p w:rsidR="00E66A17" w:rsidRDefault="00E66A17" w:rsidP="002572B6">
            <w:pPr>
              <w:ind w:right="-18"/>
              <w:rPr>
                <w:b/>
                <w:szCs w:val="22"/>
              </w:rPr>
            </w:pPr>
          </w:p>
          <w:p w:rsidR="00E66A17" w:rsidRDefault="00E66A17" w:rsidP="002572B6">
            <w:pPr>
              <w:ind w:right="-18"/>
              <w:rPr>
                <w:szCs w:val="22"/>
              </w:rPr>
            </w:pPr>
            <w:r>
              <w:rPr>
                <w:szCs w:val="22"/>
              </w:rPr>
              <w:t xml:space="preserve">Application for </w:t>
            </w:r>
            <w:r w:rsidR="00CC1E9B">
              <w:rPr>
                <w:szCs w:val="22"/>
              </w:rPr>
              <w:t>Modification of License</w:t>
            </w:r>
          </w:p>
          <w:p w:rsidR="00E66A17" w:rsidRDefault="00CC1E9B" w:rsidP="002572B6">
            <w:pPr>
              <w:ind w:right="-18"/>
              <w:rPr>
                <w:szCs w:val="22"/>
              </w:rPr>
            </w:pPr>
            <w:r>
              <w:rPr>
                <w:szCs w:val="22"/>
              </w:rPr>
              <w:t>Station WTKV(FM), Oswego, NY</w:t>
            </w:r>
          </w:p>
          <w:p w:rsidR="00E66A17" w:rsidRDefault="00E66A17" w:rsidP="002572B6">
            <w:pPr>
              <w:ind w:right="-18"/>
              <w:rPr>
                <w:szCs w:val="22"/>
              </w:rPr>
            </w:pPr>
          </w:p>
          <w:p w:rsidR="00E66A17" w:rsidRPr="00150FBA" w:rsidRDefault="00E66A17" w:rsidP="002572B6">
            <w:pPr>
              <w:ind w:right="-18"/>
              <w:rPr>
                <w:b/>
                <w:szCs w:val="22"/>
              </w:rPr>
            </w:pPr>
            <w:r w:rsidRPr="00150FBA">
              <w:rPr>
                <w:szCs w:val="22"/>
              </w:rPr>
              <w:t xml:space="preserve">                                   </w:t>
            </w:r>
          </w:p>
        </w:tc>
        <w:tc>
          <w:tcPr>
            <w:tcW w:w="630" w:type="dxa"/>
          </w:tcPr>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p>
          <w:p w:rsidR="00E66A17" w:rsidRPr="00150FBA" w:rsidRDefault="00E66A17" w:rsidP="002572B6">
            <w:pPr>
              <w:rPr>
                <w:b/>
                <w:szCs w:val="22"/>
              </w:rPr>
            </w:pPr>
          </w:p>
          <w:p w:rsidR="00E66A17" w:rsidRPr="00150FBA" w:rsidRDefault="00E66A17" w:rsidP="002572B6">
            <w:pPr>
              <w:rPr>
                <w:b/>
                <w:szCs w:val="22"/>
              </w:rPr>
            </w:pPr>
            <w:r w:rsidRPr="00150FBA">
              <w:rPr>
                <w:b/>
                <w:szCs w:val="22"/>
              </w:rPr>
              <w:t xml:space="preserve"> </w:t>
            </w:r>
          </w:p>
        </w:tc>
        <w:tc>
          <w:tcPr>
            <w:tcW w:w="4248" w:type="dxa"/>
          </w:tcPr>
          <w:p w:rsidR="00E66A17" w:rsidRPr="00150FBA" w:rsidRDefault="00E66A17" w:rsidP="002572B6">
            <w:pPr>
              <w:rPr>
                <w:szCs w:val="22"/>
              </w:rPr>
            </w:pPr>
          </w:p>
          <w:p w:rsidR="00E66A17" w:rsidRDefault="00E66A17" w:rsidP="002572B6">
            <w:pPr>
              <w:rPr>
                <w:szCs w:val="22"/>
              </w:rPr>
            </w:pPr>
          </w:p>
          <w:p w:rsidR="00E66A17" w:rsidRPr="00150FBA" w:rsidRDefault="00E66A17" w:rsidP="002572B6">
            <w:pPr>
              <w:rPr>
                <w:szCs w:val="22"/>
              </w:rPr>
            </w:pPr>
          </w:p>
          <w:p w:rsidR="00E66A17" w:rsidRDefault="00E66A17" w:rsidP="002572B6">
            <w:pPr>
              <w:rPr>
                <w:szCs w:val="22"/>
              </w:rPr>
            </w:pPr>
          </w:p>
          <w:p w:rsidR="00E66A17" w:rsidRPr="00150FBA" w:rsidRDefault="00E66A17" w:rsidP="002572B6">
            <w:pPr>
              <w:rPr>
                <w:szCs w:val="22"/>
              </w:rPr>
            </w:pPr>
            <w:r w:rsidRPr="00150FBA">
              <w:rPr>
                <w:szCs w:val="22"/>
              </w:rPr>
              <w:t xml:space="preserve">File No. </w:t>
            </w:r>
            <w:r>
              <w:rPr>
                <w:szCs w:val="22"/>
              </w:rPr>
              <w:t>B</w:t>
            </w:r>
            <w:r w:rsidR="00F12A24">
              <w:rPr>
                <w:szCs w:val="22"/>
              </w:rPr>
              <w:t>P</w:t>
            </w:r>
            <w:r w:rsidR="00CC1E9B">
              <w:rPr>
                <w:szCs w:val="22"/>
              </w:rPr>
              <w:t>H</w:t>
            </w:r>
            <w:r>
              <w:rPr>
                <w:szCs w:val="22"/>
              </w:rPr>
              <w:t>-200</w:t>
            </w:r>
            <w:r w:rsidR="00CC1E9B">
              <w:rPr>
                <w:szCs w:val="22"/>
              </w:rPr>
              <w:t>31209ABV</w:t>
            </w:r>
          </w:p>
          <w:p w:rsidR="00E66A17" w:rsidRPr="00150FBA" w:rsidRDefault="00E66A17" w:rsidP="002572B6">
            <w:pPr>
              <w:rPr>
                <w:szCs w:val="22"/>
              </w:rPr>
            </w:pPr>
            <w:r w:rsidRPr="00150FBA">
              <w:rPr>
                <w:szCs w:val="22"/>
              </w:rPr>
              <w:t xml:space="preserve">Facility I.D. No. </w:t>
            </w:r>
            <w:r w:rsidR="00CC1E9B">
              <w:rPr>
                <w:szCs w:val="22"/>
              </w:rPr>
              <w:t>24131</w:t>
            </w:r>
            <w:r w:rsidRPr="00150FBA">
              <w:rPr>
                <w:szCs w:val="22"/>
              </w:rPr>
              <w:t xml:space="preserve">                      </w:t>
            </w:r>
          </w:p>
          <w:p w:rsidR="00E66A17" w:rsidRPr="00150FBA" w:rsidRDefault="00E66A17" w:rsidP="002572B6">
            <w:pPr>
              <w:rPr>
                <w:szCs w:val="22"/>
              </w:rPr>
            </w:pPr>
          </w:p>
          <w:p w:rsidR="00E66A17" w:rsidRPr="00150FBA" w:rsidRDefault="00E66A17" w:rsidP="002572B6">
            <w:pPr>
              <w:rPr>
                <w:szCs w:val="22"/>
              </w:rPr>
            </w:pPr>
          </w:p>
        </w:tc>
      </w:tr>
    </w:tbl>
    <w:p w:rsidR="00841AB1" w:rsidRDefault="00E66A17"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3A6609">
        <w:rPr>
          <w:b/>
          <w:spacing w:val="-2"/>
        </w:rPr>
        <w:t>April 18,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A6609">
        <w:rPr>
          <w:b/>
          <w:spacing w:val="-2"/>
        </w:rPr>
        <w:t>April 21, 2014</w:t>
      </w:r>
    </w:p>
    <w:p w:rsidR="00822CE0" w:rsidRDefault="00822CE0"/>
    <w:p w:rsidR="004C2EE3" w:rsidRDefault="004C2EE3">
      <w:pPr>
        <w:rPr>
          <w:spacing w:val="-2"/>
        </w:rPr>
      </w:pPr>
      <w:r>
        <w:t xml:space="preserve">By </w:t>
      </w:r>
      <w:r w:rsidR="004E4A22">
        <w:t>the</w:t>
      </w:r>
      <w:r w:rsidR="002A2D2E">
        <w:t xml:space="preserve"> </w:t>
      </w:r>
      <w:r w:rsidR="00E66A17">
        <w:rPr>
          <w:spacing w:val="-2"/>
        </w:rPr>
        <w:t>Commission</w:t>
      </w:r>
      <w:r>
        <w:rPr>
          <w:spacing w:val="-2"/>
        </w:rPr>
        <w:t>:</w:t>
      </w:r>
    </w:p>
    <w:p w:rsidR="00412FC5" w:rsidRDefault="00412FC5" w:rsidP="00412FC5"/>
    <w:p w:rsidR="00E66A17" w:rsidRDefault="00E66A17" w:rsidP="00E7597F">
      <w:pPr>
        <w:pStyle w:val="ParaNum"/>
      </w:pPr>
      <w:r w:rsidRPr="00150FBA">
        <w:t xml:space="preserve">The Commission has before it </w:t>
      </w:r>
      <w:r>
        <w:t>an</w:t>
      </w:r>
      <w:r w:rsidRPr="00150FBA">
        <w:t xml:space="preserve"> Application for Review (“AFR</w:t>
      </w:r>
      <w:r>
        <w:t>”</w:t>
      </w:r>
      <w:r w:rsidRPr="00150FBA">
        <w:t xml:space="preserve">) </w:t>
      </w:r>
      <w:r w:rsidR="00D7246A">
        <w:t>filed by Galaxy Syracuse Licensee LLC (“Galaxy”) on April 24, 2006.</w:t>
      </w:r>
      <w:r w:rsidR="00CC1E9B">
        <w:rPr>
          <w:rStyle w:val="FootnoteReference"/>
        </w:rPr>
        <w:footnoteReference w:id="2"/>
      </w:r>
      <w:r>
        <w:t xml:space="preserve">  In the AFR, </w:t>
      </w:r>
      <w:r w:rsidR="00D7246A">
        <w:t>Galaxy</w:t>
      </w:r>
      <w:r>
        <w:t xml:space="preserve"> seek</w:t>
      </w:r>
      <w:r w:rsidR="00D7246A">
        <w:t>s</w:t>
      </w:r>
      <w:r>
        <w:t xml:space="preserve"> review of a Media Bureau (“Bureau”) decision that denied </w:t>
      </w:r>
      <w:r w:rsidR="00CC1E9B">
        <w:t xml:space="preserve">a waiver request and dismissed an application </w:t>
      </w:r>
      <w:r w:rsidR="00D7246A">
        <w:t>to modify the community of license of WTKV(FM), Oswego, NY (the “Station”)</w:t>
      </w:r>
      <w:r w:rsidR="00CC1E9B">
        <w:t xml:space="preserve"> </w:t>
      </w:r>
      <w:r w:rsidR="00BD6C1C">
        <w:t>due to Galaxy’s</w:t>
      </w:r>
      <w:r w:rsidR="00CC1E9B">
        <w:t xml:space="preserve"> failure to comply with</w:t>
      </w:r>
      <w:r w:rsidR="00BE6530">
        <w:t xml:space="preserve"> Section 73.3555(a)(1) of the Commission’s rules (</w:t>
      </w:r>
      <w:r w:rsidR="00CC1E9B">
        <w:t xml:space="preserve">the </w:t>
      </w:r>
      <w:r w:rsidR="00BE6530">
        <w:t>“L</w:t>
      </w:r>
      <w:r w:rsidR="00CC1E9B">
        <w:t xml:space="preserve">ocal </w:t>
      </w:r>
      <w:r w:rsidR="00BE6530">
        <w:t>R</w:t>
      </w:r>
      <w:r w:rsidR="00CC1E9B">
        <w:t xml:space="preserve">adio </w:t>
      </w:r>
      <w:r w:rsidR="00BE6530">
        <w:t>O</w:t>
      </w:r>
      <w:r w:rsidR="00CC1E9B">
        <w:t xml:space="preserve">wnership </w:t>
      </w:r>
      <w:r w:rsidR="00BE6530">
        <w:t>R</w:t>
      </w:r>
      <w:r w:rsidR="00CC1E9B">
        <w:t>ule</w:t>
      </w:r>
      <w:r w:rsidR="00BE6530">
        <w:t>”)</w:t>
      </w:r>
      <w:r w:rsidR="00CC1E9B">
        <w:t>.</w:t>
      </w:r>
      <w:r>
        <w:rPr>
          <w:rStyle w:val="FootnoteReference"/>
        </w:rPr>
        <w:footnoteReference w:id="3"/>
      </w:r>
      <w:r>
        <w:t xml:space="preserve">  For the reasons set forth below, </w:t>
      </w:r>
      <w:r w:rsidR="00B22240">
        <w:t>at Galaxy’s request,</w:t>
      </w:r>
      <w:r w:rsidR="00012E06">
        <w:rPr>
          <w:rStyle w:val="FootnoteReference"/>
        </w:rPr>
        <w:footnoteReference w:id="4"/>
      </w:r>
      <w:r w:rsidR="00B22240">
        <w:t xml:space="preserve"> </w:t>
      </w:r>
      <w:r>
        <w:t>we dismiss the AFR</w:t>
      </w:r>
      <w:r w:rsidR="00D7246A">
        <w:t xml:space="preserve"> as moot</w:t>
      </w:r>
      <w:r>
        <w:t xml:space="preserve">. </w:t>
      </w:r>
    </w:p>
    <w:p w:rsidR="009D4D12" w:rsidRDefault="009D4D12" w:rsidP="00E7597F">
      <w:pPr>
        <w:pStyle w:val="ParaNum"/>
        <w:rPr>
          <w:szCs w:val="22"/>
        </w:rPr>
      </w:pPr>
      <w:r>
        <w:rPr>
          <w:szCs w:val="22"/>
        </w:rPr>
        <w:t xml:space="preserve">When </w:t>
      </w:r>
      <w:r w:rsidR="009F1598">
        <w:rPr>
          <w:szCs w:val="22"/>
        </w:rPr>
        <w:t xml:space="preserve">the Bureau issued the </w:t>
      </w:r>
      <w:r w:rsidR="009F1598" w:rsidRPr="009F1598">
        <w:rPr>
          <w:i/>
          <w:szCs w:val="22"/>
        </w:rPr>
        <w:t>Decision</w:t>
      </w:r>
      <w:r>
        <w:rPr>
          <w:szCs w:val="22"/>
        </w:rPr>
        <w:t>, Galaxy held cognizable interests in nine radio stations (three AM and six FM) in the Syracuse, NY Arbitron Metro Survey Area (“Syracuse Metro”).</w:t>
      </w:r>
      <w:r w:rsidR="00B37E6A">
        <w:rPr>
          <w:rStyle w:val="FootnoteReference"/>
          <w:szCs w:val="22"/>
        </w:rPr>
        <w:footnoteReference w:id="5"/>
      </w:r>
      <w:r>
        <w:rPr>
          <w:szCs w:val="22"/>
        </w:rPr>
        <w:t xml:space="preserve">  </w:t>
      </w:r>
      <w:r w:rsidR="00BE6530">
        <w:rPr>
          <w:szCs w:val="22"/>
        </w:rPr>
        <w:t>The Local Radio Ownership Rule</w:t>
      </w:r>
      <w:r>
        <w:rPr>
          <w:szCs w:val="22"/>
        </w:rPr>
        <w:t xml:space="preserve"> allows a party to hold cognizable interests in up to seven radio stations (no more than four in the same service) in a market the size of the Syracuse Metro.  Galaxy’s interests </w:t>
      </w:r>
      <w:r w:rsidR="00C35288">
        <w:rPr>
          <w:szCs w:val="22"/>
        </w:rPr>
        <w:t xml:space="preserve">above those limits </w:t>
      </w:r>
      <w:r>
        <w:rPr>
          <w:szCs w:val="22"/>
        </w:rPr>
        <w:t>in the Syracuse Metro were grandfathered</w:t>
      </w:r>
      <w:r w:rsidR="00D94B0C">
        <w:rPr>
          <w:szCs w:val="22"/>
        </w:rPr>
        <w:t xml:space="preserve"> because they were allowed under a prior version of the rule</w:t>
      </w:r>
      <w:r>
        <w:rPr>
          <w:szCs w:val="22"/>
        </w:rPr>
        <w:t xml:space="preserve">, but Note 4 to Section 73.3555 states that </w:t>
      </w:r>
      <w:r w:rsidR="00D94B0C">
        <w:rPr>
          <w:szCs w:val="22"/>
        </w:rPr>
        <w:t xml:space="preserve">the </w:t>
      </w:r>
      <w:r w:rsidR="00C35288">
        <w:rPr>
          <w:szCs w:val="22"/>
        </w:rPr>
        <w:t>current</w:t>
      </w:r>
      <w:r w:rsidR="00D94B0C">
        <w:rPr>
          <w:szCs w:val="22"/>
        </w:rPr>
        <w:t xml:space="preserve"> </w:t>
      </w:r>
      <w:r w:rsidR="00BE6530">
        <w:rPr>
          <w:szCs w:val="22"/>
        </w:rPr>
        <w:t xml:space="preserve">version of the Local Radio </w:t>
      </w:r>
      <w:r w:rsidR="00BE6530">
        <w:rPr>
          <w:szCs w:val="22"/>
        </w:rPr>
        <w:lastRenderedPageBreak/>
        <w:t>Ownership Rule</w:t>
      </w:r>
      <w:r w:rsidR="00D94B0C">
        <w:rPr>
          <w:szCs w:val="22"/>
        </w:rPr>
        <w:t xml:space="preserve"> will apply when the licensee applies for a minor change to implement an approved change in a</w:t>
      </w:r>
      <w:r w:rsidR="00012E06">
        <w:rPr>
          <w:szCs w:val="22"/>
        </w:rPr>
        <w:t>n FM</w:t>
      </w:r>
      <w:r w:rsidR="00D94B0C">
        <w:rPr>
          <w:szCs w:val="22"/>
        </w:rPr>
        <w:t xml:space="preserve"> station’s community of license.</w:t>
      </w:r>
      <w:r w:rsidR="00B37E6A">
        <w:rPr>
          <w:rStyle w:val="FootnoteReference"/>
          <w:szCs w:val="22"/>
        </w:rPr>
        <w:footnoteReference w:id="6"/>
      </w:r>
      <w:r w:rsidR="00D94B0C">
        <w:rPr>
          <w:szCs w:val="22"/>
        </w:rPr>
        <w:t xml:space="preserve">  The </w:t>
      </w:r>
      <w:r w:rsidR="00D94B0C" w:rsidRPr="009F1598">
        <w:rPr>
          <w:i/>
          <w:szCs w:val="22"/>
        </w:rPr>
        <w:t>Decision</w:t>
      </w:r>
      <w:r w:rsidR="00D94B0C">
        <w:rPr>
          <w:szCs w:val="22"/>
        </w:rPr>
        <w:t xml:space="preserve"> dismissed such an application by Galaxy, finding that a waiver was not warranted and that Galaxy would have to </w:t>
      </w:r>
      <w:r w:rsidR="00BE6530">
        <w:rPr>
          <w:szCs w:val="22"/>
        </w:rPr>
        <w:t>comply with the Local Radio Ownership Rule</w:t>
      </w:r>
      <w:r w:rsidR="00D94B0C">
        <w:rPr>
          <w:szCs w:val="22"/>
        </w:rPr>
        <w:t xml:space="preserve"> in order to effectuate a change in the Station’s community of license</w:t>
      </w:r>
      <w:r w:rsidR="002A3146">
        <w:rPr>
          <w:szCs w:val="22"/>
        </w:rPr>
        <w:t xml:space="preserve"> within the </w:t>
      </w:r>
      <w:r w:rsidR="004E211D">
        <w:rPr>
          <w:szCs w:val="22"/>
        </w:rPr>
        <w:t>Syracuse</w:t>
      </w:r>
      <w:r w:rsidR="002A3146">
        <w:rPr>
          <w:szCs w:val="22"/>
        </w:rPr>
        <w:t xml:space="preserve"> Metro</w:t>
      </w:r>
      <w:r w:rsidR="00D94B0C">
        <w:rPr>
          <w:szCs w:val="22"/>
        </w:rPr>
        <w:t>.</w:t>
      </w:r>
      <w:r w:rsidR="009F1598">
        <w:rPr>
          <w:rStyle w:val="FootnoteReference"/>
          <w:szCs w:val="22"/>
        </w:rPr>
        <w:footnoteReference w:id="7"/>
      </w:r>
    </w:p>
    <w:p w:rsidR="00E66A17" w:rsidRPr="00BE6530" w:rsidRDefault="00D94B0C" w:rsidP="00E7597F">
      <w:pPr>
        <w:pStyle w:val="ParaNum"/>
        <w:rPr>
          <w:szCs w:val="22"/>
        </w:rPr>
      </w:pPr>
      <w:r w:rsidRPr="00BE6530">
        <w:rPr>
          <w:szCs w:val="22"/>
        </w:rPr>
        <w:t>Galaxy has now divested its interests in two FM stations</w:t>
      </w:r>
      <w:r w:rsidR="00B37E6A">
        <w:rPr>
          <w:szCs w:val="22"/>
        </w:rPr>
        <w:t xml:space="preserve"> in the Syracuse Metro</w:t>
      </w:r>
      <w:r w:rsidRPr="00BE6530">
        <w:rPr>
          <w:szCs w:val="22"/>
        </w:rPr>
        <w:t xml:space="preserve">, placing itself into compliance with </w:t>
      </w:r>
      <w:r w:rsidR="00BE6530" w:rsidRPr="00BE6530">
        <w:rPr>
          <w:szCs w:val="22"/>
        </w:rPr>
        <w:t>the Local Radio Ownership Rule</w:t>
      </w:r>
      <w:r w:rsidRPr="00BE6530">
        <w:rPr>
          <w:szCs w:val="22"/>
        </w:rPr>
        <w:t xml:space="preserve"> </w:t>
      </w:r>
      <w:r w:rsidR="00B37E6A">
        <w:rPr>
          <w:szCs w:val="22"/>
        </w:rPr>
        <w:t>there</w:t>
      </w:r>
      <w:r w:rsidRPr="00BE6530">
        <w:rPr>
          <w:szCs w:val="22"/>
        </w:rPr>
        <w:t>.</w:t>
      </w:r>
      <w:r w:rsidR="002A3146">
        <w:rPr>
          <w:rStyle w:val="FootnoteReference"/>
          <w:szCs w:val="22"/>
        </w:rPr>
        <w:footnoteReference w:id="8"/>
      </w:r>
      <w:r w:rsidRPr="00BE6530">
        <w:rPr>
          <w:szCs w:val="22"/>
        </w:rPr>
        <w:t xml:space="preserve">  </w:t>
      </w:r>
      <w:r w:rsidR="00BE6530">
        <w:rPr>
          <w:szCs w:val="22"/>
        </w:rPr>
        <w:t>Based on that change in cognizable ownership interests, t</w:t>
      </w:r>
      <w:r w:rsidRPr="00BE6530">
        <w:rPr>
          <w:szCs w:val="22"/>
        </w:rPr>
        <w:t>he Bureau has approved a change in community of license for the Station.</w:t>
      </w:r>
      <w:r w:rsidR="002A3146">
        <w:rPr>
          <w:rStyle w:val="FootnoteReference"/>
          <w:szCs w:val="22"/>
        </w:rPr>
        <w:footnoteReference w:id="9"/>
      </w:r>
      <w:r w:rsidR="00BD6C1C" w:rsidRPr="00BE6530">
        <w:rPr>
          <w:szCs w:val="22"/>
        </w:rPr>
        <w:t xml:space="preserve">  </w:t>
      </w:r>
      <w:r w:rsidR="00B37E6A">
        <w:rPr>
          <w:szCs w:val="22"/>
        </w:rPr>
        <w:t>Therefore,</w:t>
      </w:r>
      <w:r w:rsidR="00BD6C1C" w:rsidRPr="00BE6530">
        <w:rPr>
          <w:szCs w:val="22"/>
        </w:rPr>
        <w:t xml:space="preserve"> the AFR is moot and will be dismissed</w:t>
      </w:r>
      <w:r w:rsidR="00B22240">
        <w:rPr>
          <w:szCs w:val="22"/>
        </w:rPr>
        <w:t xml:space="preserve"> in accordance with Galaxy’s request</w:t>
      </w:r>
      <w:r w:rsidR="00BD6C1C" w:rsidRPr="00BE6530">
        <w:rPr>
          <w:szCs w:val="22"/>
        </w:rPr>
        <w:t>.</w:t>
      </w:r>
      <w:r w:rsidR="00E54BFF">
        <w:rPr>
          <w:rStyle w:val="FootnoteReference"/>
          <w:szCs w:val="22"/>
        </w:rPr>
        <w:footnoteReference w:id="10"/>
      </w:r>
    </w:p>
    <w:p w:rsidR="00B37E6A" w:rsidRDefault="00E66A17" w:rsidP="00E7597F">
      <w:pPr>
        <w:pStyle w:val="ParaNum"/>
        <w:rPr>
          <w:szCs w:val="22"/>
        </w:rPr>
      </w:pPr>
      <w:r w:rsidRPr="00EC5899">
        <w:rPr>
          <w:szCs w:val="22"/>
        </w:rPr>
        <w:t>ACCORDINGLY, IT IS ORDERED that, pursuant to Section 5(c)(</w:t>
      </w:r>
      <w:r w:rsidR="006C443E">
        <w:rPr>
          <w:szCs w:val="22"/>
        </w:rPr>
        <w:t>5</w:t>
      </w:r>
      <w:r w:rsidRPr="00EC5899">
        <w:rPr>
          <w:szCs w:val="22"/>
        </w:rPr>
        <w:t>) of the Communications Act of 1934, as amended,</w:t>
      </w:r>
      <w:r w:rsidRPr="00EC5899">
        <w:rPr>
          <w:rStyle w:val="FootnoteReference"/>
          <w:szCs w:val="22"/>
        </w:rPr>
        <w:footnoteReference w:id="11"/>
      </w:r>
      <w:r w:rsidRPr="00EC5899">
        <w:rPr>
          <w:szCs w:val="22"/>
        </w:rPr>
        <w:t xml:space="preserve"> and Section 1.115(</w:t>
      </w:r>
      <w:r w:rsidR="004937AB">
        <w:rPr>
          <w:szCs w:val="22"/>
        </w:rPr>
        <w:t>g</w:t>
      </w:r>
      <w:r w:rsidRPr="00EC5899">
        <w:rPr>
          <w:szCs w:val="22"/>
        </w:rPr>
        <w:t>) of the Commission’s Rules,</w:t>
      </w:r>
      <w:r w:rsidRPr="00EC5899">
        <w:rPr>
          <w:rStyle w:val="FootnoteReference"/>
          <w:szCs w:val="22"/>
        </w:rPr>
        <w:footnoteReference w:id="12"/>
      </w:r>
      <w:r w:rsidRPr="00EC5899">
        <w:rPr>
          <w:szCs w:val="22"/>
        </w:rPr>
        <w:t xml:space="preserve"> the Application for Review filed by </w:t>
      </w:r>
      <w:r w:rsidR="00BE6530">
        <w:rPr>
          <w:szCs w:val="22"/>
        </w:rPr>
        <w:t>Galaxy Syracuse Licensee LLC</w:t>
      </w:r>
      <w:r w:rsidRPr="00EC5899">
        <w:rPr>
          <w:szCs w:val="22"/>
        </w:rPr>
        <w:t xml:space="preserve"> IS DISMISSED.</w:t>
      </w:r>
    </w:p>
    <w:p w:rsidR="00E7597F" w:rsidRDefault="00B37E6A" w:rsidP="00E7597F">
      <w:pPr>
        <w:pStyle w:val="ParaNum"/>
        <w:rPr>
          <w:szCs w:val="22"/>
        </w:rPr>
      </w:pPr>
      <w:r>
        <w:rPr>
          <w:szCs w:val="22"/>
        </w:rPr>
        <w:t>IT IS FURTHER ORDERED that, pursuant to Section 5(c)(</w:t>
      </w:r>
      <w:r w:rsidR="00A02200">
        <w:rPr>
          <w:szCs w:val="22"/>
        </w:rPr>
        <w:t>5</w:t>
      </w:r>
      <w:r>
        <w:rPr>
          <w:szCs w:val="22"/>
        </w:rPr>
        <w:t>) of the Communications Act of 1934, as amended, and Section 1.115(</w:t>
      </w:r>
      <w:r w:rsidR="004937AB">
        <w:rPr>
          <w:szCs w:val="22"/>
        </w:rPr>
        <w:t>g</w:t>
      </w:r>
      <w:r>
        <w:rPr>
          <w:szCs w:val="22"/>
        </w:rPr>
        <w:t xml:space="preserve">) of the Commission’s Rules, the Application for Review filed by Clear Channel Broadcasting Licenses, Inc., Cumulus Licensing LLC, and Multicultural Radio Broadcasting Licensee, LLC </w:t>
      </w:r>
      <w:r w:rsidR="00A02200">
        <w:rPr>
          <w:szCs w:val="22"/>
        </w:rPr>
        <w:t xml:space="preserve">IS </w:t>
      </w:r>
      <w:r>
        <w:rPr>
          <w:szCs w:val="22"/>
        </w:rPr>
        <w:t>DISMISSED</w:t>
      </w:r>
      <w:r w:rsidR="00602996">
        <w:rPr>
          <w:szCs w:val="22"/>
        </w:rPr>
        <w:t xml:space="preserve"> and their</w:t>
      </w:r>
      <w:r w:rsidR="00602996" w:rsidRPr="00602996">
        <w:rPr>
          <w:szCs w:val="22"/>
        </w:rPr>
        <w:t xml:space="preserve"> </w:t>
      </w:r>
      <w:r w:rsidR="00602996">
        <w:rPr>
          <w:szCs w:val="22"/>
        </w:rPr>
        <w:t>Request for Stay</w:t>
      </w:r>
      <w:r w:rsidR="00B33ADB">
        <w:rPr>
          <w:szCs w:val="22"/>
        </w:rPr>
        <w:t xml:space="preserve"> IS DISMISSED</w:t>
      </w:r>
      <w:r w:rsidR="00602996">
        <w:rPr>
          <w:szCs w:val="22"/>
        </w:rPr>
        <w:t xml:space="preserve"> as moot</w:t>
      </w:r>
      <w:r>
        <w:rPr>
          <w:szCs w:val="22"/>
        </w:rPr>
        <w:t>.</w:t>
      </w:r>
      <w:r w:rsidR="00E66A17" w:rsidRPr="00B37E6A">
        <w:rPr>
          <w:szCs w:val="22"/>
        </w:rPr>
        <w:t xml:space="preserve"> </w:t>
      </w:r>
    </w:p>
    <w:p w:rsidR="004F0564" w:rsidRDefault="00E66A17" w:rsidP="0017296B">
      <w:r w:rsidRPr="00B37E6A">
        <w:t xml:space="preserve"> </w:t>
      </w:r>
      <w:r w:rsidRPr="006358C3">
        <w:tab/>
      </w:r>
      <w:r w:rsidRPr="006358C3">
        <w:tab/>
      </w:r>
      <w:r w:rsidRPr="006358C3">
        <w:tab/>
      </w:r>
      <w:r w:rsidRPr="006358C3">
        <w:tab/>
      </w:r>
      <w:r w:rsidRPr="006358C3">
        <w:tab/>
      </w:r>
      <w:r w:rsidRPr="006358C3">
        <w:tab/>
      </w:r>
      <w:r w:rsidR="004F0564">
        <w:tab/>
      </w:r>
      <w:r w:rsidR="004F0564">
        <w:tab/>
      </w:r>
      <w:r w:rsidR="004F0564">
        <w:tab/>
      </w:r>
      <w:r w:rsidR="004F0564">
        <w:tab/>
      </w:r>
      <w:r w:rsidR="004F0564">
        <w:tab/>
      </w:r>
    </w:p>
    <w:p w:rsidR="004F0564" w:rsidRDefault="004F0564" w:rsidP="004F0564">
      <w:pPr>
        <w:ind w:left="3600" w:firstLine="720"/>
      </w:pPr>
      <w:r>
        <w:t>FEDERAL COMMUNICATIONS COMMISSION</w:t>
      </w:r>
    </w:p>
    <w:p w:rsidR="004F0564" w:rsidRDefault="004F0564" w:rsidP="004F0564">
      <w:pPr>
        <w:ind w:left="3600" w:firstLine="720"/>
      </w:pPr>
    </w:p>
    <w:p w:rsidR="004F0564" w:rsidRDefault="004F0564" w:rsidP="0017296B"/>
    <w:p w:rsidR="004F0564" w:rsidRDefault="004F0564" w:rsidP="0017296B"/>
    <w:p w:rsidR="004F0564" w:rsidRDefault="004F0564" w:rsidP="0017296B"/>
    <w:p w:rsidR="004F0564" w:rsidRDefault="004F0564" w:rsidP="0017296B">
      <w:r>
        <w:tab/>
      </w:r>
      <w:r>
        <w:tab/>
      </w:r>
      <w:r>
        <w:tab/>
      </w:r>
      <w:r>
        <w:tab/>
      </w:r>
      <w:r>
        <w:tab/>
      </w:r>
      <w:r>
        <w:tab/>
        <w:t>Marlene H. Dortch</w:t>
      </w:r>
    </w:p>
    <w:p w:rsidR="004F0564" w:rsidRDefault="004F0564" w:rsidP="0017296B">
      <w:r>
        <w:tab/>
      </w:r>
      <w:r>
        <w:tab/>
      </w:r>
      <w:r>
        <w:tab/>
      </w:r>
      <w:r>
        <w:tab/>
      </w:r>
      <w:r>
        <w:tab/>
      </w:r>
      <w:r>
        <w:tab/>
        <w:t>Secretary</w:t>
      </w:r>
    </w:p>
    <w:p w:rsidR="00E66A17" w:rsidRDefault="00E66A17" w:rsidP="00E66A17"/>
    <w:p w:rsidR="004F0564" w:rsidRDefault="004F0564" w:rsidP="00E66A17"/>
    <w:p w:rsidR="004F0564" w:rsidRDefault="004F0564" w:rsidP="00E66A17"/>
    <w:p w:rsidR="004F0564" w:rsidRDefault="004F0564" w:rsidP="00E66A17"/>
    <w:p w:rsidR="004F0564" w:rsidRDefault="004F0564" w:rsidP="00E66A17"/>
    <w:p w:rsidR="004F0564" w:rsidRPr="006358C3" w:rsidRDefault="004F0564" w:rsidP="00E66A17"/>
    <w:p w:rsidR="002C00E8" w:rsidRPr="002C00E8" w:rsidRDefault="002C00E8" w:rsidP="00E66A17">
      <w:pPr>
        <w:pStyle w:val="Heading1"/>
        <w:numPr>
          <w:ilvl w:val="0"/>
          <w:numId w:val="0"/>
        </w:numPr>
        <w:ind w:left="720" w:hanging="720"/>
      </w:pPr>
    </w:p>
    <w:sectPr w:rsidR="002C00E8" w:rsidRPr="002C00E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CF" w:rsidRDefault="009243CF">
      <w:pPr>
        <w:spacing w:line="20" w:lineRule="exact"/>
      </w:pPr>
    </w:p>
  </w:endnote>
  <w:endnote w:type="continuationSeparator" w:id="0">
    <w:p w:rsidR="009243CF" w:rsidRDefault="009243CF">
      <w:r>
        <w:t xml:space="preserve"> </w:t>
      </w:r>
    </w:p>
  </w:endnote>
  <w:endnote w:type="continuationNotice" w:id="1">
    <w:p w:rsidR="009243CF" w:rsidRDefault="009243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9424A" w:rsidP="0055614C">
    <w:pPr>
      <w:pStyle w:val="Footer"/>
      <w:framePr w:wrap="around" w:vAnchor="text" w:hAnchor="margin" w:xAlign="center" w:y="1"/>
    </w:pPr>
    <w:r>
      <w:fldChar w:fldCharType="begin"/>
    </w:r>
    <w:r w:rsidR="00D25FB5">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9424A" w:rsidP="0055614C">
    <w:pPr>
      <w:pStyle w:val="Footer"/>
      <w:framePr w:wrap="around" w:vAnchor="text" w:hAnchor="margin" w:xAlign="center" w:y="1"/>
    </w:pPr>
    <w:r>
      <w:fldChar w:fldCharType="begin"/>
    </w:r>
    <w:r w:rsidR="00D25FB5">
      <w:instrText xml:space="preserve">PAGE  </w:instrText>
    </w:r>
    <w:r>
      <w:fldChar w:fldCharType="separate"/>
    </w:r>
    <w:r w:rsidR="005367F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CF" w:rsidRDefault="009243CF">
      <w:r>
        <w:separator/>
      </w:r>
    </w:p>
  </w:footnote>
  <w:footnote w:type="continuationSeparator" w:id="0">
    <w:p w:rsidR="009243CF" w:rsidRDefault="009243CF" w:rsidP="00C721AC">
      <w:pPr>
        <w:spacing w:before="120"/>
        <w:rPr>
          <w:sz w:val="20"/>
        </w:rPr>
      </w:pPr>
      <w:r>
        <w:rPr>
          <w:sz w:val="20"/>
        </w:rPr>
        <w:t xml:space="preserve">(Continued from previous page)  </w:t>
      </w:r>
      <w:r>
        <w:rPr>
          <w:sz w:val="20"/>
        </w:rPr>
        <w:separator/>
      </w:r>
    </w:p>
  </w:footnote>
  <w:footnote w:type="continuationNotice" w:id="1">
    <w:p w:rsidR="009243CF" w:rsidRDefault="009243CF" w:rsidP="00C721AC">
      <w:pPr>
        <w:jc w:val="right"/>
        <w:rPr>
          <w:sz w:val="20"/>
        </w:rPr>
      </w:pPr>
      <w:r>
        <w:rPr>
          <w:sz w:val="20"/>
        </w:rPr>
        <w:t>(continued….)</w:t>
      </w:r>
    </w:p>
  </w:footnote>
  <w:footnote w:id="2">
    <w:p w:rsidR="00CC1E9B" w:rsidRDefault="00CC1E9B">
      <w:pPr>
        <w:pStyle w:val="FootnoteText"/>
      </w:pPr>
      <w:r>
        <w:rPr>
          <w:rStyle w:val="FootnoteReference"/>
        </w:rPr>
        <w:footnoteRef/>
      </w:r>
      <w:r>
        <w:t xml:space="preserve"> </w:t>
      </w:r>
      <w:r w:rsidR="004972C1">
        <w:t xml:space="preserve">We also have before us an Application for Review and </w:t>
      </w:r>
      <w:r w:rsidR="00363937">
        <w:t xml:space="preserve">a </w:t>
      </w:r>
      <w:r w:rsidR="004972C1">
        <w:t>Request for Stay filed jointly by Clear Channel Broadcasting Licenses, Inc., Cumulus Licensing LLC, and Multicultural Radio Broadcasting Licensee, LLC (collectively, “Joint Filers”).  The Joint Filers have not shown that they have standing to seek review of the dismissal of Galaxy’</w:t>
      </w:r>
      <w:r w:rsidR="00363937">
        <w:t xml:space="preserve">s </w:t>
      </w:r>
      <w:r w:rsidR="00BE6530">
        <w:t>a</w:t>
      </w:r>
      <w:r w:rsidR="00363937">
        <w:t xml:space="preserve">pplication.  The Commission and the D.C. Circuit have held that the mere precedential effect of the agency’s rationale in an adjudication involving another party is not an injury sufficient to confer standing for third parties such as the Joint Filers.  </w:t>
      </w:r>
      <w:r w:rsidR="00363937" w:rsidRPr="00E83079">
        <w:rPr>
          <w:i/>
        </w:rPr>
        <w:t>See The Conference Group, LLC v. FCC</w:t>
      </w:r>
      <w:r w:rsidR="00363937">
        <w:t>, 720 F.3d 957</w:t>
      </w:r>
      <w:r w:rsidR="004C4F20">
        <w:t>, 963-65</w:t>
      </w:r>
      <w:r w:rsidR="00363937">
        <w:t xml:space="preserve"> (D.C. Cir. 2013), </w:t>
      </w:r>
      <w:r w:rsidR="00363937" w:rsidRPr="00E83079">
        <w:rPr>
          <w:i/>
        </w:rPr>
        <w:t>AT&amp;T Corp. v. Business Telecom, Inc.</w:t>
      </w:r>
      <w:r w:rsidR="00363937">
        <w:t xml:space="preserve">, </w:t>
      </w:r>
      <w:r w:rsidR="00E83079">
        <w:t>16 FCC Rcd 21750</w:t>
      </w:r>
      <w:r w:rsidR="004C4F20">
        <w:t>, 21752-53</w:t>
      </w:r>
      <w:r w:rsidR="00E83079">
        <w:t xml:space="preserve"> (2001), and cases cited therein.  </w:t>
      </w:r>
      <w:r w:rsidR="003A6609">
        <w:t>Moreover, e</w:t>
      </w:r>
      <w:r w:rsidR="00B22240">
        <w:t>ven if the Joint Filers could show an injury sufficient to support their claim of standing</w:t>
      </w:r>
      <w:r w:rsidR="009F1567">
        <w:t>, w</w:t>
      </w:r>
      <w:r w:rsidR="00E83079">
        <w:t xml:space="preserve">e </w:t>
      </w:r>
      <w:r w:rsidR="00B22240">
        <w:t xml:space="preserve">also </w:t>
      </w:r>
      <w:r w:rsidR="00E83079">
        <w:t xml:space="preserve">reject the Joint Filers’ attempt to </w:t>
      </w:r>
      <w:r w:rsidR="009F1567">
        <w:t>show good cause for not participating</w:t>
      </w:r>
      <w:r w:rsidR="00E83079">
        <w:t xml:space="preserve"> earlier in the proceeding.</w:t>
      </w:r>
      <w:r w:rsidR="009F1567">
        <w:t xml:space="preserve">  </w:t>
      </w:r>
      <w:r w:rsidR="009F1567" w:rsidRPr="009F1567">
        <w:rPr>
          <w:i/>
        </w:rPr>
        <w:t>See</w:t>
      </w:r>
      <w:r w:rsidR="009F1567">
        <w:t xml:space="preserve"> Application for Review at 3; </w:t>
      </w:r>
      <w:r w:rsidR="009F1567" w:rsidRPr="009F1567">
        <w:rPr>
          <w:i/>
        </w:rPr>
        <w:t>Shareholders of Stop 26 Riverbend, Inc.</w:t>
      </w:r>
      <w:r w:rsidR="009F1567">
        <w:t>, 27 FCC Rcd 6516, 6519-21 (2012), and cases cited therein (a person who has a right to participate in a Commission adjudication cannot delay exercising that right until after the agency has acted and then expect to be all</w:t>
      </w:r>
      <w:r w:rsidR="004C4F20">
        <w:t xml:space="preserve">owed to participate).  </w:t>
      </w:r>
      <w:r w:rsidR="00B22240">
        <w:t xml:space="preserve">The Joint Filers cite no precedent to support their claim of good cause, nor do they claim any procedural anomaly that might have prevented participation below.  </w:t>
      </w:r>
      <w:r w:rsidR="004C4F20">
        <w:t>Accordingly, we will dismiss the Joint Filers’ Application for Review pursuant to 47 U.S.C. § 155(c)(</w:t>
      </w:r>
      <w:r w:rsidR="001173E4">
        <w:t>5</w:t>
      </w:r>
      <w:r w:rsidR="004C4F20">
        <w:t>) and 47 C.F.R. § 1.115(</w:t>
      </w:r>
      <w:r w:rsidR="001173E4">
        <w:t>g</w:t>
      </w:r>
      <w:r w:rsidR="004C4F20">
        <w:t>)</w:t>
      </w:r>
      <w:r w:rsidR="009F1567">
        <w:t>.</w:t>
      </w:r>
      <w:r w:rsidR="00363937">
        <w:t xml:space="preserve">  </w:t>
      </w:r>
      <w:r>
        <w:t xml:space="preserve">In light of our action on the </w:t>
      </w:r>
      <w:r w:rsidR="00363937">
        <w:t>Joint Filers’ Application for Review</w:t>
      </w:r>
      <w:r>
        <w:t>, the</w:t>
      </w:r>
      <w:r w:rsidR="004C4F20">
        <w:t>ir</w:t>
      </w:r>
      <w:r>
        <w:t xml:space="preserve"> Request for Stay is moot and will be dismissed.</w:t>
      </w:r>
    </w:p>
  </w:footnote>
  <w:footnote w:id="3">
    <w:p w:rsidR="00E66A17" w:rsidRPr="00FD5A10" w:rsidRDefault="00E66A17" w:rsidP="00E66A17">
      <w:pPr>
        <w:pStyle w:val="FootnoteText"/>
      </w:pPr>
      <w:r w:rsidRPr="00FD5A10">
        <w:rPr>
          <w:rStyle w:val="FootnoteReference"/>
        </w:rPr>
        <w:footnoteRef/>
      </w:r>
      <w:r w:rsidRPr="00FD5A10">
        <w:t xml:space="preserve"> </w:t>
      </w:r>
      <w:r w:rsidR="00C35288">
        <w:t xml:space="preserve">47 C.F.R. § 73.3555(a)(1); </w:t>
      </w:r>
      <w:r w:rsidR="00C35288" w:rsidRPr="00C35288">
        <w:rPr>
          <w:i/>
        </w:rPr>
        <w:t xml:space="preserve">see </w:t>
      </w:r>
      <w:r w:rsidR="009D4D12" w:rsidRPr="00B37E6A">
        <w:rPr>
          <w:i/>
        </w:rPr>
        <w:t>Galaxy Communications, L.P.</w:t>
      </w:r>
      <w:r w:rsidR="009D4D12">
        <w:t>, Letter, 21 FCC Rcd 2994 (MB 2006) (“</w:t>
      </w:r>
      <w:r w:rsidR="009D4D12" w:rsidRPr="00B37E6A">
        <w:rPr>
          <w:i/>
        </w:rPr>
        <w:t>Decision</w:t>
      </w:r>
      <w:r w:rsidR="009D4D12">
        <w:t>”).</w:t>
      </w:r>
    </w:p>
  </w:footnote>
  <w:footnote w:id="4">
    <w:p w:rsidR="00012E06" w:rsidRDefault="00012E06">
      <w:pPr>
        <w:pStyle w:val="FootnoteText"/>
      </w:pPr>
      <w:r>
        <w:rPr>
          <w:rStyle w:val="FootnoteReference"/>
        </w:rPr>
        <w:footnoteRef/>
      </w:r>
      <w:r>
        <w:t xml:space="preserve"> </w:t>
      </w:r>
      <w:r w:rsidR="001173E4">
        <w:t xml:space="preserve">Email from Sally </w:t>
      </w:r>
      <w:r w:rsidR="00234627">
        <w:t>A. Buckman, counsel to Galaxy, to Alexander Sanjenis, Media Bureau, FCC (June 20, 2013).</w:t>
      </w:r>
    </w:p>
  </w:footnote>
  <w:footnote w:id="5">
    <w:p w:rsidR="00B37E6A" w:rsidRDefault="00B37E6A">
      <w:pPr>
        <w:pStyle w:val="FootnoteText"/>
      </w:pPr>
      <w:r>
        <w:rPr>
          <w:rStyle w:val="FootnoteReference"/>
        </w:rPr>
        <w:footnoteRef/>
      </w:r>
      <w:r>
        <w:t xml:space="preserve"> </w:t>
      </w:r>
      <w:r w:rsidR="00C35288" w:rsidRPr="00C35288">
        <w:rPr>
          <w:i/>
        </w:rPr>
        <w:t>Decision</w:t>
      </w:r>
      <w:r>
        <w:t>, 21 FCC Rcd at 2995.</w:t>
      </w:r>
    </w:p>
  </w:footnote>
  <w:footnote w:id="6">
    <w:p w:rsidR="00B37E6A" w:rsidRDefault="00B37E6A">
      <w:pPr>
        <w:pStyle w:val="FootnoteText"/>
      </w:pPr>
      <w:r>
        <w:rPr>
          <w:rStyle w:val="FootnoteReference"/>
        </w:rPr>
        <w:footnoteRef/>
      </w:r>
      <w:r>
        <w:t xml:space="preserve"> </w:t>
      </w:r>
      <w:r w:rsidR="009F1598" w:rsidRPr="009F1598">
        <w:rPr>
          <w:i/>
        </w:rPr>
        <w:t>Id.</w:t>
      </w:r>
      <w:r w:rsidR="00C35288">
        <w:rPr>
          <w:i/>
        </w:rPr>
        <w:t>; see</w:t>
      </w:r>
      <w:r w:rsidR="00C35288" w:rsidRPr="00C35288">
        <w:t xml:space="preserve"> 47 C.F.R. § 73.3555 Note 4.</w:t>
      </w:r>
    </w:p>
  </w:footnote>
  <w:footnote w:id="7">
    <w:p w:rsidR="009F1598" w:rsidRDefault="009F1598">
      <w:pPr>
        <w:pStyle w:val="FootnoteText"/>
      </w:pPr>
      <w:r>
        <w:rPr>
          <w:rStyle w:val="FootnoteReference"/>
        </w:rPr>
        <w:footnoteRef/>
      </w:r>
      <w:r>
        <w:t xml:space="preserve"> </w:t>
      </w:r>
      <w:r w:rsidR="00C35288" w:rsidRPr="00C35288">
        <w:rPr>
          <w:i/>
        </w:rPr>
        <w:t>Decision</w:t>
      </w:r>
      <w:r>
        <w:t>, 21 FCC Rcd at 2995-96.</w:t>
      </w:r>
    </w:p>
  </w:footnote>
  <w:footnote w:id="8">
    <w:p w:rsidR="002A3146" w:rsidRDefault="002A3146">
      <w:pPr>
        <w:pStyle w:val="FootnoteText"/>
      </w:pPr>
      <w:r>
        <w:rPr>
          <w:rStyle w:val="FootnoteReference"/>
        </w:rPr>
        <w:footnoteRef/>
      </w:r>
      <w:r>
        <w:t xml:space="preserve"> Galaxy assigned the licenses of WGKV(FM), Pulaski, NY (File No. BALH-20070306ABO) and WZUN(FM), Phoenix, NY (File No. BALH-20130625ABJ)</w:t>
      </w:r>
      <w:r w:rsidR="00C35288">
        <w:t xml:space="preserve"> to third parties</w:t>
      </w:r>
      <w:r>
        <w:t>.</w:t>
      </w:r>
    </w:p>
  </w:footnote>
  <w:footnote w:id="9">
    <w:p w:rsidR="002A3146" w:rsidRDefault="002A3146">
      <w:pPr>
        <w:pStyle w:val="FootnoteText"/>
      </w:pPr>
      <w:r>
        <w:rPr>
          <w:rStyle w:val="FootnoteReference"/>
        </w:rPr>
        <w:footnoteRef/>
      </w:r>
      <w:r>
        <w:t xml:space="preserve"> </w:t>
      </w:r>
      <w:r w:rsidRPr="002A3146">
        <w:rPr>
          <w:i/>
        </w:rPr>
        <w:t>See</w:t>
      </w:r>
      <w:r>
        <w:t xml:space="preserve"> File No. B</w:t>
      </w:r>
      <w:r w:rsidR="00C3584D">
        <w:t>P</w:t>
      </w:r>
      <w:r>
        <w:t>H-20130708ACD (modification application granted on Jan. 28, 2014).</w:t>
      </w:r>
    </w:p>
  </w:footnote>
  <w:footnote w:id="10">
    <w:p w:rsidR="00E54BFF" w:rsidRDefault="00E54BFF">
      <w:pPr>
        <w:pStyle w:val="FootnoteText"/>
      </w:pPr>
      <w:r>
        <w:rPr>
          <w:rStyle w:val="FootnoteReference"/>
        </w:rPr>
        <w:footnoteRef/>
      </w:r>
      <w:r>
        <w:t xml:space="preserve"> </w:t>
      </w:r>
      <w:r w:rsidRPr="00E54BFF">
        <w:rPr>
          <w:i/>
        </w:rPr>
        <w:t>See</w:t>
      </w:r>
      <w:r>
        <w:t xml:space="preserve"> n. 3 </w:t>
      </w:r>
      <w:r w:rsidRPr="00E54BFF">
        <w:rPr>
          <w:i/>
        </w:rPr>
        <w:t>supra</w:t>
      </w:r>
      <w:r>
        <w:t xml:space="preserve"> (email from counsel for Galaxy requested dismissal of AFR).</w:t>
      </w:r>
    </w:p>
  </w:footnote>
  <w:footnote w:id="11">
    <w:p w:rsidR="00E66A17" w:rsidRPr="00FD5A10" w:rsidRDefault="00E66A17" w:rsidP="00E66A17">
      <w:pPr>
        <w:pStyle w:val="FootnoteText"/>
      </w:pPr>
      <w:r w:rsidRPr="00FD5A10">
        <w:rPr>
          <w:rStyle w:val="FootnoteReference"/>
        </w:rPr>
        <w:footnoteRef/>
      </w:r>
      <w:r w:rsidRPr="00FD5A10">
        <w:t xml:space="preserve"> 47 U.S.C. § 155(c)(5).</w:t>
      </w:r>
    </w:p>
  </w:footnote>
  <w:footnote w:id="12">
    <w:p w:rsidR="00E66A17" w:rsidRPr="00FD5A10" w:rsidRDefault="00E66A17" w:rsidP="00E66A17">
      <w:pPr>
        <w:pStyle w:val="FootnoteText"/>
      </w:pPr>
      <w:r w:rsidRPr="00FD5A10">
        <w:rPr>
          <w:rStyle w:val="FootnoteReference"/>
        </w:rPr>
        <w:footnoteRef/>
      </w:r>
      <w:r w:rsidRPr="00FD5A10">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37" w:rsidRDefault="002A3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F0564">
      <w:t>FCC 14-47</w:t>
    </w:r>
  </w:p>
  <w:p w:rsidR="00D25FB5" w:rsidRDefault="0023462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ADE8787" wp14:editId="66020CE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34627"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7597F">
      <w:t>FCC 14-47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12E06"/>
    <w:rsid w:val="00036039"/>
    <w:rsid w:val="00037F90"/>
    <w:rsid w:val="0006509B"/>
    <w:rsid w:val="00085551"/>
    <w:rsid w:val="000875BF"/>
    <w:rsid w:val="00096D8C"/>
    <w:rsid w:val="000A3972"/>
    <w:rsid w:val="000C0B65"/>
    <w:rsid w:val="000E05FE"/>
    <w:rsid w:val="000E3D42"/>
    <w:rsid w:val="001173E4"/>
    <w:rsid w:val="00122925"/>
    <w:rsid w:val="00122BD5"/>
    <w:rsid w:val="00133F79"/>
    <w:rsid w:val="00194A66"/>
    <w:rsid w:val="001D6BCF"/>
    <w:rsid w:val="001E01CA"/>
    <w:rsid w:val="001F4889"/>
    <w:rsid w:val="00222634"/>
    <w:rsid w:val="00234627"/>
    <w:rsid w:val="00275CF5"/>
    <w:rsid w:val="0028301F"/>
    <w:rsid w:val="00285017"/>
    <w:rsid w:val="002A2D2E"/>
    <w:rsid w:val="002A3146"/>
    <w:rsid w:val="002A3237"/>
    <w:rsid w:val="002A59B2"/>
    <w:rsid w:val="002C00E8"/>
    <w:rsid w:val="00343749"/>
    <w:rsid w:val="00363937"/>
    <w:rsid w:val="003660ED"/>
    <w:rsid w:val="003A6609"/>
    <w:rsid w:val="003A67C8"/>
    <w:rsid w:val="003B0550"/>
    <w:rsid w:val="003B694F"/>
    <w:rsid w:val="003F171C"/>
    <w:rsid w:val="00401548"/>
    <w:rsid w:val="00412FC5"/>
    <w:rsid w:val="00422276"/>
    <w:rsid w:val="004242F1"/>
    <w:rsid w:val="00445A00"/>
    <w:rsid w:val="00451B0F"/>
    <w:rsid w:val="004937AB"/>
    <w:rsid w:val="004972C1"/>
    <w:rsid w:val="004C2EE3"/>
    <w:rsid w:val="004C4F20"/>
    <w:rsid w:val="004E211D"/>
    <w:rsid w:val="004E4A22"/>
    <w:rsid w:val="004F0564"/>
    <w:rsid w:val="00503362"/>
    <w:rsid w:val="00511968"/>
    <w:rsid w:val="005367F8"/>
    <w:rsid w:val="0055614C"/>
    <w:rsid w:val="005E14C2"/>
    <w:rsid w:val="005E4A6F"/>
    <w:rsid w:val="00602996"/>
    <w:rsid w:val="00607BA5"/>
    <w:rsid w:val="0061180A"/>
    <w:rsid w:val="00626EB6"/>
    <w:rsid w:val="00655D03"/>
    <w:rsid w:val="00683388"/>
    <w:rsid w:val="00683F84"/>
    <w:rsid w:val="006A6A81"/>
    <w:rsid w:val="006C443E"/>
    <w:rsid w:val="006C5A78"/>
    <w:rsid w:val="006F7393"/>
    <w:rsid w:val="0070224F"/>
    <w:rsid w:val="007115F7"/>
    <w:rsid w:val="00785689"/>
    <w:rsid w:val="0079754B"/>
    <w:rsid w:val="007A1E6D"/>
    <w:rsid w:val="007B0EB2"/>
    <w:rsid w:val="00810B6F"/>
    <w:rsid w:val="008141C7"/>
    <w:rsid w:val="00822CE0"/>
    <w:rsid w:val="00830F22"/>
    <w:rsid w:val="00841AB1"/>
    <w:rsid w:val="00885EE2"/>
    <w:rsid w:val="008C68F1"/>
    <w:rsid w:val="00921803"/>
    <w:rsid w:val="009243CF"/>
    <w:rsid w:val="00926503"/>
    <w:rsid w:val="009726D8"/>
    <w:rsid w:val="00974983"/>
    <w:rsid w:val="009D4D12"/>
    <w:rsid w:val="009F1567"/>
    <w:rsid w:val="009F1598"/>
    <w:rsid w:val="009F76DB"/>
    <w:rsid w:val="00A02200"/>
    <w:rsid w:val="00A32C3B"/>
    <w:rsid w:val="00A45F4F"/>
    <w:rsid w:val="00A600A9"/>
    <w:rsid w:val="00AA55B7"/>
    <w:rsid w:val="00AA5B9E"/>
    <w:rsid w:val="00AB2407"/>
    <w:rsid w:val="00AB53DF"/>
    <w:rsid w:val="00B07E5C"/>
    <w:rsid w:val="00B22240"/>
    <w:rsid w:val="00B33ADB"/>
    <w:rsid w:val="00B37E6A"/>
    <w:rsid w:val="00B811F7"/>
    <w:rsid w:val="00BA5DC6"/>
    <w:rsid w:val="00BA6196"/>
    <w:rsid w:val="00BC6D8C"/>
    <w:rsid w:val="00BD6C1C"/>
    <w:rsid w:val="00BE6530"/>
    <w:rsid w:val="00C34006"/>
    <w:rsid w:val="00C35288"/>
    <w:rsid w:val="00C3584D"/>
    <w:rsid w:val="00C426B1"/>
    <w:rsid w:val="00C6504E"/>
    <w:rsid w:val="00C66160"/>
    <w:rsid w:val="00C721AC"/>
    <w:rsid w:val="00C90D6A"/>
    <w:rsid w:val="00C96C91"/>
    <w:rsid w:val="00C97481"/>
    <w:rsid w:val="00CA247E"/>
    <w:rsid w:val="00CC1E9B"/>
    <w:rsid w:val="00CC72B6"/>
    <w:rsid w:val="00CD1884"/>
    <w:rsid w:val="00D0218D"/>
    <w:rsid w:val="00D25FB5"/>
    <w:rsid w:val="00D44223"/>
    <w:rsid w:val="00D7246A"/>
    <w:rsid w:val="00D94B0C"/>
    <w:rsid w:val="00D95C02"/>
    <w:rsid w:val="00DA2529"/>
    <w:rsid w:val="00DB130A"/>
    <w:rsid w:val="00DB2EBB"/>
    <w:rsid w:val="00DC10A1"/>
    <w:rsid w:val="00DC655F"/>
    <w:rsid w:val="00DD0B59"/>
    <w:rsid w:val="00DD7EBD"/>
    <w:rsid w:val="00DF62B6"/>
    <w:rsid w:val="00E07225"/>
    <w:rsid w:val="00E213B0"/>
    <w:rsid w:val="00E5409F"/>
    <w:rsid w:val="00E54BFF"/>
    <w:rsid w:val="00E57E8C"/>
    <w:rsid w:val="00E66A17"/>
    <w:rsid w:val="00E7521A"/>
    <w:rsid w:val="00E7597F"/>
    <w:rsid w:val="00E83079"/>
    <w:rsid w:val="00E9424A"/>
    <w:rsid w:val="00EB4404"/>
    <w:rsid w:val="00EB792D"/>
    <w:rsid w:val="00EC0D07"/>
    <w:rsid w:val="00EE6488"/>
    <w:rsid w:val="00EF1FC0"/>
    <w:rsid w:val="00F021FA"/>
    <w:rsid w:val="00F12A24"/>
    <w:rsid w:val="00F62E97"/>
    <w:rsid w:val="00F64209"/>
    <w:rsid w:val="00F84455"/>
    <w:rsid w:val="00F93BF5"/>
    <w:rsid w:val="00F9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7F8"/>
    <w:pPr>
      <w:widowControl w:val="0"/>
    </w:pPr>
    <w:rPr>
      <w:snapToGrid w:val="0"/>
      <w:kern w:val="28"/>
      <w:sz w:val="22"/>
    </w:rPr>
  </w:style>
  <w:style w:type="paragraph" w:styleId="Heading1">
    <w:name w:val="heading 1"/>
    <w:basedOn w:val="Normal"/>
    <w:next w:val="ParaNum"/>
    <w:qFormat/>
    <w:rsid w:val="005367F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367F8"/>
    <w:pPr>
      <w:keepNext/>
      <w:numPr>
        <w:ilvl w:val="1"/>
        <w:numId w:val="3"/>
      </w:numPr>
      <w:spacing w:after="120"/>
      <w:outlineLvl w:val="1"/>
    </w:pPr>
    <w:rPr>
      <w:b/>
    </w:rPr>
  </w:style>
  <w:style w:type="paragraph" w:styleId="Heading3">
    <w:name w:val="heading 3"/>
    <w:basedOn w:val="Normal"/>
    <w:next w:val="ParaNum"/>
    <w:qFormat/>
    <w:rsid w:val="005367F8"/>
    <w:pPr>
      <w:keepNext/>
      <w:numPr>
        <w:ilvl w:val="2"/>
        <w:numId w:val="3"/>
      </w:numPr>
      <w:tabs>
        <w:tab w:val="left" w:pos="2160"/>
      </w:tabs>
      <w:spacing w:after="120"/>
      <w:outlineLvl w:val="2"/>
    </w:pPr>
    <w:rPr>
      <w:b/>
    </w:rPr>
  </w:style>
  <w:style w:type="paragraph" w:styleId="Heading4">
    <w:name w:val="heading 4"/>
    <w:basedOn w:val="Normal"/>
    <w:next w:val="ParaNum"/>
    <w:qFormat/>
    <w:rsid w:val="005367F8"/>
    <w:pPr>
      <w:keepNext/>
      <w:numPr>
        <w:ilvl w:val="3"/>
        <w:numId w:val="3"/>
      </w:numPr>
      <w:tabs>
        <w:tab w:val="left" w:pos="2880"/>
      </w:tabs>
      <w:spacing w:after="120"/>
      <w:outlineLvl w:val="3"/>
    </w:pPr>
    <w:rPr>
      <w:b/>
    </w:rPr>
  </w:style>
  <w:style w:type="paragraph" w:styleId="Heading5">
    <w:name w:val="heading 5"/>
    <w:basedOn w:val="Normal"/>
    <w:next w:val="ParaNum"/>
    <w:qFormat/>
    <w:rsid w:val="005367F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367F8"/>
    <w:pPr>
      <w:numPr>
        <w:ilvl w:val="5"/>
        <w:numId w:val="3"/>
      </w:numPr>
      <w:tabs>
        <w:tab w:val="left" w:pos="4320"/>
      </w:tabs>
      <w:spacing w:after="120"/>
      <w:outlineLvl w:val="5"/>
    </w:pPr>
    <w:rPr>
      <w:b/>
    </w:rPr>
  </w:style>
  <w:style w:type="paragraph" w:styleId="Heading7">
    <w:name w:val="heading 7"/>
    <w:basedOn w:val="Normal"/>
    <w:next w:val="ParaNum"/>
    <w:qFormat/>
    <w:rsid w:val="005367F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367F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367F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367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67F8"/>
  </w:style>
  <w:style w:type="paragraph" w:customStyle="1" w:styleId="ParaNum">
    <w:name w:val="ParaNum"/>
    <w:basedOn w:val="Normal"/>
    <w:link w:val="ParaNumChar"/>
    <w:rsid w:val="005367F8"/>
    <w:pPr>
      <w:numPr>
        <w:numId w:val="2"/>
      </w:numPr>
      <w:tabs>
        <w:tab w:val="clear" w:pos="1080"/>
        <w:tab w:val="num" w:pos="1440"/>
      </w:tabs>
      <w:spacing w:after="120"/>
    </w:pPr>
  </w:style>
  <w:style w:type="paragraph" w:styleId="EndnoteText">
    <w:name w:val="endnote text"/>
    <w:basedOn w:val="Normal"/>
    <w:semiHidden/>
    <w:rsid w:val="005367F8"/>
    <w:rPr>
      <w:sz w:val="20"/>
    </w:rPr>
  </w:style>
  <w:style w:type="character" w:styleId="EndnoteReference">
    <w:name w:val="endnote reference"/>
    <w:semiHidden/>
    <w:rsid w:val="005367F8"/>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5367F8"/>
    <w:pPr>
      <w:spacing w:after="120"/>
    </w:pPr>
  </w:style>
  <w:style w:type="character" w:styleId="FootnoteReference">
    <w:name w:val="footnote reference"/>
    <w:aliases w:val="Style 12,(NECG) Footnote Reference,Appel note de bas de p,Style 124,o,fr,Style 3,Style 13"/>
    <w:rsid w:val="005367F8"/>
    <w:rPr>
      <w:rFonts w:ascii="Times New Roman" w:hAnsi="Times New Roman"/>
      <w:dstrike w:val="0"/>
      <w:color w:val="auto"/>
      <w:sz w:val="20"/>
      <w:vertAlign w:val="superscript"/>
    </w:rPr>
  </w:style>
  <w:style w:type="paragraph" w:styleId="TOC1">
    <w:name w:val="toc 1"/>
    <w:basedOn w:val="Normal"/>
    <w:next w:val="Normal"/>
    <w:semiHidden/>
    <w:rsid w:val="005367F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367F8"/>
    <w:pPr>
      <w:tabs>
        <w:tab w:val="left" w:pos="720"/>
        <w:tab w:val="right" w:leader="dot" w:pos="9360"/>
      </w:tabs>
      <w:suppressAutoHyphens/>
      <w:ind w:left="720" w:right="720" w:hanging="360"/>
    </w:pPr>
    <w:rPr>
      <w:noProof/>
    </w:rPr>
  </w:style>
  <w:style w:type="paragraph" w:styleId="TOC3">
    <w:name w:val="toc 3"/>
    <w:basedOn w:val="Normal"/>
    <w:next w:val="Normal"/>
    <w:semiHidden/>
    <w:rsid w:val="005367F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367F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367F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367F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367F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367F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367F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367F8"/>
    <w:pPr>
      <w:tabs>
        <w:tab w:val="right" w:pos="9360"/>
      </w:tabs>
      <w:suppressAutoHyphens/>
    </w:pPr>
  </w:style>
  <w:style w:type="character" w:customStyle="1" w:styleId="EquationCaption">
    <w:name w:val="_Equation Caption"/>
    <w:rsid w:val="005367F8"/>
  </w:style>
  <w:style w:type="paragraph" w:styleId="Header">
    <w:name w:val="header"/>
    <w:basedOn w:val="Normal"/>
    <w:autoRedefine/>
    <w:rsid w:val="005367F8"/>
    <w:pPr>
      <w:tabs>
        <w:tab w:val="center" w:pos="4680"/>
        <w:tab w:val="right" w:pos="9360"/>
      </w:tabs>
    </w:pPr>
    <w:rPr>
      <w:b/>
    </w:rPr>
  </w:style>
  <w:style w:type="paragraph" w:styleId="Footer">
    <w:name w:val="footer"/>
    <w:basedOn w:val="Normal"/>
    <w:rsid w:val="005367F8"/>
    <w:pPr>
      <w:tabs>
        <w:tab w:val="center" w:pos="4320"/>
        <w:tab w:val="right" w:pos="8640"/>
      </w:tabs>
    </w:pPr>
  </w:style>
  <w:style w:type="character" w:styleId="PageNumber">
    <w:name w:val="page number"/>
    <w:basedOn w:val="DefaultParagraphFont"/>
    <w:rsid w:val="005367F8"/>
  </w:style>
  <w:style w:type="paragraph" w:styleId="BlockText">
    <w:name w:val="Block Text"/>
    <w:basedOn w:val="Normal"/>
    <w:rsid w:val="005367F8"/>
    <w:pPr>
      <w:spacing w:after="240"/>
      <w:ind w:left="1440" w:right="1440"/>
    </w:pPr>
  </w:style>
  <w:style w:type="paragraph" w:customStyle="1" w:styleId="Paratitle">
    <w:name w:val="Para title"/>
    <w:basedOn w:val="Normal"/>
    <w:rsid w:val="005367F8"/>
    <w:pPr>
      <w:tabs>
        <w:tab w:val="center" w:pos="9270"/>
      </w:tabs>
      <w:spacing w:after="240"/>
    </w:pPr>
    <w:rPr>
      <w:spacing w:val="-2"/>
    </w:rPr>
  </w:style>
  <w:style w:type="paragraph" w:customStyle="1" w:styleId="Bullet">
    <w:name w:val="Bullet"/>
    <w:basedOn w:val="Normal"/>
    <w:rsid w:val="005367F8"/>
    <w:pPr>
      <w:tabs>
        <w:tab w:val="left" w:pos="2160"/>
      </w:tabs>
      <w:spacing w:after="220"/>
      <w:ind w:left="2160" w:hanging="720"/>
    </w:pPr>
  </w:style>
  <w:style w:type="paragraph" w:customStyle="1" w:styleId="TableFormat">
    <w:name w:val="TableFormat"/>
    <w:basedOn w:val="Bullet"/>
    <w:rsid w:val="005367F8"/>
    <w:pPr>
      <w:tabs>
        <w:tab w:val="clear" w:pos="2160"/>
        <w:tab w:val="left" w:pos="5040"/>
      </w:tabs>
      <w:ind w:left="5040" w:hanging="3600"/>
    </w:pPr>
  </w:style>
  <w:style w:type="paragraph" w:customStyle="1" w:styleId="TOCTitle">
    <w:name w:val="TOC Title"/>
    <w:basedOn w:val="Normal"/>
    <w:rsid w:val="005367F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367F8"/>
    <w:pPr>
      <w:jc w:val="center"/>
    </w:pPr>
    <w:rPr>
      <w:rFonts w:ascii="Times New Roman Bold" w:hAnsi="Times New Roman Bold"/>
      <w:b/>
      <w:bCs/>
      <w:caps/>
      <w:szCs w:val="22"/>
    </w:rPr>
  </w:style>
  <w:style w:type="character" w:styleId="Hyperlink">
    <w:name w:val="Hyperlink"/>
    <w:rsid w:val="005367F8"/>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7F8"/>
    <w:pPr>
      <w:widowControl w:val="0"/>
    </w:pPr>
    <w:rPr>
      <w:snapToGrid w:val="0"/>
      <w:kern w:val="28"/>
      <w:sz w:val="22"/>
    </w:rPr>
  </w:style>
  <w:style w:type="paragraph" w:styleId="Heading1">
    <w:name w:val="heading 1"/>
    <w:basedOn w:val="Normal"/>
    <w:next w:val="ParaNum"/>
    <w:qFormat/>
    <w:rsid w:val="005367F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367F8"/>
    <w:pPr>
      <w:keepNext/>
      <w:numPr>
        <w:ilvl w:val="1"/>
        <w:numId w:val="3"/>
      </w:numPr>
      <w:spacing w:after="120"/>
      <w:outlineLvl w:val="1"/>
    </w:pPr>
    <w:rPr>
      <w:b/>
    </w:rPr>
  </w:style>
  <w:style w:type="paragraph" w:styleId="Heading3">
    <w:name w:val="heading 3"/>
    <w:basedOn w:val="Normal"/>
    <w:next w:val="ParaNum"/>
    <w:qFormat/>
    <w:rsid w:val="005367F8"/>
    <w:pPr>
      <w:keepNext/>
      <w:numPr>
        <w:ilvl w:val="2"/>
        <w:numId w:val="3"/>
      </w:numPr>
      <w:tabs>
        <w:tab w:val="left" w:pos="2160"/>
      </w:tabs>
      <w:spacing w:after="120"/>
      <w:outlineLvl w:val="2"/>
    </w:pPr>
    <w:rPr>
      <w:b/>
    </w:rPr>
  </w:style>
  <w:style w:type="paragraph" w:styleId="Heading4">
    <w:name w:val="heading 4"/>
    <w:basedOn w:val="Normal"/>
    <w:next w:val="ParaNum"/>
    <w:qFormat/>
    <w:rsid w:val="005367F8"/>
    <w:pPr>
      <w:keepNext/>
      <w:numPr>
        <w:ilvl w:val="3"/>
        <w:numId w:val="3"/>
      </w:numPr>
      <w:tabs>
        <w:tab w:val="left" w:pos="2880"/>
      </w:tabs>
      <w:spacing w:after="120"/>
      <w:outlineLvl w:val="3"/>
    </w:pPr>
    <w:rPr>
      <w:b/>
    </w:rPr>
  </w:style>
  <w:style w:type="paragraph" w:styleId="Heading5">
    <w:name w:val="heading 5"/>
    <w:basedOn w:val="Normal"/>
    <w:next w:val="ParaNum"/>
    <w:qFormat/>
    <w:rsid w:val="005367F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367F8"/>
    <w:pPr>
      <w:numPr>
        <w:ilvl w:val="5"/>
        <w:numId w:val="3"/>
      </w:numPr>
      <w:tabs>
        <w:tab w:val="left" w:pos="4320"/>
      </w:tabs>
      <w:spacing w:after="120"/>
      <w:outlineLvl w:val="5"/>
    </w:pPr>
    <w:rPr>
      <w:b/>
    </w:rPr>
  </w:style>
  <w:style w:type="paragraph" w:styleId="Heading7">
    <w:name w:val="heading 7"/>
    <w:basedOn w:val="Normal"/>
    <w:next w:val="ParaNum"/>
    <w:qFormat/>
    <w:rsid w:val="005367F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367F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367F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367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67F8"/>
  </w:style>
  <w:style w:type="paragraph" w:customStyle="1" w:styleId="ParaNum">
    <w:name w:val="ParaNum"/>
    <w:basedOn w:val="Normal"/>
    <w:link w:val="ParaNumChar"/>
    <w:rsid w:val="005367F8"/>
    <w:pPr>
      <w:numPr>
        <w:numId w:val="2"/>
      </w:numPr>
      <w:tabs>
        <w:tab w:val="clear" w:pos="1080"/>
        <w:tab w:val="num" w:pos="1440"/>
      </w:tabs>
      <w:spacing w:after="120"/>
    </w:pPr>
  </w:style>
  <w:style w:type="paragraph" w:styleId="EndnoteText">
    <w:name w:val="endnote text"/>
    <w:basedOn w:val="Normal"/>
    <w:semiHidden/>
    <w:rsid w:val="005367F8"/>
    <w:rPr>
      <w:sz w:val="20"/>
    </w:rPr>
  </w:style>
  <w:style w:type="character" w:styleId="EndnoteReference">
    <w:name w:val="endnote reference"/>
    <w:semiHidden/>
    <w:rsid w:val="005367F8"/>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5367F8"/>
    <w:pPr>
      <w:spacing w:after="120"/>
    </w:pPr>
  </w:style>
  <w:style w:type="character" w:styleId="FootnoteReference">
    <w:name w:val="footnote reference"/>
    <w:aliases w:val="Style 12,(NECG) Footnote Reference,Appel note de bas de p,Style 124,o,fr,Style 3,Style 13"/>
    <w:rsid w:val="005367F8"/>
    <w:rPr>
      <w:rFonts w:ascii="Times New Roman" w:hAnsi="Times New Roman"/>
      <w:dstrike w:val="0"/>
      <w:color w:val="auto"/>
      <w:sz w:val="20"/>
      <w:vertAlign w:val="superscript"/>
    </w:rPr>
  </w:style>
  <w:style w:type="paragraph" w:styleId="TOC1">
    <w:name w:val="toc 1"/>
    <w:basedOn w:val="Normal"/>
    <w:next w:val="Normal"/>
    <w:semiHidden/>
    <w:rsid w:val="005367F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367F8"/>
    <w:pPr>
      <w:tabs>
        <w:tab w:val="left" w:pos="720"/>
        <w:tab w:val="right" w:leader="dot" w:pos="9360"/>
      </w:tabs>
      <w:suppressAutoHyphens/>
      <w:ind w:left="720" w:right="720" w:hanging="360"/>
    </w:pPr>
    <w:rPr>
      <w:noProof/>
    </w:rPr>
  </w:style>
  <w:style w:type="paragraph" w:styleId="TOC3">
    <w:name w:val="toc 3"/>
    <w:basedOn w:val="Normal"/>
    <w:next w:val="Normal"/>
    <w:semiHidden/>
    <w:rsid w:val="005367F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367F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367F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367F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367F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367F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367F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367F8"/>
    <w:pPr>
      <w:tabs>
        <w:tab w:val="right" w:pos="9360"/>
      </w:tabs>
      <w:suppressAutoHyphens/>
    </w:pPr>
  </w:style>
  <w:style w:type="character" w:customStyle="1" w:styleId="EquationCaption">
    <w:name w:val="_Equation Caption"/>
    <w:rsid w:val="005367F8"/>
  </w:style>
  <w:style w:type="paragraph" w:styleId="Header">
    <w:name w:val="header"/>
    <w:basedOn w:val="Normal"/>
    <w:autoRedefine/>
    <w:rsid w:val="005367F8"/>
    <w:pPr>
      <w:tabs>
        <w:tab w:val="center" w:pos="4680"/>
        <w:tab w:val="right" w:pos="9360"/>
      </w:tabs>
    </w:pPr>
    <w:rPr>
      <w:b/>
    </w:rPr>
  </w:style>
  <w:style w:type="paragraph" w:styleId="Footer">
    <w:name w:val="footer"/>
    <w:basedOn w:val="Normal"/>
    <w:rsid w:val="005367F8"/>
    <w:pPr>
      <w:tabs>
        <w:tab w:val="center" w:pos="4320"/>
        <w:tab w:val="right" w:pos="8640"/>
      </w:tabs>
    </w:pPr>
  </w:style>
  <w:style w:type="character" w:styleId="PageNumber">
    <w:name w:val="page number"/>
    <w:basedOn w:val="DefaultParagraphFont"/>
    <w:rsid w:val="005367F8"/>
  </w:style>
  <w:style w:type="paragraph" w:styleId="BlockText">
    <w:name w:val="Block Text"/>
    <w:basedOn w:val="Normal"/>
    <w:rsid w:val="005367F8"/>
    <w:pPr>
      <w:spacing w:after="240"/>
      <w:ind w:left="1440" w:right="1440"/>
    </w:pPr>
  </w:style>
  <w:style w:type="paragraph" w:customStyle="1" w:styleId="Paratitle">
    <w:name w:val="Para title"/>
    <w:basedOn w:val="Normal"/>
    <w:rsid w:val="005367F8"/>
    <w:pPr>
      <w:tabs>
        <w:tab w:val="center" w:pos="9270"/>
      </w:tabs>
      <w:spacing w:after="240"/>
    </w:pPr>
    <w:rPr>
      <w:spacing w:val="-2"/>
    </w:rPr>
  </w:style>
  <w:style w:type="paragraph" w:customStyle="1" w:styleId="Bullet">
    <w:name w:val="Bullet"/>
    <w:basedOn w:val="Normal"/>
    <w:rsid w:val="005367F8"/>
    <w:pPr>
      <w:tabs>
        <w:tab w:val="left" w:pos="2160"/>
      </w:tabs>
      <w:spacing w:after="220"/>
      <w:ind w:left="2160" w:hanging="720"/>
    </w:pPr>
  </w:style>
  <w:style w:type="paragraph" w:customStyle="1" w:styleId="TableFormat">
    <w:name w:val="TableFormat"/>
    <w:basedOn w:val="Bullet"/>
    <w:rsid w:val="005367F8"/>
    <w:pPr>
      <w:tabs>
        <w:tab w:val="clear" w:pos="2160"/>
        <w:tab w:val="left" w:pos="5040"/>
      </w:tabs>
      <w:ind w:left="5040" w:hanging="3600"/>
    </w:pPr>
  </w:style>
  <w:style w:type="paragraph" w:customStyle="1" w:styleId="TOCTitle">
    <w:name w:val="TOC Title"/>
    <w:basedOn w:val="Normal"/>
    <w:rsid w:val="005367F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367F8"/>
    <w:pPr>
      <w:jc w:val="center"/>
    </w:pPr>
    <w:rPr>
      <w:rFonts w:ascii="Times New Roman Bold" w:hAnsi="Times New Roman Bold"/>
      <w:b/>
      <w:bCs/>
      <w:caps/>
      <w:szCs w:val="22"/>
    </w:rPr>
  </w:style>
  <w:style w:type="character" w:styleId="Hyperlink">
    <w:name w:val="Hyperlink"/>
    <w:rsid w:val="005367F8"/>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471</Words>
  <Characters>2467</Characters>
  <Application>Microsoft Office Word</Application>
  <DocSecurity>0</DocSecurity>
  <Lines>78</Lines>
  <Paragraphs>26</Paragraphs>
  <ScaleCrop>false</ScaleCrop>
  <HeadingPairs>
    <vt:vector size="2" baseType="variant">
      <vt:variant>
        <vt:lpstr>Title</vt:lpstr>
      </vt:variant>
      <vt:variant>
        <vt:i4>1</vt:i4>
      </vt:variant>
    </vt:vector>
  </HeadingPairs>
  <TitlesOfParts>
    <vt:vector size="1" baseType="lpstr">
      <vt:lpstr>Galaxy AFR</vt:lpstr>
    </vt:vector>
  </TitlesOfParts>
  <Manager/>
  <Company/>
  <LinksUpToDate>false</LinksUpToDate>
  <CharactersWithSpaces>3007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2014-04-02T13:17:00Z</cp:lastPrinted>
  <dcterms:created xsi:type="dcterms:W3CDTF">2014-04-21T17:15:00Z</dcterms:created>
  <dcterms:modified xsi:type="dcterms:W3CDTF">2014-04-21T17:15:00Z</dcterms:modified>
  <cp:category> </cp:category>
  <cp:contentStatus> </cp:contentStatus>
</cp:coreProperties>
</file>