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>
        <w:tc>
          <w:tcPr>
            <w:tcW w:w="469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C52AC" w:rsidRPr="007C52AC" w:rsidRDefault="00CE2DD8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Able Radio Corporation</w:t>
            </w:r>
          </w:p>
          <w:p w:rsidR="007C52AC" w:rsidRPr="007C52AC" w:rsidRDefault="007C52AC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C52AC" w:rsidRDefault="007C52AC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7C52AC">
              <w:rPr>
                <w:spacing w:val="-2"/>
              </w:rPr>
              <w:t xml:space="preserve">Application for </w:t>
            </w:r>
            <w:r w:rsidR="00CE2DD8">
              <w:rPr>
                <w:spacing w:val="-2"/>
              </w:rPr>
              <w:t>a Construction Permit</w:t>
            </w:r>
            <w:r w:rsidRPr="007C52AC">
              <w:rPr>
                <w:spacing w:val="-2"/>
              </w:rPr>
              <w:t xml:space="preserve"> </w:t>
            </w:r>
          </w:p>
          <w:p w:rsidR="00CE2DD8" w:rsidRDefault="00CE2DD8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For </w:t>
            </w:r>
            <w:r w:rsidR="00545909">
              <w:rPr>
                <w:spacing w:val="-2"/>
              </w:rPr>
              <w:t>a New FM Broadcast Station at</w:t>
            </w:r>
            <w:r w:rsidR="004750B9">
              <w:rPr>
                <w:spacing w:val="-2"/>
              </w:rPr>
              <w:t xml:space="preserve"> Aguila, Arizona</w:t>
            </w:r>
          </w:p>
          <w:p w:rsidR="00C84110" w:rsidRPr="007115F7" w:rsidRDefault="00C84110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C52AC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C52AC" w:rsidRPr="00545909" w:rsidRDefault="0054590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545909"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545909" w:rsidRDefault="00545909" w:rsidP="00545909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246DD2" w:rsidRDefault="00246DD2" w:rsidP="00545909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545909" w:rsidRPr="007C52AC" w:rsidRDefault="00545909" w:rsidP="00545909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7C52AC">
              <w:rPr>
                <w:spacing w:val="-2"/>
              </w:rPr>
              <w:t>File No. B</w:t>
            </w:r>
            <w:r>
              <w:rPr>
                <w:spacing w:val="-2"/>
              </w:rPr>
              <w:t>NPH-20070403ACO</w:t>
            </w:r>
          </w:p>
          <w:p w:rsidR="004C2EE3" w:rsidRDefault="00545909" w:rsidP="00545909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Facility ID No. 170953</w:t>
            </w:r>
          </w:p>
          <w:p w:rsidR="007C52AC" w:rsidRDefault="007C52AC" w:rsidP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  <w:tr w:rsidR="007C52AC">
        <w:tc>
          <w:tcPr>
            <w:tcW w:w="4698" w:type="dxa"/>
          </w:tcPr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:rsidR="007C52AC" w:rsidRDefault="007C52A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4248" w:type="dxa"/>
          </w:tcPr>
          <w:p w:rsidR="007C52AC" w:rsidRDefault="007C52AC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841AB1" w:rsidRDefault="007C52AC" w:rsidP="00F021FA">
      <w:pPr>
        <w:pStyle w:val="StyleBoldCentered"/>
      </w:pPr>
      <w:r>
        <w:t>Memorandum Opinion and order</w:t>
      </w:r>
    </w:p>
    <w:p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RDefault="004C2EE3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C66AA7">
        <w:rPr>
          <w:b/>
          <w:spacing w:val="-2"/>
        </w:rPr>
        <w:t>April 23, 2014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C66AA7">
        <w:rPr>
          <w:b/>
          <w:spacing w:val="-2"/>
        </w:rPr>
        <w:t>April 23, 2014</w:t>
      </w:r>
    </w:p>
    <w:p w:rsidR="00822CE0" w:rsidRDefault="00822CE0"/>
    <w:p w:rsidR="00E7792D" w:rsidRDefault="004C2EE3" w:rsidP="00E7792D">
      <w:pPr>
        <w:spacing w:after="120"/>
        <w:rPr>
          <w:spacing w:val="-2"/>
        </w:rPr>
      </w:pPr>
      <w:r>
        <w:t xml:space="preserve">By </w:t>
      </w:r>
      <w:r w:rsidR="004E4A22">
        <w:t>th</w:t>
      </w:r>
      <w:r w:rsidR="007C52AC">
        <w:t>e Commission</w:t>
      </w:r>
      <w:r>
        <w:rPr>
          <w:spacing w:val="-2"/>
        </w:rPr>
        <w:t>:</w:t>
      </w:r>
    </w:p>
    <w:p w:rsidR="002712C8" w:rsidRDefault="003E3366" w:rsidP="00E7792D">
      <w:pPr>
        <w:spacing w:after="120"/>
        <w:ind w:firstLine="720"/>
        <w:rPr>
          <w:snapToGrid/>
          <w:szCs w:val="22"/>
        </w:rPr>
      </w:pPr>
      <w:r w:rsidRPr="00E7792D">
        <w:rPr>
          <w:snapToGrid/>
          <w:kern w:val="0"/>
          <w:szCs w:val="22"/>
        </w:rPr>
        <w:t>1.</w:t>
      </w:r>
      <w:r w:rsidRPr="00E7792D">
        <w:rPr>
          <w:snapToGrid/>
          <w:kern w:val="0"/>
          <w:szCs w:val="22"/>
        </w:rPr>
        <w:tab/>
      </w:r>
      <w:r w:rsidR="00BB78FC" w:rsidRPr="00E7792D">
        <w:rPr>
          <w:snapToGrid/>
          <w:kern w:val="0"/>
          <w:szCs w:val="22"/>
        </w:rPr>
        <w:t xml:space="preserve">In this Memorandum Opinion and Order, we deny the </w:t>
      </w:r>
      <w:r w:rsidR="007C52AC" w:rsidRPr="00E7792D">
        <w:rPr>
          <w:snapToGrid/>
          <w:szCs w:val="22"/>
        </w:rPr>
        <w:t xml:space="preserve">Application for Review filed by </w:t>
      </w:r>
      <w:r w:rsidR="00CE2DD8" w:rsidRPr="00E7792D">
        <w:rPr>
          <w:snapToGrid/>
          <w:szCs w:val="22"/>
        </w:rPr>
        <w:t>Entravision Holdings, LLC (“Entravision”)</w:t>
      </w:r>
      <w:r w:rsidR="00BB78FC" w:rsidRPr="00E7792D">
        <w:rPr>
          <w:snapToGrid/>
          <w:szCs w:val="22"/>
        </w:rPr>
        <w:t xml:space="preserve"> on </w:t>
      </w:r>
      <w:r w:rsidR="004750B9" w:rsidRPr="00E7792D">
        <w:rPr>
          <w:snapToGrid/>
          <w:szCs w:val="22"/>
        </w:rPr>
        <w:t>January 7, 2013</w:t>
      </w:r>
      <w:r w:rsidR="00D953BB" w:rsidRPr="00E7792D">
        <w:rPr>
          <w:snapToGrid/>
          <w:szCs w:val="22"/>
        </w:rPr>
        <w:t xml:space="preserve">.  </w:t>
      </w:r>
      <w:r w:rsidR="004750B9" w:rsidRPr="00E7792D">
        <w:rPr>
          <w:snapToGrid/>
          <w:szCs w:val="22"/>
        </w:rPr>
        <w:t>Entravision seeks review of a December 7, 2012</w:t>
      </w:r>
      <w:r w:rsidR="00136EA4" w:rsidRPr="00E7792D">
        <w:rPr>
          <w:snapToGrid/>
          <w:szCs w:val="22"/>
        </w:rPr>
        <w:t xml:space="preserve">, action by the Media Bureau </w:t>
      </w:r>
      <w:r w:rsidR="00D953BB" w:rsidRPr="00E7792D">
        <w:rPr>
          <w:snapToGrid/>
          <w:szCs w:val="22"/>
        </w:rPr>
        <w:t>(“Bureau”)</w:t>
      </w:r>
      <w:r w:rsidR="00714E37" w:rsidRPr="00E7792D">
        <w:rPr>
          <w:szCs w:val="22"/>
        </w:rPr>
        <w:t>,</w:t>
      </w:r>
      <w:r w:rsidR="00BB78FC" w:rsidRPr="00E7792D">
        <w:rPr>
          <w:rStyle w:val="FootnoteReference"/>
          <w:snapToGrid/>
          <w:sz w:val="22"/>
          <w:szCs w:val="22"/>
        </w:rPr>
        <w:footnoteReference w:id="2"/>
      </w:r>
      <w:r w:rsidR="00714E37" w:rsidRPr="00E7792D">
        <w:rPr>
          <w:szCs w:val="22"/>
        </w:rPr>
        <w:t xml:space="preserve"> which denied</w:t>
      </w:r>
      <w:r w:rsidR="00136EA4" w:rsidRPr="00E7792D">
        <w:rPr>
          <w:snapToGrid/>
          <w:szCs w:val="22"/>
        </w:rPr>
        <w:t xml:space="preserve"> </w:t>
      </w:r>
      <w:r w:rsidR="004750B9" w:rsidRPr="00E7792D">
        <w:rPr>
          <w:snapToGrid/>
          <w:szCs w:val="22"/>
        </w:rPr>
        <w:t>Entravision</w:t>
      </w:r>
      <w:r w:rsidR="00136EA4" w:rsidRPr="00E7792D">
        <w:rPr>
          <w:snapToGrid/>
          <w:szCs w:val="22"/>
        </w:rPr>
        <w:t xml:space="preserve">’s Petition for Reconsideration of </w:t>
      </w:r>
      <w:r w:rsidR="004750B9" w:rsidRPr="00E7792D">
        <w:rPr>
          <w:snapToGrid/>
          <w:szCs w:val="22"/>
        </w:rPr>
        <w:t>t</w:t>
      </w:r>
      <w:r w:rsidR="00D953BB" w:rsidRPr="00E7792D">
        <w:rPr>
          <w:snapToGrid/>
          <w:szCs w:val="22"/>
        </w:rPr>
        <w:t xml:space="preserve">he </w:t>
      </w:r>
      <w:r w:rsidR="004750B9" w:rsidRPr="00E7792D">
        <w:rPr>
          <w:snapToGrid/>
          <w:szCs w:val="22"/>
        </w:rPr>
        <w:t>November 29, 2011</w:t>
      </w:r>
      <w:r w:rsidR="00D953BB" w:rsidRPr="00E7792D">
        <w:rPr>
          <w:snapToGrid/>
          <w:szCs w:val="22"/>
        </w:rPr>
        <w:t xml:space="preserve">, </w:t>
      </w:r>
      <w:r w:rsidR="003E1A1E" w:rsidRPr="00E7792D">
        <w:rPr>
          <w:snapToGrid/>
          <w:szCs w:val="22"/>
        </w:rPr>
        <w:t xml:space="preserve">letter decision </w:t>
      </w:r>
      <w:r w:rsidR="00D953BB" w:rsidRPr="00E7792D">
        <w:rPr>
          <w:snapToGrid/>
          <w:szCs w:val="22"/>
        </w:rPr>
        <w:t>grant</w:t>
      </w:r>
      <w:r w:rsidR="003E1A1E" w:rsidRPr="00E7792D">
        <w:rPr>
          <w:snapToGrid/>
          <w:szCs w:val="22"/>
        </w:rPr>
        <w:t>ing</w:t>
      </w:r>
      <w:r w:rsidR="00D953BB" w:rsidRPr="00E7792D">
        <w:rPr>
          <w:snapToGrid/>
          <w:szCs w:val="22"/>
        </w:rPr>
        <w:t xml:space="preserve"> </w:t>
      </w:r>
      <w:r w:rsidR="004750B9" w:rsidRPr="00E7792D">
        <w:rPr>
          <w:snapToGrid/>
          <w:szCs w:val="22"/>
        </w:rPr>
        <w:t>the above-captioned application (“Application</w:t>
      </w:r>
      <w:r w:rsidR="00D953BB" w:rsidRPr="00E7792D">
        <w:rPr>
          <w:snapToGrid/>
          <w:szCs w:val="22"/>
        </w:rPr>
        <w:t xml:space="preserve">”) </w:t>
      </w:r>
      <w:r w:rsidR="0071794E" w:rsidRPr="00E7792D">
        <w:rPr>
          <w:snapToGrid/>
          <w:szCs w:val="22"/>
        </w:rPr>
        <w:t xml:space="preserve">of </w:t>
      </w:r>
      <w:r w:rsidR="004750B9" w:rsidRPr="00E7792D">
        <w:rPr>
          <w:snapToGrid/>
          <w:szCs w:val="22"/>
        </w:rPr>
        <w:t>Able Radio Corporation (“Able”)</w:t>
      </w:r>
      <w:r w:rsidR="00D953BB" w:rsidRPr="00E7792D">
        <w:rPr>
          <w:snapToGrid/>
          <w:szCs w:val="22"/>
        </w:rPr>
        <w:t>.</w:t>
      </w:r>
      <w:r w:rsidR="00BB78FC" w:rsidRPr="00E7792D">
        <w:rPr>
          <w:rStyle w:val="FootnoteReference"/>
          <w:snapToGrid/>
          <w:sz w:val="22"/>
          <w:szCs w:val="22"/>
        </w:rPr>
        <w:footnoteReference w:id="3"/>
      </w:r>
      <w:r w:rsidR="003E1A1E" w:rsidRPr="00E7792D">
        <w:rPr>
          <w:snapToGrid/>
          <w:szCs w:val="22"/>
        </w:rPr>
        <w:t xml:space="preserve">  </w:t>
      </w:r>
    </w:p>
    <w:p w:rsidR="006575BB" w:rsidRDefault="002712C8" w:rsidP="00E7792D">
      <w:pPr>
        <w:spacing w:after="120"/>
        <w:ind w:firstLine="720"/>
        <w:rPr>
          <w:snapToGrid/>
        </w:rPr>
      </w:pPr>
      <w:r>
        <w:rPr>
          <w:snapToGrid/>
          <w:szCs w:val="22"/>
        </w:rPr>
        <w:t>2.</w:t>
      </w:r>
      <w:r>
        <w:rPr>
          <w:snapToGrid/>
          <w:szCs w:val="22"/>
        </w:rPr>
        <w:tab/>
      </w:r>
      <w:r w:rsidR="007F76AC">
        <w:rPr>
          <w:snapToGrid/>
          <w:szCs w:val="22"/>
        </w:rPr>
        <w:t>Able was the winning bidder for a new commercial FM station in FM Auction 70.  After timely filing its original post-auction long-form FCC Form 301 application</w:t>
      </w:r>
      <w:r w:rsidR="0055749C">
        <w:rPr>
          <w:snapToGrid/>
          <w:szCs w:val="22"/>
        </w:rPr>
        <w:t xml:space="preserve">, </w:t>
      </w:r>
      <w:r w:rsidR="007F76AC">
        <w:rPr>
          <w:snapToGrid/>
          <w:szCs w:val="22"/>
        </w:rPr>
        <w:t>Able submitted several amendments</w:t>
      </w:r>
      <w:r w:rsidR="0055749C">
        <w:rPr>
          <w:snapToGrid/>
          <w:szCs w:val="22"/>
        </w:rPr>
        <w:t xml:space="preserve">.  One such amendment, filed on May 5, 2008, </w:t>
      </w:r>
      <w:r w:rsidR="007F76AC">
        <w:rPr>
          <w:snapToGrid/>
          <w:szCs w:val="22"/>
        </w:rPr>
        <w:t>specified a</w:t>
      </w:r>
      <w:r w:rsidR="0055749C">
        <w:rPr>
          <w:snapToGrid/>
          <w:szCs w:val="22"/>
        </w:rPr>
        <w:t xml:space="preserve"> new</w:t>
      </w:r>
      <w:r w:rsidR="007F76AC">
        <w:rPr>
          <w:snapToGrid/>
          <w:szCs w:val="22"/>
        </w:rPr>
        <w:t xml:space="preserve"> transmitter site</w:t>
      </w:r>
      <w:r w:rsidR="0055749C">
        <w:rPr>
          <w:snapToGrid/>
          <w:szCs w:val="22"/>
        </w:rPr>
        <w:t xml:space="preserve"> (the “May 2008 Site”)</w:t>
      </w:r>
      <w:r w:rsidR="007F76AC">
        <w:rPr>
          <w:snapToGrid/>
          <w:szCs w:val="22"/>
        </w:rPr>
        <w:t xml:space="preserve">.  </w:t>
      </w:r>
      <w:r w:rsidR="0055749C">
        <w:rPr>
          <w:snapToGrid/>
          <w:szCs w:val="22"/>
        </w:rPr>
        <w:t xml:space="preserve">As it did below, </w:t>
      </w:r>
      <w:r w:rsidR="005059E4">
        <w:rPr>
          <w:snapToGrid/>
          <w:szCs w:val="22"/>
        </w:rPr>
        <w:t xml:space="preserve">Entravision argues that </w:t>
      </w:r>
      <w:r w:rsidR="005B54C0">
        <w:rPr>
          <w:snapToGrid/>
          <w:szCs w:val="22"/>
        </w:rPr>
        <w:t>the Application should be dismissed because</w:t>
      </w:r>
      <w:r w:rsidR="007F76AC">
        <w:rPr>
          <w:snapToGrid/>
          <w:szCs w:val="22"/>
        </w:rPr>
        <w:t xml:space="preserve">, having </w:t>
      </w:r>
      <w:r w:rsidR="006C6CC1">
        <w:rPr>
          <w:snapToGrid/>
          <w:szCs w:val="22"/>
        </w:rPr>
        <w:t xml:space="preserve">allegedly </w:t>
      </w:r>
      <w:r w:rsidR="007F76AC">
        <w:rPr>
          <w:snapToGrid/>
          <w:szCs w:val="22"/>
        </w:rPr>
        <w:t xml:space="preserve">failed </w:t>
      </w:r>
      <w:r w:rsidR="005059E4">
        <w:rPr>
          <w:snapToGrid/>
          <w:szCs w:val="22"/>
        </w:rPr>
        <w:t xml:space="preserve">to obtain reasonable assurance of site availability for </w:t>
      </w:r>
      <w:r w:rsidR="006C6CC1">
        <w:rPr>
          <w:snapToGrid/>
          <w:szCs w:val="22"/>
        </w:rPr>
        <w:t xml:space="preserve">the </w:t>
      </w:r>
      <w:r w:rsidR="0055749C">
        <w:rPr>
          <w:snapToGrid/>
          <w:szCs w:val="22"/>
        </w:rPr>
        <w:t>May 2008 Site</w:t>
      </w:r>
      <w:r w:rsidR="00CE3FE7">
        <w:rPr>
          <w:snapToGrid/>
          <w:szCs w:val="22"/>
        </w:rPr>
        <w:t xml:space="preserve">, Able is precluded from specifying </w:t>
      </w:r>
      <w:r w:rsidR="0055749C">
        <w:rPr>
          <w:snapToGrid/>
          <w:szCs w:val="22"/>
        </w:rPr>
        <w:t>a successor</w:t>
      </w:r>
      <w:r w:rsidR="00CE3FE7">
        <w:rPr>
          <w:snapToGrid/>
          <w:szCs w:val="22"/>
        </w:rPr>
        <w:t xml:space="preserve"> site to correct this deficiency</w:t>
      </w:r>
      <w:r w:rsidR="005059E4">
        <w:rPr>
          <w:snapToGrid/>
          <w:szCs w:val="22"/>
        </w:rPr>
        <w:t>.  Entravision also claims that Able has failed to prosecute the Appl</w:t>
      </w:r>
      <w:r w:rsidR="000C12A4">
        <w:rPr>
          <w:snapToGrid/>
          <w:szCs w:val="22"/>
        </w:rPr>
        <w:t>ication.  Auction winners</w:t>
      </w:r>
      <w:r w:rsidR="005059E4">
        <w:rPr>
          <w:snapToGrid/>
          <w:szCs w:val="22"/>
        </w:rPr>
        <w:t xml:space="preserve">, according to Entravision, </w:t>
      </w:r>
      <w:r w:rsidR="0042547E">
        <w:rPr>
          <w:snapToGrid/>
        </w:rPr>
        <w:t>should</w:t>
      </w:r>
      <w:r w:rsidR="001B54CB" w:rsidRPr="00E7792D">
        <w:rPr>
          <w:snapToGrid/>
        </w:rPr>
        <w:t xml:space="preserve"> be treated the same as all other applicants</w:t>
      </w:r>
      <w:r w:rsidR="000C12A4">
        <w:rPr>
          <w:snapToGrid/>
        </w:rPr>
        <w:t xml:space="preserve"> with respect to these requirements</w:t>
      </w:r>
      <w:r w:rsidR="005059E4">
        <w:rPr>
          <w:snapToGrid/>
        </w:rPr>
        <w:t xml:space="preserve"> </w:t>
      </w:r>
      <w:r w:rsidR="002D6F2E">
        <w:rPr>
          <w:snapToGrid/>
        </w:rPr>
        <w:t>because</w:t>
      </w:r>
      <w:r w:rsidR="00386ADC" w:rsidRPr="00E7792D">
        <w:rPr>
          <w:snapToGrid/>
        </w:rPr>
        <w:t xml:space="preserve">: (1) </w:t>
      </w:r>
      <w:r w:rsidR="00F357CE">
        <w:rPr>
          <w:snapToGrid/>
        </w:rPr>
        <w:t>the Commission must</w:t>
      </w:r>
      <w:r w:rsidR="00386ADC" w:rsidRPr="00E7792D">
        <w:rPr>
          <w:snapToGrid/>
        </w:rPr>
        <w:t xml:space="preserve"> treat similarly-situated applicants similarly; </w:t>
      </w:r>
      <w:r>
        <w:rPr>
          <w:snapToGrid/>
        </w:rPr>
        <w:t>and</w:t>
      </w:r>
      <w:r w:rsidR="00386ADC" w:rsidRPr="00E7792D">
        <w:rPr>
          <w:snapToGrid/>
        </w:rPr>
        <w:t xml:space="preserve"> (2) </w:t>
      </w:r>
      <w:r w:rsidR="005B54C0">
        <w:rPr>
          <w:snapToGrid/>
        </w:rPr>
        <w:t xml:space="preserve">post-auction, auction winners are governed by the same </w:t>
      </w:r>
      <w:r w:rsidR="00386ADC" w:rsidRPr="00E7792D">
        <w:rPr>
          <w:snapToGrid/>
        </w:rPr>
        <w:t xml:space="preserve">statutory provisions </w:t>
      </w:r>
      <w:r w:rsidR="005B54C0">
        <w:rPr>
          <w:snapToGrid/>
        </w:rPr>
        <w:t>as any other applicant</w:t>
      </w:r>
      <w:r w:rsidR="00755EAA" w:rsidRPr="00E7792D">
        <w:rPr>
          <w:snapToGrid/>
        </w:rPr>
        <w:t>.</w:t>
      </w:r>
      <w:r w:rsidR="00246DD2" w:rsidRPr="00E7792D">
        <w:rPr>
          <w:rStyle w:val="FootnoteReference"/>
          <w:snapToGrid/>
        </w:rPr>
        <w:footnoteReference w:id="4"/>
      </w:r>
      <w:r w:rsidR="00755EAA" w:rsidRPr="00E7792D">
        <w:rPr>
          <w:snapToGrid/>
        </w:rPr>
        <w:t xml:space="preserve">  </w:t>
      </w:r>
    </w:p>
    <w:p w:rsidR="00122BD5" w:rsidRPr="002639CC" w:rsidRDefault="006575BB" w:rsidP="00E7792D">
      <w:pPr>
        <w:spacing w:after="120"/>
        <w:ind w:firstLine="720"/>
      </w:pPr>
      <w:r>
        <w:rPr>
          <w:snapToGrid/>
        </w:rPr>
        <w:t>3.</w:t>
      </w:r>
      <w:r>
        <w:rPr>
          <w:snapToGrid/>
        </w:rPr>
        <w:tab/>
      </w:r>
      <w:r w:rsidR="0042547E" w:rsidRPr="00E7792D">
        <w:rPr>
          <w:snapToGrid/>
        </w:rPr>
        <w:t xml:space="preserve">In the </w:t>
      </w:r>
      <w:r w:rsidR="0042547E" w:rsidRPr="00E7792D">
        <w:rPr>
          <w:i/>
          <w:snapToGrid/>
        </w:rPr>
        <w:t>Reconsideration Decision</w:t>
      </w:r>
      <w:r w:rsidR="0042547E" w:rsidRPr="00E7792D">
        <w:rPr>
          <w:snapToGrid/>
        </w:rPr>
        <w:t>, the Bureau</w:t>
      </w:r>
      <w:r w:rsidR="0042547E" w:rsidRPr="00E7792D">
        <w:rPr>
          <w:i/>
          <w:snapToGrid/>
        </w:rPr>
        <w:t xml:space="preserve"> </w:t>
      </w:r>
      <w:r w:rsidR="0042547E" w:rsidRPr="00E7792D">
        <w:rPr>
          <w:snapToGrid/>
        </w:rPr>
        <w:t>rejected</w:t>
      </w:r>
      <w:r w:rsidR="000C12A4">
        <w:rPr>
          <w:snapToGrid/>
        </w:rPr>
        <w:t xml:space="preserve"> </w:t>
      </w:r>
      <w:r>
        <w:rPr>
          <w:snapToGrid/>
        </w:rPr>
        <w:t xml:space="preserve">Entravision’s </w:t>
      </w:r>
      <w:r w:rsidR="000C12A4">
        <w:rPr>
          <w:snapToGrid/>
        </w:rPr>
        <w:t>arguments and</w:t>
      </w:r>
      <w:r w:rsidR="00755EAA" w:rsidRPr="00E7792D">
        <w:rPr>
          <w:snapToGrid/>
        </w:rPr>
        <w:t xml:space="preserve"> applied</w:t>
      </w:r>
      <w:r w:rsidR="001B54CB" w:rsidRPr="00E7792D">
        <w:rPr>
          <w:snapToGrid/>
        </w:rPr>
        <w:t xml:space="preserve"> the </w:t>
      </w:r>
      <w:r w:rsidR="00D7304B" w:rsidRPr="00E7792D">
        <w:rPr>
          <w:snapToGrid/>
        </w:rPr>
        <w:t xml:space="preserve">Commission’s </w:t>
      </w:r>
      <w:r w:rsidR="001B54CB" w:rsidRPr="00E7792D">
        <w:rPr>
          <w:snapToGrid/>
        </w:rPr>
        <w:t>long-standing policy</w:t>
      </w:r>
      <w:r w:rsidR="00D7304B" w:rsidRPr="00E7792D">
        <w:rPr>
          <w:snapToGrid/>
        </w:rPr>
        <w:t xml:space="preserve"> </w:t>
      </w:r>
      <w:r w:rsidR="0055749C">
        <w:rPr>
          <w:snapToGrid/>
        </w:rPr>
        <w:t>of liberally accepting minor</w:t>
      </w:r>
      <w:r w:rsidR="00D7304B" w:rsidRPr="00E7792D">
        <w:rPr>
          <w:snapToGrid/>
        </w:rPr>
        <w:t xml:space="preserve"> amendments</w:t>
      </w:r>
      <w:r w:rsidR="0055749C">
        <w:rPr>
          <w:snapToGrid/>
        </w:rPr>
        <w:t xml:space="preserve"> filed</w:t>
      </w:r>
      <w:r w:rsidR="00D7304B" w:rsidRPr="00E7792D">
        <w:rPr>
          <w:snapToGrid/>
        </w:rPr>
        <w:t xml:space="preserve"> by </w:t>
      </w:r>
      <w:r w:rsidR="00CE3FE7">
        <w:rPr>
          <w:snapToGrid/>
        </w:rPr>
        <w:t xml:space="preserve">broadcast </w:t>
      </w:r>
      <w:r w:rsidR="00D7304B" w:rsidRPr="00E7792D">
        <w:rPr>
          <w:snapToGrid/>
        </w:rPr>
        <w:t>auction winners to correct application deficiencies</w:t>
      </w:r>
      <w:r w:rsidR="000C12A4">
        <w:rPr>
          <w:snapToGrid/>
        </w:rPr>
        <w:t>.</w:t>
      </w:r>
      <w:r w:rsidR="00D7304B" w:rsidRPr="00E7792D">
        <w:rPr>
          <w:rStyle w:val="FootnoteReference"/>
          <w:snapToGrid/>
        </w:rPr>
        <w:footnoteReference w:id="5"/>
      </w:r>
      <w:r w:rsidR="000C12A4">
        <w:rPr>
          <w:snapToGrid/>
        </w:rPr>
        <w:t xml:space="preserve">  </w:t>
      </w:r>
      <w:r w:rsidR="006149AD">
        <w:rPr>
          <w:snapToGrid/>
        </w:rPr>
        <w:t>As set out in the i</w:t>
      </w:r>
      <w:r w:rsidR="006F3E53">
        <w:rPr>
          <w:snapToGrid/>
        </w:rPr>
        <w:t xml:space="preserve">nstructions to the FCC </w:t>
      </w:r>
      <w:r w:rsidR="006F3E53">
        <w:rPr>
          <w:snapToGrid/>
        </w:rPr>
        <w:lastRenderedPageBreak/>
        <w:t xml:space="preserve">Form 301, </w:t>
      </w:r>
      <w:r w:rsidR="006F3E53">
        <w:rPr>
          <w:i/>
          <w:snapToGrid/>
        </w:rPr>
        <w:t xml:space="preserve">all </w:t>
      </w:r>
      <w:r w:rsidR="006F3E53" w:rsidRPr="006F3E53">
        <w:rPr>
          <w:snapToGrid/>
        </w:rPr>
        <w:t>applicants for broadcast facilities</w:t>
      </w:r>
      <w:r w:rsidR="006149AD">
        <w:rPr>
          <w:snapToGrid/>
        </w:rPr>
        <w:t>, i</w:t>
      </w:r>
      <w:r w:rsidR="006F3E53">
        <w:rPr>
          <w:snapToGrid/>
        </w:rPr>
        <w:t>ncluding</w:t>
      </w:r>
      <w:r w:rsidR="006149AD">
        <w:rPr>
          <w:snapToGrid/>
        </w:rPr>
        <w:t>, as here,</w:t>
      </w:r>
      <w:r w:rsidR="006F3E53">
        <w:rPr>
          <w:snapToGrid/>
        </w:rPr>
        <w:t xml:space="preserve"> auction winners,</w:t>
      </w:r>
      <w:r w:rsidR="006149AD">
        <w:rPr>
          <w:snapToGrid/>
        </w:rPr>
        <w:t xml:space="preserve"> must have </w:t>
      </w:r>
      <w:r w:rsidR="006F3E53" w:rsidRPr="006F3E53">
        <w:rPr>
          <w:snapToGrid/>
        </w:rPr>
        <w:t xml:space="preserve">reasonable assurance </w:t>
      </w:r>
      <w:r w:rsidR="006149AD">
        <w:rPr>
          <w:snapToGrid/>
        </w:rPr>
        <w:t>of site availability</w:t>
      </w:r>
      <w:r w:rsidR="006F3E53" w:rsidRPr="006F3E53">
        <w:rPr>
          <w:snapToGrid/>
        </w:rPr>
        <w:t xml:space="preserve"> </w:t>
      </w:r>
      <w:r w:rsidR="006149AD">
        <w:rPr>
          <w:snapToGrid/>
        </w:rPr>
        <w:t>when they file a Form 301.</w:t>
      </w:r>
      <w:r w:rsidR="006F3E53">
        <w:rPr>
          <w:rStyle w:val="FootnoteReference"/>
          <w:snapToGrid/>
        </w:rPr>
        <w:footnoteReference w:id="6"/>
      </w:r>
      <w:r w:rsidR="006F3E53">
        <w:rPr>
          <w:snapToGrid/>
        </w:rPr>
        <w:t xml:space="preserve">  </w:t>
      </w:r>
      <w:r w:rsidR="00E90EF7">
        <w:rPr>
          <w:snapToGrid/>
        </w:rPr>
        <w:t xml:space="preserve">This case, however, does not involve a dispute about the availability of the site identified in the Form 301 at the time </w:t>
      </w:r>
      <w:r w:rsidR="00F10C93">
        <w:rPr>
          <w:snapToGrid/>
        </w:rPr>
        <w:t>that form</w:t>
      </w:r>
      <w:r w:rsidR="00E90EF7">
        <w:rPr>
          <w:snapToGrid/>
        </w:rPr>
        <w:t xml:space="preserve"> was filed.  Rather, it centers on the availability of a </w:t>
      </w:r>
      <w:r w:rsidR="006E29E6">
        <w:rPr>
          <w:snapToGrid/>
        </w:rPr>
        <w:t xml:space="preserve">different site identified in </w:t>
      </w:r>
      <w:r w:rsidR="00F10C93">
        <w:rPr>
          <w:snapToGrid/>
        </w:rPr>
        <w:t>a post-auction amendment.</w:t>
      </w:r>
      <w:r w:rsidR="006E29E6">
        <w:rPr>
          <w:snapToGrid/>
        </w:rPr>
        <w:t xml:space="preserve">  Under these circumstances</w:t>
      </w:r>
      <w:r w:rsidR="006149AD">
        <w:rPr>
          <w:snapToGrid/>
        </w:rPr>
        <w:t xml:space="preserve">, </w:t>
      </w:r>
      <w:r w:rsidR="006E29E6">
        <w:rPr>
          <w:snapToGrid/>
        </w:rPr>
        <w:t>we agree that</w:t>
      </w:r>
      <w:r w:rsidR="003C4577">
        <w:rPr>
          <w:snapToGrid/>
        </w:rPr>
        <w:t xml:space="preserve"> </w:t>
      </w:r>
      <w:r w:rsidR="006A7A5E">
        <w:rPr>
          <w:snapToGrid/>
        </w:rPr>
        <w:t xml:space="preserve">the Bureau did not have to reach the </w:t>
      </w:r>
      <w:r w:rsidR="003C4577">
        <w:rPr>
          <w:snapToGrid/>
        </w:rPr>
        <w:t xml:space="preserve">issue of site availability with respect to the May 2008 Site </w:t>
      </w:r>
      <w:r w:rsidR="006149AD">
        <w:rPr>
          <w:snapToGrid/>
        </w:rPr>
        <w:t xml:space="preserve">because Able subsequently filed another amendment to specify a new, compliant site.  </w:t>
      </w:r>
      <w:r w:rsidR="00073807">
        <w:rPr>
          <w:snapToGrid/>
        </w:rPr>
        <w:t>As t</w:t>
      </w:r>
      <w:r w:rsidR="006149AD">
        <w:rPr>
          <w:snapToGrid/>
        </w:rPr>
        <w:t xml:space="preserve">he Bureau </w:t>
      </w:r>
      <w:r w:rsidR="000C12A4">
        <w:rPr>
          <w:snapToGrid/>
        </w:rPr>
        <w:t>explained</w:t>
      </w:r>
      <w:r w:rsidR="00073807">
        <w:rPr>
          <w:snapToGrid/>
        </w:rPr>
        <w:t xml:space="preserve"> in the </w:t>
      </w:r>
      <w:r w:rsidR="00073807">
        <w:rPr>
          <w:i/>
          <w:snapToGrid/>
        </w:rPr>
        <w:t>Reconsideration Decision</w:t>
      </w:r>
      <w:r w:rsidR="00073807">
        <w:rPr>
          <w:snapToGrid/>
        </w:rPr>
        <w:t>,</w:t>
      </w:r>
      <w:r w:rsidR="00246DD2">
        <w:rPr>
          <w:snapToGrid/>
        </w:rPr>
        <w:t xml:space="preserve"> the </w:t>
      </w:r>
      <w:r w:rsidR="00755EAA" w:rsidRPr="00E7792D">
        <w:rPr>
          <w:snapToGrid/>
        </w:rPr>
        <w:t xml:space="preserve">Commission </w:t>
      </w:r>
      <w:r w:rsidR="00073807">
        <w:rPr>
          <w:snapToGrid/>
        </w:rPr>
        <w:t xml:space="preserve">permits such amendments in the auction context, thus </w:t>
      </w:r>
      <w:r w:rsidR="00246DD2">
        <w:rPr>
          <w:snapToGrid/>
        </w:rPr>
        <w:t>“</w:t>
      </w:r>
      <w:r w:rsidR="00755EAA" w:rsidRPr="00E7792D">
        <w:rPr>
          <w:snapToGrid/>
        </w:rPr>
        <w:t>expressly and deliberately</w:t>
      </w:r>
      <w:r w:rsidR="00246DD2">
        <w:rPr>
          <w:snapToGrid/>
        </w:rPr>
        <w:t>”</w:t>
      </w:r>
      <w:r w:rsidR="00755EAA" w:rsidRPr="00E7792D">
        <w:rPr>
          <w:snapToGrid/>
        </w:rPr>
        <w:t xml:space="preserve"> treat</w:t>
      </w:r>
      <w:r w:rsidR="00073807">
        <w:rPr>
          <w:snapToGrid/>
        </w:rPr>
        <w:t>ing</w:t>
      </w:r>
      <w:r w:rsidR="00755EAA" w:rsidRPr="00E7792D">
        <w:rPr>
          <w:snapToGrid/>
        </w:rPr>
        <w:t xml:space="preserve"> auction winner</w:t>
      </w:r>
      <w:r w:rsidR="00246DD2">
        <w:rPr>
          <w:snapToGrid/>
        </w:rPr>
        <w:t>s</w:t>
      </w:r>
      <w:r w:rsidR="00755EAA" w:rsidRPr="00E7792D">
        <w:rPr>
          <w:snapToGrid/>
        </w:rPr>
        <w:t xml:space="preserve"> dissimilarly t</w:t>
      </w:r>
      <w:r w:rsidR="00365153" w:rsidRPr="00E7792D">
        <w:rPr>
          <w:snapToGrid/>
        </w:rPr>
        <w:t>o other</w:t>
      </w:r>
      <w:r w:rsidR="00246DD2">
        <w:rPr>
          <w:snapToGrid/>
        </w:rPr>
        <w:t>,</w:t>
      </w:r>
      <w:r w:rsidR="00365153" w:rsidRPr="00E7792D">
        <w:rPr>
          <w:snapToGrid/>
        </w:rPr>
        <w:t xml:space="preserve"> non-auction, applicants because “the competitive bidding process itself [lessens] the incentive for insincere application filings.”</w:t>
      </w:r>
      <w:r w:rsidR="00755EAA" w:rsidRPr="00E7792D">
        <w:rPr>
          <w:rStyle w:val="FootnoteReference"/>
          <w:snapToGrid/>
        </w:rPr>
        <w:footnoteReference w:id="7"/>
      </w:r>
      <w:r w:rsidR="00BB78FC" w:rsidRPr="00E7792D">
        <w:rPr>
          <w:snapToGrid/>
        </w:rPr>
        <w:t xml:space="preserve"> </w:t>
      </w:r>
      <w:r w:rsidR="00365153" w:rsidRPr="00E7792D">
        <w:rPr>
          <w:snapToGrid/>
        </w:rPr>
        <w:t xml:space="preserve"> </w:t>
      </w:r>
      <w:r w:rsidR="002712C8">
        <w:rPr>
          <w:snapToGrid/>
        </w:rPr>
        <w:t>The</w:t>
      </w:r>
      <w:r w:rsidR="002639CC">
        <w:rPr>
          <w:snapToGrid/>
        </w:rPr>
        <w:t xml:space="preserve"> Bureau</w:t>
      </w:r>
      <w:r w:rsidR="002712C8">
        <w:rPr>
          <w:snapToGrid/>
        </w:rPr>
        <w:t xml:space="preserve"> also</w:t>
      </w:r>
      <w:r w:rsidR="002639CC">
        <w:rPr>
          <w:snapToGrid/>
        </w:rPr>
        <w:t xml:space="preserve"> found that </w:t>
      </w:r>
      <w:r w:rsidR="002712C8">
        <w:rPr>
          <w:snapToGrid/>
        </w:rPr>
        <w:t xml:space="preserve">Able had adequately prosecuted the Application by </w:t>
      </w:r>
      <w:r w:rsidR="002639CC">
        <w:rPr>
          <w:snapToGrid/>
        </w:rPr>
        <w:t xml:space="preserve">filing </w:t>
      </w:r>
      <w:r w:rsidR="002712C8">
        <w:rPr>
          <w:snapToGrid/>
        </w:rPr>
        <w:t>amendments and responding</w:t>
      </w:r>
      <w:r w:rsidR="002639CC">
        <w:rPr>
          <w:snapToGrid/>
        </w:rPr>
        <w:t xml:space="preserve"> to staff inquir</w:t>
      </w:r>
      <w:r w:rsidR="002712C8">
        <w:rPr>
          <w:snapToGrid/>
        </w:rPr>
        <w:t>ies and requests for information</w:t>
      </w:r>
      <w:r w:rsidR="005B0123">
        <w:rPr>
          <w:snapToGrid/>
        </w:rPr>
        <w:t>, observing</w:t>
      </w:r>
      <w:r w:rsidR="00E7792D">
        <w:rPr>
          <w:snapToGrid/>
        </w:rPr>
        <w:t xml:space="preserve"> that where an</w:t>
      </w:r>
      <w:r w:rsidR="002D6F2E">
        <w:rPr>
          <w:snapToGrid/>
        </w:rPr>
        <w:t xml:space="preserve"> applicant is incentivized to build </w:t>
      </w:r>
      <w:r w:rsidR="00AB3154">
        <w:rPr>
          <w:snapToGrid/>
        </w:rPr>
        <w:t xml:space="preserve">promptly </w:t>
      </w:r>
      <w:r w:rsidR="002D6F2E">
        <w:rPr>
          <w:snapToGrid/>
        </w:rPr>
        <w:t>in order to recoup upfront auction expenses,</w:t>
      </w:r>
      <w:r w:rsidR="00246DD2">
        <w:rPr>
          <w:snapToGrid/>
        </w:rPr>
        <w:t xml:space="preserve"> the</w:t>
      </w:r>
      <w:r w:rsidR="00E7792D">
        <w:rPr>
          <w:snapToGrid/>
        </w:rPr>
        <w:t xml:space="preserve"> concern with spectrum speculation is “minimal.”</w:t>
      </w:r>
      <w:r w:rsidR="003470A2">
        <w:rPr>
          <w:rStyle w:val="FootnoteReference"/>
          <w:snapToGrid/>
        </w:rPr>
        <w:footnoteReference w:id="8"/>
      </w:r>
    </w:p>
    <w:p w:rsidR="00DD50B9" w:rsidRPr="00DD50B9" w:rsidRDefault="006575BB" w:rsidP="00B1769F">
      <w:pPr>
        <w:spacing w:after="120"/>
        <w:ind w:firstLine="720"/>
        <w:rPr>
          <w:snapToGrid/>
          <w:kern w:val="0"/>
        </w:rPr>
      </w:pPr>
      <w:r>
        <w:t>4</w:t>
      </w:r>
      <w:r w:rsidR="0071794E" w:rsidRPr="00A4030F">
        <w:t>.</w:t>
      </w:r>
      <w:r w:rsidR="0071794E" w:rsidRPr="00A4030F">
        <w:tab/>
      </w:r>
      <w:r w:rsidR="00DD50B9" w:rsidRPr="00A4030F">
        <w:rPr>
          <w:snapToGrid/>
          <w:kern w:val="0"/>
        </w:rPr>
        <w:t xml:space="preserve">Upon review of the Application for Review and the entire record, we conclude </w:t>
      </w:r>
      <w:r w:rsidR="002639CC">
        <w:rPr>
          <w:snapToGrid/>
          <w:kern w:val="0"/>
        </w:rPr>
        <w:t>that Entravision</w:t>
      </w:r>
      <w:r w:rsidR="000130E8" w:rsidRPr="00A4030F">
        <w:rPr>
          <w:snapToGrid/>
          <w:kern w:val="0"/>
        </w:rPr>
        <w:t xml:space="preserve"> </w:t>
      </w:r>
      <w:r w:rsidR="00DD50B9" w:rsidRPr="00A4030F">
        <w:rPr>
          <w:snapToGrid/>
          <w:kern w:val="0"/>
        </w:rPr>
        <w:t xml:space="preserve">has not </w:t>
      </w:r>
      <w:r w:rsidR="00DD50B9" w:rsidRPr="00B1769F">
        <w:rPr>
          <w:snapToGrid/>
        </w:rPr>
        <w:t>demonstrated</w:t>
      </w:r>
      <w:r w:rsidR="00DD50B9" w:rsidRPr="00A4030F">
        <w:rPr>
          <w:snapToGrid/>
          <w:kern w:val="0"/>
        </w:rPr>
        <w:t xml:space="preserve"> that the Bureau erred.  The Bureau, in the </w:t>
      </w:r>
      <w:r w:rsidR="00DD50B9" w:rsidRPr="00A4030F">
        <w:rPr>
          <w:i/>
          <w:snapToGrid/>
          <w:kern w:val="0"/>
        </w:rPr>
        <w:t>Reconsideration Decision</w:t>
      </w:r>
      <w:r w:rsidR="00DD50B9" w:rsidRPr="00A4030F">
        <w:rPr>
          <w:snapToGrid/>
          <w:kern w:val="0"/>
        </w:rPr>
        <w:t>, properly decide</w:t>
      </w:r>
      <w:r w:rsidR="00DD50B9" w:rsidRPr="00DD50B9">
        <w:rPr>
          <w:snapToGrid/>
          <w:kern w:val="0"/>
        </w:rPr>
        <w:t>d the matters raised, and we uphold its decision for the reasons stated therein.</w:t>
      </w:r>
    </w:p>
    <w:p w:rsidR="0040710F" w:rsidRPr="0040710F" w:rsidRDefault="003E3366" w:rsidP="0040710F">
      <w:pPr>
        <w:tabs>
          <w:tab w:val="left" w:pos="720"/>
          <w:tab w:val="left" w:pos="1430"/>
          <w:tab w:val="left" w:pos="4680"/>
        </w:tabs>
        <w:rPr>
          <w:snapToGrid/>
          <w:kern w:val="0"/>
          <w:szCs w:val="22"/>
        </w:rPr>
      </w:pPr>
      <w:r>
        <w:tab/>
      </w:r>
      <w:r w:rsidR="006575BB">
        <w:t>5</w:t>
      </w:r>
      <w:r w:rsidR="0040710F">
        <w:t>.</w:t>
      </w:r>
      <w:r w:rsidR="0040710F">
        <w:tab/>
      </w:r>
      <w:r w:rsidR="0040710F" w:rsidRPr="0040710F">
        <w:rPr>
          <w:snapToGrid/>
          <w:kern w:val="0"/>
          <w:szCs w:val="22"/>
        </w:rPr>
        <w:t>ACCORDINGLY, IT IS ORDERED that, pursuant to Section 5(c)(5) of the Communications Act of 1934, as amended,</w:t>
      </w:r>
      <w:r w:rsidR="0040710F" w:rsidRPr="0040710F">
        <w:rPr>
          <w:snapToGrid/>
          <w:kern w:val="0"/>
          <w:szCs w:val="22"/>
          <w:vertAlign w:val="superscript"/>
        </w:rPr>
        <w:footnoteReference w:id="9"/>
      </w:r>
      <w:r w:rsidR="0040710F" w:rsidRPr="0040710F">
        <w:rPr>
          <w:snapToGrid/>
          <w:kern w:val="0"/>
          <w:szCs w:val="22"/>
        </w:rPr>
        <w:t xml:space="preserve"> and Section 1.115(g) of the Commission’s rules,</w:t>
      </w:r>
      <w:r w:rsidR="0040710F" w:rsidRPr="0040710F">
        <w:rPr>
          <w:snapToGrid/>
          <w:kern w:val="0"/>
          <w:szCs w:val="22"/>
          <w:vertAlign w:val="superscript"/>
        </w:rPr>
        <w:footnoteReference w:id="10"/>
      </w:r>
      <w:r w:rsidR="0040710F" w:rsidRPr="0040710F">
        <w:rPr>
          <w:snapToGrid/>
          <w:kern w:val="0"/>
          <w:szCs w:val="22"/>
        </w:rPr>
        <w:t xml:space="preserve"> the Application for Review IS DENIED.  </w:t>
      </w:r>
    </w:p>
    <w:p w:rsidR="0040710F" w:rsidRPr="0040710F" w:rsidRDefault="0040710F" w:rsidP="0040710F">
      <w:pPr>
        <w:widowControl/>
        <w:tabs>
          <w:tab w:val="left" w:pos="720"/>
          <w:tab w:val="left" w:pos="1430"/>
          <w:tab w:val="left" w:pos="4680"/>
        </w:tabs>
        <w:jc w:val="both"/>
        <w:rPr>
          <w:snapToGrid/>
          <w:kern w:val="0"/>
          <w:szCs w:val="22"/>
        </w:rPr>
      </w:pPr>
    </w:p>
    <w:p w:rsidR="0040710F" w:rsidRPr="0040710F" w:rsidRDefault="0040710F" w:rsidP="0040710F">
      <w:pPr>
        <w:widowControl/>
        <w:tabs>
          <w:tab w:val="left" w:pos="0"/>
        </w:tabs>
        <w:suppressAutoHyphens/>
        <w:ind w:firstLine="990"/>
        <w:jc w:val="both"/>
        <w:rPr>
          <w:snapToGrid/>
          <w:kern w:val="0"/>
          <w:szCs w:val="22"/>
        </w:rPr>
      </w:pPr>
      <w:r w:rsidRPr="0040710F">
        <w:rPr>
          <w:snapToGrid/>
          <w:kern w:val="0"/>
          <w:szCs w:val="22"/>
        </w:rPr>
        <w:tab/>
      </w:r>
      <w:r w:rsidRPr="0040710F">
        <w:rPr>
          <w:snapToGrid/>
          <w:kern w:val="0"/>
          <w:szCs w:val="22"/>
        </w:rPr>
        <w:tab/>
      </w:r>
      <w:r w:rsidRPr="0040710F">
        <w:rPr>
          <w:snapToGrid/>
          <w:kern w:val="0"/>
          <w:szCs w:val="22"/>
        </w:rPr>
        <w:tab/>
      </w:r>
      <w:r w:rsidRPr="0040710F">
        <w:rPr>
          <w:snapToGrid/>
          <w:kern w:val="0"/>
          <w:szCs w:val="22"/>
        </w:rPr>
        <w:tab/>
      </w:r>
      <w:r w:rsidRPr="0040710F">
        <w:rPr>
          <w:snapToGrid/>
          <w:kern w:val="0"/>
          <w:szCs w:val="22"/>
        </w:rPr>
        <w:tab/>
        <w:t>FEDERAL COMMUNICATIONS COMMISSION</w:t>
      </w:r>
    </w:p>
    <w:p w:rsidR="0040710F" w:rsidRPr="0040710F" w:rsidRDefault="0040710F" w:rsidP="0040710F">
      <w:pPr>
        <w:widowControl/>
        <w:tabs>
          <w:tab w:val="left" w:pos="0"/>
        </w:tabs>
        <w:suppressAutoHyphens/>
        <w:ind w:firstLine="990"/>
        <w:jc w:val="both"/>
        <w:rPr>
          <w:snapToGrid/>
          <w:kern w:val="0"/>
          <w:szCs w:val="22"/>
        </w:rPr>
      </w:pPr>
    </w:p>
    <w:p w:rsidR="0040710F" w:rsidRPr="0040710F" w:rsidRDefault="0040710F" w:rsidP="0040710F">
      <w:pPr>
        <w:widowControl/>
        <w:tabs>
          <w:tab w:val="left" w:pos="0"/>
        </w:tabs>
        <w:suppressAutoHyphens/>
        <w:ind w:firstLine="990"/>
        <w:jc w:val="both"/>
        <w:rPr>
          <w:snapToGrid/>
          <w:kern w:val="0"/>
          <w:szCs w:val="22"/>
        </w:rPr>
      </w:pPr>
    </w:p>
    <w:p w:rsidR="0040710F" w:rsidRPr="0040710F" w:rsidRDefault="0040710F" w:rsidP="0040710F">
      <w:pPr>
        <w:widowControl/>
        <w:tabs>
          <w:tab w:val="left" w:pos="0"/>
        </w:tabs>
        <w:suppressAutoHyphens/>
        <w:ind w:firstLine="990"/>
        <w:jc w:val="both"/>
        <w:rPr>
          <w:snapToGrid/>
          <w:kern w:val="0"/>
          <w:szCs w:val="22"/>
        </w:rPr>
      </w:pPr>
    </w:p>
    <w:p w:rsidR="0040710F" w:rsidRPr="0040710F" w:rsidRDefault="0040710F" w:rsidP="0040710F">
      <w:pPr>
        <w:widowControl/>
        <w:tabs>
          <w:tab w:val="left" w:pos="0"/>
        </w:tabs>
        <w:suppressAutoHyphens/>
        <w:ind w:firstLine="990"/>
        <w:jc w:val="both"/>
        <w:rPr>
          <w:snapToGrid/>
          <w:kern w:val="0"/>
          <w:szCs w:val="22"/>
        </w:rPr>
      </w:pPr>
    </w:p>
    <w:p w:rsidR="0040710F" w:rsidRPr="0040710F" w:rsidRDefault="0040710F" w:rsidP="0040710F">
      <w:pPr>
        <w:widowControl/>
        <w:tabs>
          <w:tab w:val="left" w:pos="4320"/>
        </w:tabs>
        <w:suppressAutoHyphens/>
        <w:ind w:firstLine="990"/>
        <w:jc w:val="both"/>
        <w:rPr>
          <w:snapToGrid/>
          <w:kern w:val="0"/>
          <w:szCs w:val="22"/>
        </w:rPr>
      </w:pPr>
      <w:r w:rsidRPr="0040710F">
        <w:rPr>
          <w:snapToGrid/>
          <w:kern w:val="0"/>
          <w:szCs w:val="22"/>
        </w:rPr>
        <w:tab/>
        <w:t xml:space="preserve">Marlene H. Dortch  </w:t>
      </w:r>
    </w:p>
    <w:p w:rsidR="0071794E" w:rsidRDefault="0040710F" w:rsidP="0040710F">
      <w:pPr>
        <w:widowControl/>
        <w:ind w:right="-18"/>
      </w:pPr>
      <w:r w:rsidRPr="0040710F">
        <w:rPr>
          <w:snapToGrid/>
          <w:kern w:val="0"/>
          <w:szCs w:val="22"/>
        </w:rPr>
        <w:t xml:space="preserve">                    </w:t>
      </w:r>
      <w:r w:rsidRPr="0040710F">
        <w:rPr>
          <w:snapToGrid/>
          <w:kern w:val="0"/>
          <w:szCs w:val="22"/>
        </w:rPr>
        <w:tab/>
      </w:r>
      <w:r w:rsidRPr="0040710F">
        <w:rPr>
          <w:snapToGrid/>
          <w:kern w:val="0"/>
          <w:szCs w:val="22"/>
        </w:rPr>
        <w:tab/>
      </w:r>
      <w:r w:rsidRPr="0040710F">
        <w:rPr>
          <w:snapToGrid/>
          <w:kern w:val="0"/>
          <w:szCs w:val="22"/>
        </w:rPr>
        <w:tab/>
      </w:r>
      <w:r w:rsidRPr="0040710F">
        <w:rPr>
          <w:snapToGrid/>
          <w:kern w:val="0"/>
          <w:szCs w:val="22"/>
        </w:rPr>
        <w:tab/>
      </w:r>
      <w:r w:rsidRPr="0040710F">
        <w:rPr>
          <w:snapToGrid/>
          <w:kern w:val="0"/>
          <w:szCs w:val="22"/>
        </w:rPr>
        <w:tab/>
        <w:t>Secretary</w:t>
      </w:r>
    </w:p>
    <w:sectPr w:rsidR="0071794E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82" w:rsidRDefault="00811482">
      <w:pPr>
        <w:spacing w:line="20" w:lineRule="exact"/>
      </w:pPr>
    </w:p>
  </w:endnote>
  <w:endnote w:type="continuationSeparator" w:id="0">
    <w:p w:rsidR="00811482" w:rsidRDefault="00811482">
      <w:r>
        <w:t xml:space="preserve"> </w:t>
      </w:r>
    </w:p>
  </w:endnote>
  <w:endnote w:type="continuationNotice" w:id="1">
    <w:p w:rsidR="00811482" w:rsidRDefault="0081148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2393A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82" w:rsidRDefault="00811482">
      <w:r>
        <w:separator/>
      </w:r>
    </w:p>
  </w:footnote>
  <w:footnote w:type="continuationSeparator" w:id="0">
    <w:p w:rsidR="00811482" w:rsidRDefault="00811482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811482" w:rsidRDefault="00811482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BB78FC" w:rsidRPr="00BB78FC" w:rsidRDefault="00BB78FC" w:rsidP="00BB78FC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="004750B9">
        <w:rPr>
          <w:i/>
        </w:rPr>
        <w:t>Mark Lipp, Esq.</w:t>
      </w:r>
      <w:r w:rsidR="004750B9">
        <w:t>, Letter, 27 FCC Rcd 15190</w:t>
      </w:r>
      <w:r w:rsidRPr="00BB78FC">
        <w:t xml:space="preserve"> </w:t>
      </w:r>
      <w:r w:rsidR="004750B9">
        <w:t>(MB 2012</w:t>
      </w:r>
      <w:r>
        <w:t xml:space="preserve">) </w:t>
      </w:r>
      <w:r w:rsidRPr="00BB78FC">
        <w:t>(“</w:t>
      </w:r>
      <w:r w:rsidRPr="00BB78FC">
        <w:rPr>
          <w:i/>
        </w:rPr>
        <w:t>Reconsideration Decision</w:t>
      </w:r>
      <w:r w:rsidRPr="00BB78FC">
        <w:t>”)</w:t>
      </w:r>
      <w:r>
        <w:t>.</w:t>
      </w:r>
    </w:p>
  </w:footnote>
  <w:footnote w:id="3">
    <w:p w:rsidR="00BB78FC" w:rsidRPr="00BB78FC" w:rsidRDefault="00BB78FC" w:rsidP="00BB78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750B9">
        <w:rPr>
          <w:i/>
        </w:rPr>
        <w:t>Able Radio Corporation</w:t>
      </w:r>
      <w:r>
        <w:t xml:space="preserve">, Letter, </w:t>
      </w:r>
      <w:r w:rsidR="004750B9">
        <w:t>26 FCC Rcd 16161 (MB 2011</w:t>
      </w:r>
      <w:r>
        <w:t>).</w:t>
      </w:r>
      <w:r w:rsidR="003E3366">
        <w:t xml:space="preserve">  On July 11, 2013, Able applied for an involuntary assignment of the Station’s license to Rodney D. Tow, Trustee, stating that it had filed for Chapter 7 bankruptcy on May 22, 2013.  File No. BAPH-20130711</w:t>
      </w:r>
      <w:r w:rsidR="00545909">
        <w:t>AAV, Exhibit 2.  This</w:t>
      </w:r>
      <w:r w:rsidR="003E3366">
        <w:t xml:space="preserve"> involuntary assignment was consummated on December 9, 2013. </w:t>
      </w:r>
      <w:r w:rsidRPr="00BB78FC">
        <w:t xml:space="preserve"> </w:t>
      </w:r>
      <w:r w:rsidR="003E3366">
        <w:t xml:space="preserve">For convenience, we refer to the </w:t>
      </w:r>
      <w:r w:rsidR="00545909">
        <w:t xml:space="preserve">Station </w:t>
      </w:r>
      <w:r w:rsidR="003E3366">
        <w:t>licensee as “Able” herein.</w:t>
      </w:r>
    </w:p>
  </w:footnote>
  <w:footnote w:id="4">
    <w:p w:rsidR="00246DD2" w:rsidRPr="00365153" w:rsidRDefault="00246DD2" w:rsidP="00246D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 w:rsidRPr="00386ADC">
        <w:t>Application for Review</w:t>
      </w:r>
      <w:r>
        <w:t xml:space="preserve"> at 1-3 (citing </w:t>
      </w:r>
      <w:r>
        <w:rPr>
          <w:i/>
        </w:rPr>
        <w:t>Melody Music, Inc. v. FCC</w:t>
      </w:r>
      <w:r>
        <w:t>, 345 F.2d 730 (D.C. Cir. 1965) (establishing</w:t>
      </w:r>
      <w:r w:rsidRPr="00246DD2">
        <w:t xml:space="preserve"> the basic proposition that the Commission must treat similarly-situated applicants similarly or exp</w:t>
      </w:r>
      <w:r>
        <w:t xml:space="preserve">lain the differential treatment); 47 U.S.C. </w:t>
      </w:r>
      <w:r w:rsidR="006575BB">
        <w:t>§</w:t>
      </w:r>
      <w:r>
        <w:t>§ 309(j), 308(b), 310(d)).</w:t>
      </w:r>
    </w:p>
  </w:footnote>
  <w:footnote w:id="5">
    <w:p w:rsidR="00D7304B" w:rsidRDefault="00D730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B54CB">
        <w:rPr>
          <w:i/>
        </w:rPr>
        <w:t xml:space="preserve">See </w:t>
      </w:r>
      <w:r w:rsidRPr="00D7304B">
        <w:rPr>
          <w:i/>
          <w:iCs/>
        </w:rPr>
        <w:t>Implementation of Section 309(j) of the Communications Ac</w:t>
      </w:r>
      <w:r w:rsidR="00246DD2">
        <w:rPr>
          <w:i/>
          <w:iCs/>
        </w:rPr>
        <w:t>t—</w:t>
      </w:r>
      <w:r w:rsidRPr="00D7304B">
        <w:rPr>
          <w:i/>
          <w:iCs/>
        </w:rPr>
        <w:t>Competitive Bidding for Commercial Broadcast and Instructional Television Fixed Services Licenses</w:t>
      </w:r>
      <w:r w:rsidRPr="00D7304B">
        <w:rPr>
          <w:iCs/>
        </w:rPr>
        <w:t>,</w:t>
      </w:r>
      <w:r w:rsidRPr="00D7304B">
        <w:rPr>
          <w:i/>
          <w:iCs/>
        </w:rPr>
        <w:t xml:space="preserve"> </w:t>
      </w:r>
      <w:r w:rsidRPr="00D7304B">
        <w:rPr>
          <w:iCs/>
        </w:rPr>
        <w:t>First Report and Order</w:t>
      </w:r>
      <w:r w:rsidRPr="00D7304B">
        <w:t>, 13 FCC Rcd 15920</w:t>
      </w:r>
      <w:r w:rsidR="003470A2">
        <w:t>, 15986</w:t>
      </w:r>
      <w:r w:rsidRPr="00D7304B">
        <w:t xml:space="preserve"> (1998)</w:t>
      </w:r>
      <w:r w:rsidR="003470A2">
        <w:t xml:space="preserve"> (subsequent history omitted)</w:t>
      </w:r>
      <w:r w:rsidRPr="00D7304B">
        <w:t xml:space="preserve"> </w:t>
      </w:r>
      <w:r>
        <w:t xml:space="preserve">(establishing </w:t>
      </w:r>
      <w:r w:rsidRPr="00D7304B">
        <w:t>“</w:t>
      </w:r>
      <w:r>
        <w:t xml:space="preserve">a </w:t>
      </w:r>
      <w:r w:rsidRPr="00D7304B">
        <w:t>more lenient approach toward the processing of defective broadcast applications for new facilities and major changes, . . . permitting multiple corrective amendments, if necessary”</w:t>
      </w:r>
      <w:r w:rsidR="00BA5E89">
        <w:t xml:space="preserve"> due </w:t>
      </w:r>
      <w:r w:rsidR="006A7A5E">
        <w:t xml:space="preserve">to </w:t>
      </w:r>
      <w:r w:rsidR="00BA5E89" w:rsidRPr="00BA5E89">
        <w:t>the relatively small volume of winning bidder long-form applications, the relatively brief time period that winning bidders have to prepare and file their long-form applications following the close of an auction, and the incentive for auction winners to recoup their bid expenditures</w:t>
      </w:r>
      <w:r>
        <w:t>)</w:t>
      </w:r>
      <w:r w:rsidR="00755EAA">
        <w:t xml:space="preserve">; </w:t>
      </w:r>
      <w:r w:rsidR="00755EAA">
        <w:rPr>
          <w:i/>
        </w:rPr>
        <w:t>see als</w:t>
      </w:r>
      <w:r w:rsidR="000C12A4">
        <w:rPr>
          <w:i/>
        </w:rPr>
        <w:t xml:space="preserve">o, e.g., </w:t>
      </w:r>
      <w:r w:rsidR="00755EAA">
        <w:rPr>
          <w:i/>
        </w:rPr>
        <w:t>David Oxenford, Esq.</w:t>
      </w:r>
      <w:r w:rsidR="00755EAA">
        <w:t xml:space="preserve">, Letter, 28 FCC Rcd </w:t>
      </w:r>
      <w:r w:rsidR="00755EAA" w:rsidRPr="00755EAA">
        <w:t>6269</w:t>
      </w:r>
      <w:r w:rsidR="00755EAA">
        <w:t>, 6271 (MB 2012)</w:t>
      </w:r>
      <w:r>
        <w:t>.</w:t>
      </w:r>
    </w:p>
  </w:footnote>
  <w:footnote w:id="6">
    <w:p w:rsidR="006F3E53" w:rsidRPr="006F3E53" w:rsidRDefault="006F3E53" w:rsidP="006F3E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 w:rsidRPr="006A2E44">
        <w:t xml:space="preserve">Instructions for FCC </w:t>
      </w:r>
      <w:r w:rsidR="00C10AEA" w:rsidRPr="006A2E44">
        <w:t xml:space="preserve">Form </w:t>
      </w:r>
      <w:r w:rsidRPr="006A2E44">
        <w:t>301,</w:t>
      </w:r>
      <w:r>
        <w:rPr>
          <w:i/>
        </w:rPr>
        <w:t xml:space="preserve"> </w:t>
      </w:r>
      <w:r w:rsidR="00B11158">
        <w:t xml:space="preserve">Section I.K, </w:t>
      </w:r>
      <w:r w:rsidR="006A2E44" w:rsidRPr="006A2E44">
        <w:t>http://transition.fcc.gov/Forms/Form301/301.pdf</w:t>
      </w:r>
      <w:r>
        <w:t xml:space="preserve"> </w:t>
      </w:r>
      <w:r w:rsidRPr="006F3E53">
        <w:t>(</w:t>
      </w:r>
      <w:r>
        <w:t>May 2012) (“</w:t>
      </w:r>
      <w:r w:rsidRPr="003C4577">
        <w:t>All a</w:t>
      </w:r>
      <w:r>
        <w:t xml:space="preserve">pplicants for broadcast facilities must have a reasonable assurance that the specified site will be available at the </w:t>
      </w:r>
      <w:r w:rsidR="003C4577">
        <w:t>time they file FCC Form 301.”)</w:t>
      </w:r>
      <w:r>
        <w:t xml:space="preserve">. </w:t>
      </w:r>
    </w:p>
  </w:footnote>
  <w:footnote w:id="7">
    <w:p w:rsidR="00755EAA" w:rsidRPr="00755EAA" w:rsidRDefault="00755E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Reconsideration Decision</w:t>
      </w:r>
      <w:r>
        <w:t>, 27 FCC Rcd at 15192-3.</w:t>
      </w:r>
    </w:p>
  </w:footnote>
  <w:footnote w:id="8">
    <w:p w:rsidR="003470A2" w:rsidRPr="003470A2" w:rsidRDefault="003470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 w:rsidR="00246DD2">
        <w:rPr>
          <w:i/>
        </w:rPr>
        <w:t>1998 Biennial Regulatory Review—</w:t>
      </w:r>
      <w:r>
        <w:rPr>
          <w:i/>
        </w:rPr>
        <w:t>Streamlining of Mass Media Applications, Rules, and Processes</w:t>
      </w:r>
      <w:r>
        <w:t xml:space="preserve">, Report and Order, 13 FCC Rcd 23056, 23071 (1998) (subsequent history omitted). </w:t>
      </w:r>
    </w:p>
  </w:footnote>
  <w:footnote w:id="9">
    <w:p w:rsidR="0040710F" w:rsidRPr="00320BF6" w:rsidRDefault="0040710F" w:rsidP="0040710F">
      <w:pPr>
        <w:pStyle w:val="FootnoteText"/>
      </w:pPr>
      <w:r w:rsidRPr="00320BF6">
        <w:rPr>
          <w:rStyle w:val="FootnoteReference"/>
        </w:rPr>
        <w:footnoteRef/>
      </w:r>
      <w:r w:rsidRPr="00320BF6">
        <w:t xml:space="preserve"> 47 U.S.C. § 155(c)(5).</w:t>
      </w:r>
    </w:p>
  </w:footnote>
  <w:footnote w:id="10">
    <w:p w:rsidR="0040710F" w:rsidRPr="00320BF6" w:rsidRDefault="0040710F" w:rsidP="0040710F">
      <w:pPr>
        <w:pStyle w:val="FootnoteText"/>
      </w:pPr>
      <w:r w:rsidRPr="00320BF6">
        <w:rPr>
          <w:rStyle w:val="FootnoteReference"/>
        </w:rPr>
        <w:footnoteRef/>
      </w:r>
      <w:r w:rsidRPr="00320BF6">
        <w:t xml:space="preserve"> 47 C.F.R. § 1.115(g).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CE" w:rsidRDefault="00301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C66AA7">
      <w:t>FCC 14-51</w:t>
    </w:r>
  </w:p>
  <w:p w:rsidR="00D25FB5" w:rsidRDefault="003E1A1E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EF16E09" wp14:editId="7F17256F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3E1A1E" w:rsidP="00810B6F">
    <w:pPr>
      <w:pStyle w:val="Header"/>
      <w:rPr>
        <w:b w:val="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 w:rsidR="00C66AA7">
      <w:rPr>
        <w:spacing w:val="-2"/>
      </w:rPr>
      <w:t>FCC 14-51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50B613A"/>
    <w:multiLevelType w:val="hybridMultilevel"/>
    <w:tmpl w:val="CB1EEC0A"/>
    <w:lvl w:ilvl="0" w:tplc="B8F4E8D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10"/>
    <w:rsid w:val="00011DA6"/>
    <w:rsid w:val="000130E8"/>
    <w:rsid w:val="00036039"/>
    <w:rsid w:val="00037F90"/>
    <w:rsid w:val="00073807"/>
    <w:rsid w:val="0007640B"/>
    <w:rsid w:val="000870B5"/>
    <w:rsid w:val="000875BF"/>
    <w:rsid w:val="00096D8C"/>
    <w:rsid w:val="000C0B65"/>
    <w:rsid w:val="000C12A4"/>
    <w:rsid w:val="000E05FE"/>
    <w:rsid w:val="000E3D42"/>
    <w:rsid w:val="00122BD5"/>
    <w:rsid w:val="00133F79"/>
    <w:rsid w:val="00136EA4"/>
    <w:rsid w:val="00194A66"/>
    <w:rsid w:val="001B54CB"/>
    <w:rsid w:val="001D6BCF"/>
    <w:rsid w:val="001E01CA"/>
    <w:rsid w:val="00246DD2"/>
    <w:rsid w:val="00253943"/>
    <w:rsid w:val="002639CC"/>
    <w:rsid w:val="002712C8"/>
    <w:rsid w:val="00275CF5"/>
    <w:rsid w:val="0028301F"/>
    <w:rsid w:val="00285017"/>
    <w:rsid w:val="002A2D2E"/>
    <w:rsid w:val="002D6F2E"/>
    <w:rsid w:val="003018CE"/>
    <w:rsid w:val="00343749"/>
    <w:rsid w:val="003470A2"/>
    <w:rsid w:val="00365153"/>
    <w:rsid w:val="003660ED"/>
    <w:rsid w:val="00386ADC"/>
    <w:rsid w:val="003B0550"/>
    <w:rsid w:val="003B694F"/>
    <w:rsid w:val="003C4577"/>
    <w:rsid w:val="003E1A1E"/>
    <w:rsid w:val="003E3366"/>
    <w:rsid w:val="003F171C"/>
    <w:rsid w:val="0040710F"/>
    <w:rsid w:val="00412FC5"/>
    <w:rsid w:val="00422276"/>
    <w:rsid w:val="004242F1"/>
    <w:rsid w:val="0042547E"/>
    <w:rsid w:val="00445A00"/>
    <w:rsid w:val="00451B0F"/>
    <w:rsid w:val="00462730"/>
    <w:rsid w:val="004750B9"/>
    <w:rsid w:val="004C2EE3"/>
    <w:rsid w:val="004E4A22"/>
    <w:rsid w:val="005059E4"/>
    <w:rsid w:val="00511968"/>
    <w:rsid w:val="00545909"/>
    <w:rsid w:val="0055614C"/>
    <w:rsid w:val="0055749C"/>
    <w:rsid w:val="005B0123"/>
    <w:rsid w:val="005B4DE0"/>
    <w:rsid w:val="005B54C0"/>
    <w:rsid w:val="005E14C2"/>
    <w:rsid w:val="00607BA5"/>
    <w:rsid w:val="006149AD"/>
    <w:rsid w:val="006238E9"/>
    <w:rsid w:val="00626EB6"/>
    <w:rsid w:val="00655D03"/>
    <w:rsid w:val="006575BB"/>
    <w:rsid w:val="00683388"/>
    <w:rsid w:val="00683F84"/>
    <w:rsid w:val="0069575D"/>
    <w:rsid w:val="006A2E44"/>
    <w:rsid w:val="006A6A81"/>
    <w:rsid w:val="006A7A5E"/>
    <w:rsid w:val="006C6CC1"/>
    <w:rsid w:val="006E29E6"/>
    <w:rsid w:val="006F3E53"/>
    <w:rsid w:val="006F7393"/>
    <w:rsid w:val="0070224F"/>
    <w:rsid w:val="007115F7"/>
    <w:rsid w:val="00714E37"/>
    <w:rsid w:val="0071794E"/>
    <w:rsid w:val="00755EAA"/>
    <w:rsid w:val="007578AB"/>
    <w:rsid w:val="00785689"/>
    <w:rsid w:val="00792A80"/>
    <w:rsid w:val="0079754B"/>
    <w:rsid w:val="007A1E6D"/>
    <w:rsid w:val="007B0EB2"/>
    <w:rsid w:val="007C52AC"/>
    <w:rsid w:val="007F76AC"/>
    <w:rsid w:val="00810B6F"/>
    <w:rsid w:val="00811482"/>
    <w:rsid w:val="00822CE0"/>
    <w:rsid w:val="00841AB1"/>
    <w:rsid w:val="00856EE6"/>
    <w:rsid w:val="00863499"/>
    <w:rsid w:val="00864910"/>
    <w:rsid w:val="008C68F1"/>
    <w:rsid w:val="008D3629"/>
    <w:rsid w:val="00921803"/>
    <w:rsid w:val="009264F3"/>
    <w:rsid w:val="00926503"/>
    <w:rsid w:val="009726D8"/>
    <w:rsid w:val="009F76DB"/>
    <w:rsid w:val="00A16DD2"/>
    <w:rsid w:val="00A32C3B"/>
    <w:rsid w:val="00A375AC"/>
    <w:rsid w:val="00A4030F"/>
    <w:rsid w:val="00A418FB"/>
    <w:rsid w:val="00A45F4F"/>
    <w:rsid w:val="00A600A9"/>
    <w:rsid w:val="00AA55B7"/>
    <w:rsid w:val="00AA5B9E"/>
    <w:rsid w:val="00AA6FA2"/>
    <w:rsid w:val="00AB2407"/>
    <w:rsid w:val="00AB3154"/>
    <w:rsid w:val="00AB53DF"/>
    <w:rsid w:val="00B07E5C"/>
    <w:rsid w:val="00B11158"/>
    <w:rsid w:val="00B1769F"/>
    <w:rsid w:val="00B466DD"/>
    <w:rsid w:val="00B811F7"/>
    <w:rsid w:val="00BA5DC6"/>
    <w:rsid w:val="00BA5E89"/>
    <w:rsid w:val="00BA6196"/>
    <w:rsid w:val="00BB1394"/>
    <w:rsid w:val="00BB78FC"/>
    <w:rsid w:val="00BC6D8C"/>
    <w:rsid w:val="00C10AEA"/>
    <w:rsid w:val="00C2393A"/>
    <w:rsid w:val="00C34006"/>
    <w:rsid w:val="00C426B1"/>
    <w:rsid w:val="00C66160"/>
    <w:rsid w:val="00C66AA7"/>
    <w:rsid w:val="00C721AC"/>
    <w:rsid w:val="00C84110"/>
    <w:rsid w:val="00C90D6A"/>
    <w:rsid w:val="00CA247E"/>
    <w:rsid w:val="00CC15F0"/>
    <w:rsid w:val="00CC72B6"/>
    <w:rsid w:val="00CE2DD8"/>
    <w:rsid w:val="00CE3FE7"/>
    <w:rsid w:val="00D0218D"/>
    <w:rsid w:val="00D07C61"/>
    <w:rsid w:val="00D25FB5"/>
    <w:rsid w:val="00D44223"/>
    <w:rsid w:val="00D7304B"/>
    <w:rsid w:val="00D75D9D"/>
    <w:rsid w:val="00D953BB"/>
    <w:rsid w:val="00DA2529"/>
    <w:rsid w:val="00DB130A"/>
    <w:rsid w:val="00DB2EBB"/>
    <w:rsid w:val="00DC10A1"/>
    <w:rsid w:val="00DC655F"/>
    <w:rsid w:val="00DD0B59"/>
    <w:rsid w:val="00DD3465"/>
    <w:rsid w:val="00DD50B9"/>
    <w:rsid w:val="00DD7EBD"/>
    <w:rsid w:val="00DF62B6"/>
    <w:rsid w:val="00E07225"/>
    <w:rsid w:val="00E2768A"/>
    <w:rsid w:val="00E364F8"/>
    <w:rsid w:val="00E5409F"/>
    <w:rsid w:val="00E54A92"/>
    <w:rsid w:val="00E7792D"/>
    <w:rsid w:val="00E90EF7"/>
    <w:rsid w:val="00EE6488"/>
    <w:rsid w:val="00F021FA"/>
    <w:rsid w:val="00F02BC1"/>
    <w:rsid w:val="00F10C93"/>
    <w:rsid w:val="00F357CE"/>
    <w:rsid w:val="00F62E97"/>
    <w:rsid w:val="00F64209"/>
    <w:rsid w:val="00F92B4B"/>
    <w:rsid w:val="00F93BF5"/>
    <w:rsid w:val="00FA4189"/>
    <w:rsid w:val="00FD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odyText">
    <w:name w:val="Body Text"/>
    <w:basedOn w:val="Normal"/>
    <w:link w:val="BodyTextChar"/>
    <w:rsid w:val="00DD50B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D50B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856E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EE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6EE6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856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6EE6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856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EE6"/>
    <w:rPr>
      <w:rFonts w:ascii="Tahoma" w:hAnsi="Tahoma" w:cs="Tahoma"/>
      <w:snapToGrid w:val="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odyText">
    <w:name w:val="Body Text"/>
    <w:basedOn w:val="Normal"/>
    <w:link w:val="BodyTextChar"/>
    <w:rsid w:val="00DD50B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D50B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856E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EE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6EE6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856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6EE6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856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EE6"/>
    <w:rPr>
      <w:rFonts w:ascii="Tahoma" w:hAnsi="Tahoma" w:cs="Tahoma"/>
      <w:snapToGrid w:val="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2</Pages>
  <Words>574</Words>
  <Characters>3282</Characters>
  <Application>Microsoft Office Word</Application>
  <DocSecurity>0</DocSecurity>
  <Lines>80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3885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2014-02-14T16:34:00Z</cp:lastPrinted>
  <dcterms:created xsi:type="dcterms:W3CDTF">2014-04-23T19:02:00Z</dcterms:created>
  <dcterms:modified xsi:type="dcterms:W3CDTF">2014-04-23T19:02:00Z</dcterms:modified>
  <cp:category> </cp:category>
  <cp:contentStatus> </cp:contentStatus>
</cp:coreProperties>
</file>