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1F165D" w:rsidRPr="00150FBA" w:rsidRDefault="001F165D" w:rsidP="001F165D">
            <w:pPr>
              <w:ind w:right="-18"/>
              <w:rPr>
                <w:szCs w:val="22"/>
              </w:rPr>
            </w:pPr>
            <w:r w:rsidRPr="00150FBA">
              <w:rPr>
                <w:szCs w:val="22"/>
              </w:rPr>
              <w:t xml:space="preserve">In </w:t>
            </w:r>
            <w:r>
              <w:rPr>
                <w:szCs w:val="22"/>
              </w:rPr>
              <w:t>th</w:t>
            </w:r>
            <w:r w:rsidRPr="00150FBA">
              <w:rPr>
                <w:szCs w:val="22"/>
              </w:rPr>
              <w:t>e</w:t>
            </w:r>
            <w:r>
              <w:rPr>
                <w:szCs w:val="22"/>
              </w:rPr>
              <w:t xml:space="preserve"> Matter of</w:t>
            </w:r>
          </w:p>
          <w:p w:rsidR="001F165D" w:rsidRPr="00150FBA" w:rsidRDefault="001F165D" w:rsidP="001F165D">
            <w:pPr>
              <w:ind w:right="-18"/>
              <w:rPr>
                <w:szCs w:val="22"/>
              </w:rPr>
            </w:pPr>
          </w:p>
          <w:p w:rsidR="001F165D" w:rsidRPr="0015756E" w:rsidRDefault="001F165D" w:rsidP="001F165D">
            <w:pPr>
              <w:tabs>
                <w:tab w:val="left" w:pos="-720"/>
              </w:tabs>
              <w:suppressAutoHyphens/>
              <w:jc w:val="both"/>
              <w:rPr>
                <w:spacing w:val="-3"/>
                <w:szCs w:val="22"/>
              </w:rPr>
            </w:pPr>
            <w:r w:rsidRPr="0015756E">
              <w:rPr>
                <w:spacing w:val="-3"/>
                <w:szCs w:val="22"/>
              </w:rPr>
              <w:t>Puerto Rico Public Broadcasting Corp.</w:t>
            </w:r>
            <w:r w:rsidRPr="0015756E">
              <w:rPr>
                <w:spacing w:val="-3"/>
                <w:szCs w:val="22"/>
              </w:rPr>
              <w:tab/>
            </w:r>
            <w:r w:rsidRPr="0015756E">
              <w:rPr>
                <w:spacing w:val="-3"/>
                <w:szCs w:val="22"/>
              </w:rPr>
              <w:tab/>
            </w:r>
            <w:r w:rsidRPr="0015756E">
              <w:rPr>
                <w:spacing w:val="-3"/>
                <w:szCs w:val="22"/>
              </w:rPr>
              <w:tab/>
            </w:r>
            <w:r w:rsidRPr="0015756E">
              <w:rPr>
                <w:spacing w:val="-3"/>
                <w:szCs w:val="22"/>
              </w:rPr>
              <w:tab/>
            </w:r>
            <w:r w:rsidRPr="0015756E">
              <w:rPr>
                <w:spacing w:val="-3"/>
                <w:szCs w:val="22"/>
              </w:rPr>
              <w:tab/>
            </w:r>
            <w:r w:rsidRPr="0015756E">
              <w:rPr>
                <w:spacing w:val="-3"/>
                <w:szCs w:val="22"/>
              </w:rPr>
              <w:tab/>
              <w:t xml:space="preserve">   </w:t>
            </w:r>
            <w:r w:rsidRPr="0015756E">
              <w:rPr>
                <w:spacing w:val="-3"/>
                <w:szCs w:val="22"/>
              </w:rPr>
              <w:tab/>
              <w:t xml:space="preserve">    </w:t>
            </w:r>
            <w:r w:rsidRPr="0015756E">
              <w:rPr>
                <w:spacing w:val="-3"/>
                <w:szCs w:val="22"/>
              </w:rPr>
              <w:tab/>
            </w:r>
          </w:p>
          <w:p w:rsidR="001F165D" w:rsidRPr="00114EFD" w:rsidRDefault="001F165D" w:rsidP="001F165D">
            <w:pPr>
              <w:tabs>
                <w:tab w:val="left" w:pos="-720"/>
              </w:tabs>
              <w:suppressAutoHyphens/>
              <w:jc w:val="both"/>
              <w:rPr>
                <w:spacing w:val="-3"/>
                <w:szCs w:val="22"/>
              </w:rPr>
            </w:pPr>
            <w:r>
              <w:rPr>
                <w:szCs w:val="22"/>
              </w:rPr>
              <w:t>Application for a Permit to Construct a New</w:t>
            </w:r>
            <w:r>
              <w:rPr>
                <w:spacing w:val="-3"/>
                <w:szCs w:val="22"/>
              </w:rPr>
              <w:tab/>
              <w:t xml:space="preserve">    </w:t>
            </w:r>
          </w:p>
          <w:p w:rsidR="001F165D" w:rsidRDefault="001F165D" w:rsidP="001F165D">
            <w:pPr>
              <w:tabs>
                <w:tab w:val="left" w:pos="-720"/>
              </w:tabs>
              <w:suppressAutoHyphens/>
              <w:jc w:val="both"/>
              <w:rPr>
                <w:spacing w:val="-3"/>
                <w:szCs w:val="22"/>
              </w:rPr>
            </w:pPr>
            <w:r>
              <w:rPr>
                <w:szCs w:val="22"/>
              </w:rPr>
              <w:t xml:space="preserve">Noncommercial Educational FM Station </w:t>
            </w:r>
            <w:r>
              <w:rPr>
                <w:b/>
                <w:spacing w:val="-3"/>
                <w:szCs w:val="22"/>
              </w:rPr>
              <w:tab/>
            </w:r>
          </w:p>
          <w:p w:rsidR="004C2EE3" w:rsidRPr="001F165D" w:rsidRDefault="001F165D" w:rsidP="001F165D">
            <w:pPr>
              <w:ind w:right="-18"/>
              <w:rPr>
                <w:szCs w:val="22"/>
              </w:rPr>
            </w:pPr>
            <w:r>
              <w:rPr>
                <w:spacing w:val="-3"/>
                <w:szCs w:val="22"/>
              </w:rPr>
              <w:t xml:space="preserve">at Mayaguez, Puerto Rico </w:t>
            </w:r>
          </w:p>
        </w:tc>
        <w:tc>
          <w:tcPr>
            <w:tcW w:w="630" w:type="dxa"/>
          </w:tcPr>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1F165D" w:rsidRPr="00150FBA" w:rsidRDefault="001F165D" w:rsidP="001F165D">
            <w:pPr>
              <w:rPr>
                <w:b/>
                <w:szCs w:val="22"/>
              </w:rPr>
            </w:pPr>
            <w:r w:rsidRPr="00150FBA">
              <w:rPr>
                <w:b/>
                <w:szCs w:val="22"/>
              </w:rPr>
              <w:t>)</w:t>
            </w:r>
          </w:p>
          <w:p w:rsidR="004C2EE3" w:rsidRPr="001F165D" w:rsidRDefault="001F165D" w:rsidP="001F165D">
            <w:pPr>
              <w:rPr>
                <w:b/>
                <w:szCs w:val="22"/>
              </w:rPr>
            </w:pPr>
            <w:r w:rsidRPr="00150FBA">
              <w:rPr>
                <w:b/>
                <w:szCs w:val="2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F165D" w:rsidRDefault="001F165D" w:rsidP="001F165D">
            <w:pPr>
              <w:rPr>
                <w:spacing w:val="-3"/>
                <w:szCs w:val="22"/>
              </w:rPr>
            </w:pPr>
          </w:p>
          <w:p w:rsidR="001F165D" w:rsidRDefault="001F165D" w:rsidP="001F165D">
            <w:pPr>
              <w:rPr>
                <w:spacing w:val="-3"/>
                <w:szCs w:val="22"/>
              </w:rPr>
            </w:pPr>
          </w:p>
          <w:p w:rsidR="001F165D" w:rsidRPr="00150FBA" w:rsidRDefault="001F165D" w:rsidP="001F165D">
            <w:pPr>
              <w:rPr>
                <w:szCs w:val="22"/>
              </w:rPr>
            </w:pPr>
            <w:r>
              <w:rPr>
                <w:spacing w:val="-3"/>
                <w:szCs w:val="22"/>
              </w:rPr>
              <w:t>File No. BNPED-20071022DXS</w:t>
            </w:r>
          </w:p>
          <w:p w:rsidR="001F165D" w:rsidRDefault="006A6CFE" w:rsidP="001F165D">
            <w:pPr>
              <w:rPr>
                <w:szCs w:val="22"/>
              </w:rPr>
            </w:pPr>
            <w:r>
              <w:rPr>
                <w:szCs w:val="22"/>
              </w:rPr>
              <w:t>Facility ID</w:t>
            </w:r>
            <w:r w:rsidR="001F165D">
              <w:rPr>
                <w:szCs w:val="22"/>
              </w:rPr>
              <w:t xml:space="preserve"> No. </w:t>
            </w:r>
            <w:r w:rsidR="001F165D">
              <w:rPr>
                <w:spacing w:val="-3"/>
                <w:szCs w:val="22"/>
              </w:rPr>
              <w:t>123286</w:t>
            </w:r>
            <w:r w:rsidR="001F165D" w:rsidRPr="00150FBA">
              <w:rPr>
                <w:szCs w:val="22"/>
              </w:rPr>
              <w:t xml:space="preserve">    </w:t>
            </w:r>
          </w:p>
          <w:p w:rsidR="004C2EE3" w:rsidRPr="001F165D" w:rsidRDefault="001F165D" w:rsidP="001F165D">
            <w:pPr>
              <w:rPr>
                <w:szCs w:val="22"/>
              </w:rPr>
            </w:pPr>
            <w:r>
              <w:rPr>
                <w:spacing w:val="-3"/>
                <w:szCs w:val="22"/>
              </w:rPr>
              <w:t>MX Group No. 221</w:t>
            </w:r>
            <w:r w:rsidRPr="00150FBA">
              <w:rPr>
                <w:szCs w:val="22"/>
              </w:rPr>
              <w:t xml:space="preserve">                      </w:t>
            </w:r>
          </w:p>
        </w:tc>
      </w:tr>
    </w:tbl>
    <w:p w:rsidR="004C2EE3" w:rsidRDefault="004C2EE3" w:rsidP="0070224F"/>
    <w:p w:rsidR="001F165D" w:rsidRDefault="001F165D" w:rsidP="001F165D">
      <w:pPr>
        <w:jc w:val="center"/>
        <w:rPr>
          <w:szCs w:val="22"/>
        </w:rPr>
      </w:pPr>
      <w:r w:rsidRPr="00411012">
        <w:rPr>
          <w:b/>
          <w:szCs w:val="22"/>
        </w:rPr>
        <w:t>MEMORANDUM OPINION AND ORDER</w:t>
      </w:r>
    </w:p>
    <w:p w:rsidR="00841AB1" w:rsidRDefault="00841AB1"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7684C">
        <w:rPr>
          <w:b/>
          <w:spacing w:val="-2"/>
        </w:rPr>
        <w:t>April 23,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01B12">
        <w:rPr>
          <w:b/>
          <w:spacing w:val="-2"/>
        </w:rPr>
        <w:t>April 23, 2014</w:t>
      </w:r>
    </w:p>
    <w:p w:rsidR="00822CE0" w:rsidRDefault="00822CE0"/>
    <w:p w:rsidR="004C2EE3" w:rsidRDefault="004C2EE3">
      <w:pPr>
        <w:rPr>
          <w:spacing w:val="-2"/>
        </w:rPr>
      </w:pPr>
      <w:r>
        <w:t xml:space="preserve">By </w:t>
      </w:r>
      <w:r w:rsidR="004E4A22">
        <w:t>the</w:t>
      </w:r>
      <w:r w:rsidR="002A2D2E">
        <w:t xml:space="preserve"> </w:t>
      </w:r>
      <w:r w:rsidR="001F165D">
        <w:rPr>
          <w:spacing w:val="-2"/>
        </w:rPr>
        <w:t>Commission:</w:t>
      </w:r>
    </w:p>
    <w:p w:rsidR="00412FC5" w:rsidRDefault="00412FC5" w:rsidP="00412FC5"/>
    <w:p w:rsidR="00A004F7" w:rsidRDefault="00A004F7" w:rsidP="00BB5A30">
      <w:pPr>
        <w:pStyle w:val="ParaNum"/>
      </w:pPr>
      <w:r>
        <w:t>The Commission has before it for consideration an Application for Review filed on May 19, 2011 by Puerto Rico Public Broadcasting Corporation (“PRPBC”), concerning dismissal of its October 22, 2007 application for a permit to construct a new noncommercial educational (“NCE”) FM station at Mayaguez, Puerto Rico.  PRPBC seeks review of an April 19, 2011 decision letter by the Media Bureau, Audio Division (the “Bureau”)</w:t>
      </w:r>
      <w:r>
        <w:rPr>
          <w:rStyle w:val="FootnoteReference"/>
          <w:szCs w:val="22"/>
        </w:rPr>
        <w:footnoteReference w:id="2"/>
      </w:r>
      <w:r>
        <w:t xml:space="preserve"> which found that the proposed station would violate the Commission’s rules </w:t>
      </w:r>
      <w:r>
        <w:rPr>
          <w:spacing w:val="-3"/>
        </w:rPr>
        <w:t>by causing interference to an existing NCE-FM broadcast station.</w:t>
      </w:r>
      <w:r>
        <w:rPr>
          <w:rStyle w:val="FootnoteReference"/>
          <w:spacing w:val="-3"/>
          <w:szCs w:val="22"/>
        </w:rPr>
        <w:footnoteReference w:id="3"/>
      </w:r>
      <w:r>
        <w:rPr>
          <w:spacing w:val="-3"/>
        </w:rPr>
        <w:t xml:space="preserve">  The </w:t>
      </w:r>
      <w:r>
        <w:rPr>
          <w:i/>
          <w:spacing w:val="-3"/>
        </w:rPr>
        <w:t xml:space="preserve">Letter </w:t>
      </w:r>
      <w:r>
        <w:t>denied PRPBC’s request for a waiver of section 73.509 of the Commission’s Rules despite PRPBC’s prediction that the area’s rugged terrain would limit the number of people receiving interference to fewer than 4,000 and PRPBC’s showing that the affected broadcaster was willing to accept the interference.  The Bureau reasoned that although grant of such waiver requests might seem appealing when viewed individually, they can cause substantial damage when combined with numerous similar waivers over time.  The Bureau noted that, in particular, while a single waiver grant might provide new service to many while causing interference to a few, the cumulative impact of multiple such waivers would be a serious degradation of existing FM reception quality throughout the entire portion of the FM band reserved for NCE service.</w:t>
      </w:r>
      <w:r>
        <w:rPr>
          <w:rStyle w:val="FootnoteReference"/>
          <w:szCs w:val="22"/>
        </w:rPr>
        <w:footnoteReference w:id="4"/>
      </w:r>
      <w:r>
        <w:t xml:space="preserve"> Accordingly, the Bureau dismissed the application.  On review, PRPBC contends that the Bureau’s reasoning was flawed because PRPBC presents circumstances that are “so unique” that any waiver granted to PRPBC would not establish precedent for similar waivers to others.</w:t>
      </w:r>
      <w:r>
        <w:rPr>
          <w:rStyle w:val="FootnoteReference"/>
          <w:szCs w:val="22"/>
        </w:rPr>
        <w:footnoteReference w:id="5"/>
      </w:r>
      <w:r>
        <w:t xml:space="preserve">  Specifically, PRPBC argues that it is an “instrumentality” of the government of Puerto Rico with a statutory mission</w:t>
      </w:r>
      <w:r w:rsidR="004507FD">
        <w:t xml:space="preserve"> </w:t>
      </w:r>
      <w:r w:rsidR="004507FD" w:rsidRPr="004507FD">
        <w:t>to assess and attend to Puerto Rico’s population as a whole</w:t>
      </w:r>
      <w:r>
        <w:t>, and is located on an especially rugged island with difficult signal propagation characteristics.</w:t>
      </w:r>
    </w:p>
    <w:p w:rsidR="00A004F7" w:rsidRPr="00F34CFF" w:rsidRDefault="00A004F7" w:rsidP="00BB5A30">
      <w:pPr>
        <w:pStyle w:val="ParaNum"/>
      </w:pPr>
      <w:r>
        <w:t xml:space="preserve">With respect to PRPBC’s offering its mission and its relationship with the government as potential grounds for a waiver, PRPBC did not make this argument in its original waiver request and the </w:t>
      </w:r>
      <w:r>
        <w:lastRenderedPageBreak/>
        <w:t>Bureau therefore had no opportunity to address it in that context.</w:t>
      </w:r>
      <w:r>
        <w:rPr>
          <w:rStyle w:val="FootnoteReference"/>
        </w:rPr>
        <w:footnoteReference w:id="6"/>
      </w:r>
      <w:r>
        <w:t xml:space="preserve">  Similarly, PRPBC failed to raise before the Bureau any of the precedent that it now cites in its Application for Review.</w:t>
      </w:r>
      <w:r>
        <w:rPr>
          <w:rStyle w:val="FootnoteReference"/>
        </w:rPr>
        <w:footnoteReference w:id="7"/>
      </w:r>
      <w:r>
        <w:t xml:space="preserve"> Accordingly, we will dismiss this portion of PRPBC’s Application for Review.</w:t>
      </w:r>
      <w:r>
        <w:rPr>
          <w:rStyle w:val="FootnoteReference"/>
        </w:rPr>
        <w:footnoteReference w:id="8"/>
      </w:r>
      <w:r>
        <w:t xml:space="preserve">  Upon consideration of the remaining portion of the Application for Review and the entire record, we conclude that PRPBC has failed to demonstrate that the Bureau erred.  The Bureau properly decided the matters raised, and we uphold its decision for the reasons stated in its </w:t>
      </w:r>
      <w:r w:rsidRPr="00F34CFF">
        <w:rPr>
          <w:i/>
        </w:rPr>
        <w:t>Letter</w:t>
      </w:r>
      <w:r>
        <w:t xml:space="preserve">.   </w:t>
      </w:r>
    </w:p>
    <w:p w:rsidR="00A004F7" w:rsidRPr="00032FC4" w:rsidRDefault="00A004F7" w:rsidP="00BB5A30">
      <w:pPr>
        <w:pStyle w:val="ParaNum"/>
      </w:pPr>
      <w:r>
        <w:t xml:space="preserve">ACCORDINGLY, IT IS ORDERED that, pursuant to section 5(c)(5) of the Communications Act of 1934, as amended, 47 U.S.C. § 155(c)(5), and section 1.115(g) of the Commission’s rules, 47 C.F.R. § 1.115(g), the Application for Review IS DISMISSED IN PART and DENIED IN PART.  </w:t>
      </w:r>
    </w:p>
    <w:p w:rsidR="00A004F7" w:rsidRPr="006358C3" w:rsidRDefault="00A004F7" w:rsidP="00A004F7">
      <w:r w:rsidRPr="006358C3">
        <w:tab/>
      </w:r>
      <w:r w:rsidRPr="006358C3">
        <w:tab/>
      </w:r>
      <w:r w:rsidRPr="006358C3">
        <w:tab/>
      </w:r>
      <w:r w:rsidRPr="006358C3">
        <w:tab/>
      </w:r>
      <w:r w:rsidRPr="006358C3">
        <w:tab/>
      </w:r>
      <w:r w:rsidRPr="006358C3">
        <w:tab/>
        <w:t>FEDERAL COMMUNICATIONS COMMISSION</w:t>
      </w:r>
    </w:p>
    <w:p w:rsidR="00A004F7" w:rsidRDefault="00A004F7" w:rsidP="00A004F7"/>
    <w:p w:rsidR="00A004F7" w:rsidRDefault="00A004F7" w:rsidP="00A004F7"/>
    <w:p w:rsidR="00A004F7" w:rsidRDefault="00A004F7" w:rsidP="00A004F7"/>
    <w:p w:rsidR="00A004F7" w:rsidRPr="006358C3" w:rsidRDefault="00A004F7" w:rsidP="00A004F7"/>
    <w:p w:rsidR="00A004F7" w:rsidRPr="006358C3" w:rsidRDefault="00A004F7" w:rsidP="00A004F7">
      <w:r>
        <w:t xml:space="preserve"> </w:t>
      </w:r>
      <w:r>
        <w:tab/>
      </w:r>
      <w:r>
        <w:tab/>
      </w:r>
      <w:r>
        <w:tab/>
      </w:r>
      <w:r>
        <w:tab/>
      </w:r>
      <w:r>
        <w:tab/>
      </w:r>
      <w:r>
        <w:tab/>
      </w:r>
      <w:r w:rsidRPr="006358C3">
        <w:t>Marlene H. Dortch</w:t>
      </w:r>
    </w:p>
    <w:p w:rsidR="002C00E8" w:rsidRPr="002C00E8" w:rsidRDefault="00A004F7" w:rsidP="00E04D11">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72" w:rsidRDefault="00E34972">
      <w:pPr>
        <w:spacing w:line="20" w:lineRule="exact"/>
      </w:pPr>
    </w:p>
  </w:endnote>
  <w:endnote w:type="continuationSeparator" w:id="0">
    <w:p w:rsidR="00E34972" w:rsidRDefault="00E34972">
      <w:r>
        <w:t xml:space="preserve"> </w:t>
      </w:r>
    </w:p>
  </w:endnote>
  <w:endnote w:type="continuationNotice" w:id="1">
    <w:p w:rsidR="00E34972" w:rsidRDefault="00E349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7C9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72" w:rsidRDefault="00E34972">
      <w:r>
        <w:separator/>
      </w:r>
    </w:p>
  </w:footnote>
  <w:footnote w:type="continuationSeparator" w:id="0">
    <w:p w:rsidR="00E34972" w:rsidRDefault="00E34972" w:rsidP="00C721AC">
      <w:pPr>
        <w:spacing w:before="120"/>
        <w:rPr>
          <w:sz w:val="20"/>
        </w:rPr>
      </w:pPr>
      <w:r>
        <w:rPr>
          <w:sz w:val="20"/>
        </w:rPr>
        <w:t xml:space="preserve">(Continued from previous page)  </w:t>
      </w:r>
      <w:r>
        <w:rPr>
          <w:sz w:val="20"/>
        </w:rPr>
        <w:separator/>
      </w:r>
    </w:p>
  </w:footnote>
  <w:footnote w:type="continuationNotice" w:id="1">
    <w:p w:rsidR="00E34972" w:rsidRDefault="00E34972" w:rsidP="00C721AC">
      <w:pPr>
        <w:jc w:val="right"/>
        <w:rPr>
          <w:sz w:val="20"/>
        </w:rPr>
      </w:pPr>
      <w:r>
        <w:rPr>
          <w:sz w:val="20"/>
        </w:rPr>
        <w:t>(continued….)</w:t>
      </w:r>
    </w:p>
  </w:footnote>
  <w:footnote w:id="2">
    <w:p w:rsidR="00A004F7" w:rsidRPr="001A717F" w:rsidRDefault="00A004F7" w:rsidP="00A004F7">
      <w:pPr>
        <w:pStyle w:val="FootnoteText"/>
      </w:pPr>
      <w:r w:rsidRPr="001A717F">
        <w:rPr>
          <w:rStyle w:val="FootnoteReference"/>
        </w:rPr>
        <w:footnoteRef/>
      </w:r>
      <w:r w:rsidRPr="001A717F">
        <w:t xml:space="preserve"> </w:t>
      </w:r>
      <w:r w:rsidRPr="001A717F">
        <w:rPr>
          <w:i/>
        </w:rPr>
        <w:t xml:space="preserve"> </w:t>
      </w:r>
      <w:r>
        <w:rPr>
          <w:i/>
        </w:rPr>
        <w:t xml:space="preserve">See </w:t>
      </w:r>
      <w:r w:rsidRPr="001A717F">
        <w:rPr>
          <w:i/>
        </w:rPr>
        <w:t xml:space="preserve">Puerto Rico Public Broadcasting, </w:t>
      </w:r>
      <w:r w:rsidRPr="001A717F">
        <w:t xml:space="preserve">Letter, </w:t>
      </w:r>
      <w:r>
        <w:t xml:space="preserve">Ref. No. 1800B3 </w:t>
      </w:r>
      <w:r w:rsidRPr="001A717F">
        <w:t>(MB Apr. 19, 2011) (“</w:t>
      </w:r>
      <w:r w:rsidRPr="001A717F">
        <w:rPr>
          <w:i/>
        </w:rPr>
        <w:t>Letter</w:t>
      </w:r>
      <w:r w:rsidRPr="001A717F">
        <w:t>”).</w:t>
      </w:r>
      <w:r>
        <w:t xml:space="preserve">  The Bureau independently dismissed two mutually exclusive applications after denying their similar waiver requests.  PRPBC, as the only applicant to seek reconsideration and review, is the sole remaining applicant in the group.</w:t>
      </w:r>
    </w:p>
  </w:footnote>
  <w:footnote w:id="3">
    <w:p w:rsidR="00A004F7" w:rsidRPr="001A717F" w:rsidRDefault="00A004F7" w:rsidP="00A004F7">
      <w:pPr>
        <w:pStyle w:val="FootnoteText"/>
      </w:pPr>
      <w:r w:rsidRPr="001A717F">
        <w:rPr>
          <w:rStyle w:val="FootnoteReference"/>
        </w:rPr>
        <w:footnoteRef/>
      </w:r>
      <w:r w:rsidRPr="001A717F">
        <w:t xml:space="preserve"> </w:t>
      </w:r>
      <w:r>
        <w:rPr>
          <w:i/>
        </w:rPr>
        <w:t>See</w:t>
      </w:r>
      <w:r w:rsidRPr="001A717F">
        <w:t xml:space="preserve"> 47 C.F.R. </w:t>
      </w:r>
      <w:r w:rsidRPr="001A717F">
        <w:rPr>
          <w:spacing w:val="-3"/>
        </w:rPr>
        <w:t>§ 73.509</w:t>
      </w:r>
      <w:r>
        <w:rPr>
          <w:spacing w:val="-3"/>
        </w:rPr>
        <w:t xml:space="preserve"> (specifying contour protection standards for NCE-FM applications)</w:t>
      </w:r>
      <w:r w:rsidRPr="001A717F">
        <w:rPr>
          <w:spacing w:val="-3"/>
        </w:rPr>
        <w:t>.</w:t>
      </w:r>
    </w:p>
  </w:footnote>
  <w:footnote w:id="4">
    <w:p w:rsidR="00A004F7" w:rsidRPr="00BB1B33" w:rsidRDefault="00A004F7" w:rsidP="00A004F7">
      <w:pPr>
        <w:pStyle w:val="FootnoteText"/>
      </w:pPr>
      <w:r w:rsidRPr="001A717F">
        <w:rPr>
          <w:rStyle w:val="FootnoteReference"/>
        </w:rPr>
        <w:footnoteRef/>
      </w:r>
      <w:r w:rsidRPr="001A717F">
        <w:t xml:space="preserve"> </w:t>
      </w:r>
      <w:r w:rsidRPr="001A717F">
        <w:rPr>
          <w:i/>
        </w:rPr>
        <w:t xml:space="preserve">Letter </w:t>
      </w:r>
      <w:r w:rsidRPr="001A717F">
        <w:t>at 2-3.</w:t>
      </w:r>
    </w:p>
  </w:footnote>
  <w:footnote w:id="5">
    <w:p w:rsidR="00A004F7" w:rsidRPr="00BB1B33" w:rsidRDefault="00A004F7" w:rsidP="00A004F7">
      <w:pPr>
        <w:pStyle w:val="FootnoteText"/>
      </w:pPr>
      <w:r w:rsidRPr="00BB1B33">
        <w:rPr>
          <w:rStyle w:val="FootnoteReference"/>
        </w:rPr>
        <w:footnoteRef/>
      </w:r>
      <w:r w:rsidRPr="00BB1B33">
        <w:t xml:space="preserve"> Application for Review at 3-6.</w:t>
      </w:r>
    </w:p>
  </w:footnote>
  <w:footnote w:id="6">
    <w:p w:rsidR="00A004F7" w:rsidRPr="00A223AC" w:rsidRDefault="00A004F7" w:rsidP="00A004F7">
      <w:pPr>
        <w:pStyle w:val="FootnoteText"/>
      </w:pPr>
      <w:r>
        <w:rPr>
          <w:rStyle w:val="FootnoteReference"/>
        </w:rPr>
        <w:footnoteRef/>
      </w:r>
      <w:r>
        <w:t xml:space="preserve"> To the extent that PRPBC provided information in its application about its relationship with the government or its mission, it did so specifically to demonstrate its eligibility to hold an NCE authorization.  </w:t>
      </w:r>
      <w:r>
        <w:rPr>
          <w:i/>
        </w:rPr>
        <w:t xml:space="preserve">See </w:t>
      </w:r>
      <w:r>
        <w:t xml:space="preserve">File No. BNPED-20071022DXS, Exhibit 3, (Eligibility/Organizational Documents).  In contrast, in the application, PRPBC stated that the “details” of its waiver request were contained in its Comprehensive Technical Exhibit (Exhibit 17 to the application).  That technical waiver showing found at pages 4-6 of that Exhibit, makes no reference to these additional grounds for waiver.  </w:t>
      </w:r>
    </w:p>
  </w:footnote>
  <w:footnote w:id="7">
    <w:p w:rsidR="00A004F7" w:rsidRDefault="00A004F7" w:rsidP="00A004F7">
      <w:pPr>
        <w:pStyle w:val="FootnoteText"/>
      </w:pPr>
      <w:r>
        <w:rPr>
          <w:rStyle w:val="FootnoteReference"/>
        </w:rPr>
        <w:footnoteRef/>
      </w:r>
      <w:r>
        <w:t xml:space="preserve"> Application for Review at 4-5. This precedent includes an unreported 1996 Mass Media Bureau decision that was cited by each of the two mutually exclusive applicants in support of their requests for similar waivers that were denied by the Bureau.</w:t>
      </w:r>
      <w:r w:rsidRPr="00BB43B9">
        <w:t xml:space="preserve"> </w:t>
      </w:r>
      <w:r>
        <w:t xml:space="preserve"> Family Educational Association, Inc. (File No. BNPED-20071019AJT) and Hispanic Broadcast System Puerto Rico, Inc. (File No.  BNPED-20071022ALK). </w:t>
      </w:r>
    </w:p>
  </w:footnote>
  <w:footnote w:id="8">
    <w:p w:rsidR="00A004F7" w:rsidRPr="00B9075F" w:rsidRDefault="00A004F7" w:rsidP="00A004F7">
      <w:pPr>
        <w:pStyle w:val="FootnoteText"/>
      </w:pPr>
      <w:r>
        <w:rPr>
          <w:rStyle w:val="FootnoteReference"/>
        </w:rPr>
        <w:footnoteRef/>
      </w:r>
      <w:r>
        <w:t xml:space="preserve"> </w:t>
      </w:r>
      <w:r>
        <w:rPr>
          <w:i/>
        </w:rPr>
        <w:t xml:space="preserve">See </w:t>
      </w:r>
      <w:r>
        <w:t xml:space="preserve">47 C.F.R. </w:t>
      </w:r>
      <w:r w:rsidRPr="001A717F">
        <w:rPr>
          <w:spacing w:val="-3"/>
        </w:rPr>
        <w:t>§</w:t>
      </w:r>
      <w:r>
        <w:rPr>
          <w:spacing w:val="-3"/>
        </w:rPr>
        <w:t xml:space="preserve"> </w:t>
      </w:r>
      <w:r>
        <w:t xml:space="preserve">1.115(c) (“No application for review will be granted if it relies on questions of fact or law upon which the designated authority has been afforded no opportunity to pass.”).  </w:t>
      </w:r>
      <w:r>
        <w:rPr>
          <w:i/>
        </w:rPr>
        <w:t xml:space="preserve">BDPCS, Inc. v. FCC, </w:t>
      </w:r>
      <w:r>
        <w:t>351 F.3d 1177, 1184 (D.C. Cir.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1" w:rsidRDefault="00635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A0C1E">
      <w:t>FCC 14-52</w:t>
    </w:r>
  </w:p>
  <w:p w:rsidR="00D25FB5" w:rsidRDefault="001F165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10BFBC7" wp14:editId="13C6AE0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F165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A0C1E">
      <w:rPr>
        <w:spacing w:val="-2"/>
      </w:rPr>
      <w:t>FCC 14-52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A5778"/>
    <w:rsid w:val="000C0B65"/>
    <w:rsid w:val="000E05FE"/>
    <w:rsid w:val="000E3D42"/>
    <w:rsid w:val="00122BD5"/>
    <w:rsid w:val="00133F79"/>
    <w:rsid w:val="00143A82"/>
    <w:rsid w:val="0015756E"/>
    <w:rsid w:val="001707E2"/>
    <w:rsid w:val="0017684C"/>
    <w:rsid w:val="00194A66"/>
    <w:rsid w:val="001D6BCF"/>
    <w:rsid w:val="001E01CA"/>
    <w:rsid w:val="001F165D"/>
    <w:rsid w:val="00275CF5"/>
    <w:rsid w:val="0028301F"/>
    <w:rsid w:val="00285017"/>
    <w:rsid w:val="002A2D2E"/>
    <w:rsid w:val="002C00E8"/>
    <w:rsid w:val="003416AA"/>
    <w:rsid w:val="00343749"/>
    <w:rsid w:val="003660ED"/>
    <w:rsid w:val="003B0550"/>
    <w:rsid w:val="003B694F"/>
    <w:rsid w:val="003F171C"/>
    <w:rsid w:val="00412FC5"/>
    <w:rsid w:val="00422276"/>
    <w:rsid w:val="004242F1"/>
    <w:rsid w:val="00445A00"/>
    <w:rsid w:val="004507FD"/>
    <w:rsid w:val="00451B0F"/>
    <w:rsid w:val="004C2EE3"/>
    <w:rsid w:val="004E4A22"/>
    <w:rsid w:val="00511968"/>
    <w:rsid w:val="0055614C"/>
    <w:rsid w:val="005E14C2"/>
    <w:rsid w:val="00607BA5"/>
    <w:rsid w:val="0061180A"/>
    <w:rsid w:val="00626EB6"/>
    <w:rsid w:val="00635F81"/>
    <w:rsid w:val="00655D03"/>
    <w:rsid w:val="00683388"/>
    <w:rsid w:val="00683F84"/>
    <w:rsid w:val="006A0C1E"/>
    <w:rsid w:val="006A6A81"/>
    <w:rsid w:val="006A6CFE"/>
    <w:rsid w:val="006F7393"/>
    <w:rsid w:val="0070224F"/>
    <w:rsid w:val="007115F7"/>
    <w:rsid w:val="00785689"/>
    <w:rsid w:val="0079754B"/>
    <w:rsid w:val="007A1E6D"/>
    <w:rsid w:val="007B0EB2"/>
    <w:rsid w:val="00810B6F"/>
    <w:rsid w:val="00822CE0"/>
    <w:rsid w:val="00841AB1"/>
    <w:rsid w:val="008C68F1"/>
    <w:rsid w:val="00901B12"/>
    <w:rsid w:val="00921803"/>
    <w:rsid w:val="00926503"/>
    <w:rsid w:val="009726D8"/>
    <w:rsid w:val="009F76DB"/>
    <w:rsid w:val="00A004F7"/>
    <w:rsid w:val="00A32C3B"/>
    <w:rsid w:val="00A45F4F"/>
    <w:rsid w:val="00A600A9"/>
    <w:rsid w:val="00AA55B7"/>
    <w:rsid w:val="00AA5B9E"/>
    <w:rsid w:val="00AB2407"/>
    <w:rsid w:val="00AB53DF"/>
    <w:rsid w:val="00B07E5C"/>
    <w:rsid w:val="00B811F7"/>
    <w:rsid w:val="00BA5DC6"/>
    <w:rsid w:val="00BA6196"/>
    <w:rsid w:val="00BB5A30"/>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4D11"/>
    <w:rsid w:val="00E07225"/>
    <w:rsid w:val="00E34972"/>
    <w:rsid w:val="00E5409F"/>
    <w:rsid w:val="00E77C91"/>
    <w:rsid w:val="00ED0DF1"/>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C91"/>
    <w:pPr>
      <w:widowControl w:val="0"/>
    </w:pPr>
    <w:rPr>
      <w:snapToGrid w:val="0"/>
      <w:kern w:val="28"/>
      <w:sz w:val="22"/>
    </w:rPr>
  </w:style>
  <w:style w:type="paragraph" w:styleId="Heading1">
    <w:name w:val="heading 1"/>
    <w:basedOn w:val="Normal"/>
    <w:next w:val="ParaNum"/>
    <w:qFormat/>
    <w:rsid w:val="00E77C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7C91"/>
    <w:pPr>
      <w:keepNext/>
      <w:numPr>
        <w:ilvl w:val="1"/>
        <w:numId w:val="3"/>
      </w:numPr>
      <w:spacing w:after="120"/>
      <w:outlineLvl w:val="1"/>
    </w:pPr>
    <w:rPr>
      <w:b/>
    </w:rPr>
  </w:style>
  <w:style w:type="paragraph" w:styleId="Heading3">
    <w:name w:val="heading 3"/>
    <w:basedOn w:val="Normal"/>
    <w:next w:val="ParaNum"/>
    <w:qFormat/>
    <w:rsid w:val="00E77C91"/>
    <w:pPr>
      <w:keepNext/>
      <w:numPr>
        <w:ilvl w:val="2"/>
        <w:numId w:val="3"/>
      </w:numPr>
      <w:tabs>
        <w:tab w:val="left" w:pos="2160"/>
      </w:tabs>
      <w:spacing w:after="120"/>
      <w:outlineLvl w:val="2"/>
    </w:pPr>
    <w:rPr>
      <w:b/>
    </w:rPr>
  </w:style>
  <w:style w:type="paragraph" w:styleId="Heading4">
    <w:name w:val="heading 4"/>
    <w:basedOn w:val="Normal"/>
    <w:next w:val="ParaNum"/>
    <w:qFormat/>
    <w:rsid w:val="00E77C91"/>
    <w:pPr>
      <w:keepNext/>
      <w:numPr>
        <w:ilvl w:val="3"/>
        <w:numId w:val="3"/>
      </w:numPr>
      <w:tabs>
        <w:tab w:val="left" w:pos="2880"/>
      </w:tabs>
      <w:spacing w:after="120"/>
      <w:outlineLvl w:val="3"/>
    </w:pPr>
    <w:rPr>
      <w:b/>
    </w:rPr>
  </w:style>
  <w:style w:type="paragraph" w:styleId="Heading5">
    <w:name w:val="heading 5"/>
    <w:basedOn w:val="Normal"/>
    <w:next w:val="ParaNum"/>
    <w:qFormat/>
    <w:rsid w:val="00E77C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7C91"/>
    <w:pPr>
      <w:numPr>
        <w:ilvl w:val="5"/>
        <w:numId w:val="3"/>
      </w:numPr>
      <w:tabs>
        <w:tab w:val="left" w:pos="4320"/>
      </w:tabs>
      <w:spacing w:after="120"/>
      <w:outlineLvl w:val="5"/>
    </w:pPr>
    <w:rPr>
      <w:b/>
    </w:rPr>
  </w:style>
  <w:style w:type="paragraph" w:styleId="Heading7">
    <w:name w:val="heading 7"/>
    <w:basedOn w:val="Normal"/>
    <w:next w:val="ParaNum"/>
    <w:qFormat/>
    <w:rsid w:val="00E77C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7C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7C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C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C91"/>
  </w:style>
  <w:style w:type="paragraph" w:customStyle="1" w:styleId="ParaNum">
    <w:name w:val="ParaNum"/>
    <w:basedOn w:val="Normal"/>
    <w:link w:val="ParaNumChar"/>
    <w:rsid w:val="00E77C91"/>
    <w:pPr>
      <w:numPr>
        <w:numId w:val="2"/>
      </w:numPr>
      <w:tabs>
        <w:tab w:val="clear" w:pos="1080"/>
        <w:tab w:val="num" w:pos="1440"/>
      </w:tabs>
      <w:spacing w:after="120"/>
    </w:pPr>
  </w:style>
  <w:style w:type="paragraph" w:styleId="EndnoteText">
    <w:name w:val="endnote text"/>
    <w:basedOn w:val="Normal"/>
    <w:semiHidden/>
    <w:rsid w:val="00E77C91"/>
    <w:rPr>
      <w:sz w:val="20"/>
    </w:rPr>
  </w:style>
  <w:style w:type="character" w:styleId="EndnoteReference">
    <w:name w:val="endnote reference"/>
    <w:semiHidden/>
    <w:rsid w:val="00E77C9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E77C91"/>
    <w:pPr>
      <w:spacing w:after="120"/>
    </w:pPr>
  </w:style>
  <w:style w:type="character" w:styleId="FootnoteReference">
    <w:name w:val="footnote reference"/>
    <w:aliases w:val="Style 12,(NECG) Footnote Reference,Appel note de bas de p,Style 124,o,fr,Style 3,Style 13"/>
    <w:rsid w:val="00E77C91"/>
    <w:rPr>
      <w:rFonts w:ascii="Times New Roman" w:hAnsi="Times New Roman"/>
      <w:dstrike w:val="0"/>
      <w:color w:val="auto"/>
      <w:sz w:val="20"/>
      <w:vertAlign w:val="superscript"/>
    </w:rPr>
  </w:style>
  <w:style w:type="paragraph" w:styleId="TOC1">
    <w:name w:val="toc 1"/>
    <w:basedOn w:val="Normal"/>
    <w:next w:val="Normal"/>
    <w:semiHidden/>
    <w:rsid w:val="00E77C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7C91"/>
    <w:pPr>
      <w:tabs>
        <w:tab w:val="left" w:pos="720"/>
        <w:tab w:val="right" w:leader="dot" w:pos="9360"/>
      </w:tabs>
      <w:suppressAutoHyphens/>
      <w:ind w:left="720" w:right="720" w:hanging="360"/>
    </w:pPr>
    <w:rPr>
      <w:noProof/>
    </w:rPr>
  </w:style>
  <w:style w:type="paragraph" w:styleId="TOC3">
    <w:name w:val="toc 3"/>
    <w:basedOn w:val="Normal"/>
    <w:next w:val="Normal"/>
    <w:semiHidden/>
    <w:rsid w:val="00E77C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C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C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C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C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C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C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C91"/>
    <w:pPr>
      <w:tabs>
        <w:tab w:val="right" w:pos="9360"/>
      </w:tabs>
      <w:suppressAutoHyphens/>
    </w:pPr>
  </w:style>
  <w:style w:type="character" w:customStyle="1" w:styleId="EquationCaption">
    <w:name w:val="_Equation Caption"/>
    <w:rsid w:val="00E77C91"/>
  </w:style>
  <w:style w:type="paragraph" w:styleId="Header">
    <w:name w:val="header"/>
    <w:basedOn w:val="Normal"/>
    <w:autoRedefine/>
    <w:rsid w:val="00E77C91"/>
    <w:pPr>
      <w:tabs>
        <w:tab w:val="center" w:pos="4680"/>
        <w:tab w:val="right" w:pos="9360"/>
      </w:tabs>
    </w:pPr>
    <w:rPr>
      <w:b/>
    </w:rPr>
  </w:style>
  <w:style w:type="paragraph" w:styleId="Footer">
    <w:name w:val="footer"/>
    <w:basedOn w:val="Normal"/>
    <w:rsid w:val="00E77C91"/>
    <w:pPr>
      <w:tabs>
        <w:tab w:val="center" w:pos="4320"/>
        <w:tab w:val="right" w:pos="8640"/>
      </w:tabs>
    </w:pPr>
  </w:style>
  <w:style w:type="character" w:styleId="PageNumber">
    <w:name w:val="page number"/>
    <w:basedOn w:val="DefaultParagraphFont"/>
    <w:rsid w:val="00E77C91"/>
  </w:style>
  <w:style w:type="paragraph" w:styleId="BlockText">
    <w:name w:val="Block Text"/>
    <w:basedOn w:val="Normal"/>
    <w:rsid w:val="00E77C91"/>
    <w:pPr>
      <w:spacing w:after="240"/>
      <w:ind w:left="1440" w:right="1440"/>
    </w:pPr>
  </w:style>
  <w:style w:type="paragraph" w:customStyle="1" w:styleId="Paratitle">
    <w:name w:val="Para title"/>
    <w:basedOn w:val="Normal"/>
    <w:rsid w:val="00E77C91"/>
    <w:pPr>
      <w:tabs>
        <w:tab w:val="center" w:pos="9270"/>
      </w:tabs>
      <w:spacing w:after="240"/>
    </w:pPr>
    <w:rPr>
      <w:spacing w:val="-2"/>
    </w:rPr>
  </w:style>
  <w:style w:type="paragraph" w:customStyle="1" w:styleId="Bullet">
    <w:name w:val="Bullet"/>
    <w:basedOn w:val="Normal"/>
    <w:rsid w:val="00E77C91"/>
    <w:pPr>
      <w:tabs>
        <w:tab w:val="left" w:pos="2160"/>
      </w:tabs>
      <w:spacing w:after="220"/>
      <w:ind w:left="2160" w:hanging="720"/>
    </w:pPr>
  </w:style>
  <w:style w:type="paragraph" w:customStyle="1" w:styleId="TableFormat">
    <w:name w:val="TableFormat"/>
    <w:basedOn w:val="Bullet"/>
    <w:rsid w:val="00E77C91"/>
    <w:pPr>
      <w:tabs>
        <w:tab w:val="clear" w:pos="2160"/>
        <w:tab w:val="left" w:pos="5040"/>
      </w:tabs>
      <w:ind w:left="5040" w:hanging="3600"/>
    </w:pPr>
  </w:style>
  <w:style w:type="paragraph" w:customStyle="1" w:styleId="TOCTitle">
    <w:name w:val="TOC Title"/>
    <w:basedOn w:val="Normal"/>
    <w:rsid w:val="00E77C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C91"/>
    <w:pPr>
      <w:jc w:val="center"/>
    </w:pPr>
    <w:rPr>
      <w:rFonts w:ascii="Times New Roman Bold" w:hAnsi="Times New Roman Bold"/>
      <w:b/>
      <w:bCs/>
      <w:caps/>
      <w:szCs w:val="22"/>
    </w:rPr>
  </w:style>
  <w:style w:type="character" w:styleId="Hyperlink">
    <w:name w:val="Hyperlink"/>
    <w:rsid w:val="00E77C9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C91"/>
    <w:pPr>
      <w:widowControl w:val="0"/>
    </w:pPr>
    <w:rPr>
      <w:snapToGrid w:val="0"/>
      <w:kern w:val="28"/>
      <w:sz w:val="22"/>
    </w:rPr>
  </w:style>
  <w:style w:type="paragraph" w:styleId="Heading1">
    <w:name w:val="heading 1"/>
    <w:basedOn w:val="Normal"/>
    <w:next w:val="ParaNum"/>
    <w:qFormat/>
    <w:rsid w:val="00E77C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7C91"/>
    <w:pPr>
      <w:keepNext/>
      <w:numPr>
        <w:ilvl w:val="1"/>
        <w:numId w:val="3"/>
      </w:numPr>
      <w:spacing w:after="120"/>
      <w:outlineLvl w:val="1"/>
    </w:pPr>
    <w:rPr>
      <w:b/>
    </w:rPr>
  </w:style>
  <w:style w:type="paragraph" w:styleId="Heading3">
    <w:name w:val="heading 3"/>
    <w:basedOn w:val="Normal"/>
    <w:next w:val="ParaNum"/>
    <w:qFormat/>
    <w:rsid w:val="00E77C91"/>
    <w:pPr>
      <w:keepNext/>
      <w:numPr>
        <w:ilvl w:val="2"/>
        <w:numId w:val="3"/>
      </w:numPr>
      <w:tabs>
        <w:tab w:val="left" w:pos="2160"/>
      </w:tabs>
      <w:spacing w:after="120"/>
      <w:outlineLvl w:val="2"/>
    </w:pPr>
    <w:rPr>
      <w:b/>
    </w:rPr>
  </w:style>
  <w:style w:type="paragraph" w:styleId="Heading4">
    <w:name w:val="heading 4"/>
    <w:basedOn w:val="Normal"/>
    <w:next w:val="ParaNum"/>
    <w:qFormat/>
    <w:rsid w:val="00E77C91"/>
    <w:pPr>
      <w:keepNext/>
      <w:numPr>
        <w:ilvl w:val="3"/>
        <w:numId w:val="3"/>
      </w:numPr>
      <w:tabs>
        <w:tab w:val="left" w:pos="2880"/>
      </w:tabs>
      <w:spacing w:after="120"/>
      <w:outlineLvl w:val="3"/>
    </w:pPr>
    <w:rPr>
      <w:b/>
    </w:rPr>
  </w:style>
  <w:style w:type="paragraph" w:styleId="Heading5">
    <w:name w:val="heading 5"/>
    <w:basedOn w:val="Normal"/>
    <w:next w:val="ParaNum"/>
    <w:qFormat/>
    <w:rsid w:val="00E77C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7C91"/>
    <w:pPr>
      <w:numPr>
        <w:ilvl w:val="5"/>
        <w:numId w:val="3"/>
      </w:numPr>
      <w:tabs>
        <w:tab w:val="left" w:pos="4320"/>
      </w:tabs>
      <w:spacing w:after="120"/>
      <w:outlineLvl w:val="5"/>
    </w:pPr>
    <w:rPr>
      <w:b/>
    </w:rPr>
  </w:style>
  <w:style w:type="paragraph" w:styleId="Heading7">
    <w:name w:val="heading 7"/>
    <w:basedOn w:val="Normal"/>
    <w:next w:val="ParaNum"/>
    <w:qFormat/>
    <w:rsid w:val="00E77C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7C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7C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C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C91"/>
  </w:style>
  <w:style w:type="paragraph" w:customStyle="1" w:styleId="ParaNum">
    <w:name w:val="ParaNum"/>
    <w:basedOn w:val="Normal"/>
    <w:link w:val="ParaNumChar"/>
    <w:rsid w:val="00E77C91"/>
    <w:pPr>
      <w:numPr>
        <w:numId w:val="2"/>
      </w:numPr>
      <w:tabs>
        <w:tab w:val="clear" w:pos="1080"/>
        <w:tab w:val="num" w:pos="1440"/>
      </w:tabs>
      <w:spacing w:after="120"/>
    </w:pPr>
  </w:style>
  <w:style w:type="paragraph" w:styleId="EndnoteText">
    <w:name w:val="endnote text"/>
    <w:basedOn w:val="Normal"/>
    <w:semiHidden/>
    <w:rsid w:val="00E77C91"/>
    <w:rPr>
      <w:sz w:val="20"/>
    </w:rPr>
  </w:style>
  <w:style w:type="character" w:styleId="EndnoteReference">
    <w:name w:val="endnote reference"/>
    <w:semiHidden/>
    <w:rsid w:val="00E77C91"/>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E77C91"/>
    <w:pPr>
      <w:spacing w:after="120"/>
    </w:pPr>
  </w:style>
  <w:style w:type="character" w:styleId="FootnoteReference">
    <w:name w:val="footnote reference"/>
    <w:aliases w:val="Style 12,(NECG) Footnote Reference,Appel note de bas de p,Style 124,o,fr,Style 3,Style 13"/>
    <w:rsid w:val="00E77C91"/>
    <w:rPr>
      <w:rFonts w:ascii="Times New Roman" w:hAnsi="Times New Roman"/>
      <w:dstrike w:val="0"/>
      <w:color w:val="auto"/>
      <w:sz w:val="20"/>
      <w:vertAlign w:val="superscript"/>
    </w:rPr>
  </w:style>
  <w:style w:type="paragraph" w:styleId="TOC1">
    <w:name w:val="toc 1"/>
    <w:basedOn w:val="Normal"/>
    <w:next w:val="Normal"/>
    <w:semiHidden/>
    <w:rsid w:val="00E77C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7C91"/>
    <w:pPr>
      <w:tabs>
        <w:tab w:val="left" w:pos="720"/>
        <w:tab w:val="right" w:leader="dot" w:pos="9360"/>
      </w:tabs>
      <w:suppressAutoHyphens/>
      <w:ind w:left="720" w:right="720" w:hanging="360"/>
    </w:pPr>
    <w:rPr>
      <w:noProof/>
    </w:rPr>
  </w:style>
  <w:style w:type="paragraph" w:styleId="TOC3">
    <w:name w:val="toc 3"/>
    <w:basedOn w:val="Normal"/>
    <w:next w:val="Normal"/>
    <w:semiHidden/>
    <w:rsid w:val="00E77C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C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C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C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C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C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C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C91"/>
    <w:pPr>
      <w:tabs>
        <w:tab w:val="right" w:pos="9360"/>
      </w:tabs>
      <w:suppressAutoHyphens/>
    </w:pPr>
  </w:style>
  <w:style w:type="character" w:customStyle="1" w:styleId="EquationCaption">
    <w:name w:val="_Equation Caption"/>
    <w:rsid w:val="00E77C91"/>
  </w:style>
  <w:style w:type="paragraph" w:styleId="Header">
    <w:name w:val="header"/>
    <w:basedOn w:val="Normal"/>
    <w:autoRedefine/>
    <w:rsid w:val="00E77C91"/>
    <w:pPr>
      <w:tabs>
        <w:tab w:val="center" w:pos="4680"/>
        <w:tab w:val="right" w:pos="9360"/>
      </w:tabs>
    </w:pPr>
    <w:rPr>
      <w:b/>
    </w:rPr>
  </w:style>
  <w:style w:type="paragraph" w:styleId="Footer">
    <w:name w:val="footer"/>
    <w:basedOn w:val="Normal"/>
    <w:rsid w:val="00E77C91"/>
    <w:pPr>
      <w:tabs>
        <w:tab w:val="center" w:pos="4320"/>
        <w:tab w:val="right" w:pos="8640"/>
      </w:tabs>
    </w:pPr>
  </w:style>
  <w:style w:type="character" w:styleId="PageNumber">
    <w:name w:val="page number"/>
    <w:basedOn w:val="DefaultParagraphFont"/>
    <w:rsid w:val="00E77C91"/>
  </w:style>
  <w:style w:type="paragraph" w:styleId="BlockText">
    <w:name w:val="Block Text"/>
    <w:basedOn w:val="Normal"/>
    <w:rsid w:val="00E77C91"/>
    <w:pPr>
      <w:spacing w:after="240"/>
      <w:ind w:left="1440" w:right="1440"/>
    </w:pPr>
  </w:style>
  <w:style w:type="paragraph" w:customStyle="1" w:styleId="Paratitle">
    <w:name w:val="Para title"/>
    <w:basedOn w:val="Normal"/>
    <w:rsid w:val="00E77C91"/>
    <w:pPr>
      <w:tabs>
        <w:tab w:val="center" w:pos="9270"/>
      </w:tabs>
      <w:spacing w:after="240"/>
    </w:pPr>
    <w:rPr>
      <w:spacing w:val="-2"/>
    </w:rPr>
  </w:style>
  <w:style w:type="paragraph" w:customStyle="1" w:styleId="Bullet">
    <w:name w:val="Bullet"/>
    <w:basedOn w:val="Normal"/>
    <w:rsid w:val="00E77C91"/>
    <w:pPr>
      <w:tabs>
        <w:tab w:val="left" w:pos="2160"/>
      </w:tabs>
      <w:spacing w:after="220"/>
      <w:ind w:left="2160" w:hanging="720"/>
    </w:pPr>
  </w:style>
  <w:style w:type="paragraph" w:customStyle="1" w:styleId="TableFormat">
    <w:name w:val="TableFormat"/>
    <w:basedOn w:val="Bullet"/>
    <w:rsid w:val="00E77C91"/>
    <w:pPr>
      <w:tabs>
        <w:tab w:val="clear" w:pos="2160"/>
        <w:tab w:val="left" w:pos="5040"/>
      </w:tabs>
      <w:ind w:left="5040" w:hanging="3600"/>
    </w:pPr>
  </w:style>
  <w:style w:type="paragraph" w:customStyle="1" w:styleId="TOCTitle">
    <w:name w:val="TOC Title"/>
    <w:basedOn w:val="Normal"/>
    <w:rsid w:val="00E77C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C91"/>
    <w:pPr>
      <w:jc w:val="center"/>
    </w:pPr>
    <w:rPr>
      <w:rFonts w:ascii="Times New Roman Bold" w:hAnsi="Times New Roman Bold"/>
      <w:b/>
      <w:bCs/>
      <w:caps/>
      <w:szCs w:val="22"/>
    </w:rPr>
  </w:style>
  <w:style w:type="character" w:styleId="Hyperlink">
    <w:name w:val="Hyperlink"/>
    <w:rsid w:val="00E77C91"/>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536</Words>
  <Characters>2895</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2014-04-23T16:39:00Z</cp:lastPrinted>
  <dcterms:created xsi:type="dcterms:W3CDTF">2014-04-23T17:47:00Z</dcterms:created>
  <dcterms:modified xsi:type="dcterms:W3CDTF">2014-04-23T17:47:00Z</dcterms:modified>
  <cp:category> </cp:category>
  <cp:contentStatus> </cp:contentStatus>
</cp:coreProperties>
</file>