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525AC" w14:textId="77777777" w:rsidR="00270273" w:rsidRDefault="00D51B86" w:rsidP="00D36248">
      <w:pPr>
        <w:jc w:val="center"/>
        <w:rPr>
          <w:b/>
        </w:rPr>
      </w:pPr>
      <w:bookmarkStart w:id="0" w:name="_GoBack"/>
      <w:bookmarkEnd w:id="0"/>
      <w:r w:rsidRPr="00D51B86">
        <w:rPr>
          <w:b/>
        </w:rPr>
        <w:t xml:space="preserve">STATEMENT OF </w:t>
      </w:r>
    </w:p>
    <w:p w14:paraId="02603137" w14:textId="25B2F874" w:rsidR="00D51B86" w:rsidRDefault="00D51B86" w:rsidP="00D51B86">
      <w:pPr>
        <w:jc w:val="center"/>
        <w:rPr>
          <w:b/>
        </w:rPr>
      </w:pPr>
      <w:r w:rsidRPr="00D51B86">
        <w:rPr>
          <w:b/>
        </w:rPr>
        <w:t>COMMISSIONER AJIT PAI</w:t>
      </w:r>
    </w:p>
    <w:p w14:paraId="08AE1D32" w14:textId="77777777" w:rsidR="008A41AB" w:rsidRPr="00D51B86" w:rsidRDefault="008A41AB" w:rsidP="00D51B86">
      <w:pPr>
        <w:jc w:val="center"/>
        <w:rPr>
          <w:b/>
        </w:rPr>
      </w:pPr>
    </w:p>
    <w:p w14:paraId="3F4CAFB2" w14:textId="77777777" w:rsidR="009B1F4F" w:rsidRDefault="00D51B86" w:rsidP="002D3C62">
      <w:pPr>
        <w:ind w:left="720" w:hanging="720"/>
      </w:pPr>
      <w:r w:rsidRPr="00D51B86">
        <w:t>Re</w:t>
      </w:r>
      <w:r>
        <w:t xml:space="preserve">: </w:t>
      </w:r>
      <w:r>
        <w:tab/>
      </w:r>
      <w:r w:rsidRPr="00D51B86">
        <w:rPr>
          <w:i/>
        </w:rPr>
        <w:t>Applications of Clear Creek Radio, Inc. for a New NCE(FM) Station, Idaho Springs, Colorado</w:t>
      </w:r>
      <w:r w:rsidRPr="00D51B86">
        <w:t xml:space="preserve">, Facility ID No. 172792, File No. BNPED-20071019AIY; </w:t>
      </w:r>
      <w:r w:rsidRPr="00D51B86">
        <w:rPr>
          <w:i/>
        </w:rPr>
        <w:t xml:space="preserve">Fraser Valley Community Media, Inc. for a New NCE(FM) Station, Winter Park, Colorado, </w:t>
      </w:r>
      <w:r w:rsidRPr="00D51B86">
        <w:t xml:space="preserve">Facility ID No. 175799 File No. BNPED-20071018BDM; </w:t>
      </w:r>
      <w:r w:rsidRPr="00D51B86">
        <w:rPr>
          <w:i/>
        </w:rPr>
        <w:t>RV Ministries, Inc. for a New NCE(FM) Station, Fraser, Colorado</w:t>
      </w:r>
      <w:r w:rsidRPr="00D51B86">
        <w:t xml:space="preserve">, Facility ID No. 174839, File No. BNPED-20071017AHY; </w:t>
      </w:r>
      <w:r w:rsidRPr="00D51B86">
        <w:rPr>
          <w:i/>
        </w:rPr>
        <w:t>The North Fork Angling Society for a New NCE(FM) Station, Pine, Colorado</w:t>
      </w:r>
      <w:r w:rsidRPr="00D51B86">
        <w:t>, Facility ID No. 174815, File No. BNPED-20071022AZK</w:t>
      </w:r>
    </w:p>
    <w:p w14:paraId="7579B5DB" w14:textId="77777777" w:rsidR="00FD54DD" w:rsidRDefault="00FD54DD" w:rsidP="002D3C62">
      <w:pPr>
        <w:ind w:left="720" w:hanging="720"/>
      </w:pPr>
    </w:p>
    <w:p w14:paraId="7BFD19A7" w14:textId="624E664D" w:rsidR="00CF7AB2" w:rsidRDefault="00F0023B" w:rsidP="002D3C62">
      <w:r>
        <w:tab/>
        <w:t xml:space="preserve">On rare occasions, judges have issued </w:t>
      </w:r>
      <w:r w:rsidRPr="00F0023B">
        <w:rPr>
          <w:i/>
        </w:rPr>
        <w:t>dubitante</w:t>
      </w:r>
      <w:r>
        <w:t xml:space="preserve"> opinions because </w:t>
      </w:r>
      <w:r w:rsidR="00C24075">
        <w:t>they</w:t>
      </w:r>
      <w:r>
        <w:t xml:space="preserve"> “</w:t>
      </w:r>
      <w:r w:rsidR="00C24075">
        <w:t>doubted a legal point but w[ere]</w:t>
      </w:r>
      <w:r>
        <w:t xml:space="preserve"> unwilling to state that it was wrong.”</w:t>
      </w:r>
      <w:r w:rsidR="00B33314">
        <w:rPr>
          <w:rStyle w:val="FootnoteReference"/>
        </w:rPr>
        <w:footnoteReference w:id="1"/>
      </w:r>
      <w:r>
        <w:t xml:space="preserve">  Here, I find myself in a somewhat similar </w:t>
      </w:r>
      <w:r w:rsidR="00C24075">
        <w:t>predicament</w:t>
      </w:r>
      <w:r>
        <w:t>.  If we were writing on a blank slate, I like</w:t>
      </w:r>
      <w:r w:rsidR="00C24075">
        <w:t>ly would have voted to grant this</w:t>
      </w:r>
      <w:r>
        <w:t xml:space="preserve"> </w:t>
      </w:r>
      <w:r w:rsidR="00402C8B">
        <w:t>a</w:t>
      </w:r>
      <w:r>
        <w:t xml:space="preserve">pplication for </w:t>
      </w:r>
      <w:r w:rsidR="00402C8B">
        <w:t>r</w:t>
      </w:r>
      <w:r>
        <w:t>eview.</w:t>
      </w:r>
      <w:r w:rsidR="00CF7AB2">
        <w:t xml:space="preserve">  Were we to approve </w:t>
      </w:r>
      <w:r w:rsidR="00402C8B">
        <w:t xml:space="preserve">the </w:t>
      </w:r>
      <w:r w:rsidR="00CF7AB2">
        <w:t xml:space="preserve">Applicants’ waiver request, the result probably would be more radio service for more residents of the Rocky Mountain region.  Three new stations would be added to the airwaves instead of one.  Moreover, all of the competing applicants have agreed that </w:t>
      </w:r>
      <w:r w:rsidR="00C76926">
        <w:t xml:space="preserve">granting </w:t>
      </w:r>
      <w:r w:rsidR="00CF7AB2">
        <w:t>this waiver request would not lead to harmful interference.</w:t>
      </w:r>
    </w:p>
    <w:p w14:paraId="59429BAD" w14:textId="77777777" w:rsidR="00FD54DD" w:rsidRDefault="00FD54DD" w:rsidP="002D3C62"/>
    <w:p w14:paraId="37CE1248" w14:textId="65574D8D" w:rsidR="00DA280C" w:rsidRDefault="00C76926" w:rsidP="002D3C62">
      <w:r>
        <w:tab/>
        <w:t xml:space="preserve">Unfortunately, this case is not so simple.  The Commission has adopted rules to prevent </w:t>
      </w:r>
      <w:r w:rsidR="00DA280C">
        <w:t>non-commercial FM stations from interfering with each other.  These rules are not perfect</w:t>
      </w:r>
      <w:r w:rsidR="002E6EA2">
        <w:t>.  They</w:t>
      </w:r>
      <w:r w:rsidR="00DA280C">
        <w:t xml:space="preserve"> can produce questionable outcomes when applied to certain terrain, such as the tall mountains of Colorado.  </w:t>
      </w:r>
      <w:r w:rsidR="00DA280C" w:rsidRPr="00DA280C">
        <w:t xml:space="preserve">Applicants argue that we should waive our rules </w:t>
      </w:r>
      <w:r w:rsidR="00DA280C">
        <w:t xml:space="preserve">under these circumstances.  The Bureau responded below that this could </w:t>
      </w:r>
      <w:r w:rsidR="00B420DA">
        <w:t xml:space="preserve">result in </w:t>
      </w:r>
      <w:r w:rsidR="00BE0777">
        <w:t>a flood of waiver requests.</w:t>
      </w:r>
    </w:p>
    <w:p w14:paraId="3991C78B" w14:textId="77777777" w:rsidR="00FD54DD" w:rsidRDefault="00FD54DD" w:rsidP="002D3C62"/>
    <w:p w14:paraId="77A01C4F" w14:textId="7F96FBB9" w:rsidR="00BE0777" w:rsidRDefault="00BE0777" w:rsidP="002D3C62">
      <w:r>
        <w:tab/>
      </w:r>
      <w:r w:rsidR="00607CDF">
        <w:t xml:space="preserve">Ultimately, I am persuaded that this </w:t>
      </w:r>
      <w:r w:rsidR="00905B25">
        <w:t xml:space="preserve">problem would be </w:t>
      </w:r>
      <w:r w:rsidR="00607CDF">
        <w:t xml:space="preserve">more appropriately </w:t>
      </w:r>
      <w:r w:rsidR="00905B25">
        <w:t xml:space="preserve">addressed </w:t>
      </w:r>
      <w:r w:rsidR="00607CDF">
        <w:t xml:space="preserve">through a notice-and-comment rulemaking proceeding, and I hope that we will soon seek comment on how to fix it.  This would be more efficient than requiring the Bureau to decide on a case-by-case basis whether our rules accurately predict interference in light of particular terrain.  Indeed, </w:t>
      </w:r>
      <w:r w:rsidR="00005AB9">
        <w:t xml:space="preserve">we have bright-line rules precisely to avoid having to make such determinations on an ad-hoc basis.  </w:t>
      </w:r>
    </w:p>
    <w:p w14:paraId="28A0E7A7" w14:textId="77777777" w:rsidR="00FD54DD" w:rsidRDefault="00FD54DD" w:rsidP="002D3C62"/>
    <w:p w14:paraId="546AFFD4" w14:textId="77777777" w:rsidR="00905B25" w:rsidRDefault="00905B25" w:rsidP="002D3C62">
      <w:r>
        <w:tab/>
      </w:r>
      <w:r w:rsidR="00005AB9">
        <w:t>The prospect of a Notice of Proposed Rulemaking</w:t>
      </w:r>
      <w:r w:rsidR="00607CDF">
        <w:t xml:space="preserve">, of course, </w:t>
      </w:r>
      <w:r>
        <w:t>provides</w:t>
      </w:r>
      <w:r w:rsidR="00607CDF">
        <w:t xml:space="preserve"> cold comfort to the Applicants in this case.  They </w:t>
      </w:r>
      <w:r>
        <w:t xml:space="preserve">maintain </w:t>
      </w:r>
      <w:r w:rsidR="00607CDF">
        <w:t>that because their circumstances are unique, granting them a waiver would not undermine enforcement of our rules.  In other words, they are the proverbial purple cow.</w:t>
      </w:r>
      <w:r>
        <w:t xml:space="preserve">  </w:t>
      </w:r>
    </w:p>
    <w:p w14:paraId="3FE3C86F" w14:textId="77777777" w:rsidR="00FD54DD" w:rsidRDefault="00FD54DD" w:rsidP="002D3C62"/>
    <w:p w14:paraId="27E54F0B" w14:textId="43A354A0" w:rsidR="00607CDF" w:rsidRDefault="00905B25" w:rsidP="002D3C62">
      <w:r>
        <w:tab/>
        <w:t>The question then becomes how purple this particular cow</w:t>
      </w:r>
      <w:r w:rsidR="00C24075">
        <w:t xml:space="preserve"> is</w:t>
      </w:r>
      <w:r>
        <w:t xml:space="preserve">.  </w:t>
      </w:r>
      <w:r w:rsidR="00E50E95">
        <w:t>I</w:t>
      </w:r>
      <w:r>
        <w:t xml:space="preserve">t seems rather </w:t>
      </w:r>
      <w:r w:rsidR="00E50E95">
        <w:t xml:space="preserve">plum from my perspective, </w:t>
      </w:r>
      <w:r>
        <w:t xml:space="preserve">but this is a subjective assessment about which </w:t>
      </w:r>
      <w:r w:rsidR="00C24075">
        <w:t xml:space="preserve">reasonable minds can disagree.  </w:t>
      </w:r>
      <w:r>
        <w:t xml:space="preserve">Accordingly, I have decided to support this item, albeit </w:t>
      </w:r>
      <w:r w:rsidR="00C24075" w:rsidRPr="00C24075">
        <w:rPr>
          <w:i/>
        </w:rPr>
        <w:t>dubitante</w:t>
      </w:r>
      <w:r>
        <w:t xml:space="preserve">.  </w:t>
      </w:r>
      <w:r w:rsidR="00607CDF">
        <w:t xml:space="preserve">       </w:t>
      </w:r>
    </w:p>
    <w:p w14:paraId="23162979" w14:textId="77777777" w:rsidR="00607CDF" w:rsidRDefault="00607CDF" w:rsidP="00F0023B">
      <w:r>
        <w:tab/>
      </w:r>
    </w:p>
    <w:p w14:paraId="2441BD95" w14:textId="77777777" w:rsidR="00D51B86" w:rsidRPr="00D51B86" w:rsidRDefault="00DA280C" w:rsidP="00F0023B">
      <w:r>
        <w:tab/>
      </w:r>
      <w:r w:rsidR="00CF7AB2">
        <w:tab/>
        <w:t xml:space="preserve">      </w:t>
      </w:r>
      <w:r w:rsidR="00F0023B">
        <w:t xml:space="preserve">    </w:t>
      </w:r>
    </w:p>
    <w:sectPr w:rsidR="00D51B86" w:rsidRPr="00D51B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C0C2E" w14:textId="77777777" w:rsidR="00473ED1" w:rsidRDefault="00473ED1" w:rsidP="00B33314">
      <w:r>
        <w:separator/>
      </w:r>
    </w:p>
  </w:endnote>
  <w:endnote w:type="continuationSeparator" w:id="0">
    <w:p w14:paraId="791AA612" w14:textId="77777777" w:rsidR="00473ED1" w:rsidRDefault="00473ED1" w:rsidP="00B3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C0E10" w14:textId="77777777" w:rsidR="001B274D" w:rsidRDefault="001B27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819AC" w14:textId="77777777" w:rsidR="001B274D" w:rsidRDefault="001B27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A8E13" w14:textId="77777777" w:rsidR="001B274D" w:rsidRDefault="001B27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D9B24" w14:textId="77777777" w:rsidR="00473ED1" w:rsidRDefault="00473ED1" w:rsidP="00B33314">
      <w:r>
        <w:separator/>
      </w:r>
    </w:p>
  </w:footnote>
  <w:footnote w:type="continuationSeparator" w:id="0">
    <w:p w14:paraId="56F41EC1" w14:textId="77777777" w:rsidR="00473ED1" w:rsidRDefault="00473ED1" w:rsidP="00B33314">
      <w:r>
        <w:continuationSeparator/>
      </w:r>
    </w:p>
  </w:footnote>
  <w:footnote w:id="1">
    <w:p w14:paraId="1C36C9A5" w14:textId="420814C0" w:rsidR="00E50E95" w:rsidRPr="00C17647" w:rsidRDefault="00E50E95" w:rsidP="00D84CF0">
      <w:pPr>
        <w:rPr>
          <w:rFonts w:ascii="Times" w:hAnsi="Times"/>
          <w:sz w:val="20"/>
        </w:rPr>
      </w:pPr>
      <w:r w:rsidRPr="00C17647">
        <w:rPr>
          <w:rStyle w:val="FootnoteReference"/>
        </w:rPr>
        <w:footnoteRef/>
      </w:r>
      <w:r w:rsidRPr="00C17647">
        <w:rPr>
          <w:sz w:val="20"/>
        </w:rPr>
        <w:t xml:space="preserve"> BLACK’S LAW DICTIONARY 515 (7</w:t>
      </w:r>
      <w:r w:rsidRPr="00C17647">
        <w:rPr>
          <w:sz w:val="20"/>
          <w:vertAlign w:val="superscript"/>
        </w:rPr>
        <w:t>th</w:t>
      </w:r>
      <w:r w:rsidRPr="00C17647">
        <w:rPr>
          <w:sz w:val="20"/>
        </w:rPr>
        <w:t xml:space="preserve"> ed. 1999).  </w:t>
      </w:r>
      <w:r w:rsidRPr="00C17647">
        <w:rPr>
          <w:i/>
          <w:sz w:val="20"/>
        </w:rPr>
        <w:t>See, e.g.</w:t>
      </w:r>
      <w:r w:rsidRPr="00C17647">
        <w:rPr>
          <w:sz w:val="20"/>
        </w:rPr>
        <w:t xml:space="preserve">, </w:t>
      </w:r>
      <w:r w:rsidRPr="00C17647">
        <w:rPr>
          <w:i/>
          <w:sz w:val="20"/>
        </w:rPr>
        <w:t>United States v. Jeffries</w:t>
      </w:r>
      <w:r w:rsidRPr="00C17647">
        <w:rPr>
          <w:sz w:val="20"/>
        </w:rPr>
        <w:t xml:space="preserve">, 692 F.3d 473, 483-86 (6th Cir. 2012) (Sutton, J., dubitante).  Others do so in deed, if not </w:t>
      </w:r>
      <w:r w:rsidR="00B420DA">
        <w:rPr>
          <w:sz w:val="20"/>
        </w:rPr>
        <w:t>with that precise word</w:t>
      </w:r>
      <w:r w:rsidRPr="00C17647">
        <w:rPr>
          <w:sz w:val="20"/>
        </w:rPr>
        <w:t xml:space="preserve">.  </w:t>
      </w:r>
      <w:r w:rsidRPr="00C17647">
        <w:rPr>
          <w:i/>
          <w:sz w:val="20"/>
        </w:rPr>
        <w:t>See</w:t>
      </w:r>
      <w:r w:rsidRPr="00C17647">
        <w:rPr>
          <w:sz w:val="20"/>
        </w:rPr>
        <w:t xml:space="preserve">, </w:t>
      </w:r>
      <w:r w:rsidRPr="00C17647">
        <w:rPr>
          <w:i/>
          <w:sz w:val="20"/>
        </w:rPr>
        <w:t>e</w:t>
      </w:r>
      <w:r w:rsidRPr="00C17647">
        <w:rPr>
          <w:sz w:val="20"/>
        </w:rPr>
        <w:t>.</w:t>
      </w:r>
      <w:r w:rsidRPr="00C17647">
        <w:rPr>
          <w:i/>
          <w:sz w:val="20"/>
        </w:rPr>
        <w:t>g</w:t>
      </w:r>
      <w:r w:rsidRPr="00C17647">
        <w:rPr>
          <w:sz w:val="20"/>
        </w:rPr>
        <w:t xml:space="preserve">., </w:t>
      </w:r>
      <w:r w:rsidRPr="00C17647">
        <w:rPr>
          <w:i/>
          <w:sz w:val="20"/>
        </w:rPr>
        <w:t>Khan v. State Oil Co</w:t>
      </w:r>
      <w:r w:rsidRPr="00C17647">
        <w:rPr>
          <w:sz w:val="20"/>
        </w:rPr>
        <w:t>., 93 F.3d 1358, 1363 (7</w:t>
      </w:r>
      <w:r w:rsidRPr="00C17647">
        <w:rPr>
          <w:sz w:val="20"/>
          <w:vertAlign w:val="superscript"/>
        </w:rPr>
        <w:t>th</w:t>
      </w:r>
      <w:r w:rsidRPr="00C17647">
        <w:rPr>
          <w:sz w:val="20"/>
        </w:rPr>
        <w:t xml:space="preserve"> Cir. 1996) (Posner, C.J.) (applying decades-old Supreme Court antitrust precedent “</w:t>
      </w:r>
      <w:r w:rsidRPr="00C17647">
        <w:rPr>
          <w:color w:val="000000"/>
          <w:sz w:val="20"/>
          <w:shd w:val="clear" w:color="auto" w:fill="FFFFFF"/>
        </w:rPr>
        <w:t>despite all its infirmities, its increasingly wobbly, moth-eaten foundations”).</w:t>
      </w:r>
      <w:r w:rsidRPr="00C17647">
        <w:rPr>
          <w:rFonts w:ascii="Georgia" w:hAnsi="Georgia"/>
          <w:color w:val="000000"/>
          <w:sz w:val="20"/>
          <w:shd w:val="clear" w:color="auto" w:fill="FFFFFF"/>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92986" w14:textId="77777777" w:rsidR="001B274D" w:rsidRDefault="001B27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2D0D0" w14:textId="77777777" w:rsidR="001B274D" w:rsidRDefault="001B27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C0D2B" w14:textId="77777777" w:rsidR="001B274D" w:rsidRDefault="001B27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B86"/>
    <w:rsid w:val="00005AB9"/>
    <w:rsid w:val="00026F38"/>
    <w:rsid w:val="00181598"/>
    <w:rsid w:val="001B274D"/>
    <w:rsid w:val="00270273"/>
    <w:rsid w:val="002D3C62"/>
    <w:rsid w:val="002E6EA2"/>
    <w:rsid w:val="00325B17"/>
    <w:rsid w:val="00402C8B"/>
    <w:rsid w:val="00473ED1"/>
    <w:rsid w:val="00483965"/>
    <w:rsid w:val="004931CA"/>
    <w:rsid w:val="00607CDF"/>
    <w:rsid w:val="006D7EA1"/>
    <w:rsid w:val="00883A19"/>
    <w:rsid w:val="008A41AB"/>
    <w:rsid w:val="00905B25"/>
    <w:rsid w:val="009B1F4F"/>
    <w:rsid w:val="00B33314"/>
    <w:rsid w:val="00B420DA"/>
    <w:rsid w:val="00BE0777"/>
    <w:rsid w:val="00C17647"/>
    <w:rsid w:val="00C24075"/>
    <w:rsid w:val="00C76926"/>
    <w:rsid w:val="00CF7AB2"/>
    <w:rsid w:val="00D36248"/>
    <w:rsid w:val="00D51B86"/>
    <w:rsid w:val="00D84CF0"/>
    <w:rsid w:val="00DA280C"/>
    <w:rsid w:val="00DD1CD2"/>
    <w:rsid w:val="00E50E95"/>
    <w:rsid w:val="00F0023B"/>
    <w:rsid w:val="00FD54DD"/>
    <w:rsid w:val="00FD7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75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A19"/>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883A1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83A19"/>
    <w:pPr>
      <w:keepNext/>
      <w:numPr>
        <w:ilvl w:val="1"/>
        <w:numId w:val="3"/>
      </w:numPr>
      <w:spacing w:after="120"/>
      <w:outlineLvl w:val="1"/>
    </w:pPr>
    <w:rPr>
      <w:b/>
    </w:rPr>
  </w:style>
  <w:style w:type="paragraph" w:styleId="Heading3">
    <w:name w:val="heading 3"/>
    <w:basedOn w:val="Normal"/>
    <w:next w:val="ParaNum"/>
    <w:link w:val="Heading3Char"/>
    <w:qFormat/>
    <w:rsid w:val="00883A19"/>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883A19"/>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883A19"/>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883A1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883A1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883A1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883A1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83A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83A19"/>
  </w:style>
  <w:style w:type="paragraph" w:styleId="FootnoteText">
    <w:name w:val="footnote text"/>
    <w:link w:val="FootnoteTextChar"/>
    <w:rsid w:val="00883A19"/>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33314"/>
    <w:rPr>
      <w:rFonts w:ascii="Times New Roman" w:eastAsia="Times New Roman" w:hAnsi="Times New Roman" w:cs="Times New Roman"/>
      <w:sz w:val="20"/>
      <w:szCs w:val="20"/>
    </w:rPr>
  </w:style>
  <w:style w:type="character" w:styleId="FootnoteReference">
    <w:name w:val="footnote reference"/>
    <w:rsid w:val="00883A19"/>
    <w:rPr>
      <w:rFonts w:ascii="Times New Roman" w:hAnsi="Times New Roman"/>
      <w:dstrike w:val="0"/>
      <w:color w:val="auto"/>
      <w:sz w:val="20"/>
      <w:vertAlign w:val="superscript"/>
    </w:rPr>
  </w:style>
  <w:style w:type="paragraph" w:styleId="BalloonText">
    <w:name w:val="Balloon Text"/>
    <w:basedOn w:val="Normal"/>
    <w:link w:val="BalloonTextChar"/>
    <w:uiPriority w:val="99"/>
    <w:semiHidden/>
    <w:unhideWhenUsed/>
    <w:rsid w:val="002E6E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6EA2"/>
    <w:rPr>
      <w:rFonts w:ascii="Lucida Grande" w:hAnsi="Lucida Grande" w:cs="Lucida Grande"/>
      <w:sz w:val="18"/>
      <w:szCs w:val="18"/>
    </w:rPr>
  </w:style>
  <w:style w:type="character" w:customStyle="1" w:styleId="Heading1Char">
    <w:name w:val="Heading 1 Char"/>
    <w:basedOn w:val="DefaultParagraphFont"/>
    <w:link w:val="Heading1"/>
    <w:rsid w:val="00DD1CD2"/>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DD1CD2"/>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DD1CD2"/>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DD1CD2"/>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DD1CD2"/>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DD1CD2"/>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DD1CD2"/>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DD1CD2"/>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DD1CD2"/>
    <w:rPr>
      <w:rFonts w:ascii="Times New Roman" w:eastAsia="Times New Roman" w:hAnsi="Times New Roman" w:cs="Times New Roman"/>
      <w:b/>
      <w:snapToGrid w:val="0"/>
      <w:kern w:val="28"/>
      <w:szCs w:val="20"/>
    </w:rPr>
  </w:style>
  <w:style w:type="paragraph" w:customStyle="1" w:styleId="ParaNum">
    <w:name w:val="ParaNum"/>
    <w:basedOn w:val="Normal"/>
    <w:rsid w:val="00883A19"/>
    <w:pPr>
      <w:numPr>
        <w:numId w:val="2"/>
      </w:numPr>
      <w:tabs>
        <w:tab w:val="clear" w:pos="1080"/>
        <w:tab w:val="num" w:pos="1440"/>
      </w:tabs>
      <w:spacing w:after="120"/>
    </w:pPr>
  </w:style>
  <w:style w:type="paragraph" w:styleId="EndnoteText">
    <w:name w:val="endnote text"/>
    <w:basedOn w:val="Normal"/>
    <w:link w:val="EndnoteTextChar"/>
    <w:semiHidden/>
    <w:rsid w:val="00883A19"/>
    <w:rPr>
      <w:sz w:val="20"/>
    </w:rPr>
  </w:style>
  <w:style w:type="character" w:customStyle="1" w:styleId="EndnoteTextChar">
    <w:name w:val="Endnote Text Char"/>
    <w:basedOn w:val="DefaultParagraphFont"/>
    <w:link w:val="EndnoteText"/>
    <w:semiHidden/>
    <w:rsid w:val="00DD1CD2"/>
    <w:rPr>
      <w:rFonts w:ascii="Times New Roman" w:eastAsia="Times New Roman" w:hAnsi="Times New Roman" w:cs="Times New Roman"/>
      <w:snapToGrid w:val="0"/>
      <w:kern w:val="28"/>
      <w:sz w:val="20"/>
      <w:szCs w:val="20"/>
    </w:rPr>
  </w:style>
  <w:style w:type="character" w:styleId="EndnoteReference">
    <w:name w:val="endnote reference"/>
    <w:semiHidden/>
    <w:rsid w:val="00883A19"/>
    <w:rPr>
      <w:vertAlign w:val="superscript"/>
    </w:rPr>
  </w:style>
  <w:style w:type="paragraph" w:styleId="TOC1">
    <w:name w:val="toc 1"/>
    <w:basedOn w:val="Normal"/>
    <w:next w:val="Normal"/>
    <w:semiHidden/>
    <w:rsid w:val="00883A1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83A19"/>
    <w:pPr>
      <w:tabs>
        <w:tab w:val="left" w:pos="720"/>
        <w:tab w:val="right" w:leader="dot" w:pos="9360"/>
      </w:tabs>
      <w:suppressAutoHyphens/>
      <w:ind w:left="720" w:right="720" w:hanging="360"/>
    </w:pPr>
    <w:rPr>
      <w:noProof/>
    </w:rPr>
  </w:style>
  <w:style w:type="paragraph" w:styleId="TOC3">
    <w:name w:val="toc 3"/>
    <w:basedOn w:val="Normal"/>
    <w:next w:val="Normal"/>
    <w:semiHidden/>
    <w:rsid w:val="00883A1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83A1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83A1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83A1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83A1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83A1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83A1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83A19"/>
    <w:pPr>
      <w:tabs>
        <w:tab w:val="right" w:pos="9360"/>
      </w:tabs>
      <w:suppressAutoHyphens/>
    </w:pPr>
  </w:style>
  <w:style w:type="character" w:customStyle="1" w:styleId="EquationCaption">
    <w:name w:val="_Equation Caption"/>
    <w:rsid w:val="00883A19"/>
  </w:style>
  <w:style w:type="paragraph" w:styleId="Header">
    <w:name w:val="header"/>
    <w:basedOn w:val="Normal"/>
    <w:link w:val="HeaderChar"/>
    <w:autoRedefine/>
    <w:rsid w:val="00883A19"/>
    <w:pPr>
      <w:tabs>
        <w:tab w:val="center" w:pos="4680"/>
        <w:tab w:val="right" w:pos="9360"/>
      </w:tabs>
    </w:pPr>
    <w:rPr>
      <w:b/>
    </w:rPr>
  </w:style>
  <w:style w:type="character" w:customStyle="1" w:styleId="HeaderChar">
    <w:name w:val="Header Char"/>
    <w:basedOn w:val="DefaultParagraphFont"/>
    <w:link w:val="Header"/>
    <w:rsid w:val="00DD1CD2"/>
    <w:rPr>
      <w:rFonts w:ascii="Times New Roman" w:eastAsia="Times New Roman" w:hAnsi="Times New Roman" w:cs="Times New Roman"/>
      <w:b/>
      <w:snapToGrid w:val="0"/>
      <w:kern w:val="28"/>
      <w:szCs w:val="20"/>
    </w:rPr>
  </w:style>
  <w:style w:type="paragraph" w:styleId="Footer">
    <w:name w:val="footer"/>
    <w:basedOn w:val="Normal"/>
    <w:link w:val="FooterChar"/>
    <w:rsid w:val="00883A19"/>
    <w:pPr>
      <w:tabs>
        <w:tab w:val="center" w:pos="4320"/>
        <w:tab w:val="right" w:pos="8640"/>
      </w:tabs>
    </w:pPr>
  </w:style>
  <w:style w:type="character" w:customStyle="1" w:styleId="FooterChar">
    <w:name w:val="Footer Char"/>
    <w:basedOn w:val="DefaultParagraphFont"/>
    <w:link w:val="Footer"/>
    <w:rsid w:val="00DD1CD2"/>
    <w:rPr>
      <w:rFonts w:ascii="Times New Roman" w:eastAsia="Times New Roman" w:hAnsi="Times New Roman" w:cs="Times New Roman"/>
      <w:snapToGrid w:val="0"/>
      <w:kern w:val="28"/>
      <w:szCs w:val="20"/>
    </w:rPr>
  </w:style>
  <w:style w:type="character" w:styleId="PageNumber">
    <w:name w:val="page number"/>
    <w:basedOn w:val="DefaultParagraphFont"/>
    <w:rsid w:val="00883A19"/>
  </w:style>
  <w:style w:type="paragraph" w:styleId="BlockText">
    <w:name w:val="Block Text"/>
    <w:basedOn w:val="Normal"/>
    <w:rsid w:val="00883A19"/>
    <w:pPr>
      <w:spacing w:after="240"/>
      <w:ind w:left="1440" w:right="1440"/>
    </w:pPr>
  </w:style>
  <w:style w:type="paragraph" w:customStyle="1" w:styleId="Paratitle">
    <w:name w:val="Para title"/>
    <w:basedOn w:val="Normal"/>
    <w:rsid w:val="00883A19"/>
    <w:pPr>
      <w:tabs>
        <w:tab w:val="center" w:pos="9270"/>
      </w:tabs>
      <w:spacing w:after="240"/>
    </w:pPr>
    <w:rPr>
      <w:spacing w:val="-2"/>
    </w:rPr>
  </w:style>
  <w:style w:type="paragraph" w:customStyle="1" w:styleId="Bullet">
    <w:name w:val="Bullet"/>
    <w:basedOn w:val="Normal"/>
    <w:rsid w:val="00883A19"/>
    <w:pPr>
      <w:tabs>
        <w:tab w:val="left" w:pos="2160"/>
      </w:tabs>
      <w:spacing w:after="220"/>
      <w:ind w:left="2160" w:hanging="720"/>
    </w:pPr>
  </w:style>
  <w:style w:type="paragraph" w:customStyle="1" w:styleId="TableFormat">
    <w:name w:val="TableFormat"/>
    <w:basedOn w:val="Bullet"/>
    <w:rsid w:val="00883A19"/>
    <w:pPr>
      <w:tabs>
        <w:tab w:val="clear" w:pos="2160"/>
        <w:tab w:val="left" w:pos="5040"/>
      </w:tabs>
      <w:ind w:left="5040" w:hanging="3600"/>
    </w:pPr>
  </w:style>
  <w:style w:type="paragraph" w:customStyle="1" w:styleId="TOCTitle">
    <w:name w:val="TOC Title"/>
    <w:basedOn w:val="Normal"/>
    <w:rsid w:val="00883A1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83A19"/>
    <w:pPr>
      <w:jc w:val="center"/>
    </w:pPr>
    <w:rPr>
      <w:rFonts w:ascii="Times New Roman Bold" w:hAnsi="Times New Roman Bold"/>
      <w:b/>
      <w:bCs/>
      <w:caps/>
      <w:szCs w:val="22"/>
    </w:rPr>
  </w:style>
  <w:style w:type="character" w:styleId="Hyperlink">
    <w:name w:val="Hyperlink"/>
    <w:rsid w:val="00883A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A19"/>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883A1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83A19"/>
    <w:pPr>
      <w:keepNext/>
      <w:numPr>
        <w:ilvl w:val="1"/>
        <w:numId w:val="3"/>
      </w:numPr>
      <w:spacing w:after="120"/>
      <w:outlineLvl w:val="1"/>
    </w:pPr>
    <w:rPr>
      <w:b/>
    </w:rPr>
  </w:style>
  <w:style w:type="paragraph" w:styleId="Heading3">
    <w:name w:val="heading 3"/>
    <w:basedOn w:val="Normal"/>
    <w:next w:val="ParaNum"/>
    <w:link w:val="Heading3Char"/>
    <w:qFormat/>
    <w:rsid w:val="00883A19"/>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883A19"/>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883A19"/>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883A1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883A1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883A1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883A1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83A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83A19"/>
  </w:style>
  <w:style w:type="paragraph" w:styleId="FootnoteText">
    <w:name w:val="footnote text"/>
    <w:link w:val="FootnoteTextChar"/>
    <w:rsid w:val="00883A19"/>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33314"/>
    <w:rPr>
      <w:rFonts w:ascii="Times New Roman" w:eastAsia="Times New Roman" w:hAnsi="Times New Roman" w:cs="Times New Roman"/>
      <w:sz w:val="20"/>
      <w:szCs w:val="20"/>
    </w:rPr>
  </w:style>
  <w:style w:type="character" w:styleId="FootnoteReference">
    <w:name w:val="footnote reference"/>
    <w:rsid w:val="00883A19"/>
    <w:rPr>
      <w:rFonts w:ascii="Times New Roman" w:hAnsi="Times New Roman"/>
      <w:dstrike w:val="0"/>
      <w:color w:val="auto"/>
      <w:sz w:val="20"/>
      <w:vertAlign w:val="superscript"/>
    </w:rPr>
  </w:style>
  <w:style w:type="paragraph" w:styleId="BalloonText">
    <w:name w:val="Balloon Text"/>
    <w:basedOn w:val="Normal"/>
    <w:link w:val="BalloonTextChar"/>
    <w:uiPriority w:val="99"/>
    <w:semiHidden/>
    <w:unhideWhenUsed/>
    <w:rsid w:val="002E6E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6EA2"/>
    <w:rPr>
      <w:rFonts w:ascii="Lucida Grande" w:hAnsi="Lucida Grande" w:cs="Lucida Grande"/>
      <w:sz w:val="18"/>
      <w:szCs w:val="18"/>
    </w:rPr>
  </w:style>
  <w:style w:type="character" w:customStyle="1" w:styleId="Heading1Char">
    <w:name w:val="Heading 1 Char"/>
    <w:basedOn w:val="DefaultParagraphFont"/>
    <w:link w:val="Heading1"/>
    <w:rsid w:val="00DD1CD2"/>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DD1CD2"/>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DD1CD2"/>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DD1CD2"/>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DD1CD2"/>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DD1CD2"/>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DD1CD2"/>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DD1CD2"/>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DD1CD2"/>
    <w:rPr>
      <w:rFonts w:ascii="Times New Roman" w:eastAsia="Times New Roman" w:hAnsi="Times New Roman" w:cs="Times New Roman"/>
      <w:b/>
      <w:snapToGrid w:val="0"/>
      <w:kern w:val="28"/>
      <w:szCs w:val="20"/>
    </w:rPr>
  </w:style>
  <w:style w:type="paragraph" w:customStyle="1" w:styleId="ParaNum">
    <w:name w:val="ParaNum"/>
    <w:basedOn w:val="Normal"/>
    <w:rsid w:val="00883A19"/>
    <w:pPr>
      <w:numPr>
        <w:numId w:val="2"/>
      </w:numPr>
      <w:tabs>
        <w:tab w:val="clear" w:pos="1080"/>
        <w:tab w:val="num" w:pos="1440"/>
      </w:tabs>
      <w:spacing w:after="120"/>
    </w:pPr>
  </w:style>
  <w:style w:type="paragraph" w:styleId="EndnoteText">
    <w:name w:val="endnote text"/>
    <w:basedOn w:val="Normal"/>
    <w:link w:val="EndnoteTextChar"/>
    <w:semiHidden/>
    <w:rsid w:val="00883A19"/>
    <w:rPr>
      <w:sz w:val="20"/>
    </w:rPr>
  </w:style>
  <w:style w:type="character" w:customStyle="1" w:styleId="EndnoteTextChar">
    <w:name w:val="Endnote Text Char"/>
    <w:basedOn w:val="DefaultParagraphFont"/>
    <w:link w:val="EndnoteText"/>
    <w:semiHidden/>
    <w:rsid w:val="00DD1CD2"/>
    <w:rPr>
      <w:rFonts w:ascii="Times New Roman" w:eastAsia="Times New Roman" w:hAnsi="Times New Roman" w:cs="Times New Roman"/>
      <w:snapToGrid w:val="0"/>
      <w:kern w:val="28"/>
      <w:sz w:val="20"/>
      <w:szCs w:val="20"/>
    </w:rPr>
  </w:style>
  <w:style w:type="character" w:styleId="EndnoteReference">
    <w:name w:val="endnote reference"/>
    <w:semiHidden/>
    <w:rsid w:val="00883A19"/>
    <w:rPr>
      <w:vertAlign w:val="superscript"/>
    </w:rPr>
  </w:style>
  <w:style w:type="paragraph" w:styleId="TOC1">
    <w:name w:val="toc 1"/>
    <w:basedOn w:val="Normal"/>
    <w:next w:val="Normal"/>
    <w:semiHidden/>
    <w:rsid w:val="00883A1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83A19"/>
    <w:pPr>
      <w:tabs>
        <w:tab w:val="left" w:pos="720"/>
        <w:tab w:val="right" w:leader="dot" w:pos="9360"/>
      </w:tabs>
      <w:suppressAutoHyphens/>
      <w:ind w:left="720" w:right="720" w:hanging="360"/>
    </w:pPr>
    <w:rPr>
      <w:noProof/>
    </w:rPr>
  </w:style>
  <w:style w:type="paragraph" w:styleId="TOC3">
    <w:name w:val="toc 3"/>
    <w:basedOn w:val="Normal"/>
    <w:next w:val="Normal"/>
    <w:semiHidden/>
    <w:rsid w:val="00883A1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83A1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83A1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83A1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83A1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83A1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83A1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83A19"/>
    <w:pPr>
      <w:tabs>
        <w:tab w:val="right" w:pos="9360"/>
      </w:tabs>
      <w:suppressAutoHyphens/>
    </w:pPr>
  </w:style>
  <w:style w:type="character" w:customStyle="1" w:styleId="EquationCaption">
    <w:name w:val="_Equation Caption"/>
    <w:rsid w:val="00883A19"/>
  </w:style>
  <w:style w:type="paragraph" w:styleId="Header">
    <w:name w:val="header"/>
    <w:basedOn w:val="Normal"/>
    <w:link w:val="HeaderChar"/>
    <w:autoRedefine/>
    <w:rsid w:val="00883A19"/>
    <w:pPr>
      <w:tabs>
        <w:tab w:val="center" w:pos="4680"/>
        <w:tab w:val="right" w:pos="9360"/>
      </w:tabs>
    </w:pPr>
    <w:rPr>
      <w:b/>
    </w:rPr>
  </w:style>
  <w:style w:type="character" w:customStyle="1" w:styleId="HeaderChar">
    <w:name w:val="Header Char"/>
    <w:basedOn w:val="DefaultParagraphFont"/>
    <w:link w:val="Header"/>
    <w:rsid w:val="00DD1CD2"/>
    <w:rPr>
      <w:rFonts w:ascii="Times New Roman" w:eastAsia="Times New Roman" w:hAnsi="Times New Roman" w:cs="Times New Roman"/>
      <w:b/>
      <w:snapToGrid w:val="0"/>
      <w:kern w:val="28"/>
      <w:szCs w:val="20"/>
    </w:rPr>
  </w:style>
  <w:style w:type="paragraph" w:styleId="Footer">
    <w:name w:val="footer"/>
    <w:basedOn w:val="Normal"/>
    <w:link w:val="FooterChar"/>
    <w:rsid w:val="00883A19"/>
    <w:pPr>
      <w:tabs>
        <w:tab w:val="center" w:pos="4320"/>
        <w:tab w:val="right" w:pos="8640"/>
      </w:tabs>
    </w:pPr>
  </w:style>
  <w:style w:type="character" w:customStyle="1" w:styleId="FooterChar">
    <w:name w:val="Footer Char"/>
    <w:basedOn w:val="DefaultParagraphFont"/>
    <w:link w:val="Footer"/>
    <w:rsid w:val="00DD1CD2"/>
    <w:rPr>
      <w:rFonts w:ascii="Times New Roman" w:eastAsia="Times New Roman" w:hAnsi="Times New Roman" w:cs="Times New Roman"/>
      <w:snapToGrid w:val="0"/>
      <w:kern w:val="28"/>
      <w:szCs w:val="20"/>
    </w:rPr>
  </w:style>
  <w:style w:type="character" w:styleId="PageNumber">
    <w:name w:val="page number"/>
    <w:basedOn w:val="DefaultParagraphFont"/>
    <w:rsid w:val="00883A19"/>
  </w:style>
  <w:style w:type="paragraph" w:styleId="BlockText">
    <w:name w:val="Block Text"/>
    <w:basedOn w:val="Normal"/>
    <w:rsid w:val="00883A19"/>
    <w:pPr>
      <w:spacing w:after="240"/>
      <w:ind w:left="1440" w:right="1440"/>
    </w:pPr>
  </w:style>
  <w:style w:type="paragraph" w:customStyle="1" w:styleId="Paratitle">
    <w:name w:val="Para title"/>
    <w:basedOn w:val="Normal"/>
    <w:rsid w:val="00883A19"/>
    <w:pPr>
      <w:tabs>
        <w:tab w:val="center" w:pos="9270"/>
      </w:tabs>
      <w:spacing w:after="240"/>
    </w:pPr>
    <w:rPr>
      <w:spacing w:val="-2"/>
    </w:rPr>
  </w:style>
  <w:style w:type="paragraph" w:customStyle="1" w:styleId="Bullet">
    <w:name w:val="Bullet"/>
    <w:basedOn w:val="Normal"/>
    <w:rsid w:val="00883A19"/>
    <w:pPr>
      <w:tabs>
        <w:tab w:val="left" w:pos="2160"/>
      </w:tabs>
      <w:spacing w:after="220"/>
      <w:ind w:left="2160" w:hanging="720"/>
    </w:pPr>
  </w:style>
  <w:style w:type="paragraph" w:customStyle="1" w:styleId="TableFormat">
    <w:name w:val="TableFormat"/>
    <w:basedOn w:val="Bullet"/>
    <w:rsid w:val="00883A19"/>
    <w:pPr>
      <w:tabs>
        <w:tab w:val="clear" w:pos="2160"/>
        <w:tab w:val="left" w:pos="5040"/>
      </w:tabs>
      <w:ind w:left="5040" w:hanging="3600"/>
    </w:pPr>
  </w:style>
  <w:style w:type="paragraph" w:customStyle="1" w:styleId="TOCTitle">
    <w:name w:val="TOC Title"/>
    <w:basedOn w:val="Normal"/>
    <w:rsid w:val="00883A1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83A19"/>
    <w:pPr>
      <w:jc w:val="center"/>
    </w:pPr>
    <w:rPr>
      <w:rFonts w:ascii="Times New Roman Bold" w:hAnsi="Times New Roman Bold"/>
      <w:b/>
      <w:bCs/>
      <w:caps/>
      <w:szCs w:val="22"/>
    </w:rPr>
  </w:style>
  <w:style w:type="character" w:styleId="Hyperlink">
    <w:name w:val="Hyperlink"/>
    <w:rsid w:val="00883A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65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1</Pages>
  <Words>418</Words>
  <Characters>2249</Characters>
  <Application>Microsoft Office Word</Application>
  <DocSecurity>0</DocSecurity>
  <Lines>40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2014-04-23T19:08:00Z</dcterms:created>
  <dcterms:modified xsi:type="dcterms:W3CDTF">2014-04-23T19:08:00Z</dcterms:modified>
  <cp:category> </cp:category>
  <cp:contentStatus> </cp:contentStatus>
</cp:coreProperties>
</file>