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DF" w:rsidRPr="00D567DF" w:rsidRDefault="00D567DF" w:rsidP="00D567DF">
      <w:pPr>
        <w:widowControl/>
        <w:jc w:val="center"/>
        <w:rPr>
          <w:rFonts w:ascii="Times New Roman Bold" w:eastAsiaTheme="minorHAnsi" w:hAnsi="Times New Roman Bold"/>
          <w:b/>
          <w:caps/>
          <w:snapToGrid/>
          <w:kern w:val="0"/>
          <w:szCs w:val="22"/>
        </w:rPr>
      </w:pPr>
      <w:bookmarkStart w:id="0" w:name="_GoBack"/>
      <w:bookmarkEnd w:id="0"/>
      <w:r w:rsidRPr="00D567DF">
        <w:rPr>
          <w:rFonts w:ascii="Times New Roman Bold" w:eastAsiaTheme="minorHAnsi" w:hAnsi="Times New Roman Bold"/>
          <w:b/>
          <w:caps/>
          <w:snapToGrid/>
          <w:kern w:val="0"/>
          <w:szCs w:val="22"/>
        </w:rPr>
        <w:t xml:space="preserve">Dissenting Statement of </w:t>
      </w:r>
    </w:p>
    <w:p w:rsidR="00D567DF" w:rsidRPr="00D567DF" w:rsidRDefault="00D567DF" w:rsidP="00D567DF">
      <w:pPr>
        <w:widowControl/>
        <w:jc w:val="center"/>
        <w:rPr>
          <w:rFonts w:eastAsiaTheme="minorHAnsi"/>
          <w:b/>
          <w:snapToGrid/>
          <w:kern w:val="0"/>
          <w:szCs w:val="22"/>
        </w:rPr>
      </w:pPr>
      <w:r w:rsidRPr="00D567DF">
        <w:rPr>
          <w:rFonts w:ascii="Times New Roman Bold" w:eastAsiaTheme="minorHAnsi" w:hAnsi="Times New Roman Bold"/>
          <w:b/>
          <w:caps/>
          <w:snapToGrid/>
          <w:kern w:val="0"/>
          <w:szCs w:val="22"/>
        </w:rPr>
        <w:t>Commissioner Michael O’Rielly</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rPr>
          <w:rFonts w:eastAsiaTheme="minorHAnsi"/>
          <w:i/>
          <w:snapToGrid/>
          <w:kern w:val="0"/>
          <w:szCs w:val="22"/>
        </w:rPr>
      </w:pPr>
      <w:r w:rsidRPr="00D567DF">
        <w:rPr>
          <w:rFonts w:eastAsiaTheme="minorHAnsi"/>
          <w:snapToGrid/>
          <w:kern w:val="0"/>
          <w:szCs w:val="22"/>
        </w:rPr>
        <w:t>Re:</w:t>
      </w:r>
      <w:r w:rsidRPr="00D567DF">
        <w:rPr>
          <w:rFonts w:eastAsiaTheme="minorHAnsi"/>
          <w:i/>
          <w:snapToGrid/>
          <w:kern w:val="0"/>
          <w:szCs w:val="22"/>
        </w:rPr>
        <w:tab/>
        <w:t xml:space="preserve">Protecting and Promoting the Open Internet, </w:t>
      </w:r>
      <w:r w:rsidRPr="00D567DF">
        <w:rPr>
          <w:rFonts w:eastAsiaTheme="minorHAnsi"/>
          <w:snapToGrid/>
          <w:kern w:val="0"/>
          <w:szCs w:val="22"/>
        </w:rPr>
        <w:t>GN Docket No. 14-28</w:t>
      </w:r>
      <w:r w:rsidR="00E02437">
        <w:rPr>
          <w:rFonts w:eastAsiaTheme="minorHAnsi"/>
          <w:snapToGrid/>
          <w:kern w:val="0"/>
          <w:szCs w:val="22"/>
        </w:rPr>
        <w:t>.</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rPr>
          <w:rFonts w:eastAsiaTheme="minorHAnsi"/>
          <w:snapToGrid/>
          <w:kern w:val="0"/>
          <w:szCs w:val="22"/>
        </w:rPr>
      </w:pPr>
      <w:r w:rsidRPr="00D567DF">
        <w:rPr>
          <w:rFonts w:eastAsiaTheme="minorHAnsi"/>
          <w:snapToGrid/>
          <w:kern w:val="0"/>
          <w:szCs w:val="22"/>
        </w:rPr>
        <w:tab/>
        <w:t xml:space="preserve">It should come as no surprise that I cannot support today’s Notice.  As I’ve said before, the premise for imposing net neutrality rules is fundamentally flawed and rests on a faulty foundation of make-believe statutory authority.  I have serious concerns that this ill-advised item will create damaging uncertainty and head the Commission down a slippery slope of regulation.  </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rPr>
          <w:rFonts w:eastAsiaTheme="minorHAnsi"/>
          <w:snapToGrid/>
          <w:kern w:val="0"/>
          <w:szCs w:val="22"/>
        </w:rPr>
      </w:pPr>
      <w:r w:rsidRPr="00D567DF">
        <w:rPr>
          <w:rFonts w:eastAsiaTheme="minorHAnsi"/>
          <w:snapToGrid/>
          <w:kern w:val="0"/>
          <w:szCs w:val="22"/>
        </w:rPr>
        <w:tab/>
        <w:t xml:space="preserve">As anticipated, the Notice proposes to ground the net neutrality rules in section 706 of the Telecommunications Act of 1996.  I have already expressed my views that Congress never intended section 706 to be an affirmative grant of authority to the Commission to regulate the Internet.  At most, it could be used to trigger </w:t>
      </w:r>
      <w:r w:rsidRPr="00D567DF">
        <w:rPr>
          <w:rFonts w:eastAsiaTheme="minorHAnsi"/>
          <w:i/>
          <w:snapToGrid/>
          <w:kern w:val="0"/>
          <w:szCs w:val="22"/>
        </w:rPr>
        <w:t>deregulation</w:t>
      </w:r>
      <w:r w:rsidRPr="00D567DF">
        <w:rPr>
          <w:rFonts w:eastAsiaTheme="minorHAnsi"/>
          <w:snapToGrid/>
          <w:kern w:val="0"/>
          <w:szCs w:val="22"/>
        </w:rPr>
        <w:t xml:space="preserve">.  </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But the Notice doesn’t stop there.  It seeks comment on ways to construe additional language in section 706 and even suggests using section 230(b) to broaden the scope of the Commission’s usurped authority.  This is absurd.  I was worried enough that the Commission’s current reading of section 706 could be used to justify any number of regulatory interventions and could ultimately impact not just broadband providers, but also edge providers.  Now that the Commission is trying to cast an even wider net of authority, I fear that other services and providers could become ensnared in the future.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And just in case section 706 proves to be inadequate for this regulatory boondoggle, the Notice explores upending years of precedent and investment by reclassifying broadband Internet access as a Title II service.  That is, the Commission examines applying monopoly era telephone rules to modern broadband services solely to impose unnecessary and defective net neutrality regulations.  I cannot support such a backward-looking, ends-driven approach—not in a Notice and certainly not in final rules.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While courts can recognize that an agency may </w:t>
      </w:r>
      <w:r w:rsidRPr="00D567DF">
        <w:rPr>
          <w:rFonts w:eastAsiaTheme="minorHAnsi"/>
          <w:i/>
          <w:snapToGrid/>
          <w:kern w:val="0"/>
          <w:szCs w:val="22"/>
        </w:rPr>
        <w:t>legally</w:t>
      </w:r>
      <w:r w:rsidRPr="00D567DF">
        <w:rPr>
          <w:rFonts w:eastAsiaTheme="minorHAnsi"/>
          <w:snapToGrid/>
          <w:kern w:val="0"/>
          <w:szCs w:val="22"/>
        </w:rPr>
        <w:t xml:space="preserve"> reverse course as long as it adequately explains the reasons for changing its position, I am concerned about the </w:t>
      </w:r>
      <w:r w:rsidRPr="00D567DF">
        <w:rPr>
          <w:rFonts w:eastAsiaTheme="minorHAnsi"/>
          <w:i/>
          <w:snapToGrid/>
          <w:kern w:val="0"/>
          <w:szCs w:val="22"/>
        </w:rPr>
        <w:t>real world impact</w:t>
      </w:r>
      <w:r w:rsidRPr="00D567DF">
        <w:rPr>
          <w:rFonts w:eastAsiaTheme="minorHAnsi"/>
          <w:snapToGrid/>
          <w:kern w:val="0"/>
          <w:szCs w:val="22"/>
        </w:rPr>
        <w:t xml:space="preserve"> that such a decision could have on the communications industry and the economy as a whole.  The current framework has provided a climate of certainty and stability for broadband investment and Internet innovation.  Upending that framework could disrupt the tremendous progress that has been made over the last decade.  I also worry about the credibility of an agency that consistently fails to meet statutory deadlines to review and eliminate old rules, but is supposedly open to reapplying obsolete provisions.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The Notice suggests that reclassification could be accompanied by substantial forbearance from the Title II requirements.  But the need to forbear from a significant number of provisions in Title II proves the point that Title II is an inappropriate framework for today’s dynamic technologies.  Indeed, Title II includes a host of arcane provisions on topics like interlocking directorates, valuation of carrier property, uniform system of accounts and depreciation charges, telephone operator services, telemessaging service, Bell Operating Company entry into interLATA services, manufacturing of telecommunications equipment and customer premises equipment, and electronic publishing.  Even if the Commission granted forbearance from all of the provisions that it has eliminated for incumbent telephone companies—and then some—advocates are ignoring that broadband providers and services would still be subject to a host of unnecessary rules.  The idea that the Commission can magically impose or sprinkle just the right amount of Title II on broadband providers is giving the Commission more credit than it ever deserves.  </w:t>
      </w:r>
    </w:p>
    <w:p w:rsidR="00D567DF" w:rsidRPr="00D567DF" w:rsidRDefault="00D567DF" w:rsidP="00D567DF">
      <w:pPr>
        <w:widowControl/>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Additionally, before taking any action on any issue, the Commission should have specific and verifiable evidence that there is a market failure.  The Notice does not examine the broadband market much less identify any failures.  A true and accurate review of the U.S. broadband market—which must </w:t>
      </w:r>
      <w:r w:rsidRPr="00D567DF">
        <w:rPr>
          <w:rFonts w:eastAsiaTheme="minorHAnsi"/>
          <w:snapToGrid/>
          <w:kern w:val="0"/>
          <w:szCs w:val="22"/>
        </w:rPr>
        <w:lastRenderedPageBreak/>
        <w:t xml:space="preserve">include wireless broadband—would show how dynamic it is.  The Notice does acknowledge that innovation and investment have flourished, although it implausibly ascribes those successes to the vacated net neutrality rules.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Moreover, the Notice fails to make the case that there’s an actual problem resulting in real harm to consumers.  The Notice identifies, at most, two additional examples of alleged harm.  And in one instance, the Commission concedes it did not find a violation.  The Notice tries to explain away the absence of net neutrality complaints, but the unpersuasive excuses cannot mask a lack of evidence.  In a last ditch attempt to find problems, the Notice points to supposed bad conduct occurring outside of the United States without explaining how that is relevant to a very different U.S. broadband market and regulatory structure.</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Having come up empty handed, the Notice proceeds to explore hypothetical concerns.  At the top of the list is prioritization.  But even ardent supporters of net neutrality recognize that some amount of traffic differentiation or “prioritization” must be allowed or even encouraged.  Voice must be prioritized over email; video over plain data.  Prioritization is not a bad word.  It is a necessary component of reasonable network management.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The Notice is particularly skeptical of paid prioritization and contemplates banning some or all such arrangements outright.  Yet companies that do business over the Internet, including some of the strongest supporters of net neutrality, routinely pay for a variety of services to ensure the best possible experience for their consumers.  They’ve been doing it for years.  And certain arrangements have even been viewed as “good for the Internet.”  In short, fears that paid prioritization will automatically degrade service for other users, relegating them to a so-called “slow lane,” have been disproven by years of experience.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Because there’s no evidence of actual harm that could help inform the proposed rules, they are not narrowly tailored but hopelessly vague and unclear.  We are left to puzzle over what it means to provide a “minimum level of access” or what constitutes a “commercially unreasonable” practice, especially in the absence of contractual relationships.  The Notice suggests that providers could seek non-binding staff guidance or prospective reviews of their practices.  But it is very troubling when legitimate companies are put in the position of having to ask the government for its blessing every time they need to make a business decision in order to avoid costly enforcement or litigation. It is even more telling that the Commission is suggesting new layers of enforcement options for which it has no experience.  For instance, where are ombudsmen mentioned in the statute and what are they to do exactly?      </w:t>
      </w:r>
    </w:p>
    <w:p w:rsidR="00D567DF" w:rsidRPr="00D567DF" w:rsidRDefault="00D567DF" w:rsidP="00D567DF">
      <w:pPr>
        <w:widowControl/>
        <w:ind w:firstLine="720"/>
        <w:rPr>
          <w:rFonts w:eastAsiaTheme="minorHAnsi"/>
          <w:snapToGrid/>
          <w:kern w:val="0"/>
          <w:szCs w:val="22"/>
        </w:rPr>
      </w:pPr>
    </w:p>
    <w:p w:rsidR="00D567DF" w:rsidRPr="00D567DF" w:rsidRDefault="00D567DF" w:rsidP="00D567DF">
      <w:pPr>
        <w:widowControl/>
        <w:ind w:firstLine="720"/>
        <w:rPr>
          <w:rFonts w:eastAsiaTheme="minorHAnsi"/>
          <w:snapToGrid/>
          <w:kern w:val="0"/>
          <w:szCs w:val="22"/>
        </w:rPr>
      </w:pPr>
      <w:r w:rsidRPr="00D567DF">
        <w:rPr>
          <w:rFonts w:eastAsiaTheme="minorHAnsi"/>
          <w:snapToGrid/>
          <w:kern w:val="0"/>
          <w:szCs w:val="22"/>
        </w:rPr>
        <w:t xml:space="preserve">Finally, to say the cost-benefit “analysis” is woefully inadequate is an understatement.  The Notice devotes several pages to a wish list of disclosures, reporting requirements, and certifications that will impose new burdens and carry real costs, but may not even be meaningful to end users.  For example, what will the average consumer do with information on packet corruption and jitter?  However, there is no attempt to quantify and compare the costs of the proposed new requirements against the supposed benefits—just a single paragraph seeking comment on ways to reduce the burdens.  Proposed rules should be accompanied by a fulsome cost-benefit analysis that includes a detailed and extensive review of current law, especially as it applies to other federal agencies that we seek to imitate.  The Commission’s short-shrift approach to cost-benefit analysis cannot continue, and I intend to spend time improving this important function.  </w:t>
      </w:r>
    </w:p>
    <w:p w:rsidR="00D567DF" w:rsidRPr="00D567DF" w:rsidRDefault="00D567DF" w:rsidP="00D567DF">
      <w:pPr>
        <w:widowControl/>
        <w:ind w:firstLine="720"/>
        <w:rPr>
          <w:rFonts w:eastAsiaTheme="minorHAnsi"/>
          <w:snapToGrid/>
          <w:kern w:val="0"/>
          <w:szCs w:val="22"/>
        </w:rPr>
      </w:pPr>
    </w:p>
    <w:p w:rsidR="00D208A1" w:rsidRPr="00FE7186" w:rsidRDefault="00D567DF" w:rsidP="00D567DF">
      <w:pPr>
        <w:widowControl/>
        <w:ind w:firstLine="720"/>
      </w:pPr>
      <w:r w:rsidRPr="00D567DF">
        <w:rPr>
          <w:rFonts w:eastAsiaTheme="minorHAnsi"/>
          <w:snapToGrid/>
          <w:kern w:val="0"/>
          <w:szCs w:val="22"/>
        </w:rPr>
        <w:t>In sum, the proposed net neutrality rules and legal theories will stifle innovation and investment by the private sector, provide no help to consumers, and thrust the Commission into a place it shouldn’t be.  I respectfully dissent.</w:t>
      </w:r>
    </w:p>
    <w:sectPr w:rsidR="00D208A1" w:rsidRPr="00FE7186" w:rsidSect="00143DA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F9" w:rsidRDefault="001C48F9">
      <w:pPr>
        <w:spacing w:line="20" w:lineRule="exact"/>
      </w:pPr>
    </w:p>
  </w:endnote>
  <w:endnote w:type="continuationSeparator" w:id="0">
    <w:p w:rsidR="001C48F9" w:rsidRDefault="001C48F9">
      <w:r>
        <w:t xml:space="preserve"> </w:t>
      </w:r>
    </w:p>
  </w:endnote>
  <w:endnote w:type="continuationNotice" w:id="1">
    <w:p w:rsidR="001C48F9" w:rsidRDefault="001C48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05" w:rsidRDefault="007A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5983"/>
      <w:docPartObj>
        <w:docPartGallery w:val="Page Numbers (Bottom of Page)"/>
        <w:docPartUnique/>
      </w:docPartObj>
    </w:sdtPr>
    <w:sdtEndPr>
      <w:rPr>
        <w:noProof/>
      </w:rPr>
    </w:sdtEndPr>
    <w:sdtContent>
      <w:p w:rsidR="000C50E1" w:rsidRDefault="00295826" w:rsidP="00112787">
        <w:pPr>
          <w:pStyle w:val="Footer"/>
          <w:jc w:val="center"/>
        </w:pPr>
        <w:r>
          <w:fldChar w:fldCharType="begin"/>
        </w:r>
        <w:r>
          <w:instrText xml:space="preserve"> PAGE   \* MERGEFORMAT </w:instrText>
        </w:r>
        <w:r>
          <w:fldChar w:fldCharType="separate"/>
        </w:r>
        <w:r w:rsidR="008C272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05" w:rsidRDefault="007A3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F9" w:rsidRDefault="001C48F9">
      <w:r>
        <w:separator/>
      </w:r>
    </w:p>
  </w:footnote>
  <w:footnote w:type="continuationSeparator" w:id="0">
    <w:p w:rsidR="001C48F9" w:rsidRDefault="001C48F9" w:rsidP="00C721AC">
      <w:pPr>
        <w:spacing w:before="120"/>
        <w:rPr>
          <w:sz w:val="20"/>
        </w:rPr>
      </w:pPr>
      <w:r>
        <w:rPr>
          <w:sz w:val="20"/>
        </w:rPr>
        <w:t xml:space="preserve">(Continued from previous page)  </w:t>
      </w:r>
      <w:r>
        <w:rPr>
          <w:sz w:val="20"/>
        </w:rPr>
        <w:separator/>
      </w:r>
    </w:p>
  </w:footnote>
  <w:footnote w:type="continuationNotice" w:id="1">
    <w:p w:rsidR="001C48F9" w:rsidRDefault="001C48F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05" w:rsidRDefault="007A3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B4" w:rsidRDefault="008D7CB4" w:rsidP="008D7CB4">
    <w:pPr>
      <w:pStyle w:val="Header"/>
    </w:pPr>
    <w:r>
      <w:tab/>
      <w:t>Federal Communications Commission</w:t>
    </w:r>
    <w:r>
      <w:tab/>
      <w:t>FCC 14-61</w:t>
    </w:r>
  </w:p>
  <w:p w:rsidR="008D7CB4" w:rsidRDefault="008D7CB4" w:rsidP="008D7CB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04F543CF" wp14:editId="503711B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D7CB4" w:rsidRDefault="008D7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A8" w:rsidRDefault="00143DA8" w:rsidP="00143DA8">
    <w:pPr>
      <w:pStyle w:val="Header"/>
    </w:pPr>
    <w:r>
      <w:tab/>
      <w:t>Federal Communications Commission</w:t>
    </w:r>
    <w:r>
      <w:tab/>
      <w:t>FCC 14-61</w:t>
    </w:r>
  </w:p>
  <w:p w:rsidR="00143DA8" w:rsidRDefault="00143DA8" w:rsidP="00143DA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3A016463" wp14:editId="6274F664">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143DA8" w:rsidRDefault="00143DA8" w:rsidP="00143DA8">
    <w:pPr>
      <w:pStyle w:val="Header"/>
    </w:pPr>
  </w:p>
  <w:p w:rsidR="00143DA8" w:rsidRDefault="00143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upperLetter"/>
      <w:lvlText w:val="%1."/>
      <w:lvlJc w:val="left"/>
      <w:pPr>
        <w:tabs>
          <w:tab w:val="num" w:pos="360"/>
        </w:tabs>
        <w:ind w:left="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DA0543"/>
    <w:multiLevelType w:val="hybridMultilevel"/>
    <w:tmpl w:val="2A1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CA6D25"/>
    <w:multiLevelType w:val="hybridMultilevel"/>
    <w:tmpl w:val="97D08534"/>
    <w:lvl w:ilvl="0" w:tplc="9C7CD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90D48"/>
    <w:multiLevelType w:val="hybridMultilevel"/>
    <w:tmpl w:val="BE007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57E40"/>
    <w:multiLevelType w:val="hybridMultilevel"/>
    <w:tmpl w:val="EA7E9DDE"/>
    <w:lvl w:ilvl="0" w:tplc="264443D2">
      <w:start w:val="1"/>
      <w:numFmt w:val="upperLetter"/>
      <w:pStyle w:val="Outline2"/>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6256FCC2">
      <w:start w:val="2"/>
      <w:numFmt w:val="decimal"/>
      <w:lvlText w:val="%5."/>
      <w:lvlJc w:val="left"/>
      <w:pPr>
        <w:tabs>
          <w:tab w:val="num" w:pos="3600"/>
        </w:tabs>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DB151E"/>
    <w:multiLevelType w:val="hybridMultilevel"/>
    <w:tmpl w:val="A5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C4C6A"/>
    <w:multiLevelType w:val="hybridMultilevel"/>
    <w:tmpl w:val="A5E26A28"/>
    <w:lvl w:ilvl="0" w:tplc="04090003">
      <w:start w:val="1"/>
      <w:numFmt w:val="bullet"/>
      <w:lvlText w:val="o"/>
      <w:lvlJc w:val="left"/>
      <w:pPr>
        <w:ind w:left="1152" w:hanging="360"/>
      </w:pPr>
      <w:rPr>
        <w:rFonts w:ascii="Courier New" w:hAnsi="Courier New"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B292D7E"/>
    <w:multiLevelType w:val="hybridMultilevel"/>
    <w:tmpl w:val="DE42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E505AE2"/>
    <w:multiLevelType w:val="hybridMultilevel"/>
    <w:tmpl w:val="E7E25A92"/>
    <w:lvl w:ilvl="0" w:tplc="3DB0ED3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416D93"/>
    <w:multiLevelType w:val="hybridMultilevel"/>
    <w:tmpl w:val="FB9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D2B95"/>
    <w:multiLevelType w:val="hybridMultilevel"/>
    <w:tmpl w:val="B63A46B6"/>
    <w:lvl w:ilvl="0" w:tplc="D9A2C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1362F"/>
    <w:multiLevelType w:val="hybridMultilevel"/>
    <w:tmpl w:val="F0D25632"/>
    <w:lvl w:ilvl="0" w:tplc="4E3832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37987"/>
    <w:multiLevelType w:val="hybridMultilevel"/>
    <w:tmpl w:val="207CAC28"/>
    <w:lvl w:ilvl="0" w:tplc="17A46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ED522A"/>
    <w:multiLevelType w:val="hybridMultilevel"/>
    <w:tmpl w:val="CEB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58731B"/>
    <w:multiLevelType w:val="hybridMultilevel"/>
    <w:tmpl w:val="24B45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7"/>
  </w:num>
  <w:num w:numId="3">
    <w:abstractNumId w:val="10"/>
  </w:num>
  <w:num w:numId="4">
    <w:abstractNumId w:val="14"/>
  </w:num>
  <w:num w:numId="5">
    <w:abstractNumId w:val="8"/>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6"/>
  </w:num>
  <w:num w:numId="23">
    <w:abstractNumId w:val="21"/>
  </w:num>
  <w:num w:numId="24">
    <w:abstractNumId w:val="20"/>
  </w:num>
  <w:num w:numId="25">
    <w:abstractNumId w:val="15"/>
  </w:num>
  <w:num w:numId="26">
    <w:abstractNumId w:val="0"/>
  </w:num>
  <w:num w:numId="27">
    <w:abstractNumId w:val="17"/>
    <w:lvlOverride w:ilvl="0">
      <w:startOverride w:val="1"/>
    </w:lvlOverride>
  </w:num>
  <w:num w:numId="28">
    <w:abstractNumId w:val="23"/>
  </w:num>
  <w:num w:numId="29">
    <w:abstractNumId w:val="9"/>
  </w:num>
  <w:num w:numId="30">
    <w:abstractNumId w:val="18"/>
  </w:num>
  <w:num w:numId="31">
    <w:abstractNumId w:val="2"/>
  </w:num>
  <w:num w:numId="32">
    <w:abstractNumId w:val="17"/>
    <w:lvlOverride w:ilvl="0">
      <w:startOverride w:val="1"/>
    </w:lvlOverride>
  </w:num>
  <w:num w:numId="33">
    <w:abstractNumId w:val="17"/>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lvlOverride w:ilvl="0">
      <w:startOverride w:val="1"/>
    </w:lvlOverride>
  </w:num>
  <w:num w:numId="37">
    <w:abstractNumId w:val="13"/>
  </w:num>
  <w:num w:numId="38">
    <w:abstractNumId w:val="1"/>
  </w:num>
  <w:num w:numId="39">
    <w:abstractNumId w:val="24"/>
  </w:num>
  <w:num w:numId="40">
    <w:abstractNumId w:val="11"/>
  </w:num>
  <w:num w:numId="41">
    <w:abstractNumId w:val="17"/>
  </w:num>
  <w:num w:numId="42">
    <w:abstractNumId w:val="17"/>
    <w:lvlOverride w:ilvl="0">
      <w:startOverride w:val="127"/>
    </w:lvlOverride>
  </w:num>
  <w:num w:numId="43">
    <w:abstractNumId w:val="17"/>
  </w:num>
  <w:num w:numId="44">
    <w:abstractNumId w:val="17"/>
    <w:lvlOverride w:ilvl="0">
      <w:startOverride w:val="1"/>
    </w:lvlOverride>
  </w:num>
  <w:num w:numId="45">
    <w:abstractNumId w:val="22"/>
  </w:num>
  <w:num w:numId="46">
    <w:abstractNumId w:val="16"/>
  </w:num>
  <w:num w:numId="47">
    <w:abstractNumId w:val="17"/>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0"/>
    <w:rsid w:val="00000499"/>
    <w:rsid w:val="0000132B"/>
    <w:rsid w:val="0000146C"/>
    <w:rsid w:val="0000187B"/>
    <w:rsid w:val="000030D4"/>
    <w:rsid w:val="00003B45"/>
    <w:rsid w:val="00003DFC"/>
    <w:rsid w:val="00003EF2"/>
    <w:rsid w:val="00004A83"/>
    <w:rsid w:val="0000579C"/>
    <w:rsid w:val="00014E7B"/>
    <w:rsid w:val="000164A7"/>
    <w:rsid w:val="00016C36"/>
    <w:rsid w:val="00021AE3"/>
    <w:rsid w:val="0002258E"/>
    <w:rsid w:val="00022BE7"/>
    <w:rsid w:val="00023230"/>
    <w:rsid w:val="000234C9"/>
    <w:rsid w:val="0002732D"/>
    <w:rsid w:val="00030A1F"/>
    <w:rsid w:val="0003229C"/>
    <w:rsid w:val="000324CB"/>
    <w:rsid w:val="00032EC9"/>
    <w:rsid w:val="000340AF"/>
    <w:rsid w:val="000348E6"/>
    <w:rsid w:val="00036039"/>
    <w:rsid w:val="00037081"/>
    <w:rsid w:val="00037F90"/>
    <w:rsid w:val="0004287A"/>
    <w:rsid w:val="00042D32"/>
    <w:rsid w:val="00044AEE"/>
    <w:rsid w:val="00044E64"/>
    <w:rsid w:val="00045F02"/>
    <w:rsid w:val="00046C33"/>
    <w:rsid w:val="00046D45"/>
    <w:rsid w:val="0004747B"/>
    <w:rsid w:val="00047EEF"/>
    <w:rsid w:val="0005296A"/>
    <w:rsid w:val="00054CE6"/>
    <w:rsid w:val="00054DCC"/>
    <w:rsid w:val="000577B2"/>
    <w:rsid w:val="00057D0E"/>
    <w:rsid w:val="00060130"/>
    <w:rsid w:val="00063A75"/>
    <w:rsid w:val="00063F9C"/>
    <w:rsid w:val="00064165"/>
    <w:rsid w:val="00065F24"/>
    <w:rsid w:val="00070E0F"/>
    <w:rsid w:val="0007145F"/>
    <w:rsid w:val="00073578"/>
    <w:rsid w:val="00073876"/>
    <w:rsid w:val="00075E64"/>
    <w:rsid w:val="00077B61"/>
    <w:rsid w:val="00080BB3"/>
    <w:rsid w:val="00082AE5"/>
    <w:rsid w:val="00082D37"/>
    <w:rsid w:val="00083600"/>
    <w:rsid w:val="00085912"/>
    <w:rsid w:val="0008673B"/>
    <w:rsid w:val="00086F12"/>
    <w:rsid w:val="000875BF"/>
    <w:rsid w:val="00087C0A"/>
    <w:rsid w:val="00090369"/>
    <w:rsid w:val="000923A8"/>
    <w:rsid w:val="00094A62"/>
    <w:rsid w:val="000962CC"/>
    <w:rsid w:val="00096C9D"/>
    <w:rsid w:val="00096D8C"/>
    <w:rsid w:val="000A0F61"/>
    <w:rsid w:val="000A1792"/>
    <w:rsid w:val="000A220A"/>
    <w:rsid w:val="000A246E"/>
    <w:rsid w:val="000A2BF1"/>
    <w:rsid w:val="000A427E"/>
    <w:rsid w:val="000A5932"/>
    <w:rsid w:val="000A75A6"/>
    <w:rsid w:val="000B006F"/>
    <w:rsid w:val="000B31F9"/>
    <w:rsid w:val="000B3BC0"/>
    <w:rsid w:val="000B4F33"/>
    <w:rsid w:val="000B5393"/>
    <w:rsid w:val="000B594C"/>
    <w:rsid w:val="000B6848"/>
    <w:rsid w:val="000B6F98"/>
    <w:rsid w:val="000C0B65"/>
    <w:rsid w:val="000C3568"/>
    <w:rsid w:val="000C6E73"/>
    <w:rsid w:val="000C7119"/>
    <w:rsid w:val="000C7B1B"/>
    <w:rsid w:val="000D0C9E"/>
    <w:rsid w:val="000D4DFB"/>
    <w:rsid w:val="000D4FFA"/>
    <w:rsid w:val="000D6F1D"/>
    <w:rsid w:val="000D74C5"/>
    <w:rsid w:val="000E05FE"/>
    <w:rsid w:val="000E0B3D"/>
    <w:rsid w:val="000E17E5"/>
    <w:rsid w:val="000E3D42"/>
    <w:rsid w:val="000E4490"/>
    <w:rsid w:val="000E555F"/>
    <w:rsid w:val="000E58B7"/>
    <w:rsid w:val="000E5ABD"/>
    <w:rsid w:val="000E699C"/>
    <w:rsid w:val="000E7244"/>
    <w:rsid w:val="000E79C8"/>
    <w:rsid w:val="000E7C96"/>
    <w:rsid w:val="000F1AE7"/>
    <w:rsid w:val="000F1D62"/>
    <w:rsid w:val="000F20DC"/>
    <w:rsid w:val="000F21FE"/>
    <w:rsid w:val="000F2BA6"/>
    <w:rsid w:val="000F4BE4"/>
    <w:rsid w:val="000F4C02"/>
    <w:rsid w:val="000F5DBD"/>
    <w:rsid w:val="000F6649"/>
    <w:rsid w:val="000F670D"/>
    <w:rsid w:val="00100E93"/>
    <w:rsid w:val="00100FB6"/>
    <w:rsid w:val="00102213"/>
    <w:rsid w:val="0010264B"/>
    <w:rsid w:val="00106F62"/>
    <w:rsid w:val="001078B5"/>
    <w:rsid w:val="00107BFB"/>
    <w:rsid w:val="00111162"/>
    <w:rsid w:val="00112541"/>
    <w:rsid w:val="0011267B"/>
    <w:rsid w:val="00112787"/>
    <w:rsid w:val="00113FE3"/>
    <w:rsid w:val="001166C1"/>
    <w:rsid w:val="001202C6"/>
    <w:rsid w:val="00120ACF"/>
    <w:rsid w:val="00122BD5"/>
    <w:rsid w:val="00123317"/>
    <w:rsid w:val="00124CFF"/>
    <w:rsid w:val="00125365"/>
    <w:rsid w:val="00125739"/>
    <w:rsid w:val="00131B78"/>
    <w:rsid w:val="0013204E"/>
    <w:rsid w:val="00133F79"/>
    <w:rsid w:val="0013439B"/>
    <w:rsid w:val="00135654"/>
    <w:rsid w:val="00136A22"/>
    <w:rsid w:val="00141D76"/>
    <w:rsid w:val="00142186"/>
    <w:rsid w:val="00142915"/>
    <w:rsid w:val="00142BD3"/>
    <w:rsid w:val="00143DA8"/>
    <w:rsid w:val="0014425D"/>
    <w:rsid w:val="00145602"/>
    <w:rsid w:val="00145D3F"/>
    <w:rsid w:val="00152106"/>
    <w:rsid w:val="001543E5"/>
    <w:rsid w:val="00154AC9"/>
    <w:rsid w:val="00155E21"/>
    <w:rsid w:val="001623C5"/>
    <w:rsid w:val="0016387F"/>
    <w:rsid w:val="001644AA"/>
    <w:rsid w:val="001654B3"/>
    <w:rsid w:val="00166148"/>
    <w:rsid w:val="00166F52"/>
    <w:rsid w:val="0016747A"/>
    <w:rsid w:val="00175CAC"/>
    <w:rsid w:val="001763DE"/>
    <w:rsid w:val="001828D9"/>
    <w:rsid w:val="00183962"/>
    <w:rsid w:val="0018714B"/>
    <w:rsid w:val="00187E95"/>
    <w:rsid w:val="001918C0"/>
    <w:rsid w:val="00192455"/>
    <w:rsid w:val="00194A66"/>
    <w:rsid w:val="00195D25"/>
    <w:rsid w:val="001A1976"/>
    <w:rsid w:val="001A237B"/>
    <w:rsid w:val="001A32EB"/>
    <w:rsid w:val="001A36E6"/>
    <w:rsid w:val="001A513A"/>
    <w:rsid w:val="001A557B"/>
    <w:rsid w:val="001A58EF"/>
    <w:rsid w:val="001A59B8"/>
    <w:rsid w:val="001A71E0"/>
    <w:rsid w:val="001A73FD"/>
    <w:rsid w:val="001B00A0"/>
    <w:rsid w:val="001B0A1E"/>
    <w:rsid w:val="001B1E26"/>
    <w:rsid w:val="001B248D"/>
    <w:rsid w:val="001B27A1"/>
    <w:rsid w:val="001B3539"/>
    <w:rsid w:val="001B53B9"/>
    <w:rsid w:val="001B662E"/>
    <w:rsid w:val="001C12AD"/>
    <w:rsid w:val="001C48F9"/>
    <w:rsid w:val="001C4C9F"/>
    <w:rsid w:val="001C6600"/>
    <w:rsid w:val="001D0109"/>
    <w:rsid w:val="001D054A"/>
    <w:rsid w:val="001D3B4F"/>
    <w:rsid w:val="001D6BCF"/>
    <w:rsid w:val="001D76F8"/>
    <w:rsid w:val="001D7D2B"/>
    <w:rsid w:val="001E01CA"/>
    <w:rsid w:val="001E05F5"/>
    <w:rsid w:val="001E1882"/>
    <w:rsid w:val="001E2AD3"/>
    <w:rsid w:val="001E30E2"/>
    <w:rsid w:val="001E342B"/>
    <w:rsid w:val="001E3861"/>
    <w:rsid w:val="001E45A3"/>
    <w:rsid w:val="001E538F"/>
    <w:rsid w:val="001F1206"/>
    <w:rsid w:val="001F1E24"/>
    <w:rsid w:val="001F208A"/>
    <w:rsid w:val="001F22FD"/>
    <w:rsid w:val="001F27FA"/>
    <w:rsid w:val="001F3341"/>
    <w:rsid w:val="001F3EEE"/>
    <w:rsid w:val="001F51CE"/>
    <w:rsid w:val="001F547E"/>
    <w:rsid w:val="001F6F94"/>
    <w:rsid w:val="001F77F3"/>
    <w:rsid w:val="0020051F"/>
    <w:rsid w:val="00202D50"/>
    <w:rsid w:val="00203028"/>
    <w:rsid w:val="0020390A"/>
    <w:rsid w:val="00203972"/>
    <w:rsid w:val="00204618"/>
    <w:rsid w:val="00206D68"/>
    <w:rsid w:val="00207324"/>
    <w:rsid w:val="0021129B"/>
    <w:rsid w:val="00211A1D"/>
    <w:rsid w:val="002130FD"/>
    <w:rsid w:val="002148F2"/>
    <w:rsid w:val="00214DBC"/>
    <w:rsid w:val="002170D2"/>
    <w:rsid w:val="00217B62"/>
    <w:rsid w:val="00220075"/>
    <w:rsid w:val="0022296C"/>
    <w:rsid w:val="00222F0A"/>
    <w:rsid w:val="00223B53"/>
    <w:rsid w:val="002268CE"/>
    <w:rsid w:val="002270EC"/>
    <w:rsid w:val="002303EE"/>
    <w:rsid w:val="00230A34"/>
    <w:rsid w:val="00237E67"/>
    <w:rsid w:val="00240C53"/>
    <w:rsid w:val="00242EA5"/>
    <w:rsid w:val="00244247"/>
    <w:rsid w:val="00247EE2"/>
    <w:rsid w:val="00250A1F"/>
    <w:rsid w:val="002510B2"/>
    <w:rsid w:val="00251C42"/>
    <w:rsid w:val="00251D68"/>
    <w:rsid w:val="00251D95"/>
    <w:rsid w:val="00253FA9"/>
    <w:rsid w:val="00256FE5"/>
    <w:rsid w:val="00261000"/>
    <w:rsid w:val="002659C3"/>
    <w:rsid w:val="00266860"/>
    <w:rsid w:val="00266A27"/>
    <w:rsid w:val="002670C9"/>
    <w:rsid w:val="00267132"/>
    <w:rsid w:val="00267D9A"/>
    <w:rsid w:val="00271083"/>
    <w:rsid w:val="00273EE3"/>
    <w:rsid w:val="00274B84"/>
    <w:rsid w:val="00275A83"/>
    <w:rsid w:val="00275CF5"/>
    <w:rsid w:val="0027670E"/>
    <w:rsid w:val="00277693"/>
    <w:rsid w:val="002804D9"/>
    <w:rsid w:val="00280B01"/>
    <w:rsid w:val="00280EB8"/>
    <w:rsid w:val="00281378"/>
    <w:rsid w:val="00281FEB"/>
    <w:rsid w:val="0028271F"/>
    <w:rsid w:val="0028301F"/>
    <w:rsid w:val="00283060"/>
    <w:rsid w:val="00283B27"/>
    <w:rsid w:val="00285017"/>
    <w:rsid w:val="00287185"/>
    <w:rsid w:val="00293CDD"/>
    <w:rsid w:val="002955DA"/>
    <w:rsid w:val="00295826"/>
    <w:rsid w:val="00296A3C"/>
    <w:rsid w:val="002A178E"/>
    <w:rsid w:val="002A27B0"/>
    <w:rsid w:val="002A2D2E"/>
    <w:rsid w:val="002A3640"/>
    <w:rsid w:val="002A4A58"/>
    <w:rsid w:val="002A4E01"/>
    <w:rsid w:val="002A50E0"/>
    <w:rsid w:val="002A50E2"/>
    <w:rsid w:val="002A6B05"/>
    <w:rsid w:val="002A7245"/>
    <w:rsid w:val="002A746A"/>
    <w:rsid w:val="002A7AD6"/>
    <w:rsid w:val="002B4164"/>
    <w:rsid w:val="002B6303"/>
    <w:rsid w:val="002C00E8"/>
    <w:rsid w:val="002C189B"/>
    <w:rsid w:val="002C4FD9"/>
    <w:rsid w:val="002C74C5"/>
    <w:rsid w:val="002D0CC1"/>
    <w:rsid w:val="002D0FDC"/>
    <w:rsid w:val="002D1B22"/>
    <w:rsid w:val="002D286D"/>
    <w:rsid w:val="002D51CD"/>
    <w:rsid w:val="002D7529"/>
    <w:rsid w:val="002E3A73"/>
    <w:rsid w:val="002E438A"/>
    <w:rsid w:val="002E4831"/>
    <w:rsid w:val="002E5848"/>
    <w:rsid w:val="002E6DF6"/>
    <w:rsid w:val="002F417D"/>
    <w:rsid w:val="002F4431"/>
    <w:rsid w:val="002F57FC"/>
    <w:rsid w:val="002F6A8B"/>
    <w:rsid w:val="003006B8"/>
    <w:rsid w:val="00302508"/>
    <w:rsid w:val="00302699"/>
    <w:rsid w:val="0030602F"/>
    <w:rsid w:val="00307F6F"/>
    <w:rsid w:val="00313035"/>
    <w:rsid w:val="00315E76"/>
    <w:rsid w:val="00320970"/>
    <w:rsid w:val="00321B22"/>
    <w:rsid w:val="00323175"/>
    <w:rsid w:val="0032341C"/>
    <w:rsid w:val="00326FF7"/>
    <w:rsid w:val="0032737D"/>
    <w:rsid w:val="003274AD"/>
    <w:rsid w:val="00327FE9"/>
    <w:rsid w:val="003302EA"/>
    <w:rsid w:val="003313A1"/>
    <w:rsid w:val="00333127"/>
    <w:rsid w:val="003347D6"/>
    <w:rsid w:val="00335A05"/>
    <w:rsid w:val="003367F9"/>
    <w:rsid w:val="00336CDE"/>
    <w:rsid w:val="003377C5"/>
    <w:rsid w:val="003379D9"/>
    <w:rsid w:val="003418AB"/>
    <w:rsid w:val="003420AA"/>
    <w:rsid w:val="0034261B"/>
    <w:rsid w:val="003434D3"/>
    <w:rsid w:val="00343749"/>
    <w:rsid w:val="00344757"/>
    <w:rsid w:val="00345244"/>
    <w:rsid w:val="003459A0"/>
    <w:rsid w:val="00346267"/>
    <w:rsid w:val="003465FF"/>
    <w:rsid w:val="00351D20"/>
    <w:rsid w:val="003524D8"/>
    <w:rsid w:val="00352B6B"/>
    <w:rsid w:val="003537D5"/>
    <w:rsid w:val="00355576"/>
    <w:rsid w:val="003576D9"/>
    <w:rsid w:val="0036279B"/>
    <w:rsid w:val="0036311E"/>
    <w:rsid w:val="0036401E"/>
    <w:rsid w:val="003660ED"/>
    <w:rsid w:val="0036631C"/>
    <w:rsid w:val="003674E1"/>
    <w:rsid w:val="00367C1D"/>
    <w:rsid w:val="00370B3D"/>
    <w:rsid w:val="00370C2E"/>
    <w:rsid w:val="00370CC8"/>
    <w:rsid w:val="00372C53"/>
    <w:rsid w:val="00374E6A"/>
    <w:rsid w:val="00375995"/>
    <w:rsid w:val="003813DD"/>
    <w:rsid w:val="00383E97"/>
    <w:rsid w:val="00385600"/>
    <w:rsid w:val="003922EF"/>
    <w:rsid w:val="00395366"/>
    <w:rsid w:val="0039651F"/>
    <w:rsid w:val="0039664C"/>
    <w:rsid w:val="00397BCA"/>
    <w:rsid w:val="003A03FC"/>
    <w:rsid w:val="003A0BCF"/>
    <w:rsid w:val="003A2E1E"/>
    <w:rsid w:val="003A36B7"/>
    <w:rsid w:val="003A37C5"/>
    <w:rsid w:val="003A4582"/>
    <w:rsid w:val="003A5A4E"/>
    <w:rsid w:val="003A664D"/>
    <w:rsid w:val="003A670A"/>
    <w:rsid w:val="003A6BBC"/>
    <w:rsid w:val="003B0550"/>
    <w:rsid w:val="003B07E8"/>
    <w:rsid w:val="003B2A31"/>
    <w:rsid w:val="003B5A3C"/>
    <w:rsid w:val="003B694F"/>
    <w:rsid w:val="003B6A82"/>
    <w:rsid w:val="003B7646"/>
    <w:rsid w:val="003C007D"/>
    <w:rsid w:val="003C01FE"/>
    <w:rsid w:val="003C1DAB"/>
    <w:rsid w:val="003C30B9"/>
    <w:rsid w:val="003C47BC"/>
    <w:rsid w:val="003C60B8"/>
    <w:rsid w:val="003C6AE9"/>
    <w:rsid w:val="003D0A88"/>
    <w:rsid w:val="003D1DAD"/>
    <w:rsid w:val="003D1E48"/>
    <w:rsid w:val="003D2AB5"/>
    <w:rsid w:val="003D334B"/>
    <w:rsid w:val="003D4539"/>
    <w:rsid w:val="003D7D18"/>
    <w:rsid w:val="003D7DF1"/>
    <w:rsid w:val="003E08D9"/>
    <w:rsid w:val="003E0E58"/>
    <w:rsid w:val="003E10AE"/>
    <w:rsid w:val="003E21EE"/>
    <w:rsid w:val="003E4523"/>
    <w:rsid w:val="003E6089"/>
    <w:rsid w:val="003E68F4"/>
    <w:rsid w:val="003E6F03"/>
    <w:rsid w:val="003F0728"/>
    <w:rsid w:val="003F171C"/>
    <w:rsid w:val="003F1759"/>
    <w:rsid w:val="003F2808"/>
    <w:rsid w:val="003F615B"/>
    <w:rsid w:val="004002D2"/>
    <w:rsid w:val="004002FE"/>
    <w:rsid w:val="004010A3"/>
    <w:rsid w:val="0040688B"/>
    <w:rsid w:val="004076B0"/>
    <w:rsid w:val="00410FE4"/>
    <w:rsid w:val="004124D2"/>
    <w:rsid w:val="00412FC5"/>
    <w:rsid w:val="004217A2"/>
    <w:rsid w:val="00422276"/>
    <w:rsid w:val="00422405"/>
    <w:rsid w:val="004229ED"/>
    <w:rsid w:val="004242F1"/>
    <w:rsid w:val="004246C6"/>
    <w:rsid w:val="0042489A"/>
    <w:rsid w:val="004254D5"/>
    <w:rsid w:val="004260F6"/>
    <w:rsid w:val="004265A8"/>
    <w:rsid w:val="004278A8"/>
    <w:rsid w:val="00430DE5"/>
    <w:rsid w:val="0043199B"/>
    <w:rsid w:val="00432D44"/>
    <w:rsid w:val="00432D97"/>
    <w:rsid w:val="00433041"/>
    <w:rsid w:val="00434B61"/>
    <w:rsid w:val="00434BF9"/>
    <w:rsid w:val="00434EC4"/>
    <w:rsid w:val="00436ED9"/>
    <w:rsid w:val="00437CED"/>
    <w:rsid w:val="004409AD"/>
    <w:rsid w:val="00441643"/>
    <w:rsid w:val="004426CE"/>
    <w:rsid w:val="00445A00"/>
    <w:rsid w:val="004462D0"/>
    <w:rsid w:val="00450A2E"/>
    <w:rsid w:val="00450F30"/>
    <w:rsid w:val="00451196"/>
    <w:rsid w:val="00451B0F"/>
    <w:rsid w:val="00452B66"/>
    <w:rsid w:val="00454A6C"/>
    <w:rsid w:val="00455303"/>
    <w:rsid w:val="00455E13"/>
    <w:rsid w:val="0045798B"/>
    <w:rsid w:val="0046311E"/>
    <w:rsid w:val="00463204"/>
    <w:rsid w:val="00463222"/>
    <w:rsid w:val="0046493B"/>
    <w:rsid w:val="00466010"/>
    <w:rsid w:val="00467CBC"/>
    <w:rsid w:val="004707B4"/>
    <w:rsid w:val="004720C9"/>
    <w:rsid w:val="00472BCF"/>
    <w:rsid w:val="00473E74"/>
    <w:rsid w:val="00474E78"/>
    <w:rsid w:val="0047549B"/>
    <w:rsid w:val="004757F6"/>
    <w:rsid w:val="00476414"/>
    <w:rsid w:val="0047736A"/>
    <w:rsid w:val="00480406"/>
    <w:rsid w:val="0048194A"/>
    <w:rsid w:val="004853FE"/>
    <w:rsid w:val="00485BB7"/>
    <w:rsid w:val="00485F54"/>
    <w:rsid w:val="004870C3"/>
    <w:rsid w:val="004873E0"/>
    <w:rsid w:val="0049031B"/>
    <w:rsid w:val="00491A82"/>
    <w:rsid w:val="00491B06"/>
    <w:rsid w:val="00495014"/>
    <w:rsid w:val="004954F8"/>
    <w:rsid w:val="00496848"/>
    <w:rsid w:val="00496F38"/>
    <w:rsid w:val="004A0566"/>
    <w:rsid w:val="004A205A"/>
    <w:rsid w:val="004A3116"/>
    <w:rsid w:val="004A5060"/>
    <w:rsid w:val="004A605E"/>
    <w:rsid w:val="004B1DA2"/>
    <w:rsid w:val="004B3F0C"/>
    <w:rsid w:val="004B5664"/>
    <w:rsid w:val="004B7BAA"/>
    <w:rsid w:val="004B7E08"/>
    <w:rsid w:val="004C165F"/>
    <w:rsid w:val="004C1829"/>
    <w:rsid w:val="004C2979"/>
    <w:rsid w:val="004C2D2E"/>
    <w:rsid w:val="004C2EE3"/>
    <w:rsid w:val="004C304D"/>
    <w:rsid w:val="004C4744"/>
    <w:rsid w:val="004C5961"/>
    <w:rsid w:val="004D0BC6"/>
    <w:rsid w:val="004D18C0"/>
    <w:rsid w:val="004D2C4E"/>
    <w:rsid w:val="004D32BF"/>
    <w:rsid w:val="004D4381"/>
    <w:rsid w:val="004D73AC"/>
    <w:rsid w:val="004E153C"/>
    <w:rsid w:val="004E296D"/>
    <w:rsid w:val="004E4602"/>
    <w:rsid w:val="004E4866"/>
    <w:rsid w:val="004E4A22"/>
    <w:rsid w:val="004F43F3"/>
    <w:rsid w:val="004F6F05"/>
    <w:rsid w:val="00500C7A"/>
    <w:rsid w:val="00501475"/>
    <w:rsid w:val="005022E2"/>
    <w:rsid w:val="00502DBA"/>
    <w:rsid w:val="00505393"/>
    <w:rsid w:val="00506FE1"/>
    <w:rsid w:val="0050760D"/>
    <w:rsid w:val="00507D73"/>
    <w:rsid w:val="00511968"/>
    <w:rsid w:val="00513792"/>
    <w:rsid w:val="00513F59"/>
    <w:rsid w:val="00515DE8"/>
    <w:rsid w:val="00516564"/>
    <w:rsid w:val="005169D5"/>
    <w:rsid w:val="00517001"/>
    <w:rsid w:val="005174C0"/>
    <w:rsid w:val="00517C5F"/>
    <w:rsid w:val="005205BF"/>
    <w:rsid w:val="005234B4"/>
    <w:rsid w:val="005238B2"/>
    <w:rsid w:val="00523FC1"/>
    <w:rsid w:val="00524451"/>
    <w:rsid w:val="005254D1"/>
    <w:rsid w:val="00526DC3"/>
    <w:rsid w:val="00527710"/>
    <w:rsid w:val="00527B39"/>
    <w:rsid w:val="005305E9"/>
    <w:rsid w:val="00534885"/>
    <w:rsid w:val="00535DD3"/>
    <w:rsid w:val="00536B2A"/>
    <w:rsid w:val="005373B5"/>
    <w:rsid w:val="00540524"/>
    <w:rsid w:val="005409D9"/>
    <w:rsid w:val="005418DE"/>
    <w:rsid w:val="005443A3"/>
    <w:rsid w:val="00545C05"/>
    <w:rsid w:val="00545DC6"/>
    <w:rsid w:val="005514AF"/>
    <w:rsid w:val="0055198B"/>
    <w:rsid w:val="00552932"/>
    <w:rsid w:val="00552AC0"/>
    <w:rsid w:val="00552D04"/>
    <w:rsid w:val="00554DCF"/>
    <w:rsid w:val="00555246"/>
    <w:rsid w:val="005557FA"/>
    <w:rsid w:val="0055614C"/>
    <w:rsid w:val="00556328"/>
    <w:rsid w:val="00561864"/>
    <w:rsid w:val="00561C69"/>
    <w:rsid w:val="00562933"/>
    <w:rsid w:val="00563FDA"/>
    <w:rsid w:val="00564215"/>
    <w:rsid w:val="0056422E"/>
    <w:rsid w:val="00565750"/>
    <w:rsid w:val="005657C9"/>
    <w:rsid w:val="00567525"/>
    <w:rsid w:val="00567CBB"/>
    <w:rsid w:val="0057069C"/>
    <w:rsid w:val="0057073B"/>
    <w:rsid w:val="00571E97"/>
    <w:rsid w:val="00572FAF"/>
    <w:rsid w:val="00573130"/>
    <w:rsid w:val="0057439D"/>
    <w:rsid w:val="005763B4"/>
    <w:rsid w:val="00590EDE"/>
    <w:rsid w:val="0059200D"/>
    <w:rsid w:val="005923EC"/>
    <w:rsid w:val="00593E85"/>
    <w:rsid w:val="00593FA1"/>
    <w:rsid w:val="0059698D"/>
    <w:rsid w:val="00597232"/>
    <w:rsid w:val="00597741"/>
    <w:rsid w:val="00597D79"/>
    <w:rsid w:val="005A021C"/>
    <w:rsid w:val="005A0D20"/>
    <w:rsid w:val="005A1735"/>
    <w:rsid w:val="005A19CB"/>
    <w:rsid w:val="005A2924"/>
    <w:rsid w:val="005A3711"/>
    <w:rsid w:val="005A3CFE"/>
    <w:rsid w:val="005A564B"/>
    <w:rsid w:val="005A569C"/>
    <w:rsid w:val="005A600F"/>
    <w:rsid w:val="005A61B8"/>
    <w:rsid w:val="005A6A1B"/>
    <w:rsid w:val="005A6D9F"/>
    <w:rsid w:val="005A76D7"/>
    <w:rsid w:val="005A7D94"/>
    <w:rsid w:val="005B05C9"/>
    <w:rsid w:val="005B0BCC"/>
    <w:rsid w:val="005B1A62"/>
    <w:rsid w:val="005B1EFA"/>
    <w:rsid w:val="005B326D"/>
    <w:rsid w:val="005B4B16"/>
    <w:rsid w:val="005B7382"/>
    <w:rsid w:val="005B7938"/>
    <w:rsid w:val="005C0F2F"/>
    <w:rsid w:val="005C121F"/>
    <w:rsid w:val="005C28FD"/>
    <w:rsid w:val="005C78C9"/>
    <w:rsid w:val="005D1297"/>
    <w:rsid w:val="005D1535"/>
    <w:rsid w:val="005D217C"/>
    <w:rsid w:val="005D65B8"/>
    <w:rsid w:val="005D6B5D"/>
    <w:rsid w:val="005D6D28"/>
    <w:rsid w:val="005E0E6C"/>
    <w:rsid w:val="005E14C2"/>
    <w:rsid w:val="005E1C1F"/>
    <w:rsid w:val="005E2365"/>
    <w:rsid w:val="005E2E05"/>
    <w:rsid w:val="005E3222"/>
    <w:rsid w:val="005E405B"/>
    <w:rsid w:val="005E5298"/>
    <w:rsid w:val="005E62CF"/>
    <w:rsid w:val="005F00AE"/>
    <w:rsid w:val="005F07DA"/>
    <w:rsid w:val="005F1B77"/>
    <w:rsid w:val="005F24A2"/>
    <w:rsid w:val="005F29F0"/>
    <w:rsid w:val="005F34A2"/>
    <w:rsid w:val="005F4891"/>
    <w:rsid w:val="005F6144"/>
    <w:rsid w:val="005F6FC4"/>
    <w:rsid w:val="005F72A1"/>
    <w:rsid w:val="00600589"/>
    <w:rsid w:val="006031A8"/>
    <w:rsid w:val="0060443F"/>
    <w:rsid w:val="006068B3"/>
    <w:rsid w:val="00607BA5"/>
    <w:rsid w:val="0061180A"/>
    <w:rsid w:val="00611A4A"/>
    <w:rsid w:val="0061222D"/>
    <w:rsid w:val="00614E6E"/>
    <w:rsid w:val="00615496"/>
    <w:rsid w:val="006173C3"/>
    <w:rsid w:val="006207F5"/>
    <w:rsid w:val="00620A89"/>
    <w:rsid w:val="00621930"/>
    <w:rsid w:val="00622393"/>
    <w:rsid w:val="0062279A"/>
    <w:rsid w:val="006253DD"/>
    <w:rsid w:val="00626EB6"/>
    <w:rsid w:val="00627C38"/>
    <w:rsid w:val="00627DE7"/>
    <w:rsid w:val="006308C6"/>
    <w:rsid w:val="00632B93"/>
    <w:rsid w:val="00633BF5"/>
    <w:rsid w:val="006374C9"/>
    <w:rsid w:val="00637709"/>
    <w:rsid w:val="00640449"/>
    <w:rsid w:val="0064107B"/>
    <w:rsid w:val="00641403"/>
    <w:rsid w:val="006420EC"/>
    <w:rsid w:val="006420F6"/>
    <w:rsid w:val="006422DC"/>
    <w:rsid w:val="0064385E"/>
    <w:rsid w:val="00645DA4"/>
    <w:rsid w:val="00647573"/>
    <w:rsid w:val="00650E98"/>
    <w:rsid w:val="00651470"/>
    <w:rsid w:val="006515E0"/>
    <w:rsid w:val="006532C6"/>
    <w:rsid w:val="00653A22"/>
    <w:rsid w:val="00655108"/>
    <w:rsid w:val="006554FB"/>
    <w:rsid w:val="00655D03"/>
    <w:rsid w:val="006605A6"/>
    <w:rsid w:val="00663E85"/>
    <w:rsid w:val="006654A6"/>
    <w:rsid w:val="00665B10"/>
    <w:rsid w:val="00666355"/>
    <w:rsid w:val="00666786"/>
    <w:rsid w:val="006712C0"/>
    <w:rsid w:val="00671481"/>
    <w:rsid w:val="00672F87"/>
    <w:rsid w:val="00673A3A"/>
    <w:rsid w:val="006803F0"/>
    <w:rsid w:val="00683388"/>
    <w:rsid w:val="00683A95"/>
    <w:rsid w:val="00683F84"/>
    <w:rsid w:val="00684A57"/>
    <w:rsid w:val="006852E7"/>
    <w:rsid w:val="00685862"/>
    <w:rsid w:val="00691DFC"/>
    <w:rsid w:val="006936F6"/>
    <w:rsid w:val="00695E9B"/>
    <w:rsid w:val="006964FE"/>
    <w:rsid w:val="00696962"/>
    <w:rsid w:val="006A04F0"/>
    <w:rsid w:val="006A0A11"/>
    <w:rsid w:val="006A12E6"/>
    <w:rsid w:val="006A1A8D"/>
    <w:rsid w:val="006A1EA9"/>
    <w:rsid w:val="006A30DA"/>
    <w:rsid w:val="006A3C10"/>
    <w:rsid w:val="006A5018"/>
    <w:rsid w:val="006A6A81"/>
    <w:rsid w:val="006A7514"/>
    <w:rsid w:val="006B03DE"/>
    <w:rsid w:val="006B0D06"/>
    <w:rsid w:val="006B133E"/>
    <w:rsid w:val="006B3CFA"/>
    <w:rsid w:val="006B6CF3"/>
    <w:rsid w:val="006B6F38"/>
    <w:rsid w:val="006C326B"/>
    <w:rsid w:val="006C32C1"/>
    <w:rsid w:val="006C5B27"/>
    <w:rsid w:val="006C5CB8"/>
    <w:rsid w:val="006D16BD"/>
    <w:rsid w:val="006D21A2"/>
    <w:rsid w:val="006D2691"/>
    <w:rsid w:val="006D47AE"/>
    <w:rsid w:val="006D52D2"/>
    <w:rsid w:val="006D5D31"/>
    <w:rsid w:val="006D60EC"/>
    <w:rsid w:val="006D67E4"/>
    <w:rsid w:val="006E1284"/>
    <w:rsid w:val="006E1B15"/>
    <w:rsid w:val="006E1C6F"/>
    <w:rsid w:val="006E33DA"/>
    <w:rsid w:val="006E3F31"/>
    <w:rsid w:val="006E6704"/>
    <w:rsid w:val="006E68C1"/>
    <w:rsid w:val="006E7870"/>
    <w:rsid w:val="006F049D"/>
    <w:rsid w:val="006F24B0"/>
    <w:rsid w:val="006F2AEB"/>
    <w:rsid w:val="006F319A"/>
    <w:rsid w:val="006F3648"/>
    <w:rsid w:val="006F6055"/>
    <w:rsid w:val="006F7393"/>
    <w:rsid w:val="0070224F"/>
    <w:rsid w:val="007030B7"/>
    <w:rsid w:val="00705F55"/>
    <w:rsid w:val="00710173"/>
    <w:rsid w:val="007115F7"/>
    <w:rsid w:val="00712050"/>
    <w:rsid w:val="0071369C"/>
    <w:rsid w:val="007140B0"/>
    <w:rsid w:val="007167BC"/>
    <w:rsid w:val="00716B8D"/>
    <w:rsid w:val="00716DC5"/>
    <w:rsid w:val="00717A7F"/>
    <w:rsid w:val="00720426"/>
    <w:rsid w:val="007205DB"/>
    <w:rsid w:val="00720924"/>
    <w:rsid w:val="00721684"/>
    <w:rsid w:val="007219F6"/>
    <w:rsid w:val="007228FE"/>
    <w:rsid w:val="0072378B"/>
    <w:rsid w:val="00726C1F"/>
    <w:rsid w:val="00727620"/>
    <w:rsid w:val="0073050D"/>
    <w:rsid w:val="0073086E"/>
    <w:rsid w:val="0073311B"/>
    <w:rsid w:val="00733EB0"/>
    <w:rsid w:val="0073418F"/>
    <w:rsid w:val="00734A4A"/>
    <w:rsid w:val="00736AA1"/>
    <w:rsid w:val="00736C34"/>
    <w:rsid w:val="00741979"/>
    <w:rsid w:val="0074496B"/>
    <w:rsid w:val="00744F02"/>
    <w:rsid w:val="007455B6"/>
    <w:rsid w:val="00750243"/>
    <w:rsid w:val="007511BB"/>
    <w:rsid w:val="0075403C"/>
    <w:rsid w:val="0075445B"/>
    <w:rsid w:val="00754AB0"/>
    <w:rsid w:val="0075525A"/>
    <w:rsid w:val="00755B17"/>
    <w:rsid w:val="00756EC3"/>
    <w:rsid w:val="00757233"/>
    <w:rsid w:val="00757C58"/>
    <w:rsid w:val="007601BE"/>
    <w:rsid w:val="00761EDB"/>
    <w:rsid w:val="007635C4"/>
    <w:rsid w:val="00763798"/>
    <w:rsid w:val="007662AE"/>
    <w:rsid w:val="00766E4E"/>
    <w:rsid w:val="00770D71"/>
    <w:rsid w:val="00772FE5"/>
    <w:rsid w:val="007736EC"/>
    <w:rsid w:val="00773911"/>
    <w:rsid w:val="00776B2B"/>
    <w:rsid w:val="00780304"/>
    <w:rsid w:val="007807BE"/>
    <w:rsid w:val="00782514"/>
    <w:rsid w:val="00783575"/>
    <w:rsid w:val="00785689"/>
    <w:rsid w:val="00785A48"/>
    <w:rsid w:val="00786214"/>
    <w:rsid w:val="0078761A"/>
    <w:rsid w:val="00791F09"/>
    <w:rsid w:val="0079467E"/>
    <w:rsid w:val="00795287"/>
    <w:rsid w:val="007960A2"/>
    <w:rsid w:val="0079624E"/>
    <w:rsid w:val="0079685C"/>
    <w:rsid w:val="00796AC2"/>
    <w:rsid w:val="0079754B"/>
    <w:rsid w:val="007A1E6D"/>
    <w:rsid w:val="007A3405"/>
    <w:rsid w:val="007A68D8"/>
    <w:rsid w:val="007B052F"/>
    <w:rsid w:val="007B07D6"/>
    <w:rsid w:val="007B0EB2"/>
    <w:rsid w:val="007B13F1"/>
    <w:rsid w:val="007B271D"/>
    <w:rsid w:val="007B32BC"/>
    <w:rsid w:val="007B3970"/>
    <w:rsid w:val="007B399A"/>
    <w:rsid w:val="007B3A0C"/>
    <w:rsid w:val="007B40B7"/>
    <w:rsid w:val="007B705B"/>
    <w:rsid w:val="007B73C0"/>
    <w:rsid w:val="007C1E28"/>
    <w:rsid w:val="007C275F"/>
    <w:rsid w:val="007C35A3"/>
    <w:rsid w:val="007C36F8"/>
    <w:rsid w:val="007C796B"/>
    <w:rsid w:val="007D2B82"/>
    <w:rsid w:val="007D4050"/>
    <w:rsid w:val="007D58C2"/>
    <w:rsid w:val="007D6781"/>
    <w:rsid w:val="007E27D5"/>
    <w:rsid w:val="007E48A7"/>
    <w:rsid w:val="007E4A53"/>
    <w:rsid w:val="007E6FF6"/>
    <w:rsid w:val="007F1931"/>
    <w:rsid w:val="007F39EC"/>
    <w:rsid w:val="007F3F4C"/>
    <w:rsid w:val="007F3F4F"/>
    <w:rsid w:val="007F440F"/>
    <w:rsid w:val="007F490C"/>
    <w:rsid w:val="007F5BD8"/>
    <w:rsid w:val="007F5E5C"/>
    <w:rsid w:val="007F6DE7"/>
    <w:rsid w:val="008046D5"/>
    <w:rsid w:val="0080664C"/>
    <w:rsid w:val="00807F67"/>
    <w:rsid w:val="00810980"/>
    <w:rsid w:val="00810998"/>
    <w:rsid w:val="00810B6F"/>
    <w:rsid w:val="008118D6"/>
    <w:rsid w:val="00812A40"/>
    <w:rsid w:val="00814109"/>
    <w:rsid w:val="00814948"/>
    <w:rsid w:val="0081595A"/>
    <w:rsid w:val="0081603E"/>
    <w:rsid w:val="0081677A"/>
    <w:rsid w:val="0082037E"/>
    <w:rsid w:val="00820D58"/>
    <w:rsid w:val="00821C8F"/>
    <w:rsid w:val="00822CE0"/>
    <w:rsid w:val="008237E5"/>
    <w:rsid w:val="008265A9"/>
    <w:rsid w:val="00827B4B"/>
    <w:rsid w:val="00831D37"/>
    <w:rsid w:val="00832658"/>
    <w:rsid w:val="00832933"/>
    <w:rsid w:val="00833128"/>
    <w:rsid w:val="00833D99"/>
    <w:rsid w:val="008344A6"/>
    <w:rsid w:val="00834D17"/>
    <w:rsid w:val="00836FB5"/>
    <w:rsid w:val="008418C2"/>
    <w:rsid w:val="00841AB1"/>
    <w:rsid w:val="00841C1C"/>
    <w:rsid w:val="00842144"/>
    <w:rsid w:val="008421C4"/>
    <w:rsid w:val="00842BA1"/>
    <w:rsid w:val="00842C7D"/>
    <w:rsid w:val="00843216"/>
    <w:rsid w:val="00843A14"/>
    <w:rsid w:val="00844B17"/>
    <w:rsid w:val="00846758"/>
    <w:rsid w:val="00851AA7"/>
    <w:rsid w:val="0085238A"/>
    <w:rsid w:val="00852847"/>
    <w:rsid w:val="00852910"/>
    <w:rsid w:val="00853AE0"/>
    <w:rsid w:val="00855527"/>
    <w:rsid w:val="00856547"/>
    <w:rsid w:val="00861459"/>
    <w:rsid w:val="008644D0"/>
    <w:rsid w:val="00864BAC"/>
    <w:rsid w:val="00864E44"/>
    <w:rsid w:val="0086551A"/>
    <w:rsid w:val="008668B9"/>
    <w:rsid w:val="008701AB"/>
    <w:rsid w:val="0087069E"/>
    <w:rsid w:val="00872CCB"/>
    <w:rsid w:val="00872F0E"/>
    <w:rsid w:val="00873FD1"/>
    <w:rsid w:val="008772EF"/>
    <w:rsid w:val="00877665"/>
    <w:rsid w:val="00880CD7"/>
    <w:rsid w:val="00880D59"/>
    <w:rsid w:val="00882297"/>
    <w:rsid w:val="00882428"/>
    <w:rsid w:val="00883F88"/>
    <w:rsid w:val="0089132E"/>
    <w:rsid w:val="008917B5"/>
    <w:rsid w:val="0089217B"/>
    <w:rsid w:val="0089242F"/>
    <w:rsid w:val="008932B1"/>
    <w:rsid w:val="00895FDA"/>
    <w:rsid w:val="00897CDA"/>
    <w:rsid w:val="008A092E"/>
    <w:rsid w:val="008A1550"/>
    <w:rsid w:val="008A1981"/>
    <w:rsid w:val="008A214A"/>
    <w:rsid w:val="008A316A"/>
    <w:rsid w:val="008A4E5C"/>
    <w:rsid w:val="008A6E42"/>
    <w:rsid w:val="008A74D9"/>
    <w:rsid w:val="008A7B6B"/>
    <w:rsid w:val="008A7D95"/>
    <w:rsid w:val="008A7F71"/>
    <w:rsid w:val="008B0360"/>
    <w:rsid w:val="008B0B13"/>
    <w:rsid w:val="008B0F96"/>
    <w:rsid w:val="008B13FD"/>
    <w:rsid w:val="008B2DD2"/>
    <w:rsid w:val="008B51A8"/>
    <w:rsid w:val="008B64AC"/>
    <w:rsid w:val="008B7106"/>
    <w:rsid w:val="008B74D4"/>
    <w:rsid w:val="008C0383"/>
    <w:rsid w:val="008C1844"/>
    <w:rsid w:val="008C21AD"/>
    <w:rsid w:val="008C272F"/>
    <w:rsid w:val="008C286B"/>
    <w:rsid w:val="008C4C14"/>
    <w:rsid w:val="008C585E"/>
    <w:rsid w:val="008C68F1"/>
    <w:rsid w:val="008C710D"/>
    <w:rsid w:val="008C7F0E"/>
    <w:rsid w:val="008D0C7E"/>
    <w:rsid w:val="008D1062"/>
    <w:rsid w:val="008D1F02"/>
    <w:rsid w:val="008D368B"/>
    <w:rsid w:val="008D3BD8"/>
    <w:rsid w:val="008D47EB"/>
    <w:rsid w:val="008D4A0E"/>
    <w:rsid w:val="008D5F1A"/>
    <w:rsid w:val="008D68ED"/>
    <w:rsid w:val="008D69D8"/>
    <w:rsid w:val="008D77C9"/>
    <w:rsid w:val="008D7CB4"/>
    <w:rsid w:val="008E073E"/>
    <w:rsid w:val="008E090B"/>
    <w:rsid w:val="008E0D9D"/>
    <w:rsid w:val="008E24F5"/>
    <w:rsid w:val="008E4A84"/>
    <w:rsid w:val="008F0143"/>
    <w:rsid w:val="008F0BED"/>
    <w:rsid w:val="008F19C0"/>
    <w:rsid w:val="00900C87"/>
    <w:rsid w:val="00902048"/>
    <w:rsid w:val="0090240B"/>
    <w:rsid w:val="00902431"/>
    <w:rsid w:val="009025FA"/>
    <w:rsid w:val="009032E6"/>
    <w:rsid w:val="00904260"/>
    <w:rsid w:val="00905A95"/>
    <w:rsid w:val="00907173"/>
    <w:rsid w:val="00907A1B"/>
    <w:rsid w:val="00907D23"/>
    <w:rsid w:val="00907F87"/>
    <w:rsid w:val="00910761"/>
    <w:rsid w:val="00910D47"/>
    <w:rsid w:val="009114EF"/>
    <w:rsid w:val="00912FF4"/>
    <w:rsid w:val="0091346D"/>
    <w:rsid w:val="0091556D"/>
    <w:rsid w:val="0091632D"/>
    <w:rsid w:val="00916B07"/>
    <w:rsid w:val="009177A8"/>
    <w:rsid w:val="00917897"/>
    <w:rsid w:val="009208D9"/>
    <w:rsid w:val="00921803"/>
    <w:rsid w:val="00921895"/>
    <w:rsid w:val="009239B2"/>
    <w:rsid w:val="00926503"/>
    <w:rsid w:val="00930E42"/>
    <w:rsid w:val="009319DB"/>
    <w:rsid w:val="00931D24"/>
    <w:rsid w:val="00931DB3"/>
    <w:rsid w:val="00933A63"/>
    <w:rsid w:val="00933FA8"/>
    <w:rsid w:val="00934342"/>
    <w:rsid w:val="00937BA8"/>
    <w:rsid w:val="00940580"/>
    <w:rsid w:val="00941F94"/>
    <w:rsid w:val="00943B42"/>
    <w:rsid w:val="00944C47"/>
    <w:rsid w:val="00947C3C"/>
    <w:rsid w:val="00951BBD"/>
    <w:rsid w:val="00952D3D"/>
    <w:rsid w:val="00957D62"/>
    <w:rsid w:val="0096281D"/>
    <w:rsid w:val="0096362D"/>
    <w:rsid w:val="009638D9"/>
    <w:rsid w:val="00963CEB"/>
    <w:rsid w:val="00963D10"/>
    <w:rsid w:val="00964CAB"/>
    <w:rsid w:val="00964FFD"/>
    <w:rsid w:val="00970646"/>
    <w:rsid w:val="00972052"/>
    <w:rsid w:val="00972396"/>
    <w:rsid w:val="009726D8"/>
    <w:rsid w:val="00974683"/>
    <w:rsid w:val="009747ED"/>
    <w:rsid w:val="00975600"/>
    <w:rsid w:val="009760DB"/>
    <w:rsid w:val="00976E0D"/>
    <w:rsid w:val="00977F9E"/>
    <w:rsid w:val="0098181B"/>
    <w:rsid w:val="00982C6C"/>
    <w:rsid w:val="00983B44"/>
    <w:rsid w:val="00984817"/>
    <w:rsid w:val="00985597"/>
    <w:rsid w:val="00991E9C"/>
    <w:rsid w:val="00992A0C"/>
    <w:rsid w:val="00992E3B"/>
    <w:rsid w:val="00993998"/>
    <w:rsid w:val="009939FD"/>
    <w:rsid w:val="00995CDF"/>
    <w:rsid w:val="00996614"/>
    <w:rsid w:val="009969FA"/>
    <w:rsid w:val="00996E76"/>
    <w:rsid w:val="00997738"/>
    <w:rsid w:val="00997B67"/>
    <w:rsid w:val="009A21B8"/>
    <w:rsid w:val="009A4DC9"/>
    <w:rsid w:val="009A73AA"/>
    <w:rsid w:val="009A772F"/>
    <w:rsid w:val="009A7FE9"/>
    <w:rsid w:val="009B064B"/>
    <w:rsid w:val="009B0FD7"/>
    <w:rsid w:val="009B1DCF"/>
    <w:rsid w:val="009B238A"/>
    <w:rsid w:val="009B2D12"/>
    <w:rsid w:val="009B32F3"/>
    <w:rsid w:val="009B34A4"/>
    <w:rsid w:val="009B34F7"/>
    <w:rsid w:val="009B509F"/>
    <w:rsid w:val="009B563A"/>
    <w:rsid w:val="009B5A85"/>
    <w:rsid w:val="009B708D"/>
    <w:rsid w:val="009C0597"/>
    <w:rsid w:val="009C0C6E"/>
    <w:rsid w:val="009C1209"/>
    <w:rsid w:val="009C49CD"/>
    <w:rsid w:val="009C6736"/>
    <w:rsid w:val="009C6F61"/>
    <w:rsid w:val="009C7163"/>
    <w:rsid w:val="009D09BC"/>
    <w:rsid w:val="009D0BCA"/>
    <w:rsid w:val="009D3D4D"/>
    <w:rsid w:val="009D6EC7"/>
    <w:rsid w:val="009D7A64"/>
    <w:rsid w:val="009E02D0"/>
    <w:rsid w:val="009E06A7"/>
    <w:rsid w:val="009E50F4"/>
    <w:rsid w:val="009E667E"/>
    <w:rsid w:val="009E6AD3"/>
    <w:rsid w:val="009E7255"/>
    <w:rsid w:val="009E7FF4"/>
    <w:rsid w:val="009F022B"/>
    <w:rsid w:val="009F1D24"/>
    <w:rsid w:val="009F5020"/>
    <w:rsid w:val="009F52A4"/>
    <w:rsid w:val="009F7402"/>
    <w:rsid w:val="009F76DB"/>
    <w:rsid w:val="00A00FD8"/>
    <w:rsid w:val="00A04DD5"/>
    <w:rsid w:val="00A0591D"/>
    <w:rsid w:val="00A062E4"/>
    <w:rsid w:val="00A06AC8"/>
    <w:rsid w:val="00A2037C"/>
    <w:rsid w:val="00A21AA5"/>
    <w:rsid w:val="00A220A0"/>
    <w:rsid w:val="00A220AF"/>
    <w:rsid w:val="00A22B96"/>
    <w:rsid w:val="00A22F89"/>
    <w:rsid w:val="00A23061"/>
    <w:rsid w:val="00A231EA"/>
    <w:rsid w:val="00A23594"/>
    <w:rsid w:val="00A2484D"/>
    <w:rsid w:val="00A250AC"/>
    <w:rsid w:val="00A25181"/>
    <w:rsid w:val="00A25A61"/>
    <w:rsid w:val="00A25B9C"/>
    <w:rsid w:val="00A2691C"/>
    <w:rsid w:val="00A27A06"/>
    <w:rsid w:val="00A30A6C"/>
    <w:rsid w:val="00A312DD"/>
    <w:rsid w:val="00A314D2"/>
    <w:rsid w:val="00A32C3B"/>
    <w:rsid w:val="00A32D75"/>
    <w:rsid w:val="00A34AB9"/>
    <w:rsid w:val="00A35B96"/>
    <w:rsid w:val="00A3627D"/>
    <w:rsid w:val="00A3644A"/>
    <w:rsid w:val="00A36641"/>
    <w:rsid w:val="00A3775F"/>
    <w:rsid w:val="00A403CD"/>
    <w:rsid w:val="00A40A18"/>
    <w:rsid w:val="00A420FC"/>
    <w:rsid w:val="00A4271C"/>
    <w:rsid w:val="00A42E78"/>
    <w:rsid w:val="00A441D4"/>
    <w:rsid w:val="00A459B2"/>
    <w:rsid w:val="00A45F4F"/>
    <w:rsid w:val="00A46187"/>
    <w:rsid w:val="00A461E2"/>
    <w:rsid w:val="00A47DAE"/>
    <w:rsid w:val="00A51F4C"/>
    <w:rsid w:val="00A530C6"/>
    <w:rsid w:val="00A56955"/>
    <w:rsid w:val="00A570F5"/>
    <w:rsid w:val="00A600A9"/>
    <w:rsid w:val="00A60E72"/>
    <w:rsid w:val="00A62701"/>
    <w:rsid w:val="00A65305"/>
    <w:rsid w:val="00A65C0E"/>
    <w:rsid w:val="00A66452"/>
    <w:rsid w:val="00A6665D"/>
    <w:rsid w:val="00A6773E"/>
    <w:rsid w:val="00A67F42"/>
    <w:rsid w:val="00A71BFC"/>
    <w:rsid w:val="00A72DF0"/>
    <w:rsid w:val="00A769DE"/>
    <w:rsid w:val="00A76A0B"/>
    <w:rsid w:val="00A773AC"/>
    <w:rsid w:val="00A77861"/>
    <w:rsid w:val="00A806EA"/>
    <w:rsid w:val="00A81042"/>
    <w:rsid w:val="00A811AD"/>
    <w:rsid w:val="00A82AB1"/>
    <w:rsid w:val="00A86427"/>
    <w:rsid w:val="00A86F65"/>
    <w:rsid w:val="00A91AD5"/>
    <w:rsid w:val="00A91F11"/>
    <w:rsid w:val="00A927CC"/>
    <w:rsid w:val="00A929CD"/>
    <w:rsid w:val="00A929FC"/>
    <w:rsid w:val="00A9324F"/>
    <w:rsid w:val="00A9389A"/>
    <w:rsid w:val="00A944F6"/>
    <w:rsid w:val="00A953E7"/>
    <w:rsid w:val="00A95706"/>
    <w:rsid w:val="00AA0156"/>
    <w:rsid w:val="00AA19DA"/>
    <w:rsid w:val="00AA2CFE"/>
    <w:rsid w:val="00AA3DD7"/>
    <w:rsid w:val="00AA4492"/>
    <w:rsid w:val="00AA55B7"/>
    <w:rsid w:val="00AA5953"/>
    <w:rsid w:val="00AA5B9E"/>
    <w:rsid w:val="00AB0434"/>
    <w:rsid w:val="00AB07D3"/>
    <w:rsid w:val="00AB17BE"/>
    <w:rsid w:val="00AB2407"/>
    <w:rsid w:val="00AB3192"/>
    <w:rsid w:val="00AB4226"/>
    <w:rsid w:val="00AB53DF"/>
    <w:rsid w:val="00AB6CC8"/>
    <w:rsid w:val="00AB7D8F"/>
    <w:rsid w:val="00AC1C88"/>
    <w:rsid w:val="00AC2013"/>
    <w:rsid w:val="00AC3062"/>
    <w:rsid w:val="00AC34C7"/>
    <w:rsid w:val="00AC3676"/>
    <w:rsid w:val="00AC37BB"/>
    <w:rsid w:val="00AC435F"/>
    <w:rsid w:val="00AC73ED"/>
    <w:rsid w:val="00AC7C2C"/>
    <w:rsid w:val="00AD0A37"/>
    <w:rsid w:val="00AD27D3"/>
    <w:rsid w:val="00AD32F7"/>
    <w:rsid w:val="00AD3AED"/>
    <w:rsid w:val="00AD5C8D"/>
    <w:rsid w:val="00AD5F37"/>
    <w:rsid w:val="00AE109B"/>
    <w:rsid w:val="00AE147C"/>
    <w:rsid w:val="00AE1926"/>
    <w:rsid w:val="00AE23AD"/>
    <w:rsid w:val="00AE292C"/>
    <w:rsid w:val="00AE41DF"/>
    <w:rsid w:val="00AE5504"/>
    <w:rsid w:val="00AE6BB2"/>
    <w:rsid w:val="00AF00E9"/>
    <w:rsid w:val="00AF1F6B"/>
    <w:rsid w:val="00AF5A6B"/>
    <w:rsid w:val="00AF6800"/>
    <w:rsid w:val="00B00F68"/>
    <w:rsid w:val="00B01EE0"/>
    <w:rsid w:val="00B0213A"/>
    <w:rsid w:val="00B03502"/>
    <w:rsid w:val="00B0707E"/>
    <w:rsid w:val="00B07C55"/>
    <w:rsid w:val="00B07E5C"/>
    <w:rsid w:val="00B100AF"/>
    <w:rsid w:val="00B109C5"/>
    <w:rsid w:val="00B10A8A"/>
    <w:rsid w:val="00B10C8D"/>
    <w:rsid w:val="00B11215"/>
    <w:rsid w:val="00B1284C"/>
    <w:rsid w:val="00B13333"/>
    <w:rsid w:val="00B1344A"/>
    <w:rsid w:val="00B164A9"/>
    <w:rsid w:val="00B1660F"/>
    <w:rsid w:val="00B167EA"/>
    <w:rsid w:val="00B21A65"/>
    <w:rsid w:val="00B220C1"/>
    <w:rsid w:val="00B227B1"/>
    <w:rsid w:val="00B22B6A"/>
    <w:rsid w:val="00B22FDD"/>
    <w:rsid w:val="00B31835"/>
    <w:rsid w:val="00B32DF8"/>
    <w:rsid w:val="00B350A0"/>
    <w:rsid w:val="00B360EF"/>
    <w:rsid w:val="00B37C62"/>
    <w:rsid w:val="00B42D72"/>
    <w:rsid w:val="00B43544"/>
    <w:rsid w:val="00B45A6A"/>
    <w:rsid w:val="00B45BAE"/>
    <w:rsid w:val="00B45C05"/>
    <w:rsid w:val="00B46281"/>
    <w:rsid w:val="00B46382"/>
    <w:rsid w:val="00B46D67"/>
    <w:rsid w:val="00B47A56"/>
    <w:rsid w:val="00B5155A"/>
    <w:rsid w:val="00B5333F"/>
    <w:rsid w:val="00B536CE"/>
    <w:rsid w:val="00B60062"/>
    <w:rsid w:val="00B60D4B"/>
    <w:rsid w:val="00B616BC"/>
    <w:rsid w:val="00B62979"/>
    <w:rsid w:val="00B62AA3"/>
    <w:rsid w:val="00B63CBB"/>
    <w:rsid w:val="00B64A65"/>
    <w:rsid w:val="00B70356"/>
    <w:rsid w:val="00B7133A"/>
    <w:rsid w:val="00B73676"/>
    <w:rsid w:val="00B75E5E"/>
    <w:rsid w:val="00B77310"/>
    <w:rsid w:val="00B778BD"/>
    <w:rsid w:val="00B80938"/>
    <w:rsid w:val="00B811F7"/>
    <w:rsid w:val="00B8151F"/>
    <w:rsid w:val="00B82D4C"/>
    <w:rsid w:val="00B832B3"/>
    <w:rsid w:val="00B84B0B"/>
    <w:rsid w:val="00B86685"/>
    <w:rsid w:val="00B87046"/>
    <w:rsid w:val="00B909FB"/>
    <w:rsid w:val="00B9124B"/>
    <w:rsid w:val="00B92F3C"/>
    <w:rsid w:val="00B92F85"/>
    <w:rsid w:val="00B93969"/>
    <w:rsid w:val="00B939A8"/>
    <w:rsid w:val="00B9474F"/>
    <w:rsid w:val="00BA006E"/>
    <w:rsid w:val="00BA175B"/>
    <w:rsid w:val="00BA3286"/>
    <w:rsid w:val="00BA4134"/>
    <w:rsid w:val="00BA4BB8"/>
    <w:rsid w:val="00BA5DC6"/>
    <w:rsid w:val="00BA6196"/>
    <w:rsid w:val="00BA6FE4"/>
    <w:rsid w:val="00BB2C96"/>
    <w:rsid w:val="00BB444C"/>
    <w:rsid w:val="00BB59A9"/>
    <w:rsid w:val="00BC12C6"/>
    <w:rsid w:val="00BC148F"/>
    <w:rsid w:val="00BC2FA3"/>
    <w:rsid w:val="00BC3E00"/>
    <w:rsid w:val="00BC4272"/>
    <w:rsid w:val="00BC4D80"/>
    <w:rsid w:val="00BC4DB5"/>
    <w:rsid w:val="00BC6A73"/>
    <w:rsid w:val="00BC6D8C"/>
    <w:rsid w:val="00BC7212"/>
    <w:rsid w:val="00BC78D3"/>
    <w:rsid w:val="00BD0F37"/>
    <w:rsid w:val="00BD10A1"/>
    <w:rsid w:val="00BD12AD"/>
    <w:rsid w:val="00BD5A7A"/>
    <w:rsid w:val="00BD5BC3"/>
    <w:rsid w:val="00BD68F7"/>
    <w:rsid w:val="00BE2292"/>
    <w:rsid w:val="00BE45A7"/>
    <w:rsid w:val="00BE6B54"/>
    <w:rsid w:val="00BE6E8F"/>
    <w:rsid w:val="00BE7A22"/>
    <w:rsid w:val="00BF04D7"/>
    <w:rsid w:val="00BF0E35"/>
    <w:rsid w:val="00BF0EC4"/>
    <w:rsid w:val="00BF5DB4"/>
    <w:rsid w:val="00BF7948"/>
    <w:rsid w:val="00C00BE4"/>
    <w:rsid w:val="00C01748"/>
    <w:rsid w:val="00C05703"/>
    <w:rsid w:val="00C06CF2"/>
    <w:rsid w:val="00C07D38"/>
    <w:rsid w:val="00C10233"/>
    <w:rsid w:val="00C11791"/>
    <w:rsid w:val="00C14494"/>
    <w:rsid w:val="00C15277"/>
    <w:rsid w:val="00C161C2"/>
    <w:rsid w:val="00C16737"/>
    <w:rsid w:val="00C177C7"/>
    <w:rsid w:val="00C227F5"/>
    <w:rsid w:val="00C2375A"/>
    <w:rsid w:val="00C244AB"/>
    <w:rsid w:val="00C262ED"/>
    <w:rsid w:val="00C267FF"/>
    <w:rsid w:val="00C270A1"/>
    <w:rsid w:val="00C30CB5"/>
    <w:rsid w:val="00C31FCD"/>
    <w:rsid w:val="00C34006"/>
    <w:rsid w:val="00C341A4"/>
    <w:rsid w:val="00C34CB3"/>
    <w:rsid w:val="00C35534"/>
    <w:rsid w:val="00C426B1"/>
    <w:rsid w:val="00C42EC2"/>
    <w:rsid w:val="00C446DC"/>
    <w:rsid w:val="00C44D7C"/>
    <w:rsid w:val="00C451BB"/>
    <w:rsid w:val="00C470A4"/>
    <w:rsid w:val="00C4794F"/>
    <w:rsid w:val="00C47BDB"/>
    <w:rsid w:val="00C50E5D"/>
    <w:rsid w:val="00C51054"/>
    <w:rsid w:val="00C52400"/>
    <w:rsid w:val="00C534C4"/>
    <w:rsid w:val="00C538F5"/>
    <w:rsid w:val="00C53930"/>
    <w:rsid w:val="00C57917"/>
    <w:rsid w:val="00C6118A"/>
    <w:rsid w:val="00C62482"/>
    <w:rsid w:val="00C66160"/>
    <w:rsid w:val="00C66CDA"/>
    <w:rsid w:val="00C71B86"/>
    <w:rsid w:val="00C721AC"/>
    <w:rsid w:val="00C722D3"/>
    <w:rsid w:val="00C72B0D"/>
    <w:rsid w:val="00C73536"/>
    <w:rsid w:val="00C75D77"/>
    <w:rsid w:val="00C768F1"/>
    <w:rsid w:val="00C76A8A"/>
    <w:rsid w:val="00C76A95"/>
    <w:rsid w:val="00C777C1"/>
    <w:rsid w:val="00C77A84"/>
    <w:rsid w:val="00C839E8"/>
    <w:rsid w:val="00C8724F"/>
    <w:rsid w:val="00C90D6A"/>
    <w:rsid w:val="00C90F01"/>
    <w:rsid w:val="00C9211F"/>
    <w:rsid w:val="00C92CA7"/>
    <w:rsid w:val="00C92DD6"/>
    <w:rsid w:val="00C93C7B"/>
    <w:rsid w:val="00C941BA"/>
    <w:rsid w:val="00C9515C"/>
    <w:rsid w:val="00CA247E"/>
    <w:rsid w:val="00CA2FF5"/>
    <w:rsid w:val="00CA30C1"/>
    <w:rsid w:val="00CA3BA8"/>
    <w:rsid w:val="00CA3EC4"/>
    <w:rsid w:val="00CB065C"/>
    <w:rsid w:val="00CB15FF"/>
    <w:rsid w:val="00CB1DA6"/>
    <w:rsid w:val="00CB352B"/>
    <w:rsid w:val="00CB434E"/>
    <w:rsid w:val="00CB7823"/>
    <w:rsid w:val="00CB7A70"/>
    <w:rsid w:val="00CB7EE7"/>
    <w:rsid w:val="00CC1526"/>
    <w:rsid w:val="00CC15BD"/>
    <w:rsid w:val="00CC64EC"/>
    <w:rsid w:val="00CC68ED"/>
    <w:rsid w:val="00CC72B6"/>
    <w:rsid w:val="00CD02AB"/>
    <w:rsid w:val="00CD05C3"/>
    <w:rsid w:val="00CD2E33"/>
    <w:rsid w:val="00CD3E17"/>
    <w:rsid w:val="00CD449C"/>
    <w:rsid w:val="00CD4DB7"/>
    <w:rsid w:val="00CD7C30"/>
    <w:rsid w:val="00CD7EA4"/>
    <w:rsid w:val="00CE24F3"/>
    <w:rsid w:val="00CE45CF"/>
    <w:rsid w:val="00CE5EB7"/>
    <w:rsid w:val="00CE6E75"/>
    <w:rsid w:val="00CF027E"/>
    <w:rsid w:val="00CF0EE3"/>
    <w:rsid w:val="00CF1FF8"/>
    <w:rsid w:val="00CF23EA"/>
    <w:rsid w:val="00CF2646"/>
    <w:rsid w:val="00CF2720"/>
    <w:rsid w:val="00CF2D78"/>
    <w:rsid w:val="00CF54DE"/>
    <w:rsid w:val="00CF6862"/>
    <w:rsid w:val="00CF7247"/>
    <w:rsid w:val="00CF7C0F"/>
    <w:rsid w:val="00D008C0"/>
    <w:rsid w:val="00D0218D"/>
    <w:rsid w:val="00D02453"/>
    <w:rsid w:val="00D024FF"/>
    <w:rsid w:val="00D037D5"/>
    <w:rsid w:val="00D0449B"/>
    <w:rsid w:val="00D0490A"/>
    <w:rsid w:val="00D04F5D"/>
    <w:rsid w:val="00D04F6D"/>
    <w:rsid w:val="00D05050"/>
    <w:rsid w:val="00D068A5"/>
    <w:rsid w:val="00D068FF"/>
    <w:rsid w:val="00D12273"/>
    <w:rsid w:val="00D13FE3"/>
    <w:rsid w:val="00D1412E"/>
    <w:rsid w:val="00D1703E"/>
    <w:rsid w:val="00D175D0"/>
    <w:rsid w:val="00D20288"/>
    <w:rsid w:val="00D208A1"/>
    <w:rsid w:val="00D20AAA"/>
    <w:rsid w:val="00D21958"/>
    <w:rsid w:val="00D223E7"/>
    <w:rsid w:val="00D2376F"/>
    <w:rsid w:val="00D23C07"/>
    <w:rsid w:val="00D24FF3"/>
    <w:rsid w:val="00D257AC"/>
    <w:rsid w:val="00D25FB5"/>
    <w:rsid w:val="00D27D8E"/>
    <w:rsid w:val="00D3277B"/>
    <w:rsid w:val="00D32F8B"/>
    <w:rsid w:val="00D33468"/>
    <w:rsid w:val="00D34156"/>
    <w:rsid w:val="00D3419E"/>
    <w:rsid w:val="00D3667A"/>
    <w:rsid w:val="00D403D6"/>
    <w:rsid w:val="00D41FBA"/>
    <w:rsid w:val="00D42DBA"/>
    <w:rsid w:val="00D42DE9"/>
    <w:rsid w:val="00D4343B"/>
    <w:rsid w:val="00D43513"/>
    <w:rsid w:val="00D43B9C"/>
    <w:rsid w:val="00D44158"/>
    <w:rsid w:val="00D44223"/>
    <w:rsid w:val="00D50A0C"/>
    <w:rsid w:val="00D52107"/>
    <w:rsid w:val="00D52575"/>
    <w:rsid w:val="00D52FED"/>
    <w:rsid w:val="00D562D9"/>
    <w:rsid w:val="00D5663F"/>
    <w:rsid w:val="00D567DF"/>
    <w:rsid w:val="00D57DF3"/>
    <w:rsid w:val="00D610DF"/>
    <w:rsid w:val="00D62FAD"/>
    <w:rsid w:val="00D63D7F"/>
    <w:rsid w:val="00D64853"/>
    <w:rsid w:val="00D668DA"/>
    <w:rsid w:val="00D66F3C"/>
    <w:rsid w:val="00D703C2"/>
    <w:rsid w:val="00D70CDE"/>
    <w:rsid w:val="00D72540"/>
    <w:rsid w:val="00D735A1"/>
    <w:rsid w:val="00D74563"/>
    <w:rsid w:val="00D75107"/>
    <w:rsid w:val="00D7624D"/>
    <w:rsid w:val="00D76357"/>
    <w:rsid w:val="00D77209"/>
    <w:rsid w:val="00D77B68"/>
    <w:rsid w:val="00D800AF"/>
    <w:rsid w:val="00D801A0"/>
    <w:rsid w:val="00D834E4"/>
    <w:rsid w:val="00D83B4F"/>
    <w:rsid w:val="00D86FCA"/>
    <w:rsid w:val="00D934A8"/>
    <w:rsid w:val="00D943EC"/>
    <w:rsid w:val="00D948E0"/>
    <w:rsid w:val="00D95B61"/>
    <w:rsid w:val="00D970C9"/>
    <w:rsid w:val="00D9749D"/>
    <w:rsid w:val="00DA2529"/>
    <w:rsid w:val="00DA2D52"/>
    <w:rsid w:val="00DA3074"/>
    <w:rsid w:val="00DA3315"/>
    <w:rsid w:val="00DA37D9"/>
    <w:rsid w:val="00DA4361"/>
    <w:rsid w:val="00DA4510"/>
    <w:rsid w:val="00DA53C0"/>
    <w:rsid w:val="00DA7674"/>
    <w:rsid w:val="00DA771A"/>
    <w:rsid w:val="00DA7EAA"/>
    <w:rsid w:val="00DB0410"/>
    <w:rsid w:val="00DB130A"/>
    <w:rsid w:val="00DB1DED"/>
    <w:rsid w:val="00DB2EBB"/>
    <w:rsid w:val="00DB3D48"/>
    <w:rsid w:val="00DB421D"/>
    <w:rsid w:val="00DB4443"/>
    <w:rsid w:val="00DB4C06"/>
    <w:rsid w:val="00DB51D7"/>
    <w:rsid w:val="00DB5A08"/>
    <w:rsid w:val="00DB684A"/>
    <w:rsid w:val="00DC0218"/>
    <w:rsid w:val="00DC10A1"/>
    <w:rsid w:val="00DC23F9"/>
    <w:rsid w:val="00DC2D57"/>
    <w:rsid w:val="00DC3A3A"/>
    <w:rsid w:val="00DC3BA0"/>
    <w:rsid w:val="00DC5A64"/>
    <w:rsid w:val="00DC5B26"/>
    <w:rsid w:val="00DC655F"/>
    <w:rsid w:val="00DD034D"/>
    <w:rsid w:val="00DD0B59"/>
    <w:rsid w:val="00DD0BC3"/>
    <w:rsid w:val="00DD0F5C"/>
    <w:rsid w:val="00DD1121"/>
    <w:rsid w:val="00DD19D2"/>
    <w:rsid w:val="00DD2383"/>
    <w:rsid w:val="00DD3BD6"/>
    <w:rsid w:val="00DD4590"/>
    <w:rsid w:val="00DD578A"/>
    <w:rsid w:val="00DD6951"/>
    <w:rsid w:val="00DD6C21"/>
    <w:rsid w:val="00DD7EBD"/>
    <w:rsid w:val="00DE032E"/>
    <w:rsid w:val="00DE0C18"/>
    <w:rsid w:val="00DE17A7"/>
    <w:rsid w:val="00DE35F1"/>
    <w:rsid w:val="00DE3BF3"/>
    <w:rsid w:val="00DE5168"/>
    <w:rsid w:val="00DE6380"/>
    <w:rsid w:val="00DE6985"/>
    <w:rsid w:val="00DF1165"/>
    <w:rsid w:val="00DF52EF"/>
    <w:rsid w:val="00DF61CE"/>
    <w:rsid w:val="00DF62B6"/>
    <w:rsid w:val="00DF63C1"/>
    <w:rsid w:val="00DF6E9C"/>
    <w:rsid w:val="00DF79C0"/>
    <w:rsid w:val="00E021BE"/>
    <w:rsid w:val="00E02437"/>
    <w:rsid w:val="00E041C5"/>
    <w:rsid w:val="00E0426A"/>
    <w:rsid w:val="00E0457D"/>
    <w:rsid w:val="00E0592D"/>
    <w:rsid w:val="00E06C83"/>
    <w:rsid w:val="00E07225"/>
    <w:rsid w:val="00E11E3E"/>
    <w:rsid w:val="00E12776"/>
    <w:rsid w:val="00E13995"/>
    <w:rsid w:val="00E1586E"/>
    <w:rsid w:val="00E16469"/>
    <w:rsid w:val="00E1652D"/>
    <w:rsid w:val="00E17B5C"/>
    <w:rsid w:val="00E20077"/>
    <w:rsid w:val="00E27118"/>
    <w:rsid w:val="00E30022"/>
    <w:rsid w:val="00E317BF"/>
    <w:rsid w:val="00E3209D"/>
    <w:rsid w:val="00E331BD"/>
    <w:rsid w:val="00E33321"/>
    <w:rsid w:val="00E334A2"/>
    <w:rsid w:val="00E337C8"/>
    <w:rsid w:val="00E36D11"/>
    <w:rsid w:val="00E40063"/>
    <w:rsid w:val="00E40549"/>
    <w:rsid w:val="00E4092E"/>
    <w:rsid w:val="00E429CF"/>
    <w:rsid w:val="00E45421"/>
    <w:rsid w:val="00E51F47"/>
    <w:rsid w:val="00E5409F"/>
    <w:rsid w:val="00E54544"/>
    <w:rsid w:val="00E548C9"/>
    <w:rsid w:val="00E56386"/>
    <w:rsid w:val="00E56D66"/>
    <w:rsid w:val="00E60765"/>
    <w:rsid w:val="00E61A28"/>
    <w:rsid w:val="00E63549"/>
    <w:rsid w:val="00E63DED"/>
    <w:rsid w:val="00E668F2"/>
    <w:rsid w:val="00E66FA8"/>
    <w:rsid w:val="00E67B82"/>
    <w:rsid w:val="00E70094"/>
    <w:rsid w:val="00E709AB"/>
    <w:rsid w:val="00E73536"/>
    <w:rsid w:val="00E74619"/>
    <w:rsid w:val="00E7504E"/>
    <w:rsid w:val="00E77B4E"/>
    <w:rsid w:val="00E80F32"/>
    <w:rsid w:val="00E8135E"/>
    <w:rsid w:val="00E82968"/>
    <w:rsid w:val="00E8343F"/>
    <w:rsid w:val="00E864C4"/>
    <w:rsid w:val="00E8736D"/>
    <w:rsid w:val="00E8747B"/>
    <w:rsid w:val="00E902B9"/>
    <w:rsid w:val="00E90733"/>
    <w:rsid w:val="00E9246F"/>
    <w:rsid w:val="00E95481"/>
    <w:rsid w:val="00E95933"/>
    <w:rsid w:val="00E962C7"/>
    <w:rsid w:val="00EA246B"/>
    <w:rsid w:val="00EA2AE2"/>
    <w:rsid w:val="00EA2C67"/>
    <w:rsid w:val="00EA44DF"/>
    <w:rsid w:val="00EA7391"/>
    <w:rsid w:val="00EB14BB"/>
    <w:rsid w:val="00EB25CB"/>
    <w:rsid w:val="00EB264A"/>
    <w:rsid w:val="00EB2970"/>
    <w:rsid w:val="00EB504E"/>
    <w:rsid w:val="00EB7D5B"/>
    <w:rsid w:val="00EC047A"/>
    <w:rsid w:val="00EC179C"/>
    <w:rsid w:val="00EC739D"/>
    <w:rsid w:val="00EC7592"/>
    <w:rsid w:val="00EC79FD"/>
    <w:rsid w:val="00ED06F6"/>
    <w:rsid w:val="00ED08B4"/>
    <w:rsid w:val="00ED092F"/>
    <w:rsid w:val="00ED0AF5"/>
    <w:rsid w:val="00ED14C4"/>
    <w:rsid w:val="00ED2175"/>
    <w:rsid w:val="00ED237F"/>
    <w:rsid w:val="00ED4634"/>
    <w:rsid w:val="00ED5B97"/>
    <w:rsid w:val="00EE0337"/>
    <w:rsid w:val="00EE18B7"/>
    <w:rsid w:val="00EE293E"/>
    <w:rsid w:val="00EE3EB7"/>
    <w:rsid w:val="00EE4302"/>
    <w:rsid w:val="00EE4681"/>
    <w:rsid w:val="00EE4CE2"/>
    <w:rsid w:val="00EE6456"/>
    <w:rsid w:val="00EE6488"/>
    <w:rsid w:val="00EE68BB"/>
    <w:rsid w:val="00EE7A0B"/>
    <w:rsid w:val="00EF045A"/>
    <w:rsid w:val="00EF0CB7"/>
    <w:rsid w:val="00EF1102"/>
    <w:rsid w:val="00EF34B4"/>
    <w:rsid w:val="00EF5463"/>
    <w:rsid w:val="00EF63E0"/>
    <w:rsid w:val="00EF65B5"/>
    <w:rsid w:val="00F00456"/>
    <w:rsid w:val="00F00B29"/>
    <w:rsid w:val="00F00C50"/>
    <w:rsid w:val="00F00FDD"/>
    <w:rsid w:val="00F021FA"/>
    <w:rsid w:val="00F02575"/>
    <w:rsid w:val="00F02648"/>
    <w:rsid w:val="00F02B1D"/>
    <w:rsid w:val="00F02D6A"/>
    <w:rsid w:val="00F045E8"/>
    <w:rsid w:val="00F10EC7"/>
    <w:rsid w:val="00F11145"/>
    <w:rsid w:val="00F11840"/>
    <w:rsid w:val="00F11F96"/>
    <w:rsid w:val="00F14346"/>
    <w:rsid w:val="00F1436B"/>
    <w:rsid w:val="00F163BA"/>
    <w:rsid w:val="00F166AD"/>
    <w:rsid w:val="00F179B6"/>
    <w:rsid w:val="00F225BC"/>
    <w:rsid w:val="00F24A70"/>
    <w:rsid w:val="00F25E8A"/>
    <w:rsid w:val="00F2761B"/>
    <w:rsid w:val="00F2780B"/>
    <w:rsid w:val="00F30EE1"/>
    <w:rsid w:val="00F30F87"/>
    <w:rsid w:val="00F31C98"/>
    <w:rsid w:val="00F325E1"/>
    <w:rsid w:val="00F32AD1"/>
    <w:rsid w:val="00F36245"/>
    <w:rsid w:val="00F407CD"/>
    <w:rsid w:val="00F40EAF"/>
    <w:rsid w:val="00F42E3C"/>
    <w:rsid w:val="00F4402D"/>
    <w:rsid w:val="00F44784"/>
    <w:rsid w:val="00F47B7E"/>
    <w:rsid w:val="00F53437"/>
    <w:rsid w:val="00F54AED"/>
    <w:rsid w:val="00F559C0"/>
    <w:rsid w:val="00F5616F"/>
    <w:rsid w:val="00F56ECC"/>
    <w:rsid w:val="00F60681"/>
    <w:rsid w:val="00F62E97"/>
    <w:rsid w:val="00F63C57"/>
    <w:rsid w:val="00F64209"/>
    <w:rsid w:val="00F645F8"/>
    <w:rsid w:val="00F64801"/>
    <w:rsid w:val="00F70345"/>
    <w:rsid w:val="00F71720"/>
    <w:rsid w:val="00F720C2"/>
    <w:rsid w:val="00F7338F"/>
    <w:rsid w:val="00F73BF6"/>
    <w:rsid w:val="00F73D58"/>
    <w:rsid w:val="00F7542B"/>
    <w:rsid w:val="00F77188"/>
    <w:rsid w:val="00F8430B"/>
    <w:rsid w:val="00F864C2"/>
    <w:rsid w:val="00F9392A"/>
    <w:rsid w:val="00F93BF5"/>
    <w:rsid w:val="00F94E5D"/>
    <w:rsid w:val="00F97FCA"/>
    <w:rsid w:val="00FA06D3"/>
    <w:rsid w:val="00FA1437"/>
    <w:rsid w:val="00FA19F7"/>
    <w:rsid w:val="00FA3AEF"/>
    <w:rsid w:val="00FA47B2"/>
    <w:rsid w:val="00FA72EB"/>
    <w:rsid w:val="00FA7593"/>
    <w:rsid w:val="00FB1822"/>
    <w:rsid w:val="00FB250A"/>
    <w:rsid w:val="00FB391E"/>
    <w:rsid w:val="00FB4BCA"/>
    <w:rsid w:val="00FB5127"/>
    <w:rsid w:val="00FB5362"/>
    <w:rsid w:val="00FB64B1"/>
    <w:rsid w:val="00FB7676"/>
    <w:rsid w:val="00FB7AD3"/>
    <w:rsid w:val="00FC1399"/>
    <w:rsid w:val="00FC211A"/>
    <w:rsid w:val="00FC21E3"/>
    <w:rsid w:val="00FC22EB"/>
    <w:rsid w:val="00FC5218"/>
    <w:rsid w:val="00FC5B40"/>
    <w:rsid w:val="00FC62B9"/>
    <w:rsid w:val="00FC7837"/>
    <w:rsid w:val="00FC7BC6"/>
    <w:rsid w:val="00FD0288"/>
    <w:rsid w:val="00FD04F8"/>
    <w:rsid w:val="00FD0560"/>
    <w:rsid w:val="00FD0D90"/>
    <w:rsid w:val="00FD1058"/>
    <w:rsid w:val="00FD1962"/>
    <w:rsid w:val="00FD3FA3"/>
    <w:rsid w:val="00FD404F"/>
    <w:rsid w:val="00FD5361"/>
    <w:rsid w:val="00FD582B"/>
    <w:rsid w:val="00FD6484"/>
    <w:rsid w:val="00FD714C"/>
    <w:rsid w:val="00FE054D"/>
    <w:rsid w:val="00FE0C2F"/>
    <w:rsid w:val="00FE17B6"/>
    <w:rsid w:val="00FE270F"/>
    <w:rsid w:val="00FE280B"/>
    <w:rsid w:val="00FE4A86"/>
    <w:rsid w:val="00FE63E5"/>
    <w:rsid w:val="00FE65D1"/>
    <w:rsid w:val="00FE664A"/>
    <w:rsid w:val="00FE7186"/>
    <w:rsid w:val="00FE7AF1"/>
    <w:rsid w:val="00FF0AE1"/>
    <w:rsid w:val="00FF1F3B"/>
    <w:rsid w:val="00FF4FA4"/>
    <w:rsid w:val="00FF5FAE"/>
    <w:rsid w:val="00FF6AF6"/>
    <w:rsid w:val="00FF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72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8C27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8C272F"/>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8C272F"/>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8C272F"/>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8C272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C272F"/>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C27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272F"/>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8C27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27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272F"/>
  </w:style>
  <w:style w:type="paragraph" w:customStyle="1" w:styleId="ParaNum">
    <w:name w:val="ParaNum"/>
    <w:basedOn w:val="Normal"/>
    <w:link w:val="ParaNumChar"/>
    <w:rsid w:val="008C272F"/>
    <w:pPr>
      <w:numPr>
        <w:numId w:val="2"/>
      </w:numPr>
      <w:tabs>
        <w:tab w:val="clear" w:pos="1080"/>
        <w:tab w:val="num" w:pos="1440"/>
      </w:tabs>
      <w:spacing w:after="120"/>
    </w:pPr>
  </w:style>
  <w:style w:type="paragraph" w:styleId="EndnoteText">
    <w:name w:val="endnote text"/>
    <w:basedOn w:val="Normal"/>
    <w:semiHidden/>
    <w:rsid w:val="008C272F"/>
    <w:rPr>
      <w:sz w:val="20"/>
    </w:rPr>
  </w:style>
  <w:style w:type="character" w:styleId="EndnoteReference">
    <w:name w:val="endnote reference"/>
    <w:semiHidden/>
    <w:rsid w:val="008C272F"/>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8C272F"/>
    <w:pPr>
      <w:spacing w:after="120"/>
    </w:pPr>
  </w:style>
  <w:style w:type="character" w:styleId="FootnoteReference">
    <w:name w:val="footnote reference"/>
    <w:aliases w:val="Style 12,(NECG) Footnote Reference,Appel note de bas de p,Style 124,o,fr,Style 3,Style 13,FR,Style 17,Style 6,Footnote Reference/,Style 7,Style 4"/>
    <w:rsid w:val="008C272F"/>
    <w:rPr>
      <w:rFonts w:ascii="Times New Roman" w:hAnsi="Times New Roman"/>
      <w:dstrike w:val="0"/>
      <w:color w:val="auto"/>
      <w:sz w:val="20"/>
      <w:vertAlign w:val="superscript"/>
    </w:rPr>
  </w:style>
  <w:style w:type="paragraph" w:styleId="TOC1">
    <w:name w:val="toc 1"/>
    <w:basedOn w:val="Normal"/>
    <w:next w:val="Normal"/>
    <w:rsid w:val="008C272F"/>
    <w:pPr>
      <w:tabs>
        <w:tab w:val="left" w:pos="360"/>
        <w:tab w:val="right" w:leader="dot" w:pos="9360"/>
      </w:tabs>
      <w:suppressAutoHyphens/>
      <w:ind w:left="360" w:right="720" w:hanging="360"/>
    </w:pPr>
    <w:rPr>
      <w:caps/>
      <w:noProof/>
    </w:rPr>
  </w:style>
  <w:style w:type="paragraph" w:styleId="TOC2">
    <w:name w:val="toc 2"/>
    <w:basedOn w:val="Normal"/>
    <w:next w:val="Normal"/>
    <w:rsid w:val="008C272F"/>
    <w:pPr>
      <w:tabs>
        <w:tab w:val="left" w:pos="720"/>
        <w:tab w:val="right" w:leader="dot" w:pos="9360"/>
      </w:tabs>
      <w:suppressAutoHyphens/>
      <w:ind w:left="720" w:right="720" w:hanging="360"/>
    </w:pPr>
    <w:rPr>
      <w:noProof/>
    </w:rPr>
  </w:style>
  <w:style w:type="paragraph" w:styleId="TOC3">
    <w:name w:val="toc 3"/>
    <w:basedOn w:val="Normal"/>
    <w:next w:val="Normal"/>
    <w:rsid w:val="008C272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C27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27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27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27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27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27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272F"/>
    <w:pPr>
      <w:tabs>
        <w:tab w:val="right" w:pos="9360"/>
      </w:tabs>
      <w:suppressAutoHyphens/>
    </w:pPr>
  </w:style>
  <w:style w:type="character" w:customStyle="1" w:styleId="EquationCaption">
    <w:name w:val="_Equation Caption"/>
    <w:rsid w:val="008C272F"/>
  </w:style>
  <w:style w:type="paragraph" w:styleId="Header">
    <w:name w:val="header"/>
    <w:basedOn w:val="Normal"/>
    <w:link w:val="HeaderChar"/>
    <w:autoRedefine/>
    <w:rsid w:val="008C272F"/>
    <w:pPr>
      <w:tabs>
        <w:tab w:val="center" w:pos="4680"/>
        <w:tab w:val="right" w:pos="9360"/>
      </w:tabs>
    </w:pPr>
    <w:rPr>
      <w:b/>
    </w:rPr>
  </w:style>
  <w:style w:type="paragraph" w:styleId="Footer">
    <w:name w:val="footer"/>
    <w:basedOn w:val="Normal"/>
    <w:rsid w:val="008C272F"/>
    <w:pPr>
      <w:tabs>
        <w:tab w:val="center" w:pos="4320"/>
        <w:tab w:val="right" w:pos="8640"/>
      </w:tabs>
    </w:pPr>
  </w:style>
  <w:style w:type="character" w:styleId="PageNumber">
    <w:name w:val="page number"/>
    <w:basedOn w:val="DefaultParagraphFont"/>
    <w:rsid w:val="008C272F"/>
  </w:style>
  <w:style w:type="paragraph" w:styleId="BlockText">
    <w:name w:val="Block Text"/>
    <w:basedOn w:val="Normal"/>
    <w:rsid w:val="008C272F"/>
    <w:pPr>
      <w:spacing w:after="240"/>
      <w:ind w:left="1440" w:right="1440"/>
    </w:pPr>
  </w:style>
  <w:style w:type="paragraph" w:customStyle="1" w:styleId="Paratitle">
    <w:name w:val="Para title"/>
    <w:basedOn w:val="Normal"/>
    <w:rsid w:val="008C272F"/>
    <w:pPr>
      <w:tabs>
        <w:tab w:val="center" w:pos="9270"/>
      </w:tabs>
      <w:spacing w:after="240"/>
    </w:pPr>
    <w:rPr>
      <w:spacing w:val="-2"/>
    </w:rPr>
  </w:style>
  <w:style w:type="paragraph" w:customStyle="1" w:styleId="Bullet">
    <w:name w:val="Bullet"/>
    <w:basedOn w:val="Normal"/>
    <w:rsid w:val="008C272F"/>
    <w:pPr>
      <w:tabs>
        <w:tab w:val="left" w:pos="2160"/>
      </w:tabs>
      <w:spacing w:after="220"/>
      <w:ind w:left="2160" w:hanging="720"/>
    </w:pPr>
  </w:style>
  <w:style w:type="paragraph" w:customStyle="1" w:styleId="TableFormat">
    <w:name w:val="TableFormat"/>
    <w:basedOn w:val="Bullet"/>
    <w:rsid w:val="008C272F"/>
    <w:pPr>
      <w:tabs>
        <w:tab w:val="clear" w:pos="2160"/>
        <w:tab w:val="left" w:pos="5040"/>
      </w:tabs>
      <w:ind w:left="5040" w:hanging="3600"/>
    </w:pPr>
  </w:style>
  <w:style w:type="paragraph" w:customStyle="1" w:styleId="TOCTitle">
    <w:name w:val="TOC Title"/>
    <w:basedOn w:val="Normal"/>
    <w:rsid w:val="008C27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272F"/>
    <w:pPr>
      <w:jc w:val="center"/>
    </w:pPr>
    <w:rPr>
      <w:rFonts w:ascii="Times New Roman Bold" w:hAnsi="Times New Roman Bold"/>
      <w:b/>
      <w:bCs/>
      <w:caps/>
      <w:szCs w:val="22"/>
    </w:rPr>
  </w:style>
  <w:style w:type="character" w:styleId="Hyperlink">
    <w:name w:val="Hyperlink"/>
    <w:rsid w:val="008C272F"/>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erChar">
    <w:name w:val="Header Char"/>
    <w:basedOn w:val="DefaultParagraphFont"/>
    <w:link w:val="Header"/>
    <w:rsid w:val="008D7CB4"/>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72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8C27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8C272F"/>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8C272F"/>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8C272F"/>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8C272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C272F"/>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C27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272F"/>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8C27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27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272F"/>
  </w:style>
  <w:style w:type="paragraph" w:customStyle="1" w:styleId="ParaNum">
    <w:name w:val="ParaNum"/>
    <w:basedOn w:val="Normal"/>
    <w:link w:val="ParaNumChar"/>
    <w:rsid w:val="008C272F"/>
    <w:pPr>
      <w:numPr>
        <w:numId w:val="2"/>
      </w:numPr>
      <w:tabs>
        <w:tab w:val="clear" w:pos="1080"/>
        <w:tab w:val="num" w:pos="1440"/>
      </w:tabs>
      <w:spacing w:after="120"/>
    </w:pPr>
  </w:style>
  <w:style w:type="paragraph" w:styleId="EndnoteText">
    <w:name w:val="endnote text"/>
    <w:basedOn w:val="Normal"/>
    <w:semiHidden/>
    <w:rsid w:val="008C272F"/>
    <w:rPr>
      <w:sz w:val="20"/>
    </w:rPr>
  </w:style>
  <w:style w:type="character" w:styleId="EndnoteReference">
    <w:name w:val="endnote reference"/>
    <w:semiHidden/>
    <w:rsid w:val="008C272F"/>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8C272F"/>
    <w:pPr>
      <w:spacing w:after="120"/>
    </w:pPr>
  </w:style>
  <w:style w:type="character" w:styleId="FootnoteReference">
    <w:name w:val="footnote reference"/>
    <w:aliases w:val="Style 12,(NECG) Footnote Reference,Appel note de bas de p,Style 124,o,fr,Style 3,Style 13,FR,Style 17,Style 6,Footnote Reference/,Style 7,Style 4"/>
    <w:rsid w:val="008C272F"/>
    <w:rPr>
      <w:rFonts w:ascii="Times New Roman" w:hAnsi="Times New Roman"/>
      <w:dstrike w:val="0"/>
      <w:color w:val="auto"/>
      <w:sz w:val="20"/>
      <w:vertAlign w:val="superscript"/>
    </w:rPr>
  </w:style>
  <w:style w:type="paragraph" w:styleId="TOC1">
    <w:name w:val="toc 1"/>
    <w:basedOn w:val="Normal"/>
    <w:next w:val="Normal"/>
    <w:rsid w:val="008C272F"/>
    <w:pPr>
      <w:tabs>
        <w:tab w:val="left" w:pos="360"/>
        <w:tab w:val="right" w:leader="dot" w:pos="9360"/>
      </w:tabs>
      <w:suppressAutoHyphens/>
      <w:ind w:left="360" w:right="720" w:hanging="360"/>
    </w:pPr>
    <w:rPr>
      <w:caps/>
      <w:noProof/>
    </w:rPr>
  </w:style>
  <w:style w:type="paragraph" w:styleId="TOC2">
    <w:name w:val="toc 2"/>
    <w:basedOn w:val="Normal"/>
    <w:next w:val="Normal"/>
    <w:rsid w:val="008C272F"/>
    <w:pPr>
      <w:tabs>
        <w:tab w:val="left" w:pos="720"/>
        <w:tab w:val="right" w:leader="dot" w:pos="9360"/>
      </w:tabs>
      <w:suppressAutoHyphens/>
      <w:ind w:left="720" w:right="720" w:hanging="360"/>
    </w:pPr>
    <w:rPr>
      <w:noProof/>
    </w:rPr>
  </w:style>
  <w:style w:type="paragraph" w:styleId="TOC3">
    <w:name w:val="toc 3"/>
    <w:basedOn w:val="Normal"/>
    <w:next w:val="Normal"/>
    <w:rsid w:val="008C272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C27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27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27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27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27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27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272F"/>
    <w:pPr>
      <w:tabs>
        <w:tab w:val="right" w:pos="9360"/>
      </w:tabs>
      <w:suppressAutoHyphens/>
    </w:pPr>
  </w:style>
  <w:style w:type="character" w:customStyle="1" w:styleId="EquationCaption">
    <w:name w:val="_Equation Caption"/>
    <w:rsid w:val="008C272F"/>
  </w:style>
  <w:style w:type="paragraph" w:styleId="Header">
    <w:name w:val="header"/>
    <w:basedOn w:val="Normal"/>
    <w:link w:val="HeaderChar"/>
    <w:autoRedefine/>
    <w:rsid w:val="008C272F"/>
    <w:pPr>
      <w:tabs>
        <w:tab w:val="center" w:pos="4680"/>
        <w:tab w:val="right" w:pos="9360"/>
      </w:tabs>
    </w:pPr>
    <w:rPr>
      <w:b/>
    </w:rPr>
  </w:style>
  <w:style w:type="paragraph" w:styleId="Footer">
    <w:name w:val="footer"/>
    <w:basedOn w:val="Normal"/>
    <w:rsid w:val="008C272F"/>
    <w:pPr>
      <w:tabs>
        <w:tab w:val="center" w:pos="4320"/>
        <w:tab w:val="right" w:pos="8640"/>
      </w:tabs>
    </w:pPr>
  </w:style>
  <w:style w:type="character" w:styleId="PageNumber">
    <w:name w:val="page number"/>
    <w:basedOn w:val="DefaultParagraphFont"/>
    <w:rsid w:val="008C272F"/>
  </w:style>
  <w:style w:type="paragraph" w:styleId="BlockText">
    <w:name w:val="Block Text"/>
    <w:basedOn w:val="Normal"/>
    <w:rsid w:val="008C272F"/>
    <w:pPr>
      <w:spacing w:after="240"/>
      <w:ind w:left="1440" w:right="1440"/>
    </w:pPr>
  </w:style>
  <w:style w:type="paragraph" w:customStyle="1" w:styleId="Paratitle">
    <w:name w:val="Para title"/>
    <w:basedOn w:val="Normal"/>
    <w:rsid w:val="008C272F"/>
    <w:pPr>
      <w:tabs>
        <w:tab w:val="center" w:pos="9270"/>
      </w:tabs>
      <w:spacing w:after="240"/>
    </w:pPr>
    <w:rPr>
      <w:spacing w:val="-2"/>
    </w:rPr>
  </w:style>
  <w:style w:type="paragraph" w:customStyle="1" w:styleId="Bullet">
    <w:name w:val="Bullet"/>
    <w:basedOn w:val="Normal"/>
    <w:rsid w:val="008C272F"/>
    <w:pPr>
      <w:tabs>
        <w:tab w:val="left" w:pos="2160"/>
      </w:tabs>
      <w:spacing w:after="220"/>
      <w:ind w:left="2160" w:hanging="720"/>
    </w:pPr>
  </w:style>
  <w:style w:type="paragraph" w:customStyle="1" w:styleId="TableFormat">
    <w:name w:val="TableFormat"/>
    <w:basedOn w:val="Bullet"/>
    <w:rsid w:val="008C272F"/>
    <w:pPr>
      <w:tabs>
        <w:tab w:val="clear" w:pos="2160"/>
        <w:tab w:val="left" w:pos="5040"/>
      </w:tabs>
      <w:ind w:left="5040" w:hanging="3600"/>
    </w:pPr>
  </w:style>
  <w:style w:type="paragraph" w:customStyle="1" w:styleId="TOCTitle">
    <w:name w:val="TOC Title"/>
    <w:basedOn w:val="Normal"/>
    <w:rsid w:val="008C27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272F"/>
    <w:pPr>
      <w:jc w:val="center"/>
    </w:pPr>
    <w:rPr>
      <w:rFonts w:ascii="Times New Roman Bold" w:hAnsi="Times New Roman Bold"/>
      <w:b/>
      <w:bCs/>
      <w:caps/>
      <w:szCs w:val="22"/>
    </w:rPr>
  </w:style>
  <w:style w:type="character" w:styleId="Hyperlink">
    <w:name w:val="Hyperlink"/>
    <w:rsid w:val="008C272F"/>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erChar">
    <w:name w:val="Header Char"/>
    <w:basedOn w:val="DefaultParagraphFont"/>
    <w:link w:val="Header"/>
    <w:rsid w:val="008D7CB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8911">
      <w:bodyDiv w:val="1"/>
      <w:marLeft w:val="0"/>
      <w:marRight w:val="0"/>
      <w:marTop w:val="0"/>
      <w:marBottom w:val="0"/>
      <w:divBdr>
        <w:top w:val="none" w:sz="0" w:space="0" w:color="auto"/>
        <w:left w:val="none" w:sz="0" w:space="0" w:color="auto"/>
        <w:bottom w:val="none" w:sz="0" w:space="0" w:color="auto"/>
        <w:right w:val="none" w:sz="0" w:space="0" w:color="auto"/>
      </w:divBdr>
    </w:div>
    <w:div w:id="255480750">
      <w:bodyDiv w:val="1"/>
      <w:marLeft w:val="0"/>
      <w:marRight w:val="0"/>
      <w:marTop w:val="0"/>
      <w:marBottom w:val="0"/>
      <w:divBdr>
        <w:top w:val="none" w:sz="0" w:space="0" w:color="auto"/>
        <w:left w:val="none" w:sz="0" w:space="0" w:color="auto"/>
        <w:bottom w:val="none" w:sz="0" w:space="0" w:color="auto"/>
        <w:right w:val="none" w:sz="0" w:space="0" w:color="auto"/>
      </w:divBdr>
    </w:div>
    <w:div w:id="474566141">
      <w:bodyDiv w:val="1"/>
      <w:marLeft w:val="0"/>
      <w:marRight w:val="0"/>
      <w:marTop w:val="0"/>
      <w:marBottom w:val="0"/>
      <w:divBdr>
        <w:top w:val="none" w:sz="0" w:space="0" w:color="auto"/>
        <w:left w:val="none" w:sz="0" w:space="0" w:color="auto"/>
        <w:bottom w:val="none" w:sz="0" w:space="0" w:color="auto"/>
        <w:right w:val="none" w:sz="0" w:space="0" w:color="auto"/>
      </w:divBdr>
    </w:div>
    <w:div w:id="642272054">
      <w:bodyDiv w:val="1"/>
      <w:marLeft w:val="30"/>
      <w:marRight w:val="30"/>
      <w:marTop w:val="30"/>
      <w:marBottom w:val="30"/>
      <w:divBdr>
        <w:top w:val="none" w:sz="0" w:space="0" w:color="auto"/>
        <w:left w:val="none" w:sz="0" w:space="0" w:color="auto"/>
        <w:bottom w:val="none" w:sz="0" w:space="0" w:color="auto"/>
        <w:right w:val="none" w:sz="0" w:space="0" w:color="auto"/>
      </w:divBdr>
      <w:divsChild>
        <w:div w:id="758794710">
          <w:marLeft w:val="0"/>
          <w:marRight w:val="0"/>
          <w:marTop w:val="0"/>
          <w:marBottom w:val="0"/>
          <w:divBdr>
            <w:top w:val="none" w:sz="0" w:space="0" w:color="auto"/>
            <w:left w:val="none" w:sz="0" w:space="0" w:color="auto"/>
            <w:bottom w:val="none" w:sz="0" w:space="0" w:color="auto"/>
            <w:right w:val="none" w:sz="0" w:space="0" w:color="auto"/>
          </w:divBdr>
          <w:divsChild>
            <w:div w:id="154348748">
              <w:marLeft w:val="45"/>
              <w:marRight w:val="45"/>
              <w:marTop w:val="45"/>
              <w:marBottom w:val="45"/>
              <w:divBdr>
                <w:top w:val="none" w:sz="0" w:space="0" w:color="auto"/>
                <w:left w:val="none" w:sz="0" w:space="0" w:color="auto"/>
                <w:bottom w:val="none" w:sz="0" w:space="0" w:color="auto"/>
                <w:right w:val="none" w:sz="0" w:space="0" w:color="auto"/>
              </w:divBdr>
              <w:divsChild>
                <w:div w:id="1711027364">
                  <w:marLeft w:val="0"/>
                  <w:marRight w:val="0"/>
                  <w:marTop w:val="0"/>
                  <w:marBottom w:val="0"/>
                  <w:divBdr>
                    <w:top w:val="none" w:sz="0" w:space="0" w:color="auto"/>
                    <w:left w:val="none" w:sz="0" w:space="0" w:color="auto"/>
                    <w:bottom w:val="none" w:sz="0" w:space="0" w:color="auto"/>
                    <w:right w:val="none" w:sz="0" w:space="0" w:color="auto"/>
                  </w:divBdr>
                  <w:divsChild>
                    <w:div w:id="1870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0960">
      <w:bodyDiv w:val="1"/>
      <w:marLeft w:val="0"/>
      <w:marRight w:val="0"/>
      <w:marTop w:val="0"/>
      <w:marBottom w:val="0"/>
      <w:divBdr>
        <w:top w:val="none" w:sz="0" w:space="0" w:color="auto"/>
        <w:left w:val="none" w:sz="0" w:space="0" w:color="auto"/>
        <w:bottom w:val="none" w:sz="0" w:space="0" w:color="auto"/>
        <w:right w:val="none" w:sz="0" w:space="0" w:color="auto"/>
      </w:divBdr>
    </w:div>
    <w:div w:id="806511572">
      <w:bodyDiv w:val="1"/>
      <w:marLeft w:val="0"/>
      <w:marRight w:val="0"/>
      <w:marTop w:val="0"/>
      <w:marBottom w:val="0"/>
      <w:divBdr>
        <w:top w:val="none" w:sz="0" w:space="0" w:color="auto"/>
        <w:left w:val="none" w:sz="0" w:space="0" w:color="auto"/>
        <w:bottom w:val="none" w:sz="0" w:space="0" w:color="auto"/>
        <w:right w:val="none" w:sz="0" w:space="0" w:color="auto"/>
      </w:divBdr>
    </w:div>
    <w:div w:id="977030558">
      <w:bodyDiv w:val="1"/>
      <w:marLeft w:val="0"/>
      <w:marRight w:val="0"/>
      <w:marTop w:val="0"/>
      <w:marBottom w:val="0"/>
      <w:divBdr>
        <w:top w:val="none" w:sz="0" w:space="0" w:color="auto"/>
        <w:left w:val="none" w:sz="0" w:space="0" w:color="auto"/>
        <w:bottom w:val="none" w:sz="0" w:space="0" w:color="auto"/>
        <w:right w:val="none" w:sz="0" w:space="0" w:color="auto"/>
      </w:divBdr>
    </w:div>
    <w:div w:id="982193293">
      <w:bodyDiv w:val="1"/>
      <w:marLeft w:val="30"/>
      <w:marRight w:val="30"/>
      <w:marTop w:val="30"/>
      <w:marBottom w:val="30"/>
      <w:divBdr>
        <w:top w:val="none" w:sz="0" w:space="0" w:color="auto"/>
        <w:left w:val="none" w:sz="0" w:space="0" w:color="auto"/>
        <w:bottom w:val="none" w:sz="0" w:space="0" w:color="auto"/>
        <w:right w:val="none" w:sz="0" w:space="0" w:color="auto"/>
      </w:divBdr>
      <w:divsChild>
        <w:div w:id="809246547">
          <w:marLeft w:val="0"/>
          <w:marRight w:val="0"/>
          <w:marTop w:val="0"/>
          <w:marBottom w:val="0"/>
          <w:divBdr>
            <w:top w:val="none" w:sz="0" w:space="0" w:color="auto"/>
            <w:left w:val="none" w:sz="0" w:space="0" w:color="auto"/>
            <w:bottom w:val="none" w:sz="0" w:space="0" w:color="auto"/>
            <w:right w:val="none" w:sz="0" w:space="0" w:color="auto"/>
          </w:divBdr>
          <w:divsChild>
            <w:div w:id="1013653537">
              <w:marLeft w:val="45"/>
              <w:marRight w:val="45"/>
              <w:marTop w:val="45"/>
              <w:marBottom w:val="45"/>
              <w:divBdr>
                <w:top w:val="none" w:sz="0" w:space="0" w:color="auto"/>
                <w:left w:val="none" w:sz="0" w:space="0" w:color="auto"/>
                <w:bottom w:val="none" w:sz="0" w:space="0" w:color="auto"/>
                <w:right w:val="none" w:sz="0" w:space="0" w:color="auto"/>
              </w:divBdr>
              <w:divsChild>
                <w:div w:id="914364502">
                  <w:marLeft w:val="0"/>
                  <w:marRight w:val="0"/>
                  <w:marTop w:val="0"/>
                  <w:marBottom w:val="0"/>
                  <w:divBdr>
                    <w:top w:val="none" w:sz="0" w:space="0" w:color="auto"/>
                    <w:left w:val="none" w:sz="0" w:space="0" w:color="auto"/>
                    <w:bottom w:val="none" w:sz="0" w:space="0" w:color="auto"/>
                    <w:right w:val="none" w:sz="0" w:space="0" w:color="auto"/>
                  </w:divBdr>
                  <w:divsChild>
                    <w:div w:id="923957263">
                      <w:marLeft w:val="0"/>
                      <w:marRight w:val="0"/>
                      <w:marTop w:val="0"/>
                      <w:marBottom w:val="0"/>
                      <w:divBdr>
                        <w:top w:val="none" w:sz="0" w:space="0" w:color="auto"/>
                        <w:left w:val="none" w:sz="0" w:space="0" w:color="auto"/>
                        <w:bottom w:val="none" w:sz="0" w:space="0" w:color="auto"/>
                        <w:right w:val="none" w:sz="0" w:space="0" w:color="auto"/>
                      </w:divBdr>
                    </w:div>
                    <w:div w:id="1372612476">
                      <w:marLeft w:val="0"/>
                      <w:marRight w:val="0"/>
                      <w:marTop w:val="0"/>
                      <w:marBottom w:val="0"/>
                      <w:divBdr>
                        <w:top w:val="none" w:sz="0" w:space="0" w:color="auto"/>
                        <w:left w:val="none" w:sz="0" w:space="0" w:color="auto"/>
                        <w:bottom w:val="none" w:sz="0" w:space="0" w:color="auto"/>
                        <w:right w:val="none" w:sz="0" w:space="0" w:color="auto"/>
                      </w:divBdr>
                    </w:div>
                    <w:div w:id="2001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5576">
      <w:bodyDiv w:val="1"/>
      <w:marLeft w:val="0"/>
      <w:marRight w:val="0"/>
      <w:marTop w:val="0"/>
      <w:marBottom w:val="0"/>
      <w:divBdr>
        <w:top w:val="none" w:sz="0" w:space="0" w:color="auto"/>
        <w:left w:val="none" w:sz="0" w:space="0" w:color="auto"/>
        <w:bottom w:val="none" w:sz="0" w:space="0" w:color="auto"/>
        <w:right w:val="none" w:sz="0" w:space="0" w:color="auto"/>
      </w:divBdr>
    </w:div>
    <w:div w:id="1085415795">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 w:id="1303970790">
      <w:bodyDiv w:val="1"/>
      <w:marLeft w:val="0"/>
      <w:marRight w:val="0"/>
      <w:marTop w:val="0"/>
      <w:marBottom w:val="0"/>
      <w:divBdr>
        <w:top w:val="none" w:sz="0" w:space="0" w:color="auto"/>
        <w:left w:val="none" w:sz="0" w:space="0" w:color="auto"/>
        <w:bottom w:val="none" w:sz="0" w:space="0" w:color="auto"/>
        <w:right w:val="none" w:sz="0" w:space="0" w:color="auto"/>
      </w:divBdr>
    </w:div>
    <w:div w:id="1618021534">
      <w:bodyDiv w:val="1"/>
      <w:marLeft w:val="0"/>
      <w:marRight w:val="0"/>
      <w:marTop w:val="0"/>
      <w:marBottom w:val="0"/>
      <w:divBdr>
        <w:top w:val="none" w:sz="0" w:space="0" w:color="auto"/>
        <w:left w:val="none" w:sz="0" w:space="0" w:color="auto"/>
        <w:bottom w:val="none" w:sz="0" w:space="0" w:color="auto"/>
        <w:right w:val="none" w:sz="0" w:space="0" w:color="auto"/>
      </w:divBdr>
    </w:div>
    <w:div w:id="1661616633">
      <w:bodyDiv w:val="1"/>
      <w:marLeft w:val="0"/>
      <w:marRight w:val="0"/>
      <w:marTop w:val="0"/>
      <w:marBottom w:val="0"/>
      <w:divBdr>
        <w:top w:val="none" w:sz="0" w:space="0" w:color="auto"/>
        <w:left w:val="none" w:sz="0" w:space="0" w:color="auto"/>
        <w:bottom w:val="none" w:sz="0" w:space="0" w:color="auto"/>
        <w:right w:val="none" w:sz="0" w:space="0" w:color="auto"/>
      </w:divBdr>
    </w:div>
    <w:div w:id="1730953265">
      <w:bodyDiv w:val="1"/>
      <w:marLeft w:val="0"/>
      <w:marRight w:val="0"/>
      <w:marTop w:val="0"/>
      <w:marBottom w:val="0"/>
      <w:divBdr>
        <w:top w:val="none" w:sz="0" w:space="0" w:color="auto"/>
        <w:left w:val="none" w:sz="0" w:space="0" w:color="auto"/>
        <w:bottom w:val="none" w:sz="0" w:space="0" w:color="auto"/>
        <w:right w:val="none" w:sz="0" w:space="0" w:color="auto"/>
      </w:divBdr>
    </w:div>
    <w:div w:id="1737624608">
      <w:bodyDiv w:val="1"/>
      <w:marLeft w:val="0"/>
      <w:marRight w:val="0"/>
      <w:marTop w:val="0"/>
      <w:marBottom w:val="0"/>
      <w:divBdr>
        <w:top w:val="none" w:sz="0" w:space="0" w:color="auto"/>
        <w:left w:val="none" w:sz="0" w:space="0" w:color="auto"/>
        <w:bottom w:val="none" w:sz="0" w:space="0" w:color="auto"/>
        <w:right w:val="none" w:sz="0" w:space="0" w:color="auto"/>
      </w:divBdr>
    </w:div>
    <w:div w:id="1841264753">
      <w:bodyDiv w:val="1"/>
      <w:marLeft w:val="0"/>
      <w:marRight w:val="0"/>
      <w:marTop w:val="0"/>
      <w:marBottom w:val="0"/>
      <w:divBdr>
        <w:top w:val="none" w:sz="0" w:space="0" w:color="auto"/>
        <w:left w:val="none" w:sz="0" w:space="0" w:color="auto"/>
        <w:bottom w:val="none" w:sz="0" w:space="0" w:color="auto"/>
        <w:right w:val="none" w:sz="0" w:space="0" w:color="auto"/>
      </w:divBdr>
    </w:div>
    <w:div w:id="1875384029">
      <w:bodyDiv w:val="1"/>
      <w:marLeft w:val="0"/>
      <w:marRight w:val="0"/>
      <w:marTop w:val="0"/>
      <w:marBottom w:val="0"/>
      <w:divBdr>
        <w:top w:val="none" w:sz="0" w:space="0" w:color="auto"/>
        <w:left w:val="none" w:sz="0" w:space="0" w:color="auto"/>
        <w:bottom w:val="none" w:sz="0" w:space="0" w:color="auto"/>
        <w:right w:val="none" w:sz="0" w:space="0" w:color="auto"/>
      </w:divBdr>
    </w:div>
    <w:div w:id="20606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1242</Words>
  <Characters>6781</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2014-05-15T12:05:00Z</cp:lastPrinted>
  <dcterms:created xsi:type="dcterms:W3CDTF">2014-05-15T20:07:00Z</dcterms:created>
  <dcterms:modified xsi:type="dcterms:W3CDTF">2014-05-15T20:07:00Z</dcterms:modified>
  <cp:category> </cp:category>
  <cp:contentStatus> </cp:contentStatus>
</cp:coreProperties>
</file>