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57B2" w:rsidRDefault="00DC36B2">
      <w:pPr>
        <w:jc w:val="center"/>
        <w:outlineLvl w:val="0"/>
        <w:rPr>
          <w:b/>
          <w:szCs w:val="22"/>
        </w:rPr>
      </w:pPr>
      <w:bookmarkStart w:id="0" w:name="_GoBack"/>
      <w:bookmarkEnd w:id="0"/>
      <w:r>
        <w:rPr>
          <w:b/>
          <w:szCs w:val="22"/>
        </w:rPr>
        <w:t>Before the</w:t>
      </w:r>
    </w:p>
    <w:p w:rsidR="001157B2" w:rsidRDefault="00DC36B2">
      <w:pPr>
        <w:jc w:val="center"/>
        <w:outlineLvl w:val="0"/>
        <w:rPr>
          <w:b/>
          <w:szCs w:val="22"/>
        </w:rPr>
      </w:pPr>
      <w:r>
        <w:rPr>
          <w:b/>
          <w:szCs w:val="22"/>
        </w:rPr>
        <w:t>Federal Communications Commission</w:t>
      </w:r>
    </w:p>
    <w:p w:rsidR="001157B2" w:rsidRDefault="00DC36B2">
      <w:pPr>
        <w:jc w:val="center"/>
        <w:outlineLvl w:val="0"/>
        <w:rPr>
          <w:b/>
          <w:szCs w:val="22"/>
        </w:rPr>
      </w:pPr>
      <w:r>
        <w:rPr>
          <w:b/>
          <w:szCs w:val="22"/>
        </w:rPr>
        <w:t>Washington, D.C. 20554</w:t>
      </w:r>
    </w:p>
    <w:p w:rsidR="001157B2" w:rsidRDefault="001157B2">
      <w:pPr>
        <w:rPr>
          <w:szCs w:val="22"/>
        </w:rPr>
      </w:pPr>
    </w:p>
    <w:p w:rsidR="001157B2" w:rsidRDefault="001157B2">
      <w:pPr>
        <w:rPr>
          <w:szCs w:val="22"/>
        </w:rPr>
      </w:pPr>
    </w:p>
    <w:tbl>
      <w:tblPr>
        <w:tblW w:w="9720" w:type="dxa"/>
        <w:tblInd w:w="18" w:type="dxa"/>
        <w:tblLayout w:type="fixed"/>
        <w:tblLook w:val="0000" w:firstRow="0" w:lastRow="0" w:firstColumn="0" w:lastColumn="0" w:noHBand="0" w:noVBand="0"/>
      </w:tblPr>
      <w:tblGrid>
        <w:gridCol w:w="4500"/>
        <w:gridCol w:w="990"/>
        <w:gridCol w:w="4230"/>
      </w:tblGrid>
      <w:tr w:rsidR="001157B2" w:rsidTr="00DC36B2">
        <w:tc>
          <w:tcPr>
            <w:tcW w:w="4500" w:type="dxa"/>
          </w:tcPr>
          <w:p w:rsidR="001157B2" w:rsidRDefault="00DC36B2">
            <w:pPr>
              <w:ind w:right="-18"/>
              <w:rPr>
                <w:szCs w:val="22"/>
              </w:rPr>
            </w:pPr>
            <w:r>
              <w:rPr>
                <w:szCs w:val="22"/>
              </w:rPr>
              <w:t>In the Matter of</w:t>
            </w:r>
          </w:p>
          <w:p w:rsidR="001157B2" w:rsidRDefault="001157B2">
            <w:pPr>
              <w:ind w:right="-18"/>
              <w:rPr>
                <w:szCs w:val="22"/>
              </w:rPr>
            </w:pPr>
          </w:p>
          <w:p w:rsidR="001157B2" w:rsidRDefault="00DC36B2">
            <w:pPr>
              <w:ind w:right="-18"/>
              <w:rPr>
                <w:szCs w:val="22"/>
              </w:rPr>
            </w:pPr>
            <w:r>
              <w:rPr>
                <w:szCs w:val="22"/>
              </w:rPr>
              <w:t>JOHN DOE</w:t>
            </w:r>
            <w:r>
              <w:rPr>
                <w:rStyle w:val="FootnoteReference"/>
                <w:szCs w:val="22"/>
              </w:rPr>
              <w:footnoteReference w:id="1"/>
            </w:r>
          </w:p>
          <w:p w:rsidR="001157B2" w:rsidRDefault="001157B2">
            <w:pPr>
              <w:ind w:right="-18"/>
              <w:rPr>
                <w:szCs w:val="22"/>
              </w:rPr>
            </w:pPr>
          </w:p>
          <w:p w:rsidR="001157B2" w:rsidRDefault="00DC36B2">
            <w:pPr>
              <w:ind w:right="-18"/>
              <w:rPr>
                <w:szCs w:val="22"/>
              </w:rPr>
            </w:pPr>
            <w:r>
              <w:rPr>
                <w:szCs w:val="22"/>
              </w:rPr>
              <w:t xml:space="preserve">On Request for Inspection of Records </w:t>
            </w:r>
          </w:p>
          <w:p w:rsidR="001157B2" w:rsidRDefault="001157B2">
            <w:pPr>
              <w:ind w:right="-18"/>
              <w:rPr>
                <w:szCs w:val="22"/>
              </w:rPr>
            </w:pPr>
          </w:p>
          <w:p w:rsidR="001157B2" w:rsidRDefault="001157B2">
            <w:pPr>
              <w:ind w:right="-18"/>
              <w:rPr>
                <w:szCs w:val="22"/>
              </w:rPr>
            </w:pPr>
          </w:p>
        </w:tc>
        <w:tc>
          <w:tcPr>
            <w:tcW w:w="990" w:type="dxa"/>
          </w:tcPr>
          <w:p w:rsidR="001157B2" w:rsidRDefault="00DC36B2">
            <w:pPr>
              <w:rPr>
                <w:b/>
                <w:szCs w:val="22"/>
              </w:rPr>
            </w:pPr>
            <w:r>
              <w:rPr>
                <w:b/>
                <w:szCs w:val="22"/>
              </w:rPr>
              <w:t>)</w:t>
            </w:r>
          </w:p>
          <w:p w:rsidR="001157B2" w:rsidRDefault="00DC36B2">
            <w:pPr>
              <w:rPr>
                <w:b/>
                <w:szCs w:val="22"/>
              </w:rPr>
            </w:pPr>
            <w:r>
              <w:rPr>
                <w:b/>
                <w:szCs w:val="22"/>
              </w:rPr>
              <w:t>)</w:t>
            </w:r>
          </w:p>
          <w:p w:rsidR="001157B2" w:rsidRDefault="00DC36B2">
            <w:pPr>
              <w:rPr>
                <w:b/>
                <w:szCs w:val="22"/>
              </w:rPr>
            </w:pPr>
            <w:r>
              <w:rPr>
                <w:b/>
                <w:szCs w:val="22"/>
              </w:rPr>
              <w:t>)</w:t>
            </w:r>
          </w:p>
          <w:p w:rsidR="001157B2" w:rsidRDefault="00DC36B2">
            <w:pPr>
              <w:rPr>
                <w:b/>
                <w:szCs w:val="22"/>
              </w:rPr>
            </w:pPr>
            <w:r>
              <w:rPr>
                <w:b/>
                <w:szCs w:val="22"/>
              </w:rPr>
              <w:t>)</w:t>
            </w:r>
          </w:p>
          <w:p w:rsidR="001157B2" w:rsidRDefault="00DC36B2">
            <w:pPr>
              <w:rPr>
                <w:b/>
                <w:szCs w:val="22"/>
              </w:rPr>
            </w:pPr>
            <w:r>
              <w:rPr>
                <w:b/>
                <w:szCs w:val="22"/>
              </w:rPr>
              <w:t>)</w:t>
            </w:r>
          </w:p>
          <w:p w:rsidR="001157B2" w:rsidRDefault="001157B2">
            <w:pPr>
              <w:rPr>
                <w:b/>
                <w:szCs w:val="22"/>
              </w:rPr>
            </w:pPr>
          </w:p>
        </w:tc>
        <w:tc>
          <w:tcPr>
            <w:tcW w:w="4230" w:type="dxa"/>
          </w:tcPr>
          <w:p w:rsidR="001157B2" w:rsidRDefault="001157B2">
            <w:pPr>
              <w:rPr>
                <w:szCs w:val="22"/>
              </w:rPr>
            </w:pPr>
          </w:p>
          <w:p w:rsidR="001157B2" w:rsidRDefault="001157B2">
            <w:pPr>
              <w:rPr>
                <w:szCs w:val="22"/>
              </w:rPr>
            </w:pPr>
          </w:p>
          <w:p w:rsidR="001157B2" w:rsidRDefault="00DC36B2">
            <w:pPr>
              <w:rPr>
                <w:szCs w:val="22"/>
              </w:rPr>
            </w:pPr>
            <w:r>
              <w:rPr>
                <w:szCs w:val="22"/>
              </w:rPr>
              <w:t>FOIA Control No. 2014-117</w:t>
            </w:r>
          </w:p>
          <w:p w:rsidR="001157B2" w:rsidRDefault="001157B2">
            <w:pPr>
              <w:rPr>
                <w:szCs w:val="22"/>
              </w:rPr>
            </w:pPr>
          </w:p>
        </w:tc>
      </w:tr>
    </w:tbl>
    <w:p w:rsidR="001157B2" w:rsidRDefault="00DC36B2">
      <w:pPr>
        <w:spacing w:before="120"/>
        <w:jc w:val="center"/>
        <w:outlineLvl w:val="0"/>
        <w:rPr>
          <w:b/>
          <w:szCs w:val="22"/>
        </w:rPr>
      </w:pPr>
      <w:r>
        <w:rPr>
          <w:b/>
          <w:szCs w:val="22"/>
        </w:rPr>
        <w:t>MEMORANDUM OPINION AND ORDER</w:t>
      </w:r>
    </w:p>
    <w:p w:rsidR="001157B2" w:rsidRDefault="001157B2">
      <w:pPr>
        <w:tabs>
          <w:tab w:val="left" w:pos="5760"/>
        </w:tabs>
        <w:rPr>
          <w:szCs w:val="22"/>
        </w:rPr>
      </w:pPr>
    </w:p>
    <w:p w:rsidR="001157B2" w:rsidRDefault="00DC36B2" w:rsidP="00DC36B2">
      <w:pPr>
        <w:tabs>
          <w:tab w:val="right" w:pos="9360"/>
        </w:tabs>
        <w:outlineLvl w:val="0"/>
        <w:rPr>
          <w:b/>
          <w:szCs w:val="22"/>
        </w:rPr>
      </w:pPr>
      <w:r>
        <w:rPr>
          <w:b/>
          <w:szCs w:val="22"/>
        </w:rPr>
        <w:t>Adopted:  May 19, 2014</w:t>
      </w:r>
      <w:r>
        <w:rPr>
          <w:b/>
          <w:szCs w:val="22"/>
        </w:rPr>
        <w:tab/>
        <w:t>Released:  May 20, 2014</w:t>
      </w:r>
    </w:p>
    <w:p w:rsidR="001157B2" w:rsidRDefault="001157B2">
      <w:pPr>
        <w:tabs>
          <w:tab w:val="left" w:pos="5760"/>
        </w:tabs>
        <w:rPr>
          <w:b/>
          <w:szCs w:val="22"/>
        </w:rPr>
      </w:pPr>
    </w:p>
    <w:p w:rsidR="001157B2" w:rsidRDefault="00DC36B2">
      <w:pPr>
        <w:tabs>
          <w:tab w:val="left" w:pos="5760"/>
        </w:tabs>
        <w:rPr>
          <w:spacing w:val="-2"/>
          <w:szCs w:val="22"/>
        </w:rPr>
      </w:pPr>
      <w:r>
        <w:rPr>
          <w:szCs w:val="22"/>
        </w:rPr>
        <w:t>By the Commission</w:t>
      </w:r>
      <w:r>
        <w:rPr>
          <w:spacing w:val="-2"/>
          <w:szCs w:val="22"/>
        </w:rPr>
        <w:t>:</w:t>
      </w:r>
    </w:p>
    <w:p w:rsidR="001157B2" w:rsidRDefault="001157B2">
      <w:pPr>
        <w:tabs>
          <w:tab w:val="left" w:pos="5760"/>
        </w:tabs>
        <w:rPr>
          <w:spacing w:val="-2"/>
          <w:szCs w:val="22"/>
        </w:rPr>
      </w:pPr>
    </w:p>
    <w:p w:rsidR="001157B2" w:rsidRDefault="00DC36B2">
      <w:pPr>
        <w:pStyle w:val="ParaNum0"/>
      </w:pPr>
      <w:r>
        <w:t>By this Memorandum Opinion and Order, we deny an application for review filed by John Doe (</w:t>
      </w:r>
      <w:r>
        <w:rPr>
          <w:i/>
        </w:rPr>
        <w:t>AFR</w:t>
      </w:r>
      <w:r>
        <w:t>).</w:t>
      </w:r>
      <w:r>
        <w:rPr>
          <w:rStyle w:val="FootnoteReference"/>
        </w:rPr>
        <w:footnoteReference w:id="2"/>
      </w:r>
      <w:r>
        <w:t xml:space="preserve">  Mr. Doe requests review of a Freedom of Information Act (FOIA) decision by the Consumer Policy Division (CPD) of the Commission’s Consumer and Governmental Affairs Bureau (CGB).</w:t>
      </w:r>
      <w:r>
        <w:rPr>
          <w:rStyle w:val="FootnoteReference"/>
        </w:rPr>
        <w:footnoteReference w:id="3"/>
      </w:r>
      <w:r>
        <w:t xml:space="preserve">    </w:t>
      </w:r>
    </w:p>
    <w:p w:rsidR="001157B2" w:rsidRDefault="00DC36B2">
      <w:pPr>
        <w:pStyle w:val="ParaNum0"/>
      </w:pPr>
      <w:r>
        <w:t>Mr. Doe filed a FOIA request seeking “all information” and “documentation” regarding an informal complaint alleging identity theft he had filed under Section 1.711 of the Commission’s rules, 47 C.F.R. § 1.711.</w:t>
      </w:r>
      <w:r>
        <w:rPr>
          <w:rStyle w:val="FootnoteReference"/>
        </w:rPr>
        <w:footnoteReference w:id="4"/>
      </w:r>
      <w:r>
        <w:t xml:space="preserve">  Mr. Doe stated that he was not happy with the handling of his </w:t>
      </w:r>
      <w:r>
        <w:rPr>
          <w:i/>
        </w:rPr>
        <w:t>Informal Complaint</w:t>
      </w:r>
      <w:r>
        <w:t>.</w:t>
      </w:r>
      <w:r>
        <w:rPr>
          <w:rStyle w:val="FootnoteReference"/>
        </w:rPr>
        <w:footnoteReference w:id="5"/>
      </w:r>
      <w:r>
        <w:t xml:space="preserve">  The </w:t>
      </w:r>
      <w:r>
        <w:rPr>
          <w:i/>
        </w:rPr>
        <w:t xml:space="preserve">FOIA Request </w:t>
      </w:r>
      <w:r>
        <w:t>was assigned to CPD,</w:t>
      </w:r>
      <w:r>
        <w:rPr>
          <w:rStyle w:val="FootnoteReference"/>
        </w:rPr>
        <w:footnoteReference w:id="6"/>
      </w:r>
      <w:r>
        <w:t xml:space="preserve"> the division of CGB that conducted a search of the databases that contain the records of informal complaints filed by or on behalf of consumers.  CPD located nine documents responsive to the </w:t>
      </w:r>
      <w:r>
        <w:rPr>
          <w:i/>
        </w:rPr>
        <w:t>FOIA Request</w:t>
      </w:r>
      <w:r>
        <w:t xml:space="preserve"> and provided them to </w:t>
      </w:r>
      <w:r>
        <w:rPr>
          <w:szCs w:val="22"/>
        </w:rPr>
        <w:t>Mr. Doe.</w:t>
      </w:r>
      <w:r>
        <w:rPr>
          <w:rStyle w:val="FootnoteReference"/>
          <w:szCs w:val="22"/>
        </w:rPr>
        <w:footnoteReference w:id="7"/>
      </w:r>
      <w:r>
        <w:rPr>
          <w:szCs w:val="22"/>
        </w:rPr>
        <w:t xml:space="preserve">   </w:t>
      </w:r>
      <w:r>
        <w:t xml:space="preserve">Mr. Doe filed an </w:t>
      </w:r>
      <w:r>
        <w:rPr>
          <w:i/>
        </w:rPr>
        <w:t xml:space="preserve">AFR </w:t>
      </w:r>
      <w:r>
        <w:t xml:space="preserve">of the response to his FOIA request complaining about the adequacy of the search and posing numerous </w:t>
      </w:r>
      <w:r>
        <w:lastRenderedPageBreak/>
        <w:t xml:space="preserve">questions about the investigation into his </w:t>
      </w:r>
      <w:r>
        <w:rPr>
          <w:i/>
        </w:rPr>
        <w:t>Informal Complaint</w:t>
      </w:r>
      <w:r>
        <w:t>.</w:t>
      </w:r>
      <w:r>
        <w:rPr>
          <w:rStyle w:val="FootnoteReference"/>
        </w:rPr>
        <w:t xml:space="preserve"> </w:t>
      </w:r>
      <w:r>
        <w:rPr>
          <w:rStyle w:val="FootnoteReference"/>
        </w:rPr>
        <w:footnoteReference w:id="8"/>
      </w:r>
      <w:r>
        <w:rPr>
          <w:rStyle w:val="FootnoteReference"/>
        </w:rPr>
        <w:t xml:space="preserve"> </w:t>
      </w:r>
      <w:r>
        <w:t xml:space="preserve"> Stating that he may be interested in filing a civil suit for damages, he requested advice about the process as it relates to the Commission.</w:t>
      </w:r>
      <w:r>
        <w:rPr>
          <w:rStyle w:val="FootnoteReference"/>
        </w:rPr>
        <w:footnoteReference w:id="9"/>
      </w:r>
      <w:r>
        <w:t xml:space="preserve">  He also raised various allegations concerning Verizon employees and others stemming from the purported theft of his identity and requested that the Commission investigate the matter for possible criminal violations.</w:t>
      </w:r>
      <w:r>
        <w:rPr>
          <w:rStyle w:val="FootnoteReference"/>
        </w:rPr>
        <w:footnoteReference w:id="10"/>
      </w:r>
      <w:r>
        <w:rPr>
          <w:rStyle w:val="FootnoteReference"/>
        </w:rPr>
        <w:t xml:space="preserve"> </w:t>
      </w:r>
      <w:r>
        <w:t xml:space="preserve"> </w:t>
      </w:r>
    </w:p>
    <w:p w:rsidR="001157B2" w:rsidRDefault="00DC36B2">
      <w:pPr>
        <w:pStyle w:val="ParaNum0"/>
      </w:pPr>
      <w:r>
        <w:t xml:space="preserve">We deny the </w:t>
      </w:r>
      <w:r>
        <w:rPr>
          <w:i/>
        </w:rPr>
        <w:t>AFR</w:t>
      </w:r>
      <w:r>
        <w:t xml:space="preserve">.  The </w:t>
      </w:r>
      <w:r>
        <w:rPr>
          <w:i/>
        </w:rPr>
        <w:t>AFR</w:t>
      </w:r>
      <w:r>
        <w:t xml:space="preserve"> presents two FOIA issues for our consideration.  First, we are satisfied that the Bureau located and provided all records responsive to Mr. Doe’s FOIA request.  The record indicates that CPD conducted a diligent search for relevant records regarding the </w:t>
      </w:r>
      <w:r>
        <w:rPr>
          <w:i/>
        </w:rPr>
        <w:t>Informal Complaint</w:t>
      </w:r>
      <w:r>
        <w:t xml:space="preserve"> by searching the databases in which it maintained the records of informal complaints filed by or on behalf of consumers.  We find that CPD’s search was “reasonably calculated to uncover all relevant documents,”</w:t>
      </w:r>
      <w:r>
        <w:rPr>
          <w:rStyle w:val="FootnoteReference"/>
        </w:rPr>
        <w:footnoteReference w:id="11"/>
      </w:r>
      <w:r>
        <w:t xml:space="preserve"> and thus satisfied our obligations under the FOIA.  Second, the FOIA does not require agencies to answer questions posed in the guise of a FOIA request.</w:t>
      </w:r>
      <w:r>
        <w:rPr>
          <w:rStyle w:val="FootnoteReference"/>
        </w:rPr>
        <w:footnoteReference w:id="12"/>
      </w:r>
      <w:r>
        <w:t xml:space="preserve">  Mr. Doe’s </w:t>
      </w:r>
      <w:r>
        <w:rPr>
          <w:i/>
        </w:rPr>
        <w:t>AFR</w:t>
      </w:r>
      <w:r>
        <w:t xml:space="preserve"> consists almost entirely of questions and submissions related to how and whether the Commission and Verizon were resolving the issues raised in his </w:t>
      </w:r>
      <w:r>
        <w:rPr>
          <w:i/>
        </w:rPr>
        <w:t>Informal Complaint</w:t>
      </w:r>
      <w:r>
        <w:t xml:space="preserve">, and his request that the Commission assist Mr. Doe in speculative criminal and civil proceedings that he might pursue against Verizon employees and other individuals stemming from the issues raised in the </w:t>
      </w:r>
      <w:r>
        <w:rPr>
          <w:i/>
        </w:rPr>
        <w:t>Informal Complaint</w:t>
      </w:r>
      <w:r>
        <w:t>.  The FOIA is not the proper mechanism for addressing these matters, including the Commission’s handling of or a carrier’s response to an informal complaint.</w:t>
      </w:r>
      <w:r>
        <w:rPr>
          <w:rStyle w:val="FootnoteReference"/>
        </w:rPr>
        <w:footnoteReference w:id="13"/>
      </w:r>
      <w:r>
        <w:t xml:space="preserve">  For these reasons, we deny Mr. Doe’s application for review. </w:t>
      </w:r>
    </w:p>
    <w:p w:rsidR="001157B2" w:rsidRDefault="00DC36B2">
      <w:pPr>
        <w:pStyle w:val="ParaNum0"/>
      </w:pPr>
      <w:r>
        <w:t>IT IS ORDERED, that the Application for Review filed by John Doe IS DENIED.  Mr. Doe may seek judicial review of this action pursuant to 5 U.S.C. § 552(a)(4)(B).</w:t>
      </w:r>
      <w:r>
        <w:rPr>
          <w:rStyle w:val="FootnoteReference"/>
        </w:rPr>
        <w:footnoteReference w:id="14"/>
      </w:r>
      <w:r>
        <w:rPr>
          <w:szCs w:val="24"/>
        </w:rPr>
        <w:t xml:space="preserve">  </w:t>
      </w:r>
    </w:p>
    <w:p w:rsidR="001157B2" w:rsidRDefault="00DC36B2" w:rsidP="00DC36B2">
      <w:pPr>
        <w:pStyle w:val="ParaNum0"/>
        <w:keepNext/>
        <w:keepLines/>
        <w:widowControl/>
      </w:pPr>
      <w:r>
        <w:lastRenderedPageBreak/>
        <w:t>The following officials are responsible for this action: Chairman Wheeler, Commissioners Clyburn, Rosenworcel, Pai, and O’Rielly.</w:t>
      </w:r>
      <w:r>
        <w:rPr>
          <w:szCs w:val="24"/>
        </w:rPr>
        <w:t xml:space="preserve"> </w:t>
      </w:r>
    </w:p>
    <w:p w:rsidR="001157B2" w:rsidRDefault="001157B2" w:rsidP="00DC36B2">
      <w:pPr>
        <w:pStyle w:val="ParaNum0"/>
        <w:keepNext/>
        <w:keepLines/>
        <w:widowControl/>
        <w:numPr>
          <w:ilvl w:val="0"/>
          <w:numId w:val="0"/>
        </w:numPr>
      </w:pPr>
    </w:p>
    <w:p w:rsidR="001157B2" w:rsidRDefault="00DC36B2" w:rsidP="00DC36B2">
      <w:pPr>
        <w:pStyle w:val="ParaNum0"/>
        <w:keepNext/>
        <w:keepLines/>
        <w:widowControl/>
        <w:numPr>
          <w:ilvl w:val="0"/>
          <w:numId w:val="0"/>
        </w:numPr>
        <w:spacing w:after="480"/>
        <w:outlineLvl w:val="0"/>
      </w:pPr>
      <w:r>
        <w:tab/>
      </w:r>
      <w:r>
        <w:tab/>
      </w:r>
      <w:r>
        <w:tab/>
      </w:r>
      <w:r>
        <w:tab/>
      </w:r>
      <w:r>
        <w:tab/>
      </w:r>
      <w:r>
        <w:tab/>
        <w:t>FEDERAL COMMUNICATIONS COMMISSION</w:t>
      </w:r>
    </w:p>
    <w:p w:rsidR="001157B2" w:rsidRDefault="001157B2">
      <w:pPr>
        <w:pStyle w:val="ParaNum0"/>
        <w:numPr>
          <w:ilvl w:val="0"/>
          <w:numId w:val="0"/>
        </w:numPr>
        <w:spacing w:after="0"/>
      </w:pPr>
    </w:p>
    <w:p w:rsidR="001157B2" w:rsidRDefault="00DC36B2">
      <w:pPr>
        <w:pStyle w:val="ParaNum0"/>
        <w:numPr>
          <w:ilvl w:val="0"/>
          <w:numId w:val="0"/>
        </w:numPr>
        <w:spacing w:after="0"/>
      </w:pPr>
      <w:r>
        <w:tab/>
      </w:r>
      <w:r>
        <w:tab/>
      </w:r>
      <w:r>
        <w:tab/>
      </w:r>
      <w:r>
        <w:tab/>
      </w:r>
      <w:r>
        <w:tab/>
      </w:r>
    </w:p>
    <w:p w:rsidR="001157B2" w:rsidRDefault="00DC36B2">
      <w:pPr>
        <w:pStyle w:val="ParaNum0"/>
        <w:numPr>
          <w:ilvl w:val="0"/>
          <w:numId w:val="0"/>
        </w:numPr>
        <w:spacing w:after="0"/>
        <w:outlineLvl w:val="0"/>
      </w:pPr>
      <w:r>
        <w:tab/>
      </w:r>
      <w:r>
        <w:tab/>
      </w:r>
      <w:r>
        <w:tab/>
      </w:r>
      <w:r>
        <w:tab/>
      </w:r>
      <w:r>
        <w:tab/>
      </w:r>
      <w:r>
        <w:tab/>
        <w:t>Marlene H. Dortch</w:t>
      </w:r>
    </w:p>
    <w:p w:rsidR="001157B2" w:rsidRDefault="00DC36B2">
      <w:pPr>
        <w:pStyle w:val="ParaNum0"/>
        <w:numPr>
          <w:ilvl w:val="0"/>
          <w:numId w:val="0"/>
        </w:numPr>
      </w:pPr>
      <w:r>
        <w:tab/>
      </w:r>
      <w:r>
        <w:tab/>
      </w:r>
      <w:r>
        <w:tab/>
      </w:r>
      <w:r>
        <w:tab/>
      </w:r>
      <w:r>
        <w:tab/>
      </w:r>
      <w:r>
        <w:tab/>
        <w:t>Secretary</w:t>
      </w:r>
    </w:p>
    <w:p w:rsidR="001157B2" w:rsidRDefault="001157B2">
      <w:pPr>
        <w:pStyle w:val="ParaNum0"/>
        <w:numPr>
          <w:ilvl w:val="0"/>
          <w:numId w:val="0"/>
        </w:numPr>
      </w:pPr>
    </w:p>
    <w:sectPr w:rsidR="001157B2" w:rsidSect="00DC36B2">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157B2" w:rsidRDefault="00DC36B2">
      <w:r>
        <w:separator/>
      </w:r>
    </w:p>
  </w:endnote>
  <w:endnote w:type="continuationSeparator" w:id="0">
    <w:p w:rsidR="001157B2" w:rsidRDefault="00DC36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imes New Roman Bold">
    <w:panose1 w:val="02020803070505020304"/>
    <w:charset w:val="00"/>
    <w:family w:val="roman"/>
    <w:notTrueType/>
    <w:pitch w:val="default"/>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57B2" w:rsidRDefault="00DC36B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1157B2" w:rsidRDefault="001157B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57B2" w:rsidRDefault="00DC36B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3803AF">
      <w:rPr>
        <w:rStyle w:val="PageNumber"/>
        <w:noProof/>
      </w:rPr>
      <w:t>2</w:t>
    </w:r>
    <w:r>
      <w:rPr>
        <w:rStyle w:val="PageNumber"/>
      </w:rPr>
      <w:fldChar w:fldCharType="end"/>
    </w:r>
  </w:p>
  <w:p w:rsidR="001157B2" w:rsidRDefault="001157B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510B" w:rsidRDefault="00C1510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157B2" w:rsidRDefault="00DC36B2">
      <w:r>
        <w:separator/>
      </w:r>
    </w:p>
  </w:footnote>
  <w:footnote w:type="continuationSeparator" w:id="0">
    <w:p w:rsidR="001157B2" w:rsidRDefault="00DC36B2">
      <w:r>
        <w:continuationSeparator/>
      </w:r>
    </w:p>
  </w:footnote>
  <w:footnote w:id="1">
    <w:p w:rsidR="001157B2" w:rsidRDefault="00DC36B2">
      <w:pPr>
        <w:pStyle w:val="FootnoteText"/>
        <w:spacing w:after="0"/>
      </w:pPr>
      <w:r>
        <w:rPr>
          <w:rStyle w:val="FootnoteReference"/>
        </w:rPr>
        <w:footnoteRef/>
      </w:r>
      <w:r>
        <w:t xml:space="preserve"> We use the name “John Doe” instead of the requester’s real name because of his oft-expressed privacy concerns.  </w:t>
      </w:r>
      <w:r>
        <w:rPr>
          <w:i/>
        </w:rPr>
        <w:t>See</w:t>
      </w:r>
      <w:r>
        <w:t xml:space="preserve"> 5 U.S.C. § 552(a)(2) and 47 C.F.R. § 0.445(g); </w:t>
      </w:r>
      <w:r>
        <w:rPr>
          <w:i/>
        </w:rPr>
        <w:t xml:space="preserve">see also </w:t>
      </w:r>
      <w:r>
        <w:t>e-mail from Mr. Doe to FCC FOIA Public Liaison (filed Dec. 30, 2013) (</w:t>
      </w:r>
      <w:r>
        <w:rPr>
          <w:i/>
        </w:rPr>
        <w:t>AFR</w:t>
      </w:r>
      <w:r>
        <w:t>) at 1 (stating that he has “personal safety issues”).</w:t>
      </w:r>
    </w:p>
  </w:footnote>
  <w:footnote w:id="2">
    <w:p w:rsidR="001157B2" w:rsidRDefault="00DC36B2">
      <w:pPr>
        <w:pStyle w:val="FootnoteText"/>
        <w:spacing w:after="0"/>
      </w:pPr>
      <w:r>
        <w:rPr>
          <w:rStyle w:val="FootnoteReference"/>
        </w:rPr>
        <w:footnoteRef/>
      </w:r>
      <w:r>
        <w:t xml:space="preserve">   </w:t>
      </w:r>
      <w:r>
        <w:rPr>
          <w:i/>
        </w:rPr>
        <w:t>See</w:t>
      </w:r>
      <w:r>
        <w:t xml:space="preserve"> </w:t>
      </w:r>
      <w:r>
        <w:rPr>
          <w:i/>
        </w:rPr>
        <w:t>AFR</w:t>
      </w:r>
      <w:r>
        <w:t xml:space="preserve">; </w:t>
      </w:r>
      <w:r>
        <w:rPr>
          <w:i/>
        </w:rPr>
        <w:t>see also</w:t>
      </w:r>
      <w:r>
        <w:t xml:space="preserve"> e-mail from Mr. Doe to Stephanie Kost (Jan. 1, 2014) (</w:t>
      </w:r>
      <w:r>
        <w:rPr>
          <w:i/>
        </w:rPr>
        <w:t>January 1, 2014 e-mail</w:t>
      </w:r>
      <w:r>
        <w:t xml:space="preserve">), e-mail from Mr. Doe to Joanne Wall (Jan. 3, 2014), and letter from Mr. Doe to Office of General Counsel, FCC (filed Jan. 24, 2014) (all three communications supplementing the </w:t>
      </w:r>
      <w:r>
        <w:rPr>
          <w:i/>
        </w:rPr>
        <w:t>AFR</w:t>
      </w:r>
      <w:r>
        <w:t>).</w:t>
      </w:r>
    </w:p>
  </w:footnote>
  <w:footnote w:id="3">
    <w:p w:rsidR="001157B2" w:rsidRDefault="00DC36B2">
      <w:pPr>
        <w:pStyle w:val="FootnoteText"/>
        <w:spacing w:after="0"/>
      </w:pPr>
      <w:r>
        <w:rPr>
          <w:rStyle w:val="FootnoteReference"/>
        </w:rPr>
        <w:footnoteRef/>
      </w:r>
      <w:r>
        <w:t xml:space="preserve">  </w:t>
      </w:r>
      <w:r>
        <w:rPr>
          <w:i/>
        </w:rPr>
        <w:t>See</w:t>
      </w:r>
      <w:r>
        <w:t xml:space="preserve"> letter from Nancy Stevenson, Deputy Chief, CPD, CGB, FCC, to Mr. Doe (Dec. 18, 2013) (</w:t>
      </w:r>
      <w:r>
        <w:rPr>
          <w:i/>
        </w:rPr>
        <w:t>December 18, 2013 FOIA Decision</w:t>
      </w:r>
      <w:r>
        <w:t xml:space="preserve">).    </w:t>
      </w:r>
    </w:p>
  </w:footnote>
  <w:footnote w:id="4">
    <w:p w:rsidR="001157B2" w:rsidRDefault="00DC36B2">
      <w:pPr>
        <w:pStyle w:val="FootnoteText"/>
        <w:spacing w:after="0"/>
      </w:pPr>
      <w:r>
        <w:rPr>
          <w:rStyle w:val="FootnoteReference"/>
        </w:rPr>
        <w:footnoteRef/>
      </w:r>
      <w:r>
        <w:t xml:space="preserve">  </w:t>
      </w:r>
      <w:r>
        <w:rPr>
          <w:i/>
        </w:rPr>
        <w:t>See</w:t>
      </w:r>
      <w:r>
        <w:t xml:space="preserve"> e-mail from Mr. Doe to FCC FOIA Public Liaison (dated Dec. 14, 2013) (</w:t>
      </w:r>
      <w:r>
        <w:rPr>
          <w:i/>
        </w:rPr>
        <w:t>FOIA Request</w:t>
      </w:r>
      <w:r>
        <w:t xml:space="preserve">); </w:t>
      </w:r>
      <w:r>
        <w:rPr>
          <w:i/>
        </w:rPr>
        <w:t>see also</w:t>
      </w:r>
      <w:r>
        <w:t xml:space="preserve"> e-mail from Mr. Doe to the FCC’s Rural Call Completion Task Force (RCC2000B) (FCC RCC Form 200B e-mailed on Oct. 26, 2013 and filed Oct. 28, 2013) (consumer complaint number 13-C00536395-1); facsimile communications from Mr. Doe (dated Oct. 30, 2013) (providing additional documents); and letters from Mr. Doe to the Commission (two dated Nov. 18, 2013 and one dated Dec. 5, 2013)  (providing additional documents) (collectively, </w:t>
      </w:r>
      <w:r>
        <w:rPr>
          <w:i/>
        </w:rPr>
        <w:t>Informal Complaint</w:t>
      </w:r>
      <w:r>
        <w:t xml:space="preserve">). </w:t>
      </w:r>
    </w:p>
  </w:footnote>
  <w:footnote w:id="5">
    <w:p w:rsidR="001157B2" w:rsidRDefault="00DC36B2">
      <w:pPr>
        <w:pStyle w:val="FootnoteText"/>
        <w:spacing w:after="0"/>
      </w:pPr>
      <w:r>
        <w:rPr>
          <w:rStyle w:val="FootnoteReference"/>
        </w:rPr>
        <w:footnoteRef/>
      </w:r>
      <w:r>
        <w:t xml:space="preserve">  </w:t>
      </w:r>
      <w:r>
        <w:rPr>
          <w:i/>
        </w:rPr>
        <w:t>FOIA Request</w:t>
      </w:r>
      <w:r>
        <w:t xml:space="preserve"> at 1.  Previously, Mr. Doe had indicated to CGB staff that he was satisfied with the resolution of the </w:t>
      </w:r>
      <w:r>
        <w:rPr>
          <w:i/>
        </w:rPr>
        <w:t>Informal Complaint</w:t>
      </w:r>
      <w:r>
        <w:t xml:space="preserve"> and, accordingly, CGB closed the </w:t>
      </w:r>
      <w:r>
        <w:rPr>
          <w:i/>
        </w:rPr>
        <w:t>Informal Complaint</w:t>
      </w:r>
      <w:r>
        <w:t xml:space="preserve"> proceeding on December 11, 2013.  </w:t>
      </w:r>
      <w:r>
        <w:rPr>
          <w:i/>
        </w:rPr>
        <w:t>See</w:t>
      </w:r>
      <w:r>
        <w:t xml:space="preserve"> e-mail from Mary Pontious to Nancy Stevenson, Mike Hennigan, Kurt Schroder, and Sharon Bowers (all Commission staff) (Jan. 29, 2014) (outlining Ms. Pontious’s conversation with Mr. Doe regarding the </w:t>
      </w:r>
      <w:r>
        <w:rPr>
          <w:i/>
        </w:rPr>
        <w:t>Informal Complaint</w:t>
      </w:r>
      <w:r>
        <w:t>).</w:t>
      </w:r>
    </w:p>
  </w:footnote>
  <w:footnote w:id="6">
    <w:p w:rsidR="001157B2" w:rsidRDefault="00DC36B2">
      <w:pPr>
        <w:pStyle w:val="FootnoteText"/>
        <w:spacing w:after="0"/>
      </w:pPr>
      <w:r>
        <w:rPr>
          <w:rStyle w:val="FootnoteReference"/>
        </w:rPr>
        <w:footnoteRef/>
      </w:r>
      <w:r>
        <w:t xml:space="preserve"> Among other things, CPD is tasked with monitoring and helping to resolve informal inquiries and complaints.</w:t>
      </w:r>
    </w:p>
  </w:footnote>
  <w:footnote w:id="7">
    <w:p w:rsidR="001157B2" w:rsidRDefault="00DC36B2">
      <w:pPr>
        <w:pStyle w:val="FootnoteText"/>
        <w:spacing w:after="0"/>
      </w:pPr>
      <w:r>
        <w:rPr>
          <w:rStyle w:val="FootnoteReference"/>
        </w:rPr>
        <w:footnoteRef/>
      </w:r>
      <w:r>
        <w:t xml:space="preserve">  </w:t>
      </w:r>
      <w:r>
        <w:rPr>
          <w:i/>
        </w:rPr>
        <w:t>See</w:t>
      </w:r>
      <w:r>
        <w:t xml:space="preserve"> </w:t>
      </w:r>
      <w:r>
        <w:rPr>
          <w:i/>
        </w:rPr>
        <w:t>December 18, 2013 FOIA Decision</w:t>
      </w:r>
      <w:r>
        <w:t xml:space="preserve"> at 1.  </w:t>
      </w:r>
    </w:p>
  </w:footnote>
  <w:footnote w:id="8">
    <w:p w:rsidR="001157B2" w:rsidRDefault="00DC36B2">
      <w:pPr>
        <w:pStyle w:val="FootnoteText"/>
        <w:spacing w:after="0"/>
      </w:pPr>
      <w:r>
        <w:rPr>
          <w:rStyle w:val="FootnoteReference"/>
        </w:rPr>
        <w:footnoteRef/>
      </w:r>
      <w:r>
        <w:t xml:space="preserve"> </w:t>
      </w:r>
      <w:r>
        <w:rPr>
          <w:i/>
        </w:rPr>
        <w:t>AFR</w:t>
      </w:r>
      <w:r>
        <w:t xml:space="preserve"> at 1 and </w:t>
      </w:r>
      <w:r>
        <w:rPr>
          <w:i/>
        </w:rPr>
        <w:t xml:space="preserve">January 1, 2014 e-mail.  </w:t>
      </w:r>
    </w:p>
  </w:footnote>
  <w:footnote w:id="9">
    <w:p w:rsidR="001157B2" w:rsidRDefault="00DC36B2">
      <w:pPr>
        <w:pStyle w:val="FootnoteText"/>
        <w:spacing w:after="0"/>
      </w:pPr>
      <w:r>
        <w:rPr>
          <w:rStyle w:val="FootnoteReference"/>
        </w:rPr>
        <w:footnoteRef/>
      </w:r>
      <w:r>
        <w:t xml:space="preserve"> </w:t>
      </w:r>
      <w:r>
        <w:rPr>
          <w:i/>
        </w:rPr>
        <w:t>AFR</w:t>
      </w:r>
      <w:r>
        <w:t xml:space="preserve"> at 1.</w:t>
      </w:r>
    </w:p>
  </w:footnote>
  <w:footnote w:id="10">
    <w:p w:rsidR="001157B2" w:rsidRDefault="00DC36B2">
      <w:pPr>
        <w:pStyle w:val="FootnoteText"/>
        <w:spacing w:after="0"/>
      </w:pPr>
      <w:r>
        <w:rPr>
          <w:rStyle w:val="FootnoteReference"/>
        </w:rPr>
        <w:footnoteRef/>
      </w:r>
      <w:r>
        <w:t xml:space="preserve"> </w:t>
      </w:r>
      <w:r>
        <w:rPr>
          <w:i/>
        </w:rPr>
        <w:t xml:space="preserve">January 1, 2014 e-mail.  </w:t>
      </w:r>
    </w:p>
  </w:footnote>
  <w:footnote w:id="11">
    <w:p w:rsidR="001157B2" w:rsidRDefault="00DC36B2">
      <w:pPr>
        <w:pStyle w:val="FootnoteText"/>
        <w:spacing w:after="0"/>
      </w:pPr>
      <w:r>
        <w:rPr>
          <w:rStyle w:val="FootnoteReference"/>
        </w:rPr>
        <w:footnoteRef/>
      </w:r>
      <w:r>
        <w:t xml:space="preserve"> </w:t>
      </w:r>
      <w:r>
        <w:rPr>
          <w:i/>
        </w:rPr>
        <w:t>Weisberg v. U.S. Dep’t of Justice</w:t>
      </w:r>
      <w:r>
        <w:t xml:space="preserve">, 705 F.2d 1344, 1351 (D.C. Cir. 1983); </w:t>
      </w:r>
      <w:r>
        <w:rPr>
          <w:i/>
        </w:rPr>
        <w:t>Campbell v. U.S. Dep’t of Justice</w:t>
      </w:r>
      <w:r>
        <w:t xml:space="preserve">, 164 F.3d 20, 27 (D.C. Cir. 1998) (noting that an agency must search “using methods which can be reasonably expected to produce the information requested”) (quoting </w:t>
      </w:r>
      <w:r>
        <w:rPr>
          <w:i/>
        </w:rPr>
        <w:t>Oglesby v. U.S. Dep’t of the Army</w:t>
      </w:r>
      <w:r>
        <w:t>, 920 F.2d 57, 68 (D.C. Cir. 1990)).</w:t>
      </w:r>
    </w:p>
  </w:footnote>
  <w:footnote w:id="12">
    <w:p w:rsidR="001157B2" w:rsidRDefault="00DC36B2">
      <w:pPr>
        <w:pStyle w:val="FootnoteText"/>
        <w:spacing w:after="0"/>
      </w:pPr>
      <w:r>
        <w:rPr>
          <w:rStyle w:val="FootnoteReference"/>
        </w:rPr>
        <w:footnoteRef/>
      </w:r>
      <w:r>
        <w:t xml:space="preserve"> </w:t>
      </w:r>
      <w:r>
        <w:rPr>
          <w:i/>
        </w:rPr>
        <w:t>See Prof Bill Neill</w:t>
      </w:r>
      <w:r>
        <w:t>, 18 FCC Rcd 14642, 24644 ¶5 and n.8 (2003) (</w:t>
      </w:r>
      <w:r>
        <w:rPr>
          <w:i/>
        </w:rPr>
        <w:t>citing DiViao v. Kelley</w:t>
      </w:r>
      <w:r>
        <w:t>, 571 F.2d 538, 542 (10</w:t>
      </w:r>
      <w:r>
        <w:rPr>
          <w:vertAlign w:val="superscript"/>
        </w:rPr>
        <w:t>th</w:t>
      </w:r>
      <w:r>
        <w:t xml:space="preserve"> Cir. 1978)); </w:t>
      </w:r>
      <w:r>
        <w:rPr>
          <w:i/>
        </w:rPr>
        <w:t>Hudgins v. IRS</w:t>
      </w:r>
      <w:r>
        <w:t xml:space="preserve">, 620 F. Supp. 19, 21 (D.D.C. 1985), </w:t>
      </w:r>
      <w:r>
        <w:rPr>
          <w:i/>
        </w:rPr>
        <w:t>aff’d</w:t>
      </w:r>
      <w:r>
        <w:t xml:space="preserve">, 808 F.2d 137 (D.C. Cir. 1987), </w:t>
      </w:r>
      <w:r>
        <w:rPr>
          <w:i/>
        </w:rPr>
        <w:t>cert. denied</w:t>
      </w:r>
      <w:r>
        <w:t xml:space="preserve">, 484 U.S. 803 (1987); and </w:t>
      </w:r>
      <w:r>
        <w:rPr>
          <w:i/>
        </w:rPr>
        <w:t>NLRB v. Sears Roebuck &amp; Co</w:t>
      </w:r>
      <w:r>
        <w:t xml:space="preserve">., 421 U.S. 132, 161-62 (1975).  </w:t>
      </w:r>
      <w:r>
        <w:rPr>
          <w:i/>
        </w:rPr>
        <w:t>See also</w:t>
      </w:r>
      <w:r>
        <w:t xml:space="preserve"> </w:t>
      </w:r>
      <w:r>
        <w:rPr>
          <w:i/>
        </w:rPr>
        <w:t>Solomon Oden Battle</w:t>
      </w:r>
      <w:r>
        <w:t xml:space="preserve">, 23 FCC Rcd 6091,6094 (2008). </w:t>
      </w:r>
    </w:p>
  </w:footnote>
  <w:footnote w:id="13">
    <w:p w:rsidR="001157B2" w:rsidRDefault="00DC36B2">
      <w:pPr>
        <w:pStyle w:val="FootnoteText"/>
        <w:spacing w:after="0"/>
      </w:pPr>
      <w:r>
        <w:rPr>
          <w:rStyle w:val="FootnoteReference"/>
        </w:rPr>
        <w:footnoteRef/>
      </w:r>
      <w:r>
        <w:t xml:space="preserve"> A complainant who is unsatisfied with the Commission’s disposition of an informal complaint may file a formal complaint with the Commission within six months of the date of the carrier’s report.  If no formal complaint is filed within the six month period, the complainant is deemed to have abandoned the unsatisfied complaint.  </w:t>
      </w:r>
      <w:r>
        <w:rPr>
          <w:i/>
        </w:rPr>
        <w:t>See</w:t>
      </w:r>
      <w:r>
        <w:t xml:space="preserve"> 47 C.F.R. §§ 1.717-1.718.  CGB will refer an informal complaint to the Commission’s Enforcement Bureau if CGB believes there has been a possible rule violation.  We note the CGB communicated extensively with Mr. Doe in its attempts to address his questions and concerns raised in the </w:t>
      </w:r>
      <w:r>
        <w:rPr>
          <w:i/>
        </w:rPr>
        <w:t>Informal Complaint</w:t>
      </w:r>
      <w:r>
        <w:t xml:space="preserve">. </w:t>
      </w:r>
    </w:p>
  </w:footnote>
  <w:footnote w:id="14">
    <w:p w:rsidR="001157B2" w:rsidRDefault="00DC36B2">
      <w:pPr>
        <w:pStyle w:val="default"/>
        <w:spacing w:before="0" w:beforeAutospacing="0" w:after="120" w:afterAutospacing="0"/>
        <w:rPr>
          <w:sz w:val="20"/>
          <w:szCs w:val="20"/>
        </w:rPr>
      </w:pPr>
      <w:r>
        <w:rPr>
          <w:rStyle w:val="FootnoteReference"/>
          <w:szCs w:val="20"/>
        </w:rPr>
        <w:footnoteRef/>
      </w:r>
      <w:r>
        <w:rPr>
          <w:sz w:val="20"/>
          <w:szCs w:val="20"/>
        </w:rPr>
        <w:t xml:space="preserve">  We note that as part of the Open Government Act of 2007, the Office of Government Information Services (OGIS) was created to offer mediation services to resolve disputes between FOIA requesters and Federal agencies as a non-exclusive alternative to litigation. Using OGIS services does not affect Mr. Doe’s right to pursue litigation.  Mr. Doe may contact OGIS in any of the following ways: </w:t>
      </w:r>
    </w:p>
    <w:p w:rsidR="001157B2" w:rsidRDefault="00DC36B2">
      <w:pPr>
        <w:ind w:left="720"/>
        <w:rPr>
          <w:sz w:val="20"/>
        </w:rPr>
      </w:pPr>
      <w:r>
        <w:rPr>
          <w:sz w:val="20"/>
        </w:rPr>
        <w:t xml:space="preserve">Office of Government Information Services </w:t>
      </w:r>
    </w:p>
    <w:p w:rsidR="001157B2" w:rsidRDefault="00DC36B2">
      <w:pPr>
        <w:ind w:left="720"/>
        <w:rPr>
          <w:sz w:val="20"/>
        </w:rPr>
      </w:pPr>
      <w:r>
        <w:rPr>
          <w:sz w:val="20"/>
        </w:rPr>
        <w:t xml:space="preserve">National Archives and Records Administration </w:t>
      </w:r>
    </w:p>
    <w:p w:rsidR="001157B2" w:rsidRDefault="00DC36B2">
      <w:pPr>
        <w:ind w:left="720"/>
        <w:rPr>
          <w:sz w:val="20"/>
        </w:rPr>
      </w:pPr>
      <w:r>
        <w:rPr>
          <w:sz w:val="20"/>
        </w:rPr>
        <w:t xml:space="preserve">Room 2510 </w:t>
      </w:r>
    </w:p>
    <w:p w:rsidR="001157B2" w:rsidRDefault="00DC36B2">
      <w:pPr>
        <w:ind w:left="720"/>
        <w:rPr>
          <w:sz w:val="20"/>
        </w:rPr>
      </w:pPr>
      <w:r>
        <w:rPr>
          <w:sz w:val="20"/>
        </w:rPr>
        <w:t xml:space="preserve">8601 Adelphi Road </w:t>
      </w:r>
    </w:p>
    <w:p w:rsidR="001157B2" w:rsidRDefault="00DC36B2">
      <w:pPr>
        <w:ind w:left="720"/>
        <w:rPr>
          <w:sz w:val="20"/>
        </w:rPr>
      </w:pPr>
      <w:r>
        <w:rPr>
          <w:sz w:val="20"/>
        </w:rPr>
        <w:t xml:space="preserve">College Park, MD 20740-6001 </w:t>
      </w:r>
    </w:p>
    <w:p w:rsidR="001157B2" w:rsidRDefault="00DC36B2">
      <w:pPr>
        <w:ind w:left="720"/>
        <w:rPr>
          <w:sz w:val="20"/>
        </w:rPr>
      </w:pPr>
      <w:r>
        <w:rPr>
          <w:sz w:val="20"/>
        </w:rPr>
        <w:t xml:space="preserve">E-mail: ogis@nara.gov </w:t>
      </w:r>
    </w:p>
    <w:p w:rsidR="001157B2" w:rsidRDefault="00DC36B2">
      <w:pPr>
        <w:ind w:left="720"/>
        <w:rPr>
          <w:sz w:val="20"/>
        </w:rPr>
      </w:pPr>
      <w:r>
        <w:rPr>
          <w:sz w:val="20"/>
        </w:rPr>
        <w:t xml:space="preserve">Telephone: 301-837-1996 </w:t>
      </w:r>
    </w:p>
    <w:p w:rsidR="001157B2" w:rsidRDefault="00DC36B2">
      <w:pPr>
        <w:ind w:left="720"/>
        <w:rPr>
          <w:sz w:val="20"/>
        </w:rPr>
      </w:pPr>
      <w:r>
        <w:rPr>
          <w:sz w:val="20"/>
        </w:rPr>
        <w:t xml:space="preserve">Facsimile: 301-837-0348 </w:t>
      </w:r>
    </w:p>
    <w:p w:rsidR="001157B2" w:rsidRDefault="00DC36B2">
      <w:pPr>
        <w:ind w:left="720"/>
        <w:rPr>
          <w:sz w:val="20"/>
        </w:rPr>
      </w:pPr>
      <w:r>
        <w:rPr>
          <w:sz w:val="20"/>
        </w:rPr>
        <w:t>Toll-free: 1-877-684-6448</w:t>
      </w:r>
    </w:p>
    <w:p w:rsidR="001157B2" w:rsidRDefault="001157B2">
      <w:pPr>
        <w:ind w:left="720"/>
        <w:rPr>
          <w:sz w:val="20"/>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510B" w:rsidRDefault="00C1510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57B2" w:rsidRDefault="00DC36B2">
    <w:pPr>
      <w:pStyle w:val="Header"/>
      <w:pBdr>
        <w:bottom w:val="single" w:sz="12" w:space="1" w:color="auto"/>
      </w:pBdr>
      <w:rPr>
        <w:b w:val="0"/>
      </w:rPr>
    </w:pPr>
    <w:r>
      <w:tab/>
      <w:t>Federal Communications Commission</w:t>
    </w:r>
    <w:r>
      <w:tab/>
    </w:r>
    <w:r>
      <w:rPr>
        <w:spacing w:val="-2"/>
      </w:rPr>
      <w:t>FCC 14-65</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57B2" w:rsidRDefault="00DC36B2">
    <w:pPr>
      <w:pStyle w:val="Header"/>
      <w:pBdr>
        <w:bottom w:val="single" w:sz="12" w:space="1" w:color="auto"/>
      </w:pBdr>
      <w:rPr>
        <w:b w:val="0"/>
      </w:rPr>
    </w:pPr>
    <w:r>
      <w:tab/>
      <w:t>Federal Communications Commission</w:t>
    </w:r>
    <w:r>
      <w:tab/>
    </w:r>
    <w:r>
      <w:rPr>
        <w:spacing w:val="-2"/>
      </w:rPr>
      <w:t>FCC 14-65</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2A9009E5"/>
    <w:multiLevelType w:val="multilevel"/>
    <w:tmpl w:val="86A027B6"/>
    <w:lvl w:ilvl="0">
      <w:start w:val="1"/>
      <w:numFmt w:val="decimal"/>
      <w:lvlText w:val="%1."/>
      <w:lvlJc w:val="left"/>
      <w:pPr>
        <w:tabs>
          <w:tab w:val="num" w:pos="720"/>
        </w:tabs>
        <w:ind w:left="720" w:hanging="720"/>
      </w:pPr>
      <w:rPr>
        <w:rFonts w:ascii="Tahoma" w:hAnsi="Tahoma"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rPr>
        <w:rFonts w:ascii="Times New Roman" w:hAnsi="Times New Roman" w:hint="default"/>
        <w:b/>
        <w:i w:val="0"/>
        <w:sz w:val="22"/>
      </w:r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5">
    <w:nsid w:val="3D0F1B3D"/>
    <w:multiLevelType w:val="singleLevel"/>
    <w:tmpl w:val="0902D07C"/>
    <w:lvl w:ilvl="0">
      <w:start w:val="1"/>
      <w:numFmt w:val="decimal"/>
      <w:pStyle w:val="Paranum"/>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6">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7">
    <w:nsid w:val="5341241F"/>
    <w:multiLevelType w:val="singleLevel"/>
    <w:tmpl w:val="C0E46C6C"/>
    <w:lvl w:ilvl="0">
      <w:start w:val="1"/>
      <w:numFmt w:val="decimal"/>
      <w:pStyle w:val="NumberedList"/>
      <w:lvlText w:val="%1."/>
      <w:lvlJc w:val="left"/>
      <w:pPr>
        <w:tabs>
          <w:tab w:val="num" w:pos="1080"/>
        </w:tabs>
        <w:ind w:left="0" w:firstLine="720"/>
      </w:pPr>
      <w:rPr>
        <w:rFonts w:ascii="Times New Roman" w:hAnsi="Times New Roman" w:hint="default"/>
        <w:b w:val="0"/>
        <w:i w:val="0"/>
        <w:sz w:val="22"/>
        <w:u w:val="none"/>
      </w:rPr>
    </w:lvl>
  </w:abstractNum>
  <w:abstractNum w:abstractNumId="8">
    <w:nsid w:val="541F6B38"/>
    <w:multiLevelType w:val="multilevel"/>
    <w:tmpl w:val="9BCA1692"/>
    <w:lvl w:ilvl="0">
      <w:start w:val="1"/>
      <w:numFmt w:val="upperRoman"/>
      <w:lvlText w:val="%1."/>
      <w:lvlJc w:val="left"/>
      <w:pPr>
        <w:tabs>
          <w:tab w:val="num" w:pos="720"/>
        </w:tabs>
        <w:ind w:left="720" w:hanging="720"/>
      </w:pPr>
      <w:rPr>
        <w:rFonts w:ascii="Times New Roman" w:hAnsi="Times New Roman"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9">
    <w:nsid w:val="59BA0F8A"/>
    <w:multiLevelType w:val="singleLevel"/>
    <w:tmpl w:val="C03E86D2"/>
    <w:lvl w:ilvl="0">
      <w:start w:val="1"/>
      <w:numFmt w:val="bullet"/>
      <w:lvlText w:val=""/>
      <w:lvlJc w:val="left"/>
      <w:pPr>
        <w:tabs>
          <w:tab w:val="num" w:pos="2520"/>
        </w:tabs>
        <w:ind w:left="2520" w:hanging="360"/>
      </w:pPr>
      <w:rPr>
        <w:rFonts w:ascii="Symbol" w:hAnsi="Symbol" w:hint="default"/>
      </w:rPr>
    </w:lvl>
  </w:abstractNum>
  <w:abstractNum w:abstractNumId="10">
    <w:nsid w:val="5D2B06DD"/>
    <w:multiLevelType w:val="multilevel"/>
    <w:tmpl w:val="E9F88194"/>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1656"/>
        </w:tabs>
        <w:ind w:left="1440" w:hanging="144"/>
      </w:pPr>
      <w:rPr>
        <w:rFonts w:ascii="Times New Roman" w:hAnsi="Times New Roman" w:hint="default"/>
        <w:b/>
        <w:i w:val="0"/>
        <w:sz w:val="22"/>
      </w:r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rPr>
        <w:rFonts w:ascii="Times New Roman" w:hAnsi="Times New Roman" w:hint="default"/>
        <w:b/>
        <w:i w:val="0"/>
        <w:sz w:val="22"/>
      </w:rPr>
    </w:lvl>
    <w:lvl w:ilvl="4">
      <w:start w:val="1"/>
      <w:numFmt w:val="lowerRoman"/>
      <w:lvlText w:val="(%5)"/>
      <w:lvlJc w:val="left"/>
      <w:pPr>
        <w:tabs>
          <w:tab w:val="num" w:pos="3600"/>
        </w:tabs>
        <w:ind w:left="3600" w:hanging="720"/>
      </w:pPr>
      <w:rPr>
        <w:rFonts w:ascii="Times New Roman" w:hAnsi="Times New Roman"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4320" w:hanging="720"/>
      </w:pPr>
      <w:rPr>
        <w:rFonts w:ascii="Times New Roman" w:hAnsi="Times New Roman" w:hint="default"/>
        <w:b/>
        <w:i w:val="0"/>
        <w:sz w:val="22"/>
      </w:r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rPr>
        <w:rFonts w:ascii="Times New Roman" w:hAnsi="Times New Roman" w:hint="default"/>
        <w:b/>
        <w:i w:val="0"/>
        <w:sz w:val="22"/>
      </w:rPr>
    </w:lvl>
    <w:lvl w:ilvl="8">
      <w:start w:val="1"/>
      <w:numFmt w:val="lowerRoman"/>
      <w:lvlText w:val="(%9)"/>
      <w:lvlJc w:val="left"/>
      <w:pPr>
        <w:tabs>
          <w:tab w:val="num" w:pos="6480"/>
        </w:tabs>
        <w:ind w:left="5760" w:firstLine="0"/>
      </w:pPr>
      <w:rPr>
        <w:rFonts w:ascii="Times New Roman" w:hAnsi="Times New Roman" w:hint="default"/>
        <w:b/>
        <w:i w:val="0"/>
        <w:sz w:val="22"/>
      </w:rPr>
    </w:lvl>
  </w:abstractNum>
  <w:abstractNum w:abstractNumId="11">
    <w:nsid w:val="61182925"/>
    <w:multiLevelType w:val="singleLevel"/>
    <w:tmpl w:val="A9EE9842"/>
    <w:lvl w:ilvl="0">
      <w:start w:val="1"/>
      <w:numFmt w:val="decimal"/>
      <w:pStyle w:val="ParaNum0"/>
      <w:lvlText w:val="%1."/>
      <w:lvlJc w:val="left"/>
      <w:pPr>
        <w:tabs>
          <w:tab w:val="num" w:pos="1080"/>
        </w:tabs>
        <w:ind w:left="0" w:firstLine="720"/>
      </w:pPr>
    </w:lvl>
  </w:abstractNum>
  <w:num w:numId="1">
    <w:abstractNumId w:val="5"/>
  </w:num>
  <w:num w:numId="2">
    <w:abstractNumId w:val="1"/>
  </w:num>
  <w:num w:numId="3">
    <w:abstractNumId w:val="11"/>
  </w:num>
  <w:num w:numId="4">
    <w:abstractNumId w:val="3"/>
  </w:num>
  <w:num w:numId="5">
    <w:abstractNumId w:val="6"/>
  </w:num>
  <w:num w:numId="6">
    <w:abstractNumId w:val="2"/>
  </w:num>
  <w:num w:numId="7">
    <w:abstractNumId w:val="0"/>
  </w:num>
  <w:num w:numId="8">
    <w:abstractNumId w:val="11"/>
  </w:num>
  <w:num w:numId="9">
    <w:abstractNumId w:val="11"/>
  </w:num>
  <w:num w:numId="10">
    <w:abstractNumId w:val="9"/>
  </w:num>
  <w:num w:numId="11">
    <w:abstractNumId w:val="8"/>
  </w:num>
  <w:num w:numId="12">
    <w:abstractNumId w:val="10"/>
  </w:num>
  <w:num w:numId="13">
    <w:abstractNumId w:val="4"/>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activeWritingStyle w:appName="MSWord" w:lang="en-US" w:vendorID="64" w:dllVersion="131078" w:nlCheck="1" w:checkStyle="1"/>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1126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36B2"/>
    <w:rsid w:val="001157B2"/>
    <w:rsid w:val="003803AF"/>
    <w:rsid w:val="008F6791"/>
    <w:rsid w:val="00C1510B"/>
    <w:rsid w:val="00C35C7C"/>
    <w:rsid w:val="00DC36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803AF"/>
    <w:pPr>
      <w:widowControl w:val="0"/>
    </w:pPr>
    <w:rPr>
      <w:snapToGrid w:val="0"/>
      <w:kern w:val="28"/>
      <w:sz w:val="22"/>
    </w:rPr>
  </w:style>
  <w:style w:type="paragraph" w:styleId="Heading1">
    <w:name w:val="heading 1"/>
    <w:basedOn w:val="Normal"/>
    <w:next w:val="ParaNum0"/>
    <w:qFormat/>
    <w:rsid w:val="003803AF"/>
    <w:pPr>
      <w:keepNext/>
      <w:numPr>
        <w:numId w:val="4"/>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0"/>
    <w:autoRedefine/>
    <w:qFormat/>
    <w:rsid w:val="003803AF"/>
    <w:pPr>
      <w:keepNext/>
      <w:numPr>
        <w:ilvl w:val="1"/>
        <w:numId w:val="4"/>
      </w:numPr>
      <w:spacing w:after="120"/>
      <w:outlineLvl w:val="1"/>
    </w:pPr>
    <w:rPr>
      <w:b/>
    </w:rPr>
  </w:style>
  <w:style w:type="paragraph" w:styleId="Heading3">
    <w:name w:val="heading 3"/>
    <w:basedOn w:val="Normal"/>
    <w:next w:val="ParaNum0"/>
    <w:qFormat/>
    <w:rsid w:val="003803AF"/>
    <w:pPr>
      <w:keepNext/>
      <w:numPr>
        <w:ilvl w:val="2"/>
        <w:numId w:val="4"/>
      </w:numPr>
      <w:tabs>
        <w:tab w:val="left" w:pos="2160"/>
      </w:tabs>
      <w:spacing w:after="120"/>
      <w:outlineLvl w:val="2"/>
    </w:pPr>
    <w:rPr>
      <w:b/>
    </w:rPr>
  </w:style>
  <w:style w:type="paragraph" w:styleId="Heading4">
    <w:name w:val="heading 4"/>
    <w:basedOn w:val="Normal"/>
    <w:next w:val="ParaNum0"/>
    <w:qFormat/>
    <w:rsid w:val="003803AF"/>
    <w:pPr>
      <w:keepNext/>
      <w:numPr>
        <w:ilvl w:val="3"/>
        <w:numId w:val="4"/>
      </w:numPr>
      <w:tabs>
        <w:tab w:val="left" w:pos="2880"/>
      </w:tabs>
      <w:spacing w:after="120"/>
      <w:outlineLvl w:val="3"/>
    </w:pPr>
    <w:rPr>
      <w:b/>
    </w:rPr>
  </w:style>
  <w:style w:type="paragraph" w:styleId="Heading5">
    <w:name w:val="heading 5"/>
    <w:basedOn w:val="Normal"/>
    <w:next w:val="ParaNum0"/>
    <w:qFormat/>
    <w:rsid w:val="003803AF"/>
    <w:pPr>
      <w:keepNext/>
      <w:numPr>
        <w:ilvl w:val="4"/>
        <w:numId w:val="4"/>
      </w:numPr>
      <w:tabs>
        <w:tab w:val="left" w:pos="3600"/>
      </w:tabs>
      <w:suppressAutoHyphens/>
      <w:spacing w:after="120"/>
      <w:outlineLvl w:val="4"/>
    </w:pPr>
    <w:rPr>
      <w:b/>
    </w:rPr>
  </w:style>
  <w:style w:type="paragraph" w:styleId="Heading6">
    <w:name w:val="heading 6"/>
    <w:basedOn w:val="Normal"/>
    <w:next w:val="ParaNum0"/>
    <w:qFormat/>
    <w:rsid w:val="003803AF"/>
    <w:pPr>
      <w:numPr>
        <w:ilvl w:val="5"/>
        <w:numId w:val="4"/>
      </w:numPr>
      <w:tabs>
        <w:tab w:val="left" w:pos="4320"/>
      </w:tabs>
      <w:spacing w:after="120"/>
      <w:outlineLvl w:val="5"/>
    </w:pPr>
    <w:rPr>
      <w:b/>
    </w:rPr>
  </w:style>
  <w:style w:type="paragraph" w:styleId="Heading7">
    <w:name w:val="heading 7"/>
    <w:basedOn w:val="Normal"/>
    <w:next w:val="ParaNum0"/>
    <w:qFormat/>
    <w:rsid w:val="003803AF"/>
    <w:pPr>
      <w:numPr>
        <w:ilvl w:val="6"/>
        <w:numId w:val="4"/>
      </w:numPr>
      <w:tabs>
        <w:tab w:val="left" w:pos="5040"/>
      </w:tabs>
      <w:spacing w:after="120"/>
      <w:ind w:left="5040" w:hanging="720"/>
      <w:outlineLvl w:val="6"/>
    </w:pPr>
    <w:rPr>
      <w:b/>
    </w:rPr>
  </w:style>
  <w:style w:type="paragraph" w:styleId="Heading8">
    <w:name w:val="heading 8"/>
    <w:basedOn w:val="Normal"/>
    <w:next w:val="ParaNum0"/>
    <w:qFormat/>
    <w:rsid w:val="003803AF"/>
    <w:pPr>
      <w:numPr>
        <w:ilvl w:val="7"/>
        <w:numId w:val="4"/>
      </w:numPr>
      <w:tabs>
        <w:tab w:val="clear" w:pos="5400"/>
        <w:tab w:val="left" w:pos="5760"/>
      </w:tabs>
      <w:spacing w:after="120"/>
      <w:ind w:left="5760" w:hanging="720"/>
      <w:outlineLvl w:val="7"/>
    </w:pPr>
    <w:rPr>
      <w:b/>
    </w:rPr>
  </w:style>
  <w:style w:type="paragraph" w:styleId="Heading9">
    <w:name w:val="heading 9"/>
    <w:basedOn w:val="Normal"/>
    <w:next w:val="ParaNum0"/>
    <w:qFormat/>
    <w:rsid w:val="003803AF"/>
    <w:pPr>
      <w:numPr>
        <w:ilvl w:val="8"/>
        <w:numId w:val="4"/>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rsid w:val="003803AF"/>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3803AF"/>
  </w:style>
  <w:style w:type="paragraph" w:styleId="FootnoteText">
    <w:name w:val="footnote text"/>
    <w:aliases w:val="Footnote Text Char1,Footnote Text Char7 Char,Footnote Text Char4 Char1 Char,Footnote Text Char Char Char4 Char,Footnote Text Char7 Char Char Char Char,Footnote Text Char4 Char1 Char Char Char Char,Footnote Text Char,Footnote Text Char3"/>
    <w:link w:val="FootnoteTextChar2"/>
    <w:rsid w:val="003803AF"/>
    <w:pPr>
      <w:spacing w:after="120"/>
    </w:pPr>
  </w:style>
  <w:style w:type="character" w:styleId="FootnoteReference">
    <w:name w:val="footnote reference"/>
    <w:rsid w:val="003803AF"/>
    <w:rPr>
      <w:rFonts w:ascii="Times New Roman" w:hAnsi="Times New Roman"/>
      <w:dstrike w:val="0"/>
      <w:color w:val="auto"/>
      <w:sz w:val="20"/>
      <w:vertAlign w:val="superscript"/>
    </w:rPr>
  </w:style>
  <w:style w:type="paragraph" w:styleId="Header">
    <w:name w:val="header"/>
    <w:basedOn w:val="Normal"/>
    <w:autoRedefine/>
    <w:rsid w:val="003803AF"/>
    <w:pPr>
      <w:tabs>
        <w:tab w:val="center" w:pos="4680"/>
        <w:tab w:val="right" w:pos="9360"/>
      </w:tabs>
    </w:pPr>
    <w:rPr>
      <w:b/>
    </w:rPr>
  </w:style>
  <w:style w:type="paragraph" w:styleId="Footer">
    <w:name w:val="footer"/>
    <w:basedOn w:val="Normal"/>
    <w:rsid w:val="003803AF"/>
    <w:pPr>
      <w:tabs>
        <w:tab w:val="center" w:pos="4320"/>
        <w:tab w:val="right" w:pos="8640"/>
      </w:tabs>
    </w:pPr>
  </w:style>
  <w:style w:type="character" w:styleId="PageNumber">
    <w:name w:val="page number"/>
    <w:basedOn w:val="DefaultParagraphFont"/>
    <w:rsid w:val="003803AF"/>
  </w:style>
  <w:style w:type="paragraph" w:customStyle="1" w:styleId="ParaNum0">
    <w:name w:val="ParaNum"/>
    <w:basedOn w:val="Normal"/>
    <w:link w:val="ParaNumChar"/>
    <w:rsid w:val="003803AF"/>
    <w:pPr>
      <w:numPr>
        <w:numId w:val="3"/>
      </w:numPr>
      <w:tabs>
        <w:tab w:val="clear" w:pos="1080"/>
        <w:tab w:val="num" w:pos="1440"/>
      </w:tabs>
      <w:spacing w:after="120"/>
    </w:pPr>
  </w:style>
  <w:style w:type="paragraph" w:styleId="DocumentMap">
    <w:name w:val="Document Map"/>
    <w:basedOn w:val="Normal"/>
    <w:semiHidden/>
    <w:pPr>
      <w:shd w:val="clear" w:color="auto" w:fill="000080"/>
    </w:pPr>
    <w:rPr>
      <w:rFonts w:ascii="Tahoma" w:hAnsi="Tahoma" w:cs="Tahoma"/>
      <w:sz w:val="20"/>
    </w:rPr>
  </w:style>
  <w:style w:type="paragraph" w:styleId="BalloonText">
    <w:name w:val="Balloon Text"/>
    <w:basedOn w:val="Normal"/>
    <w:semiHidden/>
    <w:rPr>
      <w:rFonts w:ascii="Tahoma" w:hAnsi="Tahoma" w:cs="Tahoma"/>
      <w:sz w:val="16"/>
      <w:szCs w:val="16"/>
    </w:rPr>
  </w:style>
  <w:style w:type="character" w:styleId="CommentReference">
    <w:name w:val="annotation reference"/>
    <w:semiHidden/>
    <w:rPr>
      <w:sz w:val="16"/>
      <w:szCs w:val="16"/>
    </w:rPr>
  </w:style>
  <w:style w:type="paragraph" w:styleId="CommentText">
    <w:name w:val="annotation text"/>
    <w:basedOn w:val="Normal"/>
    <w:semiHidden/>
    <w:rPr>
      <w:sz w:val="20"/>
    </w:rPr>
  </w:style>
  <w:style w:type="paragraph" w:styleId="CommentSubject">
    <w:name w:val="annotation subject"/>
    <w:basedOn w:val="CommentText"/>
    <w:next w:val="CommentText"/>
    <w:semiHidden/>
    <w:rPr>
      <w:b/>
      <w:bCs/>
    </w:rPr>
  </w:style>
  <w:style w:type="paragraph" w:styleId="BodyText">
    <w:name w:val="Body Text"/>
    <w:basedOn w:val="Normal"/>
    <w:pPr>
      <w:spacing w:after="120"/>
    </w:pPr>
  </w:style>
  <w:style w:type="paragraph" w:styleId="EndnoteText">
    <w:name w:val="endnote text"/>
    <w:basedOn w:val="Normal"/>
    <w:semiHidden/>
    <w:rsid w:val="003803AF"/>
    <w:rPr>
      <w:sz w:val="20"/>
    </w:rPr>
  </w:style>
  <w:style w:type="character" w:styleId="EndnoteReference">
    <w:name w:val="endnote reference"/>
    <w:semiHidden/>
    <w:rsid w:val="003803AF"/>
    <w:rPr>
      <w:vertAlign w:val="superscript"/>
    </w:rPr>
  </w:style>
  <w:style w:type="paragraph" w:styleId="TOC1">
    <w:name w:val="toc 1"/>
    <w:basedOn w:val="Normal"/>
    <w:next w:val="Normal"/>
    <w:semiHidden/>
    <w:rsid w:val="003803AF"/>
    <w:pPr>
      <w:tabs>
        <w:tab w:val="left" w:pos="360"/>
        <w:tab w:val="right" w:leader="dot" w:pos="9360"/>
      </w:tabs>
      <w:suppressAutoHyphens/>
      <w:ind w:left="360" w:right="720" w:hanging="360"/>
    </w:pPr>
    <w:rPr>
      <w:caps/>
      <w:noProof/>
    </w:rPr>
  </w:style>
  <w:style w:type="paragraph" w:styleId="TOC2">
    <w:name w:val="toc 2"/>
    <w:basedOn w:val="Normal"/>
    <w:next w:val="Normal"/>
    <w:semiHidden/>
    <w:rsid w:val="003803AF"/>
    <w:pPr>
      <w:tabs>
        <w:tab w:val="left" w:pos="720"/>
        <w:tab w:val="right" w:leader="dot" w:pos="9360"/>
      </w:tabs>
      <w:suppressAutoHyphens/>
      <w:ind w:left="720" w:right="720" w:hanging="360"/>
    </w:pPr>
    <w:rPr>
      <w:noProof/>
    </w:rPr>
  </w:style>
  <w:style w:type="paragraph" w:styleId="TOC3">
    <w:name w:val="toc 3"/>
    <w:basedOn w:val="Normal"/>
    <w:next w:val="Normal"/>
    <w:semiHidden/>
    <w:rsid w:val="003803AF"/>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rsid w:val="003803AF"/>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rsid w:val="003803AF"/>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rsid w:val="003803AF"/>
    <w:pPr>
      <w:tabs>
        <w:tab w:val="left" w:pos="2160"/>
        <w:tab w:val="right" w:leader="dot" w:pos="9360"/>
      </w:tabs>
      <w:suppressAutoHyphens/>
      <w:ind w:left="2160" w:hanging="360"/>
    </w:pPr>
    <w:rPr>
      <w:noProof/>
    </w:rPr>
  </w:style>
  <w:style w:type="paragraph" w:styleId="TOC7">
    <w:name w:val="toc 7"/>
    <w:basedOn w:val="Normal"/>
    <w:next w:val="Normal"/>
    <w:autoRedefine/>
    <w:semiHidden/>
    <w:rsid w:val="003803AF"/>
    <w:pPr>
      <w:tabs>
        <w:tab w:val="left" w:pos="2520"/>
        <w:tab w:val="right" w:leader="dot" w:pos="9360"/>
      </w:tabs>
      <w:suppressAutoHyphens/>
      <w:ind w:left="2520" w:hanging="360"/>
    </w:pPr>
    <w:rPr>
      <w:noProof/>
    </w:rPr>
  </w:style>
  <w:style w:type="paragraph" w:styleId="TOC8">
    <w:name w:val="toc 8"/>
    <w:basedOn w:val="Normal"/>
    <w:next w:val="Normal"/>
    <w:autoRedefine/>
    <w:semiHidden/>
    <w:rsid w:val="003803AF"/>
    <w:pPr>
      <w:tabs>
        <w:tab w:val="left" w:pos="2880"/>
        <w:tab w:val="right" w:leader="dot" w:pos="9360"/>
      </w:tabs>
      <w:suppressAutoHyphens/>
      <w:ind w:left="2880" w:hanging="360"/>
    </w:pPr>
    <w:rPr>
      <w:noProof/>
    </w:rPr>
  </w:style>
  <w:style w:type="paragraph" w:styleId="TOC9">
    <w:name w:val="toc 9"/>
    <w:basedOn w:val="Normal"/>
    <w:next w:val="Normal"/>
    <w:autoRedefine/>
    <w:semiHidden/>
    <w:rsid w:val="003803AF"/>
    <w:pPr>
      <w:tabs>
        <w:tab w:val="left" w:pos="3240"/>
        <w:tab w:val="right" w:leader="dot" w:pos="9360"/>
      </w:tabs>
      <w:suppressAutoHyphens/>
      <w:ind w:left="3240" w:hanging="360"/>
    </w:pPr>
    <w:rPr>
      <w:noProof/>
    </w:rPr>
  </w:style>
  <w:style w:type="paragraph" w:styleId="TOAHeading">
    <w:name w:val="toa heading"/>
    <w:basedOn w:val="Normal"/>
    <w:next w:val="Normal"/>
    <w:semiHidden/>
    <w:rsid w:val="003803AF"/>
    <w:pPr>
      <w:tabs>
        <w:tab w:val="right" w:pos="9360"/>
      </w:tabs>
      <w:suppressAutoHyphens/>
    </w:pPr>
  </w:style>
  <w:style w:type="character" w:customStyle="1" w:styleId="EquationCaption">
    <w:name w:val="_Equation Caption"/>
    <w:rsid w:val="003803AF"/>
  </w:style>
  <w:style w:type="paragraph" w:styleId="BlockText">
    <w:name w:val="Block Text"/>
    <w:basedOn w:val="Normal"/>
    <w:rsid w:val="003803AF"/>
    <w:pPr>
      <w:spacing w:after="240"/>
      <w:ind w:left="1440" w:right="1440"/>
    </w:pPr>
  </w:style>
  <w:style w:type="paragraph" w:customStyle="1" w:styleId="Paratitle">
    <w:name w:val="Para title"/>
    <w:basedOn w:val="Normal"/>
    <w:rsid w:val="003803AF"/>
    <w:pPr>
      <w:tabs>
        <w:tab w:val="center" w:pos="9270"/>
      </w:tabs>
      <w:spacing w:after="240"/>
    </w:pPr>
    <w:rPr>
      <w:spacing w:val="-2"/>
    </w:rPr>
  </w:style>
  <w:style w:type="paragraph" w:customStyle="1" w:styleId="Bullet">
    <w:name w:val="Bullet"/>
    <w:basedOn w:val="Normal"/>
    <w:rsid w:val="003803AF"/>
    <w:pPr>
      <w:tabs>
        <w:tab w:val="left" w:pos="2160"/>
      </w:tabs>
      <w:spacing w:after="220"/>
      <w:ind w:left="2160" w:hanging="720"/>
    </w:pPr>
  </w:style>
  <w:style w:type="paragraph" w:customStyle="1" w:styleId="TableFormat">
    <w:name w:val="TableFormat"/>
    <w:basedOn w:val="Bullet"/>
    <w:rsid w:val="003803AF"/>
    <w:pPr>
      <w:tabs>
        <w:tab w:val="clear" w:pos="2160"/>
        <w:tab w:val="left" w:pos="5040"/>
      </w:tabs>
      <w:ind w:left="5040" w:hanging="3600"/>
    </w:pPr>
  </w:style>
  <w:style w:type="paragraph" w:customStyle="1" w:styleId="TOCTitle">
    <w:name w:val="TOC Title"/>
    <w:basedOn w:val="Normal"/>
    <w:rsid w:val="003803AF"/>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3803AF"/>
    <w:pPr>
      <w:jc w:val="center"/>
    </w:pPr>
    <w:rPr>
      <w:rFonts w:ascii="Times New Roman Bold" w:hAnsi="Times New Roman Bold"/>
      <w:b/>
      <w:bCs/>
      <w:caps/>
      <w:szCs w:val="22"/>
    </w:rPr>
  </w:style>
  <w:style w:type="character" w:styleId="Hyperlink">
    <w:name w:val="Hyperlink"/>
    <w:rsid w:val="003803AF"/>
    <w:rPr>
      <w:color w:val="0000FF"/>
      <w:u w:val="single"/>
    </w:rPr>
  </w:style>
  <w:style w:type="character" w:customStyle="1" w:styleId="FootnoteTextChar2">
    <w:name w:val="Footnote Text Char2"/>
    <w:aliases w:val="Footnote Text Char1 Char,Footnote Text Char7 Char Char,Footnote Text Char4 Char1 Char Char,Footnote Text Char Char Char4 Char Char,Footnote Text Char7 Char Char Char Char Char,Footnote Text Char4 Char1 Char Char Char Char Char"/>
    <w:link w:val="FootnoteText"/>
  </w:style>
  <w:style w:type="paragraph" w:customStyle="1" w:styleId="default">
    <w:name w:val="default"/>
    <w:basedOn w:val="Normal"/>
    <w:pPr>
      <w:widowControl/>
      <w:spacing w:before="100" w:beforeAutospacing="1" w:after="100" w:afterAutospacing="1"/>
    </w:pPr>
    <w:rPr>
      <w:snapToGrid/>
      <w:kern w:val="0"/>
      <w:sz w:val="24"/>
      <w:szCs w:val="24"/>
    </w:rPr>
  </w:style>
  <w:style w:type="character" w:customStyle="1" w:styleId="CharChar2">
    <w:name w:val="Char Char2"/>
    <w:semiHidden/>
    <w:rPr>
      <w:rFonts w:eastAsia="Calibri"/>
      <w:lang w:val="en-US" w:eastAsia="en-US" w:bidi="ar-SA"/>
    </w:rPr>
  </w:style>
  <w:style w:type="character" w:customStyle="1" w:styleId="ParaNumChar">
    <w:name w:val="ParaNum Char"/>
    <w:link w:val="ParaNum0"/>
    <w:rPr>
      <w:snapToGrid w:val="0"/>
      <w:kern w:val="28"/>
      <w:sz w:val="22"/>
    </w:rPr>
  </w:style>
  <w:style w:type="paragraph" w:styleId="NormalWeb">
    <w:name w:val="Normal (Web)"/>
    <w:basedOn w:val="Normal"/>
    <w:pPr>
      <w:widowControl/>
      <w:spacing w:before="100" w:beforeAutospacing="1" w:after="100" w:afterAutospacing="1"/>
    </w:pPr>
    <w:rPr>
      <w:snapToGrid/>
      <w:color w:val="000000"/>
      <w:kern w:val="0"/>
      <w:sz w:val="24"/>
      <w:szCs w:val="24"/>
    </w:rPr>
  </w:style>
  <w:style w:type="character" w:styleId="Strong">
    <w:name w:val="Strong"/>
    <w:qFormat/>
    <w:rPr>
      <w:b/>
      <w:bCs/>
    </w:rPr>
  </w:style>
  <w:style w:type="character" w:styleId="Emphasis">
    <w:name w:val="Emphasis"/>
    <w:qFormat/>
    <w:rPr>
      <w:i/>
      <w:iCs/>
    </w:rPr>
  </w:style>
  <w:style w:type="paragraph" w:styleId="Caption">
    <w:name w:val="caption"/>
    <w:basedOn w:val="Normal"/>
    <w:next w:val="Normal"/>
    <w:qFormat/>
    <w:pPr>
      <w:spacing w:before="120" w:after="120"/>
    </w:pPr>
    <w:rPr>
      <w:b/>
    </w:rPr>
  </w:style>
  <w:style w:type="paragraph" w:customStyle="1" w:styleId="NumberedList">
    <w:name w:val="Numbered List"/>
    <w:basedOn w:val="Normal"/>
    <w:pPr>
      <w:numPr>
        <w:numId w:val="14"/>
      </w:numPr>
      <w:tabs>
        <w:tab w:val="clear" w:pos="1080"/>
      </w:tabs>
      <w:spacing w:after="220"/>
      <w:ind w:firstLine="0"/>
    </w:pPr>
  </w:style>
  <w:style w:type="paragraph" w:customStyle="1" w:styleId="Paranum">
    <w:name w:val="Paranum"/>
    <w:basedOn w:val="Normal"/>
    <w:pPr>
      <w:numPr>
        <w:numId w:val="1"/>
      </w:numPr>
      <w:tabs>
        <w:tab w:val="clear" w:pos="1080"/>
      </w:tabs>
      <w:spacing w:after="220"/>
      <w:jc w:val="both"/>
    </w:pPr>
  </w:style>
  <w:style w:type="paragraph" w:customStyle="1" w:styleId="TableFormat0">
    <w:name w:val="Table Format"/>
    <w:basedOn w:val="Normal"/>
    <w:pPr>
      <w:tabs>
        <w:tab w:val="left" w:pos="5040"/>
      </w:tabs>
      <w:spacing w:after="220"/>
      <w:ind w:left="5040" w:hanging="3600"/>
      <w:jc w:val="both"/>
    </w:pPr>
  </w:style>
  <w:style w:type="character" w:styleId="FollowedHyperlink">
    <w:name w:val="FollowedHyperlink"/>
    <w:rPr>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803AF"/>
    <w:pPr>
      <w:widowControl w:val="0"/>
    </w:pPr>
    <w:rPr>
      <w:snapToGrid w:val="0"/>
      <w:kern w:val="28"/>
      <w:sz w:val="22"/>
    </w:rPr>
  </w:style>
  <w:style w:type="paragraph" w:styleId="Heading1">
    <w:name w:val="heading 1"/>
    <w:basedOn w:val="Normal"/>
    <w:next w:val="ParaNum0"/>
    <w:qFormat/>
    <w:rsid w:val="003803AF"/>
    <w:pPr>
      <w:keepNext/>
      <w:numPr>
        <w:numId w:val="4"/>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0"/>
    <w:autoRedefine/>
    <w:qFormat/>
    <w:rsid w:val="003803AF"/>
    <w:pPr>
      <w:keepNext/>
      <w:numPr>
        <w:ilvl w:val="1"/>
        <w:numId w:val="4"/>
      </w:numPr>
      <w:spacing w:after="120"/>
      <w:outlineLvl w:val="1"/>
    </w:pPr>
    <w:rPr>
      <w:b/>
    </w:rPr>
  </w:style>
  <w:style w:type="paragraph" w:styleId="Heading3">
    <w:name w:val="heading 3"/>
    <w:basedOn w:val="Normal"/>
    <w:next w:val="ParaNum0"/>
    <w:qFormat/>
    <w:rsid w:val="003803AF"/>
    <w:pPr>
      <w:keepNext/>
      <w:numPr>
        <w:ilvl w:val="2"/>
        <w:numId w:val="4"/>
      </w:numPr>
      <w:tabs>
        <w:tab w:val="left" w:pos="2160"/>
      </w:tabs>
      <w:spacing w:after="120"/>
      <w:outlineLvl w:val="2"/>
    </w:pPr>
    <w:rPr>
      <w:b/>
    </w:rPr>
  </w:style>
  <w:style w:type="paragraph" w:styleId="Heading4">
    <w:name w:val="heading 4"/>
    <w:basedOn w:val="Normal"/>
    <w:next w:val="ParaNum0"/>
    <w:qFormat/>
    <w:rsid w:val="003803AF"/>
    <w:pPr>
      <w:keepNext/>
      <w:numPr>
        <w:ilvl w:val="3"/>
        <w:numId w:val="4"/>
      </w:numPr>
      <w:tabs>
        <w:tab w:val="left" w:pos="2880"/>
      </w:tabs>
      <w:spacing w:after="120"/>
      <w:outlineLvl w:val="3"/>
    </w:pPr>
    <w:rPr>
      <w:b/>
    </w:rPr>
  </w:style>
  <w:style w:type="paragraph" w:styleId="Heading5">
    <w:name w:val="heading 5"/>
    <w:basedOn w:val="Normal"/>
    <w:next w:val="ParaNum0"/>
    <w:qFormat/>
    <w:rsid w:val="003803AF"/>
    <w:pPr>
      <w:keepNext/>
      <w:numPr>
        <w:ilvl w:val="4"/>
        <w:numId w:val="4"/>
      </w:numPr>
      <w:tabs>
        <w:tab w:val="left" w:pos="3600"/>
      </w:tabs>
      <w:suppressAutoHyphens/>
      <w:spacing w:after="120"/>
      <w:outlineLvl w:val="4"/>
    </w:pPr>
    <w:rPr>
      <w:b/>
    </w:rPr>
  </w:style>
  <w:style w:type="paragraph" w:styleId="Heading6">
    <w:name w:val="heading 6"/>
    <w:basedOn w:val="Normal"/>
    <w:next w:val="ParaNum0"/>
    <w:qFormat/>
    <w:rsid w:val="003803AF"/>
    <w:pPr>
      <w:numPr>
        <w:ilvl w:val="5"/>
        <w:numId w:val="4"/>
      </w:numPr>
      <w:tabs>
        <w:tab w:val="left" w:pos="4320"/>
      </w:tabs>
      <w:spacing w:after="120"/>
      <w:outlineLvl w:val="5"/>
    </w:pPr>
    <w:rPr>
      <w:b/>
    </w:rPr>
  </w:style>
  <w:style w:type="paragraph" w:styleId="Heading7">
    <w:name w:val="heading 7"/>
    <w:basedOn w:val="Normal"/>
    <w:next w:val="ParaNum0"/>
    <w:qFormat/>
    <w:rsid w:val="003803AF"/>
    <w:pPr>
      <w:numPr>
        <w:ilvl w:val="6"/>
        <w:numId w:val="4"/>
      </w:numPr>
      <w:tabs>
        <w:tab w:val="left" w:pos="5040"/>
      </w:tabs>
      <w:spacing w:after="120"/>
      <w:ind w:left="5040" w:hanging="720"/>
      <w:outlineLvl w:val="6"/>
    </w:pPr>
    <w:rPr>
      <w:b/>
    </w:rPr>
  </w:style>
  <w:style w:type="paragraph" w:styleId="Heading8">
    <w:name w:val="heading 8"/>
    <w:basedOn w:val="Normal"/>
    <w:next w:val="ParaNum0"/>
    <w:qFormat/>
    <w:rsid w:val="003803AF"/>
    <w:pPr>
      <w:numPr>
        <w:ilvl w:val="7"/>
        <w:numId w:val="4"/>
      </w:numPr>
      <w:tabs>
        <w:tab w:val="clear" w:pos="5400"/>
        <w:tab w:val="left" w:pos="5760"/>
      </w:tabs>
      <w:spacing w:after="120"/>
      <w:ind w:left="5760" w:hanging="720"/>
      <w:outlineLvl w:val="7"/>
    </w:pPr>
    <w:rPr>
      <w:b/>
    </w:rPr>
  </w:style>
  <w:style w:type="paragraph" w:styleId="Heading9">
    <w:name w:val="heading 9"/>
    <w:basedOn w:val="Normal"/>
    <w:next w:val="ParaNum0"/>
    <w:qFormat/>
    <w:rsid w:val="003803AF"/>
    <w:pPr>
      <w:numPr>
        <w:ilvl w:val="8"/>
        <w:numId w:val="4"/>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rsid w:val="003803AF"/>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3803AF"/>
  </w:style>
  <w:style w:type="paragraph" w:styleId="FootnoteText">
    <w:name w:val="footnote text"/>
    <w:aliases w:val="Footnote Text Char1,Footnote Text Char7 Char,Footnote Text Char4 Char1 Char,Footnote Text Char Char Char4 Char,Footnote Text Char7 Char Char Char Char,Footnote Text Char4 Char1 Char Char Char Char,Footnote Text Char,Footnote Text Char3"/>
    <w:link w:val="FootnoteTextChar2"/>
    <w:rsid w:val="003803AF"/>
    <w:pPr>
      <w:spacing w:after="120"/>
    </w:pPr>
  </w:style>
  <w:style w:type="character" w:styleId="FootnoteReference">
    <w:name w:val="footnote reference"/>
    <w:rsid w:val="003803AF"/>
    <w:rPr>
      <w:rFonts w:ascii="Times New Roman" w:hAnsi="Times New Roman"/>
      <w:dstrike w:val="0"/>
      <w:color w:val="auto"/>
      <w:sz w:val="20"/>
      <w:vertAlign w:val="superscript"/>
    </w:rPr>
  </w:style>
  <w:style w:type="paragraph" w:styleId="Header">
    <w:name w:val="header"/>
    <w:basedOn w:val="Normal"/>
    <w:autoRedefine/>
    <w:rsid w:val="003803AF"/>
    <w:pPr>
      <w:tabs>
        <w:tab w:val="center" w:pos="4680"/>
        <w:tab w:val="right" w:pos="9360"/>
      </w:tabs>
    </w:pPr>
    <w:rPr>
      <w:b/>
    </w:rPr>
  </w:style>
  <w:style w:type="paragraph" w:styleId="Footer">
    <w:name w:val="footer"/>
    <w:basedOn w:val="Normal"/>
    <w:rsid w:val="003803AF"/>
    <w:pPr>
      <w:tabs>
        <w:tab w:val="center" w:pos="4320"/>
        <w:tab w:val="right" w:pos="8640"/>
      </w:tabs>
    </w:pPr>
  </w:style>
  <w:style w:type="character" w:styleId="PageNumber">
    <w:name w:val="page number"/>
    <w:basedOn w:val="DefaultParagraphFont"/>
    <w:rsid w:val="003803AF"/>
  </w:style>
  <w:style w:type="paragraph" w:customStyle="1" w:styleId="ParaNum0">
    <w:name w:val="ParaNum"/>
    <w:basedOn w:val="Normal"/>
    <w:link w:val="ParaNumChar"/>
    <w:rsid w:val="003803AF"/>
    <w:pPr>
      <w:numPr>
        <w:numId w:val="3"/>
      </w:numPr>
      <w:tabs>
        <w:tab w:val="clear" w:pos="1080"/>
        <w:tab w:val="num" w:pos="1440"/>
      </w:tabs>
      <w:spacing w:after="120"/>
    </w:pPr>
  </w:style>
  <w:style w:type="paragraph" w:styleId="DocumentMap">
    <w:name w:val="Document Map"/>
    <w:basedOn w:val="Normal"/>
    <w:semiHidden/>
    <w:pPr>
      <w:shd w:val="clear" w:color="auto" w:fill="000080"/>
    </w:pPr>
    <w:rPr>
      <w:rFonts w:ascii="Tahoma" w:hAnsi="Tahoma" w:cs="Tahoma"/>
      <w:sz w:val="20"/>
    </w:rPr>
  </w:style>
  <w:style w:type="paragraph" w:styleId="BalloonText">
    <w:name w:val="Balloon Text"/>
    <w:basedOn w:val="Normal"/>
    <w:semiHidden/>
    <w:rPr>
      <w:rFonts w:ascii="Tahoma" w:hAnsi="Tahoma" w:cs="Tahoma"/>
      <w:sz w:val="16"/>
      <w:szCs w:val="16"/>
    </w:rPr>
  </w:style>
  <w:style w:type="character" w:styleId="CommentReference">
    <w:name w:val="annotation reference"/>
    <w:semiHidden/>
    <w:rPr>
      <w:sz w:val="16"/>
      <w:szCs w:val="16"/>
    </w:rPr>
  </w:style>
  <w:style w:type="paragraph" w:styleId="CommentText">
    <w:name w:val="annotation text"/>
    <w:basedOn w:val="Normal"/>
    <w:semiHidden/>
    <w:rPr>
      <w:sz w:val="20"/>
    </w:rPr>
  </w:style>
  <w:style w:type="paragraph" w:styleId="CommentSubject">
    <w:name w:val="annotation subject"/>
    <w:basedOn w:val="CommentText"/>
    <w:next w:val="CommentText"/>
    <w:semiHidden/>
    <w:rPr>
      <w:b/>
      <w:bCs/>
    </w:rPr>
  </w:style>
  <w:style w:type="paragraph" w:styleId="BodyText">
    <w:name w:val="Body Text"/>
    <w:basedOn w:val="Normal"/>
    <w:pPr>
      <w:spacing w:after="120"/>
    </w:pPr>
  </w:style>
  <w:style w:type="paragraph" w:styleId="EndnoteText">
    <w:name w:val="endnote text"/>
    <w:basedOn w:val="Normal"/>
    <w:semiHidden/>
    <w:rsid w:val="003803AF"/>
    <w:rPr>
      <w:sz w:val="20"/>
    </w:rPr>
  </w:style>
  <w:style w:type="character" w:styleId="EndnoteReference">
    <w:name w:val="endnote reference"/>
    <w:semiHidden/>
    <w:rsid w:val="003803AF"/>
    <w:rPr>
      <w:vertAlign w:val="superscript"/>
    </w:rPr>
  </w:style>
  <w:style w:type="paragraph" w:styleId="TOC1">
    <w:name w:val="toc 1"/>
    <w:basedOn w:val="Normal"/>
    <w:next w:val="Normal"/>
    <w:semiHidden/>
    <w:rsid w:val="003803AF"/>
    <w:pPr>
      <w:tabs>
        <w:tab w:val="left" w:pos="360"/>
        <w:tab w:val="right" w:leader="dot" w:pos="9360"/>
      </w:tabs>
      <w:suppressAutoHyphens/>
      <w:ind w:left="360" w:right="720" w:hanging="360"/>
    </w:pPr>
    <w:rPr>
      <w:caps/>
      <w:noProof/>
    </w:rPr>
  </w:style>
  <w:style w:type="paragraph" w:styleId="TOC2">
    <w:name w:val="toc 2"/>
    <w:basedOn w:val="Normal"/>
    <w:next w:val="Normal"/>
    <w:semiHidden/>
    <w:rsid w:val="003803AF"/>
    <w:pPr>
      <w:tabs>
        <w:tab w:val="left" w:pos="720"/>
        <w:tab w:val="right" w:leader="dot" w:pos="9360"/>
      </w:tabs>
      <w:suppressAutoHyphens/>
      <w:ind w:left="720" w:right="720" w:hanging="360"/>
    </w:pPr>
    <w:rPr>
      <w:noProof/>
    </w:rPr>
  </w:style>
  <w:style w:type="paragraph" w:styleId="TOC3">
    <w:name w:val="toc 3"/>
    <w:basedOn w:val="Normal"/>
    <w:next w:val="Normal"/>
    <w:semiHidden/>
    <w:rsid w:val="003803AF"/>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rsid w:val="003803AF"/>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rsid w:val="003803AF"/>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rsid w:val="003803AF"/>
    <w:pPr>
      <w:tabs>
        <w:tab w:val="left" w:pos="2160"/>
        <w:tab w:val="right" w:leader="dot" w:pos="9360"/>
      </w:tabs>
      <w:suppressAutoHyphens/>
      <w:ind w:left="2160" w:hanging="360"/>
    </w:pPr>
    <w:rPr>
      <w:noProof/>
    </w:rPr>
  </w:style>
  <w:style w:type="paragraph" w:styleId="TOC7">
    <w:name w:val="toc 7"/>
    <w:basedOn w:val="Normal"/>
    <w:next w:val="Normal"/>
    <w:autoRedefine/>
    <w:semiHidden/>
    <w:rsid w:val="003803AF"/>
    <w:pPr>
      <w:tabs>
        <w:tab w:val="left" w:pos="2520"/>
        <w:tab w:val="right" w:leader="dot" w:pos="9360"/>
      </w:tabs>
      <w:suppressAutoHyphens/>
      <w:ind w:left="2520" w:hanging="360"/>
    </w:pPr>
    <w:rPr>
      <w:noProof/>
    </w:rPr>
  </w:style>
  <w:style w:type="paragraph" w:styleId="TOC8">
    <w:name w:val="toc 8"/>
    <w:basedOn w:val="Normal"/>
    <w:next w:val="Normal"/>
    <w:autoRedefine/>
    <w:semiHidden/>
    <w:rsid w:val="003803AF"/>
    <w:pPr>
      <w:tabs>
        <w:tab w:val="left" w:pos="2880"/>
        <w:tab w:val="right" w:leader="dot" w:pos="9360"/>
      </w:tabs>
      <w:suppressAutoHyphens/>
      <w:ind w:left="2880" w:hanging="360"/>
    </w:pPr>
    <w:rPr>
      <w:noProof/>
    </w:rPr>
  </w:style>
  <w:style w:type="paragraph" w:styleId="TOC9">
    <w:name w:val="toc 9"/>
    <w:basedOn w:val="Normal"/>
    <w:next w:val="Normal"/>
    <w:autoRedefine/>
    <w:semiHidden/>
    <w:rsid w:val="003803AF"/>
    <w:pPr>
      <w:tabs>
        <w:tab w:val="left" w:pos="3240"/>
        <w:tab w:val="right" w:leader="dot" w:pos="9360"/>
      </w:tabs>
      <w:suppressAutoHyphens/>
      <w:ind w:left="3240" w:hanging="360"/>
    </w:pPr>
    <w:rPr>
      <w:noProof/>
    </w:rPr>
  </w:style>
  <w:style w:type="paragraph" w:styleId="TOAHeading">
    <w:name w:val="toa heading"/>
    <w:basedOn w:val="Normal"/>
    <w:next w:val="Normal"/>
    <w:semiHidden/>
    <w:rsid w:val="003803AF"/>
    <w:pPr>
      <w:tabs>
        <w:tab w:val="right" w:pos="9360"/>
      </w:tabs>
      <w:suppressAutoHyphens/>
    </w:pPr>
  </w:style>
  <w:style w:type="character" w:customStyle="1" w:styleId="EquationCaption">
    <w:name w:val="_Equation Caption"/>
    <w:rsid w:val="003803AF"/>
  </w:style>
  <w:style w:type="paragraph" w:styleId="BlockText">
    <w:name w:val="Block Text"/>
    <w:basedOn w:val="Normal"/>
    <w:rsid w:val="003803AF"/>
    <w:pPr>
      <w:spacing w:after="240"/>
      <w:ind w:left="1440" w:right="1440"/>
    </w:pPr>
  </w:style>
  <w:style w:type="paragraph" w:customStyle="1" w:styleId="Paratitle">
    <w:name w:val="Para title"/>
    <w:basedOn w:val="Normal"/>
    <w:rsid w:val="003803AF"/>
    <w:pPr>
      <w:tabs>
        <w:tab w:val="center" w:pos="9270"/>
      </w:tabs>
      <w:spacing w:after="240"/>
    </w:pPr>
    <w:rPr>
      <w:spacing w:val="-2"/>
    </w:rPr>
  </w:style>
  <w:style w:type="paragraph" w:customStyle="1" w:styleId="Bullet">
    <w:name w:val="Bullet"/>
    <w:basedOn w:val="Normal"/>
    <w:rsid w:val="003803AF"/>
    <w:pPr>
      <w:tabs>
        <w:tab w:val="left" w:pos="2160"/>
      </w:tabs>
      <w:spacing w:after="220"/>
      <w:ind w:left="2160" w:hanging="720"/>
    </w:pPr>
  </w:style>
  <w:style w:type="paragraph" w:customStyle="1" w:styleId="TableFormat">
    <w:name w:val="TableFormat"/>
    <w:basedOn w:val="Bullet"/>
    <w:rsid w:val="003803AF"/>
    <w:pPr>
      <w:tabs>
        <w:tab w:val="clear" w:pos="2160"/>
        <w:tab w:val="left" w:pos="5040"/>
      </w:tabs>
      <w:ind w:left="5040" w:hanging="3600"/>
    </w:pPr>
  </w:style>
  <w:style w:type="paragraph" w:customStyle="1" w:styleId="TOCTitle">
    <w:name w:val="TOC Title"/>
    <w:basedOn w:val="Normal"/>
    <w:rsid w:val="003803AF"/>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3803AF"/>
    <w:pPr>
      <w:jc w:val="center"/>
    </w:pPr>
    <w:rPr>
      <w:rFonts w:ascii="Times New Roman Bold" w:hAnsi="Times New Roman Bold"/>
      <w:b/>
      <w:bCs/>
      <w:caps/>
      <w:szCs w:val="22"/>
    </w:rPr>
  </w:style>
  <w:style w:type="character" w:styleId="Hyperlink">
    <w:name w:val="Hyperlink"/>
    <w:rsid w:val="003803AF"/>
    <w:rPr>
      <w:color w:val="0000FF"/>
      <w:u w:val="single"/>
    </w:rPr>
  </w:style>
  <w:style w:type="character" w:customStyle="1" w:styleId="FootnoteTextChar2">
    <w:name w:val="Footnote Text Char2"/>
    <w:aliases w:val="Footnote Text Char1 Char,Footnote Text Char7 Char Char,Footnote Text Char4 Char1 Char Char,Footnote Text Char Char Char4 Char Char,Footnote Text Char7 Char Char Char Char Char,Footnote Text Char4 Char1 Char Char Char Char Char"/>
    <w:link w:val="FootnoteText"/>
  </w:style>
  <w:style w:type="paragraph" w:customStyle="1" w:styleId="default">
    <w:name w:val="default"/>
    <w:basedOn w:val="Normal"/>
    <w:pPr>
      <w:widowControl/>
      <w:spacing w:before="100" w:beforeAutospacing="1" w:after="100" w:afterAutospacing="1"/>
    </w:pPr>
    <w:rPr>
      <w:snapToGrid/>
      <w:kern w:val="0"/>
      <w:sz w:val="24"/>
      <w:szCs w:val="24"/>
    </w:rPr>
  </w:style>
  <w:style w:type="character" w:customStyle="1" w:styleId="CharChar2">
    <w:name w:val="Char Char2"/>
    <w:semiHidden/>
    <w:rPr>
      <w:rFonts w:eastAsia="Calibri"/>
      <w:lang w:val="en-US" w:eastAsia="en-US" w:bidi="ar-SA"/>
    </w:rPr>
  </w:style>
  <w:style w:type="character" w:customStyle="1" w:styleId="ParaNumChar">
    <w:name w:val="ParaNum Char"/>
    <w:link w:val="ParaNum0"/>
    <w:rPr>
      <w:snapToGrid w:val="0"/>
      <w:kern w:val="28"/>
      <w:sz w:val="22"/>
    </w:rPr>
  </w:style>
  <w:style w:type="paragraph" w:styleId="NormalWeb">
    <w:name w:val="Normal (Web)"/>
    <w:basedOn w:val="Normal"/>
    <w:pPr>
      <w:widowControl/>
      <w:spacing w:before="100" w:beforeAutospacing="1" w:after="100" w:afterAutospacing="1"/>
    </w:pPr>
    <w:rPr>
      <w:snapToGrid/>
      <w:color w:val="000000"/>
      <w:kern w:val="0"/>
      <w:sz w:val="24"/>
      <w:szCs w:val="24"/>
    </w:rPr>
  </w:style>
  <w:style w:type="character" w:styleId="Strong">
    <w:name w:val="Strong"/>
    <w:qFormat/>
    <w:rPr>
      <w:b/>
      <w:bCs/>
    </w:rPr>
  </w:style>
  <w:style w:type="character" w:styleId="Emphasis">
    <w:name w:val="Emphasis"/>
    <w:qFormat/>
    <w:rPr>
      <w:i/>
      <w:iCs/>
    </w:rPr>
  </w:style>
  <w:style w:type="paragraph" w:styleId="Caption">
    <w:name w:val="caption"/>
    <w:basedOn w:val="Normal"/>
    <w:next w:val="Normal"/>
    <w:qFormat/>
    <w:pPr>
      <w:spacing w:before="120" w:after="120"/>
    </w:pPr>
    <w:rPr>
      <w:b/>
    </w:rPr>
  </w:style>
  <w:style w:type="paragraph" w:customStyle="1" w:styleId="NumberedList">
    <w:name w:val="Numbered List"/>
    <w:basedOn w:val="Normal"/>
    <w:pPr>
      <w:numPr>
        <w:numId w:val="14"/>
      </w:numPr>
      <w:tabs>
        <w:tab w:val="clear" w:pos="1080"/>
      </w:tabs>
      <w:spacing w:after="220"/>
      <w:ind w:firstLine="0"/>
    </w:pPr>
  </w:style>
  <w:style w:type="paragraph" w:customStyle="1" w:styleId="Paranum">
    <w:name w:val="Paranum"/>
    <w:basedOn w:val="Normal"/>
    <w:pPr>
      <w:numPr>
        <w:numId w:val="1"/>
      </w:numPr>
      <w:tabs>
        <w:tab w:val="clear" w:pos="1080"/>
      </w:tabs>
      <w:spacing w:after="220"/>
      <w:jc w:val="both"/>
    </w:pPr>
  </w:style>
  <w:style w:type="paragraph" w:customStyle="1" w:styleId="TableFormat0">
    <w:name w:val="Table Format"/>
    <w:basedOn w:val="Normal"/>
    <w:pPr>
      <w:tabs>
        <w:tab w:val="left" w:pos="5040"/>
      </w:tabs>
      <w:spacing w:after="220"/>
      <w:ind w:left="5040" w:hanging="3600"/>
      <w:jc w:val="both"/>
    </w:pPr>
  </w:style>
  <w:style w:type="character" w:styleId="FollowedHyperlink">
    <w:name w:val="FollowedHyperlink"/>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777344">
      <w:bodyDiv w:val="1"/>
      <w:marLeft w:val="0"/>
      <w:marRight w:val="0"/>
      <w:marTop w:val="0"/>
      <w:marBottom w:val="0"/>
      <w:divBdr>
        <w:top w:val="none" w:sz="0" w:space="0" w:color="auto"/>
        <w:left w:val="none" w:sz="0" w:space="0" w:color="auto"/>
        <w:bottom w:val="none" w:sz="0" w:space="0" w:color="auto"/>
        <w:right w:val="none" w:sz="0" w:space="0" w:color="auto"/>
      </w:divBdr>
    </w:div>
    <w:div w:id="96144778">
      <w:bodyDiv w:val="1"/>
      <w:marLeft w:val="0"/>
      <w:marRight w:val="0"/>
      <w:marTop w:val="0"/>
      <w:marBottom w:val="0"/>
      <w:divBdr>
        <w:top w:val="none" w:sz="0" w:space="0" w:color="auto"/>
        <w:left w:val="none" w:sz="0" w:space="0" w:color="auto"/>
        <w:bottom w:val="none" w:sz="0" w:space="0" w:color="auto"/>
        <w:right w:val="none" w:sz="0" w:space="0" w:color="auto"/>
      </w:divBdr>
      <w:divsChild>
        <w:div w:id="1071076608">
          <w:marLeft w:val="0"/>
          <w:marRight w:val="0"/>
          <w:marTop w:val="0"/>
          <w:marBottom w:val="0"/>
          <w:divBdr>
            <w:top w:val="none" w:sz="0" w:space="0" w:color="auto"/>
            <w:left w:val="none" w:sz="0" w:space="0" w:color="auto"/>
            <w:bottom w:val="none" w:sz="0" w:space="0" w:color="auto"/>
            <w:right w:val="none" w:sz="0" w:space="0" w:color="auto"/>
          </w:divBdr>
        </w:div>
        <w:div w:id="1290815890">
          <w:marLeft w:val="0"/>
          <w:marRight w:val="0"/>
          <w:marTop w:val="0"/>
          <w:marBottom w:val="0"/>
          <w:divBdr>
            <w:top w:val="none" w:sz="0" w:space="0" w:color="auto"/>
            <w:left w:val="none" w:sz="0" w:space="0" w:color="auto"/>
            <w:bottom w:val="none" w:sz="0" w:space="0" w:color="auto"/>
            <w:right w:val="none" w:sz="0" w:space="0" w:color="auto"/>
          </w:divBdr>
        </w:div>
        <w:div w:id="1323965741">
          <w:marLeft w:val="0"/>
          <w:marRight w:val="0"/>
          <w:marTop w:val="0"/>
          <w:marBottom w:val="0"/>
          <w:divBdr>
            <w:top w:val="none" w:sz="0" w:space="0" w:color="auto"/>
            <w:left w:val="none" w:sz="0" w:space="0" w:color="auto"/>
            <w:bottom w:val="none" w:sz="0" w:space="0" w:color="auto"/>
            <w:right w:val="none" w:sz="0" w:space="0" w:color="auto"/>
          </w:divBdr>
        </w:div>
      </w:divsChild>
    </w:div>
    <w:div w:id="10763937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M:\Forms\OS%20Process\Orders%20TOC%20by%20Paragraph.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TOC by Paragraph</Template>
  <TotalTime>0</TotalTime>
  <Pages>3</Pages>
  <Words>526</Words>
  <Characters>2778</Characters>
  <Application>Microsoft Office Word</Application>
  <DocSecurity>0</DocSecurity>
  <Lines>66</Lines>
  <Paragraphs>23</Paragraphs>
  <ScaleCrop>false</ScaleCrop>
  <HeadingPairs>
    <vt:vector size="2" baseType="variant">
      <vt:variant>
        <vt:lpstr>Title</vt:lpstr>
      </vt:variant>
      <vt:variant>
        <vt:i4>1</vt:i4>
      </vt:variant>
    </vt:vector>
  </HeadingPairs>
  <TitlesOfParts>
    <vt:vector size="1" baseType="lpstr">
      <vt:lpstr>_</vt:lpstr>
    </vt:vector>
  </TitlesOfParts>
  <Manager/>
  <Company/>
  <LinksUpToDate>false</LinksUpToDate>
  <CharactersWithSpaces>3335</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2014-04-08T17:17:00Z</cp:lastPrinted>
  <dcterms:created xsi:type="dcterms:W3CDTF">2014-05-20T19:22:00Z</dcterms:created>
  <dcterms:modified xsi:type="dcterms:W3CDTF">2014-05-20T19:22:00Z</dcterms:modified>
  <cp:category> </cp:category>
  <cp:contentStatus> </cp:contentStatus>
</cp:coreProperties>
</file>