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10" w:rsidRPr="00F32480" w:rsidRDefault="00562010">
      <w:pPr>
        <w:jc w:val="center"/>
        <w:rPr>
          <w:b/>
        </w:rPr>
      </w:pPr>
      <w:bookmarkStart w:id="0" w:name="_GoBack"/>
      <w:bookmarkEnd w:id="0"/>
      <w:r w:rsidRPr="00F32480">
        <w:rPr>
          <w:b/>
        </w:rPr>
        <w:t>Before the</w:t>
      </w:r>
    </w:p>
    <w:p w:rsidR="00562010" w:rsidRPr="00F32480" w:rsidRDefault="00562010">
      <w:pPr>
        <w:jc w:val="center"/>
        <w:rPr>
          <w:b/>
        </w:rPr>
      </w:pPr>
      <w:r w:rsidRPr="00F32480">
        <w:rPr>
          <w:b/>
        </w:rPr>
        <w:t>Federal Communications Commission</w:t>
      </w:r>
    </w:p>
    <w:p w:rsidR="00562010" w:rsidRPr="00F32480" w:rsidRDefault="00562010">
      <w:pPr>
        <w:jc w:val="center"/>
        <w:rPr>
          <w:b/>
        </w:rPr>
      </w:pPr>
      <w:r w:rsidRPr="00F32480">
        <w:rPr>
          <w:b/>
        </w:rPr>
        <w:t>Washington, D.C. 20554</w:t>
      </w:r>
    </w:p>
    <w:p w:rsidR="00562010" w:rsidRPr="00F32480" w:rsidRDefault="00562010" w:rsidP="002066E2">
      <w:pPr>
        <w:jc w:val="right"/>
        <w:rPr>
          <w:b/>
        </w:rPr>
      </w:pPr>
    </w:p>
    <w:tbl>
      <w:tblPr>
        <w:tblW w:w="0" w:type="auto"/>
        <w:tblLayout w:type="fixed"/>
        <w:tblLook w:val="0000" w:firstRow="0" w:lastRow="0" w:firstColumn="0" w:lastColumn="0" w:noHBand="0" w:noVBand="0"/>
      </w:tblPr>
      <w:tblGrid>
        <w:gridCol w:w="4698"/>
        <w:gridCol w:w="720"/>
        <w:gridCol w:w="4158"/>
      </w:tblGrid>
      <w:tr w:rsidR="00562010" w:rsidRPr="00F32480">
        <w:tc>
          <w:tcPr>
            <w:tcW w:w="4698" w:type="dxa"/>
          </w:tcPr>
          <w:p w:rsidR="00562010" w:rsidRPr="00F32480" w:rsidRDefault="00562010">
            <w:pPr>
              <w:ind w:right="-18"/>
            </w:pPr>
            <w:r w:rsidRPr="00F32480">
              <w:t>In the Matter of</w:t>
            </w:r>
          </w:p>
          <w:p w:rsidR="00562010" w:rsidRPr="00F32480" w:rsidRDefault="00562010">
            <w:pPr>
              <w:ind w:right="-18"/>
            </w:pPr>
          </w:p>
          <w:p w:rsidR="00A05A23" w:rsidRDefault="00A05A23" w:rsidP="00A05A23">
            <w:pPr>
              <w:ind w:right="-18"/>
            </w:pPr>
            <w:r>
              <w:t xml:space="preserve">RB Communications, Inc., d/b/a Starfone </w:t>
            </w:r>
          </w:p>
          <w:p w:rsidR="00562010" w:rsidRPr="00F32480" w:rsidRDefault="00562010">
            <w:pPr>
              <w:ind w:right="-18"/>
            </w:pPr>
          </w:p>
          <w:p w:rsidR="00562010" w:rsidRPr="00F32480" w:rsidRDefault="00562010">
            <w:pPr>
              <w:ind w:right="-18"/>
            </w:pPr>
          </w:p>
          <w:p w:rsidR="00562010" w:rsidRPr="00F32480" w:rsidRDefault="00562010">
            <w:pPr>
              <w:ind w:right="-18"/>
            </w:pPr>
          </w:p>
        </w:tc>
        <w:tc>
          <w:tcPr>
            <w:tcW w:w="720" w:type="dxa"/>
          </w:tcPr>
          <w:p w:rsidR="00562010" w:rsidRPr="00F32480" w:rsidRDefault="00562010">
            <w:pPr>
              <w:rPr>
                <w:b/>
              </w:rPr>
            </w:pPr>
            <w:r w:rsidRPr="00F32480">
              <w:rPr>
                <w:b/>
              </w:rPr>
              <w:t>)</w:t>
            </w:r>
          </w:p>
          <w:p w:rsidR="00562010" w:rsidRPr="00F32480" w:rsidRDefault="00562010">
            <w:pPr>
              <w:rPr>
                <w:b/>
              </w:rPr>
            </w:pPr>
            <w:r w:rsidRPr="00F32480">
              <w:rPr>
                <w:b/>
              </w:rPr>
              <w:t>)</w:t>
            </w:r>
          </w:p>
          <w:p w:rsidR="00562010" w:rsidRPr="00F32480" w:rsidRDefault="00562010">
            <w:pPr>
              <w:rPr>
                <w:b/>
              </w:rPr>
            </w:pPr>
            <w:r w:rsidRPr="00F32480">
              <w:rPr>
                <w:b/>
              </w:rPr>
              <w:t>)</w:t>
            </w:r>
          </w:p>
          <w:p w:rsidR="00562010" w:rsidRPr="00F32480" w:rsidRDefault="00562010">
            <w:pPr>
              <w:rPr>
                <w:b/>
              </w:rPr>
            </w:pPr>
            <w:r w:rsidRPr="00F32480">
              <w:rPr>
                <w:b/>
              </w:rPr>
              <w:t>)</w:t>
            </w:r>
          </w:p>
          <w:p w:rsidR="00562010" w:rsidRPr="00F32480" w:rsidRDefault="00562010">
            <w:pPr>
              <w:rPr>
                <w:b/>
              </w:rPr>
            </w:pPr>
            <w:r w:rsidRPr="00F32480">
              <w:rPr>
                <w:b/>
              </w:rPr>
              <w:t>)</w:t>
            </w:r>
          </w:p>
        </w:tc>
        <w:tc>
          <w:tcPr>
            <w:tcW w:w="4158" w:type="dxa"/>
          </w:tcPr>
          <w:p w:rsidR="00A05A23" w:rsidRPr="00045B23" w:rsidRDefault="00A05A23" w:rsidP="00A05A23">
            <w:pPr>
              <w:ind w:left="-108" w:firstLine="108"/>
            </w:pPr>
            <w:r w:rsidRPr="00045B23">
              <w:rPr>
                <w:spacing w:val="-2"/>
              </w:rPr>
              <w:t>File No.</w:t>
            </w:r>
            <w:r w:rsidR="001C5BC3">
              <w:rPr>
                <w:spacing w:val="-2"/>
              </w:rPr>
              <w:t xml:space="preserve">: </w:t>
            </w:r>
            <w:r w:rsidRPr="00045B23">
              <w:rPr>
                <w:spacing w:val="-2"/>
              </w:rPr>
              <w:t xml:space="preserve"> </w:t>
            </w:r>
            <w:r w:rsidRPr="00045B23">
              <w:t>EB-IH</w:t>
            </w:r>
            <w:r w:rsidR="002160B7">
              <w:t>D-13</w:t>
            </w:r>
            <w:r w:rsidRPr="00045B23">
              <w:t>-</w:t>
            </w:r>
            <w:r w:rsidR="002160B7">
              <w:t>00011657</w:t>
            </w:r>
            <w:r w:rsidR="006C779E">
              <w:rPr>
                <w:rStyle w:val="FootnoteReference"/>
              </w:rPr>
              <w:footnoteReference w:id="2"/>
            </w:r>
          </w:p>
          <w:p w:rsidR="00A05A23" w:rsidRPr="00045B23" w:rsidRDefault="00A05A23" w:rsidP="00A05A23"/>
          <w:p w:rsidR="00A05A23" w:rsidRPr="00045B23" w:rsidRDefault="00A05A23" w:rsidP="00A05A23">
            <w:pPr>
              <w:rPr>
                <w:spacing w:val="-2"/>
              </w:rPr>
            </w:pPr>
            <w:r w:rsidRPr="00045B23">
              <w:rPr>
                <w:spacing w:val="-2"/>
              </w:rPr>
              <w:t>NAL/Acct. No.</w:t>
            </w:r>
            <w:r w:rsidR="001C5BC3">
              <w:rPr>
                <w:spacing w:val="-2"/>
              </w:rPr>
              <w:t xml:space="preserve">: </w:t>
            </w:r>
            <w:r w:rsidRPr="00045B23">
              <w:rPr>
                <w:spacing w:val="-2"/>
              </w:rPr>
              <w:t xml:space="preserve"> </w:t>
            </w:r>
            <w:r w:rsidRPr="00045B23">
              <w:rPr>
                <w:bCs/>
              </w:rPr>
              <w:t>201232080018</w:t>
            </w:r>
          </w:p>
          <w:p w:rsidR="00A05A23" w:rsidRPr="00045B23" w:rsidRDefault="00A05A23" w:rsidP="00A05A23">
            <w:pPr>
              <w:rPr>
                <w:spacing w:val="-2"/>
              </w:rPr>
            </w:pPr>
          </w:p>
          <w:p w:rsidR="00562010" w:rsidRPr="00F32480" w:rsidRDefault="00A05A23" w:rsidP="00A05A23">
            <w:r>
              <w:t>FRN</w:t>
            </w:r>
            <w:r w:rsidR="001C5BC3">
              <w:t xml:space="preserve">: </w:t>
            </w:r>
            <w:r>
              <w:t xml:space="preserve"> 0012951612</w:t>
            </w:r>
          </w:p>
        </w:tc>
      </w:tr>
    </w:tbl>
    <w:p w:rsidR="00562010" w:rsidRPr="00F32480" w:rsidRDefault="00562010">
      <w:pPr>
        <w:jc w:val="center"/>
        <w:outlineLvl w:val="0"/>
      </w:pPr>
      <w:r w:rsidRPr="00F32480">
        <w:rPr>
          <w:b/>
        </w:rPr>
        <w:t>FORFEITURE ORDER</w:t>
      </w:r>
    </w:p>
    <w:p w:rsidR="00562010" w:rsidRPr="00F32480" w:rsidRDefault="00562010">
      <w:pPr>
        <w:jc w:val="center"/>
      </w:pPr>
    </w:p>
    <w:p w:rsidR="00562010" w:rsidRPr="00F32480" w:rsidRDefault="00562010">
      <w:r w:rsidRPr="00F32480">
        <w:rPr>
          <w:b/>
        </w:rPr>
        <w:t>Adopted:</w:t>
      </w:r>
      <w:r w:rsidRPr="00F32480">
        <w:t xml:space="preserve">  </w:t>
      </w:r>
      <w:r w:rsidRPr="00064B13">
        <w:rPr>
          <w:b/>
        </w:rPr>
        <w:t>M</w:t>
      </w:r>
      <w:r w:rsidR="00004A5C">
        <w:rPr>
          <w:b/>
        </w:rPr>
        <w:t>ay 23</w:t>
      </w:r>
      <w:r w:rsidRPr="00064B13">
        <w:rPr>
          <w:b/>
        </w:rPr>
        <w:t>,</w:t>
      </w:r>
      <w:r w:rsidRPr="00F32480">
        <w:rPr>
          <w:b/>
        </w:rPr>
        <w:t xml:space="preserve"> 201</w:t>
      </w:r>
      <w:r w:rsidR="00A05A23">
        <w:rPr>
          <w:b/>
        </w:rPr>
        <w:t>4</w:t>
      </w:r>
      <w:r w:rsidRPr="00F32480">
        <w:tab/>
      </w:r>
      <w:r w:rsidRPr="00F32480">
        <w:tab/>
      </w:r>
      <w:r w:rsidRPr="00F32480">
        <w:tab/>
      </w:r>
      <w:r w:rsidRPr="00F32480">
        <w:tab/>
      </w:r>
      <w:r w:rsidRPr="00F32480">
        <w:tab/>
      </w:r>
      <w:r w:rsidRPr="00F32480">
        <w:tab/>
        <w:t xml:space="preserve"> </w:t>
      </w:r>
      <w:r w:rsidRPr="00F32480">
        <w:rPr>
          <w:b/>
        </w:rPr>
        <w:t>Released:</w:t>
      </w:r>
      <w:r w:rsidRPr="00F32480">
        <w:t xml:space="preserve">  </w:t>
      </w:r>
      <w:r w:rsidRPr="00064B13">
        <w:rPr>
          <w:b/>
        </w:rPr>
        <w:t>M</w:t>
      </w:r>
      <w:r w:rsidR="00004A5C">
        <w:rPr>
          <w:b/>
        </w:rPr>
        <w:t>ay 23</w:t>
      </w:r>
      <w:r w:rsidRPr="00064B13">
        <w:rPr>
          <w:b/>
        </w:rPr>
        <w:t>,</w:t>
      </w:r>
      <w:r w:rsidR="00A05A23">
        <w:rPr>
          <w:b/>
        </w:rPr>
        <w:t xml:space="preserve"> 2014</w:t>
      </w:r>
    </w:p>
    <w:p w:rsidR="00562010" w:rsidRPr="00F32480" w:rsidRDefault="00562010">
      <w:pPr>
        <w:ind w:left="2880" w:firstLine="720"/>
      </w:pPr>
    </w:p>
    <w:p w:rsidR="00562010" w:rsidRPr="00F32480" w:rsidRDefault="00562010">
      <w:r w:rsidRPr="00F32480">
        <w:t>By the Commission:</w:t>
      </w:r>
    </w:p>
    <w:p w:rsidR="00562010" w:rsidRPr="00F32480" w:rsidRDefault="00562010"/>
    <w:p w:rsidR="00562010" w:rsidRPr="00F32480" w:rsidRDefault="00562010" w:rsidP="00937C4F">
      <w:pPr>
        <w:pStyle w:val="Heading1"/>
      </w:pPr>
      <w:r w:rsidRPr="00F32480">
        <w:t xml:space="preserve">INTRODUCTION </w:t>
      </w:r>
    </w:p>
    <w:p w:rsidR="00A118DE" w:rsidRPr="00A118DE" w:rsidRDefault="00A118DE" w:rsidP="00F02EF1">
      <w:pPr>
        <w:pStyle w:val="ParaNum"/>
      </w:pPr>
      <w:r w:rsidRPr="00A118DE">
        <w:t>In this Forfeiture Order, we impose a penalty of $</w:t>
      </w:r>
      <w:r w:rsidR="006945AF">
        <w:t>408,668</w:t>
      </w:r>
      <w:r w:rsidRPr="00A118DE">
        <w:t xml:space="preserve"> against RB Communications, Inc., d/b/a Starfone (Starfone or the Company) for providing interstate and international telecommunications services over </w:t>
      </w:r>
      <w:r w:rsidR="003744B1">
        <w:t xml:space="preserve">a </w:t>
      </w:r>
      <w:r>
        <w:t>four</w:t>
      </w:r>
      <w:r w:rsidR="00F4091E">
        <w:t>-</w:t>
      </w:r>
      <w:r w:rsidRPr="00A118DE">
        <w:t>year</w:t>
      </w:r>
      <w:r w:rsidR="003744B1">
        <w:t xml:space="preserve"> period</w:t>
      </w:r>
      <w:r w:rsidRPr="00A118DE">
        <w:t xml:space="preserve"> without </w:t>
      </w:r>
      <w:r w:rsidR="003744B1">
        <w:t xml:space="preserve">first </w:t>
      </w:r>
      <w:r w:rsidRPr="00A118DE">
        <w:t xml:space="preserve">meeting important regulatory obligations.  </w:t>
      </w:r>
      <w:r w:rsidR="003744B1">
        <w:t xml:space="preserve">Specifically, </w:t>
      </w:r>
      <w:r w:rsidRPr="00A118DE">
        <w:t>Starfone provided</w:t>
      </w:r>
      <w:r>
        <w:t xml:space="preserve"> </w:t>
      </w:r>
      <w:r w:rsidR="00F4091E">
        <w:t xml:space="preserve">interstate telecommunications </w:t>
      </w:r>
      <w:r w:rsidRPr="00A118DE">
        <w:t xml:space="preserve">service without registering with the Commission and </w:t>
      </w:r>
      <w:r w:rsidR="00F4091E">
        <w:t xml:space="preserve">international telecommunications service </w:t>
      </w:r>
      <w:r w:rsidRPr="00A118DE">
        <w:t>without obtaining Commission authori</w:t>
      </w:r>
      <w:r w:rsidR="00F4091E">
        <w:t>ty</w:t>
      </w:r>
      <w:r w:rsidRPr="00A118DE">
        <w:t xml:space="preserve">.  Starfone also failed to </w:t>
      </w:r>
      <w:r w:rsidR="00C0692C">
        <w:t xml:space="preserve">make </w:t>
      </w:r>
      <w:r w:rsidRPr="00A118DE">
        <w:t>timely contribut</w:t>
      </w:r>
      <w:r w:rsidR="00C0692C">
        <w:t>ions</w:t>
      </w:r>
      <w:r w:rsidRPr="00A118DE">
        <w:t xml:space="preserve"> to the </w:t>
      </w:r>
      <w:r w:rsidR="00935F76">
        <w:t xml:space="preserve">Interstate </w:t>
      </w:r>
      <w:r w:rsidRPr="00A118DE">
        <w:t xml:space="preserve">Telecommunications Relay Service (TRS) Fund and </w:t>
      </w:r>
      <w:r w:rsidR="00813339">
        <w:t xml:space="preserve">to </w:t>
      </w:r>
      <w:r w:rsidR="00F4091E">
        <w:t xml:space="preserve">timely </w:t>
      </w:r>
      <w:r w:rsidRPr="00A118DE">
        <w:t xml:space="preserve">pay </w:t>
      </w:r>
      <w:r w:rsidR="00C0692C">
        <w:t xml:space="preserve">the </w:t>
      </w:r>
      <w:r w:rsidRPr="00A118DE">
        <w:t xml:space="preserve">regulatory fees </w:t>
      </w:r>
      <w:r w:rsidR="00C0692C">
        <w:t>it owed</w:t>
      </w:r>
      <w:r w:rsidRPr="00A118DE">
        <w:t xml:space="preserve"> the Commission. </w:t>
      </w:r>
      <w:r w:rsidR="007720B9">
        <w:t xml:space="preserve"> </w:t>
      </w:r>
      <w:r w:rsidRPr="00A118DE">
        <w:t xml:space="preserve">Each of </w:t>
      </w:r>
      <w:r w:rsidR="00813339">
        <w:t xml:space="preserve">these </w:t>
      </w:r>
      <w:r w:rsidRPr="00A118DE">
        <w:t>violations harmed the public.  Starfone evade</w:t>
      </w:r>
      <w:r w:rsidR="00813339">
        <w:t>d</w:t>
      </w:r>
      <w:r w:rsidRPr="00A118DE">
        <w:t xml:space="preserve"> Commiss</w:t>
      </w:r>
      <w:r w:rsidR="00813339">
        <w:t xml:space="preserve">ion oversight for years by failing to register.  </w:t>
      </w:r>
      <w:r w:rsidR="003744B1">
        <w:t>Starfone</w:t>
      </w:r>
      <w:r w:rsidR="00813339">
        <w:t xml:space="preserve"> </w:t>
      </w:r>
      <w:r w:rsidRPr="00A118DE">
        <w:t>subjected the nation to potential national security and law enforcement risks</w:t>
      </w:r>
      <w:r w:rsidR="003744B1">
        <w:t xml:space="preserve"> by not </w:t>
      </w:r>
      <w:r w:rsidR="00F4091E">
        <w:t xml:space="preserve">timely </w:t>
      </w:r>
      <w:r w:rsidR="003744B1">
        <w:t>seeking or obtaining</w:t>
      </w:r>
      <w:r w:rsidR="00C0692C">
        <w:t xml:space="preserve"> authori</w:t>
      </w:r>
      <w:r w:rsidR="00F4091E">
        <w:t>ty</w:t>
      </w:r>
      <w:r w:rsidR="00C0692C">
        <w:t xml:space="preserve"> to provide</w:t>
      </w:r>
      <w:r w:rsidR="003744B1">
        <w:t xml:space="preserve"> </w:t>
      </w:r>
      <w:r w:rsidR="003744B1" w:rsidRPr="00A118DE">
        <w:t xml:space="preserve">international </w:t>
      </w:r>
      <w:r w:rsidR="00F4091E">
        <w:t xml:space="preserve">telecommunications </w:t>
      </w:r>
      <w:r w:rsidR="00C0692C">
        <w:t>service</w:t>
      </w:r>
      <w:r w:rsidRPr="00A118DE">
        <w:t xml:space="preserve">.  </w:t>
      </w:r>
      <w:r w:rsidR="00813339">
        <w:t xml:space="preserve">Starfone’s </w:t>
      </w:r>
      <w:r w:rsidRPr="00A118DE">
        <w:t xml:space="preserve">TRS violations harmed the critically important TRS program, which depends on timely contributions </w:t>
      </w:r>
      <w:r w:rsidR="00813339">
        <w:t xml:space="preserve">to provide </w:t>
      </w:r>
      <w:r w:rsidR="00813339" w:rsidRPr="00A118DE">
        <w:t>persons with disabilities</w:t>
      </w:r>
      <w:r w:rsidR="00813339">
        <w:t xml:space="preserve"> access to the same communications services enjoyed by others</w:t>
      </w:r>
      <w:r w:rsidRPr="00A118DE">
        <w:t xml:space="preserve">.  </w:t>
      </w:r>
      <w:r w:rsidR="000C6C22">
        <w:t>B</w:t>
      </w:r>
      <w:r w:rsidR="00813339">
        <w:t xml:space="preserve">y failing to pay its </w:t>
      </w:r>
      <w:r w:rsidRPr="00A118DE">
        <w:t>regulatory fee</w:t>
      </w:r>
      <w:r w:rsidR="00813339">
        <w:t>s</w:t>
      </w:r>
      <w:r w:rsidR="00083D5B">
        <w:t xml:space="preserve"> on time</w:t>
      </w:r>
      <w:r w:rsidR="00813339">
        <w:t xml:space="preserve">, </w:t>
      </w:r>
      <w:r>
        <w:t>Starfone</w:t>
      </w:r>
      <w:r w:rsidR="00813339">
        <w:t xml:space="preserve"> </w:t>
      </w:r>
      <w:r w:rsidR="0082214E">
        <w:t>unfairly</w:t>
      </w:r>
      <w:r>
        <w:t xml:space="preserve"> </w:t>
      </w:r>
      <w:r w:rsidR="00813339">
        <w:t xml:space="preserve">shifted its </w:t>
      </w:r>
      <w:r>
        <w:t xml:space="preserve">share of </w:t>
      </w:r>
      <w:r w:rsidR="00813339">
        <w:t>regulatory costs to other providers</w:t>
      </w:r>
      <w:r w:rsidRPr="00A118DE">
        <w:t xml:space="preserve">.  </w:t>
      </w:r>
      <w:r w:rsidR="0086279B">
        <w:t>Finally,</w:t>
      </w:r>
      <w:r w:rsidR="00536098">
        <w:t xml:space="preserve"> </w:t>
      </w:r>
      <w:r w:rsidR="00EA0613">
        <w:t xml:space="preserve">since the Commission issued the proposed forfeiture against the Company, </w:t>
      </w:r>
      <w:r w:rsidR="00B21B09">
        <w:t xml:space="preserve">Starfone has </w:t>
      </w:r>
      <w:r w:rsidR="00EF65A5">
        <w:t xml:space="preserve">continued to default on </w:t>
      </w:r>
      <w:r w:rsidR="0086279B">
        <w:t xml:space="preserve">its </w:t>
      </w:r>
      <w:r w:rsidR="00EF65A5">
        <w:t xml:space="preserve">ongoing </w:t>
      </w:r>
      <w:r w:rsidR="0086279B">
        <w:t xml:space="preserve">contribution </w:t>
      </w:r>
      <w:r w:rsidR="00EF65A5">
        <w:t>obligation</w:t>
      </w:r>
      <w:r w:rsidR="00B21B09">
        <w:t>s</w:t>
      </w:r>
      <w:r w:rsidR="00EF65A5">
        <w:t xml:space="preserve"> to the TRS Fund</w:t>
      </w:r>
      <w:r w:rsidR="00EA0613">
        <w:t>.</w:t>
      </w:r>
      <w:r w:rsidR="00B21B09">
        <w:t xml:space="preserve"> </w:t>
      </w:r>
      <w:r w:rsidR="00F4542B">
        <w:t xml:space="preserve"> </w:t>
      </w:r>
      <w:r w:rsidR="002B2CD3">
        <w:t xml:space="preserve">The forfeiture we impose </w:t>
      </w:r>
      <w:r w:rsidR="000E1498">
        <w:t xml:space="preserve">here </w:t>
      </w:r>
      <w:r w:rsidR="002B2CD3">
        <w:t>reflects the seriousness, duration, and scope of Starfone’s violations</w:t>
      </w:r>
      <w:r w:rsidR="00531E57">
        <w:t>,</w:t>
      </w:r>
      <w:r w:rsidR="00D027D9">
        <w:t xml:space="preserve"> </w:t>
      </w:r>
      <w:r w:rsidR="0086279B">
        <w:t xml:space="preserve">and also </w:t>
      </w:r>
      <w:r w:rsidR="00D027D9">
        <w:t>tak</w:t>
      </w:r>
      <w:r w:rsidR="00E94677">
        <w:t xml:space="preserve">es </w:t>
      </w:r>
      <w:r w:rsidR="00D027D9">
        <w:t xml:space="preserve">into account </w:t>
      </w:r>
      <w:r w:rsidR="000C6C22">
        <w:t xml:space="preserve">the Company’s </w:t>
      </w:r>
      <w:r w:rsidR="00D027D9">
        <w:t>ongoing record of noncompliance</w:t>
      </w:r>
      <w:r w:rsidR="002B2CD3">
        <w:t xml:space="preserve">. </w:t>
      </w:r>
    </w:p>
    <w:p w:rsidR="00562010" w:rsidRPr="00F32480" w:rsidRDefault="00562010" w:rsidP="00937C4F">
      <w:pPr>
        <w:pStyle w:val="Heading1"/>
      </w:pPr>
      <w:r w:rsidRPr="00F32480">
        <w:t>BACKGROUND</w:t>
      </w:r>
    </w:p>
    <w:p w:rsidR="00562010" w:rsidRPr="00F32480" w:rsidRDefault="00562010" w:rsidP="002F57F8">
      <w:pPr>
        <w:pStyle w:val="ParaNum"/>
        <w:widowControl/>
      </w:pPr>
      <w:r w:rsidRPr="00F32480">
        <w:t>The fact</w:t>
      </w:r>
      <w:r w:rsidR="003744B1">
        <w:t>ual background for</w:t>
      </w:r>
      <w:r w:rsidRPr="00F32480">
        <w:t xml:space="preserve"> this </w:t>
      </w:r>
      <w:r w:rsidRPr="00637E0A">
        <w:t>Forfeiture Order</w:t>
      </w:r>
      <w:r w:rsidRPr="00F32480">
        <w:t xml:space="preserve"> </w:t>
      </w:r>
      <w:r w:rsidR="003744B1">
        <w:t>is</w:t>
      </w:r>
      <w:r w:rsidRPr="00F32480">
        <w:t xml:space="preserve"> set forth in detail in the </w:t>
      </w:r>
      <w:r w:rsidRPr="00637E0A">
        <w:rPr>
          <w:i/>
        </w:rPr>
        <w:t>Notice of Apparent Liability</w:t>
      </w:r>
      <w:r w:rsidRPr="00F32480">
        <w:t xml:space="preserve"> </w:t>
      </w:r>
      <w:r w:rsidR="00ED3AF3">
        <w:t xml:space="preserve">that </w:t>
      </w:r>
      <w:r w:rsidR="009C6736">
        <w:t xml:space="preserve">the Commission </w:t>
      </w:r>
      <w:r w:rsidR="005463B4">
        <w:t xml:space="preserve">previously </w:t>
      </w:r>
      <w:r w:rsidRPr="00F32480">
        <w:t>issued against Starfone (</w:t>
      </w:r>
      <w:r w:rsidRPr="00F32480">
        <w:rPr>
          <w:i/>
        </w:rPr>
        <w:t>Starfone NAL</w:t>
      </w:r>
      <w:r w:rsidRPr="00F32480">
        <w:t>),</w:t>
      </w:r>
      <w:r w:rsidRPr="00F32480">
        <w:rPr>
          <w:rStyle w:val="FootnoteReference"/>
        </w:rPr>
        <w:footnoteReference w:id="3"/>
      </w:r>
      <w:r w:rsidRPr="00F32480">
        <w:t xml:space="preserve"> and </w:t>
      </w:r>
      <w:r w:rsidR="003744B1">
        <w:t xml:space="preserve">will </w:t>
      </w:r>
      <w:r w:rsidRPr="00F32480">
        <w:t>not be repeated here at length.  RB Communications, Inc. is a California corporation</w:t>
      </w:r>
      <w:r w:rsidR="00A05A23">
        <w:t xml:space="preserve"> </w:t>
      </w:r>
      <w:r w:rsidRPr="00F32480">
        <w:t>that, through the trade name Starfone, resells interstate and international telecommunications services to end users.</w:t>
      </w:r>
      <w:r w:rsidRPr="00F32480">
        <w:rPr>
          <w:rStyle w:val="FootnoteReference"/>
        </w:rPr>
        <w:footnoteReference w:id="4"/>
      </w:r>
      <w:r w:rsidRPr="00F32480">
        <w:t xml:space="preserve">  Starfone </w:t>
      </w:r>
      <w:r w:rsidR="00C32D49" w:rsidRPr="00F32480">
        <w:t>advertises</w:t>
      </w:r>
      <w:r w:rsidRPr="00F32480">
        <w:t xml:space="preserve"> </w:t>
      </w:r>
      <w:r w:rsidR="008D190E" w:rsidRPr="00F32480">
        <w:t>itself as</w:t>
      </w:r>
      <w:r w:rsidRPr="00F32480">
        <w:t xml:space="preserve"> “a value ad</w:t>
      </w:r>
      <w:r w:rsidR="00A05A23">
        <w:t>ded provider of Long Distance (I</w:t>
      </w:r>
      <w:r w:rsidRPr="00F32480">
        <w:t xml:space="preserve">nternational), prepaid and postpaid calling </w:t>
      </w:r>
      <w:r w:rsidRPr="00F32480">
        <w:lastRenderedPageBreak/>
        <w:t>services based on an online pinless calling card system” that allows users global access to over 300 countries.</w:t>
      </w:r>
      <w:r w:rsidRPr="00F32480">
        <w:rPr>
          <w:rStyle w:val="FootnoteReference"/>
        </w:rPr>
        <w:footnoteReference w:id="5"/>
      </w:r>
      <w:r w:rsidRPr="00F32480">
        <w:t xml:space="preserve">  </w:t>
      </w:r>
    </w:p>
    <w:p w:rsidR="00562010" w:rsidRPr="00F32480" w:rsidRDefault="00562010" w:rsidP="002D655A">
      <w:pPr>
        <w:pStyle w:val="ParaNum"/>
      </w:pPr>
      <w:bookmarkStart w:id="1" w:name="_Ref386210436"/>
      <w:r w:rsidRPr="00F32480">
        <w:t xml:space="preserve">On April 13, 2012, the Commission adopted the </w:t>
      </w:r>
      <w:r w:rsidRPr="00F32480">
        <w:rPr>
          <w:i/>
        </w:rPr>
        <w:t>Starfone NAL</w:t>
      </w:r>
      <w:r w:rsidRPr="00F32480">
        <w:t>, which found that Starfone</w:t>
      </w:r>
      <w:r w:rsidR="003C6DE4">
        <w:t xml:space="preserve"> had apparently violated:  (1) </w:t>
      </w:r>
      <w:r w:rsidRPr="00F32480">
        <w:t xml:space="preserve">Section 214 of the </w:t>
      </w:r>
      <w:r w:rsidR="0007348B">
        <w:t xml:space="preserve">Communications </w:t>
      </w:r>
      <w:r w:rsidRPr="00F32480">
        <w:t>Act</w:t>
      </w:r>
      <w:r w:rsidR="0007348B">
        <w:t xml:space="preserve"> of 1934, as </w:t>
      </w:r>
      <w:r w:rsidR="007D27AB">
        <w:t>a</w:t>
      </w:r>
      <w:r w:rsidR="0007348B">
        <w:t>mended (Act)</w:t>
      </w:r>
      <w:r w:rsidRPr="00F32480">
        <w:t xml:space="preserve"> and Section 63.18 of the </w:t>
      </w:r>
      <w:r w:rsidR="00F37D15">
        <w:t>Commission’s rules (</w:t>
      </w:r>
      <w:r w:rsidRPr="00F32480">
        <w:t>Rules</w:t>
      </w:r>
      <w:r w:rsidR="00F37D15">
        <w:t>)</w:t>
      </w:r>
      <w:r w:rsidRPr="00F32480">
        <w:t xml:space="preserve"> by failing to obtain international Section 214 authority before providing international telecommunications service;</w:t>
      </w:r>
      <w:r w:rsidR="0007348B" w:rsidRPr="00F32480">
        <w:rPr>
          <w:rStyle w:val="FootnoteReference"/>
        </w:rPr>
        <w:footnoteReference w:id="6"/>
      </w:r>
      <w:r w:rsidRPr="00F32480">
        <w:t xml:space="preserve"> (2) Section 64.1195(a) of the Rules by failing to register with the Commission from the time it began providing interstate telecommunications services until July 23, 2009;</w:t>
      </w:r>
      <w:r w:rsidR="0007348B">
        <w:rPr>
          <w:rStyle w:val="FootnoteReference"/>
        </w:rPr>
        <w:footnoteReference w:id="7"/>
      </w:r>
      <w:r w:rsidRPr="00F32480">
        <w:t xml:space="preserve"> (3) Section 64.604(c)(5)(iii)(A) of the Rules by failing to timely make required TRS contributions for 2007, 2008, and 2009</w:t>
      </w:r>
      <w:r w:rsidR="005463B4">
        <w:t>;</w:t>
      </w:r>
      <w:r w:rsidR="0007348B">
        <w:rPr>
          <w:rStyle w:val="FootnoteReference"/>
        </w:rPr>
        <w:footnoteReference w:id="8"/>
      </w:r>
      <w:r w:rsidRPr="00F32480">
        <w:t xml:space="preserve"> and (4) Sections 1.1154 and 1.1157(b)(1) of the Rules by failing to pay regulatory fees due to the Commission for each year from 2007 to 2011.</w:t>
      </w:r>
      <w:r w:rsidRPr="00F32480">
        <w:rPr>
          <w:rStyle w:val="FootnoteReference"/>
        </w:rPr>
        <w:footnoteReference w:id="9"/>
      </w:r>
      <w:r w:rsidRPr="00F32480">
        <w:t xml:space="preserve">  The Commission also found that each of these apparent violations had been willful or repeated and that, because Starfone’s TRS contributions and regulatory fees for the periods at issue remained </w:t>
      </w:r>
      <w:r w:rsidR="00C32D49" w:rsidRPr="00F32480">
        <w:t>unpaid</w:t>
      </w:r>
      <w:r w:rsidRPr="00F32480">
        <w:t xml:space="preserve">, these </w:t>
      </w:r>
      <w:r w:rsidR="00E34A91">
        <w:t>failure</w:t>
      </w:r>
      <w:r w:rsidR="005049CA">
        <w:t>-</w:t>
      </w:r>
      <w:r w:rsidR="00E34A91">
        <w:t>to</w:t>
      </w:r>
      <w:r w:rsidR="005049CA">
        <w:t>-</w:t>
      </w:r>
      <w:r w:rsidR="00E34A91">
        <w:t xml:space="preserve">pay </w:t>
      </w:r>
      <w:r w:rsidRPr="00F32480">
        <w:t>violations were co</w:t>
      </w:r>
      <w:r w:rsidR="00E34A91">
        <w:t>ntinu</w:t>
      </w:r>
      <w:r w:rsidRPr="00F32480">
        <w:t>ing violations until cured by payment of all monies owed.</w:t>
      </w:r>
      <w:r w:rsidRPr="00F32480">
        <w:rPr>
          <w:rStyle w:val="FootnoteReference"/>
        </w:rPr>
        <w:footnoteReference w:id="10"/>
      </w:r>
      <w:r w:rsidRPr="00F32480">
        <w:t xml:space="preserve">  The Commission proposed forfeiture penal</w:t>
      </w:r>
      <w:r w:rsidR="00E34A91">
        <w:t>ties totaling $408,668 for Starfone’s</w:t>
      </w:r>
      <w:r w:rsidRPr="00F32480">
        <w:t xml:space="preserve"> apparent violations</w:t>
      </w:r>
      <w:bookmarkStart w:id="2" w:name="_Ref169662982"/>
      <w:bookmarkStart w:id="3" w:name="_Ref131573495"/>
      <w:r w:rsidRPr="00F32480">
        <w:t>.</w:t>
      </w:r>
      <w:r w:rsidRPr="00F32480">
        <w:rPr>
          <w:rStyle w:val="FootnoteReference"/>
        </w:rPr>
        <w:footnoteReference w:id="11"/>
      </w:r>
      <w:bookmarkEnd w:id="1"/>
      <w:r w:rsidRPr="00F32480">
        <w:t xml:space="preserve"> </w:t>
      </w:r>
    </w:p>
    <w:p w:rsidR="00562010" w:rsidRPr="00F32480" w:rsidRDefault="00562010" w:rsidP="00CA7FC5">
      <w:pPr>
        <w:pStyle w:val="ParaNum"/>
      </w:pPr>
      <w:r w:rsidRPr="00F32480">
        <w:t xml:space="preserve">Starfone filed its response to the </w:t>
      </w:r>
      <w:r w:rsidRPr="00F32480">
        <w:rPr>
          <w:i/>
        </w:rPr>
        <w:t>Starfone NA</w:t>
      </w:r>
      <w:r w:rsidR="000F1308">
        <w:rPr>
          <w:i/>
        </w:rPr>
        <w:t>L</w:t>
      </w:r>
      <w:r w:rsidR="000F1308" w:rsidRPr="000F1308">
        <w:t xml:space="preserve"> </w:t>
      </w:r>
      <w:r w:rsidR="000F1308">
        <w:t>on June 8, 2012</w:t>
      </w:r>
      <w:r w:rsidRPr="00F32480">
        <w:t>.</w:t>
      </w:r>
      <w:r w:rsidRPr="00F32480">
        <w:rPr>
          <w:rStyle w:val="FootnoteReference"/>
        </w:rPr>
        <w:footnoteReference w:id="12"/>
      </w:r>
      <w:r w:rsidRPr="00F32480">
        <w:t xml:space="preserve">  Starfone does not dispute that it violated the Act and the Rules.  Rather, </w:t>
      </w:r>
      <w:r w:rsidR="00EA2C7B" w:rsidRPr="00F32480">
        <w:t xml:space="preserve">Starfone </w:t>
      </w:r>
      <w:r w:rsidR="005049CA">
        <w:t>contends</w:t>
      </w:r>
      <w:r w:rsidR="004935FD">
        <w:t xml:space="preserve"> that </w:t>
      </w:r>
      <w:r w:rsidR="00EA2C7B" w:rsidRPr="00F32480">
        <w:t>the forfeiture</w:t>
      </w:r>
      <w:r w:rsidR="004935FD">
        <w:t xml:space="preserve"> </w:t>
      </w:r>
      <w:r w:rsidR="00431101">
        <w:t xml:space="preserve">proposed for its TRS violations may be inequitable and </w:t>
      </w:r>
      <w:r w:rsidR="004935FD">
        <w:t>should be reduced</w:t>
      </w:r>
      <w:r w:rsidR="00431101">
        <w:t xml:space="preserve">.  The Company also </w:t>
      </w:r>
      <w:r w:rsidR="005049CA">
        <w:t>argues for a reduced forfeiture on the grounds</w:t>
      </w:r>
      <w:r w:rsidR="00C92FAB">
        <w:t xml:space="preserve"> </w:t>
      </w:r>
      <w:r w:rsidR="00431101">
        <w:t>that</w:t>
      </w:r>
      <w:r w:rsidR="005049CA">
        <w:t xml:space="preserve"> it cooperated with Commission staff </w:t>
      </w:r>
      <w:r w:rsidR="00EA2C7B" w:rsidRPr="00F32480">
        <w:t>during the course of the investigation</w:t>
      </w:r>
      <w:r w:rsidR="005049CA">
        <w:t xml:space="preserve"> and that</w:t>
      </w:r>
      <w:r w:rsidR="00EA2C7B" w:rsidRPr="00F32480">
        <w:t xml:space="preserve"> </w:t>
      </w:r>
      <w:r w:rsidR="00431101">
        <w:t xml:space="preserve">it </w:t>
      </w:r>
      <w:r w:rsidR="005049CA">
        <w:t xml:space="preserve">has </w:t>
      </w:r>
      <w:r w:rsidR="00EA2C7B" w:rsidRPr="00F32480">
        <w:t>registered and obtained authority to provide internatio</w:t>
      </w:r>
      <w:r w:rsidR="00CA7FC5">
        <w:t>nal telecommunications service</w:t>
      </w:r>
      <w:r w:rsidR="00E01FB3">
        <w:t xml:space="preserve"> from the Commission</w:t>
      </w:r>
      <w:r w:rsidR="00431101">
        <w:t xml:space="preserve">.  It </w:t>
      </w:r>
      <w:r w:rsidR="00C92FAB">
        <w:t xml:space="preserve">claims </w:t>
      </w:r>
      <w:r w:rsidR="00ED3AF3">
        <w:t xml:space="preserve">that </w:t>
      </w:r>
      <w:r w:rsidR="00431101">
        <w:t>it “</w:t>
      </w:r>
      <w:r w:rsidR="00EA2C7B" w:rsidRPr="00F32480">
        <w:t>has corrected any deficiencies that come to its attention”</w:t>
      </w:r>
      <w:r w:rsidR="00431101">
        <w:t xml:space="preserve"> and </w:t>
      </w:r>
      <w:r w:rsidR="00A80C17">
        <w:t>is</w:t>
      </w:r>
      <w:r w:rsidR="00ED3AF3">
        <w:t xml:space="preserve"> </w:t>
      </w:r>
      <w:r w:rsidR="00431101" w:rsidRPr="00F32480">
        <w:t>“now maintaining a history of compliance</w:t>
      </w:r>
      <w:r w:rsidR="00431101">
        <w:t>.”</w:t>
      </w:r>
      <w:r w:rsidR="00EA2C7B" w:rsidRPr="00F32480">
        <w:rPr>
          <w:rStyle w:val="FootnoteReference"/>
        </w:rPr>
        <w:footnoteReference w:id="13"/>
      </w:r>
      <w:r w:rsidR="00431101">
        <w:t xml:space="preserve">  Starfone </w:t>
      </w:r>
      <w:r w:rsidR="00C92FAB">
        <w:t xml:space="preserve">asserts that </w:t>
      </w:r>
      <w:r w:rsidR="00431101">
        <w:t>these factors support a reduc</w:t>
      </w:r>
      <w:r w:rsidR="00C92FAB">
        <w:t xml:space="preserve">tion of the proposed </w:t>
      </w:r>
      <w:r w:rsidR="00431101">
        <w:t>forfeiture.</w:t>
      </w:r>
      <w:r w:rsidR="00BE25A9">
        <w:rPr>
          <w:rStyle w:val="FootnoteReference"/>
        </w:rPr>
        <w:footnoteReference w:id="14"/>
      </w:r>
      <w:r w:rsidR="00431101">
        <w:t xml:space="preserve">  Finally, </w:t>
      </w:r>
      <w:r w:rsidR="004A6AAF" w:rsidRPr="00F32480">
        <w:t xml:space="preserve">Starfone argues that the imposition of the full forfeiture on the </w:t>
      </w:r>
      <w:r w:rsidR="00310469">
        <w:t>C</w:t>
      </w:r>
      <w:r w:rsidR="004A6AAF" w:rsidRPr="00F32480">
        <w:t>ompany would cause it undue economic hardship and could cause</w:t>
      </w:r>
      <w:r w:rsidR="005049CA">
        <w:t xml:space="preserve"> it</w:t>
      </w:r>
      <w:r w:rsidR="00E01FB3">
        <w:t xml:space="preserve"> </w:t>
      </w:r>
      <w:r w:rsidR="004A6AAF" w:rsidRPr="00F32480">
        <w:t>to go out of business.</w:t>
      </w:r>
      <w:bookmarkStart w:id="4" w:name="_Ref384382958"/>
      <w:r w:rsidR="0001482D">
        <w:rPr>
          <w:rStyle w:val="FootnoteReference"/>
        </w:rPr>
        <w:footnoteReference w:id="15"/>
      </w:r>
      <w:bookmarkEnd w:id="4"/>
    </w:p>
    <w:bookmarkEnd w:id="2"/>
    <w:bookmarkEnd w:id="3"/>
    <w:p w:rsidR="00562010" w:rsidRPr="00F32480" w:rsidRDefault="00562010" w:rsidP="00937C4F">
      <w:pPr>
        <w:pStyle w:val="Heading1"/>
      </w:pPr>
      <w:r w:rsidRPr="00F32480">
        <w:t>DISCUSSION</w:t>
      </w:r>
    </w:p>
    <w:p w:rsidR="00562010" w:rsidRPr="00F32480" w:rsidRDefault="00562010" w:rsidP="00567883">
      <w:pPr>
        <w:pStyle w:val="ParaNum"/>
      </w:pPr>
      <w:r w:rsidRPr="00F32480">
        <w:t xml:space="preserve">In the </w:t>
      </w:r>
      <w:r w:rsidRPr="00F32480">
        <w:rPr>
          <w:i/>
        </w:rPr>
        <w:t>Starfone</w:t>
      </w:r>
      <w:r w:rsidRPr="00F32480">
        <w:t xml:space="preserve"> </w:t>
      </w:r>
      <w:r w:rsidRPr="00F32480">
        <w:rPr>
          <w:i/>
        </w:rPr>
        <w:t>NAL</w:t>
      </w:r>
      <w:r w:rsidRPr="00F32480">
        <w:t>, the Commission proposed a forfeiture penalty in accordance with Section 503(b)(1) of the Act, Section 1.80 of the Rules, and the forfeiture guidelines.</w:t>
      </w:r>
      <w:r w:rsidRPr="00F32480">
        <w:rPr>
          <w:rStyle w:val="FootnoteReference"/>
        </w:rPr>
        <w:footnoteReference w:id="16"/>
      </w:r>
      <w:r w:rsidRPr="00F32480">
        <w:t xml:space="preserve">  Section 503(b)(1)(B) provides that any person who “willfully or repeatedly” violates the Act or the Rules “shall </w:t>
      </w:r>
      <w:r w:rsidRPr="00F32480">
        <w:lastRenderedPageBreak/>
        <w:t>be liable . . . for a forfeiture penalty.”</w:t>
      </w:r>
      <w:r w:rsidRPr="00F32480">
        <w:rPr>
          <w:rStyle w:val="FootnoteReference"/>
        </w:rPr>
        <w:footnoteReference w:id="17"/>
      </w:r>
      <w:r w:rsidRPr="00F32480">
        <w:t xml:space="preserve">  In assessing forfeitures, Section 503(b)(2)(E) of the Act requires that we take into account “the nature, circumstances, extent and gravity of the violation and, with respect to the violator, the degree of culpability, any history of prior offenses, ability to pay, and such other matters as justice may require.”</w:t>
      </w:r>
      <w:r w:rsidRPr="00F32480">
        <w:rPr>
          <w:rStyle w:val="FootnoteReference"/>
        </w:rPr>
        <w:footnoteReference w:id="18"/>
      </w:r>
      <w:r w:rsidRPr="00F32480">
        <w:t xml:space="preserve">  Section 312(f)(1) of the Act defines willful as “the conscious and deliberate commission or omission of [any] act, irrespective of any intent to violate” the law.</w:t>
      </w:r>
      <w:bookmarkStart w:id="5" w:name="_Ref251688834"/>
      <w:r w:rsidRPr="00F32480">
        <w:rPr>
          <w:rStyle w:val="FootnoteReference"/>
        </w:rPr>
        <w:footnoteReference w:id="19"/>
      </w:r>
      <w:bookmarkEnd w:id="5"/>
      <w:r w:rsidRPr="00F32480">
        <w:t xml:space="preserve">  The legislative history to Section 312(f)(1) clarifies that this definition of willful applies to both Sections 312 and 503(b) of the Act,</w:t>
      </w:r>
      <w:bookmarkStart w:id="6" w:name="_Ref251688144"/>
      <w:r w:rsidRPr="00F32480">
        <w:rPr>
          <w:rStyle w:val="FootnoteReference"/>
        </w:rPr>
        <w:footnoteReference w:id="20"/>
      </w:r>
      <w:bookmarkEnd w:id="6"/>
      <w:r w:rsidRPr="00F32480">
        <w:t xml:space="preserve"> and the Commission has so interpreted the term in the Section 503(b) context.</w:t>
      </w:r>
      <w:r w:rsidRPr="00F32480">
        <w:rPr>
          <w:rStyle w:val="FootnoteReference"/>
        </w:rPr>
        <w:footnoteReference w:id="21"/>
      </w:r>
      <w:r w:rsidRPr="00F32480">
        <w:t xml:space="preserve"> </w:t>
      </w:r>
      <w:r w:rsidR="0059540A">
        <w:t xml:space="preserve"> </w:t>
      </w:r>
    </w:p>
    <w:p w:rsidR="00562010" w:rsidRPr="00F32480" w:rsidRDefault="00562010" w:rsidP="00375CBD">
      <w:pPr>
        <w:pStyle w:val="ParaNum"/>
      </w:pPr>
      <w:r w:rsidRPr="00F32480">
        <w:t xml:space="preserve">We have examined Starfone’s </w:t>
      </w:r>
      <w:r w:rsidR="00477C6B">
        <w:t>NAL R</w:t>
      </w:r>
      <w:r w:rsidRPr="00F32480">
        <w:t>esponse  in light of the aforementioned statutory factors, our Rules and precedent, an</w:t>
      </w:r>
      <w:r w:rsidR="0021210C">
        <w:t>d our forfeiture guidelines</w:t>
      </w:r>
      <w:r w:rsidRPr="00F32480">
        <w:t xml:space="preserve">.  After consideration of all relevant information, including the information in </w:t>
      </w:r>
      <w:r w:rsidR="00477C6B">
        <w:t>the NAL</w:t>
      </w:r>
      <w:r w:rsidR="00477C6B" w:rsidRPr="00F32480">
        <w:t xml:space="preserve"> </w:t>
      </w:r>
      <w:r w:rsidR="00477C6B">
        <w:t>R</w:t>
      </w:r>
      <w:r w:rsidRPr="00F32480">
        <w:t>esponse, we conclude that</w:t>
      </w:r>
      <w:r w:rsidR="002A18FE">
        <w:t xml:space="preserve"> Starfone willfully violated the Act and the Rules</w:t>
      </w:r>
      <w:r w:rsidR="00477C6B">
        <w:t>,</w:t>
      </w:r>
      <w:r w:rsidR="002A18FE">
        <w:t xml:space="preserve"> and that</w:t>
      </w:r>
      <w:r w:rsidRPr="00F32480">
        <w:t xml:space="preserve"> a forfeiture of </w:t>
      </w:r>
      <w:r w:rsidR="009F0005">
        <w:t>$</w:t>
      </w:r>
      <w:r w:rsidR="006945AF">
        <w:t>408,668</w:t>
      </w:r>
      <w:r w:rsidR="0021210C">
        <w:t xml:space="preserve"> </w:t>
      </w:r>
      <w:r w:rsidRPr="00F32480">
        <w:t>properly reflects the seriousness, duration, and scope of Starfone’s violations</w:t>
      </w:r>
      <w:r w:rsidR="007720B9">
        <w:t xml:space="preserve"> </w:t>
      </w:r>
      <w:r w:rsidR="003D43CD">
        <w:t xml:space="preserve">and best serves </w:t>
      </w:r>
      <w:r w:rsidR="007720B9">
        <w:t>the interest of justice</w:t>
      </w:r>
      <w:r w:rsidRPr="00F32480">
        <w:t>.  We therefore conclude that Starfone is</w:t>
      </w:r>
      <w:r w:rsidR="00475ACE">
        <w:t xml:space="preserve"> liable for a forfeiture of </w:t>
      </w:r>
      <w:r w:rsidR="009F0005">
        <w:t>$</w:t>
      </w:r>
      <w:r w:rsidR="006945AF">
        <w:t>408,668</w:t>
      </w:r>
      <w:r w:rsidR="00475ACE">
        <w:t>.</w:t>
      </w:r>
    </w:p>
    <w:p w:rsidR="00562010" w:rsidRPr="00F32480" w:rsidRDefault="00562010" w:rsidP="006B2030">
      <w:pPr>
        <w:pStyle w:val="Heading2"/>
      </w:pPr>
      <w:r w:rsidRPr="00F32480">
        <w:t xml:space="preserve">Starfone Willfully Violated the Communications Act and </w:t>
      </w:r>
      <w:r w:rsidR="00140894">
        <w:t xml:space="preserve">the </w:t>
      </w:r>
      <w:r w:rsidRPr="00F32480">
        <w:t xml:space="preserve">Rules </w:t>
      </w:r>
    </w:p>
    <w:p w:rsidR="00562010" w:rsidRPr="0030738C" w:rsidRDefault="00562010" w:rsidP="00B118B0">
      <w:pPr>
        <w:pStyle w:val="ParaNum"/>
      </w:pPr>
      <w:bookmarkStart w:id="10" w:name="_Ref356837780"/>
      <w:r w:rsidRPr="0030738C">
        <w:t xml:space="preserve">Based on our review of the record, we find that Starfone violated the Act and the Rules as alleged in the </w:t>
      </w:r>
      <w:r w:rsidRPr="0030738C">
        <w:rPr>
          <w:i/>
        </w:rPr>
        <w:t>Starfone NAL</w:t>
      </w:r>
      <w:r w:rsidR="00E01FB3">
        <w:rPr>
          <w:i/>
        </w:rPr>
        <w:t>,</w:t>
      </w:r>
      <w:r w:rsidRPr="0030738C">
        <w:t xml:space="preserve"> and that each of S</w:t>
      </w:r>
      <w:r w:rsidR="005016D3" w:rsidRPr="0030738C">
        <w:t>tarfone’s violations was willful.</w:t>
      </w:r>
      <w:r w:rsidRPr="0030738C">
        <w:t xml:space="preserve">  Starfone does not dispute that it committed the violations identified in the </w:t>
      </w:r>
      <w:r w:rsidRPr="0030738C">
        <w:rPr>
          <w:i/>
        </w:rPr>
        <w:t>Starfone NAL</w:t>
      </w:r>
      <w:r w:rsidRPr="0030738C">
        <w:t>.</w:t>
      </w:r>
      <w:r w:rsidRPr="0030738C">
        <w:rPr>
          <w:rStyle w:val="FootnoteReference"/>
        </w:rPr>
        <w:footnoteReference w:id="22"/>
      </w:r>
      <w:r w:rsidR="00140894">
        <w:t xml:space="preserve">  Nor does </w:t>
      </w:r>
      <w:r w:rsidR="006A0D87">
        <w:t>Starfone</w:t>
      </w:r>
      <w:r w:rsidR="00140894">
        <w:t xml:space="preserve"> dispute that its violations were willful</w:t>
      </w:r>
      <w:r w:rsidR="00157451">
        <w:t xml:space="preserve"> or otherwise suggest that its actions or omissions underlying the violations were not “conscious and deliberate</w:t>
      </w:r>
      <w:r w:rsidR="00221B8F">
        <w:t>.</w:t>
      </w:r>
      <w:r w:rsidR="00157451">
        <w:t>”</w:t>
      </w:r>
      <w:r w:rsidR="00140894">
        <w:rPr>
          <w:rStyle w:val="FootnoteReference"/>
        </w:rPr>
        <w:footnoteReference w:id="23"/>
      </w:r>
      <w:r w:rsidRPr="0030738C">
        <w:t xml:space="preserve">  </w:t>
      </w:r>
      <w:bookmarkStart w:id="11" w:name="_Ref356837784"/>
      <w:bookmarkEnd w:id="10"/>
    </w:p>
    <w:p w:rsidR="001A36C6" w:rsidRDefault="00562010" w:rsidP="00062B52">
      <w:pPr>
        <w:pStyle w:val="ParaNum"/>
        <w:keepNext/>
        <w:widowControl/>
      </w:pPr>
      <w:r w:rsidRPr="00F32480">
        <w:t xml:space="preserve">Starfone violated Section 214 of the Act and Section 63.18 of the Rules by providing international telecommunications service for </w:t>
      </w:r>
      <w:r w:rsidR="0021210C">
        <w:t xml:space="preserve">over </w:t>
      </w:r>
      <w:r w:rsidRPr="00F32480">
        <w:t xml:space="preserve">six years before obtaining Section 214 authority </w:t>
      </w:r>
      <w:r w:rsidR="00ED3AF3">
        <w:t xml:space="preserve">from the Commission </w:t>
      </w:r>
      <w:r w:rsidRPr="00F32480">
        <w:t>to provide such service.</w:t>
      </w:r>
      <w:r w:rsidR="0021210C">
        <w:rPr>
          <w:rStyle w:val="FootnoteReference"/>
        </w:rPr>
        <w:footnoteReference w:id="24"/>
      </w:r>
      <w:r w:rsidRPr="00F32480">
        <w:t xml:space="preserve"> </w:t>
      </w:r>
      <w:r w:rsidR="00E1050C">
        <w:t xml:space="preserve"> Starfone continued to provide international telecommunications service between February 1, 2010, when it finally applied for international</w:t>
      </w:r>
      <w:r w:rsidR="002650C6">
        <w:t xml:space="preserve"> Section 214 </w:t>
      </w:r>
      <w:r w:rsidR="00E1050C">
        <w:t>authority</w:t>
      </w:r>
      <w:r w:rsidR="00477C6B">
        <w:t>,</w:t>
      </w:r>
      <w:r w:rsidR="00E1050C">
        <w:t xml:space="preserve"> and March </w:t>
      </w:r>
      <w:r w:rsidR="000F6D68">
        <w:t>5</w:t>
      </w:r>
      <w:r w:rsidR="00E1050C">
        <w:t xml:space="preserve">, 2010, when the Commission granted Starfone that authority, even though Starfone neither requested nor obtained </w:t>
      </w:r>
      <w:r w:rsidR="002650C6">
        <w:t xml:space="preserve">special temporary authority (STA) to </w:t>
      </w:r>
      <w:r w:rsidRPr="00F32480">
        <w:t>provid</w:t>
      </w:r>
      <w:r w:rsidR="00E1050C">
        <w:t xml:space="preserve">e such </w:t>
      </w:r>
      <w:r w:rsidRPr="00F32480">
        <w:t>service</w:t>
      </w:r>
      <w:r w:rsidR="002650C6">
        <w:t>.</w:t>
      </w:r>
      <w:r w:rsidRPr="00F32480">
        <w:rPr>
          <w:rStyle w:val="FootnoteReference"/>
        </w:rPr>
        <w:footnoteReference w:id="25"/>
      </w:r>
      <w:r w:rsidRPr="00F32480">
        <w:t xml:space="preserve">  Starfone violated Section 64.1195 of the Rules by </w:t>
      </w:r>
      <w:r w:rsidR="003D562E">
        <w:t>providing interstate telecommunications service</w:t>
      </w:r>
      <w:r w:rsidR="003D562E" w:rsidRPr="00F32480">
        <w:t xml:space="preserve"> </w:t>
      </w:r>
      <w:r w:rsidRPr="00F32480">
        <w:t xml:space="preserve">for over </w:t>
      </w:r>
      <w:r w:rsidR="001A36C6">
        <w:t xml:space="preserve">four </w:t>
      </w:r>
      <w:r w:rsidRPr="00F32480">
        <w:t>years before registering with the Commission.</w:t>
      </w:r>
      <w:r w:rsidR="001A36C6">
        <w:rPr>
          <w:rStyle w:val="FootnoteReference"/>
        </w:rPr>
        <w:footnoteReference w:id="26"/>
      </w:r>
      <w:r w:rsidRPr="00F32480">
        <w:t xml:space="preserve">  Starfone violated Section 64.604(c)(5)(iii)(A) of the Rules by failing to</w:t>
      </w:r>
      <w:r w:rsidR="00D916D2">
        <w:t xml:space="preserve"> timely</w:t>
      </w:r>
      <w:r w:rsidRPr="00F32480">
        <w:t xml:space="preserve"> make contributions totaling $257,336 to the TRS Fund for 2007, 2008, and 2009.</w:t>
      </w:r>
      <w:r w:rsidRPr="00F32480">
        <w:rPr>
          <w:rStyle w:val="FootnoteReference"/>
        </w:rPr>
        <w:footnoteReference w:id="27"/>
      </w:r>
      <w:r w:rsidRPr="00F32480">
        <w:t xml:space="preserve">  Finally, Starfone violated Sections 1.1154 and 1.1157(b)(1)</w:t>
      </w:r>
      <w:r w:rsidR="00BC7D8F">
        <w:t xml:space="preserve"> of the Rules</w:t>
      </w:r>
      <w:r w:rsidRPr="00F32480">
        <w:t xml:space="preserve"> by f</w:t>
      </w:r>
      <w:r w:rsidR="006A0D87">
        <w:t>a</w:t>
      </w:r>
      <w:r w:rsidRPr="00F32480">
        <w:t>iling to</w:t>
      </w:r>
      <w:r w:rsidR="005E0FC5">
        <w:t xml:space="preserve"> timely</w:t>
      </w:r>
      <w:r w:rsidRPr="00F32480">
        <w:t xml:space="preserve"> pay </w:t>
      </w:r>
      <w:r w:rsidR="005E0FC5">
        <w:t xml:space="preserve">its </w:t>
      </w:r>
      <w:r w:rsidRPr="00F32480">
        <w:t xml:space="preserve">regulatory fees </w:t>
      </w:r>
      <w:r w:rsidR="005E0FC5">
        <w:t>for</w:t>
      </w:r>
      <w:r w:rsidRPr="00F32480">
        <w:t xml:space="preserve"> 2007 to 2011.</w:t>
      </w:r>
      <w:r w:rsidRPr="00F32480">
        <w:rPr>
          <w:rStyle w:val="FootnoteReference"/>
        </w:rPr>
        <w:footnoteReference w:id="28"/>
      </w:r>
      <w:r w:rsidRPr="00F32480">
        <w:t xml:space="preserve">  All of these violations were willful because they resulted from Starfone’s conscious and deliberate actions or omissions.</w:t>
      </w:r>
      <w:bookmarkEnd w:id="11"/>
      <w:r w:rsidR="00CF0186">
        <w:rPr>
          <w:rStyle w:val="FootnoteReference"/>
        </w:rPr>
        <w:footnoteReference w:id="29"/>
      </w:r>
    </w:p>
    <w:p w:rsidR="00844F4B" w:rsidRPr="00F32480" w:rsidRDefault="003D562E" w:rsidP="006B2030">
      <w:pPr>
        <w:pStyle w:val="Heading2"/>
      </w:pPr>
      <w:bookmarkStart w:id="12" w:name="FN[FN51]"/>
      <w:bookmarkStart w:id="13" w:name="FN[FN52]"/>
      <w:bookmarkStart w:id="14" w:name="FN[FN53]"/>
      <w:bookmarkStart w:id="15" w:name="FN[FN55]"/>
      <w:bookmarkEnd w:id="12"/>
      <w:bookmarkEnd w:id="13"/>
      <w:bookmarkEnd w:id="14"/>
      <w:bookmarkEnd w:id="15"/>
      <w:r>
        <w:t>A</w:t>
      </w:r>
      <w:r w:rsidR="00844F4B" w:rsidRPr="00F32480">
        <w:t xml:space="preserve"> </w:t>
      </w:r>
      <w:r w:rsidR="009F0005">
        <w:t>$</w:t>
      </w:r>
      <w:r w:rsidR="006945AF">
        <w:t>408,668</w:t>
      </w:r>
      <w:r>
        <w:t xml:space="preserve"> </w:t>
      </w:r>
      <w:r w:rsidR="00844F4B" w:rsidRPr="00F32480">
        <w:t xml:space="preserve">Forfeiture is </w:t>
      </w:r>
      <w:r w:rsidR="006A0D87">
        <w:t>Warranted</w:t>
      </w:r>
    </w:p>
    <w:p w:rsidR="008C0BCA" w:rsidRPr="00F32480" w:rsidRDefault="004A6AAF" w:rsidP="004A6AAF">
      <w:pPr>
        <w:pStyle w:val="ParaNum"/>
      </w:pPr>
      <w:r w:rsidRPr="00F32480">
        <w:t>The Commission</w:t>
      </w:r>
      <w:r w:rsidR="005049CA">
        <w:t>’</w:t>
      </w:r>
      <w:r w:rsidRPr="00F32480">
        <w:t xml:space="preserve">s </w:t>
      </w:r>
      <w:r w:rsidRPr="00F32480">
        <w:rPr>
          <w:i/>
          <w:iCs/>
        </w:rPr>
        <w:t>Forfeiture Policy Statement</w:t>
      </w:r>
      <w:r w:rsidRPr="00F32480">
        <w:t xml:space="preserve"> specifies that the Commission shall impose a forfeiture based upon consideration of the factors enumerated in </w:t>
      </w:r>
      <w:r w:rsidR="00C04FBE">
        <w:t xml:space="preserve">what is now </w:t>
      </w:r>
      <w:r w:rsidR="006A0D87">
        <w:t>S</w:t>
      </w:r>
      <w:r w:rsidRPr="00F32480">
        <w:t>ection 503(b)(2)(</w:t>
      </w:r>
      <w:r w:rsidR="00C04FBE">
        <w:t>E</w:t>
      </w:r>
      <w:r w:rsidRPr="00F32480">
        <w:t>) of the Act,</w:t>
      </w:r>
      <w:r w:rsidRPr="00F32480">
        <w:rPr>
          <w:rStyle w:val="FootnoteReference"/>
        </w:rPr>
        <w:footnoteReference w:id="30"/>
      </w:r>
      <w:r w:rsidRPr="00F32480">
        <w:t xml:space="preserve"> such as “the nature, circumstances, extent</w:t>
      </w:r>
      <w:r w:rsidR="00C04FBE">
        <w:t>,</w:t>
      </w:r>
      <w:r w:rsidRPr="00F32480">
        <w:t xml:space="preserve"> and gravity of the violation and, with respect to the violator, the degree of culpability, any history of prior offenses, ability to pay, and such other matters as justice may require.”</w:t>
      </w:r>
      <w:r w:rsidRPr="00F32480">
        <w:rPr>
          <w:rStyle w:val="FootnoteReference"/>
        </w:rPr>
        <w:footnoteReference w:id="31"/>
      </w:r>
      <w:r w:rsidRPr="00F32480">
        <w:t xml:space="preserve">  In this case, taking all of these factors into consideration, we find that Starfone is liable for a total forfeiture of </w:t>
      </w:r>
      <w:r w:rsidR="009F0005">
        <w:t>$</w:t>
      </w:r>
      <w:r w:rsidR="006945AF">
        <w:t>408,668</w:t>
      </w:r>
      <w:r w:rsidRPr="00F32480">
        <w:t xml:space="preserve">.  This total </w:t>
      </w:r>
      <w:r w:rsidR="00425DA7">
        <w:t xml:space="preserve">forfeiture amount is broken down as follows:  </w:t>
      </w:r>
      <w:r>
        <w:t>$100,000</w:t>
      </w:r>
      <w:r w:rsidRPr="00F32480">
        <w:t xml:space="preserve"> for providing international telecommunications service without Section 214 authority</w:t>
      </w:r>
      <w:r w:rsidR="00425DA7">
        <w:t>;</w:t>
      </w:r>
      <w:r w:rsidRPr="00F32480">
        <w:t xml:space="preserve"> $</w:t>
      </w:r>
      <w:r>
        <w:t xml:space="preserve">100,000 </w:t>
      </w:r>
      <w:r w:rsidRPr="00F32480">
        <w:t>for failing to register with the Commission</w:t>
      </w:r>
      <w:r w:rsidR="003D562E">
        <w:t xml:space="preserve"> prior to providing interstate telecommunications service</w:t>
      </w:r>
      <w:r w:rsidR="00425DA7">
        <w:t>;</w:t>
      </w:r>
      <w:r w:rsidRPr="00F32480">
        <w:t xml:space="preserve"> $</w:t>
      </w:r>
      <w:r>
        <w:t>158,668</w:t>
      </w:r>
      <w:r w:rsidRPr="00F32480">
        <w:t xml:space="preserve"> for failing to </w:t>
      </w:r>
      <w:r w:rsidR="003D562E">
        <w:t xml:space="preserve">timely </w:t>
      </w:r>
      <w:r w:rsidRPr="00F32480">
        <w:t>make required TRS contributions</w:t>
      </w:r>
      <w:r w:rsidR="00425DA7">
        <w:t>;</w:t>
      </w:r>
      <w:r w:rsidRPr="00F32480">
        <w:t xml:space="preserve"> and $</w:t>
      </w:r>
      <w:r>
        <w:t>50,000</w:t>
      </w:r>
      <w:r w:rsidRPr="00F32480">
        <w:t xml:space="preserve"> for failing to </w:t>
      </w:r>
      <w:r w:rsidR="003D562E">
        <w:t xml:space="preserve">timely </w:t>
      </w:r>
      <w:r w:rsidRPr="00F32480">
        <w:t>pay regulatory fees</w:t>
      </w:r>
      <w:r w:rsidR="00425DA7">
        <w:t xml:space="preserve">.  </w:t>
      </w:r>
      <w:r w:rsidR="00C21093">
        <w:t xml:space="preserve"> </w:t>
      </w:r>
    </w:p>
    <w:p w:rsidR="004A6AAF" w:rsidRPr="00325C73" w:rsidRDefault="004A6AAF" w:rsidP="00A162E1">
      <w:pPr>
        <w:pStyle w:val="ParaNum"/>
      </w:pPr>
      <w:r w:rsidRPr="00E17E8D">
        <w:t xml:space="preserve">We reject Starfone’s </w:t>
      </w:r>
      <w:r w:rsidR="004D0D31">
        <w:t>argument</w:t>
      </w:r>
      <w:r w:rsidRPr="00E17E8D">
        <w:t xml:space="preserve"> that the</w:t>
      </w:r>
      <w:r w:rsidR="005049CA">
        <w:t xml:space="preserve"> Commission</w:t>
      </w:r>
      <w:r w:rsidRPr="008C0BCA">
        <w:t xml:space="preserve"> did not properly consider the </w:t>
      </w:r>
      <w:r w:rsidR="004D0D31">
        <w:t xml:space="preserve">various mitigating </w:t>
      </w:r>
      <w:r w:rsidRPr="008C0BCA">
        <w:t>factors set forth in Section 503(b)(2)(</w:t>
      </w:r>
      <w:r w:rsidR="004D0D31">
        <w:t>E</w:t>
      </w:r>
      <w:r w:rsidRPr="008C0BCA">
        <w:t>) of the Act.</w:t>
      </w:r>
      <w:r w:rsidRPr="00F32480">
        <w:rPr>
          <w:rStyle w:val="FootnoteReference"/>
        </w:rPr>
        <w:footnoteReference w:id="32"/>
      </w:r>
      <w:r w:rsidRPr="00E17E8D">
        <w:t xml:space="preserve">  The Commission carefully considered each of those factors in the </w:t>
      </w:r>
      <w:r w:rsidRPr="00E17E8D">
        <w:rPr>
          <w:i/>
        </w:rPr>
        <w:t>Starfone NAL</w:t>
      </w:r>
      <w:r w:rsidRPr="00E17E8D">
        <w:t>,</w:t>
      </w:r>
      <w:r w:rsidRPr="00F32480">
        <w:rPr>
          <w:rStyle w:val="FootnoteReference"/>
        </w:rPr>
        <w:footnoteReference w:id="33"/>
      </w:r>
      <w:r w:rsidRPr="00E17E8D">
        <w:t xml:space="preserve"> and we do so again here.  </w:t>
      </w:r>
      <w:r w:rsidR="00C04FBE">
        <w:t xml:space="preserve">The </w:t>
      </w:r>
      <w:r w:rsidR="00C04FBE" w:rsidRPr="00325C73">
        <w:t>proposed base forfeiture amounts</w:t>
      </w:r>
      <w:r w:rsidR="00970B1B">
        <w:t xml:space="preserve"> </w:t>
      </w:r>
      <w:r w:rsidR="00E1050C">
        <w:t xml:space="preserve">and </w:t>
      </w:r>
      <w:r w:rsidR="00970B1B">
        <w:t>upward adjustment</w:t>
      </w:r>
      <w:r w:rsidR="00E1050C">
        <w:t xml:space="preserve">s are consistent with </w:t>
      </w:r>
      <w:r w:rsidR="00C04FBE" w:rsidRPr="00325C73">
        <w:t xml:space="preserve">our Rules and precedent.  We </w:t>
      </w:r>
      <w:r w:rsidRPr="00325C73">
        <w:t xml:space="preserve">find no basis </w:t>
      </w:r>
      <w:r w:rsidR="00C04FBE" w:rsidRPr="00325C73">
        <w:t xml:space="preserve">to </w:t>
      </w:r>
      <w:r w:rsidRPr="00325C73">
        <w:t>mitigat</w:t>
      </w:r>
      <w:r w:rsidR="00C04FBE" w:rsidRPr="00325C73">
        <w:t>e</w:t>
      </w:r>
      <w:r w:rsidRPr="00325C73">
        <w:t xml:space="preserve"> </w:t>
      </w:r>
      <w:r w:rsidR="00205610">
        <w:t>the forfeiture</w:t>
      </w:r>
      <w:r w:rsidRPr="00325C73">
        <w:t xml:space="preserve">. </w:t>
      </w:r>
    </w:p>
    <w:p w:rsidR="003D562E" w:rsidRPr="0047296E" w:rsidRDefault="00FC7556" w:rsidP="000265F6">
      <w:pPr>
        <w:pStyle w:val="Heading3"/>
      </w:pPr>
      <w:r>
        <w:t xml:space="preserve">Starfone Has Provided No Basis </w:t>
      </w:r>
      <w:r w:rsidR="00A247E6">
        <w:t>to Reduce</w:t>
      </w:r>
      <w:r>
        <w:t xml:space="preserve"> the </w:t>
      </w:r>
      <w:r w:rsidR="00BA47E7" w:rsidRPr="00F32480">
        <w:t>$</w:t>
      </w:r>
      <w:r w:rsidR="00BA47E7">
        <w:t xml:space="preserve">158,668 Forfeiture </w:t>
      </w:r>
      <w:r w:rsidR="00A247E6">
        <w:t>f</w:t>
      </w:r>
      <w:r w:rsidR="006A0D87">
        <w:t xml:space="preserve">or </w:t>
      </w:r>
      <w:r w:rsidR="008C0BCA" w:rsidRPr="0047296E">
        <w:t xml:space="preserve">TRS Violations  </w:t>
      </w:r>
    </w:p>
    <w:p w:rsidR="00AE7668" w:rsidRDefault="00BA47E7" w:rsidP="002F57F8">
      <w:pPr>
        <w:pStyle w:val="ParaNum"/>
        <w:widowControl/>
      </w:pPr>
      <w:r>
        <w:t xml:space="preserve">The </w:t>
      </w:r>
      <w:r w:rsidRPr="00F32480">
        <w:t>$</w:t>
      </w:r>
      <w:r>
        <w:t>158,668</w:t>
      </w:r>
      <w:r w:rsidR="0048572D">
        <w:t xml:space="preserve"> f</w:t>
      </w:r>
      <w:r>
        <w:t xml:space="preserve">orfeiture </w:t>
      </w:r>
      <w:r w:rsidR="00FC7556">
        <w:t xml:space="preserve">the Commission proposed </w:t>
      </w:r>
      <w:r>
        <w:t xml:space="preserve">for </w:t>
      </w:r>
      <w:r w:rsidR="00EA2C7B" w:rsidRPr="00F32480">
        <w:t>Starfone</w:t>
      </w:r>
      <w:r>
        <w:t>’s TRS violations includes a</w:t>
      </w:r>
      <w:r w:rsidR="005049CA">
        <w:t>n upward adjustment of</w:t>
      </w:r>
      <w:r>
        <w:t xml:space="preserve"> </w:t>
      </w:r>
      <w:r w:rsidRPr="00F32480">
        <w:t>$</w:t>
      </w:r>
      <w:r>
        <w:t>128,668</w:t>
      </w:r>
      <w:r w:rsidR="005049CA">
        <w:t xml:space="preserve">, which equals </w:t>
      </w:r>
      <w:r>
        <w:t xml:space="preserve">half of </w:t>
      </w:r>
      <w:r w:rsidR="0048572D">
        <w:t>the $257,336</w:t>
      </w:r>
      <w:r w:rsidR="00C13D4D">
        <w:t xml:space="preserve"> that</w:t>
      </w:r>
      <w:r w:rsidR="0048572D">
        <w:t xml:space="preserve"> </w:t>
      </w:r>
      <w:r>
        <w:t>Starfone</w:t>
      </w:r>
      <w:r w:rsidR="0048572D">
        <w:t xml:space="preserve"> owed the TRS Fund for 2007 to 2009.</w:t>
      </w:r>
      <w:r w:rsidR="0048572D">
        <w:rPr>
          <w:rStyle w:val="FootnoteReference"/>
        </w:rPr>
        <w:footnoteReference w:id="34"/>
      </w:r>
      <w:r w:rsidR="005246E7">
        <w:t xml:space="preserve"> </w:t>
      </w:r>
      <w:r>
        <w:t xml:space="preserve"> </w:t>
      </w:r>
      <w:r w:rsidR="00AE7668">
        <w:t xml:space="preserve">Starfone contends, in effect, that this upward adjustment is too high because </w:t>
      </w:r>
      <w:r w:rsidR="00A07B9C">
        <w:t>its wholesale telecommunications services providers “may have . . . treated [Starfone] as an end-user customer</w:t>
      </w:r>
      <w:r w:rsidR="005246E7">
        <w:t>”</w:t>
      </w:r>
      <w:r w:rsidR="000265F6">
        <w:t xml:space="preserve"> and</w:t>
      </w:r>
      <w:r w:rsidR="000265F6" w:rsidRPr="000265F6">
        <w:t xml:space="preserve"> </w:t>
      </w:r>
      <w:r w:rsidR="000265F6">
        <w:t xml:space="preserve">therefore </w:t>
      </w:r>
      <w:r w:rsidR="009945A3">
        <w:t xml:space="preserve">these wholesale providers </w:t>
      </w:r>
      <w:r w:rsidR="000265F6">
        <w:t>may have made TRS contributions based on the revenue they received from Starfone.</w:t>
      </w:r>
      <w:r w:rsidR="00B54A85">
        <w:rPr>
          <w:rStyle w:val="FootnoteReference"/>
        </w:rPr>
        <w:footnoteReference w:id="35"/>
      </w:r>
      <w:r w:rsidR="007F0FF8">
        <w:t xml:space="preserve">  </w:t>
      </w:r>
      <w:r w:rsidR="005246E7">
        <w:t xml:space="preserve">Under Starfone’s argument, such payments, if any, would reduce its TRS liability and therefore should reduce the upward adjustment </w:t>
      </w:r>
      <w:r w:rsidR="009945A3">
        <w:t xml:space="preserve">imposed in the NAL </w:t>
      </w:r>
      <w:r w:rsidR="005246E7">
        <w:t xml:space="preserve">for </w:t>
      </w:r>
      <w:r w:rsidR="009945A3">
        <w:t>Starfone’s</w:t>
      </w:r>
      <w:r w:rsidR="005246E7">
        <w:t xml:space="preserve"> failure to timely make TRS contributions.</w:t>
      </w:r>
      <w:r w:rsidR="005246E7">
        <w:rPr>
          <w:rStyle w:val="FootnoteReference"/>
        </w:rPr>
        <w:footnoteReference w:id="36"/>
      </w:r>
    </w:p>
    <w:p w:rsidR="00BC6404" w:rsidRDefault="006065C2" w:rsidP="00182F2D">
      <w:pPr>
        <w:pStyle w:val="ParaNum"/>
      </w:pPr>
      <w:r>
        <w:t xml:space="preserve">We reject this argument.  </w:t>
      </w:r>
      <w:r w:rsidR="004B15D2">
        <w:t xml:space="preserve">As explained in the </w:t>
      </w:r>
      <w:r w:rsidR="000F6D68" w:rsidRPr="00064B13">
        <w:rPr>
          <w:i/>
        </w:rPr>
        <w:t>Starfone</w:t>
      </w:r>
      <w:r w:rsidR="000F6D68">
        <w:t xml:space="preserve"> </w:t>
      </w:r>
      <w:r w:rsidR="004B15D2" w:rsidRPr="00637E0A">
        <w:rPr>
          <w:i/>
        </w:rPr>
        <w:t>NAL</w:t>
      </w:r>
      <w:r w:rsidR="004B15D2">
        <w:t>, Section 64.1195(a) of the Commission</w:t>
      </w:r>
      <w:r w:rsidR="001A36C6">
        <w:t>’</w:t>
      </w:r>
      <w:r w:rsidR="004B15D2">
        <w:t>s Rules requires that carriers that provide, or plan to provide, interstate telecommunications service register with the Commission by submitting specified information on Form 499-A.</w:t>
      </w:r>
      <w:r w:rsidR="004B15D2">
        <w:rPr>
          <w:rStyle w:val="FootnoteReference"/>
        </w:rPr>
        <w:footnoteReference w:id="37"/>
      </w:r>
      <w:r w:rsidR="004B15D2">
        <w:t xml:space="preserve"> </w:t>
      </w:r>
      <w:r w:rsidR="000755C4">
        <w:t xml:space="preserve"> </w:t>
      </w:r>
      <w:r w:rsidR="004B15D2">
        <w:t xml:space="preserve">The information reported on Form 499-A is used to determine the provider’s payment obligations to the TRS Fund, as well as other regulatory </w:t>
      </w:r>
      <w:r w:rsidR="00C9532E">
        <w:t xml:space="preserve">programs.  </w:t>
      </w:r>
      <w:r w:rsidR="000755C4">
        <w:t xml:space="preserve">In the </w:t>
      </w:r>
      <w:r w:rsidR="000755C4" w:rsidRPr="000755C4">
        <w:rPr>
          <w:i/>
        </w:rPr>
        <w:t>Starfone NAL</w:t>
      </w:r>
      <w:r w:rsidR="000755C4">
        <w:t>, the Commission determined that</w:t>
      </w:r>
      <w:r w:rsidR="004B45D4">
        <w:t xml:space="preserve">, although </w:t>
      </w:r>
      <w:r w:rsidR="004B15D2">
        <w:t xml:space="preserve">Starfone </w:t>
      </w:r>
      <w:r w:rsidR="004B45D4">
        <w:t xml:space="preserve">began providing interstate service </w:t>
      </w:r>
      <w:r w:rsidR="00957755">
        <w:t xml:space="preserve">no later than </w:t>
      </w:r>
      <w:r w:rsidR="004B45D4">
        <w:t>200</w:t>
      </w:r>
      <w:r w:rsidR="00957755">
        <w:t>4</w:t>
      </w:r>
      <w:r w:rsidR="004B15D2">
        <w:t>, it</w:t>
      </w:r>
      <w:r w:rsidR="000755C4">
        <w:t xml:space="preserve"> </w:t>
      </w:r>
      <w:r w:rsidR="00217650">
        <w:t xml:space="preserve">did not register with the Commission until </w:t>
      </w:r>
      <w:r w:rsidR="004B45D4">
        <w:t>July 2009</w:t>
      </w:r>
      <w:r w:rsidR="00EC5B6C">
        <w:t>.</w:t>
      </w:r>
      <w:r w:rsidR="00217650">
        <w:rPr>
          <w:rStyle w:val="FootnoteReference"/>
        </w:rPr>
        <w:footnoteReference w:id="38"/>
      </w:r>
      <w:r w:rsidR="00C9532E">
        <w:t xml:space="preserve"> </w:t>
      </w:r>
      <w:r w:rsidR="00EC5B6C">
        <w:t xml:space="preserve"> As a consequence, no payments were made to the TRS Fund prior to 2010.  </w:t>
      </w:r>
    </w:p>
    <w:p w:rsidR="000963E1" w:rsidRPr="00D85D31" w:rsidRDefault="00D85D31" w:rsidP="00221B8F">
      <w:pPr>
        <w:pStyle w:val="ParaNum"/>
      </w:pPr>
      <w:r w:rsidRPr="001722C5">
        <w:t xml:space="preserve">In its June 2012 NAL Response, Starfone recognizes that the end-user revenue it belatedly reported on Form 499-A was the basis for the TRS </w:t>
      </w:r>
      <w:r w:rsidR="00935F76">
        <w:t xml:space="preserve">Fund </w:t>
      </w:r>
      <w:r w:rsidRPr="001722C5">
        <w:t xml:space="preserve">Administrator’s determination that the </w:t>
      </w:r>
      <w:r w:rsidR="00310469">
        <w:t>C</w:t>
      </w:r>
      <w:r w:rsidRPr="001722C5">
        <w:t>ompany owed $257,336 to the TRS Fund for 2007 to 2009.</w:t>
      </w:r>
      <w:r w:rsidRPr="001722C5">
        <w:rPr>
          <w:rStyle w:val="FootnoteReference"/>
          <w:sz w:val="22"/>
        </w:rPr>
        <w:footnoteReference w:id="39"/>
      </w:r>
      <w:r w:rsidRPr="001722C5">
        <w:t xml:space="preserve">  Starfone also admits that its belated </w:t>
      </w:r>
      <w:r w:rsidR="009945A3">
        <w:t xml:space="preserve">Form 499-A </w:t>
      </w:r>
      <w:r w:rsidRPr="001722C5">
        <w:t>filing did not identify any credit or offset to which it might be entitled.</w:t>
      </w:r>
      <w:r w:rsidRPr="001722C5">
        <w:rPr>
          <w:rStyle w:val="FootnoteReference"/>
          <w:sz w:val="22"/>
        </w:rPr>
        <w:footnoteReference w:id="40"/>
      </w:r>
      <w:r w:rsidRPr="001722C5">
        <w:t xml:space="preserve">  In its NAL Response, Starfone state</w:t>
      </w:r>
      <w:r w:rsidR="00A247E6">
        <w:t>s</w:t>
      </w:r>
      <w:r w:rsidRPr="001722C5">
        <w:t xml:space="preserve"> that it was reviewing its billing records “to ascertain the va</w:t>
      </w:r>
      <w:r w:rsidR="00605A9E">
        <w:t>lid</w:t>
      </w:r>
      <w:r w:rsidRPr="001722C5">
        <w:t>ity of [the] possibility” that it had contributed to the TRS Fund through its wholesale providers.</w:t>
      </w:r>
      <w:r w:rsidRPr="00221B8F">
        <w:rPr>
          <w:rStyle w:val="FootnoteReference"/>
          <w:sz w:val="22"/>
        </w:rPr>
        <w:footnoteReference w:id="41"/>
      </w:r>
      <w:r w:rsidRPr="001722C5">
        <w:t xml:space="preserve">  Although it has been over 2</w:t>
      </w:r>
      <w:r w:rsidR="000F6D68">
        <w:t>3</w:t>
      </w:r>
      <w:r w:rsidRPr="001722C5">
        <w:t xml:space="preserve"> months since Starfone made that statement</w:t>
      </w:r>
      <w:r w:rsidR="005049CA">
        <w:t>,</w:t>
      </w:r>
      <w:r w:rsidR="00DD24FF">
        <w:rPr>
          <w:rStyle w:val="FootnoteReference"/>
        </w:rPr>
        <w:footnoteReference w:id="42"/>
      </w:r>
      <w:r w:rsidRPr="001722C5">
        <w:t xml:space="preserve"> Starfone has neither produced evidence to support an equitable adjustment nor offered legal support </w:t>
      </w:r>
      <w:r w:rsidR="009945A3">
        <w:t xml:space="preserve">to justify </w:t>
      </w:r>
      <w:r w:rsidRPr="001722C5">
        <w:t>such an adjustment</w:t>
      </w:r>
      <w:r w:rsidR="009945A3">
        <w:t>.</w:t>
      </w:r>
      <w:r w:rsidRPr="001722C5">
        <w:t xml:space="preserve">  Accordingly, we find no basis to reduce the upward adjustment for Starfone’s failure to timely make TRS contributions.</w:t>
      </w:r>
    </w:p>
    <w:p w:rsidR="00FC7556" w:rsidRPr="00FC7556" w:rsidRDefault="008C0BCA" w:rsidP="0047296E">
      <w:pPr>
        <w:pStyle w:val="Heading3"/>
      </w:pPr>
      <w:r w:rsidRPr="0047296E">
        <w:t>Starfone</w:t>
      </w:r>
      <w:r w:rsidR="00606FC2">
        <w:t xml:space="preserve">’s </w:t>
      </w:r>
      <w:r w:rsidR="00C21093">
        <w:t xml:space="preserve">Cooperation and </w:t>
      </w:r>
      <w:r w:rsidR="00606FC2">
        <w:t xml:space="preserve">Compliance Record Do </w:t>
      </w:r>
      <w:r w:rsidR="00E45026" w:rsidRPr="0047296E">
        <w:t xml:space="preserve">Not </w:t>
      </w:r>
      <w:r w:rsidR="00606FC2">
        <w:t>Support</w:t>
      </w:r>
      <w:r w:rsidR="00E45026" w:rsidRPr="0047296E">
        <w:t xml:space="preserve"> a Reduced F</w:t>
      </w:r>
      <w:r w:rsidRPr="0047296E">
        <w:t>orfeiture</w:t>
      </w:r>
      <w:r w:rsidR="00A247E6">
        <w:t xml:space="preserve"> </w:t>
      </w:r>
    </w:p>
    <w:p w:rsidR="00AC5F76" w:rsidRDefault="00A44B22" w:rsidP="00897A99">
      <w:pPr>
        <w:pStyle w:val="ParaNum"/>
      </w:pPr>
      <w:r>
        <w:t>Starfone also argues that the Commission should reduce the proposed forfeiture because</w:t>
      </w:r>
      <w:r w:rsidR="00FC7556">
        <w:t xml:space="preserve"> it</w:t>
      </w:r>
      <w:r>
        <w:t>:  (1)</w:t>
      </w:r>
      <w:r w:rsidR="00FC7556">
        <w:t> </w:t>
      </w:r>
      <w:r w:rsidR="00EA2C7B" w:rsidRPr="00F32480">
        <w:t>cooperated with the Commission during t</w:t>
      </w:r>
      <w:r>
        <w:t>he course of the investigation</w:t>
      </w:r>
      <w:r w:rsidR="00FC7556">
        <w:t>;</w:t>
      </w:r>
      <w:r>
        <w:t xml:space="preserve"> (2) ultimately register</w:t>
      </w:r>
      <w:r w:rsidR="00FC7556">
        <w:t>ed</w:t>
      </w:r>
      <w:r>
        <w:t xml:space="preserve"> with the Commission</w:t>
      </w:r>
      <w:r w:rsidR="00EA2C7B" w:rsidRPr="00F32480">
        <w:t xml:space="preserve"> and obtained internatio</w:t>
      </w:r>
      <w:r>
        <w:t xml:space="preserve">nal </w:t>
      </w:r>
      <w:r w:rsidR="00FC7556">
        <w:t xml:space="preserve">Section 214 </w:t>
      </w:r>
      <w:r w:rsidR="00FC7556" w:rsidRPr="00F32480">
        <w:t>authority</w:t>
      </w:r>
      <w:r>
        <w:t xml:space="preserve">; and </w:t>
      </w:r>
      <w:r w:rsidR="00EA2C7B" w:rsidRPr="00F32480">
        <w:t xml:space="preserve">(3) </w:t>
      </w:r>
      <w:r w:rsidR="00605A9E">
        <w:t>“</w:t>
      </w:r>
      <w:r w:rsidR="00EA2C7B" w:rsidRPr="00F32480">
        <w:t>is</w:t>
      </w:r>
      <w:r w:rsidR="00605A9E">
        <w:t xml:space="preserve"> </w:t>
      </w:r>
      <w:r w:rsidR="00EA2C7B" w:rsidRPr="00F32480">
        <w:t>now maintaining a history of compliance with the Commission</w:t>
      </w:r>
      <w:r w:rsidR="00605A9E">
        <w:t>,</w:t>
      </w:r>
      <w:r w:rsidR="00EA2C7B" w:rsidRPr="00F32480">
        <w:t xml:space="preserve"> and has corrected any deficiencies that </w:t>
      </w:r>
      <w:r w:rsidR="00605A9E">
        <w:t xml:space="preserve">have </w:t>
      </w:r>
      <w:r w:rsidR="00EA2C7B" w:rsidRPr="00F32480">
        <w:t>come to its attention.”</w:t>
      </w:r>
      <w:r w:rsidR="00EA2C7B" w:rsidRPr="00F32480">
        <w:rPr>
          <w:rStyle w:val="FootnoteReference"/>
        </w:rPr>
        <w:footnoteReference w:id="43"/>
      </w:r>
      <w:r w:rsidR="00897A99">
        <w:t xml:space="preserve">  </w:t>
      </w:r>
    </w:p>
    <w:p w:rsidR="00DD5B3C" w:rsidRDefault="00E24CD8" w:rsidP="00897A99">
      <w:pPr>
        <w:pStyle w:val="ParaNum"/>
      </w:pPr>
      <w:r w:rsidRPr="00897A99">
        <w:t>St</w:t>
      </w:r>
      <w:r w:rsidR="00807BFF" w:rsidRPr="00897A99">
        <w:t>arfone</w:t>
      </w:r>
      <w:r w:rsidR="00384409" w:rsidRPr="00897A99">
        <w:t>’s</w:t>
      </w:r>
      <w:r w:rsidR="00807BFF" w:rsidRPr="00897A99">
        <w:t xml:space="preserve"> </w:t>
      </w:r>
      <w:r w:rsidR="00384409" w:rsidRPr="00897A99">
        <w:t>willingness to cooperate</w:t>
      </w:r>
      <w:r w:rsidR="00807BFF" w:rsidRPr="00897A99">
        <w:t xml:space="preserve"> with the Commission </w:t>
      </w:r>
      <w:r w:rsidR="00384409" w:rsidRPr="00897A99">
        <w:t xml:space="preserve">during </w:t>
      </w:r>
      <w:r w:rsidR="00807BFF" w:rsidRPr="00897A99">
        <w:t xml:space="preserve">the course of its investigation </w:t>
      </w:r>
      <w:r w:rsidR="00DD24FF">
        <w:t xml:space="preserve">does not provide a basis </w:t>
      </w:r>
      <w:r w:rsidR="00807BFF" w:rsidRPr="00897A99">
        <w:t xml:space="preserve">to reduce the forfeiture.  </w:t>
      </w:r>
      <w:r w:rsidR="00897A99" w:rsidRPr="00897A99">
        <w:t xml:space="preserve">Full cooperation during the course of Commission investigations and proceedings </w:t>
      </w:r>
      <w:r w:rsidR="00E5776A">
        <w:t xml:space="preserve">is </w:t>
      </w:r>
      <w:r w:rsidR="00897A99" w:rsidRPr="00897A99">
        <w:t xml:space="preserve">expected, and </w:t>
      </w:r>
      <w:r w:rsidR="00E5776A">
        <w:t xml:space="preserve">is </w:t>
      </w:r>
      <w:r w:rsidR="00897A99" w:rsidRPr="00897A99">
        <w:t xml:space="preserve">not considered </w:t>
      </w:r>
      <w:r w:rsidR="00897A99">
        <w:t xml:space="preserve">a </w:t>
      </w:r>
      <w:r w:rsidR="00897A99" w:rsidRPr="00897A99">
        <w:t xml:space="preserve">mitigating </w:t>
      </w:r>
      <w:r w:rsidR="00897A99">
        <w:t xml:space="preserve">factor </w:t>
      </w:r>
      <w:r w:rsidR="00897A99" w:rsidRPr="00897A99">
        <w:t xml:space="preserve">warranting </w:t>
      </w:r>
      <w:r w:rsidR="00897A99">
        <w:t xml:space="preserve">a </w:t>
      </w:r>
      <w:r w:rsidR="00C21093">
        <w:t xml:space="preserve">reduced </w:t>
      </w:r>
      <w:r w:rsidR="00897A99">
        <w:t>forfeiture</w:t>
      </w:r>
      <w:r w:rsidR="00897A99" w:rsidRPr="00897A99">
        <w:t>.</w:t>
      </w:r>
      <w:r w:rsidR="00897A99">
        <w:rPr>
          <w:rStyle w:val="FootnoteReference"/>
        </w:rPr>
        <w:footnoteReference w:id="44"/>
      </w:r>
      <w:r w:rsidR="00075C59">
        <w:t xml:space="preserve">  </w:t>
      </w:r>
    </w:p>
    <w:p w:rsidR="00897A99" w:rsidRPr="00897A99" w:rsidRDefault="00DD24FF" w:rsidP="00897A99">
      <w:pPr>
        <w:pStyle w:val="ParaNum"/>
      </w:pPr>
      <w:bookmarkStart w:id="16" w:name="_Ref386210069"/>
      <w:r>
        <w:t>Furthermore, e</w:t>
      </w:r>
      <w:r w:rsidR="000A03FC" w:rsidRPr="00075C59">
        <w:t xml:space="preserve">ven </w:t>
      </w:r>
      <w:r>
        <w:t>though</w:t>
      </w:r>
      <w:r w:rsidR="000A03FC">
        <w:t xml:space="preserve"> </w:t>
      </w:r>
      <w:r w:rsidR="000A03FC" w:rsidRPr="00075C59">
        <w:t>Starfone</w:t>
      </w:r>
      <w:r w:rsidR="000A03FC">
        <w:t xml:space="preserve"> bec</w:t>
      </w:r>
      <w:r>
        <w:t>a</w:t>
      </w:r>
      <w:r w:rsidR="000A03FC">
        <w:t xml:space="preserve">me </w:t>
      </w:r>
      <w:r w:rsidR="000A03FC" w:rsidRPr="00075C59">
        <w:t xml:space="preserve">compliant during the course of the investigation, we will not reduce the forfeiture on that basis.  Post-investigation corrective measures are not sufficient to avoid enforcement action </w:t>
      </w:r>
      <w:r w:rsidR="00ED3AF3">
        <w:t>and do not constitute</w:t>
      </w:r>
      <w:r w:rsidR="00ED3AF3" w:rsidRPr="00075C59">
        <w:t xml:space="preserve"> </w:t>
      </w:r>
      <w:r w:rsidR="000A03FC" w:rsidRPr="00075C59">
        <w:t>mitigating factor</w:t>
      </w:r>
      <w:r w:rsidR="000A03FC">
        <w:t>s</w:t>
      </w:r>
      <w:r w:rsidR="000A03FC" w:rsidRPr="00075C59">
        <w:t xml:space="preserve"> supporting forfeiture reduction.</w:t>
      </w:r>
      <w:r w:rsidR="000A03FC">
        <w:rPr>
          <w:rStyle w:val="FootnoteReference"/>
        </w:rPr>
        <w:footnoteReference w:id="45"/>
      </w:r>
      <w:r w:rsidR="000A03FC" w:rsidRPr="00075C59">
        <w:t xml:space="preserve">  </w:t>
      </w:r>
      <w:r w:rsidR="000B495C">
        <w:t>Moreover</w:t>
      </w:r>
      <w:r w:rsidR="00D85D31">
        <w:t>, it is clear from the record that Starfone’s compliance efforts were anything but prompt.  Although Starfone admitted in April 2009</w:t>
      </w:r>
      <w:r w:rsidR="00B90B57">
        <w:t>,</w:t>
      </w:r>
      <w:r w:rsidR="00D85D31">
        <w:t xml:space="preserve"> in response to the</w:t>
      </w:r>
      <w:r w:rsidR="00D228F6">
        <w:t xml:space="preserve"> Enforcement Bureau’s</w:t>
      </w:r>
      <w:r w:rsidR="00D85D31">
        <w:t xml:space="preserve"> </w:t>
      </w:r>
      <w:r w:rsidR="00D228F6">
        <w:t>March 9, 2009</w:t>
      </w:r>
      <w:r w:rsidR="00BC7D8F">
        <w:t>,</w:t>
      </w:r>
      <w:r w:rsidR="00D228F6">
        <w:t xml:space="preserve"> Letter of </w:t>
      </w:r>
      <w:r w:rsidR="00D228F6" w:rsidRPr="00050B6C">
        <w:t>Inquiry (</w:t>
      </w:r>
      <w:r w:rsidR="00D85D31" w:rsidRPr="00DB4FD0">
        <w:t>LOI</w:t>
      </w:r>
      <w:r w:rsidR="00D228F6" w:rsidRPr="00050B6C">
        <w:t>)</w:t>
      </w:r>
      <w:r w:rsidR="00B90B57" w:rsidRPr="00050B6C">
        <w:t>,</w:t>
      </w:r>
      <w:r w:rsidR="00216C46" w:rsidRPr="00050B6C">
        <w:rPr>
          <w:rStyle w:val="FootnoteReference"/>
        </w:rPr>
        <w:footnoteReference w:id="46"/>
      </w:r>
      <w:r w:rsidR="00D85D31" w:rsidRPr="00050B6C">
        <w:t xml:space="preserve"> that it had not yet registered with the Commission or applied for international Section</w:t>
      </w:r>
      <w:r w:rsidR="00D85D31">
        <w:t xml:space="preserve"> 214 authorization, it did not </w:t>
      </w:r>
      <w:r w:rsidR="00B90B57">
        <w:t xml:space="preserve">actually </w:t>
      </w:r>
      <w:r w:rsidR="00D85D31">
        <w:t xml:space="preserve">register </w:t>
      </w:r>
      <w:r w:rsidR="00B90B57">
        <w:t>for another three months.</w:t>
      </w:r>
      <w:r w:rsidR="00D85D31">
        <w:rPr>
          <w:rStyle w:val="FootnoteReference"/>
        </w:rPr>
        <w:footnoteReference w:id="47"/>
      </w:r>
      <w:r w:rsidR="00D85D31">
        <w:t xml:space="preserve">  </w:t>
      </w:r>
      <w:r w:rsidR="000B495C">
        <w:t xml:space="preserve">Further, </w:t>
      </w:r>
      <w:r w:rsidR="00B90B57">
        <w:t xml:space="preserve">the Company </w:t>
      </w:r>
      <w:r w:rsidR="00D85D31">
        <w:t xml:space="preserve">waited nearly a year after receiving the LOI before it finally sought </w:t>
      </w:r>
      <w:r w:rsidR="00871F31">
        <w:t>i</w:t>
      </w:r>
      <w:r w:rsidR="00D85D31">
        <w:t>nternational Section 214 authority.</w:t>
      </w:r>
      <w:r w:rsidR="00B90B57">
        <w:rPr>
          <w:rStyle w:val="FootnoteReference"/>
        </w:rPr>
        <w:footnoteReference w:id="48"/>
      </w:r>
      <w:r w:rsidR="00B90B57">
        <w:t xml:space="preserve">  These remedial efforts were </w:t>
      </w:r>
      <w:r>
        <w:t>made</w:t>
      </w:r>
      <w:r w:rsidR="00B90B57">
        <w:t xml:space="preserve"> years too late.</w:t>
      </w:r>
      <w:r w:rsidR="00B90B57">
        <w:rPr>
          <w:rStyle w:val="FootnoteReference"/>
        </w:rPr>
        <w:footnoteReference w:id="49"/>
      </w:r>
      <w:r w:rsidR="00B90B57">
        <w:t xml:space="preserve">  </w:t>
      </w:r>
      <w:r w:rsidR="00301AC6">
        <w:t>T</w:t>
      </w:r>
      <w:r w:rsidR="00B90B57">
        <w:t xml:space="preserve">he </w:t>
      </w:r>
      <w:r w:rsidR="00ED3AF3">
        <w:t>C</w:t>
      </w:r>
      <w:r w:rsidR="00B90B57">
        <w:t xml:space="preserve">ompany </w:t>
      </w:r>
      <w:r>
        <w:t>compounded these errors by</w:t>
      </w:r>
      <w:r w:rsidR="00B90B57">
        <w:t xml:space="preserve"> not </w:t>
      </w:r>
      <w:r>
        <w:t xml:space="preserve">quickly </w:t>
      </w:r>
      <w:r w:rsidR="00B90B57">
        <w:t>cur</w:t>
      </w:r>
      <w:r>
        <w:t>ing</w:t>
      </w:r>
      <w:r w:rsidR="00B90B57">
        <w:t xml:space="preserve"> </w:t>
      </w:r>
      <w:r>
        <w:t>the</w:t>
      </w:r>
      <w:r w:rsidR="00B90B57">
        <w:t xml:space="preserve"> noncompliance</w:t>
      </w:r>
      <w:r w:rsidR="00301AC6">
        <w:t xml:space="preserve"> </w:t>
      </w:r>
      <w:r>
        <w:t>through the filing of</w:t>
      </w:r>
      <w:r w:rsidR="00301AC6">
        <w:t xml:space="preserve"> an</w:t>
      </w:r>
      <w:r w:rsidR="00B90B57">
        <w:t xml:space="preserve"> STA </w:t>
      </w:r>
      <w:r>
        <w:t>request</w:t>
      </w:r>
      <w:r w:rsidR="00D66CC5">
        <w:t xml:space="preserve"> seeking authorization</w:t>
      </w:r>
      <w:r w:rsidR="00B90B57">
        <w:t xml:space="preserve"> to continue operating while its </w:t>
      </w:r>
      <w:r w:rsidR="00ED3AF3">
        <w:t xml:space="preserve">Section </w:t>
      </w:r>
      <w:r w:rsidR="00B90B57">
        <w:t xml:space="preserve">214 </w:t>
      </w:r>
      <w:r w:rsidR="004E6A76">
        <w:t>application</w:t>
      </w:r>
      <w:r w:rsidR="00B90B57">
        <w:t xml:space="preserve"> was pending.  We emphasize that the Company should have requested a</w:t>
      </w:r>
      <w:r w:rsidR="00301AC6">
        <w:t>n</w:t>
      </w:r>
      <w:r w:rsidR="00B90B57">
        <w:t xml:space="preserve"> STA in these circumstances, and its failure to do so reinforces ou</w:t>
      </w:r>
      <w:r w:rsidR="00301AC6">
        <w:t>r conclusion that a downward adj</w:t>
      </w:r>
      <w:r w:rsidR="00B90B57">
        <w:t>ustment is unwarranted.</w:t>
      </w:r>
      <w:r w:rsidR="00B90B57">
        <w:rPr>
          <w:rStyle w:val="FootnoteReference"/>
        </w:rPr>
        <w:footnoteReference w:id="50"/>
      </w:r>
      <w:r w:rsidR="00F12BA9">
        <w:t xml:space="preserve">  The Commission has previously rejected downward adjustme</w:t>
      </w:r>
      <w:r w:rsidR="00301AC6">
        <w:t>n</w:t>
      </w:r>
      <w:r w:rsidR="00F12BA9">
        <w:t>ts where “lengthy delays” in attempting to cure a violation “evince[d] a lack of diligence</w:t>
      </w:r>
      <w:r w:rsidR="00301AC6">
        <w:t>.</w:t>
      </w:r>
      <w:r w:rsidR="00F12BA9">
        <w:t>”</w:t>
      </w:r>
      <w:r w:rsidR="00F12BA9">
        <w:rPr>
          <w:rStyle w:val="FootnoteReference"/>
        </w:rPr>
        <w:footnoteReference w:id="51"/>
      </w:r>
      <w:bookmarkEnd w:id="16"/>
      <w:r w:rsidR="00301AC6">
        <w:t xml:space="preserve"> </w:t>
      </w:r>
    </w:p>
    <w:p w:rsidR="00F11622" w:rsidRPr="00075C59" w:rsidRDefault="00D13C1A" w:rsidP="0047296E">
      <w:pPr>
        <w:pStyle w:val="ParaNum"/>
      </w:pPr>
      <w:r w:rsidRPr="00075C59">
        <w:t>Starfone’s claim</w:t>
      </w:r>
      <w:r w:rsidR="009E1055">
        <w:t>ed</w:t>
      </w:r>
      <w:r w:rsidR="00FD3E74">
        <w:t xml:space="preserve"> </w:t>
      </w:r>
      <w:r w:rsidRPr="00075C59">
        <w:t>compliance</w:t>
      </w:r>
      <w:r w:rsidR="00983711" w:rsidRPr="00075C59">
        <w:t xml:space="preserve"> with the Commission’s R</w:t>
      </w:r>
      <w:r w:rsidR="00C161AE" w:rsidRPr="00075C59">
        <w:t>ules</w:t>
      </w:r>
      <w:r w:rsidRPr="00075C59">
        <w:t xml:space="preserve"> </w:t>
      </w:r>
      <w:r w:rsidR="000A03FC">
        <w:t xml:space="preserve">also </w:t>
      </w:r>
      <w:r w:rsidR="006F1F77">
        <w:t xml:space="preserve">appears </w:t>
      </w:r>
      <w:r w:rsidRPr="00075C59">
        <w:t>contrary to the facts.  Although Starfone asserts that it “desire[s] to be compliant with the Commission</w:t>
      </w:r>
      <w:r w:rsidR="00C26EBF">
        <w:t>’s</w:t>
      </w:r>
      <w:r w:rsidRPr="00075C59">
        <w:t xml:space="preserve"> Rules,”</w:t>
      </w:r>
      <w:r w:rsidR="007E6594" w:rsidRPr="007E6594">
        <w:t xml:space="preserve"> </w:t>
      </w:r>
      <w:r w:rsidR="007E6594">
        <w:t>that it “</w:t>
      </w:r>
      <w:r w:rsidR="007E6594" w:rsidRPr="00F32480">
        <w:t xml:space="preserve">has corrected any deficiencies that </w:t>
      </w:r>
      <w:r w:rsidR="00605A9E">
        <w:t xml:space="preserve">have </w:t>
      </w:r>
      <w:r w:rsidR="007E6594" w:rsidRPr="00F32480">
        <w:t>come to its attention”</w:t>
      </w:r>
      <w:r w:rsidR="007E6594">
        <w:t xml:space="preserve"> and that it is </w:t>
      </w:r>
      <w:r w:rsidR="007E6594" w:rsidRPr="00F32480">
        <w:t>“now maintaining a history of compliance</w:t>
      </w:r>
      <w:r w:rsidR="00ED3AF3">
        <w:t>,</w:t>
      </w:r>
      <w:r w:rsidR="007E6594">
        <w:t>”</w:t>
      </w:r>
      <w:r w:rsidR="00A9223A">
        <w:rPr>
          <w:rStyle w:val="FootnoteReference"/>
        </w:rPr>
        <w:footnoteReference w:id="52"/>
      </w:r>
      <w:r w:rsidRPr="00075C59">
        <w:t xml:space="preserve"> the TRS </w:t>
      </w:r>
      <w:r w:rsidR="00935F76">
        <w:t xml:space="preserve">Fund </w:t>
      </w:r>
      <w:r w:rsidRPr="00075C59">
        <w:t xml:space="preserve">Administrator has informed the Commission that the Company </w:t>
      </w:r>
      <w:r w:rsidR="00F85B1D" w:rsidRPr="00075C59">
        <w:t xml:space="preserve">did not </w:t>
      </w:r>
      <w:r w:rsidR="00C2796C" w:rsidRPr="00075C59">
        <w:t xml:space="preserve">timely </w:t>
      </w:r>
      <w:r w:rsidR="00F85B1D" w:rsidRPr="00075C59">
        <w:t>make its TRS payment</w:t>
      </w:r>
      <w:r w:rsidR="00C2796C" w:rsidRPr="00075C59">
        <w:t>s</w:t>
      </w:r>
      <w:r w:rsidRPr="00075C59">
        <w:t xml:space="preserve"> </w:t>
      </w:r>
      <w:r w:rsidR="004D6985">
        <w:t>due in 2013</w:t>
      </w:r>
      <w:r w:rsidR="009E1055">
        <w:t>,</w:t>
      </w:r>
      <w:r w:rsidR="004D6985">
        <w:t xml:space="preserve"> </w:t>
      </w:r>
      <w:r w:rsidR="00F85B1D" w:rsidRPr="00075C59">
        <w:t xml:space="preserve">and </w:t>
      </w:r>
      <w:r w:rsidR="00ED3AF3">
        <w:t xml:space="preserve">that </w:t>
      </w:r>
      <w:r w:rsidR="00F85B1D" w:rsidRPr="00075C59">
        <w:t>the debt has been referred to the United States Treasury for collection.</w:t>
      </w:r>
      <w:r w:rsidR="00E359D4" w:rsidRPr="00075C59">
        <w:t xml:space="preserve"> </w:t>
      </w:r>
      <w:r w:rsidR="00F85B1D" w:rsidRPr="00075C59">
        <w:t xml:space="preserve"> This </w:t>
      </w:r>
      <w:r w:rsidR="00FF3DC2">
        <w:t xml:space="preserve">apparent </w:t>
      </w:r>
      <w:r w:rsidR="00F85B1D" w:rsidRPr="00075C59">
        <w:t xml:space="preserve">significant </w:t>
      </w:r>
      <w:r w:rsidR="009E1055">
        <w:t xml:space="preserve">compliance </w:t>
      </w:r>
      <w:r w:rsidR="00F85B1D" w:rsidRPr="00075C59">
        <w:t>failure</w:t>
      </w:r>
      <w:r w:rsidRPr="00075C59">
        <w:t xml:space="preserve"> belie</w:t>
      </w:r>
      <w:r w:rsidR="00F85B1D" w:rsidRPr="00075C59">
        <w:t>s</w:t>
      </w:r>
      <w:r w:rsidRPr="00075C59">
        <w:t xml:space="preserve"> Starfone’</w:t>
      </w:r>
      <w:r w:rsidR="009E096D" w:rsidRPr="00075C59">
        <w:t xml:space="preserve">s claim that it </w:t>
      </w:r>
      <w:r w:rsidR="00075C59" w:rsidRPr="00075C59">
        <w:t xml:space="preserve">has complied </w:t>
      </w:r>
      <w:r w:rsidRPr="00075C59">
        <w:t xml:space="preserve">with its regulatory obligations. </w:t>
      </w:r>
    </w:p>
    <w:p w:rsidR="00182F2D" w:rsidRPr="00C161AE" w:rsidRDefault="00285A02" w:rsidP="00221B8F">
      <w:pPr>
        <w:pStyle w:val="Heading3"/>
      </w:pPr>
      <w:r>
        <w:t xml:space="preserve">A Reduction of the </w:t>
      </w:r>
      <w:r w:rsidR="007809F0">
        <w:t>Proposed</w:t>
      </w:r>
      <w:r w:rsidR="00844F4B" w:rsidRPr="00F32480">
        <w:t xml:space="preserve"> Forfeiture</w:t>
      </w:r>
      <w:r w:rsidR="00182F2D" w:rsidRPr="00F32480">
        <w:t xml:space="preserve"> </w:t>
      </w:r>
      <w:r>
        <w:t xml:space="preserve">is </w:t>
      </w:r>
      <w:r w:rsidR="00BE2211">
        <w:t>Unw</w:t>
      </w:r>
      <w:r w:rsidR="00B562C3">
        <w:t>arranted</w:t>
      </w:r>
      <w:r w:rsidR="00BE2211">
        <w:t xml:space="preserve"> </w:t>
      </w:r>
      <w:r w:rsidR="00802597">
        <w:t xml:space="preserve">Given Starfone’s Ongoing Record </w:t>
      </w:r>
      <w:r w:rsidR="00E91481">
        <w:t>of Noncompliance</w:t>
      </w:r>
    </w:p>
    <w:p w:rsidR="00D151C6" w:rsidRDefault="00C161AE" w:rsidP="007114AA">
      <w:pPr>
        <w:pStyle w:val="ParaNum"/>
        <w:widowControl/>
      </w:pPr>
      <w:r>
        <w:t>Starfone</w:t>
      </w:r>
      <w:r w:rsidR="00562010" w:rsidRPr="00F32480">
        <w:t xml:space="preserve"> seeks a reduction of the proposed forfeiture b</w:t>
      </w:r>
      <w:r w:rsidR="009E1055">
        <w:t>ased</w:t>
      </w:r>
      <w:r w:rsidR="00562010" w:rsidRPr="00F32480">
        <w:t xml:space="preserve"> o</w:t>
      </w:r>
      <w:r w:rsidR="009E1055">
        <w:t>n</w:t>
      </w:r>
      <w:r w:rsidR="00562010" w:rsidRPr="00F32480">
        <w:t xml:space="preserve"> an asserted inability to pay.</w:t>
      </w:r>
      <w:r w:rsidR="00562010" w:rsidRPr="00F32480">
        <w:rPr>
          <w:rStyle w:val="FootnoteReference"/>
        </w:rPr>
        <w:footnoteReference w:id="53"/>
      </w:r>
      <w:r w:rsidRPr="00C161AE">
        <w:t xml:space="preserve"> </w:t>
      </w:r>
      <w:r>
        <w:t xml:space="preserve"> </w:t>
      </w:r>
      <w:r w:rsidRPr="00F32480">
        <w:t>Starfone argues that the imposition of the full forfeiture would cause it undue economic hardship</w:t>
      </w:r>
      <w:r w:rsidR="007F1BF1">
        <w:t>,</w:t>
      </w:r>
      <w:r w:rsidR="008B2EED">
        <w:t xml:space="preserve"> </w:t>
      </w:r>
      <w:r w:rsidR="00D66CC5">
        <w:t xml:space="preserve">force it to lay off employees, </w:t>
      </w:r>
      <w:r w:rsidR="007F1BF1">
        <w:t xml:space="preserve">and </w:t>
      </w:r>
      <w:r w:rsidR="008B2EED">
        <w:t>possibly</w:t>
      </w:r>
      <w:r w:rsidRPr="00F32480">
        <w:t xml:space="preserve"> c</w:t>
      </w:r>
      <w:r w:rsidR="00975194">
        <w:t>ause it to go out of business</w:t>
      </w:r>
      <w:r w:rsidR="00562010" w:rsidRPr="00F32480">
        <w:t>.</w:t>
      </w:r>
      <w:r w:rsidR="00562010" w:rsidRPr="00F32480">
        <w:rPr>
          <w:rStyle w:val="FootnoteReference"/>
        </w:rPr>
        <w:footnoteReference w:id="54"/>
      </w:r>
      <w:r w:rsidR="007809F0">
        <w:t xml:space="preserve">  Starfone states that the proposed forfeiture constitutes “a significant amount of [Starfone’s] net revenues in the preceding year, exclusive of net revenues and vender</w:t>
      </w:r>
      <w:r w:rsidR="00D66CC5">
        <w:t xml:space="preserve"> </w:t>
      </w:r>
      <w:r w:rsidR="007809F0">
        <w:t>liabilities</w:t>
      </w:r>
      <w:r w:rsidR="00605A9E">
        <w:t>,</w:t>
      </w:r>
      <w:r w:rsidR="007809F0">
        <w:t xml:space="preserve"> and will impose a s</w:t>
      </w:r>
      <w:r w:rsidR="00605A9E">
        <w:t xml:space="preserve">ubstantial </w:t>
      </w:r>
      <w:r w:rsidR="007809F0">
        <w:t>economic hardship.”</w:t>
      </w:r>
      <w:r w:rsidR="007809F0">
        <w:rPr>
          <w:rStyle w:val="FootnoteReference"/>
        </w:rPr>
        <w:footnoteReference w:id="55"/>
      </w:r>
      <w:r w:rsidR="00A80C17">
        <w:t xml:space="preserve">  </w:t>
      </w:r>
      <w:r w:rsidR="00EF788C">
        <w:t xml:space="preserve">We </w:t>
      </w:r>
      <w:r w:rsidR="00094C61">
        <w:t>decline to reduce the proposed forfeiture</w:t>
      </w:r>
      <w:r w:rsidR="006945AF">
        <w:t>.</w:t>
      </w:r>
      <w:r w:rsidR="00161E43" w:rsidDel="00E821A6">
        <w:t xml:space="preserve"> </w:t>
      </w:r>
    </w:p>
    <w:p w:rsidR="00161E43" w:rsidRDefault="00D151C6" w:rsidP="00E94677">
      <w:pPr>
        <w:pStyle w:val="ParaNum"/>
      </w:pPr>
      <w:r>
        <w:t>A</w:t>
      </w:r>
      <w:r w:rsidR="00161E43">
        <w:t>s discussed above</w:t>
      </w:r>
      <w:r w:rsidR="00A54FEF">
        <w:t>,</w:t>
      </w:r>
      <w:r w:rsidR="00E45086">
        <w:t xml:space="preserve"> a violator’s</w:t>
      </w:r>
      <w:r w:rsidR="00161E43">
        <w:t xml:space="preserve"> “ability to pay” is only one </w:t>
      </w:r>
      <w:r w:rsidR="00F02EF1">
        <w:t xml:space="preserve">of several </w:t>
      </w:r>
      <w:r w:rsidR="00161E43">
        <w:t>factor</w:t>
      </w:r>
      <w:r w:rsidR="00F02EF1">
        <w:t>s</w:t>
      </w:r>
      <w:r w:rsidR="00161E43">
        <w:t xml:space="preserve"> </w:t>
      </w:r>
      <w:r>
        <w:t xml:space="preserve">the Commission must consider when determining </w:t>
      </w:r>
      <w:r w:rsidR="00253302">
        <w:t xml:space="preserve">an </w:t>
      </w:r>
      <w:r w:rsidR="00161E43">
        <w:t>appropriate forfeiture under Section 503 of the Act</w:t>
      </w:r>
      <w:r w:rsidR="00E45086">
        <w:t xml:space="preserve"> and </w:t>
      </w:r>
      <w:r w:rsidR="00253302">
        <w:t xml:space="preserve">our </w:t>
      </w:r>
      <w:r w:rsidR="00E45086">
        <w:t>forfeiture guidelines</w:t>
      </w:r>
      <w:r w:rsidR="00161E43">
        <w:t xml:space="preserve">.  </w:t>
      </w:r>
      <w:r>
        <w:t xml:space="preserve">It </w:t>
      </w:r>
      <w:r w:rsidR="00161E43">
        <w:t xml:space="preserve">must also consider </w:t>
      </w:r>
      <w:r w:rsidR="00161E43" w:rsidRPr="00F32480">
        <w:t>“the nature, circumstances, extent</w:t>
      </w:r>
      <w:r w:rsidR="00DB6113">
        <w:t>,</w:t>
      </w:r>
      <w:r w:rsidR="00161E43" w:rsidRPr="00F32480">
        <w:t xml:space="preserve"> and gravity of the violation and, with respect to the violator, the degree of culpability, any history of prior offenses, </w:t>
      </w:r>
      <w:r w:rsidR="00C97E24">
        <w:t xml:space="preserve">. . . </w:t>
      </w:r>
      <w:r w:rsidR="00161E43" w:rsidRPr="00F32480">
        <w:t>and such other matters as justice may require.”</w:t>
      </w:r>
      <w:r w:rsidR="00161E43" w:rsidRPr="00F32480">
        <w:rPr>
          <w:rStyle w:val="FootnoteReference"/>
        </w:rPr>
        <w:footnoteReference w:id="56"/>
      </w:r>
      <w:r w:rsidR="00161E43">
        <w:t xml:space="preserve">  </w:t>
      </w:r>
      <w:r w:rsidR="00253302">
        <w:t>Here,</w:t>
      </w:r>
      <w:r w:rsidR="00580CFF">
        <w:t xml:space="preserve"> as we evaluate Starfone’s </w:t>
      </w:r>
      <w:r w:rsidR="001F543B">
        <w:t xml:space="preserve">argument concerning its </w:t>
      </w:r>
      <w:r w:rsidR="00580CFF">
        <w:t>inability to pay,</w:t>
      </w:r>
      <w:r w:rsidR="00161E43">
        <w:t xml:space="preserve"> we </w:t>
      </w:r>
      <w:r w:rsidR="008A6224">
        <w:t xml:space="preserve">also </w:t>
      </w:r>
      <w:r w:rsidR="00161E43">
        <w:t xml:space="preserve">consider </w:t>
      </w:r>
      <w:r w:rsidR="003D43CD">
        <w:t>the Company’s</w:t>
      </w:r>
      <w:r w:rsidR="00802597">
        <w:t xml:space="preserve"> compliance record </w:t>
      </w:r>
      <w:r w:rsidR="001F543B">
        <w:t xml:space="preserve">after </w:t>
      </w:r>
      <w:r w:rsidR="00161E43">
        <w:t xml:space="preserve">the </w:t>
      </w:r>
      <w:r w:rsidR="001F543B">
        <w:t xml:space="preserve">Commission </w:t>
      </w:r>
      <w:r w:rsidR="00161E43">
        <w:t>issu</w:t>
      </w:r>
      <w:r w:rsidR="001F543B">
        <w:t xml:space="preserve">ed </w:t>
      </w:r>
      <w:r w:rsidR="00161E43">
        <w:t xml:space="preserve">the </w:t>
      </w:r>
      <w:r w:rsidR="00C97E24">
        <w:rPr>
          <w:i/>
        </w:rPr>
        <w:t xml:space="preserve">Starfone </w:t>
      </w:r>
      <w:r w:rsidR="00161E43" w:rsidRPr="00637E0A">
        <w:rPr>
          <w:i/>
        </w:rPr>
        <w:t>NAL</w:t>
      </w:r>
      <w:r w:rsidR="00161E43">
        <w:t>.</w:t>
      </w:r>
      <w:r w:rsidR="008A6224">
        <w:rPr>
          <w:rStyle w:val="FootnoteReference"/>
        </w:rPr>
        <w:footnoteReference w:id="57"/>
      </w:r>
      <w:r w:rsidR="00161E43">
        <w:t xml:space="preserve">  </w:t>
      </w:r>
      <w:r w:rsidR="007C234E">
        <w:t xml:space="preserve">As discussed above, </w:t>
      </w:r>
      <w:r w:rsidR="00802597">
        <w:t xml:space="preserve">although the </w:t>
      </w:r>
      <w:r w:rsidR="001F543B">
        <w:t xml:space="preserve">Commission issued the </w:t>
      </w:r>
      <w:r w:rsidR="00556082" w:rsidRPr="00064B13">
        <w:rPr>
          <w:i/>
        </w:rPr>
        <w:t>Starfone</w:t>
      </w:r>
      <w:r w:rsidR="00556082">
        <w:t xml:space="preserve"> </w:t>
      </w:r>
      <w:r w:rsidR="00802597" w:rsidRPr="00637E0A">
        <w:rPr>
          <w:i/>
        </w:rPr>
        <w:t>NAL</w:t>
      </w:r>
      <w:r w:rsidR="00802597">
        <w:t xml:space="preserve"> in 2012, </w:t>
      </w:r>
      <w:r w:rsidR="007C234E">
        <w:t xml:space="preserve">Starfone </w:t>
      </w:r>
      <w:r w:rsidR="00BE2211" w:rsidRPr="00E94677">
        <w:rPr>
          <w:i/>
        </w:rPr>
        <w:t>again</w:t>
      </w:r>
      <w:r w:rsidR="00BE2211">
        <w:t xml:space="preserve"> </w:t>
      </w:r>
      <w:r w:rsidR="007C234E">
        <w:t>failed to make required TRS Fund contributions</w:t>
      </w:r>
      <w:r w:rsidR="00802597">
        <w:t xml:space="preserve"> in 2013</w:t>
      </w:r>
      <w:r w:rsidR="007C234E">
        <w:t xml:space="preserve">.  </w:t>
      </w:r>
      <w:r w:rsidR="00161E43">
        <w:t xml:space="preserve">The </w:t>
      </w:r>
      <w:r w:rsidR="00161E43" w:rsidRPr="00A118DE">
        <w:t xml:space="preserve">TRS program depends on timely contributions </w:t>
      </w:r>
      <w:r w:rsidR="00161E43">
        <w:t xml:space="preserve">so that </w:t>
      </w:r>
      <w:r w:rsidR="00161E43" w:rsidRPr="00A118DE">
        <w:t>persons with disabilities</w:t>
      </w:r>
      <w:r w:rsidR="00161E43">
        <w:t xml:space="preserve"> have access to the same communications services enjoyed by others</w:t>
      </w:r>
      <w:r w:rsidR="00161E43" w:rsidRPr="00A118DE">
        <w:t xml:space="preserve">.  </w:t>
      </w:r>
      <w:r w:rsidR="00161E43">
        <w:t xml:space="preserve">Starfone’s ongoing failure to make required contributions continues to harm the </w:t>
      </w:r>
      <w:r w:rsidR="001F543B">
        <w:t xml:space="preserve">TRS </w:t>
      </w:r>
      <w:r w:rsidR="00161E43">
        <w:t xml:space="preserve">Fund and those who rely upon TRS services.  </w:t>
      </w:r>
      <w:r w:rsidR="00BC7400">
        <w:t>A</w:t>
      </w:r>
      <w:r w:rsidR="008A04BA">
        <w:t xml:space="preserve">s stated in the </w:t>
      </w:r>
      <w:r w:rsidR="00556082" w:rsidRPr="00885B2C">
        <w:rPr>
          <w:i/>
        </w:rPr>
        <w:t>Starfone</w:t>
      </w:r>
      <w:r w:rsidR="00556082">
        <w:t xml:space="preserve"> </w:t>
      </w:r>
      <w:r w:rsidR="008A04BA" w:rsidRPr="00637E0A">
        <w:rPr>
          <w:i/>
        </w:rPr>
        <w:t>NAL</w:t>
      </w:r>
      <w:r w:rsidR="008A04BA">
        <w:t>, “[w]here a provider fails to satisfy its TRS obligations for an extended period of time, it thwarts the purpose for which Congress established Section 225(b)(1) of the Act and its implementing regulations – to ensure that ‘telecommunications relay services are available, to the extent possible and in the most efficient manner, to hearing</w:t>
      </w:r>
      <w:r w:rsidR="00556082">
        <w:t>-</w:t>
      </w:r>
      <w:r w:rsidR="008A04BA">
        <w:t>impaired and speech-impaired individuals in the United States.’”</w:t>
      </w:r>
      <w:r w:rsidR="008A04BA">
        <w:rPr>
          <w:rStyle w:val="FootnoteReference"/>
        </w:rPr>
        <w:footnoteReference w:id="58"/>
      </w:r>
      <w:r w:rsidR="008A04BA">
        <w:t xml:space="preserve">  </w:t>
      </w:r>
      <w:r w:rsidR="00E45086">
        <w:t xml:space="preserve">Although forfeiture penalties are imposed to address past violations of the Act and the </w:t>
      </w:r>
      <w:r w:rsidR="00580CFF">
        <w:t>R</w:t>
      </w:r>
      <w:r w:rsidR="00E45086">
        <w:t xml:space="preserve">ules, </w:t>
      </w:r>
      <w:r w:rsidR="00253302">
        <w:t xml:space="preserve">such penalties are </w:t>
      </w:r>
      <w:r w:rsidR="00E45086">
        <w:t>also intended to deter future violations.</w:t>
      </w:r>
      <w:r w:rsidR="007C234E">
        <w:rPr>
          <w:rStyle w:val="FootnoteReference"/>
        </w:rPr>
        <w:footnoteReference w:id="59"/>
      </w:r>
      <w:r w:rsidR="00E45086">
        <w:t xml:space="preserve">  </w:t>
      </w:r>
      <w:r w:rsidR="002863A5">
        <w:t xml:space="preserve">Indeed, </w:t>
      </w:r>
      <w:r w:rsidR="00B87F0E">
        <w:t>in imposing the proposed forfeiture</w:t>
      </w:r>
      <w:r w:rsidR="00A82FA7">
        <w:t xml:space="preserve"> at issue here,</w:t>
      </w:r>
      <w:r w:rsidR="00B87F0E">
        <w:t xml:space="preserve"> </w:t>
      </w:r>
      <w:r w:rsidR="00A82FA7">
        <w:t xml:space="preserve">the </w:t>
      </w:r>
      <w:r w:rsidR="00556082" w:rsidRPr="00885B2C">
        <w:rPr>
          <w:i/>
        </w:rPr>
        <w:t>Starfone</w:t>
      </w:r>
      <w:r w:rsidR="00556082">
        <w:t xml:space="preserve"> </w:t>
      </w:r>
      <w:r w:rsidR="00A82FA7" w:rsidRPr="00637E0A">
        <w:rPr>
          <w:i/>
        </w:rPr>
        <w:t>NAL</w:t>
      </w:r>
      <w:r w:rsidR="00A82FA7">
        <w:t xml:space="preserve"> </w:t>
      </w:r>
      <w:r w:rsidR="00E91481">
        <w:t xml:space="preserve">sought to </w:t>
      </w:r>
      <w:r w:rsidR="002863A5">
        <w:t>“effectively deter companies like Starfone from violating our rules governing payment into the TRS and other programs.”</w:t>
      </w:r>
      <w:r w:rsidR="002863A5">
        <w:rPr>
          <w:rStyle w:val="FootnoteReference"/>
        </w:rPr>
        <w:footnoteReference w:id="60"/>
      </w:r>
      <w:r w:rsidR="002863A5">
        <w:t xml:space="preserve">  </w:t>
      </w:r>
      <w:r w:rsidR="00BC7400">
        <w:t>I</w:t>
      </w:r>
      <w:r w:rsidR="00253302">
        <w:t xml:space="preserve">ssuance of the </w:t>
      </w:r>
      <w:r w:rsidR="00556082" w:rsidRPr="00885B2C">
        <w:rPr>
          <w:i/>
        </w:rPr>
        <w:t>Starfone</w:t>
      </w:r>
      <w:r w:rsidR="00556082">
        <w:t xml:space="preserve"> </w:t>
      </w:r>
      <w:r w:rsidR="00253302" w:rsidRPr="00637E0A">
        <w:rPr>
          <w:i/>
        </w:rPr>
        <w:t>NAL</w:t>
      </w:r>
      <w:r w:rsidR="00253302">
        <w:t xml:space="preserve"> </w:t>
      </w:r>
      <w:r w:rsidR="00802597">
        <w:t xml:space="preserve">apparently </w:t>
      </w:r>
      <w:r w:rsidR="00253302">
        <w:t xml:space="preserve">did not </w:t>
      </w:r>
      <w:r w:rsidR="00BC7400">
        <w:t xml:space="preserve">have the </w:t>
      </w:r>
      <w:r w:rsidR="00E91481">
        <w:t xml:space="preserve">intended </w:t>
      </w:r>
      <w:r w:rsidR="00253302">
        <w:t>deter</w:t>
      </w:r>
      <w:r w:rsidR="00BC7400">
        <w:t>rent effect</w:t>
      </w:r>
      <w:r w:rsidR="00253302">
        <w:t>.</w:t>
      </w:r>
      <w:r w:rsidR="00802597">
        <w:t xml:space="preserve">  </w:t>
      </w:r>
      <w:r w:rsidR="002863A5">
        <w:t>T</w:t>
      </w:r>
      <w:r w:rsidR="007F65C0">
        <w:t xml:space="preserve">o </w:t>
      </w:r>
      <w:r w:rsidR="002863A5">
        <w:t xml:space="preserve">discourage </w:t>
      </w:r>
      <w:r w:rsidR="00A82FA7">
        <w:t xml:space="preserve">ongoing defaults on </w:t>
      </w:r>
      <w:r w:rsidR="00D54C6B">
        <w:t xml:space="preserve">payment </w:t>
      </w:r>
      <w:r w:rsidR="00A82FA7">
        <w:t xml:space="preserve">obligations to the </w:t>
      </w:r>
      <w:r w:rsidR="00D54C6B">
        <w:t>TRS Fund and other regulatory programs</w:t>
      </w:r>
      <w:r w:rsidR="007F65C0">
        <w:t xml:space="preserve">, we decline to reduce </w:t>
      </w:r>
      <w:r w:rsidR="00E91481">
        <w:t xml:space="preserve">a </w:t>
      </w:r>
      <w:r w:rsidR="007A553B">
        <w:t xml:space="preserve">proposed forfeiture when, as here, </w:t>
      </w:r>
      <w:r w:rsidR="00707471">
        <w:t xml:space="preserve">after </w:t>
      </w:r>
      <w:r w:rsidR="007A553B">
        <w:t xml:space="preserve">issuance of an NAL </w:t>
      </w:r>
      <w:r w:rsidR="007F65C0">
        <w:t xml:space="preserve">a </w:t>
      </w:r>
      <w:r w:rsidR="002863A5">
        <w:t xml:space="preserve">company </w:t>
      </w:r>
      <w:r w:rsidR="007F65C0">
        <w:t>fail</w:t>
      </w:r>
      <w:r w:rsidR="00E91481">
        <w:t>s</w:t>
      </w:r>
      <w:r w:rsidR="007F65C0">
        <w:t xml:space="preserve"> to meet </w:t>
      </w:r>
      <w:r w:rsidR="007A553B">
        <w:t xml:space="preserve">its ongoing </w:t>
      </w:r>
      <w:r w:rsidR="002863A5">
        <w:t xml:space="preserve">contribution </w:t>
      </w:r>
      <w:r w:rsidR="007A553B">
        <w:t>responsibilities</w:t>
      </w:r>
      <w:r w:rsidR="00580CFF">
        <w:t>.</w:t>
      </w:r>
      <w:r w:rsidR="007A553B">
        <w:t xml:space="preserve">  </w:t>
      </w:r>
      <w:r w:rsidR="00161E43">
        <w:t xml:space="preserve">Accordingly, we decline </w:t>
      </w:r>
      <w:r w:rsidR="001F543B">
        <w:t xml:space="preserve">to </w:t>
      </w:r>
      <w:r w:rsidR="00E91481">
        <w:t>downward</w:t>
      </w:r>
      <w:r w:rsidR="001F543B">
        <w:t>ly</w:t>
      </w:r>
      <w:r w:rsidR="00E91481">
        <w:t xml:space="preserve"> adjust</w:t>
      </w:r>
      <w:r w:rsidR="00161E43">
        <w:t xml:space="preserve"> the proposed forfeiture</w:t>
      </w:r>
      <w:r w:rsidR="00E91481">
        <w:t xml:space="preserve"> notwithstanding Starfone’s inability to pay request</w:t>
      </w:r>
      <w:r w:rsidR="00161E43">
        <w:t>.</w:t>
      </w:r>
    </w:p>
    <w:p w:rsidR="00B36D5D" w:rsidRPr="00C32D49" w:rsidRDefault="001F543B" w:rsidP="00D255E1">
      <w:pPr>
        <w:pStyle w:val="ParaNum"/>
        <w:keepNext/>
      </w:pPr>
      <w:bookmarkStart w:id="17" w:name="SR;716"/>
      <w:bookmarkStart w:id="18" w:name="SR;717"/>
      <w:bookmarkEnd w:id="17"/>
      <w:bookmarkEnd w:id="18"/>
      <w:r>
        <w:t>W</w:t>
      </w:r>
      <w:r w:rsidR="00A54FEF">
        <w:t xml:space="preserve">eighing the factors enumerated in the Act and our forfeiture guidelines, </w:t>
      </w:r>
      <w:r w:rsidR="00EB5756">
        <w:t>w</w:t>
      </w:r>
      <w:r w:rsidR="00A80C1D">
        <w:t xml:space="preserve">e conclude, based upon the evidence before us, </w:t>
      </w:r>
      <w:r w:rsidR="00B36D5D" w:rsidRPr="00F32480">
        <w:t>that the</w:t>
      </w:r>
      <w:r w:rsidR="00A80C1D">
        <w:t xml:space="preserve"> proposed forfeiture of </w:t>
      </w:r>
      <w:r w:rsidR="009F0005">
        <w:t>$</w:t>
      </w:r>
      <w:r w:rsidR="006945AF">
        <w:t>408,668</w:t>
      </w:r>
      <w:r w:rsidR="00B36D5D" w:rsidRPr="00F32480">
        <w:t xml:space="preserve"> properly reflects the seriousness, duration, and scope of Starfone’s violations</w:t>
      </w:r>
      <w:r w:rsidR="00C32D49">
        <w:t>.</w:t>
      </w:r>
    </w:p>
    <w:p w:rsidR="00562010" w:rsidRPr="00F32480" w:rsidRDefault="00562010" w:rsidP="00937C4F">
      <w:pPr>
        <w:pStyle w:val="Heading1"/>
      </w:pPr>
      <w:r w:rsidRPr="00F32480">
        <w:t>CONCLUSION</w:t>
      </w:r>
    </w:p>
    <w:p w:rsidR="00562010" w:rsidRPr="00D42FD1" w:rsidRDefault="00562010" w:rsidP="008021EC">
      <w:pPr>
        <w:pStyle w:val="ParaNum"/>
      </w:pPr>
      <w:r w:rsidRPr="00D42FD1">
        <w:t>In view of the seriousness</w:t>
      </w:r>
      <w:r w:rsidR="00F10EDE" w:rsidRPr="00D42FD1">
        <w:t>, duration and scope of Starfone</w:t>
      </w:r>
      <w:r w:rsidRPr="00D42FD1">
        <w:t>’s violations, we find that a fo</w:t>
      </w:r>
      <w:r w:rsidR="00F10EDE" w:rsidRPr="00D42FD1">
        <w:t xml:space="preserve">rfeiture of in the amount of </w:t>
      </w:r>
      <w:r w:rsidR="006945AF">
        <w:t xml:space="preserve">four </w:t>
      </w:r>
      <w:r w:rsidR="009F0005">
        <w:t xml:space="preserve">hundred </w:t>
      </w:r>
      <w:r w:rsidR="006945AF">
        <w:t xml:space="preserve">eight </w:t>
      </w:r>
      <w:r w:rsidR="009F0005">
        <w:t>thousand</w:t>
      </w:r>
      <w:r w:rsidR="00C97E24">
        <w:t>,</w:t>
      </w:r>
      <w:r w:rsidR="009F0005">
        <w:t xml:space="preserve"> </w:t>
      </w:r>
      <w:r w:rsidR="006945AF">
        <w:t xml:space="preserve">six </w:t>
      </w:r>
      <w:r w:rsidR="009F0005">
        <w:t xml:space="preserve">hundred </w:t>
      </w:r>
      <w:r w:rsidR="006945AF">
        <w:t>sixty</w:t>
      </w:r>
      <w:r w:rsidR="00C97E24">
        <w:t>-</w:t>
      </w:r>
      <w:r w:rsidR="006945AF">
        <w:t xml:space="preserve">eight </w:t>
      </w:r>
      <w:r w:rsidR="009F0005">
        <w:t xml:space="preserve">dollars </w:t>
      </w:r>
      <w:r w:rsidR="00D66CC5">
        <w:t>($</w:t>
      </w:r>
      <w:r w:rsidR="006945AF">
        <w:t>408,668</w:t>
      </w:r>
      <w:r w:rsidR="00D66CC5">
        <w:t xml:space="preserve">) </w:t>
      </w:r>
      <w:r w:rsidRPr="00D42FD1">
        <w:t xml:space="preserve">is warranted, including:  (1) one hundred thousand dollars ($100,000) for </w:t>
      </w:r>
      <w:r w:rsidR="006529A2" w:rsidRPr="00D42FD1">
        <w:t xml:space="preserve">willfully </w:t>
      </w:r>
      <w:r w:rsidRPr="00D42FD1">
        <w:t>providing international telecommunications service without Sect</w:t>
      </w:r>
      <w:r w:rsidR="006529A2" w:rsidRPr="00D42FD1">
        <w:t>ion 214 authority; (2) one hundred thousand dollars ($10</w:t>
      </w:r>
      <w:r w:rsidRPr="00D42FD1">
        <w:t xml:space="preserve">0,000) for </w:t>
      </w:r>
      <w:r w:rsidR="00C32D49" w:rsidRPr="00D42FD1">
        <w:t>willful</w:t>
      </w:r>
      <w:r w:rsidR="00FD3E74" w:rsidRPr="00D42FD1">
        <w:t xml:space="preserve">ly failing </w:t>
      </w:r>
      <w:r w:rsidRPr="00D42FD1">
        <w:t xml:space="preserve">to </w:t>
      </w:r>
      <w:r w:rsidR="00FD3E74" w:rsidRPr="00D42FD1">
        <w:t xml:space="preserve">timely </w:t>
      </w:r>
      <w:r w:rsidR="006529A2" w:rsidRPr="00D42FD1">
        <w:t>register with the Commission; (3) one hundred fifty</w:t>
      </w:r>
      <w:r w:rsidR="00C97E24">
        <w:t>-</w:t>
      </w:r>
      <w:r w:rsidR="006529A2" w:rsidRPr="00D42FD1">
        <w:t>eight thousand, six hundred s</w:t>
      </w:r>
      <w:r w:rsidR="00B35A3C" w:rsidRPr="00D42FD1">
        <w:t>ixty</w:t>
      </w:r>
      <w:r w:rsidR="00C97E24">
        <w:t>-</w:t>
      </w:r>
      <w:r w:rsidR="00B35A3C" w:rsidRPr="00D42FD1">
        <w:t xml:space="preserve">eight dollars </w:t>
      </w:r>
      <w:r w:rsidR="00D66CC5">
        <w:t xml:space="preserve">($158,668) </w:t>
      </w:r>
      <w:r w:rsidR="00B35A3C" w:rsidRPr="00D42FD1">
        <w:t>for willful</w:t>
      </w:r>
      <w:r w:rsidR="00FD3E74" w:rsidRPr="00D42FD1">
        <w:t xml:space="preserve">ly failing </w:t>
      </w:r>
      <w:r w:rsidR="006529A2" w:rsidRPr="00D42FD1">
        <w:t xml:space="preserve">to </w:t>
      </w:r>
      <w:r w:rsidRPr="00D42FD1">
        <w:t>make requir</w:t>
      </w:r>
      <w:r w:rsidR="006529A2" w:rsidRPr="00D42FD1">
        <w:t>ed TRS contributions in 2007,</w:t>
      </w:r>
      <w:r w:rsidRPr="00D42FD1">
        <w:t xml:space="preserve"> 2008</w:t>
      </w:r>
      <w:r w:rsidR="006529A2" w:rsidRPr="00D42FD1">
        <w:t>, and 2009; and (4) fifty thousand dollars ($50</w:t>
      </w:r>
      <w:r w:rsidRPr="00D42FD1">
        <w:t xml:space="preserve">,000) for </w:t>
      </w:r>
      <w:r w:rsidR="00C32D49" w:rsidRPr="00D42FD1">
        <w:t>willful</w:t>
      </w:r>
      <w:r w:rsidR="00FD3E74" w:rsidRPr="00D42FD1">
        <w:t xml:space="preserve">ly failing </w:t>
      </w:r>
      <w:r w:rsidRPr="00D42FD1">
        <w:t>to</w:t>
      </w:r>
      <w:r w:rsidR="00B35A3C" w:rsidRPr="00D42FD1">
        <w:t xml:space="preserve"> </w:t>
      </w:r>
      <w:r w:rsidR="00FD3E74" w:rsidRPr="00D42FD1">
        <w:t xml:space="preserve">timely </w:t>
      </w:r>
      <w:r w:rsidR="00B35A3C" w:rsidRPr="00D42FD1">
        <w:t xml:space="preserve">make regulatory fee payments from 2007 to </w:t>
      </w:r>
      <w:r w:rsidRPr="00D42FD1">
        <w:t>2011.</w:t>
      </w:r>
      <w:r w:rsidR="005E5CA0">
        <w:t xml:space="preserve">  </w:t>
      </w:r>
      <w:r w:rsidR="000C6C22">
        <w:t>G</w:t>
      </w:r>
      <w:r w:rsidR="005E5CA0">
        <w:t xml:space="preserve">iven the Company’s record of </w:t>
      </w:r>
      <w:r w:rsidR="000C6C22">
        <w:t xml:space="preserve">continued </w:t>
      </w:r>
      <w:r w:rsidR="005E5CA0">
        <w:t>noncompliance</w:t>
      </w:r>
      <w:r w:rsidR="000C6C22">
        <w:t xml:space="preserve">, </w:t>
      </w:r>
      <w:r w:rsidR="00496DBF">
        <w:t xml:space="preserve">we </w:t>
      </w:r>
      <w:r w:rsidR="00D17858">
        <w:t xml:space="preserve">decline </w:t>
      </w:r>
      <w:r w:rsidR="00496DBF">
        <w:t xml:space="preserve">to reduce the proposed forfeiture to reflect Starfone’s alleged inability to pay. </w:t>
      </w:r>
    </w:p>
    <w:p w:rsidR="00562010" w:rsidRPr="00F32480" w:rsidRDefault="00562010" w:rsidP="00937C4F">
      <w:pPr>
        <w:pStyle w:val="Heading1"/>
      </w:pPr>
      <w:r w:rsidRPr="00F32480">
        <w:t>ORDERING CLAUSES</w:t>
      </w:r>
    </w:p>
    <w:p w:rsidR="00562010" w:rsidRPr="00F32480" w:rsidRDefault="00562010" w:rsidP="00567883">
      <w:pPr>
        <w:pStyle w:val="ParaNum"/>
      </w:pPr>
      <w:r w:rsidRPr="00F32480">
        <w:t xml:space="preserve">Accordingly, </w:t>
      </w:r>
      <w:r w:rsidRPr="00637E0A">
        <w:rPr>
          <w:b/>
        </w:rPr>
        <w:t>IT IS ORDERED</w:t>
      </w:r>
      <w:r w:rsidRPr="00F32480">
        <w:t xml:space="preserve"> </w:t>
      </w:r>
      <w:r w:rsidRPr="00637E0A">
        <w:rPr>
          <w:b/>
        </w:rPr>
        <w:t>THAT</w:t>
      </w:r>
      <w:r w:rsidRPr="00F32480">
        <w:t>, pursuant to Section 503(b) of the Communications Act of 1934, as amended,</w:t>
      </w:r>
      <w:r w:rsidRPr="00F32480">
        <w:rPr>
          <w:rStyle w:val="FootnoteReference"/>
        </w:rPr>
        <w:footnoteReference w:id="61"/>
      </w:r>
      <w:r w:rsidRPr="00F32480">
        <w:t xml:space="preserve"> and Se</w:t>
      </w:r>
      <w:r w:rsidR="00983711">
        <w:t>ction 1.80 of the Commission’s R</w:t>
      </w:r>
      <w:r w:rsidRPr="00F32480">
        <w:t>ules,</w:t>
      </w:r>
      <w:r w:rsidRPr="00F32480">
        <w:rPr>
          <w:rStyle w:val="FootnoteReference"/>
        </w:rPr>
        <w:footnoteReference w:id="62"/>
      </w:r>
      <w:r w:rsidRPr="00F32480">
        <w:t xml:space="preserve"> </w:t>
      </w:r>
      <w:r w:rsidR="00ED3AF3" w:rsidRPr="00F32480">
        <w:t>RB Communications, Inc., d/b/a Starfone</w:t>
      </w:r>
      <w:r w:rsidRPr="00F32480">
        <w:t xml:space="preserve"> </w:t>
      </w:r>
      <w:r w:rsidRPr="00637E0A">
        <w:rPr>
          <w:b/>
        </w:rPr>
        <w:t>IS LIABLE FOR A MONETARY FORFEITURE</w:t>
      </w:r>
      <w:r w:rsidRPr="00F32480">
        <w:t xml:space="preserve"> in the amount of </w:t>
      </w:r>
      <w:r w:rsidR="006945AF">
        <w:t xml:space="preserve">four </w:t>
      </w:r>
      <w:r w:rsidR="009F0005">
        <w:t xml:space="preserve">hundred </w:t>
      </w:r>
      <w:r w:rsidR="006945AF">
        <w:t xml:space="preserve">eight </w:t>
      </w:r>
      <w:r w:rsidR="009F0005">
        <w:t>thousand</w:t>
      </w:r>
      <w:r w:rsidR="00C97E24">
        <w:t>,</w:t>
      </w:r>
      <w:r w:rsidR="009F0005">
        <w:t xml:space="preserve"> </w:t>
      </w:r>
      <w:r w:rsidR="006945AF">
        <w:t xml:space="preserve">six </w:t>
      </w:r>
      <w:r w:rsidR="009F0005">
        <w:t xml:space="preserve">hundred </w:t>
      </w:r>
      <w:r w:rsidR="006945AF">
        <w:t>sixty</w:t>
      </w:r>
      <w:r w:rsidR="00C97E24">
        <w:t>-</w:t>
      </w:r>
      <w:r w:rsidR="006945AF">
        <w:t xml:space="preserve">eight </w:t>
      </w:r>
      <w:r w:rsidR="009F0005">
        <w:t>dollars ($</w:t>
      </w:r>
      <w:r w:rsidR="006945AF">
        <w:t>408,668</w:t>
      </w:r>
      <w:r w:rsidR="009F0005" w:rsidRPr="00F32480">
        <w:t>)</w:t>
      </w:r>
      <w:r w:rsidR="009F0005">
        <w:t xml:space="preserve"> </w:t>
      </w:r>
      <w:r w:rsidRPr="00F32480">
        <w:t xml:space="preserve">for willfully violating </w:t>
      </w:r>
      <w:r w:rsidR="00BA3595">
        <w:t>Section 214</w:t>
      </w:r>
      <w:r w:rsidRPr="00F32480">
        <w:t xml:space="preserve"> of the Communications Act of 1934, as amended, and Sections </w:t>
      </w:r>
      <w:r w:rsidR="00A013EB">
        <w:t xml:space="preserve">1.1154, 1.1157(b)(1), </w:t>
      </w:r>
      <w:r w:rsidRPr="00F32480">
        <w:t xml:space="preserve">63.18, </w:t>
      </w:r>
      <w:r w:rsidR="00BA3595">
        <w:t>64.604(c)(5)(iii)(A)</w:t>
      </w:r>
      <w:r w:rsidR="00A013EB">
        <w:t>, and 64.1195</w:t>
      </w:r>
      <w:r w:rsidRPr="00F32480">
        <w:t xml:space="preserve"> of the Commission’s </w:t>
      </w:r>
      <w:r w:rsidR="00983711">
        <w:t>R</w:t>
      </w:r>
      <w:r w:rsidRPr="00F32480">
        <w:t>ules.</w:t>
      </w:r>
    </w:p>
    <w:p w:rsidR="00562010" w:rsidRPr="00F32480" w:rsidRDefault="00562010" w:rsidP="00691FB8">
      <w:pPr>
        <w:pStyle w:val="ParaNum"/>
      </w:pPr>
      <w:r w:rsidRPr="00F32480">
        <w:t xml:space="preserve">Payment of the forfeiture shall be made in the manner provided for in Section 1.80 of the Rules within </w:t>
      </w:r>
      <w:r w:rsidR="00D66CC5">
        <w:t>fifteen</w:t>
      </w:r>
      <w:r w:rsidRPr="00F32480">
        <w:t xml:space="preserve"> (</w:t>
      </w:r>
      <w:r w:rsidR="00D66CC5">
        <w:t>15</w:t>
      </w:r>
      <w:r w:rsidRPr="00F32480">
        <w:t>) calendar days after the release of this Forfeiture Order.</w:t>
      </w:r>
      <w:r w:rsidRPr="00F32480">
        <w:rPr>
          <w:rStyle w:val="FootnoteReference"/>
        </w:rPr>
        <w:footnoteReference w:id="63"/>
      </w:r>
      <w:r w:rsidRPr="00F32480">
        <w:t xml:space="preserve">  If the forfeiture is not paid within the period specified, the case may be referred to the U.S. Department of Justice for enforcement of the forfeiture pursuant to Section 504(a) of the Act.</w:t>
      </w:r>
      <w:r w:rsidRPr="00F32480">
        <w:rPr>
          <w:rStyle w:val="FootnoteReference"/>
        </w:rPr>
        <w:footnoteReference w:id="64"/>
      </w:r>
      <w:r w:rsidRPr="00F32480">
        <w:t xml:space="preserve">  </w:t>
      </w:r>
      <w:r w:rsidR="0094037A" w:rsidRPr="00F32480">
        <w:t>RB Communications, Inc., d/b/a Starfone</w:t>
      </w:r>
      <w:r w:rsidRPr="00F32480">
        <w:t xml:space="preserve"> shall send electronic notification payment to William A. Kehoe at William.Kehoe@fcc.gov and </w:t>
      </w:r>
      <w:r w:rsidR="00A013EB">
        <w:t xml:space="preserve">Margaret S. Dailey </w:t>
      </w:r>
      <w:r w:rsidRPr="00F32480">
        <w:t xml:space="preserve">at </w:t>
      </w:r>
      <w:r w:rsidR="00A013EB">
        <w:t>Margaret.Dailey</w:t>
      </w:r>
      <w:r w:rsidRPr="00F32480">
        <w:t>@fcc.gov on the date said payment is made.</w:t>
      </w:r>
    </w:p>
    <w:p w:rsidR="00562010" w:rsidRPr="00F32480" w:rsidRDefault="00562010" w:rsidP="00691FB8">
      <w:pPr>
        <w:pStyle w:val="ParaNum"/>
      </w:pPr>
      <w:r w:rsidRPr="00F32480">
        <w:t>The payment must be made by check or similar instrument, wire transfer, or credit card, and must include the NAL/Account Number and FRN referenced in the caption to this Order.  Regardless of the form of payment, a completed FCC Form 159 (Remittance Advice) must be submitted.</w:t>
      </w:r>
      <w:r w:rsidRPr="00F32480">
        <w:rPr>
          <w:rStyle w:val="FootnoteReference"/>
        </w:rPr>
        <w:footnoteReference w:id="65"/>
      </w:r>
      <w:r w:rsidRPr="00F32480">
        <w:t xml:space="preserve">  When completing the Form 159, enter the Account Number in block number 23A (call sign/other ID) and enter the letters “FORF” in block number 24A (payment type code).  Below are additional instructions you should follow based on the form of payment you select:</w:t>
      </w:r>
    </w:p>
    <w:p w:rsidR="00562010" w:rsidRPr="00F32480" w:rsidRDefault="00562010" w:rsidP="00D255E1">
      <w:pPr>
        <w:pStyle w:val="par1"/>
        <w:numPr>
          <w:ilvl w:val="0"/>
          <w:numId w:val="3"/>
        </w:numPr>
        <w:tabs>
          <w:tab w:val="clear" w:pos="1440"/>
        </w:tabs>
        <w:rPr>
          <w:sz w:val="22"/>
        </w:rPr>
      </w:pPr>
      <w:r w:rsidRPr="00F32480">
        <w:rPr>
          <w:sz w:val="22"/>
        </w:rPr>
        <w:t>Payment by check or money order must be made payable to the order of the Federal Communications Commission.  Such payments (along with completed Form 159) must be mailed to the Federal Communications Commission, P.O. Box 979088, St. Louis, MO 63197-9000, or sent via overnight mail to U.S. Bank – Government Lockbox #979088, SL</w:t>
      </w:r>
      <w:r w:rsidRPr="00F32480">
        <w:rPr>
          <w:sz w:val="22"/>
        </w:rPr>
        <w:noBreakHyphen/>
        <w:t>MO-C2-GL, 1005 Convention Plaza, St. Louis, MO 63101.</w:t>
      </w:r>
    </w:p>
    <w:p w:rsidR="00562010" w:rsidRPr="00F32480" w:rsidRDefault="00562010" w:rsidP="004032F4">
      <w:pPr>
        <w:pStyle w:val="par1"/>
        <w:numPr>
          <w:ilvl w:val="0"/>
          <w:numId w:val="0"/>
        </w:numPr>
        <w:ind w:left="1260"/>
        <w:rPr>
          <w:sz w:val="22"/>
        </w:rPr>
      </w:pPr>
    </w:p>
    <w:p w:rsidR="00562010" w:rsidRPr="00F32480" w:rsidRDefault="00562010" w:rsidP="00D255E1">
      <w:pPr>
        <w:pStyle w:val="par1"/>
        <w:numPr>
          <w:ilvl w:val="0"/>
          <w:numId w:val="3"/>
        </w:numPr>
        <w:tabs>
          <w:tab w:val="clear" w:pos="1440"/>
        </w:tabs>
        <w:rPr>
          <w:sz w:val="22"/>
        </w:rPr>
      </w:pPr>
      <w:r w:rsidRPr="00F32480">
        <w:rPr>
          <w:sz w:val="22"/>
        </w:rPr>
        <w:t>Payment by wire transfer must be made to ABA Number 021030004, receiving bank TREAS/NYC, and Account Number 27000001.  To complete the wire transfer and insure appropriate crediting of the wired funds, a completed Form 159 must be faxed to U.S. Bank at (314) 418-4232 on the same business day the wire transfer is initiated.</w:t>
      </w:r>
    </w:p>
    <w:p w:rsidR="00562010" w:rsidRPr="00F32480" w:rsidRDefault="00562010" w:rsidP="004032F4">
      <w:pPr>
        <w:pStyle w:val="par1"/>
        <w:numPr>
          <w:ilvl w:val="0"/>
          <w:numId w:val="0"/>
        </w:numPr>
        <w:ind w:left="1260"/>
        <w:rPr>
          <w:sz w:val="22"/>
        </w:rPr>
      </w:pPr>
    </w:p>
    <w:p w:rsidR="00562010" w:rsidRPr="00F32480" w:rsidRDefault="00562010" w:rsidP="002F57F8">
      <w:pPr>
        <w:pStyle w:val="par1"/>
        <w:widowControl/>
        <w:numPr>
          <w:ilvl w:val="0"/>
          <w:numId w:val="3"/>
        </w:numPr>
        <w:tabs>
          <w:tab w:val="clear" w:pos="1440"/>
        </w:tabs>
        <w:ind w:left="1267"/>
        <w:rPr>
          <w:sz w:val="22"/>
        </w:rPr>
      </w:pPr>
      <w:r w:rsidRPr="00F32480">
        <w:rPr>
          <w:sz w:val="22"/>
        </w:rPr>
        <w:t>Payment by credit card must be made by providing the required credit card information on FCC From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562010" w:rsidRPr="00F32480" w:rsidRDefault="00562010" w:rsidP="004032F4">
      <w:pPr>
        <w:pStyle w:val="ListParagraph"/>
        <w:ind w:left="0"/>
      </w:pPr>
    </w:p>
    <w:p w:rsidR="00562010" w:rsidRPr="00A013EB" w:rsidRDefault="00562010" w:rsidP="00240F1A">
      <w:pPr>
        <w:pStyle w:val="ParaNum"/>
      </w:pPr>
      <w:r w:rsidRPr="00A013EB">
        <w:t>Any request for full payment under an installment plan should be sent to Chief Financial Officer – Financial Operations, Federal Communications Commission, 445 12</w:t>
      </w:r>
      <w:r w:rsidRPr="00A013EB">
        <w:rPr>
          <w:vertAlign w:val="superscript"/>
        </w:rPr>
        <w:t>th</w:t>
      </w:r>
      <w:r w:rsidRPr="00A013EB">
        <w:t xml:space="preserve"> Street, SW, Room</w:t>
      </w:r>
      <w:r w:rsidR="00A013EB">
        <w:t xml:space="preserve"> </w:t>
      </w:r>
      <w:r w:rsidRPr="00A013EB">
        <w:t>1</w:t>
      </w:r>
      <w:r w:rsidRPr="00A013EB">
        <w:noBreakHyphen/>
        <w:t>A625, Washington, DC 20554.</w:t>
      </w:r>
      <w:r w:rsidRPr="00F32480">
        <w:rPr>
          <w:rStyle w:val="FootnoteReference"/>
        </w:rPr>
        <w:footnoteReference w:id="66"/>
      </w:r>
      <w:r w:rsidRPr="00A013EB">
        <w:t xml:space="preserve">  If you have questions regarding payment procedures, please contact the Financial Operations Group Help Desk by telephone, 1-877-480-3201, or by e-mail, ARINQUIRIES@fcc.gov.</w:t>
      </w:r>
    </w:p>
    <w:p w:rsidR="00213549" w:rsidRDefault="00562010" w:rsidP="00062B52">
      <w:pPr>
        <w:pStyle w:val="ParaNum"/>
        <w:keepNext/>
        <w:widowControl/>
      </w:pPr>
      <w:r w:rsidRPr="00637E0A">
        <w:rPr>
          <w:b/>
        </w:rPr>
        <w:t>IT IS FURTHER ORDERED</w:t>
      </w:r>
      <w:r w:rsidRPr="004D1462">
        <w:t xml:space="preserve"> that a copy of this Forfeiture Order shall be sent by first class mail and certified mail, return receipt requested, to:</w:t>
      </w:r>
      <w:r w:rsidR="004D1462" w:rsidRPr="004D1462">
        <w:t xml:space="preserve"> </w:t>
      </w:r>
      <w:r w:rsidR="000E6D83">
        <w:t xml:space="preserve"> </w:t>
      </w:r>
      <w:r w:rsidR="001132E1">
        <w:t xml:space="preserve">Jonathan S. Marashlian, Marashlian &amp; </w:t>
      </w:r>
      <w:r w:rsidR="00E03903">
        <w:t>Donahue</w:t>
      </w:r>
      <w:r w:rsidR="001132E1">
        <w:t>, LLC, 1420 Spring Hill Road, Suite 401, McLean, VA 22102</w:t>
      </w:r>
      <w:r w:rsidR="00213549">
        <w:t>.  </w:t>
      </w:r>
    </w:p>
    <w:p w:rsidR="00562010" w:rsidRPr="00F32480" w:rsidRDefault="00562010"/>
    <w:p w:rsidR="00562010" w:rsidRPr="00F32480" w:rsidRDefault="00562010"/>
    <w:p w:rsidR="00562010" w:rsidRPr="00F32480" w:rsidRDefault="00562010">
      <w:pPr>
        <w:ind w:left="4410"/>
      </w:pPr>
      <w:r w:rsidRPr="00F32480">
        <w:t>FEDERAL COMMUNICATIONS COMMISSION</w:t>
      </w:r>
    </w:p>
    <w:p w:rsidR="00562010" w:rsidRPr="00F32480" w:rsidRDefault="00562010">
      <w:pPr>
        <w:ind w:left="4410"/>
      </w:pPr>
    </w:p>
    <w:p w:rsidR="00562010" w:rsidRPr="00F32480" w:rsidRDefault="00562010">
      <w:pPr>
        <w:ind w:left="4410"/>
      </w:pPr>
    </w:p>
    <w:p w:rsidR="00562010" w:rsidRPr="00F32480" w:rsidRDefault="00562010">
      <w:pPr>
        <w:ind w:left="4410"/>
      </w:pPr>
    </w:p>
    <w:p w:rsidR="00562010" w:rsidRPr="00F32480" w:rsidRDefault="00562010">
      <w:pPr>
        <w:ind w:left="4410"/>
      </w:pPr>
    </w:p>
    <w:p w:rsidR="00562010" w:rsidRPr="00F32480" w:rsidRDefault="00562010">
      <w:pPr>
        <w:ind w:left="4410"/>
      </w:pPr>
      <w:r w:rsidRPr="00F32480">
        <w:t>Marlene H. Dortch</w:t>
      </w:r>
    </w:p>
    <w:p w:rsidR="00182F2D" w:rsidRPr="00F32480" w:rsidRDefault="00562010" w:rsidP="003811B1">
      <w:pPr>
        <w:ind w:left="4410"/>
      </w:pPr>
      <w:r w:rsidRPr="00F32480">
        <w:t>Secretary</w:t>
      </w:r>
    </w:p>
    <w:p w:rsidR="00562010" w:rsidRPr="00F32480" w:rsidRDefault="00562010" w:rsidP="00221B8F"/>
    <w:sectPr w:rsidR="00562010" w:rsidRPr="00F32480" w:rsidSect="00C435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4F0" w:rsidRDefault="001E34F0">
      <w:r>
        <w:separator/>
      </w:r>
    </w:p>
  </w:endnote>
  <w:endnote w:type="continuationSeparator" w:id="0">
    <w:p w:rsidR="001E34F0" w:rsidRDefault="001E34F0">
      <w:r>
        <w:continuationSeparator/>
      </w:r>
    </w:p>
  </w:endnote>
  <w:endnote w:type="continuationNotice" w:id="1">
    <w:p w:rsidR="001E34F0" w:rsidRDefault="001E34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20C" w:rsidRDefault="00681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292" w:rsidRDefault="00D84292">
    <w:pPr>
      <w:pStyle w:val="Footer"/>
      <w:jc w:val="center"/>
    </w:pPr>
    <w:r>
      <w:rPr>
        <w:rStyle w:val="PageNumber"/>
      </w:rPr>
      <w:fldChar w:fldCharType="begin"/>
    </w:r>
    <w:r>
      <w:rPr>
        <w:rStyle w:val="PageNumber"/>
      </w:rPr>
      <w:instrText xml:space="preserve"> PAGE </w:instrText>
    </w:r>
    <w:r>
      <w:rPr>
        <w:rStyle w:val="PageNumber"/>
      </w:rPr>
      <w:fldChar w:fldCharType="separate"/>
    </w:r>
    <w:r w:rsidR="006375B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20C" w:rsidRDefault="00681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4F0" w:rsidRDefault="001E34F0">
      <w:pPr>
        <w:rPr>
          <w:sz w:val="20"/>
        </w:rPr>
      </w:pPr>
      <w:r>
        <w:rPr>
          <w:sz w:val="20"/>
        </w:rPr>
        <w:separator/>
      </w:r>
    </w:p>
  </w:footnote>
  <w:footnote w:type="continuationSeparator" w:id="0">
    <w:p w:rsidR="001E34F0" w:rsidRDefault="001E34F0" w:rsidP="000F3F5B">
      <w:pPr>
        <w:spacing w:before="120"/>
      </w:pPr>
      <w:r>
        <w:rPr>
          <w:sz w:val="20"/>
        </w:rPr>
        <w:t>(Continued from previous page)</w:t>
      </w:r>
      <w:r>
        <w:rPr>
          <w:sz w:val="20"/>
        </w:rPr>
        <w:separator/>
      </w:r>
    </w:p>
  </w:footnote>
  <w:footnote w:type="continuationNotice" w:id="1">
    <w:p w:rsidR="001E34F0" w:rsidRDefault="001E34F0">
      <w:pPr>
        <w:jc w:val="right"/>
        <w:rPr>
          <w:sz w:val="20"/>
        </w:rPr>
      </w:pPr>
      <w:r>
        <w:rPr>
          <w:sz w:val="20"/>
        </w:rPr>
        <w:t>(continued....)</w:t>
      </w:r>
    </w:p>
  </w:footnote>
  <w:footnote w:id="2">
    <w:p w:rsidR="00D84292" w:rsidRPr="002160B7" w:rsidRDefault="00D84292">
      <w:pPr>
        <w:pStyle w:val="FootnoteText"/>
      </w:pPr>
      <w:r w:rsidRPr="00F31BD4">
        <w:rPr>
          <w:rStyle w:val="FootnoteReference"/>
        </w:rPr>
        <w:footnoteRef/>
      </w:r>
      <w:r w:rsidRPr="002160B7">
        <w:t xml:space="preserve"> This investigation was </w:t>
      </w:r>
      <w:r w:rsidR="001C5BC3">
        <w:t>formerly assigned</w:t>
      </w:r>
      <w:r w:rsidRPr="00E17E8D">
        <w:t xml:space="preserve"> File No. EB-</w:t>
      </w:r>
      <w:r>
        <w:t>08</w:t>
      </w:r>
      <w:r w:rsidRPr="00F31BD4">
        <w:t>-IH-</w:t>
      </w:r>
      <w:r>
        <w:t>5303</w:t>
      </w:r>
      <w:r w:rsidRPr="00F31BD4">
        <w:t>.</w:t>
      </w:r>
    </w:p>
  </w:footnote>
  <w:footnote w:id="3">
    <w:p w:rsidR="00D84292" w:rsidRPr="0030738C" w:rsidRDefault="00D84292" w:rsidP="003811B1">
      <w:pPr>
        <w:pStyle w:val="FootnoteText"/>
      </w:pPr>
      <w:r w:rsidRPr="0030738C">
        <w:rPr>
          <w:rStyle w:val="FootnoteReference"/>
        </w:rPr>
        <w:footnoteRef/>
      </w:r>
      <w:r w:rsidRPr="0030738C">
        <w:t xml:space="preserve"> </w:t>
      </w:r>
      <w:r w:rsidRPr="0030738C">
        <w:rPr>
          <w:i/>
        </w:rPr>
        <w:t>See RB Communications, Inc., d/b/a Starfone,</w:t>
      </w:r>
      <w:r w:rsidRPr="0030738C">
        <w:t xml:space="preserve"> Notice of Apparent Liability for Forfeiture and Order, 27 FCC Rcd 4393 (2012).  The </w:t>
      </w:r>
      <w:r w:rsidRPr="0030738C">
        <w:rPr>
          <w:i/>
        </w:rPr>
        <w:t>Starfone NAL</w:t>
      </w:r>
      <w:r w:rsidRPr="0030738C">
        <w:t xml:space="preserve"> is incorporated by reference herein.</w:t>
      </w:r>
    </w:p>
  </w:footnote>
  <w:footnote w:id="4">
    <w:p w:rsidR="00D84292" w:rsidRPr="0030738C" w:rsidRDefault="00D84292" w:rsidP="003811B1">
      <w:pPr>
        <w:pStyle w:val="FootnoteText"/>
      </w:pPr>
      <w:r w:rsidRPr="0030738C">
        <w:rPr>
          <w:rStyle w:val="FootnoteReference"/>
        </w:rPr>
        <w:footnoteRef/>
      </w:r>
      <w:r w:rsidRPr="0030738C">
        <w:t xml:space="preserve"> </w:t>
      </w:r>
      <w:r>
        <w:rPr>
          <w:i/>
        </w:rPr>
        <w:t>Id.</w:t>
      </w:r>
      <w:r w:rsidRPr="0030738C">
        <w:t xml:space="preserve"> at 4396, para. 8.</w:t>
      </w:r>
    </w:p>
  </w:footnote>
  <w:footnote w:id="5">
    <w:p w:rsidR="00D84292" w:rsidRPr="0030738C" w:rsidRDefault="00D84292" w:rsidP="003811B1">
      <w:pPr>
        <w:pStyle w:val="FootnoteText"/>
      </w:pPr>
      <w:r w:rsidRPr="0030738C">
        <w:rPr>
          <w:rStyle w:val="FootnoteReference"/>
        </w:rPr>
        <w:footnoteRef/>
      </w:r>
      <w:r w:rsidRPr="0030738C">
        <w:t xml:space="preserve"> </w:t>
      </w:r>
      <w:r w:rsidRPr="0030738C">
        <w:rPr>
          <w:i/>
        </w:rPr>
        <w:t>Id.</w:t>
      </w:r>
      <w:r w:rsidRPr="0030738C">
        <w:t xml:space="preserve"> at </w:t>
      </w:r>
      <w:r w:rsidR="00E54A52" w:rsidRPr="0030738C">
        <w:t>4396, para. 8</w:t>
      </w:r>
      <w:r w:rsidR="00E54A52">
        <w:t xml:space="preserve"> </w:t>
      </w:r>
      <w:r w:rsidRPr="0030738C">
        <w:t>n.26</w:t>
      </w:r>
      <w:r w:rsidRPr="0030738C">
        <w:rPr>
          <w:i/>
        </w:rPr>
        <w:t xml:space="preserve"> </w:t>
      </w:r>
      <w:r w:rsidRPr="0030738C">
        <w:t xml:space="preserve">(quoting Starfone web site at </w:t>
      </w:r>
      <w:r w:rsidR="004F1A52" w:rsidRPr="00F4091E">
        <w:t>http://www.starfone.net/aboutus.aspx</w:t>
      </w:r>
      <w:r w:rsidRPr="0030738C">
        <w:t xml:space="preserve"> (visited A</w:t>
      </w:r>
      <w:r>
        <w:t>pril</w:t>
      </w:r>
      <w:r w:rsidRPr="0030738C">
        <w:t xml:space="preserve"> </w:t>
      </w:r>
      <w:r>
        <w:t>9</w:t>
      </w:r>
      <w:r w:rsidRPr="0030738C">
        <w:t xml:space="preserve">, 2012)).  Starfone’s current web site also recites this information.  </w:t>
      </w:r>
      <w:r w:rsidRPr="0030738C">
        <w:rPr>
          <w:i/>
        </w:rPr>
        <w:t xml:space="preserve">See </w:t>
      </w:r>
      <w:r w:rsidR="004F1A52">
        <w:t>Starfone</w:t>
      </w:r>
      <w:r w:rsidR="00670FCB">
        <w:t xml:space="preserve"> “About Us” Page</w:t>
      </w:r>
      <w:r w:rsidR="004F1A52">
        <w:t xml:space="preserve">, </w:t>
      </w:r>
      <w:r w:rsidR="004F1A52" w:rsidRPr="00F4091E">
        <w:t>http://www.starfone.net/aboutus.aspx</w:t>
      </w:r>
      <w:r w:rsidRPr="0030738C">
        <w:t xml:space="preserve"> (</w:t>
      </w:r>
      <w:r w:rsidR="005463B4">
        <w:t xml:space="preserve">last </w:t>
      </w:r>
      <w:r w:rsidRPr="0030738C">
        <w:t xml:space="preserve">visited </w:t>
      </w:r>
      <w:r w:rsidR="000F6D68">
        <w:t>May 22</w:t>
      </w:r>
      <w:r w:rsidRPr="0030738C">
        <w:t>, 201</w:t>
      </w:r>
      <w:r w:rsidR="00D87DED">
        <w:t>4</w:t>
      </w:r>
      <w:r w:rsidRPr="0030738C">
        <w:t>)</w:t>
      </w:r>
      <w:r>
        <w:t>.</w:t>
      </w:r>
    </w:p>
  </w:footnote>
  <w:footnote w:id="6">
    <w:p w:rsidR="0007348B" w:rsidRPr="0030738C" w:rsidRDefault="0007348B" w:rsidP="0007348B">
      <w:pPr>
        <w:pStyle w:val="FootnoteText"/>
      </w:pPr>
      <w:r w:rsidRPr="0030738C">
        <w:rPr>
          <w:rStyle w:val="FootnoteReference"/>
        </w:rPr>
        <w:footnoteRef/>
      </w:r>
      <w:r w:rsidRPr="0030738C">
        <w:t xml:space="preserve"> </w:t>
      </w:r>
      <w:r w:rsidRPr="00937C4F">
        <w:rPr>
          <w:i/>
        </w:rPr>
        <w:t>Starfone NAL</w:t>
      </w:r>
      <w:r>
        <w:t xml:space="preserve">, 27 FCC Rcd at </w:t>
      </w:r>
      <w:r w:rsidR="00D87122">
        <w:t>4397</w:t>
      </w:r>
      <w:r w:rsidR="00E54A52">
        <w:t>–</w:t>
      </w:r>
      <w:r w:rsidR="00D87122">
        <w:t>98</w:t>
      </w:r>
      <w:r>
        <w:t xml:space="preserve">, para. </w:t>
      </w:r>
      <w:r w:rsidR="00D87122">
        <w:t>14</w:t>
      </w:r>
      <w:r>
        <w:t xml:space="preserve"> (citing </w:t>
      </w:r>
      <w:r w:rsidRPr="0030738C">
        <w:t>47 U.S.C. § 214</w:t>
      </w:r>
      <w:r>
        <w:t>; 47 C.F.R. § 63.18)</w:t>
      </w:r>
      <w:r w:rsidRPr="0030738C">
        <w:t xml:space="preserve">.  </w:t>
      </w:r>
    </w:p>
  </w:footnote>
  <w:footnote w:id="7">
    <w:p w:rsidR="0007348B" w:rsidRDefault="0007348B">
      <w:pPr>
        <w:pStyle w:val="FootnoteText"/>
      </w:pPr>
      <w:r>
        <w:rPr>
          <w:rStyle w:val="FootnoteReference"/>
        </w:rPr>
        <w:footnoteRef/>
      </w:r>
      <w:r>
        <w:t xml:space="preserve"> </w:t>
      </w:r>
      <w:r w:rsidRPr="00937C4F">
        <w:rPr>
          <w:i/>
        </w:rPr>
        <w:t>Id</w:t>
      </w:r>
      <w:r>
        <w:t xml:space="preserve">. at </w:t>
      </w:r>
      <w:r w:rsidR="00D87122">
        <w:t>4399</w:t>
      </w:r>
      <w:r>
        <w:t xml:space="preserve">, para. </w:t>
      </w:r>
      <w:r w:rsidR="00D87122">
        <w:t>17</w:t>
      </w:r>
      <w:r>
        <w:t xml:space="preserve"> (citing 47 C.F.R. § 64.1195(a)).</w:t>
      </w:r>
    </w:p>
  </w:footnote>
  <w:footnote w:id="8">
    <w:p w:rsidR="0007348B" w:rsidRDefault="0007348B">
      <w:pPr>
        <w:pStyle w:val="FootnoteText"/>
      </w:pPr>
      <w:r>
        <w:rPr>
          <w:rStyle w:val="FootnoteReference"/>
        </w:rPr>
        <w:footnoteRef/>
      </w:r>
      <w:r>
        <w:t xml:space="preserve"> </w:t>
      </w:r>
      <w:r w:rsidRPr="00F32480">
        <w:rPr>
          <w:i/>
        </w:rPr>
        <w:t>Id.</w:t>
      </w:r>
      <w:r>
        <w:rPr>
          <w:i/>
        </w:rPr>
        <w:t xml:space="preserve"> </w:t>
      </w:r>
      <w:r w:rsidRPr="00F32480">
        <w:t>at</w:t>
      </w:r>
      <w:r>
        <w:t xml:space="preserve"> para. </w:t>
      </w:r>
      <w:r w:rsidR="00D87122">
        <w:t>18</w:t>
      </w:r>
      <w:r>
        <w:t xml:space="preserve"> (citing 47 C.F.R. § 64.604(c)(5)(iii)(A)).</w:t>
      </w:r>
    </w:p>
  </w:footnote>
  <w:footnote w:id="9">
    <w:p w:rsidR="00D84292" w:rsidRPr="00F32480" w:rsidRDefault="00D84292" w:rsidP="00A95496">
      <w:pPr>
        <w:pStyle w:val="FootnoteText"/>
      </w:pPr>
      <w:r w:rsidRPr="00F32480">
        <w:rPr>
          <w:rStyle w:val="FootnoteReference"/>
        </w:rPr>
        <w:footnoteRef/>
      </w:r>
      <w:r w:rsidRPr="00F32480">
        <w:t xml:space="preserve"> </w:t>
      </w:r>
      <w:r w:rsidR="0007348B" w:rsidRPr="00F32480">
        <w:rPr>
          <w:i/>
        </w:rPr>
        <w:t>Id.</w:t>
      </w:r>
      <w:r w:rsidR="0007348B">
        <w:rPr>
          <w:i/>
        </w:rPr>
        <w:t xml:space="preserve"> </w:t>
      </w:r>
      <w:r w:rsidR="0007348B" w:rsidRPr="00F32480">
        <w:t>at</w:t>
      </w:r>
      <w:r w:rsidR="0007348B">
        <w:t xml:space="preserve"> </w:t>
      </w:r>
      <w:r w:rsidR="00D87122">
        <w:t>4399</w:t>
      </w:r>
      <w:r w:rsidR="00E54A52">
        <w:t>–</w:t>
      </w:r>
      <w:r w:rsidR="00D87122">
        <w:t>4400</w:t>
      </w:r>
      <w:r w:rsidR="0007348B">
        <w:t xml:space="preserve">, para. </w:t>
      </w:r>
      <w:r w:rsidR="00D87122">
        <w:t>19</w:t>
      </w:r>
      <w:r w:rsidR="0007348B">
        <w:t xml:space="preserve"> (citing 47 C.F.R. § 1.1154, 1.1157(b)(1)).</w:t>
      </w:r>
    </w:p>
  </w:footnote>
  <w:footnote w:id="10">
    <w:p w:rsidR="00D84292" w:rsidRPr="00F32480" w:rsidRDefault="00D84292" w:rsidP="00A95496">
      <w:pPr>
        <w:pStyle w:val="FootnoteText"/>
      </w:pPr>
      <w:r w:rsidRPr="00F32480">
        <w:rPr>
          <w:rStyle w:val="FootnoteReference"/>
        </w:rPr>
        <w:footnoteRef/>
      </w:r>
      <w:r w:rsidRPr="00F32480">
        <w:t xml:space="preserve"> </w:t>
      </w:r>
      <w:r w:rsidRPr="00F32480">
        <w:rPr>
          <w:i/>
        </w:rPr>
        <w:t>Id.</w:t>
      </w:r>
      <w:r>
        <w:rPr>
          <w:i/>
        </w:rPr>
        <w:t xml:space="preserve"> </w:t>
      </w:r>
      <w:r w:rsidRPr="00F32480">
        <w:t xml:space="preserve">at </w:t>
      </w:r>
      <w:r w:rsidR="007D27AB">
        <w:t xml:space="preserve">4397, </w:t>
      </w:r>
      <w:r w:rsidRPr="00F32480">
        <w:t>4402, paras.</w:t>
      </w:r>
      <w:r w:rsidR="007D27AB">
        <w:t xml:space="preserve"> 13,</w:t>
      </w:r>
      <w:r w:rsidRPr="00F32480">
        <w:t xml:space="preserve"> 25, 27.</w:t>
      </w:r>
    </w:p>
  </w:footnote>
  <w:footnote w:id="11">
    <w:p w:rsidR="00D84292" w:rsidRPr="00F32480" w:rsidRDefault="00D84292" w:rsidP="003811B1">
      <w:pPr>
        <w:pStyle w:val="FootnoteText"/>
      </w:pPr>
      <w:r w:rsidRPr="00F32480">
        <w:rPr>
          <w:rStyle w:val="FootnoteReference"/>
        </w:rPr>
        <w:footnoteRef/>
      </w:r>
      <w:r w:rsidRPr="00F32480">
        <w:t xml:space="preserve"> </w:t>
      </w:r>
      <w:r w:rsidRPr="00F32480">
        <w:rPr>
          <w:i/>
        </w:rPr>
        <w:t xml:space="preserve">See </w:t>
      </w:r>
      <w:r>
        <w:rPr>
          <w:i/>
        </w:rPr>
        <w:t xml:space="preserve">id. </w:t>
      </w:r>
      <w:r w:rsidRPr="00F32480">
        <w:t xml:space="preserve">at </w:t>
      </w:r>
      <w:r>
        <w:t>4402</w:t>
      </w:r>
      <w:r w:rsidRPr="00F32480">
        <w:t xml:space="preserve">, para. </w:t>
      </w:r>
      <w:r>
        <w:t>28</w:t>
      </w:r>
      <w:r w:rsidRPr="00F32480">
        <w:t>.</w:t>
      </w:r>
    </w:p>
  </w:footnote>
  <w:footnote w:id="12">
    <w:p w:rsidR="00D84292" w:rsidRPr="00F32480" w:rsidRDefault="00D84292" w:rsidP="002F7834">
      <w:pPr>
        <w:pStyle w:val="FootnoteText"/>
      </w:pPr>
      <w:r w:rsidRPr="00F32480">
        <w:rPr>
          <w:rStyle w:val="FootnoteReference"/>
        </w:rPr>
        <w:footnoteRef/>
      </w:r>
      <w:r w:rsidRPr="00F32480">
        <w:t xml:space="preserve"> </w:t>
      </w:r>
      <w:r w:rsidRPr="00F32480">
        <w:rPr>
          <w:i/>
        </w:rPr>
        <w:t>See</w:t>
      </w:r>
      <w:r w:rsidRPr="00F32480">
        <w:t xml:space="preserve"> Response of RB Communications, Inc. to Notice of Apparently Liability Requesting Consent Decree Negotiations (filed June 8, 2012) (on file in EB-</w:t>
      </w:r>
      <w:r w:rsidR="007D27AB" w:rsidRPr="00F31BD4">
        <w:t>IHD-13-00011</w:t>
      </w:r>
      <w:r w:rsidR="007D27AB">
        <w:t>657</w:t>
      </w:r>
      <w:r w:rsidRPr="00F32480">
        <w:t>) (NAL Response).</w:t>
      </w:r>
      <w:r>
        <w:t xml:space="preserve">  </w:t>
      </w:r>
    </w:p>
  </w:footnote>
  <w:footnote w:id="13">
    <w:p w:rsidR="00D84292" w:rsidRPr="00F32480" w:rsidRDefault="00D84292" w:rsidP="00EA2C7B">
      <w:pPr>
        <w:pStyle w:val="FootnoteText"/>
      </w:pPr>
      <w:r w:rsidRPr="00F32480">
        <w:rPr>
          <w:rStyle w:val="FootnoteReference"/>
        </w:rPr>
        <w:footnoteRef/>
      </w:r>
      <w:r w:rsidRPr="00F32480">
        <w:t xml:space="preserve"> </w:t>
      </w:r>
      <w:r w:rsidRPr="00F32480">
        <w:rPr>
          <w:i/>
        </w:rPr>
        <w:t>See</w:t>
      </w:r>
      <w:r w:rsidRPr="00F32480">
        <w:t xml:space="preserve"> </w:t>
      </w:r>
      <w:r>
        <w:rPr>
          <w:i/>
        </w:rPr>
        <w:t xml:space="preserve">id. </w:t>
      </w:r>
      <w:r w:rsidRPr="00F32480">
        <w:t xml:space="preserve">at </w:t>
      </w:r>
      <w:r>
        <w:t>3</w:t>
      </w:r>
      <w:r w:rsidRPr="00F32480">
        <w:t>–</w:t>
      </w:r>
      <w:r>
        <w:t>7</w:t>
      </w:r>
      <w:r w:rsidRPr="00F32480">
        <w:t>.</w:t>
      </w:r>
    </w:p>
  </w:footnote>
  <w:footnote w:id="14">
    <w:p w:rsidR="00D84292" w:rsidRDefault="00D84292">
      <w:pPr>
        <w:pStyle w:val="FootnoteText"/>
      </w:pPr>
      <w:r>
        <w:rPr>
          <w:rStyle w:val="FootnoteReference"/>
        </w:rPr>
        <w:footnoteRef/>
      </w:r>
      <w:r>
        <w:t xml:space="preserve"> </w:t>
      </w:r>
      <w:r w:rsidRPr="00032CC3">
        <w:rPr>
          <w:i/>
        </w:rPr>
        <w:t>See</w:t>
      </w:r>
      <w:r>
        <w:t xml:space="preserve"> </w:t>
      </w:r>
      <w:r w:rsidRPr="00032CC3">
        <w:rPr>
          <w:i/>
        </w:rPr>
        <w:t>id</w:t>
      </w:r>
      <w:r>
        <w:t>.</w:t>
      </w:r>
    </w:p>
  </w:footnote>
  <w:footnote w:id="15">
    <w:p w:rsidR="00D84292" w:rsidRPr="00F465FF" w:rsidRDefault="00D84292">
      <w:pPr>
        <w:pStyle w:val="FootnoteText"/>
      </w:pPr>
      <w:r>
        <w:rPr>
          <w:rStyle w:val="FootnoteReference"/>
        </w:rPr>
        <w:footnoteRef/>
      </w:r>
      <w:r>
        <w:t xml:space="preserve"> </w:t>
      </w:r>
      <w:r>
        <w:rPr>
          <w:i/>
        </w:rPr>
        <w:t xml:space="preserve">Id. </w:t>
      </w:r>
      <w:r>
        <w:t>at 3, 7.  A</w:t>
      </w:r>
      <w:r w:rsidR="005049CA">
        <w:t xml:space="preserve">t </w:t>
      </w:r>
      <w:r>
        <w:t>Starfone</w:t>
      </w:r>
      <w:r w:rsidR="005049CA">
        <w:t>’s request</w:t>
      </w:r>
      <w:r>
        <w:t xml:space="preserve">, </w:t>
      </w:r>
      <w:r>
        <w:rPr>
          <w:i/>
        </w:rPr>
        <w:t>id.</w:t>
      </w:r>
      <w:r w:rsidR="000E7E1C">
        <w:t>,</w:t>
      </w:r>
      <w:r>
        <w:t xml:space="preserve"> </w:t>
      </w:r>
      <w:r w:rsidR="005049CA">
        <w:t xml:space="preserve">Commission staff </w:t>
      </w:r>
      <w:r w:rsidR="000E7E1C">
        <w:t xml:space="preserve">attempted to negotiate a </w:t>
      </w:r>
      <w:r w:rsidR="005049CA">
        <w:t>consent</w:t>
      </w:r>
      <w:r w:rsidR="000E7E1C">
        <w:t xml:space="preserve"> </w:t>
      </w:r>
      <w:r w:rsidR="005049CA">
        <w:t xml:space="preserve">decree with the Company.  The parties were unable to reach an agreement to resolve </w:t>
      </w:r>
      <w:r w:rsidRPr="00A65805">
        <w:t>this matter.</w:t>
      </w:r>
    </w:p>
  </w:footnote>
  <w:footnote w:id="16">
    <w:p w:rsidR="00D84292" w:rsidRPr="000F1308" w:rsidRDefault="00D84292" w:rsidP="002F7834">
      <w:pPr>
        <w:pStyle w:val="FootnoteText"/>
      </w:pPr>
      <w:r w:rsidRPr="00F32480">
        <w:rPr>
          <w:rStyle w:val="FootnoteReference"/>
        </w:rPr>
        <w:footnoteRef/>
      </w:r>
      <w:r w:rsidRPr="00F32480">
        <w:t xml:space="preserve"> </w:t>
      </w:r>
      <w:r w:rsidR="007D27AB" w:rsidRPr="00325C73">
        <w:rPr>
          <w:i/>
        </w:rPr>
        <w:t>See</w:t>
      </w:r>
      <w:r w:rsidR="007D27AB">
        <w:t xml:space="preserve"> </w:t>
      </w:r>
      <w:r w:rsidRPr="00F32480">
        <w:rPr>
          <w:i/>
        </w:rPr>
        <w:t xml:space="preserve">Starfone NAL, </w:t>
      </w:r>
      <w:r w:rsidRPr="00F32480">
        <w:t xml:space="preserve">27 FCC Rcd at </w:t>
      </w:r>
      <w:r>
        <w:t xml:space="preserve">4400, para. 20 (citing </w:t>
      </w:r>
      <w:r w:rsidRPr="00F32480">
        <w:t>47 U.S.C. § 503(b</w:t>
      </w:r>
      <w:r>
        <w:t>)(1)(B)</w:t>
      </w:r>
      <w:r w:rsidRPr="00F32480">
        <w:t>; 47 C.F.R. §</w:t>
      </w:r>
      <w:r>
        <w:t> </w:t>
      </w:r>
      <w:r w:rsidRPr="00F32480">
        <w:t>1.80</w:t>
      </w:r>
      <w:r>
        <w:t>(b)(6)</w:t>
      </w:r>
      <w:r w:rsidR="006E773B">
        <w:t xml:space="preserve"> (2012)</w:t>
      </w:r>
      <w:r>
        <w:t xml:space="preserve">, Note to paragraph (b)(6): Guidelines for Assessing Forfeitures); </w:t>
      </w:r>
      <w:r w:rsidRPr="000F1308">
        <w:rPr>
          <w:i/>
        </w:rPr>
        <w:t>id.</w:t>
      </w:r>
      <w:r>
        <w:t xml:space="preserve"> at 4400</w:t>
      </w:r>
      <w:r w:rsidRPr="00F32480">
        <w:t>–</w:t>
      </w:r>
      <w:r>
        <w:t>02, paras. 21</w:t>
      </w:r>
      <w:r w:rsidRPr="00F32480">
        <w:t>–</w:t>
      </w:r>
      <w:r>
        <w:t>28.</w:t>
      </w:r>
    </w:p>
  </w:footnote>
  <w:footnote w:id="17">
    <w:p w:rsidR="00D84292" w:rsidRPr="00F32480" w:rsidRDefault="00D84292">
      <w:pPr>
        <w:pStyle w:val="FootnoteText"/>
      </w:pPr>
      <w:r w:rsidRPr="00F32480">
        <w:rPr>
          <w:rStyle w:val="FootnoteReference"/>
        </w:rPr>
        <w:footnoteRef/>
      </w:r>
      <w:r w:rsidRPr="00F32480">
        <w:t xml:space="preserve"> 47 U.S.C. § 503(b)(1)(B).</w:t>
      </w:r>
    </w:p>
  </w:footnote>
  <w:footnote w:id="18">
    <w:p w:rsidR="00D84292" w:rsidRPr="00F32480" w:rsidRDefault="00D84292">
      <w:pPr>
        <w:pStyle w:val="FootnoteText"/>
      </w:pPr>
      <w:r w:rsidRPr="00F32480">
        <w:rPr>
          <w:rStyle w:val="FootnoteReference"/>
        </w:rPr>
        <w:footnoteRef/>
      </w:r>
      <w:r w:rsidRPr="00F32480">
        <w:t xml:space="preserve"> </w:t>
      </w:r>
      <w:r w:rsidRPr="00F32480">
        <w:rPr>
          <w:i/>
        </w:rPr>
        <w:t>Id.</w:t>
      </w:r>
      <w:r w:rsidRPr="00F32480">
        <w:t xml:space="preserve"> § 503(b)(2)(E).  </w:t>
      </w:r>
    </w:p>
  </w:footnote>
  <w:footnote w:id="19">
    <w:p w:rsidR="00D84292" w:rsidRPr="00F32480" w:rsidRDefault="00D84292">
      <w:pPr>
        <w:pStyle w:val="FootnoteText"/>
      </w:pPr>
      <w:r w:rsidRPr="00F32480">
        <w:rPr>
          <w:rStyle w:val="FootnoteReference"/>
        </w:rPr>
        <w:footnoteRef/>
      </w:r>
      <w:r w:rsidRPr="00F32480">
        <w:t xml:space="preserve"> </w:t>
      </w:r>
      <w:r w:rsidRPr="00F32480">
        <w:rPr>
          <w:i/>
        </w:rPr>
        <w:t>Id.</w:t>
      </w:r>
      <w:r w:rsidRPr="00F32480">
        <w:t xml:space="preserve"> § 312(f)(1).</w:t>
      </w:r>
    </w:p>
  </w:footnote>
  <w:footnote w:id="20">
    <w:p w:rsidR="00D84292" w:rsidRPr="00F32480" w:rsidRDefault="00D84292" w:rsidP="002F7834">
      <w:pPr>
        <w:pStyle w:val="FootnoteText"/>
      </w:pPr>
      <w:r w:rsidRPr="00F32480">
        <w:rPr>
          <w:rStyle w:val="FootnoteReference"/>
        </w:rPr>
        <w:footnoteRef/>
      </w:r>
      <w:r w:rsidRPr="00F32480">
        <w:t xml:space="preserve"> </w:t>
      </w:r>
      <w:r w:rsidRPr="00F32480">
        <w:rPr>
          <w:i/>
        </w:rPr>
        <w:t xml:space="preserve">See </w:t>
      </w:r>
      <w:r w:rsidRPr="00F32480">
        <w:t>H.R. Rep. No. 97-765, 97</w:t>
      </w:r>
      <w:r w:rsidRPr="00F32480">
        <w:rPr>
          <w:vertAlign w:val="superscript"/>
        </w:rPr>
        <w:t>th</w:t>
      </w:r>
      <w:r w:rsidRPr="00F32480">
        <w:t xml:space="preserve"> Cong. 2d Sess. 51 (1982) (“</w:t>
      </w:r>
      <w:r w:rsidRPr="00F32480">
        <w:rPr>
          <w:rStyle w:val="documentbody"/>
        </w:rPr>
        <w:t xml:space="preserve">This provision [inserted in Section 312] defines the terms ‘willful’ and ‘repeated’ for purposes of Section </w:t>
      </w:r>
      <w:bookmarkStart w:id="7" w:name="SearchTerm"/>
      <w:r w:rsidRPr="00F32480">
        <w:rPr>
          <w:rStyle w:val="searchterm"/>
        </w:rPr>
        <w:t>312</w:t>
      </w:r>
      <w:bookmarkStart w:id="8" w:name="SR;16228"/>
      <w:bookmarkEnd w:id="8"/>
      <w:r w:rsidRPr="00F32480">
        <w:rPr>
          <w:rStyle w:val="documentbody"/>
        </w:rPr>
        <w:t xml:space="preserve">, and for any other relevant section of the act (e.g., Section 503) . . . .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w:t>
      </w:r>
      <w:r w:rsidRPr="00F32480">
        <w:rPr>
          <w:rStyle w:val="searchterm"/>
        </w:rPr>
        <w:t>312</w:t>
      </w:r>
      <w:bookmarkStart w:id="9" w:name="SR;16441"/>
      <w:bookmarkEnd w:id="9"/>
      <w:r w:rsidRPr="00F32480">
        <w:rPr>
          <w:rStyle w:val="documentbody"/>
        </w:rPr>
        <w:t xml:space="preserve"> and 503, and are consistent with the Commission’s application of those terms</w:t>
      </w:r>
      <w:bookmarkEnd w:id="7"/>
      <w:r>
        <w:rPr>
          <w:rStyle w:val="documentbody"/>
        </w:rPr>
        <w:t xml:space="preserve"> . . . </w:t>
      </w:r>
      <w:r w:rsidRPr="00F32480">
        <w:rPr>
          <w:rStyle w:val="documentbody"/>
        </w:rPr>
        <w:t>.”).</w:t>
      </w:r>
    </w:p>
  </w:footnote>
  <w:footnote w:id="21">
    <w:p w:rsidR="00D84292" w:rsidRPr="0030738C" w:rsidRDefault="00D84292" w:rsidP="00935267">
      <w:pPr>
        <w:pStyle w:val="FootnoteText"/>
      </w:pPr>
      <w:r w:rsidRPr="0030738C">
        <w:rPr>
          <w:rStyle w:val="FootnoteReference"/>
        </w:rPr>
        <w:footnoteRef/>
      </w:r>
      <w:r w:rsidRPr="0030738C">
        <w:t xml:space="preserve"> </w:t>
      </w:r>
      <w:r w:rsidRPr="0030738C">
        <w:rPr>
          <w:i/>
        </w:rPr>
        <w:t>See, e.g., So</w:t>
      </w:r>
      <w:r w:rsidR="00E54A52">
        <w:rPr>
          <w:i/>
        </w:rPr>
        <w:t>.</w:t>
      </w:r>
      <w:r w:rsidRPr="0030738C">
        <w:rPr>
          <w:i/>
        </w:rPr>
        <w:t xml:space="preserve"> Cal</w:t>
      </w:r>
      <w:r w:rsidR="00E54A52">
        <w:rPr>
          <w:i/>
        </w:rPr>
        <w:t>.</w:t>
      </w:r>
      <w:r w:rsidRPr="0030738C">
        <w:rPr>
          <w:i/>
        </w:rPr>
        <w:t xml:space="preserve"> Broad</w:t>
      </w:r>
      <w:r w:rsidR="00E54A52">
        <w:rPr>
          <w:i/>
        </w:rPr>
        <w:t>.</w:t>
      </w:r>
      <w:r w:rsidRPr="0030738C">
        <w:rPr>
          <w:i/>
        </w:rPr>
        <w:t xml:space="preserve"> Co.</w:t>
      </w:r>
      <w:r w:rsidRPr="0030738C">
        <w:t>, Memorandum Opinion and Order, 6 FCC Rcd 4387, 4388, para. 5 (1991)</w:t>
      </w:r>
      <w:r w:rsidR="000F6D68">
        <w:t xml:space="preserve">, </w:t>
      </w:r>
      <w:r w:rsidR="000F6D68" w:rsidRPr="00556082">
        <w:rPr>
          <w:i/>
        </w:rPr>
        <w:t>recon. denied</w:t>
      </w:r>
      <w:r w:rsidR="000F6D68">
        <w:t>, 7 FCC Rcd 3454 (1992)</w:t>
      </w:r>
      <w:r w:rsidRPr="0030738C">
        <w:t>.</w:t>
      </w:r>
    </w:p>
  </w:footnote>
  <w:footnote w:id="22">
    <w:p w:rsidR="00D84292" w:rsidRPr="0030738C" w:rsidRDefault="00D84292" w:rsidP="001141A0">
      <w:pPr>
        <w:pStyle w:val="FootnoteText"/>
      </w:pPr>
      <w:r w:rsidRPr="0030738C">
        <w:rPr>
          <w:rStyle w:val="FootnoteReference"/>
        </w:rPr>
        <w:footnoteRef/>
      </w:r>
      <w:r w:rsidRPr="0030738C">
        <w:t xml:space="preserve"> </w:t>
      </w:r>
      <w:r w:rsidRPr="0030738C">
        <w:rPr>
          <w:i/>
        </w:rPr>
        <w:t xml:space="preserve">See </w:t>
      </w:r>
      <w:r w:rsidRPr="0030738C">
        <w:t>NAL Response.</w:t>
      </w:r>
    </w:p>
  </w:footnote>
  <w:footnote w:id="23">
    <w:p w:rsidR="00D84292" w:rsidRPr="0047296E" w:rsidRDefault="00D84292">
      <w:pPr>
        <w:pStyle w:val="FootnoteText"/>
        <w:rPr>
          <w:i/>
        </w:rPr>
      </w:pPr>
      <w:r>
        <w:rPr>
          <w:rStyle w:val="FootnoteReference"/>
        </w:rPr>
        <w:footnoteRef/>
      </w:r>
      <w:r>
        <w:t xml:space="preserve"> </w:t>
      </w:r>
      <w:r>
        <w:rPr>
          <w:i/>
        </w:rPr>
        <w:t>See id.</w:t>
      </w:r>
    </w:p>
  </w:footnote>
  <w:footnote w:id="24">
    <w:p w:rsidR="00D84292" w:rsidRPr="00221B8F" w:rsidRDefault="00D84292">
      <w:pPr>
        <w:pStyle w:val="FootnoteText"/>
        <w:rPr>
          <w:i/>
        </w:rPr>
      </w:pPr>
      <w:r w:rsidRPr="0030738C">
        <w:rPr>
          <w:rStyle w:val="FootnoteReference"/>
        </w:rPr>
        <w:footnoteRef/>
      </w:r>
      <w:r w:rsidRPr="00221B8F">
        <w:t xml:space="preserve"> </w:t>
      </w:r>
      <w:r w:rsidRPr="0030738C">
        <w:rPr>
          <w:i/>
        </w:rPr>
        <w:t xml:space="preserve">Starfone NAL, </w:t>
      </w:r>
      <w:r w:rsidRPr="0030738C">
        <w:t>27 FCC Rcd at 4396, 4397</w:t>
      </w:r>
      <w:r w:rsidR="00E54A52">
        <w:t>–</w:t>
      </w:r>
      <w:r w:rsidR="00F35B67">
        <w:t>98</w:t>
      </w:r>
      <w:r w:rsidRPr="0030738C">
        <w:t>, 4400, paras. 11, 14, 21.</w:t>
      </w:r>
    </w:p>
  </w:footnote>
  <w:footnote w:id="25">
    <w:p w:rsidR="00D84292" w:rsidRPr="0030738C" w:rsidRDefault="00D84292" w:rsidP="006A4FDB">
      <w:pPr>
        <w:pStyle w:val="FootnoteText"/>
      </w:pPr>
      <w:r w:rsidRPr="0030738C">
        <w:rPr>
          <w:rStyle w:val="FootnoteReference"/>
        </w:rPr>
        <w:footnoteRef/>
      </w:r>
      <w:r w:rsidRPr="0030738C">
        <w:t xml:space="preserve"> </w:t>
      </w:r>
      <w:r w:rsidRPr="0030738C">
        <w:rPr>
          <w:i/>
        </w:rPr>
        <w:t xml:space="preserve">See </w:t>
      </w:r>
      <w:r w:rsidR="00F35B67">
        <w:rPr>
          <w:i/>
        </w:rPr>
        <w:t>id.</w:t>
      </w:r>
      <w:r>
        <w:t>, 27 FCC Rcd</w:t>
      </w:r>
      <w:r w:rsidRPr="0030738C">
        <w:t xml:space="preserve"> at 4398, para. 14</w:t>
      </w:r>
      <w:r>
        <w:t xml:space="preserve">; </w:t>
      </w:r>
      <w:r w:rsidRPr="005B5D12">
        <w:rPr>
          <w:i/>
        </w:rPr>
        <w:t>see also</w:t>
      </w:r>
      <w:r>
        <w:t xml:space="preserve"> </w:t>
      </w:r>
      <w:r>
        <w:rPr>
          <w:i/>
        </w:rPr>
        <w:t xml:space="preserve">Unipoint Technologies, Inc., </w:t>
      </w:r>
      <w:r w:rsidRPr="0047296E">
        <w:t>File No.</w:t>
      </w:r>
      <w:r>
        <w:t xml:space="preserve"> EB-IHD-13-00011665, </w:t>
      </w:r>
      <w:r w:rsidRPr="0047296E">
        <w:t>Forfeiture Order</w:t>
      </w:r>
      <w:r w:rsidRPr="00DC0948">
        <w:t>,</w:t>
      </w:r>
      <w:r>
        <w:t xml:space="preserve"> FCC 14-11, 2014 WL 554086</w:t>
      </w:r>
      <w:r w:rsidR="00F35B67">
        <w:t>,</w:t>
      </w:r>
      <w:r>
        <w:t xml:space="preserve"> at *2, paras. 7 (Feb. 11, 2014) (</w:t>
      </w:r>
      <w:r w:rsidRPr="0047296E">
        <w:rPr>
          <w:i/>
        </w:rPr>
        <w:t>Unipoint Forfeiture Order</w:t>
      </w:r>
      <w:r>
        <w:t>)</w:t>
      </w:r>
      <w:r w:rsidR="006E773B">
        <w:t xml:space="preserve">; </w:t>
      </w:r>
      <w:r w:rsidR="006E773B">
        <w:rPr>
          <w:i/>
        </w:rPr>
        <w:t>id</w:t>
      </w:r>
      <w:r w:rsidR="006E773B">
        <w:t>. at *7, para. 24</w:t>
      </w:r>
      <w:r>
        <w:t xml:space="preserve"> (citing </w:t>
      </w:r>
      <w:r w:rsidRPr="006A4FDB">
        <w:rPr>
          <w:i/>
        </w:rPr>
        <w:t>Teleplus</w:t>
      </w:r>
      <w:r w:rsidR="00E03903">
        <w:rPr>
          <w:i/>
        </w:rPr>
        <w:t>,</w:t>
      </w:r>
      <w:r w:rsidRPr="006A4FDB">
        <w:rPr>
          <w:i/>
        </w:rPr>
        <w:t xml:space="preserve"> LLC</w:t>
      </w:r>
      <w:r>
        <w:t>, Notice of Apparent Liability for Forfeiture, 24 FCC Rcd 7666, 7669, para. 8 (Enf. Bur. 2009)).</w:t>
      </w:r>
    </w:p>
  </w:footnote>
  <w:footnote w:id="26">
    <w:p w:rsidR="00D84292" w:rsidRPr="0030738C" w:rsidRDefault="00D84292">
      <w:pPr>
        <w:pStyle w:val="FootnoteText"/>
      </w:pPr>
      <w:r w:rsidRPr="0030738C">
        <w:rPr>
          <w:rStyle w:val="FootnoteReference"/>
        </w:rPr>
        <w:footnoteRef/>
      </w:r>
      <w:r w:rsidRPr="0030738C">
        <w:t xml:space="preserve"> </w:t>
      </w:r>
      <w:r w:rsidRPr="0030738C">
        <w:rPr>
          <w:i/>
        </w:rPr>
        <w:t xml:space="preserve">See </w:t>
      </w:r>
      <w:r>
        <w:rPr>
          <w:i/>
        </w:rPr>
        <w:t>Starfone NAL</w:t>
      </w:r>
      <w:r>
        <w:t>, 27 FCC Rcd</w:t>
      </w:r>
      <w:r w:rsidRPr="0030738C">
        <w:t xml:space="preserve"> at 4396, 4398, 4401, paras. 11, 15, 23</w:t>
      </w:r>
      <w:r w:rsidRPr="0030738C">
        <w:rPr>
          <w:i/>
        </w:rPr>
        <w:t>.</w:t>
      </w:r>
    </w:p>
  </w:footnote>
  <w:footnote w:id="27">
    <w:p w:rsidR="00D84292" w:rsidRPr="0030738C" w:rsidRDefault="00D84292" w:rsidP="00DF1126">
      <w:pPr>
        <w:pStyle w:val="FootnoteText"/>
      </w:pPr>
      <w:r w:rsidRPr="0030738C">
        <w:rPr>
          <w:rStyle w:val="FootnoteReference"/>
        </w:rPr>
        <w:footnoteRef/>
      </w:r>
      <w:r w:rsidRPr="0030738C">
        <w:t xml:space="preserve"> </w:t>
      </w:r>
      <w:r w:rsidRPr="0030738C">
        <w:rPr>
          <w:i/>
        </w:rPr>
        <w:t xml:space="preserve">See </w:t>
      </w:r>
      <w:r>
        <w:rPr>
          <w:i/>
        </w:rPr>
        <w:t xml:space="preserve">id. </w:t>
      </w:r>
      <w:r w:rsidRPr="0030738C">
        <w:t>at 4396, 4399, 4402, paras. 11, 18, 25</w:t>
      </w:r>
      <w:r w:rsidRPr="00F32480">
        <w:t>–</w:t>
      </w:r>
      <w:r w:rsidRPr="0030738C">
        <w:t>26</w:t>
      </w:r>
      <w:r w:rsidRPr="0030738C">
        <w:rPr>
          <w:i/>
        </w:rPr>
        <w:t>.</w:t>
      </w:r>
      <w:r w:rsidRPr="0030738C">
        <w:rPr>
          <w:highlight w:val="cyan"/>
        </w:rPr>
        <w:t xml:space="preserve"> </w:t>
      </w:r>
    </w:p>
  </w:footnote>
  <w:footnote w:id="28">
    <w:p w:rsidR="00D84292" w:rsidRPr="0030738C" w:rsidRDefault="00D84292">
      <w:pPr>
        <w:pStyle w:val="FootnoteText"/>
      </w:pPr>
      <w:r w:rsidRPr="0030738C">
        <w:rPr>
          <w:rStyle w:val="FootnoteReference"/>
        </w:rPr>
        <w:footnoteRef/>
      </w:r>
      <w:r w:rsidRPr="0030738C">
        <w:t xml:space="preserve"> </w:t>
      </w:r>
      <w:r w:rsidRPr="0030738C">
        <w:rPr>
          <w:i/>
        </w:rPr>
        <w:t xml:space="preserve">See </w:t>
      </w:r>
      <w:r>
        <w:rPr>
          <w:i/>
        </w:rPr>
        <w:t>id.</w:t>
      </w:r>
      <w:r w:rsidRPr="0030738C">
        <w:t xml:space="preserve"> at 4396</w:t>
      </w:r>
      <w:r w:rsidR="00A56648">
        <w:t>-97</w:t>
      </w:r>
      <w:r w:rsidRPr="0030738C">
        <w:t>, 4399</w:t>
      </w:r>
      <w:r w:rsidR="00E54A52">
        <w:t>–</w:t>
      </w:r>
      <w:r w:rsidR="00A56648">
        <w:t>400</w:t>
      </w:r>
      <w:r w:rsidRPr="0030738C">
        <w:t>, 4402, paras. 11, 19, 27</w:t>
      </w:r>
      <w:r w:rsidRPr="0030738C">
        <w:rPr>
          <w:i/>
        </w:rPr>
        <w:t>.</w:t>
      </w:r>
    </w:p>
  </w:footnote>
  <w:footnote w:id="29">
    <w:p w:rsidR="00D84292" w:rsidRPr="0030738C" w:rsidRDefault="00D84292">
      <w:pPr>
        <w:pStyle w:val="FootnoteText"/>
      </w:pPr>
      <w:r w:rsidRPr="0030738C">
        <w:rPr>
          <w:rStyle w:val="FootnoteReference"/>
        </w:rPr>
        <w:footnoteRef/>
      </w:r>
      <w:r w:rsidRPr="0030738C">
        <w:t xml:space="preserve"> As stated above, willfulness in the context of </w:t>
      </w:r>
      <w:r>
        <w:t>S</w:t>
      </w:r>
      <w:r w:rsidRPr="0030738C">
        <w:t xml:space="preserve">ection 503(b) merely requires that an entity knows it is engaged in the conduct constituting the rule violations. </w:t>
      </w:r>
      <w:r>
        <w:t xml:space="preserve"> </w:t>
      </w:r>
      <w:r w:rsidRPr="0030738C">
        <w:rPr>
          <w:i/>
        </w:rPr>
        <w:t>See supra</w:t>
      </w:r>
      <w:r w:rsidRPr="0030738C">
        <w:t xml:space="preserve"> nn.</w:t>
      </w:r>
      <w:r w:rsidRPr="0030738C">
        <w:fldChar w:fldCharType="begin"/>
      </w:r>
      <w:r w:rsidRPr="0030738C">
        <w:instrText xml:space="preserve"> NOTEREF _Ref251688834 \h </w:instrText>
      </w:r>
      <w:r>
        <w:instrText xml:space="preserve"> \* MERGEFORMAT </w:instrText>
      </w:r>
      <w:r w:rsidRPr="0030738C">
        <w:fldChar w:fldCharType="separate"/>
      </w:r>
      <w:r w:rsidR="001C5BC3">
        <w:t>18</w:t>
      </w:r>
      <w:r w:rsidRPr="0030738C">
        <w:fldChar w:fldCharType="end"/>
      </w:r>
      <w:r w:rsidRPr="00F32480">
        <w:t>–</w:t>
      </w:r>
      <w:r w:rsidRPr="0030738C">
        <w:fldChar w:fldCharType="begin"/>
      </w:r>
      <w:r w:rsidRPr="0030738C">
        <w:instrText xml:space="preserve"> NOTEREF _Ref251688144 \h </w:instrText>
      </w:r>
      <w:r>
        <w:instrText xml:space="preserve"> \* MERGEFORMAT </w:instrText>
      </w:r>
      <w:r w:rsidRPr="0030738C">
        <w:fldChar w:fldCharType="separate"/>
      </w:r>
      <w:r w:rsidR="001C5BC3">
        <w:t>19</w:t>
      </w:r>
      <w:r w:rsidRPr="0030738C">
        <w:fldChar w:fldCharType="end"/>
      </w:r>
      <w:r w:rsidRPr="0030738C">
        <w:t xml:space="preserve"> and accompanying text; 47 U</w:t>
      </w:r>
      <w:r>
        <w:t>.</w:t>
      </w:r>
      <w:r w:rsidRPr="0030738C">
        <w:t>S</w:t>
      </w:r>
      <w:r>
        <w:t>.</w:t>
      </w:r>
      <w:r w:rsidRPr="0030738C">
        <w:t>C</w:t>
      </w:r>
      <w:r>
        <w:t>.</w:t>
      </w:r>
      <w:r w:rsidRPr="0030738C">
        <w:t xml:space="preserve"> </w:t>
      </w:r>
      <w:r w:rsidRPr="006A0D87">
        <w:t>§§</w:t>
      </w:r>
      <w:r>
        <w:t> </w:t>
      </w:r>
      <w:r w:rsidRPr="0030738C">
        <w:t>312(f)(1); 503(b)</w:t>
      </w:r>
      <w:r>
        <w:t xml:space="preserve">; </w:t>
      </w:r>
      <w:r>
        <w:rPr>
          <w:i/>
        </w:rPr>
        <w:t>see also Unipoint Forfeiture Order</w:t>
      </w:r>
      <w:r>
        <w:t xml:space="preserve">, 2014 WL 554086, </w:t>
      </w:r>
      <w:r w:rsidRPr="004D6985">
        <w:t>at *</w:t>
      </w:r>
      <w:r>
        <w:t>3, para. 8</w:t>
      </w:r>
      <w:r w:rsidRPr="004D6985">
        <w:t>.</w:t>
      </w:r>
    </w:p>
  </w:footnote>
  <w:footnote w:id="30">
    <w:p w:rsidR="00D84292" w:rsidRPr="0030738C" w:rsidRDefault="00D84292" w:rsidP="004A6AAF">
      <w:pPr>
        <w:pStyle w:val="FootnoteText"/>
      </w:pPr>
      <w:r w:rsidRPr="0030738C">
        <w:rPr>
          <w:rStyle w:val="FootnoteReference"/>
        </w:rPr>
        <w:footnoteRef/>
      </w:r>
      <w:r w:rsidRPr="0030738C">
        <w:t xml:space="preserve"> </w:t>
      </w:r>
      <w:hyperlink r:id="rId1" w:tgtFrame="_top" w:history="1">
        <w:r w:rsidRPr="0030738C">
          <w:t>47 U.S.C. § 503(b)(2)(</w:t>
        </w:r>
        <w:r w:rsidR="009E1C0F">
          <w:t>E</w:t>
        </w:r>
        <w:r w:rsidRPr="0030738C">
          <w:t>)</w:t>
        </w:r>
      </w:hyperlink>
      <w:r w:rsidRPr="0030738C">
        <w:t>.</w:t>
      </w:r>
    </w:p>
  </w:footnote>
  <w:footnote w:id="31">
    <w:p w:rsidR="00D84292" w:rsidRPr="0030738C" w:rsidRDefault="00D84292" w:rsidP="004A6AAF">
      <w:pPr>
        <w:pStyle w:val="FootnoteText"/>
      </w:pPr>
      <w:r w:rsidRPr="0030738C">
        <w:rPr>
          <w:rStyle w:val="FootnoteReference"/>
        </w:rPr>
        <w:footnoteRef/>
      </w:r>
      <w:r w:rsidRPr="0030738C">
        <w:t xml:space="preserve"> </w:t>
      </w:r>
      <w:r w:rsidR="009E1C0F" w:rsidRPr="00325C73">
        <w:rPr>
          <w:i/>
        </w:rPr>
        <w:t>See</w:t>
      </w:r>
      <w:r w:rsidR="009E1C0F">
        <w:t xml:space="preserve"> </w:t>
      </w:r>
      <w:r w:rsidR="00F76D39" w:rsidRPr="00325C73">
        <w:rPr>
          <w:i/>
        </w:rPr>
        <w:t>Commission’s</w:t>
      </w:r>
      <w:r w:rsidR="00F76D39">
        <w:t xml:space="preserve"> </w:t>
      </w:r>
      <w:r w:rsidRPr="0030738C">
        <w:rPr>
          <w:i/>
          <w:iCs/>
        </w:rPr>
        <w:t>Forfeiture Policy Statement</w:t>
      </w:r>
      <w:r w:rsidR="009E1C0F">
        <w:rPr>
          <w:i/>
          <w:iCs/>
        </w:rPr>
        <w:t xml:space="preserve"> and Amendment of Section 1.80 of the Rules to Incorporate the Forfeiture Guidelines</w:t>
      </w:r>
      <w:r w:rsidRPr="0030738C">
        <w:rPr>
          <w:iCs/>
        </w:rPr>
        <w:t xml:space="preserve">, </w:t>
      </w:r>
      <w:r w:rsidR="009E1C0F">
        <w:rPr>
          <w:iCs/>
        </w:rPr>
        <w:t xml:space="preserve">Report and Order, </w:t>
      </w:r>
      <w:r w:rsidRPr="0030738C">
        <w:rPr>
          <w:iCs/>
        </w:rPr>
        <w:t xml:space="preserve">12 FCC Rcd </w:t>
      </w:r>
      <w:r w:rsidR="009E1C0F">
        <w:rPr>
          <w:iCs/>
        </w:rPr>
        <w:t xml:space="preserve">17087, </w:t>
      </w:r>
      <w:r w:rsidRPr="0030738C">
        <w:rPr>
          <w:iCs/>
        </w:rPr>
        <w:t>17100–01, para. 27</w:t>
      </w:r>
      <w:r w:rsidR="009E1C0F">
        <w:rPr>
          <w:iCs/>
        </w:rPr>
        <w:t xml:space="preserve"> (1997)</w:t>
      </w:r>
      <w:r w:rsidR="002B65DE">
        <w:rPr>
          <w:iCs/>
        </w:rPr>
        <w:t xml:space="preserve"> (</w:t>
      </w:r>
      <w:r w:rsidR="002B65DE" w:rsidRPr="007114AA">
        <w:rPr>
          <w:i/>
          <w:iCs/>
        </w:rPr>
        <w:t xml:space="preserve">Forfeiture </w:t>
      </w:r>
      <w:r w:rsidR="000F6D68">
        <w:rPr>
          <w:i/>
          <w:iCs/>
        </w:rPr>
        <w:t>Policy Statement</w:t>
      </w:r>
      <w:r w:rsidR="002B65DE">
        <w:rPr>
          <w:iCs/>
        </w:rPr>
        <w:t>)</w:t>
      </w:r>
      <w:r w:rsidR="00605A9E">
        <w:rPr>
          <w:iCs/>
        </w:rPr>
        <w:t xml:space="preserve">, </w:t>
      </w:r>
      <w:r w:rsidR="009E1C0F" w:rsidRPr="00325C73">
        <w:rPr>
          <w:i/>
          <w:iCs/>
        </w:rPr>
        <w:t>recon. denied</w:t>
      </w:r>
      <w:r w:rsidR="009E1C0F">
        <w:rPr>
          <w:iCs/>
        </w:rPr>
        <w:t>, 15 FCC Rcd 303 (1999)</w:t>
      </w:r>
      <w:r w:rsidRPr="0030738C">
        <w:rPr>
          <w:iCs/>
        </w:rPr>
        <w:t>.</w:t>
      </w:r>
    </w:p>
  </w:footnote>
  <w:footnote w:id="32">
    <w:p w:rsidR="00D84292" w:rsidRPr="0030738C" w:rsidRDefault="00D84292" w:rsidP="004A6AAF">
      <w:pPr>
        <w:pStyle w:val="FootnoteText"/>
      </w:pPr>
      <w:r w:rsidRPr="0030738C">
        <w:rPr>
          <w:rStyle w:val="FootnoteReference"/>
        </w:rPr>
        <w:footnoteRef/>
      </w:r>
      <w:r w:rsidRPr="0030738C">
        <w:t xml:space="preserve"> </w:t>
      </w:r>
      <w:r w:rsidRPr="0030738C">
        <w:rPr>
          <w:i/>
        </w:rPr>
        <w:t>See</w:t>
      </w:r>
      <w:r w:rsidRPr="0030738C">
        <w:t xml:space="preserve"> NAL Response.</w:t>
      </w:r>
    </w:p>
  </w:footnote>
  <w:footnote w:id="33">
    <w:p w:rsidR="00D84292" w:rsidRPr="0030738C" w:rsidRDefault="00D84292" w:rsidP="004A6AAF">
      <w:pPr>
        <w:pStyle w:val="FootnoteText"/>
      </w:pPr>
      <w:r w:rsidRPr="0030738C">
        <w:rPr>
          <w:rStyle w:val="FootnoteReference"/>
        </w:rPr>
        <w:footnoteRef/>
      </w:r>
      <w:r w:rsidRPr="0030738C">
        <w:t xml:space="preserve"> </w:t>
      </w:r>
      <w:r w:rsidRPr="0030738C">
        <w:rPr>
          <w:i/>
        </w:rPr>
        <w:t>See Starfone NAL</w:t>
      </w:r>
      <w:r w:rsidRPr="0030738C">
        <w:t>, 27 FCC Rcd at 4400</w:t>
      </w:r>
      <w:r w:rsidRPr="0030738C">
        <w:rPr>
          <w:iCs/>
        </w:rPr>
        <w:t>–4402, paras. 20–28.</w:t>
      </w:r>
    </w:p>
  </w:footnote>
  <w:footnote w:id="34">
    <w:p w:rsidR="00D84292" w:rsidRPr="0048572D" w:rsidRDefault="00D84292">
      <w:pPr>
        <w:pStyle w:val="FootnoteText"/>
      </w:pPr>
      <w:r>
        <w:rPr>
          <w:rStyle w:val="FootnoteReference"/>
        </w:rPr>
        <w:footnoteRef/>
      </w:r>
      <w:r>
        <w:t xml:space="preserve"> </w:t>
      </w:r>
      <w:r>
        <w:rPr>
          <w:i/>
        </w:rPr>
        <w:t xml:space="preserve">Id. </w:t>
      </w:r>
      <w:r>
        <w:t>at 4402, para. 26.</w:t>
      </w:r>
    </w:p>
  </w:footnote>
  <w:footnote w:id="35">
    <w:p w:rsidR="00D84292" w:rsidRPr="006065C2" w:rsidRDefault="00D84292">
      <w:pPr>
        <w:pStyle w:val="FootnoteText"/>
        <w:rPr>
          <w:iCs/>
        </w:rPr>
      </w:pPr>
      <w:r>
        <w:rPr>
          <w:rStyle w:val="FootnoteReference"/>
        </w:rPr>
        <w:footnoteRef/>
      </w:r>
      <w:r>
        <w:t xml:space="preserve"> </w:t>
      </w:r>
      <w:r>
        <w:rPr>
          <w:i/>
        </w:rPr>
        <w:t xml:space="preserve">See </w:t>
      </w:r>
      <w:r>
        <w:t>NAL Response at 3</w:t>
      </w:r>
      <w:r w:rsidRPr="0030738C">
        <w:rPr>
          <w:iCs/>
        </w:rPr>
        <w:t>–</w:t>
      </w:r>
      <w:r>
        <w:rPr>
          <w:iCs/>
        </w:rPr>
        <w:t>4.</w:t>
      </w:r>
    </w:p>
  </w:footnote>
  <w:footnote w:id="36">
    <w:p w:rsidR="00D84292" w:rsidRPr="005246E7" w:rsidRDefault="00D84292">
      <w:pPr>
        <w:pStyle w:val="FootnoteText"/>
      </w:pPr>
      <w:r>
        <w:rPr>
          <w:rStyle w:val="FootnoteReference"/>
        </w:rPr>
        <w:footnoteRef/>
      </w:r>
      <w:r>
        <w:t xml:space="preserve"> </w:t>
      </w:r>
      <w:r>
        <w:rPr>
          <w:i/>
        </w:rPr>
        <w:t>See id.</w:t>
      </w:r>
    </w:p>
  </w:footnote>
  <w:footnote w:id="37">
    <w:p w:rsidR="00D84292" w:rsidRPr="0030738C" w:rsidRDefault="00D84292" w:rsidP="004B15D2">
      <w:pPr>
        <w:pStyle w:val="FootnoteText"/>
      </w:pPr>
      <w:r w:rsidRPr="0030738C">
        <w:rPr>
          <w:rStyle w:val="FootnoteReference"/>
        </w:rPr>
        <w:footnoteRef/>
      </w:r>
      <w:r w:rsidRPr="0030738C">
        <w:rPr>
          <w:i/>
        </w:rPr>
        <w:t xml:space="preserve"> </w:t>
      </w:r>
      <w:r w:rsidR="00605A9E">
        <w:rPr>
          <w:i/>
        </w:rPr>
        <w:t>Starfone NAL</w:t>
      </w:r>
      <w:r w:rsidRPr="0030738C">
        <w:t>, 27 FCC Rcd at 4398, para. 15.</w:t>
      </w:r>
    </w:p>
  </w:footnote>
  <w:footnote w:id="38">
    <w:p w:rsidR="00D84292" w:rsidRPr="0030738C" w:rsidRDefault="00D84292">
      <w:pPr>
        <w:pStyle w:val="FootnoteText"/>
      </w:pPr>
      <w:r w:rsidRPr="0030738C">
        <w:rPr>
          <w:rStyle w:val="FootnoteReference"/>
        </w:rPr>
        <w:footnoteRef/>
      </w:r>
      <w:r w:rsidRPr="0030738C">
        <w:t xml:space="preserve"> </w:t>
      </w:r>
      <w:r w:rsidR="00605A9E">
        <w:rPr>
          <w:i/>
        </w:rPr>
        <w:t>Id.</w:t>
      </w:r>
      <w:r w:rsidR="00CB3BAA">
        <w:t xml:space="preserve">; </w:t>
      </w:r>
      <w:r w:rsidR="00CB3BAA">
        <w:rPr>
          <w:i/>
        </w:rPr>
        <w:t>see also id</w:t>
      </w:r>
      <w:r w:rsidR="00CB3BAA">
        <w:t>.</w:t>
      </w:r>
      <w:r w:rsidR="00605A9E">
        <w:rPr>
          <w:i/>
        </w:rPr>
        <w:t xml:space="preserve"> </w:t>
      </w:r>
      <w:r w:rsidR="00CB3BAA" w:rsidRPr="0030738C">
        <w:t>at 4398, para. 15</w:t>
      </w:r>
      <w:r w:rsidR="00CB3BAA">
        <w:t xml:space="preserve"> </w:t>
      </w:r>
      <w:r w:rsidRPr="0030738C">
        <w:t>n.48.</w:t>
      </w:r>
    </w:p>
  </w:footnote>
  <w:footnote w:id="39">
    <w:p w:rsidR="00D84292" w:rsidRDefault="00D84292" w:rsidP="00D85D31">
      <w:pPr>
        <w:pStyle w:val="FootnoteText"/>
      </w:pPr>
      <w:r>
        <w:rPr>
          <w:rStyle w:val="FootnoteReference"/>
        </w:rPr>
        <w:footnoteRef/>
      </w:r>
      <w:r>
        <w:t xml:space="preserve"> </w:t>
      </w:r>
      <w:r w:rsidR="00605A9E" w:rsidRPr="00325C73">
        <w:rPr>
          <w:i/>
        </w:rPr>
        <w:t>See</w:t>
      </w:r>
      <w:r w:rsidR="00605A9E">
        <w:t xml:space="preserve"> </w:t>
      </w:r>
      <w:r>
        <w:t>NAL Response at 4.</w:t>
      </w:r>
    </w:p>
  </w:footnote>
  <w:footnote w:id="40">
    <w:p w:rsidR="00D84292" w:rsidRPr="006A4FDB" w:rsidRDefault="00D84292" w:rsidP="00D85D31">
      <w:pPr>
        <w:pStyle w:val="FootnoteText"/>
      </w:pPr>
      <w:r>
        <w:rPr>
          <w:rStyle w:val="FootnoteReference"/>
        </w:rPr>
        <w:footnoteRef/>
      </w:r>
      <w:r>
        <w:t xml:space="preserve"> </w:t>
      </w:r>
      <w:r w:rsidRPr="006A4FDB">
        <w:rPr>
          <w:i/>
        </w:rPr>
        <w:t>See</w:t>
      </w:r>
      <w:r>
        <w:t xml:space="preserve"> </w:t>
      </w:r>
      <w:r w:rsidR="00605A9E" w:rsidRPr="00325C73">
        <w:rPr>
          <w:i/>
        </w:rPr>
        <w:t>id</w:t>
      </w:r>
      <w:r w:rsidR="00605A9E">
        <w:t>.</w:t>
      </w:r>
      <w:r>
        <w:t xml:space="preserve"> </w:t>
      </w:r>
      <w:r>
        <w:rPr>
          <w:szCs w:val="22"/>
        </w:rPr>
        <w:t xml:space="preserve">(stating that, </w:t>
      </w:r>
      <w:r w:rsidRPr="00BC6404">
        <w:rPr>
          <w:szCs w:val="22"/>
        </w:rPr>
        <w:t xml:space="preserve">in reporting revenue it gave “little </w:t>
      </w:r>
      <w:r w:rsidR="00605A9E">
        <w:rPr>
          <w:szCs w:val="22"/>
        </w:rPr>
        <w:t>t</w:t>
      </w:r>
      <w:r w:rsidRPr="00BC6404">
        <w:rPr>
          <w:szCs w:val="22"/>
        </w:rPr>
        <w:t>o no account . . . of amounts” it had paid its wholesale carriers “as an end user”</w:t>
      </w:r>
      <w:r>
        <w:rPr>
          <w:szCs w:val="22"/>
        </w:rPr>
        <w:t>).</w:t>
      </w:r>
    </w:p>
  </w:footnote>
  <w:footnote w:id="41">
    <w:p w:rsidR="00D84292" w:rsidRPr="0030738C" w:rsidRDefault="00D84292" w:rsidP="00D85D31">
      <w:pPr>
        <w:pStyle w:val="FootnoteText"/>
      </w:pPr>
      <w:r w:rsidRPr="0030738C">
        <w:rPr>
          <w:rStyle w:val="FootnoteReference"/>
        </w:rPr>
        <w:footnoteRef/>
      </w:r>
      <w:r w:rsidRPr="0030738C">
        <w:t xml:space="preserve"> </w:t>
      </w:r>
      <w:r w:rsidRPr="0030738C">
        <w:rPr>
          <w:i/>
        </w:rPr>
        <w:t xml:space="preserve">See </w:t>
      </w:r>
      <w:r w:rsidRPr="009C6736">
        <w:rPr>
          <w:i/>
        </w:rPr>
        <w:t>id</w:t>
      </w:r>
      <w:r>
        <w:t xml:space="preserve">. </w:t>
      </w:r>
    </w:p>
  </w:footnote>
  <w:footnote w:id="42">
    <w:p w:rsidR="00DD24FF" w:rsidRDefault="00DD24FF">
      <w:pPr>
        <w:pStyle w:val="FootnoteText"/>
      </w:pPr>
      <w:r>
        <w:rPr>
          <w:rStyle w:val="FootnoteReference"/>
        </w:rPr>
        <w:footnoteRef/>
      </w:r>
      <w:r>
        <w:t xml:space="preserve"> As noted, Starfone and Commission staff engaged in lengthy, unsuccessful, settlement negotiations to resolve the </w:t>
      </w:r>
      <w:r w:rsidR="00BC7D8F">
        <w:rPr>
          <w:i/>
        </w:rPr>
        <w:t xml:space="preserve">Starfone </w:t>
      </w:r>
      <w:r w:rsidRPr="00637E0A">
        <w:rPr>
          <w:i/>
        </w:rPr>
        <w:t>NAL</w:t>
      </w:r>
      <w:r>
        <w:t>.</w:t>
      </w:r>
      <w:r w:rsidR="00F76D39">
        <w:t xml:space="preserve">  </w:t>
      </w:r>
      <w:r w:rsidR="00F76D39" w:rsidRPr="00325C73">
        <w:rPr>
          <w:i/>
        </w:rPr>
        <w:t>See</w:t>
      </w:r>
      <w:r w:rsidR="00F76D39">
        <w:t xml:space="preserve"> </w:t>
      </w:r>
      <w:r w:rsidR="00F76D39" w:rsidRPr="00325C73">
        <w:rPr>
          <w:i/>
        </w:rPr>
        <w:t>supra</w:t>
      </w:r>
      <w:r w:rsidR="00F76D39">
        <w:t xml:space="preserve"> n.</w:t>
      </w:r>
      <w:r w:rsidR="00F76D39">
        <w:fldChar w:fldCharType="begin"/>
      </w:r>
      <w:r w:rsidR="00F76D39">
        <w:instrText xml:space="preserve"> NOTEREF _Ref384382958 \h </w:instrText>
      </w:r>
      <w:r w:rsidR="00F76D39">
        <w:fldChar w:fldCharType="separate"/>
      </w:r>
      <w:r w:rsidR="001C5BC3">
        <w:t>14</w:t>
      </w:r>
      <w:r w:rsidR="00F76D39">
        <w:fldChar w:fldCharType="end"/>
      </w:r>
      <w:r w:rsidR="00F76D39">
        <w:t>.</w:t>
      </w:r>
    </w:p>
  </w:footnote>
  <w:footnote w:id="43">
    <w:p w:rsidR="00D84292" w:rsidRPr="0030738C" w:rsidRDefault="00D84292" w:rsidP="00EA2C7B">
      <w:pPr>
        <w:pStyle w:val="FootnoteText"/>
      </w:pPr>
      <w:r w:rsidRPr="0030738C">
        <w:rPr>
          <w:rStyle w:val="FootnoteReference"/>
        </w:rPr>
        <w:footnoteRef/>
      </w:r>
      <w:r w:rsidRPr="0030738C">
        <w:t xml:space="preserve"> </w:t>
      </w:r>
      <w:r w:rsidRPr="0030738C">
        <w:rPr>
          <w:i/>
        </w:rPr>
        <w:t>See</w:t>
      </w:r>
      <w:r w:rsidRPr="0030738C">
        <w:t xml:space="preserve"> NAL Response at </w:t>
      </w:r>
      <w:r w:rsidR="00605A9E">
        <w:t>5</w:t>
      </w:r>
      <w:r w:rsidR="00CB3BAA">
        <w:t>–</w:t>
      </w:r>
      <w:r w:rsidRPr="0030738C">
        <w:t>6.</w:t>
      </w:r>
    </w:p>
  </w:footnote>
  <w:footnote w:id="44">
    <w:p w:rsidR="00D84292" w:rsidRPr="0030738C" w:rsidRDefault="00D84292" w:rsidP="000F3F5B">
      <w:pPr>
        <w:pStyle w:val="FootnoteText"/>
      </w:pPr>
      <w:r w:rsidRPr="0030738C">
        <w:rPr>
          <w:rStyle w:val="FootnoteReference"/>
        </w:rPr>
        <w:footnoteRef/>
      </w:r>
      <w:r w:rsidRPr="0030738C">
        <w:t xml:space="preserve"> </w:t>
      </w:r>
      <w:r w:rsidRPr="0030738C">
        <w:rPr>
          <w:i/>
        </w:rPr>
        <w:t>See, e.g.</w:t>
      </w:r>
      <w:r w:rsidRPr="0030738C">
        <w:t xml:space="preserve">, </w:t>
      </w:r>
      <w:r w:rsidRPr="0030738C">
        <w:rPr>
          <w:i/>
        </w:rPr>
        <w:t>Coleman</w:t>
      </w:r>
      <w:r w:rsidR="000F6D68">
        <w:rPr>
          <w:i/>
        </w:rPr>
        <w:t xml:space="preserve"> Enter., Inc. d/b/a Local Long Distance, Inc</w:t>
      </w:r>
      <w:r w:rsidR="000F6D68" w:rsidRPr="00556082">
        <w:rPr>
          <w:i/>
        </w:rPr>
        <w:t>.</w:t>
      </w:r>
      <w:r w:rsidR="001F12E4" w:rsidRPr="00064B13">
        <w:rPr>
          <w:i/>
        </w:rPr>
        <w:t>,</w:t>
      </w:r>
      <w:r w:rsidR="000F6D68" w:rsidRPr="00064B13">
        <w:rPr>
          <w:i/>
        </w:rPr>
        <w:t xml:space="preserve"> Apparent Liability for Forfei</w:t>
      </w:r>
      <w:r w:rsidR="000F6D68">
        <w:rPr>
          <w:i/>
        </w:rPr>
        <w:t>t</w:t>
      </w:r>
      <w:r w:rsidR="000F6D68" w:rsidRPr="00064B13">
        <w:rPr>
          <w:i/>
        </w:rPr>
        <w:t>ure</w:t>
      </w:r>
      <w:r w:rsidR="000F6D68">
        <w:t xml:space="preserve">, Order of Reconsideration, </w:t>
      </w:r>
      <w:r w:rsidRPr="0030738C">
        <w:t xml:space="preserve">16 FCC Rcd </w:t>
      </w:r>
      <w:r w:rsidR="000F6D68">
        <w:t xml:space="preserve">10023, </w:t>
      </w:r>
      <w:r w:rsidRPr="0030738C">
        <w:t>1002</w:t>
      </w:r>
      <w:r w:rsidR="00605A9E">
        <w:t>7-2</w:t>
      </w:r>
      <w:r w:rsidRPr="0030738C">
        <w:t>8, para</w:t>
      </w:r>
      <w:r w:rsidR="00605A9E">
        <w:t>s</w:t>
      </w:r>
      <w:r w:rsidRPr="0030738C">
        <w:t>.</w:t>
      </w:r>
      <w:r w:rsidR="00605A9E">
        <w:t xml:space="preserve"> 10-</w:t>
      </w:r>
      <w:r w:rsidRPr="0030738C">
        <w:t>11</w:t>
      </w:r>
      <w:r w:rsidR="000F6D68">
        <w:t xml:space="preserve"> (2001) (</w:t>
      </w:r>
      <w:r w:rsidR="000F6D68" w:rsidRPr="0030738C">
        <w:rPr>
          <w:i/>
        </w:rPr>
        <w:t>Coleman</w:t>
      </w:r>
      <w:r w:rsidR="000F6D68" w:rsidRPr="007D27AB">
        <w:rPr>
          <w:i/>
        </w:rPr>
        <w:t xml:space="preserve"> </w:t>
      </w:r>
      <w:r w:rsidR="000F6D68" w:rsidRPr="00325C73">
        <w:rPr>
          <w:i/>
        </w:rPr>
        <w:t>Reconsideration Order</w:t>
      </w:r>
      <w:r w:rsidR="000F6D68">
        <w:t>)</w:t>
      </w:r>
      <w:r w:rsidRPr="0030738C">
        <w:t xml:space="preserve">; </w:t>
      </w:r>
      <w:r w:rsidRPr="0030738C">
        <w:rPr>
          <w:i/>
        </w:rPr>
        <w:t>So</w:t>
      </w:r>
      <w:r w:rsidR="00CB3BAA">
        <w:rPr>
          <w:i/>
        </w:rPr>
        <w:t>.</w:t>
      </w:r>
      <w:r w:rsidRPr="0030738C">
        <w:rPr>
          <w:i/>
        </w:rPr>
        <w:t xml:space="preserve"> Cal</w:t>
      </w:r>
      <w:r w:rsidR="00CB3BAA">
        <w:rPr>
          <w:i/>
        </w:rPr>
        <w:t>.</w:t>
      </w:r>
      <w:r w:rsidRPr="0030738C">
        <w:rPr>
          <w:i/>
        </w:rPr>
        <w:t xml:space="preserve"> Broad</w:t>
      </w:r>
      <w:r w:rsidR="00CB3BAA">
        <w:rPr>
          <w:i/>
        </w:rPr>
        <w:t>.</w:t>
      </w:r>
      <w:r w:rsidRPr="0030738C">
        <w:rPr>
          <w:i/>
        </w:rPr>
        <w:t xml:space="preserve"> Co.</w:t>
      </w:r>
      <w:r w:rsidRPr="009C6736">
        <w:rPr>
          <w:i/>
        </w:rPr>
        <w:t>, Licensee</w:t>
      </w:r>
      <w:r>
        <w:t xml:space="preserve">, Memorandum Opinion and Order, </w:t>
      </w:r>
      <w:r w:rsidRPr="0030738C">
        <w:t xml:space="preserve">7 FCC Rcd </w:t>
      </w:r>
      <w:r>
        <w:t xml:space="preserve">3454, </w:t>
      </w:r>
      <w:r w:rsidRPr="0030738C">
        <w:t>3455, para. 7</w:t>
      </w:r>
      <w:r>
        <w:t xml:space="preserve"> (1992)</w:t>
      </w:r>
      <w:r w:rsidRPr="0030738C">
        <w:t xml:space="preserve">; </w:t>
      </w:r>
      <w:r w:rsidRPr="0030738C">
        <w:rPr>
          <w:i/>
        </w:rPr>
        <w:t>4M of Richmond, Inc.</w:t>
      </w:r>
      <w:r w:rsidRPr="0030738C">
        <w:t xml:space="preserve">, </w:t>
      </w:r>
      <w:r w:rsidR="00AA2DF4">
        <w:t xml:space="preserve">Forfeiture Order, </w:t>
      </w:r>
      <w:r w:rsidRPr="0030738C">
        <w:t xml:space="preserve">19 FCC Rcd 15447, 15452, para. 15 (Enf. Bur. 2004); </w:t>
      </w:r>
      <w:r w:rsidRPr="0030738C">
        <w:rPr>
          <w:i/>
        </w:rPr>
        <w:t>Northwest Utilities</w:t>
      </w:r>
      <w:r w:rsidRPr="0030738C">
        <w:t>,</w:t>
      </w:r>
      <w:r w:rsidR="00AA2DF4">
        <w:t xml:space="preserve"> Forfeiture Order,</w:t>
      </w:r>
      <w:r w:rsidRPr="0030738C">
        <w:t xml:space="preserve"> 17 FCC Rcd 4115, 4117, para. 13 (Enf. Bur. 2002).</w:t>
      </w:r>
    </w:p>
  </w:footnote>
  <w:footnote w:id="45">
    <w:p w:rsidR="00D84292" w:rsidRPr="0030738C" w:rsidRDefault="00D84292" w:rsidP="000A03FC">
      <w:pPr>
        <w:pStyle w:val="FootnoteText"/>
      </w:pPr>
      <w:r w:rsidRPr="0030738C">
        <w:rPr>
          <w:rStyle w:val="FootnoteReference"/>
        </w:rPr>
        <w:footnoteRef/>
      </w:r>
      <w:r w:rsidRPr="0030738C">
        <w:t xml:space="preserve"> </w:t>
      </w:r>
      <w:r w:rsidRPr="0030738C">
        <w:rPr>
          <w:i/>
        </w:rPr>
        <w:t>Comm</w:t>
      </w:r>
      <w:r w:rsidR="00CB3BAA">
        <w:rPr>
          <w:i/>
        </w:rPr>
        <w:t>’</w:t>
      </w:r>
      <w:r w:rsidRPr="0030738C">
        <w:rPr>
          <w:i/>
        </w:rPr>
        <w:t>cns Serv</w:t>
      </w:r>
      <w:r w:rsidR="00CB3BAA">
        <w:rPr>
          <w:i/>
        </w:rPr>
        <w:t>.</w:t>
      </w:r>
      <w:r w:rsidRPr="0030738C">
        <w:rPr>
          <w:i/>
        </w:rPr>
        <w:t xml:space="preserve"> Integrated, Inc.</w:t>
      </w:r>
      <w:r w:rsidRPr="0030738C">
        <w:t>, Notice of Apparent Liability for Forfeiture</w:t>
      </w:r>
      <w:r w:rsidR="00605A9E">
        <w:t xml:space="preserve"> and Order</w:t>
      </w:r>
      <w:r w:rsidRPr="0030738C">
        <w:t xml:space="preserve">, 20 FCC Rcd 17251, 17257, para. 16 (2005); </w:t>
      </w:r>
      <w:r w:rsidRPr="0030738C">
        <w:rPr>
          <w:i/>
        </w:rPr>
        <w:t>AT&amp;T Wireless Serv</w:t>
      </w:r>
      <w:r w:rsidR="00CB3BAA">
        <w:rPr>
          <w:i/>
        </w:rPr>
        <w:t>.</w:t>
      </w:r>
      <w:r w:rsidRPr="0030738C">
        <w:rPr>
          <w:i/>
        </w:rPr>
        <w:t>, Inc.</w:t>
      </w:r>
      <w:r w:rsidRPr="0030738C">
        <w:t>, Forfeiture Order, 17 FCC Rcd 21866, 21870</w:t>
      </w:r>
      <w:r w:rsidRPr="00F32480">
        <w:t>–</w:t>
      </w:r>
      <w:r w:rsidRPr="0030738C">
        <w:t>71, paras. 13</w:t>
      </w:r>
      <w:r w:rsidRPr="00F32480">
        <w:t>–</w:t>
      </w:r>
      <w:r w:rsidRPr="0030738C">
        <w:t xml:space="preserve">14 (2002); </w:t>
      </w:r>
      <w:r w:rsidRPr="0030738C">
        <w:rPr>
          <w:i/>
        </w:rPr>
        <w:t>America’s Tele-Network Corp.</w:t>
      </w:r>
      <w:r w:rsidRPr="00325C73">
        <w:t>, Order of Forfeiture</w:t>
      </w:r>
      <w:r w:rsidRPr="0030738C">
        <w:t>, 16 FCC Rcd 22350, 22355, para. 15 (2001)</w:t>
      </w:r>
      <w:r w:rsidR="00A24290">
        <w:t xml:space="preserve">; </w:t>
      </w:r>
      <w:r w:rsidR="00A24290" w:rsidRPr="0030738C">
        <w:rPr>
          <w:i/>
        </w:rPr>
        <w:t>Coleman</w:t>
      </w:r>
      <w:r w:rsidR="00A24290" w:rsidRPr="007D27AB">
        <w:rPr>
          <w:i/>
        </w:rPr>
        <w:t xml:space="preserve"> </w:t>
      </w:r>
      <w:r w:rsidR="00A24290" w:rsidRPr="00DA17D1">
        <w:rPr>
          <w:i/>
        </w:rPr>
        <w:t>Reconsideration Order</w:t>
      </w:r>
      <w:r w:rsidR="00A24290">
        <w:t>,</w:t>
      </w:r>
      <w:r w:rsidR="00A24290" w:rsidRPr="0030738C">
        <w:t xml:space="preserve"> 16 FCC Rcd </w:t>
      </w:r>
      <w:r w:rsidR="00A24290">
        <w:t xml:space="preserve">at </w:t>
      </w:r>
      <w:r w:rsidR="00A24290" w:rsidRPr="0030738C">
        <w:t>1002</w:t>
      </w:r>
      <w:r w:rsidR="00A24290">
        <w:t>7-2</w:t>
      </w:r>
      <w:r w:rsidR="00A24290" w:rsidRPr="0030738C">
        <w:t>8, para</w:t>
      </w:r>
      <w:r w:rsidR="00A24290">
        <w:t>s</w:t>
      </w:r>
      <w:r w:rsidR="00A24290" w:rsidRPr="0030738C">
        <w:t>.</w:t>
      </w:r>
      <w:r w:rsidR="00A24290">
        <w:t xml:space="preserve"> 10-</w:t>
      </w:r>
      <w:r w:rsidR="00A24290" w:rsidRPr="0030738C">
        <w:t>11</w:t>
      </w:r>
      <w:r w:rsidRPr="0030738C">
        <w:t xml:space="preserve">. </w:t>
      </w:r>
    </w:p>
  </w:footnote>
  <w:footnote w:id="46">
    <w:p w:rsidR="00216C46" w:rsidRDefault="00216C46">
      <w:pPr>
        <w:pStyle w:val="FootnoteText"/>
      </w:pPr>
      <w:r>
        <w:rPr>
          <w:rStyle w:val="FootnoteReference"/>
        </w:rPr>
        <w:footnoteRef/>
      </w:r>
      <w:r>
        <w:t xml:space="preserve"> </w:t>
      </w:r>
      <w:r>
        <w:rPr>
          <w:iCs/>
        </w:rPr>
        <w:t xml:space="preserve">Letter from Trent B. Harkrader, Deputy Chief, Investigations and Hearings Division, </w:t>
      </w:r>
      <w:r w:rsidR="00BC7D8F">
        <w:rPr>
          <w:iCs/>
        </w:rPr>
        <w:t xml:space="preserve">FCC </w:t>
      </w:r>
      <w:r>
        <w:rPr>
          <w:iCs/>
        </w:rPr>
        <w:t xml:space="preserve">Enforcement Bureau, to Mr. Lyle Watkins, General Manager, Starfone </w:t>
      </w:r>
      <w:r w:rsidR="00F40547">
        <w:rPr>
          <w:iCs/>
        </w:rPr>
        <w:t>(</w:t>
      </w:r>
      <w:r>
        <w:rPr>
          <w:iCs/>
        </w:rPr>
        <w:t>Mar. 9, 2009</w:t>
      </w:r>
      <w:r w:rsidR="00F40547">
        <w:rPr>
          <w:iCs/>
        </w:rPr>
        <w:t>)</w:t>
      </w:r>
      <w:r>
        <w:rPr>
          <w:iCs/>
        </w:rPr>
        <w:t xml:space="preserve"> (LOI).</w:t>
      </w:r>
    </w:p>
  </w:footnote>
  <w:footnote w:id="47">
    <w:p w:rsidR="00D84292" w:rsidRDefault="00D84292">
      <w:pPr>
        <w:pStyle w:val="FootnoteText"/>
      </w:pPr>
      <w:r>
        <w:rPr>
          <w:rStyle w:val="FootnoteReference"/>
        </w:rPr>
        <w:footnoteRef/>
      </w:r>
      <w:r>
        <w:t xml:space="preserve"> </w:t>
      </w:r>
      <w:r w:rsidRPr="00D85D31">
        <w:rPr>
          <w:i/>
        </w:rPr>
        <w:t>See</w:t>
      </w:r>
      <w:r>
        <w:t xml:space="preserve"> </w:t>
      </w:r>
      <w:r w:rsidRPr="0030738C">
        <w:rPr>
          <w:i/>
        </w:rPr>
        <w:t>Starfone NAL</w:t>
      </w:r>
      <w:r>
        <w:t>, 27 FCC Rcd at 4396</w:t>
      </w:r>
      <w:r>
        <w:rPr>
          <w:iCs/>
        </w:rPr>
        <w:t>, paras. 9</w:t>
      </w:r>
      <w:r w:rsidRPr="00F32480">
        <w:t>–</w:t>
      </w:r>
      <w:r>
        <w:rPr>
          <w:iCs/>
        </w:rPr>
        <w:t>11</w:t>
      </w:r>
      <w:r w:rsidRPr="0030738C">
        <w:rPr>
          <w:iCs/>
        </w:rPr>
        <w:t>.</w:t>
      </w:r>
    </w:p>
  </w:footnote>
  <w:footnote w:id="48">
    <w:p w:rsidR="00D84292" w:rsidRPr="00B90B57" w:rsidRDefault="00D84292">
      <w:pPr>
        <w:pStyle w:val="FootnoteText"/>
      </w:pPr>
      <w:r>
        <w:rPr>
          <w:rStyle w:val="FootnoteReference"/>
        </w:rPr>
        <w:footnoteRef/>
      </w:r>
      <w:r>
        <w:t xml:space="preserve"> </w:t>
      </w:r>
      <w:r w:rsidRPr="00B90B57">
        <w:rPr>
          <w:i/>
        </w:rPr>
        <w:t>See</w:t>
      </w:r>
      <w:r>
        <w:t xml:space="preserve"> </w:t>
      </w:r>
      <w:r w:rsidRPr="00B90B57">
        <w:rPr>
          <w:i/>
        </w:rPr>
        <w:t>id</w:t>
      </w:r>
      <w:r>
        <w:rPr>
          <w:i/>
        </w:rPr>
        <w:t>.</w:t>
      </w:r>
    </w:p>
  </w:footnote>
  <w:footnote w:id="49">
    <w:p w:rsidR="00D84292" w:rsidRDefault="00D84292">
      <w:pPr>
        <w:pStyle w:val="FootnoteText"/>
      </w:pPr>
      <w:r>
        <w:rPr>
          <w:rStyle w:val="FootnoteReference"/>
        </w:rPr>
        <w:footnoteRef/>
      </w:r>
      <w:r>
        <w:t xml:space="preserve"> </w:t>
      </w:r>
      <w:r w:rsidRPr="00B90B57">
        <w:rPr>
          <w:i/>
        </w:rPr>
        <w:t>See id</w:t>
      </w:r>
      <w:r>
        <w:t>. at 4396, 4397, paras. 8, 14 (Starfone began offering telecommunications services in 2003).</w:t>
      </w:r>
    </w:p>
  </w:footnote>
  <w:footnote w:id="50">
    <w:p w:rsidR="00D84292" w:rsidRDefault="00D84292">
      <w:pPr>
        <w:pStyle w:val="FootnoteText"/>
      </w:pPr>
      <w:r>
        <w:rPr>
          <w:rStyle w:val="FootnoteReference"/>
        </w:rPr>
        <w:footnoteRef/>
      </w:r>
      <w:r>
        <w:t xml:space="preserve"> </w:t>
      </w:r>
      <w:r w:rsidRPr="00B90B57">
        <w:rPr>
          <w:i/>
        </w:rPr>
        <w:t>See</w:t>
      </w:r>
      <w:r w:rsidRPr="00DE6A36">
        <w:rPr>
          <w:i/>
        </w:rPr>
        <w:t xml:space="preserve"> </w:t>
      </w:r>
      <w:r>
        <w:rPr>
          <w:i/>
        </w:rPr>
        <w:t>Unipoint Forfeiture Order</w:t>
      </w:r>
      <w:r>
        <w:t xml:space="preserve">, 2014 WL 554086, </w:t>
      </w:r>
      <w:r w:rsidRPr="004D6985">
        <w:t>at *</w:t>
      </w:r>
      <w:r>
        <w:t xml:space="preserve">7, para. 24 &amp; n.70 (quoting </w:t>
      </w:r>
      <w:r w:rsidRPr="006A4FDB">
        <w:rPr>
          <w:i/>
        </w:rPr>
        <w:t>Teleplus. LLC</w:t>
      </w:r>
      <w:r>
        <w:t>, 24 FCC Rcd at 7669, para. 8 (carrier’s failure to seek STA while 214 application pending “‘further aggravate[ed] its apparent violation’”))</w:t>
      </w:r>
      <w:r w:rsidRPr="004D6985">
        <w:t>.</w:t>
      </w:r>
    </w:p>
  </w:footnote>
  <w:footnote w:id="51">
    <w:p w:rsidR="00D84292" w:rsidRDefault="00D84292">
      <w:pPr>
        <w:pStyle w:val="FootnoteText"/>
      </w:pPr>
      <w:r>
        <w:rPr>
          <w:rStyle w:val="FootnoteReference"/>
        </w:rPr>
        <w:footnoteRef/>
      </w:r>
      <w:r>
        <w:t xml:space="preserve"> </w:t>
      </w:r>
      <w:r w:rsidRPr="00B90B57">
        <w:rPr>
          <w:i/>
        </w:rPr>
        <w:t>See</w:t>
      </w:r>
      <w:r w:rsidRPr="00DE6A36">
        <w:rPr>
          <w:i/>
        </w:rPr>
        <w:t xml:space="preserve"> </w:t>
      </w:r>
      <w:r w:rsidR="00670FCB">
        <w:rPr>
          <w:i/>
        </w:rPr>
        <w:t xml:space="preserve">id. </w:t>
      </w:r>
      <w:r>
        <w:t xml:space="preserve"> </w:t>
      </w:r>
      <w:r w:rsidRPr="004D6985">
        <w:t>at *</w:t>
      </w:r>
      <w:r>
        <w:t xml:space="preserve">7, para. 24 &amp; n.72 (quoting </w:t>
      </w:r>
      <w:r w:rsidRPr="00F12BA9">
        <w:rPr>
          <w:i/>
        </w:rPr>
        <w:t>Sutro Corp.</w:t>
      </w:r>
      <w:r>
        <w:t>, Memorandum Opinion and Order, 19 FCC Rcd 15274, 15277, para. 10 (2004) (delayed remediation do</w:t>
      </w:r>
      <w:r w:rsidR="00605A9E">
        <w:t>es</w:t>
      </w:r>
      <w:r>
        <w:t xml:space="preserve"> not reflect “‘good faith effort</w:t>
      </w:r>
      <w:r w:rsidR="00605A9E">
        <w:t>s</w:t>
      </w:r>
      <w:r>
        <w:t xml:space="preserve"> to comply … entitl[ing the company] to … mitigation of the assessed forfeiture amount’”)).</w:t>
      </w:r>
    </w:p>
  </w:footnote>
  <w:footnote w:id="52">
    <w:p w:rsidR="00D84292" w:rsidRPr="0030738C" w:rsidRDefault="00D84292">
      <w:pPr>
        <w:pStyle w:val="FootnoteText"/>
      </w:pPr>
      <w:r w:rsidRPr="0030738C">
        <w:rPr>
          <w:rStyle w:val="FootnoteReference"/>
        </w:rPr>
        <w:footnoteRef/>
      </w:r>
      <w:r w:rsidRPr="0030738C">
        <w:t xml:space="preserve"> </w:t>
      </w:r>
      <w:r w:rsidRPr="0030738C">
        <w:rPr>
          <w:i/>
        </w:rPr>
        <w:t xml:space="preserve">See </w:t>
      </w:r>
      <w:r w:rsidRPr="0030738C">
        <w:t>NAL Response at 5</w:t>
      </w:r>
      <w:r w:rsidRPr="00F32480">
        <w:t>–</w:t>
      </w:r>
      <w:r>
        <w:t>6</w:t>
      </w:r>
      <w:r w:rsidRPr="0030738C">
        <w:t>.</w:t>
      </w:r>
    </w:p>
  </w:footnote>
  <w:footnote w:id="53">
    <w:p w:rsidR="00D84292" w:rsidRPr="0030738C" w:rsidRDefault="00D84292">
      <w:pPr>
        <w:pStyle w:val="FootnoteText"/>
      </w:pPr>
      <w:r w:rsidRPr="0030738C">
        <w:rPr>
          <w:rStyle w:val="FootnoteReference"/>
        </w:rPr>
        <w:footnoteRef/>
      </w:r>
      <w:r w:rsidRPr="0030738C">
        <w:t xml:space="preserve"> </w:t>
      </w:r>
      <w:r w:rsidRPr="009C6736">
        <w:rPr>
          <w:i/>
        </w:rPr>
        <w:t>See id</w:t>
      </w:r>
      <w:r>
        <w:t xml:space="preserve">. </w:t>
      </w:r>
      <w:r w:rsidRPr="0030738C">
        <w:t>at 3.</w:t>
      </w:r>
    </w:p>
  </w:footnote>
  <w:footnote w:id="54">
    <w:p w:rsidR="00D84292" w:rsidRPr="0030738C" w:rsidRDefault="00D84292" w:rsidP="003811B1">
      <w:pPr>
        <w:pStyle w:val="FootnoteText"/>
      </w:pPr>
      <w:r w:rsidRPr="0030738C">
        <w:rPr>
          <w:rStyle w:val="FootnoteReference"/>
        </w:rPr>
        <w:footnoteRef/>
      </w:r>
      <w:r w:rsidRPr="0030738C">
        <w:t xml:space="preserve"> </w:t>
      </w:r>
      <w:r>
        <w:rPr>
          <w:i/>
        </w:rPr>
        <w:t>See i</w:t>
      </w:r>
      <w:r w:rsidRPr="0030738C">
        <w:rPr>
          <w:i/>
        </w:rPr>
        <w:t xml:space="preserve">d. </w:t>
      </w:r>
      <w:r w:rsidRPr="0030738C">
        <w:t xml:space="preserve">at </w:t>
      </w:r>
      <w:r w:rsidR="00556082">
        <w:t xml:space="preserve">3, </w:t>
      </w:r>
      <w:r w:rsidRPr="0030738C">
        <w:t>7.</w:t>
      </w:r>
    </w:p>
  </w:footnote>
  <w:footnote w:id="55">
    <w:p w:rsidR="00D84292" w:rsidRPr="0030738C" w:rsidRDefault="00D84292">
      <w:pPr>
        <w:pStyle w:val="FootnoteText"/>
      </w:pPr>
      <w:r w:rsidRPr="0030738C">
        <w:rPr>
          <w:rStyle w:val="FootnoteReference"/>
        </w:rPr>
        <w:footnoteRef/>
      </w:r>
      <w:r w:rsidRPr="0030738C">
        <w:t xml:space="preserve"> </w:t>
      </w:r>
      <w:r>
        <w:rPr>
          <w:i/>
        </w:rPr>
        <w:t>See i</w:t>
      </w:r>
      <w:r w:rsidRPr="0030738C">
        <w:rPr>
          <w:i/>
        </w:rPr>
        <w:t>d.</w:t>
      </w:r>
      <w:r w:rsidRPr="0030738C">
        <w:t xml:space="preserve"> at 7.</w:t>
      </w:r>
      <w:r w:rsidR="007C234E">
        <w:t xml:space="preserve">  We note that gross, rather than net, revenue, is the relevant financial information under our inability to pay analysis.  </w:t>
      </w:r>
      <w:r w:rsidR="007C234E" w:rsidRPr="009A7B19">
        <w:rPr>
          <w:i/>
        </w:rPr>
        <w:t>See Unipoint Forfeiture Order</w:t>
      </w:r>
      <w:r w:rsidR="007C234E" w:rsidRPr="009A7B19">
        <w:t>, 2014 WL 554086, at *8, para. 29 &amp; n.83 (</w:t>
      </w:r>
      <w:r w:rsidR="007C234E">
        <w:t xml:space="preserve">citing </w:t>
      </w:r>
      <w:r w:rsidR="007C234E" w:rsidRPr="009A7B19">
        <w:rPr>
          <w:i/>
        </w:rPr>
        <w:t>PJB Comm</w:t>
      </w:r>
      <w:r w:rsidR="00556082">
        <w:rPr>
          <w:i/>
        </w:rPr>
        <w:t>’</w:t>
      </w:r>
      <w:r w:rsidR="007C234E" w:rsidRPr="009A7B19">
        <w:rPr>
          <w:i/>
        </w:rPr>
        <w:t>cns</w:t>
      </w:r>
      <w:r w:rsidR="00556082">
        <w:rPr>
          <w:i/>
        </w:rPr>
        <w:t xml:space="preserve"> of Virginia</w:t>
      </w:r>
      <w:r w:rsidR="007C234E" w:rsidRPr="00064B13">
        <w:rPr>
          <w:i/>
        </w:rPr>
        <w:t>,</w:t>
      </w:r>
      <w:r w:rsidR="00556082" w:rsidRPr="00064B13">
        <w:rPr>
          <w:i/>
        </w:rPr>
        <w:t xml:space="preserve"> Inc.</w:t>
      </w:r>
      <w:r w:rsidR="00556082">
        <w:t xml:space="preserve">, Memorandum Opinion and Order, </w:t>
      </w:r>
      <w:r w:rsidR="007C234E" w:rsidRPr="009A7B19">
        <w:t xml:space="preserve">7 FCC Rcd </w:t>
      </w:r>
      <w:r w:rsidR="00556082">
        <w:t xml:space="preserve">2088, </w:t>
      </w:r>
      <w:r w:rsidR="007C234E" w:rsidRPr="009A7B19">
        <w:t>2089, para. 8</w:t>
      </w:r>
      <w:r w:rsidR="00556082">
        <w:t xml:space="preserve"> (1992)</w:t>
      </w:r>
      <w:r w:rsidR="007C234E" w:rsidRPr="009A7B19">
        <w:t>)</w:t>
      </w:r>
      <w:r w:rsidR="007C234E">
        <w:t>.</w:t>
      </w:r>
    </w:p>
  </w:footnote>
  <w:footnote w:id="56">
    <w:p w:rsidR="00161E43" w:rsidRPr="00F32480" w:rsidRDefault="00161E43" w:rsidP="00161E43">
      <w:pPr>
        <w:pStyle w:val="FootnoteText"/>
      </w:pPr>
      <w:r w:rsidRPr="00F32480">
        <w:rPr>
          <w:rStyle w:val="FootnoteReference"/>
        </w:rPr>
        <w:footnoteRef/>
      </w:r>
      <w:r w:rsidRPr="00F32480">
        <w:t xml:space="preserve"> </w:t>
      </w:r>
      <w:r w:rsidR="008A04BA">
        <w:t xml:space="preserve">47 U.S.C. </w:t>
      </w:r>
      <w:r w:rsidRPr="00F32480">
        <w:t xml:space="preserve">§ 503(b)(2)(E).  </w:t>
      </w:r>
    </w:p>
  </w:footnote>
  <w:footnote w:id="57">
    <w:p w:rsidR="008A6224" w:rsidRDefault="008A6224">
      <w:pPr>
        <w:pStyle w:val="FootnoteText"/>
      </w:pPr>
      <w:r>
        <w:rPr>
          <w:rStyle w:val="FootnoteReference"/>
        </w:rPr>
        <w:footnoteRef/>
      </w:r>
      <w:r>
        <w:t xml:space="preserve"> </w:t>
      </w:r>
      <w:r w:rsidR="00E63C84">
        <w:t xml:space="preserve">We </w:t>
      </w:r>
      <w:r w:rsidR="00F71798">
        <w:t xml:space="preserve">find that </w:t>
      </w:r>
      <w:r w:rsidR="00C27B43">
        <w:t>Starfone’s degree of culpability and history of prior offenses</w:t>
      </w:r>
      <w:r w:rsidR="00E63C84">
        <w:t xml:space="preserve"> </w:t>
      </w:r>
      <w:r w:rsidR="00366BFA">
        <w:t xml:space="preserve">also </w:t>
      </w:r>
      <w:r w:rsidR="00E63C84">
        <w:t xml:space="preserve">militate against any reduction in the proposed forfeiture based upon an inability to pay.  As discussed above, </w:t>
      </w:r>
      <w:r>
        <w:t>Starfone</w:t>
      </w:r>
      <w:r w:rsidR="00E63C84">
        <w:t xml:space="preserve"> has a long history of violations and </w:t>
      </w:r>
      <w:r w:rsidR="00B008BC">
        <w:t xml:space="preserve">even its compliance efforts followed protracted delay.  </w:t>
      </w:r>
      <w:r w:rsidR="00B008BC">
        <w:rPr>
          <w:i/>
        </w:rPr>
        <w:t>S</w:t>
      </w:r>
      <w:r w:rsidRPr="00366BFA">
        <w:rPr>
          <w:i/>
        </w:rPr>
        <w:t>ee supra</w:t>
      </w:r>
      <w:r>
        <w:t xml:space="preserve"> para</w:t>
      </w:r>
      <w:r w:rsidR="00396D0B">
        <w:t>s</w:t>
      </w:r>
      <w:r>
        <w:t>.</w:t>
      </w:r>
      <w:r w:rsidR="00396D0B">
        <w:t xml:space="preserve"> </w:t>
      </w:r>
      <w:r w:rsidR="00396D0B">
        <w:fldChar w:fldCharType="begin"/>
      </w:r>
      <w:r w:rsidR="00396D0B">
        <w:instrText xml:space="preserve"> REF _Ref386210436 \r \h </w:instrText>
      </w:r>
      <w:r w:rsidR="00396D0B">
        <w:fldChar w:fldCharType="separate"/>
      </w:r>
      <w:r w:rsidR="001C5BC3">
        <w:t>3</w:t>
      </w:r>
      <w:r w:rsidR="00396D0B">
        <w:fldChar w:fldCharType="end"/>
      </w:r>
      <w:r w:rsidR="00396D0B">
        <w:t>,</w:t>
      </w:r>
      <w:r>
        <w:t xml:space="preserve"> </w:t>
      </w:r>
      <w:r>
        <w:fldChar w:fldCharType="begin"/>
      </w:r>
      <w:r>
        <w:instrText xml:space="preserve"> REF _Ref386210069 \r \h </w:instrText>
      </w:r>
      <w:r>
        <w:fldChar w:fldCharType="separate"/>
      </w:r>
      <w:r w:rsidR="001C5BC3">
        <w:t>16</w:t>
      </w:r>
      <w:r>
        <w:fldChar w:fldCharType="end"/>
      </w:r>
      <w:r w:rsidR="00B008BC">
        <w:t xml:space="preserve">; </w:t>
      </w:r>
      <w:r w:rsidR="00B008BC" w:rsidRPr="00366BFA">
        <w:rPr>
          <w:i/>
        </w:rPr>
        <w:t>see also</w:t>
      </w:r>
      <w:r w:rsidR="00B008BC">
        <w:t xml:space="preserve"> </w:t>
      </w:r>
      <w:r w:rsidR="00B008BC" w:rsidRPr="00366BFA">
        <w:rPr>
          <w:i/>
        </w:rPr>
        <w:t>Presidential Who’s Who, Inc.</w:t>
      </w:r>
      <w:r w:rsidR="00B008BC">
        <w:t xml:space="preserve">, </w:t>
      </w:r>
      <w:r w:rsidR="00B008BC" w:rsidRPr="0047296E">
        <w:t>File No.</w:t>
      </w:r>
      <w:r w:rsidR="00B008BC">
        <w:t xml:space="preserve"> EB-TCD-12-00000217, </w:t>
      </w:r>
      <w:r w:rsidR="00B008BC" w:rsidRPr="0047296E">
        <w:t>Forfeiture Order</w:t>
      </w:r>
      <w:r w:rsidR="00B008BC" w:rsidRPr="00DC0948">
        <w:t>,</w:t>
      </w:r>
      <w:r w:rsidR="00B008BC">
        <w:t xml:space="preserve"> FCC 14-34, 2014 WL </w:t>
      </w:r>
      <w:r w:rsidR="00AC32ED">
        <w:t>1273430</w:t>
      </w:r>
      <w:r w:rsidR="00B008BC">
        <w:t>, at *</w:t>
      </w:r>
      <w:r w:rsidR="00AC32ED">
        <w:t>4</w:t>
      </w:r>
      <w:r w:rsidR="00B008BC">
        <w:t>, para</w:t>
      </w:r>
      <w:r w:rsidR="00496DBF">
        <w:t>s</w:t>
      </w:r>
      <w:r w:rsidR="00B008BC">
        <w:t>. 14</w:t>
      </w:r>
      <w:r w:rsidR="00496DBF" w:rsidRPr="00F32480">
        <w:t>–</w:t>
      </w:r>
      <w:r w:rsidR="00496DBF">
        <w:t>15</w:t>
      </w:r>
      <w:r w:rsidR="00B008BC">
        <w:t xml:space="preserve"> (</w:t>
      </w:r>
      <w:r w:rsidR="00DB6113">
        <w:t xml:space="preserve">rel. </w:t>
      </w:r>
      <w:r w:rsidR="00B008BC">
        <w:t>Mar. 2</w:t>
      </w:r>
      <w:r w:rsidR="00DB6113">
        <w:t>8</w:t>
      </w:r>
      <w:r w:rsidR="00B008BC">
        <w:t>, 2014)</w:t>
      </w:r>
      <w:r w:rsidR="00396D0B">
        <w:t xml:space="preserve"> </w:t>
      </w:r>
      <w:r w:rsidR="00B008BC">
        <w:t xml:space="preserve">(rejecting </w:t>
      </w:r>
      <w:r w:rsidR="00F71798">
        <w:t xml:space="preserve">an </w:t>
      </w:r>
      <w:r w:rsidR="00B008BC">
        <w:t xml:space="preserve">ability to pay request given </w:t>
      </w:r>
      <w:r w:rsidR="00396D0B">
        <w:t>violator</w:t>
      </w:r>
      <w:r w:rsidR="00B008BC">
        <w:t>’s</w:t>
      </w:r>
      <w:r w:rsidR="00D023A6">
        <w:t xml:space="preserve"> continuous</w:t>
      </w:r>
      <w:r w:rsidR="00B008BC">
        <w:t xml:space="preserve"> and</w:t>
      </w:r>
      <w:r w:rsidR="00396D0B">
        <w:t xml:space="preserve"> </w:t>
      </w:r>
      <w:r w:rsidR="00D023A6">
        <w:t>repeated violation</w:t>
      </w:r>
      <w:r w:rsidR="00F71798">
        <w:t>s</w:t>
      </w:r>
      <w:r w:rsidR="00D023A6">
        <w:t xml:space="preserve">).  </w:t>
      </w:r>
      <w:r w:rsidR="00396D0B">
        <w:t xml:space="preserve">  </w:t>
      </w:r>
    </w:p>
  </w:footnote>
  <w:footnote w:id="58">
    <w:p w:rsidR="008A04BA" w:rsidRPr="007114AA" w:rsidRDefault="008A04BA">
      <w:pPr>
        <w:pStyle w:val="FootnoteText"/>
      </w:pPr>
      <w:r>
        <w:rPr>
          <w:rStyle w:val="FootnoteReference"/>
        </w:rPr>
        <w:footnoteRef/>
      </w:r>
      <w:r>
        <w:t xml:space="preserve"> </w:t>
      </w:r>
      <w:r w:rsidRPr="007114AA">
        <w:rPr>
          <w:i/>
        </w:rPr>
        <w:t>See</w:t>
      </w:r>
      <w:r>
        <w:rPr>
          <w:i/>
        </w:rPr>
        <w:t xml:space="preserve"> </w:t>
      </w:r>
      <w:r w:rsidR="00556082" w:rsidRPr="00885B2C">
        <w:rPr>
          <w:i/>
        </w:rPr>
        <w:t>Starfone</w:t>
      </w:r>
      <w:r w:rsidR="00556082">
        <w:t xml:space="preserve"> </w:t>
      </w:r>
      <w:r>
        <w:rPr>
          <w:i/>
        </w:rPr>
        <w:t>NAL</w:t>
      </w:r>
      <w:r>
        <w:t>, 27 FCC Rcd at 4402</w:t>
      </w:r>
      <w:r w:rsidR="00496DBF">
        <w:t>,</w:t>
      </w:r>
      <w:r>
        <w:t xml:space="preserve"> para. 25 (quoting 47 U.S.C. § 225(b)(1)).</w:t>
      </w:r>
    </w:p>
  </w:footnote>
  <w:footnote w:id="59">
    <w:p w:rsidR="007C234E" w:rsidRPr="007114AA" w:rsidRDefault="007C234E">
      <w:pPr>
        <w:pStyle w:val="FootnoteText"/>
      </w:pPr>
      <w:r>
        <w:rPr>
          <w:rStyle w:val="FootnoteReference"/>
        </w:rPr>
        <w:footnoteRef/>
      </w:r>
      <w:r>
        <w:t xml:space="preserve"> </w:t>
      </w:r>
      <w:r w:rsidR="002B65DE" w:rsidRPr="007114AA">
        <w:rPr>
          <w:i/>
        </w:rPr>
        <w:t>See</w:t>
      </w:r>
      <w:r w:rsidR="002B65DE">
        <w:t xml:space="preserve"> </w:t>
      </w:r>
      <w:r w:rsidR="002B65DE" w:rsidRPr="00E71666">
        <w:rPr>
          <w:i/>
          <w:iCs/>
        </w:rPr>
        <w:t xml:space="preserve">Forfeiture </w:t>
      </w:r>
      <w:r w:rsidR="00556082">
        <w:rPr>
          <w:i/>
          <w:iCs/>
        </w:rPr>
        <w:t>Policy Statement</w:t>
      </w:r>
      <w:r w:rsidR="002B65DE">
        <w:rPr>
          <w:iCs/>
        </w:rPr>
        <w:t>, 12 FCC Rcd 17097, para. 19 (in enacting Section 503, “Congress recognized the need to authorize the Commission to impose forfeitures sufficiently high to deter violations and constitute a meaningful sanction when violations occur”).</w:t>
      </w:r>
    </w:p>
  </w:footnote>
  <w:footnote w:id="60">
    <w:p w:rsidR="002863A5" w:rsidRPr="007114AA" w:rsidRDefault="002863A5">
      <w:pPr>
        <w:pStyle w:val="FootnoteText"/>
      </w:pPr>
      <w:r>
        <w:rPr>
          <w:rStyle w:val="FootnoteReference"/>
        </w:rPr>
        <w:footnoteRef/>
      </w:r>
      <w:r>
        <w:t xml:space="preserve"> </w:t>
      </w:r>
      <w:r w:rsidRPr="007114AA">
        <w:rPr>
          <w:i/>
        </w:rPr>
        <w:t>See</w:t>
      </w:r>
      <w:r>
        <w:t xml:space="preserve"> </w:t>
      </w:r>
      <w:r w:rsidR="00556082" w:rsidRPr="00885B2C">
        <w:rPr>
          <w:i/>
        </w:rPr>
        <w:t>Starfone</w:t>
      </w:r>
      <w:r w:rsidR="00556082">
        <w:t xml:space="preserve"> </w:t>
      </w:r>
      <w:r w:rsidRPr="007114AA">
        <w:rPr>
          <w:i/>
        </w:rPr>
        <w:t>NAL</w:t>
      </w:r>
      <w:r w:rsidR="008A04BA">
        <w:t>, 27 FCC Rcd</w:t>
      </w:r>
      <w:r>
        <w:t xml:space="preserve"> at 4402, para. 25.</w:t>
      </w:r>
    </w:p>
  </w:footnote>
  <w:footnote w:id="61">
    <w:p w:rsidR="00D84292" w:rsidRPr="00F32480" w:rsidRDefault="00D84292" w:rsidP="003811B1">
      <w:pPr>
        <w:pStyle w:val="FootnoteText"/>
      </w:pPr>
      <w:r w:rsidRPr="00F32480">
        <w:rPr>
          <w:rStyle w:val="FootnoteReference"/>
        </w:rPr>
        <w:footnoteRef/>
      </w:r>
      <w:r w:rsidRPr="00F32480">
        <w:t xml:space="preserve"> 47 U.S.C. § 503(b).</w:t>
      </w:r>
    </w:p>
  </w:footnote>
  <w:footnote w:id="62">
    <w:p w:rsidR="00D84292" w:rsidRPr="00F32480" w:rsidRDefault="00D84292" w:rsidP="003811B1">
      <w:pPr>
        <w:pStyle w:val="FootnoteText"/>
      </w:pPr>
      <w:r w:rsidRPr="00F32480">
        <w:rPr>
          <w:rStyle w:val="FootnoteReference"/>
        </w:rPr>
        <w:footnoteRef/>
      </w:r>
      <w:r w:rsidRPr="00F32480">
        <w:t xml:space="preserve"> 47 C.F.R. § 1.80.</w:t>
      </w:r>
    </w:p>
  </w:footnote>
  <w:footnote w:id="63">
    <w:p w:rsidR="00D84292" w:rsidRPr="00F32480" w:rsidRDefault="00D84292" w:rsidP="003811B1">
      <w:pPr>
        <w:pStyle w:val="FootnoteText"/>
      </w:pPr>
      <w:r w:rsidRPr="00F32480">
        <w:rPr>
          <w:rStyle w:val="FootnoteReference"/>
        </w:rPr>
        <w:footnoteRef/>
      </w:r>
      <w:r w:rsidRPr="00F32480">
        <w:t xml:space="preserve"> </w:t>
      </w:r>
      <w:r w:rsidR="002E4A7E">
        <w:rPr>
          <w:i/>
        </w:rPr>
        <w:t>Id.</w:t>
      </w:r>
    </w:p>
  </w:footnote>
  <w:footnote w:id="64">
    <w:p w:rsidR="00D84292" w:rsidRPr="00F32480" w:rsidRDefault="00D84292" w:rsidP="003811B1">
      <w:pPr>
        <w:pStyle w:val="FootnoteText"/>
      </w:pPr>
      <w:r w:rsidRPr="00F32480">
        <w:rPr>
          <w:rStyle w:val="FootnoteReference"/>
        </w:rPr>
        <w:footnoteRef/>
      </w:r>
      <w:r w:rsidRPr="00F32480">
        <w:t xml:space="preserve"> 47 U.S.C. § 504(a).</w:t>
      </w:r>
    </w:p>
  </w:footnote>
  <w:footnote w:id="65">
    <w:p w:rsidR="00D84292" w:rsidRPr="00064B13" w:rsidRDefault="00D84292" w:rsidP="003811B1">
      <w:pPr>
        <w:pStyle w:val="FootnoteText"/>
      </w:pPr>
      <w:r w:rsidRPr="0030738C">
        <w:rPr>
          <w:rStyle w:val="FootnoteReference"/>
        </w:rPr>
        <w:footnoteRef/>
      </w:r>
      <w:r w:rsidRPr="0030738C">
        <w:t xml:space="preserve"> </w:t>
      </w:r>
      <w:r w:rsidRPr="0030738C">
        <w:rPr>
          <w:rStyle w:val="FootnoteTextChar"/>
        </w:rPr>
        <w:t xml:space="preserve">An FCC Form 159 and detailed instructions for completing the form may be obtained at </w:t>
      </w:r>
      <w:hyperlink r:id="rId2" w:history="1">
        <w:r w:rsidR="00E71425" w:rsidRPr="00375ECB">
          <w:rPr>
            <w:rStyle w:val="Hyperlink"/>
          </w:rPr>
          <w:t>http://www.fcc.gov/Forms/Form159/159.pdf</w:t>
        </w:r>
      </w:hyperlink>
      <w:r w:rsidRPr="0030738C">
        <w:rPr>
          <w:rStyle w:val="FootnoteTextChar"/>
        </w:rPr>
        <w:t>.</w:t>
      </w:r>
    </w:p>
  </w:footnote>
  <w:footnote w:id="66">
    <w:p w:rsidR="00D84292" w:rsidRPr="0030738C" w:rsidRDefault="00D84292">
      <w:pPr>
        <w:pStyle w:val="FootnoteText"/>
      </w:pPr>
      <w:r w:rsidRPr="0030738C">
        <w:rPr>
          <w:rStyle w:val="FootnoteReference"/>
        </w:rPr>
        <w:footnoteRef/>
      </w:r>
      <w:r w:rsidRPr="0030738C">
        <w:t xml:space="preserve"> </w:t>
      </w:r>
      <w:r w:rsidRPr="0030738C">
        <w:rPr>
          <w:i/>
        </w:rPr>
        <w:t>See</w:t>
      </w:r>
      <w:r w:rsidRPr="0030738C">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20C" w:rsidRDefault="00681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292" w:rsidRDefault="00D84292" w:rsidP="00DD0C67">
    <w:pPr>
      <w:pStyle w:val="Header"/>
    </w:pPr>
    <w:r>
      <w:tab/>
      <w:t>Federal Communications Commission</w:t>
    </w:r>
    <w:r>
      <w:tab/>
      <w:t>FCC 14-</w:t>
    </w:r>
    <w:r w:rsidR="00556082">
      <w:t>67</w:t>
    </w:r>
    <w:r>
      <w:t xml:space="preserve"> </w:t>
    </w:r>
  </w:p>
  <w:p w:rsidR="00F43100" w:rsidRDefault="00D84292" w:rsidP="00583DF9">
    <w:r>
      <w:rPr>
        <w:noProof/>
      </w:rPr>
      <mc:AlternateContent>
        <mc:Choice Requires="wps">
          <w:drawing>
            <wp:anchor distT="4294967294" distB="4294967294" distL="114300" distR="114300" simplePos="0" relativeHeight="251658240" behindDoc="0" locked="0" layoutInCell="0" allowOverlap="1" wp14:anchorId="2BA8657F" wp14:editId="764A8C27">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292" w:rsidRDefault="00D84292" w:rsidP="00DD0C67">
    <w:pPr>
      <w:pStyle w:val="Header"/>
    </w:pPr>
    <w:r>
      <w:tab/>
      <w:t>Federal Communications Commission</w:t>
    </w:r>
    <w:r>
      <w:tab/>
      <w:t>FCC 14-</w:t>
    </w:r>
    <w:r w:rsidR="00556082">
      <w:t>67</w:t>
    </w:r>
    <w:r>
      <w:t xml:space="preserve"> </w:t>
    </w:r>
  </w:p>
  <w:p w:rsidR="00D84292" w:rsidRPr="006506CC" w:rsidRDefault="00D84292" w:rsidP="00916C0C">
    <w:pPr>
      <w:pStyle w:val="Header"/>
      <w:jc w:val="right"/>
    </w:pPr>
    <w:r>
      <w:rPr>
        <w:noProof/>
      </w:rPr>
      <mc:AlternateContent>
        <mc:Choice Requires="wps">
          <w:drawing>
            <wp:anchor distT="4294967294" distB="4294967294" distL="114300" distR="114300" simplePos="0" relativeHeight="251657216" behindDoc="0" locked="0" layoutInCell="0" allowOverlap="1" wp14:anchorId="38D99D22" wp14:editId="0F6DF68C">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r>
      <w:rPr>
        <w:color w:val="FF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1810AD8"/>
    <w:multiLevelType w:val="multilevel"/>
    <w:tmpl w:val="3DF2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541F6B38"/>
    <w:multiLevelType w:val="multilevel"/>
    <w:tmpl w:val="2700A486"/>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rFonts w:cs="Times New Roman"/>
        <w:i w:val="0"/>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8"/>
  </w:num>
  <w:num w:numId="2">
    <w:abstractNumId w:val="0"/>
    <w:lvlOverride w:ilvl="0">
      <w:lvl w:ilvl="0">
        <w:numFmt w:val="bullet"/>
        <w:pStyle w:val="par1"/>
        <w:lvlText w:val=""/>
        <w:legacy w:legacy="1" w:legacySpace="0" w:legacyIndent="360"/>
        <w:lvlJc w:val="left"/>
        <w:rPr>
          <w:rFonts w:ascii="Symbol" w:hAnsi="Symbol" w:hint="default"/>
        </w:rPr>
      </w:lvl>
    </w:lvlOverride>
  </w:num>
  <w:num w:numId="3">
    <w:abstractNumId w:val="7"/>
  </w:num>
  <w:num w:numId="4">
    <w:abstractNumId w:val="9"/>
  </w:num>
  <w:num w:numId="5">
    <w:abstractNumId w:val="4"/>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3"/>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02"/>
    <w:rsid w:val="000036FB"/>
    <w:rsid w:val="00004596"/>
    <w:rsid w:val="00004A5C"/>
    <w:rsid w:val="0000695A"/>
    <w:rsid w:val="00006E9D"/>
    <w:rsid w:val="00007B9A"/>
    <w:rsid w:val="000102F2"/>
    <w:rsid w:val="00010D06"/>
    <w:rsid w:val="0001152B"/>
    <w:rsid w:val="000133A3"/>
    <w:rsid w:val="0001482D"/>
    <w:rsid w:val="00015403"/>
    <w:rsid w:val="00016040"/>
    <w:rsid w:val="0001649C"/>
    <w:rsid w:val="00017883"/>
    <w:rsid w:val="00020583"/>
    <w:rsid w:val="000206A6"/>
    <w:rsid w:val="0002086D"/>
    <w:rsid w:val="00025314"/>
    <w:rsid w:val="00025373"/>
    <w:rsid w:val="000265F6"/>
    <w:rsid w:val="00026BE0"/>
    <w:rsid w:val="00026E4F"/>
    <w:rsid w:val="000278AF"/>
    <w:rsid w:val="00030087"/>
    <w:rsid w:val="0003133F"/>
    <w:rsid w:val="00032CC3"/>
    <w:rsid w:val="00034430"/>
    <w:rsid w:val="00040384"/>
    <w:rsid w:val="00041223"/>
    <w:rsid w:val="0004249C"/>
    <w:rsid w:val="00044911"/>
    <w:rsid w:val="000457E8"/>
    <w:rsid w:val="00046F70"/>
    <w:rsid w:val="0005055C"/>
    <w:rsid w:val="00050B6C"/>
    <w:rsid w:val="00051D75"/>
    <w:rsid w:val="00053C3A"/>
    <w:rsid w:val="00056461"/>
    <w:rsid w:val="0005647B"/>
    <w:rsid w:val="00060DC8"/>
    <w:rsid w:val="0006136B"/>
    <w:rsid w:val="00061F1F"/>
    <w:rsid w:val="00062B52"/>
    <w:rsid w:val="000636AA"/>
    <w:rsid w:val="0006383B"/>
    <w:rsid w:val="00064B13"/>
    <w:rsid w:val="000669F9"/>
    <w:rsid w:val="00067AF5"/>
    <w:rsid w:val="00071008"/>
    <w:rsid w:val="000729EF"/>
    <w:rsid w:val="0007348B"/>
    <w:rsid w:val="00075222"/>
    <w:rsid w:val="000755C4"/>
    <w:rsid w:val="00075C59"/>
    <w:rsid w:val="0008025E"/>
    <w:rsid w:val="00082848"/>
    <w:rsid w:val="000837E6"/>
    <w:rsid w:val="00083D5B"/>
    <w:rsid w:val="0008404C"/>
    <w:rsid w:val="000843B8"/>
    <w:rsid w:val="00085300"/>
    <w:rsid w:val="00085697"/>
    <w:rsid w:val="00085A34"/>
    <w:rsid w:val="000863E5"/>
    <w:rsid w:val="0008690E"/>
    <w:rsid w:val="00092559"/>
    <w:rsid w:val="00092BE9"/>
    <w:rsid w:val="00094C61"/>
    <w:rsid w:val="000963E1"/>
    <w:rsid w:val="000979AC"/>
    <w:rsid w:val="000A03FC"/>
    <w:rsid w:val="000A21E0"/>
    <w:rsid w:val="000A280F"/>
    <w:rsid w:val="000A2BBB"/>
    <w:rsid w:val="000A6994"/>
    <w:rsid w:val="000A6E68"/>
    <w:rsid w:val="000A7A92"/>
    <w:rsid w:val="000B495C"/>
    <w:rsid w:val="000B527D"/>
    <w:rsid w:val="000B5AC0"/>
    <w:rsid w:val="000B71A1"/>
    <w:rsid w:val="000B746F"/>
    <w:rsid w:val="000C0634"/>
    <w:rsid w:val="000C2B65"/>
    <w:rsid w:val="000C42F6"/>
    <w:rsid w:val="000C49F9"/>
    <w:rsid w:val="000C4BC4"/>
    <w:rsid w:val="000C504E"/>
    <w:rsid w:val="000C6C22"/>
    <w:rsid w:val="000D035F"/>
    <w:rsid w:val="000E043C"/>
    <w:rsid w:val="000E0DBC"/>
    <w:rsid w:val="000E1498"/>
    <w:rsid w:val="000E260E"/>
    <w:rsid w:val="000E282B"/>
    <w:rsid w:val="000E284E"/>
    <w:rsid w:val="000E3629"/>
    <w:rsid w:val="000E4270"/>
    <w:rsid w:val="000E66F3"/>
    <w:rsid w:val="000E6D83"/>
    <w:rsid w:val="000E7E1C"/>
    <w:rsid w:val="000F07C1"/>
    <w:rsid w:val="000F1308"/>
    <w:rsid w:val="000F1A1D"/>
    <w:rsid w:val="000F27A4"/>
    <w:rsid w:val="000F3719"/>
    <w:rsid w:val="000F3F5B"/>
    <w:rsid w:val="000F3FEB"/>
    <w:rsid w:val="000F477F"/>
    <w:rsid w:val="000F478E"/>
    <w:rsid w:val="000F518B"/>
    <w:rsid w:val="000F534D"/>
    <w:rsid w:val="000F6D68"/>
    <w:rsid w:val="0010030E"/>
    <w:rsid w:val="00100644"/>
    <w:rsid w:val="0010078B"/>
    <w:rsid w:val="00102872"/>
    <w:rsid w:val="001029EE"/>
    <w:rsid w:val="00102CA6"/>
    <w:rsid w:val="00102D16"/>
    <w:rsid w:val="00104419"/>
    <w:rsid w:val="00104AFA"/>
    <w:rsid w:val="001063E3"/>
    <w:rsid w:val="001103BA"/>
    <w:rsid w:val="001121F7"/>
    <w:rsid w:val="001129BA"/>
    <w:rsid w:val="001132E1"/>
    <w:rsid w:val="001141A0"/>
    <w:rsid w:val="00115D70"/>
    <w:rsid w:val="0011619E"/>
    <w:rsid w:val="0012287A"/>
    <w:rsid w:val="00123778"/>
    <w:rsid w:val="0012593A"/>
    <w:rsid w:val="00126F1B"/>
    <w:rsid w:val="00130867"/>
    <w:rsid w:val="00130B2B"/>
    <w:rsid w:val="00132C1E"/>
    <w:rsid w:val="001345C2"/>
    <w:rsid w:val="00135599"/>
    <w:rsid w:val="00136808"/>
    <w:rsid w:val="00136CF7"/>
    <w:rsid w:val="0014084C"/>
    <w:rsid w:val="00140894"/>
    <w:rsid w:val="00141A55"/>
    <w:rsid w:val="00143E11"/>
    <w:rsid w:val="001443FC"/>
    <w:rsid w:val="00145E91"/>
    <w:rsid w:val="001474AD"/>
    <w:rsid w:val="00151806"/>
    <w:rsid w:val="00152769"/>
    <w:rsid w:val="001528AB"/>
    <w:rsid w:val="0015381D"/>
    <w:rsid w:val="00154A42"/>
    <w:rsid w:val="001558E8"/>
    <w:rsid w:val="00156975"/>
    <w:rsid w:val="00157451"/>
    <w:rsid w:val="00160E46"/>
    <w:rsid w:val="00160E66"/>
    <w:rsid w:val="00161E43"/>
    <w:rsid w:val="001621A4"/>
    <w:rsid w:val="0016269F"/>
    <w:rsid w:val="001643D8"/>
    <w:rsid w:val="00164A09"/>
    <w:rsid w:val="00166959"/>
    <w:rsid w:val="00167261"/>
    <w:rsid w:val="00173569"/>
    <w:rsid w:val="00173B98"/>
    <w:rsid w:val="00181816"/>
    <w:rsid w:val="00182036"/>
    <w:rsid w:val="00182F2D"/>
    <w:rsid w:val="001850ED"/>
    <w:rsid w:val="001851F6"/>
    <w:rsid w:val="001855CC"/>
    <w:rsid w:val="001859D6"/>
    <w:rsid w:val="00186E8D"/>
    <w:rsid w:val="00190812"/>
    <w:rsid w:val="00190D78"/>
    <w:rsid w:val="00191913"/>
    <w:rsid w:val="001920F8"/>
    <w:rsid w:val="00192BD7"/>
    <w:rsid w:val="00192EFE"/>
    <w:rsid w:val="00196A98"/>
    <w:rsid w:val="00196C66"/>
    <w:rsid w:val="001A0D24"/>
    <w:rsid w:val="001A2854"/>
    <w:rsid w:val="001A36C6"/>
    <w:rsid w:val="001A5302"/>
    <w:rsid w:val="001A56A8"/>
    <w:rsid w:val="001A5B9C"/>
    <w:rsid w:val="001A6356"/>
    <w:rsid w:val="001A6C21"/>
    <w:rsid w:val="001B0BA9"/>
    <w:rsid w:val="001B12FF"/>
    <w:rsid w:val="001B1D54"/>
    <w:rsid w:val="001B2A02"/>
    <w:rsid w:val="001B451C"/>
    <w:rsid w:val="001B5708"/>
    <w:rsid w:val="001B5B3D"/>
    <w:rsid w:val="001B65F8"/>
    <w:rsid w:val="001C14F2"/>
    <w:rsid w:val="001C2C7F"/>
    <w:rsid w:val="001C30A4"/>
    <w:rsid w:val="001C5155"/>
    <w:rsid w:val="001C5BC3"/>
    <w:rsid w:val="001C663B"/>
    <w:rsid w:val="001D1060"/>
    <w:rsid w:val="001D207C"/>
    <w:rsid w:val="001D219D"/>
    <w:rsid w:val="001D23FF"/>
    <w:rsid w:val="001D2AEC"/>
    <w:rsid w:val="001D2C81"/>
    <w:rsid w:val="001D36A2"/>
    <w:rsid w:val="001D39B6"/>
    <w:rsid w:val="001D5F36"/>
    <w:rsid w:val="001D5F6D"/>
    <w:rsid w:val="001D6B32"/>
    <w:rsid w:val="001E225F"/>
    <w:rsid w:val="001E34F0"/>
    <w:rsid w:val="001F12E4"/>
    <w:rsid w:val="001F1687"/>
    <w:rsid w:val="001F4903"/>
    <w:rsid w:val="001F4E98"/>
    <w:rsid w:val="001F543B"/>
    <w:rsid w:val="001F5FA4"/>
    <w:rsid w:val="00200DBB"/>
    <w:rsid w:val="00205610"/>
    <w:rsid w:val="00205DE6"/>
    <w:rsid w:val="002066E2"/>
    <w:rsid w:val="002102A4"/>
    <w:rsid w:val="002105EE"/>
    <w:rsid w:val="00210DC2"/>
    <w:rsid w:val="0021210C"/>
    <w:rsid w:val="00213549"/>
    <w:rsid w:val="00213EC1"/>
    <w:rsid w:val="00215CE3"/>
    <w:rsid w:val="002160B7"/>
    <w:rsid w:val="002168C3"/>
    <w:rsid w:val="00216C46"/>
    <w:rsid w:val="002175B0"/>
    <w:rsid w:val="0021762C"/>
    <w:rsid w:val="00217650"/>
    <w:rsid w:val="002179E4"/>
    <w:rsid w:val="002203E5"/>
    <w:rsid w:val="002205F2"/>
    <w:rsid w:val="00221507"/>
    <w:rsid w:val="00221B8F"/>
    <w:rsid w:val="00221BA9"/>
    <w:rsid w:val="00221CF4"/>
    <w:rsid w:val="00222B1D"/>
    <w:rsid w:val="002232B6"/>
    <w:rsid w:val="0022374B"/>
    <w:rsid w:val="00223B44"/>
    <w:rsid w:val="002304AF"/>
    <w:rsid w:val="0023084E"/>
    <w:rsid w:val="002314A2"/>
    <w:rsid w:val="00233D9D"/>
    <w:rsid w:val="002363B3"/>
    <w:rsid w:val="00236587"/>
    <w:rsid w:val="0023704E"/>
    <w:rsid w:val="002378FA"/>
    <w:rsid w:val="00237C22"/>
    <w:rsid w:val="00240CE2"/>
    <w:rsid w:val="00240D6E"/>
    <w:rsid w:val="00240E96"/>
    <w:rsid w:val="00240F1A"/>
    <w:rsid w:val="0024193E"/>
    <w:rsid w:val="00241AC2"/>
    <w:rsid w:val="00241EC6"/>
    <w:rsid w:val="002430D9"/>
    <w:rsid w:val="00244EC8"/>
    <w:rsid w:val="00245225"/>
    <w:rsid w:val="00250196"/>
    <w:rsid w:val="00251198"/>
    <w:rsid w:val="00253302"/>
    <w:rsid w:val="00254CF7"/>
    <w:rsid w:val="002575B9"/>
    <w:rsid w:val="00257C81"/>
    <w:rsid w:val="00264A99"/>
    <w:rsid w:val="002650C6"/>
    <w:rsid w:val="00265E82"/>
    <w:rsid w:val="002663CE"/>
    <w:rsid w:val="00267498"/>
    <w:rsid w:val="00271C1B"/>
    <w:rsid w:val="00272930"/>
    <w:rsid w:val="00273F8D"/>
    <w:rsid w:val="0027407E"/>
    <w:rsid w:val="002823D7"/>
    <w:rsid w:val="0028364D"/>
    <w:rsid w:val="00284D9F"/>
    <w:rsid w:val="00285A02"/>
    <w:rsid w:val="002863A5"/>
    <w:rsid w:val="00287AB0"/>
    <w:rsid w:val="00290ED0"/>
    <w:rsid w:val="00291024"/>
    <w:rsid w:val="00291984"/>
    <w:rsid w:val="00291CF6"/>
    <w:rsid w:val="00291E29"/>
    <w:rsid w:val="00292BCC"/>
    <w:rsid w:val="002932F0"/>
    <w:rsid w:val="002934B5"/>
    <w:rsid w:val="00294319"/>
    <w:rsid w:val="00295279"/>
    <w:rsid w:val="00296FB4"/>
    <w:rsid w:val="002974FE"/>
    <w:rsid w:val="002A0F0B"/>
    <w:rsid w:val="002A15AA"/>
    <w:rsid w:val="002A18FE"/>
    <w:rsid w:val="002A322B"/>
    <w:rsid w:val="002A49DA"/>
    <w:rsid w:val="002A537D"/>
    <w:rsid w:val="002A5609"/>
    <w:rsid w:val="002A688C"/>
    <w:rsid w:val="002A7D6A"/>
    <w:rsid w:val="002B12B6"/>
    <w:rsid w:val="002B18CF"/>
    <w:rsid w:val="002B2CD3"/>
    <w:rsid w:val="002B5A92"/>
    <w:rsid w:val="002B65DE"/>
    <w:rsid w:val="002B759F"/>
    <w:rsid w:val="002B76E1"/>
    <w:rsid w:val="002C0FB8"/>
    <w:rsid w:val="002C1B18"/>
    <w:rsid w:val="002C2394"/>
    <w:rsid w:val="002C3394"/>
    <w:rsid w:val="002C4229"/>
    <w:rsid w:val="002C5ED6"/>
    <w:rsid w:val="002C765D"/>
    <w:rsid w:val="002C7BEC"/>
    <w:rsid w:val="002D0751"/>
    <w:rsid w:val="002D27DC"/>
    <w:rsid w:val="002D2CDA"/>
    <w:rsid w:val="002D497F"/>
    <w:rsid w:val="002D4C59"/>
    <w:rsid w:val="002D54B3"/>
    <w:rsid w:val="002D655A"/>
    <w:rsid w:val="002D6778"/>
    <w:rsid w:val="002E053C"/>
    <w:rsid w:val="002E0CA5"/>
    <w:rsid w:val="002E4651"/>
    <w:rsid w:val="002E4A7E"/>
    <w:rsid w:val="002E51F6"/>
    <w:rsid w:val="002F08A4"/>
    <w:rsid w:val="002F0E95"/>
    <w:rsid w:val="002F1534"/>
    <w:rsid w:val="002F1FC8"/>
    <w:rsid w:val="002F3481"/>
    <w:rsid w:val="002F4289"/>
    <w:rsid w:val="002F42C3"/>
    <w:rsid w:val="002F43AC"/>
    <w:rsid w:val="002F57F8"/>
    <w:rsid w:val="002F7834"/>
    <w:rsid w:val="002F7A44"/>
    <w:rsid w:val="002F7A53"/>
    <w:rsid w:val="003016A2"/>
    <w:rsid w:val="00301A0F"/>
    <w:rsid w:val="00301AC6"/>
    <w:rsid w:val="003029EC"/>
    <w:rsid w:val="00302A31"/>
    <w:rsid w:val="003066D0"/>
    <w:rsid w:val="0030738C"/>
    <w:rsid w:val="00310469"/>
    <w:rsid w:val="003122AE"/>
    <w:rsid w:val="003143D6"/>
    <w:rsid w:val="003143E4"/>
    <w:rsid w:val="00314B6E"/>
    <w:rsid w:val="00315BC0"/>
    <w:rsid w:val="00317024"/>
    <w:rsid w:val="00320C37"/>
    <w:rsid w:val="00321766"/>
    <w:rsid w:val="003228D1"/>
    <w:rsid w:val="00323200"/>
    <w:rsid w:val="0032374A"/>
    <w:rsid w:val="0032545B"/>
    <w:rsid w:val="00325C73"/>
    <w:rsid w:val="003272D8"/>
    <w:rsid w:val="00330472"/>
    <w:rsid w:val="0033158E"/>
    <w:rsid w:val="00332623"/>
    <w:rsid w:val="00333978"/>
    <w:rsid w:val="003342EE"/>
    <w:rsid w:val="003348FE"/>
    <w:rsid w:val="003353E6"/>
    <w:rsid w:val="00336E1B"/>
    <w:rsid w:val="0033724D"/>
    <w:rsid w:val="00337D87"/>
    <w:rsid w:val="00342EC3"/>
    <w:rsid w:val="00343724"/>
    <w:rsid w:val="00346760"/>
    <w:rsid w:val="0034784D"/>
    <w:rsid w:val="00350C76"/>
    <w:rsid w:val="0035215F"/>
    <w:rsid w:val="00352E5A"/>
    <w:rsid w:val="00360D82"/>
    <w:rsid w:val="00362C30"/>
    <w:rsid w:val="00364CF5"/>
    <w:rsid w:val="00365999"/>
    <w:rsid w:val="00366279"/>
    <w:rsid w:val="00366BFA"/>
    <w:rsid w:val="003677F9"/>
    <w:rsid w:val="00373089"/>
    <w:rsid w:val="003736B8"/>
    <w:rsid w:val="003744B1"/>
    <w:rsid w:val="00375620"/>
    <w:rsid w:val="00375CBD"/>
    <w:rsid w:val="00380182"/>
    <w:rsid w:val="0038050E"/>
    <w:rsid w:val="003811B1"/>
    <w:rsid w:val="00381CF5"/>
    <w:rsid w:val="003828CA"/>
    <w:rsid w:val="00384409"/>
    <w:rsid w:val="003870C1"/>
    <w:rsid w:val="003875CD"/>
    <w:rsid w:val="003911BA"/>
    <w:rsid w:val="003911D0"/>
    <w:rsid w:val="00393B46"/>
    <w:rsid w:val="00394F4A"/>
    <w:rsid w:val="00395FDD"/>
    <w:rsid w:val="00396D0B"/>
    <w:rsid w:val="003A197C"/>
    <w:rsid w:val="003A23A3"/>
    <w:rsid w:val="003A500F"/>
    <w:rsid w:val="003A5A4A"/>
    <w:rsid w:val="003A6AA5"/>
    <w:rsid w:val="003A6BEE"/>
    <w:rsid w:val="003A7EEE"/>
    <w:rsid w:val="003B0F66"/>
    <w:rsid w:val="003B19D4"/>
    <w:rsid w:val="003B1D86"/>
    <w:rsid w:val="003B280A"/>
    <w:rsid w:val="003B3922"/>
    <w:rsid w:val="003B4184"/>
    <w:rsid w:val="003B46A1"/>
    <w:rsid w:val="003B479F"/>
    <w:rsid w:val="003B47B8"/>
    <w:rsid w:val="003B7E2E"/>
    <w:rsid w:val="003B7E30"/>
    <w:rsid w:val="003C1C17"/>
    <w:rsid w:val="003C23A8"/>
    <w:rsid w:val="003C2770"/>
    <w:rsid w:val="003C2EE4"/>
    <w:rsid w:val="003C4592"/>
    <w:rsid w:val="003C6DE4"/>
    <w:rsid w:val="003C6DF2"/>
    <w:rsid w:val="003D0458"/>
    <w:rsid w:val="003D1536"/>
    <w:rsid w:val="003D27FA"/>
    <w:rsid w:val="003D2EAB"/>
    <w:rsid w:val="003D2F80"/>
    <w:rsid w:val="003D33A3"/>
    <w:rsid w:val="003D3DA2"/>
    <w:rsid w:val="003D43CD"/>
    <w:rsid w:val="003D4C28"/>
    <w:rsid w:val="003D562E"/>
    <w:rsid w:val="003D64BA"/>
    <w:rsid w:val="003D7AEF"/>
    <w:rsid w:val="003E106D"/>
    <w:rsid w:val="003E1A13"/>
    <w:rsid w:val="003E22E8"/>
    <w:rsid w:val="003E7198"/>
    <w:rsid w:val="003F46F9"/>
    <w:rsid w:val="003F5322"/>
    <w:rsid w:val="003F5ED3"/>
    <w:rsid w:val="003F77D7"/>
    <w:rsid w:val="003F7E08"/>
    <w:rsid w:val="00402D2F"/>
    <w:rsid w:val="0040307A"/>
    <w:rsid w:val="004032F4"/>
    <w:rsid w:val="00405F59"/>
    <w:rsid w:val="00406B7A"/>
    <w:rsid w:val="004118FA"/>
    <w:rsid w:val="00411B65"/>
    <w:rsid w:val="00414A86"/>
    <w:rsid w:val="0041652E"/>
    <w:rsid w:val="004166D5"/>
    <w:rsid w:val="00417832"/>
    <w:rsid w:val="00417944"/>
    <w:rsid w:val="00417B24"/>
    <w:rsid w:val="0042182B"/>
    <w:rsid w:val="00421AD6"/>
    <w:rsid w:val="004240D4"/>
    <w:rsid w:val="00424C92"/>
    <w:rsid w:val="00425DA7"/>
    <w:rsid w:val="00427E87"/>
    <w:rsid w:val="004310F9"/>
    <w:rsid w:val="00431101"/>
    <w:rsid w:val="00431AFB"/>
    <w:rsid w:val="004324EB"/>
    <w:rsid w:val="00432F9E"/>
    <w:rsid w:val="004334A4"/>
    <w:rsid w:val="0043602F"/>
    <w:rsid w:val="004362FF"/>
    <w:rsid w:val="0043724F"/>
    <w:rsid w:val="004403A8"/>
    <w:rsid w:val="00443027"/>
    <w:rsid w:val="00444964"/>
    <w:rsid w:val="004449F9"/>
    <w:rsid w:val="00445561"/>
    <w:rsid w:val="00446AB2"/>
    <w:rsid w:val="004506E5"/>
    <w:rsid w:val="00450C2F"/>
    <w:rsid w:val="0045172E"/>
    <w:rsid w:val="00452444"/>
    <w:rsid w:val="00452BFA"/>
    <w:rsid w:val="00452C2C"/>
    <w:rsid w:val="004555E7"/>
    <w:rsid w:val="0045755E"/>
    <w:rsid w:val="00460685"/>
    <w:rsid w:val="004637A1"/>
    <w:rsid w:val="00463819"/>
    <w:rsid w:val="00465702"/>
    <w:rsid w:val="004663F7"/>
    <w:rsid w:val="004664D9"/>
    <w:rsid w:val="00467F59"/>
    <w:rsid w:val="004724E1"/>
    <w:rsid w:val="0047296E"/>
    <w:rsid w:val="00472C1C"/>
    <w:rsid w:val="00475ACE"/>
    <w:rsid w:val="00476649"/>
    <w:rsid w:val="00476C15"/>
    <w:rsid w:val="00476F72"/>
    <w:rsid w:val="0047716E"/>
    <w:rsid w:val="00477C6B"/>
    <w:rsid w:val="00481A5E"/>
    <w:rsid w:val="00481B37"/>
    <w:rsid w:val="0048311B"/>
    <w:rsid w:val="004841BB"/>
    <w:rsid w:val="0048430E"/>
    <w:rsid w:val="00484AE1"/>
    <w:rsid w:val="0048507B"/>
    <w:rsid w:val="0048572D"/>
    <w:rsid w:val="00485F7A"/>
    <w:rsid w:val="0049016A"/>
    <w:rsid w:val="004902A9"/>
    <w:rsid w:val="004902E5"/>
    <w:rsid w:val="00492303"/>
    <w:rsid w:val="0049284A"/>
    <w:rsid w:val="0049348B"/>
    <w:rsid w:val="004935FD"/>
    <w:rsid w:val="00493CC0"/>
    <w:rsid w:val="00493DBE"/>
    <w:rsid w:val="004957F7"/>
    <w:rsid w:val="004962AA"/>
    <w:rsid w:val="00496DBF"/>
    <w:rsid w:val="00497E86"/>
    <w:rsid w:val="004A006B"/>
    <w:rsid w:val="004A193B"/>
    <w:rsid w:val="004A193F"/>
    <w:rsid w:val="004A2490"/>
    <w:rsid w:val="004A2FA6"/>
    <w:rsid w:val="004A368D"/>
    <w:rsid w:val="004A6AAF"/>
    <w:rsid w:val="004B0F0F"/>
    <w:rsid w:val="004B13E8"/>
    <w:rsid w:val="004B1461"/>
    <w:rsid w:val="004B15D2"/>
    <w:rsid w:val="004B1722"/>
    <w:rsid w:val="004B29C9"/>
    <w:rsid w:val="004B32C2"/>
    <w:rsid w:val="004B3A72"/>
    <w:rsid w:val="004B4006"/>
    <w:rsid w:val="004B45D4"/>
    <w:rsid w:val="004B4A43"/>
    <w:rsid w:val="004B4EAE"/>
    <w:rsid w:val="004B5025"/>
    <w:rsid w:val="004B653F"/>
    <w:rsid w:val="004C01E7"/>
    <w:rsid w:val="004C18FF"/>
    <w:rsid w:val="004C1C32"/>
    <w:rsid w:val="004C2392"/>
    <w:rsid w:val="004C6281"/>
    <w:rsid w:val="004D0D31"/>
    <w:rsid w:val="004D1462"/>
    <w:rsid w:val="004D27AE"/>
    <w:rsid w:val="004D2CDF"/>
    <w:rsid w:val="004D32B7"/>
    <w:rsid w:val="004D6568"/>
    <w:rsid w:val="004D6985"/>
    <w:rsid w:val="004D7069"/>
    <w:rsid w:val="004E0390"/>
    <w:rsid w:val="004E0C03"/>
    <w:rsid w:val="004E1678"/>
    <w:rsid w:val="004E29BA"/>
    <w:rsid w:val="004E3208"/>
    <w:rsid w:val="004E32C4"/>
    <w:rsid w:val="004E3629"/>
    <w:rsid w:val="004E58F3"/>
    <w:rsid w:val="004E63F9"/>
    <w:rsid w:val="004E6A76"/>
    <w:rsid w:val="004E7160"/>
    <w:rsid w:val="004E7C1F"/>
    <w:rsid w:val="004F0AC7"/>
    <w:rsid w:val="004F1693"/>
    <w:rsid w:val="004F1A52"/>
    <w:rsid w:val="004F1A95"/>
    <w:rsid w:val="004F6801"/>
    <w:rsid w:val="004F77E1"/>
    <w:rsid w:val="00501397"/>
    <w:rsid w:val="005016D3"/>
    <w:rsid w:val="005049CA"/>
    <w:rsid w:val="00504AE7"/>
    <w:rsid w:val="005051D2"/>
    <w:rsid w:val="00510A18"/>
    <w:rsid w:val="005116B0"/>
    <w:rsid w:val="005144D2"/>
    <w:rsid w:val="005168EB"/>
    <w:rsid w:val="00522386"/>
    <w:rsid w:val="00523BB4"/>
    <w:rsid w:val="005246E7"/>
    <w:rsid w:val="00526BE1"/>
    <w:rsid w:val="005302B3"/>
    <w:rsid w:val="00531E57"/>
    <w:rsid w:val="005328F3"/>
    <w:rsid w:val="0053298A"/>
    <w:rsid w:val="00532B60"/>
    <w:rsid w:val="00534AC7"/>
    <w:rsid w:val="00535789"/>
    <w:rsid w:val="00535865"/>
    <w:rsid w:val="00535E5A"/>
    <w:rsid w:val="00536098"/>
    <w:rsid w:val="005371C6"/>
    <w:rsid w:val="005376C3"/>
    <w:rsid w:val="005406E2"/>
    <w:rsid w:val="00542A87"/>
    <w:rsid w:val="0054330B"/>
    <w:rsid w:val="0054331B"/>
    <w:rsid w:val="005463B4"/>
    <w:rsid w:val="005469B6"/>
    <w:rsid w:val="00547E15"/>
    <w:rsid w:val="00550D00"/>
    <w:rsid w:val="005514E0"/>
    <w:rsid w:val="005529A0"/>
    <w:rsid w:val="00554E7D"/>
    <w:rsid w:val="00556082"/>
    <w:rsid w:val="00556B32"/>
    <w:rsid w:val="0055718F"/>
    <w:rsid w:val="00562010"/>
    <w:rsid w:val="0056203F"/>
    <w:rsid w:val="005629E0"/>
    <w:rsid w:val="00564BE2"/>
    <w:rsid w:val="005650BB"/>
    <w:rsid w:val="005676CF"/>
    <w:rsid w:val="00567883"/>
    <w:rsid w:val="00567BA6"/>
    <w:rsid w:val="00567BEC"/>
    <w:rsid w:val="00567CBF"/>
    <w:rsid w:val="0057039E"/>
    <w:rsid w:val="00570609"/>
    <w:rsid w:val="00570D77"/>
    <w:rsid w:val="00571C7E"/>
    <w:rsid w:val="00572588"/>
    <w:rsid w:val="00572787"/>
    <w:rsid w:val="00574C84"/>
    <w:rsid w:val="00576702"/>
    <w:rsid w:val="00577A51"/>
    <w:rsid w:val="00580CFF"/>
    <w:rsid w:val="00583A06"/>
    <w:rsid w:val="00583DF9"/>
    <w:rsid w:val="00583F7F"/>
    <w:rsid w:val="005843E9"/>
    <w:rsid w:val="00586CA0"/>
    <w:rsid w:val="00590432"/>
    <w:rsid w:val="0059121D"/>
    <w:rsid w:val="00591597"/>
    <w:rsid w:val="00592CE9"/>
    <w:rsid w:val="005930A3"/>
    <w:rsid w:val="00593887"/>
    <w:rsid w:val="0059540A"/>
    <w:rsid w:val="005A091E"/>
    <w:rsid w:val="005A144F"/>
    <w:rsid w:val="005A27BB"/>
    <w:rsid w:val="005A5349"/>
    <w:rsid w:val="005A7337"/>
    <w:rsid w:val="005A7B9E"/>
    <w:rsid w:val="005B04C2"/>
    <w:rsid w:val="005B2E40"/>
    <w:rsid w:val="005B3A72"/>
    <w:rsid w:val="005B5D12"/>
    <w:rsid w:val="005C1074"/>
    <w:rsid w:val="005C2B52"/>
    <w:rsid w:val="005C4D25"/>
    <w:rsid w:val="005C4E81"/>
    <w:rsid w:val="005C5825"/>
    <w:rsid w:val="005C5F3C"/>
    <w:rsid w:val="005C6837"/>
    <w:rsid w:val="005C6996"/>
    <w:rsid w:val="005C72EC"/>
    <w:rsid w:val="005C7316"/>
    <w:rsid w:val="005C78C8"/>
    <w:rsid w:val="005D03E7"/>
    <w:rsid w:val="005D2440"/>
    <w:rsid w:val="005D2FDD"/>
    <w:rsid w:val="005D38B3"/>
    <w:rsid w:val="005D4617"/>
    <w:rsid w:val="005D4828"/>
    <w:rsid w:val="005D6FAB"/>
    <w:rsid w:val="005E0943"/>
    <w:rsid w:val="005E0AAF"/>
    <w:rsid w:val="005E0FC5"/>
    <w:rsid w:val="005E1FAC"/>
    <w:rsid w:val="005E22A4"/>
    <w:rsid w:val="005E2A7F"/>
    <w:rsid w:val="005E2F3D"/>
    <w:rsid w:val="005E30F4"/>
    <w:rsid w:val="005E5CA0"/>
    <w:rsid w:val="005E5F1D"/>
    <w:rsid w:val="005E700D"/>
    <w:rsid w:val="005F1AC3"/>
    <w:rsid w:val="005F2594"/>
    <w:rsid w:val="005F2D8F"/>
    <w:rsid w:val="00604F6D"/>
    <w:rsid w:val="00605A9E"/>
    <w:rsid w:val="006065C2"/>
    <w:rsid w:val="006066E8"/>
    <w:rsid w:val="00606FC2"/>
    <w:rsid w:val="00610B6F"/>
    <w:rsid w:val="00611967"/>
    <w:rsid w:val="006119F5"/>
    <w:rsid w:val="0061336D"/>
    <w:rsid w:val="00613B98"/>
    <w:rsid w:val="00614B85"/>
    <w:rsid w:val="0062141E"/>
    <w:rsid w:val="00621FAA"/>
    <w:rsid w:val="00622922"/>
    <w:rsid w:val="006229EA"/>
    <w:rsid w:val="0062594C"/>
    <w:rsid w:val="00626262"/>
    <w:rsid w:val="00631AE1"/>
    <w:rsid w:val="00632060"/>
    <w:rsid w:val="006320D7"/>
    <w:rsid w:val="00633DEC"/>
    <w:rsid w:val="0063546C"/>
    <w:rsid w:val="006357D0"/>
    <w:rsid w:val="00635F98"/>
    <w:rsid w:val="00636461"/>
    <w:rsid w:val="00636BD9"/>
    <w:rsid w:val="006375B6"/>
    <w:rsid w:val="00637E0A"/>
    <w:rsid w:val="00640008"/>
    <w:rsid w:val="00641E2D"/>
    <w:rsid w:val="00643EBC"/>
    <w:rsid w:val="00644D8F"/>
    <w:rsid w:val="00645108"/>
    <w:rsid w:val="006506CC"/>
    <w:rsid w:val="0065106D"/>
    <w:rsid w:val="006529A2"/>
    <w:rsid w:val="00655A20"/>
    <w:rsid w:val="0065639E"/>
    <w:rsid w:val="0065678C"/>
    <w:rsid w:val="006567E8"/>
    <w:rsid w:val="00657905"/>
    <w:rsid w:val="0066144C"/>
    <w:rsid w:val="006621CE"/>
    <w:rsid w:val="006647CA"/>
    <w:rsid w:val="00664AB0"/>
    <w:rsid w:val="0066746E"/>
    <w:rsid w:val="00670FCB"/>
    <w:rsid w:val="0067105B"/>
    <w:rsid w:val="00673A0A"/>
    <w:rsid w:val="00674047"/>
    <w:rsid w:val="00674E56"/>
    <w:rsid w:val="00675BA8"/>
    <w:rsid w:val="006764F0"/>
    <w:rsid w:val="00676663"/>
    <w:rsid w:val="00677BF4"/>
    <w:rsid w:val="00680130"/>
    <w:rsid w:val="006811C6"/>
    <w:rsid w:val="0068120C"/>
    <w:rsid w:val="00681A43"/>
    <w:rsid w:val="006832EC"/>
    <w:rsid w:val="00684575"/>
    <w:rsid w:val="00691FB8"/>
    <w:rsid w:val="006945AF"/>
    <w:rsid w:val="00695672"/>
    <w:rsid w:val="006956D6"/>
    <w:rsid w:val="00696AA1"/>
    <w:rsid w:val="00697C0B"/>
    <w:rsid w:val="006A08DC"/>
    <w:rsid w:val="006A0D87"/>
    <w:rsid w:val="006A10CC"/>
    <w:rsid w:val="006A373A"/>
    <w:rsid w:val="006A4BC0"/>
    <w:rsid w:val="006A4FDB"/>
    <w:rsid w:val="006A55A2"/>
    <w:rsid w:val="006A626E"/>
    <w:rsid w:val="006A7FE7"/>
    <w:rsid w:val="006B15F8"/>
    <w:rsid w:val="006B2030"/>
    <w:rsid w:val="006B2CEE"/>
    <w:rsid w:val="006B3BCE"/>
    <w:rsid w:val="006B4D99"/>
    <w:rsid w:val="006B4EF5"/>
    <w:rsid w:val="006B5FF3"/>
    <w:rsid w:val="006C19BF"/>
    <w:rsid w:val="006C29EE"/>
    <w:rsid w:val="006C5BB1"/>
    <w:rsid w:val="006C5E9B"/>
    <w:rsid w:val="006C779E"/>
    <w:rsid w:val="006D1937"/>
    <w:rsid w:val="006D1EE9"/>
    <w:rsid w:val="006D3002"/>
    <w:rsid w:val="006D3656"/>
    <w:rsid w:val="006E23E4"/>
    <w:rsid w:val="006E30A1"/>
    <w:rsid w:val="006E402E"/>
    <w:rsid w:val="006E4091"/>
    <w:rsid w:val="006E44D7"/>
    <w:rsid w:val="006E4DFC"/>
    <w:rsid w:val="006E5864"/>
    <w:rsid w:val="006E67F5"/>
    <w:rsid w:val="006E773B"/>
    <w:rsid w:val="006F1F77"/>
    <w:rsid w:val="006F2556"/>
    <w:rsid w:val="006F2F05"/>
    <w:rsid w:val="006F34B3"/>
    <w:rsid w:val="006F4602"/>
    <w:rsid w:val="006F5967"/>
    <w:rsid w:val="0070231B"/>
    <w:rsid w:val="007032C2"/>
    <w:rsid w:val="00705460"/>
    <w:rsid w:val="00707353"/>
    <w:rsid w:val="00707471"/>
    <w:rsid w:val="00707A6C"/>
    <w:rsid w:val="007101C3"/>
    <w:rsid w:val="007102A9"/>
    <w:rsid w:val="007114AA"/>
    <w:rsid w:val="00711A34"/>
    <w:rsid w:val="00714C29"/>
    <w:rsid w:val="00716A78"/>
    <w:rsid w:val="00720EF9"/>
    <w:rsid w:val="007210AF"/>
    <w:rsid w:val="00721128"/>
    <w:rsid w:val="0072153E"/>
    <w:rsid w:val="00722963"/>
    <w:rsid w:val="00725CF7"/>
    <w:rsid w:val="00727C87"/>
    <w:rsid w:val="00730D71"/>
    <w:rsid w:val="00731DF0"/>
    <w:rsid w:val="00731E33"/>
    <w:rsid w:val="00734B78"/>
    <w:rsid w:val="007354E1"/>
    <w:rsid w:val="00735AFD"/>
    <w:rsid w:val="007369ED"/>
    <w:rsid w:val="00741089"/>
    <w:rsid w:val="007422F0"/>
    <w:rsid w:val="00744836"/>
    <w:rsid w:val="00746508"/>
    <w:rsid w:val="00746F9F"/>
    <w:rsid w:val="007478EE"/>
    <w:rsid w:val="00747BF6"/>
    <w:rsid w:val="00752A94"/>
    <w:rsid w:val="0075330B"/>
    <w:rsid w:val="00754999"/>
    <w:rsid w:val="0075503C"/>
    <w:rsid w:val="0075709B"/>
    <w:rsid w:val="00763DF6"/>
    <w:rsid w:val="00767E54"/>
    <w:rsid w:val="007720B9"/>
    <w:rsid w:val="0077284E"/>
    <w:rsid w:val="00772D12"/>
    <w:rsid w:val="00772DB3"/>
    <w:rsid w:val="00774A54"/>
    <w:rsid w:val="00775D21"/>
    <w:rsid w:val="00775F77"/>
    <w:rsid w:val="0077745C"/>
    <w:rsid w:val="007809F0"/>
    <w:rsid w:val="0078243C"/>
    <w:rsid w:val="0078451E"/>
    <w:rsid w:val="0078466F"/>
    <w:rsid w:val="00784BB6"/>
    <w:rsid w:val="00786E33"/>
    <w:rsid w:val="007875A9"/>
    <w:rsid w:val="00792454"/>
    <w:rsid w:val="00796226"/>
    <w:rsid w:val="007972CF"/>
    <w:rsid w:val="007A15E5"/>
    <w:rsid w:val="007A2CEF"/>
    <w:rsid w:val="007A553B"/>
    <w:rsid w:val="007A5E06"/>
    <w:rsid w:val="007A65D5"/>
    <w:rsid w:val="007A768E"/>
    <w:rsid w:val="007A7B54"/>
    <w:rsid w:val="007B2920"/>
    <w:rsid w:val="007B2CCA"/>
    <w:rsid w:val="007B3902"/>
    <w:rsid w:val="007B3948"/>
    <w:rsid w:val="007B4E1D"/>
    <w:rsid w:val="007B4F03"/>
    <w:rsid w:val="007B546B"/>
    <w:rsid w:val="007B791C"/>
    <w:rsid w:val="007B7ACA"/>
    <w:rsid w:val="007C07CC"/>
    <w:rsid w:val="007C11DE"/>
    <w:rsid w:val="007C14B7"/>
    <w:rsid w:val="007C17BE"/>
    <w:rsid w:val="007C234E"/>
    <w:rsid w:val="007C281C"/>
    <w:rsid w:val="007C5E12"/>
    <w:rsid w:val="007C7443"/>
    <w:rsid w:val="007D09AF"/>
    <w:rsid w:val="007D1B37"/>
    <w:rsid w:val="007D21BE"/>
    <w:rsid w:val="007D27AB"/>
    <w:rsid w:val="007D384B"/>
    <w:rsid w:val="007D3E51"/>
    <w:rsid w:val="007D40D1"/>
    <w:rsid w:val="007D6784"/>
    <w:rsid w:val="007E1527"/>
    <w:rsid w:val="007E4228"/>
    <w:rsid w:val="007E5211"/>
    <w:rsid w:val="007E6594"/>
    <w:rsid w:val="007F0FF8"/>
    <w:rsid w:val="007F1BF1"/>
    <w:rsid w:val="007F2014"/>
    <w:rsid w:val="007F28D0"/>
    <w:rsid w:val="007F33FB"/>
    <w:rsid w:val="007F433F"/>
    <w:rsid w:val="007F5A05"/>
    <w:rsid w:val="007F65C0"/>
    <w:rsid w:val="007F693E"/>
    <w:rsid w:val="00800CA0"/>
    <w:rsid w:val="00801620"/>
    <w:rsid w:val="008021EC"/>
    <w:rsid w:val="00802342"/>
    <w:rsid w:val="00802597"/>
    <w:rsid w:val="008043EF"/>
    <w:rsid w:val="0080521F"/>
    <w:rsid w:val="00805411"/>
    <w:rsid w:val="00806279"/>
    <w:rsid w:val="00807BFF"/>
    <w:rsid w:val="00810286"/>
    <w:rsid w:val="00813339"/>
    <w:rsid w:val="008143A1"/>
    <w:rsid w:val="00815B25"/>
    <w:rsid w:val="00817493"/>
    <w:rsid w:val="0082191F"/>
    <w:rsid w:val="0082214E"/>
    <w:rsid w:val="00822C12"/>
    <w:rsid w:val="0082447B"/>
    <w:rsid w:val="00827629"/>
    <w:rsid w:val="0083151B"/>
    <w:rsid w:val="008324F2"/>
    <w:rsid w:val="00834097"/>
    <w:rsid w:val="0083442A"/>
    <w:rsid w:val="00840B18"/>
    <w:rsid w:val="00841323"/>
    <w:rsid w:val="00842249"/>
    <w:rsid w:val="00842AF5"/>
    <w:rsid w:val="008432BA"/>
    <w:rsid w:val="00844F4B"/>
    <w:rsid w:val="008454E2"/>
    <w:rsid w:val="00845A32"/>
    <w:rsid w:val="00846A26"/>
    <w:rsid w:val="0084768A"/>
    <w:rsid w:val="00847927"/>
    <w:rsid w:val="00851FBA"/>
    <w:rsid w:val="008521EC"/>
    <w:rsid w:val="008534B8"/>
    <w:rsid w:val="008543D4"/>
    <w:rsid w:val="00854A24"/>
    <w:rsid w:val="00855656"/>
    <w:rsid w:val="00856BA3"/>
    <w:rsid w:val="00857671"/>
    <w:rsid w:val="00857F17"/>
    <w:rsid w:val="0086001A"/>
    <w:rsid w:val="0086279B"/>
    <w:rsid w:val="008633BC"/>
    <w:rsid w:val="00863947"/>
    <w:rsid w:val="008654F5"/>
    <w:rsid w:val="0087075A"/>
    <w:rsid w:val="0087132C"/>
    <w:rsid w:val="00871F31"/>
    <w:rsid w:val="0087484E"/>
    <w:rsid w:val="00874E9D"/>
    <w:rsid w:val="008756B8"/>
    <w:rsid w:val="0087624C"/>
    <w:rsid w:val="00880FF6"/>
    <w:rsid w:val="00881D64"/>
    <w:rsid w:val="008828F2"/>
    <w:rsid w:val="00884EC4"/>
    <w:rsid w:val="00885DC1"/>
    <w:rsid w:val="00886967"/>
    <w:rsid w:val="00886A5C"/>
    <w:rsid w:val="00887191"/>
    <w:rsid w:val="0088764B"/>
    <w:rsid w:val="008879BD"/>
    <w:rsid w:val="008903D5"/>
    <w:rsid w:val="008919DE"/>
    <w:rsid w:val="008924AB"/>
    <w:rsid w:val="008928F5"/>
    <w:rsid w:val="00893FCC"/>
    <w:rsid w:val="00896119"/>
    <w:rsid w:val="0089634D"/>
    <w:rsid w:val="00897A99"/>
    <w:rsid w:val="00897E9E"/>
    <w:rsid w:val="008A04BA"/>
    <w:rsid w:val="008A1568"/>
    <w:rsid w:val="008A391E"/>
    <w:rsid w:val="008A3DA3"/>
    <w:rsid w:val="008A620A"/>
    <w:rsid w:val="008A6224"/>
    <w:rsid w:val="008A7406"/>
    <w:rsid w:val="008B0162"/>
    <w:rsid w:val="008B0EA9"/>
    <w:rsid w:val="008B10CA"/>
    <w:rsid w:val="008B1D70"/>
    <w:rsid w:val="008B2EED"/>
    <w:rsid w:val="008B336B"/>
    <w:rsid w:val="008B37DA"/>
    <w:rsid w:val="008B5B0E"/>
    <w:rsid w:val="008B5C40"/>
    <w:rsid w:val="008B5FC9"/>
    <w:rsid w:val="008B6BFA"/>
    <w:rsid w:val="008B6C28"/>
    <w:rsid w:val="008B7783"/>
    <w:rsid w:val="008C0606"/>
    <w:rsid w:val="008C0BCA"/>
    <w:rsid w:val="008C4A0E"/>
    <w:rsid w:val="008C6200"/>
    <w:rsid w:val="008C7CAB"/>
    <w:rsid w:val="008D1113"/>
    <w:rsid w:val="008D190E"/>
    <w:rsid w:val="008D1A95"/>
    <w:rsid w:val="008D22CA"/>
    <w:rsid w:val="008D746F"/>
    <w:rsid w:val="008E27C4"/>
    <w:rsid w:val="008E3136"/>
    <w:rsid w:val="008E6481"/>
    <w:rsid w:val="008E6815"/>
    <w:rsid w:val="008F1CE9"/>
    <w:rsid w:val="008F462E"/>
    <w:rsid w:val="008F5321"/>
    <w:rsid w:val="008F6B80"/>
    <w:rsid w:val="008F6BC5"/>
    <w:rsid w:val="008F7C46"/>
    <w:rsid w:val="00900BD0"/>
    <w:rsid w:val="00901250"/>
    <w:rsid w:val="00901478"/>
    <w:rsid w:val="00902957"/>
    <w:rsid w:val="00903A9D"/>
    <w:rsid w:val="0090545B"/>
    <w:rsid w:val="00905E4E"/>
    <w:rsid w:val="009068D5"/>
    <w:rsid w:val="0090718F"/>
    <w:rsid w:val="00911369"/>
    <w:rsid w:val="00913BA0"/>
    <w:rsid w:val="0091437A"/>
    <w:rsid w:val="0091450D"/>
    <w:rsid w:val="0091602B"/>
    <w:rsid w:val="00916C0C"/>
    <w:rsid w:val="00917E69"/>
    <w:rsid w:val="00917ED7"/>
    <w:rsid w:val="00927813"/>
    <w:rsid w:val="00932988"/>
    <w:rsid w:val="00932F87"/>
    <w:rsid w:val="00935267"/>
    <w:rsid w:val="00935F76"/>
    <w:rsid w:val="00936018"/>
    <w:rsid w:val="00937585"/>
    <w:rsid w:val="00937C4F"/>
    <w:rsid w:val="0094037A"/>
    <w:rsid w:val="009411B7"/>
    <w:rsid w:val="00941B8B"/>
    <w:rsid w:val="00945DE8"/>
    <w:rsid w:val="00945FC3"/>
    <w:rsid w:val="009503F2"/>
    <w:rsid w:val="00950C7B"/>
    <w:rsid w:val="00951435"/>
    <w:rsid w:val="00951C91"/>
    <w:rsid w:val="00953149"/>
    <w:rsid w:val="0095373D"/>
    <w:rsid w:val="009545F8"/>
    <w:rsid w:val="00957755"/>
    <w:rsid w:val="00961AEF"/>
    <w:rsid w:val="00961FC7"/>
    <w:rsid w:val="00964465"/>
    <w:rsid w:val="0096588C"/>
    <w:rsid w:val="00965AF4"/>
    <w:rsid w:val="009709FA"/>
    <w:rsid w:val="00970B1B"/>
    <w:rsid w:val="00971278"/>
    <w:rsid w:val="00972007"/>
    <w:rsid w:val="00972C15"/>
    <w:rsid w:val="009734B5"/>
    <w:rsid w:val="00975194"/>
    <w:rsid w:val="00976C6C"/>
    <w:rsid w:val="0097749A"/>
    <w:rsid w:val="009777DB"/>
    <w:rsid w:val="00981E2D"/>
    <w:rsid w:val="0098227E"/>
    <w:rsid w:val="009822A4"/>
    <w:rsid w:val="00983711"/>
    <w:rsid w:val="00983B98"/>
    <w:rsid w:val="0098421F"/>
    <w:rsid w:val="009868A7"/>
    <w:rsid w:val="00990BB6"/>
    <w:rsid w:val="009927C5"/>
    <w:rsid w:val="00992D80"/>
    <w:rsid w:val="009935A5"/>
    <w:rsid w:val="0099411C"/>
    <w:rsid w:val="009945A3"/>
    <w:rsid w:val="009953F1"/>
    <w:rsid w:val="009954AD"/>
    <w:rsid w:val="00995EA9"/>
    <w:rsid w:val="009A0860"/>
    <w:rsid w:val="009A303B"/>
    <w:rsid w:val="009A46C2"/>
    <w:rsid w:val="009A4704"/>
    <w:rsid w:val="009A475D"/>
    <w:rsid w:val="009A56E0"/>
    <w:rsid w:val="009A56E5"/>
    <w:rsid w:val="009A7113"/>
    <w:rsid w:val="009A7B19"/>
    <w:rsid w:val="009B2110"/>
    <w:rsid w:val="009B2227"/>
    <w:rsid w:val="009B2D9A"/>
    <w:rsid w:val="009B3934"/>
    <w:rsid w:val="009B3C97"/>
    <w:rsid w:val="009B4EEE"/>
    <w:rsid w:val="009B5CC2"/>
    <w:rsid w:val="009B6BA5"/>
    <w:rsid w:val="009C0826"/>
    <w:rsid w:val="009C0A58"/>
    <w:rsid w:val="009C130F"/>
    <w:rsid w:val="009C6736"/>
    <w:rsid w:val="009C680B"/>
    <w:rsid w:val="009D2B33"/>
    <w:rsid w:val="009D301F"/>
    <w:rsid w:val="009D369B"/>
    <w:rsid w:val="009D4851"/>
    <w:rsid w:val="009D6F1E"/>
    <w:rsid w:val="009E096D"/>
    <w:rsid w:val="009E1055"/>
    <w:rsid w:val="009E180E"/>
    <w:rsid w:val="009E1C0F"/>
    <w:rsid w:val="009E3770"/>
    <w:rsid w:val="009E3E09"/>
    <w:rsid w:val="009E4600"/>
    <w:rsid w:val="009E6EB7"/>
    <w:rsid w:val="009E7915"/>
    <w:rsid w:val="009E7CC7"/>
    <w:rsid w:val="009F0005"/>
    <w:rsid w:val="009F1AD7"/>
    <w:rsid w:val="009F1D1A"/>
    <w:rsid w:val="009F2286"/>
    <w:rsid w:val="009F228A"/>
    <w:rsid w:val="009F4064"/>
    <w:rsid w:val="009F4203"/>
    <w:rsid w:val="009F4376"/>
    <w:rsid w:val="009F4C88"/>
    <w:rsid w:val="009F5001"/>
    <w:rsid w:val="00A013EB"/>
    <w:rsid w:val="00A02557"/>
    <w:rsid w:val="00A0302C"/>
    <w:rsid w:val="00A03466"/>
    <w:rsid w:val="00A04ABD"/>
    <w:rsid w:val="00A058AB"/>
    <w:rsid w:val="00A05A23"/>
    <w:rsid w:val="00A06D73"/>
    <w:rsid w:val="00A07B9C"/>
    <w:rsid w:val="00A1064D"/>
    <w:rsid w:val="00A1168C"/>
    <w:rsid w:val="00A118DE"/>
    <w:rsid w:val="00A11A9D"/>
    <w:rsid w:val="00A13999"/>
    <w:rsid w:val="00A162E1"/>
    <w:rsid w:val="00A169A3"/>
    <w:rsid w:val="00A177D0"/>
    <w:rsid w:val="00A20135"/>
    <w:rsid w:val="00A20D29"/>
    <w:rsid w:val="00A2259A"/>
    <w:rsid w:val="00A24290"/>
    <w:rsid w:val="00A24499"/>
    <w:rsid w:val="00A247E6"/>
    <w:rsid w:val="00A252E6"/>
    <w:rsid w:val="00A25650"/>
    <w:rsid w:val="00A257E6"/>
    <w:rsid w:val="00A27EB9"/>
    <w:rsid w:val="00A27EC9"/>
    <w:rsid w:val="00A31FC6"/>
    <w:rsid w:val="00A33508"/>
    <w:rsid w:val="00A37956"/>
    <w:rsid w:val="00A4152F"/>
    <w:rsid w:val="00A43838"/>
    <w:rsid w:val="00A438EB"/>
    <w:rsid w:val="00A44009"/>
    <w:rsid w:val="00A442BE"/>
    <w:rsid w:val="00A44B22"/>
    <w:rsid w:val="00A4622F"/>
    <w:rsid w:val="00A50C1D"/>
    <w:rsid w:val="00A53AFF"/>
    <w:rsid w:val="00A5409E"/>
    <w:rsid w:val="00A541A8"/>
    <w:rsid w:val="00A5447D"/>
    <w:rsid w:val="00A54FEF"/>
    <w:rsid w:val="00A56648"/>
    <w:rsid w:val="00A57EAD"/>
    <w:rsid w:val="00A61D1C"/>
    <w:rsid w:val="00A628D6"/>
    <w:rsid w:val="00A72841"/>
    <w:rsid w:val="00A72A04"/>
    <w:rsid w:val="00A731AC"/>
    <w:rsid w:val="00A73C91"/>
    <w:rsid w:val="00A73F81"/>
    <w:rsid w:val="00A74C92"/>
    <w:rsid w:val="00A76020"/>
    <w:rsid w:val="00A761BB"/>
    <w:rsid w:val="00A762DF"/>
    <w:rsid w:val="00A80C17"/>
    <w:rsid w:val="00A80C1D"/>
    <w:rsid w:val="00A821F3"/>
    <w:rsid w:val="00A824F1"/>
    <w:rsid w:val="00A829E3"/>
    <w:rsid w:val="00A82FA7"/>
    <w:rsid w:val="00A83FD5"/>
    <w:rsid w:val="00A84A19"/>
    <w:rsid w:val="00A8518F"/>
    <w:rsid w:val="00A870F5"/>
    <w:rsid w:val="00A87253"/>
    <w:rsid w:val="00A90B76"/>
    <w:rsid w:val="00A9223A"/>
    <w:rsid w:val="00A94142"/>
    <w:rsid w:val="00A94733"/>
    <w:rsid w:val="00A95496"/>
    <w:rsid w:val="00A9571E"/>
    <w:rsid w:val="00AA2DF4"/>
    <w:rsid w:val="00AA49B1"/>
    <w:rsid w:val="00AA4ECC"/>
    <w:rsid w:val="00AA69CA"/>
    <w:rsid w:val="00AA6DEA"/>
    <w:rsid w:val="00AA7281"/>
    <w:rsid w:val="00AA7F73"/>
    <w:rsid w:val="00AB1420"/>
    <w:rsid w:val="00AB1942"/>
    <w:rsid w:val="00AB23CC"/>
    <w:rsid w:val="00AB24CC"/>
    <w:rsid w:val="00AB4959"/>
    <w:rsid w:val="00AB4A8F"/>
    <w:rsid w:val="00AB565F"/>
    <w:rsid w:val="00AB5949"/>
    <w:rsid w:val="00AB7473"/>
    <w:rsid w:val="00AC0451"/>
    <w:rsid w:val="00AC141F"/>
    <w:rsid w:val="00AC15DD"/>
    <w:rsid w:val="00AC32ED"/>
    <w:rsid w:val="00AC35C7"/>
    <w:rsid w:val="00AC4D5B"/>
    <w:rsid w:val="00AC5F76"/>
    <w:rsid w:val="00AC63D3"/>
    <w:rsid w:val="00AC7B99"/>
    <w:rsid w:val="00AD29C6"/>
    <w:rsid w:val="00AD62B0"/>
    <w:rsid w:val="00AE4074"/>
    <w:rsid w:val="00AE4362"/>
    <w:rsid w:val="00AE5A37"/>
    <w:rsid w:val="00AE6B25"/>
    <w:rsid w:val="00AE7668"/>
    <w:rsid w:val="00AF13AD"/>
    <w:rsid w:val="00AF3023"/>
    <w:rsid w:val="00AF448F"/>
    <w:rsid w:val="00AF69EC"/>
    <w:rsid w:val="00B00187"/>
    <w:rsid w:val="00B008BC"/>
    <w:rsid w:val="00B00E0C"/>
    <w:rsid w:val="00B01E58"/>
    <w:rsid w:val="00B02099"/>
    <w:rsid w:val="00B03607"/>
    <w:rsid w:val="00B04116"/>
    <w:rsid w:val="00B07C5F"/>
    <w:rsid w:val="00B10BB9"/>
    <w:rsid w:val="00B118B0"/>
    <w:rsid w:val="00B124A8"/>
    <w:rsid w:val="00B13147"/>
    <w:rsid w:val="00B13852"/>
    <w:rsid w:val="00B17D08"/>
    <w:rsid w:val="00B20814"/>
    <w:rsid w:val="00B21B09"/>
    <w:rsid w:val="00B225EA"/>
    <w:rsid w:val="00B22D51"/>
    <w:rsid w:val="00B22E3F"/>
    <w:rsid w:val="00B2349B"/>
    <w:rsid w:val="00B30ACE"/>
    <w:rsid w:val="00B30E4C"/>
    <w:rsid w:val="00B33A3F"/>
    <w:rsid w:val="00B34907"/>
    <w:rsid w:val="00B35A3C"/>
    <w:rsid w:val="00B35F9A"/>
    <w:rsid w:val="00B36650"/>
    <w:rsid w:val="00B36D5D"/>
    <w:rsid w:val="00B402BD"/>
    <w:rsid w:val="00B41B54"/>
    <w:rsid w:val="00B43000"/>
    <w:rsid w:val="00B44EDE"/>
    <w:rsid w:val="00B46AF3"/>
    <w:rsid w:val="00B479F0"/>
    <w:rsid w:val="00B51D2E"/>
    <w:rsid w:val="00B54A85"/>
    <w:rsid w:val="00B54B20"/>
    <w:rsid w:val="00B562C3"/>
    <w:rsid w:val="00B56FCC"/>
    <w:rsid w:val="00B57337"/>
    <w:rsid w:val="00B60812"/>
    <w:rsid w:val="00B62DA8"/>
    <w:rsid w:val="00B6748E"/>
    <w:rsid w:val="00B7151F"/>
    <w:rsid w:val="00B76C15"/>
    <w:rsid w:val="00B80004"/>
    <w:rsid w:val="00B81D7E"/>
    <w:rsid w:val="00B83E7D"/>
    <w:rsid w:val="00B83FB1"/>
    <w:rsid w:val="00B854E5"/>
    <w:rsid w:val="00B85D78"/>
    <w:rsid w:val="00B87F0E"/>
    <w:rsid w:val="00B90B57"/>
    <w:rsid w:val="00B928B2"/>
    <w:rsid w:val="00B96613"/>
    <w:rsid w:val="00B96B74"/>
    <w:rsid w:val="00BA1BB3"/>
    <w:rsid w:val="00BA3595"/>
    <w:rsid w:val="00BA47E7"/>
    <w:rsid w:val="00BA4A3D"/>
    <w:rsid w:val="00BA5761"/>
    <w:rsid w:val="00BA58B5"/>
    <w:rsid w:val="00BA6164"/>
    <w:rsid w:val="00BA78A4"/>
    <w:rsid w:val="00BB0930"/>
    <w:rsid w:val="00BB0B31"/>
    <w:rsid w:val="00BB164B"/>
    <w:rsid w:val="00BB1ED3"/>
    <w:rsid w:val="00BB267F"/>
    <w:rsid w:val="00BB3609"/>
    <w:rsid w:val="00BB3635"/>
    <w:rsid w:val="00BB4A0D"/>
    <w:rsid w:val="00BB66D5"/>
    <w:rsid w:val="00BC0368"/>
    <w:rsid w:val="00BC07FC"/>
    <w:rsid w:val="00BC23C7"/>
    <w:rsid w:val="00BC2F79"/>
    <w:rsid w:val="00BC3DED"/>
    <w:rsid w:val="00BC5007"/>
    <w:rsid w:val="00BC51FD"/>
    <w:rsid w:val="00BC5782"/>
    <w:rsid w:val="00BC5C53"/>
    <w:rsid w:val="00BC6404"/>
    <w:rsid w:val="00BC7400"/>
    <w:rsid w:val="00BC7D8F"/>
    <w:rsid w:val="00BD432F"/>
    <w:rsid w:val="00BD487C"/>
    <w:rsid w:val="00BD49C3"/>
    <w:rsid w:val="00BD5F47"/>
    <w:rsid w:val="00BD68A0"/>
    <w:rsid w:val="00BE1F90"/>
    <w:rsid w:val="00BE2211"/>
    <w:rsid w:val="00BE25A9"/>
    <w:rsid w:val="00BE37D7"/>
    <w:rsid w:val="00BE3872"/>
    <w:rsid w:val="00BE4163"/>
    <w:rsid w:val="00BE4C97"/>
    <w:rsid w:val="00BE4D4B"/>
    <w:rsid w:val="00BE7D08"/>
    <w:rsid w:val="00BF1343"/>
    <w:rsid w:val="00BF152A"/>
    <w:rsid w:val="00BF2217"/>
    <w:rsid w:val="00BF2DA6"/>
    <w:rsid w:val="00BF31F3"/>
    <w:rsid w:val="00BF3BA8"/>
    <w:rsid w:val="00BF473F"/>
    <w:rsid w:val="00BF5C89"/>
    <w:rsid w:val="00BF6263"/>
    <w:rsid w:val="00BF6AEC"/>
    <w:rsid w:val="00C01122"/>
    <w:rsid w:val="00C01F60"/>
    <w:rsid w:val="00C02741"/>
    <w:rsid w:val="00C04901"/>
    <w:rsid w:val="00C04FBE"/>
    <w:rsid w:val="00C04FED"/>
    <w:rsid w:val="00C0692C"/>
    <w:rsid w:val="00C07DB1"/>
    <w:rsid w:val="00C108A6"/>
    <w:rsid w:val="00C10AB7"/>
    <w:rsid w:val="00C10E2C"/>
    <w:rsid w:val="00C13034"/>
    <w:rsid w:val="00C13132"/>
    <w:rsid w:val="00C13714"/>
    <w:rsid w:val="00C1382B"/>
    <w:rsid w:val="00C13D4D"/>
    <w:rsid w:val="00C14651"/>
    <w:rsid w:val="00C161AE"/>
    <w:rsid w:val="00C17562"/>
    <w:rsid w:val="00C17693"/>
    <w:rsid w:val="00C21093"/>
    <w:rsid w:val="00C21D0E"/>
    <w:rsid w:val="00C22B4A"/>
    <w:rsid w:val="00C24963"/>
    <w:rsid w:val="00C2574B"/>
    <w:rsid w:val="00C25871"/>
    <w:rsid w:val="00C26EBF"/>
    <w:rsid w:val="00C2796C"/>
    <w:rsid w:val="00C27B43"/>
    <w:rsid w:val="00C31DD4"/>
    <w:rsid w:val="00C32D49"/>
    <w:rsid w:val="00C342F5"/>
    <w:rsid w:val="00C36168"/>
    <w:rsid w:val="00C425C9"/>
    <w:rsid w:val="00C433B9"/>
    <w:rsid w:val="00C43557"/>
    <w:rsid w:val="00C44B3D"/>
    <w:rsid w:val="00C44CB4"/>
    <w:rsid w:val="00C450D6"/>
    <w:rsid w:val="00C455FF"/>
    <w:rsid w:val="00C4653C"/>
    <w:rsid w:val="00C46CBF"/>
    <w:rsid w:val="00C46FBB"/>
    <w:rsid w:val="00C50888"/>
    <w:rsid w:val="00C50E60"/>
    <w:rsid w:val="00C51C44"/>
    <w:rsid w:val="00C52E57"/>
    <w:rsid w:val="00C53265"/>
    <w:rsid w:val="00C533FB"/>
    <w:rsid w:val="00C53580"/>
    <w:rsid w:val="00C549B3"/>
    <w:rsid w:val="00C55CA9"/>
    <w:rsid w:val="00C57D96"/>
    <w:rsid w:val="00C607A9"/>
    <w:rsid w:val="00C61F9D"/>
    <w:rsid w:val="00C64383"/>
    <w:rsid w:val="00C6479D"/>
    <w:rsid w:val="00C67AA5"/>
    <w:rsid w:val="00C70A00"/>
    <w:rsid w:val="00C70F68"/>
    <w:rsid w:val="00C71D10"/>
    <w:rsid w:val="00C721A5"/>
    <w:rsid w:val="00C7531A"/>
    <w:rsid w:val="00C75487"/>
    <w:rsid w:val="00C81039"/>
    <w:rsid w:val="00C81F98"/>
    <w:rsid w:val="00C82B50"/>
    <w:rsid w:val="00C82D77"/>
    <w:rsid w:val="00C836A9"/>
    <w:rsid w:val="00C83E09"/>
    <w:rsid w:val="00C84493"/>
    <w:rsid w:val="00C84702"/>
    <w:rsid w:val="00C86A59"/>
    <w:rsid w:val="00C86DA0"/>
    <w:rsid w:val="00C8738A"/>
    <w:rsid w:val="00C87C77"/>
    <w:rsid w:val="00C904E5"/>
    <w:rsid w:val="00C92FAB"/>
    <w:rsid w:val="00C939A6"/>
    <w:rsid w:val="00C9532E"/>
    <w:rsid w:val="00C95DBD"/>
    <w:rsid w:val="00C97D44"/>
    <w:rsid w:val="00C97E24"/>
    <w:rsid w:val="00CA0ED7"/>
    <w:rsid w:val="00CA1C0C"/>
    <w:rsid w:val="00CA1D6C"/>
    <w:rsid w:val="00CA440D"/>
    <w:rsid w:val="00CA6306"/>
    <w:rsid w:val="00CA63F6"/>
    <w:rsid w:val="00CA7FC5"/>
    <w:rsid w:val="00CB140A"/>
    <w:rsid w:val="00CB3BAA"/>
    <w:rsid w:val="00CB41D6"/>
    <w:rsid w:val="00CB6925"/>
    <w:rsid w:val="00CB6B63"/>
    <w:rsid w:val="00CC2F52"/>
    <w:rsid w:val="00CC3C69"/>
    <w:rsid w:val="00CC3DC7"/>
    <w:rsid w:val="00CC5458"/>
    <w:rsid w:val="00CC7D3C"/>
    <w:rsid w:val="00CC7EF3"/>
    <w:rsid w:val="00CD0864"/>
    <w:rsid w:val="00CD26A1"/>
    <w:rsid w:val="00CD34E2"/>
    <w:rsid w:val="00CD35E1"/>
    <w:rsid w:val="00CD58E6"/>
    <w:rsid w:val="00CD597F"/>
    <w:rsid w:val="00CD6C3A"/>
    <w:rsid w:val="00CE07E3"/>
    <w:rsid w:val="00CE0BCF"/>
    <w:rsid w:val="00CE215A"/>
    <w:rsid w:val="00CE33E4"/>
    <w:rsid w:val="00CE41D2"/>
    <w:rsid w:val="00CE4F6C"/>
    <w:rsid w:val="00CF014D"/>
    <w:rsid w:val="00CF0186"/>
    <w:rsid w:val="00CF36F6"/>
    <w:rsid w:val="00CF3EE3"/>
    <w:rsid w:val="00CF6080"/>
    <w:rsid w:val="00CF6734"/>
    <w:rsid w:val="00CF6CF0"/>
    <w:rsid w:val="00CF7511"/>
    <w:rsid w:val="00CF76B5"/>
    <w:rsid w:val="00D00E22"/>
    <w:rsid w:val="00D0196F"/>
    <w:rsid w:val="00D023A6"/>
    <w:rsid w:val="00D024DB"/>
    <w:rsid w:val="00D027D9"/>
    <w:rsid w:val="00D0315D"/>
    <w:rsid w:val="00D0319B"/>
    <w:rsid w:val="00D04A62"/>
    <w:rsid w:val="00D04B48"/>
    <w:rsid w:val="00D10CF7"/>
    <w:rsid w:val="00D11A60"/>
    <w:rsid w:val="00D120C8"/>
    <w:rsid w:val="00D13C1A"/>
    <w:rsid w:val="00D14545"/>
    <w:rsid w:val="00D1496E"/>
    <w:rsid w:val="00D151C6"/>
    <w:rsid w:val="00D1736F"/>
    <w:rsid w:val="00D17492"/>
    <w:rsid w:val="00D17858"/>
    <w:rsid w:val="00D17F31"/>
    <w:rsid w:val="00D228F6"/>
    <w:rsid w:val="00D22EA6"/>
    <w:rsid w:val="00D23196"/>
    <w:rsid w:val="00D24A35"/>
    <w:rsid w:val="00D24E29"/>
    <w:rsid w:val="00D255E1"/>
    <w:rsid w:val="00D25E80"/>
    <w:rsid w:val="00D27690"/>
    <w:rsid w:val="00D30B37"/>
    <w:rsid w:val="00D342F9"/>
    <w:rsid w:val="00D3572A"/>
    <w:rsid w:val="00D35A07"/>
    <w:rsid w:val="00D421AD"/>
    <w:rsid w:val="00D42FD1"/>
    <w:rsid w:val="00D44A97"/>
    <w:rsid w:val="00D45B56"/>
    <w:rsid w:val="00D47F44"/>
    <w:rsid w:val="00D50196"/>
    <w:rsid w:val="00D51AB0"/>
    <w:rsid w:val="00D51DD0"/>
    <w:rsid w:val="00D520E8"/>
    <w:rsid w:val="00D52BFD"/>
    <w:rsid w:val="00D54C6B"/>
    <w:rsid w:val="00D5660C"/>
    <w:rsid w:val="00D56B87"/>
    <w:rsid w:val="00D56ED3"/>
    <w:rsid w:val="00D62039"/>
    <w:rsid w:val="00D622C2"/>
    <w:rsid w:val="00D62611"/>
    <w:rsid w:val="00D62746"/>
    <w:rsid w:val="00D652E0"/>
    <w:rsid w:val="00D65483"/>
    <w:rsid w:val="00D65C6E"/>
    <w:rsid w:val="00D66074"/>
    <w:rsid w:val="00D66CC5"/>
    <w:rsid w:val="00D67E21"/>
    <w:rsid w:val="00D702F4"/>
    <w:rsid w:val="00D70D6A"/>
    <w:rsid w:val="00D7273E"/>
    <w:rsid w:val="00D73702"/>
    <w:rsid w:val="00D779AE"/>
    <w:rsid w:val="00D82EEA"/>
    <w:rsid w:val="00D84292"/>
    <w:rsid w:val="00D85088"/>
    <w:rsid w:val="00D85D31"/>
    <w:rsid w:val="00D85F80"/>
    <w:rsid w:val="00D86CD7"/>
    <w:rsid w:val="00D87122"/>
    <w:rsid w:val="00D87DED"/>
    <w:rsid w:val="00D916D2"/>
    <w:rsid w:val="00D94F49"/>
    <w:rsid w:val="00D95220"/>
    <w:rsid w:val="00D9672F"/>
    <w:rsid w:val="00D9743E"/>
    <w:rsid w:val="00DA1ACA"/>
    <w:rsid w:val="00DA2C6F"/>
    <w:rsid w:val="00DA3D89"/>
    <w:rsid w:val="00DA50FD"/>
    <w:rsid w:val="00DA5261"/>
    <w:rsid w:val="00DA582E"/>
    <w:rsid w:val="00DB0632"/>
    <w:rsid w:val="00DB0B1D"/>
    <w:rsid w:val="00DB1B54"/>
    <w:rsid w:val="00DB2134"/>
    <w:rsid w:val="00DB3E32"/>
    <w:rsid w:val="00DB4FD0"/>
    <w:rsid w:val="00DB543F"/>
    <w:rsid w:val="00DB6113"/>
    <w:rsid w:val="00DB6FD4"/>
    <w:rsid w:val="00DC011A"/>
    <w:rsid w:val="00DC06F9"/>
    <w:rsid w:val="00DC0948"/>
    <w:rsid w:val="00DC20D4"/>
    <w:rsid w:val="00DC4599"/>
    <w:rsid w:val="00DC4C73"/>
    <w:rsid w:val="00DC796D"/>
    <w:rsid w:val="00DC7D76"/>
    <w:rsid w:val="00DD0C67"/>
    <w:rsid w:val="00DD24FF"/>
    <w:rsid w:val="00DD5B3C"/>
    <w:rsid w:val="00DD622F"/>
    <w:rsid w:val="00DE0E8F"/>
    <w:rsid w:val="00DE1E63"/>
    <w:rsid w:val="00DE434F"/>
    <w:rsid w:val="00DE633F"/>
    <w:rsid w:val="00DE6A36"/>
    <w:rsid w:val="00DE70DF"/>
    <w:rsid w:val="00DF1126"/>
    <w:rsid w:val="00DF3D04"/>
    <w:rsid w:val="00DF556E"/>
    <w:rsid w:val="00DF663E"/>
    <w:rsid w:val="00E0026B"/>
    <w:rsid w:val="00E014BD"/>
    <w:rsid w:val="00E01FB3"/>
    <w:rsid w:val="00E02E74"/>
    <w:rsid w:val="00E02E90"/>
    <w:rsid w:val="00E03903"/>
    <w:rsid w:val="00E046C4"/>
    <w:rsid w:val="00E069E3"/>
    <w:rsid w:val="00E07B7C"/>
    <w:rsid w:val="00E1050C"/>
    <w:rsid w:val="00E1059B"/>
    <w:rsid w:val="00E10B34"/>
    <w:rsid w:val="00E12B45"/>
    <w:rsid w:val="00E1324A"/>
    <w:rsid w:val="00E1353A"/>
    <w:rsid w:val="00E14CDB"/>
    <w:rsid w:val="00E17407"/>
    <w:rsid w:val="00E17D0C"/>
    <w:rsid w:val="00E17E8D"/>
    <w:rsid w:val="00E21B92"/>
    <w:rsid w:val="00E22D17"/>
    <w:rsid w:val="00E23A9B"/>
    <w:rsid w:val="00E246DA"/>
    <w:rsid w:val="00E24C6D"/>
    <w:rsid w:val="00E24CD8"/>
    <w:rsid w:val="00E325A4"/>
    <w:rsid w:val="00E32E39"/>
    <w:rsid w:val="00E34A91"/>
    <w:rsid w:val="00E34D2B"/>
    <w:rsid w:val="00E359D4"/>
    <w:rsid w:val="00E36159"/>
    <w:rsid w:val="00E36AAE"/>
    <w:rsid w:val="00E37069"/>
    <w:rsid w:val="00E3742A"/>
    <w:rsid w:val="00E37C36"/>
    <w:rsid w:val="00E402A0"/>
    <w:rsid w:val="00E409EA"/>
    <w:rsid w:val="00E40F95"/>
    <w:rsid w:val="00E41DAD"/>
    <w:rsid w:val="00E42E1D"/>
    <w:rsid w:val="00E439C0"/>
    <w:rsid w:val="00E44D1A"/>
    <w:rsid w:val="00E45026"/>
    <w:rsid w:val="00E45086"/>
    <w:rsid w:val="00E46BBB"/>
    <w:rsid w:val="00E47488"/>
    <w:rsid w:val="00E4782F"/>
    <w:rsid w:val="00E52F93"/>
    <w:rsid w:val="00E5414F"/>
    <w:rsid w:val="00E54A52"/>
    <w:rsid w:val="00E57751"/>
    <w:rsid w:val="00E5776A"/>
    <w:rsid w:val="00E61895"/>
    <w:rsid w:val="00E63C84"/>
    <w:rsid w:val="00E642B5"/>
    <w:rsid w:val="00E64DA5"/>
    <w:rsid w:val="00E6505E"/>
    <w:rsid w:val="00E65725"/>
    <w:rsid w:val="00E670EB"/>
    <w:rsid w:val="00E67DDA"/>
    <w:rsid w:val="00E71336"/>
    <w:rsid w:val="00E71425"/>
    <w:rsid w:val="00E72580"/>
    <w:rsid w:val="00E732A4"/>
    <w:rsid w:val="00E742CB"/>
    <w:rsid w:val="00E821A6"/>
    <w:rsid w:val="00E83033"/>
    <w:rsid w:val="00E8326C"/>
    <w:rsid w:val="00E84145"/>
    <w:rsid w:val="00E85591"/>
    <w:rsid w:val="00E904D9"/>
    <w:rsid w:val="00E91481"/>
    <w:rsid w:val="00E918C3"/>
    <w:rsid w:val="00E92FA3"/>
    <w:rsid w:val="00E930C9"/>
    <w:rsid w:val="00E94677"/>
    <w:rsid w:val="00E95E68"/>
    <w:rsid w:val="00E9706C"/>
    <w:rsid w:val="00E97E75"/>
    <w:rsid w:val="00E97F5E"/>
    <w:rsid w:val="00EA0613"/>
    <w:rsid w:val="00EA26DB"/>
    <w:rsid w:val="00EA2C7B"/>
    <w:rsid w:val="00EA3823"/>
    <w:rsid w:val="00EA4EC1"/>
    <w:rsid w:val="00EA50C7"/>
    <w:rsid w:val="00EA6921"/>
    <w:rsid w:val="00EB0BB6"/>
    <w:rsid w:val="00EB0E7A"/>
    <w:rsid w:val="00EB26BA"/>
    <w:rsid w:val="00EB5210"/>
    <w:rsid w:val="00EB5756"/>
    <w:rsid w:val="00EB60F0"/>
    <w:rsid w:val="00EB61D7"/>
    <w:rsid w:val="00EB674D"/>
    <w:rsid w:val="00EB6822"/>
    <w:rsid w:val="00EB7591"/>
    <w:rsid w:val="00EC263D"/>
    <w:rsid w:val="00EC5B6C"/>
    <w:rsid w:val="00EC6E3C"/>
    <w:rsid w:val="00ED1208"/>
    <w:rsid w:val="00ED1768"/>
    <w:rsid w:val="00ED2332"/>
    <w:rsid w:val="00ED26CE"/>
    <w:rsid w:val="00ED304E"/>
    <w:rsid w:val="00ED3AF3"/>
    <w:rsid w:val="00ED4070"/>
    <w:rsid w:val="00ED5F4F"/>
    <w:rsid w:val="00ED6A51"/>
    <w:rsid w:val="00EE03E9"/>
    <w:rsid w:val="00EE2DBA"/>
    <w:rsid w:val="00EE3A82"/>
    <w:rsid w:val="00EE4229"/>
    <w:rsid w:val="00EE4304"/>
    <w:rsid w:val="00EE45F9"/>
    <w:rsid w:val="00EE4D50"/>
    <w:rsid w:val="00EF0F39"/>
    <w:rsid w:val="00EF16AB"/>
    <w:rsid w:val="00EF2D79"/>
    <w:rsid w:val="00EF3D2A"/>
    <w:rsid w:val="00EF3E31"/>
    <w:rsid w:val="00EF3E7B"/>
    <w:rsid w:val="00EF485E"/>
    <w:rsid w:val="00EF4BBD"/>
    <w:rsid w:val="00EF6389"/>
    <w:rsid w:val="00EF65A5"/>
    <w:rsid w:val="00EF765A"/>
    <w:rsid w:val="00EF7766"/>
    <w:rsid w:val="00EF788C"/>
    <w:rsid w:val="00EF7E73"/>
    <w:rsid w:val="00F00414"/>
    <w:rsid w:val="00F007AD"/>
    <w:rsid w:val="00F02EF1"/>
    <w:rsid w:val="00F03694"/>
    <w:rsid w:val="00F03EA8"/>
    <w:rsid w:val="00F0437C"/>
    <w:rsid w:val="00F07784"/>
    <w:rsid w:val="00F07A68"/>
    <w:rsid w:val="00F10EDE"/>
    <w:rsid w:val="00F11622"/>
    <w:rsid w:val="00F12BA9"/>
    <w:rsid w:val="00F139E6"/>
    <w:rsid w:val="00F143D9"/>
    <w:rsid w:val="00F162C9"/>
    <w:rsid w:val="00F16800"/>
    <w:rsid w:val="00F20D00"/>
    <w:rsid w:val="00F2179D"/>
    <w:rsid w:val="00F263F3"/>
    <w:rsid w:val="00F271F1"/>
    <w:rsid w:val="00F31BD4"/>
    <w:rsid w:val="00F32480"/>
    <w:rsid w:val="00F33572"/>
    <w:rsid w:val="00F35B67"/>
    <w:rsid w:val="00F3652E"/>
    <w:rsid w:val="00F36C63"/>
    <w:rsid w:val="00F37D15"/>
    <w:rsid w:val="00F40547"/>
    <w:rsid w:val="00F40891"/>
    <w:rsid w:val="00F4091E"/>
    <w:rsid w:val="00F4223C"/>
    <w:rsid w:val="00F42839"/>
    <w:rsid w:val="00F42CD8"/>
    <w:rsid w:val="00F42D0A"/>
    <w:rsid w:val="00F42F53"/>
    <w:rsid w:val="00F430B7"/>
    <w:rsid w:val="00F43100"/>
    <w:rsid w:val="00F43D65"/>
    <w:rsid w:val="00F452DB"/>
    <w:rsid w:val="00F452FB"/>
    <w:rsid w:val="00F4542B"/>
    <w:rsid w:val="00F465FF"/>
    <w:rsid w:val="00F46868"/>
    <w:rsid w:val="00F476FD"/>
    <w:rsid w:val="00F5017E"/>
    <w:rsid w:val="00F50713"/>
    <w:rsid w:val="00F519A9"/>
    <w:rsid w:val="00F53E4A"/>
    <w:rsid w:val="00F55BE7"/>
    <w:rsid w:val="00F60495"/>
    <w:rsid w:val="00F613F3"/>
    <w:rsid w:val="00F6241C"/>
    <w:rsid w:val="00F628B3"/>
    <w:rsid w:val="00F62B26"/>
    <w:rsid w:val="00F649DE"/>
    <w:rsid w:val="00F6655E"/>
    <w:rsid w:val="00F71798"/>
    <w:rsid w:val="00F71E67"/>
    <w:rsid w:val="00F7242A"/>
    <w:rsid w:val="00F73BB1"/>
    <w:rsid w:val="00F74B8B"/>
    <w:rsid w:val="00F7678F"/>
    <w:rsid w:val="00F76D39"/>
    <w:rsid w:val="00F80A75"/>
    <w:rsid w:val="00F81213"/>
    <w:rsid w:val="00F814AF"/>
    <w:rsid w:val="00F81887"/>
    <w:rsid w:val="00F82C49"/>
    <w:rsid w:val="00F85B1D"/>
    <w:rsid w:val="00F90BB1"/>
    <w:rsid w:val="00F9271D"/>
    <w:rsid w:val="00F93743"/>
    <w:rsid w:val="00F97935"/>
    <w:rsid w:val="00FA12AB"/>
    <w:rsid w:val="00FA2BC9"/>
    <w:rsid w:val="00FA65AB"/>
    <w:rsid w:val="00FA6669"/>
    <w:rsid w:val="00FA6C92"/>
    <w:rsid w:val="00FA7D3F"/>
    <w:rsid w:val="00FB0784"/>
    <w:rsid w:val="00FB1077"/>
    <w:rsid w:val="00FB22D0"/>
    <w:rsid w:val="00FB2D45"/>
    <w:rsid w:val="00FB571F"/>
    <w:rsid w:val="00FC48D1"/>
    <w:rsid w:val="00FC66AE"/>
    <w:rsid w:val="00FC7556"/>
    <w:rsid w:val="00FD0E94"/>
    <w:rsid w:val="00FD1DBD"/>
    <w:rsid w:val="00FD3D30"/>
    <w:rsid w:val="00FD3E74"/>
    <w:rsid w:val="00FD549F"/>
    <w:rsid w:val="00FD55DD"/>
    <w:rsid w:val="00FD5BF3"/>
    <w:rsid w:val="00FD71F7"/>
    <w:rsid w:val="00FE14DD"/>
    <w:rsid w:val="00FE2C30"/>
    <w:rsid w:val="00FE707C"/>
    <w:rsid w:val="00FE718D"/>
    <w:rsid w:val="00FE7ECA"/>
    <w:rsid w:val="00FF20C9"/>
    <w:rsid w:val="00FF25CB"/>
    <w:rsid w:val="00FF3DC2"/>
    <w:rsid w:val="00FF5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C14F2"/>
    <w:pPr>
      <w:widowControl w:val="0"/>
    </w:pPr>
    <w:rPr>
      <w:snapToGrid w:val="0"/>
      <w:kern w:val="28"/>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1C14F2"/>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1C14F2"/>
    <w:pPr>
      <w:keepNext/>
      <w:numPr>
        <w:ilvl w:val="1"/>
        <w:numId w:val="5"/>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h"/>
    <w:basedOn w:val="Normal"/>
    <w:next w:val="ParaNum"/>
    <w:link w:val="Heading3Char2"/>
    <w:qFormat/>
    <w:rsid w:val="001C14F2"/>
    <w:pPr>
      <w:keepNext/>
      <w:numPr>
        <w:ilvl w:val="2"/>
        <w:numId w:val="5"/>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1C14F2"/>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1C14F2"/>
    <w:pPr>
      <w:keepNext/>
      <w:numPr>
        <w:ilvl w:val="4"/>
        <w:numId w:val="5"/>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1C14F2"/>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1C14F2"/>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1C14F2"/>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C14F2"/>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locked/>
    <w:rsid w:val="004E58F3"/>
    <w:rPr>
      <w:rFonts w:ascii="Times New Roman Bold" w:hAnsi="Times New Roman Bold"/>
      <w:b/>
      <w:caps/>
      <w:snapToGrid w:val="0"/>
      <w:kern w:val="28"/>
      <w:szCs w:val="20"/>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basedOn w:val="DefaultParagraphFont"/>
    <w:link w:val="Heading2"/>
    <w:locked/>
    <w:rsid w:val="006B2030"/>
    <w:rPr>
      <w:b/>
      <w:snapToGrid w:val="0"/>
      <w:kern w:val="28"/>
      <w:szCs w:val="20"/>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h Char"/>
    <w:basedOn w:val="DefaultParagraphFont"/>
    <w:uiPriority w:val="9"/>
    <w:semiHidden/>
    <w:rsid w:val="00D4337F"/>
    <w:rPr>
      <w:rFonts w:asciiTheme="majorHAnsi" w:eastAsiaTheme="majorEastAsia" w:hAnsiTheme="majorHAnsi" w:cstheme="majorBidi"/>
      <w:b/>
      <w:bCs/>
      <w:kern w:val="28"/>
      <w:sz w:val="26"/>
      <w:szCs w:val="26"/>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basedOn w:val="DefaultParagraphFont"/>
    <w:link w:val="Heading4"/>
    <w:locked/>
    <w:rsid w:val="006F4602"/>
    <w:rPr>
      <w:b/>
      <w:snapToGrid w:val="0"/>
      <w:kern w:val="28"/>
      <w:szCs w:val="20"/>
    </w:rPr>
  </w:style>
  <w:style w:type="character" w:customStyle="1" w:styleId="Heading5Char">
    <w:name w:val="Heading 5 Char"/>
    <w:basedOn w:val="DefaultParagraphFont"/>
    <w:link w:val="Heading5"/>
    <w:locked/>
    <w:rsid w:val="006F4602"/>
    <w:rPr>
      <w:b/>
      <w:snapToGrid w:val="0"/>
      <w:kern w:val="28"/>
      <w:szCs w:val="20"/>
    </w:rPr>
  </w:style>
  <w:style w:type="character" w:customStyle="1" w:styleId="Heading6Char">
    <w:name w:val="Heading 6 Char"/>
    <w:aliases w:val="h6 Char"/>
    <w:basedOn w:val="DefaultParagraphFont"/>
    <w:link w:val="Heading6"/>
    <w:locked/>
    <w:rsid w:val="006F4602"/>
    <w:rPr>
      <w:b/>
      <w:snapToGrid w:val="0"/>
      <w:kern w:val="28"/>
      <w:szCs w:val="20"/>
    </w:rPr>
  </w:style>
  <w:style w:type="character" w:customStyle="1" w:styleId="Heading7Char">
    <w:name w:val="Heading 7 Char"/>
    <w:basedOn w:val="DefaultParagraphFont"/>
    <w:link w:val="Heading7"/>
    <w:locked/>
    <w:rsid w:val="006F4602"/>
    <w:rPr>
      <w:b/>
      <w:snapToGrid w:val="0"/>
      <w:kern w:val="28"/>
      <w:szCs w:val="20"/>
    </w:rPr>
  </w:style>
  <w:style w:type="character" w:customStyle="1" w:styleId="Heading8Char">
    <w:name w:val="Heading 8 Char"/>
    <w:basedOn w:val="DefaultParagraphFont"/>
    <w:link w:val="Heading8"/>
    <w:locked/>
    <w:rsid w:val="006F4602"/>
    <w:rPr>
      <w:b/>
      <w:snapToGrid w:val="0"/>
      <w:kern w:val="28"/>
      <w:szCs w:val="20"/>
    </w:rPr>
  </w:style>
  <w:style w:type="character" w:customStyle="1" w:styleId="Heading9Char">
    <w:name w:val="Heading 9 Char"/>
    <w:basedOn w:val="DefaultParagraphFont"/>
    <w:link w:val="Heading9"/>
    <w:locked/>
    <w:rsid w:val="006F4602"/>
    <w:rPr>
      <w:b/>
      <w:snapToGrid w:val="0"/>
      <w:kern w:val="28"/>
      <w:szCs w:val="20"/>
    </w:rPr>
  </w:style>
  <w:style w:type="character" w:customStyle="1" w:styleId="Heading3Char10">
    <w:name w:val="Heading 3 Char10"/>
    <w:aliases w:val="Heading 3 Char1 Char Char18,Heading 3 Char Char Char Char18,Heading 3 Char1 Char18,Heading 3 Char Char Char18,Heading 3 Char1 Char Char Char9,Heading 3 Char Char Char Char Char18,Heading 3 Char2 Char1 Char Char Char9"/>
    <w:basedOn w:val="DefaultParagraphFont"/>
    <w:uiPriority w:val="99"/>
    <w:semiHidden/>
    <w:rPr>
      <w:rFonts w:ascii="Cambria" w:eastAsia="MS Gothic" w:hAnsi="Cambria" w:cs="Times New Roman"/>
      <w:b/>
      <w:bCs/>
      <w:sz w:val="26"/>
      <w:szCs w:val="26"/>
    </w:rPr>
  </w:style>
  <w:style w:type="character" w:customStyle="1" w:styleId="Heading3Char9">
    <w:name w:val="Heading 3 Char9"/>
    <w:aliases w:val="Heading 3 Char1 Char Char17,Heading 3 Char Char Char Char17,Heading 3 Char1 Char17,Heading 3 Char Char Char17,Heading 3 Char1 Char Char Char8,Heading 3 Char Char Char Char Char17,Heading 3 Char2 Char1 Char Char Char8"/>
    <w:basedOn w:val="DefaultParagraphFont"/>
    <w:uiPriority w:val="99"/>
    <w:semiHidden/>
    <w:locked/>
    <w:rsid w:val="00AC63D3"/>
    <w:rPr>
      <w:rFonts w:ascii="Cambria" w:hAnsi="Cambria" w:cs="Times New Roman"/>
      <w:b/>
      <w:bCs/>
      <w:sz w:val="26"/>
      <w:szCs w:val="26"/>
    </w:rPr>
  </w:style>
  <w:style w:type="character" w:customStyle="1" w:styleId="Heading3Char8">
    <w:name w:val="Heading 3 Char8"/>
    <w:aliases w:val="Heading 3 Char1 Char Char16,Heading 3 Char Char Char Char16,Heading 3 Char1 Char16,Heading 3 Char Char Char16,Heading 3 Char1 Char Char Char7,Heading 3 Char Char Char Char Char16,Heading 3 Char2 Char1 Char Char Char7"/>
    <w:basedOn w:val="DefaultParagraphFont"/>
    <w:uiPriority w:val="99"/>
    <w:semiHidden/>
    <w:locked/>
    <w:rsid w:val="007C281C"/>
    <w:rPr>
      <w:rFonts w:ascii="Cambria" w:hAnsi="Cambria" w:cs="Times New Roman"/>
      <w:b/>
      <w:bCs/>
      <w:sz w:val="26"/>
      <w:szCs w:val="26"/>
    </w:rPr>
  </w:style>
  <w:style w:type="character" w:customStyle="1" w:styleId="Heading3Char7">
    <w:name w:val="Heading 3 Char7"/>
    <w:aliases w:val="Heading 3 Char1 Char Char15,Heading 3 Char Char Char Char15,Heading 3 Char1 Char15,Heading 3 Char Char Char15,Heading 3 Char1 Char Char Char6,Heading 3 Char Char Char Char Char15,Heading 3 Char2 Char1 Char Char Char6"/>
    <w:basedOn w:val="DefaultParagraphFont"/>
    <w:uiPriority w:val="99"/>
    <w:semiHidden/>
    <w:locked/>
    <w:rsid w:val="00D67E21"/>
    <w:rPr>
      <w:rFonts w:ascii="Cambria" w:hAnsi="Cambria" w:cs="Times New Roman"/>
      <w:b/>
      <w:bCs/>
      <w:sz w:val="26"/>
      <w:szCs w:val="26"/>
    </w:rPr>
  </w:style>
  <w:style w:type="character" w:customStyle="1" w:styleId="Heading3Char6">
    <w:name w:val="Heading 3 Char6"/>
    <w:aliases w:val="Heading 3 Char1 Char Char14,Heading 3 Char Char Char Char14,Heading 3 Char1 Char14,Heading 3 Char Char Char14,Heading 3 Char1 Char Char Char5,Heading 3 Char Char Char Char Char14,Heading 3 Char2 Char1 Char Char Char5"/>
    <w:basedOn w:val="DefaultParagraphFont"/>
    <w:uiPriority w:val="99"/>
    <w:semiHidden/>
    <w:locked/>
    <w:rsid w:val="00640008"/>
    <w:rPr>
      <w:rFonts w:ascii="Cambria" w:hAnsi="Cambria" w:cs="Times New Roman"/>
      <w:b/>
      <w:bCs/>
      <w:sz w:val="26"/>
      <w:szCs w:val="26"/>
    </w:rPr>
  </w:style>
  <w:style w:type="character" w:customStyle="1" w:styleId="Heading3Char5">
    <w:name w:val="Heading 3 Char5"/>
    <w:aliases w:val="Heading 3 Char1 Char Char13,Heading 3 Char Char Char Char13,Heading 3 Char1 Char13,Heading 3 Char Char Char13,Heading 3 Char1 Char Char Char4,Heading 3 Char Char Char Char Char13,Heading 3 Char2 Char1 Char Char Char4"/>
    <w:basedOn w:val="DefaultParagraphFont"/>
    <w:uiPriority w:val="99"/>
    <w:semiHidden/>
    <w:locked/>
    <w:rsid w:val="00D14545"/>
    <w:rPr>
      <w:rFonts w:ascii="Cambria" w:hAnsi="Cambria" w:cs="Times New Roman"/>
      <w:b/>
      <w:bCs/>
      <w:sz w:val="26"/>
      <w:szCs w:val="26"/>
    </w:rPr>
  </w:style>
  <w:style w:type="character" w:customStyle="1" w:styleId="Heading3Char4">
    <w:name w:val="Heading 3 Char4"/>
    <w:aliases w:val="Heading 3 Char1 Char Char12,Heading 3 Char Char Char Char12,Heading 3 Char1 Char12,Heading 3 Char Char Char12,Heading 3 Char1 Char Char Char3,Heading 3 Char Char Char Char Char12,Heading 3 Char2 Char1 Char Char Char3"/>
    <w:basedOn w:val="DefaultParagraphFont"/>
    <w:uiPriority w:val="99"/>
    <w:semiHidden/>
    <w:locked/>
    <w:rsid w:val="00DA582E"/>
    <w:rPr>
      <w:rFonts w:ascii="Cambria" w:hAnsi="Cambria" w:cs="Times New Roman"/>
      <w:b/>
      <w:bCs/>
      <w:sz w:val="26"/>
      <w:szCs w:val="26"/>
    </w:rPr>
  </w:style>
  <w:style w:type="character" w:customStyle="1" w:styleId="Heading3Char3">
    <w:name w:val="Heading 3 Char3"/>
    <w:aliases w:val="Heading 3 Char1 Char Char11,Heading 3 Char Char Char Char11,Heading 3 Char1 Char11,Heading 3 Char Char Char11,Heading 3 Char1 Char Char Char2,Heading 3 Char Char Char Char Char11,Heading 3 Char2 Char1 Char Char Char2"/>
    <w:basedOn w:val="DefaultParagraphFont"/>
    <w:uiPriority w:val="99"/>
    <w:semiHidden/>
    <w:locked/>
    <w:rsid w:val="00C836A9"/>
    <w:rPr>
      <w:rFonts w:ascii="Cambria" w:hAnsi="Cambria" w:cs="Times New Roman"/>
      <w:b/>
      <w:bCs/>
      <w:sz w:val="26"/>
      <w:szCs w:val="26"/>
    </w:rPr>
  </w:style>
  <w:style w:type="character" w:customStyle="1" w:styleId="Heading3Char2">
    <w:name w:val="Heading 3 Char2"/>
    <w:aliases w:val="Heading 3 Char1 Char Char2,Heading 3 Char Char Char Char2,Heading 3 Char1 Char2,Heading 3 Char Char Char2,Heading 3 Char1 Char Char Char1,Heading 3 Char Char Char Char Char2,Heading 3 Char2 Char1 Char Char Char1"/>
    <w:basedOn w:val="DefaultParagraphFont"/>
    <w:link w:val="Heading3"/>
    <w:locked/>
    <w:rsid w:val="006F4602"/>
    <w:rPr>
      <w:b/>
      <w:snapToGrid w:val="0"/>
      <w:kern w:val="28"/>
      <w:szCs w:val="20"/>
    </w:rPr>
  </w:style>
  <w:style w:type="paragraph" w:styleId="Caption">
    <w:name w:val="caption"/>
    <w:basedOn w:val="Normal"/>
    <w:next w:val="Normal"/>
    <w:uiPriority w:val="99"/>
    <w:qFormat/>
    <w:rsid w:val="00C43557"/>
    <w:pPr>
      <w:spacing w:before="120" w:after="120"/>
    </w:pPr>
    <w:rPr>
      <w:b/>
    </w:rPr>
  </w:style>
  <w:style w:type="paragraph" w:customStyle="1" w:styleId="ParaNum">
    <w:name w:val="ParaNum"/>
    <w:basedOn w:val="Normal"/>
    <w:link w:val="ParaNumChar"/>
    <w:rsid w:val="001C14F2"/>
    <w:pPr>
      <w:numPr>
        <w:numId w:val="4"/>
      </w:numPr>
      <w:tabs>
        <w:tab w:val="clear" w:pos="1080"/>
        <w:tab w:val="num" w:pos="1440"/>
      </w:tabs>
      <w:spacing w:after="120"/>
    </w:p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n,f,fn Char2 Char"/>
    <w:link w:val="FootnoteTextChar3"/>
    <w:rsid w:val="001C14F2"/>
    <w:pPr>
      <w:spacing w:after="120"/>
    </w:pPr>
    <w:rPr>
      <w:sz w:val="20"/>
      <w:szCs w:val="20"/>
    </w:r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f Char"/>
    <w:basedOn w:val="DefaultParagraphFont"/>
    <w:rsid w:val="00D4337F"/>
    <w:rPr>
      <w:kern w:val="28"/>
      <w:sz w:val="20"/>
      <w:szCs w:val="20"/>
    </w:rPr>
  </w:style>
  <w:style w:type="character" w:customStyle="1" w:styleId="FootnoteTextChar12">
    <w:name w:val="Footnote Text Char12"/>
    <w:aliases w:val="Footnote Text Char1 Char10,Footnote Text Char Char Char10,Footnote Text Char2 Char Char Char10,Footnote Text Char3 Char1 Char Char Char10,Footnote Text Char2 Char1 Char1 Char Char Char10,f Cha"/>
    <w:basedOn w:val="DefaultParagraphFont"/>
    <w:uiPriority w:val="99"/>
    <w:semiHidden/>
    <w:rPr>
      <w:rFonts w:cs="Times New Roman"/>
      <w:sz w:val="20"/>
      <w:szCs w:val="20"/>
    </w:rPr>
  </w:style>
  <w:style w:type="character" w:customStyle="1" w:styleId="FootnoteTextChar11">
    <w:name w:val="Footnote Text Char11"/>
    <w:aliases w:val="Footnote Text Char1 Char9,Footnote Text Char Char Char9,Footnote Text Char2 Char Char Char9,Footnote Text Char3 Char1 Char Char Char9,Footnote Text Char2 Char1 Char1 Char Char Char9,f Cha2"/>
    <w:basedOn w:val="DefaultParagraphFont"/>
    <w:uiPriority w:val="99"/>
    <w:semiHidden/>
    <w:locked/>
    <w:rsid w:val="00AC63D3"/>
    <w:rPr>
      <w:rFonts w:cs="Times New Roman"/>
      <w:sz w:val="20"/>
      <w:szCs w:val="20"/>
    </w:rPr>
  </w:style>
  <w:style w:type="character" w:customStyle="1" w:styleId="FootnoteTextChar10">
    <w:name w:val="Footnote Text Char10"/>
    <w:aliases w:val="Footnote Text Char1 Char8,Footnote Text Char Char Char8,Footnote Text Char2 Char Char Char8,Footnote Text Char3 Char1 Char Char Char8,Footnote Text Char2 Char1 Char1 Char Char Char8,f Cha1"/>
    <w:basedOn w:val="DefaultParagraphFont"/>
    <w:uiPriority w:val="99"/>
    <w:semiHidden/>
    <w:locked/>
    <w:rsid w:val="007C281C"/>
    <w:rPr>
      <w:rFonts w:cs="Times New Roman"/>
      <w:sz w:val="20"/>
      <w:szCs w:val="20"/>
    </w:rPr>
  </w:style>
  <w:style w:type="character" w:customStyle="1" w:styleId="FootnoteTextChar9">
    <w:name w:val="Footnote Text Char9"/>
    <w:aliases w:val="Footnote Text Char1 Char7,Footnote Text Char Char Char7,Footnote Text Char2 Char Char Char7,Footnote Text Char3 Char1 Char Char Char7,Footnote Text Char2 Char1 Char1 Char Char Char7,Footnote Text Char3 Char1 Char Char Char Char Char7"/>
    <w:basedOn w:val="DefaultParagraphFont"/>
    <w:uiPriority w:val="99"/>
    <w:semiHidden/>
    <w:locked/>
    <w:rsid w:val="00D67E21"/>
    <w:rPr>
      <w:rFonts w:cs="Times New Roman"/>
      <w:sz w:val="20"/>
      <w:szCs w:val="20"/>
    </w:rPr>
  </w:style>
  <w:style w:type="character" w:customStyle="1" w:styleId="FootnoteTextChar8">
    <w:name w:val="Footnote Text Char8"/>
    <w:aliases w:val="Footnote Text Char1 Char6,Footnote Text Char Char Char6,Footnote Text Char2 Char Char Char6,Footnote Text Char3 Char1 Char Char Char6,Footnote Text Char2 Char1 Char1 Char Char Char6,Footnote Text Char3 Char1 Char Char Char Char Char6"/>
    <w:basedOn w:val="DefaultParagraphFont"/>
    <w:uiPriority w:val="99"/>
    <w:semiHidden/>
    <w:locked/>
    <w:rsid w:val="00640008"/>
    <w:rPr>
      <w:rFonts w:cs="Times New Roman"/>
      <w:sz w:val="20"/>
      <w:szCs w:val="20"/>
    </w:rPr>
  </w:style>
  <w:style w:type="character" w:customStyle="1" w:styleId="FootnoteTextChar7">
    <w:name w:val="Footnote Text Char7"/>
    <w:aliases w:val="Footnote Text Char1 Char5,Footnote Text Char Char Char5,Footnote Text Char2 Char Char Char5,Footnote Text Char3 Char1 Char Char Char5,Footnote Text Char2 Char1 Char1 Char Char Char5,Footnote Text Char3 Char1 Char Char Char Char Char5"/>
    <w:basedOn w:val="DefaultParagraphFont"/>
    <w:uiPriority w:val="99"/>
    <w:semiHidden/>
    <w:locked/>
    <w:rsid w:val="00D14545"/>
    <w:rPr>
      <w:rFonts w:cs="Times New Roman"/>
      <w:sz w:val="20"/>
      <w:szCs w:val="20"/>
    </w:rPr>
  </w:style>
  <w:style w:type="character" w:customStyle="1" w:styleId="FootnoteTextChar6">
    <w:name w:val="Footnote Text Char6"/>
    <w:aliases w:val="Footnote Text Char1 Char4,Footnote Text Char Char Char4,Footnote Text Char2 Char Char Char4,Footnote Text Char3 Char1 Char Char Char4,Footnote Text Char2 Char1 Char1 Char Char Char4,Footnote Text Char3 Char1 Char Char Char Char Char4"/>
    <w:basedOn w:val="DefaultParagraphFont"/>
    <w:uiPriority w:val="99"/>
    <w:semiHidden/>
    <w:locked/>
    <w:rsid w:val="00DA582E"/>
    <w:rPr>
      <w:rFonts w:cs="Times New Roman"/>
      <w:sz w:val="20"/>
      <w:szCs w:val="20"/>
    </w:rPr>
  </w:style>
  <w:style w:type="character" w:customStyle="1" w:styleId="FootnoteTextChar5">
    <w:name w:val="Footnote Text Char5"/>
    <w:aliases w:val="Footnote Text Char1 Char3,Footnote Text Char Char Char3,Footnote Text Char2 Char Char Char3,Footnote Text Char3 Char1 Char Char Char3,Footnote Text Char2 Char1 Char1 Char Char Char3,Footnote Text Char3 Char1 Char Char Char Char Char3"/>
    <w:basedOn w:val="DefaultParagraphFont"/>
    <w:uiPriority w:val="99"/>
    <w:semiHidden/>
    <w:locked/>
    <w:rsid w:val="00C836A9"/>
    <w:rPr>
      <w:rFonts w:cs="Times New Roman"/>
      <w:sz w:val="20"/>
      <w:szCs w:val="20"/>
    </w:rPr>
  </w:style>
  <w:style w:type="character" w:customStyle="1" w:styleId="FootnoteTextChar4">
    <w:name w:val="Footnote Text Char4"/>
    <w:aliases w:val="Footnote Text Char1 Char2,Footnote Text Char Char Char2,Footnote Text Char2 Char Char Char2,Footnote Text Char3 Char1 Char Char Char2,Footnote Text Char2 Char1 Char1 Char Char Char2,Footnote Text Char3 Char1 Char Char Char Char Char2"/>
    <w:basedOn w:val="DefaultParagraphFont"/>
    <w:uiPriority w:val="99"/>
    <w:semiHidden/>
    <w:locked/>
    <w:rsid w:val="006F4602"/>
    <w:rPr>
      <w:rFonts w:cs="Times New Roman"/>
      <w:sz w:val="20"/>
      <w:szCs w:val="20"/>
    </w:rPr>
  </w:style>
  <w:style w:type="paragraph" w:customStyle="1" w:styleId="Bullet">
    <w:name w:val="Bullet"/>
    <w:basedOn w:val="Normal"/>
    <w:rsid w:val="001C14F2"/>
    <w:pPr>
      <w:tabs>
        <w:tab w:val="left" w:pos="2160"/>
      </w:tabs>
      <w:spacing w:after="220"/>
      <w:ind w:left="2160" w:hanging="720"/>
    </w:pPr>
  </w:style>
  <w:style w:type="paragraph" w:styleId="BlockText">
    <w:name w:val="Block Text"/>
    <w:basedOn w:val="Normal"/>
    <w:rsid w:val="001C14F2"/>
    <w:pPr>
      <w:spacing w:after="240"/>
      <w:ind w:left="1440" w:right="1440"/>
    </w:pPr>
  </w:style>
  <w:style w:type="paragraph" w:customStyle="1" w:styleId="TableFormat">
    <w:name w:val="TableFormat"/>
    <w:basedOn w:val="Bullet"/>
    <w:rsid w:val="001C14F2"/>
    <w:pPr>
      <w:tabs>
        <w:tab w:val="clear" w:pos="2160"/>
        <w:tab w:val="left" w:pos="5040"/>
      </w:tabs>
      <w:ind w:left="5040" w:hanging="3600"/>
    </w:pPr>
  </w:style>
  <w:style w:type="character" w:styleId="FootnoteReference">
    <w:name w:val="footnote reference"/>
    <w:aliases w:val="Appel note de bas de p,Style 12,(NECG) Footnote Reference,Style 124,o,fr,Style 3,Style 13,FR,Style 17,Style 6,Footnote Reference/,Style 4"/>
    <w:rsid w:val="001C14F2"/>
    <w:rPr>
      <w:rFonts w:ascii="Times New Roman" w:hAnsi="Times New Roman"/>
      <w:dstrike w:val="0"/>
      <w:color w:val="auto"/>
      <w:sz w:val="20"/>
      <w:vertAlign w:val="superscript"/>
    </w:rPr>
  </w:style>
  <w:style w:type="paragraph" w:styleId="Header">
    <w:name w:val="header"/>
    <w:basedOn w:val="Normal"/>
    <w:link w:val="HeaderChar"/>
    <w:autoRedefine/>
    <w:rsid w:val="001C14F2"/>
    <w:pPr>
      <w:tabs>
        <w:tab w:val="center" w:pos="4680"/>
        <w:tab w:val="right" w:pos="9360"/>
      </w:tabs>
    </w:pPr>
    <w:rPr>
      <w:b/>
    </w:rPr>
  </w:style>
  <w:style w:type="character" w:customStyle="1" w:styleId="HeaderChar">
    <w:name w:val="Header Char"/>
    <w:basedOn w:val="DefaultParagraphFont"/>
    <w:link w:val="Header"/>
    <w:locked/>
    <w:rsid w:val="00DD0C67"/>
    <w:rPr>
      <w:b/>
      <w:snapToGrid w:val="0"/>
      <w:kern w:val="28"/>
      <w:szCs w:val="20"/>
    </w:rPr>
  </w:style>
  <w:style w:type="paragraph" w:styleId="Footer">
    <w:name w:val="footer"/>
    <w:basedOn w:val="Normal"/>
    <w:link w:val="FooterChar"/>
    <w:rsid w:val="001C14F2"/>
    <w:pPr>
      <w:tabs>
        <w:tab w:val="center" w:pos="4320"/>
        <w:tab w:val="right" w:pos="8640"/>
      </w:tabs>
    </w:pPr>
  </w:style>
  <w:style w:type="character" w:customStyle="1" w:styleId="FooterChar">
    <w:name w:val="Footer Char"/>
    <w:basedOn w:val="DefaultParagraphFont"/>
    <w:link w:val="Footer"/>
    <w:locked/>
    <w:rsid w:val="006F4602"/>
    <w:rPr>
      <w:snapToGrid w:val="0"/>
      <w:kern w:val="28"/>
      <w:szCs w:val="20"/>
    </w:rPr>
  </w:style>
  <w:style w:type="paragraph" w:styleId="TOC2">
    <w:name w:val="toc 2"/>
    <w:basedOn w:val="Normal"/>
    <w:next w:val="Normal"/>
    <w:rsid w:val="001C14F2"/>
    <w:pPr>
      <w:tabs>
        <w:tab w:val="left" w:pos="720"/>
        <w:tab w:val="right" w:leader="dot" w:pos="9360"/>
      </w:tabs>
      <w:suppressAutoHyphens/>
      <w:ind w:left="720" w:right="720" w:hanging="360"/>
    </w:pPr>
    <w:rPr>
      <w:noProof/>
    </w:rPr>
  </w:style>
  <w:style w:type="paragraph" w:customStyle="1" w:styleId="NumberedList">
    <w:name w:val="Numbered List"/>
    <w:basedOn w:val="Normal"/>
    <w:uiPriority w:val="99"/>
    <w:rsid w:val="00C43557"/>
    <w:pPr>
      <w:spacing w:after="220"/>
    </w:pPr>
  </w:style>
  <w:style w:type="paragraph" w:styleId="TOC1">
    <w:name w:val="toc 1"/>
    <w:basedOn w:val="Normal"/>
    <w:next w:val="Normal"/>
    <w:rsid w:val="001C14F2"/>
    <w:pPr>
      <w:tabs>
        <w:tab w:val="left" w:pos="360"/>
        <w:tab w:val="right" w:leader="dot" w:pos="9360"/>
      </w:tabs>
      <w:suppressAutoHyphens/>
      <w:ind w:left="360" w:right="720" w:hanging="360"/>
    </w:pPr>
    <w:rPr>
      <w:caps/>
      <w:noProof/>
    </w:rPr>
  </w:style>
  <w:style w:type="paragraph" w:styleId="TOC3">
    <w:name w:val="toc 3"/>
    <w:basedOn w:val="Normal"/>
    <w:next w:val="Normal"/>
    <w:rsid w:val="001C14F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C14F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C14F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C14F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C14F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C14F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C14F2"/>
    <w:pPr>
      <w:tabs>
        <w:tab w:val="left" w:pos="3240"/>
        <w:tab w:val="right" w:leader="dot" w:pos="9360"/>
      </w:tabs>
      <w:suppressAutoHyphens/>
      <w:ind w:left="3240" w:hanging="360"/>
    </w:pPr>
    <w:rPr>
      <w:noProof/>
    </w:rPr>
  </w:style>
  <w:style w:type="character" w:styleId="PageNumber">
    <w:name w:val="page number"/>
    <w:basedOn w:val="DefaultParagraphFont"/>
    <w:rsid w:val="001C14F2"/>
  </w:style>
  <w:style w:type="paragraph" w:styleId="Title">
    <w:name w:val="Title"/>
    <w:basedOn w:val="Normal"/>
    <w:link w:val="TitleChar"/>
    <w:uiPriority w:val="99"/>
    <w:qFormat/>
    <w:rsid w:val="00C43557"/>
    <w:pPr>
      <w:jc w:val="center"/>
    </w:pPr>
    <w:rPr>
      <w:b/>
    </w:rPr>
  </w:style>
  <w:style w:type="character" w:customStyle="1" w:styleId="TitleChar">
    <w:name w:val="Title Char"/>
    <w:basedOn w:val="DefaultParagraphFont"/>
    <w:link w:val="Title"/>
    <w:uiPriority w:val="99"/>
    <w:locked/>
    <w:rsid w:val="006F4602"/>
    <w:rPr>
      <w:rFonts w:ascii="Cambria" w:hAnsi="Cambria" w:cs="Times New Roman"/>
      <w:b/>
      <w:bCs/>
      <w:kern w:val="28"/>
      <w:sz w:val="32"/>
      <w:szCs w:val="32"/>
    </w:rPr>
  </w:style>
  <w:style w:type="paragraph" w:customStyle="1" w:styleId="StyleBoldCentered">
    <w:name w:val="Style Bold Centered"/>
    <w:basedOn w:val="Normal"/>
    <w:rsid w:val="001C14F2"/>
    <w:pPr>
      <w:jc w:val="center"/>
    </w:pPr>
    <w:rPr>
      <w:rFonts w:ascii="Times New Roman Bold" w:hAnsi="Times New Roman Bold"/>
      <w:b/>
      <w:bCs/>
      <w:caps/>
      <w:szCs w:val="22"/>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ink w:val="FootnoteText"/>
    <w:locked/>
    <w:rsid w:val="009E4600"/>
    <w:rPr>
      <w:sz w:val="20"/>
      <w:szCs w:val="20"/>
    </w:rPr>
  </w:style>
  <w:style w:type="character" w:styleId="CommentReference">
    <w:name w:val="annotation reference"/>
    <w:basedOn w:val="DefaultParagraphFont"/>
    <w:uiPriority w:val="99"/>
    <w:rsid w:val="009E4600"/>
    <w:rPr>
      <w:rFonts w:cs="Times New Roman"/>
      <w:sz w:val="16"/>
    </w:rPr>
  </w:style>
  <w:style w:type="paragraph" w:styleId="CommentText">
    <w:name w:val="annotation text"/>
    <w:basedOn w:val="Normal"/>
    <w:link w:val="CommentTextChar"/>
    <w:uiPriority w:val="99"/>
    <w:rsid w:val="009E4600"/>
    <w:rPr>
      <w:sz w:val="20"/>
    </w:rPr>
  </w:style>
  <w:style w:type="character" w:customStyle="1" w:styleId="CommentTextChar">
    <w:name w:val="Comment Text Char"/>
    <w:basedOn w:val="DefaultParagraphFont"/>
    <w:link w:val="CommentText"/>
    <w:uiPriority w:val="99"/>
    <w:locked/>
    <w:rsid w:val="009E4600"/>
    <w:rPr>
      <w:rFonts w:cs="Times New Roman"/>
      <w:snapToGrid w:val="0"/>
      <w:kern w:val="28"/>
    </w:rPr>
  </w:style>
  <w:style w:type="character" w:styleId="Emphasis">
    <w:name w:val="Emphasis"/>
    <w:basedOn w:val="DefaultParagraphFont"/>
    <w:uiPriority w:val="99"/>
    <w:qFormat/>
    <w:rsid w:val="009E4600"/>
    <w:rPr>
      <w:rFonts w:cs="Times New Roman"/>
      <w:i/>
    </w:rPr>
  </w:style>
  <w:style w:type="paragraph" w:styleId="BalloonText">
    <w:name w:val="Balloon Text"/>
    <w:basedOn w:val="Normal"/>
    <w:link w:val="BalloonTextChar"/>
    <w:uiPriority w:val="99"/>
    <w:semiHidden/>
    <w:rsid w:val="009E46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4600"/>
    <w:rPr>
      <w:rFonts w:ascii="Tahoma" w:hAnsi="Tahoma" w:cs="Tahoma"/>
      <w:sz w:val="16"/>
      <w:szCs w:val="16"/>
    </w:rPr>
  </w:style>
  <w:style w:type="character" w:customStyle="1" w:styleId="ParaNumChar">
    <w:name w:val="ParaNum Char"/>
    <w:link w:val="ParaNum"/>
    <w:locked/>
    <w:rsid w:val="00567883"/>
    <w:rPr>
      <w:snapToGrid w:val="0"/>
      <w:kern w:val="28"/>
      <w:szCs w:val="20"/>
    </w:rPr>
  </w:style>
  <w:style w:type="paragraph" w:styleId="NormalWeb">
    <w:name w:val="Normal (Web)"/>
    <w:basedOn w:val="Normal"/>
    <w:uiPriority w:val="99"/>
    <w:rsid w:val="005144D2"/>
    <w:pPr>
      <w:spacing w:before="100" w:beforeAutospacing="1" w:after="100" w:afterAutospacing="1"/>
    </w:pPr>
  </w:style>
  <w:style w:type="paragraph" w:styleId="ListBullet2">
    <w:name w:val="List Bullet 2"/>
    <w:basedOn w:val="Normal"/>
    <w:uiPriority w:val="99"/>
    <w:rsid w:val="002C2394"/>
    <w:pPr>
      <w:tabs>
        <w:tab w:val="num" w:pos="720"/>
      </w:tabs>
      <w:ind w:left="720" w:hanging="360"/>
    </w:pPr>
    <w:rPr>
      <w:rFonts w:ascii="Calibri" w:hAnsi="Calibri"/>
    </w:rPr>
  </w:style>
  <w:style w:type="character" w:customStyle="1" w:styleId="apple-converted-space">
    <w:name w:val="apple-converted-space"/>
    <w:basedOn w:val="DefaultParagraphFont"/>
    <w:uiPriority w:val="99"/>
    <w:rsid w:val="00863947"/>
    <w:rPr>
      <w:rFonts w:cs="Times New Roman"/>
    </w:rPr>
  </w:style>
  <w:style w:type="paragraph" w:styleId="CommentSubject">
    <w:name w:val="annotation subject"/>
    <w:basedOn w:val="CommentText"/>
    <w:next w:val="CommentText"/>
    <w:link w:val="CommentSubjectChar"/>
    <w:uiPriority w:val="99"/>
    <w:semiHidden/>
    <w:rsid w:val="002363B3"/>
    <w:rPr>
      <w:b/>
      <w:bCs/>
    </w:rPr>
  </w:style>
  <w:style w:type="character" w:customStyle="1" w:styleId="CommentSubjectChar">
    <w:name w:val="Comment Subject Char"/>
    <w:basedOn w:val="CommentTextChar"/>
    <w:link w:val="CommentSubject"/>
    <w:uiPriority w:val="99"/>
    <w:semiHidden/>
    <w:locked/>
    <w:rsid w:val="002363B3"/>
    <w:rPr>
      <w:rFonts w:cs="Times New Roman"/>
      <w:b/>
      <w:bCs/>
      <w:snapToGrid w:val="0"/>
      <w:kern w:val="28"/>
    </w:rPr>
  </w:style>
  <w:style w:type="paragraph" w:styleId="ListParagraph">
    <w:name w:val="List Paragraph"/>
    <w:basedOn w:val="Normal"/>
    <w:uiPriority w:val="99"/>
    <w:qFormat/>
    <w:rsid w:val="00534AC7"/>
    <w:pPr>
      <w:ind w:left="720"/>
      <w:contextualSpacing/>
    </w:pPr>
  </w:style>
  <w:style w:type="character" w:customStyle="1" w:styleId="apple-style-span">
    <w:name w:val="apple-style-span"/>
    <w:basedOn w:val="DefaultParagraphFont"/>
    <w:uiPriority w:val="99"/>
    <w:rsid w:val="00A252E6"/>
    <w:rPr>
      <w:rFonts w:cs="Times New Roman"/>
    </w:rPr>
  </w:style>
  <w:style w:type="character" w:customStyle="1" w:styleId="ptext-05">
    <w:name w:val="ptext-05"/>
    <w:basedOn w:val="DefaultParagraphFont"/>
    <w:uiPriority w:val="99"/>
    <w:rsid w:val="001443FC"/>
    <w:rPr>
      <w:rFonts w:cs="Times New Roman"/>
    </w:rPr>
  </w:style>
  <w:style w:type="character" w:styleId="Hyperlink">
    <w:name w:val="Hyperlink"/>
    <w:rsid w:val="001C14F2"/>
    <w:rPr>
      <w:color w:val="0000FF"/>
      <w:u w:val="single"/>
    </w:rPr>
  </w:style>
  <w:style w:type="character" w:styleId="HTMLCite">
    <w:name w:val="HTML Cite"/>
    <w:basedOn w:val="DefaultParagraphFont"/>
    <w:uiPriority w:val="99"/>
    <w:rsid w:val="00E92FA3"/>
    <w:rPr>
      <w:rFonts w:cs="Times New Roman"/>
      <w:color w:val="009933"/>
    </w:rPr>
  </w:style>
  <w:style w:type="character" w:customStyle="1" w:styleId="ParaNumCharChar1">
    <w:name w:val="ParaNum Char Char1"/>
    <w:uiPriority w:val="99"/>
    <w:locked/>
    <w:rsid w:val="004E58F3"/>
    <w:rPr>
      <w:rFonts w:ascii="Times New Roman" w:hAnsi="Times New Roman"/>
      <w:kern w:val="28"/>
      <w:sz w:val="20"/>
    </w:rPr>
  </w:style>
  <w:style w:type="character" w:customStyle="1" w:styleId="FootnoteTextChar1Char1Char1">
    <w:name w:val="Footnote Text Char1 Char1 Char1"/>
    <w:aliases w:val="Footnote Text Char Char1 Char Char1,Footnote Text Char1 Char1 Char Char Char1,Footnote Text Char Char1 Char Char Char Char1,Footnote Text Char2 Char Char1 Char Char Char Char1,ALTS FOOTNOTE Char1"/>
    <w:uiPriority w:val="99"/>
    <w:locked/>
    <w:rsid w:val="004E58F3"/>
    <w:rPr>
      <w:rFonts w:ascii="Times New Roman" w:hAnsi="Times New Roman"/>
      <w:sz w:val="20"/>
    </w:rPr>
  </w:style>
  <w:style w:type="paragraph" w:customStyle="1" w:styleId="par1">
    <w:name w:val="par1"/>
    <w:basedOn w:val="Normal"/>
    <w:link w:val="par1Char"/>
    <w:uiPriority w:val="99"/>
    <w:rsid w:val="003811B1"/>
    <w:pPr>
      <w:numPr>
        <w:numId w:val="2"/>
      </w:numPr>
      <w:tabs>
        <w:tab w:val="num" w:pos="900"/>
        <w:tab w:val="left" w:pos="1440"/>
      </w:tabs>
      <w:ind w:left="-180" w:firstLine="720"/>
    </w:pPr>
    <w:rPr>
      <w:sz w:val="20"/>
    </w:rPr>
  </w:style>
  <w:style w:type="character" w:customStyle="1" w:styleId="rrfootnoteChar1">
    <w:name w:val="rrfootnote Char1"/>
    <w:aliases w:val="rrfootnote Char Char,Footnote Text Char1 Char Char,Footnote Text Char Char Char Char,Footnote Text Char2 Char Char Char Char,Footnote Text Char1 Char2 Char Char Char Char,Footnote Text Char1 Char Char1,rrfootnote Char Char Char,fn Char"/>
    <w:uiPriority w:val="99"/>
    <w:rsid w:val="003811B1"/>
    <w:rPr>
      <w:lang w:val="en-US" w:eastAsia="en-US"/>
    </w:rPr>
  </w:style>
  <w:style w:type="character" w:customStyle="1" w:styleId="documentbody">
    <w:name w:val="documentbody"/>
    <w:basedOn w:val="DefaultParagraphFont"/>
    <w:uiPriority w:val="99"/>
    <w:rsid w:val="003811B1"/>
    <w:rPr>
      <w:rFonts w:cs="Times New Roman"/>
    </w:rPr>
  </w:style>
  <w:style w:type="character" w:customStyle="1" w:styleId="searchterm">
    <w:name w:val="searchterm"/>
    <w:basedOn w:val="DefaultParagraphFont"/>
    <w:uiPriority w:val="99"/>
    <w:rsid w:val="003811B1"/>
    <w:rPr>
      <w:rFonts w:cs="Times New Roman"/>
    </w:rPr>
  </w:style>
  <w:style w:type="character" w:customStyle="1" w:styleId="documentbody1">
    <w:name w:val="documentbody1"/>
    <w:uiPriority w:val="99"/>
    <w:rsid w:val="003811B1"/>
    <w:rPr>
      <w:rFonts w:ascii="Verdana" w:hAnsi="Verdana"/>
      <w:sz w:val="19"/>
      <w:shd w:val="clear" w:color="auto" w:fill="FFFFFF"/>
    </w:rPr>
  </w:style>
  <w:style w:type="character" w:customStyle="1" w:styleId="par1Char">
    <w:name w:val="par1 Char"/>
    <w:link w:val="par1"/>
    <w:uiPriority w:val="99"/>
    <w:locked/>
    <w:rsid w:val="003811B1"/>
    <w:rPr>
      <w:snapToGrid w:val="0"/>
      <w:sz w:val="20"/>
      <w:szCs w:val="20"/>
    </w:rPr>
  </w:style>
  <w:style w:type="character" w:customStyle="1" w:styleId="rrfootnoteChar2">
    <w:name w:val="rrfootnote Char2"/>
    <w:aliases w:val="Footnote Text Char Char1,rrfootnote Char Char1,Footnote Text Char1 Char Char2,Footnote Text Char Char Char Char1,Footnote Text Char2 Char Char Char Char1,Footnote Text Char1 Char2 Char Char Char Char1"/>
    <w:uiPriority w:val="99"/>
    <w:rsid w:val="00817493"/>
    <w:rPr>
      <w:rFonts w:eastAsia="Times New Roman"/>
      <w:sz w:val="20"/>
    </w:rPr>
  </w:style>
  <w:style w:type="paragraph" w:styleId="EndnoteText">
    <w:name w:val="endnote text"/>
    <w:basedOn w:val="Normal"/>
    <w:link w:val="EndnoteTextChar"/>
    <w:semiHidden/>
    <w:locked/>
    <w:rsid w:val="001C14F2"/>
    <w:rPr>
      <w:sz w:val="20"/>
    </w:rPr>
  </w:style>
  <w:style w:type="character" w:customStyle="1" w:styleId="EndnoteTextChar">
    <w:name w:val="Endnote Text Char"/>
    <w:basedOn w:val="DefaultParagraphFont"/>
    <w:link w:val="EndnoteText"/>
    <w:semiHidden/>
    <w:locked/>
    <w:rsid w:val="00EE2DBA"/>
    <w:rPr>
      <w:snapToGrid w:val="0"/>
      <w:kern w:val="28"/>
      <w:sz w:val="20"/>
      <w:szCs w:val="20"/>
    </w:rPr>
  </w:style>
  <w:style w:type="character" w:styleId="EndnoteReference">
    <w:name w:val="endnote reference"/>
    <w:semiHidden/>
    <w:locked/>
    <w:rsid w:val="001C14F2"/>
    <w:rPr>
      <w:vertAlign w:val="superscript"/>
    </w:rPr>
  </w:style>
  <w:style w:type="paragraph" w:styleId="TOAHeading">
    <w:name w:val="toa heading"/>
    <w:basedOn w:val="Normal"/>
    <w:next w:val="Normal"/>
    <w:semiHidden/>
    <w:locked/>
    <w:rsid w:val="001C14F2"/>
    <w:pPr>
      <w:tabs>
        <w:tab w:val="right" w:pos="9360"/>
      </w:tabs>
      <w:suppressAutoHyphens/>
    </w:pPr>
  </w:style>
  <w:style w:type="character" w:customStyle="1" w:styleId="EquationCaption">
    <w:name w:val="_Equation Caption"/>
    <w:rsid w:val="001C14F2"/>
  </w:style>
  <w:style w:type="paragraph" w:customStyle="1" w:styleId="Paratitle">
    <w:name w:val="Para title"/>
    <w:basedOn w:val="Normal"/>
    <w:rsid w:val="001C14F2"/>
    <w:pPr>
      <w:tabs>
        <w:tab w:val="center" w:pos="9270"/>
      </w:tabs>
      <w:spacing w:after="240"/>
    </w:pPr>
    <w:rPr>
      <w:spacing w:val="-2"/>
    </w:rPr>
  </w:style>
  <w:style w:type="paragraph" w:customStyle="1" w:styleId="TOCTitle">
    <w:name w:val="TOC Title"/>
    <w:basedOn w:val="Normal"/>
    <w:rsid w:val="001C14F2"/>
    <w:pPr>
      <w:spacing w:before="240" w:after="240"/>
      <w:jc w:val="center"/>
    </w:pPr>
    <w:rPr>
      <w:rFonts w:ascii="Times New Roman Bold" w:hAnsi="Times New Roman Bold"/>
      <w:b/>
      <w:caps/>
      <w:spacing w:val="-2"/>
    </w:rPr>
  </w:style>
  <w:style w:type="character" w:styleId="FollowedHyperlink">
    <w:name w:val="FollowedHyperlink"/>
    <w:basedOn w:val="DefaultParagraphFont"/>
    <w:uiPriority w:val="99"/>
    <w:semiHidden/>
    <w:locked/>
    <w:rsid w:val="00C82D77"/>
    <w:rPr>
      <w:rFonts w:cs="Times New Roman"/>
      <w:color w:val="800080"/>
      <w:u w:val="single"/>
    </w:rPr>
  </w:style>
  <w:style w:type="paragraph" w:styleId="PlainText">
    <w:name w:val="Plain Text"/>
    <w:basedOn w:val="Normal"/>
    <w:link w:val="PlainTextChar"/>
    <w:uiPriority w:val="99"/>
    <w:unhideWhenUsed/>
    <w:locked/>
    <w:rsid w:val="00897A99"/>
    <w:rPr>
      <w:rFonts w:ascii="Consolas" w:hAnsi="Consolas" w:cs="Consolas"/>
      <w:sz w:val="21"/>
      <w:szCs w:val="21"/>
    </w:rPr>
  </w:style>
  <w:style w:type="character" w:customStyle="1" w:styleId="PlainTextChar">
    <w:name w:val="Plain Text Char"/>
    <w:basedOn w:val="DefaultParagraphFont"/>
    <w:link w:val="PlainText"/>
    <w:uiPriority w:val="99"/>
    <w:rsid w:val="00897A99"/>
    <w:rPr>
      <w:rFonts w:ascii="Consolas" w:eastAsiaTheme="minorHAnsi" w:hAnsi="Consolas" w:cs="Consolas"/>
      <w:sz w:val="21"/>
      <w:szCs w:val="21"/>
    </w:rPr>
  </w:style>
  <w:style w:type="paragraph" w:styleId="Revision">
    <w:name w:val="Revision"/>
    <w:hidden/>
    <w:uiPriority w:val="99"/>
    <w:semiHidden/>
    <w:rsid w:val="00D916D2"/>
    <w:rPr>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C14F2"/>
    <w:pPr>
      <w:widowControl w:val="0"/>
    </w:pPr>
    <w:rPr>
      <w:snapToGrid w:val="0"/>
      <w:kern w:val="28"/>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1C14F2"/>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1C14F2"/>
    <w:pPr>
      <w:keepNext/>
      <w:numPr>
        <w:ilvl w:val="1"/>
        <w:numId w:val="5"/>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h"/>
    <w:basedOn w:val="Normal"/>
    <w:next w:val="ParaNum"/>
    <w:link w:val="Heading3Char2"/>
    <w:qFormat/>
    <w:rsid w:val="001C14F2"/>
    <w:pPr>
      <w:keepNext/>
      <w:numPr>
        <w:ilvl w:val="2"/>
        <w:numId w:val="5"/>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1C14F2"/>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1C14F2"/>
    <w:pPr>
      <w:keepNext/>
      <w:numPr>
        <w:ilvl w:val="4"/>
        <w:numId w:val="5"/>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1C14F2"/>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1C14F2"/>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1C14F2"/>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C14F2"/>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locked/>
    <w:rsid w:val="004E58F3"/>
    <w:rPr>
      <w:rFonts w:ascii="Times New Roman Bold" w:hAnsi="Times New Roman Bold"/>
      <w:b/>
      <w:caps/>
      <w:snapToGrid w:val="0"/>
      <w:kern w:val="28"/>
      <w:szCs w:val="20"/>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basedOn w:val="DefaultParagraphFont"/>
    <w:link w:val="Heading2"/>
    <w:locked/>
    <w:rsid w:val="006B2030"/>
    <w:rPr>
      <w:b/>
      <w:snapToGrid w:val="0"/>
      <w:kern w:val="28"/>
      <w:szCs w:val="20"/>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h Char"/>
    <w:basedOn w:val="DefaultParagraphFont"/>
    <w:uiPriority w:val="9"/>
    <w:semiHidden/>
    <w:rsid w:val="00D4337F"/>
    <w:rPr>
      <w:rFonts w:asciiTheme="majorHAnsi" w:eastAsiaTheme="majorEastAsia" w:hAnsiTheme="majorHAnsi" w:cstheme="majorBidi"/>
      <w:b/>
      <w:bCs/>
      <w:kern w:val="28"/>
      <w:sz w:val="26"/>
      <w:szCs w:val="26"/>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basedOn w:val="DefaultParagraphFont"/>
    <w:link w:val="Heading4"/>
    <w:locked/>
    <w:rsid w:val="006F4602"/>
    <w:rPr>
      <w:b/>
      <w:snapToGrid w:val="0"/>
      <w:kern w:val="28"/>
      <w:szCs w:val="20"/>
    </w:rPr>
  </w:style>
  <w:style w:type="character" w:customStyle="1" w:styleId="Heading5Char">
    <w:name w:val="Heading 5 Char"/>
    <w:basedOn w:val="DefaultParagraphFont"/>
    <w:link w:val="Heading5"/>
    <w:locked/>
    <w:rsid w:val="006F4602"/>
    <w:rPr>
      <w:b/>
      <w:snapToGrid w:val="0"/>
      <w:kern w:val="28"/>
      <w:szCs w:val="20"/>
    </w:rPr>
  </w:style>
  <w:style w:type="character" w:customStyle="1" w:styleId="Heading6Char">
    <w:name w:val="Heading 6 Char"/>
    <w:aliases w:val="h6 Char"/>
    <w:basedOn w:val="DefaultParagraphFont"/>
    <w:link w:val="Heading6"/>
    <w:locked/>
    <w:rsid w:val="006F4602"/>
    <w:rPr>
      <w:b/>
      <w:snapToGrid w:val="0"/>
      <w:kern w:val="28"/>
      <w:szCs w:val="20"/>
    </w:rPr>
  </w:style>
  <w:style w:type="character" w:customStyle="1" w:styleId="Heading7Char">
    <w:name w:val="Heading 7 Char"/>
    <w:basedOn w:val="DefaultParagraphFont"/>
    <w:link w:val="Heading7"/>
    <w:locked/>
    <w:rsid w:val="006F4602"/>
    <w:rPr>
      <w:b/>
      <w:snapToGrid w:val="0"/>
      <w:kern w:val="28"/>
      <w:szCs w:val="20"/>
    </w:rPr>
  </w:style>
  <w:style w:type="character" w:customStyle="1" w:styleId="Heading8Char">
    <w:name w:val="Heading 8 Char"/>
    <w:basedOn w:val="DefaultParagraphFont"/>
    <w:link w:val="Heading8"/>
    <w:locked/>
    <w:rsid w:val="006F4602"/>
    <w:rPr>
      <w:b/>
      <w:snapToGrid w:val="0"/>
      <w:kern w:val="28"/>
      <w:szCs w:val="20"/>
    </w:rPr>
  </w:style>
  <w:style w:type="character" w:customStyle="1" w:styleId="Heading9Char">
    <w:name w:val="Heading 9 Char"/>
    <w:basedOn w:val="DefaultParagraphFont"/>
    <w:link w:val="Heading9"/>
    <w:locked/>
    <w:rsid w:val="006F4602"/>
    <w:rPr>
      <w:b/>
      <w:snapToGrid w:val="0"/>
      <w:kern w:val="28"/>
      <w:szCs w:val="20"/>
    </w:rPr>
  </w:style>
  <w:style w:type="character" w:customStyle="1" w:styleId="Heading3Char10">
    <w:name w:val="Heading 3 Char10"/>
    <w:aliases w:val="Heading 3 Char1 Char Char18,Heading 3 Char Char Char Char18,Heading 3 Char1 Char18,Heading 3 Char Char Char18,Heading 3 Char1 Char Char Char9,Heading 3 Char Char Char Char Char18,Heading 3 Char2 Char1 Char Char Char9"/>
    <w:basedOn w:val="DefaultParagraphFont"/>
    <w:uiPriority w:val="99"/>
    <w:semiHidden/>
    <w:rPr>
      <w:rFonts w:ascii="Cambria" w:eastAsia="MS Gothic" w:hAnsi="Cambria" w:cs="Times New Roman"/>
      <w:b/>
      <w:bCs/>
      <w:sz w:val="26"/>
      <w:szCs w:val="26"/>
    </w:rPr>
  </w:style>
  <w:style w:type="character" w:customStyle="1" w:styleId="Heading3Char9">
    <w:name w:val="Heading 3 Char9"/>
    <w:aliases w:val="Heading 3 Char1 Char Char17,Heading 3 Char Char Char Char17,Heading 3 Char1 Char17,Heading 3 Char Char Char17,Heading 3 Char1 Char Char Char8,Heading 3 Char Char Char Char Char17,Heading 3 Char2 Char1 Char Char Char8"/>
    <w:basedOn w:val="DefaultParagraphFont"/>
    <w:uiPriority w:val="99"/>
    <w:semiHidden/>
    <w:locked/>
    <w:rsid w:val="00AC63D3"/>
    <w:rPr>
      <w:rFonts w:ascii="Cambria" w:hAnsi="Cambria" w:cs="Times New Roman"/>
      <w:b/>
      <w:bCs/>
      <w:sz w:val="26"/>
      <w:szCs w:val="26"/>
    </w:rPr>
  </w:style>
  <w:style w:type="character" w:customStyle="1" w:styleId="Heading3Char8">
    <w:name w:val="Heading 3 Char8"/>
    <w:aliases w:val="Heading 3 Char1 Char Char16,Heading 3 Char Char Char Char16,Heading 3 Char1 Char16,Heading 3 Char Char Char16,Heading 3 Char1 Char Char Char7,Heading 3 Char Char Char Char Char16,Heading 3 Char2 Char1 Char Char Char7"/>
    <w:basedOn w:val="DefaultParagraphFont"/>
    <w:uiPriority w:val="99"/>
    <w:semiHidden/>
    <w:locked/>
    <w:rsid w:val="007C281C"/>
    <w:rPr>
      <w:rFonts w:ascii="Cambria" w:hAnsi="Cambria" w:cs="Times New Roman"/>
      <w:b/>
      <w:bCs/>
      <w:sz w:val="26"/>
      <w:szCs w:val="26"/>
    </w:rPr>
  </w:style>
  <w:style w:type="character" w:customStyle="1" w:styleId="Heading3Char7">
    <w:name w:val="Heading 3 Char7"/>
    <w:aliases w:val="Heading 3 Char1 Char Char15,Heading 3 Char Char Char Char15,Heading 3 Char1 Char15,Heading 3 Char Char Char15,Heading 3 Char1 Char Char Char6,Heading 3 Char Char Char Char Char15,Heading 3 Char2 Char1 Char Char Char6"/>
    <w:basedOn w:val="DefaultParagraphFont"/>
    <w:uiPriority w:val="99"/>
    <w:semiHidden/>
    <w:locked/>
    <w:rsid w:val="00D67E21"/>
    <w:rPr>
      <w:rFonts w:ascii="Cambria" w:hAnsi="Cambria" w:cs="Times New Roman"/>
      <w:b/>
      <w:bCs/>
      <w:sz w:val="26"/>
      <w:szCs w:val="26"/>
    </w:rPr>
  </w:style>
  <w:style w:type="character" w:customStyle="1" w:styleId="Heading3Char6">
    <w:name w:val="Heading 3 Char6"/>
    <w:aliases w:val="Heading 3 Char1 Char Char14,Heading 3 Char Char Char Char14,Heading 3 Char1 Char14,Heading 3 Char Char Char14,Heading 3 Char1 Char Char Char5,Heading 3 Char Char Char Char Char14,Heading 3 Char2 Char1 Char Char Char5"/>
    <w:basedOn w:val="DefaultParagraphFont"/>
    <w:uiPriority w:val="99"/>
    <w:semiHidden/>
    <w:locked/>
    <w:rsid w:val="00640008"/>
    <w:rPr>
      <w:rFonts w:ascii="Cambria" w:hAnsi="Cambria" w:cs="Times New Roman"/>
      <w:b/>
      <w:bCs/>
      <w:sz w:val="26"/>
      <w:szCs w:val="26"/>
    </w:rPr>
  </w:style>
  <w:style w:type="character" w:customStyle="1" w:styleId="Heading3Char5">
    <w:name w:val="Heading 3 Char5"/>
    <w:aliases w:val="Heading 3 Char1 Char Char13,Heading 3 Char Char Char Char13,Heading 3 Char1 Char13,Heading 3 Char Char Char13,Heading 3 Char1 Char Char Char4,Heading 3 Char Char Char Char Char13,Heading 3 Char2 Char1 Char Char Char4"/>
    <w:basedOn w:val="DefaultParagraphFont"/>
    <w:uiPriority w:val="99"/>
    <w:semiHidden/>
    <w:locked/>
    <w:rsid w:val="00D14545"/>
    <w:rPr>
      <w:rFonts w:ascii="Cambria" w:hAnsi="Cambria" w:cs="Times New Roman"/>
      <w:b/>
      <w:bCs/>
      <w:sz w:val="26"/>
      <w:szCs w:val="26"/>
    </w:rPr>
  </w:style>
  <w:style w:type="character" w:customStyle="1" w:styleId="Heading3Char4">
    <w:name w:val="Heading 3 Char4"/>
    <w:aliases w:val="Heading 3 Char1 Char Char12,Heading 3 Char Char Char Char12,Heading 3 Char1 Char12,Heading 3 Char Char Char12,Heading 3 Char1 Char Char Char3,Heading 3 Char Char Char Char Char12,Heading 3 Char2 Char1 Char Char Char3"/>
    <w:basedOn w:val="DefaultParagraphFont"/>
    <w:uiPriority w:val="99"/>
    <w:semiHidden/>
    <w:locked/>
    <w:rsid w:val="00DA582E"/>
    <w:rPr>
      <w:rFonts w:ascii="Cambria" w:hAnsi="Cambria" w:cs="Times New Roman"/>
      <w:b/>
      <w:bCs/>
      <w:sz w:val="26"/>
      <w:szCs w:val="26"/>
    </w:rPr>
  </w:style>
  <w:style w:type="character" w:customStyle="1" w:styleId="Heading3Char3">
    <w:name w:val="Heading 3 Char3"/>
    <w:aliases w:val="Heading 3 Char1 Char Char11,Heading 3 Char Char Char Char11,Heading 3 Char1 Char11,Heading 3 Char Char Char11,Heading 3 Char1 Char Char Char2,Heading 3 Char Char Char Char Char11,Heading 3 Char2 Char1 Char Char Char2"/>
    <w:basedOn w:val="DefaultParagraphFont"/>
    <w:uiPriority w:val="99"/>
    <w:semiHidden/>
    <w:locked/>
    <w:rsid w:val="00C836A9"/>
    <w:rPr>
      <w:rFonts w:ascii="Cambria" w:hAnsi="Cambria" w:cs="Times New Roman"/>
      <w:b/>
      <w:bCs/>
      <w:sz w:val="26"/>
      <w:szCs w:val="26"/>
    </w:rPr>
  </w:style>
  <w:style w:type="character" w:customStyle="1" w:styleId="Heading3Char2">
    <w:name w:val="Heading 3 Char2"/>
    <w:aliases w:val="Heading 3 Char1 Char Char2,Heading 3 Char Char Char Char2,Heading 3 Char1 Char2,Heading 3 Char Char Char2,Heading 3 Char1 Char Char Char1,Heading 3 Char Char Char Char Char2,Heading 3 Char2 Char1 Char Char Char1"/>
    <w:basedOn w:val="DefaultParagraphFont"/>
    <w:link w:val="Heading3"/>
    <w:locked/>
    <w:rsid w:val="006F4602"/>
    <w:rPr>
      <w:b/>
      <w:snapToGrid w:val="0"/>
      <w:kern w:val="28"/>
      <w:szCs w:val="20"/>
    </w:rPr>
  </w:style>
  <w:style w:type="paragraph" w:styleId="Caption">
    <w:name w:val="caption"/>
    <w:basedOn w:val="Normal"/>
    <w:next w:val="Normal"/>
    <w:uiPriority w:val="99"/>
    <w:qFormat/>
    <w:rsid w:val="00C43557"/>
    <w:pPr>
      <w:spacing w:before="120" w:after="120"/>
    </w:pPr>
    <w:rPr>
      <w:b/>
    </w:rPr>
  </w:style>
  <w:style w:type="paragraph" w:customStyle="1" w:styleId="ParaNum">
    <w:name w:val="ParaNum"/>
    <w:basedOn w:val="Normal"/>
    <w:link w:val="ParaNumChar"/>
    <w:rsid w:val="001C14F2"/>
    <w:pPr>
      <w:numPr>
        <w:numId w:val="4"/>
      </w:numPr>
      <w:tabs>
        <w:tab w:val="clear" w:pos="1080"/>
        <w:tab w:val="num" w:pos="1440"/>
      </w:tabs>
      <w:spacing w:after="120"/>
    </w:p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n,f,fn Char2 Char"/>
    <w:link w:val="FootnoteTextChar3"/>
    <w:rsid w:val="001C14F2"/>
    <w:pPr>
      <w:spacing w:after="120"/>
    </w:pPr>
    <w:rPr>
      <w:sz w:val="20"/>
      <w:szCs w:val="20"/>
    </w:r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f Char"/>
    <w:basedOn w:val="DefaultParagraphFont"/>
    <w:rsid w:val="00D4337F"/>
    <w:rPr>
      <w:kern w:val="28"/>
      <w:sz w:val="20"/>
      <w:szCs w:val="20"/>
    </w:rPr>
  </w:style>
  <w:style w:type="character" w:customStyle="1" w:styleId="FootnoteTextChar12">
    <w:name w:val="Footnote Text Char12"/>
    <w:aliases w:val="Footnote Text Char1 Char10,Footnote Text Char Char Char10,Footnote Text Char2 Char Char Char10,Footnote Text Char3 Char1 Char Char Char10,Footnote Text Char2 Char1 Char1 Char Char Char10,f Cha"/>
    <w:basedOn w:val="DefaultParagraphFont"/>
    <w:uiPriority w:val="99"/>
    <w:semiHidden/>
    <w:rPr>
      <w:rFonts w:cs="Times New Roman"/>
      <w:sz w:val="20"/>
      <w:szCs w:val="20"/>
    </w:rPr>
  </w:style>
  <w:style w:type="character" w:customStyle="1" w:styleId="FootnoteTextChar11">
    <w:name w:val="Footnote Text Char11"/>
    <w:aliases w:val="Footnote Text Char1 Char9,Footnote Text Char Char Char9,Footnote Text Char2 Char Char Char9,Footnote Text Char3 Char1 Char Char Char9,Footnote Text Char2 Char1 Char1 Char Char Char9,f Cha2"/>
    <w:basedOn w:val="DefaultParagraphFont"/>
    <w:uiPriority w:val="99"/>
    <w:semiHidden/>
    <w:locked/>
    <w:rsid w:val="00AC63D3"/>
    <w:rPr>
      <w:rFonts w:cs="Times New Roman"/>
      <w:sz w:val="20"/>
      <w:szCs w:val="20"/>
    </w:rPr>
  </w:style>
  <w:style w:type="character" w:customStyle="1" w:styleId="FootnoteTextChar10">
    <w:name w:val="Footnote Text Char10"/>
    <w:aliases w:val="Footnote Text Char1 Char8,Footnote Text Char Char Char8,Footnote Text Char2 Char Char Char8,Footnote Text Char3 Char1 Char Char Char8,Footnote Text Char2 Char1 Char1 Char Char Char8,f Cha1"/>
    <w:basedOn w:val="DefaultParagraphFont"/>
    <w:uiPriority w:val="99"/>
    <w:semiHidden/>
    <w:locked/>
    <w:rsid w:val="007C281C"/>
    <w:rPr>
      <w:rFonts w:cs="Times New Roman"/>
      <w:sz w:val="20"/>
      <w:szCs w:val="20"/>
    </w:rPr>
  </w:style>
  <w:style w:type="character" w:customStyle="1" w:styleId="FootnoteTextChar9">
    <w:name w:val="Footnote Text Char9"/>
    <w:aliases w:val="Footnote Text Char1 Char7,Footnote Text Char Char Char7,Footnote Text Char2 Char Char Char7,Footnote Text Char3 Char1 Char Char Char7,Footnote Text Char2 Char1 Char1 Char Char Char7,Footnote Text Char3 Char1 Char Char Char Char Char7"/>
    <w:basedOn w:val="DefaultParagraphFont"/>
    <w:uiPriority w:val="99"/>
    <w:semiHidden/>
    <w:locked/>
    <w:rsid w:val="00D67E21"/>
    <w:rPr>
      <w:rFonts w:cs="Times New Roman"/>
      <w:sz w:val="20"/>
      <w:szCs w:val="20"/>
    </w:rPr>
  </w:style>
  <w:style w:type="character" w:customStyle="1" w:styleId="FootnoteTextChar8">
    <w:name w:val="Footnote Text Char8"/>
    <w:aliases w:val="Footnote Text Char1 Char6,Footnote Text Char Char Char6,Footnote Text Char2 Char Char Char6,Footnote Text Char3 Char1 Char Char Char6,Footnote Text Char2 Char1 Char1 Char Char Char6,Footnote Text Char3 Char1 Char Char Char Char Char6"/>
    <w:basedOn w:val="DefaultParagraphFont"/>
    <w:uiPriority w:val="99"/>
    <w:semiHidden/>
    <w:locked/>
    <w:rsid w:val="00640008"/>
    <w:rPr>
      <w:rFonts w:cs="Times New Roman"/>
      <w:sz w:val="20"/>
      <w:szCs w:val="20"/>
    </w:rPr>
  </w:style>
  <w:style w:type="character" w:customStyle="1" w:styleId="FootnoteTextChar7">
    <w:name w:val="Footnote Text Char7"/>
    <w:aliases w:val="Footnote Text Char1 Char5,Footnote Text Char Char Char5,Footnote Text Char2 Char Char Char5,Footnote Text Char3 Char1 Char Char Char5,Footnote Text Char2 Char1 Char1 Char Char Char5,Footnote Text Char3 Char1 Char Char Char Char Char5"/>
    <w:basedOn w:val="DefaultParagraphFont"/>
    <w:uiPriority w:val="99"/>
    <w:semiHidden/>
    <w:locked/>
    <w:rsid w:val="00D14545"/>
    <w:rPr>
      <w:rFonts w:cs="Times New Roman"/>
      <w:sz w:val="20"/>
      <w:szCs w:val="20"/>
    </w:rPr>
  </w:style>
  <w:style w:type="character" w:customStyle="1" w:styleId="FootnoteTextChar6">
    <w:name w:val="Footnote Text Char6"/>
    <w:aliases w:val="Footnote Text Char1 Char4,Footnote Text Char Char Char4,Footnote Text Char2 Char Char Char4,Footnote Text Char3 Char1 Char Char Char4,Footnote Text Char2 Char1 Char1 Char Char Char4,Footnote Text Char3 Char1 Char Char Char Char Char4"/>
    <w:basedOn w:val="DefaultParagraphFont"/>
    <w:uiPriority w:val="99"/>
    <w:semiHidden/>
    <w:locked/>
    <w:rsid w:val="00DA582E"/>
    <w:rPr>
      <w:rFonts w:cs="Times New Roman"/>
      <w:sz w:val="20"/>
      <w:szCs w:val="20"/>
    </w:rPr>
  </w:style>
  <w:style w:type="character" w:customStyle="1" w:styleId="FootnoteTextChar5">
    <w:name w:val="Footnote Text Char5"/>
    <w:aliases w:val="Footnote Text Char1 Char3,Footnote Text Char Char Char3,Footnote Text Char2 Char Char Char3,Footnote Text Char3 Char1 Char Char Char3,Footnote Text Char2 Char1 Char1 Char Char Char3,Footnote Text Char3 Char1 Char Char Char Char Char3"/>
    <w:basedOn w:val="DefaultParagraphFont"/>
    <w:uiPriority w:val="99"/>
    <w:semiHidden/>
    <w:locked/>
    <w:rsid w:val="00C836A9"/>
    <w:rPr>
      <w:rFonts w:cs="Times New Roman"/>
      <w:sz w:val="20"/>
      <w:szCs w:val="20"/>
    </w:rPr>
  </w:style>
  <w:style w:type="character" w:customStyle="1" w:styleId="FootnoteTextChar4">
    <w:name w:val="Footnote Text Char4"/>
    <w:aliases w:val="Footnote Text Char1 Char2,Footnote Text Char Char Char2,Footnote Text Char2 Char Char Char2,Footnote Text Char3 Char1 Char Char Char2,Footnote Text Char2 Char1 Char1 Char Char Char2,Footnote Text Char3 Char1 Char Char Char Char Char2"/>
    <w:basedOn w:val="DefaultParagraphFont"/>
    <w:uiPriority w:val="99"/>
    <w:semiHidden/>
    <w:locked/>
    <w:rsid w:val="006F4602"/>
    <w:rPr>
      <w:rFonts w:cs="Times New Roman"/>
      <w:sz w:val="20"/>
      <w:szCs w:val="20"/>
    </w:rPr>
  </w:style>
  <w:style w:type="paragraph" w:customStyle="1" w:styleId="Bullet">
    <w:name w:val="Bullet"/>
    <w:basedOn w:val="Normal"/>
    <w:rsid w:val="001C14F2"/>
    <w:pPr>
      <w:tabs>
        <w:tab w:val="left" w:pos="2160"/>
      </w:tabs>
      <w:spacing w:after="220"/>
      <w:ind w:left="2160" w:hanging="720"/>
    </w:pPr>
  </w:style>
  <w:style w:type="paragraph" w:styleId="BlockText">
    <w:name w:val="Block Text"/>
    <w:basedOn w:val="Normal"/>
    <w:rsid w:val="001C14F2"/>
    <w:pPr>
      <w:spacing w:after="240"/>
      <w:ind w:left="1440" w:right="1440"/>
    </w:pPr>
  </w:style>
  <w:style w:type="paragraph" w:customStyle="1" w:styleId="TableFormat">
    <w:name w:val="TableFormat"/>
    <w:basedOn w:val="Bullet"/>
    <w:rsid w:val="001C14F2"/>
    <w:pPr>
      <w:tabs>
        <w:tab w:val="clear" w:pos="2160"/>
        <w:tab w:val="left" w:pos="5040"/>
      </w:tabs>
      <w:ind w:left="5040" w:hanging="3600"/>
    </w:pPr>
  </w:style>
  <w:style w:type="character" w:styleId="FootnoteReference">
    <w:name w:val="footnote reference"/>
    <w:aliases w:val="Appel note de bas de p,Style 12,(NECG) Footnote Reference,Style 124,o,fr,Style 3,Style 13,FR,Style 17,Style 6,Footnote Reference/,Style 4"/>
    <w:rsid w:val="001C14F2"/>
    <w:rPr>
      <w:rFonts w:ascii="Times New Roman" w:hAnsi="Times New Roman"/>
      <w:dstrike w:val="0"/>
      <w:color w:val="auto"/>
      <w:sz w:val="20"/>
      <w:vertAlign w:val="superscript"/>
    </w:rPr>
  </w:style>
  <w:style w:type="paragraph" w:styleId="Header">
    <w:name w:val="header"/>
    <w:basedOn w:val="Normal"/>
    <w:link w:val="HeaderChar"/>
    <w:autoRedefine/>
    <w:rsid w:val="001C14F2"/>
    <w:pPr>
      <w:tabs>
        <w:tab w:val="center" w:pos="4680"/>
        <w:tab w:val="right" w:pos="9360"/>
      </w:tabs>
    </w:pPr>
    <w:rPr>
      <w:b/>
    </w:rPr>
  </w:style>
  <w:style w:type="character" w:customStyle="1" w:styleId="HeaderChar">
    <w:name w:val="Header Char"/>
    <w:basedOn w:val="DefaultParagraphFont"/>
    <w:link w:val="Header"/>
    <w:locked/>
    <w:rsid w:val="00DD0C67"/>
    <w:rPr>
      <w:b/>
      <w:snapToGrid w:val="0"/>
      <w:kern w:val="28"/>
      <w:szCs w:val="20"/>
    </w:rPr>
  </w:style>
  <w:style w:type="paragraph" w:styleId="Footer">
    <w:name w:val="footer"/>
    <w:basedOn w:val="Normal"/>
    <w:link w:val="FooterChar"/>
    <w:rsid w:val="001C14F2"/>
    <w:pPr>
      <w:tabs>
        <w:tab w:val="center" w:pos="4320"/>
        <w:tab w:val="right" w:pos="8640"/>
      </w:tabs>
    </w:pPr>
  </w:style>
  <w:style w:type="character" w:customStyle="1" w:styleId="FooterChar">
    <w:name w:val="Footer Char"/>
    <w:basedOn w:val="DefaultParagraphFont"/>
    <w:link w:val="Footer"/>
    <w:locked/>
    <w:rsid w:val="006F4602"/>
    <w:rPr>
      <w:snapToGrid w:val="0"/>
      <w:kern w:val="28"/>
      <w:szCs w:val="20"/>
    </w:rPr>
  </w:style>
  <w:style w:type="paragraph" w:styleId="TOC2">
    <w:name w:val="toc 2"/>
    <w:basedOn w:val="Normal"/>
    <w:next w:val="Normal"/>
    <w:rsid w:val="001C14F2"/>
    <w:pPr>
      <w:tabs>
        <w:tab w:val="left" w:pos="720"/>
        <w:tab w:val="right" w:leader="dot" w:pos="9360"/>
      </w:tabs>
      <w:suppressAutoHyphens/>
      <w:ind w:left="720" w:right="720" w:hanging="360"/>
    </w:pPr>
    <w:rPr>
      <w:noProof/>
    </w:rPr>
  </w:style>
  <w:style w:type="paragraph" w:customStyle="1" w:styleId="NumberedList">
    <w:name w:val="Numbered List"/>
    <w:basedOn w:val="Normal"/>
    <w:uiPriority w:val="99"/>
    <w:rsid w:val="00C43557"/>
    <w:pPr>
      <w:spacing w:after="220"/>
    </w:pPr>
  </w:style>
  <w:style w:type="paragraph" w:styleId="TOC1">
    <w:name w:val="toc 1"/>
    <w:basedOn w:val="Normal"/>
    <w:next w:val="Normal"/>
    <w:rsid w:val="001C14F2"/>
    <w:pPr>
      <w:tabs>
        <w:tab w:val="left" w:pos="360"/>
        <w:tab w:val="right" w:leader="dot" w:pos="9360"/>
      </w:tabs>
      <w:suppressAutoHyphens/>
      <w:ind w:left="360" w:right="720" w:hanging="360"/>
    </w:pPr>
    <w:rPr>
      <w:caps/>
      <w:noProof/>
    </w:rPr>
  </w:style>
  <w:style w:type="paragraph" w:styleId="TOC3">
    <w:name w:val="toc 3"/>
    <w:basedOn w:val="Normal"/>
    <w:next w:val="Normal"/>
    <w:rsid w:val="001C14F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C14F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C14F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C14F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C14F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C14F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C14F2"/>
    <w:pPr>
      <w:tabs>
        <w:tab w:val="left" w:pos="3240"/>
        <w:tab w:val="right" w:leader="dot" w:pos="9360"/>
      </w:tabs>
      <w:suppressAutoHyphens/>
      <w:ind w:left="3240" w:hanging="360"/>
    </w:pPr>
    <w:rPr>
      <w:noProof/>
    </w:rPr>
  </w:style>
  <w:style w:type="character" w:styleId="PageNumber">
    <w:name w:val="page number"/>
    <w:basedOn w:val="DefaultParagraphFont"/>
    <w:rsid w:val="001C14F2"/>
  </w:style>
  <w:style w:type="paragraph" w:styleId="Title">
    <w:name w:val="Title"/>
    <w:basedOn w:val="Normal"/>
    <w:link w:val="TitleChar"/>
    <w:uiPriority w:val="99"/>
    <w:qFormat/>
    <w:rsid w:val="00C43557"/>
    <w:pPr>
      <w:jc w:val="center"/>
    </w:pPr>
    <w:rPr>
      <w:b/>
    </w:rPr>
  </w:style>
  <w:style w:type="character" w:customStyle="1" w:styleId="TitleChar">
    <w:name w:val="Title Char"/>
    <w:basedOn w:val="DefaultParagraphFont"/>
    <w:link w:val="Title"/>
    <w:uiPriority w:val="99"/>
    <w:locked/>
    <w:rsid w:val="006F4602"/>
    <w:rPr>
      <w:rFonts w:ascii="Cambria" w:hAnsi="Cambria" w:cs="Times New Roman"/>
      <w:b/>
      <w:bCs/>
      <w:kern w:val="28"/>
      <w:sz w:val="32"/>
      <w:szCs w:val="32"/>
    </w:rPr>
  </w:style>
  <w:style w:type="paragraph" w:customStyle="1" w:styleId="StyleBoldCentered">
    <w:name w:val="Style Bold Centered"/>
    <w:basedOn w:val="Normal"/>
    <w:rsid w:val="001C14F2"/>
    <w:pPr>
      <w:jc w:val="center"/>
    </w:pPr>
    <w:rPr>
      <w:rFonts w:ascii="Times New Roman Bold" w:hAnsi="Times New Roman Bold"/>
      <w:b/>
      <w:bCs/>
      <w:caps/>
      <w:szCs w:val="22"/>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ink w:val="FootnoteText"/>
    <w:locked/>
    <w:rsid w:val="009E4600"/>
    <w:rPr>
      <w:sz w:val="20"/>
      <w:szCs w:val="20"/>
    </w:rPr>
  </w:style>
  <w:style w:type="character" w:styleId="CommentReference">
    <w:name w:val="annotation reference"/>
    <w:basedOn w:val="DefaultParagraphFont"/>
    <w:uiPriority w:val="99"/>
    <w:rsid w:val="009E4600"/>
    <w:rPr>
      <w:rFonts w:cs="Times New Roman"/>
      <w:sz w:val="16"/>
    </w:rPr>
  </w:style>
  <w:style w:type="paragraph" w:styleId="CommentText">
    <w:name w:val="annotation text"/>
    <w:basedOn w:val="Normal"/>
    <w:link w:val="CommentTextChar"/>
    <w:uiPriority w:val="99"/>
    <w:rsid w:val="009E4600"/>
    <w:rPr>
      <w:sz w:val="20"/>
    </w:rPr>
  </w:style>
  <w:style w:type="character" w:customStyle="1" w:styleId="CommentTextChar">
    <w:name w:val="Comment Text Char"/>
    <w:basedOn w:val="DefaultParagraphFont"/>
    <w:link w:val="CommentText"/>
    <w:uiPriority w:val="99"/>
    <w:locked/>
    <w:rsid w:val="009E4600"/>
    <w:rPr>
      <w:rFonts w:cs="Times New Roman"/>
      <w:snapToGrid w:val="0"/>
      <w:kern w:val="28"/>
    </w:rPr>
  </w:style>
  <w:style w:type="character" w:styleId="Emphasis">
    <w:name w:val="Emphasis"/>
    <w:basedOn w:val="DefaultParagraphFont"/>
    <w:uiPriority w:val="99"/>
    <w:qFormat/>
    <w:rsid w:val="009E4600"/>
    <w:rPr>
      <w:rFonts w:cs="Times New Roman"/>
      <w:i/>
    </w:rPr>
  </w:style>
  <w:style w:type="paragraph" w:styleId="BalloonText">
    <w:name w:val="Balloon Text"/>
    <w:basedOn w:val="Normal"/>
    <w:link w:val="BalloonTextChar"/>
    <w:uiPriority w:val="99"/>
    <w:semiHidden/>
    <w:rsid w:val="009E46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4600"/>
    <w:rPr>
      <w:rFonts w:ascii="Tahoma" w:hAnsi="Tahoma" w:cs="Tahoma"/>
      <w:sz w:val="16"/>
      <w:szCs w:val="16"/>
    </w:rPr>
  </w:style>
  <w:style w:type="character" w:customStyle="1" w:styleId="ParaNumChar">
    <w:name w:val="ParaNum Char"/>
    <w:link w:val="ParaNum"/>
    <w:locked/>
    <w:rsid w:val="00567883"/>
    <w:rPr>
      <w:snapToGrid w:val="0"/>
      <w:kern w:val="28"/>
      <w:szCs w:val="20"/>
    </w:rPr>
  </w:style>
  <w:style w:type="paragraph" w:styleId="NormalWeb">
    <w:name w:val="Normal (Web)"/>
    <w:basedOn w:val="Normal"/>
    <w:uiPriority w:val="99"/>
    <w:rsid w:val="005144D2"/>
    <w:pPr>
      <w:spacing w:before="100" w:beforeAutospacing="1" w:after="100" w:afterAutospacing="1"/>
    </w:pPr>
  </w:style>
  <w:style w:type="paragraph" w:styleId="ListBullet2">
    <w:name w:val="List Bullet 2"/>
    <w:basedOn w:val="Normal"/>
    <w:uiPriority w:val="99"/>
    <w:rsid w:val="002C2394"/>
    <w:pPr>
      <w:tabs>
        <w:tab w:val="num" w:pos="720"/>
      </w:tabs>
      <w:ind w:left="720" w:hanging="360"/>
    </w:pPr>
    <w:rPr>
      <w:rFonts w:ascii="Calibri" w:hAnsi="Calibri"/>
    </w:rPr>
  </w:style>
  <w:style w:type="character" w:customStyle="1" w:styleId="apple-converted-space">
    <w:name w:val="apple-converted-space"/>
    <w:basedOn w:val="DefaultParagraphFont"/>
    <w:uiPriority w:val="99"/>
    <w:rsid w:val="00863947"/>
    <w:rPr>
      <w:rFonts w:cs="Times New Roman"/>
    </w:rPr>
  </w:style>
  <w:style w:type="paragraph" w:styleId="CommentSubject">
    <w:name w:val="annotation subject"/>
    <w:basedOn w:val="CommentText"/>
    <w:next w:val="CommentText"/>
    <w:link w:val="CommentSubjectChar"/>
    <w:uiPriority w:val="99"/>
    <w:semiHidden/>
    <w:rsid w:val="002363B3"/>
    <w:rPr>
      <w:b/>
      <w:bCs/>
    </w:rPr>
  </w:style>
  <w:style w:type="character" w:customStyle="1" w:styleId="CommentSubjectChar">
    <w:name w:val="Comment Subject Char"/>
    <w:basedOn w:val="CommentTextChar"/>
    <w:link w:val="CommentSubject"/>
    <w:uiPriority w:val="99"/>
    <w:semiHidden/>
    <w:locked/>
    <w:rsid w:val="002363B3"/>
    <w:rPr>
      <w:rFonts w:cs="Times New Roman"/>
      <w:b/>
      <w:bCs/>
      <w:snapToGrid w:val="0"/>
      <w:kern w:val="28"/>
    </w:rPr>
  </w:style>
  <w:style w:type="paragraph" w:styleId="ListParagraph">
    <w:name w:val="List Paragraph"/>
    <w:basedOn w:val="Normal"/>
    <w:uiPriority w:val="99"/>
    <w:qFormat/>
    <w:rsid w:val="00534AC7"/>
    <w:pPr>
      <w:ind w:left="720"/>
      <w:contextualSpacing/>
    </w:pPr>
  </w:style>
  <w:style w:type="character" w:customStyle="1" w:styleId="apple-style-span">
    <w:name w:val="apple-style-span"/>
    <w:basedOn w:val="DefaultParagraphFont"/>
    <w:uiPriority w:val="99"/>
    <w:rsid w:val="00A252E6"/>
    <w:rPr>
      <w:rFonts w:cs="Times New Roman"/>
    </w:rPr>
  </w:style>
  <w:style w:type="character" w:customStyle="1" w:styleId="ptext-05">
    <w:name w:val="ptext-05"/>
    <w:basedOn w:val="DefaultParagraphFont"/>
    <w:uiPriority w:val="99"/>
    <w:rsid w:val="001443FC"/>
    <w:rPr>
      <w:rFonts w:cs="Times New Roman"/>
    </w:rPr>
  </w:style>
  <w:style w:type="character" w:styleId="Hyperlink">
    <w:name w:val="Hyperlink"/>
    <w:rsid w:val="001C14F2"/>
    <w:rPr>
      <w:color w:val="0000FF"/>
      <w:u w:val="single"/>
    </w:rPr>
  </w:style>
  <w:style w:type="character" w:styleId="HTMLCite">
    <w:name w:val="HTML Cite"/>
    <w:basedOn w:val="DefaultParagraphFont"/>
    <w:uiPriority w:val="99"/>
    <w:rsid w:val="00E92FA3"/>
    <w:rPr>
      <w:rFonts w:cs="Times New Roman"/>
      <w:color w:val="009933"/>
    </w:rPr>
  </w:style>
  <w:style w:type="character" w:customStyle="1" w:styleId="ParaNumCharChar1">
    <w:name w:val="ParaNum Char Char1"/>
    <w:uiPriority w:val="99"/>
    <w:locked/>
    <w:rsid w:val="004E58F3"/>
    <w:rPr>
      <w:rFonts w:ascii="Times New Roman" w:hAnsi="Times New Roman"/>
      <w:kern w:val="28"/>
      <w:sz w:val="20"/>
    </w:rPr>
  </w:style>
  <w:style w:type="character" w:customStyle="1" w:styleId="FootnoteTextChar1Char1Char1">
    <w:name w:val="Footnote Text Char1 Char1 Char1"/>
    <w:aliases w:val="Footnote Text Char Char1 Char Char1,Footnote Text Char1 Char1 Char Char Char1,Footnote Text Char Char1 Char Char Char Char1,Footnote Text Char2 Char Char1 Char Char Char Char1,ALTS FOOTNOTE Char1"/>
    <w:uiPriority w:val="99"/>
    <w:locked/>
    <w:rsid w:val="004E58F3"/>
    <w:rPr>
      <w:rFonts w:ascii="Times New Roman" w:hAnsi="Times New Roman"/>
      <w:sz w:val="20"/>
    </w:rPr>
  </w:style>
  <w:style w:type="paragraph" w:customStyle="1" w:styleId="par1">
    <w:name w:val="par1"/>
    <w:basedOn w:val="Normal"/>
    <w:link w:val="par1Char"/>
    <w:uiPriority w:val="99"/>
    <w:rsid w:val="003811B1"/>
    <w:pPr>
      <w:numPr>
        <w:numId w:val="2"/>
      </w:numPr>
      <w:tabs>
        <w:tab w:val="num" w:pos="900"/>
        <w:tab w:val="left" w:pos="1440"/>
      </w:tabs>
      <w:ind w:left="-180" w:firstLine="720"/>
    </w:pPr>
    <w:rPr>
      <w:sz w:val="20"/>
    </w:rPr>
  </w:style>
  <w:style w:type="character" w:customStyle="1" w:styleId="rrfootnoteChar1">
    <w:name w:val="rrfootnote Char1"/>
    <w:aliases w:val="rrfootnote Char Char,Footnote Text Char1 Char Char,Footnote Text Char Char Char Char,Footnote Text Char2 Char Char Char Char,Footnote Text Char1 Char2 Char Char Char Char,Footnote Text Char1 Char Char1,rrfootnote Char Char Char,fn Char"/>
    <w:uiPriority w:val="99"/>
    <w:rsid w:val="003811B1"/>
    <w:rPr>
      <w:lang w:val="en-US" w:eastAsia="en-US"/>
    </w:rPr>
  </w:style>
  <w:style w:type="character" w:customStyle="1" w:styleId="documentbody">
    <w:name w:val="documentbody"/>
    <w:basedOn w:val="DefaultParagraphFont"/>
    <w:uiPriority w:val="99"/>
    <w:rsid w:val="003811B1"/>
    <w:rPr>
      <w:rFonts w:cs="Times New Roman"/>
    </w:rPr>
  </w:style>
  <w:style w:type="character" w:customStyle="1" w:styleId="searchterm">
    <w:name w:val="searchterm"/>
    <w:basedOn w:val="DefaultParagraphFont"/>
    <w:uiPriority w:val="99"/>
    <w:rsid w:val="003811B1"/>
    <w:rPr>
      <w:rFonts w:cs="Times New Roman"/>
    </w:rPr>
  </w:style>
  <w:style w:type="character" w:customStyle="1" w:styleId="documentbody1">
    <w:name w:val="documentbody1"/>
    <w:uiPriority w:val="99"/>
    <w:rsid w:val="003811B1"/>
    <w:rPr>
      <w:rFonts w:ascii="Verdana" w:hAnsi="Verdana"/>
      <w:sz w:val="19"/>
      <w:shd w:val="clear" w:color="auto" w:fill="FFFFFF"/>
    </w:rPr>
  </w:style>
  <w:style w:type="character" w:customStyle="1" w:styleId="par1Char">
    <w:name w:val="par1 Char"/>
    <w:link w:val="par1"/>
    <w:uiPriority w:val="99"/>
    <w:locked/>
    <w:rsid w:val="003811B1"/>
    <w:rPr>
      <w:snapToGrid w:val="0"/>
      <w:sz w:val="20"/>
      <w:szCs w:val="20"/>
    </w:rPr>
  </w:style>
  <w:style w:type="character" w:customStyle="1" w:styleId="rrfootnoteChar2">
    <w:name w:val="rrfootnote Char2"/>
    <w:aliases w:val="Footnote Text Char Char1,rrfootnote Char Char1,Footnote Text Char1 Char Char2,Footnote Text Char Char Char Char1,Footnote Text Char2 Char Char Char Char1,Footnote Text Char1 Char2 Char Char Char Char1"/>
    <w:uiPriority w:val="99"/>
    <w:rsid w:val="00817493"/>
    <w:rPr>
      <w:rFonts w:eastAsia="Times New Roman"/>
      <w:sz w:val="20"/>
    </w:rPr>
  </w:style>
  <w:style w:type="paragraph" w:styleId="EndnoteText">
    <w:name w:val="endnote text"/>
    <w:basedOn w:val="Normal"/>
    <w:link w:val="EndnoteTextChar"/>
    <w:semiHidden/>
    <w:locked/>
    <w:rsid w:val="001C14F2"/>
    <w:rPr>
      <w:sz w:val="20"/>
    </w:rPr>
  </w:style>
  <w:style w:type="character" w:customStyle="1" w:styleId="EndnoteTextChar">
    <w:name w:val="Endnote Text Char"/>
    <w:basedOn w:val="DefaultParagraphFont"/>
    <w:link w:val="EndnoteText"/>
    <w:semiHidden/>
    <w:locked/>
    <w:rsid w:val="00EE2DBA"/>
    <w:rPr>
      <w:snapToGrid w:val="0"/>
      <w:kern w:val="28"/>
      <w:sz w:val="20"/>
      <w:szCs w:val="20"/>
    </w:rPr>
  </w:style>
  <w:style w:type="character" w:styleId="EndnoteReference">
    <w:name w:val="endnote reference"/>
    <w:semiHidden/>
    <w:locked/>
    <w:rsid w:val="001C14F2"/>
    <w:rPr>
      <w:vertAlign w:val="superscript"/>
    </w:rPr>
  </w:style>
  <w:style w:type="paragraph" w:styleId="TOAHeading">
    <w:name w:val="toa heading"/>
    <w:basedOn w:val="Normal"/>
    <w:next w:val="Normal"/>
    <w:semiHidden/>
    <w:locked/>
    <w:rsid w:val="001C14F2"/>
    <w:pPr>
      <w:tabs>
        <w:tab w:val="right" w:pos="9360"/>
      </w:tabs>
      <w:suppressAutoHyphens/>
    </w:pPr>
  </w:style>
  <w:style w:type="character" w:customStyle="1" w:styleId="EquationCaption">
    <w:name w:val="_Equation Caption"/>
    <w:rsid w:val="001C14F2"/>
  </w:style>
  <w:style w:type="paragraph" w:customStyle="1" w:styleId="Paratitle">
    <w:name w:val="Para title"/>
    <w:basedOn w:val="Normal"/>
    <w:rsid w:val="001C14F2"/>
    <w:pPr>
      <w:tabs>
        <w:tab w:val="center" w:pos="9270"/>
      </w:tabs>
      <w:spacing w:after="240"/>
    </w:pPr>
    <w:rPr>
      <w:spacing w:val="-2"/>
    </w:rPr>
  </w:style>
  <w:style w:type="paragraph" w:customStyle="1" w:styleId="TOCTitle">
    <w:name w:val="TOC Title"/>
    <w:basedOn w:val="Normal"/>
    <w:rsid w:val="001C14F2"/>
    <w:pPr>
      <w:spacing w:before="240" w:after="240"/>
      <w:jc w:val="center"/>
    </w:pPr>
    <w:rPr>
      <w:rFonts w:ascii="Times New Roman Bold" w:hAnsi="Times New Roman Bold"/>
      <w:b/>
      <w:caps/>
      <w:spacing w:val="-2"/>
    </w:rPr>
  </w:style>
  <w:style w:type="character" w:styleId="FollowedHyperlink">
    <w:name w:val="FollowedHyperlink"/>
    <w:basedOn w:val="DefaultParagraphFont"/>
    <w:uiPriority w:val="99"/>
    <w:semiHidden/>
    <w:locked/>
    <w:rsid w:val="00C82D77"/>
    <w:rPr>
      <w:rFonts w:cs="Times New Roman"/>
      <w:color w:val="800080"/>
      <w:u w:val="single"/>
    </w:rPr>
  </w:style>
  <w:style w:type="paragraph" w:styleId="PlainText">
    <w:name w:val="Plain Text"/>
    <w:basedOn w:val="Normal"/>
    <w:link w:val="PlainTextChar"/>
    <w:uiPriority w:val="99"/>
    <w:unhideWhenUsed/>
    <w:locked/>
    <w:rsid w:val="00897A99"/>
    <w:rPr>
      <w:rFonts w:ascii="Consolas" w:hAnsi="Consolas" w:cs="Consolas"/>
      <w:sz w:val="21"/>
      <w:szCs w:val="21"/>
    </w:rPr>
  </w:style>
  <w:style w:type="character" w:customStyle="1" w:styleId="PlainTextChar">
    <w:name w:val="Plain Text Char"/>
    <w:basedOn w:val="DefaultParagraphFont"/>
    <w:link w:val="PlainText"/>
    <w:uiPriority w:val="99"/>
    <w:rsid w:val="00897A99"/>
    <w:rPr>
      <w:rFonts w:ascii="Consolas" w:eastAsiaTheme="minorHAnsi" w:hAnsi="Consolas" w:cs="Consolas"/>
      <w:sz w:val="21"/>
      <w:szCs w:val="21"/>
    </w:rPr>
  </w:style>
  <w:style w:type="paragraph" w:styleId="Revision">
    <w:name w:val="Revision"/>
    <w:hidden/>
    <w:uiPriority w:val="99"/>
    <w:semiHidden/>
    <w:rsid w:val="00D916D2"/>
    <w:rPr>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8484">
      <w:marLeft w:val="0"/>
      <w:marRight w:val="0"/>
      <w:marTop w:val="0"/>
      <w:marBottom w:val="0"/>
      <w:divBdr>
        <w:top w:val="none" w:sz="0" w:space="0" w:color="auto"/>
        <w:left w:val="none" w:sz="0" w:space="0" w:color="auto"/>
        <w:bottom w:val="none" w:sz="0" w:space="0" w:color="auto"/>
        <w:right w:val="none" w:sz="0" w:space="0" w:color="auto"/>
      </w:divBdr>
    </w:div>
    <w:div w:id="125398485">
      <w:marLeft w:val="0"/>
      <w:marRight w:val="0"/>
      <w:marTop w:val="0"/>
      <w:marBottom w:val="0"/>
      <w:divBdr>
        <w:top w:val="none" w:sz="0" w:space="0" w:color="auto"/>
        <w:left w:val="none" w:sz="0" w:space="0" w:color="auto"/>
        <w:bottom w:val="none" w:sz="0" w:space="0" w:color="auto"/>
        <w:right w:val="none" w:sz="0" w:space="0" w:color="auto"/>
      </w:divBdr>
    </w:div>
    <w:div w:id="125398486">
      <w:marLeft w:val="0"/>
      <w:marRight w:val="0"/>
      <w:marTop w:val="0"/>
      <w:marBottom w:val="0"/>
      <w:divBdr>
        <w:top w:val="none" w:sz="0" w:space="0" w:color="auto"/>
        <w:left w:val="none" w:sz="0" w:space="0" w:color="auto"/>
        <w:bottom w:val="none" w:sz="0" w:space="0" w:color="auto"/>
        <w:right w:val="none" w:sz="0" w:space="0" w:color="auto"/>
      </w:divBdr>
    </w:div>
    <w:div w:id="125398487">
      <w:marLeft w:val="0"/>
      <w:marRight w:val="0"/>
      <w:marTop w:val="0"/>
      <w:marBottom w:val="0"/>
      <w:divBdr>
        <w:top w:val="none" w:sz="0" w:space="0" w:color="auto"/>
        <w:left w:val="none" w:sz="0" w:space="0" w:color="auto"/>
        <w:bottom w:val="none" w:sz="0" w:space="0" w:color="auto"/>
        <w:right w:val="none" w:sz="0" w:space="0" w:color="auto"/>
      </w:divBdr>
    </w:div>
    <w:div w:id="125398488">
      <w:marLeft w:val="0"/>
      <w:marRight w:val="0"/>
      <w:marTop w:val="0"/>
      <w:marBottom w:val="0"/>
      <w:divBdr>
        <w:top w:val="none" w:sz="0" w:space="0" w:color="auto"/>
        <w:left w:val="none" w:sz="0" w:space="0" w:color="auto"/>
        <w:bottom w:val="none" w:sz="0" w:space="0" w:color="auto"/>
        <w:right w:val="none" w:sz="0" w:space="0" w:color="auto"/>
      </w:divBdr>
    </w:div>
    <w:div w:id="125398489">
      <w:marLeft w:val="0"/>
      <w:marRight w:val="0"/>
      <w:marTop w:val="0"/>
      <w:marBottom w:val="0"/>
      <w:divBdr>
        <w:top w:val="none" w:sz="0" w:space="0" w:color="auto"/>
        <w:left w:val="none" w:sz="0" w:space="0" w:color="auto"/>
        <w:bottom w:val="none" w:sz="0" w:space="0" w:color="auto"/>
        <w:right w:val="none" w:sz="0" w:space="0" w:color="auto"/>
      </w:divBdr>
    </w:div>
    <w:div w:id="118944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cc.gov/Forms/Form159/159.pdf" TargetMode="External"/><Relationship Id="rId1" Type="http://schemas.openxmlformats.org/officeDocument/2006/relationships/hyperlink" Target="http://web2.westlaw.com/find/default.wl?mt=Westlaw&amp;db=1000546&amp;docname=47USCAS503&amp;rp=%2ffind%2fdefault.wl&amp;findtype=L&amp;ordoc=2005143201&amp;tc=-1&amp;vr=2.0&amp;fn=_top&amp;sv=Split&amp;tf=-1&amp;pbc=9388B687&amp;rs=WLW13.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ecilia.Sigmund\AppData\Local\Microsoft\Windows\Temporary%20Internet%20Files\Content.MSO\40C5461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40C5461D</Template>
  <TotalTime>0</TotalTime>
  <Pages>3</Pages>
  <Words>3344</Words>
  <Characters>18868</Characters>
  <Application>Microsoft Office Word</Application>
  <DocSecurity>0</DocSecurity>
  <Lines>281</Lines>
  <Paragraphs>58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22290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2014-05-23T18:03:00Z</dcterms:created>
  <dcterms:modified xsi:type="dcterms:W3CDTF">2014-05-23T18:03:00Z</dcterms:modified>
  <cp:category> </cp:category>
  <cp:contentStatus> </cp:contentStatus>
</cp:coreProperties>
</file>