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697530" w:rsidRDefault="004C2EE3">
      <w:pPr>
        <w:jc w:val="center"/>
        <w:rPr>
          <w:b/>
        </w:rPr>
      </w:pPr>
      <w:bookmarkStart w:id="0" w:name="_GoBack"/>
      <w:bookmarkEnd w:id="0"/>
      <w:r w:rsidRPr="00697530">
        <w:rPr>
          <w:rFonts w:ascii="Times New Roman Bold" w:hAnsi="Times New Roman Bold"/>
          <w:b/>
        </w:rPr>
        <w:t>Before</w:t>
      </w:r>
      <w:r w:rsidRPr="00697530">
        <w:rPr>
          <w:b/>
        </w:rPr>
        <w:t xml:space="preserve"> the</w:t>
      </w:r>
    </w:p>
    <w:p w:rsidR="00921803" w:rsidRPr="00697530" w:rsidRDefault="00921803" w:rsidP="00921803">
      <w:pPr>
        <w:pStyle w:val="StyleBoldCentered"/>
      </w:pPr>
      <w:r w:rsidRPr="00697530">
        <w:t>F</w:t>
      </w:r>
      <w:r w:rsidRPr="00697530">
        <w:rPr>
          <w:caps w:val="0"/>
        </w:rPr>
        <w:t>ederal Communications Commission</w:t>
      </w:r>
    </w:p>
    <w:p w:rsidR="004C2EE3" w:rsidRPr="00697530" w:rsidRDefault="009F3D6E" w:rsidP="00096D8C">
      <w:pPr>
        <w:pStyle w:val="StyleBoldCentered"/>
      </w:pPr>
      <w:r w:rsidRPr="00697530">
        <w:rPr>
          <w:caps w:val="0"/>
        </w:rPr>
        <w:t>Washington</w:t>
      </w:r>
      <w:r w:rsidR="004C2EE3" w:rsidRPr="00697530">
        <w:t>, D.C. 20554</w:t>
      </w:r>
    </w:p>
    <w:p w:rsidR="004C2EE3" w:rsidRPr="00697530" w:rsidRDefault="004C2EE3" w:rsidP="0070224F"/>
    <w:tbl>
      <w:tblPr>
        <w:tblW w:w="0" w:type="auto"/>
        <w:tblLayout w:type="fixed"/>
        <w:tblLook w:val="0000" w:firstRow="0" w:lastRow="0" w:firstColumn="0" w:lastColumn="0" w:noHBand="0" w:noVBand="0"/>
      </w:tblPr>
      <w:tblGrid>
        <w:gridCol w:w="4698"/>
        <w:gridCol w:w="630"/>
        <w:gridCol w:w="4248"/>
      </w:tblGrid>
      <w:tr w:rsidR="004C2EE3" w:rsidRPr="00697530">
        <w:tc>
          <w:tcPr>
            <w:tcW w:w="4698" w:type="dxa"/>
          </w:tcPr>
          <w:p w:rsidR="004C2EE3" w:rsidRPr="00697530" w:rsidRDefault="004C2EE3">
            <w:pPr>
              <w:tabs>
                <w:tab w:val="center" w:pos="4680"/>
              </w:tabs>
              <w:suppressAutoHyphens/>
              <w:rPr>
                <w:spacing w:val="-2"/>
              </w:rPr>
            </w:pPr>
            <w:r w:rsidRPr="00697530">
              <w:rPr>
                <w:spacing w:val="-2"/>
              </w:rPr>
              <w:t>In the Matter of</w:t>
            </w:r>
          </w:p>
          <w:p w:rsidR="004C2EE3" w:rsidRPr="00697530" w:rsidRDefault="004C2EE3">
            <w:pPr>
              <w:tabs>
                <w:tab w:val="center" w:pos="4680"/>
              </w:tabs>
              <w:suppressAutoHyphens/>
              <w:rPr>
                <w:spacing w:val="-2"/>
              </w:rPr>
            </w:pPr>
          </w:p>
          <w:p w:rsidR="00196B43" w:rsidRPr="00697530" w:rsidRDefault="00196B43" w:rsidP="00196B43">
            <w:r w:rsidRPr="00697530">
              <w:t>Implementation of the Commercial Advertisement Loudness Mitigation (CALM) Act</w:t>
            </w:r>
          </w:p>
          <w:p w:rsidR="004C2EE3" w:rsidRPr="00697530" w:rsidRDefault="004C2EE3" w:rsidP="007115F7">
            <w:pPr>
              <w:tabs>
                <w:tab w:val="center" w:pos="4680"/>
              </w:tabs>
              <w:suppressAutoHyphens/>
              <w:rPr>
                <w:spacing w:val="-2"/>
              </w:rPr>
            </w:pPr>
          </w:p>
        </w:tc>
        <w:tc>
          <w:tcPr>
            <w:tcW w:w="630" w:type="dxa"/>
          </w:tcPr>
          <w:p w:rsidR="004C2EE3" w:rsidRPr="00697530" w:rsidRDefault="004C2EE3">
            <w:pPr>
              <w:tabs>
                <w:tab w:val="center" w:pos="4680"/>
              </w:tabs>
              <w:suppressAutoHyphens/>
              <w:rPr>
                <w:b/>
                <w:spacing w:val="-2"/>
              </w:rPr>
            </w:pPr>
            <w:r w:rsidRPr="00697530">
              <w:rPr>
                <w:b/>
                <w:spacing w:val="-2"/>
              </w:rPr>
              <w:t>)</w:t>
            </w:r>
          </w:p>
          <w:p w:rsidR="004C2EE3" w:rsidRPr="00697530" w:rsidRDefault="004C2EE3">
            <w:pPr>
              <w:tabs>
                <w:tab w:val="center" w:pos="4680"/>
              </w:tabs>
              <w:suppressAutoHyphens/>
              <w:rPr>
                <w:b/>
                <w:spacing w:val="-2"/>
              </w:rPr>
            </w:pPr>
            <w:r w:rsidRPr="00697530">
              <w:rPr>
                <w:b/>
                <w:spacing w:val="-2"/>
              </w:rPr>
              <w:t>)</w:t>
            </w:r>
          </w:p>
          <w:p w:rsidR="004C2EE3" w:rsidRPr="00697530" w:rsidRDefault="004C2EE3">
            <w:pPr>
              <w:tabs>
                <w:tab w:val="center" w:pos="4680"/>
              </w:tabs>
              <w:suppressAutoHyphens/>
              <w:rPr>
                <w:b/>
                <w:spacing w:val="-2"/>
              </w:rPr>
            </w:pPr>
            <w:r w:rsidRPr="00697530">
              <w:rPr>
                <w:b/>
                <w:spacing w:val="-2"/>
              </w:rPr>
              <w:t>)</w:t>
            </w:r>
          </w:p>
          <w:p w:rsidR="004C2EE3" w:rsidRPr="00697530" w:rsidRDefault="004C2EE3">
            <w:pPr>
              <w:tabs>
                <w:tab w:val="center" w:pos="4680"/>
              </w:tabs>
              <w:suppressAutoHyphens/>
              <w:rPr>
                <w:b/>
                <w:spacing w:val="-2"/>
              </w:rPr>
            </w:pPr>
            <w:r w:rsidRPr="00697530">
              <w:rPr>
                <w:b/>
                <w:spacing w:val="-2"/>
              </w:rPr>
              <w:t>)</w:t>
            </w:r>
          </w:p>
          <w:p w:rsidR="004C2EE3" w:rsidRPr="00697530" w:rsidRDefault="004C2EE3" w:rsidP="00196B43">
            <w:pPr>
              <w:tabs>
                <w:tab w:val="center" w:pos="4680"/>
              </w:tabs>
              <w:suppressAutoHyphens/>
              <w:rPr>
                <w:spacing w:val="-2"/>
              </w:rPr>
            </w:pPr>
            <w:r w:rsidRPr="00697530">
              <w:rPr>
                <w:b/>
                <w:spacing w:val="-2"/>
              </w:rPr>
              <w:t>)</w:t>
            </w:r>
          </w:p>
        </w:tc>
        <w:tc>
          <w:tcPr>
            <w:tcW w:w="4248" w:type="dxa"/>
          </w:tcPr>
          <w:p w:rsidR="00196B43" w:rsidRPr="00697530" w:rsidRDefault="00196B43" w:rsidP="00196B43">
            <w:pPr>
              <w:tabs>
                <w:tab w:val="center" w:pos="4680"/>
              </w:tabs>
              <w:suppressAutoHyphens/>
              <w:rPr>
                <w:spacing w:val="-2"/>
              </w:rPr>
            </w:pPr>
          </w:p>
          <w:p w:rsidR="00196B43" w:rsidRPr="00697530" w:rsidRDefault="00196B43" w:rsidP="00196B43">
            <w:pPr>
              <w:pStyle w:val="TOAHeading"/>
              <w:tabs>
                <w:tab w:val="clear" w:pos="9360"/>
                <w:tab w:val="center" w:pos="4680"/>
              </w:tabs>
              <w:rPr>
                <w:spacing w:val="-2"/>
              </w:rPr>
            </w:pPr>
          </w:p>
          <w:p w:rsidR="004C2EE3" w:rsidRPr="00697530" w:rsidRDefault="00196B43" w:rsidP="00196B43">
            <w:pPr>
              <w:tabs>
                <w:tab w:val="center" w:pos="4680"/>
              </w:tabs>
              <w:suppressAutoHyphens/>
              <w:rPr>
                <w:spacing w:val="-2"/>
              </w:rPr>
            </w:pPr>
            <w:r w:rsidRPr="00697530">
              <w:rPr>
                <w:spacing w:val="-2"/>
              </w:rPr>
              <w:t>MB Docket No. 11-93</w:t>
            </w:r>
          </w:p>
        </w:tc>
      </w:tr>
    </w:tbl>
    <w:p w:rsidR="004C2EE3" w:rsidRPr="00697530" w:rsidRDefault="004C2EE3" w:rsidP="0070224F"/>
    <w:p w:rsidR="00841AB1" w:rsidRPr="00697530" w:rsidRDefault="00374CE5" w:rsidP="00F021FA">
      <w:pPr>
        <w:pStyle w:val="StyleBoldCentered"/>
      </w:pPr>
      <w:r w:rsidRPr="00697530">
        <w:t xml:space="preserve">SECOND REPORT AND </w:t>
      </w:r>
      <w:r w:rsidR="00DA7477" w:rsidRPr="00697530">
        <w:t>ORDER</w:t>
      </w:r>
    </w:p>
    <w:p w:rsidR="004C2EE3" w:rsidRPr="00697530" w:rsidRDefault="004C2EE3">
      <w:pPr>
        <w:tabs>
          <w:tab w:val="left" w:pos="-720"/>
        </w:tabs>
        <w:suppressAutoHyphens/>
        <w:spacing w:line="227" w:lineRule="auto"/>
        <w:rPr>
          <w:spacing w:val="-2"/>
        </w:rPr>
      </w:pPr>
    </w:p>
    <w:p w:rsidR="004D495C" w:rsidRDefault="004D495C" w:rsidP="004D495C">
      <w:pPr>
        <w:tabs>
          <w:tab w:val="left" w:pos="720"/>
          <w:tab w:val="right" w:pos="9360"/>
        </w:tabs>
        <w:suppressAutoHyphens/>
        <w:spacing w:line="227" w:lineRule="auto"/>
        <w:rPr>
          <w:spacing w:val="-2"/>
        </w:rPr>
      </w:pPr>
      <w:r w:rsidRPr="00A44682">
        <w:rPr>
          <w:b/>
          <w:spacing w:val="-2"/>
        </w:rPr>
        <w:t xml:space="preserve">Adopted:  </w:t>
      </w:r>
      <w:r w:rsidR="00892768" w:rsidRPr="00A44682">
        <w:rPr>
          <w:b/>
          <w:spacing w:val="-2"/>
        </w:rPr>
        <w:t>June 3, 2014</w:t>
      </w:r>
      <w:r w:rsidRPr="00A44682">
        <w:rPr>
          <w:b/>
          <w:spacing w:val="-2"/>
        </w:rPr>
        <w:tab/>
        <w:t xml:space="preserve">Released:  </w:t>
      </w:r>
      <w:r w:rsidR="00892768" w:rsidRPr="00A44682">
        <w:rPr>
          <w:b/>
          <w:spacing w:val="-2"/>
        </w:rPr>
        <w:t>June 4, 2014</w:t>
      </w:r>
    </w:p>
    <w:p w:rsidR="00822CE0" w:rsidRPr="00697530" w:rsidRDefault="00822CE0"/>
    <w:p w:rsidR="00104D8A" w:rsidRPr="00697530" w:rsidRDefault="00104D8A" w:rsidP="00104D8A">
      <w:pPr>
        <w:pStyle w:val="ParaNum"/>
        <w:numPr>
          <w:ilvl w:val="0"/>
          <w:numId w:val="0"/>
        </w:numPr>
      </w:pPr>
      <w:r w:rsidRPr="00697530">
        <w:t>By the Commission:</w:t>
      </w:r>
      <w:r w:rsidR="008E4974" w:rsidRPr="00697530">
        <w:t xml:space="preserve">  </w:t>
      </w:r>
    </w:p>
    <w:p w:rsidR="00D06CE7" w:rsidRPr="00697530" w:rsidRDefault="00D06CE7" w:rsidP="00104D8A">
      <w:pPr>
        <w:pStyle w:val="ParaNum"/>
        <w:numPr>
          <w:ilvl w:val="0"/>
          <w:numId w:val="0"/>
        </w:numPr>
      </w:pPr>
    </w:p>
    <w:p w:rsidR="00D06CE7" w:rsidRPr="00697530" w:rsidRDefault="00D06CE7" w:rsidP="00D06CE7">
      <w:pPr>
        <w:pStyle w:val="Heading1"/>
        <w:rPr>
          <w:rFonts w:ascii="Times New Roman" w:hAnsi="Times New Roman"/>
        </w:rPr>
      </w:pPr>
      <w:bookmarkStart w:id="1" w:name="_Toc92617335"/>
      <w:bookmarkStart w:id="2" w:name="_Toc92790551"/>
      <w:bookmarkStart w:id="3" w:name="_Toc93202756"/>
      <w:bookmarkStart w:id="4" w:name="_Toc93211371"/>
      <w:bookmarkStart w:id="5" w:name="_Toc93232795"/>
      <w:bookmarkStart w:id="6" w:name="_Toc93234650"/>
      <w:bookmarkStart w:id="7" w:name="_Toc93823505"/>
      <w:bookmarkStart w:id="8" w:name="_Toc93838079"/>
      <w:bookmarkStart w:id="9" w:name="_Toc94410193"/>
      <w:bookmarkStart w:id="10" w:name="_Toc94425689"/>
      <w:bookmarkStart w:id="11" w:name="_Toc94523085"/>
      <w:bookmarkStart w:id="12" w:name="_Toc94529920"/>
      <w:bookmarkStart w:id="13" w:name="_Toc94695324"/>
      <w:bookmarkStart w:id="14" w:name="_Toc95053137"/>
      <w:bookmarkStart w:id="15" w:name="_Toc95185633"/>
      <w:bookmarkStart w:id="16" w:name="_Toc263955100"/>
      <w:bookmarkStart w:id="17" w:name="_Toc264045059"/>
      <w:bookmarkStart w:id="18" w:name="_Toc264358601"/>
      <w:bookmarkStart w:id="19" w:name="_Toc264469640"/>
      <w:bookmarkStart w:id="20" w:name="_Toc264626482"/>
      <w:bookmarkStart w:id="21" w:name="_Toc265149291"/>
      <w:bookmarkStart w:id="22" w:name="_Toc266187817"/>
      <w:bookmarkStart w:id="23" w:name="_Toc266448370"/>
      <w:bookmarkStart w:id="24" w:name="_Toc286247821"/>
      <w:bookmarkStart w:id="25" w:name="_Toc286326201"/>
      <w:bookmarkStart w:id="26" w:name="_Toc287975733"/>
      <w:bookmarkStart w:id="27" w:name="_Toc288130271"/>
      <w:bookmarkStart w:id="28" w:name="_Toc288656915"/>
      <w:bookmarkStart w:id="29" w:name="_Toc289343410"/>
      <w:bookmarkStart w:id="30" w:name="_Toc289351700"/>
      <w:bookmarkStart w:id="31" w:name="_Toc289351864"/>
      <w:bookmarkStart w:id="32" w:name="_Toc289351918"/>
      <w:bookmarkStart w:id="33" w:name="_Toc289352190"/>
      <w:bookmarkStart w:id="34" w:name="_Toc290033424"/>
      <w:bookmarkStart w:id="35" w:name="_Toc290049594"/>
      <w:bookmarkStart w:id="36" w:name="_Toc291159326"/>
      <w:bookmarkStart w:id="37" w:name="_Toc291237926"/>
      <w:bookmarkStart w:id="38" w:name="_Toc291238304"/>
      <w:bookmarkStart w:id="39" w:name="_Toc291780279"/>
      <w:r w:rsidRPr="00697530">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04D8A" w:rsidRPr="00697530" w:rsidRDefault="00196B43" w:rsidP="007270C3">
      <w:pPr>
        <w:pStyle w:val="ParaNum"/>
        <w:widowControl/>
      </w:pPr>
      <w:r w:rsidRPr="00697530">
        <w:t xml:space="preserve">In this </w:t>
      </w:r>
      <w:r w:rsidR="00374CE5" w:rsidRPr="00697530">
        <w:t>Second Report and Order (R&amp;O), we</w:t>
      </w:r>
      <w:r w:rsidR="00CE77D0" w:rsidRPr="00697530">
        <w:t xml:space="preserve"> make minor changes to our rules </w:t>
      </w:r>
      <w:r w:rsidR="00F96C67" w:rsidRPr="00697530">
        <w:t xml:space="preserve">that </w:t>
      </w:r>
      <w:r w:rsidR="00CE77D0" w:rsidRPr="00697530">
        <w:t>restrict the volume of television commercials</w:t>
      </w:r>
      <w:r w:rsidR="00050D94" w:rsidRPr="00697530">
        <w:t xml:space="preserve">.  It is our hope that these changes will </w:t>
      </w:r>
      <w:r w:rsidR="00AE35B4" w:rsidRPr="00697530">
        <w:t>result in a modest decrease in the perceived loudness of certain commercials</w:t>
      </w:r>
      <w:r w:rsidR="00071D6E" w:rsidRPr="00697530">
        <w:t>.</w:t>
      </w:r>
      <w:r w:rsidR="00875B83" w:rsidRPr="00697530">
        <w:rPr>
          <w:rStyle w:val="FootnoteReference"/>
        </w:rPr>
        <w:footnoteReference w:id="2"/>
      </w:r>
      <w:r w:rsidR="003C4968" w:rsidRPr="00697530">
        <w:t xml:space="preserve"> </w:t>
      </w:r>
      <w:r w:rsidR="00071D6E" w:rsidRPr="00697530">
        <w:t xml:space="preserve"> Specifically, as required by the </w:t>
      </w:r>
      <w:r w:rsidR="00CE77D0" w:rsidRPr="00697530">
        <w:t>Commercial Advertisement Loudness Mitigation (CALM)</w:t>
      </w:r>
      <w:r w:rsidR="00393689" w:rsidRPr="00697530">
        <w:t xml:space="preserve"> </w:t>
      </w:r>
      <w:r w:rsidR="00071D6E" w:rsidRPr="00697530">
        <w:t>Act,</w:t>
      </w:r>
      <w:r w:rsidR="00071D6E" w:rsidRPr="00697530">
        <w:rPr>
          <w:rStyle w:val="FootnoteReference"/>
        </w:rPr>
        <w:footnoteReference w:id="3"/>
      </w:r>
      <w:r w:rsidR="00071D6E" w:rsidRPr="00697530">
        <w:t xml:space="preserve"> we</w:t>
      </w:r>
      <w:r w:rsidR="003C4968" w:rsidRPr="00697530">
        <w:t xml:space="preserve"> </w:t>
      </w:r>
      <w:r w:rsidR="00BE1780" w:rsidRPr="00697530">
        <w:t xml:space="preserve">incorporate </w:t>
      </w:r>
      <w:r w:rsidR="00071D6E" w:rsidRPr="00697530">
        <w:t xml:space="preserve">by reference </w:t>
      </w:r>
      <w:r w:rsidR="00104D8A" w:rsidRPr="00697530">
        <w:t>the Advanced Television Systems Committee</w:t>
      </w:r>
      <w:r w:rsidR="00BE1780" w:rsidRPr="00697530">
        <w:t>’s</w:t>
      </w:r>
      <w:r w:rsidR="00104D8A" w:rsidRPr="00697530">
        <w:t xml:space="preserve"> (ATSC)</w:t>
      </w:r>
      <w:r w:rsidR="00104D8A" w:rsidRPr="00697530">
        <w:rPr>
          <w:rStyle w:val="FootnoteReference"/>
        </w:rPr>
        <w:footnoteReference w:id="4"/>
      </w:r>
      <w:r w:rsidR="00104D8A" w:rsidRPr="00697530">
        <w:t xml:space="preserve"> </w:t>
      </w:r>
      <w:r w:rsidR="00875B83" w:rsidRPr="00697530">
        <w:t>March 12, 2013 A/85:2013 Recommended Practice (RP) (Successor RP),</w:t>
      </w:r>
      <w:r w:rsidR="00875B83" w:rsidRPr="00697530">
        <w:rPr>
          <w:rStyle w:val="FootnoteReference"/>
        </w:rPr>
        <w:footnoteReference w:id="5"/>
      </w:r>
      <w:r w:rsidR="00875B83" w:rsidRPr="00697530">
        <w:t xml:space="preserve"> which is the successor </w:t>
      </w:r>
      <w:r w:rsidR="00104D8A" w:rsidRPr="00697530">
        <w:t xml:space="preserve">document to </w:t>
      </w:r>
      <w:r w:rsidR="00875B83" w:rsidRPr="00697530">
        <w:t>the</w:t>
      </w:r>
      <w:r w:rsidR="00104D8A" w:rsidRPr="00697530">
        <w:t xml:space="preserve"> </w:t>
      </w:r>
      <w:r w:rsidR="00954E67" w:rsidRPr="00697530">
        <w:t xml:space="preserve">July 25, 2011 </w:t>
      </w:r>
      <w:r w:rsidR="00104D8A" w:rsidRPr="00697530">
        <w:t>A/85</w:t>
      </w:r>
      <w:r w:rsidR="00381ADC" w:rsidRPr="00697530">
        <w:t>:2011</w:t>
      </w:r>
      <w:r w:rsidR="00104D8A" w:rsidRPr="00697530">
        <w:t xml:space="preserve"> Recommended Practice (</w:t>
      </w:r>
      <w:r w:rsidR="00A40E94" w:rsidRPr="00697530">
        <w:t xml:space="preserve">Current </w:t>
      </w:r>
      <w:r w:rsidR="00104D8A" w:rsidRPr="00697530">
        <w:t>RP</w:t>
      </w:r>
      <w:r w:rsidR="00875B83" w:rsidRPr="00697530">
        <w:t>), incorporated into our rules in 2011.</w:t>
      </w:r>
      <w:r w:rsidR="00104D8A" w:rsidRPr="00697530">
        <w:rPr>
          <w:rStyle w:val="FootnoteReference"/>
        </w:rPr>
        <w:footnoteReference w:id="6"/>
      </w:r>
      <w:r w:rsidR="00104D8A" w:rsidRPr="00697530">
        <w:t xml:space="preserve">  </w:t>
      </w:r>
      <w:r w:rsidR="00EE17AF" w:rsidRPr="00697530">
        <w:t>As discussed below, t</w:t>
      </w:r>
      <w:r w:rsidR="00156E75" w:rsidRPr="00697530">
        <w:t>he Successor RP will become mandatory on</w:t>
      </w:r>
      <w:r w:rsidR="00A44682">
        <w:t xml:space="preserve"> </w:t>
      </w:r>
      <w:r w:rsidR="00A44682" w:rsidRPr="00A44682">
        <w:t>June 4, 201</w:t>
      </w:r>
      <w:r w:rsidR="00A44682">
        <w:t>5</w:t>
      </w:r>
      <w:r w:rsidR="00156E75" w:rsidRPr="00697530">
        <w:t>.</w:t>
      </w:r>
      <w:r w:rsidR="00156E75" w:rsidRPr="00697530">
        <w:rPr>
          <w:rStyle w:val="FootnoteReference"/>
        </w:rPr>
        <w:footnoteReference w:id="7"/>
      </w:r>
      <w:r w:rsidR="001B1820" w:rsidRPr="00697530">
        <w:t xml:space="preserve">  Until this date, </w:t>
      </w:r>
      <w:r w:rsidR="00E134A2" w:rsidRPr="00697530">
        <w:t>parties must</w:t>
      </w:r>
      <w:r w:rsidR="001023F8" w:rsidRPr="00697530">
        <w:t>,</w:t>
      </w:r>
      <w:r w:rsidR="00E134A2" w:rsidRPr="00697530">
        <w:t xml:space="preserve"> at </w:t>
      </w:r>
      <w:r w:rsidR="001023F8" w:rsidRPr="00697530">
        <w:t>a minimum,</w:t>
      </w:r>
      <w:r w:rsidR="00E134A2" w:rsidRPr="00697530">
        <w:t xml:space="preserve"> comply with </w:t>
      </w:r>
      <w:r w:rsidR="001B1820" w:rsidRPr="00697530">
        <w:t xml:space="preserve">the Current RP that </w:t>
      </w:r>
      <w:r w:rsidR="008C6BE3" w:rsidRPr="00697530">
        <w:t>was</w:t>
      </w:r>
      <w:r w:rsidR="001B1820" w:rsidRPr="00697530">
        <w:t xml:space="preserve"> incorporated into our rules in 2011</w:t>
      </w:r>
      <w:r w:rsidR="007A6117" w:rsidRPr="00697530">
        <w:t>; however</w:t>
      </w:r>
      <w:r w:rsidR="001B1820" w:rsidRPr="00697530">
        <w:t>, as provided in the Order accompanying the Further Notice of Proposed Rulemaking (</w:t>
      </w:r>
      <w:r w:rsidR="001B1820" w:rsidRPr="00662967">
        <w:rPr>
          <w:i/>
        </w:rPr>
        <w:t>FNPRM</w:t>
      </w:r>
      <w:r w:rsidR="001B1820" w:rsidRPr="00697530">
        <w:t>),</w:t>
      </w:r>
      <w:r w:rsidR="008C6BE3" w:rsidRPr="00697530">
        <w:rPr>
          <w:rStyle w:val="FootnoteReference"/>
        </w:rPr>
        <w:footnoteReference w:id="8"/>
      </w:r>
      <w:r w:rsidR="001B1820" w:rsidRPr="00697530">
        <w:t xml:space="preserve"> </w:t>
      </w:r>
      <w:r w:rsidR="008F3F23">
        <w:t>prior to t</w:t>
      </w:r>
      <w:r w:rsidR="00017E1A">
        <w:t xml:space="preserve">hat date, </w:t>
      </w:r>
      <w:r w:rsidR="00EB3388" w:rsidRPr="00697530">
        <w:t xml:space="preserve">parties may instead </w:t>
      </w:r>
      <w:r w:rsidR="00017E1A">
        <w:t xml:space="preserve">choose to </w:t>
      </w:r>
      <w:r w:rsidR="00EB3388" w:rsidRPr="00697530">
        <w:t>c</w:t>
      </w:r>
      <w:r w:rsidR="00F47393" w:rsidRPr="00697530">
        <w:t>omply with</w:t>
      </w:r>
      <w:r w:rsidR="00EB3388" w:rsidRPr="00697530">
        <w:t xml:space="preserve"> the </w:t>
      </w:r>
      <w:r w:rsidR="00F82ED4" w:rsidRPr="00697530">
        <w:lastRenderedPageBreak/>
        <w:t xml:space="preserve">updated </w:t>
      </w:r>
      <w:r w:rsidR="00EB3388" w:rsidRPr="00697530">
        <w:t xml:space="preserve">loudness measurement method contained in the Successor RP, rather than </w:t>
      </w:r>
      <w:r w:rsidR="00F82ED4" w:rsidRPr="00697530">
        <w:t xml:space="preserve">the method contained in </w:t>
      </w:r>
      <w:r w:rsidR="00EB3388" w:rsidRPr="00697530">
        <w:t>the Current RP.</w:t>
      </w:r>
      <w:r w:rsidR="00EB3388" w:rsidRPr="00697530">
        <w:rPr>
          <w:rStyle w:val="FootnoteReference"/>
        </w:rPr>
        <w:footnoteReference w:id="9"/>
      </w:r>
    </w:p>
    <w:p w:rsidR="00104D8A" w:rsidRPr="00697530" w:rsidRDefault="00104D8A" w:rsidP="00104D8A">
      <w:pPr>
        <w:pStyle w:val="Heading1"/>
      </w:pPr>
      <w:r w:rsidRPr="00697530">
        <w:t>BACKGROUND</w:t>
      </w:r>
    </w:p>
    <w:p w:rsidR="00104D8A" w:rsidRPr="00697530" w:rsidRDefault="00293CD5" w:rsidP="00357558">
      <w:pPr>
        <w:pStyle w:val="ParaNum"/>
      </w:pPr>
      <w:r w:rsidRPr="00697530">
        <w:t xml:space="preserve">The Commission’s rules implementing the CALM Act, adopted </w:t>
      </w:r>
      <w:r w:rsidR="00104D8A" w:rsidRPr="00697530">
        <w:t>December 13, 2011,</w:t>
      </w:r>
      <w:r w:rsidR="00037732" w:rsidRPr="00697530">
        <w:rPr>
          <w:rStyle w:val="FootnoteReference"/>
        </w:rPr>
        <w:footnoteReference w:id="10"/>
      </w:r>
      <w:r w:rsidR="00104D8A" w:rsidRPr="00697530">
        <w:t xml:space="preserve"> </w:t>
      </w:r>
      <w:r w:rsidRPr="00697530">
        <w:t>require digital TV broadcasters, digital cable operators, satellite TV providers, and other digital MVPDs to ensure that the commercials they transmit to viewers comply with the television industry’s 2011 ATSC A/85 Recommended Practice (RP),</w:t>
      </w:r>
      <w:r w:rsidR="00037732" w:rsidRPr="00697530">
        <w:rPr>
          <w:rStyle w:val="FootnoteReference"/>
        </w:rPr>
        <w:footnoteReference w:id="11"/>
      </w:r>
      <w:r w:rsidRPr="00697530">
        <w:t xml:space="preserve"> which describes how the industry can monitor and control the loudness level of digital TV programming.  </w:t>
      </w:r>
      <w:r w:rsidR="00104D8A" w:rsidRPr="00697530">
        <w:t>As mandated by the statute,</w:t>
      </w:r>
      <w:r w:rsidR="00104D8A" w:rsidRPr="00697530">
        <w:rPr>
          <w:rStyle w:val="FootnoteReference"/>
        </w:rPr>
        <w:footnoteReference w:id="12"/>
      </w:r>
      <w:r w:rsidR="00104D8A" w:rsidRPr="00697530">
        <w:t xml:space="preserve"> the Commission incorporated into its rules by reference and made mandatory the </w:t>
      </w:r>
      <w:r w:rsidR="00373AC6" w:rsidRPr="00697530">
        <w:t xml:space="preserve">2011 </w:t>
      </w:r>
      <w:r w:rsidR="00104D8A" w:rsidRPr="00697530">
        <w:t>ATSC A/85 RP</w:t>
      </w:r>
      <w:r w:rsidRPr="00697530">
        <w:t>.</w:t>
      </w:r>
      <w:r w:rsidR="00104D8A" w:rsidRPr="00697530">
        <w:rPr>
          <w:rStyle w:val="FootnoteReference"/>
        </w:rPr>
        <w:footnoteReference w:id="13"/>
      </w:r>
      <w:r w:rsidR="00104D8A" w:rsidRPr="00697530">
        <w:t xml:space="preserve">  The rules took effect on December 13, 2012</w:t>
      </w:r>
      <w:r w:rsidR="00037732" w:rsidRPr="00697530">
        <w:t>.</w:t>
      </w:r>
    </w:p>
    <w:p w:rsidR="00104D8A" w:rsidRPr="00697530" w:rsidRDefault="00104D8A" w:rsidP="003B2773">
      <w:pPr>
        <w:pStyle w:val="ParaNum"/>
      </w:pPr>
      <w:r w:rsidRPr="00697530">
        <w:t>Section 2(a) of the CALM Act mandates that the Commission’s rules incorporate by reference and make mandatory “any successor” to the RP</w:t>
      </w:r>
      <w:r w:rsidR="00037732" w:rsidRPr="00697530">
        <w:t>.</w:t>
      </w:r>
      <w:bookmarkStart w:id="40" w:name="FN[FN57]"/>
      <w:bookmarkEnd w:id="40"/>
      <w:r w:rsidRPr="00697530">
        <w:rPr>
          <w:rStyle w:val="FootnoteReference"/>
        </w:rPr>
        <w:footnoteReference w:id="14"/>
      </w:r>
      <w:r w:rsidRPr="00697530">
        <w:t xml:space="preserve">  On March 12, 2013, the ATSC published a successor document to its </w:t>
      </w:r>
      <w:r w:rsidR="00B95DE8" w:rsidRPr="00697530">
        <w:t xml:space="preserve">2011 </w:t>
      </w:r>
      <w:r w:rsidRPr="00697530">
        <w:t>A/85 RP.</w:t>
      </w:r>
      <w:r w:rsidRPr="00697530">
        <w:rPr>
          <w:rStyle w:val="FootnoteReference"/>
        </w:rPr>
        <w:footnoteReference w:id="15"/>
      </w:r>
      <w:r w:rsidRPr="00697530">
        <w:t xml:space="preserve">  As described by the ATSC, the </w:t>
      </w:r>
      <w:r w:rsidR="00B17CD1" w:rsidRPr="00697530">
        <w:t>S</w:t>
      </w:r>
      <w:r w:rsidRPr="00697530">
        <w:t xml:space="preserve">uccessor RP applies </w:t>
      </w:r>
      <w:r w:rsidR="009B1EC1" w:rsidRPr="00697530">
        <w:t>an</w:t>
      </w:r>
      <w:r w:rsidRPr="00697530">
        <w:t xml:space="preserve"> </w:t>
      </w:r>
      <w:r w:rsidR="009B1EC1" w:rsidRPr="00697530">
        <w:t>improved</w:t>
      </w:r>
      <w:r w:rsidRPr="00697530">
        <w:t xml:space="preserve"> loudness measurement algorithm </w:t>
      </w:r>
      <w:r w:rsidR="00AD7C29" w:rsidRPr="00697530">
        <w:t>to conform to</w:t>
      </w:r>
      <w:r w:rsidRPr="00697530">
        <w:t xml:space="preserve"> the International Telecommunication Union</w:t>
      </w:r>
      <w:r w:rsidR="009B1EC1" w:rsidRPr="00697530">
        <w:t>’s</w:t>
      </w:r>
      <w:r w:rsidRPr="00697530">
        <w:t xml:space="preserve"> (ITU)</w:t>
      </w:r>
      <w:r w:rsidRPr="00697530">
        <w:rPr>
          <w:rStyle w:val="FootnoteReference"/>
        </w:rPr>
        <w:footnoteReference w:id="16"/>
      </w:r>
      <w:r w:rsidRPr="00697530">
        <w:t xml:space="preserve"> </w:t>
      </w:r>
      <w:r w:rsidR="009B1EC1" w:rsidRPr="00697530">
        <w:t>updated</w:t>
      </w:r>
      <w:r w:rsidRPr="00697530">
        <w:t xml:space="preserve"> BS.1770 measurement algorithm, “BS.1770-3.”</w:t>
      </w:r>
      <w:r w:rsidRPr="00697530">
        <w:rPr>
          <w:rStyle w:val="FootnoteReference"/>
        </w:rPr>
        <w:t xml:space="preserve"> </w:t>
      </w:r>
      <w:r w:rsidRPr="00697530">
        <w:rPr>
          <w:rStyle w:val="FootnoteReference"/>
        </w:rPr>
        <w:footnoteReference w:id="17"/>
      </w:r>
      <w:r w:rsidRPr="00697530">
        <w:t xml:space="preserve">  </w:t>
      </w:r>
      <w:r w:rsidR="003718C4" w:rsidRPr="00697530">
        <w:t xml:space="preserve">BS.1770-3 </w:t>
      </w:r>
      <w:r w:rsidR="005826BA" w:rsidRPr="00697530">
        <w:t xml:space="preserve">employs </w:t>
      </w:r>
      <w:r w:rsidR="003718C4" w:rsidRPr="00697530">
        <w:t xml:space="preserve">“gating” </w:t>
      </w:r>
      <w:r w:rsidR="00220B00" w:rsidRPr="00697530">
        <w:t xml:space="preserve">that will </w:t>
      </w:r>
      <w:r w:rsidR="003718C4" w:rsidRPr="00697530">
        <w:t xml:space="preserve">exclude </w:t>
      </w:r>
      <w:r w:rsidR="00095219" w:rsidRPr="00697530">
        <w:t xml:space="preserve">very quiet or </w:t>
      </w:r>
      <w:r w:rsidR="005826BA" w:rsidRPr="00697530">
        <w:t xml:space="preserve">silent passages </w:t>
      </w:r>
      <w:r w:rsidR="00220B00" w:rsidRPr="00697530">
        <w:t>of a commercial</w:t>
      </w:r>
      <w:r w:rsidR="003718C4" w:rsidRPr="00697530">
        <w:t xml:space="preserve"> </w:t>
      </w:r>
      <w:r w:rsidR="00220B00" w:rsidRPr="00697530">
        <w:t>when</w:t>
      </w:r>
      <w:r w:rsidR="003718C4" w:rsidRPr="00697530">
        <w:t xml:space="preserve"> </w:t>
      </w:r>
      <w:r w:rsidR="005826BA" w:rsidRPr="00697530">
        <w:t>calculating</w:t>
      </w:r>
      <w:r w:rsidR="003718C4" w:rsidRPr="00697530">
        <w:t xml:space="preserve"> the average loudness</w:t>
      </w:r>
      <w:r w:rsidR="00220B00" w:rsidRPr="00697530">
        <w:t xml:space="preserve"> of that commercial</w:t>
      </w:r>
      <w:r w:rsidR="003718C4" w:rsidRPr="00697530">
        <w:t>.</w:t>
      </w:r>
      <w:r w:rsidR="0026274B" w:rsidRPr="00697530">
        <w:rPr>
          <w:rStyle w:val="FootnoteReference"/>
        </w:rPr>
        <w:footnoteReference w:id="18"/>
      </w:r>
      <w:r w:rsidR="003718C4" w:rsidRPr="00697530">
        <w:t xml:space="preserve"> </w:t>
      </w:r>
      <w:r w:rsidR="0003226D" w:rsidRPr="00697530">
        <w:t xml:space="preserve"> Use of the new algorithm may re</w:t>
      </w:r>
      <w:r w:rsidR="00F47393" w:rsidRPr="00697530">
        <w:t>duce the volume</w:t>
      </w:r>
      <w:r w:rsidR="0003226D" w:rsidRPr="00697530">
        <w:t xml:space="preserve"> </w:t>
      </w:r>
      <w:r w:rsidR="00F47393" w:rsidRPr="00697530">
        <w:t>of</w:t>
      </w:r>
      <w:r w:rsidR="0003226D" w:rsidRPr="00697530">
        <w:t xml:space="preserve"> </w:t>
      </w:r>
      <w:r w:rsidR="00F47393" w:rsidRPr="00697530">
        <w:t xml:space="preserve">some </w:t>
      </w:r>
      <w:r w:rsidR="0003226D" w:rsidRPr="00697530">
        <w:t>commercial</w:t>
      </w:r>
      <w:r w:rsidR="00F47393" w:rsidRPr="00697530">
        <w:t>s</w:t>
      </w:r>
      <w:r w:rsidR="0003226D" w:rsidRPr="00697530">
        <w:t xml:space="preserve"> in certain circumstances.</w:t>
      </w:r>
      <w:r w:rsidR="0003226D" w:rsidRPr="00697530">
        <w:rPr>
          <w:rStyle w:val="FootnoteReference"/>
        </w:rPr>
        <w:footnoteReference w:id="19"/>
      </w:r>
      <w:r w:rsidR="001D0F96" w:rsidRPr="00697530">
        <w:t xml:space="preserve">  </w:t>
      </w:r>
      <w:r w:rsidR="00EE3CD7" w:rsidRPr="00697530">
        <w:t xml:space="preserve">The </w:t>
      </w:r>
      <w:r w:rsidR="006F5D51" w:rsidRPr="00697530">
        <w:t>S</w:t>
      </w:r>
      <w:r w:rsidR="00EE3CD7" w:rsidRPr="00697530">
        <w:t>uccessor RP also contains o</w:t>
      </w:r>
      <w:r w:rsidRPr="00697530">
        <w:t xml:space="preserve">ther minor changes </w:t>
      </w:r>
      <w:r w:rsidR="00EE3CD7" w:rsidRPr="00697530">
        <w:t>that</w:t>
      </w:r>
      <w:r w:rsidRPr="00697530">
        <w:t xml:space="preserve"> </w:t>
      </w:r>
      <w:r w:rsidR="00AA1945" w:rsidRPr="00697530">
        <w:t>do</w:t>
      </w:r>
      <w:r w:rsidRPr="00697530">
        <w:t xml:space="preserve"> not affect our rules.</w:t>
      </w:r>
      <w:r w:rsidRPr="00697530">
        <w:rPr>
          <w:rStyle w:val="FootnoteReference"/>
        </w:rPr>
        <w:footnoteReference w:id="20"/>
      </w:r>
    </w:p>
    <w:p w:rsidR="006F5D51" w:rsidRPr="00697530" w:rsidRDefault="006F5D51" w:rsidP="006F5D51">
      <w:pPr>
        <w:pStyle w:val="ParaNum"/>
      </w:pPr>
      <w:r w:rsidRPr="00697530">
        <w:lastRenderedPageBreak/>
        <w:t xml:space="preserve">On November 1, 2013, we </w:t>
      </w:r>
      <w:r w:rsidR="00F47393" w:rsidRPr="00697530">
        <w:t>released</w:t>
      </w:r>
      <w:r w:rsidRPr="00697530">
        <w:t xml:space="preserve"> the </w:t>
      </w:r>
      <w:r w:rsidR="00017E1A" w:rsidRPr="00017E1A">
        <w:rPr>
          <w:i/>
        </w:rPr>
        <w:t>FNPRM</w:t>
      </w:r>
      <w:r w:rsidRPr="00017E1A">
        <w:rPr>
          <w:i/>
        </w:rPr>
        <w:t xml:space="preserve"> </w:t>
      </w:r>
      <w:r w:rsidRPr="00697530">
        <w:t xml:space="preserve">in this docket.  The </w:t>
      </w:r>
      <w:r w:rsidRPr="00017E1A">
        <w:rPr>
          <w:i/>
        </w:rPr>
        <w:t>FNPRM</w:t>
      </w:r>
      <w:r w:rsidRPr="00697530">
        <w:t xml:space="preserve"> proposed to replace </w:t>
      </w:r>
      <w:r w:rsidR="00EE17AF" w:rsidRPr="00697530">
        <w:t xml:space="preserve">the </w:t>
      </w:r>
      <w:r w:rsidRPr="00697530">
        <w:t>Current RP, incorporated into our rules in 2011, with the Successor RP published in 2013</w:t>
      </w:r>
      <w:r w:rsidR="00D8741B" w:rsidRPr="00697530">
        <w:t>,</w:t>
      </w:r>
      <w:r w:rsidR="00EE17AF" w:rsidRPr="00697530">
        <w:rPr>
          <w:rStyle w:val="FootnoteReference"/>
        </w:rPr>
        <w:footnoteReference w:id="21"/>
      </w:r>
      <w:r w:rsidR="00D8741B" w:rsidRPr="00697530">
        <w:t xml:space="preserve"> observing that the CALM Act afforded the Commission no discretion in this regard.</w:t>
      </w:r>
      <w:r w:rsidR="00D8741B" w:rsidRPr="00697530">
        <w:rPr>
          <w:rStyle w:val="FootnoteReference"/>
        </w:rPr>
        <w:footnoteReference w:id="22"/>
      </w:r>
      <w:r w:rsidRPr="00697530">
        <w:t xml:space="preserve"> </w:t>
      </w:r>
      <w:r w:rsidR="00D8741B" w:rsidRPr="00697530">
        <w:t xml:space="preserve"> </w:t>
      </w:r>
      <w:r w:rsidRPr="00697530">
        <w:t xml:space="preserve">The </w:t>
      </w:r>
      <w:r w:rsidRPr="00017E1A">
        <w:rPr>
          <w:i/>
        </w:rPr>
        <w:t>FNPRM</w:t>
      </w:r>
      <w:r w:rsidRPr="00697530">
        <w:t xml:space="preserve"> sought comment on the appropriate timing for the 2013 Successor RP to </w:t>
      </w:r>
      <w:r w:rsidR="00EE17AF" w:rsidRPr="00697530">
        <w:t>become mandatory</w:t>
      </w:r>
      <w:r w:rsidRPr="00697530">
        <w:t>.</w:t>
      </w:r>
      <w:r w:rsidR="00EE17AF" w:rsidRPr="00697530">
        <w:rPr>
          <w:rStyle w:val="FootnoteReference"/>
        </w:rPr>
        <w:footnoteReference w:id="23"/>
      </w:r>
      <w:r w:rsidRPr="00697530">
        <w:t xml:space="preserve">  We received </w:t>
      </w:r>
      <w:r w:rsidR="000E1662" w:rsidRPr="00697530">
        <w:t>two</w:t>
      </w:r>
      <w:r w:rsidRPr="00697530">
        <w:t xml:space="preserve"> comment</w:t>
      </w:r>
      <w:r w:rsidR="000E1662" w:rsidRPr="00697530">
        <w:t>s</w:t>
      </w:r>
      <w:r w:rsidRPr="00697530">
        <w:t xml:space="preserve"> in response to our </w:t>
      </w:r>
      <w:r w:rsidRPr="00697530">
        <w:rPr>
          <w:i/>
        </w:rPr>
        <w:t>FNPRM</w:t>
      </w:r>
      <w:r w:rsidRPr="00697530">
        <w:t>.</w:t>
      </w:r>
      <w:r w:rsidRPr="00697530">
        <w:rPr>
          <w:rStyle w:val="FootnoteReference"/>
        </w:rPr>
        <w:footnoteReference w:id="24"/>
      </w:r>
    </w:p>
    <w:p w:rsidR="00104D8A" w:rsidRPr="00697530" w:rsidRDefault="00104D8A" w:rsidP="006F5D51">
      <w:pPr>
        <w:pStyle w:val="Heading1"/>
      </w:pPr>
      <w:r w:rsidRPr="00697530">
        <w:t>DISCUSSION</w:t>
      </w:r>
    </w:p>
    <w:p w:rsidR="00104D8A" w:rsidRPr="00697530" w:rsidRDefault="008158B7" w:rsidP="00173F1E">
      <w:pPr>
        <w:pStyle w:val="ParaNum"/>
      </w:pPr>
      <w:r w:rsidRPr="00697530">
        <w:t>As required by the statute,</w:t>
      </w:r>
      <w:r w:rsidRPr="00697530">
        <w:rPr>
          <w:rStyle w:val="FootnoteReference"/>
        </w:rPr>
        <w:footnoteReference w:id="25"/>
      </w:r>
      <w:r w:rsidRPr="00697530">
        <w:t xml:space="preserve"> w</w:t>
      </w:r>
      <w:r w:rsidR="00173F1E" w:rsidRPr="00697530">
        <w:t xml:space="preserve">e adopt the Successor RP and </w:t>
      </w:r>
      <w:r w:rsidRPr="00697530">
        <w:t xml:space="preserve">will </w:t>
      </w:r>
      <w:r w:rsidR="00173F1E" w:rsidRPr="00697530">
        <w:t>incorporate it by reference into our rules.</w:t>
      </w:r>
      <w:r w:rsidR="00173F1E" w:rsidRPr="00697530">
        <w:rPr>
          <w:rStyle w:val="FootnoteReference"/>
        </w:rPr>
        <w:footnoteReference w:id="26"/>
      </w:r>
      <w:r w:rsidR="00173F1E" w:rsidRPr="00697530">
        <w:t xml:space="preserve">  </w:t>
      </w:r>
      <w:r w:rsidR="00CA1ACC" w:rsidRPr="00697530">
        <w:t xml:space="preserve">We </w:t>
      </w:r>
      <w:r w:rsidR="001C4055" w:rsidRPr="00697530">
        <w:t xml:space="preserve">also </w:t>
      </w:r>
      <w:r w:rsidR="0038746F" w:rsidRPr="00697530">
        <w:t xml:space="preserve">find, as </w:t>
      </w:r>
      <w:r w:rsidR="00906CCA" w:rsidRPr="00697530">
        <w:t xml:space="preserve">we </w:t>
      </w:r>
      <w:r w:rsidR="00CA1ACC" w:rsidRPr="00697530">
        <w:t>tentative</w:t>
      </w:r>
      <w:r w:rsidR="00017E1A">
        <w:t>ly</w:t>
      </w:r>
      <w:r w:rsidR="00CA1ACC" w:rsidRPr="00697530">
        <w:t xml:space="preserve"> conclu</w:t>
      </w:r>
      <w:r w:rsidR="0038746F" w:rsidRPr="00697530">
        <w:t>ded</w:t>
      </w:r>
      <w:r w:rsidR="001C4055" w:rsidRPr="00697530">
        <w:t xml:space="preserve"> in the </w:t>
      </w:r>
      <w:r w:rsidR="001C4055" w:rsidRPr="00662967">
        <w:rPr>
          <w:i/>
        </w:rPr>
        <w:t>FNPRM</w:t>
      </w:r>
      <w:r w:rsidR="0038746F" w:rsidRPr="00697530">
        <w:t>,</w:t>
      </w:r>
      <w:r w:rsidR="00CA1ACC" w:rsidRPr="00697530">
        <w:t xml:space="preserve"> that </w:t>
      </w:r>
      <w:r w:rsidR="00F8409B" w:rsidRPr="00697530">
        <w:t>t</w:t>
      </w:r>
      <w:r w:rsidR="00104D8A" w:rsidRPr="00697530">
        <w:t xml:space="preserve">he only </w:t>
      </w:r>
      <w:r w:rsidR="000863E5" w:rsidRPr="00697530">
        <w:t xml:space="preserve">substantive </w:t>
      </w:r>
      <w:r w:rsidR="00104D8A" w:rsidRPr="00697530">
        <w:t xml:space="preserve">change </w:t>
      </w:r>
      <w:r w:rsidR="00591BF5" w:rsidRPr="00697530">
        <w:t>created</w:t>
      </w:r>
      <w:r w:rsidR="00104D8A" w:rsidRPr="00697530">
        <w:t xml:space="preserve"> by the </w:t>
      </w:r>
      <w:r w:rsidR="00B17CD1" w:rsidRPr="00697530">
        <w:t>S</w:t>
      </w:r>
      <w:r w:rsidR="00104D8A" w:rsidRPr="00697530">
        <w:t xml:space="preserve">uccessor RP </w:t>
      </w:r>
      <w:r w:rsidR="00357558" w:rsidRPr="00697530">
        <w:t>as it relates to our rules is</w:t>
      </w:r>
      <w:r w:rsidR="00104D8A" w:rsidRPr="00697530">
        <w:t xml:space="preserve"> the change to the measurement algorithm to conform to BS.1770-3.</w:t>
      </w:r>
      <w:r w:rsidR="0039781B" w:rsidRPr="00697530">
        <w:rPr>
          <w:rStyle w:val="FootnoteReference"/>
        </w:rPr>
        <w:footnoteReference w:id="27"/>
      </w:r>
      <w:r w:rsidR="00104D8A" w:rsidRPr="00697530">
        <w:t xml:space="preserve"> </w:t>
      </w:r>
      <w:r w:rsidR="00610BC9" w:rsidRPr="00697530">
        <w:t xml:space="preserve"> </w:t>
      </w:r>
      <w:r w:rsidR="001C4055" w:rsidRPr="00697530">
        <w:t xml:space="preserve">This finding is consistent with the ATSC’s description of the Successor RP and </w:t>
      </w:r>
      <w:r w:rsidR="0038746F" w:rsidRPr="00697530">
        <w:t>is</w:t>
      </w:r>
      <w:r w:rsidR="001C4055" w:rsidRPr="00697530">
        <w:t xml:space="preserve"> not disputed </w:t>
      </w:r>
      <w:r w:rsidR="0038746F" w:rsidRPr="00697530">
        <w:t>in the record</w:t>
      </w:r>
      <w:r w:rsidR="001C4055" w:rsidRPr="00697530">
        <w:t>.</w:t>
      </w:r>
      <w:r w:rsidR="001C4055" w:rsidRPr="00697530">
        <w:rPr>
          <w:rStyle w:val="FootnoteReference"/>
        </w:rPr>
        <w:footnoteReference w:id="28"/>
      </w:r>
      <w:r w:rsidR="001C4055" w:rsidRPr="00697530">
        <w:t xml:space="preserve">  </w:t>
      </w:r>
      <w:r w:rsidR="00ED0053" w:rsidRPr="00697530">
        <w:t xml:space="preserve">As a practical matter, </w:t>
      </w:r>
      <w:r w:rsidR="00C21F78" w:rsidRPr="00697530">
        <w:t xml:space="preserve">this change </w:t>
      </w:r>
      <w:r w:rsidR="00924702" w:rsidRPr="00697530">
        <w:t xml:space="preserve">seems to be </w:t>
      </w:r>
      <w:r w:rsidR="00C21F78" w:rsidRPr="00697530">
        <w:t xml:space="preserve">designed to </w:t>
      </w:r>
      <w:r w:rsidR="00CF246C" w:rsidRPr="00697530">
        <w:t xml:space="preserve">prevent </w:t>
      </w:r>
      <w:r w:rsidR="000863E5" w:rsidRPr="00697530">
        <w:t xml:space="preserve">advertisers from </w:t>
      </w:r>
      <w:r w:rsidR="009226C7" w:rsidRPr="00697530">
        <w:t>using silent passages to offset excessively loud passages</w:t>
      </w:r>
      <w:r w:rsidR="00CF246C" w:rsidRPr="00697530">
        <w:t xml:space="preserve"> </w:t>
      </w:r>
      <w:r w:rsidR="009226C7" w:rsidRPr="00697530">
        <w:t>when calculating the average loudness</w:t>
      </w:r>
      <w:r w:rsidR="00E50A27" w:rsidRPr="00697530">
        <w:t xml:space="preserve"> of program material</w:t>
      </w:r>
      <w:r w:rsidR="009226C7" w:rsidRPr="00697530">
        <w:t>.</w:t>
      </w:r>
      <w:r w:rsidR="00357558" w:rsidRPr="00697530">
        <w:rPr>
          <w:rStyle w:val="FootnoteReference"/>
        </w:rPr>
        <w:footnoteReference w:id="29"/>
      </w:r>
      <w:r w:rsidR="00104D8A" w:rsidRPr="00697530">
        <w:t xml:space="preserve"> </w:t>
      </w:r>
      <w:r w:rsidR="00CA27DC" w:rsidRPr="00697530">
        <w:t xml:space="preserve"> </w:t>
      </w:r>
      <w:r w:rsidR="003F13E0" w:rsidRPr="00697530">
        <w:t xml:space="preserve">Thus, once this </w:t>
      </w:r>
      <w:r w:rsidR="00B17CD1" w:rsidRPr="00697530">
        <w:t>S</w:t>
      </w:r>
      <w:r w:rsidR="003F13E0" w:rsidRPr="00697530">
        <w:t xml:space="preserve">uccessor RP is implemented, consumers may notice a </w:t>
      </w:r>
      <w:r w:rsidR="00BD721F" w:rsidRPr="00697530">
        <w:t>modest</w:t>
      </w:r>
      <w:r w:rsidR="00695A8B" w:rsidRPr="00697530">
        <w:t xml:space="preserve"> </w:t>
      </w:r>
      <w:r w:rsidR="00954E67" w:rsidRPr="00697530">
        <w:t>decrease</w:t>
      </w:r>
      <w:r w:rsidR="00695A8B" w:rsidRPr="00697530">
        <w:t xml:space="preserve"> </w:t>
      </w:r>
      <w:r w:rsidR="003F13E0" w:rsidRPr="00697530">
        <w:t xml:space="preserve">in </w:t>
      </w:r>
      <w:r w:rsidR="00695A8B" w:rsidRPr="00697530">
        <w:t xml:space="preserve">the </w:t>
      </w:r>
      <w:r w:rsidR="00954E67" w:rsidRPr="00697530">
        <w:t>perceived</w:t>
      </w:r>
      <w:r w:rsidR="007F0407" w:rsidRPr="00697530">
        <w:t xml:space="preserve"> </w:t>
      </w:r>
      <w:r w:rsidR="003F13E0" w:rsidRPr="00697530">
        <w:t>loudness</w:t>
      </w:r>
      <w:r w:rsidR="007F0407" w:rsidRPr="00697530">
        <w:t xml:space="preserve"> </w:t>
      </w:r>
      <w:r w:rsidR="00695A8B" w:rsidRPr="00697530">
        <w:t>o</w:t>
      </w:r>
      <w:r w:rsidR="007F0407" w:rsidRPr="00697530">
        <w:t>f certain commercials</w:t>
      </w:r>
      <w:r w:rsidR="003F13E0" w:rsidRPr="00697530">
        <w:t xml:space="preserve">. </w:t>
      </w:r>
      <w:r w:rsidR="00BD721F" w:rsidRPr="00697530">
        <w:t xml:space="preserve"> </w:t>
      </w:r>
      <w:r w:rsidR="00104D8A" w:rsidRPr="00697530">
        <w:t xml:space="preserve">This change is consistent with the type of updates that we believe Congress intended </w:t>
      </w:r>
      <w:r w:rsidR="001E2D75" w:rsidRPr="00697530">
        <w:t xml:space="preserve">the Commission </w:t>
      </w:r>
      <w:r w:rsidR="00104D8A" w:rsidRPr="00697530">
        <w:t xml:space="preserve">to incorporate in </w:t>
      </w:r>
      <w:r w:rsidR="001E2D75" w:rsidRPr="00697530">
        <w:t>its rules</w:t>
      </w:r>
      <w:r w:rsidR="00104D8A" w:rsidRPr="00697530">
        <w:t xml:space="preserve"> by specifying in the CALM Act that the Commission shall make mandatory successor versions of the RP.</w:t>
      </w:r>
    </w:p>
    <w:p w:rsidR="00E25E83" w:rsidRPr="00697530" w:rsidRDefault="00104D8A" w:rsidP="00D8741B">
      <w:pPr>
        <w:pStyle w:val="ParaNum"/>
      </w:pPr>
      <w:r w:rsidRPr="00697530">
        <w:t xml:space="preserve">We </w:t>
      </w:r>
      <w:r w:rsidR="001C4055" w:rsidRPr="00697530">
        <w:t xml:space="preserve">adopt the proposal in the </w:t>
      </w:r>
      <w:r w:rsidR="001C4055" w:rsidRPr="00662967">
        <w:rPr>
          <w:i/>
        </w:rPr>
        <w:t>FNPRM</w:t>
      </w:r>
      <w:r w:rsidR="001C4055" w:rsidRPr="00697530">
        <w:t xml:space="preserve"> to make the Successor RP mandatory </w:t>
      </w:r>
      <w:r w:rsidR="00591BF5" w:rsidRPr="00697530">
        <w:t>as of</w:t>
      </w:r>
      <w:r w:rsidR="00A44682">
        <w:t xml:space="preserve"> </w:t>
      </w:r>
      <w:r w:rsidR="00A44682" w:rsidRPr="00A44682">
        <w:t>June 4, 201</w:t>
      </w:r>
      <w:r w:rsidR="00A44682">
        <w:t>5</w:t>
      </w:r>
      <w:r w:rsidR="001C4055" w:rsidRPr="00697530">
        <w:t xml:space="preserve">, one year from the release date of this </w:t>
      </w:r>
      <w:r w:rsidR="0038746F" w:rsidRPr="00697530">
        <w:t xml:space="preserve">Second </w:t>
      </w:r>
      <w:r w:rsidR="001C4055" w:rsidRPr="00697530">
        <w:t>Report and Order.</w:t>
      </w:r>
      <w:r w:rsidR="001C4055" w:rsidRPr="00697530">
        <w:rPr>
          <w:rStyle w:val="FootnoteReference"/>
        </w:rPr>
        <w:footnoteReference w:id="30"/>
      </w:r>
      <w:r w:rsidR="001C4055" w:rsidRPr="00697530">
        <w:t xml:space="preserve">  NAB, the only commenter on this issue, supports this approach.</w:t>
      </w:r>
      <w:r w:rsidR="001C4055" w:rsidRPr="00697530">
        <w:rPr>
          <w:rStyle w:val="FootnoteReference"/>
        </w:rPr>
        <w:footnoteReference w:id="31"/>
      </w:r>
      <w:r w:rsidR="001C4055" w:rsidRPr="00697530">
        <w:t xml:space="preserve">  </w:t>
      </w:r>
      <w:r w:rsidR="001E57B1" w:rsidRPr="00697530">
        <w:t xml:space="preserve">We are mindful of the fact that many parties have recently purchased new equipment to comply with the Commission’s rules implementing the statute, which took effect on December 13, 2012.  </w:t>
      </w:r>
      <w:r w:rsidR="00385E1C" w:rsidRPr="00697530">
        <w:t>Notably, NAB’s survey of a number of its television members indicated “that most equipment deployed to comply with the A/85 RP can likely be modified through relatively low-cost software upgrades to comply with the Successor RP.”</w:t>
      </w:r>
      <w:r w:rsidR="00385E1C" w:rsidRPr="00697530">
        <w:rPr>
          <w:rStyle w:val="FootnoteReference"/>
        </w:rPr>
        <w:footnoteReference w:id="32"/>
      </w:r>
      <w:r w:rsidR="00385E1C" w:rsidRPr="00697530">
        <w:t xml:space="preserve">  </w:t>
      </w:r>
      <w:r w:rsidR="001E57B1" w:rsidRPr="00697530">
        <w:t>Therefore, we agree with NAB that a one-year deadline to comply with the Successor RP would generally provide a reasonable amount of time for affected parties to implement any necessary equipment upgrades.</w:t>
      </w:r>
      <w:r w:rsidR="001E57B1" w:rsidRPr="00697530">
        <w:rPr>
          <w:rStyle w:val="FootnoteReference"/>
        </w:rPr>
        <w:footnoteReference w:id="33"/>
      </w:r>
      <w:r w:rsidR="004F3D9D" w:rsidRPr="00697530">
        <w:t xml:space="preserve">  </w:t>
      </w:r>
      <w:r w:rsidR="002D41E5" w:rsidRPr="00697530">
        <w:t xml:space="preserve">To the extent certain regulated parties have </w:t>
      </w:r>
      <w:r w:rsidR="00E82C1B" w:rsidRPr="00697530">
        <w:t>purchased</w:t>
      </w:r>
      <w:r w:rsidR="00ED67AD" w:rsidRPr="00697530">
        <w:t xml:space="preserve"> equipment that is not easily </w:t>
      </w:r>
      <w:r w:rsidR="00F22727" w:rsidRPr="00697530">
        <w:t xml:space="preserve">upgradable or </w:t>
      </w:r>
      <w:r w:rsidR="002D41E5" w:rsidRPr="00697530">
        <w:t>could otherwise show that</w:t>
      </w:r>
      <w:r w:rsidR="00F22727" w:rsidRPr="00697530">
        <w:t xml:space="preserve"> implementation of the </w:t>
      </w:r>
      <w:r w:rsidR="00B17CD1" w:rsidRPr="00697530">
        <w:t>S</w:t>
      </w:r>
      <w:r w:rsidR="00F22727" w:rsidRPr="00697530">
        <w:t>uccessor RP would be significantly burdensome</w:t>
      </w:r>
      <w:r w:rsidR="002D41E5" w:rsidRPr="00697530">
        <w:t>, we will consider requests for additional time to comply with the Successor RP</w:t>
      </w:r>
      <w:r w:rsidR="008A0B57" w:rsidRPr="00697530">
        <w:t>,</w:t>
      </w:r>
      <w:r w:rsidR="004F3D9D" w:rsidRPr="00697530">
        <w:rPr>
          <w:rStyle w:val="FootnoteReference"/>
        </w:rPr>
        <w:footnoteReference w:id="34"/>
      </w:r>
      <w:r w:rsidR="002D41E5" w:rsidRPr="00697530">
        <w:t xml:space="preserve"> pursuant to our general waiver authority in Section 2(b)(3) of the CALM Act.</w:t>
      </w:r>
      <w:r w:rsidR="002D41E5" w:rsidRPr="00697530">
        <w:rPr>
          <w:rStyle w:val="FootnoteReference"/>
        </w:rPr>
        <w:footnoteReference w:id="35"/>
      </w:r>
      <w:r w:rsidR="002D41E5" w:rsidRPr="00697530">
        <w:t xml:space="preserve">  </w:t>
      </w:r>
      <w:r w:rsidR="00591BF5" w:rsidRPr="00697530">
        <w:t>We remind stations and MVPDs that such a waiver, if granted, would extend the time to come into compliance with the Successor RP but would require continued compliance with the Current RP.</w:t>
      </w:r>
      <w:r w:rsidR="00591BF5" w:rsidRPr="00697530">
        <w:rPr>
          <w:rStyle w:val="FootnoteReference"/>
        </w:rPr>
        <w:footnoteReference w:id="36"/>
      </w:r>
    </w:p>
    <w:p w:rsidR="002D41E5" w:rsidRPr="00697530" w:rsidRDefault="00E25E83" w:rsidP="00830842">
      <w:pPr>
        <w:pStyle w:val="ParaNum"/>
      </w:pPr>
      <w:r w:rsidRPr="00697530">
        <w:t xml:space="preserve">We reject the request by Holston Valley </w:t>
      </w:r>
      <w:r w:rsidRPr="00697530">
        <w:rPr>
          <w:i/>
        </w:rPr>
        <w:t>et al</w:t>
      </w:r>
      <w:r w:rsidR="00226C29" w:rsidRPr="00697530">
        <w:t>.</w:t>
      </w:r>
      <w:r w:rsidRPr="00697530">
        <w:t xml:space="preserve"> to extend the existing financial hardship waivers in effect until one year after the </w:t>
      </w:r>
      <w:r w:rsidR="001C7592" w:rsidRPr="00697530">
        <w:t>Successor RP becomes mandatory</w:t>
      </w:r>
      <w:r w:rsidRPr="00697530">
        <w:t>.</w:t>
      </w:r>
      <w:r w:rsidR="001C7592" w:rsidRPr="00697530">
        <w:rPr>
          <w:rStyle w:val="FootnoteReference"/>
        </w:rPr>
        <w:footnoteReference w:id="37"/>
      </w:r>
      <w:r w:rsidRPr="00697530">
        <w:t xml:space="preserve">  </w:t>
      </w:r>
      <w:r w:rsidR="00B1780E" w:rsidRPr="00697530">
        <w:t>The CALM Act provides that the Commission may grant a one-year waiver of the effective date of the CALM Act rules to any station</w:t>
      </w:r>
      <w:r w:rsidR="00226C29" w:rsidRPr="00697530">
        <w:t xml:space="preserve"> or </w:t>
      </w:r>
      <w:r w:rsidR="00B1780E" w:rsidRPr="00697530">
        <w:t>MVPD that shows it would be a “financial hardship” to obtain the necessary equipment to comply with the rules, and may renew such waiver for one additional year.</w:t>
      </w:r>
      <w:r w:rsidR="00B1780E" w:rsidRPr="00697530">
        <w:rPr>
          <w:rStyle w:val="FootnoteReference"/>
        </w:rPr>
        <w:footnoteReference w:id="38"/>
      </w:r>
      <w:r w:rsidR="00B1780E" w:rsidRPr="00697530">
        <w:t xml:space="preserve">  </w:t>
      </w:r>
      <w:r w:rsidR="00B44C16" w:rsidRPr="00697530">
        <w:t>S</w:t>
      </w:r>
      <w:r w:rsidR="001C7592" w:rsidRPr="00697530">
        <w:t>tations</w:t>
      </w:r>
      <w:r w:rsidR="00226C29" w:rsidRPr="00697530">
        <w:t xml:space="preserve"> and </w:t>
      </w:r>
      <w:r w:rsidR="001C7592" w:rsidRPr="00697530">
        <w:t>MVPDs that obtained a</w:t>
      </w:r>
      <w:r w:rsidR="00175469" w:rsidRPr="00697530">
        <w:t>n initial</w:t>
      </w:r>
      <w:r w:rsidR="001C7592" w:rsidRPr="00697530">
        <w:t xml:space="preserve"> financial hardship waiver were afforded </w:t>
      </w:r>
      <w:r w:rsidR="00175469" w:rsidRPr="00697530">
        <w:t>until</w:t>
      </w:r>
      <w:r w:rsidR="001C7592" w:rsidRPr="00697530">
        <w:t xml:space="preserve"> December 13, 201</w:t>
      </w:r>
      <w:r w:rsidR="00175469" w:rsidRPr="00697530">
        <w:t>3 to comply with the CALM Act rules, and those that renewed their financial hardship waiver have until December 13, 2014 to comply with the CALM Act rules.</w:t>
      </w:r>
      <w:r w:rsidR="001C7592" w:rsidRPr="00697530">
        <w:t xml:space="preserve"> </w:t>
      </w:r>
      <w:r w:rsidR="00175469" w:rsidRPr="00697530">
        <w:t xml:space="preserve"> </w:t>
      </w:r>
      <w:r w:rsidR="001C7592" w:rsidRPr="00697530">
        <w:t xml:space="preserve">The </w:t>
      </w:r>
      <w:r w:rsidR="00175469" w:rsidRPr="00697530">
        <w:t xml:space="preserve">Holston Valley </w:t>
      </w:r>
      <w:r w:rsidR="00175469" w:rsidRPr="00697530">
        <w:rPr>
          <w:i/>
        </w:rPr>
        <w:t>et al</w:t>
      </w:r>
      <w:r w:rsidR="00226C29" w:rsidRPr="00697530">
        <w:t>.</w:t>
      </w:r>
      <w:r w:rsidR="00175469" w:rsidRPr="00697530">
        <w:t xml:space="preserve"> </w:t>
      </w:r>
      <w:r w:rsidR="001C7592" w:rsidRPr="00697530">
        <w:t xml:space="preserve">request </w:t>
      </w:r>
      <w:r w:rsidR="00B64BD1" w:rsidRPr="00697530">
        <w:t>appears to argue</w:t>
      </w:r>
      <w:r w:rsidR="001C7592" w:rsidRPr="00697530">
        <w:t xml:space="preserve"> that </w:t>
      </w:r>
      <w:r w:rsidR="00175469" w:rsidRPr="00697530">
        <w:t>the</w:t>
      </w:r>
      <w:r w:rsidR="001C7592" w:rsidRPr="00697530">
        <w:t xml:space="preserve"> gap between when stations</w:t>
      </w:r>
      <w:r w:rsidR="00226C29" w:rsidRPr="00697530">
        <w:t xml:space="preserve"> and </w:t>
      </w:r>
      <w:r w:rsidR="001C7592" w:rsidRPr="00697530">
        <w:t xml:space="preserve">MVPDs must comply with the CALM </w:t>
      </w:r>
      <w:r w:rsidR="00831249">
        <w:t xml:space="preserve">Act </w:t>
      </w:r>
      <w:r w:rsidR="001C7592" w:rsidRPr="00697530">
        <w:t>rules and Current RP (</w:t>
      </w:r>
      <w:r w:rsidR="00175469" w:rsidRPr="00697530">
        <w:t>December 13, 2014</w:t>
      </w:r>
      <w:r w:rsidR="001C7592" w:rsidRPr="00697530">
        <w:t>) and when stations</w:t>
      </w:r>
      <w:r w:rsidR="00226C29" w:rsidRPr="00697530">
        <w:t xml:space="preserve"> and </w:t>
      </w:r>
      <w:r w:rsidR="001C7592" w:rsidRPr="00697530">
        <w:t xml:space="preserve">MVPDs must comply with the Successor RP (one year from </w:t>
      </w:r>
      <w:r w:rsidR="00175469" w:rsidRPr="00697530">
        <w:t xml:space="preserve">the </w:t>
      </w:r>
      <w:r w:rsidR="001C7592" w:rsidRPr="00697530">
        <w:t xml:space="preserve">release </w:t>
      </w:r>
      <w:r w:rsidR="00175469" w:rsidRPr="00697530">
        <w:t xml:space="preserve">date </w:t>
      </w:r>
      <w:r w:rsidR="001C7592" w:rsidRPr="00697530">
        <w:t>of this Order)</w:t>
      </w:r>
      <w:r w:rsidR="00504440" w:rsidRPr="00697530">
        <w:t xml:space="preserve"> will cause </w:t>
      </w:r>
      <w:r w:rsidR="00B64BD1" w:rsidRPr="00697530">
        <w:t>entities in this situation to “pay twice for the equipment and software package needed to comply with the CALM Act.”</w:t>
      </w:r>
      <w:r w:rsidR="00B64BD1" w:rsidRPr="00697530">
        <w:rPr>
          <w:rStyle w:val="FootnoteReference"/>
        </w:rPr>
        <w:footnoteReference w:id="39"/>
      </w:r>
      <w:r w:rsidR="00B64BD1" w:rsidRPr="00697530">
        <w:t xml:space="preserve">  </w:t>
      </w:r>
      <w:r w:rsidR="00591BF5" w:rsidRPr="00697530">
        <w:t xml:space="preserve">Holston Valley </w:t>
      </w:r>
      <w:r w:rsidR="008F3F23" w:rsidRPr="00662967">
        <w:rPr>
          <w:i/>
        </w:rPr>
        <w:t>et al.</w:t>
      </w:r>
      <w:r w:rsidR="008F3F23">
        <w:t xml:space="preserve"> have</w:t>
      </w:r>
      <w:r w:rsidR="00591BF5" w:rsidRPr="00697530">
        <w:t xml:space="preserve"> not explained why a station or MVPD with a waiver del</w:t>
      </w:r>
      <w:r w:rsidR="00BC1EE7" w:rsidRPr="00697530">
        <w:t>a</w:t>
      </w:r>
      <w:r w:rsidR="00591BF5" w:rsidRPr="00697530">
        <w:t>ying compliance with the CALM Act rules until December 13, 2014 cannot obtain</w:t>
      </w:r>
      <w:r w:rsidR="00226C29" w:rsidRPr="00697530">
        <w:t xml:space="preserve"> by December 13, 2014</w:t>
      </w:r>
      <w:r w:rsidR="00591BF5" w:rsidRPr="00697530">
        <w:t xml:space="preserve"> </w:t>
      </w:r>
      <w:r w:rsidR="00226C29" w:rsidRPr="00697530">
        <w:t>either</w:t>
      </w:r>
      <w:r w:rsidR="00591BF5" w:rsidRPr="00697530">
        <w:t xml:space="preserve"> equipment that complies with the Successor RP or </w:t>
      </w:r>
      <w:r w:rsidR="00226C29" w:rsidRPr="00697530">
        <w:t>equipment that complies with the</w:t>
      </w:r>
      <w:r w:rsidR="00591BF5" w:rsidRPr="00697530">
        <w:t xml:space="preserve"> Current RP but </w:t>
      </w:r>
      <w:r w:rsidR="00226C29" w:rsidRPr="00697530">
        <w:t xml:space="preserve">that </w:t>
      </w:r>
      <w:r w:rsidR="00591BF5" w:rsidRPr="00697530">
        <w:t>is upgradeable to the Successor RP.  Thus, i</w:t>
      </w:r>
      <w:r w:rsidR="00B64BD1" w:rsidRPr="00697530">
        <w:t xml:space="preserve">t is not clear to us why entities </w:t>
      </w:r>
      <w:r w:rsidR="00591BF5" w:rsidRPr="00697530">
        <w:t>still in the process of coming into compliance</w:t>
      </w:r>
      <w:r w:rsidR="00B64BD1" w:rsidRPr="00697530">
        <w:t xml:space="preserve"> would end up paying twice.  </w:t>
      </w:r>
      <w:r w:rsidR="001C7592" w:rsidRPr="00697530">
        <w:t xml:space="preserve">Because most currently available equipment will be compliant with the Successor RP </w:t>
      </w:r>
      <w:r w:rsidR="00453065" w:rsidRPr="00697530">
        <w:t xml:space="preserve">– </w:t>
      </w:r>
      <w:r w:rsidR="001C7592" w:rsidRPr="00697530">
        <w:t xml:space="preserve">and </w:t>
      </w:r>
      <w:r w:rsidR="00453065" w:rsidRPr="00697530">
        <w:t xml:space="preserve">regulated </w:t>
      </w:r>
      <w:r w:rsidR="001C7592" w:rsidRPr="00697530">
        <w:t xml:space="preserve">entities can ensure that they purchase equipment </w:t>
      </w:r>
      <w:r w:rsidR="00453065" w:rsidRPr="00697530">
        <w:t xml:space="preserve">that complies (or can be easily upgraded to comply) with the Successor RP – </w:t>
      </w:r>
      <w:r w:rsidR="001C7592" w:rsidRPr="00697530">
        <w:t>we are not persuaded that this gap will pose any problems to regulated entities.</w:t>
      </w:r>
      <w:r w:rsidR="00453065" w:rsidRPr="00697530">
        <w:t xml:space="preserve"> Therefore, t</w:t>
      </w:r>
      <w:r w:rsidR="00C72E5D" w:rsidRPr="00697530">
        <w:t>o the extent the regulated entity has not yet purchased the necessary equipment to comply with the CALM Act, we see no reason why such entity could not ensure</w:t>
      </w:r>
      <w:r w:rsidRPr="00697530">
        <w:t xml:space="preserve"> </w:t>
      </w:r>
      <w:r w:rsidR="00C72E5D" w:rsidRPr="00697530">
        <w:t>that the equipment it does purchase (</w:t>
      </w:r>
      <w:r w:rsidR="00591BF5" w:rsidRPr="00697530">
        <w:t>before</w:t>
      </w:r>
      <w:r w:rsidR="00C72E5D" w:rsidRPr="00697530">
        <w:t xml:space="preserve"> its financial hardship waiver expires) will comply with the Successor RP.</w:t>
      </w:r>
      <w:r w:rsidR="008A0B57" w:rsidRPr="00697530">
        <w:rPr>
          <w:rStyle w:val="FootnoteReference"/>
        </w:rPr>
        <w:footnoteReference w:id="40"/>
      </w:r>
      <w:r w:rsidR="00C72E5D" w:rsidRPr="00697530">
        <w:t xml:space="preserve">  To the extent the regulated entity has purchased equipment that is not easily upgradable, such entity may seek more time to comply with the Successor RP (as described above).  </w:t>
      </w:r>
      <w:r w:rsidR="00E24B65" w:rsidRPr="00697530">
        <w:t>We emphasize, however, that</w:t>
      </w:r>
      <w:r w:rsidR="00C72E5D" w:rsidRPr="00697530">
        <w:t xml:space="preserve"> all regulated entities with existing financial hardship waivers must compl</w:t>
      </w:r>
      <w:r w:rsidR="00591BF5" w:rsidRPr="00697530">
        <w:t>y</w:t>
      </w:r>
      <w:r w:rsidR="00C72E5D" w:rsidRPr="00697530">
        <w:t xml:space="preserve"> with the CALM Act rules </w:t>
      </w:r>
      <w:r w:rsidR="00BD3B88" w:rsidRPr="00697530">
        <w:t>when their financial hardship waivers expire</w:t>
      </w:r>
      <w:r w:rsidR="00591BF5" w:rsidRPr="00697530">
        <w:t>, whether in accordance with the Current RP or the Successor RP depending upon the timing</w:t>
      </w:r>
      <w:r w:rsidR="00220C72" w:rsidRPr="00697530">
        <w:t>.</w:t>
      </w:r>
    </w:p>
    <w:p w:rsidR="00996E04" w:rsidRPr="00697530" w:rsidRDefault="00F36E0A" w:rsidP="00827CCB">
      <w:pPr>
        <w:pStyle w:val="ParaNum"/>
      </w:pPr>
      <w:r w:rsidRPr="00697530">
        <w:t xml:space="preserve">Finally, consistent with </w:t>
      </w:r>
      <w:r w:rsidR="0022445E" w:rsidRPr="00697530">
        <w:t>the Commission’s</w:t>
      </w:r>
      <w:r w:rsidR="0094327B" w:rsidRPr="00697530">
        <w:t xml:space="preserve"> decision in </w:t>
      </w:r>
      <w:r w:rsidR="00A0542D" w:rsidRPr="00697530">
        <w:t xml:space="preserve">the Order accompanying the </w:t>
      </w:r>
      <w:r w:rsidR="00A0542D" w:rsidRPr="00697530">
        <w:rPr>
          <w:i/>
        </w:rPr>
        <w:t>FNPRM</w:t>
      </w:r>
      <w:r w:rsidRPr="00697530">
        <w:t xml:space="preserve">, </w:t>
      </w:r>
      <w:r w:rsidR="00A0542D" w:rsidRPr="00697530">
        <w:t xml:space="preserve">we will </w:t>
      </w:r>
      <w:r w:rsidR="00226C29" w:rsidRPr="00697530">
        <w:t xml:space="preserve">continue to </w:t>
      </w:r>
      <w:r w:rsidR="00EA1C64" w:rsidRPr="00697530">
        <w:t>permit stations</w:t>
      </w:r>
      <w:r w:rsidR="000706AE" w:rsidRPr="00697530">
        <w:t xml:space="preserve"> and </w:t>
      </w:r>
      <w:r w:rsidR="00EA1C64" w:rsidRPr="00697530">
        <w:t xml:space="preserve">MVPDs </w:t>
      </w:r>
      <w:r w:rsidR="008F3F23">
        <w:t xml:space="preserve">the option </w:t>
      </w:r>
      <w:r w:rsidR="00EA1C64" w:rsidRPr="00697530">
        <w:t xml:space="preserve">to implement the </w:t>
      </w:r>
      <w:r w:rsidR="000706AE" w:rsidRPr="00697530">
        <w:t>S</w:t>
      </w:r>
      <w:r w:rsidR="00EA1C64" w:rsidRPr="00697530">
        <w:t>uccessor RP early</w:t>
      </w:r>
      <w:r w:rsidR="000706AE" w:rsidRPr="00697530">
        <w:t>.</w:t>
      </w:r>
      <w:r w:rsidR="007530F3" w:rsidRPr="00697530">
        <w:rPr>
          <w:rStyle w:val="FootnoteReference"/>
        </w:rPr>
        <w:footnoteReference w:id="41"/>
      </w:r>
      <w:r w:rsidR="00B42CFD" w:rsidRPr="00697530">
        <w:t xml:space="preserve"> </w:t>
      </w:r>
      <w:r w:rsidR="000706AE" w:rsidRPr="00697530">
        <w:t xml:space="preserve"> </w:t>
      </w:r>
      <w:r w:rsidR="00B42CFD" w:rsidRPr="00697530">
        <w:t>We expect</w:t>
      </w:r>
      <w:r w:rsidR="000706AE" w:rsidRPr="00697530">
        <w:t xml:space="preserve"> </w:t>
      </w:r>
      <w:r w:rsidR="00B42CFD" w:rsidRPr="00697530">
        <w:t>that some stations</w:t>
      </w:r>
      <w:r w:rsidR="00B17CD1" w:rsidRPr="00697530">
        <w:t xml:space="preserve"> </w:t>
      </w:r>
      <w:r w:rsidR="000706AE" w:rsidRPr="00697530">
        <w:t>and</w:t>
      </w:r>
      <w:r w:rsidR="00B17CD1" w:rsidRPr="00697530">
        <w:t xml:space="preserve"> </w:t>
      </w:r>
      <w:r w:rsidR="00B42CFD" w:rsidRPr="00697530">
        <w:t xml:space="preserve">MVPDs </w:t>
      </w:r>
      <w:r w:rsidR="000706AE" w:rsidRPr="00697530">
        <w:t>may</w:t>
      </w:r>
      <w:r w:rsidR="00B42CFD" w:rsidRPr="00697530">
        <w:t xml:space="preserve"> be able </w:t>
      </w:r>
      <w:r w:rsidR="00540D92" w:rsidRPr="00697530">
        <w:t xml:space="preserve">and willing </w:t>
      </w:r>
      <w:r w:rsidR="00B42CFD" w:rsidRPr="00697530">
        <w:t xml:space="preserve">to implement the </w:t>
      </w:r>
      <w:r w:rsidR="00EA1C64" w:rsidRPr="00697530">
        <w:t>S</w:t>
      </w:r>
      <w:r w:rsidR="00B42CFD" w:rsidRPr="00697530">
        <w:t xml:space="preserve">uccessor RP in less </w:t>
      </w:r>
      <w:r w:rsidR="00226C29" w:rsidRPr="00697530">
        <w:t xml:space="preserve">time </w:t>
      </w:r>
      <w:r w:rsidR="00B42CFD" w:rsidRPr="00697530">
        <w:t>than the year allow</w:t>
      </w:r>
      <w:r w:rsidR="00A0542D" w:rsidRPr="00697530">
        <w:t>ed</w:t>
      </w:r>
      <w:r w:rsidR="00F30748" w:rsidRPr="00697530">
        <w:t xml:space="preserve"> for </w:t>
      </w:r>
      <w:r w:rsidR="00A0542D" w:rsidRPr="00697530">
        <w:t xml:space="preserve">them to come into </w:t>
      </w:r>
      <w:r w:rsidR="00F30748" w:rsidRPr="00697530">
        <w:t>compliance with the new standard</w:t>
      </w:r>
      <w:r w:rsidR="00B42CFD" w:rsidRPr="00697530">
        <w:t xml:space="preserve">.  </w:t>
      </w:r>
      <w:r w:rsidR="00F950A7" w:rsidRPr="00697530">
        <w:t xml:space="preserve">Pursuant to the waiver granted in the Order accompanying the </w:t>
      </w:r>
      <w:r w:rsidR="00F950A7" w:rsidRPr="00697530">
        <w:rPr>
          <w:i/>
        </w:rPr>
        <w:t>FNPRM</w:t>
      </w:r>
      <w:r w:rsidR="00EC46A3" w:rsidRPr="00697530">
        <w:t xml:space="preserve">, </w:t>
      </w:r>
      <w:r w:rsidR="00827CCB" w:rsidRPr="00827CCB">
        <w:t>which will remain in effect until the effective date of the new standard,</w:t>
      </w:r>
      <w:r w:rsidR="00827CCB">
        <w:t xml:space="preserve"> </w:t>
      </w:r>
      <w:r w:rsidR="009B70A6" w:rsidRPr="00697530">
        <w:t>stations and MVPDs</w:t>
      </w:r>
      <w:r w:rsidR="00B53C30" w:rsidRPr="00697530">
        <w:t xml:space="preserve"> </w:t>
      </w:r>
      <w:r w:rsidR="00F950A7" w:rsidRPr="00697530">
        <w:t xml:space="preserve">may </w:t>
      </w:r>
      <w:r w:rsidR="00B53C30" w:rsidRPr="00697530">
        <w:t xml:space="preserve">comply with our </w:t>
      </w:r>
      <w:r w:rsidR="005002E2" w:rsidRPr="00697530">
        <w:t xml:space="preserve">existing </w:t>
      </w:r>
      <w:r w:rsidR="00B53C30" w:rsidRPr="00697530">
        <w:t xml:space="preserve">rules by following either the BS.1770-1 measurement method in the </w:t>
      </w:r>
      <w:r w:rsidR="009B70A6" w:rsidRPr="00697530">
        <w:t>C</w:t>
      </w:r>
      <w:r w:rsidR="00B53C30" w:rsidRPr="00697530">
        <w:t xml:space="preserve">urrent RP or the BS.1770-3 updated measurement method in the </w:t>
      </w:r>
      <w:r w:rsidR="00B17CD1" w:rsidRPr="00697530">
        <w:t>S</w:t>
      </w:r>
      <w:r w:rsidR="00B53C30" w:rsidRPr="00697530">
        <w:t xml:space="preserve">uccessor RP.  </w:t>
      </w:r>
      <w:r w:rsidR="005002E2" w:rsidRPr="00697530">
        <w:t xml:space="preserve">Although the change in the measurement method is minor, we believe </w:t>
      </w:r>
      <w:r w:rsidR="00BB5479" w:rsidRPr="00697530">
        <w:t>that consumers may benefit from early implementation of the improved loudness measurement technique incorporated into the Successor RP.</w:t>
      </w:r>
    </w:p>
    <w:p w:rsidR="00104D8A" w:rsidRPr="00697530" w:rsidRDefault="00104D8A" w:rsidP="009F17A8">
      <w:pPr>
        <w:pStyle w:val="Heading1"/>
        <w:keepNext w:val="0"/>
      </w:pPr>
      <w:r w:rsidRPr="00697530">
        <w:t>PROCEDURAL MATTERS</w:t>
      </w:r>
    </w:p>
    <w:p w:rsidR="0013406C" w:rsidRPr="00697530" w:rsidRDefault="00080AB9" w:rsidP="009F17A8">
      <w:pPr>
        <w:pStyle w:val="ParaNum"/>
      </w:pPr>
      <w:r w:rsidRPr="00697530">
        <w:rPr>
          <w:u w:val="single"/>
        </w:rPr>
        <w:t>Final</w:t>
      </w:r>
      <w:r w:rsidR="0013406C" w:rsidRPr="00697530">
        <w:rPr>
          <w:u w:val="single"/>
        </w:rPr>
        <w:t xml:space="preserve"> Regulatory Flexibility Act Analysis</w:t>
      </w:r>
      <w:r w:rsidR="0013406C" w:rsidRPr="00697530">
        <w:t>.  As required by the Regulatory Flexibility Act of 1980 (RFA),</w:t>
      </w:r>
      <w:r w:rsidR="0013406C" w:rsidRPr="00697530">
        <w:rPr>
          <w:rStyle w:val="FootnoteReference"/>
        </w:rPr>
        <w:footnoteReference w:id="42"/>
      </w:r>
      <w:r w:rsidR="0013406C" w:rsidRPr="00697530">
        <w:t xml:space="preserve"> the Commission has prepared </w:t>
      </w:r>
      <w:r w:rsidRPr="00697530">
        <w:t>a Final</w:t>
      </w:r>
      <w:r w:rsidR="0013406C" w:rsidRPr="00697530">
        <w:t xml:space="preserve"> Regulatory Flexibility Analysis (</w:t>
      </w:r>
      <w:r w:rsidRPr="00697530">
        <w:t>F</w:t>
      </w:r>
      <w:r w:rsidR="0013406C" w:rsidRPr="00697530">
        <w:t xml:space="preserve">RFA).  The </w:t>
      </w:r>
      <w:r w:rsidRPr="00697530">
        <w:t>F</w:t>
      </w:r>
      <w:r w:rsidR="0013406C" w:rsidRPr="00697530">
        <w:t>RFA is attached as Appendix B.</w:t>
      </w:r>
    </w:p>
    <w:p w:rsidR="00257A0B" w:rsidRPr="00697530" w:rsidRDefault="00080AB9" w:rsidP="009F17A8">
      <w:pPr>
        <w:pStyle w:val="ParaNum"/>
      </w:pPr>
      <w:r w:rsidRPr="00697530">
        <w:rPr>
          <w:u w:val="single"/>
        </w:rPr>
        <w:t>Final</w:t>
      </w:r>
      <w:r w:rsidR="00257A0B" w:rsidRPr="00697530">
        <w:rPr>
          <w:u w:val="single"/>
        </w:rPr>
        <w:t xml:space="preserve"> Paperwork Reduction Act Analysis</w:t>
      </w:r>
      <w:r w:rsidR="00257A0B" w:rsidRPr="00697530">
        <w:t xml:space="preserve">.  This document does not contain </w:t>
      </w:r>
      <w:r w:rsidRPr="00697530">
        <w:t xml:space="preserve">any </w:t>
      </w:r>
      <w:r w:rsidRPr="00697530">
        <w:rPr>
          <w:bCs/>
        </w:rPr>
        <w:t xml:space="preserve">new or modified </w:t>
      </w:r>
      <w:r w:rsidR="00257A0B" w:rsidRPr="00697530">
        <w:t>information collection</w:t>
      </w:r>
      <w:r w:rsidRPr="00697530">
        <w:t xml:space="preserve"> requirements</w:t>
      </w:r>
      <w:r w:rsidR="00257A0B" w:rsidRPr="00697530">
        <w:t xml:space="preserve"> subject to the Paperwork Reduction Act of 1995 (PRA).</w:t>
      </w:r>
      <w:r w:rsidR="00257A0B" w:rsidRPr="00697530">
        <w:rPr>
          <w:rStyle w:val="FootnoteReference"/>
        </w:rPr>
        <w:footnoteReference w:id="43"/>
      </w:r>
      <w:r w:rsidR="00257A0B" w:rsidRPr="00697530">
        <w:t xml:space="preserve">  In addition, therefore, it does not contain any information collection burden for small business concerns with fewer than 25 employees, pursuant to the Small Business Paperwork Relief Act of 2002.</w:t>
      </w:r>
      <w:r w:rsidR="00257A0B" w:rsidRPr="00697530">
        <w:rPr>
          <w:rStyle w:val="FootnoteReference"/>
        </w:rPr>
        <w:footnoteReference w:id="44"/>
      </w:r>
    </w:p>
    <w:p w:rsidR="00080AB9" w:rsidRPr="00697530" w:rsidRDefault="00080AB9" w:rsidP="00080AB9">
      <w:pPr>
        <w:pStyle w:val="ParaNum"/>
      </w:pPr>
      <w:r w:rsidRPr="00697530">
        <w:rPr>
          <w:u w:val="single"/>
        </w:rPr>
        <w:t>Congressional Review Act</w:t>
      </w:r>
      <w:r w:rsidR="00D62099" w:rsidRPr="00697530">
        <w:t>.</w:t>
      </w:r>
      <w:r w:rsidRPr="00697530">
        <w:t xml:space="preserve"> </w:t>
      </w:r>
      <w:r w:rsidR="00D62099" w:rsidRPr="00697530">
        <w:t xml:space="preserve"> </w:t>
      </w:r>
      <w:r w:rsidRPr="00697530">
        <w:t xml:space="preserve">The Commission will send a copy of this </w:t>
      </w:r>
      <w:r w:rsidR="008C4F10">
        <w:t xml:space="preserve">Second </w:t>
      </w:r>
      <w:r w:rsidRPr="00697530">
        <w:t>Report and Order in a report to be sent to Congress and the Government Accountability Office, pursuant to the Congressional Review Act.</w:t>
      </w:r>
      <w:r w:rsidRPr="00697530">
        <w:rPr>
          <w:rStyle w:val="FootnoteReference"/>
        </w:rPr>
        <w:footnoteReference w:id="45"/>
      </w:r>
    </w:p>
    <w:p w:rsidR="00104D8A" w:rsidRPr="00697530" w:rsidRDefault="00D62099" w:rsidP="00257A0B">
      <w:pPr>
        <w:pStyle w:val="ParaNum"/>
      </w:pPr>
      <w:r w:rsidRPr="00697530">
        <w:rPr>
          <w:u w:val="single"/>
        </w:rPr>
        <w:t>Additional Information</w:t>
      </w:r>
      <w:r w:rsidRPr="00697530">
        <w:t xml:space="preserve">.  </w:t>
      </w:r>
      <w:r w:rsidR="00104D8A" w:rsidRPr="00697530">
        <w:t xml:space="preserve">For </w:t>
      </w:r>
      <w:r w:rsidRPr="00697530">
        <w:t>more</w:t>
      </w:r>
      <w:r w:rsidR="00104D8A" w:rsidRPr="00697530">
        <w:t xml:space="preserve"> information, contact Evan Baranoff, </w:t>
      </w:r>
      <w:hyperlink r:id="rId8" w:history="1">
        <w:r w:rsidR="00104D8A" w:rsidRPr="00697530">
          <w:rPr>
            <w:rStyle w:val="Hyperlink"/>
          </w:rPr>
          <w:t>Evan.Baranoff@fcc.gov</w:t>
        </w:r>
      </w:hyperlink>
      <w:r w:rsidR="00104D8A" w:rsidRPr="00697530">
        <w:t xml:space="preserve">, </w:t>
      </w:r>
      <w:hyperlink r:id="rId9" w:history="1">
        <w:r w:rsidR="00F06EA6" w:rsidRPr="00F06EA6">
          <w:rPr>
            <w:rStyle w:val="Hyperlink"/>
          </w:rPr>
          <w:t>mailto:</w:t>
        </w:r>
      </w:hyperlink>
      <w:r w:rsidR="00104D8A" w:rsidRPr="00697530">
        <w:t xml:space="preserve">of the Media Bureau, Policy Division, (202) 418-7142 or Shabnam Javid, </w:t>
      </w:r>
      <w:hyperlink r:id="rId10" w:history="1">
        <w:r w:rsidR="00104D8A" w:rsidRPr="00697530">
          <w:rPr>
            <w:rStyle w:val="Hyperlink"/>
          </w:rPr>
          <w:t>Shabnam.Javid@fcc.gov</w:t>
        </w:r>
      </w:hyperlink>
      <w:r w:rsidR="00104D8A" w:rsidRPr="00697530">
        <w:t>, of the Engineering Division, Media Bureau at (202) 418-2672.  Direct press inquiries to Janice Wise at (202) 418-8165.</w:t>
      </w:r>
    </w:p>
    <w:p w:rsidR="00841B7C" w:rsidRPr="00697530" w:rsidRDefault="00841B7C" w:rsidP="00841B7C">
      <w:pPr>
        <w:pStyle w:val="Heading1"/>
      </w:pPr>
      <w:bookmarkStart w:id="41" w:name="_Toc92617359"/>
      <w:bookmarkStart w:id="42" w:name="_Toc92790575"/>
      <w:bookmarkStart w:id="43" w:name="_Toc93202813"/>
      <w:bookmarkStart w:id="44" w:name="_Toc93211428"/>
      <w:bookmarkStart w:id="45" w:name="_Toc93232825"/>
      <w:bookmarkStart w:id="46" w:name="_Toc93234680"/>
      <w:bookmarkStart w:id="47" w:name="_Toc93823535"/>
      <w:bookmarkStart w:id="48" w:name="_Toc93838109"/>
      <w:bookmarkStart w:id="49" w:name="_Toc94410230"/>
      <w:bookmarkStart w:id="50" w:name="_Toc94425726"/>
      <w:bookmarkStart w:id="51" w:name="_Toc94523115"/>
      <w:bookmarkStart w:id="52" w:name="_Toc94529950"/>
      <w:bookmarkStart w:id="53" w:name="_Toc94695355"/>
      <w:bookmarkStart w:id="54" w:name="_Toc95053167"/>
      <w:bookmarkStart w:id="55" w:name="_Toc95185664"/>
      <w:bookmarkStart w:id="56" w:name="_Toc263955112"/>
      <w:bookmarkStart w:id="57" w:name="_Toc264045072"/>
      <w:bookmarkStart w:id="58" w:name="_Toc264358614"/>
      <w:bookmarkStart w:id="59" w:name="_Toc264469653"/>
      <w:bookmarkStart w:id="60" w:name="_Toc264626495"/>
      <w:bookmarkStart w:id="61" w:name="_Toc265149304"/>
      <w:bookmarkStart w:id="62" w:name="_Toc266187830"/>
      <w:bookmarkStart w:id="63" w:name="_Toc266448383"/>
      <w:bookmarkStart w:id="64" w:name="_Toc286247841"/>
      <w:bookmarkStart w:id="65" w:name="_Toc286326223"/>
      <w:bookmarkStart w:id="66" w:name="_Toc287975756"/>
      <w:bookmarkStart w:id="67" w:name="_Toc288130294"/>
      <w:bookmarkStart w:id="68" w:name="_Toc288656936"/>
      <w:bookmarkStart w:id="69" w:name="_Toc289343437"/>
      <w:bookmarkStart w:id="70" w:name="_Toc289351727"/>
      <w:bookmarkStart w:id="71" w:name="_Toc289351893"/>
      <w:bookmarkStart w:id="72" w:name="_Toc289351947"/>
      <w:bookmarkStart w:id="73" w:name="_Toc289352215"/>
      <w:bookmarkStart w:id="74" w:name="_Toc290033445"/>
      <w:bookmarkStart w:id="75" w:name="_Toc290049615"/>
      <w:bookmarkStart w:id="76" w:name="_Toc291159351"/>
      <w:bookmarkStart w:id="77" w:name="_Toc291237943"/>
      <w:bookmarkStart w:id="78" w:name="_Toc291238321"/>
      <w:bookmarkStart w:id="79" w:name="_Toc291780296"/>
      <w:r w:rsidRPr="00697530">
        <w:t>Ordering Clauses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D62099" w:rsidRPr="00553DCC" w:rsidRDefault="00841B7C" w:rsidP="001043A5">
      <w:pPr>
        <w:pStyle w:val="ParaNum"/>
      </w:pPr>
      <w:r w:rsidRPr="00553DCC">
        <w:t>Accordingly, IT IS ORDERED that pursuant to the Commercial Advertisement Loudness Mitigation Act of 2010, Pub. L. No. 111-311, 124 Stat. 3294, and Sections 1, 2(a), 4(i), and 303(r) of the Communications Act of 1934, as amended, 47 U.S.C. §§ 151, 152</w:t>
      </w:r>
      <w:r w:rsidR="00283468" w:rsidRPr="00553DCC">
        <w:t>(a)</w:t>
      </w:r>
      <w:r w:rsidRPr="00553DCC">
        <w:t xml:space="preserve">, 154(i), </w:t>
      </w:r>
      <w:r w:rsidR="00283468" w:rsidRPr="00553DCC">
        <w:t xml:space="preserve">and </w:t>
      </w:r>
      <w:r w:rsidRPr="00553DCC">
        <w:t xml:space="preserve">303(r), and 621, </w:t>
      </w:r>
      <w:r w:rsidR="00973B87" w:rsidRPr="00553DCC">
        <w:t xml:space="preserve">this </w:t>
      </w:r>
      <w:r w:rsidR="00D62099" w:rsidRPr="00553DCC">
        <w:t xml:space="preserve">Second Report and </w:t>
      </w:r>
      <w:r w:rsidR="00973B87" w:rsidRPr="00553DCC">
        <w:t>Order IS ADOPTED</w:t>
      </w:r>
      <w:r w:rsidR="003008ED" w:rsidRPr="00553DCC">
        <w:t>.</w:t>
      </w:r>
    </w:p>
    <w:p w:rsidR="003008ED" w:rsidRPr="0010393A" w:rsidRDefault="003008ED" w:rsidP="001043A5">
      <w:pPr>
        <w:pStyle w:val="ParaNum"/>
      </w:pPr>
      <w:r w:rsidRPr="00261ED7">
        <w:t xml:space="preserve">IT IS FURTHER ORDERED that the Commission’s rules </w:t>
      </w:r>
      <w:r w:rsidRPr="00261ED7">
        <w:rPr>
          <w:caps/>
        </w:rPr>
        <w:t>are hereby amended</w:t>
      </w:r>
      <w:r w:rsidRPr="00261ED7">
        <w:t xml:space="preserve"> as set forth in Appendix A, effective</w:t>
      </w:r>
      <w:r w:rsidR="00A44682">
        <w:t xml:space="preserve"> </w:t>
      </w:r>
      <w:r w:rsidR="00A44682" w:rsidRPr="00A44682">
        <w:t>June 4, 201</w:t>
      </w:r>
      <w:r w:rsidR="00A44682">
        <w:t>5</w:t>
      </w:r>
      <w:r w:rsidRPr="0010393A">
        <w:t>.</w:t>
      </w:r>
    </w:p>
    <w:p w:rsidR="00D62099" w:rsidRPr="00697530" w:rsidRDefault="00D62099" w:rsidP="00D62099">
      <w:pPr>
        <w:pStyle w:val="ParaNum"/>
      </w:pPr>
      <w:r w:rsidRPr="00697530">
        <w:t xml:space="preserve">IT IS FURTHER ORDERED that, pursuant to the Congressional Review Act, 5 U.S.C. § 801(a)(1)(A), the Commission </w:t>
      </w:r>
      <w:r w:rsidRPr="00697530">
        <w:rPr>
          <w:caps/>
        </w:rPr>
        <w:t xml:space="preserve">will </w:t>
      </w:r>
      <w:r w:rsidRPr="00697530">
        <w:t>SEND a copy of this Second Report and Order in a report to Congress and the General Accounting Office.</w:t>
      </w:r>
    </w:p>
    <w:p w:rsidR="00D62099" w:rsidRPr="00697530" w:rsidRDefault="00D62099" w:rsidP="00D62099">
      <w:pPr>
        <w:pStyle w:val="ParaNum"/>
        <w:keepNext/>
        <w:keepLines/>
      </w:pPr>
      <w:r w:rsidRPr="00697530">
        <w:t xml:space="preserve">IT IS FURTHER ORDERED that the Commission’s Consumer and Governmental Affairs Bureau, Reference Information Center, </w:t>
      </w:r>
      <w:r w:rsidRPr="00697530">
        <w:rPr>
          <w:caps/>
        </w:rPr>
        <w:t xml:space="preserve">will </w:t>
      </w:r>
      <w:r w:rsidRPr="00697530">
        <w:t>SEND a copy of this Second Report and Order, including the Final Regulatory Flexibility Analysis, to the Chief Counsel for Advocacy of the Small Business Administration.</w:t>
      </w:r>
    </w:p>
    <w:p w:rsidR="00841B7C" w:rsidRPr="00697530" w:rsidRDefault="00841B7C" w:rsidP="00841B7C"/>
    <w:p w:rsidR="00841B7C" w:rsidRPr="00697530" w:rsidRDefault="00841B7C" w:rsidP="00841B7C"/>
    <w:p w:rsidR="00841B7C" w:rsidRPr="00697530" w:rsidRDefault="00841B7C" w:rsidP="00841B7C">
      <w:r w:rsidRPr="00697530">
        <w:tab/>
      </w:r>
      <w:r w:rsidRPr="00697530">
        <w:tab/>
      </w:r>
      <w:r w:rsidRPr="00697530">
        <w:tab/>
      </w:r>
      <w:r w:rsidRPr="00697530">
        <w:tab/>
      </w:r>
      <w:r w:rsidRPr="00697530">
        <w:tab/>
        <w:t>FEDERAL COMMUNICATIONS COMMISSION</w:t>
      </w:r>
    </w:p>
    <w:p w:rsidR="00841B7C" w:rsidRPr="00697530" w:rsidRDefault="00841B7C" w:rsidP="00841B7C"/>
    <w:p w:rsidR="001338FF" w:rsidRPr="00697530" w:rsidRDefault="001338FF" w:rsidP="00841B7C"/>
    <w:p w:rsidR="001338FF" w:rsidRPr="00697530" w:rsidRDefault="001338FF" w:rsidP="00841B7C"/>
    <w:p w:rsidR="001338FF" w:rsidRPr="00697530" w:rsidRDefault="001338FF" w:rsidP="00841B7C"/>
    <w:p w:rsidR="00841B7C" w:rsidRPr="00697530" w:rsidRDefault="00841B7C" w:rsidP="00841B7C">
      <w:r w:rsidRPr="00697530">
        <w:tab/>
      </w:r>
      <w:r w:rsidRPr="00697530">
        <w:tab/>
      </w:r>
      <w:r w:rsidRPr="00697530">
        <w:tab/>
      </w:r>
      <w:r w:rsidRPr="00697530">
        <w:tab/>
      </w:r>
      <w:r w:rsidRPr="00697530">
        <w:tab/>
        <w:t>Marlene H. Dortch</w:t>
      </w:r>
    </w:p>
    <w:p w:rsidR="00104D8A" w:rsidRPr="00697530" w:rsidRDefault="00841B7C" w:rsidP="0097748C">
      <w:r w:rsidRPr="00697530">
        <w:tab/>
      </w:r>
      <w:r w:rsidRPr="00697530">
        <w:tab/>
      </w:r>
      <w:r w:rsidRPr="00697530">
        <w:tab/>
      </w:r>
      <w:r w:rsidRPr="00697530">
        <w:tab/>
      </w:r>
      <w:r w:rsidRPr="00697530">
        <w:tab/>
        <w:t>Secretary</w:t>
      </w:r>
    </w:p>
    <w:p w:rsidR="00F20409" w:rsidRPr="00697530" w:rsidRDefault="00F20409" w:rsidP="00104D8A"/>
    <w:p w:rsidR="00F20409" w:rsidRPr="00697530" w:rsidRDefault="00F20409" w:rsidP="00375A68">
      <w:pPr>
        <w:jc w:val="center"/>
        <w:rPr>
          <w:b/>
        </w:rPr>
        <w:sectPr w:rsidR="00F20409" w:rsidRPr="00697530"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p>
    <w:p w:rsidR="00104D8A" w:rsidRPr="00697530" w:rsidRDefault="00104D8A" w:rsidP="00375A68">
      <w:pPr>
        <w:jc w:val="center"/>
        <w:rPr>
          <w:b/>
        </w:rPr>
      </w:pPr>
      <w:r w:rsidRPr="00697530">
        <w:rPr>
          <w:b/>
        </w:rPr>
        <w:t>APPENDIX A</w:t>
      </w:r>
    </w:p>
    <w:p w:rsidR="00104D8A" w:rsidRPr="00697530" w:rsidRDefault="00104D8A" w:rsidP="00375A68">
      <w:pPr>
        <w:jc w:val="center"/>
        <w:rPr>
          <w:b/>
        </w:rPr>
      </w:pPr>
    </w:p>
    <w:p w:rsidR="00104D8A" w:rsidRPr="00697530" w:rsidRDefault="00572C31" w:rsidP="00375A68">
      <w:pPr>
        <w:jc w:val="center"/>
        <w:rPr>
          <w:b/>
        </w:rPr>
      </w:pPr>
      <w:r w:rsidRPr="00697530">
        <w:rPr>
          <w:b/>
        </w:rPr>
        <w:t>Final</w:t>
      </w:r>
      <w:r w:rsidR="00104D8A" w:rsidRPr="00697530">
        <w:rPr>
          <w:b/>
        </w:rPr>
        <w:t xml:space="preserve"> Rules</w:t>
      </w:r>
    </w:p>
    <w:p w:rsidR="00104D8A" w:rsidRPr="00697530" w:rsidRDefault="00104D8A" w:rsidP="00104D8A"/>
    <w:p w:rsidR="00104D8A" w:rsidRPr="00697530" w:rsidRDefault="00104D8A" w:rsidP="00104D8A">
      <w:r w:rsidRPr="00697530">
        <w:t>The Federal Communications Commission amend</w:t>
      </w:r>
      <w:r w:rsidR="00572C31" w:rsidRPr="00697530">
        <w:t>s</w:t>
      </w:r>
      <w:r w:rsidRPr="00697530">
        <w:t xml:space="preserve"> Parts 73 and 76 of Title 47 of the Code of Federal Regulations (CFR) as set forth below:</w:t>
      </w:r>
    </w:p>
    <w:p w:rsidR="00104D8A" w:rsidRPr="00697530" w:rsidRDefault="00104D8A" w:rsidP="00104D8A"/>
    <w:p w:rsidR="00104D8A" w:rsidRPr="00697530" w:rsidRDefault="00104D8A" w:rsidP="00104D8A"/>
    <w:p w:rsidR="00104D8A" w:rsidRPr="00697530" w:rsidRDefault="00104D8A" w:rsidP="00104D8A">
      <w:r w:rsidRPr="00697530">
        <w:t>PART 73– RADIO BROADCAST SERVICES</w:t>
      </w:r>
    </w:p>
    <w:p w:rsidR="00104D8A" w:rsidRPr="00697530" w:rsidRDefault="00104D8A" w:rsidP="00104D8A"/>
    <w:p w:rsidR="00104D8A" w:rsidRPr="00697530" w:rsidRDefault="00104D8A" w:rsidP="00104D8A">
      <w:r w:rsidRPr="00697530">
        <w:t>1.</w:t>
      </w:r>
      <w:r w:rsidRPr="00697530">
        <w:tab/>
        <w:t>The authority citation for Part 73 continues to read as follows:</w:t>
      </w:r>
    </w:p>
    <w:p w:rsidR="00104D8A" w:rsidRPr="00697530" w:rsidRDefault="00104D8A" w:rsidP="00104D8A"/>
    <w:p w:rsidR="00104D8A" w:rsidRPr="00697530" w:rsidRDefault="00104D8A" w:rsidP="00104D8A">
      <w:r w:rsidRPr="00697530">
        <w:rPr>
          <w:smallCaps/>
        </w:rPr>
        <w:t>Authority</w:t>
      </w:r>
      <w:r w:rsidRPr="00697530">
        <w:t>: 47 U.S.C. 154, 303, 334, 336, and 339.</w:t>
      </w:r>
    </w:p>
    <w:p w:rsidR="00104D8A" w:rsidRPr="00697530" w:rsidRDefault="00104D8A" w:rsidP="00104D8A"/>
    <w:p w:rsidR="00CE52B6" w:rsidRPr="00697530" w:rsidRDefault="00104D8A" w:rsidP="00D97367">
      <w:r w:rsidRPr="00697530">
        <w:t>2.</w:t>
      </w:r>
      <w:r w:rsidRPr="00697530">
        <w:tab/>
        <w:t xml:space="preserve">Section 73.8000 is amended in paragraph (b)(5) by removing </w:t>
      </w:r>
      <w:r w:rsidR="00381ADC" w:rsidRPr="00697530">
        <w:t>“ATSC A/85:2011” and adding in its place ”ATSC A/85:2013”, and removing</w:t>
      </w:r>
      <w:r w:rsidR="008738B1" w:rsidRPr="00697530">
        <w:t xml:space="preserve"> </w:t>
      </w:r>
      <w:r w:rsidRPr="00697530">
        <w:t>the date “July 25, 2011” and adding in its place “March 12, 2013”</w:t>
      </w:r>
      <w:r w:rsidR="00671766" w:rsidRPr="00697530">
        <w:t>.</w:t>
      </w:r>
    </w:p>
    <w:p w:rsidR="00104D8A" w:rsidRDefault="00104D8A" w:rsidP="00104D8A"/>
    <w:p w:rsidR="0036145C" w:rsidRPr="00697530" w:rsidRDefault="0036145C" w:rsidP="00104D8A"/>
    <w:p w:rsidR="00104D8A" w:rsidRPr="00697530" w:rsidRDefault="00104D8A" w:rsidP="00104D8A">
      <w:r w:rsidRPr="00697530">
        <w:t>PART 76 – MULTICHANNEL VIDEO AND CABLE TELEVISION SERVICE.</w:t>
      </w:r>
    </w:p>
    <w:p w:rsidR="00104D8A" w:rsidRPr="00697530" w:rsidRDefault="00104D8A" w:rsidP="00104D8A"/>
    <w:p w:rsidR="00104D8A" w:rsidRPr="00697530" w:rsidRDefault="00104D8A" w:rsidP="00104D8A">
      <w:r w:rsidRPr="00697530">
        <w:t>1.</w:t>
      </w:r>
      <w:r w:rsidRPr="00697530">
        <w:tab/>
        <w:t>The authority citation for Part 76 continues to read as follows:</w:t>
      </w:r>
    </w:p>
    <w:p w:rsidR="00104D8A" w:rsidRPr="00697530" w:rsidRDefault="00104D8A" w:rsidP="00104D8A"/>
    <w:p w:rsidR="00104D8A" w:rsidRPr="00697530" w:rsidRDefault="00104D8A" w:rsidP="00104D8A">
      <w:r w:rsidRPr="00697530">
        <w:rPr>
          <w:smallCaps/>
        </w:rPr>
        <w:t>Authority</w:t>
      </w:r>
      <w:r w:rsidRPr="00697530">
        <w:t>:  47 U.S.C. 151, 152, 153, 154, 301, 302, 302a, 303, 303a, 307, 308, 309, 312, 315, 317, 325, 339, 340, 341, 503, 521, 522, 531, 532, 534, 535, 536, 537, 543, 544, 544a, 545, 548, 549, 552, 554, 556, 558, 560, 561, 571, 572, 573.</w:t>
      </w:r>
    </w:p>
    <w:p w:rsidR="00104D8A" w:rsidRPr="00697530" w:rsidRDefault="00104D8A" w:rsidP="00104D8A"/>
    <w:p w:rsidR="00104D8A" w:rsidRPr="00697530" w:rsidRDefault="00104D8A" w:rsidP="006363B1">
      <w:r w:rsidRPr="00697530">
        <w:t>2.</w:t>
      </w:r>
      <w:r w:rsidRPr="00697530">
        <w:tab/>
        <w:t xml:space="preserve">Section 76.602 is amended in paragraph (b)(2) by removing </w:t>
      </w:r>
      <w:r w:rsidR="00381ADC" w:rsidRPr="00697530">
        <w:t xml:space="preserve">“ATSC A/85:2011” and adding in its place “ATSC A/85: 2013”, </w:t>
      </w:r>
      <w:r w:rsidR="008738B1" w:rsidRPr="00697530">
        <w:t>and removing</w:t>
      </w:r>
      <w:r w:rsidR="009B70A6" w:rsidRPr="00697530">
        <w:t xml:space="preserve"> </w:t>
      </w:r>
      <w:r w:rsidRPr="00697530">
        <w:t>the date “July 25, 2011” and adding in its place “March 12, 2013”</w:t>
      </w:r>
      <w:r w:rsidR="00671766" w:rsidRPr="00697530">
        <w:t>.</w:t>
      </w:r>
    </w:p>
    <w:p w:rsidR="00FA3E18" w:rsidRPr="00697530" w:rsidRDefault="00FA3E18" w:rsidP="00104D8A"/>
    <w:p w:rsidR="0031796C" w:rsidRPr="00697530" w:rsidRDefault="0031796C" w:rsidP="00104D8A"/>
    <w:p w:rsidR="00086057" w:rsidRPr="00697530" w:rsidRDefault="00086057"/>
    <w:p w:rsidR="000A20F5" w:rsidRDefault="000A20F5" w:rsidP="00A56928">
      <w:pPr>
        <w:jc w:val="center"/>
        <w:rPr>
          <w:b/>
        </w:rPr>
        <w:sectPr w:rsidR="000A20F5" w:rsidSect="00C33E2A">
          <w:endnotePr>
            <w:numFmt w:val="decimal"/>
          </w:endnotePr>
          <w:pgSz w:w="12240" w:h="15840"/>
          <w:pgMar w:top="1440" w:right="1440" w:bottom="720" w:left="1440" w:header="720" w:footer="720" w:gutter="0"/>
          <w:pgNumType w:start="7"/>
          <w:cols w:space="720"/>
          <w:noEndnote/>
          <w:docGrid w:linePitch="299"/>
        </w:sectPr>
      </w:pPr>
    </w:p>
    <w:p w:rsidR="00F20409" w:rsidRPr="00697530" w:rsidRDefault="00F20409" w:rsidP="00A56928">
      <w:pPr>
        <w:jc w:val="center"/>
        <w:rPr>
          <w:b/>
        </w:rPr>
        <w:sectPr w:rsidR="00F20409" w:rsidRPr="00697530" w:rsidSect="000A20F5">
          <w:endnotePr>
            <w:numFmt w:val="decimal"/>
          </w:endnotePr>
          <w:type w:val="continuous"/>
          <w:pgSz w:w="12240" w:h="15840"/>
          <w:pgMar w:top="1440" w:right="1440" w:bottom="720" w:left="1440" w:header="720" w:footer="720" w:gutter="0"/>
          <w:pgNumType w:start="7"/>
          <w:cols w:space="720"/>
          <w:noEndnote/>
          <w:docGrid w:linePitch="299"/>
        </w:sectPr>
      </w:pPr>
    </w:p>
    <w:p w:rsidR="00A56928" w:rsidRPr="00697530" w:rsidRDefault="00A56928" w:rsidP="00A56928">
      <w:pPr>
        <w:jc w:val="center"/>
        <w:rPr>
          <w:b/>
        </w:rPr>
      </w:pPr>
      <w:r w:rsidRPr="00697530">
        <w:rPr>
          <w:b/>
        </w:rPr>
        <w:t>APPENDIX B</w:t>
      </w:r>
    </w:p>
    <w:p w:rsidR="00A56928" w:rsidRPr="00697530" w:rsidRDefault="00A56928" w:rsidP="00A56928">
      <w:pPr>
        <w:jc w:val="center"/>
        <w:rPr>
          <w:b/>
        </w:rPr>
      </w:pPr>
    </w:p>
    <w:p w:rsidR="003210EB" w:rsidRPr="00697530" w:rsidRDefault="009E5E55" w:rsidP="00A56928">
      <w:pPr>
        <w:jc w:val="center"/>
        <w:rPr>
          <w:b/>
        </w:rPr>
      </w:pPr>
      <w:r w:rsidRPr="00697530">
        <w:rPr>
          <w:b/>
        </w:rPr>
        <w:t>Final</w:t>
      </w:r>
      <w:r w:rsidR="003210EB" w:rsidRPr="00697530">
        <w:rPr>
          <w:b/>
        </w:rPr>
        <w:t xml:space="preserve"> Regulatory Flexibility Act Analysis</w:t>
      </w:r>
    </w:p>
    <w:p w:rsidR="003210EB" w:rsidRPr="00697530" w:rsidRDefault="003210EB" w:rsidP="003210EB"/>
    <w:p w:rsidR="009E5E55" w:rsidRPr="00697530" w:rsidRDefault="003210EB" w:rsidP="009E5E55">
      <w:pPr>
        <w:pStyle w:val="ParaNum"/>
        <w:numPr>
          <w:ilvl w:val="0"/>
          <w:numId w:val="10"/>
        </w:numPr>
        <w:tabs>
          <w:tab w:val="clear" w:pos="1080"/>
          <w:tab w:val="num" w:pos="1440"/>
        </w:tabs>
      </w:pPr>
      <w:r w:rsidRPr="00697530">
        <w:t>As required by the Regulatory Flexibility Act of 1980, as amended (RFA)</w:t>
      </w:r>
      <w:r w:rsidRPr="00697530">
        <w:rPr>
          <w:rStyle w:val="FootnoteReference"/>
        </w:rPr>
        <w:footnoteReference w:id="46"/>
      </w:r>
      <w:r w:rsidRPr="00697530">
        <w:t xml:space="preserve"> </w:t>
      </w:r>
      <w:r w:rsidR="009E5E55" w:rsidRPr="00697530">
        <w:t xml:space="preserve">an Initial Regulatory Flexibility Analysis (IRFA) was incorporated in the </w:t>
      </w:r>
      <w:r w:rsidR="0075759E" w:rsidRPr="00697530">
        <w:rPr>
          <w:i/>
        </w:rPr>
        <w:t>Further N</w:t>
      </w:r>
      <w:r w:rsidR="009E5E55" w:rsidRPr="00697530">
        <w:rPr>
          <w:i/>
        </w:rPr>
        <w:t>otice of Proposed Rule Making</w:t>
      </w:r>
      <w:r w:rsidR="009E5E55" w:rsidRPr="00697530">
        <w:t xml:space="preserve"> in this proceeding.</w:t>
      </w:r>
      <w:r w:rsidR="0075759E" w:rsidRPr="00697530">
        <w:rPr>
          <w:rStyle w:val="FootnoteReference"/>
        </w:rPr>
        <w:footnoteReference w:id="47"/>
      </w:r>
      <w:r w:rsidR="009E5E55" w:rsidRPr="00697530">
        <w:t xml:space="preserve">  The Commission sought written public comment on the proposals in the </w:t>
      </w:r>
      <w:r w:rsidR="00572C31" w:rsidRPr="00697530">
        <w:rPr>
          <w:i/>
        </w:rPr>
        <w:t>F</w:t>
      </w:r>
      <w:r w:rsidR="009E5E55" w:rsidRPr="00697530">
        <w:rPr>
          <w:i/>
        </w:rPr>
        <w:t>NPRM</w:t>
      </w:r>
      <w:r w:rsidR="009E5E55" w:rsidRPr="00697530">
        <w:t xml:space="preserve">, including comment on the IRFA.  The Commission received no comments </w:t>
      </w:r>
      <w:r w:rsidR="0092248D" w:rsidRPr="00697530">
        <w:t xml:space="preserve">that specifically addressed the </w:t>
      </w:r>
      <w:r w:rsidR="009E5E55" w:rsidRPr="00697530">
        <w:t>IRFA.  This present Final Regulatory Flexibility Analysis (FRFA) conforms to the RFA.</w:t>
      </w:r>
      <w:r w:rsidR="009E5E55" w:rsidRPr="00697530">
        <w:rPr>
          <w:rStyle w:val="FootnoteReference"/>
        </w:rPr>
        <w:footnoteReference w:id="48"/>
      </w:r>
    </w:p>
    <w:p w:rsidR="003210EB" w:rsidRPr="00697530" w:rsidRDefault="003210EB" w:rsidP="003210EB">
      <w:pPr>
        <w:pStyle w:val="Heading2"/>
      </w:pPr>
      <w:r w:rsidRPr="00697530">
        <w:t xml:space="preserve">Need for, and Objectives of, the </w:t>
      </w:r>
      <w:r w:rsidR="00B5145D">
        <w:t xml:space="preserve">Final </w:t>
      </w:r>
      <w:r w:rsidRPr="00697530">
        <w:t>Rule</w:t>
      </w:r>
      <w:r w:rsidR="00B5145D">
        <w:t>s</w:t>
      </w:r>
    </w:p>
    <w:p w:rsidR="00CE52B6" w:rsidRPr="00697530" w:rsidRDefault="009C6491" w:rsidP="00AD538C">
      <w:pPr>
        <w:pStyle w:val="ParaNum"/>
      </w:pPr>
      <w:r w:rsidRPr="00697530">
        <w:t xml:space="preserve">This </w:t>
      </w:r>
      <w:r w:rsidR="00572C31" w:rsidRPr="00697530">
        <w:t>Second Report and Order</w:t>
      </w:r>
      <w:r w:rsidRPr="00697530">
        <w:t xml:space="preserve"> </w:t>
      </w:r>
      <w:r w:rsidR="00572C31" w:rsidRPr="00697530">
        <w:t>adopts</w:t>
      </w:r>
      <w:r w:rsidRPr="00697530">
        <w:t xml:space="preserve"> </w:t>
      </w:r>
      <w:r w:rsidR="00572C31" w:rsidRPr="00697530">
        <w:t>minor rule changes to the Commission’s Commercial Advertisement Loudness Mitigation (CALM) Act rules.  Specifically, as required by the CALM Act,</w:t>
      </w:r>
      <w:r w:rsidR="00572C31" w:rsidRPr="00697530">
        <w:rPr>
          <w:rStyle w:val="FootnoteReference"/>
        </w:rPr>
        <w:footnoteReference w:id="49"/>
      </w:r>
      <w:r w:rsidR="00572C31" w:rsidRPr="00697530">
        <w:t xml:space="preserve"> the Commission incorporates by reference into the rules the Advanced Television Systems Committee’s (ATSC)</w:t>
      </w:r>
      <w:r w:rsidR="00572C31" w:rsidRPr="00697530">
        <w:rPr>
          <w:rStyle w:val="FootnoteReference"/>
        </w:rPr>
        <w:footnoteReference w:id="50"/>
      </w:r>
      <w:r w:rsidR="00572C31" w:rsidRPr="00697530">
        <w:t xml:space="preserve"> March 12, 2013 A/85:2013 Recommended Practice (RP) (Successor RP),</w:t>
      </w:r>
      <w:r w:rsidR="00572C31" w:rsidRPr="00697530">
        <w:rPr>
          <w:rStyle w:val="FootnoteReference"/>
        </w:rPr>
        <w:footnoteReference w:id="51"/>
      </w:r>
      <w:r w:rsidR="00572C31" w:rsidRPr="00697530">
        <w:t xml:space="preserve"> which is the successor document to the July 25, 2011 A/85:2011 Recommended Practice (Current RP), incorporated into our rules in 2011.</w:t>
      </w:r>
      <w:r w:rsidR="00572C31" w:rsidRPr="00697530">
        <w:rPr>
          <w:rStyle w:val="FootnoteReference"/>
        </w:rPr>
        <w:footnoteReference w:id="52"/>
      </w:r>
      <w:r w:rsidR="00572C31" w:rsidRPr="00697530">
        <w:t xml:space="preserve">  The Successor RP will become mandatory on</w:t>
      </w:r>
      <w:r w:rsidR="00A44682">
        <w:t xml:space="preserve"> </w:t>
      </w:r>
      <w:r w:rsidR="00A44682" w:rsidRPr="00A44682">
        <w:t>June 4, 201</w:t>
      </w:r>
      <w:r w:rsidR="00A44682">
        <w:t>5</w:t>
      </w:r>
      <w:r w:rsidR="00572C31" w:rsidRPr="00697530">
        <w:t>.</w:t>
      </w:r>
      <w:r w:rsidR="00572C31" w:rsidRPr="00697530">
        <w:rPr>
          <w:rStyle w:val="FootnoteReference"/>
        </w:rPr>
        <w:footnoteReference w:id="53"/>
      </w:r>
      <w:r w:rsidR="00572C31" w:rsidRPr="00697530">
        <w:t xml:space="preserve">  Until this date, the Current RP that was incorporated into our rules in 2011 will continue to be mandatory; however, </w:t>
      </w:r>
      <w:r w:rsidR="007C7F20">
        <w:t>prior to</w:t>
      </w:r>
      <w:r w:rsidR="007E6888">
        <w:t xml:space="preserve"> that date, </w:t>
      </w:r>
      <w:r w:rsidR="00572C31" w:rsidRPr="00697530">
        <w:t xml:space="preserve">parties may instead choose to follow the loudness measurement method contained in the Successor RP, rather than that in the Current RP.  </w:t>
      </w:r>
      <w:r w:rsidR="00B969B3" w:rsidRPr="00697530">
        <w:t>As mandated by the statute, the rule</w:t>
      </w:r>
      <w:r w:rsidR="00B87100" w:rsidRPr="00697530">
        <w:t xml:space="preserve"> change</w:t>
      </w:r>
      <w:r w:rsidR="00B969B3" w:rsidRPr="00697530">
        <w:t xml:space="preserve">s will apply to </w:t>
      </w:r>
      <w:r w:rsidR="00317872" w:rsidRPr="00697530">
        <w:t>television station</w:t>
      </w:r>
      <w:r w:rsidR="00B969B3" w:rsidRPr="00697530">
        <w:t xml:space="preserve"> broadcasters</w:t>
      </w:r>
      <w:r w:rsidR="00317872" w:rsidRPr="00697530">
        <w:t xml:space="preserve"> </w:t>
      </w:r>
      <w:r w:rsidR="00B969B3" w:rsidRPr="00697530">
        <w:t>and multichannel video programming distributors (MVPDs).</w:t>
      </w:r>
      <w:r w:rsidR="00B969B3" w:rsidRPr="00697530">
        <w:rPr>
          <w:rStyle w:val="FootnoteReference"/>
        </w:rPr>
        <w:footnoteReference w:id="54"/>
      </w:r>
    </w:p>
    <w:p w:rsidR="00B10798" w:rsidRPr="00697530" w:rsidRDefault="00B10798" w:rsidP="00B10798">
      <w:pPr>
        <w:pStyle w:val="Heading2"/>
      </w:pPr>
      <w:bookmarkStart w:id="80" w:name="_Toc104281987"/>
      <w:bookmarkStart w:id="81" w:name="_Toc106683490"/>
      <w:bookmarkStart w:id="82" w:name="_Toc107978486"/>
      <w:bookmarkStart w:id="83" w:name="_Toc108954138"/>
      <w:bookmarkStart w:id="84" w:name="_Toc109040329"/>
      <w:bookmarkStart w:id="85" w:name="_Toc109550861"/>
      <w:bookmarkStart w:id="86" w:name="_Toc110071755"/>
      <w:bookmarkStart w:id="87" w:name="_Toc110745926"/>
      <w:bookmarkStart w:id="88" w:name="_Toc113937261"/>
      <w:bookmarkStart w:id="89" w:name="_Toc114569275"/>
      <w:bookmarkStart w:id="90" w:name="_Toc115068912"/>
      <w:bookmarkStart w:id="91" w:name="_Toc118089114"/>
      <w:bookmarkStart w:id="92" w:name="_Toc274228020"/>
      <w:bookmarkStart w:id="93" w:name="_Toc275450401"/>
      <w:bookmarkStart w:id="94" w:name="_Toc275540359"/>
      <w:bookmarkStart w:id="95" w:name="_Toc276035885"/>
      <w:bookmarkStart w:id="96" w:name="_Toc276041117"/>
      <w:bookmarkStart w:id="97" w:name="_Toc276112579"/>
      <w:bookmarkStart w:id="98" w:name="_Toc276114045"/>
      <w:bookmarkStart w:id="99" w:name="_Toc276114118"/>
      <w:bookmarkStart w:id="100" w:name="_Toc276135306"/>
      <w:bookmarkStart w:id="101" w:name="_Toc276456018"/>
      <w:bookmarkStart w:id="102" w:name="_Toc276456971"/>
      <w:bookmarkStart w:id="103" w:name="_Toc276457030"/>
      <w:r w:rsidRPr="00697530">
        <w:t>Summary of Significant Issues Raised by Public Comments in Response to the IRFA</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B10798" w:rsidRPr="00697530" w:rsidRDefault="0092248D" w:rsidP="00B10798">
      <w:pPr>
        <w:pStyle w:val="ParaNum"/>
      </w:pPr>
      <w:r w:rsidRPr="00697530">
        <w:t>N</w:t>
      </w:r>
      <w:r w:rsidR="00B10798" w:rsidRPr="00697530">
        <w:t>o comments specifically addressed the IRFA.</w:t>
      </w:r>
    </w:p>
    <w:p w:rsidR="003210EB" w:rsidRPr="00697530" w:rsidRDefault="003210EB" w:rsidP="004A6B27">
      <w:pPr>
        <w:pStyle w:val="Heading2"/>
      </w:pPr>
      <w:r w:rsidRPr="00697530">
        <w:t>Description and Estimate of the Number of Small Entities to Which the Rules Will Apply</w:t>
      </w:r>
    </w:p>
    <w:p w:rsidR="003210EB" w:rsidRPr="00697530" w:rsidRDefault="003210EB" w:rsidP="00255510">
      <w:pPr>
        <w:pStyle w:val="ParaNum"/>
      </w:pPr>
      <w:r w:rsidRPr="00697530">
        <w:t xml:space="preserve">The RFA directs agencies to provide a description of and an estimate of the number of small entities </w:t>
      </w:r>
      <w:r w:rsidR="00255510" w:rsidRPr="00255510">
        <w:t>to which the rule</w:t>
      </w:r>
      <w:r w:rsidR="00B5145D">
        <w:t>s</w:t>
      </w:r>
      <w:r w:rsidR="00255510" w:rsidRPr="00255510">
        <w:t xml:space="preserve"> will apply</w:t>
      </w:r>
      <w:r w:rsidRPr="00697530">
        <w:t>.</w:t>
      </w:r>
      <w:r w:rsidRPr="00697530">
        <w:rPr>
          <w:rStyle w:val="FootnoteReference"/>
        </w:rPr>
        <w:footnoteReference w:id="55"/>
      </w:r>
      <w:r w:rsidRPr="00697530">
        <w:t xml:space="preserve">  The RFA generally defines the term “small entity” as having the same meaning as the terms “small business,” “small organization,” and “small governmental jurisdiction.”</w:t>
      </w:r>
      <w:r w:rsidRPr="00697530">
        <w:rPr>
          <w:rStyle w:val="FootnoteReference"/>
        </w:rPr>
        <w:footnoteReference w:id="56"/>
      </w:r>
      <w:r w:rsidRPr="00697530">
        <w:t xml:space="preserve">  In addition, the term “small business” has the same meaning as the term “small business concern” under the Small Business Act.</w:t>
      </w:r>
      <w:r w:rsidRPr="00697530">
        <w:rPr>
          <w:rStyle w:val="FootnoteReference"/>
        </w:rPr>
        <w:footnoteReference w:id="57"/>
      </w:r>
      <w:r w:rsidRPr="00697530">
        <w:t xml:space="preserve">  A small business concern is one which: (1) is independently owned and operated; (2) is not dominant in its field of operation; and (3) satisfies any additional criteria established by the SBA.</w:t>
      </w:r>
      <w:r w:rsidRPr="00697530">
        <w:rPr>
          <w:rStyle w:val="FootnoteReference"/>
        </w:rPr>
        <w:footnoteReference w:id="58"/>
      </w:r>
      <w:r w:rsidRPr="00697530">
        <w:t xml:space="preserve">  </w:t>
      </w:r>
      <w:r w:rsidR="006C5705" w:rsidRPr="00697530">
        <w:t xml:space="preserve">The </w:t>
      </w:r>
      <w:r w:rsidR="00877EC3" w:rsidRPr="00697530">
        <w:t xml:space="preserve">final </w:t>
      </w:r>
      <w:r w:rsidR="006C5705" w:rsidRPr="00697530">
        <w:t xml:space="preserve">rule changes </w:t>
      </w:r>
      <w:r w:rsidR="00877EC3" w:rsidRPr="00697530">
        <w:t>adopted</w:t>
      </w:r>
      <w:r w:rsidR="006C5705" w:rsidRPr="00697530">
        <w:t xml:space="preserve"> herein will directly affect small television broadcast stations and small MVPD systems, which include cable operators and satellite video providers.  </w:t>
      </w:r>
      <w:r w:rsidRPr="00697530">
        <w:t>Below, we provide a description of such small entities, as well as an estimate of the number of such small entities, where feasible.</w:t>
      </w:r>
    </w:p>
    <w:p w:rsidR="000334BD" w:rsidRPr="00697530" w:rsidRDefault="003210EB" w:rsidP="00A81C93">
      <w:pPr>
        <w:pStyle w:val="ParaNum"/>
      </w:pPr>
      <w:r w:rsidRPr="00697530">
        <w:rPr>
          <w:u w:val="single"/>
        </w:rPr>
        <w:t>Television Broadcasting</w:t>
      </w:r>
      <w:r w:rsidRPr="00697530">
        <w:t xml:space="preserve">.  </w:t>
      </w:r>
      <w:r w:rsidR="003625CF" w:rsidRPr="00697530">
        <w:t xml:space="preserve">This </w:t>
      </w:r>
      <w:r w:rsidR="00324272" w:rsidRPr="00697530">
        <w:t>e</w:t>
      </w:r>
      <w:r w:rsidR="003625CF" w:rsidRPr="00697530">
        <w:t xml:space="preserve">conomic </w:t>
      </w:r>
      <w:r w:rsidR="00324272" w:rsidRPr="00697530">
        <w:t>c</w:t>
      </w:r>
      <w:r w:rsidR="003625CF" w:rsidRPr="00697530">
        <w:t>ensus category “comprises establishments primarily engaged in broadcasting images together with sound.  These establishments operate television broadcasting studios and facilities for the programming and transmission of programs to the public.”</w:t>
      </w:r>
      <w:r w:rsidR="003625CF" w:rsidRPr="00697530">
        <w:rPr>
          <w:rStyle w:val="FootnoteReference"/>
        </w:rPr>
        <w:footnoteReference w:id="59"/>
      </w:r>
      <w:r w:rsidR="003625CF" w:rsidRPr="00697530">
        <w:t xml:space="preserve">  The SBA has created the following small business size standard for Television Broadcasting </w:t>
      </w:r>
      <w:r w:rsidR="00645599" w:rsidRPr="00697530">
        <w:t>businesses</w:t>
      </w:r>
      <w:r w:rsidR="003625CF" w:rsidRPr="00697530">
        <w:t>:  those having $35.5 million or less in annual receipts.</w:t>
      </w:r>
      <w:r w:rsidR="003625CF" w:rsidRPr="00697530">
        <w:rPr>
          <w:rStyle w:val="FootnoteReference"/>
        </w:rPr>
        <w:footnoteReference w:id="60"/>
      </w:r>
      <w:r w:rsidR="003625CF" w:rsidRPr="00697530">
        <w:t xml:space="preserve">  The Commission has estimated the number of licensed commercial television stations to be 1,386.</w:t>
      </w:r>
      <w:r w:rsidR="003625CF" w:rsidRPr="00697530">
        <w:rPr>
          <w:rStyle w:val="FootnoteReference"/>
        </w:rPr>
        <w:footnoteReference w:id="61"/>
      </w:r>
      <w:r w:rsidR="003625CF" w:rsidRPr="00697530">
        <w:t xml:space="preserve">  In addition, according to Commission staff review of the </w:t>
      </w:r>
      <w:r w:rsidR="00A81C93" w:rsidRPr="00697530">
        <w:t xml:space="preserve">BIA Kelsey Inc. Media Access Pro Television Database (BIA) </w:t>
      </w:r>
      <w:r w:rsidR="003625CF" w:rsidRPr="00697530">
        <w:t xml:space="preserve">on June 10, 2013, about 1,245 (or about 90 percent) the estimated 1,386 commercial television stations had revenues of $35.5 million or less.  </w:t>
      </w:r>
      <w:r w:rsidR="00544348" w:rsidRPr="00697530">
        <w:t>In addition, the Commission has estimated the number of licensed noncommercial educational (NCE) television stations to be 396.</w:t>
      </w:r>
      <w:r w:rsidR="00544348" w:rsidRPr="00697530">
        <w:rPr>
          <w:rStyle w:val="FootnoteReference"/>
        </w:rPr>
        <w:footnoteReference w:id="62"/>
      </w:r>
      <w:r w:rsidR="00544348" w:rsidRPr="00697530">
        <w:t xml:space="preserve">  </w:t>
      </w:r>
      <w:r w:rsidR="002B1348" w:rsidRPr="00697530">
        <w:t>NCE</w:t>
      </w:r>
      <w:r w:rsidR="00544348" w:rsidRPr="00697530">
        <w:t xml:space="preserve"> stations are non-profit, and therefore considered to be small entities.</w:t>
      </w:r>
      <w:r w:rsidR="00544348" w:rsidRPr="00697530">
        <w:rPr>
          <w:rStyle w:val="FootnoteReference"/>
        </w:rPr>
        <w:footnoteReference w:id="63"/>
      </w:r>
      <w:r w:rsidR="00544348" w:rsidRPr="00697530">
        <w:t xml:space="preserve">  </w:t>
      </w:r>
      <w:r w:rsidR="000334BD" w:rsidRPr="00697530">
        <w:t>Therefore, we estimate that the majority of television broadcast stations are small entities.</w:t>
      </w:r>
    </w:p>
    <w:p w:rsidR="00BC1986" w:rsidRPr="00697530" w:rsidRDefault="003625CF" w:rsidP="00DC1872">
      <w:pPr>
        <w:pStyle w:val="ParaNum"/>
        <w:rPr>
          <w:u w:val="single"/>
        </w:rPr>
      </w:pPr>
      <w:r w:rsidRPr="00697530">
        <w:t>We note, however, that in assessing whether a business concern qualifies as small under the above definition, business (control) affiliations</w:t>
      </w:r>
      <w:r w:rsidRPr="00697530">
        <w:rPr>
          <w:rStyle w:val="FootnoteReference"/>
        </w:rPr>
        <w:footnoteReference w:id="64"/>
      </w:r>
      <w:r w:rsidRPr="00697530">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3625CF" w:rsidRPr="00697530" w:rsidRDefault="003625CF" w:rsidP="00DE7126">
      <w:pPr>
        <w:pStyle w:val="ParaNum"/>
      </w:pPr>
      <w:r w:rsidRPr="00697530">
        <w:rPr>
          <w:u w:val="single"/>
        </w:rPr>
        <w:t>Cable Television Distribution Services</w:t>
      </w:r>
      <w:r w:rsidR="00B37CE5" w:rsidRPr="00697530">
        <w:rPr>
          <w:i/>
        </w:rPr>
        <w:t>.</w:t>
      </w:r>
      <w:r w:rsidR="00B37CE5" w:rsidRPr="00697530">
        <w:t xml:space="preserve">  </w:t>
      </w:r>
      <w:r w:rsidRPr="00697530">
        <w:t>Since 2007, these services have been defined within the broad economic census category of Wired Telecommunications Carriers</w:t>
      </w:r>
      <w:r w:rsidR="00DE7126" w:rsidRPr="00697530">
        <w:t xml:space="preserve">, which was developed for small wireline </w:t>
      </w:r>
      <w:r w:rsidR="00AD538C" w:rsidRPr="00697530">
        <w:t>businesses</w:t>
      </w:r>
      <w:r w:rsidR="00DE7126" w:rsidRPr="00697530">
        <w:t>.  This</w:t>
      </w:r>
      <w:r w:rsidRPr="00697530">
        <w:t xml:space="preserve">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00DE7126" w:rsidRPr="00697530">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697530">
        <w:t>”</w:t>
      </w:r>
      <w:r w:rsidRPr="00697530">
        <w:rPr>
          <w:rStyle w:val="FootnoteReference"/>
        </w:rPr>
        <w:footnoteReference w:id="65"/>
      </w:r>
      <w:r w:rsidRPr="00697530">
        <w:t xml:space="preserve">  The SBA has developed a small business size standard for this category, which is:  all such </w:t>
      </w:r>
      <w:r w:rsidR="003D2BAD" w:rsidRPr="00697530">
        <w:t xml:space="preserve">businesses </w:t>
      </w:r>
      <w:r w:rsidRPr="00697530">
        <w:t>having 1,500 or fewer employees.</w:t>
      </w:r>
      <w:r w:rsidR="00A532C0" w:rsidRPr="00697530">
        <w:rPr>
          <w:rStyle w:val="FootnoteReference"/>
        </w:rPr>
        <w:footnoteReference w:id="66"/>
      </w:r>
      <w:r w:rsidRPr="00697530">
        <w:t xml:space="preserve"> </w:t>
      </w:r>
      <w:r w:rsidR="00A532C0" w:rsidRPr="00697530">
        <w:t xml:space="preserve"> </w:t>
      </w:r>
      <w:r w:rsidR="003D2BAD" w:rsidRPr="00697530">
        <w:t>Census data for 2007 shows that there were 31,996 establishments that operated that year.</w:t>
      </w:r>
      <w:r w:rsidR="003D2BAD" w:rsidRPr="00697530">
        <w:rPr>
          <w:rStyle w:val="FootnoteReference"/>
        </w:rPr>
        <w:footnoteReference w:id="67"/>
      </w:r>
      <w:r w:rsidR="003D2BAD" w:rsidRPr="00697530">
        <w:t xml:space="preserve">  Of this total, 30,178 establishments had fewer than 100 employees, and 1,818 establishments had 100 or more employees.</w:t>
      </w:r>
      <w:r w:rsidR="003D2BAD" w:rsidRPr="00697530">
        <w:rPr>
          <w:rStyle w:val="FootnoteReference"/>
        </w:rPr>
        <w:footnoteReference w:id="68"/>
      </w:r>
      <w:r w:rsidR="003D2BAD" w:rsidRPr="00697530">
        <w:t xml:space="preserve">  </w:t>
      </w:r>
      <w:r w:rsidR="00A532C0" w:rsidRPr="00697530">
        <w:t xml:space="preserve">Therefore, under this size standard, we estimate that the majority of </w:t>
      </w:r>
      <w:r w:rsidR="003D2BAD" w:rsidRPr="00697530">
        <w:t xml:space="preserve">businesses </w:t>
      </w:r>
      <w:r w:rsidR="00A532C0" w:rsidRPr="00697530">
        <w:t>can be considered small entities.</w:t>
      </w:r>
    </w:p>
    <w:p w:rsidR="00CE52B6" w:rsidRPr="00697530" w:rsidRDefault="003210EB" w:rsidP="00AD538C">
      <w:pPr>
        <w:pStyle w:val="ParaNum"/>
      </w:pPr>
      <w:r w:rsidRPr="00697530">
        <w:rPr>
          <w:u w:val="single"/>
        </w:rPr>
        <w:t>Cable Companies and Systems</w:t>
      </w:r>
      <w:r w:rsidRPr="00697530">
        <w:t>.  The Commission has also developed its own small business size standards for the purpose of cable rate regulation.  Under the Commission’s rules, a “small cable company” is one serving 400,000 or fewer subscribers nationwide.</w:t>
      </w:r>
      <w:r w:rsidRPr="00697530">
        <w:rPr>
          <w:rStyle w:val="FootnoteReference"/>
        </w:rPr>
        <w:footnoteReference w:id="69"/>
      </w:r>
      <w:r w:rsidRPr="00697530">
        <w:t xml:space="preserve">  </w:t>
      </w:r>
      <w:r w:rsidR="00BC79F6" w:rsidRPr="00697530">
        <w:t>Industry data shows that there were 1,141 cable companies at the end of June 2012.</w:t>
      </w:r>
      <w:r w:rsidR="00BC79F6" w:rsidRPr="00697530">
        <w:rPr>
          <w:rStyle w:val="FootnoteReference"/>
        </w:rPr>
        <w:footnoteReference w:id="70"/>
      </w:r>
      <w:r w:rsidR="00BC79F6" w:rsidRPr="00697530">
        <w:t xml:space="preserve">  </w:t>
      </w:r>
      <w:r w:rsidR="002674E3" w:rsidRPr="00697530">
        <w:t xml:space="preserve">Of </w:t>
      </w:r>
      <w:r w:rsidR="00E955B0" w:rsidRPr="00697530">
        <w:t>this total</w:t>
      </w:r>
      <w:r w:rsidR="002674E3" w:rsidRPr="00697530">
        <w:t xml:space="preserve">, </w:t>
      </w:r>
      <w:r w:rsidR="009A5BF8" w:rsidRPr="00697530">
        <w:t xml:space="preserve">all but 10 </w:t>
      </w:r>
      <w:r w:rsidR="004B09A0" w:rsidRPr="00697530">
        <w:t xml:space="preserve">incumbent </w:t>
      </w:r>
      <w:r w:rsidR="00E955B0" w:rsidRPr="00697530">
        <w:t xml:space="preserve">cable companies </w:t>
      </w:r>
      <w:r w:rsidR="009A5BF8" w:rsidRPr="00697530">
        <w:t>are small under this size standard.</w:t>
      </w:r>
      <w:r w:rsidR="009A5BF8" w:rsidRPr="00697530">
        <w:rPr>
          <w:rStyle w:val="FootnoteReference"/>
        </w:rPr>
        <w:footnoteReference w:id="71"/>
      </w:r>
      <w:r w:rsidR="009A5BF8" w:rsidRPr="00697530">
        <w:t xml:space="preserve">  </w:t>
      </w:r>
      <w:r w:rsidRPr="00697530">
        <w:t xml:space="preserve">In addition, under the Commission’s </w:t>
      </w:r>
      <w:r w:rsidR="006B61AD" w:rsidRPr="00697530">
        <w:t xml:space="preserve">rate regulation </w:t>
      </w:r>
      <w:r w:rsidRPr="00697530">
        <w:t>rules, a “small system” is a cable system serving 15,000 or fewer subscribers.</w:t>
      </w:r>
      <w:r w:rsidRPr="00697530">
        <w:rPr>
          <w:rStyle w:val="FootnoteReference"/>
        </w:rPr>
        <w:footnoteReference w:id="72"/>
      </w:r>
      <w:r w:rsidRPr="00697530">
        <w:t xml:space="preserve">  </w:t>
      </w:r>
      <w:r w:rsidR="006B61AD" w:rsidRPr="00697530">
        <w:t xml:space="preserve">Current Commission records show </w:t>
      </w:r>
      <w:r w:rsidR="00E955B0" w:rsidRPr="00697530">
        <w:t>4,945</w:t>
      </w:r>
      <w:r w:rsidR="006B61AD" w:rsidRPr="00697530">
        <w:t xml:space="preserve"> cable systems nationwide</w:t>
      </w:r>
      <w:r w:rsidR="00EA7C54" w:rsidRPr="00697530">
        <w:t>.</w:t>
      </w:r>
      <w:r w:rsidR="0033322B" w:rsidRPr="00697530">
        <w:rPr>
          <w:rStyle w:val="FootnoteReference"/>
        </w:rPr>
        <w:footnoteReference w:id="73"/>
      </w:r>
      <w:r w:rsidR="0033322B" w:rsidRPr="00697530">
        <w:t xml:space="preserve">  </w:t>
      </w:r>
      <w:r w:rsidRPr="00697530">
        <w:t xml:space="preserve">Of </w:t>
      </w:r>
      <w:r w:rsidR="006B61AD" w:rsidRPr="00697530">
        <w:t>this total</w:t>
      </w:r>
      <w:r w:rsidRPr="00697530">
        <w:t xml:space="preserve">, </w:t>
      </w:r>
      <w:r w:rsidR="002F2AE2" w:rsidRPr="00697530">
        <w:t xml:space="preserve">4,380 </w:t>
      </w:r>
      <w:r w:rsidR="00E955B0" w:rsidRPr="00697530">
        <w:t xml:space="preserve">cable </w:t>
      </w:r>
      <w:r w:rsidR="006B61AD" w:rsidRPr="00697530">
        <w:t xml:space="preserve">systems have </w:t>
      </w:r>
      <w:r w:rsidR="001B006D" w:rsidRPr="00697530">
        <w:t xml:space="preserve">less than </w:t>
      </w:r>
      <w:r w:rsidR="006B61AD" w:rsidRPr="00697530">
        <w:t>20,000 subscribers</w:t>
      </w:r>
      <w:r w:rsidR="002F2AE2" w:rsidRPr="00697530">
        <w:t>,</w:t>
      </w:r>
      <w:r w:rsidR="006B61AD" w:rsidRPr="00697530">
        <w:t xml:space="preserve"> and </w:t>
      </w:r>
      <w:r w:rsidR="002F2AE2" w:rsidRPr="00697530">
        <w:t xml:space="preserve">565 </w:t>
      </w:r>
      <w:r w:rsidR="006B61AD" w:rsidRPr="00697530">
        <w:t xml:space="preserve">systems </w:t>
      </w:r>
      <w:r w:rsidRPr="00697530">
        <w:t xml:space="preserve">have 20,000 subscribers or more, based on the same records.  </w:t>
      </w:r>
      <w:r w:rsidR="006B61AD" w:rsidRPr="00697530">
        <w:t xml:space="preserve">Thus, under this standard, </w:t>
      </w:r>
      <w:r w:rsidR="00301D75" w:rsidRPr="00697530">
        <w:t xml:space="preserve">we estimate that </w:t>
      </w:r>
      <w:r w:rsidR="006B61AD" w:rsidRPr="00697530">
        <w:t>most cable systems are small.</w:t>
      </w:r>
    </w:p>
    <w:p w:rsidR="00CE52B6" w:rsidRPr="00697530" w:rsidRDefault="003210EB" w:rsidP="00AD538C">
      <w:pPr>
        <w:pStyle w:val="ParaNum"/>
      </w:pPr>
      <w:r w:rsidRPr="00697530">
        <w:rPr>
          <w:u w:val="single"/>
        </w:rPr>
        <w:t>Cable System Operators (Telecom Act Standard)</w:t>
      </w:r>
      <w:r w:rsidRPr="00697530">
        <w:t>.</w:t>
      </w:r>
      <w:r w:rsidRPr="00697530">
        <w:rPr>
          <w:b/>
        </w:rPr>
        <w:t xml:space="preserve">  </w:t>
      </w:r>
      <w:r w:rsidRPr="00697530">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697530">
        <w:rPr>
          <w:rStyle w:val="FootnoteReference"/>
        </w:rPr>
        <w:footnoteReference w:id="74"/>
      </w:r>
      <w:r w:rsidRPr="00697530">
        <w:t xml:space="preserve">  There are approximately </w:t>
      </w:r>
      <w:r w:rsidR="00A3647B" w:rsidRPr="00697530">
        <w:t>56.4</w:t>
      </w:r>
      <w:r w:rsidRPr="00697530">
        <w:t xml:space="preserve"> million </w:t>
      </w:r>
      <w:r w:rsidR="00A3647B" w:rsidRPr="00697530">
        <w:t xml:space="preserve">incumbent </w:t>
      </w:r>
      <w:r w:rsidRPr="00697530">
        <w:t xml:space="preserve">cable </w:t>
      </w:r>
      <w:r w:rsidR="00A3647B" w:rsidRPr="00697530">
        <w:t xml:space="preserve">video </w:t>
      </w:r>
      <w:r w:rsidRPr="00697530">
        <w:t>subscribers in the United States today.</w:t>
      </w:r>
      <w:r w:rsidR="001B006D" w:rsidRPr="00697530">
        <w:rPr>
          <w:rStyle w:val="FootnoteReference"/>
        </w:rPr>
        <w:footnoteReference w:id="75"/>
      </w:r>
      <w:r w:rsidRPr="00697530">
        <w:t xml:space="preserve">  Accordingly, an operator serving fewer than </w:t>
      </w:r>
      <w:r w:rsidR="00A3647B" w:rsidRPr="00697530">
        <w:t>564</w:t>
      </w:r>
      <w:r w:rsidRPr="00697530">
        <w:t>,000 subscribers shall be deemed a small operator, if its annual revenues, when combined with the total annual revenues of all its affiliates, do not exceed $250 million in the aggregate.</w:t>
      </w:r>
      <w:r w:rsidRPr="00697530">
        <w:rPr>
          <w:rStyle w:val="FootnoteReference"/>
        </w:rPr>
        <w:footnoteReference w:id="76"/>
      </w:r>
      <w:r w:rsidRPr="00697530">
        <w:t xml:space="preserve">  Based on available data, we find that</w:t>
      </w:r>
      <w:r w:rsidR="009665E3" w:rsidRPr="00697530">
        <w:t xml:space="preserve"> all but 10 </w:t>
      </w:r>
      <w:r w:rsidR="004B09A0" w:rsidRPr="00697530">
        <w:t xml:space="preserve">incumbent </w:t>
      </w:r>
      <w:r w:rsidR="009665E3" w:rsidRPr="00697530">
        <w:t>cable operators are small under this size standard</w:t>
      </w:r>
      <w:r w:rsidRPr="00697530">
        <w:t>.</w:t>
      </w:r>
      <w:r w:rsidRPr="00697530">
        <w:rPr>
          <w:rStyle w:val="FootnoteReference"/>
        </w:rPr>
        <w:footnoteReference w:id="77"/>
      </w:r>
      <w:r w:rsidRPr="00697530">
        <w:t xml:space="preserve">  We note that the Commission neither requests nor collects information on whether cable system operators are affiliated with entities whose gross annual revenues exceed $250 million.</w:t>
      </w:r>
      <w:r w:rsidRPr="00697530">
        <w:rPr>
          <w:rStyle w:val="FootnoteReference"/>
        </w:rPr>
        <w:footnoteReference w:id="78"/>
      </w:r>
      <w:r w:rsidRPr="00697530">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3210EB" w:rsidRPr="00697530" w:rsidRDefault="003210EB" w:rsidP="003210EB">
      <w:pPr>
        <w:pStyle w:val="ParaNum"/>
      </w:pPr>
      <w:r w:rsidRPr="00697530">
        <w:rPr>
          <w:u w:val="single"/>
        </w:rPr>
        <w:t>Direct Broadcast Satellite (DBS) Service</w:t>
      </w:r>
      <w:r w:rsidRPr="00697530">
        <w:rPr>
          <w:i/>
        </w:rPr>
        <w:t>.</w:t>
      </w:r>
      <w:r w:rsidRPr="00697530">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697530">
        <w:rPr>
          <w:rStyle w:val="FootnoteReference"/>
        </w:rPr>
        <w:footnoteReference w:id="79"/>
      </w:r>
      <w:r w:rsidRPr="00697530">
        <w:t xml:space="preserve"> which was developed for small wireline </w:t>
      </w:r>
      <w:r w:rsidR="003D2BAD" w:rsidRPr="00697530">
        <w:t>businesses</w:t>
      </w:r>
      <w:r w:rsidRPr="00697530">
        <w:t>.  Under this category, the SBA deems a wireline business to be small if it has 1,500 or fewer employees.</w:t>
      </w:r>
      <w:r w:rsidRPr="00697530">
        <w:rPr>
          <w:rStyle w:val="FootnoteReference"/>
        </w:rPr>
        <w:footnoteReference w:id="80"/>
      </w:r>
      <w:r w:rsidRPr="00697530">
        <w:t xml:space="preserve">  </w:t>
      </w:r>
      <w:r w:rsidR="003D2BAD" w:rsidRPr="00697530">
        <w:t>Census data for 2007 shows that there were 31,996 establishments that operated that year.</w:t>
      </w:r>
      <w:r w:rsidR="003D2BAD" w:rsidRPr="00697530">
        <w:rPr>
          <w:rStyle w:val="FootnoteReference"/>
        </w:rPr>
        <w:footnoteReference w:id="81"/>
      </w:r>
      <w:r w:rsidR="003D2BAD" w:rsidRPr="00697530">
        <w:t xml:space="preserve">  Of this total, 30,178 establishments had fewer than 100 employees, and 1,818 establishments had 100 or more employees.</w:t>
      </w:r>
      <w:r w:rsidR="003D2BAD" w:rsidRPr="00697530">
        <w:rPr>
          <w:rStyle w:val="FootnoteReference"/>
        </w:rPr>
        <w:footnoteReference w:id="82"/>
      </w:r>
      <w:r w:rsidR="003D2BAD" w:rsidRPr="00697530">
        <w:t xml:space="preserve">  </w:t>
      </w:r>
      <w:r w:rsidR="00CB1750" w:rsidRPr="00697530">
        <w:t xml:space="preserve">Therefore, under this size standard, the majority of such </w:t>
      </w:r>
      <w:r w:rsidR="00645599" w:rsidRPr="00697530">
        <w:t>businesses</w:t>
      </w:r>
      <w:r w:rsidR="00CB1750" w:rsidRPr="00697530">
        <w:t xml:space="preserve"> can be considered small.  </w:t>
      </w:r>
      <w:r w:rsidR="00531308" w:rsidRPr="00697530">
        <w:t>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00531308" w:rsidRPr="00697530">
        <w:rPr>
          <w:rStyle w:val="FootnoteReference"/>
        </w:rPr>
        <w:footnoteReference w:id="83"/>
      </w:r>
      <w:r w:rsidR="00531308" w:rsidRPr="00697530">
        <w:t xml:space="preserve">  </w:t>
      </w:r>
      <w:r w:rsidRPr="00697530">
        <w:t>Currently, only two entities provide DBS service, which requires a great investment of capital for operation:  DIRECTV and DISH Network.</w:t>
      </w:r>
      <w:r w:rsidRPr="00697530">
        <w:rPr>
          <w:rStyle w:val="FootnoteReference"/>
        </w:rPr>
        <w:footnoteReference w:id="84"/>
      </w:r>
      <w:r w:rsidRPr="00697530">
        <w:t xml:space="preserve">  Each currently offer</w:t>
      </w:r>
      <w:r w:rsidR="008C4F10">
        <w:t>s</w:t>
      </w:r>
      <w:r w:rsidRPr="00697530">
        <w:t xml:space="preserve"> subscription services.  DIRECTV and </w:t>
      </w:r>
      <w:r w:rsidR="00531308" w:rsidRPr="00697530">
        <w:t>DISH Network</w:t>
      </w:r>
      <w:r w:rsidR="00531308" w:rsidRPr="00697530" w:rsidDel="00531308">
        <w:t xml:space="preserve"> </w:t>
      </w:r>
      <w:r w:rsidRPr="00697530">
        <w:t>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3210EB" w:rsidRPr="00697530" w:rsidRDefault="003210EB" w:rsidP="003210EB">
      <w:pPr>
        <w:pStyle w:val="ParaNum"/>
      </w:pPr>
      <w:r w:rsidRPr="00697530">
        <w:rPr>
          <w:u w:val="single"/>
        </w:rPr>
        <w:t>Satellite Master Antenna Television (SMATV) Systems, also known as Private Cable Operators (PCOs)</w:t>
      </w:r>
      <w:r w:rsidRPr="00697530">
        <w:t xml:space="preserve">.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w:t>
      </w:r>
      <w:r w:rsidR="00AC1E2B" w:rsidRPr="00697530">
        <w:t>SBA’s broad economic census category, Wired Telecommunications Carriers,</w:t>
      </w:r>
      <w:r w:rsidR="00AC1E2B" w:rsidRPr="00697530">
        <w:rPr>
          <w:rStyle w:val="FootnoteReference"/>
        </w:rPr>
        <w:footnoteReference w:id="85"/>
      </w:r>
      <w:r w:rsidR="00AC1E2B" w:rsidRPr="00697530">
        <w:t xml:space="preserve"> which was developed for small wireline </w:t>
      </w:r>
      <w:r w:rsidR="003D2BAD" w:rsidRPr="00697530">
        <w:t>businesses</w:t>
      </w:r>
      <w:r w:rsidR="00AC1E2B" w:rsidRPr="00697530">
        <w:t>.  Under this category, the SBA deems a wireline business to be small if it has 1,500 or fewer employees.</w:t>
      </w:r>
      <w:r w:rsidR="00AC1E2B" w:rsidRPr="00697530">
        <w:rPr>
          <w:rStyle w:val="FootnoteReference"/>
        </w:rPr>
        <w:footnoteReference w:id="86"/>
      </w:r>
      <w:r w:rsidR="00AC1E2B" w:rsidRPr="00697530">
        <w:t xml:space="preserve">  </w:t>
      </w:r>
      <w:r w:rsidR="003D2BAD" w:rsidRPr="00697530">
        <w:t>Census data for 2007 shows that there were 31,996 establishments that operated that year.</w:t>
      </w:r>
      <w:r w:rsidR="003D2BAD" w:rsidRPr="00697530">
        <w:rPr>
          <w:rStyle w:val="FootnoteReference"/>
        </w:rPr>
        <w:footnoteReference w:id="87"/>
      </w:r>
      <w:r w:rsidR="003D2BAD" w:rsidRPr="00697530">
        <w:t xml:space="preserve">  Of this total, 30,178 establishments had fewer than 100 employees, and 1,818 establishments had 100 or more employees.</w:t>
      </w:r>
      <w:r w:rsidR="003D2BAD" w:rsidRPr="00697530">
        <w:rPr>
          <w:rStyle w:val="FootnoteReference"/>
        </w:rPr>
        <w:footnoteReference w:id="88"/>
      </w:r>
      <w:r w:rsidR="003D2BAD" w:rsidRPr="00697530">
        <w:t xml:space="preserve">  </w:t>
      </w:r>
      <w:r w:rsidR="00AC1E2B" w:rsidRPr="00697530">
        <w:t xml:space="preserve">Therefore, under this size standard, the majority of such </w:t>
      </w:r>
      <w:r w:rsidR="00645599" w:rsidRPr="00697530">
        <w:t>businesses</w:t>
      </w:r>
      <w:r w:rsidR="00AC1E2B" w:rsidRPr="00697530">
        <w:t xml:space="preserve"> can be considered small.</w:t>
      </w:r>
    </w:p>
    <w:p w:rsidR="003210EB" w:rsidRPr="00697530" w:rsidRDefault="003210EB" w:rsidP="003210EB">
      <w:pPr>
        <w:pStyle w:val="ParaNum"/>
      </w:pPr>
      <w:r w:rsidRPr="00697530">
        <w:rPr>
          <w:u w:val="single"/>
        </w:rPr>
        <w:t>Open Video Services</w:t>
      </w:r>
      <w:r w:rsidRPr="00697530">
        <w:t>.  The open video system (OVS) framework was established in 1996, and is one of four statutorily recognized options for the provision of video programming services by local exchange carriers.</w:t>
      </w:r>
      <w:r w:rsidRPr="00697530">
        <w:rPr>
          <w:rStyle w:val="FootnoteReference"/>
        </w:rPr>
        <w:footnoteReference w:id="89"/>
      </w:r>
      <w:r w:rsidRPr="00697530">
        <w:t xml:space="preserve">  The OVS framework provides opportunities for the distribution of video programming other than through cable systems.  Because OVS operators provide subscription services,</w:t>
      </w:r>
      <w:r w:rsidRPr="00697530">
        <w:rPr>
          <w:rStyle w:val="FootnoteReference"/>
        </w:rPr>
        <w:footnoteReference w:id="90"/>
      </w:r>
      <w:r w:rsidRPr="00697530">
        <w:t xml:space="preserve"> OVS falls within the SBA small business size standard covering cable services, which is “Wired Telecommunications Carriers.”</w:t>
      </w:r>
      <w:r w:rsidR="008D1BDA" w:rsidRPr="00697530">
        <w:rPr>
          <w:rStyle w:val="FootnoteReference"/>
        </w:rPr>
        <w:footnoteReference w:id="91"/>
      </w:r>
      <w:r w:rsidRPr="00697530">
        <w:t xml:space="preserve">  </w:t>
      </w:r>
      <w:r w:rsidR="008D1BDA" w:rsidRPr="00697530">
        <w:t xml:space="preserve">The SBA has developed a small business size standard for this category, which is:  all such </w:t>
      </w:r>
      <w:r w:rsidR="003D2BAD" w:rsidRPr="00697530">
        <w:t xml:space="preserve">businesses </w:t>
      </w:r>
      <w:r w:rsidR="008D1BDA" w:rsidRPr="00697530">
        <w:t>having 1,500 or fewer employees.</w:t>
      </w:r>
      <w:r w:rsidR="008D1BDA" w:rsidRPr="00697530">
        <w:rPr>
          <w:rStyle w:val="FootnoteReference"/>
        </w:rPr>
        <w:footnoteReference w:id="92"/>
      </w:r>
      <w:r w:rsidR="008D1BDA" w:rsidRPr="00697530">
        <w:t xml:space="preserve">  </w:t>
      </w:r>
      <w:r w:rsidR="003D2BAD" w:rsidRPr="00697530">
        <w:t>Census data for 2007 shows that there were 31,996 establishments that operated that year.</w:t>
      </w:r>
      <w:r w:rsidR="003D2BAD" w:rsidRPr="00697530">
        <w:rPr>
          <w:rStyle w:val="FootnoteReference"/>
        </w:rPr>
        <w:footnoteReference w:id="93"/>
      </w:r>
      <w:r w:rsidR="003D2BAD" w:rsidRPr="00697530">
        <w:t xml:space="preserve">  Of this total, 30,178 establishments had fewer than 100 employees, and 1,818 establishments had 100 or more employees.</w:t>
      </w:r>
      <w:r w:rsidR="003D2BAD" w:rsidRPr="00697530">
        <w:rPr>
          <w:rStyle w:val="FootnoteReference"/>
        </w:rPr>
        <w:footnoteReference w:id="94"/>
      </w:r>
      <w:r w:rsidR="003D2BAD" w:rsidRPr="00697530">
        <w:t xml:space="preserve">  </w:t>
      </w:r>
      <w:r w:rsidR="008D1BDA" w:rsidRPr="00697530">
        <w:t xml:space="preserve">Therefore, under this size standard, we estimate that the majority of </w:t>
      </w:r>
      <w:r w:rsidR="00645599" w:rsidRPr="00697530">
        <w:t>businesses</w:t>
      </w:r>
      <w:r w:rsidR="008D1BDA" w:rsidRPr="00697530">
        <w:t xml:space="preserve"> can be considered small entities.  </w:t>
      </w:r>
      <w:r w:rsidRPr="00697530">
        <w:t>In addition, we note that the Commission has certified some OVS operators, with some now providing service.</w:t>
      </w:r>
      <w:r w:rsidRPr="00697530">
        <w:rPr>
          <w:rStyle w:val="FootnoteReference"/>
        </w:rPr>
        <w:footnoteReference w:id="95"/>
      </w:r>
      <w:r w:rsidRPr="00697530">
        <w:t xml:space="preserve">  Broadband service providers (BSPs) are currently the only significant holders of OVS certifications or local OVS franchises.</w:t>
      </w:r>
      <w:r w:rsidRPr="00697530">
        <w:rPr>
          <w:rStyle w:val="FootnoteReference"/>
        </w:rPr>
        <w:footnoteReference w:id="96"/>
      </w:r>
      <w:r w:rsidRPr="00697530">
        <w:t xml:space="preserve">  The Commission does not have financial or employment information regarding the entities authorized to provide OVS, some of which may not yet be operational.  Thus, again, at least some of the OVS operators may qualify as small entities.</w:t>
      </w:r>
    </w:p>
    <w:p w:rsidR="003210EB" w:rsidRPr="00697530" w:rsidRDefault="003210EB" w:rsidP="000A20F5">
      <w:pPr>
        <w:pStyle w:val="Heading2"/>
        <w:widowControl/>
      </w:pPr>
      <w:r w:rsidRPr="00697530">
        <w:t>Description of Projected Reporting, Recordkeeping, and Other Compliance Requirements</w:t>
      </w:r>
    </w:p>
    <w:p w:rsidR="00750229" w:rsidRPr="00697530" w:rsidRDefault="009750EF" w:rsidP="000A20F5">
      <w:pPr>
        <w:pStyle w:val="ParaNum"/>
        <w:keepNext/>
        <w:widowControl/>
      </w:pPr>
      <w:r w:rsidRPr="00697530">
        <w:t xml:space="preserve">As </w:t>
      </w:r>
      <w:r w:rsidR="003F21C6" w:rsidRPr="00697530">
        <w:t>stated</w:t>
      </w:r>
      <w:r w:rsidRPr="00697530">
        <w:t xml:space="preserve"> above, t</w:t>
      </w:r>
      <w:r w:rsidR="00750229" w:rsidRPr="00697530">
        <w:t xml:space="preserve">he </w:t>
      </w:r>
      <w:r w:rsidR="00DF6A9C" w:rsidRPr="00697530">
        <w:rPr>
          <w:i/>
        </w:rPr>
        <w:t>Second Report and Order</w:t>
      </w:r>
      <w:r w:rsidR="00DF6A9C" w:rsidRPr="00697530">
        <w:t xml:space="preserve"> </w:t>
      </w:r>
      <w:r w:rsidR="00104D8A" w:rsidRPr="00697530">
        <w:t>incorporate</w:t>
      </w:r>
      <w:r w:rsidR="008C4F10">
        <w:t>s</w:t>
      </w:r>
      <w:r w:rsidR="00104D8A" w:rsidRPr="00697530">
        <w:t xml:space="preserve"> by reference into our rules</w:t>
      </w:r>
      <w:r w:rsidR="00750229" w:rsidRPr="00697530">
        <w:t xml:space="preserve"> </w:t>
      </w:r>
      <w:r w:rsidR="007B7BAC" w:rsidRPr="00697530">
        <w:t xml:space="preserve">and </w:t>
      </w:r>
      <w:r w:rsidR="008C4F10">
        <w:t xml:space="preserve">ultimately </w:t>
      </w:r>
      <w:r w:rsidR="007B7BAC" w:rsidRPr="00697530">
        <w:t>make</w:t>
      </w:r>
      <w:r w:rsidR="008C4F10">
        <w:t>s</w:t>
      </w:r>
      <w:r w:rsidR="007B7BAC" w:rsidRPr="00697530">
        <w:t xml:space="preserve"> mandatory </w:t>
      </w:r>
      <w:r w:rsidR="00750229" w:rsidRPr="00697530">
        <w:t xml:space="preserve">the </w:t>
      </w:r>
      <w:r w:rsidR="00225AC8" w:rsidRPr="00697530">
        <w:t>S</w:t>
      </w:r>
      <w:r w:rsidR="00750229" w:rsidRPr="00697530">
        <w:t>uccessor RP</w:t>
      </w:r>
      <w:r w:rsidR="00BD3D19" w:rsidRPr="00697530">
        <w:t xml:space="preserve"> published in 2013</w:t>
      </w:r>
      <w:r w:rsidR="007B7BAC" w:rsidRPr="00697530">
        <w:t xml:space="preserve">, thereby replacing </w:t>
      </w:r>
      <w:r w:rsidR="00750229" w:rsidRPr="00697530">
        <w:t xml:space="preserve">the </w:t>
      </w:r>
      <w:r w:rsidR="00225AC8" w:rsidRPr="00697530">
        <w:t>C</w:t>
      </w:r>
      <w:r w:rsidR="00750229" w:rsidRPr="00697530">
        <w:t xml:space="preserve">urrent RP </w:t>
      </w:r>
      <w:r w:rsidR="00225AC8" w:rsidRPr="00697530">
        <w:t>incorporated into our rules</w:t>
      </w:r>
      <w:r w:rsidR="00BD3D19" w:rsidRPr="00697530">
        <w:t xml:space="preserve"> in 2011</w:t>
      </w:r>
      <w:r w:rsidR="00750229" w:rsidRPr="00697530">
        <w:t xml:space="preserve">.  </w:t>
      </w:r>
      <w:r w:rsidR="00221100" w:rsidRPr="00697530">
        <w:t xml:space="preserve">As discussed in the </w:t>
      </w:r>
      <w:r w:rsidR="00DF6A9C" w:rsidRPr="00697530">
        <w:rPr>
          <w:i/>
        </w:rPr>
        <w:t>Second Report and Order</w:t>
      </w:r>
      <w:r w:rsidR="00221100" w:rsidRPr="00697530">
        <w:t xml:space="preserve">, </w:t>
      </w:r>
      <w:r w:rsidR="00DF6A9C" w:rsidRPr="00697530">
        <w:t xml:space="preserve">the only substantive change </w:t>
      </w:r>
      <w:r w:rsidR="007552EA" w:rsidRPr="00697530">
        <w:t>created</w:t>
      </w:r>
      <w:r w:rsidR="00DF6A9C" w:rsidRPr="00697530">
        <w:t xml:space="preserve"> by the Successor RP as it relates to our rules is the change to the measurement algorithm </w:t>
      </w:r>
      <w:r w:rsidR="00221100" w:rsidRPr="00697530">
        <w:t>to be used when calculating the average loudness of a commercial.</w:t>
      </w:r>
      <w:r w:rsidR="00221100" w:rsidRPr="00697530">
        <w:rPr>
          <w:rStyle w:val="FootnoteReference"/>
        </w:rPr>
        <w:footnoteReference w:id="97"/>
      </w:r>
      <w:r w:rsidR="00221100" w:rsidRPr="00697530">
        <w:t xml:space="preserve">  Under the Current RP, </w:t>
      </w:r>
      <w:r w:rsidR="00B969B3" w:rsidRPr="00697530">
        <w:t xml:space="preserve">television </w:t>
      </w:r>
      <w:r w:rsidR="00221100" w:rsidRPr="00697530">
        <w:t>stations</w:t>
      </w:r>
      <w:r w:rsidR="00B969B3" w:rsidRPr="00697530">
        <w:t xml:space="preserve"> and MVPDs</w:t>
      </w:r>
      <w:r w:rsidR="00221100" w:rsidRPr="00697530">
        <w:t xml:space="preserve"> use the BS.1770-1 measurement method, whereas</w:t>
      </w:r>
      <w:r w:rsidR="00F802E9" w:rsidRPr="00697530">
        <w:t>,</w:t>
      </w:r>
      <w:r w:rsidR="00221100" w:rsidRPr="00697530">
        <w:t xml:space="preserve"> under the Successor RP, s</w:t>
      </w:r>
      <w:r w:rsidR="00F802E9" w:rsidRPr="00697530">
        <w:t xml:space="preserve">tations and </w:t>
      </w:r>
      <w:r w:rsidR="00221100" w:rsidRPr="00697530">
        <w:t xml:space="preserve">MVPDs will use the BS.1770-3 method.  The primary difference is that BS.1770-3 employs “gating” that will exclude very quiet or silent passages of a commercial when calculating the average loudness of that commercial.  </w:t>
      </w:r>
      <w:r w:rsidR="00750229" w:rsidRPr="00697530">
        <w:t xml:space="preserve">As a result, </w:t>
      </w:r>
      <w:r w:rsidR="00F802E9" w:rsidRPr="00697530">
        <w:t xml:space="preserve">stations and MVPDs </w:t>
      </w:r>
      <w:r w:rsidR="00750229" w:rsidRPr="00697530">
        <w:t>may need a software or device upgrade for their equipment</w:t>
      </w:r>
      <w:r w:rsidR="007B7BAC" w:rsidRPr="00697530">
        <w:t xml:space="preserve"> in order to perform the new loudness measurement technique</w:t>
      </w:r>
      <w:r w:rsidR="00750229" w:rsidRPr="00697530">
        <w:t xml:space="preserve">.  The </w:t>
      </w:r>
      <w:r w:rsidR="00DF6A9C" w:rsidRPr="00697530">
        <w:rPr>
          <w:i/>
        </w:rPr>
        <w:t>Second Report and Order</w:t>
      </w:r>
      <w:r w:rsidR="00DF6A9C" w:rsidRPr="00697530">
        <w:t xml:space="preserve"> </w:t>
      </w:r>
      <w:r w:rsidR="00750229" w:rsidRPr="00697530">
        <w:t xml:space="preserve">does not otherwise </w:t>
      </w:r>
      <w:r w:rsidR="00DF6A9C" w:rsidRPr="00697530">
        <w:t>impose</w:t>
      </w:r>
      <w:r w:rsidR="00750229" w:rsidRPr="00697530">
        <w:t xml:space="preserve"> any new reporting, recordkeeping or other compliance requirements.</w:t>
      </w:r>
      <w:r w:rsidR="00225AC8" w:rsidRPr="00697530">
        <w:rPr>
          <w:rStyle w:val="FootnoteReference"/>
        </w:rPr>
        <w:footnoteReference w:id="98"/>
      </w:r>
    </w:p>
    <w:p w:rsidR="003210EB" w:rsidRPr="00697530" w:rsidRDefault="003210EB" w:rsidP="003210EB">
      <w:pPr>
        <w:pStyle w:val="Heading2"/>
      </w:pPr>
      <w:r w:rsidRPr="00697530">
        <w:t>Steps Taken to Minimize Significant Economic Impact on Small Entities, and Significant Alternatives Considered</w:t>
      </w:r>
    </w:p>
    <w:p w:rsidR="003210EB" w:rsidRPr="00697530" w:rsidRDefault="003210EB" w:rsidP="00B5145D">
      <w:pPr>
        <w:pStyle w:val="ParaNum"/>
      </w:pPr>
      <w:r w:rsidRPr="00697530">
        <w:t xml:space="preserve">The RFA requires an agency to describe </w:t>
      </w:r>
      <w:r w:rsidR="00B5145D" w:rsidRPr="00B5145D">
        <w:t>the steps the agency has taken to minimize the significant economic impact on small entities consistent with the stated objectives of applicable statutes, including a statement of the factual, policy, and legal reasons for selecting the alternative adopted in the final rule and why each one of the other significant alternatives to the rule considered by the agency which affect the impact on small entities was rejected</w:t>
      </w:r>
      <w:r w:rsidR="00F5404B">
        <w:t>.</w:t>
      </w:r>
      <w:r w:rsidRPr="00697530">
        <w:rPr>
          <w:rStyle w:val="FootnoteReference"/>
        </w:rPr>
        <w:footnoteReference w:id="99"/>
      </w:r>
    </w:p>
    <w:p w:rsidR="00AD5F8C" w:rsidRPr="00697530" w:rsidRDefault="00750229" w:rsidP="00750229">
      <w:pPr>
        <w:pStyle w:val="ParaNum"/>
      </w:pPr>
      <w:r w:rsidRPr="00697530">
        <w:t>The CALM Act requires that the new technical loudness standard (</w:t>
      </w:r>
      <w:r w:rsidRPr="00697530">
        <w:rPr>
          <w:i/>
        </w:rPr>
        <w:t>i.e.</w:t>
      </w:r>
      <w:r w:rsidRPr="00697530">
        <w:t xml:space="preserve">, the </w:t>
      </w:r>
      <w:r w:rsidR="00173585" w:rsidRPr="00697530">
        <w:t xml:space="preserve">2011 </w:t>
      </w:r>
      <w:r w:rsidRPr="00697530">
        <w:t>ATSC A/85 RP) be made mandatory for all stations</w:t>
      </w:r>
      <w:r w:rsidR="00F802E9" w:rsidRPr="00697530">
        <w:t xml:space="preserve"> and </w:t>
      </w:r>
      <w:r w:rsidRPr="00697530">
        <w:t>MVPDs, regardless of size.</w:t>
      </w:r>
      <w:r w:rsidRPr="00697530">
        <w:rPr>
          <w:rStyle w:val="FootnoteReference"/>
        </w:rPr>
        <w:footnoteReference w:id="100"/>
      </w:r>
      <w:r w:rsidRPr="00697530">
        <w:t xml:space="preserve">  The statute also requires that the Commission make mandatory “any successor” to the ATSC A/85 RP, affording the Commission no discretion in this regard.</w:t>
      </w:r>
      <w:r w:rsidRPr="00697530">
        <w:rPr>
          <w:rStyle w:val="FootnoteReference"/>
        </w:rPr>
        <w:footnoteReference w:id="101"/>
      </w:r>
      <w:r w:rsidRPr="00697530">
        <w:t xml:space="preserve">  However, in this </w:t>
      </w:r>
      <w:r w:rsidR="00AD5F8C" w:rsidRPr="00697530">
        <w:t>proceeding</w:t>
      </w:r>
      <w:r w:rsidRPr="00697530">
        <w:t xml:space="preserve">, the Commission </w:t>
      </w:r>
      <w:r w:rsidR="00AD5F8C" w:rsidRPr="00697530">
        <w:t>found</w:t>
      </w:r>
      <w:r w:rsidRPr="00697530">
        <w:t xml:space="preserve"> that it ha</w:t>
      </w:r>
      <w:r w:rsidR="00AD5F8C" w:rsidRPr="00697530">
        <w:t>d</w:t>
      </w:r>
      <w:r w:rsidRPr="00697530">
        <w:t xml:space="preserve"> some discretion to afford a reasonable amount of time for regulated parties to implement the </w:t>
      </w:r>
      <w:r w:rsidR="00F802E9" w:rsidRPr="00697530">
        <w:t>S</w:t>
      </w:r>
      <w:r w:rsidRPr="00697530">
        <w:t>uccessor RP</w:t>
      </w:r>
      <w:r w:rsidR="00AD5F8C" w:rsidRPr="00697530">
        <w:t>.  The record in this proceeding indicates “that most equipment deployed to comply with the A/85 RP can likely be modified through relatively low-cost software upgrades to comply with the Successor RP.”</w:t>
      </w:r>
      <w:r w:rsidR="00AD5F8C" w:rsidRPr="00697530">
        <w:rPr>
          <w:rStyle w:val="FootnoteReference"/>
        </w:rPr>
        <w:footnoteReference w:id="102"/>
      </w:r>
      <w:r w:rsidR="00AD5F8C" w:rsidRPr="00697530">
        <w:t xml:space="preserve">  Accordingly, the Commission</w:t>
      </w:r>
      <w:r w:rsidRPr="00697530">
        <w:t xml:space="preserve"> afford</w:t>
      </w:r>
      <w:r w:rsidR="00AD5F8C" w:rsidRPr="00697530">
        <w:t>s</w:t>
      </w:r>
      <w:r w:rsidRPr="00697530">
        <w:t xml:space="preserve"> regulated parties with one year from the release date of the </w:t>
      </w:r>
      <w:r w:rsidR="00AD5F8C" w:rsidRPr="00697530">
        <w:rPr>
          <w:i/>
        </w:rPr>
        <w:t>Second Report and Order</w:t>
      </w:r>
      <w:r w:rsidR="00AD5F8C" w:rsidRPr="00697530">
        <w:t xml:space="preserve"> </w:t>
      </w:r>
      <w:r w:rsidRPr="00697530">
        <w:t xml:space="preserve">to implement any necessary equipment upgrades.  </w:t>
      </w:r>
      <w:r w:rsidR="00AD5F8C" w:rsidRPr="00697530">
        <w:t xml:space="preserve">In addition, </w:t>
      </w:r>
      <w:r w:rsidR="003819DA" w:rsidRPr="00697530">
        <w:t xml:space="preserve">to the extent a regulated entity has purchased equipment that is not easily upgradable, such entity may request more time to comply with the Successor RP.  We note, however, that no party filed comments that it had purchased equipment that was not easily upgradable, even though the </w:t>
      </w:r>
      <w:r w:rsidR="003819DA" w:rsidRPr="00697530">
        <w:rPr>
          <w:i/>
        </w:rPr>
        <w:t xml:space="preserve">FNPRM </w:t>
      </w:r>
      <w:r w:rsidR="003819DA" w:rsidRPr="00697530">
        <w:t xml:space="preserve">expressly sought such comment.  </w:t>
      </w:r>
      <w:r w:rsidR="00D5163E" w:rsidRPr="00697530">
        <w:t>Therefore, we believe that</w:t>
      </w:r>
      <w:r w:rsidR="00765FE3" w:rsidRPr="00697530">
        <w:t xml:space="preserve"> the final rules adopted in the </w:t>
      </w:r>
      <w:r w:rsidR="00765FE3" w:rsidRPr="00697530">
        <w:rPr>
          <w:i/>
        </w:rPr>
        <w:t>Second Report and Order</w:t>
      </w:r>
      <w:r w:rsidR="00765FE3" w:rsidRPr="00697530">
        <w:t xml:space="preserve"> will not have a “significant economic impact on a substantial number of small entities.”</w:t>
      </w:r>
      <w:r w:rsidR="00765FE3" w:rsidRPr="00697530">
        <w:rPr>
          <w:rStyle w:val="FootnoteReference"/>
        </w:rPr>
        <w:footnoteReference w:id="103"/>
      </w:r>
    </w:p>
    <w:p w:rsidR="00DF4234" w:rsidRPr="00697530" w:rsidRDefault="00DF4234" w:rsidP="00DF4234">
      <w:pPr>
        <w:pStyle w:val="Heading2"/>
        <w:rPr>
          <w:bCs/>
        </w:rPr>
      </w:pPr>
      <w:r w:rsidRPr="00697530">
        <w:t>Report to Congress</w:t>
      </w:r>
    </w:p>
    <w:p w:rsidR="00DF4234" w:rsidRPr="00697530" w:rsidRDefault="00DF4234" w:rsidP="00DF4234">
      <w:pPr>
        <w:pStyle w:val="ParaNum"/>
      </w:pPr>
      <w:r w:rsidRPr="00697530">
        <w:t xml:space="preserve">The Commission will send a copy of the </w:t>
      </w:r>
      <w:r w:rsidRPr="00697530">
        <w:rPr>
          <w:i/>
        </w:rPr>
        <w:t>Second Report and Order</w:t>
      </w:r>
      <w:r w:rsidRPr="00697530">
        <w:t>, including this FRFA, in a report to be sent to Congress pursuant to the Congressional Review Act.</w:t>
      </w:r>
      <w:r w:rsidRPr="00697530">
        <w:rPr>
          <w:rStyle w:val="FootnoteReference"/>
        </w:rPr>
        <w:footnoteReference w:id="104"/>
      </w:r>
      <w:r w:rsidRPr="00697530">
        <w:t xml:space="preserve">  In addition, the Commission will send a copy of the </w:t>
      </w:r>
      <w:r w:rsidRPr="00697530">
        <w:rPr>
          <w:i/>
        </w:rPr>
        <w:t>Second Report and Order</w:t>
      </w:r>
      <w:r w:rsidRPr="00697530">
        <w:t xml:space="preserve">, including this FRFA, to the Chief Counsel for Advocacy of the SBA.  The </w:t>
      </w:r>
      <w:r w:rsidR="00827080" w:rsidRPr="00697530">
        <w:rPr>
          <w:i/>
        </w:rPr>
        <w:t xml:space="preserve">Second </w:t>
      </w:r>
      <w:r w:rsidRPr="00697530">
        <w:rPr>
          <w:i/>
        </w:rPr>
        <w:t>Report and Order</w:t>
      </w:r>
      <w:r w:rsidRPr="00697530">
        <w:t xml:space="preserve"> and FRFA (or summaries thereof) will also be published in the Federal Register.</w:t>
      </w:r>
      <w:r w:rsidRPr="00697530">
        <w:rPr>
          <w:rStyle w:val="FootnoteReference"/>
        </w:rPr>
        <w:footnoteReference w:id="105"/>
      </w:r>
    </w:p>
    <w:sectPr w:rsidR="00DF4234" w:rsidRPr="00697530" w:rsidSect="003E2FF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CC" w:rsidRDefault="00943BCC">
      <w:pPr>
        <w:spacing w:line="20" w:lineRule="exact"/>
      </w:pPr>
    </w:p>
  </w:endnote>
  <w:endnote w:type="continuationSeparator" w:id="0">
    <w:p w:rsidR="00943BCC" w:rsidRDefault="00943BCC">
      <w:r>
        <w:t xml:space="preserve"> </w:t>
      </w:r>
    </w:p>
  </w:endnote>
  <w:endnote w:type="continuationNotice" w:id="1">
    <w:p w:rsidR="00943BCC" w:rsidRDefault="00943B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B37CE5" w:rsidP="0055614C">
    <w:pPr>
      <w:pStyle w:val="Footer"/>
      <w:framePr w:wrap="around" w:vAnchor="text" w:hAnchor="margin" w:xAlign="center" w:y="1"/>
    </w:pPr>
    <w:r>
      <w:fldChar w:fldCharType="begin"/>
    </w:r>
    <w:r w:rsidR="006F7393">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B37CE5" w:rsidP="0055614C">
    <w:pPr>
      <w:pStyle w:val="Footer"/>
      <w:framePr w:wrap="around" w:vAnchor="text" w:hAnchor="margin" w:xAlign="center" w:y="1"/>
    </w:pPr>
    <w:r>
      <w:fldChar w:fldCharType="begin"/>
    </w:r>
    <w:r w:rsidR="006F7393">
      <w:instrText xml:space="preserve">PAGE  </w:instrText>
    </w:r>
    <w:r>
      <w:fldChar w:fldCharType="separate"/>
    </w:r>
    <w:r w:rsidR="00BC4F0C">
      <w:rPr>
        <w:noProof/>
      </w:rPr>
      <w:t>2</w:t>
    </w:r>
    <w:r>
      <w:fldChar w:fldCharType="end"/>
    </w:r>
  </w:p>
  <w:p w:rsidR="006F7393" w:rsidRDefault="006F7393">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CC" w:rsidRDefault="00943BCC">
      <w:r>
        <w:separator/>
      </w:r>
    </w:p>
  </w:footnote>
  <w:footnote w:type="continuationSeparator" w:id="0">
    <w:p w:rsidR="00943BCC" w:rsidRDefault="00943BCC" w:rsidP="000A20F5">
      <w:pPr>
        <w:spacing w:before="60"/>
        <w:rPr>
          <w:sz w:val="20"/>
        </w:rPr>
      </w:pPr>
      <w:r>
        <w:rPr>
          <w:sz w:val="20"/>
        </w:rPr>
        <w:t xml:space="preserve">(Continued from previous page)  </w:t>
      </w:r>
      <w:r>
        <w:rPr>
          <w:sz w:val="20"/>
        </w:rPr>
        <w:separator/>
      </w:r>
    </w:p>
  </w:footnote>
  <w:footnote w:type="continuationNotice" w:id="1">
    <w:p w:rsidR="00943BCC" w:rsidRDefault="00943BCC" w:rsidP="001338FF">
      <w:pPr>
        <w:jc w:val="right"/>
        <w:rPr>
          <w:sz w:val="20"/>
        </w:rPr>
      </w:pPr>
      <w:r>
        <w:rPr>
          <w:sz w:val="20"/>
        </w:rPr>
        <w:t>(continued….)</w:t>
      </w:r>
    </w:p>
  </w:footnote>
  <w:footnote w:id="2">
    <w:p w:rsidR="00875B83" w:rsidRPr="00697530" w:rsidRDefault="00875B83">
      <w:pPr>
        <w:pStyle w:val="FootnoteText"/>
      </w:pPr>
      <w:r w:rsidRPr="00697530">
        <w:rPr>
          <w:rStyle w:val="FootnoteReference"/>
        </w:rPr>
        <w:footnoteRef/>
      </w:r>
      <w:r w:rsidRPr="00697530">
        <w:t xml:space="preserve"> </w:t>
      </w:r>
      <w:r w:rsidRPr="00697530">
        <w:rPr>
          <w:i/>
        </w:rPr>
        <w:t>See</w:t>
      </w:r>
      <w:r w:rsidRPr="00697530">
        <w:t xml:space="preserve"> Appendix</w:t>
      </w:r>
      <w:r w:rsidR="002C0DF7" w:rsidRPr="00697530">
        <w:t xml:space="preserve"> A </w:t>
      </w:r>
      <w:r w:rsidR="00204D3B" w:rsidRPr="00697530">
        <w:t>– Final Rules</w:t>
      </w:r>
      <w:r w:rsidRPr="00697530">
        <w:t>.</w:t>
      </w:r>
    </w:p>
  </w:footnote>
  <w:footnote w:id="3">
    <w:p w:rsidR="00071D6E" w:rsidRPr="00697530" w:rsidRDefault="00071D6E" w:rsidP="00071D6E">
      <w:pPr>
        <w:pStyle w:val="FootnoteText"/>
      </w:pPr>
      <w:r w:rsidRPr="00697530">
        <w:rPr>
          <w:rStyle w:val="FootnoteReference"/>
        </w:rPr>
        <w:footnoteRef/>
      </w:r>
      <w:r w:rsidRPr="00697530">
        <w:t xml:space="preserve"> </w:t>
      </w:r>
      <w:r w:rsidRPr="00697530">
        <w:rPr>
          <w:i/>
        </w:rPr>
        <w:t>See</w:t>
      </w:r>
      <w:r w:rsidRPr="00697530">
        <w:t xml:space="preserve"> 47 U.S.C. § 621(a); </w:t>
      </w:r>
      <w:r w:rsidRPr="00697530">
        <w:rPr>
          <w:i/>
        </w:rPr>
        <w:t>see also</w:t>
      </w:r>
      <w:r w:rsidRPr="00697530">
        <w:t xml:space="preserve"> </w:t>
      </w:r>
      <w:r w:rsidRPr="00697530">
        <w:rPr>
          <w:i/>
        </w:rPr>
        <w:t>Implementation of the Commercial Advertisement Loudness Mitigation (CALM) Act</w:t>
      </w:r>
      <w:r w:rsidRPr="00697530">
        <w:t>, MB Docket No. 11-93, Report and Order, 26 FCC Rcd 17222, 17236, ¶ 20 (2011) (</w:t>
      </w:r>
      <w:r w:rsidRPr="00697530">
        <w:rPr>
          <w:i/>
          <w:kern w:val="28"/>
        </w:rPr>
        <w:t>CALM Act Report and Order</w:t>
      </w:r>
      <w:r w:rsidRPr="00697530">
        <w:t>).</w:t>
      </w:r>
    </w:p>
  </w:footnote>
  <w:footnote w:id="4">
    <w:p w:rsidR="00104D8A" w:rsidRPr="00697530" w:rsidRDefault="00104D8A" w:rsidP="00104D8A">
      <w:pPr>
        <w:pStyle w:val="FootnoteText"/>
      </w:pPr>
      <w:r w:rsidRPr="00697530">
        <w:rPr>
          <w:rStyle w:val="FootnoteReference"/>
        </w:rPr>
        <w:footnoteRef/>
      </w:r>
      <w:r w:rsidR="00381ADC" w:rsidRPr="00697530">
        <w:t xml:space="preserve"> According to its website,</w:t>
      </w:r>
      <w:r w:rsidRPr="00697530">
        <w:t xml:space="preserve"> ATSC 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w:t>
      </w:r>
      <w:r w:rsidRPr="00697530">
        <w:rPr>
          <w:i/>
        </w:rPr>
        <w:t>See</w:t>
      </w:r>
      <w:r w:rsidRPr="00697530">
        <w:t xml:space="preserve"> </w:t>
      </w:r>
      <w:hyperlink r:id="rId1" w:history="1">
        <w:r w:rsidRPr="00697530">
          <w:rPr>
            <w:rStyle w:val="Hyperlink"/>
          </w:rPr>
          <w:t>http://www.atsc.org/aboutatsc.html</w:t>
        </w:r>
      </w:hyperlink>
      <w:r w:rsidRPr="00697530">
        <w:t>.</w:t>
      </w:r>
    </w:p>
  </w:footnote>
  <w:footnote w:id="5">
    <w:p w:rsidR="00875B83" w:rsidRPr="00697530" w:rsidRDefault="00875B83" w:rsidP="00875B83">
      <w:pPr>
        <w:pStyle w:val="FootnoteText"/>
      </w:pPr>
      <w:r w:rsidRPr="00697530">
        <w:rPr>
          <w:rStyle w:val="FootnoteReference"/>
        </w:rPr>
        <w:footnoteRef/>
      </w:r>
      <w:r w:rsidRPr="00697530">
        <w:t xml:space="preserve"> ATSC A/85:2013 “ATSC Recommended Practice: Techniques for Establishing and Maintaining Audio Loudness for Digital Television,” (March 12, 2013) (Successor RP).  This document is available on the ATSC website at:  </w:t>
      </w:r>
      <w:hyperlink r:id="rId2" w:history="1">
        <w:r w:rsidRPr="00697530">
          <w:rPr>
            <w:rStyle w:val="Hyperlink"/>
          </w:rPr>
          <w:t>http://www.atsc.org/cms/standards/A_85-2013.pdf</w:t>
        </w:r>
      </w:hyperlink>
      <w:r w:rsidRPr="00697530">
        <w:t>.</w:t>
      </w:r>
    </w:p>
  </w:footnote>
  <w:footnote w:id="6">
    <w:p w:rsidR="00104D8A" w:rsidRPr="00697530" w:rsidRDefault="00104D8A" w:rsidP="00104D8A">
      <w:pPr>
        <w:pStyle w:val="FootnoteText"/>
      </w:pPr>
      <w:r w:rsidRPr="00697530">
        <w:rPr>
          <w:rStyle w:val="FootnoteReference"/>
        </w:rPr>
        <w:footnoteRef/>
      </w:r>
      <w:r w:rsidRPr="00697530">
        <w:t xml:space="preserve"> </w:t>
      </w:r>
      <w:r w:rsidR="00676646" w:rsidRPr="00697530">
        <w:t>A/85:2011</w:t>
      </w:r>
      <w:r w:rsidR="007D1005" w:rsidRPr="00697530">
        <w:t>“ATSC Recommended Practice: Techniques for Establishing and Maintaining Audio Loudness for Digital Television,”</w:t>
      </w:r>
      <w:r w:rsidR="00676646" w:rsidRPr="00697530">
        <w:t xml:space="preserve"> </w:t>
      </w:r>
      <w:r w:rsidR="007D1005" w:rsidRPr="00697530">
        <w:t xml:space="preserve">(July 25, 2011) </w:t>
      </w:r>
      <w:r w:rsidR="00676646" w:rsidRPr="00697530">
        <w:t>(Current RP)</w:t>
      </w:r>
      <w:r w:rsidR="00875B83" w:rsidRPr="00697530">
        <w:t>.</w:t>
      </w:r>
    </w:p>
  </w:footnote>
  <w:footnote w:id="7">
    <w:p w:rsidR="00156E75" w:rsidRPr="00697530" w:rsidRDefault="00156E75" w:rsidP="00156E75">
      <w:pPr>
        <w:pStyle w:val="FootnoteText"/>
      </w:pPr>
      <w:r w:rsidRPr="00697530">
        <w:rPr>
          <w:rStyle w:val="FootnoteReference"/>
        </w:rPr>
        <w:footnoteRef/>
      </w:r>
      <w:r w:rsidRPr="00697530">
        <w:t xml:space="preserve"> As discussed below, television station </w:t>
      </w:r>
      <w:r w:rsidR="00F47393" w:rsidRPr="00697530">
        <w:t>licensee</w:t>
      </w:r>
      <w:r w:rsidRPr="00697530">
        <w:t>s and multichannel video programming distributors (MVPDs)</w:t>
      </w:r>
      <w:r w:rsidR="00050D94" w:rsidRPr="00697530">
        <w:t xml:space="preserve"> may seek a waiver of this compliance date to the extent they</w:t>
      </w:r>
      <w:r w:rsidR="00393689" w:rsidRPr="00697530">
        <w:t xml:space="preserve"> </w:t>
      </w:r>
      <w:r w:rsidRPr="00697530">
        <w:t>demonstrate that they are unable to comply with the Successor RP</w:t>
      </w:r>
      <w:r w:rsidR="00831249">
        <w:t xml:space="preserve"> </w:t>
      </w:r>
      <w:r w:rsidR="00831249" w:rsidRPr="00831249">
        <w:t>by that deadline</w:t>
      </w:r>
      <w:r w:rsidR="007876B7" w:rsidRPr="00697530">
        <w:t xml:space="preserve">; </w:t>
      </w:r>
      <w:r w:rsidR="007876B7" w:rsidRPr="00697530">
        <w:rPr>
          <w:i/>
        </w:rPr>
        <w:t xml:space="preserve">see </w:t>
      </w:r>
      <w:r w:rsidR="00F47393" w:rsidRPr="00697530">
        <w:rPr>
          <w:i/>
        </w:rPr>
        <w:t>infra</w:t>
      </w:r>
      <w:r w:rsidR="007876B7" w:rsidRPr="00697530">
        <w:t xml:space="preserve"> at ¶</w:t>
      </w:r>
      <w:r w:rsidR="00BD703A" w:rsidRPr="00697530">
        <w:t xml:space="preserve"> </w:t>
      </w:r>
      <w:r w:rsidR="004F3D9D" w:rsidRPr="00697530">
        <w:t>6</w:t>
      </w:r>
      <w:r w:rsidRPr="00697530">
        <w:t>.</w:t>
      </w:r>
    </w:p>
  </w:footnote>
  <w:footnote w:id="8">
    <w:p w:rsidR="008C6BE3" w:rsidRPr="00697530" w:rsidRDefault="008C6BE3">
      <w:pPr>
        <w:pStyle w:val="FootnoteText"/>
      </w:pPr>
      <w:r w:rsidRPr="00697530">
        <w:rPr>
          <w:rStyle w:val="FootnoteReference"/>
        </w:rPr>
        <w:footnoteRef/>
      </w:r>
      <w:r w:rsidRPr="00697530">
        <w:t xml:space="preserve"> </w:t>
      </w:r>
      <w:r w:rsidR="000804D2" w:rsidRPr="00697530">
        <w:rPr>
          <w:i/>
        </w:rPr>
        <w:t>Implementation of the Commercial Advertisement Loudness Mitigation (CALM) Act</w:t>
      </w:r>
      <w:r w:rsidR="000804D2" w:rsidRPr="00697530">
        <w:t>; MB Docket No. 11-93, Order and Further Notice of Proposed Rulemaking, 28 FCC Rcd 15258</w:t>
      </w:r>
      <w:r w:rsidR="00C45DF1" w:rsidRPr="00697530">
        <w:t>, 15261, ¶ 7</w:t>
      </w:r>
      <w:r w:rsidR="000804D2" w:rsidRPr="00697530">
        <w:t xml:space="preserve"> (2013)</w:t>
      </w:r>
      <w:r w:rsidR="00017E1A">
        <w:t xml:space="preserve"> (“</w:t>
      </w:r>
      <w:r w:rsidR="00017E1A" w:rsidRPr="00662967">
        <w:rPr>
          <w:i/>
        </w:rPr>
        <w:t>FNPRM</w:t>
      </w:r>
      <w:r w:rsidR="00017E1A">
        <w:t xml:space="preserve">” or “CALM Act </w:t>
      </w:r>
      <w:r w:rsidR="00017E1A" w:rsidRPr="00662967">
        <w:rPr>
          <w:i/>
        </w:rPr>
        <w:t>FNPRM</w:t>
      </w:r>
      <w:r w:rsidR="00017E1A">
        <w:t>”)</w:t>
      </w:r>
      <w:r w:rsidR="000804D2" w:rsidRPr="00697530">
        <w:t>.</w:t>
      </w:r>
    </w:p>
  </w:footnote>
  <w:footnote w:id="9">
    <w:p w:rsidR="00EB3388" w:rsidRPr="00697530" w:rsidRDefault="00EB3388">
      <w:pPr>
        <w:pStyle w:val="FootnoteText"/>
      </w:pPr>
      <w:r w:rsidRPr="00697530">
        <w:rPr>
          <w:rStyle w:val="FootnoteReference"/>
        </w:rPr>
        <w:footnoteRef/>
      </w:r>
      <w:r w:rsidRPr="00697530">
        <w:t xml:space="preserve"> </w:t>
      </w:r>
      <w:r w:rsidRPr="00697530">
        <w:rPr>
          <w:i/>
        </w:rPr>
        <w:t>See</w:t>
      </w:r>
      <w:r w:rsidRPr="00697530">
        <w:t xml:space="preserve"> </w:t>
      </w:r>
      <w:r w:rsidR="00F47393" w:rsidRPr="00697530">
        <w:rPr>
          <w:i/>
        </w:rPr>
        <w:t>inf</w:t>
      </w:r>
      <w:r w:rsidRPr="00697530">
        <w:rPr>
          <w:i/>
        </w:rPr>
        <w:t>ra</w:t>
      </w:r>
      <w:r w:rsidRPr="00697530">
        <w:t xml:space="preserve"> at ¶</w:t>
      </w:r>
      <w:r w:rsidR="00BD703A" w:rsidRPr="00697530">
        <w:t xml:space="preserve"> </w:t>
      </w:r>
      <w:r w:rsidR="004F3D9D" w:rsidRPr="00697530">
        <w:t>8</w:t>
      </w:r>
      <w:r w:rsidRPr="00697530">
        <w:t>.</w:t>
      </w:r>
    </w:p>
  </w:footnote>
  <w:footnote w:id="10">
    <w:p w:rsidR="00037732" w:rsidRPr="00697530" w:rsidRDefault="00037732" w:rsidP="00037732">
      <w:pPr>
        <w:pStyle w:val="FootnoteText"/>
      </w:pPr>
      <w:r w:rsidRPr="00697530">
        <w:rPr>
          <w:rStyle w:val="FootnoteReference"/>
        </w:rPr>
        <w:footnoteRef/>
      </w:r>
      <w:r w:rsidRPr="00697530">
        <w:t xml:space="preserve"> </w:t>
      </w:r>
      <w:r w:rsidRPr="00697530">
        <w:rPr>
          <w:i/>
        </w:rPr>
        <w:t>See generally</w:t>
      </w:r>
      <w:r w:rsidRPr="00697530">
        <w:t xml:space="preserve"> </w:t>
      </w:r>
      <w:r w:rsidRPr="00697530">
        <w:rPr>
          <w:i/>
        </w:rPr>
        <w:t>CALM Act Report and Order</w:t>
      </w:r>
      <w:r w:rsidRPr="00697530">
        <w:t>, 26 FCC Rcd 17222.</w:t>
      </w:r>
    </w:p>
  </w:footnote>
  <w:footnote w:id="11">
    <w:p w:rsidR="00037732" w:rsidRPr="00697530" w:rsidRDefault="00037732" w:rsidP="00037732">
      <w:pPr>
        <w:pStyle w:val="FootnoteText"/>
      </w:pPr>
      <w:r w:rsidRPr="00697530">
        <w:rPr>
          <w:rStyle w:val="FootnoteReference"/>
        </w:rPr>
        <w:footnoteRef/>
      </w:r>
      <w:r w:rsidRPr="00697530">
        <w:t xml:space="preserve"> </w:t>
      </w:r>
      <w:r w:rsidRPr="00697530">
        <w:rPr>
          <w:i/>
        </w:rPr>
        <w:t>See</w:t>
      </w:r>
      <w:r w:rsidRPr="00697530">
        <w:t xml:space="preserve"> 47 C.F.R. §§ 73.682(e) and 76.607.</w:t>
      </w:r>
    </w:p>
  </w:footnote>
  <w:footnote w:id="12">
    <w:p w:rsidR="00104D8A" w:rsidRPr="00697530" w:rsidRDefault="00104D8A" w:rsidP="00104D8A">
      <w:pPr>
        <w:pStyle w:val="FootnoteText"/>
      </w:pPr>
      <w:r w:rsidRPr="00697530">
        <w:rPr>
          <w:rStyle w:val="FootnoteReference"/>
        </w:rPr>
        <w:footnoteRef/>
      </w:r>
      <w:r w:rsidRPr="00697530">
        <w:t xml:space="preserve"> 47 U.S.C. § 621(a).</w:t>
      </w:r>
    </w:p>
  </w:footnote>
  <w:footnote w:id="13">
    <w:p w:rsidR="00104D8A" w:rsidRPr="00697530" w:rsidRDefault="00104D8A" w:rsidP="00104D8A">
      <w:pPr>
        <w:pStyle w:val="FootnoteText"/>
      </w:pPr>
      <w:r w:rsidRPr="00697530">
        <w:rPr>
          <w:rStyle w:val="FootnoteReference"/>
        </w:rPr>
        <w:footnoteRef/>
      </w:r>
      <w:r w:rsidRPr="00697530">
        <w:t xml:space="preserve"> </w:t>
      </w:r>
      <w:r w:rsidRPr="00697530">
        <w:rPr>
          <w:i/>
        </w:rPr>
        <w:t>See</w:t>
      </w:r>
      <w:r w:rsidRPr="00697530">
        <w:t xml:space="preserve"> </w:t>
      </w:r>
      <w:r w:rsidR="0043775C" w:rsidRPr="00697530">
        <w:t>C</w:t>
      </w:r>
      <w:r w:rsidR="00381ADC" w:rsidRPr="00697530">
        <w:t>urrent</w:t>
      </w:r>
      <w:r w:rsidR="00D47973" w:rsidRPr="00697530">
        <w:t xml:space="preserve"> </w:t>
      </w:r>
      <w:r w:rsidRPr="00697530">
        <w:t>RP</w:t>
      </w:r>
      <w:r w:rsidR="007D1005" w:rsidRPr="00697530">
        <w:t>, which</w:t>
      </w:r>
      <w:r w:rsidRPr="00697530">
        <w:t xml:space="preserve"> was incorporated as it existed on the date of its approval by the Director of the Federal Register (</w:t>
      </w:r>
      <w:r w:rsidRPr="00697530">
        <w:rPr>
          <w:i/>
        </w:rPr>
        <w:t>i.e.</w:t>
      </w:r>
      <w:r w:rsidRPr="00697530">
        <w:t xml:space="preserve">, Dec. 13, 2012).  </w:t>
      </w:r>
      <w:r w:rsidRPr="00697530">
        <w:rPr>
          <w:i/>
        </w:rPr>
        <w:t>See</w:t>
      </w:r>
      <w:r w:rsidRPr="00697530">
        <w:t xml:space="preserve"> 47 C.F.R. §§ 73.8000(a), (b)(5) and 76.602(a), (b)(2); 1 C.F.R. § 51.1(f) (“Incorporation by reference of a publication is limited to the edition of the publication that is approved. Future amendments or revisions of the publication are not included.”).  The </w:t>
      </w:r>
      <w:r w:rsidR="00BB5479" w:rsidRPr="00697530">
        <w:t>C</w:t>
      </w:r>
      <w:r w:rsidR="00381ADC" w:rsidRPr="00697530">
        <w:t>urrent</w:t>
      </w:r>
      <w:r w:rsidRPr="00697530">
        <w:t xml:space="preserve"> RP is available at the ATSC website:  </w:t>
      </w:r>
      <w:hyperlink r:id="rId3" w:history="1">
        <w:r w:rsidRPr="00697530">
          <w:rPr>
            <w:rStyle w:val="Hyperlink"/>
          </w:rPr>
          <w:t>http://www.atsc.org/cms/standards/a_85-2011a.pdf</w:t>
        </w:r>
      </w:hyperlink>
      <w:r w:rsidRPr="00697530">
        <w:t>.</w:t>
      </w:r>
    </w:p>
  </w:footnote>
  <w:footnote w:id="14">
    <w:p w:rsidR="00104D8A" w:rsidRPr="00697530" w:rsidRDefault="00104D8A" w:rsidP="00104D8A">
      <w:pPr>
        <w:pStyle w:val="FootnoteText"/>
      </w:pPr>
      <w:r w:rsidRPr="00697530">
        <w:rPr>
          <w:rStyle w:val="FootnoteReference"/>
        </w:rPr>
        <w:footnoteRef/>
      </w:r>
      <w:r w:rsidRPr="00697530">
        <w:t xml:space="preserve"> 47 U.S.C. § 621(a).</w:t>
      </w:r>
    </w:p>
  </w:footnote>
  <w:footnote w:id="15">
    <w:p w:rsidR="00104D8A" w:rsidRPr="00697530" w:rsidRDefault="00104D8A" w:rsidP="00104D8A">
      <w:pPr>
        <w:pStyle w:val="FootnoteText"/>
      </w:pPr>
      <w:r w:rsidRPr="00697530">
        <w:rPr>
          <w:rStyle w:val="FootnoteReference"/>
        </w:rPr>
        <w:footnoteRef/>
      </w:r>
      <w:r w:rsidRPr="00697530">
        <w:t xml:space="preserve"> </w:t>
      </w:r>
      <w:r w:rsidRPr="00697530">
        <w:rPr>
          <w:i/>
        </w:rPr>
        <w:t>See supra</w:t>
      </w:r>
      <w:r w:rsidRPr="00697530">
        <w:t xml:space="preserve"> note </w:t>
      </w:r>
      <w:r w:rsidR="00BD703A" w:rsidRPr="00697530">
        <w:t>4</w:t>
      </w:r>
      <w:r w:rsidRPr="00697530">
        <w:t>.</w:t>
      </w:r>
    </w:p>
  </w:footnote>
  <w:footnote w:id="16">
    <w:p w:rsidR="00104D8A" w:rsidRPr="00697530" w:rsidRDefault="00104D8A" w:rsidP="00104D8A">
      <w:pPr>
        <w:pStyle w:val="FootnoteText"/>
      </w:pPr>
      <w:r w:rsidRPr="00697530">
        <w:rPr>
          <w:rStyle w:val="FootnoteReference"/>
        </w:rPr>
        <w:footnoteRef/>
      </w:r>
      <w:r w:rsidRPr="00697530">
        <w:t xml:space="preserve"> The ITU is a specialized agency of the United Nations whose goal is to promote international cooperation in the efficient use of telecommunications, including the use of the radio frequency spectrum.  The ITU publishes technical recommendations concerning various aspects of radio communication technology.  These recommendations are subject to an international peer review and approval process in which the Commission participates.</w:t>
      </w:r>
    </w:p>
  </w:footnote>
  <w:footnote w:id="17">
    <w:p w:rsidR="00104D8A" w:rsidRPr="00697530" w:rsidRDefault="00104D8A" w:rsidP="00104D8A">
      <w:pPr>
        <w:pStyle w:val="FootnoteText"/>
      </w:pPr>
      <w:r w:rsidRPr="00697530">
        <w:rPr>
          <w:rStyle w:val="FootnoteReference"/>
        </w:rPr>
        <w:footnoteRef/>
      </w:r>
      <w:r w:rsidRPr="00697530">
        <w:t xml:space="preserve"> </w:t>
      </w:r>
      <w:r w:rsidRPr="00697530">
        <w:rPr>
          <w:i/>
        </w:rPr>
        <w:t>See</w:t>
      </w:r>
      <w:r w:rsidRPr="00697530">
        <w:t xml:space="preserve"> Letter </w:t>
      </w:r>
      <w:r w:rsidR="00210F35" w:rsidRPr="00697530">
        <w:t xml:space="preserve">from </w:t>
      </w:r>
      <w:r w:rsidRPr="00697530">
        <w:t xml:space="preserve">Mark S. Richer, ATSC President, </w:t>
      </w:r>
      <w:r w:rsidR="00210F35" w:rsidRPr="00697530">
        <w:t>to Alison Neplokh, Chief Engineer, Media Bureau, FCC, at 1 (</w:t>
      </w:r>
      <w:r w:rsidRPr="00697530">
        <w:t>dated April 5, 2013</w:t>
      </w:r>
      <w:r w:rsidR="00210F35" w:rsidRPr="00697530">
        <w:t>)</w:t>
      </w:r>
      <w:r w:rsidRPr="00697530">
        <w:t xml:space="preserve"> </w:t>
      </w:r>
      <w:r w:rsidR="00357558" w:rsidRPr="00697530">
        <w:t>(</w:t>
      </w:r>
      <w:r w:rsidR="00357558" w:rsidRPr="00697530">
        <w:rPr>
          <w:i/>
        </w:rPr>
        <w:t>ATSC April 5 Letter</w:t>
      </w:r>
      <w:r w:rsidR="00357558" w:rsidRPr="00697530">
        <w:t xml:space="preserve">) </w:t>
      </w:r>
      <w:r w:rsidRPr="00697530">
        <w:t>(stating that “the revised version of A/85 includes an update of the reference to the [ITU] recommendation for ‘Algorithms to measure audio programme loudness and true-peak audio level.’  The revised A/85 now references ITU-R BS.1770-3.</w:t>
      </w:r>
      <w:r w:rsidR="009937A1" w:rsidRPr="00697530">
        <w:t>”</w:t>
      </w:r>
      <w:r w:rsidR="0077650F" w:rsidRPr="00697530">
        <w:t>).</w:t>
      </w:r>
      <w:r w:rsidRPr="00697530">
        <w:t xml:space="preserve">  As explained in the </w:t>
      </w:r>
      <w:r w:rsidRPr="00697530">
        <w:rPr>
          <w:i/>
        </w:rPr>
        <w:t>CALM Act Report and Order</w:t>
      </w:r>
      <w:r w:rsidRPr="00697530">
        <w:t>, the ITU-R BS.1770 measurement algorithm provides a numerical value that indicates the perceived loudness of the content (measured in units of LKFS</w:t>
      </w:r>
      <w:r w:rsidR="00CB4B47" w:rsidRPr="00697530">
        <w:t xml:space="preserve"> </w:t>
      </w:r>
      <w:r w:rsidR="00DB4F5A" w:rsidRPr="00697530">
        <w:t xml:space="preserve">– </w:t>
      </w:r>
      <w:r w:rsidR="00CB4B47" w:rsidRPr="00697530">
        <w:t>loudness, K-weighted, relative to full scale</w:t>
      </w:r>
      <w:r w:rsidRPr="00697530">
        <w:t xml:space="preserve">) by averaging the loudness of audio signals in all channels over the duration of the content.  </w:t>
      </w:r>
      <w:r w:rsidRPr="00697530">
        <w:rPr>
          <w:i/>
        </w:rPr>
        <w:t>See</w:t>
      </w:r>
      <w:r w:rsidRPr="00697530">
        <w:t xml:space="preserve"> </w:t>
      </w:r>
      <w:r w:rsidRPr="00697530">
        <w:rPr>
          <w:i/>
        </w:rPr>
        <w:t>CALM Act Report and Order</w:t>
      </w:r>
      <w:r w:rsidRPr="00697530">
        <w:t xml:space="preserve">, 26 FCC Rcd </w:t>
      </w:r>
      <w:r w:rsidR="003718C4" w:rsidRPr="00697530">
        <w:t>at 17228, ¶ 5.</w:t>
      </w:r>
      <w:r w:rsidR="00E82C1B" w:rsidRPr="00697530">
        <w:t xml:space="preserve"> </w:t>
      </w:r>
    </w:p>
  </w:footnote>
  <w:footnote w:id="18">
    <w:p w:rsidR="0026274B" w:rsidRPr="00697530" w:rsidRDefault="0026274B">
      <w:pPr>
        <w:pStyle w:val="FootnoteText"/>
      </w:pPr>
      <w:r w:rsidRPr="00697530">
        <w:rPr>
          <w:rStyle w:val="FootnoteReference"/>
        </w:rPr>
        <w:footnoteRef/>
      </w:r>
      <w:r w:rsidRPr="00697530">
        <w:t xml:space="preserve"> </w:t>
      </w:r>
      <w:r w:rsidRPr="00697530">
        <w:rPr>
          <w:i/>
        </w:rPr>
        <w:t>Id</w:t>
      </w:r>
      <w:r w:rsidRPr="00697530">
        <w:t>. (</w:t>
      </w:r>
      <w:r w:rsidR="00681F2A" w:rsidRPr="00697530">
        <w:t>“</w:t>
      </w:r>
      <w:r w:rsidRPr="00697530">
        <w:t>Version 3 of BS.1770, adds ‘gating’ (excluding low level passages from the measured value) to the measurement algorithm.”).</w:t>
      </w:r>
    </w:p>
  </w:footnote>
  <w:footnote w:id="19">
    <w:p w:rsidR="0003226D" w:rsidRPr="00697530" w:rsidRDefault="0003226D">
      <w:pPr>
        <w:pStyle w:val="FootnoteText"/>
      </w:pPr>
      <w:r w:rsidRPr="00697530">
        <w:rPr>
          <w:rStyle w:val="FootnoteReference"/>
        </w:rPr>
        <w:footnoteRef/>
      </w:r>
      <w:r w:rsidRPr="00697530">
        <w:t xml:space="preserve"> </w:t>
      </w:r>
      <w:r w:rsidR="00BD703A" w:rsidRPr="00697530">
        <w:t>We note that the potential benefit that may occur for consumers is limited to situations where a commercial has a significant amount of silent or very quiet passages.  The new algorithm’s use of “gating” is intended to more accurately reflect consumer perceptions in situations in which the commercial contains both very loud and very quiet passages.  In this circumstance, the new algorithm would result in a greater perceived loudness measurement than the old algorithm, therefore requiring the commercial to be adjusted using one of the methods in the RP.  Thus, the new algorithm may result in somewhat reduced loudness problems perceived by consumers in this circumstance, but is otherwise substantially the same as the existing algorithm.</w:t>
      </w:r>
    </w:p>
  </w:footnote>
  <w:footnote w:id="20">
    <w:p w:rsidR="00104D8A" w:rsidRPr="00697530" w:rsidRDefault="00104D8A" w:rsidP="003A586E">
      <w:pPr>
        <w:pStyle w:val="FootnoteText"/>
      </w:pPr>
      <w:r w:rsidRPr="00697530">
        <w:rPr>
          <w:rStyle w:val="FootnoteReference"/>
        </w:rPr>
        <w:footnoteRef/>
      </w:r>
      <w:r w:rsidRPr="00697530">
        <w:t xml:space="preserve"> </w:t>
      </w:r>
      <w:r w:rsidRPr="00697530">
        <w:rPr>
          <w:i/>
        </w:rPr>
        <w:t xml:space="preserve">See </w:t>
      </w:r>
      <w:r w:rsidR="00210F35" w:rsidRPr="00697530">
        <w:rPr>
          <w:i/>
        </w:rPr>
        <w:t>ATSC April 5 Letter</w:t>
      </w:r>
      <w:r w:rsidR="00210F35" w:rsidRPr="00697530">
        <w:t xml:space="preserve"> at 1</w:t>
      </w:r>
      <w:r w:rsidRPr="00697530">
        <w:t xml:space="preserve">. </w:t>
      </w:r>
      <w:r w:rsidR="00210F35" w:rsidRPr="00697530">
        <w:t xml:space="preserve">ATSC explains that </w:t>
      </w:r>
      <w:r w:rsidRPr="00697530">
        <w:t xml:space="preserve">version 3 of BS.1770 </w:t>
      </w:r>
      <w:r w:rsidR="00210F35" w:rsidRPr="00697530">
        <w:t>also “</w:t>
      </w:r>
      <w:r w:rsidRPr="00697530">
        <w:t>includes some minor editorial updates to the loudness measurement text and a minor correction to the true-peak measurement algorithm.”</w:t>
      </w:r>
      <w:r w:rsidR="00210F35" w:rsidRPr="00697530">
        <w:t xml:space="preserve">  </w:t>
      </w:r>
      <w:r w:rsidR="00210F35" w:rsidRPr="00697530">
        <w:rPr>
          <w:i/>
        </w:rPr>
        <w:t>Id</w:t>
      </w:r>
      <w:r w:rsidR="00210F35" w:rsidRPr="00697530">
        <w:t>.  ATSC also explains that “[b]eyond the reference change, A/85 now includes improved guidance for measuring the loudness of surround programming in both its multichannel format and in its 2-channel downmix</w:t>
      </w:r>
      <w:r w:rsidR="00906CCA" w:rsidRPr="00697530">
        <w:t xml:space="preserve"> </w:t>
      </w:r>
      <w:r w:rsidR="00210F35" w:rsidRPr="00697530">
        <w:t xml:space="preserve">.…  In addition, A/85 is now specific about the differences between loudness and dynamic range.”  </w:t>
      </w:r>
      <w:r w:rsidR="00210F35" w:rsidRPr="00697530">
        <w:rPr>
          <w:i/>
        </w:rPr>
        <w:t>Id</w:t>
      </w:r>
      <w:r w:rsidR="00210F35" w:rsidRPr="00697530">
        <w:t>.</w:t>
      </w:r>
    </w:p>
  </w:footnote>
  <w:footnote w:id="21">
    <w:p w:rsidR="00EE17AF" w:rsidRPr="00697530" w:rsidRDefault="00EE17AF">
      <w:pPr>
        <w:pStyle w:val="FootnoteText"/>
      </w:pPr>
      <w:r w:rsidRPr="00697530">
        <w:rPr>
          <w:rStyle w:val="FootnoteReference"/>
        </w:rPr>
        <w:footnoteRef/>
      </w:r>
      <w:r w:rsidRPr="00697530">
        <w:t xml:space="preserve"> </w:t>
      </w:r>
      <w:r w:rsidRPr="00697530">
        <w:rPr>
          <w:i/>
        </w:rPr>
        <w:t>Id</w:t>
      </w:r>
      <w:r w:rsidRPr="00697530">
        <w:t>. at 15260, ¶ 5.</w:t>
      </w:r>
    </w:p>
  </w:footnote>
  <w:footnote w:id="22">
    <w:p w:rsidR="00D8741B" w:rsidRPr="00697530" w:rsidRDefault="00D8741B" w:rsidP="00D8741B">
      <w:pPr>
        <w:pStyle w:val="FootnoteText"/>
      </w:pPr>
      <w:r w:rsidRPr="00697530">
        <w:rPr>
          <w:rStyle w:val="FootnoteReference"/>
        </w:rPr>
        <w:footnoteRef/>
      </w:r>
      <w:r w:rsidRPr="00697530">
        <w:t xml:space="preserve"> </w:t>
      </w:r>
      <w:r w:rsidRPr="00697530">
        <w:rPr>
          <w:i/>
        </w:rPr>
        <w:t>Id</w:t>
      </w:r>
      <w:r w:rsidRPr="00697530">
        <w:t>. at 15259, ¶ 3.</w:t>
      </w:r>
    </w:p>
  </w:footnote>
  <w:footnote w:id="23">
    <w:p w:rsidR="00EE17AF" w:rsidRPr="00697530" w:rsidRDefault="00EE17AF">
      <w:pPr>
        <w:pStyle w:val="FootnoteText"/>
      </w:pPr>
      <w:r w:rsidRPr="00697530">
        <w:rPr>
          <w:rStyle w:val="FootnoteReference"/>
        </w:rPr>
        <w:footnoteRef/>
      </w:r>
      <w:r w:rsidRPr="00697530">
        <w:t xml:space="preserve"> </w:t>
      </w:r>
      <w:r w:rsidRPr="00697530">
        <w:rPr>
          <w:i/>
        </w:rPr>
        <w:t>Id</w:t>
      </w:r>
      <w:r w:rsidRPr="00697530">
        <w:t>. at 15260-61, ¶ 6.</w:t>
      </w:r>
    </w:p>
  </w:footnote>
  <w:footnote w:id="24">
    <w:p w:rsidR="006F5D51" w:rsidRPr="00697530" w:rsidRDefault="006F5D51" w:rsidP="006F5D51">
      <w:pPr>
        <w:pStyle w:val="FootnoteText"/>
      </w:pPr>
      <w:r w:rsidRPr="00697530">
        <w:rPr>
          <w:rStyle w:val="FootnoteReference"/>
        </w:rPr>
        <w:footnoteRef/>
      </w:r>
      <w:r w:rsidRPr="00697530">
        <w:t xml:space="preserve"> </w:t>
      </w:r>
      <w:r w:rsidR="001520FA" w:rsidRPr="00697530">
        <w:rPr>
          <w:i/>
        </w:rPr>
        <w:t>See</w:t>
      </w:r>
      <w:r w:rsidR="001520FA" w:rsidRPr="00697530">
        <w:t xml:space="preserve"> Comments of the</w:t>
      </w:r>
      <w:r w:rsidRPr="00697530">
        <w:t xml:space="preserve"> National Association of Broadcasters </w:t>
      </w:r>
      <w:r w:rsidR="001520FA" w:rsidRPr="00697530">
        <w:t xml:space="preserve">dated Dec. 24, 2013 (“NAB Comments”) and Joint Comments of Holston Valley Broadcasting Corporation, W. Russell Withers, Jr., Withers Broadcasting Company of West Virginia, Withers Broadcasting Company of Clarksburg, LLC and Ernesto Bustos dated Dec. 13, 2013 (“Holston Valley </w:t>
      </w:r>
      <w:r w:rsidR="001520FA" w:rsidRPr="00662967">
        <w:rPr>
          <w:i/>
        </w:rPr>
        <w:t>et al</w:t>
      </w:r>
      <w:r w:rsidR="008F3F23" w:rsidRPr="00662967">
        <w:rPr>
          <w:i/>
        </w:rPr>
        <w:t>.</w:t>
      </w:r>
      <w:r w:rsidR="001520FA" w:rsidRPr="00697530">
        <w:t xml:space="preserve"> Comments”).  T</w:t>
      </w:r>
      <w:r w:rsidRPr="00697530">
        <w:t xml:space="preserve">he filings </w:t>
      </w:r>
      <w:r w:rsidR="001520FA" w:rsidRPr="00697530">
        <w:t xml:space="preserve">made </w:t>
      </w:r>
      <w:r w:rsidRPr="00697530">
        <w:t xml:space="preserve">in this docket are available to the public both online via the Commission’s Electronic Comment Filing System (“ECFS”) at </w:t>
      </w:r>
      <w:hyperlink r:id="rId4" w:history="1">
        <w:r w:rsidRPr="00697530">
          <w:rPr>
            <w:rStyle w:val="Hyperlink"/>
          </w:rPr>
          <w:t>http://www.fcc.gov/cgb/ecfs/</w:t>
        </w:r>
      </w:hyperlink>
      <w:r w:rsidRPr="00697530">
        <w:t xml:space="preserve"> and during regular business hours in the FCC Reference Center, Federal Communications Commission, 445 12th Street, S.W., CY-A257, Washington, D.C., 20554.</w:t>
      </w:r>
    </w:p>
  </w:footnote>
  <w:footnote w:id="25">
    <w:p w:rsidR="008158B7" w:rsidRPr="00697530" w:rsidRDefault="008158B7" w:rsidP="008158B7">
      <w:pPr>
        <w:pStyle w:val="FootnoteText"/>
      </w:pPr>
      <w:r w:rsidRPr="00697530">
        <w:rPr>
          <w:rStyle w:val="FootnoteReference"/>
        </w:rPr>
        <w:footnoteRef/>
      </w:r>
      <w:r w:rsidRPr="00697530">
        <w:t xml:space="preserve"> </w:t>
      </w:r>
      <w:r w:rsidRPr="00697530">
        <w:rPr>
          <w:i/>
        </w:rPr>
        <w:t xml:space="preserve">See supra </w:t>
      </w:r>
      <w:r w:rsidRPr="00697530">
        <w:t xml:space="preserve">note 13; </w:t>
      </w:r>
      <w:r w:rsidRPr="00697530">
        <w:rPr>
          <w:i/>
        </w:rPr>
        <w:t>CALM Act FNPRM</w:t>
      </w:r>
      <w:r w:rsidRPr="00697530">
        <w:t>, 28 FCC Rcd at 15260, ¶</w:t>
      </w:r>
      <w:r w:rsidR="00E8643B" w:rsidRPr="00697530">
        <w:t>¶</w:t>
      </w:r>
      <w:r w:rsidRPr="00697530">
        <w:t xml:space="preserve"> </w:t>
      </w:r>
      <w:r w:rsidR="00E8643B" w:rsidRPr="00697530">
        <w:t>4-</w:t>
      </w:r>
      <w:r w:rsidRPr="00697530">
        <w:t>5.</w:t>
      </w:r>
    </w:p>
  </w:footnote>
  <w:footnote w:id="26">
    <w:p w:rsidR="00173F1E" w:rsidRPr="00697530" w:rsidRDefault="00173F1E" w:rsidP="00173F1E">
      <w:pPr>
        <w:pStyle w:val="FootnoteText"/>
      </w:pPr>
      <w:r w:rsidRPr="00697530">
        <w:rPr>
          <w:rStyle w:val="FootnoteReference"/>
        </w:rPr>
        <w:footnoteRef/>
      </w:r>
      <w:r w:rsidRPr="00697530">
        <w:t xml:space="preserve"> </w:t>
      </w:r>
      <w:r w:rsidRPr="00697530">
        <w:rPr>
          <w:i/>
        </w:rPr>
        <w:t>See</w:t>
      </w:r>
      <w:r w:rsidRPr="00697530">
        <w:t xml:space="preserve"> Appendix A – </w:t>
      </w:r>
      <w:r w:rsidR="00204D3B" w:rsidRPr="00697530">
        <w:t>Final</w:t>
      </w:r>
      <w:r w:rsidRPr="00697530">
        <w:t xml:space="preserve"> Rules.</w:t>
      </w:r>
    </w:p>
  </w:footnote>
  <w:footnote w:id="27">
    <w:p w:rsidR="0039781B" w:rsidRPr="00697530" w:rsidRDefault="0039781B">
      <w:pPr>
        <w:pStyle w:val="FootnoteText"/>
      </w:pPr>
      <w:r w:rsidRPr="00697530">
        <w:rPr>
          <w:rStyle w:val="FootnoteReference"/>
        </w:rPr>
        <w:footnoteRef/>
      </w:r>
      <w:r w:rsidRPr="00697530">
        <w:t xml:space="preserve"> </w:t>
      </w:r>
      <w:r w:rsidR="00E8643B" w:rsidRPr="00697530">
        <w:rPr>
          <w:i/>
        </w:rPr>
        <w:t>CALM Act FNPRM</w:t>
      </w:r>
      <w:r w:rsidR="00E8643B" w:rsidRPr="00697530">
        <w:t>, 28 FCC Rcd at 15260, ¶ 5.</w:t>
      </w:r>
      <w:r w:rsidR="0000567E" w:rsidRPr="00697530">
        <w:t xml:space="preserve">  No commenter disagreed with this finding.</w:t>
      </w:r>
    </w:p>
  </w:footnote>
  <w:footnote w:id="28">
    <w:p w:rsidR="001C4055" w:rsidRPr="00697530" w:rsidRDefault="001C4055">
      <w:pPr>
        <w:pStyle w:val="FootnoteText"/>
      </w:pPr>
      <w:r w:rsidRPr="00697530">
        <w:rPr>
          <w:rStyle w:val="FootnoteReference"/>
        </w:rPr>
        <w:footnoteRef/>
      </w:r>
      <w:r w:rsidRPr="00697530">
        <w:t xml:space="preserve"> </w:t>
      </w:r>
      <w:r w:rsidRPr="00697530">
        <w:rPr>
          <w:i/>
        </w:rPr>
        <w:t>See supra</w:t>
      </w:r>
      <w:r w:rsidRPr="00697530">
        <w:t xml:space="preserve"> note 1</w:t>
      </w:r>
      <w:r w:rsidR="000F0A7D" w:rsidRPr="00697530">
        <w:t>6</w:t>
      </w:r>
      <w:r w:rsidRPr="00697530">
        <w:t>.</w:t>
      </w:r>
      <w:r w:rsidR="00BD703A" w:rsidRPr="00697530">
        <w:t xml:space="preserve"> </w:t>
      </w:r>
    </w:p>
  </w:footnote>
  <w:footnote w:id="29">
    <w:p w:rsidR="00357558" w:rsidRPr="00697530" w:rsidRDefault="00357558">
      <w:pPr>
        <w:pStyle w:val="FootnoteText"/>
      </w:pPr>
      <w:r w:rsidRPr="00697530">
        <w:rPr>
          <w:rStyle w:val="FootnoteReference"/>
        </w:rPr>
        <w:footnoteRef/>
      </w:r>
      <w:r w:rsidRPr="00697530">
        <w:t xml:space="preserve"> </w:t>
      </w:r>
      <w:r w:rsidR="00F8409B" w:rsidRPr="00697530">
        <w:rPr>
          <w:i/>
        </w:rPr>
        <w:t>See supra</w:t>
      </w:r>
      <w:r w:rsidR="00F8409B" w:rsidRPr="00697530">
        <w:t xml:space="preserve"> note </w:t>
      </w:r>
      <w:r w:rsidR="00AD77B4" w:rsidRPr="00697530">
        <w:t>1</w:t>
      </w:r>
      <w:r w:rsidR="000F0A7D" w:rsidRPr="00697530">
        <w:t>8</w:t>
      </w:r>
      <w:r w:rsidR="00F8409B" w:rsidRPr="00697530">
        <w:t>.</w:t>
      </w:r>
    </w:p>
  </w:footnote>
  <w:footnote w:id="30">
    <w:p w:rsidR="001C4055" w:rsidRPr="00697530" w:rsidRDefault="001C4055">
      <w:pPr>
        <w:pStyle w:val="FootnoteText"/>
      </w:pPr>
      <w:r w:rsidRPr="00697530">
        <w:rPr>
          <w:rStyle w:val="FootnoteReference"/>
        </w:rPr>
        <w:footnoteRef/>
      </w:r>
      <w:r w:rsidRPr="00697530">
        <w:t xml:space="preserve"> </w:t>
      </w:r>
      <w:r w:rsidR="00AB3BC9" w:rsidRPr="00697530">
        <w:rPr>
          <w:i/>
        </w:rPr>
        <w:t>CALM Act FNPRM</w:t>
      </w:r>
      <w:r w:rsidR="00AB3BC9" w:rsidRPr="00697530">
        <w:t>, 28 FCC Rcd at 15260, ¶ 6.</w:t>
      </w:r>
    </w:p>
  </w:footnote>
  <w:footnote w:id="31">
    <w:p w:rsidR="001C4055" w:rsidRPr="00697530" w:rsidRDefault="001C4055" w:rsidP="003025CE">
      <w:pPr>
        <w:pStyle w:val="FootnoteText"/>
      </w:pPr>
      <w:r w:rsidRPr="00697530">
        <w:rPr>
          <w:rStyle w:val="FootnoteReference"/>
        </w:rPr>
        <w:footnoteRef/>
      </w:r>
      <w:r w:rsidRPr="00697530">
        <w:t xml:space="preserve"> </w:t>
      </w:r>
      <w:r w:rsidR="00E53AA9" w:rsidRPr="00697530">
        <w:rPr>
          <w:i/>
        </w:rPr>
        <w:t xml:space="preserve">See </w:t>
      </w:r>
      <w:r w:rsidRPr="00697530">
        <w:t xml:space="preserve">NAB Comments at </w:t>
      </w:r>
      <w:r w:rsidR="00E53AA9" w:rsidRPr="00697530">
        <w:t>1-4</w:t>
      </w:r>
      <w:r w:rsidR="003025CE" w:rsidRPr="00697530">
        <w:t xml:space="preserve"> (</w:t>
      </w:r>
      <w:r w:rsidR="00E53AA9" w:rsidRPr="00697530">
        <w:t>“</w:t>
      </w:r>
      <w:r w:rsidR="003025CE" w:rsidRPr="00697530">
        <w:t>NAB supports the Commission</w:t>
      </w:r>
      <w:r w:rsidR="00E53AA9" w:rsidRPr="00697530">
        <w:t>’</w:t>
      </w:r>
      <w:r w:rsidR="003025CE" w:rsidRPr="00697530">
        <w:t>s proposed approach to implementing the revised standards</w:t>
      </w:r>
      <w:r w:rsidR="00E53AA9" w:rsidRPr="00697530">
        <w:t>”</w:t>
      </w:r>
      <w:r w:rsidR="003025CE" w:rsidRPr="00697530">
        <w:t>)</w:t>
      </w:r>
      <w:r w:rsidRPr="00697530">
        <w:t>.</w:t>
      </w:r>
      <w:r w:rsidR="00A15AC0" w:rsidRPr="00697530">
        <w:t xml:space="preserve">  </w:t>
      </w:r>
    </w:p>
  </w:footnote>
  <w:footnote w:id="32">
    <w:p w:rsidR="00385E1C" w:rsidRPr="00697530" w:rsidRDefault="00385E1C">
      <w:pPr>
        <w:pStyle w:val="FootnoteText"/>
      </w:pPr>
      <w:r w:rsidRPr="00697530">
        <w:rPr>
          <w:rStyle w:val="FootnoteReference"/>
        </w:rPr>
        <w:footnoteRef/>
      </w:r>
      <w:r w:rsidRPr="00697530">
        <w:t xml:space="preserve"> NAB Comments at 2.</w:t>
      </w:r>
    </w:p>
  </w:footnote>
  <w:footnote w:id="33">
    <w:p w:rsidR="001E57B1" w:rsidRPr="00697530" w:rsidRDefault="001E57B1" w:rsidP="001E57B1">
      <w:pPr>
        <w:pStyle w:val="FootnoteText"/>
      </w:pPr>
      <w:r w:rsidRPr="00697530">
        <w:rPr>
          <w:rStyle w:val="FootnoteReference"/>
        </w:rPr>
        <w:footnoteRef/>
      </w:r>
      <w:r w:rsidRPr="00697530">
        <w:t xml:space="preserve"> NAB Comments at 2 (calling one-year deadline “a realistic time frame that appropriately balances consumers’ interests in timely implementation of the Successor RP while permitting appropriate planning and execution for television stations”).</w:t>
      </w:r>
    </w:p>
  </w:footnote>
  <w:footnote w:id="34">
    <w:p w:rsidR="004F3D9D" w:rsidRPr="00697530" w:rsidRDefault="004F3D9D" w:rsidP="004F3D9D">
      <w:pPr>
        <w:pStyle w:val="FootnoteText"/>
      </w:pPr>
      <w:r w:rsidRPr="00697530">
        <w:rPr>
          <w:rStyle w:val="FootnoteReference"/>
        </w:rPr>
        <w:footnoteRef/>
      </w:r>
      <w:r w:rsidRPr="00697530">
        <w:t xml:space="preserve"> </w:t>
      </w:r>
      <w:r w:rsidRPr="00697530">
        <w:rPr>
          <w:i/>
        </w:rPr>
        <w:t>See</w:t>
      </w:r>
      <w:r w:rsidRPr="00697530">
        <w:t xml:space="preserve"> NAB Comments at 4 (asking the Commission to “look favorably upon requests for waivers for extension of time to comply with the Successor RP by stations needing to purchase new equipment.”).</w:t>
      </w:r>
    </w:p>
  </w:footnote>
  <w:footnote w:id="35">
    <w:p w:rsidR="002D41E5" w:rsidRPr="00697530" w:rsidRDefault="002D41E5" w:rsidP="002D41E5">
      <w:pPr>
        <w:pStyle w:val="FootnoteText"/>
      </w:pPr>
      <w:r w:rsidRPr="00697530">
        <w:rPr>
          <w:rStyle w:val="FootnoteReference"/>
        </w:rPr>
        <w:footnoteRef/>
      </w:r>
      <w:r w:rsidRPr="00697530">
        <w:t xml:space="preserve"> Section 2(b)(3) of the CALM Act provides that the statute does not affect the Commission’s authority to waive any rule required by the CALM Act, or the application of any such rule, for good cause shown with regard to any station/MVPD or class of stations/MVPDs </w:t>
      </w:r>
      <w:r w:rsidRPr="00697530">
        <w:rPr>
          <w:szCs w:val="22"/>
        </w:rPr>
        <w:t xml:space="preserve">under Section 1.3 of the Commission’s rules.  </w:t>
      </w:r>
      <w:r w:rsidRPr="00697530">
        <w:rPr>
          <w:i/>
        </w:rPr>
        <w:t>See</w:t>
      </w:r>
      <w:r w:rsidRPr="00697530">
        <w:t xml:space="preserve"> 47 U.S.C. § 621(b)(3) (codifying CALM Act § 2(b)(3)).  </w:t>
      </w:r>
      <w:r w:rsidRPr="00697530">
        <w:rPr>
          <w:i/>
        </w:rPr>
        <w:t>See</w:t>
      </w:r>
      <w:r w:rsidRPr="00697530">
        <w:t xml:space="preserve"> 47 C.F.R. § 1.3 (the Commission’s rules “may be suspended, revoked, amended, or waived for good cause shown, in whole or in part, at any time by the Commission” and “[a]ny provision of the rules may be waived by the Commission on its own motion or on petition if good cause therefore is shown.”).</w:t>
      </w:r>
      <w:r w:rsidR="004F3D9D" w:rsidRPr="00697530">
        <w:t xml:space="preserve">  The Media Bureau has delegated authority to act on such requests.  47 C.F.R. §§ 0.61(h) and 0.283.</w:t>
      </w:r>
    </w:p>
  </w:footnote>
  <w:footnote w:id="36">
    <w:p w:rsidR="00591BF5" w:rsidRPr="00697530" w:rsidRDefault="00591BF5">
      <w:pPr>
        <w:pStyle w:val="FootnoteText"/>
      </w:pPr>
      <w:r w:rsidRPr="00697530">
        <w:rPr>
          <w:rStyle w:val="FootnoteReference"/>
        </w:rPr>
        <w:footnoteRef/>
      </w:r>
      <w:r w:rsidRPr="00697530">
        <w:t xml:space="preserve"> </w:t>
      </w:r>
      <w:r w:rsidRPr="00697530">
        <w:rPr>
          <w:i/>
        </w:rPr>
        <w:t>See also</w:t>
      </w:r>
      <w:r w:rsidRPr="00697530">
        <w:t xml:space="preserve"> </w:t>
      </w:r>
      <w:r w:rsidR="00BC1EE7" w:rsidRPr="00697530">
        <w:rPr>
          <w:i/>
        </w:rPr>
        <w:t>infra</w:t>
      </w:r>
      <w:r w:rsidR="00BC1EE7" w:rsidRPr="00697530">
        <w:t xml:space="preserve"> </w:t>
      </w:r>
      <w:r w:rsidRPr="00697530">
        <w:t>discussion in</w:t>
      </w:r>
      <w:r w:rsidR="00BC1EE7" w:rsidRPr="00697530">
        <w:t xml:space="preserve"> ¶</w:t>
      </w:r>
      <w:r w:rsidRPr="00697530">
        <w:t xml:space="preserve"> </w:t>
      </w:r>
      <w:r w:rsidR="004F3D9D" w:rsidRPr="00697530">
        <w:t>7</w:t>
      </w:r>
      <w:r w:rsidRPr="00697530">
        <w:rPr>
          <w:i/>
        </w:rPr>
        <w:t>.</w:t>
      </w:r>
    </w:p>
  </w:footnote>
  <w:footnote w:id="37">
    <w:p w:rsidR="001C7592" w:rsidRPr="00697530" w:rsidRDefault="001C7592" w:rsidP="00504440">
      <w:pPr>
        <w:pStyle w:val="FootnoteText"/>
      </w:pPr>
      <w:r w:rsidRPr="00697530">
        <w:rPr>
          <w:rStyle w:val="FootnoteReference"/>
        </w:rPr>
        <w:footnoteRef/>
      </w:r>
      <w:r w:rsidRPr="00697530">
        <w:t xml:space="preserve"> </w:t>
      </w:r>
      <w:r w:rsidR="00504440" w:rsidRPr="00697530">
        <w:t xml:space="preserve">Holston Valley </w:t>
      </w:r>
      <w:r w:rsidR="00504440" w:rsidRPr="00697530">
        <w:rPr>
          <w:i/>
        </w:rPr>
        <w:t>et al</w:t>
      </w:r>
      <w:r w:rsidR="00226C29" w:rsidRPr="00697530">
        <w:t>.</w:t>
      </w:r>
      <w:r w:rsidR="00504440" w:rsidRPr="00697530">
        <w:t xml:space="preserve"> Comments at </w:t>
      </w:r>
      <w:r w:rsidR="00B64BD1" w:rsidRPr="00697530">
        <w:t xml:space="preserve">2 </w:t>
      </w:r>
      <w:r w:rsidR="00504440" w:rsidRPr="00697530">
        <w:t>(“As the Commission seeks to make changes in the CALM Act requirements, it would seem appropriate to keep the existing waiver of the CALM Act requirements for small television stations … until the first anniversary of the effective date of the revised rules adopted as a result of the Order and Further Notice of Proposed Rulemaking.”)</w:t>
      </w:r>
    </w:p>
  </w:footnote>
  <w:footnote w:id="38">
    <w:p w:rsidR="00B1780E" w:rsidRPr="00697530" w:rsidRDefault="00B1780E">
      <w:pPr>
        <w:pStyle w:val="FootnoteText"/>
      </w:pPr>
      <w:r w:rsidRPr="00697530">
        <w:rPr>
          <w:rStyle w:val="FootnoteReference"/>
        </w:rPr>
        <w:footnoteRef/>
      </w:r>
      <w:r w:rsidRPr="00697530">
        <w:t xml:space="preserve"> 47 U.S.C. § 621(b)(2).</w:t>
      </w:r>
    </w:p>
  </w:footnote>
  <w:footnote w:id="39">
    <w:p w:rsidR="00B64BD1" w:rsidRPr="00697530" w:rsidRDefault="00B64BD1">
      <w:pPr>
        <w:pStyle w:val="FootnoteText"/>
      </w:pPr>
      <w:r w:rsidRPr="00697530">
        <w:rPr>
          <w:rStyle w:val="FootnoteReference"/>
        </w:rPr>
        <w:footnoteRef/>
      </w:r>
      <w:r w:rsidRPr="00697530">
        <w:t xml:space="preserve"> Holston Valley </w:t>
      </w:r>
      <w:r w:rsidRPr="00662967">
        <w:rPr>
          <w:i/>
        </w:rPr>
        <w:t>et al</w:t>
      </w:r>
      <w:r w:rsidR="00017E1A">
        <w:t>.</w:t>
      </w:r>
      <w:r w:rsidRPr="00697530">
        <w:t xml:space="preserve"> Comments at 3.</w:t>
      </w:r>
    </w:p>
  </w:footnote>
  <w:footnote w:id="40">
    <w:p w:rsidR="008A0B57" w:rsidRPr="00697530" w:rsidRDefault="008A0B57">
      <w:pPr>
        <w:pStyle w:val="FootnoteText"/>
      </w:pPr>
      <w:r w:rsidRPr="00697530">
        <w:rPr>
          <w:rStyle w:val="FootnoteReference"/>
        </w:rPr>
        <w:footnoteRef/>
      </w:r>
      <w:r w:rsidRPr="00697530">
        <w:t xml:space="preserve"> Notably, Holston Valley </w:t>
      </w:r>
      <w:r w:rsidRPr="00662967">
        <w:rPr>
          <w:i/>
        </w:rPr>
        <w:t>et al</w:t>
      </w:r>
      <w:r w:rsidR="00017E1A">
        <w:rPr>
          <w:i/>
        </w:rPr>
        <w:t>.</w:t>
      </w:r>
      <w:r w:rsidRPr="00697530">
        <w:t xml:space="preserve"> do not explain why </w:t>
      </w:r>
      <w:r w:rsidR="008F3F23">
        <w:t>they</w:t>
      </w:r>
      <w:r w:rsidR="008F3F23" w:rsidRPr="00697530">
        <w:t xml:space="preserve"> </w:t>
      </w:r>
      <w:r w:rsidRPr="00697530">
        <w:t>could not purchase equipment that would comply with the Successor RP.</w:t>
      </w:r>
    </w:p>
  </w:footnote>
  <w:footnote w:id="41">
    <w:p w:rsidR="007530F3" w:rsidRPr="00697530" w:rsidRDefault="007530F3">
      <w:pPr>
        <w:pStyle w:val="FootnoteText"/>
      </w:pPr>
      <w:r w:rsidRPr="00697530">
        <w:rPr>
          <w:rStyle w:val="FootnoteReference"/>
        </w:rPr>
        <w:footnoteRef/>
      </w:r>
      <w:r w:rsidRPr="00697530">
        <w:t xml:space="preserve"> </w:t>
      </w:r>
      <w:r w:rsidR="00AB3BC9" w:rsidRPr="00697530">
        <w:rPr>
          <w:i/>
        </w:rPr>
        <w:t xml:space="preserve">See supra </w:t>
      </w:r>
      <w:r w:rsidR="00AB3BC9" w:rsidRPr="00697530">
        <w:t>note 7.</w:t>
      </w:r>
    </w:p>
  </w:footnote>
  <w:footnote w:id="42">
    <w:p w:rsidR="0013406C" w:rsidRPr="00697530" w:rsidRDefault="0013406C" w:rsidP="0013406C">
      <w:pPr>
        <w:pStyle w:val="FootnoteText"/>
      </w:pPr>
      <w:r w:rsidRPr="00697530">
        <w:rPr>
          <w:rStyle w:val="FootnoteReference"/>
        </w:rPr>
        <w:footnoteRef/>
      </w:r>
      <w:r w:rsidRPr="00697530">
        <w:t xml:space="preserve"> </w:t>
      </w:r>
      <w:r w:rsidRPr="00697530">
        <w:rPr>
          <w:i/>
        </w:rPr>
        <w:t>See</w:t>
      </w:r>
      <w:r w:rsidRPr="00697530">
        <w:t xml:space="preserve"> 5 U.S.C. § 603.  The RFA, </w:t>
      </w:r>
      <w:r w:rsidRPr="00697530">
        <w:rPr>
          <w:i/>
        </w:rPr>
        <w:t>see</w:t>
      </w:r>
      <w:r w:rsidRPr="00697530">
        <w:t xml:space="preserve"> 5 U.S.C. § 601</w:t>
      </w:r>
      <w:r w:rsidR="00381ADC" w:rsidRPr="00697530">
        <w:t>,</w:t>
      </w:r>
      <w:r w:rsidRPr="00697530">
        <w:t xml:space="preserve"> </w:t>
      </w:r>
      <w:r w:rsidR="00B37CE5" w:rsidRPr="00697530">
        <w:rPr>
          <w:i/>
        </w:rPr>
        <w:t>et seq.,</w:t>
      </w:r>
      <w:r w:rsidRPr="00697530">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43">
    <w:p w:rsidR="00257A0B" w:rsidRPr="00697530" w:rsidRDefault="00257A0B" w:rsidP="00257A0B">
      <w:pPr>
        <w:pStyle w:val="FootnoteText"/>
      </w:pPr>
      <w:r w:rsidRPr="00697530">
        <w:rPr>
          <w:rStyle w:val="FootnoteReference"/>
        </w:rPr>
        <w:footnoteRef/>
      </w:r>
      <w:r w:rsidRPr="00697530">
        <w:t xml:space="preserve"> The Paperwork Reduction Act of 1995 (PRA), Pub. L. No. 104-13, 109 Stat 163 (1995) (codified in Chapter 35 of title 44 U.S.C.).</w:t>
      </w:r>
    </w:p>
  </w:footnote>
  <w:footnote w:id="44">
    <w:p w:rsidR="00257A0B" w:rsidRPr="00697530" w:rsidRDefault="00257A0B" w:rsidP="00257A0B">
      <w:pPr>
        <w:pStyle w:val="FootnoteText"/>
      </w:pPr>
      <w:r w:rsidRPr="00697530">
        <w:rPr>
          <w:rStyle w:val="FootnoteReference"/>
        </w:rPr>
        <w:footnoteRef/>
      </w:r>
      <w:r w:rsidRPr="00697530">
        <w:t xml:space="preserve"> The Small Business Paperwork Relief Act of 2002 (SBPRA), Pub. L. No. 107-198, 116 Stat 729 (2002) (codified in Chapter 35 of title 44 U.S.C.); </w:t>
      </w:r>
      <w:r w:rsidRPr="00697530">
        <w:rPr>
          <w:i/>
        </w:rPr>
        <w:t>see</w:t>
      </w:r>
      <w:r w:rsidRPr="00697530">
        <w:t xml:space="preserve"> 44 U.S.C. 3506(c)(4).</w:t>
      </w:r>
    </w:p>
  </w:footnote>
  <w:footnote w:id="45">
    <w:p w:rsidR="00080AB9" w:rsidRPr="00697530" w:rsidRDefault="00080AB9" w:rsidP="00080AB9">
      <w:pPr>
        <w:pStyle w:val="FootnoteText"/>
      </w:pPr>
      <w:r w:rsidRPr="00697530">
        <w:rPr>
          <w:rStyle w:val="FootnoteReference"/>
        </w:rPr>
        <w:footnoteRef/>
      </w:r>
      <w:r w:rsidRPr="00697530">
        <w:t xml:space="preserve"> </w:t>
      </w:r>
      <w:r w:rsidRPr="00697530">
        <w:rPr>
          <w:i/>
        </w:rPr>
        <w:t>See</w:t>
      </w:r>
      <w:r w:rsidRPr="00697530">
        <w:t xml:space="preserve"> 5 U.S.C. § 801(a)(1)(A).</w:t>
      </w:r>
    </w:p>
  </w:footnote>
  <w:footnote w:id="46">
    <w:p w:rsidR="003210EB" w:rsidRPr="00697530" w:rsidRDefault="003210EB" w:rsidP="003210EB">
      <w:pPr>
        <w:pStyle w:val="FootnoteText"/>
      </w:pPr>
      <w:r w:rsidRPr="00697530">
        <w:rPr>
          <w:rStyle w:val="FootnoteReference"/>
        </w:rPr>
        <w:footnoteRef/>
      </w:r>
      <w:r w:rsidRPr="00697530">
        <w:t xml:space="preserve"> </w:t>
      </w:r>
      <w:r w:rsidRPr="00697530">
        <w:rPr>
          <w:i/>
          <w:spacing w:val="-2"/>
        </w:rPr>
        <w:t>See</w:t>
      </w:r>
      <w:r w:rsidRPr="00697530">
        <w:rPr>
          <w:spacing w:val="-2"/>
        </w:rPr>
        <w:t xml:space="preserve"> 5 U.S.C. § 603.  The RFA, </w:t>
      </w:r>
      <w:r w:rsidRPr="00697530">
        <w:rPr>
          <w:i/>
          <w:spacing w:val="-2"/>
        </w:rPr>
        <w:t>see</w:t>
      </w:r>
      <w:r w:rsidRPr="00697530">
        <w:rPr>
          <w:spacing w:val="-2"/>
        </w:rPr>
        <w:t xml:space="preserve"> 5 U.S.C. § 601 </w:t>
      </w:r>
      <w:r w:rsidRPr="00697530">
        <w:rPr>
          <w:i/>
          <w:spacing w:val="-2"/>
        </w:rPr>
        <w:t>et seq.</w:t>
      </w:r>
      <w:r w:rsidRPr="00697530">
        <w:rPr>
          <w:spacing w:val="-2"/>
        </w:rPr>
        <w:t>, has been amended by the Contract With America Advancement Act of 1996, Pub. L. No. 104-121, 110 Stat. 847 (1996) (CWAAA).  Title II of the CWAAA is the Small Business Regulatory Enforcement Fairness Act of 1996 (SBREFA).</w:t>
      </w:r>
    </w:p>
  </w:footnote>
  <w:footnote w:id="47">
    <w:p w:rsidR="0075759E" w:rsidRPr="00697530" w:rsidRDefault="0075759E" w:rsidP="0075759E">
      <w:pPr>
        <w:pStyle w:val="FootnoteText"/>
      </w:pPr>
      <w:r w:rsidRPr="00697530">
        <w:rPr>
          <w:rStyle w:val="FootnoteReference"/>
        </w:rPr>
        <w:footnoteRef/>
      </w:r>
      <w:r w:rsidRPr="00697530">
        <w:t xml:space="preserve"> </w:t>
      </w:r>
      <w:r w:rsidRPr="00697530">
        <w:rPr>
          <w:i/>
        </w:rPr>
        <w:t>Implementation of the Commercial Advertisement Loudness Mitigation (CALM) Act</w:t>
      </w:r>
      <w:r w:rsidRPr="00697530">
        <w:t>; MB Docket No. 11-93, Order and Further Notice of Proposed Rulemaking, 28 FCC Rcd 15258, 15265-71, App.</w:t>
      </w:r>
      <w:r w:rsidR="002833E4">
        <w:t xml:space="preserve"> </w:t>
      </w:r>
      <w:r w:rsidRPr="00697530">
        <w:t>B (2013) (</w:t>
      </w:r>
      <w:r w:rsidRPr="00697530">
        <w:rPr>
          <w:i/>
        </w:rPr>
        <w:t>FNPRM</w:t>
      </w:r>
      <w:r w:rsidRPr="00697530">
        <w:t>).</w:t>
      </w:r>
    </w:p>
  </w:footnote>
  <w:footnote w:id="48">
    <w:p w:rsidR="009E5E55" w:rsidRPr="00697530" w:rsidRDefault="009E5E55" w:rsidP="009E5E55">
      <w:pPr>
        <w:pStyle w:val="FootnoteText"/>
        <w:spacing w:after="200"/>
        <w:jc w:val="both"/>
      </w:pPr>
      <w:r w:rsidRPr="00697530">
        <w:rPr>
          <w:rStyle w:val="FootnoteReference"/>
        </w:rPr>
        <w:footnoteRef/>
      </w:r>
      <w:r w:rsidRPr="00697530">
        <w:t xml:space="preserve"> </w:t>
      </w:r>
      <w:r w:rsidRPr="00697530">
        <w:rPr>
          <w:i/>
        </w:rPr>
        <w:t>See</w:t>
      </w:r>
      <w:r w:rsidRPr="00697530">
        <w:t xml:space="preserve"> 5 U.S.C. § 604.</w:t>
      </w:r>
    </w:p>
  </w:footnote>
  <w:footnote w:id="49">
    <w:p w:rsidR="00572C31" w:rsidRPr="00697530" w:rsidRDefault="00572C31" w:rsidP="00572C31">
      <w:pPr>
        <w:pStyle w:val="FootnoteText"/>
      </w:pPr>
      <w:r w:rsidRPr="00697530">
        <w:rPr>
          <w:rStyle w:val="FootnoteReference"/>
        </w:rPr>
        <w:footnoteRef/>
      </w:r>
      <w:r w:rsidRPr="00697530">
        <w:t xml:space="preserve"> </w:t>
      </w:r>
      <w:r w:rsidRPr="00697530">
        <w:rPr>
          <w:i/>
        </w:rPr>
        <w:t>See</w:t>
      </w:r>
      <w:r w:rsidRPr="00697530">
        <w:t xml:space="preserve"> 47 U.S.C. § 621(a); </w:t>
      </w:r>
      <w:r w:rsidRPr="00697530">
        <w:rPr>
          <w:i/>
        </w:rPr>
        <w:t>see also</w:t>
      </w:r>
      <w:r w:rsidRPr="00697530">
        <w:t xml:space="preserve"> </w:t>
      </w:r>
      <w:r w:rsidRPr="00697530">
        <w:rPr>
          <w:i/>
        </w:rPr>
        <w:t>Implementation of the Commercial Advertisement Loudness Mitigation (CALM) Act</w:t>
      </w:r>
      <w:r w:rsidRPr="00697530">
        <w:t>, MB Docket No. 11-93, Report and Order, 26 FCC Rcd 17222, 17236, ¶ 20 (2011) (</w:t>
      </w:r>
      <w:r w:rsidRPr="00697530">
        <w:rPr>
          <w:i/>
          <w:kern w:val="28"/>
        </w:rPr>
        <w:t>CALM Act Report and Order</w:t>
      </w:r>
      <w:r w:rsidRPr="00697530">
        <w:t>).</w:t>
      </w:r>
    </w:p>
  </w:footnote>
  <w:footnote w:id="50">
    <w:p w:rsidR="00572C31" w:rsidRPr="00697530" w:rsidRDefault="00572C31" w:rsidP="00572C31">
      <w:pPr>
        <w:pStyle w:val="FootnoteText"/>
      </w:pPr>
      <w:r w:rsidRPr="00697530">
        <w:rPr>
          <w:rStyle w:val="FootnoteReference"/>
        </w:rPr>
        <w:footnoteRef/>
      </w:r>
      <w:r w:rsidRPr="00697530">
        <w:t xml:space="preserve"> According to its website, ATSC 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w:t>
      </w:r>
      <w:r w:rsidRPr="00697530">
        <w:rPr>
          <w:i/>
        </w:rPr>
        <w:t>See</w:t>
      </w:r>
      <w:r w:rsidRPr="00697530">
        <w:t xml:space="preserve"> </w:t>
      </w:r>
      <w:hyperlink r:id="rId5" w:history="1">
        <w:r w:rsidRPr="00697530">
          <w:rPr>
            <w:rStyle w:val="Hyperlink"/>
          </w:rPr>
          <w:t>http://www.atsc.org/aboutatsc.html</w:t>
        </w:r>
      </w:hyperlink>
      <w:r w:rsidRPr="00697530">
        <w:t>.</w:t>
      </w:r>
    </w:p>
  </w:footnote>
  <w:footnote w:id="51">
    <w:p w:rsidR="00572C31" w:rsidRPr="00697530" w:rsidRDefault="00572C31" w:rsidP="00572C31">
      <w:pPr>
        <w:pStyle w:val="FootnoteText"/>
      </w:pPr>
      <w:r w:rsidRPr="00697530">
        <w:rPr>
          <w:rStyle w:val="FootnoteReference"/>
        </w:rPr>
        <w:footnoteRef/>
      </w:r>
      <w:r w:rsidRPr="00697530">
        <w:t xml:space="preserve"> ATSC A/85:2013 “ATSC Recommended Practice: Techniques for Establishing and Maintaining Audio Loudness for Digital Television,” (March 12, 2013) (Successor RP).  This document is available on the ATSC website at:  </w:t>
      </w:r>
      <w:hyperlink r:id="rId6" w:history="1">
        <w:r w:rsidRPr="00697530">
          <w:rPr>
            <w:rStyle w:val="Hyperlink"/>
          </w:rPr>
          <w:t>http://www.atsc.org/cms/standards/A_85-2013.pdf</w:t>
        </w:r>
      </w:hyperlink>
      <w:r w:rsidRPr="00697530">
        <w:t>.</w:t>
      </w:r>
    </w:p>
  </w:footnote>
  <w:footnote w:id="52">
    <w:p w:rsidR="00572C31" w:rsidRPr="00697530" w:rsidRDefault="00572C31" w:rsidP="00572C31">
      <w:pPr>
        <w:pStyle w:val="FootnoteText"/>
      </w:pPr>
      <w:r w:rsidRPr="00697530">
        <w:rPr>
          <w:rStyle w:val="FootnoteReference"/>
        </w:rPr>
        <w:footnoteRef/>
      </w:r>
      <w:r w:rsidRPr="00697530">
        <w:t xml:space="preserve"> A/85:2011“ATSC Recommended Practice: Techniques for Establishing and Maintaining Audio Loudness for Digital Television,” (July 25, 2011) (Current RP).</w:t>
      </w:r>
    </w:p>
  </w:footnote>
  <w:footnote w:id="53">
    <w:p w:rsidR="00572C31" w:rsidRPr="00697530" w:rsidRDefault="00572C31" w:rsidP="00572C31">
      <w:pPr>
        <w:pStyle w:val="FootnoteText"/>
      </w:pPr>
      <w:r w:rsidRPr="00697530">
        <w:rPr>
          <w:rStyle w:val="FootnoteReference"/>
        </w:rPr>
        <w:footnoteRef/>
      </w:r>
      <w:r w:rsidRPr="00697530">
        <w:t xml:space="preserve"> As discussed </w:t>
      </w:r>
      <w:r w:rsidR="00D66D67">
        <w:rPr>
          <w:snapToGrid w:val="0"/>
        </w:rPr>
        <w:t xml:space="preserve">in Section E. of this FRFA </w:t>
      </w:r>
      <w:r w:rsidRPr="00697530">
        <w:t xml:space="preserve">below, we will consider requests for a waiver of this effective date from television station broadcasters and multichannel video programming distributors (MVPDs) which demonstrate that they are unable to comply with the Successor RP; </w:t>
      </w:r>
      <w:r w:rsidRPr="00697530">
        <w:rPr>
          <w:i/>
        </w:rPr>
        <w:t>see supra</w:t>
      </w:r>
      <w:r w:rsidRPr="00697530">
        <w:t xml:space="preserve"> at ¶</w:t>
      </w:r>
      <w:r w:rsidR="007550E6" w:rsidRPr="00697530">
        <w:t xml:space="preserve"> </w:t>
      </w:r>
      <w:r w:rsidR="00791BA6">
        <w:t>6</w:t>
      </w:r>
      <w:r w:rsidRPr="00697530">
        <w:t>.</w:t>
      </w:r>
    </w:p>
  </w:footnote>
  <w:footnote w:id="54">
    <w:p w:rsidR="00B969B3" w:rsidRPr="00697530" w:rsidRDefault="00B969B3" w:rsidP="00B969B3">
      <w:pPr>
        <w:pStyle w:val="FootnoteText"/>
      </w:pPr>
      <w:r w:rsidRPr="00697530">
        <w:rPr>
          <w:rStyle w:val="FootnoteReference"/>
        </w:rPr>
        <w:footnoteRef/>
      </w:r>
      <w:r w:rsidRPr="00697530">
        <w:t xml:space="preserve"> We refer herein to covered entities collectively as “stations/MVPDs” or “regulated </w:t>
      </w:r>
      <w:r w:rsidR="003F21C6" w:rsidRPr="00697530">
        <w:t>parties</w:t>
      </w:r>
      <w:r w:rsidRPr="00697530">
        <w:t>.”</w:t>
      </w:r>
    </w:p>
  </w:footnote>
  <w:footnote w:id="55">
    <w:p w:rsidR="003210EB" w:rsidRPr="00697530" w:rsidRDefault="003210EB" w:rsidP="003210EB">
      <w:pPr>
        <w:pStyle w:val="FootnoteText"/>
      </w:pPr>
      <w:r w:rsidRPr="00697530">
        <w:rPr>
          <w:rStyle w:val="FootnoteReference"/>
        </w:rPr>
        <w:footnoteRef/>
      </w:r>
      <w:r w:rsidRPr="00697530">
        <w:t xml:space="preserve"> 5 U.S.C. § 60</w:t>
      </w:r>
      <w:r w:rsidR="00255510">
        <w:t>4</w:t>
      </w:r>
      <w:r w:rsidRPr="00697530">
        <w:t>(</w:t>
      </w:r>
      <w:r w:rsidR="00255510">
        <w:t>a</w:t>
      </w:r>
      <w:r w:rsidRPr="00697530">
        <w:t>)(</w:t>
      </w:r>
      <w:r w:rsidR="00255510">
        <w:t>4</w:t>
      </w:r>
      <w:r w:rsidRPr="00697530">
        <w:t>).</w:t>
      </w:r>
    </w:p>
  </w:footnote>
  <w:footnote w:id="56">
    <w:p w:rsidR="003210EB" w:rsidRPr="00697530" w:rsidRDefault="003210EB" w:rsidP="003210EB">
      <w:pPr>
        <w:pStyle w:val="FootnoteText"/>
      </w:pPr>
      <w:r w:rsidRPr="00697530">
        <w:rPr>
          <w:rStyle w:val="FootnoteReference"/>
        </w:rPr>
        <w:footnoteRef/>
      </w:r>
      <w:r w:rsidRPr="00697530">
        <w:t xml:space="preserve"> 5 U.S.C. § 601(6).</w:t>
      </w:r>
    </w:p>
  </w:footnote>
  <w:footnote w:id="57">
    <w:p w:rsidR="003210EB" w:rsidRPr="00697530" w:rsidRDefault="003210EB" w:rsidP="003210EB">
      <w:pPr>
        <w:pStyle w:val="FootnoteText"/>
      </w:pPr>
      <w:r w:rsidRPr="00697530">
        <w:rPr>
          <w:rStyle w:val="FootnoteReference"/>
        </w:rPr>
        <w:footnoteRef/>
      </w:r>
      <w:r w:rsidRPr="00697530">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8">
    <w:p w:rsidR="003210EB" w:rsidRPr="00697530" w:rsidRDefault="003210EB" w:rsidP="003210EB">
      <w:pPr>
        <w:pStyle w:val="FootnoteText"/>
      </w:pPr>
      <w:r w:rsidRPr="00697530">
        <w:rPr>
          <w:rStyle w:val="FootnoteReference"/>
        </w:rPr>
        <w:footnoteRef/>
      </w:r>
      <w:r w:rsidRPr="00697530">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59">
    <w:p w:rsidR="003625CF" w:rsidRPr="00697530" w:rsidRDefault="003625CF" w:rsidP="003625CF">
      <w:pPr>
        <w:pStyle w:val="FootnoteText"/>
      </w:pPr>
      <w:r w:rsidRPr="00697530">
        <w:rPr>
          <w:rStyle w:val="FootnoteReference"/>
        </w:rPr>
        <w:footnoteRef/>
      </w:r>
      <w:r w:rsidRPr="00697530">
        <w:t xml:space="preserve"> U.S. Census Bureau, 2012 NAICS Definitions, “</w:t>
      </w:r>
      <w:r w:rsidRPr="00697530">
        <w:rPr>
          <w:bCs/>
        </w:rPr>
        <w:t>515120 Television Broadcasting,”</w:t>
      </w:r>
      <w:r w:rsidRPr="00697530">
        <w:t xml:space="preserve"> at </w:t>
      </w:r>
      <w:hyperlink r:id="rId7" w:history="1">
        <w:r w:rsidRPr="00697530">
          <w:rPr>
            <w:rStyle w:val="Hyperlink"/>
          </w:rPr>
          <w:t>http://www.census.gov/cgi-bin/sssd/naics/naicsrch</w:t>
        </w:r>
      </w:hyperlink>
      <w:hyperlink w:history="1"/>
      <w:r w:rsidRPr="00697530">
        <w:rPr>
          <w:rStyle w:val="Hyperlink"/>
          <w:bCs/>
        </w:rPr>
        <w:t>.</w:t>
      </w:r>
      <w:r w:rsidRPr="00697530">
        <w:rPr>
          <w:bCs/>
        </w:rPr>
        <w:t xml:space="preserve"> </w:t>
      </w:r>
    </w:p>
  </w:footnote>
  <w:footnote w:id="60">
    <w:p w:rsidR="003625CF" w:rsidRPr="00697530" w:rsidRDefault="003625CF" w:rsidP="003625CF">
      <w:pPr>
        <w:pStyle w:val="FootnoteText"/>
      </w:pPr>
      <w:r w:rsidRPr="00697530">
        <w:rPr>
          <w:rStyle w:val="FootnoteReference"/>
        </w:rPr>
        <w:footnoteRef/>
      </w:r>
      <w:r w:rsidRPr="00697530">
        <w:t xml:space="preserve"> 13 C.F.R. § 121.201; 2012 NAICS code 515120.</w:t>
      </w:r>
    </w:p>
  </w:footnote>
  <w:footnote w:id="61">
    <w:p w:rsidR="003625CF" w:rsidRPr="00697530" w:rsidRDefault="003625CF" w:rsidP="003625CF">
      <w:pPr>
        <w:pStyle w:val="FootnoteText"/>
      </w:pPr>
      <w:r w:rsidRPr="00697530">
        <w:rPr>
          <w:rStyle w:val="FootnoteReference"/>
        </w:rPr>
        <w:footnoteRef/>
      </w:r>
      <w:r w:rsidRPr="00697530">
        <w:t xml:space="preserve"> </w:t>
      </w:r>
      <w:r w:rsidRPr="00697530">
        <w:rPr>
          <w:i/>
        </w:rPr>
        <w:t>See</w:t>
      </w:r>
      <w:r w:rsidR="00B37CE5" w:rsidRPr="00697530">
        <w:rPr>
          <w:i/>
        </w:rPr>
        <w:t xml:space="preserve"> Broadcast Station Totals as of </w:t>
      </w:r>
      <w:r w:rsidRPr="00697530">
        <w:rPr>
          <w:i/>
        </w:rPr>
        <w:t>June 30</w:t>
      </w:r>
      <w:r w:rsidR="00B37CE5" w:rsidRPr="00697530">
        <w:rPr>
          <w:i/>
        </w:rPr>
        <w:t>, 2013</w:t>
      </w:r>
      <w:r w:rsidRPr="00697530">
        <w:rPr>
          <w:i/>
        </w:rPr>
        <w:t xml:space="preserve">, </w:t>
      </w:r>
      <w:r w:rsidRPr="00697530">
        <w:t>Press Release (MB rel. July 10, 2013) (</w:t>
      </w:r>
      <w:r w:rsidRPr="00697530">
        <w:rPr>
          <w:i/>
        </w:rPr>
        <w:t>Broadcast Station Totals Press Release)</w:t>
      </w:r>
      <w:r w:rsidR="00B37CE5" w:rsidRPr="00697530">
        <w:rPr>
          <w:i/>
        </w:rPr>
        <w:t xml:space="preserve"> </w:t>
      </w:r>
      <w:r w:rsidRPr="00697530">
        <w:t>at</w:t>
      </w:r>
      <w:r w:rsidR="00CF0745">
        <w:t xml:space="preserve"> </w:t>
      </w:r>
      <w:hyperlink r:id="rId8" w:history="1">
        <w:r w:rsidR="00CF0745" w:rsidRPr="00C85EA6">
          <w:rPr>
            <w:rStyle w:val="Hyperlink"/>
          </w:rPr>
          <w:t>http://hraunfoss.fcc.gov/edocs_public/attachmatch/DOC-322079A1.pdf</w:t>
        </w:r>
      </w:hyperlink>
      <w:r w:rsidRPr="00697530">
        <w:t>.</w:t>
      </w:r>
    </w:p>
  </w:footnote>
  <w:footnote w:id="62">
    <w:p w:rsidR="00544348" w:rsidRPr="00697530" w:rsidRDefault="00544348" w:rsidP="00544348">
      <w:pPr>
        <w:pStyle w:val="FootnoteText"/>
      </w:pPr>
      <w:r w:rsidRPr="00697530">
        <w:rPr>
          <w:rStyle w:val="FootnoteReference"/>
        </w:rPr>
        <w:footnoteRef/>
      </w:r>
      <w:r w:rsidRPr="00697530">
        <w:t xml:space="preserve"> </w:t>
      </w:r>
      <w:r w:rsidRPr="00697530">
        <w:rPr>
          <w:i/>
        </w:rPr>
        <w:t>See</w:t>
      </w:r>
      <w:r w:rsidRPr="00697530">
        <w:t xml:space="preserve"> </w:t>
      </w:r>
      <w:r w:rsidRPr="00697530">
        <w:rPr>
          <w:i/>
        </w:rPr>
        <w:t>Broadcast Station Totals</w:t>
      </w:r>
      <w:r w:rsidRPr="00697530">
        <w:t xml:space="preserve">, </w:t>
      </w:r>
      <w:r w:rsidRPr="00697530">
        <w:rPr>
          <w:i/>
        </w:rPr>
        <w:t>supra</w:t>
      </w:r>
      <w:r w:rsidRPr="00697530">
        <w:t>, note 11.</w:t>
      </w:r>
    </w:p>
  </w:footnote>
  <w:footnote w:id="63">
    <w:p w:rsidR="00544348" w:rsidRPr="00697530" w:rsidRDefault="00544348" w:rsidP="00544348">
      <w:pPr>
        <w:pStyle w:val="FootnoteText"/>
      </w:pPr>
      <w:r w:rsidRPr="00697530">
        <w:rPr>
          <w:rStyle w:val="FootnoteReference"/>
        </w:rPr>
        <w:footnoteRef/>
      </w:r>
      <w:r w:rsidRPr="00697530">
        <w:t xml:space="preserve">  </w:t>
      </w:r>
      <w:r w:rsidRPr="00697530">
        <w:rPr>
          <w:i/>
        </w:rPr>
        <w:t>See generally</w:t>
      </w:r>
      <w:r w:rsidRPr="00697530">
        <w:t xml:space="preserve"> 5 U.S.C. §§ 601(4), (6).</w:t>
      </w:r>
    </w:p>
  </w:footnote>
  <w:footnote w:id="64">
    <w:p w:rsidR="003625CF" w:rsidRPr="00697530" w:rsidRDefault="003625CF" w:rsidP="003625CF">
      <w:pPr>
        <w:pStyle w:val="FootnoteText"/>
      </w:pPr>
      <w:r w:rsidRPr="00697530">
        <w:rPr>
          <w:rStyle w:val="FootnoteReference"/>
        </w:rPr>
        <w:footnoteRef/>
      </w:r>
      <w:r w:rsidRPr="00697530">
        <w:t xml:space="preserve"> “[Business concerns] are affiliates of each other when one concern controls or has the power to control the other or a third party or parties controls or has to power to control both.”  13 C.F.R. § 21.103(a)(1).</w:t>
      </w:r>
    </w:p>
  </w:footnote>
  <w:footnote w:id="65">
    <w:p w:rsidR="00CE52B6" w:rsidRPr="00697530" w:rsidRDefault="003625CF" w:rsidP="00AD538C">
      <w:pPr>
        <w:pStyle w:val="FootnoteText"/>
        <w:spacing w:line="120" w:lineRule="atLeast"/>
      </w:pPr>
      <w:r w:rsidRPr="00697530">
        <w:rPr>
          <w:rStyle w:val="FootnoteReference"/>
        </w:rPr>
        <w:footnoteRef/>
      </w:r>
      <w:r w:rsidRPr="00697530">
        <w:t xml:space="preserve"> U.S. Census Bureau, 2012 NAICS Definitions, “</w:t>
      </w:r>
      <w:r w:rsidRPr="00697530">
        <w:rPr>
          <w:bCs/>
        </w:rPr>
        <w:t>517110 Wired Telecommunications Carriers” (partial definition)</w:t>
      </w:r>
      <w:r w:rsidR="00A532C0" w:rsidRPr="00697530">
        <w:rPr>
          <w:bCs/>
        </w:rPr>
        <w:t xml:space="preserve"> at </w:t>
      </w:r>
      <w:hyperlink r:id="rId9" w:history="1">
        <w:r w:rsidR="00A532C0" w:rsidRPr="00697530">
          <w:rPr>
            <w:rStyle w:val="Hyperlink"/>
          </w:rPr>
          <w:t>http://www.census.gov/cgi-bin/sssd/naics/naicsrch</w:t>
        </w:r>
      </w:hyperlink>
      <w:r w:rsidR="00A532C0" w:rsidRPr="00697530">
        <w:rPr>
          <w:bCs/>
        </w:rPr>
        <w:t>.</w:t>
      </w:r>
      <w:r w:rsidRPr="00697530">
        <w:rPr>
          <w:bCs/>
        </w:rPr>
        <w:t xml:space="preserve"> </w:t>
      </w:r>
      <w:r w:rsidR="00A532C0" w:rsidRPr="00697530">
        <w:rPr>
          <w:bCs/>
        </w:rPr>
        <w:t xml:space="preserve"> </w:t>
      </w:r>
      <w:r w:rsidRPr="00697530">
        <w:rPr>
          <w:bCs/>
        </w:rPr>
        <w:t>Examples of this category are: broadband Internet service providers (</w:t>
      </w:r>
      <w:r w:rsidRPr="00697530">
        <w:rPr>
          <w:bCs/>
          <w:i/>
        </w:rPr>
        <w:t>e.g.</w:t>
      </w:r>
      <w:r w:rsidR="00A532C0" w:rsidRPr="00697530">
        <w:rPr>
          <w:bCs/>
        </w:rPr>
        <w:t>,</w:t>
      </w:r>
      <w:r w:rsidRPr="00697530">
        <w:rPr>
          <w:bCs/>
        </w:rPr>
        <w:t xml:space="preserve"> cable, DSL)</w:t>
      </w:r>
      <w:r w:rsidR="00A532C0" w:rsidRPr="00697530">
        <w:rPr>
          <w:bCs/>
        </w:rPr>
        <w:t>;</w:t>
      </w:r>
      <w:r w:rsidRPr="00697530">
        <w:rPr>
          <w:bCs/>
        </w:rPr>
        <w:t xml:space="preserve"> local telephone carriers </w:t>
      </w:r>
      <w:r w:rsidR="00A532C0" w:rsidRPr="00697530">
        <w:rPr>
          <w:bCs/>
        </w:rPr>
        <w:t>(</w:t>
      </w:r>
      <w:r w:rsidRPr="00697530">
        <w:rPr>
          <w:bCs/>
        </w:rPr>
        <w:t>wired</w:t>
      </w:r>
      <w:r w:rsidR="00A532C0" w:rsidRPr="00697530">
        <w:rPr>
          <w:bCs/>
        </w:rPr>
        <w:t>);</w:t>
      </w:r>
      <w:r w:rsidRPr="00697530">
        <w:rPr>
          <w:bCs/>
        </w:rPr>
        <w:t xml:space="preserve"> cable television distribution services</w:t>
      </w:r>
      <w:r w:rsidR="00A532C0" w:rsidRPr="00697530">
        <w:rPr>
          <w:bCs/>
        </w:rPr>
        <w:t>;</w:t>
      </w:r>
      <w:r w:rsidRPr="00697530">
        <w:rPr>
          <w:bCs/>
        </w:rPr>
        <w:t xml:space="preserve"> long-distance telephone carriers </w:t>
      </w:r>
      <w:r w:rsidR="00A532C0" w:rsidRPr="00697530">
        <w:rPr>
          <w:bCs/>
        </w:rPr>
        <w:t>(</w:t>
      </w:r>
      <w:r w:rsidRPr="00697530">
        <w:rPr>
          <w:bCs/>
        </w:rPr>
        <w:t>wired</w:t>
      </w:r>
      <w:r w:rsidR="00A532C0" w:rsidRPr="00697530">
        <w:rPr>
          <w:bCs/>
        </w:rPr>
        <w:t>);</w:t>
      </w:r>
      <w:r w:rsidRPr="00697530">
        <w:rPr>
          <w:bCs/>
        </w:rPr>
        <w:t xml:space="preserve"> closed circuit television (CCTV) services; VoIP service providers, using own operated wired telecommunications infrastructure; direct-to-home satellite system (DTH) services; telecommunications carriers </w:t>
      </w:r>
      <w:r w:rsidR="00A532C0" w:rsidRPr="00697530">
        <w:rPr>
          <w:bCs/>
        </w:rPr>
        <w:t>(</w:t>
      </w:r>
      <w:r w:rsidRPr="00697530">
        <w:rPr>
          <w:bCs/>
        </w:rPr>
        <w:t>wired</w:t>
      </w:r>
      <w:r w:rsidR="00A532C0" w:rsidRPr="00697530">
        <w:rPr>
          <w:bCs/>
        </w:rPr>
        <w:t>)</w:t>
      </w:r>
      <w:r w:rsidRPr="00697530">
        <w:rPr>
          <w:bCs/>
        </w:rPr>
        <w:t>; satellite television distribution systems; and multichannel multipoint distribution services (MMDS)</w:t>
      </w:r>
      <w:r w:rsidR="00A532C0" w:rsidRPr="00697530">
        <w:rPr>
          <w:bCs/>
        </w:rPr>
        <w:t>.</w:t>
      </w:r>
    </w:p>
  </w:footnote>
  <w:footnote w:id="66">
    <w:p w:rsidR="00A532C0" w:rsidRPr="00697530" w:rsidRDefault="00A532C0" w:rsidP="00A532C0">
      <w:pPr>
        <w:pStyle w:val="FootnoteText"/>
        <w:rPr>
          <w:lang w:val="fr-FR"/>
        </w:rPr>
      </w:pPr>
      <w:r w:rsidRPr="00697530">
        <w:rPr>
          <w:rStyle w:val="FootnoteReference"/>
        </w:rPr>
        <w:footnoteRef/>
      </w:r>
      <w:r w:rsidRPr="00697530">
        <w:rPr>
          <w:lang w:val="fr-FR"/>
        </w:rPr>
        <w:t xml:space="preserve"> 13 C.F.R. § 121.201; 2012 NAICS code 517110.</w:t>
      </w:r>
    </w:p>
  </w:footnote>
  <w:footnote w:id="67">
    <w:p w:rsidR="003D2BAD" w:rsidRPr="00697530" w:rsidRDefault="003D2BAD" w:rsidP="003D2BAD">
      <w:pPr>
        <w:pStyle w:val="FootnoteText"/>
      </w:pPr>
      <w:r w:rsidRPr="00697530">
        <w:rPr>
          <w:rStyle w:val="FootnoteReference"/>
        </w:rPr>
        <w:footnoteRef/>
      </w:r>
      <w:r w:rsidRPr="00697530">
        <w:t xml:space="preserve"> U.S. Census Bureau, 2007 Economic Census.  </w:t>
      </w:r>
      <w:r w:rsidRPr="00697530">
        <w:rPr>
          <w:i/>
        </w:rPr>
        <w:t>See</w:t>
      </w:r>
      <w:r w:rsidRPr="00697530">
        <w:t xml:space="preserve"> U.S. Census Bureau, American FactFinder, “Information: Subject Series – Estab and Firm Size: Employment Size of Establishments for the United States: 2007 – 2007 Economic Census,” NAICS code 517110, Table EC0751SSSZ2; available at </w:t>
      </w:r>
      <w:hyperlink r:id="rId10" w:history="1">
        <w:r w:rsidRPr="00697530">
          <w:rPr>
            <w:rStyle w:val="Hyperlink"/>
          </w:rPr>
          <w:t>http://factfinder2.census.gov/faces/nav/jsf/pages/index.xhtml</w:t>
        </w:r>
      </w:hyperlink>
      <w:r w:rsidRPr="00697530">
        <w:t>.</w:t>
      </w:r>
    </w:p>
  </w:footnote>
  <w:footnote w:id="68">
    <w:p w:rsidR="003D2BAD" w:rsidRPr="00697530" w:rsidRDefault="003D2BAD" w:rsidP="003D2BAD">
      <w:pPr>
        <w:pStyle w:val="FootnoteText"/>
      </w:pPr>
      <w:r w:rsidRPr="00697530">
        <w:rPr>
          <w:rStyle w:val="FootnoteReference"/>
        </w:rPr>
        <w:footnoteRef/>
      </w:r>
      <w:r w:rsidRPr="00697530">
        <w:t xml:space="preserve"> </w:t>
      </w:r>
      <w:r w:rsidRPr="00697530">
        <w:rPr>
          <w:i/>
        </w:rPr>
        <w:t>Id</w:t>
      </w:r>
      <w:r w:rsidRPr="00697530">
        <w:t>.</w:t>
      </w:r>
    </w:p>
  </w:footnote>
  <w:footnote w:id="69">
    <w:p w:rsidR="003210EB" w:rsidRPr="00697530" w:rsidRDefault="003210EB" w:rsidP="003210EB">
      <w:pPr>
        <w:pStyle w:val="FootnoteText"/>
        <w:spacing w:line="240" w:lineRule="atLeast"/>
      </w:pPr>
      <w:r w:rsidRPr="00697530">
        <w:rPr>
          <w:rStyle w:val="FootnoteReference"/>
        </w:rPr>
        <w:footnoteRef/>
      </w:r>
      <w:r w:rsidRPr="00697530">
        <w:t xml:space="preserve"> 47 C.F.R. § 76.901(e).  The Commission determined that this size standard equates approximately to a size standard of $100 million or less in annual revenues.  </w:t>
      </w:r>
      <w:r w:rsidR="00B37CE5" w:rsidRPr="00697530">
        <w:rPr>
          <w:i/>
        </w:rPr>
        <w:t xml:space="preserve">Implementation of Sections of the Cable </w:t>
      </w:r>
      <w:r w:rsidR="009A5BF8" w:rsidRPr="00697530">
        <w:rPr>
          <w:i/>
        </w:rPr>
        <w:t xml:space="preserve">Television Consumer Protection And Competition </w:t>
      </w:r>
      <w:r w:rsidR="00B37CE5" w:rsidRPr="00697530">
        <w:rPr>
          <w:i/>
        </w:rPr>
        <w:t>Act</w:t>
      </w:r>
      <w:r w:rsidR="009A5BF8" w:rsidRPr="00697530">
        <w:rPr>
          <w:i/>
        </w:rPr>
        <w:t xml:space="preserve"> of 1992</w:t>
      </w:r>
      <w:r w:rsidR="00B37CE5" w:rsidRPr="00697530">
        <w:rPr>
          <w:i/>
        </w:rPr>
        <w:t>: Rate Regulation</w:t>
      </w:r>
      <w:r w:rsidR="00B37CE5" w:rsidRPr="00697530">
        <w:t xml:space="preserve">, </w:t>
      </w:r>
      <w:r w:rsidR="009A5BF8" w:rsidRPr="00697530">
        <w:t>MM Docket No. 92-266, MM Docket No. 93-215</w:t>
      </w:r>
      <w:r w:rsidRPr="00697530">
        <w:rPr>
          <w:i/>
        </w:rPr>
        <w:t xml:space="preserve">, </w:t>
      </w:r>
      <w:r w:rsidRPr="00697530">
        <w:t>Sixth Report and Order and Eleventh Order on Reconsideration, 10 FCC Rcd 7393, 7408 (1995).</w:t>
      </w:r>
    </w:p>
  </w:footnote>
  <w:footnote w:id="70">
    <w:p w:rsidR="00BC79F6" w:rsidRPr="00697530" w:rsidRDefault="00BC79F6">
      <w:pPr>
        <w:pStyle w:val="FootnoteText"/>
      </w:pPr>
      <w:r w:rsidRPr="00697530">
        <w:rPr>
          <w:rStyle w:val="FootnoteReference"/>
        </w:rPr>
        <w:footnoteRef/>
      </w:r>
      <w:r w:rsidRPr="00697530">
        <w:t xml:space="preserve"> NCTA, Industry Data, Number of Cable Operating Companies (June 2012), </w:t>
      </w:r>
      <w:hyperlink r:id="rId11" w:history="1">
        <w:r w:rsidRPr="00697530">
          <w:rPr>
            <w:rStyle w:val="Hyperlink"/>
          </w:rPr>
          <w:t>http://www.ncta.com/Statistics.aspx</w:t>
        </w:r>
      </w:hyperlink>
      <w:r w:rsidRPr="00697530">
        <w:t xml:space="preserve"> (visited Sept. 28, 2012).  Depending upon the number of homes and the size of the geographic area served, cable operators use one or more cable systems to provide video service.  </w:t>
      </w:r>
      <w:r w:rsidRPr="00697530">
        <w:rPr>
          <w:i/>
        </w:rPr>
        <w:t xml:space="preserve">See Annual Assessment of the Status of Competition in the Market for Delivery of Video Programming, </w:t>
      </w:r>
      <w:r w:rsidRPr="00697530">
        <w:t>MB Docket No. 12-203, Fifteenth Report, FCC 13-99 at ¶ 24 (rel. July 22, 2013) (</w:t>
      </w:r>
      <w:r w:rsidRPr="00697530">
        <w:rPr>
          <w:i/>
        </w:rPr>
        <w:t>15</w:t>
      </w:r>
      <w:r w:rsidRPr="00697530">
        <w:rPr>
          <w:i/>
          <w:vertAlign w:val="superscript"/>
        </w:rPr>
        <w:t>th</w:t>
      </w:r>
      <w:r w:rsidRPr="00697530">
        <w:rPr>
          <w:i/>
        </w:rPr>
        <w:t xml:space="preserve"> Annual Competition Report)</w:t>
      </w:r>
      <w:r w:rsidRPr="00697530">
        <w:t>.</w:t>
      </w:r>
    </w:p>
  </w:footnote>
  <w:footnote w:id="71">
    <w:p w:rsidR="009A5BF8" w:rsidRPr="00697530" w:rsidRDefault="009A5BF8" w:rsidP="009A5BF8">
      <w:pPr>
        <w:pStyle w:val="FootnoteText"/>
      </w:pPr>
      <w:r w:rsidRPr="00697530">
        <w:rPr>
          <w:rStyle w:val="FootnoteReference"/>
        </w:rPr>
        <w:footnoteRef/>
      </w:r>
      <w:r w:rsidRPr="00697530">
        <w:t xml:space="preserve"> </w:t>
      </w:r>
      <w:r w:rsidRPr="00697530">
        <w:rPr>
          <w:i/>
        </w:rPr>
        <w:t xml:space="preserve">See </w:t>
      </w:r>
      <w:r w:rsidR="003F7453" w:rsidRPr="00697530">
        <w:t xml:space="preserve">SNL Kagan, “Top Cable MSOs – </w:t>
      </w:r>
      <w:r w:rsidR="008F4B00" w:rsidRPr="00697530">
        <w:t>12</w:t>
      </w:r>
      <w:r w:rsidR="003F7453" w:rsidRPr="00697530">
        <w:t>/12 Q”</w:t>
      </w:r>
      <w:r w:rsidR="008F4B00" w:rsidRPr="00697530">
        <w:t xml:space="preserve">; available at </w:t>
      </w:r>
      <w:hyperlink r:id="rId12" w:history="1">
        <w:r w:rsidR="008F4B00" w:rsidRPr="00697530">
          <w:rPr>
            <w:rStyle w:val="Hyperlink"/>
          </w:rPr>
          <w:t>http://www.snl.com/InteractiveX/TopCableMSOs.aspx?period=2012Q4&amp;sortcol=subscribersbasic&amp;sortorder=desc</w:t>
        </w:r>
      </w:hyperlink>
      <w:r w:rsidR="008F4B00" w:rsidRPr="00697530">
        <w:t>.</w:t>
      </w:r>
      <w:r w:rsidR="005A7F7A" w:rsidRPr="00697530">
        <w:rPr>
          <w:b/>
        </w:rPr>
        <w:t xml:space="preserve">  </w:t>
      </w:r>
      <w:r w:rsidR="005A7F7A" w:rsidRPr="00697530">
        <w:t>We note that, when applied to an MVPD operator, under this size standard (</w:t>
      </w:r>
      <w:r w:rsidR="005A7F7A" w:rsidRPr="00697530">
        <w:rPr>
          <w:i/>
        </w:rPr>
        <w:t>i.e.</w:t>
      </w:r>
      <w:r w:rsidR="005A7F7A" w:rsidRPr="00697530">
        <w:t xml:space="preserve">, 400,000 or fewer subscribers) all but 14 MVPD operators would be considered small.  </w:t>
      </w:r>
      <w:r w:rsidR="008F4B00" w:rsidRPr="00697530">
        <w:rPr>
          <w:i/>
        </w:rPr>
        <w:t>See</w:t>
      </w:r>
      <w:r w:rsidR="008F4B00" w:rsidRPr="00697530">
        <w:t xml:space="preserve"> </w:t>
      </w:r>
      <w:r w:rsidR="005A7F7A" w:rsidRPr="00697530">
        <w:t xml:space="preserve">NCTA, Industry Data, Top 25 Multichannel Video Service Customers (2012), </w:t>
      </w:r>
      <w:hyperlink r:id="rId13" w:history="1">
        <w:r w:rsidR="005A7F7A" w:rsidRPr="00697530">
          <w:rPr>
            <w:rStyle w:val="Hyperlink"/>
          </w:rPr>
          <w:t>http://www.ncta.com/industry-data</w:t>
        </w:r>
      </w:hyperlink>
      <w:r w:rsidR="005A7F7A" w:rsidRPr="00697530">
        <w:t xml:space="preserve"> (visited Aug. 30, 2013).  The Commission applied this size standard to MVPD operators in its implementation of the CALM Act.  </w:t>
      </w:r>
      <w:r w:rsidR="005A7F7A" w:rsidRPr="00697530">
        <w:rPr>
          <w:i/>
        </w:rPr>
        <w:t xml:space="preserve">See </w:t>
      </w:r>
      <w:r w:rsidR="00A779D5" w:rsidRPr="00697530">
        <w:rPr>
          <w:i/>
        </w:rPr>
        <w:t>CALM Act Report and Order</w:t>
      </w:r>
      <w:r w:rsidR="00A779D5" w:rsidRPr="00697530">
        <w:t>, 26 FCC Rcd at</w:t>
      </w:r>
      <w:r w:rsidR="005A7F7A" w:rsidRPr="00697530">
        <w:t xml:space="preserve"> 17245-46, ¶ 37 (defining a smaller MVPD operator as one serving 400,000 or fewer subscribers nationwide, as of December 31, 2011).</w:t>
      </w:r>
    </w:p>
  </w:footnote>
  <w:footnote w:id="72">
    <w:p w:rsidR="003210EB" w:rsidRPr="00697530" w:rsidRDefault="003210EB" w:rsidP="003210EB">
      <w:pPr>
        <w:pStyle w:val="FootnoteText"/>
        <w:spacing w:line="240" w:lineRule="atLeast"/>
      </w:pPr>
      <w:r w:rsidRPr="00697530">
        <w:rPr>
          <w:rStyle w:val="FootnoteReference"/>
        </w:rPr>
        <w:footnoteRef/>
      </w:r>
      <w:r w:rsidRPr="00697530">
        <w:t xml:space="preserve"> 47 C.F.R. § 76.901(c).  </w:t>
      </w:r>
    </w:p>
  </w:footnote>
  <w:footnote w:id="73">
    <w:p w:rsidR="0033322B" w:rsidRPr="00697530" w:rsidRDefault="0033322B" w:rsidP="0033322B">
      <w:pPr>
        <w:pStyle w:val="FootnoteText"/>
      </w:pPr>
      <w:r w:rsidRPr="00697530">
        <w:rPr>
          <w:rStyle w:val="FootnoteReference"/>
        </w:rPr>
        <w:footnoteRef/>
      </w:r>
      <w:r w:rsidRPr="00697530">
        <w:t xml:space="preserve"> </w:t>
      </w:r>
      <w:r w:rsidR="00EA7C54" w:rsidRPr="00697530">
        <w:t xml:space="preserve">The number of active, registered cable systems comes from the Commission’s Cable Operations and Licensing System (COALS) database on </w:t>
      </w:r>
      <w:r w:rsidR="00E955B0" w:rsidRPr="00697530">
        <w:t xml:space="preserve">Aug. </w:t>
      </w:r>
      <w:r w:rsidR="002F2AE2" w:rsidRPr="00697530">
        <w:t>28</w:t>
      </w:r>
      <w:r w:rsidR="00E955B0" w:rsidRPr="00697530">
        <w:t>, 2013</w:t>
      </w:r>
      <w:r w:rsidR="00EA7C54" w:rsidRPr="00697530">
        <w:t>.  A cable system is a physical system integrated to a principal headend.</w:t>
      </w:r>
    </w:p>
  </w:footnote>
  <w:footnote w:id="74">
    <w:p w:rsidR="003210EB" w:rsidRPr="00697530" w:rsidRDefault="003210EB" w:rsidP="003210EB">
      <w:pPr>
        <w:pStyle w:val="FootnoteText"/>
        <w:spacing w:line="240" w:lineRule="atLeast"/>
      </w:pPr>
      <w:r w:rsidRPr="00697530">
        <w:rPr>
          <w:rStyle w:val="FootnoteReference"/>
        </w:rPr>
        <w:footnoteRef/>
      </w:r>
      <w:r w:rsidRPr="00697530">
        <w:t xml:space="preserve"> 47 U.S.C. § 543(m)(2); </w:t>
      </w:r>
      <w:r w:rsidRPr="00697530">
        <w:rPr>
          <w:i/>
        </w:rPr>
        <w:t>see</w:t>
      </w:r>
      <w:r w:rsidRPr="00697530">
        <w:t xml:space="preserve"> 47 C.F.R. § 76.901(f) &amp; nn. 1-3.</w:t>
      </w:r>
    </w:p>
  </w:footnote>
  <w:footnote w:id="75">
    <w:p w:rsidR="00CE52B6" w:rsidRPr="00697530" w:rsidRDefault="001B006D" w:rsidP="00AD538C">
      <w:pPr>
        <w:pStyle w:val="FootnoteText"/>
      </w:pPr>
      <w:r w:rsidRPr="00697530">
        <w:rPr>
          <w:rStyle w:val="FootnoteReference"/>
        </w:rPr>
        <w:footnoteRef/>
      </w:r>
      <w:r w:rsidRPr="00697530">
        <w:t xml:space="preserve"> </w:t>
      </w:r>
      <w:r w:rsidRPr="00697530">
        <w:rPr>
          <w:i/>
        </w:rPr>
        <w:t>See</w:t>
      </w:r>
      <w:r w:rsidRPr="00697530">
        <w:t xml:space="preserve"> NCTA, Industry Data, Cable Video Customers (2012), </w:t>
      </w:r>
      <w:hyperlink r:id="rId14" w:history="1">
        <w:r w:rsidRPr="00697530">
          <w:rPr>
            <w:rStyle w:val="Hyperlink"/>
          </w:rPr>
          <w:t>http://www.ncta.com/industry-data</w:t>
        </w:r>
      </w:hyperlink>
      <w:r w:rsidRPr="00697530">
        <w:t xml:space="preserve"> (visited Aug. 30, 2013).</w:t>
      </w:r>
    </w:p>
  </w:footnote>
  <w:footnote w:id="76">
    <w:p w:rsidR="003210EB" w:rsidRPr="00697530" w:rsidRDefault="003210EB" w:rsidP="003210EB">
      <w:pPr>
        <w:pStyle w:val="FootnoteText"/>
        <w:spacing w:line="240" w:lineRule="atLeast"/>
      </w:pPr>
      <w:r w:rsidRPr="00697530">
        <w:rPr>
          <w:rStyle w:val="FootnoteReference"/>
        </w:rPr>
        <w:footnoteRef/>
      </w:r>
      <w:r w:rsidRPr="00697530">
        <w:t xml:space="preserve"> 47 C.F.R. § 76.901(f); </w:t>
      </w:r>
      <w:r w:rsidRPr="00697530">
        <w:rPr>
          <w:i/>
        </w:rPr>
        <w:t xml:space="preserve">see </w:t>
      </w:r>
      <w:r w:rsidRPr="00697530">
        <w:t>Public Notice</w:t>
      </w:r>
      <w:r w:rsidRPr="00697530">
        <w:rPr>
          <w:i/>
        </w:rPr>
        <w:t xml:space="preserve">, </w:t>
      </w:r>
      <w:r w:rsidRPr="00697530">
        <w:t>FCC Announces New Subscriber Count for the Definition of Small Cable Operator, DA 01</w:t>
      </w:r>
      <w:r w:rsidRPr="00697530">
        <w:noBreakHyphen/>
        <w:t>158 (Cable Services Bureau, Jan. 24, 2001).</w:t>
      </w:r>
    </w:p>
  </w:footnote>
  <w:footnote w:id="77">
    <w:p w:rsidR="003210EB" w:rsidRPr="00697530" w:rsidRDefault="003210EB" w:rsidP="003210EB">
      <w:pPr>
        <w:pStyle w:val="FootnoteText"/>
        <w:tabs>
          <w:tab w:val="left" w:pos="0"/>
        </w:tabs>
        <w:suppressAutoHyphens/>
      </w:pPr>
      <w:r w:rsidRPr="00697530">
        <w:rPr>
          <w:rStyle w:val="FootnoteReference"/>
        </w:rPr>
        <w:footnoteRef/>
      </w:r>
      <w:r w:rsidRPr="00697530">
        <w:t xml:space="preserve"> </w:t>
      </w:r>
      <w:r w:rsidR="009665E3" w:rsidRPr="00697530">
        <w:rPr>
          <w:i/>
        </w:rPr>
        <w:t xml:space="preserve"> See</w:t>
      </w:r>
      <w:r w:rsidR="009665E3" w:rsidRPr="00697530">
        <w:t xml:space="preserve"> NCTA, Industry Data, Top 25 Multichannel Video Service Customers (2012), </w:t>
      </w:r>
      <w:hyperlink r:id="rId15" w:history="1">
        <w:r w:rsidR="009665E3" w:rsidRPr="00697530">
          <w:rPr>
            <w:rStyle w:val="Hyperlink"/>
          </w:rPr>
          <w:t>http://www.ncta.com/industry-data</w:t>
        </w:r>
      </w:hyperlink>
      <w:r w:rsidR="009665E3" w:rsidRPr="00697530">
        <w:t xml:space="preserve"> (visited Aug. 30, 2013).</w:t>
      </w:r>
    </w:p>
  </w:footnote>
  <w:footnote w:id="78">
    <w:p w:rsidR="003210EB" w:rsidRPr="00697530" w:rsidRDefault="003210EB" w:rsidP="003210EB">
      <w:pPr>
        <w:pStyle w:val="FootnoteText"/>
        <w:spacing w:line="240" w:lineRule="atLeast"/>
      </w:pPr>
      <w:r w:rsidRPr="00697530">
        <w:rPr>
          <w:rStyle w:val="FootnoteReference"/>
        </w:rPr>
        <w:footnoteRef/>
      </w:r>
      <w:r w:rsidRPr="00697530">
        <w:t xml:space="preserve"> The Commission does receive such information on a case-by-case basis if a cable operator appeals a local franchise authority’s finding that the operator does not qualify as a small cable operator pursuant to § 76.901(f) of the Commission’s rules.  </w:t>
      </w:r>
      <w:r w:rsidRPr="00697530">
        <w:rPr>
          <w:i/>
        </w:rPr>
        <w:t>See</w:t>
      </w:r>
      <w:r w:rsidRPr="00697530">
        <w:t xml:space="preserve"> 47 C.F.R. § 76.901(f).</w:t>
      </w:r>
    </w:p>
  </w:footnote>
  <w:footnote w:id="79">
    <w:p w:rsidR="003210EB" w:rsidRPr="00697530" w:rsidRDefault="003210EB" w:rsidP="003210EB">
      <w:pPr>
        <w:pStyle w:val="FootnoteText"/>
      </w:pPr>
      <w:r w:rsidRPr="00697530">
        <w:rPr>
          <w:rStyle w:val="FootnoteReference"/>
        </w:rPr>
        <w:footnoteRef/>
      </w:r>
      <w:r w:rsidRPr="00697530">
        <w:t xml:space="preserve"> </w:t>
      </w:r>
      <w:r w:rsidRPr="00697530">
        <w:rPr>
          <w:i/>
        </w:rPr>
        <w:t>See</w:t>
      </w:r>
      <w:r w:rsidRPr="00697530">
        <w:t xml:space="preserve"> 13 C.F.R. § 121.201, </w:t>
      </w:r>
      <w:r w:rsidR="00AF3265" w:rsidRPr="00697530">
        <w:t xml:space="preserve">2012 </w:t>
      </w:r>
      <w:r w:rsidRPr="00697530">
        <w:t xml:space="preserve">NAICS code 517110.  </w:t>
      </w:r>
      <w:r w:rsidR="00CB1750" w:rsidRPr="00697530">
        <w:rPr>
          <w:szCs w:val="22"/>
        </w:rPr>
        <w:t>This category of Wired Telecommunications Carriers is defined as follows:</w:t>
      </w:r>
      <w:r w:rsidRPr="00697530">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97530">
        <w:rPr>
          <w:i/>
          <w:szCs w:val="22"/>
          <w:u w:val="single"/>
        </w:rPr>
        <w:t>By exception, establishments providing satellite television distribution services using facilities and infrastructure that they operate are included in this industry.</w:t>
      </w:r>
      <w:r w:rsidRPr="00697530">
        <w:rPr>
          <w:szCs w:val="22"/>
        </w:rPr>
        <w:t>” (</w:t>
      </w:r>
      <w:r w:rsidRPr="00697530">
        <w:rPr>
          <w:i/>
          <w:szCs w:val="22"/>
          <w:u w:val="single"/>
        </w:rPr>
        <w:t>Emphasis</w:t>
      </w:r>
      <w:r w:rsidRPr="00697530">
        <w:rPr>
          <w:szCs w:val="22"/>
        </w:rPr>
        <w:t xml:space="preserve"> added to text relevant to satellite services.)</w:t>
      </w:r>
      <w:r w:rsidRPr="00697530">
        <w:rPr>
          <w:rStyle w:val="FootnoteReference"/>
          <w:szCs w:val="22"/>
        </w:rPr>
        <w:t xml:space="preserve"> </w:t>
      </w:r>
      <w:r w:rsidR="00CB1750" w:rsidRPr="00697530">
        <w:t xml:space="preserve"> U.S. Census Bureau, 2012 NAICS Definitions, “</w:t>
      </w:r>
      <w:r w:rsidR="00CB1750" w:rsidRPr="00697530">
        <w:rPr>
          <w:bCs/>
        </w:rPr>
        <w:t xml:space="preserve">517110 Wired Telecommunications Carriers” at </w:t>
      </w:r>
      <w:hyperlink r:id="rId16" w:history="1">
        <w:r w:rsidR="00CB1750" w:rsidRPr="00697530">
          <w:rPr>
            <w:rStyle w:val="Hyperlink"/>
          </w:rPr>
          <w:t>http://www.census.gov/cgi-bin/sssd/naics/naicsrch</w:t>
        </w:r>
      </w:hyperlink>
      <w:r w:rsidR="00CB1750" w:rsidRPr="00697530">
        <w:rPr>
          <w:bCs/>
        </w:rPr>
        <w:t>.</w:t>
      </w:r>
    </w:p>
  </w:footnote>
  <w:footnote w:id="80">
    <w:p w:rsidR="003210EB" w:rsidRPr="00697530" w:rsidRDefault="003210EB" w:rsidP="003210EB">
      <w:pPr>
        <w:pStyle w:val="FootnoteText"/>
        <w:rPr>
          <w:lang w:val="fr-FR"/>
        </w:rPr>
      </w:pPr>
      <w:r w:rsidRPr="00697530">
        <w:rPr>
          <w:rStyle w:val="FootnoteReference"/>
        </w:rPr>
        <w:footnoteRef/>
      </w:r>
      <w:r w:rsidRPr="00697530">
        <w:rPr>
          <w:lang w:val="fr-FR"/>
        </w:rPr>
        <w:t xml:space="preserve"> </w:t>
      </w:r>
      <w:r w:rsidR="00CB1750" w:rsidRPr="00697530">
        <w:rPr>
          <w:lang w:val="fr-FR"/>
        </w:rPr>
        <w:t>13 C.F.R. § 121.201; 2012 NAICS code 517110.</w:t>
      </w:r>
    </w:p>
  </w:footnote>
  <w:footnote w:id="81">
    <w:p w:rsidR="003D2BAD" w:rsidRPr="00697530" w:rsidRDefault="003D2BAD" w:rsidP="003D2BAD">
      <w:pPr>
        <w:pStyle w:val="FootnoteText"/>
      </w:pPr>
      <w:r w:rsidRPr="00697530">
        <w:rPr>
          <w:rStyle w:val="FootnoteReference"/>
        </w:rPr>
        <w:footnoteRef/>
      </w:r>
      <w:r w:rsidRPr="00697530">
        <w:t xml:space="preserve"> U.S. Census Bureau, 2007 Economic Census.  </w:t>
      </w:r>
      <w:r w:rsidRPr="00697530">
        <w:rPr>
          <w:i/>
        </w:rPr>
        <w:t>See</w:t>
      </w:r>
      <w:r w:rsidRPr="00697530">
        <w:t xml:space="preserve"> U.S. Census Bureau, American FactFinder, “Information: Subject Series – Estab and Firm Size: Employment Size of Establishments for the United States: 2007 – 2007 Economic Census,” NAICS code 517110, Table EC0751SSSZ2; available at </w:t>
      </w:r>
      <w:hyperlink r:id="rId17" w:history="1">
        <w:r w:rsidRPr="00697530">
          <w:rPr>
            <w:rStyle w:val="Hyperlink"/>
          </w:rPr>
          <w:t>http://factfinder2.census.gov/faces/nav/jsf/pages/index.xhtml</w:t>
        </w:r>
      </w:hyperlink>
      <w:r w:rsidRPr="00697530">
        <w:t>.</w:t>
      </w:r>
    </w:p>
  </w:footnote>
  <w:footnote w:id="82">
    <w:p w:rsidR="003D2BAD" w:rsidRPr="00697530" w:rsidRDefault="003D2BAD" w:rsidP="003D2BAD">
      <w:pPr>
        <w:pStyle w:val="FootnoteText"/>
      </w:pPr>
      <w:r w:rsidRPr="00697530">
        <w:rPr>
          <w:rStyle w:val="FootnoteReference"/>
        </w:rPr>
        <w:footnoteRef/>
      </w:r>
      <w:r w:rsidRPr="00697530">
        <w:t xml:space="preserve"> </w:t>
      </w:r>
      <w:r w:rsidRPr="00697530">
        <w:rPr>
          <w:i/>
        </w:rPr>
        <w:t>Id</w:t>
      </w:r>
      <w:r w:rsidRPr="00697530">
        <w:t>.</w:t>
      </w:r>
    </w:p>
  </w:footnote>
  <w:footnote w:id="83">
    <w:p w:rsidR="00531308" w:rsidRPr="00697530" w:rsidRDefault="00531308" w:rsidP="00531308">
      <w:pPr>
        <w:pStyle w:val="FootnoteText"/>
        <w:rPr>
          <w:lang w:val="fr-FR"/>
        </w:rPr>
      </w:pPr>
      <w:r w:rsidRPr="00697530">
        <w:rPr>
          <w:rStyle w:val="FootnoteReference"/>
        </w:rPr>
        <w:footnoteRef/>
      </w:r>
      <w:r w:rsidRPr="00697530">
        <w:rPr>
          <w:lang w:val="fr-FR"/>
        </w:rPr>
        <w:t xml:space="preserve"> 13 C.F.R. § 121.201, NAICS code 517510 (2002).</w:t>
      </w:r>
    </w:p>
  </w:footnote>
  <w:footnote w:id="84">
    <w:p w:rsidR="003210EB" w:rsidRPr="00697530" w:rsidRDefault="003210EB" w:rsidP="003210EB">
      <w:pPr>
        <w:pStyle w:val="FootnoteText"/>
      </w:pPr>
      <w:r w:rsidRPr="00697530">
        <w:rPr>
          <w:rStyle w:val="FootnoteReference"/>
        </w:rPr>
        <w:footnoteRef/>
      </w:r>
      <w:r w:rsidRPr="00697530">
        <w:t xml:space="preserve"> S</w:t>
      </w:r>
      <w:r w:rsidRPr="00697530">
        <w:rPr>
          <w:i/>
        </w:rPr>
        <w:t xml:space="preserve">ee </w:t>
      </w:r>
      <w:r w:rsidR="00EF7961" w:rsidRPr="00697530">
        <w:rPr>
          <w:i/>
        </w:rPr>
        <w:t>15</w:t>
      </w:r>
      <w:r w:rsidR="00EF7961" w:rsidRPr="00697530">
        <w:rPr>
          <w:i/>
          <w:vertAlign w:val="superscript"/>
        </w:rPr>
        <w:t>th</w:t>
      </w:r>
      <w:r w:rsidR="00EF7961" w:rsidRPr="00697530">
        <w:rPr>
          <w:i/>
        </w:rPr>
        <w:t xml:space="preserve"> Annual Competition Report</w:t>
      </w:r>
      <w:r w:rsidR="00EF7961" w:rsidRPr="00697530">
        <w:t>, at ¶ 27.  As of June 2012, DIRECTV is the largest DBS operator and the second largest MVPD in the United States, serving approximately 19.9 million subscribers.  DISH Network is the second largest DBS operator and the third largest MVPD, serving approximately 14.1 million subscribers.</w:t>
      </w:r>
      <w:r w:rsidR="00531308" w:rsidRPr="00697530">
        <w:t xml:space="preserve">  </w:t>
      </w:r>
      <w:r w:rsidR="00531308" w:rsidRPr="00697530">
        <w:rPr>
          <w:i/>
        </w:rPr>
        <w:t>Id</w:t>
      </w:r>
      <w:r w:rsidR="00531308" w:rsidRPr="00697530">
        <w:t>. at ¶¶ 27, 110-11.</w:t>
      </w:r>
    </w:p>
  </w:footnote>
  <w:footnote w:id="85">
    <w:p w:rsidR="00AC1E2B" w:rsidRPr="00697530" w:rsidRDefault="00AC1E2B" w:rsidP="00AC1E2B">
      <w:pPr>
        <w:pStyle w:val="FootnoteText"/>
      </w:pPr>
      <w:r w:rsidRPr="00697530">
        <w:rPr>
          <w:rStyle w:val="FootnoteReference"/>
        </w:rPr>
        <w:footnoteRef/>
      </w:r>
      <w:r w:rsidRPr="00697530">
        <w:t xml:space="preserve"> </w:t>
      </w:r>
      <w:r w:rsidRPr="00697530">
        <w:rPr>
          <w:i/>
        </w:rPr>
        <w:t>See</w:t>
      </w:r>
      <w:r w:rsidRPr="00697530">
        <w:t xml:space="preserve"> 13 C.F.R. § 121.201, 2012 NAICS code 517110.  </w:t>
      </w:r>
      <w:r w:rsidRPr="00697530">
        <w:rPr>
          <w:szCs w:val="22"/>
        </w:rPr>
        <w:t xml:space="preserve">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97530">
        <w:rPr>
          <w:i/>
          <w:szCs w:val="22"/>
          <w:u w:val="single"/>
        </w:rPr>
        <w:t>By exception, establishments providing satellite television distribution services using facilities and infrastructure that they operate are included in this industry.</w:t>
      </w:r>
      <w:r w:rsidRPr="00697530">
        <w:rPr>
          <w:szCs w:val="22"/>
        </w:rPr>
        <w:t>” (</w:t>
      </w:r>
      <w:r w:rsidRPr="00697530">
        <w:rPr>
          <w:i/>
          <w:szCs w:val="22"/>
          <w:u w:val="single"/>
        </w:rPr>
        <w:t>Emphasis</w:t>
      </w:r>
      <w:r w:rsidRPr="00697530">
        <w:rPr>
          <w:szCs w:val="22"/>
        </w:rPr>
        <w:t xml:space="preserve"> added to text relevant to satellite services.)</w:t>
      </w:r>
      <w:r w:rsidRPr="00697530">
        <w:rPr>
          <w:rStyle w:val="FootnoteReference"/>
          <w:szCs w:val="22"/>
          <w:vertAlign w:val="baseline"/>
        </w:rPr>
        <w:t xml:space="preserve"> </w:t>
      </w:r>
      <w:r w:rsidRPr="00697530">
        <w:t xml:space="preserve"> U.S. Census Bureau, 2012 NAICS Definitions, “</w:t>
      </w:r>
      <w:r w:rsidRPr="00697530">
        <w:rPr>
          <w:bCs/>
        </w:rPr>
        <w:t xml:space="preserve">517110 Wired Telecommunications Carriers” at </w:t>
      </w:r>
      <w:hyperlink r:id="rId18" w:history="1">
        <w:r w:rsidRPr="00697530">
          <w:rPr>
            <w:rStyle w:val="Hyperlink"/>
          </w:rPr>
          <w:t>http://www.census.gov/cgi-bin/sssd/naics/naicsrch</w:t>
        </w:r>
      </w:hyperlink>
      <w:r w:rsidRPr="00697530">
        <w:rPr>
          <w:bCs/>
        </w:rPr>
        <w:t>.</w:t>
      </w:r>
    </w:p>
  </w:footnote>
  <w:footnote w:id="86">
    <w:p w:rsidR="00AC1E2B" w:rsidRPr="00697530" w:rsidRDefault="00AC1E2B" w:rsidP="00AC1E2B">
      <w:pPr>
        <w:pStyle w:val="FootnoteText"/>
        <w:rPr>
          <w:lang w:val="fr-FR"/>
        </w:rPr>
      </w:pPr>
      <w:r w:rsidRPr="00697530">
        <w:rPr>
          <w:rStyle w:val="FootnoteReference"/>
        </w:rPr>
        <w:footnoteRef/>
      </w:r>
      <w:r w:rsidRPr="00697530">
        <w:rPr>
          <w:lang w:val="fr-FR"/>
        </w:rPr>
        <w:t xml:space="preserve"> 13 C.F.R. § 121.201; 2012 NAICS code 517110.</w:t>
      </w:r>
    </w:p>
  </w:footnote>
  <w:footnote w:id="87">
    <w:p w:rsidR="003D2BAD" w:rsidRPr="00697530" w:rsidRDefault="003D2BAD" w:rsidP="003D2BAD">
      <w:pPr>
        <w:pStyle w:val="FootnoteText"/>
      </w:pPr>
      <w:r w:rsidRPr="00697530">
        <w:rPr>
          <w:rStyle w:val="FootnoteReference"/>
        </w:rPr>
        <w:footnoteRef/>
      </w:r>
      <w:r w:rsidRPr="00697530">
        <w:t xml:space="preserve"> U.S. Census Bureau, 2007 Economic Census.  </w:t>
      </w:r>
      <w:r w:rsidRPr="00697530">
        <w:rPr>
          <w:i/>
        </w:rPr>
        <w:t>See</w:t>
      </w:r>
      <w:r w:rsidRPr="00697530">
        <w:t xml:space="preserve"> U.S. Census Bureau, American FactFinder, “Information: Subject Series – Estab and Firm Size: Employment Size of Establishments for the United States: 2007 – 2007 Economic Census,” NAICS code 517110, Table EC0751SSSZ2; available at </w:t>
      </w:r>
      <w:hyperlink r:id="rId19" w:history="1">
        <w:r w:rsidRPr="00697530">
          <w:rPr>
            <w:rStyle w:val="Hyperlink"/>
          </w:rPr>
          <w:t>http://factfinder2.census.gov/faces/nav/jsf/pages/index.xhtml</w:t>
        </w:r>
      </w:hyperlink>
      <w:r w:rsidRPr="00697530">
        <w:t>.</w:t>
      </w:r>
    </w:p>
  </w:footnote>
  <w:footnote w:id="88">
    <w:p w:rsidR="003D2BAD" w:rsidRPr="00697530" w:rsidRDefault="003D2BAD" w:rsidP="003D2BAD">
      <w:pPr>
        <w:pStyle w:val="FootnoteText"/>
      </w:pPr>
      <w:r w:rsidRPr="00697530">
        <w:rPr>
          <w:rStyle w:val="FootnoteReference"/>
        </w:rPr>
        <w:footnoteRef/>
      </w:r>
      <w:r w:rsidRPr="00697530">
        <w:t xml:space="preserve"> </w:t>
      </w:r>
      <w:r w:rsidRPr="00697530">
        <w:rPr>
          <w:i/>
        </w:rPr>
        <w:t>Id</w:t>
      </w:r>
      <w:r w:rsidRPr="00697530">
        <w:t>.</w:t>
      </w:r>
    </w:p>
  </w:footnote>
  <w:footnote w:id="89">
    <w:p w:rsidR="003210EB" w:rsidRPr="00697530" w:rsidRDefault="003210EB" w:rsidP="003210EB">
      <w:pPr>
        <w:pStyle w:val="FootnoteText"/>
      </w:pPr>
      <w:r w:rsidRPr="00697530">
        <w:rPr>
          <w:rStyle w:val="FootnoteReference"/>
        </w:rPr>
        <w:footnoteRef/>
      </w:r>
      <w:r w:rsidRPr="00697530">
        <w:t xml:space="preserve">  47 U.S.C. § 571(a)(3)-(4).  </w:t>
      </w:r>
      <w:r w:rsidRPr="00697530">
        <w:rPr>
          <w:i/>
          <w:iCs/>
        </w:rPr>
        <w:t>See</w:t>
      </w:r>
      <w:r w:rsidRPr="00697530">
        <w:t xml:space="preserve"> </w:t>
      </w:r>
      <w:r w:rsidRPr="00697530">
        <w:rPr>
          <w:i/>
        </w:rPr>
        <w:t>Annual Assessment of the Status of Competition in the Market for the Delivery of Video Programming</w:t>
      </w:r>
      <w:r w:rsidRPr="00697530">
        <w:t>, MB Docket No. 06-189, Thirteenth Annual Report,</w:t>
      </w:r>
      <w:r w:rsidRPr="00697530">
        <w:rPr>
          <w:i/>
        </w:rPr>
        <w:t xml:space="preserve"> </w:t>
      </w:r>
      <w:r w:rsidRPr="00697530">
        <w:t>24 FCC Rcd 542, 606, ¶ 135 (2009) (</w:t>
      </w:r>
      <w:r w:rsidRPr="00697530">
        <w:rPr>
          <w:i/>
        </w:rPr>
        <w:t>Thirteenth Annual Cable Competition Report</w:t>
      </w:r>
      <w:r w:rsidRPr="00697530">
        <w:t xml:space="preserve">). </w:t>
      </w:r>
      <w:r w:rsidR="00381ADC" w:rsidRPr="00697530">
        <w:t xml:space="preserve"> </w:t>
      </w:r>
    </w:p>
  </w:footnote>
  <w:footnote w:id="90">
    <w:p w:rsidR="003210EB" w:rsidRPr="00697530" w:rsidRDefault="003210EB" w:rsidP="003210EB">
      <w:pPr>
        <w:pStyle w:val="FootnoteText"/>
      </w:pPr>
      <w:r w:rsidRPr="00697530">
        <w:rPr>
          <w:rStyle w:val="FootnoteReference"/>
        </w:rPr>
        <w:footnoteRef/>
      </w:r>
      <w:r w:rsidRPr="00697530">
        <w:t xml:space="preserve">  </w:t>
      </w:r>
      <w:r w:rsidRPr="00697530">
        <w:rPr>
          <w:i/>
        </w:rPr>
        <w:t xml:space="preserve">See </w:t>
      </w:r>
      <w:r w:rsidRPr="00697530">
        <w:t>47 U.S.C. § 573.</w:t>
      </w:r>
    </w:p>
  </w:footnote>
  <w:footnote w:id="91">
    <w:p w:rsidR="00CE52B6" w:rsidRPr="00697530" w:rsidRDefault="008D1BDA" w:rsidP="00AD538C">
      <w:pPr>
        <w:pStyle w:val="FootnoteText"/>
      </w:pPr>
      <w:r w:rsidRPr="00697530">
        <w:rPr>
          <w:rStyle w:val="FootnoteReference"/>
        </w:rPr>
        <w:footnoteRef/>
      </w:r>
      <w:r w:rsidRPr="00697530">
        <w:t xml:space="preserve"> </w:t>
      </w:r>
      <w:r w:rsidRPr="00697530">
        <w:rPr>
          <w:i/>
        </w:rPr>
        <w:t>See</w:t>
      </w:r>
      <w:r w:rsidRPr="00697530">
        <w:t xml:space="preserve"> 13 C.F.R. § 121.201, 2012 NAICS code 517110.  </w:t>
      </w:r>
      <w:r w:rsidRPr="00697530">
        <w:rPr>
          <w:szCs w:val="22"/>
        </w:rPr>
        <w:t xml:space="preserve">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97530">
        <w:t>U.S. Census Bureau, 2012 NAICS Definitions, “</w:t>
      </w:r>
      <w:r w:rsidRPr="00697530">
        <w:rPr>
          <w:bCs/>
        </w:rPr>
        <w:t xml:space="preserve">517110 Wired Telecommunications Carriers” at </w:t>
      </w:r>
      <w:hyperlink r:id="rId20" w:history="1">
        <w:r w:rsidRPr="00697530">
          <w:rPr>
            <w:rStyle w:val="Hyperlink"/>
          </w:rPr>
          <w:t>http://www.census.gov/cgi-bin/sssd/naics/naicsrch</w:t>
        </w:r>
      </w:hyperlink>
      <w:r w:rsidRPr="00697530">
        <w:rPr>
          <w:bCs/>
        </w:rPr>
        <w:t>.</w:t>
      </w:r>
    </w:p>
  </w:footnote>
  <w:footnote w:id="92">
    <w:p w:rsidR="008D1BDA" w:rsidRPr="00697530" w:rsidRDefault="008D1BDA" w:rsidP="008D1BDA">
      <w:pPr>
        <w:pStyle w:val="FootnoteText"/>
        <w:rPr>
          <w:lang w:val="fr-FR"/>
        </w:rPr>
      </w:pPr>
      <w:r w:rsidRPr="00697530">
        <w:rPr>
          <w:rStyle w:val="FootnoteReference"/>
        </w:rPr>
        <w:footnoteRef/>
      </w:r>
      <w:r w:rsidRPr="00697530">
        <w:rPr>
          <w:lang w:val="fr-FR"/>
        </w:rPr>
        <w:t xml:space="preserve"> 13 C.F.R. § 121.201; 2012 NAICS code 517110.</w:t>
      </w:r>
    </w:p>
  </w:footnote>
  <w:footnote w:id="93">
    <w:p w:rsidR="003D2BAD" w:rsidRPr="00697530" w:rsidRDefault="003D2BAD" w:rsidP="003D2BAD">
      <w:pPr>
        <w:pStyle w:val="FootnoteText"/>
      </w:pPr>
      <w:r w:rsidRPr="00697530">
        <w:rPr>
          <w:rStyle w:val="FootnoteReference"/>
        </w:rPr>
        <w:footnoteRef/>
      </w:r>
      <w:r w:rsidRPr="00697530">
        <w:t xml:space="preserve"> U.S. Census Bureau, 2007 Economic Census.  </w:t>
      </w:r>
      <w:r w:rsidRPr="00697530">
        <w:rPr>
          <w:i/>
        </w:rPr>
        <w:t>See</w:t>
      </w:r>
      <w:r w:rsidRPr="00697530">
        <w:t xml:space="preserve"> U.S. Census Bureau, American FactFinder, “Information: Subject Series – Estab and Firm Size: Employment Size of Establishments for the United States: 2007 – 2007 Economic Census,” NAICS code 517110, Table EC0751SSSZ2; available at </w:t>
      </w:r>
      <w:hyperlink r:id="rId21" w:history="1">
        <w:r w:rsidRPr="00697530">
          <w:rPr>
            <w:rStyle w:val="Hyperlink"/>
          </w:rPr>
          <w:t>http://factfinder2.census.gov/faces/nav/jsf/pages/index.xhtml</w:t>
        </w:r>
      </w:hyperlink>
      <w:r w:rsidRPr="00697530">
        <w:t>.</w:t>
      </w:r>
    </w:p>
  </w:footnote>
  <w:footnote w:id="94">
    <w:p w:rsidR="003D2BAD" w:rsidRPr="00697530" w:rsidRDefault="003D2BAD" w:rsidP="003D2BAD">
      <w:pPr>
        <w:pStyle w:val="FootnoteText"/>
      </w:pPr>
      <w:r w:rsidRPr="00697530">
        <w:rPr>
          <w:rStyle w:val="FootnoteReference"/>
        </w:rPr>
        <w:footnoteRef/>
      </w:r>
      <w:r w:rsidRPr="00697530">
        <w:t xml:space="preserve"> </w:t>
      </w:r>
      <w:r w:rsidRPr="00697530">
        <w:rPr>
          <w:i/>
        </w:rPr>
        <w:t>Id</w:t>
      </w:r>
      <w:r w:rsidRPr="00697530">
        <w:t>.</w:t>
      </w:r>
    </w:p>
  </w:footnote>
  <w:footnote w:id="95">
    <w:p w:rsidR="003210EB" w:rsidRPr="00697530" w:rsidRDefault="003210EB" w:rsidP="003210EB">
      <w:pPr>
        <w:pStyle w:val="FootnoteText"/>
      </w:pPr>
      <w:r w:rsidRPr="00697530">
        <w:rPr>
          <w:rStyle w:val="FootnoteReference"/>
        </w:rPr>
        <w:footnoteRef/>
      </w:r>
      <w:r w:rsidRPr="00697530">
        <w:t xml:space="preserve">  A list of OVS certifications may be found at </w:t>
      </w:r>
      <w:hyperlink r:id="rId22" w:history="1">
        <w:r w:rsidRPr="00697530">
          <w:rPr>
            <w:rStyle w:val="Hyperlink"/>
          </w:rPr>
          <w:t>http://www.fcc.gov/mb/ovs/csovscer.html</w:t>
        </w:r>
      </w:hyperlink>
      <w:r w:rsidRPr="00697530">
        <w:t>.</w:t>
      </w:r>
    </w:p>
  </w:footnote>
  <w:footnote w:id="96">
    <w:p w:rsidR="003210EB" w:rsidRPr="00697530" w:rsidRDefault="003210EB" w:rsidP="003210EB">
      <w:pPr>
        <w:pStyle w:val="FootnoteText"/>
      </w:pPr>
      <w:r w:rsidRPr="00697530">
        <w:rPr>
          <w:rStyle w:val="FootnoteReference"/>
        </w:rPr>
        <w:footnoteRef/>
      </w:r>
      <w:r w:rsidRPr="00697530">
        <w:t xml:space="preserve">  </w:t>
      </w:r>
      <w:r w:rsidRPr="00697530">
        <w:rPr>
          <w:i/>
        </w:rPr>
        <w:t>See Thirteenth Annual Cable Competition Report</w:t>
      </w:r>
      <w:r w:rsidRPr="00697530">
        <w:rPr>
          <w:iCs/>
        </w:rPr>
        <w:t xml:space="preserve">, </w:t>
      </w:r>
      <w:r w:rsidRPr="00697530">
        <w:t xml:space="preserve">24 FCC Rcd at 606-07, ¶ 135.  </w:t>
      </w:r>
      <w:r w:rsidRPr="00697530">
        <w:rPr>
          <w:szCs w:val="22"/>
        </w:rPr>
        <w:t xml:space="preserve">BSPs are newer </w:t>
      </w:r>
      <w:r w:rsidR="00EF2BF1" w:rsidRPr="00697530">
        <w:rPr>
          <w:szCs w:val="22"/>
        </w:rPr>
        <w:t>businesses</w:t>
      </w:r>
      <w:r w:rsidRPr="00697530">
        <w:rPr>
          <w:szCs w:val="22"/>
        </w:rPr>
        <w:t xml:space="preserve"> that are building state-of-the-art, facilities-based networks to provide video, voice, and data services over a single network.  </w:t>
      </w:r>
    </w:p>
  </w:footnote>
  <w:footnote w:id="97">
    <w:p w:rsidR="00221100" w:rsidRPr="00697530" w:rsidRDefault="00221100" w:rsidP="00221100">
      <w:pPr>
        <w:pStyle w:val="FootnoteText"/>
      </w:pPr>
      <w:r w:rsidRPr="00697530">
        <w:rPr>
          <w:rStyle w:val="FootnoteReference"/>
        </w:rPr>
        <w:footnoteRef/>
      </w:r>
      <w:r w:rsidRPr="00697530">
        <w:t xml:space="preserve"> </w:t>
      </w:r>
      <w:r w:rsidRPr="00697530">
        <w:rPr>
          <w:i/>
        </w:rPr>
        <w:t>See</w:t>
      </w:r>
      <w:r w:rsidRPr="00697530">
        <w:t xml:space="preserve"> </w:t>
      </w:r>
      <w:r w:rsidR="00DF6A9C" w:rsidRPr="00697530">
        <w:t>Second Report and Order</w:t>
      </w:r>
      <w:r w:rsidR="007552EA" w:rsidRPr="00697530">
        <w:t xml:space="preserve"> ¶</w:t>
      </w:r>
      <w:r w:rsidR="008F4AB8" w:rsidRPr="00697530">
        <w:t xml:space="preserve"> </w:t>
      </w:r>
      <w:r w:rsidR="007552EA" w:rsidRPr="00697530">
        <w:t>5</w:t>
      </w:r>
      <w:r w:rsidRPr="00697530">
        <w:t>.</w:t>
      </w:r>
    </w:p>
  </w:footnote>
  <w:footnote w:id="98">
    <w:p w:rsidR="00225AC8" w:rsidRPr="00697530" w:rsidRDefault="00225AC8" w:rsidP="00C400D1">
      <w:pPr>
        <w:pStyle w:val="FootnoteText"/>
      </w:pPr>
      <w:r w:rsidRPr="00697530">
        <w:rPr>
          <w:rStyle w:val="FootnoteReference"/>
        </w:rPr>
        <w:footnoteRef/>
      </w:r>
      <w:r w:rsidRPr="00697530">
        <w:t xml:space="preserve"> For an overview of the existing compliance requirements</w:t>
      </w:r>
      <w:r w:rsidR="00C400D1" w:rsidRPr="00697530">
        <w:t xml:space="preserve"> pursuant to our implementation of the CALM Act</w:t>
      </w:r>
      <w:r w:rsidRPr="00697530">
        <w:t xml:space="preserve">, </w:t>
      </w:r>
      <w:r w:rsidRPr="00697530">
        <w:rPr>
          <w:i/>
        </w:rPr>
        <w:t>see</w:t>
      </w:r>
      <w:r w:rsidRPr="00697530">
        <w:t xml:space="preserve"> </w:t>
      </w:r>
      <w:r w:rsidR="00C400D1" w:rsidRPr="00697530">
        <w:t xml:space="preserve">Implementation of the Commercial Advertisement Loudness Mitigation (CALM) Act, MB Docket No. 11-93, Small Entity Compliance Guide, DA 13-1002 (MB rel. May 7, 2013); available at </w:t>
      </w:r>
      <w:hyperlink r:id="rId23" w:history="1">
        <w:r w:rsidR="00CA353B" w:rsidRPr="00697530">
          <w:rPr>
            <w:rStyle w:val="Hyperlink"/>
          </w:rPr>
          <w:t>http://hraunfoss.fcc.gov/edocs_public/attachmatch/DA-13-1002A1.docx</w:t>
        </w:r>
      </w:hyperlink>
      <w:r w:rsidR="00FD16CD" w:rsidRPr="00697530">
        <w:t xml:space="preserve">. </w:t>
      </w:r>
    </w:p>
  </w:footnote>
  <w:footnote w:id="99">
    <w:p w:rsidR="003210EB" w:rsidRPr="00697530" w:rsidRDefault="003210EB" w:rsidP="003210EB">
      <w:pPr>
        <w:pStyle w:val="FootnoteText"/>
      </w:pPr>
      <w:r w:rsidRPr="00697530">
        <w:rPr>
          <w:rStyle w:val="FootnoteReference"/>
        </w:rPr>
        <w:footnoteRef/>
      </w:r>
      <w:r w:rsidRPr="00697530">
        <w:t xml:space="preserve"> 5 U.S.C. § 60</w:t>
      </w:r>
      <w:r w:rsidR="00B5145D">
        <w:t>4</w:t>
      </w:r>
      <w:r w:rsidRPr="00697530">
        <w:t>(</w:t>
      </w:r>
      <w:r w:rsidR="00B5145D">
        <w:t>a</w:t>
      </w:r>
      <w:r w:rsidRPr="00697530">
        <w:t>)(</w:t>
      </w:r>
      <w:r w:rsidR="00A2782C">
        <w:t>6</w:t>
      </w:r>
      <w:r w:rsidRPr="00697530">
        <w:t>)</w:t>
      </w:r>
      <w:r w:rsidR="00A2782C">
        <w:t>.</w:t>
      </w:r>
    </w:p>
  </w:footnote>
  <w:footnote w:id="100">
    <w:p w:rsidR="00750229" w:rsidRPr="00697530" w:rsidRDefault="00750229" w:rsidP="00750229">
      <w:pPr>
        <w:pStyle w:val="FootnoteText"/>
      </w:pPr>
      <w:r w:rsidRPr="00697530">
        <w:rPr>
          <w:rStyle w:val="FootnoteReference"/>
        </w:rPr>
        <w:footnoteRef/>
      </w:r>
      <w:r w:rsidRPr="00697530">
        <w:t xml:space="preserve"> </w:t>
      </w:r>
      <w:r w:rsidRPr="00697530">
        <w:rPr>
          <w:i/>
        </w:rPr>
        <w:t>See</w:t>
      </w:r>
      <w:r w:rsidRPr="00697530">
        <w:t xml:space="preserve"> 47 U.S.C. § 621(a).</w:t>
      </w:r>
    </w:p>
  </w:footnote>
  <w:footnote w:id="101">
    <w:p w:rsidR="00750229" w:rsidRPr="00697530" w:rsidRDefault="00750229" w:rsidP="00750229">
      <w:pPr>
        <w:pStyle w:val="FootnoteText"/>
      </w:pPr>
      <w:r w:rsidRPr="00697530">
        <w:rPr>
          <w:rStyle w:val="FootnoteReference"/>
        </w:rPr>
        <w:footnoteRef/>
      </w:r>
      <w:r w:rsidRPr="00697530">
        <w:t xml:space="preserve"> </w:t>
      </w:r>
      <w:r w:rsidRPr="00697530">
        <w:rPr>
          <w:i/>
        </w:rPr>
        <w:t>Id</w:t>
      </w:r>
      <w:r w:rsidRPr="00697530">
        <w:t>.</w:t>
      </w:r>
    </w:p>
  </w:footnote>
  <w:footnote w:id="102">
    <w:p w:rsidR="00AD5F8C" w:rsidRPr="00697530" w:rsidRDefault="00AD5F8C" w:rsidP="00AD5F8C">
      <w:pPr>
        <w:pStyle w:val="FootnoteText"/>
      </w:pPr>
      <w:r w:rsidRPr="00697530">
        <w:rPr>
          <w:rStyle w:val="FootnoteReference"/>
        </w:rPr>
        <w:footnoteRef/>
      </w:r>
      <w:r w:rsidRPr="00697530">
        <w:t xml:space="preserve"> NAB Comments at 2.</w:t>
      </w:r>
    </w:p>
  </w:footnote>
  <w:footnote w:id="103">
    <w:p w:rsidR="00765FE3" w:rsidRPr="00697530" w:rsidRDefault="00765FE3" w:rsidP="00765FE3">
      <w:pPr>
        <w:pStyle w:val="FootnoteText"/>
      </w:pPr>
      <w:r w:rsidRPr="00697530">
        <w:rPr>
          <w:rStyle w:val="FootnoteReference"/>
        </w:rPr>
        <w:footnoteRef/>
      </w:r>
      <w:r w:rsidRPr="00697530">
        <w:t xml:space="preserve"> </w:t>
      </w:r>
      <w:r w:rsidRPr="00697530">
        <w:rPr>
          <w:i/>
        </w:rPr>
        <w:t>See</w:t>
      </w:r>
      <w:r w:rsidRPr="00697530">
        <w:t xml:space="preserve"> 5 U.S.C. § 605(b).</w:t>
      </w:r>
    </w:p>
  </w:footnote>
  <w:footnote w:id="104">
    <w:p w:rsidR="00DF4234" w:rsidRPr="00697530" w:rsidRDefault="00DF4234" w:rsidP="00DF4234">
      <w:pPr>
        <w:pStyle w:val="FootnoteText"/>
      </w:pPr>
      <w:r w:rsidRPr="00697530">
        <w:rPr>
          <w:rStyle w:val="FootnoteReference"/>
        </w:rPr>
        <w:footnoteRef/>
      </w:r>
      <w:r w:rsidRPr="00697530">
        <w:t xml:space="preserve"> </w:t>
      </w:r>
      <w:r w:rsidRPr="00697530">
        <w:rPr>
          <w:i/>
        </w:rPr>
        <w:t>See</w:t>
      </w:r>
      <w:r w:rsidRPr="00697530">
        <w:t xml:space="preserve"> 5 U.S.C. § 801(a)(1)(A).</w:t>
      </w:r>
    </w:p>
  </w:footnote>
  <w:footnote w:id="105">
    <w:p w:rsidR="00DF4234" w:rsidRDefault="00DF4234" w:rsidP="00DF4234">
      <w:pPr>
        <w:pStyle w:val="FootnoteText"/>
      </w:pPr>
      <w:r w:rsidRPr="00697530">
        <w:rPr>
          <w:rStyle w:val="FootnoteReference"/>
        </w:rPr>
        <w:footnoteRef/>
      </w:r>
      <w:r w:rsidRPr="00697530">
        <w:t xml:space="preserve"> </w:t>
      </w:r>
      <w:r w:rsidRPr="00697530">
        <w:rPr>
          <w:i/>
        </w:rPr>
        <w:t>See</w:t>
      </w:r>
      <w:r w:rsidRPr="00697530">
        <w:t xml:space="preserve"> </w:t>
      </w:r>
      <w:r w:rsidRPr="00697530">
        <w:rPr>
          <w:i/>
        </w:rPr>
        <w:t>id</w:t>
      </w:r>
      <w:r w:rsidRPr="00697530">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A6" w:rsidRDefault="00F06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Default="004D495C" w:rsidP="004D495C">
    <w:pPr>
      <w:pStyle w:val="Header"/>
      <w:rPr>
        <w:b w:val="0"/>
      </w:rPr>
    </w:pPr>
    <w:r>
      <w:tab/>
      <w:t>Federal Communications Commission</w:t>
    </w:r>
    <w:r>
      <w:tab/>
    </w:r>
    <w:r w:rsidR="00A44682">
      <w:rPr>
        <w:spacing w:val="-2"/>
      </w:rPr>
      <w:t>FCC 14-71</w:t>
    </w:r>
  </w:p>
  <w:p w:rsidR="004D495C" w:rsidRDefault="004D495C" w:rsidP="004D495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1C4BC76F" wp14:editId="222EB6FB">
              <wp:simplePos x="0" y="0"/>
              <wp:positionH relativeFrom="margin">
                <wp:posOffset>0</wp:posOffset>
              </wp:positionH>
              <wp:positionV relativeFrom="paragraph">
                <wp:posOffset>0</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DdcCL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4D495C" w:rsidRDefault="004D495C" w:rsidP="004D495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4D495C" w:rsidRDefault="004D495C" w:rsidP="004D495C">
    <w:pPr>
      <w:pStyle w:val="Header"/>
    </w:pPr>
    <w:r>
      <w:rPr>
        <w:noProof/>
        <w:snapToGrid/>
      </w:rPr>
      <mc:AlternateContent>
        <mc:Choice Requires="wps">
          <w:drawing>
            <wp:anchor distT="0" distB="0" distL="114300" distR="114300" simplePos="0" relativeHeight="251659264" behindDoc="1" locked="0" layoutInCell="0" allowOverlap="1" wp14:anchorId="6B68CED6" wp14:editId="2ED3DC55">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A44682">
      <w:rPr>
        <w:spacing w:val="-2"/>
      </w:rPr>
      <w:t>FCC 14-71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0"/>
  </w:num>
  <w:num w:numId="8">
    <w:abstractNumId w:val="9"/>
  </w:num>
  <w:num w:numId="9">
    <w:abstractNumId w:val="5"/>
  </w:num>
  <w:num w:numId="10">
    <w:abstractNumId w:val="8"/>
    <w:lvlOverride w:ilvl="0">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lvlOverride w:ilvl="0">
      <w:startOverride w:val="1"/>
    </w:lvlOverride>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6E"/>
    <w:rsid w:val="0000514B"/>
    <w:rsid w:val="00005307"/>
    <w:rsid w:val="0000567E"/>
    <w:rsid w:val="000154CB"/>
    <w:rsid w:val="000172BB"/>
    <w:rsid w:val="00017E1A"/>
    <w:rsid w:val="0002347A"/>
    <w:rsid w:val="00024949"/>
    <w:rsid w:val="00026099"/>
    <w:rsid w:val="0003226D"/>
    <w:rsid w:val="000334BD"/>
    <w:rsid w:val="00034B93"/>
    <w:rsid w:val="00036039"/>
    <w:rsid w:val="00036FB1"/>
    <w:rsid w:val="00037732"/>
    <w:rsid w:val="00037B2A"/>
    <w:rsid w:val="00037F90"/>
    <w:rsid w:val="000410FE"/>
    <w:rsid w:val="000415BD"/>
    <w:rsid w:val="00050D94"/>
    <w:rsid w:val="000578DD"/>
    <w:rsid w:val="00066F8B"/>
    <w:rsid w:val="000706AE"/>
    <w:rsid w:val="00070EEB"/>
    <w:rsid w:val="00071D6E"/>
    <w:rsid w:val="000804D2"/>
    <w:rsid w:val="00080AB9"/>
    <w:rsid w:val="00083C94"/>
    <w:rsid w:val="00086057"/>
    <w:rsid w:val="000862E9"/>
    <w:rsid w:val="000863E5"/>
    <w:rsid w:val="000875BF"/>
    <w:rsid w:val="00091BEC"/>
    <w:rsid w:val="00095219"/>
    <w:rsid w:val="00096333"/>
    <w:rsid w:val="00096D8C"/>
    <w:rsid w:val="000A20F5"/>
    <w:rsid w:val="000A328B"/>
    <w:rsid w:val="000A4CC8"/>
    <w:rsid w:val="000B0E7A"/>
    <w:rsid w:val="000C0B65"/>
    <w:rsid w:val="000C24F7"/>
    <w:rsid w:val="000C6418"/>
    <w:rsid w:val="000C70E1"/>
    <w:rsid w:val="000D0D4A"/>
    <w:rsid w:val="000E1662"/>
    <w:rsid w:val="000E3D42"/>
    <w:rsid w:val="000E5943"/>
    <w:rsid w:val="000F0A7D"/>
    <w:rsid w:val="000F2692"/>
    <w:rsid w:val="00100862"/>
    <w:rsid w:val="00100BA1"/>
    <w:rsid w:val="00101043"/>
    <w:rsid w:val="001023F8"/>
    <w:rsid w:val="0010393A"/>
    <w:rsid w:val="001043A5"/>
    <w:rsid w:val="00104D8A"/>
    <w:rsid w:val="00105C9E"/>
    <w:rsid w:val="00106585"/>
    <w:rsid w:val="00107990"/>
    <w:rsid w:val="001213C1"/>
    <w:rsid w:val="00122BD5"/>
    <w:rsid w:val="0012416B"/>
    <w:rsid w:val="001338FF"/>
    <w:rsid w:val="0013406C"/>
    <w:rsid w:val="001426B2"/>
    <w:rsid w:val="001428C8"/>
    <w:rsid w:val="00143DFE"/>
    <w:rsid w:val="001520FA"/>
    <w:rsid w:val="00153D24"/>
    <w:rsid w:val="00156E75"/>
    <w:rsid w:val="001652B8"/>
    <w:rsid w:val="00170DF4"/>
    <w:rsid w:val="00171963"/>
    <w:rsid w:val="0017202E"/>
    <w:rsid w:val="00173585"/>
    <w:rsid w:val="00173F1E"/>
    <w:rsid w:val="00175469"/>
    <w:rsid w:val="001801B0"/>
    <w:rsid w:val="00180ACC"/>
    <w:rsid w:val="00182F3A"/>
    <w:rsid w:val="001911FC"/>
    <w:rsid w:val="00196B43"/>
    <w:rsid w:val="001A17BD"/>
    <w:rsid w:val="001B006D"/>
    <w:rsid w:val="001B1820"/>
    <w:rsid w:val="001C29BD"/>
    <w:rsid w:val="001C2D13"/>
    <w:rsid w:val="001C4055"/>
    <w:rsid w:val="001C6D31"/>
    <w:rsid w:val="001C7592"/>
    <w:rsid w:val="001D0AF2"/>
    <w:rsid w:val="001D0F96"/>
    <w:rsid w:val="001D34A0"/>
    <w:rsid w:val="001D6BCF"/>
    <w:rsid w:val="001E01CA"/>
    <w:rsid w:val="001E2D75"/>
    <w:rsid w:val="001E52DC"/>
    <w:rsid w:val="001E57B1"/>
    <w:rsid w:val="001E59B9"/>
    <w:rsid w:val="001E7FBB"/>
    <w:rsid w:val="001F4F21"/>
    <w:rsid w:val="001F5ADF"/>
    <w:rsid w:val="001F6658"/>
    <w:rsid w:val="00200D01"/>
    <w:rsid w:val="00204D3B"/>
    <w:rsid w:val="00204F58"/>
    <w:rsid w:val="00205099"/>
    <w:rsid w:val="00206F7F"/>
    <w:rsid w:val="00210F35"/>
    <w:rsid w:val="00212A60"/>
    <w:rsid w:val="0021491E"/>
    <w:rsid w:val="00215F94"/>
    <w:rsid w:val="00220B00"/>
    <w:rsid w:val="00220C72"/>
    <w:rsid w:val="00221100"/>
    <w:rsid w:val="0022445E"/>
    <w:rsid w:val="00225AC8"/>
    <w:rsid w:val="00226C29"/>
    <w:rsid w:val="00234958"/>
    <w:rsid w:val="002404F2"/>
    <w:rsid w:val="00245C7B"/>
    <w:rsid w:val="00253F00"/>
    <w:rsid w:val="00255510"/>
    <w:rsid w:val="00257A0B"/>
    <w:rsid w:val="00261285"/>
    <w:rsid w:val="00261ED7"/>
    <w:rsid w:val="0026274B"/>
    <w:rsid w:val="00263CA1"/>
    <w:rsid w:val="00264644"/>
    <w:rsid w:val="002674E3"/>
    <w:rsid w:val="00274D07"/>
    <w:rsid w:val="002774C0"/>
    <w:rsid w:val="002833E4"/>
    <w:rsid w:val="00283468"/>
    <w:rsid w:val="00285017"/>
    <w:rsid w:val="00286A39"/>
    <w:rsid w:val="00287A96"/>
    <w:rsid w:val="00293CD5"/>
    <w:rsid w:val="00293F3D"/>
    <w:rsid w:val="00296D2E"/>
    <w:rsid w:val="002A05A6"/>
    <w:rsid w:val="002A2D2E"/>
    <w:rsid w:val="002A5DA4"/>
    <w:rsid w:val="002A603E"/>
    <w:rsid w:val="002B1348"/>
    <w:rsid w:val="002B3268"/>
    <w:rsid w:val="002B6721"/>
    <w:rsid w:val="002C0DF7"/>
    <w:rsid w:val="002C59F8"/>
    <w:rsid w:val="002C746F"/>
    <w:rsid w:val="002C7641"/>
    <w:rsid w:val="002D0118"/>
    <w:rsid w:val="002D41E5"/>
    <w:rsid w:val="002E0D46"/>
    <w:rsid w:val="002E4A98"/>
    <w:rsid w:val="002E6646"/>
    <w:rsid w:val="002F08B1"/>
    <w:rsid w:val="002F2AE2"/>
    <w:rsid w:val="003008ED"/>
    <w:rsid w:val="00301D75"/>
    <w:rsid w:val="003020F3"/>
    <w:rsid w:val="003025CE"/>
    <w:rsid w:val="0030493D"/>
    <w:rsid w:val="0030799A"/>
    <w:rsid w:val="00307EE4"/>
    <w:rsid w:val="00310515"/>
    <w:rsid w:val="00317872"/>
    <w:rsid w:val="0031796C"/>
    <w:rsid w:val="003210EB"/>
    <w:rsid w:val="00324272"/>
    <w:rsid w:val="00325083"/>
    <w:rsid w:val="00332BEE"/>
    <w:rsid w:val="0033322B"/>
    <w:rsid w:val="0033718C"/>
    <w:rsid w:val="00337514"/>
    <w:rsid w:val="00341AD8"/>
    <w:rsid w:val="00343749"/>
    <w:rsid w:val="00347407"/>
    <w:rsid w:val="00353806"/>
    <w:rsid w:val="0035474E"/>
    <w:rsid w:val="003562EE"/>
    <w:rsid w:val="00357558"/>
    <w:rsid w:val="0036145C"/>
    <w:rsid w:val="003625CF"/>
    <w:rsid w:val="00370A76"/>
    <w:rsid w:val="003718C4"/>
    <w:rsid w:val="003728B8"/>
    <w:rsid w:val="00373AC6"/>
    <w:rsid w:val="00374CE5"/>
    <w:rsid w:val="00375A68"/>
    <w:rsid w:val="00375FDB"/>
    <w:rsid w:val="003809A4"/>
    <w:rsid w:val="00381266"/>
    <w:rsid w:val="003819DA"/>
    <w:rsid w:val="00381ADC"/>
    <w:rsid w:val="00383CA9"/>
    <w:rsid w:val="00385E1C"/>
    <w:rsid w:val="0038746F"/>
    <w:rsid w:val="00393689"/>
    <w:rsid w:val="0039424D"/>
    <w:rsid w:val="0039781B"/>
    <w:rsid w:val="00397FC7"/>
    <w:rsid w:val="003A1EDD"/>
    <w:rsid w:val="003A2779"/>
    <w:rsid w:val="003A586E"/>
    <w:rsid w:val="003A60B1"/>
    <w:rsid w:val="003B0550"/>
    <w:rsid w:val="003B2773"/>
    <w:rsid w:val="003B6569"/>
    <w:rsid w:val="003B694F"/>
    <w:rsid w:val="003C0367"/>
    <w:rsid w:val="003C050B"/>
    <w:rsid w:val="003C0A33"/>
    <w:rsid w:val="003C1F57"/>
    <w:rsid w:val="003C21AA"/>
    <w:rsid w:val="003C4968"/>
    <w:rsid w:val="003C7DE7"/>
    <w:rsid w:val="003D0389"/>
    <w:rsid w:val="003D080C"/>
    <w:rsid w:val="003D2BAD"/>
    <w:rsid w:val="003D4BC3"/>
    <w:rsid w:val="003E073B"/>
    <w:rsid w:val="003E2FF0"/>
    <w:rsid w:val="003E694A"/>
    <w:rsid w:val="003E76DA"/>
    <w:rsid w:val="003F13E0"/>
    <w:rsid w:val="003F171C"/>
    <w:rsid w:val="003F21C6"/>
    <w:rsid w:val="003F7453"/>
    <w:rsid w:val="0040049E"/>
    <w:rsid w:val="00412FC5"/>
    <w:rsid w:val="00417246"/>
    <w:rsid w:val="00422276"/>
    <w:rsid w:val="004242F1"/>
    <w:rsid w:val="004319B8"/>
    <w:rsid w:val="004348C0"/>
    <w:rsid w:val="00435F91"/>
    <w:rsid w:val="0043775C"/>
    <w:rsid w:val="00445A00"/>
    <w:rsid w:val="00445B50"/>
    <w:rsid w:val="00446C9D"/>
    <w:rsid w:val="00451B0F"/>
    <w:rsid w:val="00453065"/>
    <w:rsid w:val="00461BD6"/>
    <w:rsid w:val="004706EC"/>
    <w:rsid w:val="00471706"/>
    <w:rsid w:val="00481282"/>
    <w:rsid w:val="00487431"/>
    <w:rsid w:val="00492086"/>
    <w:rsid w:val="00495C34"/>
    <w:rsid w:val="00497ACA"/>
    <w:rsid w:val="004A35CE"/>
    <w:rsid w:val="004A6B27"/>
    <w:rsid w:val="004B09A0"/>
    <w:rsid w:val="004B352C"/>
    <w:rsid w:val="004B6FAB"/>
    <w:rsid w:val="004C2EB7"/>
    <w:rsid w:val="004C2EE3"/>
    <w:rsid w:val="004D1784"/>
    <w:rsid w:val="004D2F9B"/>
    <w:rsid w:val="004D495C"/>
    <w:rsid w:val="004E10F7"/>
    <w:rsid w:val="004E3E24"/>
    <w:rsid w:val="004E4A22"/>
    <w:rsid w:val="004F1B3E"/>
    <w:rsid w:val="004F2ADF"/>
    <w:rsid w:val="004F3D9D"/>
    <w:rsid w:val="005002E2"/>
    <w:rsid w:val="00504440"/>
    <w:rsid w:val="00511584"/>
    <w:rsid w:val="00511968"/>
    <w:rsid w:val="0051263A"/>
    <w:rsid w:val="00514AA3"/>
    <w:rsid w:val="00517B83"/>
    <w:rsid w:val="00521ACB"/>
    <w:rsid w:val="00531308"/>
    <w:rsid w:val="00532874"/>
    <w:rsid w:val="00536658"/>
    <w:rsid w:val="00540D92"/>
    <w:rsid w:val="005434EC"/>
    <w:rsid w:val="00543E17"/>
    <w:rsid w:val="00544348"/>
    <w:rsid w:val="00551852"/>
    <w:rsid w:val="00553DCC"/>
    <w:rsid w:val="005554EE"/>
    <w:rsid w:val="0055614C"/>
    <w:rsid w:val="00557DFD"/>
    <w:rsid w:val="005636E0"/>
    <w:rsid w:val="005714E7"/>
    <w:rsid w:val="00572C31"/>
    <w:rsid w:val="005826BA"/>
    <w:rsid w:val="00585DBC"/>
    <w:rsid w:val="005864A3"/>
    <w:rsid w:val="00591BF5"/>
    <w:rsid w:val="00592E4F"/>
    <w:rsid w:val="005957E6"/>
    <w:rsid w:val="00595CEA"/>
    <w:rsid w:val="005971B3"/>
    <w:rsid w:val="0059729B"/>
    <w:rsid w:val="005A3A25"/>
    <w:rsid w:val="005A5EBD"/>
    <w:rsid w:val="005A76DE"/>
    <w:rsid w:val="005A7EE8"/>
    <w:rsid w:val="005A7F7A"/>
    <w:rsid w:val="005B2C44"/>
    <w:rsid w:val="005B31F5"/>
    <w:rsid w:val="005B4219"/>
    <w:rsid w:val="005C4584"/>
    <w:rsid w:val="005C63A7"/>
    <w:rsid w:val="005D0E41"/>
    <w:rsid w:val="005D36C8"/>
    <w:rsid w:val="005D6E12"/>
    <w:rsid w:val="005E35FB"/>
    <w:rsid w:val="005E4A09"/>
    <w:rsid w:val="005E5456"/>
    <w:rsid w:val="005F3200"/>
    <w:rsid w:val="00604EAA"/>
    <w:rsid w:val="00606F20"/>
    <w:rsid w:val="00607BA5"/>
    <w:rsid w:val="00610BC9"/>
    <w:rsid w:val="006117DD"/>
    <w:rsid w:val="00614086"/>
    <w:rsid w:val="00622318"/>
    <w:rsid w:val="006228B7"/>
    <w:rsid w:val="00626EB6"/>
    <w:rsid w:val="006305A7"/>
    <w:rsid w:val="00630886"/>
    <w:rsid w:val="00633B0F"/>
    <w:rsid w:val="006363B1"/>
    <w:rsid w:val="0063652F"/>
    <w:rsid w:val="0064506C"/>
    <w:rsid w:val="00645397"/>
    <w:rsid w:val="00645599"/>
    <w:rsid w:val="006464B3"/>
    <w:rsid w:val="00650AA1"/>
    <w:rsid w:val="00651DD9"/>
    <w:rsid w:val="0065557E"/>
    <w:rsid w:val="00655D03"/>
    <w:rsid w:val="006577C4"/>
    <w:rsid w:val="00660705"/>
    <w:rsid w:val="00662967"/>
    <w:rsid w:val="00664A29"/>
    <w:rsid w:val="00671766"/>
    <w:rsid w:val="0067575C"/>
    <w:rsid w:val="00676646"/>
    <w:rsid w:val="00681B37"/>
    <w:rsid w:val="00681F2A"/>
    <w:rsid w:val="00683F84"/>
    <w:rsid w:val="00686178"/>
    <w:rsid w:val="006916BC"/>
    <w:rsid w:val="00692F79"/>
    <w:rsid w:val="00694BE5"/>
    <w:rsid w:val="00695A8B"/>
    <w:rsid w:val="00696B28"/>
    <w:rsid w:val="00697530"/>
    <w:rsid w:val="006A1758"/>
    <w:rsid w:val="006A1F3D"/>
    <w:rsid w:val="006A3EF9"/>
    <w:rsid w:val="006A6A81"/>
    <w:rsid w:val="006A6B7E"/>
    <w:rsid w:val="006A703E"/>
    <w:rsid w:val="006B371E"/>
    <w:rsid w:val="006B5078"/>
    <w:rsid w:val="006B61AD"/>
    <w:rsid w:val="006B7A93"/>
    <w:rsid w:val="006C2C76"/>
    <w:rsid w:val="006C5705"/>
    <w:rsid w:val="006D087F"/>
    <w:rsid w:val="006D091F"/>
    <w:rsid w:val="006D3916"/>
    <w:rsid w:val="006E68E4"/>
    <w:rsid w:val="006F21CD"/>
    <w:rsid w:val="006F5D51"/>
    <w:rsid w:val="006F7393"/>
    <w:rsid w:val="006F7F94"/>
    <w:rsid w:val="0070224F"/>
    <w:rsid w:val="007115F7"/>
    <w:rsid w:val="007152B0"/>
    <w:rsid w:val="007270C3"/>
    <w:rsid w:val="00732341"/>
    <w:rsid w:val="007328A1"/>
    <w:rsid w:val="007330B7"/>
    <w:rsid w:val="007346E7"/>
    <w:rsid w:val="007379B4"/>
    <w:rsid w:val="00750229"/>
    <w:rsid w:val="00751571"/>
    <w:rsid w:val="007530F3"/>
    <w:rsid w:val="007550E6"/>
    <w:rsid w:val="007552EA"/>
    <w:rsid w:val="0075759E"/>
    <w:rsid w:val="0076379D"/>
    <w:rsid w:val="00764900"/>
    <w:rsid w:val="00765FE3"/>
    <w:rsid w:val="00770769"/>
    <w:rsid w:val="00772F13"/>
    <w:rsid w:val="0077650F"/>
    <w:rsid w:val="007815BD"/>
    <w:rsid w:val="00785689"/>
    <w:rsid w:val="007876B7"/>
    <w:rsid w:val="00791BA6"/>
    <w:rsid w:val="0079754B"/>
    <w:rsid w:val="007A1E6D"/>
    <w:rsid w:val="007A6008"/>
    <w:rsid w:val="007A6117"/>
    <w:rsid w:val="007B7BAC"/>
    <w:rsid w:val="007C5E14"/>
    <w:rsid w:val="007C5EDD"/>
    <w:rsid w:val="007C7DAD"/>
    <w:rsid w:val="007C7F20"/>
    <w:rsid w:val="007D0894"/>
    <w:rsid w:val="007D0FFC"/>
    <w:rsid w:val="007D1005"/>
    <w:rsid w:val="007D2D88"/>
    <w:rsid w:val="007E6888"/>
    <w:rsid w:val="007F0407"/>
    <w:rsid w:val="007F170D"/>
    <w:rsid w:val="007F3EC0"/>
    <w:rsid w:val="007F7753"/>
    <w:rsid w:val="00802CA1"/>
    <w:rsid w:val="00807D32"/>
    <w:rsid w:val="008125CF"/>
    <w:rsid w:val="008158B7"/>
    <w:rsid w:val="008164DF"/>
    <w:rsid w:val="00816DDE"/>
    <w:rsid w:val="00822CE0"/>
    <w:rsid w:val="00827080"/>
    <w:rsid w:val="00827CCB"/>
    <w:rsid w:val="00830842"/>
    <w:rsid w:val="0083107D"/>
    <w:rsid w:val="00831249"/>
    <w:rsid w:val="00832481"/>
    <w:rsid w:val="00832D62"/>
    <w:rsid w:val="00832ECA"/>
    <w:rsid w:val="008378F9"/>
    <w:rsid w:val="00841AB1"/>
    <w:rsid w:val="00841B7C"/>
    <w:rsid w:val="008738B1"/>
    <w:rsid w:val="00875B83"/>
    <w:rsid w:val="00876D6A"/>
    <w:rsid w:val="00877EC3"/>
    <w:rsid w:val="00877FDB"/>
    <w:rsid w:val="00883A84"/>
    <w:rsid w:val="00892768"/>
    <w:rsid w:val="00895937"/>
    <w:rsid w:val="00896E08"/>
    <w:rsid w:val="008A0B57"/>
    <w:rsid w:val="008A4063"/>
    <w:rsid w:val="008A414A"/>
    <w:rsid w:val="008A691E"/>
    <w:rsid w:val="008B2C4E"/>
    <w:rsid w:val="008B3958"/>
    <w:rsid w:val="008B4DBF"/>
    <w:rsid w:val="008B7A0C"/>
    <w:rsid w:val="008C4F10"/>
    <w:rsid w:val="008C6706"/>
    <w:rsid w:val="008C6BE3"/>
    <w:rsid w:val="008C6F0B"/>
    <w:rsid w:val="008D12E0"/>
    <w:rsid w:val="008D1BDA"/>
    <w:rsid w:val="008D41FC"/>
    <w:rsid w:val="008E05DF"/>
    <w:rsid w:val="008E4974"/>
    <w:rsid w:val="008E74B9"/>
    <w:rsid w:val="008F2836"/>
    <w:rsid w:val="008F3F23"/>
    <w:rsid w:val="008F4AB8"/>
    <w:rsid w:val="008F4B00"/>
    <w:rsid w:val="00900C33"/>
    <w:rsid w:val="00901882"/>
    <w:rsid w:val="00903D6A"/>
    <w:rsid w:val="009058E6"/>
    <w:rsid w:val="00906CCA"/>
    <w:rsid w:val="00907B6C"/>
    <w:rsid w:val="009168CE"/>
    <w:rsid w:val="00921803"/>
    <w:rsid w:val="0092182D"/>
    <w:rsid w:val="0092248D"/>
    <w:rsid w:val="009226C7"/>
    <w:rsid w:val="009235BC"/>
    <w:rsid w:val="00924702"/>
    <w:rsid w:val="00926503"/>
    <w:rsid w:val="00927DA6"/>
    <w:rsid w:val="009303A4"/>
    <w:rsid w:val="00936338"/>
    <w:rsid w:val="0094180F"/>
    <w:rsid w:val="009424D4"/>
    <w:rsid w:val="0094327B"/>
    <w:rsid w:val="00943BCC"/>
    <w:rsid w:val="00954E67"/>
    <w:rsid w:val="00957556"/>
    <w:rsid w:val="00963C29"/>
    <w:rsid w:val="009665E3"/>
    <w:rsid w:val="00970219"/>
    <w:rsid w:val="00971080"/>
    <w:rsid w:val="00973B87"/>
    <w:rsid w:val="0097467F"/>
    <w:rsid w:val="009750EF"/>
    <w:rsid w:val="0097616E"/>
    <w:rsid w:val="00976542"/>
    <w:rsid w:val="009769FC"/>
    <w:rsid w:val="0097748C"/>
    <w:rsid w:val="00982EAD"/>
    <w:rsid w:val="009834AF"/>
    <w:rsid w:val="009937A1"/>
    <w:rsid w:val="0099418D"/>
    <w:rsid w:val="0099527B"/>
    <w:rsid w:val="00995ED5"/>
    <w:rsid w:val="00996E04"/>
    <w:rsid w:val="009A2256"/>
    <w:rsid w:val="009A5BF8"/>
    <w:rsid w:val="009B1EC1"/>
    <w:rsid w:val="009B48FA"/>
    <w:rsid w:val="009B6B0F"/>
    <w:rsid w:val="009B70A6"/>
    <w:rsid w:val="009C6491"/>
    <w:rsid w:val="009D13F0"/>
    <w:rsid w:val="009D2359"/>
    <w:rsid w:val="009D3433"/>
    <w:rsid w:val="009E2C3C"/>
    <w:rsid w:val="009E3EA1"/>
    <w:rsid w:val="009E56C0"/>
    <w:rsid w:val="009E5E55"/>
    <w:rsid w:val="009F17A8"/>
    <w:rsid w:val="009F3857"/>
    <w:rsid w:val="009F3D6E"/>
    <w:rsid w:val="00A04761"/>
    <w:rsid w:val="00A04CAB"/>
    <w:rsid w:val="00A052A6"/>
    <w:rsid w:val="00A0542D"/>
    <w:rsid w:val="00A07F4C"/>
    <w:rsid w:val="00A15AC0"/>
    <w:rsid w:val="00A238C4"/>
    <w:rsid w:val="00A24673"/>
    <w:rsid w:val="00A2782C"/>
    <w:rsid w:val="00A27BDC"/>
    <w:rsid w:val="00A31F69"/>
    <w:rsid w:val="00A3269E"/>
    <w:rsid w:val="00A33C17"/>
    <w:rsid w:val="00A35C99"/>
    <w:rsid w:val="00A3647B"/>
    <w:rsid w:val="00A37FFD"/>
    <w:rsid w:val="00A40E94"/>
    <w:rsid w:val="00A42420"/>
    <w:rsid w:val="00A424A7"/>
    <w:rsid w:val="00A42F97"/>
    <w:rsid w:val="00A43C19"/>
    <w:rsid w:val="00A443CD"/>
    <w:rsid w:val="00A44682"/>
    <w:rsid w:val="00A45F4F"/>
    <w:rsid w:val="00A47275"/>
    <w:rsid w:val="00A47DD7"/>
    <w:rsid w:val="00A532C0"/>
    <w:rsid w:val="00A56928"/>
    <w:rsid w:val="00A600A9"/>
    <w:rsid w:val="00A64EB3"/>
    <w:rsid w:val="00A73914"/>
    <w:rsid w:val="00A779D5"/>
    <w:rsid w:val="00A81C93"/>
    <w:rsid w:val="00A96719"/>
    <w:rsid w:val="00AA1945"/>
    <w:rsid w:val="00AA55B7"/>
    <w:rsid w:val="00AA5B9E"/>
    <w:rsid w:val="00AB2407"/>
    <w:rsid w:val="00AB25EF"/>
    <w:rsid w:val="00AB3BC9"/>
    <w:rsid w:val="00AB41A8"/>
    <w:rsid w:val="00AB4FF9"/>
    <w:rsid w:val="00AB53DF"/>
    <w:rsid w:val="00AC11C7"/>
    <w:rsid w:val="00AC1E2B"/>
    <w:rsid w:val="00AD07A0"/>
    <w:rsid w:val="00AD2476"/>
    <w:rsid w:val="00AD2775"/>
    <w:rsid w:val="00AD538C"/>
    <w:rsid w:val="00AD59BF"/>
    <w:rsid w:val="00AD5E27"/>
    <w:rsid w:val="00AD5F8C"/>
    <w:rsid w:val="00AD77B4"/>
    <w:rsid w:val="00AD7C29"/>
    <w:rsid w:val="00AE19A1"/>
    <w:rsid w:val="00AE35B4"/>
    <w:rsid w:val="00AE3D2E"/>
    <w:rsid w:val="00AE50FC"/>
    <w:rsid w:val="00AF3265"/>
    <w:rsid w:val="00B02E7F"/>
    <w:rsid w:val="00B07E5C"/>
    <w:rsid w:val="00B1063B"/>
    <w:rsid w:val="00B10798"/>
    <w:rsid w:val="00B1780E"/>
    <w:rsid w:val="00B17CD1"/>
    <w:rsid w:val="00B21DAA"/>
    <w:rsid w:val="00B364C2"/>
    <w:rsid w:val="00B37CE5"/>
    <w:rsid w:val="00B42CFD"/>
    <w:rsid w:val="00B44C16"/>
    <w:rsid w:val="00B5145D"/>
    <w:rsid w:val="00B53C30"/>
    <w:rsid w:val="00B54FAF"/>
    <w:rsid w:val="00B6141C"/>
    <w:rsid w:val="00B61D1A"/>
    <w:rsid w:val="00B63372"/>
    <w:rsid w:val="00B64323"/>
    <w:rsid w:val="00B64BD1"/>
    <w:rsid w:val="00B65DB3"/>
    <w:rsid w:val="00B675DA"/>
    <w:rsid w:val="00B72E0F"/>
    <w:rsid w:val="00B80A2F"/>
    <w:rsid w:val="00B811F7"/>
    <w:rsid w:val="00B84C7E"/>
    <w:rsid w:val="00B8654E"/>
    <w:rsid w:val="00B87100"/>
    <w:rsid w:val="00B90B1F"/>
    <w:rsid w:val="00B95DE8"/>
    <w:rsid w:val="00B969B3"/>
    <w:rsid w:val="00BA5D7F"/>
    <w:rsid w:val="00BA5DC6"/>
    <w:rsid w:val="00BA6196"/>
    <w:rsid w:val="00BA6360"/>
    <w:rsid w:val="00BB04EA"/>
    <w:rsid w:val="00BB1175"/>
    <w:rsid w:val="00BB5479"/>
    <w:rsid w:val="00BB6CBA"/>
    <w:rsid w:val="00BC1986"/>
    <w:rsid w:val="00BC1EE7"/>
    <w:rsid w:val="00BC4F0C"/>
    <w:rsid w:val="00BC6D8C"/>
    <w:rsid w:val="00BC6FA0"/>
    <w:rsid w:val="00BC7200"/>
    <w:rsid w:val="00BC79C1"/>
    <w:rsid w:val="00BC79F6"/>
    <w:rsid w:val="00BC7B80"/>
    <w:rsid w:val="00BD1DA2"/>
    <w:rsid w:val="00BD2DB2"/>
    <w:rsid w:val="00BD3B88"/>
    <w:rsid w:val="00BD3D19"/>
    <w:rsid w:val="00BD703A"/>
    <w:rsid w:val="00BD721F"/>
    <w:rsid w:val="00BE1780"/>
    <w:rsid w:val="00BE5101"/>
    <w:rsid w:val="00BF7B8C"/>
    <w:rsid w:val="00C01078"/>
    <w:rsid w:val="00C10FE4"/>
    <w:rsid w:val="00C11E24"/>
    <w:rsid w:val="00C205D9"/>
    <w:rsid w:val="00C21397"/>
    <w:rsid w:val="00C21F78"/>
    <w:rsid w:val="00C2467B"/>
    <w:rsid w:val="00C30F4F"/>
    <w:rsid w:val="00C33E2A"/>
    <w:rsid w:val="00C34006"/>
    <w:rsid w:val="00C400D1"/>
    <w:rsid w:val="00C426B1"/>
    <w:rsid w:val="00C45DF1"/>
    <w:rsid w:val="00C478C2"/>
    <w:rsid w:val="00C549B9"/>
    <w:rsid w:val="00C62D1F"/>
    <w:rsid w:val="00C72E5D"/>
    <w:rsid w:val="00C72F50"/>
    <w:rsid w:val="00C85653"/>
    <w:rsid w:val="00C90D6A"/>
    <w:rsid w:val="00C9395F"/>
    <w:rsid w:val="00C94C6E"/>
    <w:rsid w:val="00CA060E"/>
    <w:rsid w:val="00CA12D7"/>
    <w:rsid w:val="00CA136A"/>
    <w:rsid w:val="00CA1ACC"/>
    <w:rsid w:val="00CA247E"/>
    <w:rsid w:val="00CA27DC"/>
    <w:rsid w:val="00CA33D1"/>
    <w:rsid w:val="00CA353B"/>
    <w:rsid w:val="00CB1750"/>
    <w:rsid w:val="00CB4B47"/>
    <w:rsid w:val="00CB69EE"/>
    <w:rsid w:val="00CC4C7C"/>
    <w:rsid w:val="00CC72B6"/>
    <w:rsid w:val="00CE52B6"/>
    <w:rsid w:val="00CE6076"/>
    <w:rsid w:val="00CE77D0"/>
    <w:rsid w:val="00CE7ED5"/>
    <w:rsid w:val="00CF0745"/>
    <w:rsid w:val="00CF246C"/>
    <w:rsid w:val="00D0218D"/>
    <w:rsid w:val="00D06CE7"/>
    <w:rsid w:val="00D07143"/>
    <w:rsid w:val="00D0759F"/>
    <w:rsid w:val="00D13B79"/>
    <w:rsid w:val="00D2522F"/>
    <w:rsid w:val="00D261BA"/>
    <w:rsid w:val="00D30C17"/>
    <w:rsid w:val="00D345B0"/>
    <w:rsid w:val="00D3626A"/>
    <w:rsid w:val="00D370A7"/>
    <w:rsid w:val="00D43572"/>
    <w:rsid w:val="00D44D10"/>
    <w:rsid w:val="00D47973"/>
    <w:rsid w:val="00D47F6E"/>
    <w:rsid w:val="00D515DB"/>
    <w:rsid w:val="00D5163E"/>
    <w:rsid w:val="00D54584"/>
    <w:rsid w:val="00D567B2"/>
    <w:rsid w:val="00D616F2"/>
    <w:rsid w:val="00D62099"/>
    <w:rsid w:val="00D66D67"/>
    <w:rsid w:val="00D71634"/>
    <w:rsid w:val="00D72D68"/>
    <w:rsid w:val="00D8266B"/>
    <w:rsid w:val="00D826BD"/>
    <w:rsid w:val="00D838FA"/>
    <w:rsid w:val="00D8741B"/>
    <w:rsid w:val="00D9128B"/>
    <w:rsid w:val="00D93421"/>
    <w:rsid w:val="00D95688"/>
    <w:rsid w:val="00D97367"/>
    <w:rsid w:val="00DA1957"/>
    <w:rsid w:val="00DA1D5D"/>
    <w:rsid w:val="00DA2529"/>
    <w:rsid w:val="00DA257B"/>
    <w:rsid w:val="00DA735D"/>
    <w:rsid w:val="00DA7477"/>
    <w:rsid w:val="00DB130A"/>
    <w:rsid w:val="00DB19B5"/>
    <w:rsid w:val="00DB4F5A"/>
    <w:rsid w:val="00DB535D"/>
    <w:rsid w:val="00DB7701"/>
    <w:rsid w:val="00DC10A1"/>
    <w:rsid w:val="00DC1872"/>
    <w:rsid w:val="00DC5635"/>
    <w:rsid w:val="00DC655F"/>
    <w:rsid w:val="00DD0B59"/>
    <w:rsid w:val="00DD19BF"/>
    <w:rsid w:val="00DD7EBD"/>
    <w:rsid w:val="00DE5634"/>
    <w:rsid w:val="00DE7126"/>
    <w:rsid w:val="00DF4234"/>
    <w:rsid w:val="00DF54B8"/>
    <w:rsid w:val="00DF62B6"/>
    <w:rsid w:val="00DF6A9C"/>
    <w:rsid w:val="00E0489A"/>
    <w:rsid w:val="00E07225"/>
    <w:rsid w:val="00E134A2"/>
    <w:rsid w:val="00E202B7"/>
    <w:rsid w:val="00E24B65"/>
    <w:rsid w:val="00E25E83"/>
    <w:rsid w:val="00E26F34"/>
    <w:rsid w:val="00E30622"/>
    <w:rsid w:val="00E31FE3"/>
    <w:rsid w:val="00E34E85"/>
    <w:rsid w:val="00E502C3"/>
    <w:rsid w:val="00E50A27"/>
    <w:rsid w:val="00E53AA9"/>
    <w:rsid w:val="00E5409F"/>
    <w:rsid w:val="00E5465C"/>
    <w:rsid w:val="00E61E0D"/>
    <w:rsid w:val="00E65D6D"/>
    <w:rsid w:val="00E74B18"/>
    <w:rsid w:val="00E754B9"/>
    <w:rsid w:val="00E82C1B"/>
    <w:rsid w:val="00E82FE8"/>
    <w:rsid w:val="00E8643B"/>
    <w:rsid w:val="00E86C5A"/>
    <w:rsid w:val="00E86E8D"/>
    <w:rsid w:val="00E873BF"/>
    <w:rsid w:val="00E87E29"/>
    <w:rsid w:val="00E934BF"/>
    <w:rsid w:val="00E955B0"/>
    <w:rsid w:val="00E97C08"/>
    <w:rsid w:val="00EA093A"/>
    <w:rsid w:val="00EA1C64"/>
    <w:rsid w:val="00EA797D"/>
    <w:rsid w:val="00EA7C54"/>
    <w:rsid w:val="00EB067B"/>
    <w:rsid w:val="00EB1771"/>
    <w:rsid w:val="00EB24EB"/>
    <w:rsid w:val="00EB3388"/>
    <w:rsid w:val="00EB43DB"/>
    <w:rsid w:val="00EC1F3E"/>
    <w:rsid w:val="00EC3D22"/>
    <w:rsid w:val="00EC46A3"/>
    <w:rsid w:val="00ED0053"/>
    <w:rsid w:val="00ED11CA"/>
    <w:rsid w:val="00ED252D"/>
    <w:rsid w:val="00ED3472"/>
    <w:rsid w:val="00ED37D2"/>
    <w:rsid w:val="00ED67AD"/>
    <w:rsid w:val="00EE17AF"/>
    <w:rsid w:val="00EE3CD7"/>
    <w:rsid w:val="00EE3E89"/>
    <w:rsid w:val="00EE6488"/>
    <w:rsid w:val="00EE7A98"/>
    <w:rsid w:val="00EF2BF1"/>
    <w:rsid w:val="00EF7961"/>
    <w:rsid w:val="00F01A19"/>
    <w:rsid w:val="00F01EFE"/>
    <w:rsid w:val="00F021FA"/>
    <w:rsid w:val="00F02D84"/>
    <w:rsid w:val="00F04BF3"/>
    <w:rsid w:val="00F05B42"/>
    <w:rsid w:val="00F06EA6"/>
    <w:rsid w:val="00F116E6"/>
    <w:rsid w:val="00F14E73"/>
    <w:rsid w:val="00F156C5"/>
    <w:rsid w:val="00F20409"/>
    <w:rsid w:val="00F2101A"/>
    <w:rsid w:val="00F22727"/>
    <w:rsid w:val="00F2771D"/>
    <w:rsid w:val="00F30748"/>
    <w:rsid w:val="00F36E0A"/>
    <w:rsid w:val="00F40231"/>
    <w:rsid w:val="00F42519"/>
    <w:rsid w:val="00F46F81"/>
    <w:rsid w:val="00F47393"/>
    <w:rsid w:val="00F5019A"/>
    <w:rsid w:val="00F53321"/>
    <w:rsid w:val="00F5404B"/>
    <w:rsid w:val="00F62AED"/>
    <w:rsid w:val="00F62E97"/>
    <w:rsid w:val="00F63C95"/>
    <w:rsid w:val="00F64209"/>
    <w:rsid w:val="00F707FB"/>
    <w:rsid w:val="00F73C69"/>
    <w:rsid w:val="00F802E9"/>
    <w:rsid w:val="00F81413"/>
    <w:rsid w:val="00F82CCC"/>
    <w:rsid w:val="00F82ED4"/>
    <w:rsid w:val="00F8409B"/>
    <w:rsid w:val="00F859CB"/>
    <w:rsid w:val="00F85D47"/>
    <w:rsid w:val="00F93BF5"/>
    <w:rsid w:val="00F94712"/>
    <w:rsid w:val="00F950A7"/>
    <w:rsid w:val="00F95D6C"/>
    <w:rsid w:val="00F96C67"/>
    <w:rsid w:val="00FA3920"/>
    <w:rsid w:val="00FA3E18"/>
    <w:rsid w:val="00FA4CDF"/>
    <w:rsid w:val="00FA4EF5"/>
    <w:rsid w:val="00FA5B7E"/>
    <w:rsid w:val="00FA6881"/>
    <w:rsid w:val="00FA79AB"/>
    <w:rsid w:val="00FB342D"/>
    <w:rsid w:val="00FB59B3"/>
    <w:rsid w:val="00FC2D27"/>
    <w:rsid w:val="00FC3F34"/>
    <w:rsid w:val="00FD0DE3"/>
    <w:rsid w:val="00FD16CD"/>
    <w:rsid w:val="00FD348C"/>
    <w:rsid w:val="00FD56C5"/>
    <w:rsid w:val="00FE6888"/>
    <w:rsid w:val="00FF06F9"/>
    <w:rsid w:val="00F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F0C"/>
    <w:pPr>
      <w:widowControl w:val="0"/>
    </w:pPr>
    <w:rPr>
      <w:snapToGrid w:val="0"/>
      <w:kern w:val="28"/>
      <w:sz w:val="22"/>
    </w:rPr>
  </w:style>
  <w:style w:type="paragraph" w:styleId="Heading1">
    <w:name w:val="heading 1"/>
    <w:basedOn w:val="Normal"/>
    <w:next w:val="ParaNum"/>
    <w:link w:val="Heading1Char"/>
    <w:qFormat/>
    <w:rsid w:val="00BC4F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C4F0C"/>
    <w:pPr>
      <w:keepNext/>
      <w:numPr>
        <w:ilvl w:val="1"/>
        <w:numId w:val="3"/>
      </w:numPr>
      <w:spacing w:after="120"/>
      <w:outlineLvl w:val="1"/>
    </w:pPr>
    <w:rPr>
      <w:b/>
    </w:rPr>
  </w:style>
  <w:style w:type="paragraph" w:styleId="Heading3">
    <w:name w:val="heading 3"/>
    <w:basedOn w:val="Normal"/>
    <w:next w:val="ParaNum"/>
    <w:link w:val="Heading3Char"/>
    <w:qFormat/>
    <w:rsid w:val="00BC4F0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C4F0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C4F0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C4F0C"/>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C4F0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C4F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C4F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C4F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F0C"/>
  </w:style>
  <w:style w:type="paragraph" w:customStyle="1" w:styleId="ParaNum">
    <w:name w:val="ParaNum"/>
    <w:basedOn w:val="Normal"/>
    <w:link w:val="ParaNumChar1"/>
    <w:rsid w:val="00BC4F0C"/>
    <w:pPr>
      <w:numPr>
        <w:numId w:val="2"/>
      </w:numPr>
      <w:tabs>
        <w:tab w:val="clear" w:pos="1080"/>
        <w:tab w:val="num" w:pos="1440"/>
      </w:tabs>
      <w:spacing w:after="120"/>
    </w:pPr>
  </w:style>
  <w:style w:type="paragraph" w:styleId="EndnoteText">
    <w:name w:val="endnote text"/>
    <w:basedOn w:val="Normal"/>
    <w:semiHidden/>
    <w:rsid w:val="00BC4F0C"/>
    <w:rPr>
      <w:sz w:val="20"/>
    </w:rPr>
  </w:style>
  <w:style w:type="character" w:styleId="EndnoteReference">
    <w:name w:val="endnote reference"/>
    <w:semiHidden/>
    <w:rsid w:val="00BC4F0C"/>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BC4F0C"/>
    <w:pPr>
      <w:spacing w:after="120"/>
    </w:pPr>
  </w:style>
  <w:style w:type="character" w:styleId="FootnoteReference">
    <w:name w:val="footnote reference"/>
    <w:aliases w:val="Style 12,(NECG) Footnote Reference,Appel note de bas de p,Style 124,o,fr,Style 3,Style 13,FR,Style 17,Style 6,Footnote Reference/"/>
    <w:rsid w:val="00BC4F0C"/>
    <w:rPr>
      <w:rFonts w:ascii="Times New Roman" w:hAnsi="Times New Roman"/>
      <w:dstrike w:val="0"/>
      <w:color w:val="auto"/>
      <w:sz w:val="20"/>
      <w:vertAlign w:val="superscript"/>
    </w:rPr>
  </w:style>
  <w:style w:type="paragraph" w:styleId="TOC1">
    <w:name w:val="toc 1"/>
    <w:basedOn w:val="Normal"/>
    <w:next w:val="Normal"/>
    <w:semiHidden/>
    <w:rsid w:val="00BC4F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4F0C"/>
    <w:pPr>
      <w:tabs>
        <w:tab w:val="left" w:pos="720"/>
        <w:tab w:val="right" w:leader="dot" w:pos="9360"/>
      </w:tabs>
      <w:suppressAutoHyphens/>
      <w:ind w:left="720" w:right="720" w:hanging="360"/>
    </w:pPr>
    <w:rPr>
      <w:noProof/>
    </w:rPr>
  </w:style>
  <w:style w:type="paragraph" w:styleId="TOC3">
    <w:name w:val="toc 3"/>
    <w:basedOn w:val="Normal"/>
    <w:next w:val="Normal"/>
    <w:semiHidden/>
    <w:rsid w:val="00BC4F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4F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4F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4F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4F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4F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4F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4F0C"/>
    <w:pPr>
      <w:tabs>
        <w:tab w:val="right" w:pos="9360"/>
      </w:tabs>
      <w:suppressAutoHyphens/>
    </w:pPr>
  </w:style>
  <w:style w:type="character" w:customStyle="1" w:styleId="EquationCaption">
    <w:name w:val="_Equation Caption"/>
    <w:rsid w:val="00BC4F0C"/>
  </w:style>
  <w:style w:type="paragraph" w:styleId="Header">
    <w:name w:val="header"/>
    <w:basedOn w:val="Normal"/>
    <w:autoRedefine/>
    <w:rsid w:val="00BC4F0C"/>
    <w:pPr>
      <w:tabs>
        <w:tab w:val="center" w:pos="4680"/>
        <w:tab w:val="right" w:pos="9360"/>
      </w:tabs>
    </w:pPr>
    <w:rPr>
      <w:b/>
    </w:rPr>
  </w:style>
  <w:style w:type="paragraph" w:styleId="Footer">
    <w:name w:val="footer"/>
    <w:basedOn w:val="Normal"/>
    <w:link w:val="FooterChar"/>
    <w:rsid w:val="00BC4F0C"/>
    <w:pPr>
      <w:tabs>
        <w:tab w:val="center" w:pos="4320"/>
        <w:tab w:val="right" w:pos="8640"/>
      </w:tabs>
    </w:pPr>
  </w:style>
  <w:style w:type="character" w:styleId="PageNumber">
    <w:name w:val="page number"/>
    <w:basedOn w:val="DefaultParagraphFont"/>
    <w:rsid w:val="00BC4F0C"/>
  </w:style>
  <w:style w:type="paragraph" w:styleId="BlockText">
    <w:name w:val="Block Text"/>
    <w:basedOn w:val="Normal"/>
    <w:rsid w:val="00BC4F0C"/>
    <w:pPr>
      <w:spacing w:after="240"/>
      <w:ind w:left="1440" w:right="1440"/>
    </w:pPr>
  </w:style>
  <w:style w:type="paragraph" w:customStyle="1" w:styleId="Paratitle">
    <w:name w:val="Para title"/>
    <w:basedOn w:val="Normal"/>
    <w:rsid w:val="00BC4F0C"/>
    <w:pPr>
      <w:tabs>
        <w:tab w:val="center" w:pos="9270"/>
      </w:tabs>
      <w:spacing w:after="240"/>
    </w:pPr>
    <w:rPr>
      <w:spacing w:val="-2"/>
    </w:rPr>
  </w:style>
  <w:style w:type="paragraph" w:customStyle="1" w:styleId="Bullet">
    <w:name w:val="Bullet"/>
    <w:basedOn w:val="Normal"/>
    <w:rsid w:val="00BC4F0C"/>
    <w:pPr>
      <w:tabs>
        <w:tab w:val="left" w:pos="2160"/>
      </w:tabs>
      <w:spacing w:after="220"/>
      <w:ind w:left="2160" w:hanging="720"/>
    </w:pPr>
  </w:style>
  <w:style w:type="paragraph" w:customStyle="1" w:styleId="TableFormat">
    <w:name w:val="TableFormat"/>
    <w:basedOn w:val="Bullet"/>
    <w:rsid w:val="00BC4F0C"/>
    <w:pPr>
      <w:tabs>
        <w:tab w:val="clear" w:pos="2160"/>
        <w:tab w:val="left" w:pos="5040"/>
      </w:tabs>
      <w:ind w:left="5040" w:hanging="3600"/>
    </w:pPr>
  </w:style>
  <w:style w:type="paragraph" w:customStyle="1" w:styleId="TOCTitle">
    <w:name w:val="TOC Title"/>
    <w:basedOn w:val="Normal"/>
    <w:rsid w:val="00BC4F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4F0C"/>
    <w:pPr>
      <w:jc w:val="center"/>
    </w:pPr>
    <w:rPr>
      <w:rFonts w:ascii="Times New Roman Bold" w:hAnsi="Times New Roman Bold"/>
      <w:b/>
      <w:bCs/>
      <w:caps/>
      <w:szCs w:val="22"/>
    </w:rPr>
  </w:style>
  <w:style w:type="character" w:styleId="Hyperlink">
    <w:name w:val="Hyperlink"/>
    <w:rsid w:val="00BC4F0C"/>
    <w:rPr>
      <w:color w:val="0000FF"/>
      <w:u w:val="single"/>
    </w:rPr>
  </w:style>
  <w:style w:type="character" w:customStyle="1" w:styleId="Heading1Char">
    <w:name w:val="Heading 1 Char"/>
    <w:link w:val="Heading1"/>
    <w:rsid w:val="007C7DAD"/>
    <w:rPr>
      <w:rFonts w:ascii="Times New Roman Bold" w:hAnsi="Times New Roman Bold"/>
      <w:b/>
      <w:caps/>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04D8A"/>
  </w:style>
  <w:style w:type="character" w:customStyle="1" w:styleId="ParaNumChar1">
    <w:name w:val="ParaNum Char1"/>
    <w:link w:val="ParaNum"/>
    <w:rsid w:val="00086057"/>
    <w:rPr>
      <w:snapToGrid w:val="0"/>
      <w:kern w:val="28"/>
      <w:sz w:val="22"/>
    </w:rPr>
  </w:style>
  <w:style w:type="character" w:customStyle="1" w:styleId="Heading2Char">
    <w:name w:val="Heading 2 Char"/>
    <w:link w:val="Heading2"/>
    <w:rsid w:val="007C7DAD"/>
    <w:rPr>
      <w:b/>
      <w:snapToGrid w:val="0"/>
      <w:kern w:val="28"/>
      <w:sz w:val="22"/>
    </w:rPr>
  </w:style>
  <w:style w:type="character" w:customStyle="1" w:styleId="StyleFootnoteReferenceStyle13Style12NECGFootnoteReferenc">
    <w:name w:val="Style Footnote ReferenceStyle 13Style 12(NECG) Footnote Referenc..."/>
    <w:rsid w:val="00086057"/>
    <w:rPr>
      <w:rFonts w:ascii="Times New Roman" w:hAnsi="Times New Roman"/>
      <w:dstrike w:val="0"/>
      <w:color w:val="auto"/>
      <w:sz w:val="20"/>
      <w:vertAlign w:val="superscript"/>
    </w:rPr>
  </w:style>
  <w:style w:type="character" w:customStyle="1" w:styleId="Footnote">
    <w:name w:val="Footnote"/>
    <w:basedOn w:val="DefaultParagraphFont"/>
    <w:rsid w:val="00086057"/>
  </w:style>
  <w:style w:type="character" w:customStyle="1" w:styleId="StyleFootnoteReferenceStyle13Style12NECGFootnoteReferenc1">
    <w:name w:val="Style Footnote ReferenceStyle 13Style 12(NECG) Footnote Referenc...1"/>
    <w:rsid w:val="00086057"/>
    <w:rPr>
      <w:rFonts w:ascii="Times New Roman" w:hAnsi="Times New Roman" w:cs="Times New Roman"/>
      <w:dstrike w:val="0"/>
      <w:color w:val="auto"/>
      <w:sz w:val="20"/>
      <w:vertAlign w:val="superscript"/>
    </w:rPr>
  </w:style>
  <w:style w:type="character" w:styleId="FollowedHyperlink">
    <w:name w:val="FollowedHyperlink"/>
    <w:basedOn w:val="DefaultParagraphFont"/>
    <w:rsid w:val="003C050B"/>
    <w:rPr>
      <w:color w:val="800080" w:themeColor="followedHyperlink"/>
      <w:u w:val="single"/>
    </w:rPr>
  </w:style>
  <w:style w:type="character" w:styleId="CommentReference">
    <w:name w:val="annotation reference"/>
    <w:basedOn w:val="DefaultParagraphFont"/>
    <w:rsid w:val="00CF246C"/>
    <w:rPr>
      <w:sz w:val="16"/>
      <w:szCs w:val="16"/>
    </w:rPr>
  </w:style>
  <w:style w:type="paragraph" w:styleId="CommentText">
    <w:name w:val="annotation text"/>
    <w:basedOn w:val="Normal"/>
    <w:link w:val="CommentTextChar"/>
    <w:rsid w:val="00CF246C"/>
    <w:rPr>
      <w:sz w:val="20"/>
    </w:rPr>
  </w:style>
  <w:style w:type="character" w:customStyle="1" w:styleId="CommentTextChar">
    <w:name w:val="Comment Text Char"/>
    <w:basedOn w:val="DefaultParagraphFont"/>
    <w:link w:val="CommentText"/>
    <w:rsid w:val="00CF246C"/>
    <w:rPr>
      <w:snapToGrid w:val="0"/>
      <w:kern w:val="28"/>
    </w:rPr>
  </w:style>
  <w:style w:type="paragraph" w:styleId="CommentSubject">
    <w:name w:val="annotation subject"/>
    <w:basedOn w:val="CommentText"/>
    <w:next w:val="CommentText"/>
    <w:link w:val="CommentSubjectChar"/>
    <w:rsid w:val="00CF246C"/>
    <w:rPr>
      <w:b/>
      <w:bCs/>
    </w:rPr>
  </w:style>
  <w:style w:type="character" w:customStyle="1" w:styleId="CommentSubjectChar">
    <w:name w:val="Comment Subject Char"/>
    <w:basedOn w:val="CommentTextChar"/>
    <w:link w:val="CommentSubject"/>
    <w:rsid w:val="00CF246C"/>
    <w:rPr>
      <w:b/>
      <w:bCs/>
      <w:snapToGrid w:val="0"/>
      <w:kern w:val="28"/>
    </w:rPr>
  </w:style>
  <w:style w:type="paragraph" w:styleId="BalloonText">
    <w:name w:val="Balloon Text"/>
    <w:basedOn w:val="Normal"/>
    <w:link w:val="BalloonTextChar"/>
    <w:rsid w:val="00CF246C"/>
    <w:rPr>
      <w:rFonts w:ascii="Tahoma" w:hAnsi="Tahoma" w:cs="Tahoma"/>
      <w:sz w:val="16"/>
      <w:szCs w:val="16"/>
    </w:rPr>
  </w:style>
  <w:style w:type="character" w:customStyle="1" w:styleId="BalloonTextChar">
    <w:name w:val="Balloon Text Char"/>
    <w:basedOn w:val="DefaultParagraphFont"/>
    <w:link w:val="BalloonText"/>
    <w:uiPriority w:val="99"/>
    <w:rsid w:val="00CF246C"/>
    <w:rPr>
      <w:rFonts w:ascii="Tahoma" w:hAnsi="Tahoma" w:cs="Tahoma"/>
      <w:snapToGrid w:val="0"/>
      <w:kern w:val="28"/>
      <w:sz w:val="16"/>
      <w:szCs w:val="16"/>
    </w:rPr>
  </w:style>
  <w:style w:type="character" w:customStyle="1" w:styleId="BalloonTextChar1">
    <w:name w:val="Balloon Text Char1"/>
    <w:basedOn w:val="DefaultParagraphFont"/>
    <w:rsid w:val="00CA12D7"/>
    <w:rPr>
      <w:rFonts w:ascii="Tahoma" w:hAnsi="Tahoma" w:cs="Tahoma"/>
      <w:snapToGrid w:val="0"/>
      <w:kern w:val="28"/>
      <w:sz w:val="16"/>
      <w:szCs w:val="16"/>
    </w:rPr>
  </w:style>
  <w:style w:type="paragraph" w:styleId="Revision">
    <w:name w:val="Revision"/>
    <w:hidden/>
    <w:uiPriority w:val="99"/>
    <w:semiHidden/>
    <w:rsid w:val="0002347A"/>
    <w:rPr>
      <w:snapToGrid w:val="0"/>
      <w:kern w:val="28"/>
      <w:sz w:val="22"/>
    </w:rPr>
  </w:style>
  <w:style w:type="character" w:customStyle="1" w:styleId="Heading3Char">
    <w:name w:val="Heading 3 Char"/>
    <w:link w:val="Heading3"/>
    <w:rsid w:val="007C7DAD"/>
    <w:rPr>
      <w:b/>
      <w:snapToGrid w:val="0"/>
      <w:kern w:val="28"/>
      <w:sz w:val="22"/>
    </w:rPr>
  </w:style>
  <w:style w:type="character" w:customStyle="1" w:styleId="Heading4Char">
    <w:name w:val="Heading 4 Char"/>
    <w:link w:val="Heading4"/>
    <w:rsid w:val="007C7DAD"/>
    <w:rPr>
      <w:b/>
      <w:snapToGrid w:val="0"/>
      <w:kern w:val="28"/>
      <w:sz w:val="22"/>
    </w:rPr>
  </w:style>
  <w:style w:type="character" w:customStyle="1" w:styleId="Heading5Char">
    <w:name w:val="Heading 5 Char"/>
    <w:link w:val="Heading5"/>
    <w:rsid w:val="007C7DAD"/>
    <w:rPr>
      <w:b/>
      <w:snapToGrid w:val="0"/>
      <w:kern w:val="28"/>
      <w:sz w:val="22"/>
    </w:rPr>
  </w:style>
  <w:style w:type="character" w:customStyle="1" w:styleId="Heading6Char">
    <w:name w:val="Heading 6 Char"/>
    <w:aliases w:val="h6 Char"/>
    <w:link w:val="Heading6"/>
    <w:rsid w:val="007C7DAD"/>
    <w:rPr>
      <w:b/>
      <w:snapToGrid w:val="0"/>
      <w:kern w:val="28"/>
      <w:sz w:val="22"/>
    </w:rPr>
  </w:style>
  <w:style w:type="character" w:customStyle="1" w:styleId="Heading8Char">
    <w:name w:val="Heading 8 Char"/>
    <w:link w:val="Heading8"/>
    <w:rsid w:val="007C7DAD"/>
    <w:rPr>
      <w:b/>
      <w:snapToGrid w:val="0"/>
      <w:kern w:val="28"/>
      <w:sz w:val="22"/>
    </w:rPr>
  </w:style>
  <w:style w:type="character" w:customStyle="1" w:styleId="Heading9Char">
    <w:name w:val="Heading 9 Char"/>
    <w:link w:val="Heading9"/>
    <w:rsid w:val="007C7DAD"/>
    <w:rPr>
      <w:b/>
      <w:snapToGrid w:val="0"/>
      <w:kern w:val="28"/>
      <w:sz w:val="22"/>
    </w:rPr>
  </w:style>
  <w:style w:type="character" w:customStyle="1" w:styleId="FooterChar">
    <w:name w:val="Footer Char"/>
    <w:basedOn w:val="DefaultParagraphFont"/>
    <w:link w:val="Footer"/>
    <w:rsid w:val="00036FB1"/>
    <w:rPr>
      <w:snapToGrid w:val="0"/>
      <w:kern w:val="28"/>
      <w:sz w:val="22"/>
    </w:rPr>
  </w:style>
  <w:style w:type="character" w:customStyle="1" w:styleId="FootnoteTextChar1">
    <w:name w:val="Footnote Text Char1"/>
    <w:aliases w:val="Footnote Text Char Char1,Footnote Text Char3 Char Char1,Footnote Text Char2 Char1 Char Char1,Footnote Text Char Char2 Char Char Char1,Footnote Text Char Char2 Char Char Char Char Char1,Footnote Text Char Char"/>
    <w:locked/>
    <w:rsid w:val="006F5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F0C"/>
    <w:pPr>
      <w:widowControl w:val="0"/>
    </w:pPr>
    <w:rPr>
      <w:snapToGrid w:val="0"/>
      <w:kern w:val="28"/>
      <w:sz w:val="22"/>
    </w:rPr>
  </w:style>
  <w:style w:type="paragraph" w:styleId="Heading1">
    <w:name w:val="heading 1"/>
    <w:basedOn w:val="Normal"/>
    <w:next w:val="ParaNum"/>
    <w:link w:val="Heading1Char"/>
    <w:qFormat/>
    <w:rsid w:val="00BC4F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C4F0C"/>
    <w:pPr>
      <w:keepNext/>
      <w:numPr>
        <w:ilvl w:val="1"/>
        <w:numId w:val="3"/>
      </w:numPr>
      <w:spacing w:after="120"/>
      <w:outlineLvl w:val="1"/>
    </w:pPr>
    <w:rPr>
      <w:b/>
    </w:rPr>
  </w:style>
  <w:style w:type="paragraph" w:styleId="Heading3">
    <w:name w:val="heading 3"/>
    <w:basedOn w:val="Normal"/>
    <w:next w:val="ParaNum"/>
    <w:link w:val="Heading3Char"/>
    <w:qFormat/>
    <w:rsid w:val="00BC4F0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C4F0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C4F0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C4F0C"/>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C4F0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C4F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C4F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C4F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F0C"/>
  </w:style>
  <w:style w:type="paragraph" w:customStyle="1" w:styleId="ParaNum">
    <w:name w:val="ParaNum"/>
    <w:basedOn w:val="Normal"/>
    <w:link w:val="ParaNumChar1"/>
    <w:rsid w:val="00BC4F0C"/>
    <w:pPr>
      <w:numPr>
        <w:numId w:val="2"/>
      </w:numPr>
      <w:tabs>
        <w:tab w:val="clear" w:pos="1080"/>
        <w:tab w:val="num" w:pos="1440"/>
      </w:tabs>
      <w:spacing w:after="120"/>
    </w:pPr>
  </w:style>
  <w:style w:type="paragraph" w:styleId="EndnoteText">
    <w:name w:val="endnote text"/>
    <w:basedOn w:val="Normal"/>
    <w:semiHidden/>
    <w:rsid w:val="00BC4F0C"/>
    <w:rPr>
      <w:sz w:val="20"/>
    </w:rPr>
  </w:style>
  <w:style w:type="character" w:styleId="EndnoteReference">
    <w:name w:val="endnote reference"/>
    <w:semiHidden/>
    <w:rsid w:val="00BC4F0C"/>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BC4F0C"/>
    <w:pPr>
      <w:spacing w:after="120"/>
    </w:pPr>
  </w:style>
  <w:style w:type="character" w:styleId="FootnoteReference">
    <w:name w:val="footnote reference"/>
    <w:aliases w:val="Style 12,(NECG) Footnote Reference,Appel note de bas de p,Style 124,o,fr,Style 3,Style 13,FR,Style 17,Style 6,Footnote Reference/"/>
    <w:rsid w:val="00BC4F0C"/>
    <w:rPr>
      <w:rFonts w:ascii="Times New Roman" w:hAnsi="Times New Roman"/>
      <w:dstrike w:val="0"/>
      <w:color w:val="auto"/>
      <w:sz w:val="20"/>
      <w:vertAlign w:val="superscript"/>
    </w:rPr>
  </w:style>
  <w:style w:type="paragraph" w:styleId="TOC1">
    <w:name w:val="toc 1"/>
    <w:basedOn w:val="Normal"/>
    <w:next w:val="Normal"/>
    <w:semiHidden/>
    <w:rsid w:val="00BC4F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4F0C"/>
    <w:pPr>
      <w:tabs>
        <w:tab w:val="left" w:pos="720"/>
        <w:tab w:val="right" w:leader="dot" w:pos="9360"/>
      </w:tabs>
      <w:suppressAutoHyphens/>
      <w:ind w:left="720" w:right="720" w:hanging="360"/>
    </w:pPr>
    <w:rPr>
      <w:noProof/>
    </w:rPr>
  </w:style>
  <w:style w:type="paragraph" w:styleId="TOC3">
    <w:name w:val="toc 3"/>
    <w:basedOn w:val="Normal"/>
    <w:next w:val="Normal"/>
    <w:semiHidden/>
    <w:rsid w:val="00BC4F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4F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4F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4F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4F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4F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4F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4F0C"/>
    <w:pPr>
      <w:tabs>
        <w:tab w:val="right" w:pos="9360"/>
      </w:tabs>
      <w:suppressAutoHyphens/>
    </w:pPr>
  </w:style>
  <w:style w:type="character" w:customStyle="1" w:styleId="EquationCaption">
    <w:name w:val="_Equation Caption"/>
    <w:rsid w:val="00BC4F0C"/>
  </w:style>
  <w:style w:type="paragraph" w:styleId="Header">
    <w:name w:val="header"/>
    <w:basedOn w:val="Normal"/>
    <w:autoRedefine/>
    <w:rsid w:val="00BC4F0C"/>
    <w:pPr>
      <w:tabs>
        <w:tab w:val="center" w:pos="4680"/>
        <w:tab w:val="right" w:pos="9360"/>
      </w:tabs>
    </w:pPr>
    <w:rPr>
      <w:b/>
    </w:rPr>
  </w:style>
  <w:style w:type="paragraph" w:styleId="Footer">
    <w:name w:val="footer"/>
    <w:basedOn w:val="Normal"/>
    <w:link w:val="FooterChar"/>
    <w:rsid w:val="00BC4F0C"/>
    <w:pPr>
      <w:tabs>
        <w:tab w:val="center" w:pos="4320"/>
        <w:tab w:val="right" w:pos="8640"/>
      </w:tabs>
    </w:pPr>
  </w:style>
  <w:style w:type="character" w:styleId="PageNumber">
    <w:name w:val="page number"/>
    <w:basedOn w:val="DefaultParagraphFont"/>
    <w:rsid w:val="00BC4F0C"/>
  </w:style>
  <w:style w:type="paragraph" w:styleId="BlockText">
    <w:name w:val="Block Text"/>
    <w:basedOn w:val="Normal"/>
    <w:rsid w:val="00BC4F0C"/>
    <w:pPr>
      <w:spacing w:after="240"/>
      <w:ind w:left="1440" w:right="1440"/>
    </w:pPr>
  </w:style>
  <w:style w:type="paragraph" w:customStyle="1" w:styleId="Paratitle">
    <w:name w:val="Para title"/>
    <w:basedOn w:val="Normal"/>
    <w:rsid w:val="00BC4F0C"/>
    <w:pPr>
      <w:tabs>
        <w:tab w:val="center" w:pos="9270"/>
      </w:tabs>
      <w:spacing w:after="240"/>
    </w:pPr>
    <w:rPr>
      <w:spacing w:val="-2"/>
    </w:rPr>
  </w:style>
  <w:style w:type="paragraph" w:customStyle="1" w:styleId="Bullet">
    <w:name w:val="Bullet"/>
    <w:basedOn w:val="Normal"/>
    <w:rsid w:val="00BC4F0C"/>
    <w:pPr>
      <w:tabs>
        <w:tab w:val="left" w:pos="2160"/>
      </w:tabs>
      <w:spacing w:after="220"/>
      <w:ind w:left="2160" w:hanging="720"/>
    </w:pPr>
  </w:style>
  <w:style w:type="paragraph" w:customStyle="1" w:styleId="TableFormat">
    <w:name w:val="TableFormat"/>
    <w:basedOn w:val="Bullet"/>
    <w:rsid w:val="00BC4F0C"/>
    <w:pPr>
      <w:tabs>
        <w:tab w:val="clear" w:pos="2160"/>
        <w:tab w:val="left" w:pos="5040"/>
      </w:tabs>
      <w:ind w:left="5040" w:hanging="3600"/>
    </w:pPr>
  </w:style>
  <w:style w:type="paragraph" w:customStyle="1" w:styleId="TOCTitle">
    <w:name w:val="TOC Title"/>
    <w:basedOn w:val="Normal"/>
    <w:rsid w:val="00BC4F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4F0C"/>
    <w:pPr>
      <w:jc w:val="center"/>
    </w:pPr>
    <w:rPr>
      <w:rFonts w:ascii="Times New Roman Bold" w:hAnsi="Times New Roman Bold"/>
      <w:b/>
      <w:bCs/>
      <w:caps/>
      <w:szCs w:val="22"/>
    </w:rPr>
  </w:style>
  <w:style w:type="character" w:styleId="Hyperlink">
    <w:name w:val="Hyperlink"/>
    <w:rsid w:val="00BC4F0C"/>
    <w:rPr>
      <w:color w:val="0000FF"/>
      <w:u w:val="single"/>
    </w:rPr>
  </w:style>
  <w:style w:type="character" w:customStyle="1" w:styleId="Heading1Char">
    <w:name w:val="Heading 1 Char"/>
    <w:link w:val="Heading1"/>
    <w:rsid w:val="007C7DAD"/>
    <w:rPr>
      <w:rFonts w:ascii="Times New Roman Bold" w:hAnsi="Times New Roman Bold"/>
      <w:b/>
      <w:caps/>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04D8A"/>
  </w:style>
  <w:style w:type="character" w:customStyle="1" w:styleId="ParaNumChar1">
    <w:name w:val="ParaNum Char1"/>
    <w:link w:val="ParaNum"/>
    <w:rsid w:val="00086057"/>
    <w:rPr>
      <w:snapToGrid w:val="0"/>
      <w:kern w:val="28"/>
      <w:sz w:val="22"/>
    </w:rPr>
  </w:style>
  <w:style w:type="character" w:customStyle="1" w:styleId="Heading2Char">
    <w:name w:val="Heading 2 Char"/>
    <w:link w:val="Heading2"/>
    <w:rsid w:val="007C7DAD"/>
    <w:rPr>
      <w:b/>
      <w:snapToGrid w:val="0"/>
      <w:kern w:val="28"/>
      <w:sz w:val="22"/>
    </w:rPr>
  </w:style>
  <w:style w:type="character" w:customStyle="1" w:styleId="StyleFootnoteReferenceStyle13Style12NECGFootnoteReferenc">
    <w:name w:val="Style Footnote ReferenceStyle 13Style 12(NECG) Footnote Referenc..."/>
    <w:rsid w:val="00086057"/>
    <w:rPr>
      <w:rFonts w:ascii="Times New Roman" w:hAnsi="Times New Roman"/>
      <w:dstrike w:val="0"/>
      <w:color w:val="auto"/>
      <w:sz w:val="20"/>
      <w:vertAlign w:val="superscript"/>
    </w:rPr>
  </w:style>
  <w:style w:type="character" w:customStyle="1" w:styleId="Footnote">
    <w:name w:val="Footnote"/>
    <w:basedOn w:val="DefaultParagraphFont"/>
    <w:rsid w:val="00086057"/>
  </w:style>
  <w:style w:type="character" w:customStyle="1" w:styleId="StyleFootnoteReferenceStyle13Style12NECGFootnoteReferenc1">
    <w:name w:val="Style Footnote ReferenceStyle 13Style 12(NECG) Footnote Referenc...1"/>
    <w:rsid w:val="00086057"/>
    <w:rPr>
      <w:rFonts w:ascii="Times New Roman" w:hAnsi="Times New Roman" w:cs="Times New Roman"/>
      <w:dstrike w:val="0"/>
      <w:color w:val="auto"/>
      <w:sz w:val="20"/>
      <w:vertAlign w:val="superscript"/>
    </w:rPr>
  </w:style>
  <w:style w:type="character" w:styleId="FollowedHyperlink">
    <w:name w:val="FollowedHyperlink"/>
    <w:basedOn w:val="DefaultParagraphFont"/>
    <w:rsid w:val="003C050B"/>
    <w:rPr>
      <w:color w:val="800080" w:themeColor="followedHyperlink"/>
      <w:u w:val="single"/>
    </w:rPr>
  </w:style>
  <w:style w:type="character" w:styleId="CommentReference">
    <w:name w:val="annotation reference"/>
    <w:basedOn w:val="DefaultParagraphFont"/>
    <w:rsid w:val="00CF246C"/>
    <w:rPr>
      <w:sz w:val="16"/>
      <w:szCs w:val="16"/>
    </w:rPr>
  </w:style>
  <w:style w:type="paragraph" w:styleId="CommentText">
    <w:name w:val="annotation text"/>
    <w:basedOn w:val="Normal"/>
    <w:link w:val="CommentTextChar"/>
    <w:rsid w:val="00CF246C"/>
    <w:rPr>
      <w:sz w:val="20"/>
    </w:rPr>
  </w:style>
  <w:style w:type="character" w:customStyle="1" w:styleId="CommentTextChar">
    <w:name w:val="Comment Text Char"/>
    <w:basedOn w:val="DefaultParagraphFont"/>
    <w:link w:val="CommentText"/>
    <w:rsid w:val="00CF246C"/>
    <w:rPr>
      <w:snapToGrid w:val="0"/>
      <w:kern w:val="28"/>
    </w:rPr>
  </w:style>
  <w:style w:type="paragraph" w:styleId="CommentSubject">
    <w:name w:val="annotation subject"/>
    <w:basedOn w:val="CommentText"/>
    <w:next w:val="CommentText"/>
    <w:link w:val="CommentSubjectChar"/>
    <w:rsid w:val="00CF246C"/>
    <w:rPr>
      <w:b/>
      <w:bCs/>
    </w:rPr>
  </w:style>
  <w:style w:type="character" w:customStyle="1" w:styleId="CommentSubjectChar">
    <w:name w:val="Comment Subject Char"/>
    <w:basedOn w:val="CommentTextChar"/>
    <w:link w:val="CommentSubject"/>
    <w:rsid w:val="00CF246C"/>
    <w:rPr>
      <w:b/>
      <w:bCs/>
      <w:snapToGrid w:val="0"/>
      <w:kern w:val="28"/>
    </w:rPr>
  </w:style>
  <w:style w:type="paragraph" w:styleId="BalloonText">
    <w:name w:val="Balloon Text"/>
    <w:basedOn w:val="Normal"/>
    <w:link w:val="BalloonTextChar"/>
    <w:rsid w:val="00CF246C"/>
    <w:rPr>
      <w:rFonts w:ascii="Tahoma" w:hAnsi="Tahoma" w:cs="Tahoma"/>
      <w:sz w:val="16"/>
      <w:szCs w:val="16"/>
    </w:rPr>
  </w:style>
  <w:style w:type="character" w:customStyle="1" w:styleId="BalloonTextChar">
    <w:name w:val="Balloon Text Char"/>
    <w:basedOn w:val="DefaultParagraphFont"/>
    <w:link w:val="BalloonText"/>
    <w:uiPriority w:val="99"/>
    <w:rsid w:val="00CF246C"/>
    <w:rPr>
      <w:rFonts w:ascii="Tahoma" w:hAnsi="Tahoma" w:cs="Tahoma"/>
      <w:snapToGrid w:val="0"/>
      <w:kern w:val="28"/>
      <w:sz w:val="16"/>
      <w:szCs w:val="16"/>
    </w:rPr>
  </w:style>
  <w:style w:type="character" w:customStyle="1" w:styleId="BalloonTextChar1">
    <w:name w:val="Balloon Text Char1"/>
    <w:basedOn w:val="DefaultParagraphFont"/>
    <w:rsid w:val="00CA12D7"/>
    <w:rPr>
      <w:rFonts w:ascii="Tahoma" w:hAnsi="Tahoma" w:cs="Tahoma"/>
      <w:snapToGrid w:val="0"/>
      <w:kern w:val="28"/>
      <w:sz w:val="16"/>
      <w:szCs w:val="16"/>
    </w:rPr>
  </w:style>
  <w:style w:type="paragraph" w:styleId="Revision">
    <w:name w:val="Revision"/>
    <w:hidden/>
    <w:uiPriority w:val="99"/>
    <w:semiHidden/>
    <w:rsid w:val="0002347A"/>
    <w:rPr>
      <w:snapToGrid w:val="0"/>
      <w:kern w:val="28"/>
      <w:sz w:val="22"/>
    </w:rPr>
  </w:style>
  <w:style w:type="character" w:customStyle="1" w:styleId="Heading3Char">
    <w:name w:val="Heading 3 Char"/>
    <w:link w:val="Heading3"/>
    <w:rsid w:val="007C7DAD"/>
    <w:rPr>
      <w:b/>
      <w:snapToGrid w:val="0"/>
      <w:kern w:val="28"/>
      <w:sz w:val="22"/>
    </w:rPr>
  </w:style>
  <w:style w:type="character" w:customStyle="1" w:styleId="Heading4Char">
    <w:name w:val="Heading 4 Char"/>
    <w:link w:val="Heading4"/>
    <w:rsid w:val="007C7DAD"/>
    <w:rPr>
      <w:b/>
      <w:snapToGrid w:val="0"/>
      <w:kern w:val="28"/>
      <w:sz w:val="22"/>
    </w:rPr>
  </w:style>
  <w:style w:type="character" w:customStyle="1" w:styleId="Heading5Char">
    <w:name w:val="Heading 5 Char"/>
    <w:link w:val="Heading5"/>
    <w:rsid w:val="007C7DAD"/>
    <w:rPr>
      <w:b/>
      <w:snapToGrid w:val="0"/>
      <w:kern w:val="28"/>
      <w:sz w:val="22"/>
    </w:rPr>
  </w:style>
  <w:style w:type="character" w:customStyle="1" w:styleId="Heading6Char">
    <w:name w:val="Heading 6 Char"/>
    <w:aliases w:val="h6 Char"/>
    <w:link w:val="Heading6"/>
    <w:rsid w:val="007C7DAD"/>
    <w:rPr>
      <w:b/>
      <w:snapToGrid w:val="0"/>
      <w:kern w:val="28"/>
      <w:sz w:val="22"/>
    </w:rPr>
  </w:style>
  <w:style w:type="character" w:customStyle="1" w:styleId="Heading8Char">
    <w:name w:val="Heading 8 Char"/>
    <w:link w:val="Heading8"/>
    <w:rsid w:val="007C7DAD"/>
    <w:rPr>
      <w:b/>
      <w:snapToGrid w:val="0"/>
      <w:kern w:val="28"/>
      <w:sz w:val="22"/>
    </w:rPr>
  </w:style>
  <w:style w:type="character" w:customStyle="1" w:styleId="Heading9Char">
    <w:name w:val="Heading 9 Char"/>
    <w:link w:val="Heading9"/>
    <w:rsid w:val="007C7DAD"/>
    <w:rPr>
      <w:b/>
      <w:snapToGrid w:val="0"/>
      <w:kern w:val="28"/>
      <w:sz w:val="22"/>
    </w:rPr>
  </w:style>
  <w:style w:type="character" w:customStyle="1" w:styleId="FooterChar">
    <w:name w:val="Footer Char"/>
    <w:basedOn w:val="DefaultParagraphFont"/>
    <w:link w:val="Footer"/>
    <w:rsid w:val="00036FB1"/>
    <w:rPr>
      <w:snapToGrid w:val="0"/>
      <w:kern w:val="28"/>
      <w:sz w:val="22"/>
    </w:rPr>
  </w:style>
  <w:style w:type="character" w:customStyle="1" w:styleId="FootnoteTextChar1">
    <w:name w:val="Footnote Text Char1"/>
    <w:aliases w:val="Footnote Text Char Char1,Footnote Text Char3 Char Char1,Footnote Text Char2 Char1 Char Char1,Footnote Text Char Char2 Char Char Char1,Footnote Text Char Char2 Char Char Char Char Char1,Footnote Text Char Char"/>
    <w:locked/>
    <w:rsid w:val="006F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Baranoff@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abnam.Javid@fcc.go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hraunfoss.fcc.gov/edocs_public/attachmatch/DOC-322079A1.pdf" TargetMode="External"/><Relationship Id="rId13" Type="http://schemas.openxmlformats.org/officeDocument/2006/relationships/hyperlink" Target="http://www.ncta.com/industry-data" TargetMode="External"/><Relationship Id="rId18" Type="http://schemas.openxmlformats.org/officeDocument/2006/relationships/hyperlink" Target="http://www.census.gov/cgi-bin/sssd/naics/naicsrch" TargetMode="External"/><Relationship Id="rId3" Type="http://schemas.openxmlformats.org/officeDocument/2006/relationships/hyperlink" Target="http://www.atsc.org/cms/standards/a_85-2011a.pdf" TargetMode="External"/><Relationship Id="rId21" Type="http://schemas.openxmlformats.org/officeDocument/2006/relationships/hyperlink" Target="http://factfinder2.census.gov/faces/nav/jsf/pages/index.xhtml" TargetMode="External"/><Relationship Id="rId7" Type="http://schemas.openxmlformats.org/officeDocument/2006/relationships/hyperlink" Target="http://www.census.gov/cgi-bin/sssd/naics/naicsrch" TargetMode="External"/><Relationship Id="rId12" Type="http://schemas.openxmlformats.org/officeDocument/2006/relationships/hyperlink" Target="http://www.snl.com/InteractiveX/TopCableMSOs.aspx?period=2012Q4&amp;sortcol=subscribersbasic&amp;sortorder=desc" TargetMode="External"/><Relationship Id="rId17" Type="http://schemas.openxmlformats.org/officeDocument/2006/relationships/hyperlink" Target="http://factfinder2.census.gov/faces/nav/jsf/pages/index.xhtml" TargetMode="External"/><Relationship Id="rId2" Type="http://schemas.openxmlformats.org/officeDocument/2006/relationships/hyperlink" Target="http://www.atsc.org/cms/standards/A_85-2013.pdf"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census.gov/cgi-bin/sssd/naics/naicsrch" TargetMode="External"/><Relationship Id="rId1" Type="http://schemas.openxmlformats.org/officeDocument/2006/relationships/hyperlink" Target="http://www.atsc.org/aboutatsc.html" TargetMode="External"/><Relationship Id="rId6" Type="http://schemas.openxmlformats.org/officeDocument/2006/relationships/hyperlink" Target="http://www.atsc.org/cms/standards/A_85-2013.pdf" TargetMode="External"/><Relationship Id="rId11" Type="http://schemas.openxmlformats.org/officeDocument/2006/relationships/hyperlink" Target="http://www.ncta.com/Statistics.aspx" TargetMode="External"/><Relationship Id="rId5" Type="http://schemas.openxmlformats.org/officeDocument/2006/relationships/hyperlink" Target="http://www.atsc.org/aboutatsc.html" TargetMode="External"/><Relationship Id="rId15" Type="http://schemas.openxmlformats.org/officeDocument/2006/relationships/hyperlink" Target="http://www.ncta.com/industry-data" TargetMode="External"/><Relationship Id="rId23" Type="http://schemas.openxmlformats.org/officeDocument/2006/relationships/hyperlink" Target="http://hraunfoss.fcc.gov/edocs_public/attachmatch/DA-13-1002A1.docx" TargetMode="External"/><Relationship Id="rId10" Type="http://schemas.openxmlformats.org/officeDocument/2006/relationships/hyperlink" Target="http://factfinder2.census.gov/faces/nav/jsf/pages/index.xhtml" TargetMode="External"/><Relationship Id="rId19" Type="http://schemas.openxmlformats.org/officeDocument/2006/relationships/hyperlink" Target="http://factfinder2.census.gov/faces/nav/jsf/pages/index.xhtml" TargetMode="External"/><Relationship Id="rId4" Type="http://schemas.openxmlformats.org/officeDocument/2006/relationships/hyperlink" Target="http://www.fcc.gov/cgb/ecfs/" TargetMode="External"/><Relationship Id="rId9" Type="http://schemas.openxmlformats.org/officeDocument/2006/relationships/hyperlink" Target="http://www.census.gov/cgi-bin/sssd/naics/naicsrch" TargetMode="External"/><Relationship Id="rId14" Type="http://schemas.openxmlformats.org/officeDocument/2006/relationships/hyperlink" Target="http://www.ncta.com/industry-data" TargetMode="External"/><Relationship Id="rId22" Type="http://schemas.openxmlformats.org/officeDocument/2006/relationships/hyperlink" Target="http://www.fcc.gov/mb/ovs/csovsc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4447</Words>
  <Characters>23957</Characters>
  <Application>Microsoft Office Word</Application>
  <DocSecurity>0</DocSecurity>
  <Lines>369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2014-05-23T16:09:00Z</cp:lastPrinted>
  <dcterms:created xsi:type="dcterms:W3CDTF">2014-06-04T14:02:00Z</dcterms:created>
  <dcterms:modified xsi:type="dcterms:W3CDTF">2014-06-04T14:02:00Z</dcterms:modified>
  <cp:category> </cp:category>
  <cp:contentStatus> </cp:contentStatus>
</cp:coreProperties>
</file>