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E66A17" w:rsidRPr="00595BF9">
        <w:tc>
          <w:tcPr>
            <w:tcW w:w="4698" w:type="dxa"/>
          </w:tcPr>
          <w:p w:rsidR="00E66A17" w:rsidRPr="00595BF9" w:rsidRDefault="00E66A17" w:rsidP="00DB6BF4">
            <w:pPr>
              <w:ind w:right="-18"/>
              <w:rPr>
                <w:szCs w:val="22"/>
              </w:rPr>
            </w:pPr>
            <w:r w:rsidRPr="00595BF9">
              <w:rPr>
                <w:szCs w:val="22"/>
              </w:rPr>
              <w:t xml:space="preserve">In the Matter of  </w:t>
            </w:r>
          </w:p>
          <w:p w:rsidR="00E66A17" w:rsidRPr="00595BF9" w:rsidRDefault="00E66A17" w:rsidP="00DB6BF4">
            <w:pPr>
              <w:ind w:right="-18"/>
              <w:rPr>
                <w:szCs w:val="22"/>
              </w:rPr>
            </w:pPr>
          </w:p>
          <w:p w:rsidR="00E66A17" w:rsidRPr="00720BAE" w:rsidRDefault="00720BAE" w:rsidP="00DB6BF4">
            <w:pPr>
              <w:ind w:right="-18"/>
              <w:rPr>
                <w:szCs w:val="22"/>
              </w:rPr>
            </w:pPr>
            <w:r>
              <w:rPr>
                <w:szCs w:val="22"/>
              </w:rPr>
              <w:t>Wynnewood Community Radio Association</w:t>
            </w:r>
          </w:p>
          <w:p w:rsidR="00E66A17" w:rsidRPr="00595BF9" w:rsidRDefault="00E66A17" w:rsidP="00DB6BF4">
            <w:pPr>
              <w:ind w:right="-18"/>
              <w:rPr>
                <w:b/>
                <w:szCs w:val="22"/>
              </w:rPr>
            </w:pPr>
          </w:p>
          <w:p w:rsidR="00E66A17" w:rsidRPr="00595BF9" w:rsidRDefault="00E66A17" w:rsidP="00DB6BF4">
            <w:pPr>
              <w:ind w:right="-18"/>
              <w:rPr>
                <w:szCs w:val="22"/>
              </w:rPr>
            </w:pPr>
            <w:r w:rsidRPr="00595BF9">
              <w:rPr>
                <w:szCs w:val="22"/>
              </w:rPr>
              <w:t>Application for a New NCE FM Station at</w:t>
            </w:r>
          </w:p>
          <w:p w:rsidR="00E66A17" w:rsidRPr="00595BF9" w:rsidRDefault="0038188F" w:rsidP="00DB6BF4">
            <w:pPr>
              <w:ind w:right="-18"/>
              <w:rPr>
                <w:szCs w:val="22"/>
              </w:rPr>
            </w:pPr>
            <w:r>
              <w:rPr>
                <w:szCs w:val="22"/>
              </w:rPr>
              <w:t>Wynnewood, Oklahoma</w:t>
            </w:r>
          </w:p>
          <w:p w:rsidR="00E66A17" w:rsidRPr="00595BF9" w:rsidRDefault="00E66A17" w:rsidP="00DB6BF4">
            <w:pPr>
              <w:ind w:right="-18"/>
              <w:rPr>
                <w:szCs w:val="22"/>
              </w:rPr>
            </w:pPr>
          </w:p>
          <w:p w:rsidR="00E66A17" w:rsidRPr="00595BF9" w:rsidRDefault="00E66A17" w:rsidP="00DB6BF4">
            <w:pPr>
              <w:ind w:right="-18"/>
              <w:rPr>
                <w:szCs w:val="22"/>
              </w:rPr>
            </w:pPr>
            <w:r w:rsidRPr="00595BF9">
              <w:rPr>
                <w:szCs w:val="22"/>
              </w:rPr>
              <w:t>and</w:t>
            </w:r>
          </w:p>
          <w:p w:rsidR="00E66A17" w:rsidRPr="00595BF9" w:rsidRDefault="00E66A17" w:rsidP="00DB6BF4">
            <w:pPr>
              <w:ind w:right="-18"/>
              <w:rPr>
                <w:szCs w:val="22"/>
              </w:rPr>
            </w:pPr>
          </w:p>
          <w:p w:rsidR="00E66A17" w:rsidRPr="0038188F" w:rsidRDefault="0038188F" w:rsidP="00DB6BF4">
            <w:pPr>
              <w:ind w:right="-18"/>
              <w:rPr>
                <w:szCs w:val="22"/>
              </w:rPr>
            </w:pPr>
            <w:r>
              <w:rPr>
                <w:szCs w:val="22"/>
              </w:rPr>
              <w:t>Norman Unitarian Universalist Fellowship</w:t>
            </w:r>
          </w:p>
          <w:p w:rsidR="00E66A17" w:rsidRPr="00595BF9" w:rsidRDefault="00E66A17" w:rsidP="00DB6BF4">
            <w:pPr>
              <w:ind w:right="-18"/>
              <w:rPr>
                <w:szCs w:val="22"/>
              </w:rPr>
            </w:pPr>
          </w:p>
          <w:p w:rsidR="00E66A17" w:rsidRPr="00595BF9" w:rsidRDefault="00E66A17" w:rsidP="00DB6BF4">
            <w:pPr>
              <w:ind w:right="-18"/>
              <w:rPr>
                <w:szCs w:val="22"/>
              </w:rPr>
            </w:pPr>
            <w:r w:rsidRPr="00595BF9">
              <w:rPr>
                <w:szCs w:val="22"/>
              </w:rPr>
              <w:t>Application for a New NCE FM Station at</w:t>
            </w:r>
          </w:p>
          <w:p w:rsidR="00E66A17" w:rsidRPr="00266970" w:rsidRDefault="00266970" w:rsidP="00DB6BF4">
            <w:pPr>
              <w:ind w:right="-18"/>
              <w:rPr>
                <w:szCs w:val="22"/>
              </w:rPr>
            </w:pPr>
            <w:r>
              <w:rPr>
                <w:szCs w:val="22"/>
              </w:rPr>
              <w:t>Wynnewood, Oklahoma</w:t>
            </w:r>
          </w:p>
        </w:tc>
        <w:tc>
          <w:tcPr>
            <w:tcW w:w="630" w:type="dxa"/>
          </w:tcPr>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 xml:space="preserve">) </w:t>
            </w:r>
          </w:p>
        </w:tc>
        <w:tc>
          <w:tcPr>
            <w:tcW w:w="4248" w:type="dxa"/>
          </w:tcPr>
          <w:p w:rsidR="00E66A17" w:rsidRPr="00595BF9" w:rsidRDefault="00E66A17" w:rsidP="00DB6BF4">
            <w:pPr>
              <w:rPr>
                <w:szCs w:val="22"/>
              </w:rPr>
            </w:pPr>
          </w:p>
          <w:p w:rsidR="00E66A17" w:rsidRPr="00595BF9" w:rsidRDefault="00E66A17" w:rsidP="00DB6BF4">
            <w:pPr>
              <w:rPr>
                <w:szCs w:val="22"/>
              </w:rPr>
            </w:pPr>
          </w:p>
          <w:p w:rsidR="00E66A17" w:rsidRPr="00595BF9" w:rsidRDefault="00E66A17" w:rsidP="00DB6BF4">
            <w:pPr>
              <w:rPr>
                <w:szCs w:val="22"/>
              </w:rPr>
            </w:pPr>
            <w:r w:rsidRPr="00595BF9">
              <w:rPr>
                <w:szCs w:val="22"/>
              </w:rPr>
              <w:t xml:space="preserve">NCE </w:t>
            </w:r>
            <w:r w:rsidR="00720BAE">
              <w:rPr>
                <w:szCs w:val="22"/>
              </w:rPr>
              <w:t>Reserved Allotment Group 47</w:t>
            </w:r>
          </w:p>
          <w:p w:rsidR="00E66A17" w:rsidRPr="00595BF9" w:rsidRDefault="00E66A17" w:rsidP="00DB6BF4">
            <w:pPr>
              <w:rPr>
                <w:szCs w:val="22"/>
              </w:rPr>
            </w:pPr>
          </w:p>
          <w:p w:rsidR="00E66A17" w:rsidRPr="00595BF9" w:rsidRDefault="00E66A17" w:rsidP="00DB6BF4">
            <w:pPr>
              <w:rPr>
                <w:szCs w:val="22"/>
              </w:rPr>
            </w:pPr>
            <w:r w:rsidRPr="00595BF9">
              <w:rPr>
                <w:szCs w:val="22"/>
              </w:rPr>
              <w:t xml:space="preserve">File No. </w:t>
            </w:r>
            <w:r w:rsidR="0038188F">
              <w:rPr>
                <w:szCs w:val="22"/>
              </w:rPr>
              <w:t>BNPED-20100225ADV</w:t>
            </w:r>
          </w:p>
          <w:p w:rsidR="00E66A17" w:rsidRPr="00595BF9" w:rsidRDefault="00E66A17" w:rsidP="00DB6BF4">
            <w:pPr>
              <w:rPr>
                <w:szCs w:val="22"/>
              </w:rPr>
            </w:pPr>
            <w:r w:rsidRPr="00595BF9">
              <w:rPr>
                <w:szCs w:val="22"/>
              </w:rPr>
              <w:t xml:space="preserve">Facility I.D. No. </w:t>
            </w:r>
            <w:r w:rsidR="0038188F">
              <w:rPr>
                <w:szCs w:val="22"/>
              </w:rPr>
              <w:t>184597</w:t>
            </w:r>
            <w:r w:rsidRPr="00595BF9">
              <w:rPr>
                <w:szCs w:val="22"/>
              </w:rPr>
              <w:t xml:space="preserve">              </w:t>
            </w:r>
          </w:p>
          <w:p w:rsidR="00E66A17" w:rsidRPr="00595BF9" w:rsidRDefault="00E66A17" w:rsidP="00DB6BF4">
            <w:pPr>
              <w:rPr>
                <w:szCs w:val="22"/>
              </w:rPr>
            </w:pPr>
          </w:p>
          <w:p w:rsidR="00E66A17" w:rsidRPr="00595BF9" w:rsidRDefault="00E66A17" w:rsidP="00DB6BF4">
            <w:pPr>
              <w:rPr>
                <w:szCs w:val="22"/>
              </w:rPr>
            </w:pPr>
          </w:p>
          <w:p w:rsidR="00E66A17" w:rsidRPr="00595BF9" w:rsidRDefault="00E66A17" w:rsidP="00DB6BF4">
            <w:pPr>
              <w:rPr>
                <w:szCs w:val="22"/>
              </w:rPr>
            </w:pPr>
          </w:p>
          <w:p w:rsidR="00E66A17" w:rsidRPr="00595BF9" w:rsidRDefault="00E66A17" w:rsidP="00DB6BF4">
            <w:pPr>
              <w:rPr>
                <w:szCs w:val="22"/>
              </w:rPr>
            </w:pPr>
          </w:p>
          <w:p w:rsidR="00E66A17" w:rsidRPr="00595BF9" w:rsidRDefault="00E66A17" w:rsidP="00DB6BF4">
            <w:pPr>
              <w:rPr>
                <w:szCs w:val="22"/>
              </w:rPr>
            </w:pPr>
          </w:p>
          <w:p w:rsidR="00E66A17" w:rsidRPr="00595BF9" w:rsidRDefault="00E66A17" w:rsidP="00DB6BF4">
            <w:pPr>
              <w:rPr>
                <w:szCs w:val="22"/>
              </w:rPr>
            </w:pPr>
            <w:r w:rsidRPr="00595BF9">
              <w:rPr>
                <w:szCs w:val="22"/>
              </w:rPr>
              <w:t xml:space="preserve">File No. </w:t>
            </w:r>
            <w:r w:rsidR="0038188F">
              <w:rPr>
                <w:szCs w:val="22"/>
              </w:rPr>
              <w:t>BNPED-</w:t>
            </w:r>
            <w:r w:rsidR="00266970">
              <w:rPr>
                <w:szCs w:val="22"/>
              </w:rPr>
              <w:t>20100226AJA</w:t>
            </w:r>
          </w:p>
          <w:p w:rsidR="00E66A17" w:rsidRPr="00595BF9" w:rsidRDefault="00E66A17" w:rsidP="00DB6BF4">
            <w:pPr>
              <w:rPr>
                <w:szCs w:val="22"/>
              </w:rPr>
            </w:pPr>
            <w:r w:rsidRPr="00595BF9">
              <w:rPr>
                <w:szCs w:val="22"/>
              </w:rPr>
              <w:t>Facility ID No.</w:t>
            </w:r>
            <w:r w:rsidR="00266970">
              <w:rPr>
                <w:szCs w:val="22"/>
              </w:rPr>
              <w:t xml:space="preserve"> 185094</w:t>
            </w:r>
          </w:p>
        </w:tc>
      </w:tr>
    </w:tbl>
    <w:p w:rsidR="00266970" w:rsidRDefault="00266970" w:rsidP="00F021FA">
      <w:pPr>
        <w:pStyle w:val="StyleBoldCentered"/>
        <w:rPr>
          <w:rFonts w:ascii="Times New Roman" w:hAnsi="Times New Roman"/>
        </w:rPr>
      </w:pPr>
    </w:p>
    <w:p w:rsidR="00841AB1" w:rsidRPr="00595BF9" w:rsidRDefault="00E66A17" w:rsidP="00F021FA">
      <w:pPr>
        <w:pStyle w:val="StyleBoldCentered"/>
        <w:rPr>
          <w:rFonts w:ascii="Times New Roman" w:hAnsi="Times New Roman"/>
        </w:rPr>
      </w:pPr>
      <w:r w:rsidRPr="00595BF9">
        <w:rPr>
          <w:rFonts w:ascii="Times New Roman" w:hAnsi="Times New Roman"/>
        </w:rPr>
        <w:t>MEMORANDUM OPINION AND ORDER</w:t>
      </w:r>
    </w:p>
    <w:p w:rsidR="004C2EE3" w:rsidRPr="00595BF9" w:rsidRDefault="004C2EE3">
      <w:pPr>
        <w:tabs>
          <w:tab w:val="left" w:pos="-720"/>
        </w:tabs>
        <w:suppressAutoHyphens/>
        <w:spacing w:line="227" w:lineRule="auto"/>
        <w:rPr>
          <w:spacing w:val="-2"/>
        </w:rPr>
      </w:pPr>
    </w:p>
    <w:p w:rsidR="004C2EE3" w:rsidRPr="00595BF9" w:rsidRDefault="004C2EE3" w:rsidP="00133F79">
      <w:pPr>
        <w:tabs>
          <w:tab w:val="left" w:pos="720"/>
          <w:tab w:val="right" w:pos="9360"/>
        </w:tabs>
        <w:suppressAutoHyphens/>
        <w:spacing w:line="227" w:lineRule="auto"/>
        <w:rPr>
          <w:spacing w:val="-2"/>
        </w:rPr>
      </w:pPr>
      <w:r w:rsidRPr="00595BF9">
        <w:rPr>
          <w:b/>
          <w:spacing w:val="-2"/>
        </w:rPr>
        <w:t xml:space="preserve">Adopted:  </w:t>
      </w:r>
      <w:r w:rsidR="004E62E3">
        <w:rPr>
          <w:b/>
          <w:spacing w:val="-2"/>
        </w:rPr>
        <w:t>June 4, 2014</w:t>
      </w:r>
      <w:r w:rsidRPr="00595BF9">
        <w:rPr>
          <w:b/>
          <w:spacing w:val="-2"/>
        </w:rPr>
        <w:tab/>
      </w:r>
      <w:r w:rsidR="00822CE0" w:rsidRPr="00595BF9">
        <w:rPr>
          <w:b/>
          <w:spacing w:val="-2"/>
        </w:rPr>
        <w:t>Released</w:t>
      </w:r>
      <w:r w:rsidRPr="00595BF9">
        <w:rPr>
          <w:b/>
          <w:spacing w:val="-2"/>
        </w:rPr>
        <w:t>:</w:t>
      </w:r>
      <w:r w:rsidR="00822CE0" w:rsidRPr="00595BF9">
        <w:rPr>
          <w:b/>
          <w:spacing w:val="-2"/>
        </w:rPr>
        <w:t xml:space="preserve"> </w:t>
      </w:r>
      <w:r w:rsidRPr="00595BF9">
        <w:rPr>
          <w:b/>
          <w:spacing w:val="-2"/>
        </w:rPr>
        <w:t xml:space="preserve"> </w:t>
      </w:r>
      <w:r w:rsidR="004E62E3">
        <w:rPr>
          <w:b/>
          <w:spacing w:val="-2"/>
        </w:rPr>
        <w:t>June 5, 2014</w:t>
      </w:r>
    </w:p>
    <w:p w:rsidR="00822CE0" w:rsidRPr="00595BF9" w:rsidRDefault="00822CE0"/>
    <w:p w:rsidR="004C2EE3" w:rsidRPr="00595BF9" w:rsidRDefault="004C2EE3">
      <w:pPr>
        <w:rPr>
          <w:spacing w:val="-2"/>
        </w:rPr>
      </w:pPr>
      <w:r w:rsidRPr="00595BF9">
        <w:t xml:space="preserve">By </w:t>
      </w:r>
      <w:r w:rsidR="004E4A22" w:rsidRPr="00595BF9">
        <w:t>the</w:t>
      </w:r>
      <w:r w:rsidR="002A2D2E" w:rsidRPr="00595BF9">
        <w:t xml:space="preserve"> </w:t>
      </w:r>
      <w:r w:rsidR="00E66A17" w:rsidRPr="00595BF9">
        <w:rPr>
          <w:spacing w:val="-2"/>
        </w:rPr>
        <w:t>Commission</w:t>
      </w:r>
      <w:r w:rsidRPr="00595BF9">
        <w:rPr>
          <w:spacing w:val="-2"/>
        </w:rPr>
        <w:t>:</w:t>
      </w:r>
    </w:p>
    <w:p w:rsidR="00822CE0" w:rsidRDefault="00822CE0">
      <w:pPr>
        <w:rPr>
          <w:spacing w:val="-2"/>
        </w:rPr>
      </w:pPr>
    </w:p>
    <w:p w:rsidR="00B332CC" w:rsidRPr="009C5BEF" w:rsidRDefault="00E66A17" w:rsidP="003C0718">
      <w:pPr>
        <w:pStyle w:val="ParaNum"/>
      </w:pPr>
      <w:r w:rsidRPr="009C5BEF">
        <w:t xml:space="preserve">The Commission has before it </w:t>
      </w:r>
      <w:r w:rsidR="00E73963" w:rsidRPr="009C5BEF">
        <w:t>the</w:t>
      </w:r>
      <w:r w:rsidRPr="009C5BEF">
        <w:t xml:space="preserve"> Application for Review (“AFR”) filed by </w:t>
      </w:r>
      <w:r w:rsidR="002125A7">
        <w:t>Wynnewood Community Radio Association</w:t>
      </w:r>
      <w:r w:rsidRPr="009C5BEF">
        <w:t xml:space="preserve"> (“</w:t>
      </w:r>
      <w:r w:rsidR="005C7DDE" w:rsidRPr="009C5BEF">
        <w:t>W</w:t>
      </w:r>
      <w:r w:rsidR="002125A7">
        <w:t>CRA</w:t>
      </w:r>
      <w:r w:rsidRPr="009C5BEF">
        <w:t>”)</w:t>
      </w:r>
      <w:r w:rsidR="005C7DDE" w:rsidRPr="009C5BEF">
        <w:t>,</w:t>
      </w:r>
      <w:r w:rsidRPr="009C5BEF">
        <w:t xml:space="preserve"> on </w:t>
      </w:r>
      <w:r w:rsidR="002125A7">
        <w:t>February 6, 2014</w:t>
      </w:r>
      <w:r w:rsidRPr="009C5BEF">
        <w:t xml:space="preserve">.  In the AFR, </w:t>
      </w:r>
      <w:r w:rsidR="005C7DDE" w:rsidRPr="009C5BEF">
        <w:t>W</w:t>
      </w:r>
      <w:r w:rsidR="00EB030B">
        <w:t>CRA</w:t>
      </w:r>
      <w:r w:rsidR="005C7DDE" w:rsidRPr="009C5BEF">
        <w:t xml:space="preserve"> </w:t>
      </w:r>
      <w:r w:rsidRPr="009C5BEF">
        <w:t xml:space="preserve">seeks review of a </w:t>
      </w:r>
      <w:r w:rsidR="005D74FE">
        <w:t>January 7, 2014</w:t>
      </w:r>
      <w:r w:rsidR="009E6AE0" w:rsidRPr="009C5BEF">
        <w:t xml:space="preserve">, </w:t>
      </w:r>
      <w:r w:rsidR="009106B2" w:rsidRPr="009C5BEF">
        <w:t xml:space="preserve">Media </w:t>
      </w:r>
      <w:r w:rsidRPr="009C5BEF">
        <w:t>Bureau</w:t>
      </w:r>
      <w:r w:rsidR="009106B2" w:rsidRPr="009C5BEF">
        <w:t xml:space="preserve"> (“Bureau”)</w:t>
      </w:r>
      <w:r w:rsidRPr="009C5BEF">
        <w:t xml:space="preserve"> decision</w:t>
      </w:r>
      <w:r w:rsidR="009106B2" w:rsidRPr="00595BF9">
        <w:rPr>
          <w:rStyle w:val="FootnoteReference"/>
          <w:sz w:val="22"/>
          <w:szCs w:val="22"/>
        </w:rPr>
        <w:footnoteReference w:id="2"/>
      </w:r>
      <w:r w:rsidRPr="009C5BEF">
        <w:t xml:space="preserve"> that </w:t>
      </w:r>
      <w:r w:rsidR="00626BAD" w:rsidRPr="009C5BEF">
        <w:t xml:space="preserve">affirmed a prior </w:t>
      </w:r>
      <w:r w:rsidR="00E077A7" w:rsidRPr="009C5BEF">
        <w:t>decision</w:t>
      </w:r>
      <w:r w:rsidR="004A1A4E" w:rsidRPr="00595BF9">
        <w:rPr>
          <w:rStyle w:val="FootnoteReference"/>
          <w:sz w:val="22"/>
          <w:szCs w:val="22"/>
        </w:rPr>
        <w:footnoteReference w:id="3"/>
      </w:r>
      <w:r w:rsidR="00E077A7" w:rsidRPr="009C5BEF">
        <w:t xml:space="preserve"> </w:t>
      </w:r>
      <w:r w:rsidR="004A1A4E" w:rsidRPr="009C5BEF">
        <w:t>that</w:t>
      </w:r>
      <w:r w:rsidR="00626BAD" w:rsidRPr="009C5BEF">
        <w:t>: 1)</w:t>
      </w:r>
      <w:r w:rsidR="004A1A4E" w:rsidRPr="009C5BEF">
        <w:t xml:space="preserve"> </w:t>
      </w:r>
      <w:r w:rsidR="005D74FE">
        <w:t>granted Norman Unitarian Universalist Fellowship’s (“NUUF”)</w:t>
      </w:r>
      <w:r w:rsidR="004A1A4E" w:rsidRPr="009C5BEF">
        <w:t xml:space="preserve"> Petition to Deny</w:t>
      </w:r>
      <w:r w:rsidR="00EF7D44" w:rsidRPr="009C5BEF">
        <w:t xml:space="preserve"> (“Petition”)</w:t>
      </w:r>
      <w:r w:rsidR="004A1A4E" w:rsidRPr="009C5BEF">
        <w:t xml:space="preserve"> </w:t>
      </w:r>
      <w:r w:rsidR="00A16840">
        <w:t xml:space="preserve">the </w:t>
      </w:r>
      <w:r w:rsidR="004A1A4E" w:rsidRPr="009C5BEF">
        <w:t xml:space="preserve">application </w:t>
      </w:r>
      <w:r w:rsidR="00A16840">
        <w:t>of WCRA</w:t>
      </w:r>
      <w:r w:rsidR="00A16840" w:rsidRPr="009C5BEF">
        <w:t xml:space="preserve"> </w:t>
      </w:r>
      <w:r w:rsidR="004A1A4E" w:rsidRPr="009C5BEF">
        <w:t xml:space="preserve">for a new noncommercial </w:t>
      </w:r>
      <w:r w:rsidR="0057176D">
        <w:t>educational</w:t>
      </w:r>
      <w:r w:rsidR="00794B38">
        <w:t xml:space="preserve"> (“NCE”)</w:t>
      </w:r>
      <w:r w:rsidR="0057176D">
        <w:t xml:space="preserve"> </w:t>
      </w:r>
      <w:r w:rsidR="004A1A4E" w:rsidRPr="009C5BEF">
        <w:t xml:space="preserve">FM station at </w:t>
      </w:r>
      <w:r w:rsidR="005D74FE">
        <w:t xml:space="preserve">Wynnewood, Oklahoma </w:t>
      </w:r>
      <w:r w:rsidR="003968CD" w:rsidRPr="009C5BEF">
        <w:t>(“</w:t>
      </w:r>
      <w:r w:rsidR="005D74FE">
        <w:t>WCRA</w:t>
      </w:r>
      <w:r w:rsidR="003968CD" w:rsidRPr="009C5BEF">
        <w:t xml:space="preserve"> Application”)</w:t>
      </w:r>
      <w:r w:rsidR="004A1A4E" w:rsidRPr="009C5BEF">
        <w:t xml:space="preserve">; </w:t>
      </w:r>
      <w:r w:rsidR="00626BAD" w:rsidRPr="009C5BEF">
        <w:t xml:space="preserve">2) </w:t>
      </w:r>
      <w:r w:rsidR="005D74FE">
        <w:t>dismissed the WCRA Application</w:t>
      </w:r>
      <w:r w:rsidR="00626BAD" w:rsidRPr="009C5BEF">
        <w:t>;</w:t>
      </w:r>
      <w:r w:rsidR="004A1A4E" w:rsidRPr="009C5BEF">
        <w:t xml:space="preserve"> and </w:t>
      </w:r>
      <w:r w:rsidR="00626BAD" w:rsidRPr="009C5BEF">
        <w:t xml:space="preserve">3) </w:t>
      </w:r>
      <w:r w:rsidR="005D74FE">
        <w:t>accepted for filing NUUF</w:t>
      </w:r>
      <w:r w:rsidR="0057176D">
        <w:t>’s competing application</w:t>
      </w:r>
      <w:r w:rsidR="004A1A4E" w:rsidRPr="009C5BEF">
        <w:t>.</w:t>
      </w:r>
      <w:r w:rsidR="00D41C94">
        <w:rPr>
          <w:rStyle w:val="FootnoteReference"/>
          <w:szCs w:val="22"/>
        </w:rPr>
        <w:footnoteReference w:id="4"/>
      </w:r>
      <w:r w:rsidR="009C5BEF" w:rsidRPr="009C5BEF">
        <w:t xml:space="preserve">  </w:t>
      </w:r>
      <w:r w:rsidR="00D02441" w:rsidRPr="009C5BEF">
        <w:t xml:space="preserve">In the AFR, </w:t>
      </w:r>
      <w:r w:rsidR="005D74FE">
        <w:t>WCRA</w:t>
      </w:r>
      <w:r w:rsidR="00D02441" w:rsidRPr="009C5BEF">
        <w:t xml:space="preserve"> </w:t>
      </w:r>
      <w:r w:rsidR="009C5BEF">
        <w:t xml:space="preserve">again </w:t>
      </w:r>
      <w:r w:rsidR="00D02441" w:rsidRPr="009C5BEF">
        <w:t xml:space="preserve">argues that </w:t>
      </w:r>
      <w:r w:rsidR="00BD1DBA">
        <w:t xml:space="preserve">the </w:t>
      </w:r>
      <w:r w:rsidR="009C5BEF" w:rsidRPr="009C5BEF">
        <w:t xml:space="preserve">Bureau erred in finding that </w:t>
      </w:r>
      <w:r w:rsidR="005D74FE">
        <w:t>it</w:t>
      </w:r>
      <w:r w:rsidR="00D62C33">
        <w:t xml:space="preserve"> was ineligible to </w:t>
      </w:r>
      <w:r w:rsidR="008C292E">
        <w:t>be an</w:t>
      </w:r>
      <w:r w:rsidR="00D62C33">
        <w:t xml:space="preserve"> NCE license</w:t>
      </w:r>
      <w:r w:rsidR="008C292E">
        <w:t>e</w:t>
      </w:r>
      <w:r w:rsidR="009C5BEF" w:rsidRPr="009C5BEF">
        <w:t>.</w:t>
      </w:r>
      <w:r w:rsidR="009C5BEF">
        <w:rPr>
          <w:rStyle w:val="FootnoteReference"/>
          <w:szCs w:val="22"/>
        </w:rPr>
        <w:footnoteReference w:id="5"/>
      </w:r>
      <w:r w:rsidR="00D02441" w:rsidRPr="009C5BEF">
        <w:t xml:space="preserve">  </w:t>
      </w:r>
      <w:r w:rsidR="00D62C33">
        <w:t xml:space="preserve">WCRA </w:t>
      </w:r>
      <w:r w:rsidR="006A71CB">
        <w:t>states</w:t>
      </w:r>
      <w:r w:rsidR="009C5BEF" w:rsidRPr="009C5BEF">
        <w:t xml:space="preserve"> that </w:t>
      </w:r>
      <w:r w:rsidR="00EB030B">
        <w:t>the Commission should overturn the Bureau’s decisions and reinstate the WCRA Application</w:t>
      </w:r>
      <w:r w:rsidR="009C5BEF" w:rsidRPr="009C5BEF">
        <w:t xml:space="preserve">.  </w:t>
      </w:r>
    </w:p>
    <w:p w:rsidR="003D3850" w:rsidRDefault="003D3850" w:rsidP="007A7100">
      <w:pPr>
        <w:pStyle w:val="ParaNum"/>
        <w:widowControl/>
      </w:pPr>
      <w:r w:rsidRPr="00595BF9">
        <w:lastRenderedPageBreak/>
        <w:t xml:space="preserve">Upon review of </w:t>
      </w:r>
      <w:r w:rsidR="00DE0C4B">
        <w:t>the AFR</w:t>
      </w:r>
      <w:r w:rsidR="00B332CC" w:rsidRPr="00595BF9">
        <w:t xml:space="preserve"> and the entire record</w:t>
      </w:r>
      <w:r w:rsidR="00DE0C4B">
        <w:t>,</w:t>
      </w:r>
      <w:r w:rsidR="00B332CC" w:rsidRPr="00595BF9">
        <w:t xml:space="preserve"> we</w:t>
      </w:r>
      <w:r w:rsidR="0090297A" w:rsidRPr="00595BF9">
        <w:t xml:space="preserve"> </w:t>
      </w:r>
      <w:r w:rsidR="009815B1">
        <w:t xml:space="preserve">conclude that </w:t>
      </w:r>
      <w:r w:rsidR="002125A7">
        <w:t>WCRA</w:t>
      </w:r>
      <w:r w:rsidR="009815B1">
        <w:t xml:space="preserve"> has failed to demonstrate that the Bureau erred.  </w:t>
      </w:r>
      <w:r w:rsidRPr="00595BF9">
        <w:t xml:space="preserve">We </w:t>
      </w:r>
      <w:r w:rsidR="00B332CC" w:rsidRPr="00595BF9">
        <w:t xml:space="preserve">thus </w:t>
      </w:r>
      <w:r w:rsidRPr="00595BF9">
        <w:t xml:space="preserve">uphold the Bureau’s decisions for the reasons stated in the </w:t>
      </w:r>
      <w:r w:rsidRPr="00595BF9">
        <w:rPr>
          <w:i/>
        </w:rPr>
        <w:t>Staff Decision</w:t>
      </w:r>
      <w:r w:rsidRPr="00595BF9">
        <w:t xml:space="preserve"> and the </w:t>
      </w:r>
      <w:r w:rsidRPr="00595BF9">
        <w:rPr>
          <w:i/>
        </w:rPr>
        <w:t>Reconsideration Decision</w:t>
      </w:r>
      <w:r w:rsidRPr="00595BF9">
        <w:t>.</w:t>
      </w:r>
      <w:r w:rsidR="007E1519">
        <w:rPr>
          <w:rStyle w:val="FootnoteReference"/>
          <w:szCs w:val="22"/>
        </w:rPr>
        <w:footnoteReference w:id="6"/>
      </w:r>
    </w:p>
    <w:p w:rsidR="00ED1C63" w:rsidRPr="00595BF9" w:rsidRDefault="00ED1C63" w:rsidP="003C0718">
      <w:pPr>
        <w:pStyle w:val="ParaNum"/>
      </w:pPr>
      <w:r w:rsidRPr="00595BF9">
        <w:t>ACCORDINGLY, IT IS ORDERED that, pursuant to Section 5(c)(5) of the Communications Act of 1934, as amended,</w:t>
      </w:r>
      <w:r w:rsidRPr="00595BF9">
        <w:rPr>
          <w:rStyle w:val="FootnoteReference"/>
          <w:sz w:val="22"/>
          <w:szCs w:val="22"/>
        </w:rPr>
        <w:footnoteReference w:id="7"/>
      </w:r>
      <w:r w:rsidRPr="00595BF9">
        <w:t xml:space="preserve"> and Section 1.115(g) of the Commission’s Rules</w:t>
      </w:r>
      <w:r w:rsidR="00953FDF">
        <w:t>,</w:t>
      </w:r>
      <w:r w:rsidRPr="00595BF9">
        <w:rPr>
          <w:rStyle w:val="FootnoteReference"/>
          <w:sz w:val="22"/>
          <w:szCs w:val="22"/>
        </w:rPr>
        <w:footnoteReference w:id="8"/>
      </w:r>
      <w:r w:rsidRPr="00595BF9">
        <w:t xml:space="preserve"> the Application for Review filed by </w:t>
      </w:r>
      <w:r w:rsidR="00266970">
        <w:t>Wynnewood Community Radio Association</w:t>
      </w:r>
      <w:r w:rsidRPr="00595BF9">
        <w:t xml:space="preserve">, IS DENIED. </w:t>
      </w:r>
    </w:p>
    <w:p w:rsidR="00E66A17" w:rsidRPr="006358C3" w:rsidRDefault="00E66A17" w:rsidP="00E66A17">
      <w:r w:rsidRPr="006358C3">
        <w:tab/>
      </w:r>
      <w:r w:rsidRPr="006358C3">
        <w:tab/>
      </w:r>
      <w:r w:rsidRPr="006358C3">
        <w:tab/>
      </w:r>
      <w:r w:rsidRPr="006358C3">
        <w:tab/>
      </w:r>
      <w:r w:rsidRPr="006358C3">
        <w:tab/>
      </w:r>
      <w:r w:rsidRPr="006358C3">
        <w:tab/>
        <w:t>FEDERAL COMMUNICATIONS COMMISSION</w:t>
      </w:r>
    </w:p>
    <w:p w:rsidR="00E66A17" w:rsidRDefault="00E66A17" w:rsidP="00E66A17"/>
    <w:p w:rsidR="00266970" w:rsidRDefault="00266970" w:rsidP="00E66A17"/>
    <w:p w:rsidR="00E66A17" w:rsidRDefault="00E66A17" w:rsidP="00E66A17"/>
    <w:p w:rsidR="00E66A17" w:rsidRPr="006358C3" w:rsidRDefault="00E66A17" w:rsidP="00E66A17"/>
    <w:p w:rsidR="00E66A17" w:rsidRPr="006358C3" w:rsidRDefault="00E66A17" w:rsidP="00E66A17">
      <w:r>
        <w:t xml:space="preserve"> </w:t>
      </w:r>
      <w:r>
        <w:tab/>
      </w:r>
      <w:r>
        <w:tab/>
      </w:r>
      <w:r>
        <w:tab/>
      </w:r>
      <w:r>
        <w:tab/>
      </w:r>
      <w:r>
        <w:tab/>
      </w:r>
      <w:r>
        <w:tab/>
      </w:r>
      <w:r w:rsidRPr="006358C3">
        <w:t>Marlene H. Dortch</w:t>
      </w:r>
    </w:p>
    <w:p w:rsidR="00E66A17" w:rsidRPr="006358C3" w:rsidRDefault="00E66A17" w:rsidP="00E66A17">
      <w:r>
        <w:t xml:space="preserve"> </w:t>
      </w:r>
      <w:r>
        <w:tab/>
      </w:r>
      <w:r>
        <w:tab/>
      </w:r>
      <w:r>
        <w:tab/>
      </w:r>
      <w:r>
        <w:tab/>
      </w:r>
      <w:r>
        <w:tab/>
      </w:r>
      <w:r>
        <w:tab/>
      </w:r>
      <w:r w:rsidRPr="006358C3">
        <w:t>Secretary</w:t>
      </w:r>
    </w:p>
    <w:sectPr w:rsidR="00E66A17" w:rsidRPr="006358C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BB" w:rsidRDefault="006C26BB">
      <w:pPr>
        <w:spacing w:line="20" w:lineRule="exact"/>
      </w:pPr>
    </w:p>
  </w:endnote>
  <w:endnote w:type="continuationSeparator" w:id="0">
    <w:p w:rsidR="006C26BB" w:rsidRDefault="006C26BB">
      <w:r>
        <w:t xml:space="preserve"> </w:t>
      </w:r>
    </w:p>
  </w:endnote>
  <w:endnote w:type="continuationNotice" w:id="1">
    <w:p w:rsidR="006C26BB" w:rsidRDefault="006C26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70C7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BB" w:rsidRDefault="006C26BB">
      <w:r>
        <w:separator/>
      </w:r>
    </w:p>
  </w:footnote>
  <w:footnote w:type="continuationSeparator" w:id="0">
    <w:p w:rsidR="006C26BB" w:rsidRDefault="006C26BB" w:rsidP="00C721AC">
      <w:pPr>
        <w:spacing w:before="120"/>
        <w:rPr>
          <w:sz w:val="20"/>
        </w:rPr>
      </w:pPr>
      <w:r>
        <w:rPr>
          <w:sz w:val="20"/>
        </w:rPr>
        <w:t xml:space="preserve">(Continued from previous page)  </w:t>
      </w:r>
      <w:r>
        <w:rPr>
          <w:sz w:val="20"/>
        </w:rPr>
        <w:separator/>
      </w:r>
    </w:p>
  </w:footnote>
  <w:footnote w:type="continuationNotice" w:id="1">
    <w:p w:rsidR="006C26BB" w:rsidRDefault="006C26BB" w:rsidP="00C721AC">
      <w:pPr>
        <w:jc w:val="right"/>
        <w:rPr>
          <w:sz w:val="20"/>
        </w:rPr>
      </w:pPr>
      <w:r>
        <w:rPr>
          <w:sz w:val="20"/>
        </w:rPr>
        <w:t>(continued….)</w:t>
      </w:r>
    </w:p>
  </w:footnote>
  <w:footnote w:id="2">
    <w:p w:rsidR="009106B2" w:rsidRPr="007C017E" w:rsidRDefault="009106B2" w:rsidP="009106B2">
      <w:pPr>
        <w:pStyle w:val="FootnoteText"/>
      </w:pPr>
      <w:r w:rsidRPr="00FD5A10">
        <w:rPr>
          <w:rStyle w:val="FootnoteReference"/>
        </w:rPr>
        <w:footnoteRef/>
      </w:r>
      <w:r w:rsidRPr="00FD5A10">
        <w:t xml:space="preserve"> </w:t>
      </w:r>
      <w:r w:rsidR="005D74FE">
        <w:rPr>
          <w:i/>
        </w:rPr>
        <w:t>Reserved Allotment Group 47</w:t>
      </w:r>
      <w:r w:rsidRPr="00FD5A10">
        <w:t xml:space="preserve">, Letter, </w:t>
      </w:r>
      <w:r w:rsidR="005D74FE">
        <w:t xml:space="preserve">29 FCC Rcd 107 </w:t>
      </w:r>
      <w:r w:rsidRPr="00FD5A10">
        <w:t xml:space="preserve">(MB </w:t>
      </w:r>
      <w:r w:rsidR="005D74FE">
        <w:t>2014</w:t>
      </w:r>
      <w:r w:rsidRPr="00FD5A10">
        <w:t>) (“</w:t>
      </w:r>
      <w:r w:rsidR="001D1DEA">
        <w:rPr>
          <w:i/>
        </w:rPr>
        <w:t>Recon</w:t>
      </w:r>
      <w:r w:rsidR="007C017E">
        <w:rPr>
          <w:i/>
        </w:rPr>
        <w:t>sideration</w:t>
      </w:r>
      <w:r w:rsidR="001D1DEA">
        <w:rPr>
          <w:i/>
        </w:rPr>
        <w:t xml:space="preserve"> </w:t>
      </w:r>
      <w:r w:rsidRPr="00FD5A10">
        <w:rPr>
          <w:i/>
        </w:rPr>
        <w:t>Decision</w:t>
      </w:r>
      <w:r w:rsidRPr="00FD5A10">
        <w:t xml:space="preserve">”).  </w:t>
      </w:r>
    </w:p>
  </w:footnote>
  <w:footnote w:id="3">
    <w:p w:rsidR="004A1A4E" w:rsidRPr="009C5BEF" w:rsidRDefault="004A1A4E">
      <w:pPr>
        <w:pStyle w:val="FootnoteText"/>
      </w:pPr>
      <w:r>
        <w:rPr>
          <w:rStyle w:val="FootnoteReference"/>
        </w:rPr>
        <w:footnoteRef/>
      </w:r>
      <w:r>
        <w:t xml:space="preserve"> </w:t>
      </w:r>
      <w:r w:rsidR="005D74FE">
        <w:rPr>
          <w:i/>
        </w:rPr>
        <w:t>Reserved Allotment Group 47</w:t>
      </w:r>
      <w:r w:rsidR="005D74FE" w:rsidRPr="00FD5A10">
        <w:t>, Letter,</w:t>
      </w:r>
      <w:r w:rsidR="00F92188">
        <w:t xml:space="preserve"> </w:t>
      </w:r>
      <w:r w:rsidR="005D74FE">
        <w:t xml:space="preserve">1800B3-ATS </w:t>
      </w:r>
      <w:r w:rsidR="00F92188">
        <w:t xml:space="preserve">(MB </w:t>
      </w:r>
      <w:r w:rsidR="005D74FE">
        <w:t>Jan. 14, 2013</w:t>
      </w:r>
      <w:r w:rsidR="00F92188">
        <w:t>)</w:t>
      </w:r>
      <w:r w:rsidR="00C34932">
        <w:t xml:space="preserve"> (“</w:t>
      </w:r>
      <w:r w:rsidR="00C34932">
        <w:rPr>
          <w:i/>
        </w:rPr>
        <w:t>Staff Decision</w:t>
      </w:r>
      <w:r w:rsidR="00C34932">
        <w:t>”)</w:t>
      </w:r>
      <w:r w:rsidR="00F92188">
        <w:t>.</w:t>
      </w:r>
      <w:r w:rsidR="009C5BEF">
        <w:t xml:space="preserve">  </w:t>
      </w:r>
      <w:r w:rsidR="005D74FE" w:rsidRPr="00FD5A10">
        <w:rPr>
          <w:i/>
        </w:rPr>
        <w:t>See also Broadcast Actions</w:t>
      </w:r>
      <w:r w:rsidR="005D74FE" w:rsidRPr="00FD5A10">
        <w:t xml:space="preserve">, Report No. </w:t>
      </w:r>
      <w:r w:rsidR="00BB1E5D">
        <w:t xml:space="preserve">47906 </w:t>
      </w:r>
      <w:r w:rsidR="005D74FE" w:rsidRPr="00FD5A10">
        <w:t xml:space="preserve">(MB </w:t>
      </w:r>
      <w:r w:rsidR="00BB1E5D">
        <w:t>Jan. 16</w:t>
      </w:r>
      <w:r w:rsidR="005D74FE" w:rsidRPr="00FD5A10">
        <w:t>, 201</w:t>
      </w:r>
      <w:r w:rsidR="00DC0471">
        <w:t>3</w:t>
      </w:r>
      <w:r w:rsidR="005D74FE" w:rsidRPr="00FD5A10">
        <w:t>).</w:t>
      </w:r>
      <w:r w:rsidR="005D74FE">
        <w:t xml:space="preserve">  </w:t>
      </w:r>
    </w:p>
  </w:footnote>
  <w:footnote w:id="4">
    <w:p w:rsidR="00D41C94" w:rsidRDefault="00D41C94">
      <w:pPr>
        <w:pStyle w:val="FootnoteText"/>
      </w:pPr>
      <w:r>
        <w:rPr>
          <w:rStyle w:val="FootnoteReference"/>
        </w:rPr>
        <w:footnoteRef/>
      </w:r>
      <w:r>
        <w:t xml:space="preserve"> NUUF filed a Motion to Strike the AFR on </w:t>
      </w:r>
      <w:r w:rsidR="005B3C67">
        <w:t>February</w:t>
      </w:r>
      <w:r>
        <w:t xml:space="preserve"> 21, 2014</w:t>
      </w:r>
      <w:r w:rsidR="00654E2C">
        <w:t xml:space="preserve">, maintaining that, because “there are no good grounds to support” the AFR, “it must be assumed to have been filed exclusively for purposes of delay.” </w:t>
      </w:r>
      <w:r w:rsidR="00654E2C" w:rsidRPr="006241D2">
        <w:rPr>
          <w:i/>
        </w:rPr>
        <w:t>Id.</w:t>
      </w:r>
      <w:r w:rsidR="00654E2C">
        <w:t xml:space="preserve"> at 1, </w:t>
      </w:r>
      <w:r w:rsidR="00654E2C" w:rsidRPr="006241D2">
        <w:rPr>
          <w:i/>
        </w:rPr>
        <w:t>citing</w:t>
      </w:r>
      <w:r w:rsidR="00654E2C">
        <w:t xml:space="preserve"> 47 C.F.R. § 1.52.  We disagree and, in the interest of a full and complete record, have considered the AFR on the merits</w:t>
      </w:r>
      <w:r>
        <w:t>.</w:t>
      </w:r>
    </w:p>
  </w:footnote>
  <w:footnote w:id="5">
    <w:p w:rsidR="009C5BEF" w:rsidRPr="0013473E" w:rsidRDefault="009C5BEF">
      <w:pPr>
        <w:pStyle w:val="FootnoteText"/>
      </w:pPr>
      <w:r>
        <w:rPr>
          <w:rStyle w:val="FootnoteReference"/>
        </w:rPr>
        <w:footnoteRef/>
      </w:r>
      <w:r>
        <w:t xml:space="preserve"> </w:t>
      </w:r>
      <w:r w:rsidR="00B26CB3">
        <w:rPr>
          <w:szCs w:val="22"/>
        </w:rPr>
        <w:t>WCRA</w:t>
      </w:r>
      <w:r w:rsidR="000F29E3">
        <w:rPr>
          <w:szCs w:val="22"/>
        </w:rPr>
        <w:t xml:space="preserve"> </w:t>
      </w:r>
      <w:r w:rsidR="00AE01FF">
        <w:rPr>
          <w:szCs w:val="22"/>
        </w:rPr>
        <w:t xml:space="preserve">states that it is an unincorporated association with a sole member, Tony Malaska, and </w:t>
      </w:r>
      <w:r w:rsidR="000F29E3">
        <w:rPr>
          <w:szCs w:val="22"/>
        </w:rPr>
        <w:t xml:space="preserve">argues that it is an organization qualified to hold an NCE license under 47 C.F.R. </w:t>
      </w:r>
      <w:r w:rsidR="000F29E3" w:rsidRPr="00E501BB">
        <w:t>§</w:t>
      </w:r>
      <w:r w:rsidR="00AE01FF">
        <w:t xml:space="preserve"> 73.503(a)</w:t>
      </w:r>
      <w:r w:rsidR="00AE01FF">
        <w:rPr>
          <w:szCs w:val="22"/>
        </w:rPr>
        <w:t xml:space="preserve">.  The </w:t>
      </w:r>
      <w:r w:rsidR="00AE01FF">
        <w:rPr>
          <w:i/>
          <w:szCs w:val="22"/>
        </w:rPr>
        <w:t xml:space="preserve">Staff Decision </w:t>
      </w:r>
      <w:r w:rsidR="00AE01FF">
        <w:rPr>
          <w:szCs w:val="22"/>
        </w:rPr>
        <w:t xml:space="preserve">and </w:t>
      </w:r>
      <w:r w:rsidR="00AE01FF">
        <w:rPr>
          <w:i/>
          <w:szCs w:val="22"/>
        </w:rPr>
        <w:t>Reconsideration Decision</w:t>
      </w:r>
      <w:r w:rsidR="00AE01FF">
        <w:rPr>
          <w:szCs w:val="22"/>
        </w:rPr>
        <w:t xml:space="preserve"> rejected this argument, finding that WRCA </w:t>
      </w:r>
      <w:r w:rsidR="00912C1B">
        <w:rPr>
          <w:szCs w:val="22"/>
        </w:rPr>
        <w:t>had not demonstrated that it was</w:t>
      </w:r>
      <w:r w:rsidR="00B26CB3">
        <w:rPr>
          <w:szCs w:val="22"/>
        </w:rPr>
        <w:t xml:space="preserve"> recognized by the S</w:t>
      </w:r>
      <w:r w:rsidR="00912C1B">
        <w:rPr>
          <w:szCs w:val="22"/>
        </w:rPr>
        <w:t>tate of Oklahoma</w:t>
      </w:r>
      <w:r w:rsidR="00A16840">
        <w:rPr>
          <w:szCs w:val="22"/>
        </w:rPr>
        <w:t xml:space="preserve"> or that Oklahoma would recognize an unincorporated association</w:t>
      </w:r>
      <w:r w:rsidR="00654E2C">
        <w:rPr>
          <w:szCs w:val="22"/>
        </w:rPr>
        <w:t>, such as W</w:t>
      </w:r>
      <w:r w:rsidR="00C708FF">
        <w:rPr>
          <w:szCs w:val="22"/>
        </w:rPr>
        <w:t>CR</w:t>
      </w:r>
      <w:r w:rsidR="00654E2C">
        <w:rPr>
          <w:szCs w:val="22"/>
        </w:rPr>
        <w:t>A,</w:t>
      </w:r>
      <w:r w:rsidR="00A16840">
        <w:rPr>
          <w:szCs w:val="22"/>
        </w:rPr>
        <w:t xml:space="preserve"> consisting of a sole member</w:t>
      </w:r>
      <w:r w:rsidR="00912C1B">
        <w:rPr>
          <w:szCs w:val="22"/>
        </w:rPr>
        <w:t xml:space="preserve">.  </w:t>
      </w:r>
      <w:r>
        <w:rPr>
          <w:i/>
          <w:szCs w:val="22"/>
        </w:rPr>
        <w:t>Staff Decision</w:t>
      </w:r>
      <w:r w:rsidR="00D41C94">
        <w:rPr>
          <w:szCs w:val="22"/>
        </w:rPr>
        <w:t xml:space="preserve"> at 3-4</w:t>
      </w:r>
      <w:r w:rsidR="0013473E">
        <w:t xml:space="preserve">; </w:t>
      </w:r>
      <w:r w:rsidR="0013473E">
        <w:rPr>
          <w:i/>
        </w:rPr>
        <w:t>Reconsideration Decision</w:t>
      </w:r>
      <w:r w:rsidR="00D41C94">
        <w:t>, 29 FCC Rcd at 109-111</w:t>
      </w:r>
      <w:r w:rsidR="006D4665">
        <w:t>.</w:t>
      </w:r>
      <w:r w:rsidR="00C708FF">
        <w:t xml:space="preserve"> WCR</w:t>
      </w:r>
      <w:r w:rsidR="008E553C">
        <w:t>A failed</w:t>
      </w:r>
      <w:r w:rsidR="00C708FF">
        <w:t xml:space="preserve"> to respond to these issues, which were also raised  by NUUF in its Motion to Strike, to which WCRA did not file a responsive pleading. </w:t>
      </w:r>
    </w:p>
  </w:footnote>
  <w:footnote w:id="6">
    <w:p w:rsidR="007E1519" w:rsidRDefault="007E1519">
      <w:pPr>
        <w:pStyle w:val="FootnoteText"/>
      </w:pPr>
      <w:r>
        <w:rPr>
          <w:rStyle w:val="FootnoteReference"/>
        </w:rPr>
        <w:footnoteRef/>
      </w:r>
      <w:r>
        <w:t xml:space="preserve"> In the </w:t>
      </w:r>
      <w:r w:rsidRPr="00B40FFA">
        <w:rPr>
          <w:i/>
        </w:rPr>
        <w:t>Reconsideration Decision</w:t>
      </w:r>
      <w:r>
        <w:t>, the Bureau explained that the exclusion of individuals and sole proprietorships from NCE broadcasting, but not from commercial broadcasting, is tied to major differences between the two services and the need for an organizational structure that will support that distinction.  29 FCC Rcd at 108 n.4.  Specifically, an organizational format that is state-recognized provides a system of accountability outside of the Commission for meeting shared not-for-profit goals, generally expressed in publicly available documents (such as corporate articles of incorporation</w:t>
      </w:r>
      <w:r w:rsidR="000636E2">
        <w:t xml:space="preserve"> or other documents filed with the state</w:t>
      </w:r>
      <w:r>
        <w:t xml:space="preserve">) or organizational meetings, thereby preventing unilateral action for pecuniary gain.  </w:t>
      </w:r>
      <w:r w:rsidRPr="00B40FFA">
        <w:rPr>
          <w:i/>
        </w:rPr>
        <w:t>Id.</w:t>
      </w:r>
      <w:r>
        <w:t xml:space="preserve"> at 110 n.19.  That system of accountability is absent here, where an individual is claiming to be an unincorporated association.</w:t>
      </w:r>
    </w:p>
  </w:footnote>
  <w:footnote w:id="7">
    <w:p w:rsidR="00ED1C63" w:rsidRPr="00E501BB" w:rsidRDefault="00ED1C63" w:rsidP="00ED1C63">
      <w:pPr>
        <w:pStyle w:val="FootnoteText"/>
      </w:pPr>
      <w:r w:rsidRPr="00E501BB">
        <w:rPr>
          <w:rStyle w:val="FootnoteReference"/>
        </w:rPr>
        <w:footnoteRef/>
      </w:r>
      <w:r w:rsidRPr="00E501BB">
        <w:t xml:space="preserve"> 47 U.S.C. § 155(c)(5).</w:t>
      </w:r>
    </w:p>
  </w:footnote>
  <w:footnote w:id="8">
    <w:p w:rsidR="00ED1C63" w:rsidRPr="00E501BB" w:rsidRDefault="00ED1C63" w:rsidP="00ED1C63">
      <w:pPr>
        <w:pStyle w:val="FootnoteText"/>
      </w:pPr>
      <w:r w:rsidRPr="00E501BB">
        <w:rPr>
          <w:rStyle w:val="FootnoteReference"/>
        </w:rPr>
        <w:footnoteRef/>
      </w:r>
      <w:r w:rsidRPr="00E501BB">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3B2" w:rsidRDefault="00F80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E62E3">
      <w:t>FCC 14-72</w:t>
    </w:r>
  </w:p>
  <w:p w:rsidR="00D25FB5" w:rsidRDefault="00E66A1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57E2823" wp14:editId="23D678B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66A17"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B2C7819" wp14:editId="0408255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E62E3">
      <w:rPr>
        <w:spacing w:val="-2"/>
      </w:rPr>
      <w:t>FCC 14-72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820646"/>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636E2"/>
    <w:rsid w:val="00083A14"/>
    <w:rsid w:val="000875BF"/>
    <w:rsid w:val="00096D8C"/>
    <w:rsid w:val="000B5C39"/>
    <w:rsid w:val="000C0B65"/>
    <w:rsid w:val="000C64E7"/>
    <w:rsid w:val="000C7B27"/>
    <w:rsid w:val="000D2D9D"/>
    <w:rsid w:val="000E05FE"/>
    <w:rsid w:val="000E3D42"/>
    <w:rsid w:val="000E41A4"/>
    <w:rsid w:val="000F29E3"/>
    <w:rsid w:val="00122925"/>
    <w:rsid w:val="00122BD5"/>
    <w:rsid w:val="00133F79"/>
    <w:rsid w:val="0013473E"/>
    <w:rsid w:val="001478D1"/>
    <w:rsid w:val="00162E75"/>
    <w:rsid w:val="00194A66"/>
    <w:rsid w:val="00194CD6"/>
    <w:rsid w:val="001B17C4"/>
    <w:rsid w:val="001B6FB8"/>
    <w:rsid w:val="001D1DEA"/>
    <w:rsid w:val="001D6BCF"/>
    <w:rsid w:val="001E01CA"/>
    <w:rsid w:val="001E7B56"/>
    <w:rsid w:val="001F4889"/>
    <w:rsid w:val="002125A7"/>
    <w:rsid w:val="00214A92"/>
    <w:rsid w:val="00250ECE"/>
    <w:rsid w:val="00255FFF"/>
    <w:rsid w:val="00266970"/>
    <w:rsid w:val="00275CF5"/>
    <w:rsid w:val="0028301F"/>
    <w:rsid w:val="00285017"/>
    <w:rsid w:val="002A2D2E"/>
    <w:rsid w:val="002C00E8"/>
    <w:rsid w:val="002C360E"/>
    <w:rsid w:val="00305272"/>
    <w:rsid w:val="00343749"/>
    <w:rsid w:val="00352CFE"/>
    <w:rsid w:val="003623F1"/>
    <w:rsid w:val="00364873"/>
    <w:rsid w:val="003660ED"/>
    <w:rsid w:val="00366768"/>
    <w:rsid w:val="0038188F"/>
    <w:rsid w:val="00387346"/>
    <w:rsid w:val="003962B4"/>
    <w:rsid w:val="003968CD"/>
    <w:rsid w:val="003B0550"/>
    <w:rsid w:val="003B694F"/>
    <w:rsid w:val="003B7597"/>
    <w:rsid w:val="003C0718"/>
    <w:rsid w:val="003D3850"/>
    <w:rsid w:val="003D5F07"/>
    <w:rsid w:val="003E5E0F"/>
    <w:rsid w:val="003F171C"/>
    <w:rsid w:val="004042F9"/>
    <w:rsid w:val="00411BDE"/>
    <w:rsid w:val="00412FC5"/>
    <w:rsid w:val="00422276"/>
    <w:rsid w:val="004242F1"/>
    <w:rsid w:val="00424690"/>
    <w:rsid w:val="00442D1C"/>
    <w:rsid w:val="00445A00"/>
    <w:rsid w:val="00451B0F"/>
    <w:rsid w:val="004558FB"/>
    <w:rsid w:val="0046523E"/>
    <w:rsid w:val="0047735D"/>
    <w:rsid w:val="004A1A4E"/>
    <w:rsid w:val="004C2EE3"/>
    <w:rsid w:val="004E3673"/>
    <w:rsid w:val="004E4A22"/>
    <w:rsid w:val="004E62E3"/>
    <w:rsid w:val="004F2394"/>
    <w:rsid w:val="00507B8C"/>
    <w:rsid w:val="00511968"/>
    <w:rsid w:val="0055614C"/>
    <w:rsid w:val="005668F8"/>
    <w:rsid w:val="0057176D"/>
    <w:rsid w:val="00595BF9"/>
    <w:rsid w:val="005B2D6A"/>
    <w:rsid w:val="005B3C67"/>
    <w:rsid w:val="005B614D"/>
    <w:rsid w:val="005C1A39"/>
    <w:rsid w:val="005C7DDE"/>
    <w:rsid w:val="005D74FE"/>
    <w:rsid w:val="005E14C2"/>
    <w:rsid w:val="005E4A6F"/>
    <w:rsid w:val="005E7473"/>
    <w:rsid w:val="00607BA5"/>
    <w:rsid w:val="0061180A"/>
    <w:rsid w:val="006241D2"/>
    <w:rsid w:val="00626BAD"/>
    <w:rsid w:val="00626EB6"/>
    <w:rsid w:val="00634355"/>
    <w:rsid w:val="006426E1"/>
    <w:rsid w:val="00654E2C"/>
    <w:rsid w:val="00655D03"/>
    <w:rsid w:val="00683388"/>
    <w:rsid w:val="00683F84"/>
    <w:rsid w:val="006A6A81"/>
    <w:rsid w:val="006A71CB"/>
    <w:rsid w:val="006C10C1"/>
    <w:rsid w:val="006C26BB"/>
    <w:rsid w:val="006C6FEF"/>
    <w:rsid w:val="006D349B"/>
    <w:rsid w:val="006D4665"/>
    <w:rsid w:val="006F7393"/>
    <w:rsid w:val="0070224F"/>
    <w:rsid w:val="007115F7"/>
    <w:rsid w:val="00720BAE"/>
    <w:rsid w:val="00734E43"/>
    <w:rsid w:val="007611E9"/>
    <w:rsid w:val="00781C8B"/>
    <w:rsid w:val="007822E9"/>
    <w:rsid w:val="00785689"/>
    <w:rsid w:val="00785CD1"/>
    <w:rsid w:val="0079367E"/>
    <w:rsid w:val="00794B38"/>
    <w:rsid w:val="0079754B"/>
    <w:rsid w:val="007A1E6D"/>
    <w:rsid w:val="007A7100"/>
    <w:rsid w:val="007B0EB2"/>
    <w:rsid w:val="007C017E"/>
    <w:rsid w:val="007D0AC0"/>
    <w:rsid w:val="007E1519"/>
    <w:rsid w:val="007F4B30"/>
    <w:rsid w:val="00810B6F"/>
    <w:rsid w:val="00813483"/>
    <w:rsid w:val="00822CE0"/>
    <w:rsid w:val="00830F22"/>
    <w:rsid w:val="00841AB1"/>
    <w:rsid w:val="008B1BF9"/>
    <w:rsid w:val="008C292E"/>
    <w:rsid w:val="008C68F1"/>
    <w:rsid w:val="008D2177"/>
    <w:rsid w:val="008E553C"/>
    <w:rsid w:val="008F183B"/>
    <w:rsid w:val="0090297A"/>
    <w:rsid w:val="009106B2"/>
    <w:rsid w:val="00912C1B"/>
    <w:rsid w:val="00921803"/>
    <w:rsid w:val="00926503"/>
    <w:rsid w:val="00953FDF"/>
    <w:rsid w:val="009675E2"/>
    <w:rsid w:val="009726D8"/>
    <w:rsid w:val="009815B1"/>
    <w:rsid w:val="009923EB"/>
    <w:rsid w:val="009A39AC"/>
    <w:rsid w:val="009B1C46"/>
    <w:rsid w:val="009C0956"/>
    <w:rsid w:val="009C5BEF"/>
    <w:rsid w:val="009E14C9"/>
    <w:rsid w:val="009E6AE0"/>
    <w:rsid w:val="009F06F1"/>
    <w:rsid w:val="009F119E"/>
    <w:rsid w:val="009F76DB"/>
    <w:rsid w:val="00A0401B"/>
    <w:rsid w:val="00A16840"/>
    <w:rsid w:val="00A25911"/>
    <w:rsid w:val="00A32C3B"/>
    <w:rsid w:val="00A45F4F"/>
    <w:rsid w:val="00A600A9"/>
    <w:rsid w:val="00A62F0A"/>
    <w:rsid w:val="00A71B74"/>
    <w:rsid w:val="00AA55B7"/>
    <w:rsid w:val="00AA5B9E"/>
    <w:rsid w:val="00AB2407"/>
    <w:rsid w:val="00AB53DF"/>
    <w:rsid w:val="00AD4DA5"/>
    <w:rsid w:val="00AD56D1"/>
    <w:rsid w:val="00AE01FF"/>
    <w:rsid w:val="00B04B79"/>
    <w:rsid w:val="00B04C63"/>
    <w:rsid w:val="00B07E5C"/>
    <w:rsid w:val="00B14807"/>
    <w:rsid w:val="00B26CB3"/>
    <w:rsid w:val="00B332CC"/>
    <w:rsid w:val="00B40FFA"/>
    <w:rsid w:val="00B811F7"/>
    <w:rsid w:val="00BA5DC6"/>
    <w:rsid w:val="00BA6196"/>
    <w:rsid w:val="00BB1E5D"/>
    <w:rsid w:val="00BC6D8C"/>
    <w:rsid w:val="00BD1DBA"/>
    <w:rsid w:val="00BD33A4"/>
    <w:rsid w:val="00BE7A5F"/>
    <w:rsid w:val="00BF2FD3"/>
    <w:rsid w:val="00C10C79"/>
    <w:rsid w:val="00C133EE"/>
    <w:rsid w:val="00C22099"/>
    <w:rsid w:val="00C320E1"/>
    <w:rsid w:val="00C34006"/>
    <w:rsid w:val="00C34932"/>
    <w:rsid w:val="00C426B1"/>
    <w:rsid w:val="00C66160"/>
    <w:rsid w:val="00C708FF"/>
    <w:rsid w:val="00C721AC"/>
    <w:rsid w:val="00C76531"/>
    <w:rsid w:val="00C90D6A"/>
    <w:rsid w:val="00CA247E"/>
    <w:rsid w:val="00CA5513"/>
    <w:rsid w:val="00CC72B6"/>
    <w:rsid w:val="00CD337D"/>
    <w:rsid w:val="00CE467E"/>
    <w:rsid w:val="00CF0D91"/>
    <w:rsid w:val="00D015B1"/>
    <w:rsid w:val="00D0218D"/>
    <w:rsid w:val="00D02441"/>
    <w:rsid w:val="00D04632"/>
    <w:rsid w:val="00D24BB5"/>
    <w:rsid w:val="00D25FB5"/>
    <w:rsid w:val="00D41C94"/>
    <w:rsid w:val="00D44223"/>
    <w:rsid w:val="00D62C33"/>
    <w:rsid w:val="00DA2529"/>
    <w:rsid w:val="00DB130A"/>
    <w:rsid w:val="00DB2EBB"/>
    <w:rsid w:val="00DB6BF4"/>
    <w:rsid w:val="00DC0471"/>
    <w:rsid w:val="00DC0E91"/>
    <w:rsid w:val="00DC10A1"/>
    <w:rsid w:val="00DC19F9"/>
    <w:rsid w:val="00DC655F"/>
    <w:rsid w:val="00DD0B59"/>
    <w:rsid w:val="00DD66CF"/>
    <w:rsid w:val="00DD7EBD"/>
    <w:rsid w:val="00DE0C4B"/>
    <w:rsid w:val="00DF62B6"/>
    <w:rsid w:val="00DF7F26"/>
    <w:rsid w:val="00E07225"/>
    <w:rsid w:val="00E077A7"/>
    <w:rsid w:val="00E21345"/>
    <w:rsid w:val="00E5409F"/>
    <w:rsid w:val="00E66A17"/>
    <w:rsid w:val="00E73963"/>
    <w:rsid w:val="00EB030B"/>
    <w:rsid w:val="00EB4BD1"/>
    <w:rsid w:val="00ED1C63"/>
    <w:rsid w:val="00ED32A7"/>
    <w:rsid w:val="00EE569A"/>
    <w:rsid w:val="00EE6488"/>
    <w:rsid w:val="00EF1FC0"/>
    <w:rsid w:val="00EF7D44"/>
    <w:rsid w:val="00F021FA"/>
    <w:rsid w:val="00F315CA"/>
    <w:rsid w:val="00F318F3"/>
    <w:rsid w:val="00F60D82"/>
    <w:rsid w:val="00F62E97"/>
    <w:rsid w:val="00F64209"/>
    <w:rsid w:val="00F65E61"/>
    <w:rsid w:val="00F70BAE"/>
    <w:rsid w:val="00F70C7C"/>
    <w:rsid w:val="00F803B2"/>
    <w:rsid w:val="00F84455"/>
    <w:rsid w:val="00F92188"/>
    <w:rsid w:val="00F93BF5"/>
    <w:rsid w:val="00FD1A3B"/>
    <w:rsid w:val="00FD64EB"/>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C7C"/>
    <w:pPr>
      <w:widowControl w:val="0"/>
    </w:pPr>
    <w:rPr>
      <w:snapToGrid w:val="0"/>
      <w:kern w:val="28"/>
      <w:sz w:val="22"/>
    </w:rPr>
  </w:style>
  <w:style w:type="paragraph" w:styleId="Heading1">
    <w:name w:val="heading 1"/>
    <w:basedOn w:val="Normal"/>
    <w:next w:val="ParaNum"/>
    <w:qFormat/>
    <w:rsid w:val="00F70C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70C7C"/>
    <w:pPr>
      <w:keepNext/>
      <w:numPr>
        <w:ilvl w:val="1"/>
        <w:numId w:val="3"/>
      </w:numPr>
      <w:spacing w:after="120"/>
      <w:outlineLvl w:val="1"/>
    </w:pPr>
    <w:rPr>
      <w:b/>
    </w:rPr>
  </w:style>
  <w:style w:type="paragraph" w:styleId="Heading3">
    <w:name w:val="heading 3"/>
    <w:basedOn w:val="Normal"/>
    <w:next w:val="ParaNum"/>
    <w:qFormat/>
    <w:rsid w:val="00F70C7C"/>
    <w:pPr>
      <w:keepNext/>
      <w:numPr>
        <w:ilvl w:val="2"/>
        <w:numId w:val="3"/>
      </w:numPr>
      <w:tabs>
        <w:tab w:val="left" w:pos="2160"/>
      </w:tabs>
      <w:spacing w:after="120"/>
      <w:outlineLvl w:val="2"/>
    </w:pPr>
    <w:rPr>
      <w:b/>
    </w:rPr>
  </w:style>
  <w:style w:type="paragraph" w:styleId="Heading4">
    <w:name w:val="heading 4"/>
    <w:basedOn w:val="Normal"/>
    <w:next w:val="ParaNum"/>
    <w:qFormat/>
    <w:rsid w:val="00F70C7C"/>
    <w:pPr>
      <w:keepNext/>
      <w:numPr>
        <w:ilvl w:val="3"/>
        <w:numId w:val="3"/>
      </w:numPr>
      <w:tabs>
        <w:tab w:val="left" w:pos="2880"/>
      </w:tabs>
      <w:spacing w:after="120"/>
      <w:outlineLvl w:val="3"/>
    </w:pPr>
    <w:rPr>
      <w:b/>
    </w:rPr>
  </w:style>
  <w:style w:type="paragraph" w:styleId="Heading5">
    <w:name w:val="heading 5"/>
    <w:basedOn w:val="Normal"/>
    <w:next w:val="ParaNum"/>
    <w:qFormat/>
    <w:rsid w:val="00F70C7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70C7C"/>
    <w:pPr>
      <w:numPr>
        <w:ilvl w:val="5"/>
        <w:numId w:val="3"/>
      </w:numPr>
      <w:tabs>
        <w:tab w:val="left" w:pos="4320"/>
      </w:tabs>
      <w:spacing w:after="120"/>
      <w:outlineLvl w:val="5"/>
    </w:pPr>
    <w:rPr>
      <w:b/>
    </w:rPr>
  </w:style>
  <w:style w:type="paragraph" w:styleId="Heading7">
    <w:name w:val="heading 7"/>
    <w:basedOn w:val="Normal"/>
    <w:next w:val="ParaNum"/>
    <w:qFormat/>
    <w:rsid w:val="00F70C7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70C7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70C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0C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C7C"/>
  </w:style>
  <w:style w:type="paragraph" w:customStyle="1" w:styleId="ParaNum">
    <w:name w:val="ParaNum"/>
    <w:basedOn w:val="Normal"/>
    <w:link w:val="ParaNumChar"/>
    <w:rsid w:val="00F70C7C"/>
    <w:pPr>
      <w:numPr>
        <w:numId w:val="2"/>
      </w:numPr>
      <w:tabs>
        <w:tab w:val="clear" w:pos="1080"/>
        <w:tab w:val="num" w:pos="1440"/>
      </w:tabs>
      <w:spacing w:after="120"/>
    </w:pPr>
  </w:style>
  <w:style w:type="paragraph" w:styleId="EndnoteText">
    <w:name w:val="endnote text"/>
    <w:basedOn w:val="Normal"/>
    <w:semiHidden/>
    <w:rsid w:val="00F70C7C"/>
    <w:rPr>
      <w:sz w:val="20"/>
    </w:rPr>
  </w:style>
  <w:style w:type="character" w:styleId="EndnoteReference">
    <w:name w:val="endnote reference"/>
    <w:semiHidden/>
    <w:rsid w:val="00F70C7C"/>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F70C7C"/>
    <w:pPr>
      <w:spacing w:after="120"/>
    </w:pPr>
  </w:style>
  <w:style w:type="character" w:styleId="FootnoteReference">
    <w:name w:val="footnote reference"/>
    <w:aliases w:val="Style 12,(NECG) Footnote Reference,Appel note de bas de p,Style 124,o,fr,Style 3,Style 13"/>
    <w:rsid w:val="00F70C7C"/>
    <w:rPr>
      <w:rFonts w:ascii="Times New Roman" w:hAnsi="Times New Roman"/>
      <w:dstrike w:val="0"/>
      <w:color w:val="auto"/>
      <w:sz w:val="20"/>
      <w:vertAlign w:val="superscript"/>
    </w:rPr>
  </w:style>
  <w:style w:type="paragraph" w:styleId="TOC1">
    <w:name w:val="toc 1"/>
    <w:basedOn w:val="Normal"/>
    <w:next w:val="Normal"/>
    <w:semiHidden/>
    <w:rsid w:val="00F70C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70C7C"/>
    <w:pPr>
      <w:tabs>
        <w:tab w:val="left" w:pos="720"/>
        <w:tab w:val="right" w:leader="dot" w:pos="9360"/>
      </w:tabs>
      <w:suppressAutoHyphens/>
      <w:ind w:left="720" w:right="720" w:hanging="360"/>
    </w:pPr>
    <w:rPr>
      <w:noProof/>
    </w:rPr>
  </w:style>
  <w:style w:type="paragraph" w:styleId="TOC3">
    <w:name w:val="toc 3"/>
    <w:basedOn w:val="Normal"/>
    <w:next w:val="Normal"/>
    <w:semiHidden/>
    <w:rsid w:val="00F70C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70C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70C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70C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70C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70C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70C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0C7C"/>
    <w:pPr>
      <w:tabs>
        <w:tab w:val="right" w:pos="9360"/>
      </w:tabs>
      <w:suppressAutoHyphens/>
    </w:pPr>
  </w:style>
  <w:style w:type="character" w:customStyle="1" w:styleId="EquationCaption">
    <w:name w:val="_Equation Caption"/>
    <w:rsid w:val="00F70C7C"/>
  </w:style>
  <w:style w:type="paragraph" w:styleId="Header">
    <w:name w:val="header"/>
    <w:basedOn w:val="Normal"/>
    <w:autoRedefine/>
    <w:rsid w:val="00F70C7C"/>
    <w:pPr>
      <w:tabs>
        <w:tab w:val="center" w:pos="4680"/>
        <w:tab w:val="right" w:pos="9360"/>
      </w:tabs>
    </w:pPr>
    <w:rPr>
      <w:b/>
    </w:rPr>
  </w:style>
  <w:style w:type="paragraph" w:styleId="Footer">
    <w:name w:val="footer"/>
    <w:basedOn w:val="Normal"/>
    <w:rsid w:val="00F70C7C"/>
    <w:pPr>
      <w:tabs>
        <w:tab w:val="center" w:pos="4320"/>
        <w:tab w:val="right" w:pos="8640"/>
      </w:tabs>
    </w:pPr>
  </w:style>
  <w:style w:type="character" w:styleId="PageNumber">
    <w:name w:val="page number"/>
    <w:basedOn w:val="DefaultParagraphFont"/>
    <w:rsid w:val="00F70C7C"/>
  </w:style>
  <w:style w:type="paragraph" w:styleId="BlockText">
    <w:name w:val="Block Text"/>
    <w:basedOn w:val="Normal"/>
    <w:rsid w:val="00F70C7C"/>
    <w:pPr>
      <w:spacing w:after="240"/>
      <w:ind w:left="1440" w:right="1440"/>
    </w:pPr>
  </w:style>
  <w:style w:type="paragraph" w:customStyle="1" w:styleId="Paratitle">
    <w:name w:val="Para title"/>
    <w:basedOn w:val="Normal"/>
    <w:rsid w:val="00F70C7C"/>
    <w:pPr>
      <w:tabs>
        <w:tab w:val="center" w:pos="9270"/>
      </w:tabs>
      <w:spacing w:after="240"/>
    </w:pPr>
    <w:rPr>
      <w:spacing w:val="-2"/>
    </w:rPr>
  </w:style>
  <w:style w:type="paragraph" w:customStyle="1" w:styleId="Bullet">
    <w:name w:val="Bullet"/>
    <w:basedOn w:val="Normal"/>
    <w:rsid w:val="00F70C7C"/>
    <w:pPr>
      <w:tabs>
        <w:tab w:val="left" w:pos="2160"/>
      </w:tabs>
      <w:spacing w:after="220"/>
      <w:ind w:left="2160" w:hanging="720"/>
    </w:pPr>
  </w:style>
  <w:style w:type="paragraph" w:customStyle="1" w:styleId="TableFormat">
    <w:name w:val="TableFormat"/>
    <w:basedOn w:val="Bullet"/>
    <w:rsid w:val="00F70C7C"/>
    <w:pPr>
      <w:tabs>
        <w:tab w:val="clear" w:pos="2160"/>
        <w:tab w:val="left" w:pos="5040"/>
      </w:tabs>
      <w:ind w:left="5040" w:hanging="3600"/>
    </w:pPr>
  </w:style>
  <w:style w:type="paragraph" w:customStyle="1" w:styleId="TOCTitle">
    <w:name w:val="TOC Title"/>
    <w:basedOn w:val="Normal"/>
    <w:rsid w:val="00F70C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0C7C"/>
    <w:pPr>
      <w:jc w:val="center"/>
    </w:pPr>
    <w:rPr>
      <w:rFonts w:ascii="Times New Roman Bold" w:hAnsi="Times New Roman Bold"/>
      <w:b/>
      <w:bCs/>
      <w:caps/>
      <w:szCs w:val="22"/>
    </w:rPr>
  </w:style>
  <w:style w:type="character" w:styleId="Hyperlink">
    <w:name w:val="Hyperlink"/>
    <w:rsid w:val="00F70C7C"/>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654E2C"/>
    <w:rPr>
      <w:rFonts w:ascii="Tahoma" w:hAnsi="Tahoma" w:cs="Tahoma"/>
      <w:sz w:val="16"/>
      <w:szCs w:val="16"/>
    </w:rPr>
  </w:style>
  <w:style w:type="character" w:customStyle="1" w:styleId="BalloonTextChar">
    <w:name w:val="Balloon Text Char"/>
    <w:basedOn w:val="DefaultParagraphFont"/>
    <w:link w:val="BalloonText"/>
    <w:rsid w:val="00654E2C"/>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C7C"/>
    <w:pPr>
      <w:widowControl w:val="0"/>
    </w:pPr>
    <w:rPr>
      <w:snapToGrid w:val="0"/>
      <w:kern w:val="28"/>
      <w:sz w:val="22"/>
    </w:rPr>
  </w:style>
  <w:style w:type="paragraph" w:styleId="Heading1">
    <w:name w:val="heading 1"/>
    <w:basedOn w:val="Normal"/>
    <w:next w:val="ParaNum"/>
    <w:qFormat/>
    <w:rsid w:val="00F70C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70C7C"/>
    <w:pPr>
      <w:keepNext/>
      <w:numPr>
        <w:ilvl w:val="1"/>
        <w:numId w:val="3"/>
      </w:numPr>
      <w:spacing w:after="120"/>
      <w:outlineLvl w:val="1"/>
    </w:pPr>
    <w:rPr>
      <w:b/>
    </w:rPr>
  </w:style>
  <w:style w:type="paragraph" w:styleId="Heading3">
    <w:name w:val="heading 3"/>
    <w:basedOn w:val="Normal"/>
    <w:next w:val="ParaNum"/>
    <w:qFormat/>
    <w:rsid w:val="00F70C7C"/>
    <w:pPr>
      <w:keepNext/>
      <w:numPr>
        <w:ilvl w:val="2"/>
        <w:numId w:val="3"/>
      </w:numPr>
      <w:tabs>
        <w:tab w:val="left" w:pos="2160"/>
      </w:tabs>
      <w:spacing w:after="120"/>
      <w:outlineLvl w:val="2"/>
    </w:pPr>
    <w:rPr>
      <w:b/>
    </w:rPr>
  </w:style>
  <w:style w:type="paragraph" w:styleId="Heading4">
    <w:name w:val="heading 4"/>
    <w:basedOn w:val="Normal"/>
    <w:next w:val="ParaNum"/>
    <w:qFormat/>
    <w:rsid w:val="00F70C7C"/>
    <w:pPr>
      <w:keepNext/>
      <w:numPr>
        <w:ilvl w:val="3"/>
        <w:numId w:val="3"/>
      </w:numPr>
      <w:tabs>
        <w:tab w:val="left" w:pos="2880"/>
      </w:tabs>
      <w:spacing w:after="120"/>
      <w:outlineLvl w:val="3"/>
    </w:pPr>
    <w:rPr>
      <w:b/>
    </w:rPr>
  </w:style>
  <w:style w:type="paragraph" w:styleId="Heading5">
    <w:name w:val="heading 5"/>
    <w:basedOn w:val="Normal"/>
    <w:next w:val="ParaNum"/>
    <w:qFormat/>
    <w:rsid w:val="00F70C7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70C7C"/>
    <w:pPr>
      <w:numPr>
        <w:ilvl w:val="5"/>
        <w:numId w:val="3"/>
      </w:numPr>
      <w:tabs>
        <w:tab w:val="left" w:pos="4320"/>
      </w:tabs>
      <w:spacing w:after="120"/>
      <w:outlineLvl w:val="5"/>
    </w:pPr>
    <w:rPr>
      <w:b/>
    </w:rPr>
  </w:style>
  <w:style w:type="paragraph" w:styleId="Heading7">
    <w:name w:val="heading 7"/>
    <w:basedOn w:val="Normal"/>
    <w:next w:val="ParaNum"/>
    <w:qFormat/>
    <w:rsid w:val="00F70C7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70C7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70C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0C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C7C"/>
  </w:style>
  <w:style w:type="paragraph" w:customStyle="1" w:styleId="ParaNum">
    <w:name w:val="ParaNum"/>
    <w:basedOn w:val="Normal"/>
    <w:link w:val="ParaNumChar"/>
    <w:rsid w:val="00F70C7C"/>
    <w:pPr>
      <w:numPr>
        <w:numId w:val="2"/>
      </w:numPr>
      <w:tabs>
        <w:tab w:val="clear" w:pos="1080"/>
        <w:tab w:val="num" w:pos="1440"/>
      </w:tabs>
      <w:spacing w:after="120"/>
    </w:pPr>
  </w:style>
  <w:style w:type="paragraph" w:styleId="EndnoteText">
    <w:name w:val="endnote text"/>
    <w:basedOn w:val="Normal"/>
    <w:semiHidden/>
    <w:rsid w:val="00F70C7C"/>
    <w:rPr>
      <w:sz w:val="20"/>
    </w:rPr>
  </w:style>
  <w:style w:type="character" w:styleId="EndnoteReference">
    <w:name w:val="endnote reference"/>
    <w:semiHidden/>
    <w:rsid w:val="00F70C7C"/>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F70C7C"/>
    <w:pPr>
      <w:spacing w:after="120"/>
    </w:pPr>
  </w:style>
  <w:style w:type="character" w:styleId="FootnoteReference">
    <w:name w:val="footnote reference"/>
    <w:aliases w:val="Style 12,(NECG) Footnote Reference,Appel note de bas de p,Style 124,o,fr,Style 3,Style 13"/>
    <w:rsid w:val="00F70C7C"/>
    <w:rPr>
      <w:rFonts w:ascii="Times New Roman" w:hAnsi="Times New Roman"/>
      <w:dstrike w:val="0"/>
      <w:color w:val="auto"/>
      <w:sz w:val="20"/>
      <w:vertAlign w:val="superscript"/>
    </w:rPr>
  </w:style>
  <w:style w:type="paragraph" w:styleId="TOC1">
    <w:name w:val="toc 1"/>
    <w:basedOn w:val="Normal"/>
    <w:next w:val="Normal"/>
    <w:semiHidden/>
    <w:rsid w:val="00F70C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70C7C"/>
    <w:pPr>
      <w:tabs>
        <w:tab w:val="left" w:pos="720"/>
        <w:tab w:val="right" w:leader="dot" w:pos="9360"/>
      </w:tabs>
      <w:suppressAutoHyphens/>
      <w:ind w:left="720" w:right="720" w:hanging="360"/>
    </w:pPr>
    <w:rPr>
      <w:noProof/>
    </w:rPr>
  </w:style>
  <w:style w:type="paragraph" w:styleId="TOC3">
    <w:name w:val="toc 3"/>
    <w:basedOn w:val="Normal"/>
    <w:next w:val="Normal"/>
    <w:semiHidden/>
    <w:rsid w:val="00F70C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70C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70C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70C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70C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70C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70C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0C7C"/>
    <w:pPr>
      <w:tabs>
        <w:tab w:val="right" w:pos="9360"/>
      </w:tabs>
      <w:suppressAutoHyphens/>
    </w:pPr>
  </w:style>
  <w:style w:type="character" w:customStyle="1" w:styleId="EquationCaption">
    <w:name w:val="_Equation Caption"/>
    <w:rsid w:val="00F70C7C"/>
  </w:style>
  <w:style w:type="paragraph" w:styleId="Header">
    <w:name w:val="header"/>
    <w:basedOn w:val="Normal"/>
    <w:autoRedefine/>
    <w:rsid w:val="00F70C7C"/>
    <w:pPr>
      <w:tabs>
        <w:tab w:val="center" w:pos="4680"/>
        <w:tab w:val="right" w:pos="9360"/>
      </w:tabs>
    </w:pPr>
    <w:rPr>
      <w:b/>
    </w:rPr>
  </w:style>
  <w:style w:type="paragraph" w:styleId="Footer">
    <w:name w:val="footer"/>
    <w:basedOn w:val="Normal"/>
    <w:rsid w:val="00F70C7C"/>
    <w:pPr>
      <w:tabs>
        <w:tab w:val="center" w:pos="4320"/>
        <w:tab w:val="right" w:pos="8640"/>
      </w:tabs>
    </w:pPr>
  </w:style>
  <w:style w:type="character" w:styleId="PageNumber">
    <w:name w:val="page number"/>
    <w:basedOn w:val="DefaultParagraphFont"/>
    <w:rsid w:val="00F70C7C"/>
  </w:style>
  <w:style w:type="paragraph" w:styleId="BlockText">
    <w:name w:val="Block Text"/>
    <w:basedOn w:val="Normal"/>
    <w:rsid w:val="00F70C7C"/>
    <w:pPr>
      <w:spacing w:after="240"/>
      <w:ind w:left="1440" w:right="1440"/>
    </w:pPr>
  </w:style>
  <w:style w:type="paragraph" w:customStyle="1" w:styleId="Paratitle">
    <w:name w:val="Para title"/>
    <w:basedOn w:val="Normal"/>
    <w:rsid w:val="00F70C7C"/>
    <w:pPr>
      <w:tabs>
        <w:tab w:val="center" w:pos="9270"/>
      </w:tabs>
      <w:spacing w:after="240"/>
    </w:pPr>
    <w:rPr>
      <w:spacing w:val="-2"/>
    </w:rPr>
  </w:style>
  <w:style w:type="paragraph" w:customStyle="1" w:styleId="Bullet">
    <w:name w:val="Bullet"/>
    <w:basedOn w:val="Normal"/>
    <w:rsid w:val="00F70C7C"/>
    <w:pPr>
      <w:tabs>
        <w:tab w:val="left" w:pos="2160"/>
      </w:tabs>
      <w:spacing w:after="220"/>
      <w:ind w:left="2160" w:hanging="720"/>
    </w:pPr>
  </w:style>
  <w:style w:type="paragraph" w:customStyle="1" w:styleId="TableFormat">
    <w:name w:val="TableFormat"/>
    <w:basedOn w:val="Bullet"/>
    <w:rsid w:val="00F70C7C"/>
    <w:pPr>
      <w:tabs>
        <w:tab w:val="clear" w:pos="2160"/>
        <w:tab w:val="left" w:pos="5040"/>
      </w:tabs>
      <w:ind w:left="5040" w:hanging="3600"/>
    </w:pPr>
  </w:style>
  <w:style w:type="paragraph" w:customStyle="1" w:styleId="TOCTitle">
    <w:name w:val="TOC Title"/>
    <w:basedOn w:val="Normal"/>
    <w:rsid w:val="00F70C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0C7C"/>
    <w:pPr>
      <w:jc w:val="center"/>
    </w:pPr>
    <w:rPr>
      <w:rFonts w:ascii="Times New Roman Bold" w:hAnsi="Times New Roman Bold"/>
      <w:b/>
      <w:bCs/>
      <w:caps/>
      <w:szCs w:val="22"/>
    </w:rPr>
  </w:style>
  <w:style w:type="character" w:styleId="Hyperlink">
    <w:name w:val="Hyperlink"/>
    <w:rsid w:val="00F70C7C"/>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654E2C"/>
    <w:rPr>
      <w:rFonts w:ascii="Tahoma" w:hAnsi="Tahoma" w:cs="Tahoma"/>
      <w:sz w:val="16"/>
      <w:szCs w:val="16"/>
    </w:rPr>
  </w:style>
  <w:style w:type="character" w:customStyle="1" w:styleId="BalloonTextChar">
    <w:name w:val="Balloon Text Char"/>
    <w:basedOn w:val="DefaultParagraphFont"/>
    <w:link w:val="BalloonText"/>
    <w:rsid w:val="00654E2C"/>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292</Words>
  <Characters>1592</Characters>
  <Application>Microsoft Office Word</Application>
  <DocSecurity>0</DocSecurity>
  <Lines>73</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2014-04-17T20:00:00Z</cp:lastPrinted>
  <dcterms:created xsi:type="dcterms:W3CDTF">2014-06-05T17:10:00Z</dcterms:created>
  <dcterms:modified xsi:type="dcterms:W3CDTF">2014-06-05T17:10:00Z</dcterms:modified>
  <cp:category> </cp:category>
  <cp:contentStatus> </cp:contentStatus>
</cp:coreProperties>
</file>