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4" w:rsidRPr="00C60704" w:rsidRDefault="00C60704" w:rsidP="00C60704">
      <w:pPr>
        <w:jc w:val="center"/>
        <w:rPr>
          <w:b/>
          <w:szCs w:val="22"/>
        </w:rPr>
      </w:pPr>
      <w:bookmarkStart w:id="0" w:name="_GoBack"/>
      <w:bookmarkEnd w:id="0"/>
      <w:r w:rsidRPr="00C60704">
        <w:rPr>
          <w:b/>
          <w:szCs w:val="22"/>
        </w:rPr>
        <w:t>Before the</w:t>
      </w:r>
    </w:p>
    <w:p w:rsidR="00C60704" w:rsidRPr="00C60704" w:rsidRDefault="00C60704" w:rsidP="00C60704">
      <w:pPr>
        <w:jc w:val="center"/>
        <w:rPr>
          <w:b/>
          <w:szCs w:val="22"/>
        </w:rPr>
      </w:pPr>
      <w:r w:rsidRPr="00C60704">
        <w:rPr>
          <w:b/>
          <w:szCs w:val="22"/>
        </w:rPr>
        <w:t>Federal Communications Commission</w:t>
      </w:r>
    </w:p>
    <w:p w:rsidR="00C60704" w:rsidRPr="00C60704" w:rsidRDefault="00C60704" w:rsidP="00C60704">
      <w:pPr>
        <w:jc w:val="center"/>
        <w:rPr>
          <w:b/>
          <w:szCs w:val="22"/>
        </w:rPr>
      </w:pPr>
      <w:r w:rsidRPr="00C60704">
        <w:rPr>
          <w:b/>
          <w:szCs w:val="22"/>
        </w:rPr>
        <w:t>Washington, D.C. 20554</w:t>
      </w:r>
    </w:p>
    <w:p w:rsidR="00C60704" w:rsidRPr="00C60704" w:rsidRDefault="00C60704" w:rsidP="00C60704">
      <w:pPr>
        <w:rPr>
          <w:szCs w:val="22"/>
        </w:rPr>
      </w:pPr>
    </w:p>
    <w:tbl>
      <w:tblPr>
        <w:tblW w:w="9648" w:type="dxa"/>
        <w:tblLayout w:type="fixed"/>
        <w:tblLook w:val="0000" w:firstRow="0" w:lastRow="0" w:firstColumn="0" w:lastColumn="0" w:noHBand="0" w:noVBand="0"/>
      </w:tblPr>
      <w:tblGrid>
        <w:gridCol w:w="4698"/>
        <w:gridCol w:w="720"/>
        <w:gridCol w:w="4230"/>
      </w:tblGrid>
      <w:tr w:rsidR="00C60704" w:rsidRPr="00C60704" w:rsidTr="00C60704">
        <w:tc>
          <w:tcPr>
            <w:tcW w:w="4698" w:type="dxa"/>
          </w:tcPr>
          <w:p w:rsidR="00C60704" w:rsidRPr="00C60704" w:rsidRDefault="00C60704" w:rsidP="00C60704">
            <w:pPr>
              <w:snapToGrid w:val="0"/>
              <w:ind w:right="-18"/>
              <w:rPr>
                <w:szCs w:val="22"/>
              </w:rPr>
            </w:pPr>
            <w:r w:rsidRPr="00C60704">
              <w:rPr>
                <w:szCs w:val="22"/>
              </w:rPr>
              <w:t>In the Matter of</w:t>
            </w:r>
          </w:p>
          <w:p w:rsidR="00C60704" w:rsidRPr="00C60704" w:rsidRDefault="00C60704" w:rsidP="00C60704">
            <w:pPr>
              <w:ind w:right="-18"/>
              <w:rPr>
                <w:szCs w:val="22"/>
              </w:rPr>
            </w:pPr>
          </w:p>
          <w:p w:rsidR="00C60704" w:rsidRPr="00C60704" w:rsidRDefault="00C60704" w:rsidP="00C60704">
            <w:pPr>
              <w:ind w:right="-18"/>
              <w:rPr>
                <w:szCs w:val="22"/>
              </w:rPr>
            </w:pPr>
            <w:r w:rsidRPr="00C60704">
              <w:rPr>
                <w:szCs w:val="22"/>
              </w:rPr>
              <w:t>DIRECTV Sports Net Pittsburgh, LLC,</w:t>
            </w:r>
          </w:p>
          <w:p w:rsidR="00C60704" w:rsidRPr="00C60704" w:rsidRDefault="00C60704" w:rsidP="00C60704">
            <w:pPr>
              <w:ind w:right="-18" w:firstLine="720"/>
              <w:rPr>
                <w:szCs w:val="22"/>
              </w:rPr>
            </w:pPr>
            <w:r w:rsidRPr="00C60704">
              <w:rPr>
                <w:szCs w:val="22"/>
              </w:rPr>
              <w:t>Petitioner,</w:t>
            </w:r>
          </w:p>
          <w:p w:rsidR="00C60704" w:rsidRPr="00C60704" w:rsidRDefault="00C60704" w:rsidP="00C60704">
            <w:pPr>
              <w:ind w:right="-18"/>
              <w:rPr>
                <w:szCs w:val="22"/>
              </w:rPr>
            </w:pPr>
          </w:p>
          <w:p w:rsidR="00C60704" w:rsidRPr="00C60704" w:rsidRDefault="00C60704" w:rsidP="00C60704">
            <w:pPr>
              <w:ind w:right="-18"/>
              <w:rPr>
                <w:szCs w:val="22"/>
              </w:rPr>
            </w:pPr>
            <w:r w:rsidRPr="00C60704">
              <w:rPr>
                <w:szCs w:val="22"/>
              </w:rPr>
              <w:t>v.</w:t>
            </w:r>
          </w:p>
          <w:p w:rsidR="00C60704" w:rsidRPr="00C60704" w:rsidRDefault="00C60704" w:rsidP="00C60704">
            <w:pPr>
              <w:ind w:right="-18"/>
              <w:rPr>
                <w:szCs w:val="22"/>
              </w:rPr>
            </w:pPr>
          </w:p>
          <w:p w:rsidR="00C60704" w:rsidRPr="00C60704" w:rsidRDefault="00C60704" w:rsidP="00C60704">
            <w:pPr>
              <w:ind w:right="-18"/>
              <w:rPr>
                <w:szCs w:val="22"/>
              </w:rPr>
            </w:pPr>
            <w:r w:rsidRPr="00C60704">
              <w:rPr>
                <w:szCs w:val="22"/>
              </w:rPr>
              <w:t>Armstrong Utilities, Inc.,</w:t>
            </w:r>
          </w:p>
          <w:p w:rsidR="00C60704" w:rsidRPr="00C60704" w:rsidRDefault="00C60704" w:rsidP="00BB4558">
            <w:pPr>
              <w:ind w:right="-18" w:firstLine="720"/>
              <w:rPr>
                <w:szCs w:val="22"/>
              </w:rPr>
            </w:pPr>
            <w:r w:rsidRPr="00C60704">
              <w:rPr>
                <w:szCs w:val="22"/>
              </w:rPr>
              <w:t>Respondent</w:t>
            </w:r>
          </w:p>
        </w:tc>
        <w:tc>
          <w:tcPr>
            <w:tcW w:w="720" w:type="dxa"/>
          </w:tcPr>
          <w:p w:rsidR="00C60704" w:rsidRPr="00C60704" w:rsidRDefault="00C60704" w:rsidP="00C60704">
            <w:pPr>
              <w:snapToGrid w:val="0"/>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p w:rsidR="00C60704" w:rsidRPr="00C60704" w:rsidRDefault="00C60704" w:rsidP="00C60704">
            <w:pPr>
              <w:rPr>
                <w:b/>
                <w:szCs w:val="22"/>
              </w:rPr>
            </w:pPr>
            <w:r w:rsidRPr="00C60704">
              <w:rPr>
                <w:b/>
                <w:szCs w:val="22"/>
              </w:rPr>
              <w:t>)</w:t>
            </w:r>
          </w:p>
        </w:tc>
        <w:tc>
          <w:tcPr>
            <w:tcW w:w="4230" w:type="dxa"/>
          </w:tcPr>
          <w:p w:rsidR="00C60704" w:rsidRPr="00C60704" w:rsidRDefault="00C60704" w:rsidP="00C60704">
            <w:pPr>
              <w:snapToGrid w:val="0"/>
              <w:rPr>
                <w:szCs w:val="22"/>
              </w:rPr>
            </w:pPr>
          </w:p>
          <w:p w:rsidR="00C60704" w:rsidRPr="00C60704" w:rsidRDefault="00C60704" w:rsidP="00C60704">
            <w:pPr>
              <w:rPr>
                <w:szCs w:val="22"/>
              </w:rPr>
            </w:pPr>
          </w:p>
          <w:p w:rsidR="00C60704" w:rsidRPr="00C60704" w:rsidRDefault="00C60704" w:rsidP="00C60704">
            <w:pPr>
              <w:rPr>
                <w:spacing w:val="-2"/>
                <w:szCs w:val="22"/>
              </w:rPr>
            </w:pPr>
            <w:r w:rsidRPr="00C60704">
              <w:rPr>
                <w:spacing w:val="-2"/>
                <w:szCs w:val="22"/>
              </w:rPr>
              <w:t>File No. CSR-8480-P</w:t>
            </w:r>
          </w:p>
          <w:p w:rsidR="00C60704" w:rsidRPr="00C60704" w:rsidRDefault="00C60704" w:rsidP="00C60704">
            <w:pPr>
              <w:rPr>
                <w:szCs w:val="22"/>
              </w:rPr>
            </w:pPr>
          </w:p>
        </w:tc>
      </w:tr>
    </w:tbl>
    <w:p w:rsidR="00180471" w:rsidRDefault="00180471" w:rsidP="00C60704">
      <w:pPr>
        <w:spacing w:before="120"/>
        <w:jc w:val="center"/>
        <w:rPr>
          <w:b/>
          <w:spacing w:val="-2"/>
          <w:szCs w:val="22"/>
        </w:rPr>
      </w:pPr>
    </w:p>
    <w:p w:rsidR="00C60704" w:rsidRPr="00C60704" w:rsidRDefault="0016128C" w:rsidP="00C60704">
      <w:pPr>
        <w:spacing w:before="120"/>
        <w:jc w:val="center"/>
        <w:rPr>
          <w:b/>
          <w:spacing w:val="-2"/>
          <w:szCs w:val="22"/>
        </w:rPr>
      </w:pPr>
      <w:r>
        <w:rPr>
          <w:b/>
          <w:spacing w:val="-2"/>
          <w:szCs w:val="22"/>
        </w:rPr>
        <w:t>MEMORANDUM OPINION AND ORDER</w:t>
      </w:r>
    </w:p>
    <w:p w:rsidR="001B59DF" w:rsidRDefault="001B59DF" w:rsidP="001B59DF">
      <w:pPr>
        <w:tabs>
          <w:tab w:val="left" w:pos="5760"/>
        </w:tabs>
        <w:rPr>
          <w:b/>
          <w:spacing w:val="-2"/>
          <w:szCs w:val="22"/>
        </w:rPr>
      </w:pPr>
    </w:p>
    <w:p w:rsidR="001B59DF" w:rsidRDefault="001B59DF" w:rsidP="001B59DF">
      <w:pPr>
        <w:tabs>
          <w:tab w:val="left" w:pos="720"/>
          <w:tab w:val="right" w:pos="9360"/>
        </w:tabs>
        <w:spacing w:line="227" w:lineRule="auto"/>
        <w:rPr>
          <w:b/>
        </w:rPr>
      </w:pPr>
      <w:r w:rsidRPr="00F02441">
        <w:rPr>
          <w:b/>
          <w:spacing w:val="-2"/>
        </w:rPr>
        <w:t>Adopted</w:t>
      </w:r>
      <w:r>
        <w:rPr>
          <w:b/>
        </w:rPr>
        <w:t>:  June 4, 2014</w:t>
      </w:r>
      <w:r>
        <w:rPr>
          <w:b/>
        </w:rPr>
        <w:tab/>
        <w:t>Released:  July 16, 2014</w:t>
      </w:r>
    </w:p>
    <w:p w:rsidR="00C60704" w:rsidRPr="00C60704" w:rsidRDefault="00C60704" w:rsidP="00C60704">
      <w:pPr>
        <w:tabs>
          <w:tab w:val="left" w:pos="5760"/>
        </w:tabs>
        <w:rPr>
          <w:b/>
          <w:szCs w:val="22"/>
        </w:rPr>
      </w:pPr>
    </w:p>
    <w:p w:rsidR="006E6B55" w:rsidRPr="006E6B55" w:rsidRDefault="00C60704" w:rsidP="006E6B55">
      <w:pPr>
        <w:tabs>
          <w:tab w:val="left" w:pos="5760"/>
        </w:tabs>
      </w:pPr>
      <w:r w:rsidRPr="00C60704">
        <w:rPr>
          <w:szCs w:val="22"/>
        </w:rPr>
        <w:t xml:space="preserve">By the </w:t>
      </w:r>
      <w:r w:rsidR="0016128C" w:rsidRPr="00772227">
        <w:rPr>
          <w:szCs w:val="22"/>
        </w:rPr>
        <w:t>Commission</w:t>
      </w:r>
      <w:r w:rsidRPr="00772227">
        <w:rPr>
          <w:spacing w:val="-2"/>
          <w:szCs w:val="22"/>
        </w:rPr>
        <w:t>:</w:t>
      </w:r>
      <w:r w:rsidR="006E6B55" w:rsidRPr="00772227">
        <w:rPr>
          <w:szCs w:val="22"/>
        </w:rPr>
        <w:t xml:space="preserve">  Commissioner O’Rielly concurring in part, dissenting in part and issuing a statement; Commissioner Pai dissenting and issuing a statement.</w:t>
      </w:r>
    </w:p>
    <w:p w:rsidR="00D660C2" w:rsidRPr="00D660C2" w:rsidRDefault="00D660C2" w:rsidP="00D660C2">
      <w:bookmarkStart w:id="1" w:name="TOChere"/>
      <w:bookmarkStart w:id="2" w:name="_Toc212354451"/>
      <w:bookmarkStart w:id="3" w:name="_Toc212790897"/>
      <w:bookmarkStart w:id="4" w:name="_Toc213124393"/>
      <w:bookmarkStart w:id="5" w:name="_Toc286156299"/>
      <w:bookmarkStart w:id="6" w:name="_Toc286156609"/>
      <w:bookmarkStart w:id="7" w:name="_Toc286317934"/>
      <w:bookmarkStart w:id="8" w:name="_Toc286417663"/>
      <w:bookmarkStart w:id="9" w:name="_Toc286655677"/>
      <w:bookmarkStart w:id="10" w:name="_Toc286667658"/>
      <w:bookmarkStart w:id="11" w:name="_Toc288136274"/>
      <w:bookmarkStart w:id="12" w:name="_Toc296950653"/>
      <w:bookmarkStart w:id="13" w:name="_Toc296951679"/>
      <w:bookmarkStart w:id="14" w:name="_Toc297033071"/>
      <w:bookmarkStart w:id="15" w:name="_Toc297033518"/>
      <w:bookmarkStart w:id="16" w:name="_Toc297033841"/>
      <w:bookmarkStart w:id="17" w:name="_Toc297034015"/>
      <w:bookmarkStart w:id="18" w:name="_Toc297034073"/>
      <w:bookmarkStart w:id="19" w:name="_Toc297034401"/>
      <w:bookmarkStart w:id="20" w:name="_Toc297112808"/>
      <w:bookmarkStart w:id="21" w:name="_Toc297192924"/>
      <w:bookmarkStart w:id="22" w:name="_Toc297192960"/>
      <w:bookmarkStart w:id="23" w:name="_Toc297742170"/>
      <w:bookmarkStart w:id="24" w:name="_Toc297982560"/>
      <w:bookmarkStart w:id="25" w:name="_Toc298166939"/>
      <w:bookmarkStart w:id="26" w:name="_Toc298340411"/>
      <w:bookmarkStart w:id="27" w:name="_Toc298936600"/>
      <w:bookmarkStart w:id="28" w:name="_Toc298943168"/>
      <w:bookmarkStart w:id="29" w:name="_Toc298943213"/>
      <w:bookmarkStart w:id="30" w:name="_Toc299009742"/>
      <w:bookmarkStart w:id="31" w:name="_Toc299444044"/>
      <w:bookmarkStart w:id="32" w:name="_Toc299444110"/>
      <w:bookmarkStart w:id="33" w:name="_Toc299460442"/>
    </w:p>
    <w:p w:rsidR="00C60704" w:rsidRPr="00C60704" w:rsidRDefault="00C60704" w:rsidP="00B5721D">
      <w:pPr>
        <w:pStyle w:val="Heading1"/>
      </w:pPr>
      <w:bookmarkStart w:id="34" w:name="_Toc299460532"/>
      <w:bookmarkEnd w:id="1"/>
      <w:r w:rsidRPr="00C60704">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D1729" w:rsidRDefault="00FD1729" w:rsidP="002D2780">
      <w:pPr>
        <w:pStyle w:val="ParaNum"/>
        <w:rPr>
          <w:szCs w:val="22"/>
        </w:rPr>
      </w:pPr>
      <w:r w:rsidRPr="00461A04">
        <w:rPr>
          <w:szCs w:val="22"/>
        </w:rPr>
        <w:t xml:space="preserve">By this </w:t>
      </w:r>
      <w:r w:rsidRPr="00461A04">
        <w:rPr>
          <w:i/>
          <w:szCs w:val="22"/>
        </w:rPr>
        <w:t>Memorandum Opinion and Order</w:t>
      </w:r>
      <w:r w:rsidRPr="00461A04">
        <w:rPr>
          <w:szCs w:val="22"/>
        </w:rPr>
        <w:t xml:space="preserve"> (“</w:t>
      </w:r>
      <w:r w:rsidRPr="00461A04">
        <w:rPr>
          <w:i/>
          <w:szCs w:val="22"/>
        </w:rPr>
        <w:t>MO&amp;O</w:t>
      </w:r>
      <w:r w:rsidRPr="00461A04">
        <w:rPr>
          <w:szCs w:val="22"/>
        </w:rPr>
        <w:t xml:space="preserve">”), we deny an Application for Review filed by </w:t>
      </w:r>
      <w:r w:rsidRPr="00C60704">
        <w:rPr>
          <w:szCs w:val="22"/>
        </w:rPr>
        <w:t>DIRECTV Sports Net Pittsburgh, LLC (“DSNP”)</w:t>
      </w:r>
      <w:r>
        <w:rPr>
          <w:szCs w:val="22"/>
        </w:rPr>
        <w:t xml:space="preserve"> </w:t>
      </w:r>
      <w:r w:rsidRPr="00461A04">
        <w:rPr>
          <w:szCs w:val="22"/>
        </w:rPr>
        <w:t xml:space="preserve">of the Media Bureau’s </w:t>
      </w:r>
      <w:r w:rsidRPr="00461A04">
        <w:rPr>
          <w:i/>
          <w:szCs w:val="22"/>
        </w:rPr>
        <w:t>Order</w:t>
      </w:r>
      <w:r w:rsidR="00960E31">
        <w:rPr>
          <w:i/>
          <w:szCs w:val="22"/>
        </w:rPr>
        <w:t xml:space="preserve"> on Review</w:t>
      </w:r>
      <w:r w:rsidRPr="00461A04">
        <w:rPr>
          <w:i/>
          <w:szCs w:val="22"/>
        </w:rPr>
        <w:t xml:space="preserve"> </w:t>
      </w:r>
      <w:r>
        <w:rPr>
          <w:szCs w:val="22"/>
        </w:rPr>
        <w:t>in the above-referenced proceeding</w:t>
      </w:r>
      <w:r w:rsidRPr="00461A04">
        <w:rPr>
          <w:szCs w:val="22"/>
        </w:rPr>
        <w:t>.</w:t>
      </w:r>
      <w:r w:rsidRPr="00461A04">
        <w:rPr>
          <w:rStyle w:val="FootnoteReference"/>
          <w:szCs w:val="22"/>
        </w:rPr>
        <w:footnoteReference w:id="2"/>
      </w:r>
      <w:r w:rsidRPr="00461A04">
        <w:rPr>
          <w:szCs w:val="22"/>
        </w:rPr>
        <w:t xml:space="preserve">  </w:t>
      </w:r>
      <w:r>
        <w:rPr>
          <w:szCs w:val="22"/>
        </w:rPr>
        <w:t xml:space="preserve">In its </w:t>
      </w:r>
      <w:r w:rsidRPr="00461A04">
        <w:rPr>
          <w:i/>
          <w:szCs w:val="22"/>
        </w:rPr>
        <w:t>Order</w:t>
      </w:r>
      <w:r w:rsidR="00960E31">
        <w:rPr>
          <w:i/>
          <w:szCs w:val="22"/>
        </w:rPr>
        <w:t xml:space="preserve"> on Review</w:t>
      </w:r>
      <w:r>
        <w:rPr>
          <w:szCs w:val="22"/>
        </w:rPr>
        <w:t xml:space="preserve">, the </w:t>
      </w:r>
      <w:r w:rsidR="00C7338C">
        <w:rPr>
          <w:szCs w:val="22"/>
        </w:rPr>
        <w:t xml:space="preserve">Media </w:t>
      </w:r>
      <w:r>
        <w:rPr>
          <w:szCs w:val="22"/>
        </w:rPr>
        <w:t xml:space="preserve">Bureau </w:t>
      </w:r>
      <w:r w:rsidRPr="00C60704">
        <w:rPr>
          <w:szCs w:val="22"/>
        </w:rPr>
        <w:t>review</w:t>
      </w:r>
      <w:r w:rsidR="008E5D1C">
        <w:rPr>
          <w:szCs w:val="22"/>
        </w:rPr>
        <w:t xml:space="preserve">ed </w:t>
      </w:r>
      <w:r w:rsidR="008E5D1C" w:rsidRPr="008E5D1C">
        <w:rPr>
          <w:i/>
          <w:szCs w:val="22"/>
        </w:rPr>
        <w:t>de novo</w:t>
      </w:r>
      <w:r w:rsidR="008E5D1C">
        <w:rPr>
          <w:szCs w:val="22"/>
        </w:rPr>
        <w:t xml:space="preserve"> </w:t>
      </w:r>
      <w:r w:rsidRPr="00C60704">
        <w:rPr>
          <w:szCs w:val="22"/>
        </w:rPr>
        <w:t>an arbitrator’s decision in favor of Armstrong Utilities, Inc. (“Armstrong”) in a dispute concerning the fair market value of the right</w:t>
      </w:r>
      <w:r>
        <w:rPr>
          <w:szCs w:val="22"/>
        </w:rPr>
        <w:t xml:space="preserve"> to carry </w:t>
      </w:r>
      <w:r w:rsidRPr="00C60704">
        <w:rPr>
          <w:szCs w:val="22"/>
        </w:rPr>
        <w:t>Fox Sports Net Pittsburgh (“FSNP”), a Regional Sports Network (“RSN”) owned by DSNP.</w:t>
      </w:r>
      <w:r w:rsidRPr="00C60704">
        <w:rPr>
          <w:rStyle w:val="FootnoteReference"/>
          <w:szCs w:val="22"/>
        </w:rPr>
        <w:footnoteReference w:id="3"/>
      </w:r>
      <w:r w:rsidR="008E5D1C">
        <w:rPr>
          <w:szCs w:val="22"/>
        </w:rPr>
        <w:t xml:space="preserve">  The </w:t>
      </w:r>
      <w:r w:rsidR="00C7338C">
        <w:rPr>
          <w:szCs w:val="22"/>
        </w:rPr>
        <w:t xml:space="preserve">Media </w:t>
      </w:r>
      <w:r w:rsidR="008E5D1C">
        <w:rPr>
          <w:szCs w:val="22"/>
        </w:rPr>
        <w:t>Bureau concluded</w:t>
      </w:r>
      <w:r w:rsidR="008E5D1C" w:rsidRPr="00C60704">
        <w:rPr>
          <w:szCs w:val="22"/>
        </w:rPr>
        <w:t xml:space="preserve"> that</w:t>
      </w:r>
      <w:r w:rsidR="00E41621">
        <w:rPr>
          <w:szCs w:val="22"/>
        </w:rPr>
        <w:t xml:space="preserve"> of the two final offers, </w:t>
      </w:r>
      <w:r w:rsidR="008E5D1C">
        <w:rPr>
          <w:szCs w:val="22"/>
        </w:rPr>
        <w:t>the Armstrong final offer</w:t>
      </w:r>
      <w:r w:rsidR="008E5D1C" w:rsidRPr="00C60704">
        <w:rPr>
          <w:szCs w:val="22"/>
        </w:rPr>
        <w:t xml:space="preserve"> most closely approximates the fair market value of carriage rights </w:t>
      </w:r>
      <w:r w:rsidR="008374BE">
        <w:rPr>
          <w:szCs w:val="22"/>
        </w:rPr>
        <w:t>for FSNP</w:t>
      </w:r>
      <w:r w:rsidR="008E5D1C">
        <w:rPr>
          <w:szCs w:val="22"/>
        </w:rPr>
        <w:t>.</w:t>
      </w:r>
      <w:r w:rsidR="008E5D1C">
        <w:rPr>
          <w:rStyle w:val="FootnoteReference"/>
          <w:szCs w:val="22"/>
        </w:rPr>
        <w:footnoteReference w:id="4"/>
      </w:r>
      <w:r w:rsidR="008E5D1C">
        <w:rPr>
          <w:szCs w:val="22"/>
        </w:rPr>
        <w:t xml:space="preserve">  </w:t>
      </w:r>
      <w:r w:rsidRPr="00461A04">
        <w:rPr>
          <w:szCs w:val="22"/>
        </w:rPr>
        <w:t xml:space="preserve">For the reasons discussed below, we affirm the </w:t>
      </w:r>
      <w:r w:rsidR="00C7338C">
        <w:rPr>
          <w:szCs w:val="22"/>
        </w:rPr>
        <w:t>Media Bureau</w:t>
      </w:r>
      <w:r w:rsidRPr="00461A04">
        <w:rPr>
          <w:szCs w:val="22"/>
        </w:rPr>
        <w:t xml:space="preserve">’s </w:t>
      </w:r>
      <w:r w:rsidRPr="00461A04">
        <w:rPr>
          <w:i/>
          <w:szCs w:val="22"/>
        </w:rPr>
        <w:t>Order</w:t>
      </w:r>
      <w:r w:rsidR="00960E31">
        <w:rPr>
          <w:szCs w:val="22"/>
        </w:rPr>
        <w:t xml:space="preserve"> </w:t>
      </w:r>
      <w:r w:rsidR="00960E31" w:rsidRPr="00960E31">
        <w:rPr>
          <w:i/>
          <w:szCs w:val="22"/>
        </w:rPr>
        <w:t>on Review</w:t>
      </w:r>
      <w:r w:rsidR="008E5D1C" w:rsidRPr="008E5D1C">
        <w:rPr>
          <w:szCs w:val="22"/>
        </w:rPr>
        <w:t xml:space="preserve"> </w:t>
      </w:r>
      <w:r w:rsidR="008E5D1C">
        <w:rPr>
          <w:szCs w:val="22"/>
        </w:rPr>
        <w:t xml:space="preserve">and </w:t>
      </w:r>
      <w:r w:rsidR="008E5D1C" w:rsidRPr="00461A04">
        <w:rPr>
          <w:szCs w:val="22"/>
        </w:rPr>
        <w:t xml:space="preserve">deny </w:t>
      </w:r>
      <w:r w:rsidR="008E5D1C">
        <w:rPr>
          <w:szCs w:val="22"/>
        </w:rPr>
        <w:t xml:space="preserve">DSNP’s </w:t>
      </w:r>
      <w:r w:rsidR="008E5D1C" w:rsidRPr="00461A04">
        <w:rPr>
          <w:i/>
          <w:szCs w:val="22"/>
        </w:rPr>
        <w:t>Application for Review</w:t>
      </w:r>
      <w:r w:rsidR="00960E31">
        <w:rPr>
          <w:szCs w:val="22"/>
        </w:rPr>
        <w:t>.</w:t>
      </w:r>
      <w:r w:rsidRPr="00461A04">
        <w:rPr>
          <w:szCs w:val="22"/>
        </w:rPr>
        <w:t xml:space="preserve">  </w:t>
      </w:r>
      <w:r w:rsidR="00230CAA">
        <w:rPr>
          <w:szCs w:val="22"/>
        </w:rPr>
        <w:t>As an initial matter, w</w:t>
      </w:r>
      <w:r w:rsidR="00230CAA" w:rsidRPr="0061027E">
        <w:rPr>
          <w:szCs w:val="22"/>
        </w:rPr>
        <w:t xml:space="preserve">e note that DSNP challenges the </w:t>
      </w:r>
      <w:r w:rsidR="00230CAA" w:rsidRPr="0061027E">
        <w:rPr>
          <w:i/>
          <w:szCs w:val="22"/>
        </w:rPr>
        <w:t>Order on Re</w:t>
      </w:r>
      <w:r w:rsidR="00230CAA">
        <w:rPr>
          <w:i/>
          <w:szCs w:val="22"/>
        </w:rPr>
        <w:t>view</w:t>
      </w:r>
      <w:r w:rsidR="00230CAA">
        <w:rPr>
          <w:szCs w:val="22"/>
        </w:rPr>
        <w:t xml:space="preserve"> with respect to the Media Bureau’s findings on only two of twelve separate provisions of the final offers</w:t>
      </w:r>
      <w:r w:rsidR="003F439A" w:rsidRPr="003F439A">
        <w:rPr>
          <w:szCs w:val="22"/>
        </w:rPr>
        <w:t xml:space="preserve"> </w:t>
      </w:r>
      <w:r w:rsidR="003F439A" w:rsidRPr="00AA73A4">
        <w:rPr>
          <w:szCs w:val="22"/>
        </w:rPr>
        <w:t xml:space="preserve">analyzed by the </w:t>
      </w:r>
      <w:r w:rsidR="003F439A">
        <w:rPr>
          <w:szCs w:val="22"/>
        </w:rPr>
        <w:t xml:space="preserve">Arbitrator and the </w:t>
      </w:r>
      <w:r w:rsidR="003F439A" w:rsidRPr="00AA73A4">
        <w:rPr>
          <w:szCs w:val="22"/>
        </w:rPr>
        <w:t>Media Bureau</w:t>
      </w:r>
      <w:r w:rsidR="00230CAA">
        <w:rPr>
          <w:szCs w:val="22"/>
        </w:rPr>
        <w:t xml:space="preserve">:  the rates and the rate renewal increase.  </w:t>
      </w:r>
      <w:r w:rsidR="003F439A" w:rsidRPr="00AA73A4">
        <w:rPr>
          <w:szCs w:val="22"/>
        </w:rPr>
        <w:t xml:space="preserve">DSNP has not challenged the </w:t>
      </w:r>
      <w:r w:rsidR="003F439A">
        <w:rPr>
          <w:szCs w:val="22"/>
        </w:rPr>
        <w:t xml:space="preserve">Media Bureau’s </w:t>
      </w:r>
      <w:r w:rsidR="003F439A" w:rsidRPr="00AA73A4">
        <w:rPr>
          <w:szCs w:val="22"/>
        </w:rPr>
        <w:t xml:space="preserve">finding that, on balance, these other provisions </w:t>
      </w:r>
      <w:r w:rsidR="003F439A">
        <w:t xml:space="preserve">also </w:t>
      </w:r>
      <w:r w:rsidR="003F439A" w:rsidRPr="00AA73A4">
        <w:rPr>
          <w:szCs w:val="22"/>
        </w:rPr>
        <w:t>favor the Armstrong final offer as being more consistent with fair market value.</w:t>
      </w:r>
      <w:r w:rsidR="003F439A">
        <w:rPr>
          <w:szCs w:val="22"/>
        </w:rPr>
        <w:t xml:space="preserve">  </w:t>
      </w:r>
      <w:r w:rsidR="00230CAA">
        <w:rPr>
          <w:szCs w:val="22"/>
        </w:rPr>
        <w:t>E</w:t>
      </w:r>
      <w:r w:rsidR="00230CAA" w:rsidRPr="00AA73A4">
        <w:rPr>
          <w:szCs w:val="22"/>
        </w:rPr>
        <w:t xml:space="preserve">ven if we were to agree with one or both of DSNP’s challenges to the rates and the rate renewal increase, DSNP has failed </w:t>
      </w:r>
      <w:r w:rsidR="00230CAA">
        <w:rPr>
          <w:szCs w:val="22"/>
        </w:rPr>
        <w:t>to put forth an explanation for why these two provisions would tip the scales in favor of the DSNP final offer in light of the unchallenged finding that many of the other provisions</w:t>
      </w:r>
      <w:r w:rsidR="00230CAA" w:rsidRPr="00AA73A4">
        <w:rPr>
          <w:szCs w:val="22"/>
        </w:rPr>
        <w:t xml:space="preserve"> favor the Armstrong final offer</w:t>
      </w:r>
      <w:r w:rsidR="00230CAA">
        <w:rPr>
          <w:szCs w:val="22"/>
        </w:rPr>
        <w:t>.  In any event, d</w:t>
      </w:r>
      <w:r w:rsidR="00096BBF">
        <w:rPr>
          <w:szCs w:val="22"/>
        </w:rPr>
        <w:t xml:space="preserve">espite DSNP’s claims to the contrary, we conclude that the Media Bureau properly found that the rates and the rate renewal increase in the Armstrong final offer most closely approximate fair market value.  </w:t>
      </w:r>
    </w:p>
    <w:p w:rsidR="00C60704" w:rsidRPr="00C60704" w:rsidRDefault="00C60704" w:rsidP="00B5721D">
      <w:pPr>
        <w:pStyle w:val="Heading1"/>
      </w:pPr>
      <w:bookmarkStart w:id="35" w:name="_Toc210185482"/>
      <w:bookmarkStart w:id="36" w:name="_Toc211747194"/>
      <w:bookmarkStart w:id="37" w:name="_Toc212354124"/>
      <w:bookmarkStart w:id="38" w:name="_Toc212354271"/>
      <w:bookmarkStart w:id="39" w:name="_Toc212354452"/>
      <w:bookmarkStart w:id="40" w:name="_Toc212790898"/>
      <w:bookmarkStart w:id="41" w:name="_Toc213124394"/>
      <w:bookmarkStart w:id="42" w:name="_Toc286156300"/>
      <w:bookmarkStart w:id="43" w:name="_Toc286156610"/>
      <w:bookmarkStart w:id="44" w:name="_Toc286317935"/>
      <w:bookmarkStart w:id="45" w:name="_Toc286417664"/>
      <w:bookmarkStart w:id="46" w:name="_Toc286655678"/>
      <w:bookmarkStart w:id="47" w:name="_Toc286667659"/>
      <w:bookmarkStart w:id="48" w:name="_Toc288136275"/>
      <w:bookmarkStart w:id="49" w:name="_Toc296950654"/>
      <w:bookmarkStart w:id="50" w:name="_Toc296951680"/>
      <w:bookmarkStart w:id="51" w:name="_Toc297033072"/>
      <w:bookmarkStart w:id="52" w:name="_Toc297033519"/>
      <w:bookmarkStart w:id="53" w:name="_Toc297033842"/>
      <w:bookmarkStart w:id="54" w:name="_Toc297034016"/>
      <w:bookmarkStart w:id="55" w:name="_Toc297034074"/>
      <w:bookmarkStart w:id="56" w:name="_Toc297034402"/>
      <w:bookmarkStart w:id="57" w:name="_Toc297112809"/>
      <w:bookmarkStart w:id="58" w:name="_Toc297192925"/>
      <w:bookmarkStart w:id="59" w:name="_Toc297192961"/>
      <w:bookmarkStart w:id="60" w:name="_Toc297742171"/>
      <w:bookmarkStart w:id="61" w:name="_Toc297982561"/>
      <w:bookmarkStart w:id="62" w:name="_Toc298166940"/>
      <w:bookmarkStart w:id="63" w:name="_Toc298340412"/>
      <w:bookmarkStart w:id="64" w:name="_Toc298936601"/>
      <w:bookmarkStart w:id="65" w:name="_Toc298943169"/>
      <w:bookmarkStart w:id="66" w:name="_Toc298943214"/>
      <w:bookmarkStart w:id="67" w:name="_Toc299009743"/>
      <w:bookmarkStart w:id="68" w:name="_Toc299444045"/>
      <w:bookmarkStart w:id="69" w:name="_Toc299444111"/>
      <w:bookmarkStart w:id="70" w:name="_Toc299460443"/>
      <w:bookmarkStart w:id="71" w:name="_Toc299460533"/>
      <w:r w:rsidRPr="00C60704">
        <w:t>BACKGROUND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E16D8" w:rsidRDefault="00EF673A" w:rsidP="002E16D8">
      <w:pPr>
        <w:pStyle w:val="ParaNum"/>
        <w:rPr>
          <w:szCs w:val="22"/>
        </w:rPr>
      </w:pPr>
      <w:r w:rsidRPr="00C60704">
        <w:rPr>
          <w:szCs w:val="22"/>
        </w:rPr>
        <w:t xml:space="preserve">In the </w:t>
      </w:r>
      <w:r w:rsidRPr="00C60704">
        <w:rPr>
          <w:i/>
          <w:szCs w:val="22"/>
        </w:rPr>
        <w:t>Liberty Media Order</w:t>
      </w:r>
      <w:r w:rsidRPr="00C60704">
        <w:rPr>
          <w:szCs w:val="22"/>
        </w:rPr>
        <w:t xml:space="preserve">, the Commission approved the transfer of control of </w:t>
      </w:r>
      <w:r w:rsidRPr="00C60704">
        <w:rPr>
          <w:szCs w:val="22"/>
        </w:rPr>
        <w:lastRenderedPageBreak/>
        <w:t>DIRECTV Group, Inc. (“DIRECTV”) from the News Corporation (“News Corp.”) to Liberty Media Corp</w:t>
      </w:r>
      <w:r w:rsidR="00BB4558">
        <w:rPr>
          <w:szCs w:val="22"/>
        </w:rPr>
        <w:t>oration</w:t>
      </w:r>
      <w:r w:rsidRPr="00C60704">
        <w:rPr>
          <w:szCs w:val="22"/>
        </w:rPr>
        <w:t xml:space="preserve"> (“Liberty Media”).</w:t>
      </w:r>
      <w:r w:rsidRPr="00C60704">
        <w:rPr>
          <w:rStyle w:val="FootnoteReference"/>
          <w:szCs w:val="22"/>
        </w:rPr>
        <w:footnoteReference w:id="5"/>
      </w:r>
      <w:r w:rsidR="002E16D8">
        <w:rPr>
          <w:szCs w:val="22"/>
        </w:rPr>
        <w:t xml:space="preserve">  Among other conditions adopted by the Commission in approving the transfer, </w:t>
      </w:r>
      <w:r w:rsidR="002E16D8" w:rsidRPr="00C60704">
        <w:rPr>
          <w:szCs w:val="22"/>
        </w:rPr>
        <w:t>the Commis</w:t>
      </w:r>
      <w:r w:rsidR="002E16D8">
        <w:rPr>
          <w:szCs w:val="22"/>
        </w:rPr>
        <w:t xml:space="preserve">sion accepted Liberty Media’s </w:t>
      </w:r>
      <w:r w:rsidR="002E16D8" w:rsidRPr="00C60704">
        <w:rPr>
          <w:szCs w:val="22"/>
        </w:rPr>
        <w:t>offer to abide by the same arbitration conditions with respect to RSNs</w:t>
      </w:r>
      <w:r w:rsidR="002E16D8">
        <w:rPr>
          <w:szCs w:val="22"/>
        </w:rPr>
        <w:t xml:space="preserve"> that the Commission adopted previously in approving </w:t>
      </w:r>
      <w:r w:rsidR="002E16D8" w:rsidRPr="00C27268">
        <w:rPr>
          <w:szCs w:val="22"/>
        </w:rPr>
        <w:t>News Corp.</w:t>
      </w:r>
      <w:r w:rsidR="002E16D8">
        <w:rPr>
          <w:szCs w:val="22"/>
        </w:rPr>
        <w:t xml:space="preserve">’s acquisition of </w:t>
      </w:r>
      <w:r w:rsidR="002E16D8" w:rsidRPr="00C27268">
        <w:rPr>
          <w:szCs w:val="22"/>
        </w:rPr>
        <w:t xml:space="preserve">a </w:t>
      </w:r>
      <w:r w:rsidR="002E16D8" w:rsidRPr="00C27268">
        <w:rPr>
          <w:i/>
          <w:szCs w:val="22"/>
        </w:rPr>
        <w:t xml:space="preserve">de facto </w:t>
      </w:r>
      <w:r w:rsidR="002E16D8" w:rsidRPr="00C27268">
        <w:rPr>
          <w:szCs w:val="22"/>
        </w:rPr>
        <w:t>controlling interest in DIRECTV</w:t>
      </w:r>
      <w:r w:rsidR="002E16D8" w:rsidRPr="00C60704">
        <w:rPr>
          <w:i/>
          <w:szCs w:val="22"/>
        </w:rPr>
        <w:t>.</w:t>
      </w:r>
      <w:r w:rsidR="002E16D8" w:rsidRPr="00C60704">
        <w:rPr>
          <w:rStyle w:val="FootnoteReference"/>
          <w:szCs w:val="22"/>
        </w:rPr>
        <w:footnoteReference w:id="6"/>
      </w:r>
      <w:r w:rsidR="002E16D8">
        <w:rPr>
          <w:i/>
          <w:szCs w:val="22"/>
        </w:rPr>
        <w:t xml:space="preserve">  </w:t>
      </w:r>
      <w:r w:rsidR="002E16D8" w:rsidRPr="00C60704">
        <w:rPr>
          <w:szCs w:val="22"/>
        </w:rPr>
        <w:t>These conditions provide that when negotiations fail to produce a mutually acceptable set of price, terms, and conditions for carriage of a non-broadcast</w:t>
      </w:r>
      <w:r w:rsidR="002E16D8">
        <w:rPr>
          <w:szCs w:val="22"/>
        </w:rPr>
        <w:t xml:space="preserve"> RSN that is </w:t>
      </w:r>
      <w:r w:rsidR="002E16D8">
        <w:t xml:space="preserve">owned, managed, or controlled </w:t>
      </w:r>
      <w:r w:rsidR="002E16D8" w:rsidRPr="00C60704">
        <w:rPr>
          <w:szCs w:val="22"/>
        </w:rPr>
        <w:t>by Liberty Media, an MVPD may choose to submit the dispute to commercial arbitration.</w:t>
      </w:r>
      <w:r w:rsidR="002E16D8" w:rsidRPr="00C60704">
        <w:rPr>
          <w:rStyle w:val="FootnoteReference"/>
          <w:szCs w:val="22"/>
        </w:rPr>
        <w:footnoteReference w:id="7"/>
      </w:r>
      <w:r w:rsidR="002E16D8" w:rsidRPr="00C60704">
        <w:rPr>
          <w:szCs w:val="22"/>
        </w:rPr>
        <w:t xml:space="preserve">  </w:t>
      </w:r>
      <w:r w:rsidR="0070401C">
        <w:rPr>
          <w:szCs w:val="22"/>
        </w:rPr>
        <w:t xml:space="preserve">The conditions require each party to submit a “final offer” </w:t>
      </w:r>
      <w:r w:rsidR="0070401C">
        <w:t>for carriage of the RSN at issue</w:t>
      </w:r>
      <w:r w:rsidR="0070401C">
        <w:rPr>
          <w:rStyle w:val="FootnoteReference"/>
        </w:rPr>
        <w:footnoteReference w:id="8"/>
      </w:r>
      <w:r w:rsidR="0070401C" w:rsidRPr="00C60704">
        <w:rPr>
          <w:rStyle w:val="documentbody1"/>
          <w:rFonts w:ascii="Times New Roman" w:hAnsi="Times New Roman"/>
          <w:sz w:val="22"/>
          <w:szCs w:val="22"/>
        </w:rPr>
        <w:t xml:space="preserve"> </w:t>
      </w:r>
      <w:r w:rsidR="0070401C">
        <w:t>and require the arbitrator to issue a decision choosing the final offer that “most closely approximates the fair market value of the programming carriage rights at issue.”</w:t>
      </w:r>
      <w:r w:rsidR="0070401C">
        <w:rPr>
          <w:rStyle w:val="FootnoteReference"/>
        </w:rPr>
        <w:footnoteReference w:id="9"/>
      </w:r>
    </w:p>
    <w:p w:rsidR="002D472A" w:rsidRPr="0060742D" w:rsidRDefault="002E16D8" w:rsidP="0060742D">
      <w:pPr>
        <w:pStyle w:val="ParaNum"/>
        <w:tabs>
          <w:tab w:val="left" w:pos="8370"/>
        </w:tabs>
      </w:pPr>
      <w:r w:rsidRPr="00C60704">
        <w:t>Armstrong</w:t>
      </w:r>
      <w:r>
        <w:t xml:space="preserve">, </w:t>
      </w:r>
      <w:r w:rsidRPr="00C60704">
        <w:t>a cable operator in Pittsburgh</w:t>
      </w:r>
      <w:r>
        <w:t xml:space="preserve">, failed to </w:t>
      </w:r>
      <w:r w:rsidR="00986C6F">
        <w:t xml:space="preserve">reach an </w:t>
      </w:r>
      <w:r w:rsidRPr="00C60704">
        <w:t xml:space="preserve">agreement </w:t>
      </w:r>
      <w:r w:rsidR="00986C6F">
        <w:t>for renewal of its cont</w:t>
      </w:r>
      <w:r w:rsidR="001B4CEE">
        <w:t>r</w:t>
      </w:r>
      <w:r w:rsidR="00986C6F">
        <w:t xml:space="preserve">act </w:t>
      </w:r>
      <w:r>
        <w:t xml:space="preserve">with </w:t>
      </w:r>
      <w:r w:rsidRPr="00C60704">
        <w:t xml:space="preserve">DSNP </w:t>
      </w:r>
      <w:r>
        <w:t xml:space="preserve">for carriage </w:t>
      </w:r>
      <w:r w:rsidRPr="00C60704">
        <w:t>of FSNP, one of th</w:t>
      </w:r>
      <w:r>
        <w:t>e</w:t>
      </w:r>
      <w:r w:rsidRPr="00C60704">
        <w:t xml:space="preserve"> RSNs subject to the </w:t>
      </w:r>
      <w:r w:rsidRPr="00A85D75">
        <w:rPr>
          <w:i/>
        </w:rPr>
        <w:t>Liberty Media Order</w:t>
      </w:r>
      <w:r>
        <w:t xml:space="preserve"> </w:t>
      </w:r>
      <w:r w:rsidRPr="00C60704">
        <w:t>arbitration condition</w:t>
      </w:r>
      <w:r>
        <w:t>s</w:t>
      </w:r>
      <w:r w:rsidRPr="00C60704">
        <w:t>.</w:t>
      </w:r>
      <w:r>
        <w:rPr>
          <w:rStyle w:val="FootnoteReference"/>
          <w:szCs w:val="22"/>
        </w:rPr>
        <w:footnoteReference w:id="10"/>
      </w:r>
      <w:r w:rsidRPr="00C60704">
        <w:t xml:space="preserve">  </w:t>
      </w:r>
      <w:r w:rsidRPr="005A6A9B">
        <w:t xml:space="preserve">Armstrong </w:t>
      </w:r>
      <w:r>
        <w:t xml:space="preserve">subsequently </w:t>
      </w:r>
      <w:r w:rsidRPr="005A6A9B">
        <w:t>submitted a demand for arbitration.</w:t>
      </w:r>
      <w:r w:rsidR="008E5D1C">
        <w:rPr>
          <w:rStyle w:val="FootnoteReference"/>
        </w:rPr>
        <w:footnoteReference w:id="11"/>
      </w:r>
      <w:r>
        <w:t xml:space="preserve">  Armstrong and DSNP each </w:t>
      </w:r>
      <w:r>
        <w:rPr>
          <w:szCs w:val="22"/>
        </w:rPr>
        <w:t xml:space="preserve">submitted a “final offer” </w:t>
      </w:r>
      <w:r>
        <w:t>for carriage of FSNP.</w:t>
      </w:r>
      <w:r>
        <w:rPr>
          <w:rStyle w:val="FootnoteReference"/>
        </w:rPr>
        <w:footnoteReference w:id="12"/>
      </w:r>
      <w:r w:rsidRPr="00C60704">
        <w:rPr>
          <w:rStyle w:val="documentbody1"/>
          <w:rFonts w:ascii="Times New Roman" w:hAnsi="Times New Roman"/>
          <w:sz w:val="22"/>
          <w:szCs w:val="22"/>
        </w:rPr>
        <w:t xml:space="preserve"> </w:t>
      </w:r>
      <w:r>
        <w:rPr>
          <w:rStyle w:val="documentbody1"/>
          <w:rFonts w:ascii="Times New Roman" w:hAnsi="Times New Roman"/>
          <w:sz w:val="22"/>
          <w:szCs w:val="22"/>
        </w:rPr>
        <w:t xml:space="preserve"> </w:t>
      </w:r>
      <w:r w:rsidR="0060742D" w:rsidRPr="00C60704">
        <w:rPr>
          <w:szCs w:val="22"/>
        </w:rPr>
        <w:t>On March 14, 2011,</w:t>
      </w:r>
      <w:r w:rsidR="0060742D" w:rsidRPr="005A6A9B">
        <w:t xml:space="preserve"> the </w:t>
      </w:r>
      <w:r w:rsidR="0060742D">
        <w:t>a</w:t>
      </w:r>
      <w:r w:rsidR="0060742D" w:rsidRPr="005A6A9B">
        <w:t>rbitrator</w:t>
      </w:r>
      <w:r w:rsidR="0060742D">
        <w:t xml:space="preserve"> appointed by the American Arbitration Association</w:t>
      </w:r>
      <w:r w:rsidR="001B4CEE">
        <w:t xml:space="preserve"> (“AAA”)</w:t>
      </w:r>
      <w:r w:rsidR="0060742D">
        <w:t xml:space="preserve"> </w:t>
      </w:r>
      <w:r w:rsidR="00BB4558">
        <w:t>ruled</w:t>
      </w:r>
      <w:r w:rsidR="0060742D" w:rsidRPr="00C60704">
        <w:rPr>
          <w:szCs w:val="22"/>
        </w:rPr>
        <w:t xml:space="preserve"> that </w:t>
      </w:r>
      <w:r w:rsidR="008E5D1C">
        <w:rPr>
          <w:szCs w:val="22"/>
        </w:rPr>
        <w:t xml:space="preserve">Armstrong’s </w:t>
      </w:r>
      <w:r w:rsidR="0060742D" w:rsidRPr="00C60704">
        <w:rPr>
          <w:szCs w:val="22"/>
        </w:rPr>
        <w:t>final offer most closely approximate</w:t>
      </w:r>
      <w:r w:rsidR="00BB4558">
        <w:rPr>
          <w:szCs w:val="22"/>
        </w:rPr>
        <w:t>s</w:t>
      </w:r>
      <w:r w:rsidR="0060742D" w:rsidRPr="00C60704">
        <w:rPr>
          <w:szCs w:val="22"/>
        </w:rPr>
        <w:t xml:space="preserve"> fair market value</w:t>
      </w:r>
      <w:r w:rsidR="00BB4558">
        <w:rPr>
          <w:szCs w:val="22"/>
        </w:rPr>
        <w:t>.</w:t>
      </w:r>
      <w:r w:rsidR="0060742D">
        <w:rPr>
          <w:rStyle w:val="FootnoteReference"/>
          <w:szCs w:val="22"/>
        </w:rPr>
        <w:footnoteReference w:id="13"/>
      </w:r>
      <w:r w:rsidR="0060742D" w:rsidRPr="00C60704">
        <w:rPr>
          <w:szCs w:val="22"/>
        </w:rPr>
        <w:t xml:space="preserve">  </w:t>
      </w:r>
      <w:r w:rsidR="0060742D">
        <w:rPr>
          <w:szCs w:val="22"/>
        </w:rPr>
        <w:t>O</w:t>
      </w:r>
      <w:r w:rsidR="0060742D" w:rsidRPr="00C60704">
        <w:rPr>
          <w:szCs w:val="22"/>
        </w:rPr>
        <w:t xml:space="preserve">n April 13, 2011, DSNP filed a Petition for </w:t>
      </w:r>
      <w:r w:rsidR="0060742D" w:rsidRPr="002B6064">
        <w:rPr>
          <w:i/>
          <w:szCs w:val="22"/>
        </w:rPr>
        <w:t>De Novo</w:t>
      </w:r>
      <w:r w:rsidR="0060742D" w:rsidRPr="00C60704">
        <w:rPr>
          <w:szCs w:val="22"/>
        </w:rPr>
        <w:t xml:space="preserve"> Review of th</w:t>
      </w:r>
      <w:r w:rsidR="00BB4558">
        <w:rPr>
          <w:szCs w:val="22"/>
        </w:rPr>
        <w:t>e ruling</w:t>
      </w:r>
      <w:r w:rsidR="0060742D" w:rsidRPr="00C60704">
        <w:rPr>
          <w:szCs w:val="22"/>
        </w:rPr>
        <w:t>.</w:t>
      </w:r>
      <w:r w:rsidR="0060742D">
        <w:rPr>
          <w:rStyle w:val="FootnoteReference"/>
          <w:szCs w:val="22"/>
        </w:rPr>
        <w:footnoteReference w:id="14"/>
      </w:r>
    </w:p>
    <w:p w:rsidR="003A3A9E" w:rsidRDefault="0060742D" w:rsidP="0060742D">
      <w:pPr>
        <w:pStyle w:val="ParaNum"/>
        <w:tabs>
          <w:tab w:val="left" w:pos="8370"/>
        </w:tabs>
      </w:pPr>
      <w:r>
        <w:rPr>
          <w:szCs w:val="22"/>
        </w:rPr>
        <w:t xml:space="preserve">On August 10, 2011, the </w:t>
      </w:r>
      <w:r w:rsidR="00C7338C">
        <w:rPr>
          <w:szCs w:val="22"/>
        </w:rPr>
        <w:t>Media Bureau</w:t>
      </w:r>
      <w:r>
        <w:rPr>
          <w:szCs w:val="22"/>
        </w:rPr>
        <w:t xml:space="preserve"> adopted a</w:t>
      </w:r>
      <w:r w:rsidR="00821C76">
        <w:rPr>
          <w:szCs w:val="22"/>
        </w:rPr>
        <w:t>n</w:t>
      </w:r>
      <w:r>
        <w:rPr>
          <w:szCs w:val="22"/>
        </w:rPr>
        <w:t xml:space="preserve"> </w:t>
      </w:r>
      <w:r w:rsidRPr="00461A04">
        <w:rPr>
          <w:i/>
          <w:szCs w:val="22"/>
        </w:rPr>
        <w:t>Order</w:t>
      </w:r>
      <w:r>
        <w:rPr>
          <w:i/>
          <w:szCs w:val="22"/>
        </w:rPr>
        <w:t xml:space="preserve"> on Review</w:t>
      </w:r>
      <w:r w:rsidRPr="00461A04">
        <w:rPr>
          <w:i/>
          <w:szCs w:val="22"/>
        </w:rPr>
        <w:t xml:space="preserve"> </w:t>
      </w:r>
      <w:r>
        <w:rPr>
          <w:szCs w:val="22"/>
        </w:rPr>
        <w:t xml:space="preserve">in accordance with the deadline </w:t>
      </w:r>
      <w:r w:rsidR="003817CE">
        <w:rPr>
          <w:szCs w:val="22"/>
        </w:rPr>
        <w:t xml:space="preserve">adopted in </w:t>
      </w:r>
      <w:r w:rsidRPr="005A6A9B">
        <w:t xml:space="preserve">the </w:t>
      </w:r>
      <w:r w:rsidRPr="005A6A9B">
        <w:rPr>
          <w:i/>
        </w:rPr>
        <w:t>Liberty Media Order</w:t>
      </w:r>
      <w:r>
        <w:t>.</w:t>
      </w:r>
      <w:r w:rsidR="00986C6F">
        <w:rPr>
          <w:rStyle w:val="FootnoteReference"/>
        </w:rPr>
        <w:footnoteReference w:id="15"/>
      </w:r>
      <w:r>
        <w:t xml:space="preserve">  </w:t>
      </w:r>
      <w:r w:rsidR="003A3A9E">
        <w:t xml:space="preserve">The </w:t>
      </w:r>
      <w:r w:rsidR="00C7338C">
        <w:t>Media Bureau</w:t>
      </w:r>
      <w:r w:rsidR="003A3A9E">
        <w:t xml:space="preserve"> explained that, pursuant to the terms of the </w:t>
      </w:r>
      <w:r w:rsidR="003A3A9E" w:rsidRPr="003A3A9E">
        <w:rPr>
          <w:i/>
        </w:rPr>
        <w:t>Liberty Media Order</w:t>
      </w:r>
      <w:r w:rsidR="003A3A9E">
        <w:t>, it was faced with a binary choice</w:t>
      </w:r>
      <w:r w:rsidR="00427233">
        <w:t xml:space="preserve">:  it was required to select </w:t>
      </w:r>
      <w:r w:rsidR="003F105B">
        <w:t>o</w:t>
      </w:r>
      <w:r w:rsidR="003A3A9E" w:rsidRPr="0074117A">
        <w:rPr>
          <w:szCs w:val="22"/>
        </w:rPr>
        <w:t>ne final offer or the other</w:t>
      </w:r>
      <w:r w:rsidR="003F105B" w:rsidRPr="003F105B">
        <w:rPr>
          <w:szCs w:val="22"/>
        </w:rPr>
        <w:t xml:space="preserve"> </w:t>
      </w:r>
      <w:r w:rsidR="003F105B">
        <w:rPr>
          <w:szCs w:val="22"/>
        </w:rPr>
        <w:t xml:space="preserve">and </w:t>
      </w:r>
      <w:r w:rsidR="00427233">
        <w:rPr>
          <w:szCs w:val="22"/>
        </w:rPr>
        <w:t xml:space="preserve">could not </w:t>
      </w:r>
      <w:r w:rsidR="003F105B" w:rsidRPr="0074117A">
        <w:rPr>
          <w:szCs w:val="22"/>
        </w:rPr>
        <w:t xml:space="preserve">craft </w:t>
      </w:r>
      <w:r w:rsidR="003F105B">
        <w:rPr>
          <w:szCs w:val="22"/>
        </w:rPr>
        <w:t xml:space="preserve">its </w:t>
      </w:r>
      <w:r w:rsidR="003F105B" w:rsidRPr="0074117A">
        <w:rPr>
          <w:szCs w:val="22"/>
        </w:rPr>
        <w:t xml:space="preserve">own </w:t>
      </w:r>
      <w:r w:rsidR="003F105B">
        <w:rPr>
          <w:szCs w:val="22"/>
        </w:rPr>
        <w:t xml:space="preserve">affiliation agreement </w:t>
      </w:r>
      <w:r w:rsidR="003F105B" w:rsidRPr="0074117A">
        <w:rPr>
          <w:szCs w:val="22"/>
        </w:rPr>
        <w:t xml:space="preserve">by selecting some terms from one final offer and other terms from the other final offer or by imposing </w:t>
      </w:r>
      <w:r w:rsidR="003F105B">
        <w:rPr>
          <w:szCs w:val="22"/>
        </w:rPr>
        <w:t>its</w:t>
      </w:r>
      <w:r w:rsidR="003F105B" w:rsidRPr="0074117A">
        <w:rPr>
          <w:szCs w:val="22"/>
        </w:rPr>
        <w:t xml:space="preserve"> own terms</w:t>
      </w:r>
      <w:r w:rsidR="003A3A9E">
        <w:rPr>
          <w:szCs w:val="22"/>
        </w:rPr>
        <w:t>.</w:t>
      </w:r>
      <w:r w:rsidR="003A3A9E">
        <w:rPr>
          <w:rStyle w:val="FootnoteReference"/>
          <w:szCs w:val="22"/>
        </w:rPr>
        <w:footnoteReference w:id="16"/>
      </w:r>
      <w:r w:rsidR="003A3A9E">
        <w:rPr>
          <w:szCs w:val="22"/>
        </w:rPr>
        <w:t xml:space="preserve">  In addition, </w:t>
      </w:r>
      <w:r w:rsidR="003F105B">
        <w:rPr>
          <w:szCs w:val="22"/>
        </w:rPr>
        <w:t xml:space="preserve">the </w:t>
      </w:r>
      <w:r w:rsidR="00C7338C">
        <w:rPr>
          <w:szCs w:val="22"/>
        </w:rPr>
        <w:t xml:space="preserve">Media </w:t>
      </w:r>
      <w:r w:rsidR="00C7338C">
        <w:rPr>
          <w:szCs w:val="22"/>
        </w:rPr>
        <w:lastRenderedPageBreak/>
        <w:t>Bureau</w:t>
      </w:r>
      <w:r w:rsidR="00CD1661">
        <w:rPr>
          <w:szCs w:val="22"/>
        </w:rPr>
        <w:t xml:space="preserve"> noted that it was </w:t>
      </w:r>
      <w:r w:rsidR="003A3A9E">
        <w:rPr>
          <w:szCs w:val="22"/>
        </w:rPr>
        <w:t xml:space="preserve">required to </w:t>
      </w:r>
      <w:r w:rsidR="003A3A9E" w:rsidRPr="0074117A">
        <w:rPr>
          <w:szCs w:val="22"/>
        </w:rPr>
        <w:t xml:space="preserve">select the final offer that </w:t>
      </w:r>
      <w:r w:rsidR="003A3A9E">
        <w:rPr>
          <w:szCs w:val="22"/>
        </w:rPr>
        <w:t>“</w:t>
      </w:r>
      <w:r w:rsidR="004A2D56">
        <w:rPr>
          <w:szCs w:val="22"/>
        </w:rPr>
        <w:t>‘</w:t>
      </w:r>
      <w:r w:rsidR="003A3A9E">
        <w:t>most closely approximates the fair market value of the programming carriage rights at issue.</w:t>
      </w:r>
      <w:r w:rsidR="004A2D56">
        <w:t>’</w:t>
      </w:r>
      <w:r w:rsidR="003A3A9E">
        <w:t>”</w:t>
      </w:r>
      <w:r w:rsidR="003A3A9E">
        <w:rPr>
          <w:rStyle w:val="FootnoteReference"/>
        </w:rPr>
        <w:footnoteReference w:id="17"/>
      </w:r>
    </w:p>
    <w:p w:rsidR="001032DA" w:rsidRDefault="006E10AD" w:rsidP="0060742D">
      <w:pPr>
        <w:pStyle w:val="ParaNum"/>
        <w:tabs>
          <w:tab w:val="left" w:pos="8370"/>
        </w:tabs>
      </w:pPr>
      <w:r>
        <w:t xml:space="preserve">As an initial matter, the </w:t>
      </w:r>
      <w:r w:rsidR="00C7338C">
        <w:t>Media Bureau</w:t>
      </w:r>
      <w:r>
        <w:t xml:space="preserve"> </w:t>
      </w:r>
      <w:r w:rsidR="0070401C">
        <w:t xml:space="preserve">in its </w:t>
      </w:r>
      <w:r w:rsidR="0070401C" w:rsidRPr="0060742D">
        <w:rPr>
          <w:i/>
        </w:rPr>
        <w:t>Order on Review</w:t>
      </w:r>
      <w:r w:rsidR="0070401C">
        <w:t xml:space="preserve"> </w:t>
      </w:r>
      <w:r w:rsidR="001032DA">
        <w:t>found that:</w:t>
      </w:r>
    </w:p>
    <w:p w:rsidR="001032DA" w:rsidRDefault="001032DA" w:rsidP="001032DA">
      <w:pPr>
        <w:pStyle w:val="ParaNum"/>
        <w:numPr>
          <w:ilvl w:val="0"/>
          <w:numId w:val="0"/>
        </w:numPr>
        <w:tabs>
          <w:tab w:val="left" w:pos="8370"/>
        </w:tabs>
        <w:ind w:left="720" w:right="990"/>
        <w:jc w:val="both"/>
        <w:rPr>
          <w:szCs w:val="22"/>
        </w:rPr>
      </w:pPr>
      <w:r w:rsidRPr="00001C3A">
        <w:rPr>
          <w:szCs w:val="22"/>
        </w:rPr>
        <w:t>The record establishes that a fundamental</w:t>
      </w:r>
      <w:r w:rsidRPr="00001C3A">
        <w:rPr>
          <w:color w:val="000000"/>
          <w:szCs w:val="22"/>
        </w:rPr>
        <w:t xml:space="preserve"> principle of marketplace negotiations for RSN programming</w:t>
      </w:r>
      <w:r w:rsidRPr="00001C3A">
        <w:rPr>
          <w:szCs w:val="22"/>
        </w:rPr>
        <w:t xml:space="preserve"> </w:t>
      </w:r>
      <w:r>
        <w:rPr>
          <w:szCs w:val="22"/>
        </w:rPr>
        <w:t xml:space="preserve">and, therefore, of determining fair market value </w:t>
      </w:r>
      <w:r w:rsidRPr="00001C3A">
        <w:rPr>
          <w:szCs w:val="22"/>
        </w:rPr>
        <w:t xml:space="preserve">is that </w:t>
      </w:r>
      <w:r>
        <w:rPr>
          <w:szCs w:val="22"/>
        </w:rPr>
        <w:t xml:space="preserve">an </w:t>
      </w:r>
      <w:r w:rsidRPr="00001C3A">
        <w:rPr>
          <w:szCs w:val="22"/>
        </w:rPr>
        <w:t>MVPD will receive better rates, terms, and conditions for carriage of an RSN based on:  (i) the number of subscribers the MVPD serves (the more subscribers the MVPD serves, the lower the rate); and (ii) the revenue the MVPD generates for the RSN (the more revenue the MVPD generates, the lower the rate).</w:t>
      </w:r>
      <w:r>
        <w:rPr>
          <w:rStyle w:val="FootnoteReference"/>
          <w:szCs w:val="22"/>
        </w:rPr>
        <w:footnoteReference w:id="18"/>
      </w:r>
      <w:r w:rsidRPr="00001C3A">
        <w:rPr>
          <w:szCs w:val="22"/>
        </w:rPr>
        <w:t xml:space="preserve">  </w:t>
      </w:r>
    </w:p>
    <w:p w:rsidR="001E7A2F" w:rsidRDefault="00585B4B" w:rsidP="001E7A2F">
      <w:pPr>
        <w:pStyle w:val="ParaNum"/>
        <w:numPr>
          <w:ilvl w:val="0"/>
          <w:numId w:val="0"/>
        </w:numPr>
        <w:tabs>
          <w:tab w:val="left" w:pos="8370"/>
        </w:tabs>
        <w:rPr>
          <w:szCs w:val="22"/>
        </w:rPr>
      </w:pPr>
      <w:r w:rsidRPr="00001C3A">
        <w:rPr>
          <w:szCs w:val="22"/>
        </w:rPr>
        <w:t>The parties agree</w:t>
      </w:r>
      <w:r>
        <w:rPr>
          <w:szCs w:val="22"/>
        </w:rPr>
        <w:t>d</w:t>
      </w:r>
      <w:r w:rsidRPr="00001C3A">
        <w:rPr>
          <w:szCs w:val="22"/>
        </w:rPr>
        <w:t xml:space="preserve"> that FSNP affiliates in Pittsburgh can be classified into one of three groups based on subscribers and revenues</w:t>
      </w:r>
      <w:r w:rsidR="00F105B1">
        <w:rPr>
          <w:szCs w:val="22"/>
        </w:rPr>
        <w:t xml:space="preserve"> generated for DSNP</w:t>
      </w:r>
      <w:r w:rsidRPr="00001C3A">
        <w:rPr>
          <w:szCs w:val="22"/>
        </w:rPr>
        <w:t>:  (i) Comcast (</w:t>
      </w:r>
      <w:r>
        <w:rPr>
          <w:szCs w:val="22"/>
        </w:rPr>
        <w:t xml:space="preserve">the </w:t>
      </w:r>
      <w:r w:rsidRPr="00001C3A">
        <w:rPr>
          <w:szCs w:val="22"/>
        </w:rPr>
        <w:t>largest MVPD in terms of subscribers and revenues); (ii) the Cohort Affiliates (including Armstrong</w:t>
      </w:r>
      <w:r w:rsidR="00155477">
        <w:rPr>
          <w:szCs w:val="22"/>
        </w:rPr>
        <w:t>)</w:t>
      </w:r>
      <w:r w:rsidRPr="00C60704">
        <w:rPr>
          <w:szCs w:val="22"/>
        </w:rPr>
        <w:t>; and (</w:t>
      </w:r>
      <w:r>
        <w:rPr>
          <w:szCs w:val="22"/>
        </w:rPr>
        <w:t>iii</w:t>
      </w:r>
      <w:r w:rsidRPr="00C60704">
        <w:rPr>
          <w:szCs w:val="22"/>
        </w:rPr>
        <w:t>) small MVPDs.</w:t>
      </w:r>
      <w:r>
        <w:rPr>
          <w:rStyle w:val="FootnoteReference"/>
          <w:szCs w:val="22"/>
        </w:rPr>
        <w:footnoteReference w:id="19"/>
      </w:r>
      <w:r>
        <w:rPr>
          <w:szCs w:val="22"/>
        </w:rPr>
        <w:t xml:space="preserve">  Among the Cohort Affiliates, Armstrong </w:t>
      </w:r>
      <w:r w:rsidR="00CB1D82">
        <w:rPr>
          <w:szCs w:val="22"/>
        </w:rPr>
        <w:t xml:space="preserve">is </w:t>
      </w:r>
      <w:r w:rsidR="005B5BE6">
        <w:rPr>
          <w:szCs w:val="22"/>
        </w:rPr>
        <w:t xml:space="preserve">by far </w:t>
      </w:r>
      <w:r w:rsidR="00CB1D82" w:rsidRPr="00430BEA">
        <w:rPr>
          <w:b/>
        </w:rPr>
        <w:t>[</w:t>
      </w:r>
      <w:r w:rsidR="00665D59">
        <w:rPr>
          <w:b/>
        </w:rPr>
        <w:t>REDACTED</w:t>
      </w:r>
      <w:r w:rsidR="00CB1D82" w:rsidRPr="00430BEA">
        <w:rPr>
          <w:b/>
        </w:rPr>
        <w:t>]</w:t>
      </w:r>
      <w:r w:rsidR="00CB1D82">
        <w:rPr>
          <w:b/>
        </w:rPr>
        <w:t xml:space="preserve"> </w:t>
      </w:r>
      <w:r>
        <w:rPr>
          <w:szCs w:val="22"/>
        </w:rPr>
        <w:t xml:space="preserve">in terms of revenues generated for </w:t>
      </w:r>
      <w:r w:rsidR="00CB1D82">
        <w:rPr>
          <w:szCs w:val="22"/>
        </w:rPr>
        <w:t>D</w:t>
      </w:r>
      <w:r>
        <w:rPr>
          <w:szCs w:val="22"/>
        </w:rPr>
        <w:t>SNP</w:t>
      </w:r>
      <w:r w:rsidR="00D2205D">
        <w:rPr>
          <w:szCs w:val="22"/>
        </w:rPr>
        <w:t xml:space="preserve">, </w:t>
      </w:r>
      <w:r w:rsidR="00D2205D" w:rsidRPr="00430BEA">
        <w:rPr>
          <w:b/>
        </w:rPr>
        <w:t>[</w:t>
      </w:r>
      <w:r w:rsidR="00665D59">
        <w:rPr>
          <w:b/>
        </w:rPr>
        <w:t>REDACTED</w:t>
      </w:r>
      <w:r w:rsidR="00D2205D" w:rsidRPr="00430BEA">
        <w:rPr>
          <w:b/>
        </w:rPr>
        <w:t>]</w:t>
      </w:r>
      <w:r>
        <w:rPr>
          <w:szCs w:val="22"/>
        </w:rPr>
        <w:t>.</w:t>
      </w:r>
      <w:r w:rsidR="00CB1D82">
        <w:rPr>
          <w:rStyle w:val="FootnoteReference"/>
          <w:szCs w:val="22"/>
        </w:rPr>
        <w:footnoteReference w:id="20"/>
      </w:r>
      <w:r>
        <w:rPr>
          <w:szCs w:val="22"/>
        </w:rPr>
        <w:t xml:space="preserve">  In addition, Armstrong ha</w:t>
      </w:r>
      <w:r w:rsidR="00CB1D82">
        <w:rPr>
          <w:szCs w:val="22"/>
        </w:rPr>
        <w:t>s</w:t>
      </w:r>
      <w:r>
        <w:rPr>
          <w:szCs w:val="22"/>
        </w:rPr>
        <w:t xml:space="preserve"> approximately </w:t>
      </w:r>
      <w:r w:rsidR="00CB1D82" w:rsidRPr="00430BEA">
        <w:rPr>
          <w:b/>
        </w:rPr>
        <w:t>[</w:t>
      </w:r>
      <w:r w:rsidR="00665D59">
        <w:rPr>
          <w:b/>
        </w:rPr>
        <w:t>REDACTED</w:t>
      </w:r>
      <w:r w:rsidR="00CB1D82" w:rsidRPr="00430BEA">
        <w:rPr>
          <w:b/>
        </w:rPr>
        <w:t>]</w:t>
      </w:r>
      <w:r>
        <w:rPr>
          <w:szCs w:val="22"/>
        </w:rPr>
        <w:t>.</w:t>
      </w:r>
      <w:r w:rsidR="00CB1D82">
        <w:rPr>
          <w:rStyle w:val="FootnoteReference"/>
          <w:szCs w:val="22"/>
        </w:rPr>
        <w:footnoteReference w:id="21"/>
      </w:r>
      <w:r w:rsidR="001E7A2F">
        <w:rPr>
          <w:szCs w:val="22"/>
        </w:rPr>
        <w:t xml:space="preserve"> </w:t>
      </w:r>
    </w:p>
    <w:p w:rsidR="001E7A2F" w:rsidRPr="001E7A2F" w:rsidRDefault="001E7A2F" w:rsidP="00B5721D">
      <w:pPr>
        <w:pStyle w:val="ParaNum"/>
      </w:pPr>
      <w:r>
        <w:t>The Media Bureau examine</w:t>
      </w:r>
      <w:r w:rsidR="00AB2D30">
        <w:t>d</w:t>
      </w:r>
      <w:r>
        <w:t xml:space="preserve"> the final offers with respect to three broad categories:  (i) rates</w:t>
      </w:r>
      <w:r w:rsidRPr="0074117A">
        <w:t xml:space="preserve"> (</w:t>
      </w:r>
      <w:r w:rsidRPr="002563EC">
        <w:rPr>
          <w:i/>
        </w:rPr>
        <w:t>i.e.</w:t>
      </w:r>
      <w:r>
        <w:t xml:space="preserve">, </w:t>
      </w:r>
      <w:r w:rsidRPr="0074117A">
        <w:t>per-subscriber rates for the programming</w:t>
      </w:r>
      <w:r>
        <w:t>);</w:t>
      </w:r>
      <w:r>
        <w:rPr>
          <w:rStyle w:val="FootnoteReference"/>
          <w:szCs w:val="22"/>
        </w:rPr>
        <w:footnoteReference w:id="22"/>
      </w:r>
      <w:r>
        <w:t xml:space="preserve"> (ii) four “other rate terms”;</w:t>
      </w:r>
      <w:r>
        <w:rPr>
          <w:rStyle w:val="FootnoteReference"/>
          <w:szCs w:val="22"/>
        </w:rPr>
        <w:footnoteReference w:id="23"/>
      </w:r>
      <w:r>
        <w:t xml:space="preserve"> </w:t>
      </w:r>
      <w:r w:rsidRPr="0074117A">
        <w:t xml:space="preserve">and </w:t>
      </w:r>
      <w:r>
        <w:t>(iii) seven “</w:t>
      </w:r>
      <w:r w:rsidRPr="0074117A">
        <w:t>non-</w:t>
      </w:r>
      <w:r>
        <w:t>rate</w:t>
      </w:r>
      <w:r w:rsidRPr="0074117A">
        <w:t xml:space="preserve"> terms.</w:t>
      </w:r>
      <w:r>
        <w:t>”</w:t>
      </w:r>
      <w:r>
        <w:rPr>
          <w:rStyle w:val="FootnoteReference"/>
          <w:szCs w:val="22"/>
        </w:rPr>
        <w:footnoteReference w:id="24"/>
      </w:r>
      <w:r>
        <w:t xml:space="preserve">  With respect to each of these </w:t>
      </w:r>
      <w:r w:rsidR="00FA600E">
        <w:t>categories</w:t>
      </w:r>
      <w:r>
        <w:t xml:space="preserve">, the Media Bureau found that Armstrong’s </w:t>
      </w:r>
      <w:r w:rsidRPr="00C60704">
        <w:t>final offer most closely approximate</w:t>
      </w:r>
      <w:r w:rsidR="004C443D">
        <w:t>s</w:t>
      </w:r>
      <w:r w:rsidRPr="00C60704">
        <w:t xml:space="preserve"> the fair market value of FSNP.</w:t>
      </w:r>
      <w:r>
        <w:rPr>
          <w:rStyle w:val="FootnoteReference"/>
          <w:szCs w:val="22"/>
        </w:rPr>
        <w:footnoteReference w:id="25"/>
      </w:r>
    </w:p>
    <w:p w:rsidR="00467246" w:rsidRDefault="001032DA" w:rsidP="00B5721D">
      <w:pPr>
        <w:pStyle w:val="ParaNum"/>
      </w:pPr>
      <w:r>
        <w:t>With respect to the rate</w:t>
      </w:r>
      <w:r w:rsidR="006D3622">
        <w:t>s</w:t>
      </w:r>
      <w:r>
        <w:t xml:space="preserve">, </w:t>
      </w:r>
      <w:r w:rsidR="004A2D56">
        <w:t xml:space="preserve">the </w:t>
      </w:r>
      <w:r w:rsidR="00C7338C">
        <w:t>Media Bureau</w:t>
      </w:r>
      <w:r w:rsidR="008604EE">
        <w:t xml:space="preserve"> first </w:t>
      </w:r>
      <w:r w:rsidR="00E002D7">
        <w:t>analyzed</w:t>
      </w:r>
      <w:r w:rsidR="008604EE">
        <w:t xml:space="preserve"> the rates </w:t>
      </w:r>
      <w:r w:rsidR="004A2D56">
        <w:t xml:space="preserve">in </w:t>
      </w:r>
      <w:r w:rsidR="008604EE">
        <w:t xml:space="preserve">the </w:t>
      </w:r>
      <w:r w:rsidR="004A2D56">
        <w:t>DSNP final offer</w:t>
      </w:r>
      <w:r w:rsidR="008604EE">
        <w:t>.</w:t>
      </w:r>
      <w:r w:rsidR="001F0165">
        <w:rPr>
          <w:rStyle w:val="FootnoteReference"/>
          <w:szCs w:val="22"/>
        </w:rPr>
        <w:footnoteReference w:id="26"/>
      </w:r>
      <w:r w:rsidR="008604EE">
        <w:t xml:space="preserve">  </w:t>
      </w:r>
      <w:r w:rsidR="009F6913">
        <w:t>T</w:t>
      </w:r>
      <w:r w:rsidR="008604EE">
        <w:t xml:space="preserve">he Media Bureau </w:t>
      </w:r>
      <w:r w:rsidR="00E002D7">
        <w:t xml:space="preserve">examined the two methodologies put forth by </w:t>
      </w:r>
      <w:r w:rsidR="008604EE">
        <w:t>DSNP</w:t>
      </w:r>
      <w:r w:rsidR="00E002D7">
        <w:t xml:space="preserve"> in support of </w:t>
      </w:r>
      <w:r w:rsidR="00467246">
        <w:t xml:space="preserve">its proposed </w:t>
      </w:r>
      <w:r w:rsidR="00E002D7">
        <w:t>rates</w:t>
      </w:r>
      <w:r w:rsidR="00467246">
        <w:t>, concluding that neither was probative of fair market value</w:t>
      </w:r>
      <w:r w:rsidR="00E002D7">
        <w:t>:  (i) the averaging methodology;</w:t>
      </w:r>
      <w:r w:rsidR="00467246">
        <w:rPr>
          <w:rStyle w:val="FootnoteReference"/>
          <w:szCs w:val="22"/>
        </w:rPr>
        <w:footnoteReference w:id="27"/>
      </w:r>
      <w:r w:rsidR="00E002D7">
        <w:t xml:space="preserve"> and (ii) the </w:t>
      </w:r>
      <w:r w:rsidR="00E002D7" w:rsidRPr="00AF106D">
        <w:t>per subscriber per profes</w:t>
      </w:r>
      <w:r w:rsidR="00E002D7">
        <w:t>sional event (“PSPPE”) analysis.</w:t>
      </w:r>
      <w:r w:rsidR="00E002D7">
        <w:rPr>
          <w:rStyle w:val="FootnoteReference"/>
          <w:szCs w:val="22"/>
        </w:rPr>
        <w:footnoteReference w:id="28"/>
      </w:r>
      <w:r w:rsidR="00E002D7">
        <w:t xml:space="preserve">  </w:t>
      </w:r>
      <w:r w:rsidR="00113E6F">
        <w:t xml:space="preserve">The Media Bureau analyzed DSNP’s proposed rates </w:t>
      </w:r>
      <w:r w:rsidR="004A0CD4">
        <w:t>based on assumptions advocated by and most favorable to DSNP</w:t>
      </w:r>
      <w:r w:rsidR="004A0CD4">
        <w:rPr>
          <w:rStyle w:val="FootnoteReference"/>
          <w:szCs w:val="22"/>
        </w:rPr>
        <w:footnoteReference w:id="29"/>
      </w:r>
      <w:r w:rsidR="004A0CD4">
        <w:t xml:space="preserve"> </w:t>
      </w:r>
      <w:r w:rsidR="00113E6F">
        <w:t>and found that</w:t>
      </w:r>
      <w:r w:rsidR="00363077">
        <w:t xml:space="preserve">, without any </w:t>
      </w:r>
      <w:r w:rsidR="001B4CEE">
        <w:t xml:space="preserve">valid </w:t>
      </w:r>
      <w:r w:rsidR="00363077">
        <w:t xml:space="preserve">justification, </w:t>
      </w:r>
      <w:r w:rsidR="004F0176">
        <w:t>the</w:t>
      </w:r>
      <w:r w:rsidR="004A0CD4">
        <w:t xml:space="preserve"> rates</w:t>
      </w:r>
      <w:r w:rsidR="004F0176">
        <w:t xml:space="preserve"> violate </w:t>
      </w:r>
      <w:r w:rsidR="005B5BE6">
        <w:t xml:space="preserve">a </w:t>
      </w:r>
      <w:r w:rsidR="004F0176">
        <w:t xml:space="preserve">principle </w:t>
      </w:r>
      <w:r w:rsidR="00D2205D">
        <w:t xml:space="preserve">of marketplace negotiations for RSN programming </w:t>
      </w:r>
      <w:r w:rsidR="005B5BE6">
        <w:t xml:space="preserve">borne out by the record </w:t>
      </w:r>
      <w:r w:rsidR="004F0176">
        <w:t xml:space="preserve">that an </w:t>
      </w:r>
      <w:r w:rsidR="004F0176" w:rsidRPr="00C60704">
        <w:t xml:space="preserve">MVPD </w:t>
      </w:r>
      <w:r w:rsidR="004F0176">
        <w:t xml:space="preserve">that has a greater number of subscribers and generates more revenue for an RSN will obtain </w:t>
      </w:r>
      <w:r w:rsidR="004F0176" w:rsidRPr="00C60704">
        <w:t>better rates</w:t>
      </w:r>
      <w:r w:rsidR="00244DA2">
        <w:t xml:space="preserve"> th</w:t>
      </w:r>
      <w:r w:rsidR="004F0176">
        <w:t>an an MVPD that has fewer subscribers and generates less revenue for the RSN.</w:t>
      </w:r>
      <w:r w:rsidR="00CF2F2D">
        <w:rPr>
          <w:rStyle w:val="FootnoteReference"/>
        </w:rPr>
        <w:footnoteReference w:id="30"/>
      </w:r>
      <w:r w:rsidR="004F0176">
        <w:t xml:space="preserve">  Specifically, </w:t>
      </w:r>
      <w:r w:rsidR="00CF2F2D">
        <w:t xml:space="preserve">the Media Bureau noted that </w:t>
      </w:r>
      <w:r w:rsidR="004F0176">
        <w:t>DSNP</w:t>
      </w:r>
      <w:r w:rsidR="00CF2F2D">
        <w:t>’s</w:t>
      </w:r>
      <w:r w:rsidR="004F0176">
        <w:t xml:space="preserve"> final </w:t>
      </w:r>
      <w:r w:rsidR="00CF2F2D">
        <w:t xml:space="preserve">offer </w:t>
      </w:r>
      <w:r w:rsidR="004F0176">
        <w:t>require</w:t>
      </w:r>
      <w:r w:rsidR="007B5DC3">
        <w:t>s</w:t>
      </w:r>
      <w:r w:rsidR="004F0176">
        <w:t xml:space="preserve"> </w:t>
      </w:r>
      <w:r w:rsidR="004F0176" w:rsidRPr="00C60704">
        <w:t xml:space="preserve">Armstrong to pay </w:t>
      </w:r>
      <w:r w:rsidR="004F0176" w:rsidRPr="0068716D">
        <w:t>higher</w:t>
      </w:r>
      <w:r w:rsidR="004F0176" w:rsidRPr="00C60704">
        <w:t xml:space="preserve"> rates than </w:t>
      </w:r>
      <w:r w:rsidR="001B78C7" w:rsidRPr="00430BEA">
        <w:rPr>
          <w:b/>
        </w:rPr>
        <w:t>[</w:t>
      </w:r>
      <w:r w:rsidR="00665D59">
        <w:rPr>
          <w:b/>
        </w:rPr>
        <w:t>REDACTED</w:t>
      </w:r>
      <w:r w:rsidR="001B78C7" w:rsidRPr="00430BEA">
        <w:rPr>
          <w:b/>
        </w:rPr>
        <w:t>]</w:t>
      </w:r>
      <w:r w:rsidR="004F0176" w:rsidRPr="00C60704">
        <w:t xml:space="preserve"> despite Armstrong having more subscribers </w:t>
      </w:r>
      <w:r w:rsidR="007B5DC3">
        <w:t xml:space="preserve">in Pittsburgh </w:t>
      </w:r>
      <w:r w:rsidR="004F0176">
        <w:t xml:space="preserve">than two of these </w:t>
      </w:r>
      <w:r w:rsidR="005215C9">
        <w:t xml:space="preserve">three </w:t>
      </w:r>
      <w:r w:rsidR="004F0176">
        <w:t>affiliate</w:t>
      </w:r>
      <w:r w:rsidR="00CF2F2D">
        <w:t>s</w:t>
      </w:r>
      <w:r w:rsidR="004F0176">
        <w:t xml:space="preserve"> </w:t>
      </w:r>
      <w:r w:rsidR="004F0176" w:rsidRPr="00C60704">
        <w:t xml:space="preserve">and generating </w:t>
      </w:r>
      <w:r w:rsidR="00D2205D">
        <w:t xml:space="preserve">substantially </w:t>
      </w:r>
      <w:r w:rsidR="004F0176" w:rsidRPr="00C60704">
        <w:t xml:space="preserve">more revenue for DSNP than </w:t>
      </w:r>
      <w:r w:rsidR="005215C9">
        <w:t xml:space="preserve">each of </w:t>
      </w:r>
      <w:r w:rsidR="001B78C7">
        <w:t>th</w:t>
      </w:r>
      <w:r w:rsidR="004F0176" w:rsidRPr="00C60704">
        <w:t xml:space="preserve">ese </w:t>
      </w:r>
      <w:r w:rsidR="005215C9">
        <w:t xml:space="preserve">three </w:t>
      </w:r>
      <w:r w:rsidR="004F0176">
        <w:t>affiliates</w:t>
      </w:r>
      <w:r w:rsidR="004F0176" w:rsidRPr="00C60704">
        <w:t>.</w:t>
      </w:r>
      <w:r w:rsidR="00CF2F2D">
        <w:rPr>
          <w:rStyle w:val="FootnoteReference"/>
        </w:rPr>
        <w:footnoteReference w:id="31"/>
      </w:r>
      <w:r w:rsidR="00CF2F2D">
        <w:t xml:space="preserve">  </w:t>
      </w:r>
      <w:r w:rsidR="004F0176">
        <w:t>While DSNP argue</w:t>
      </w:r>
      <w:r w:rsidR="00CF2F2D">
        <w:t>d</w:t>
      </w:r>
      <w:r w:rsidR="004F0176">
        <w:t xml:space="preserve"> that the </w:t>
      </w:r>
      <w:r w:rsidR="00CF2F2D">
        <w:t xml:space="preserve">rate </w:t>
      </w:r>
      <w:r w:rsidR="004F0176">
        <w:t xml:space="preserve">differential </w:t>
      </w:r>
      <w:r w:rsidR="00244DA2">
        <w:t xml:space="preserve">between Armstrong and </w:t>
      </w:r>
      <w:r w:rsidR="00CF2F2D">
        <w:t>these affiliates w</w:t>
      </w:r>
      <w:r w:rsidR="001B78C7">
        <w:t xml:space="preserve">ould be </w:t>
      </w:r>
      <w:r w:rsidR="004F0176" w:rsidRPr="0068716D">
        <w:rPr>
          <w:i/>
        </w:rPr>
        <w:t>de minimis</w:t>
      </w:r>
      <w:r w:rsidR="005215C9">
        <w:t xml:space="preserve"> under its final offer</w:t>
      </w:r>
      <w:r w:rsidR="004F0176">
        <w:t>,</w:t>
      </w:r>
      <w:r w:rsidR="00CF2F2D">
        <w:t xml:space="preserve"> the Media Bureau concluded that “</w:t>
      </w:r>
      <w:r w:rsidR="004F0176">
        <w:t>there is no basis in the record to support the theory that fair market value would dictate that Armstrong pay similar rates – let alone higher rates – compared to these three Cohort Affiliates given Armstrong’s greater number of subscribers and value to DSNP.</w:t>
      </w:r>
      <w:r w:rsidR="00CF2F2D">
        <w:t>”</w:t>
      </w:r>
      <w:r w:rsidR="00CF2F2D">
        <w:rPr>
          <w:rStyle w:val="FootnoteReference"/>
        </w:rPr>
        <w:footnoteReference w:id="32"/>
      </w:r>
    </w:p>
    <w:p w:rsidR="00D2205D" w:rsidRDefault="00E002D7" w:rsidP="00B5721D">
      <w:pPr>
        <w:pStyle w:val="ParaNum"/>
      </w:pPr>
      <w:r>
        <w:t>The Media Bureau next analyzed the rates in the Armstrong final offer.</w:t>
      </w:r>
      <w:r w:rsidR="00FA600E">
        <w:t xml:space="preserve">  The Media Bureau examined the </w:t>
      </w:r>
      <w:r w:rsidR="00343AD6">
        <w:t xml:space="preserve">historical benchmark </w:t>
      </w:r>
      <w:r w:rsidR="00FA600E">
        <w:t>analysis put forth by Armstrong in support of its proposed rates.</w:t>
      </w:r>
      <w:r w:rsidR="00244DA2">
        <w:rPr>
          <w:rStyle w:val="FootnoteReference"/>
          <w:szCs w:val="22"/>
        </w:rPr>
        <w:footnoteReference w:id="33"/>
      </w:r>
      <w:r w:rsidR="00FA600E">
        <w:t xml:space="preserve">  </w:t>
      </w:r>
      <w:r w:rsidR="00343AD6">
        <w:t>While t</w:t>
      </w:r>
      <w:r w:rsidR="00FA600E">
        <w:t>he Media Bureau note</w:t>
      </w:r>
      <w:r w:rsidR="00343AD6">
        <w:t>d</w:t>
      </w:r>
      <w:r w:rsidR="00FA600E">
        <w:t xml:space="preserve"> DSNP’s criticisms of this analysis</w:t>
      </w:r>
      <w:r w:rsidR="00343AD6">
        <w:t>,</w:t>
      </w:r>
      <w:r w:rsidR="00244DA2">
        <w:rPr>
          <w:rStyle w:val="FootnoteReference"/>
        </w:rPr>
        <w:footnoteReference w:id="34"/>
      </w:r>
      <w:r w:rsidR="00343AD6">
        <w:t xml:space="preserve"> </w:t>
      </w:r>
      <w:r w:rsidR="008066E2">
        <w:t>it held that “</w:t>
      </w:r>
      <w:r w:rsidR="008066E2" w:rsidRPr="00244DA2">
        <w:t>DSNP’s criticisms notwithstanding, there is no dispute that Armstrong’s analysis demonstrates at the very least that Armstrong has not historically paid the same or higher rates than all other Cohort Affiliates that have fewer subscribers and generate less revenue than Armstrong.”</w:t>
      </w:r>
      <w:r w:rsidR="00244DA2">
        <w:rPr>
          <w:rStyle w:val="FootnoteReference"/>
          <w:szCs w:val="22"/>
        </w:rPr>
        <w:footnoteReference w:id="35"/>
      </w:r>
      <w:r w:rsidR="0025668B">
        <w:t xml:space="preserve">  The Media Bureau analyzed the rates in the Armstrong final offer </w:t>
      </w:r>
      <w:r w:rsidR="00D911CB">
        <w:t>(based on assumptions advocated by DSNP</w:t>
      </w:r>
      <w:r w:rsidR="00D911CB">
        <w:rPr>
          <w:rStyle w:val="FootnoteReference"/>
          <w:szCs w:val="22"/>
        </w:rPr>
        <w:footnoteReference w:id="36"/>
      </w:r>
      <w:r w:rsidR="00D911CB">
        <w:t xml:space="preserve">) </w:t>
      </w:r>
      <w:r w:rsidR="0025668B">
        <w:t xml:space="preserve">and found that they </w:t>
      </w:r>
      <w:r w:rsidR="00AA5EBC">
        <w:t>are</w:t>
      </w:r>
      <w:r w:rsidR="0025668B">
        <w:t xml:space="preserve"> consistent with </w:t>
      </w:r>
      <w:r w:rsidR="0025668B" w:rsidRPr="00001C3A">
        <w:rPr>
          <w:color w:val="000000"/>
        </w:rPr>
        <w:t>marketplace negotiations for RSN</w:t>
      </w:r>
      <w:r w:rsidR="00AA5EBC">
        <w:rPr>
          <w:color w:val="000000"/>
        </w:rPr>
        <w:t>s</w:t>
      </w:r>
      <w:r w:rsidR="0025668B">
        <w:t xml:space="preserve"> because</w:t>
      </w:r>
      <w:r w:rsidR="00AA5EBC">
        <w:t xml:space="preserve"> they require </w:t>
      </w:r>
      <w:r w:rsidR="0025668B">
        <w:t xml:space="preserve">Armstrong </w:t>
      </w:r>
      <w:r w:rsidR="00AA5EBC">
        <w:t xml:space="preserve">to </w:t>
      </w:r>
      <w:r w:rsidR="0025668B">
        <w:t xml:space="preserve">pay </w:t>
      </w:r>
      <w:r w:rsidR="00D911CB">
        <w:t xml:space="preserve">more than </w:t>
      </w:r>
      <w:r w:rsidR="0025668B">
        <w:t xml:space="preserve">Comcast </w:t>
      </w:r>
      <w:r w:rsidR="00D911CB">
        <w:t xml:space="preserve">(the </w:t>
      </w:r>
      <w:r w:rsidR="00D911CB" w:rsidRPr="00001C3A">
        <w:t xml:space="preserve">largest MVPD </w:t>
      </w:r>
      <w:r w:rsidR="00D911CB">
        <w:t xml:space="preserve">in </w:t>
      </w:r>
      <w:r w:rsidR="00D911CB" w:rsidRPr="00001C3A">
        <w:t xml:space="preserve">terms of subscribers </w:t>
      </w:r>
      <w:r w:rsidR="00D911CB" w:rsidRPr="001638B3">
        <w:t>and revenues</w:t>
      </w:r>
      <w:r w:rsidR="00AA5EBC">
        <w:t xml:space="preserve"> generated for DSNP</w:t>
      </w:r>
      <w:r w:rsidR="00D911CB" w:rsidRPr="001638B3">
        <w:t>)</w:t>
      </w:r>
      <w:r w:rsidR="00AA5EBC">
        <w:t>,</w:t>
      </w:r>
      <w:r w:rsidR="00D911CB" w:rsidRPr="001638B3">
        <w:t xml:space="preserve"> but </w:t>
      </w:r>
      <w:r w:rsidR="00AA5EBC">
        <w:t xml:space="preserve">provide Armstrong with </w:t>
      </w:r>
      <w:r w:rsidR="00363077" w:rsidRPr="001638B3">
        <w:t xml:space="preserve">lower rates than MVPDs that have fewer subscribers </w:t>
      </w:r>
      <w:r w:rsidR="00AA5EBC">
        <w:t xml:space="preserve">in Pittsburgh </w:t>
      </w:r>
      <w:r w:rsidR="00363077" w:rsidRPr="001638B3">
        <w:t>and that generate less revenue for DSNP.</w:t>
      </w:r>
      <w:r w:rsidR="00363077" w:rsidRPr="001638B3">
        <w:rPr>
          <w:rStyle w:val="FootnoteReference"/>
          <w:szCs w:val="22"/>
        </w:rPr>
        <w:footnoteReference w:id="37"/>
      </w:r>
      <w:r w:rsidR="004945BB" w:rsidRPr="001638B3">
        <w:t xml:space="preserve"> </w:t>
      </w:r>
    </w:p>
    <w:p w:rsidR="00F81633" w:rsidRPr="001638B3" w:rsidRDefault="004945BB" w:rsidP="00B5721D">
      <w:pPr>
        <w:pStyle w:val="ParaNum"/>
      </w:pPr>
      <w:r w:rsidRPr="001638B3">
        <w:t xml:space="preserve">The Media Bureau also rejected DSNP’s claims that </w:t>
      </w:r>
      <w:r w:rsidR="00EF0B5F" w:rsidRPr="001638B3">
        <w:t>Armstrong’s proposed rates provide Armstrong with too high a discount relative to the Cohort Affiliates</w:t>
      </w:r>
      <w:r w:rsidR="00BF1F3B">
        <w:t xml:space="preserve">, </w:t>
      </w:r>
      <w:r w:rsidR="00BF1F3B" w:rsidRPr="0070610D">
        <w:t xml:space="preserve">concluding that </w:t>
      </w:r>
      <w:r w:rsidR="00BF1F3B">
        <w:t>DSNP failed to present data, standards, or benchmarks that would allow for an assessment of whether a discount is too high or to support its position that there should be little or no variation in rates among the Cohort Affiliates.</w:t>
      </w:r>
      <w:r w:rsidR="00BF1F3B" w:rsidRPr="001638B3">
        <w:rPr>
          <w:rStyle w:val="FootnoteReference"/>
          <w:szCs w:val="22"/>
        </w:rPr>
        <w:footnoteReference w:id="38"/>
      </w:r>
      <w:r w:rsidR="00BF1F3B" w:rsidRPr="0070610D">
        <w:t xml:space="preserve">  The Media Bureau also emphasized that, </w:t>
      </w:r>
      <w:r w:rsidR="00BF1F3B">
        <w:t>despite DSNP</w:t>
      </w:r>
      <w:r w:rsidR="00BF1F3B" w:rsidRPr="0070610D">
        <w:t xml:space="preserve">’s concern that </w:t>
      </w:r>
      <w:r w:rsidR="00BF1F3B">
        <w:t>Armstrong’s rates are too low, Armstrong will still generate the most revenue for DSNP by far among the Cohort Affiliates even with the allegedly low rates in the Armstrong final offer.</w:t>
      </w:r>
      <w:r w:rsidR="00BF1F3B">
        <w:rPr>
          <w:rStyle w:val="FootnoteReference"/>
        </w:rPr>
        <w:footnoteReference w:id="39"/>
      </w:r>
      <w:r w:rsidR="00BF1F3B">
        <w:t xml:space="preserve">  The Media Bureau also rejected DSNP</w:t>
      </w:r>
      <w:r w:rsidR="00BF1F3B" w:rsidRPr="0070610D">
        <w:t>’s claim that Armstrong’s proposed rates failed</w:t>
      </w:r>
      <w:r w:rsidR="00EF0B5F" w:rsidRPr="001638B3">
        <w:t xml:space="preserve"> </w:t>
      </w:r>
      <w:r w:rsidR="00E4555F">
        <w:t>to provide</w:t>
      </w:r>
      <w:r w:rsidR="00EF0B5F" w:rsidRPr="001638B3">
        <w:t xml:space="preserve"> </w:t>
      </w:r>
      <w:r w:rsidR="00EF0B5F" w:rsidRPr="001638B3">
        <w:rPr>
          <w:b/>
        </w:rPr>
        <w:t>[</w:t>
      </w:r>
      <w:r w:rsidR="00665D59">
        <w:rPr>
          <w:b/>
        </w:rPr>
        <w:t>REDACTED</w:t>
      </w:r>
      <w:r w:rsidR="00EF0B5F" w:rsidRPr="001638B3">
        <w:rPr>
          <w:b/>
        </w:rPr>
        <w:t>]</w:t>
      </w:r>
      <w:r w:rsidR="00BF1F3B">
        <w:t>,</w:t>
      </w:r>
      <w:r w:rsidR="00EF0B5F" w:rsidRPr="001638B3">
        <w:rPr>
          <w:rStyle w:val="FootnoteReference"/>
          <w:szCs w:val="22"/>
        </w:rPr>
        <w:footnoteReference w:id="40"/>
      </w:r>
      <w:r w:rsidR="00BF1F3B">
        <w:t xml:space="preserve"> finding that </w:t>
      </w:r>
      <w:r w:rsidR="00BF1F3B" w:rsidRPr="00EA6ECC">
        <w:t>(i)</w:t>
      </w:r>
      <w:r w:rsidR="00BF1F3B" w:rsidRPr="00776A7A">
        <w:t xml:space="preserve"> </w:t>
      </w:r>
      <w:r w:rsidR="00BF1F3B" w:rsidRPr="00EA6ECC">
        <w:t xml:space="preserve">there was insufficient </w:t>
      </w:r>
      <w:r w:rsidR="00BF1F3B">
        <w:t xml:space="preserve">evidence </w:t>
      </w:r>
      <w:r w:rsidR="00BF1F3B" w:rsidRPr="00EA6ECC">
        <w:t>in the record to determine what discount would be appropriate for Comcast given its size relative to Armstrong;</w:t>
      </w:r>
      <w:r w:rsidR="00BF1F3B">
        <w:rPr>
          <w:rStyle w:val="FootnoteReference"/>
          <w:szCs w:val="22"/>
        </w:rPr>
        <w:footnoteReference w:id="41"/>
      </w:r>
      <w:r w:rsidR="00BF1F3B" w:rsidRPr="00EA6ECC">
        <w:t xml:space="preserve"> and (ii) it could not rely dispositively on the rates Comcast pay</w:t>
      </w:r>
      <w:r w:rsidR="003C75B4">
        <w:t>s for FSNP because there was no</w:t>
      </w:r>
      <w:r w:rsidR="00BF1F3B" w:rsidRPr="00EA6ECC">
        <w:t xml:space="preserve"> firm evidence in the record establishing what impact the simultaneous negotiations between Comcast (as a programmer) and DIRECTV (a distributor) had on the rates negotiated between Comcast (as a distributor) and DSNP</w:t>
      </w:r>
      <w:r w:rsidR="00BF1F3B">
        <w:t>.</w:t>
      </w:r>
      <w:r w:rsidR="00BF1F3B">
        <w:rPr>
          <w:rStyle w:val="FootnoteReference"/>
          <w:szCs w:val="22"/>
        </w:rPr>
        <w:footnoteReference w:id="42"/>
      </w:r>
    </w:p>
    <w:p w:rsidR="00122805" w:rsidRPr="001638B3" w:rsidRDefault="004C443D" w:rsidP="00B5721D">
      <w:pPr>
        <w:pStyle w:val="ParaNum"/>
      </w:pPr>
      <w:r w:rsidRPr="001638B3">
        <w:t xml:space="preserve">  </w:t>
      </w:r>
      <w:r w:rsidR="00122805" w:rsidRPr="001638B3">
        <w:t>W</w:t>
      </w:r>
      <w:r w:rsidR="001032DA" w:rsidRPr="001638B3">
        <w:t>ith respect to the “other rate terms</w:t>
      </w:r>
      <w:r w:rsidR="00336A93" w:rsidRPr="001638B3">
        <w:t>,</w:t>
      </w:r>
      <w:r w:rsidR="001032DA" w:rsidRPr="001638B3">
        <w:t>”</w:t>
      </w:r>
      <w:r w:rsidR="00C93021" w:rsidRPr="001638B3">
        <w:t xml:space="preserve"> the </w:t>
      </w:r>
      <w:r w:rsidR="00C7338C" w:rsidRPr="001638B3">
        <w:t>Media Bureau</w:t>
      </w:r>
      <w:r w:rsidR="00C93021" w:rsidRPr="001638B3">
        <w:t xml:space="preserve"> found that </w:t>
      </w:r>
      <w:r w:rsidR="00EC0055" w:rsidRPr="001638B3">
        <w:t>one of these terms (the annual escalator percentage) favor</w:t>
      </w:r>
      <w:r w:rsidR="00AA5EBC">
        <w:t>s</w:t>
      </w:r>
      <w:r w:rsidR="00EC0055" w:rsidRPr="001638B3">
        <w:t xml:space="preserve"> the DSNP final offer,</w:t>
      </w:r>
      <w:r w:rsidR="00EC0055" w:rsidRPr="001638B3">
        <w:rPr>
          <w:rStyle w:val="FootnoteReference"/>
          <w:szCs w:val="22"/>
        </w:rPr>
        <w:footnoteReference w:id="43"/>
      </w:r>
      <w:r w:rsidR="00EC0055" w:rsidRPr="001638B3">
        <w:t xml:space="preserve"> while the remaining three “other rate terms” (the renewal rate increase, the timing of the annual escalator, and the number of games provision) </w:t>
      </w:r>
      <w:r w:rsidRPr="001638B3">
        <w:t xml:space="preserve">all </w:t>
      </w:r>
      <w:r w:rsidR="00EC0055" w:rsidRPr="001638B3">
        <w:t>favor</w:t>
      </w:r>
      <w:r w:rsidR="00AA5EBC">
        <w:t xml:space="preserve"> </w:t>
      </w:r>
      <w:r w:rsidR="00EC0055" w:rsidRPr="001638B3">
        <w:t>the Armstrong final offer.</w:t>
      </w:r>
      <w:r w:rsidR="00EC0055" w:rsidRPr="001638B3">
        <w:rPr>
          <w:rStyle w:val="FootnoteReference"/>
          <w:szCs w:val="22"/>
        </w:rPr>
        <w:footnoteReference w:id="44"/>
      </w:r>
      <w:r w:rsidR="00EC0055" w:rsidRPr="001638B3">
        <w:t xml:space="preserve">  </w:t>
      </w:r>
      <w:r w:rsidR="009A72DA" w:rsidRPr="001638B3">
        <w:t xml:space="preserve">The </w:t>
      </w:r>
      <w:r w:rsidR="00C7338C" w:rsidRPr="001638B3">
        <w:t>Media Bureau</w:t>
      </w:r>
      <w:r w:rsidR="009A72DA" w:rsidRPr="001638B3">
        <w:t xml:space="preserve"> concluded that, “on balance, these other rate terms favor the Armstrong final offer as being more consistent with fair market value.”</w:t>
      </w:r>
      <w:r w:rsidR="009A72DA" w:rsidRPr="001638B3">
        <w:rPr>
          <w:rStyle w:val="FootnoteReference"/>
          <w:szCs w:val="22"/>
        </w:rPr>
        <w:footnoteReference w:id="45"/>
      </w:r>
    </w:p>
    <w:p w:rsidR="009A72DA" w:rsidRPr="00C93021" w:rsidRDefault="001032DA" w:rsidP="00B5721D">
      <w:pPr>
        <w:pStyle w:val="ParaNum"/>
      </w:pPr>
      <w:r w:rsidRPr="001638B3">
        <w:rPr>
          <w:szCs w:val="22"/>
        </w:rPr>
        <w:t>With respect to the “non-rate terms</w:t>
      </w:r>
      <w:r w:rsidR="00C93021" w:rsidRPr="001638B3">
        <w:rPr>
          <w:szCs w:val="22"/>
        </w:rPr>
        <w:t>,</w:t>
      </w:r>
      <w:r w:rsidRPr="001638B3">
        <w:rPr>
          <w:szCs w:val="22"/>
        </w:rPr>
        <w:t>”</w:t>
      </w:r>
      <w:r w:rsidR="00F623F3" w:rsidRPr="001638B3">
        <w:rPr>
          <w:szCs w:val="22"/>
        </w:rPr>
        <w:t xml:space="preserve"> the Media Bureau</w:t>
      </w:r>
      <w:r w:rsidR="00F623F3">
        <w:t xml:space="preserve"> found that</w:t>
      </w:r>
      <w:r w:rsidR="00F623F3" w:rsidRPr="00F623F3">
        <w:t xml:space="preserve"> </w:t>
      </w:r>
      <w:r w:rsidR="00F623F3">
        <w:t xml:space="preserve">three “non-rate terms” favor the DSNP </w:t>
      </w:r>
      <w:r w:rsidR="00EC0055">
        <w:t>f</w:t>
      </w:r>
      <w:r w:rsidR="00F623F3">
        <w:t xml:space="preserve">inal </w:t>
      </w:r>
      <w:r w:rsidR="00EC0055">
        <w:t>o</w:t>
      </w:r>
      <w:r w:rsidR="00F623F3">
        <w:t>ffer,</w:t>
      </w:r>
      <w:r w:rsidR="00EC0055">
        <w:rPr>
          <w:rStyle w:val="FootnoteReference"/>
        </w:rPr>
        <w:footnoteReference w:id="46"/>
      </w:r>
      <w:r w:rsidR="00F623F3">
        <w:t xml:space="preserve"> </w:t>
      </w:r>
      <w:r w:rsidR="00122805">
        <w:t xml:space="preserve">while the remaining </w:t>
      </w:r>
      <w:r w:rsidR="00F623F3">
        <w:t xml:space="preserve">four “non-rate terms” </w:t>
      </w:r>
      <w:r w:rsidR="004C443D">
        <w:t xml:space="preserve">all </w:t>
      </w:r>
      <w:r w:rsidR="00F623F3">
        <w:t xml:space="preserve">favor the Armstrong </w:t>
      </w:r>
      <w:r w:rsidR="004C443D">
        <w:t>f</w:t>
      </w:r>
      <w:r w:rsidR="00F623F3">
        <w:t xml:space="preserve">inal </w:t>
      </w:r>
      <w:r w:rsidR="004C443D">
        <w:t>o</w:t>
      </w:r>
      <w:r w:rsidR="00F623F3">
        <w:t>ffer.</w:t>
      </w:r>
      <w:r w:rsidR="00EC0055">
        <w:rPr>
          <w:rStyle w:val="FootnoteReference"/>
        </w:rPr>
        <w:footnoteReference w:id="47"/>
      </w:r>
      <w:r w:rsidR="00F623F3">
        <w:t xml:space="preserve">  </w:t>
      </w:r>
      <w:r w:rsidR="009A72DA">
        <w:t xml:space="preserve">The </w:t>
      </w:r>
      <w:r w:rsidR="00C7338C">
        <w:t>Media Bureau</w:t>
      </w:r>
      <w:r w:rsidR="009A72DA">
        <w:t xml:space="preserve"> </w:t>
      </w:r>
      <w:r w:rsidR="009A72DA" w:rsidRPr="00BD59D1">
        <w:t>conclude</w:t>
      </w:r>
      <w:r w:rsidR="009A72DA">
        <w:t>d</w:t>
      </w:r>
      <w:r w:rsidR="009A72DA" w:rsidRPr="00BD59D1">
        <w:t xml:space="preserve"> that, </w:t>
      </w:r>
      <w:r w:rsidR="009A72DA">
        <w:t>“</w:t>
      </w:r>
      <w:r w:rsidR="009A72DA" w:rsidRPr="00BD59D1">
        <w:t>on balance, these non-rate terms favor the Armstrong final offer as being more consistent with fair market value.”</w:t>
      </w:r>
      <w:r w:rsidR="009A72DA">
        <w:rPr>
          <w:rStyle w:val="FootnoteReference"/>
        </w:rPr>
        <w:footnoteReference w:id="48"/>
      </w:r>
    </w:p>
    <w:p w:rsidR="00BB6EE1" w:rsidRPr="00F7173E" w:rsidRDefault="008604EE" w:rsidP="00B5721D">
      <w:pPr>
        <w:pStyle w:val="ParaNum"/>
      </w:pPr>
      <w:r>
        <w:rPr>
          <w:color w:val="000000"/>
          <w:szCs w:val="22"/>
        </w:rPr>
        <w:t xml:space="preserve">Finally, the Media </w:t>
      </w:r>
      <w:r w:rsidRPr="00B5721D">
        <w:t>Bureau</w:t>
      </w:r>
      <w:r>
        <w:rPr>
          <w:color w:val="000000"/>
          <w:szCs w:val="22"/>
        </w:rPr>
        <w:t xml:space="preserve"> explained that, p</w:t>
      </w:r>
      <w:r>
        <w:t xml:space="preserve">ursuant to the </w:t>
      </w:r>
      <w:r w:rsidRPr="00694CC2">
        <w:rPr>
          <w:i/>
        </w:rPr>
        <w:t>Liberty Media Order</w:t>
      </w:r>
      <w:r>
        <w:t xml:space="preserve"> conditions, an RSN’s costs are relevant insofar as the conditions provide that an arbitrator may not select a final offer that does not permit the RSN “‘to recover a reasonable share of the costs of acquiring the programming at issue.’”</w:t>
      </w:r>
      <w:r>
        <w:rPr>
          <w:rStyle w:val="FootnoteReference"/>
        </w:rPr>
        <w:footnoteReference w:id="49"/>
      </w:r>
      <w:r>
        <w:t xml:space="preserve">  While the Media Bureau recognized that the Armstrong final offer could reduce DSNP’s expected profit margin, it held that “this alone provides no basis for rejecting the Armstrong final offer without a clear showing that the Armstrong final offer will deny DSNP the ability to recover a </w:t>
      </w:r>
      <w:r w:rsidRPr="00F7173E">
        <w:t>reasonable share of its costs of acquiring programming.”</w:t>
      </w:r>
      <w:r w:rsidRPr="00F7173E">
        <w:rPr>
          <w:rStyle w:val="FootnoteReference"/>
        </w:rPr>
        <w:footnoteReference w:id="50"/>
      </w:r>
      <w:r w:rsidR="002D2B1C" w:rsidRPr="00F7173E">
        <w:t xml:space="preserve">  The Media Bureau found that DSNP failed to make this showing.</w:t>
      </w:r>
      <w:r w:rsidR="002D2B1C" w:rsidRPr="00F7173E">
        <w:rPr>
          <w:rStyle w:val="FootnoteReference"/>
        </w:rPr>
        <w:footnoteReference w:id="51"/>
      </w:r>
    </w:p>
    <w:p w:rsidR="003A7E89" w:rsidRPr="00F7173E" w:rsidRDefault="003A7E89" w:rsidP="00B5721D">
      <w:pPr>
        <w:pStyle w:val="Heading1"/>
      </w:pPr>
      <w:bookmarkStart w:id="72" w:name="_Toc297033877"/>
      <w:bookmarkStart w:id="73" w:name="_Toc297034050"/>
      <w:bookmarkStart w:id="74" w:name="_Toc297034108"/>
      <w:bookmarkStart w:id="75" w:name="_Toc297034438"/>
      <w:bookmarkStart w:id="76" w:name="_Toc297112842"/>
      <w:bookmarkStart w:id="77" w:name="_Toc297192952"/>
      <w:bookmarkStart w:id="78" w:name="_Toc297192998"/>
      <w:bookmarkStart w:id="79" w:name="_Toc297742208"/>
      <w:bookmarkStart w:id="80" w:name="_Toc297982598"/>
      <w:bookmarkStart w:id="81" w:name="_Toc298166976"/>
      <w:bookmarkStart w:id="82" w:name="_Toc298340448"/>
      <w:bookmarkStart w:id="83" w:name="_Toc298936637"/>
      <w:bookmarkStart w:id="84" w:name="_Toc298943205"/>
      <w:bookmarkStart w:id="85" w:name="_Toc298943250"/>
      <w:bookmarkStart w:id="86" w:name="_Toc299009779"/>
      <w:bookmarkStart w:id="87" w:name="_Toc299444084"/>
      <w:bookmarkStart w:id="88" w:name="_Toc299444150"/>
      <w:bookmarkStart w:id="89" w:name="_Toc299460486"/>
      <w:bookmarkStart w:id="90" w:name="_Toc299460575"/>
      <w:r w:rsidRPr="00F7173E">
        <w:t>Discussion</w:t>
      </w:r>
    </w:p>
    <w:p w:rsidR="0061027E" w:rsidRPr="005D1DFD" w:rsidRDefault="003A7E89" w:rsidP="005D1DFD">
      <w:pPr>
        <w:pStyle w:val="ParaNum"/>
        <w:rPr>
          <w:szCs w:val="22"/>
        </w:rPr>
      </w:pPr>
      <w:r w:rsidRPr="00F7173E">
        <w:rPr>
          <w:szCs w:val="22"/>
        </w:rPr>
        <w:t xml:space="preserve">For the reasons discussed below and stated in the </w:t>
      </w:r>
      <w:r w:rsidR="00C7338C" w:rsidRPr="00F7173E">
        <w:rPr>
          <w:szCs w:val="22"/>
        </w:rPr>
        <w:t>Media Bureau</w:t>
      </w:r>
      <w:r w:rsidRPr="00F7173E">
        <w:rPr>
          <w:szCs w:val="22"/>
        </w:rPr>
        <w:t xml:space="preserve">’s </w:t>
      </w:r>
      <w:r w:rsidRPr="00F7173E">
        <w:rPr>
          <w:i/>
          <w:szCs w:val="22"/>
        </w:rPr>
        <w:t>Order</w:t>
      </w:r>
      <w:r w:rsidR="00960E31" w:rsidRPr="00F7173E">
        <w:rPr>
          <w:i/>
          <w:szCs w:val="22"/>
        </w:rPr>
        <w:t xml:space="preserve"> on Review</w:t>
      </w:r>
      <w:r w:rsidRPr="00F7173E">
        <w:rPr>
          <w:szCs w:val="22"/>
        </w:rPr>
        <w:t>, we deny D</w:t>
      </w:r>
      <w:r w:rsidR="00AA5EBC" w:rsidRPr="00F7173E">
        <w:rPr>
          <w:szCs w:val="22"/>
        </w:rPr>
        <w:t>SNP</w:t>
      </w:r>
      <w:r w:rsidRPr="00F7173E">
        <w:rPr>
          <w:szCs w:val="22"/>
        </w:rPr>
        <w:t>’</w:t>
      </w:r>
      <w:r w:rsidR="00AA5EBC" w:rsidRPr="00F7173E">
        <w:rPr>
          <w:szCs w:val="22"/>
        </w:rPr>
        <w:t>s</w:t>
      </w:r>
      <w:r w:rsidRPr="00F7173E">
        <w:rPr>
          <w:szCs w:val="22"/>
        </w:rPr>
        <w:t xml:space="preserve"> </w:t>
      </w:r>
      <w:r w:rsidRPr="00F7173E">
        <w:rPr>
          <w:i/>
          <w:szCs w:val="22"/>
        </w:rPr>
        <w:t>Application for Review</w:t>
      </w:r>
      <w:r w:rsidRPr="00F7173E">
        <w:rPr>
          <w:szCs w:val="22"/>
        </w:rPr>
        <w:t xml:space="preserve"> and affirm the </w:t>
      </w:r>
      <w:r w:rsidR="00C7338C" w:rsidRPr="00F7173E">
        <w:rPr>
          <w:szCs w:val="22"/>
        </w:rPr>
        <w:t>Media Bureau</w:t>
      </w:r>
      <w:r w:rsidRPr="00F7173E">
        <w:rPr>
          <w:szCs w:val="22"/>
        </w:rPr>
        <w:t xml:space="preserve">’s </w:t>
      </w:r>
      <w:r w:rsidRPr="00F7173E">
        <w:rPr>
          <w:i/>
          <w:szCs w:val="22"/>
        </w:rPr>
        <w:t>Order</w:t>
      </w:r>
      <w:r w:rsidR="00960E31" w:rsidRPr="00F7173E">
        <w:rPr>
          <w:szCs w:val="22"/>
        </w:rPr>
        <w:t xml:space="preserve"> </w:t>
      </w:r>
      <w:r w:rsidR="00960E31" w:rsidRPr="00F7173E">
        <w:rPr>
          <w:i/>
          <w:szCs w:val="22"/>
        </w:rPr>
        <w:t>on Review.</w:t>
      </w:r>
      <w:r w:rsidRPr="00F7173E">
        <w:rPr>
          <w:szCs w:val="22"/>
        </w:rPr>
        <w:t xml:space="preserve">  Below, we address D</w:t>
      </w:r>
      <w:r w:rsidR="00AA5EBC" w:rsidRPr="00F7173E">
        <w:rPr>
          <w:szCs w:val="22"/>
        </w:rPr>
        <w:t>SNP</w:t>
      </w:r>
      <w:r w:rsidRPr="00F7173E">
        <w:rPr>
          <w:szCs w:val="22"/>
        </w:rPr>
        <w:t>’</w:t>
      </w:r>
      <w:r w:rsidR="00AA5EBC" w:rsidRPr="00F7173E">
        <w:rPr>
          <w:szCs w:val="22"/>
        </w:rPr>
        <w:t>s</w:t>
      </w:r>
      <w:r w:rsidRPr="00F7173E">
        <w:rPr>
          <w:szCs w:val="22"/>
        </w:rPr>
        <w:t xml:space="preserve"> challenges to</w:t>
      </w:r>
      <w:r w:rsidRPr="0061027E">
        <w:rPr>
          <w:szCs w:val="22"/>
        </w:rPr>
        <w:t xml:space="preserve"> the </w:t>
      </w:r>
      <w:r w:rsidRPr="0061027E">
        <w:rPr>
          <w:i/>
          <w:szCs w:val="22"/>
        </w:rPr>
        <w:t>Order</w:t>
      </w:r>
      <w:r w:rsidR="00960E31" w:rsidRPr="0061027E">
        <w:rPr>
          <w:i/>
          <w:szCs w:val="22"/>
        </w:rPr>
        <w:t xml:space="preserve"> on Review</w:t>
      </w:r>
      <w:r w:rsidRPr="0061027E">
        <w:rPr>
          <w:szCs w:val="22"/>
        </w:rPr>
        <w:t>.</w:t>
      </w:r>
      <w:r w:rsidR="007E1F7D">
        <w:rPr>
          <w:rStyle w:val="FootnoteReference"/>
          <w:szCs w:val="22"/>
        </w:rPr>
        <w:footnoteReference w:id="52"/>
      </w:r>
      <w:r w:rsidRPr="0061027E">
        <w:rPr>
          <w:szCs w:val="22"/>
        </w:rPr>
        <w:t xml:space="preserve">  </w:t>
      </w:r>
    </w:p>
    <w:p w:rsidR="0061027E" w:rsidRPr="0061027E" w:rsidRDefault="0061027E" w:rsidP="0061027E">
      <w:pPr>
        <w:pStyle w:val="Heading2"/>
      </w:pPr>
      <w:r w:rsidRPr="0061027E">
        <w:t xml:space="preserve">The </w:t>
      </w:r>
      <w:r w:rsidR="00C73072">
        <w:t>Media Bureau</w:t>
      </w:r>
      <w:r w:rsidRPr="0061027E">
        <w:t xml:space="preserve">’s </w:t>
      </w:r>
      <w:r>
        <w:t>Conclusion that the Armstrong Final Offer Most Closely Approximate</w:t>
      </w:r>
      <w:r w:rsidR="006E5FBE">
        <w:t>s</w:t>
      </w:r>
      <w:r>
        <w:t xml:space="preserve"> Fair Market Value Was Correct and Supported by the Record</w:t>
      </w:r>
    </w:p>
    <w:p w:rsidR="003A7E89" w:rsidRPr="006E5FBE" w:rsidRDefault="00F61363" w:rsidP="003A7E89">
      <w:pPr>
        <w:pStyle w:val="ParaNum"/>
      </w:pPr>
      <w:r w:rsidRPr="00461A04">
        <w:rPr>
          <w:szCs w:val="22"/>
        </w:rPr>
        <w:t xml:space="preserve">For the reasons discussed below and stated in the </w:t>
      </w:r>
      <w:r>
        <w:rPr>
          <w:szCs w:val="22"/>
        </w:rPr>
        <w:t>Media Bureau</w:t>
      </w:r>
      <w:r w:rsidRPr="00461A04">
        <w:rPr>
          <w:szCs w:val="22"/>
        </w:rPr>
        <w:t xml:space="preserve">’s </w:t>
      </w:r>
      <w:r w:rsidRPr="00461A04">
        <w:rPr>
          <w:i/>
          <w:szCs w:val="22"/>
        </w:rPr>
        <w:t>Order</w:t>
      </w:r>
      <w:r>
        <w:rPr>
          <w:i/>
          <w:szCs w:val="22"/>
        </w:rPr>
        <w:t xml:space="preserve"> on Review</w:t>
      </w:r>
      <w:r>
        <w:rPr>
          <w:szCs w:val="22"/>
        </w:rPr>
        <w:t xml:space="preserve">, we affirm the Media Bureau’s </w:t>
      </w:r>
      <w:r w:rsidR="008D0AA3">
        <w:rPr>
          <w:szCs w:val="22"/>
        </w:rPr>
        <w:t>decision t</w:t>
      </w:r>
      <w:r>
        <w:rPr>
          <w:szCs w:val="22"/>
        </w:rPr>
        <w:t>hat the Armstrong final offer</w:t>
      </w:r>
      <w:r w:rsidRPr="00C60704">
        <w:rPr>
          <w:szCs w:val="22"/>
        </w:rPr>
        <w:t xml:space="preserve"> most closely approximates the fair market value of the programming carriage rights </w:t>
      </w:r>
      <w:r w:rsidR="00AB29DC">
        <w:rPr>
          <w:szCs w:val="22"/>
        </w:rPr>
        <w:t>for FSNP</w:t>
      </w:r>
      <w:r>
        <w:rPr>
          <w:szCs w:val="22"/>
        </w:rPr>
        <w:t>.  As an initial matter, w</w:t>
      </w:r>
      <w:r w:rsidR="003A7E89" w:rsidRPr="0061027E">
        <w:rPr>
          <w:szCs w:val="22"/>
        </w:rPr>
        <w:t>e note that DSNP challenge</w:t>
      </w:r>
      <w:r w:rsidR="00BB6EE1" w:rsidRPr="0061027E">
        <w:rPr>
          <w:szCs w:val="22"/>
        </w:rPr>
        <w:t>s</w:t>
      </w:r>
      <w:r w:rsidR="003A7E89" w:rsidRPr="0061027E">
        <w:rPr>
          <w:szCs w:val="22"/>
        </w:rPr>
        <w:t xml:space="preserve"> the </w:t>
      </w:r>
      <w:r w:rsidR="003A7E89" w:rsidRPr="0061027E">
        <w:rPr>
          <w:i/>
          <w:szCs w:val="22"/>
        </w:rPr>
        <w:t>Order</w:t>
      </w:r>
      <w:r w:rsidR="00960E31" w:rsidRPr="0061027E">
        <w:rPr>
          <w:i/>
          <w:szCs w:val="22"/>
        </w:rPr>
        <w:t xml:space="preserve"> on Re</w:t>
      </w:r>
      <w:r w:rsidR="00960E31">
        <w:rPr>
          <w:i/>
          <w:szCs w:val="22"/>
        </w:rPr>
        <w:t>view</w:t>
      </w:r>
      <w:r w:rsidR="003E348F">
        <w:rPr>
          <w:szCs w:val="22"/>
        </w:rPr>
        <w:t xml:space="preserve"> with respect to </w:t>
      </w:r>
      <w:r w:rsidR="00C26BC9">
        <w:rPr>
          <w:szCs w:val="22"/>
        </w:rPr>
        <w:t xml:space="preserve">the </w:t>
      </w:r>
      <w:r w:rsidR="00C73072">
        <w:rPr>
          <w:szCs w:val="22"/>
        </w:rPr>
        <w:t>Media Bureau</w:t>
      </w:r>
      <w:r w:rsidR="00C26BC9">
        <w:rPr>
          <w:szCs w:val="22"/>
        </w:rPr>
        <w:t xml:space="preserve">’s </w:t>
      </w:r>
      <w:r w:rsidR="003E348F">
        <w:rPr>
          <w:szCs w:val="22"/>
        </w:rPr>
        <w:t>findings</w:t>
      </w:r>
      <w:r w:rsidR="00FE6757">
        <w:rPr>
          <w:szCs w:val="22"/>
        </w:rPr>
        <w:t xml:space="preserve"> on only two provisions of the final offers:  the</w:t>
      </w:r>
      <w:r w:rsidR="003E348F">
        <w:rPr>
          <w:szCs w:val="22"/>
        </w:rPr>
        <w:t xml:space="preserve"> </w:t>
      </w:r>
      <w:r w:rsidR="003A7E89">
        <w:rPr>
          <w:szCs w:val="22"/>
        </w:rPr>
        <w:t xml:space="preserve">rates </w:t>
      </w:r>
      <w:r w:rsidR="00960E31">
        <w:rPr>
          <w:szCs w:val="22"/>
        </w:rPr>
        <w:t xml:space="preserve">and the </w:t>
      </w:r>
      <w:r w:rsidR="003A7E89">
        <w:rPr>
          <w:szCs w:val="22"/>
        </w:rPr>
        <w:t>rate re</w:t>
      </w:r>
      <w:r w:rsidR="003E348F">
        <w:rPr>
          <w:szCs w:val="22"/>
        </w:rPr>
        <w:t>new</w:t>
      </w:r>
      <w:r w:rsidR="003A7E89">
        <w:rPr>
          <w:szCs w:val="22"/>
        </w:rPr>
        <w:t>al increase</w:t>
      </w:r>
      <w:r w:rsidR="003E348F">
        <w:rPr>
          <w:szCs w:val="22"/>
        </w:rPr>
        <w:t xml:space="preserve">.  </w:t>
      </w:r>
      <w:r w:rsidR="003A7E89">
        <w:rPr>
          <w:szCs w:val="22"/>
        </w:rPr>
        <w:t xml:space="preserve">As discussed above, however, the </w:t>
      </w:r>
      <w:r w:rsidR="00FB2B23" w:rsidRPr="00FB2B23">
        <w:rPr>
          <w:i/>
          <w:szCs w:val="22"/>
        </w:rPr>
        <w:t>Order on Review</w:t>
      </w:r>
      <w:r w:rsidR="00FB2B23">
        <w:rPr>
          <w:szCs w:val="22"/>
        </w:rPr>
        <w:t xml:space="preserve"> found that </w:t>
      </w:r>
      <w:r w:rsidR="00960E31">
        <w:rPr>
          <w:szCs w:val="22"/>
        </w:rPr>
        <w:t>the Armstrong final offer</w:t>
      </w:r>
      <w:r w:rsidR="003E348F" w:rsidRPr="003E348F">
        <w:rPr>
          <w:szCs w:val="22"/>
        </w:rPr>
        <w:t xml:space="preserve"> </w:t>
      </w:r>
      <w:r w:rsidR="003E348F">
        <w:rPr>
          <w:szCs w:val="22"/>
        </w:rPr>
        <w:t>most closely approximate</w:t>
      </w:r>
      <w:r w:rsidR="00766289">
        <w:rPr>
          <w:szCs w:val="22"/>
        </w:rPr>
        <w:t>s</w:t>
      </w:r>
      <w:r w:rsidR="003E348F">
        <w:rPr>
          <w:szCs w:val="22"/>
        </w:rPr>
        <w:t xml:space="preserve"> fair market value</w:t>
      </w:r>
      <w:r w:rsidR="00960E31">
        <w:rPr>
          <w:szCs w:val="22"/>
        </w:rPr>
        <w:t xml:space="preserve"> </w:t>
      </w:r>
      <w:r w:rsidR="00FB2B23">
        <w:rPr>
          <w:szCs w:val="22"/>
        </w:rPr>
        <w:t xml:space="preserve">with respect to each of </w:t>
      </w:r>
      <w:r w:rsidR="003A7E89">
        <w:rPr>
          <w:szCs w:val="22"/>
        </w:rPr>
        <w:t xml:space="preserve">three </w:t>
      </w:r>
      <w:r w:rsidR="003E348F">
        <w:rPr>
          <w:szCs w:val="22"/>
        </w:rPr>
        <w:t>broad categories</w:t>
      </w:r>
      <w:r w:rsidR="0061027E">
        <w:rPr>
          <w:szCs w:val="22"/>
        </w:rPr>
        <w:t xml:space="preserve">, which </w:t>
      </w:r>
      <w:r w:rsidR="00EB294D">
        <w:rPr>
          <w:szCs w:val="22"/>
        </w:rPr>
        <w:t>encompassed</w:t>
      </w:r>
      <w:r w:rsidR="00FC6B98">
        <w:rPr>
          <w:szCs w:val="22"/>
        </w:rPr>
        <w:t xml:space="preserve"> </w:t>
      </w:r>
      <w:r w:rsidR="00C73072">
        <w:rPr>
          <w:szCs w:val="22"/>
        </w:rPr>
        <w:t xml:space="preserve">a total of </w:t>
      </w:r>
      <w:r w:rsidR="0061027E">
        <w:rPr>
          <w:szCs w:val="22"/>
        </w:rPr>
        <w:t>twelve separate provisions of the final offers</w:t>
      </w:r>
      <w:r w:rsidR="00270323">
        <w:rPr>
          <w:szCs w:val="22"/>
        </w:rPr>
        <w:t>:  (i) the</w:t>
      </w:r>
      <w:r w:rsidR="003E348F">
        <w:rPr>
          <w:szCs w:val="22"/>
        </w:rPr>
        <w:t xml:space="preserve"> </w:t>
      </w:r>
      <w:r w:rsidR="00270323">
        <w:rPr>
          <w:szCs w:val="22"/>
        </w:rPr>
        <w:t>rate</w:t>
      </w:r>
      <w:r w:rsidR="003E348F">
        <w:rPr>
          <w:szCs w:val="22"/>
        </w:rPr>
        <w:t>s</w:t>
      </w:r>
      <w:r w:rsidR="00270323">
        <w:rPr>
          <w:szCs w:val="22"/>
        </w:rPr>
        <w:t xml:space="preserve">; (ii) </w:t>
      </w:r>
      <w:r w:rsidR="00662820">
        <w:rPr>
          <w:szCs w:val="22"/>
        </w:rPr>
        <w:t xml:space="preserve">four </w:t>
      </w:r>
      <w:r w:rsidR="00270323">
        <w:rPr>
          <w:szCs w:val="22"/>
        </w:rPr>
        <w:t>“other rate terms”</w:t>
      </w:r>
      <w:r w:rsidR="003E348F">
        <w:rPr>
          <w:szCs w:val="22"/>
        </w:rPr>
        <w:t xml:space="preserve">; </w:t>
      </w:r>
      <w:r w:rsidR="00270323">
        <w:rPr>
          <w:szCs w:val="22"/>
        </w:rPr>
        <w:t>and</w:t>
      </w:r>
      <w:r w:rsidR="003E348F">
        <w:rPr>
          <w:szCs w:val="22"/>
        </w:rPr>
        <w:t xml:space="preserve"> (iii)</w:t>
      </w:r>
      <w:r w:rsidR="00270323">
        <w:rPr>
          <w:szCs w:val="22"/>
        </w:rPr>
        <w:t xml:space="preserve"> </w:t>
      </w:r>
      <w:r w:rsidR="00662820">
        <w:rPr>
          <w:szCs w:val="22"/>
        </w:rPr>
        <w:t xml:space="preserve">seven </w:t>
      </w:r>
      <w:r w:rsidR="00270323">
        <w:rPr>
          <w:szCs w:val="22"/>
        </w:rPr>
        <w:t>“non-rate terms</w:t>
      </w:r>
      <w:r w:rsidR="003E348F">
        <w:rPr>
          <w:szCs w:val="22"/>
        </w:rPr>
        <w:t>.</w:t>
      </w:r>
      <w:r w:rsidR="00960E31">
        <w:rPr>
          <w:szCs w:val="22"/>
        </w:rPr>
        <w:t>”</w:t>
      </w:r>
      <w:r w:rsidR="00662820">
        <w:rPr>
          <w:rStyle w:val="FootnoteReference"/>
          <w:szCs w:val="22"/>
        </w:rPr>
        <w:footnoteReference w:id="53"/>
      </w:r>
      <w:r w:rsidR="003A7E89">
        <w:rPr>
          <w:szCs w:val="22"/>
        </w:rPr>
        <w:t xml:space="preserve"> </w:t>
      </w:r>
      <w:r w:rsidR="003A7E89" w:rsidRPr="003245F9">
        <w:rPr>
          <w:szCs w:val="22"/>
        </w:rPr>
        <w:t xml:space="preserve"> </w:t>
      </w:r>
      <w:r w:rsidR="003245F9" w:rsidRPr="003245F9">
        <w:rPr>
          <w:szCs w:val="22"/>
        </w:rPr>
        <w:t>DSNP is wrong when it alleges that the Media Bureau “made clear that its selection of Armstrong’s Final Offer was based exclusively upon the rates in the Final Offers.”</w:t>
      </w:r>
      <w:r w:rsidR="003245F9" w:rsidRPr="003245F9">
        <w:rPr>
          <w:rStyle w:val="FootnoteReference"/>
          <w:szCs w:val="22"/>
        </w:rPr>
        <w:footnoteReference w:id="54"/>
      </w:r>
      <w:r w:rsidR="003245F9" w:rsidRPr="003245F9">
        <w:rPr>
          <w:szCs w:val="22"/>
        </w:rPr>
        <w:t xml:space="preserve">  In the </w:t>
      </w:r>
      <w:r w:rsidR="003245F9" w:rsidRPr="003245F9">
        <w:rPr>
          <w:i/>
          <w:szCs w:val="22"/>
        </w:rPr>
        <w:t>Order on Review</w:t>
      </w:r>
      <w:r w:rsidR="003245F9" w:rsidRPr="003245F9">
        <w:rPr>
          <w:szCs w:val="22"/>
        </w:rPr>
        <w:t>, the Media Bureau concluded that the Armstrong final offer most closely approximates fair market value not only with respect to the rates, but also with respect to the “other rate terms” and the “non-rate terms.”</w:t>
      </w:r>
      <w:r w:rsidR="003245F9" w:rsidRPr="003245F9">
        <w:rPr>
          <w:rStyle w:val="FootnoteReference"/>
          <w:szCs w:val="22"/>
        </w:rPr>
        <w:footnoteReference w:id="55"/>
      </w:r>
      <w:r w:rsidR="003245F9" w:rsidRPr="003245F9">
        <w:rPr>
          <w:szCs w:val="22"/>
        </w:rPr>
        <w:t xml:space="preserve">  As discussed above, of the four “other rate terms” analyzed, the Media Bureau found that only one (the annual escalator percentage) favors the DSNP final offer.</w:t>
      </w:r>
      <w:r w:rsidR="003245F9" w:rsidRPr="003245F9">
        <w:rPr>
          <w:rStyle w:val="FootnoteReference"/>
          <w:szCs w:val="22"/>
        </w:rPr>
        <w:footnoteReference w:id="56"/>
      </w:r>
      <w:r w:rsidR="003245F9" w:rsidRPr="003245F9">
        <w:rPr>
          <w:szCs w:val="22"/>
        </w:rPr>
        <w:t xml:space="preserve">  With the exception of the rate renewal increase, DSNP does not challenge the Media Bureau’s findings with respect to the “other rate terms.”  DSNP is also wrong when it claims that</w:t>
      </w:r>
      <w:r w:rsidR="00492A66">
        <w:rPr>
          <w:szCs w:val="22"/>
        </w:rPr>
        <w:t xml:space="preserve"> </w:t>
      </w:r>
      <w:r w:rsidR="003245F9" w:rsidRPr="003245F9">
        <w:rPr>
          <w:szCs w:val="22"/>
        </w:rPr>
        <w:t>the “non-rate terms” favor the DSNP final offer.</w:t>
      </w:r>
      <w:r w:rsidR="003245F9" w:rsidRPr="003245F9">
        <w:rPr>
          <w:rStyle w:val="FootnoteReference"/>
          <w:szCs w:val="22"/>
        </w:rPr>
        <w:footnoteReference w:id="57"/>
      </w:r>
      <w:r w:rsidR="003245F9" w:rsidRPr="003245F9">
        <w:rPr>
          <w:szCs w:val="22"/>
        </w:rPr>
        <w:t xml:space="preserve">  As discussed above, while the Media Bureau found that three “non-rate terms” favor the DSNP final offer, it found that the other four “non-rate terms” favor the Armstrong final offer and concluded that, on balance, the “non-rate terms” favor the Armstrong final offer.</w:t>
      </w:r>
      <w:r w:rsidR="003245F9" w:rsidRPr="003245F9">
        <w:rPr>
          <w:rStyle w:val="FootnoteReference"/>
          <w:szCs w:val="22"/>
        </w:rPr>
        <w:footnoteReference w:id="58"/>
      </w:r>
      <w:r w:rsidR="003245F9" w:rsidRPr="003245F9">
        <w:rPr>
          <w:szCs w:val="22"/>
        </w:rPr>
        <w:t xml:space="preserve">  Although one “other rate term” and three “non-rate terms” favor the DSNP final offer, the Media Bureau concluded that this was not sufficient to tip the scales in favor of the DSNP final offer given that the rates, “other rate terms,” and “non-rate terms” all favor the Armstrong final offer on balance.</w:t>
      </w:r>
      <w:r w:rsidR="003245F9" w:rsidRPr="003245F9">
        <w:rPr>
          <w:rStyle w:val="FootnoteReference"/>
          <w:szCs w:val="22"/>
        </w:rPr>
        <w:footnoteReference w:id="59"/>
      </w:r>
      <w:r w:rsidR="003245F9">
        <w:rPr>
          <w:szCs w:val="22"/>
        </w:rPr>
        <w:t xml:space="preserve">  </w:t>
      </w:r>
      <w:r w:rsidR="00030D33">
        <w:rPr>
          <w:szCs w:val="22"/>
        </w:rPr>
        <w:t>Thus, e</w:t>
      </w:r>
      <w:r w:rsidR="00662820">
        <w:rPr>
          <w:szCs w:val="22"/>
        </w:rPr>
        <w:t xml:space="preserve">ven if we were to agree with </w:t>
      </w:r>
      <w:r w:rsidR="00FE6757">
        <w:rPr>
          <w:szCs w:val="22"/>
        </w:rPr>
        <w:t xml:space="preserve">one or both of DSNP’s challenges, </w:t>
      </w:r>
      <w:r w:rsidR="00662820">
        <w:rPr>
          <w:szCs w:val="22"/>
        </w:rPr>
        <w:t>DSNP has failed to offer an</w:t>
      </w:r>
      <w:r w:rsidR="00FB2B23">
        <w:rPr>
          <w:szCs w:val="22"/>
        </w:rPr>
        <w:t>y</w:t>
      </w:r>
      <w:r w:rsidR="00662820">
        <w:rPr>
          <w:szCs w:val="22"/>
        </w:rPr>
        <w:t xml:space="preserve"> </w:t>
      </w:r>
      <w:r w:rsidR="00907851">
        <w:rPr>
          <w:szCs w:val="22"/>
        </w:rPr>
        <w:t xml:space="preserve">explanation </w:t>
      </w:r>
      <w:r w:rsidR="00662820">
        <w:rPr>
          <w:szCs w:val="22"/>
        </w:rPr>
        <w:t xml:space="preserve">in its </w:t>
      </w:r>
      <w:r w:rsidR="00662820" w:rsidRPr="00662820">
        <w:rPr>
          <w:i/>
          <w:szCs w:val="22"/>
        </w:rPr>
        <w:t>Application for Review</w:t>
      </w:r>
      <w:r w:rsidR="00662820">
        <w:rPr>
          <w:szCs w:val="22"/>
        </w:rPr>
        <w:t xml:space="preserve"> for </w:t>
      </w:r>
      <w:r w:rsidR="00E207DB">
        <w:rPr>
          <w:szCs w:val="22"/>
        </w:rPr>
        <w:t xml:space="preserve">why these two challenged provisions would tip the scales in favor of the DSNP final offer in light of </w:t>
      </w:r>
      <w:r w:rsidR="00907851">
        <w:rPr>
          <w:szCs w:val="22"/>
        </w:rPr>
        <w:t xml:space="preserve">the </w:t>
      </w:r>
      <w:r w:rsidR="00E207DB">
        <w:rPr>
          <w:szCs w:val="22"/>
        </w:rPr>
        <w:t xml:space="preserve">unchallenged finding that many of the other </w:t>
      </w:r>
      <w:r w:rsidR="00907851">
        <w:rPr>
          <w:szCs w:val="22"/>
        </w:rPr>
        <w:t xml:space="preserve">provisions </w:t>
      </w:r>
      <w:r w:rsidR="00347A0C">
        <w:rPr>
          <w:szCs w:val="22"/>
        </w:rPr>
        <w:t xml:space="preserve">favor the Armstrong </w:t>
      </w:r>
      <w:r w:rsidR="00975F3F">
        <w:rPr>
          <w:szCs w:val="22"/>
        </w:rPr>
        <w:t>f</w:t>
      </w:r>
      <w:r w:rsidR="00347A0C">
        <w:rPr>
          <w:szCs w:val="22"/>
        </w:rPr>
        <w:t xml:space="preserve">inal </w:t>
      </w:r>
      <w:r w:rsidR="00975F3F">
        <w:rPr>
          <w:szCs w:val="22"/>
        </w:rPr>
        <w:t>o</w:t>
      </w:r>
      <w:r w:rsidR="00347A0C">
        <w:rPr>
          <w:szCs w:val="22"/>
        </w:rPr>
        <w:t>ffer.</w:t>
      </w:r>
      <w:r w:rsidR="006E5FBE">
        <w:rPr>
          <w:szCs w:val="22"/>
        </w:rPr>
        <w:t xml:space="preserve">  In any event, we reject DSNP’s challenges to the </w:t>
      </w:r>
      <w:r w:rsidR="006E5FBE" w:rsidRPr="00C26BC9">
        <w:rPr>
          <w:i/>
          <w:szCs w:val="22"/>
        </w:rPr>
        <w:t>Order on Review</w:t>
      </w:r>
      <w:r w:rsidR="006E5FBE">
        <w:rPr>
          <w:szCs w:val="22"/>
        </w:rPr>
        <w:t xml:space="preserve">.  </w:t>
      </w:r>
    </w:p>
    <w:p w:rsidR="006E5FBE" w:rsidRPr="00C26BC9" w:rsidRDefault="006E5FBE" w:rsidP="006E5FBE">
      <w:pPr>
        <w:pStyle w:val="Heading3"/>
      </w:pPr>
      <w:r>
        <w:t>The Rates in the Armstrong Final Offer Most Closely Approximate Fair Market Value</w:t>
      </w:r>
    </w:p>
    <w:p w:rsidR="00EA2725" w:rsidRDefault="006E5FBE" w:rsidP="00D56DC5">
      <w:pPr>
        <w:pStyle w:val="ParaNum"/>
      </w:pPr>
      <w:r>
        <w:rPr>
          <w:szCs w:val="22"/>
        </w:rPr>
        <w:t>The Media Bureau properly held that the rates in the Armstrong final offer most</w:t>
      </w:r>
      <w:r w:rsidR="000B12E4">
        <w:rPr>
          <w:szCs w:val="22"/>
        </w:rPr>
        <w:t xml:space="preserve"> closely</w:t>
      </w:r>
      <w:r>
        <w:rPr>
          <w:szCs w:val="22"/>
        </w:rPr>
        <w:t xml:space="preserve"> approximate fair market value</w:t>
      </w:r>
      <w:r w:rsidR="003C4721">
        <w:rPr>
          <w:szCs w:val="22"/>
        </w:rPr>
        <w:t xml:space="preserve"> notwithstanding</w:t>
      </w:r>
      <w:r w:rsidR="00D56DC5">
        <w:rPr>
          <w:szCs w:val="22"/>
        </w:rPr>
        <w:t xml:space="preserve"> DSNP’s claims</w:t>
      </w:r>
      <w:r w:rsidR="00583A4E">
        <w:rPr>
          <w:szCs w:val="22"/>
        </w:rPr>
        <w:t xml:space="preserve"> that the arbitrator did not make a precise</w:t>
      </w:r>
      <w:r w:rsidR="00482C8A">
        <w:rPr>
          <w:szCs w:val="22"/>
        </w:rPr>
        <w:t xml:space="preserve"> </w:t>
      </w:r>
      <w:r w:rsidR="007F6F86">
        <w:rPr>
          <w:szCs w:val="22"/>
        </w:rPr>
        <w:t>determin</w:t>
      </w:r>
      <w:r w:rsidR="00583A4E">
        <w:rPr>
          <w:szCs w:val="22"/>
        </w:rPr>
        <w:t>ation</w:t>
      </w:r>
      <w:r w:rsidR="00482C8A">
        <w:rPr>
          <w:szCs w:val="22"/>
        </w:rPr>
        <w:t xml:space="preserve"> </w:t>
      </w:r>
      <w:r w:rsidR="00583A4E">
        <w:rPr>
          <w:szCs w:val="22"/>
        </w:rPr>
        <w:t xml:space="preserve">of </w:t>
      </w:r>
      <w:r w:rsidR="00D56DC5">
        <w:rPr>
          <w:szCs w:val="22"/>
        </w:rPr>
        <w:t>the actual fair market value of the carriage rights for FSNP.</w:t>
      </w:r>
      <w:r w:rsidR="00F81633">
        <w:rPr>
          <w:rStyle w:val="FootnoteReference"/>
          <w:szCs w:val="22"/>
        </w:rPr>
        <w:footnoteReference w:id="60"/>
      </w:r>
      <w:r w:rsidR="00482C8A">
        <w:t xml:space="preserve">  </w:t>
      </w:r>
      <w:r w:rsidR="00102B29">
        <w:rPr>
          <w:szCs w:val="22"/>
        </w:rPr>
        <w:t>Here, the record</w:t>
      </w:r>
      <w:r w:rsidR="00EA2725">
        <w:rPr>
          <w:szCs w:val="22"/>
        </w:rPr>
        <w:t>, including Armstrong’s analysis,</w:t>
      </w:r>
      <w:r w:rsidR="00102B29">
        <w:rPr>
          <w:szCs w:val="22"/>
        </w:rPr>
        <w:t xml:space="preserve"> established </w:t>
      </w:r>
      <w:r w:rsidR="00482C8A">
        <w:rPr>
          <w:szCs w:val="22"/>
        </w:rPr>
        <w:t xml:space="preserve">a </w:t>
      </w:r>
      <w:r w:rsidR="004A5F6C">
        <w:t xml:space="preserve">principle </w:t>
      </w:r>
      <w:r w:rsidR="00E207DB">
        <w:t>of marketplace negotiations for RSN programming</w:t>
      </w:r>
      <w:r w:rsidR="00482C8A">
        <w:t>,</w:t>
      </w:r>
      <w:r w:rsidR="00E207DB">
        <w:t xml:space="preserve"> </w:t>
      </w:r>
      <w:r w:rsidR="00583CAE">
        <w:t>supported by both parties</w:t>
      </w:r>
      <w:r w:rsidR="00482C8A">
        <w:t>,</w:t>
      </w:r>
      <w:r w:rsidR="00583CAE">
        <w:t xml:space="preserve"> </w:t>
      </w:r>
      <w:r w:rsidR="004A5F6C">
        <w:t xml:space="preserve">that an </w:t>
      </w:r>
      <w:r w:rsidR="004A5F6C" w:rsidRPr="00C60704">
        <w:t xml:space="preserve">MVPD </w:t>
      </w:r>
      <w:r w:rsidR="004A5F6C">
        <w:t xml:space="preserve">that has a greater number of subscribers and generates more revenue for an RSN will obtain </w:t>
      </w:r>
      <w:r w:rsidR="004A5F6C" w:rsidRPr="00C60704">
        <w:t>better rates</w:t>
      </w:r>
      <w:r w:rsidR="004A5F6C">
        <w:t xml:space="preserve"> than an MVPD that has fewer subscribers and generates less revenue for the RSN</w:t>
      </w:r>
      <w:r w:rsidR="00102B29">
        <w:rPr>
          <w:szCs w:val="22"/>
        </w:rPr>
        <w:t>.</w:t>
      </w:r>
      <w:r w:rsidR="00AA7548">
        <w:rPr>
          <w:rStyle w:val="FootnoteReference"/>
          <w:szCs w:val="22"/>
        </w:rPr>
        <w:footnoteReference w:id="61"/>
      </w:r>
      <w:r w:rsidR="00102B29">
        <w:rPr>
          <w:szCs w:val="22"/>
        </w:rPr>
        <w:t xml:space="preserve">  Without any </w:t>
      </w:r>
      <w:r w:rsidR="00AB29DC">
        <w:rPr>
          <w:szCs w:val="22"/>
        </w:rPr>
        <w:t xml:space="preserve">valid </w:t>
      </w:r>
      <w:r w:rsidR="00102B29">
        <w:rPr>
          <w:szCs w:val="22"/>
        </w:rPr>
        <w:t>justification, DSNP’s final offer violate</w:t>
      </w:r>
      <w:r w:rsidR="000B12E4">
        <w:rPr>
          <w:szCs w:val="22"/>
        </w:rPr>
        <w:t>s</w:t>
      </w:r>
      <w:r w:rsidR="00102B29">
        <w:rPr>
          <w:szCs w:val="22"/>
        </w:rPr>
        <w:t xml:space="preserve"> this principle, requiring Armstrong to </w:t>
      </w:r>
      <w:r w:rsidR="002F5B57">
        <w:rPr>
          <w:szCs w:val="22"/>
        </w:rPr>
        <w:t xml:space="preserve">pay similar, and in most cases higher, rates than MVPDs that </w:t>
      </w:r>
      <w:r w:rsidR="000B12E4">
        <w:rPr>
          <w:szCs w:val="22"/>
        </w:rPr>
        <w:t>are</w:t>
      </w:r>
      <w:r w:rsidR="002F5B57">
        <w:rPr>
          <w:szCs w:val="22"/>
        </w:rPr>
        <w:t xml:space="preserve"> </w:t>
      </w:r>
      <w:r w:rsidR="00482C8A">
        <w:rPr>
          <w:szCs w:val="22"/>
        </w:rPr>
        <w:t xml:space="preserve">substantially </w:t>
      </w:r>
      <w:r w:rsidR="002F5B57">
        <w:rPr>
          <w:szCs w:val="22"/>
        </w:rPr>
        <w:t>smaller than Armstrong in terms of subscribers or revenue or both</w:t>
      </w:r>
      <w:r w:rsidR="00102B29">
        <w:rPr>
          <w:szCs w:val="22"/>
        </w:rPr>
        <w:t>.</w:t>
      </w:r>
      <w:r w:rsidR="00AA7548">
        <w:rPr>
          <w:rStyle w:val="FootnoteReference"/>
          <w:szCs w:val="22"/>
        </w:rPr>
        <w:footnoteReference w:id="62"/>
      </w:r>
      <w:r w:rsidR="004A5F6C">
        <w:rPr>
          <w:szCs w:val="22"/>
        </w:rPr>
        <w:t xml:space="preserve">  </w:t>
      </w:r>
      <w:r w:rsidR="00E207DB" w:rsidRPr="004078D9">
        <w:rPr>
          <w:color w:val="000000"/>
          <w:szCs w:val="22"/>
        </w:rPr>
        <w:t>Armstrong</w:t>
      </w:r>
      <w:r w:rsidR="00E207DB">
        <w:rPr>
          <w:color w:val="000000"/>
          <w:szCs w:val="22"/>
        </w:rPr>
        <w:t xml:space="preserve"> </w:t>
      </w:r>
      <w:r w:rsidR="00E207DB" w:rsidRPr="004078D9">
        <w:rPr>
          <w:color w:val="000000"/>
          <w:szCs w:val="22"/>
        </w:rPr>
        <w:t xml:space="preserve">proposed rates </w:t>
      </w:r>
      <w:r w:rsidR="00E207DB">
        <w:rPr>
          <w:color w:val="000000"/>
          <w:szCs w:val="22"/>
        </w:rPr>
        <w:t xml:space="preserve">that </w:t>
      </w:r>
      <w:r w:rsidR="00E207DB" w:rsidRPr="004078D9">
        <w:rPr>
          <w:color w:val="000000"/>
          <w:szCs w:val="22"/>
        </w:rPr>
        <w:t xml:space="preserve">maintain </w:t>
      </w:r>
      <w:r w:rsidR="00E207DB" w:rsidRPr="00F7424A">
        <w:rPr>
          <w:color w:val="000000"/>
        </w:rPr>
        <w:t xml:space="preserve">the </w:t>
      </w:r>
      <w:r w:rsidR="00E207DB" w:rsidRPr="004078D9">
        <w:rPr>
          <w:color w:val="000000"/>
          <w:szCs w:val="22"/>
        </w:rPr>
        <w:t>ranking of MVPDs according</w:t>
      </w:r>
      <w:r w:rsidR="00E207DB" w:rsidRPr="00F7424A">
        <w:rPr>
          <w:color w:val="000000"/>
        </w:rPr>
        <w:t xml:space="preserve"> to </w:t>
      </w:r>
      <w:r w:rsidR="00E207DB" w:rsidRPr="004078D9">
        <w:rPr>
          <w:color w:val="000000"/>
          <w:szCs w:val="22"/>
        </w:rPr>
        <w:t>their value.</w:t>
      </w:r>
      <w:r w:rsidR="00E207DB" w:rsidRPr="004078D9">
        <w:rPr>
          <w:rStyle w:val="FootnoteReference"/>
          <w:szCs w:val="22"/>
        </w:rPr>
        <w:footnoteReference w:id="63"/>
      </w:r>
      <w:r w:rsidR="00E207DB">
        <w:rPr>
          <w:color w:val="000000"/>
          <w:szCs w:val="22"/>
        </w:rPr>
        <w:t xml:space="preserve">  </w:t>
      </w:r>
      <w:r w:rsidR="00E207DB" w:rsidRPr="00B526DE">
        <w:rPr>
          <w:color w:val="000000"/>
          <w:szCs w:val="24"/>
        </w:rPr>
        <w:t xml:space="preserve">DSNP failed to provide </w:t>
      </w:r>
      <w:r w:rsidR="00E207DB">
        <w:rPr>
          <w:color w:val="000000"/>
          <w:szCs w:val="24"/>
        </w:rPr>
        <w:t xml:space="preserve">reliable </w:t>
      </w:r>
      <w:r w:rsidR="00E207DB" w:rsidRPr="004078D9">
        <w:rPr>
          <w:color w:val="000000"/>
          <w:szCs w:val="22"/>
        </w:rPr>
        <w:t xml:space="preserve">evidence </w:t>
      </w:r>
      <w:r w:rsidR="00E207DB">
        <w:rPr>
          <w:color w:val="000000"/>
          <w:szCs w:val="22"/>
        </w:rPr>
        <w:t xml:space="preserve">that its proposed rates most closely approximate fair market value despite inverting </w:t>
      </w:r>
      <w:r w:rsidR="00E207DB" w:rsidRPr="004078D9">
        <w:rPr>
          <w:color w:val="000000"/>
          <w:szCs w:val="22"/>
        </w:rPr>
        <w:t>th</w:t>
      </w:r>
      <w:r w:rsidR="00E207DB">
        <w:rPr>
          <w:color w:val="000000"/>
          <w:szCs w:val="22"/>
        </w:rPr>
        <w:t>e</w:t>
      </w:r>
      <w:r w:rsidR="00E207DB" w:rsidRPr="004078D9">
        <w:rPr>
          <w:color w:val="000000"/>
          <w:szCs w:val="22"/>
        </w:rPr>
        <w:t xml:space="preserve"> ranking of MVPDs according to their value.</w:t>
      </w:r>
      <w:r w:rsidR="00E207DB" w:rsidRPr="00F7424A">
        <w:rPr>
          <w:rStyle w:val="FootnoteReference"/>
          <w:color w:val="000000"/>
        </w:rPr>
        <w:footnoteReference w:id="64"/>
      </w:r>
    </w:p>
    <w:p w:rsidR="0085694D" w:rsidRDefault="00CE0F41" w:rsidP="00D56DC5">
      <w:pPr>
        <w:pStyle w:val="ParaNum"/>
      </w:pPr>
      <w:r>
        <w:t>DSNP claims that the Media Bureau engaged in a “Price Is Right” analysis</w:t>
      </w:r>
      <w:r w:rsidR="00B73B30">
        <w:t xml:space="preserve"> with respect to the proposed rates in the final offers</w:t>
      </w:r>
      <w:r w:rsidR="00D5593C">
        <w:t>.</w:t>
      </w:r>
      <w:r>
        <w:rPr>
          <w:rStyle w:val="FootnoteReference"/>
        </w:rPr>
        <w:footnoteReference w:id="65"/>
      </w:r>
      <w:r w:rsidR="00D5593C">
        <w:t xml:space="preserve">  Under DSNP’s theory, the Media Bureau calculated a fair market value for FSNP and proceeded to reject DSNP’s rates because they exceeded this value without considering the extent to which Armstrong’s rates </w:t>
      </w:r>
      <w:r w:rsidR="000B12E4">
        <w:t>fell</w:t>
      </w:r>
      <w:r w:rsidR="00D5593C">
        <w:t xml:space="preserve"> below this value.</w:t>
      </w:r>
      <w:r w:rsidR="00D5593C">
        <w:rPr>
          <w:rStyle w:val="FootnoteReference"/>
        </w:rPr>
        <w:footnoteReference w:id="66"/>
      </w:r>
      <w:r w:rsidR="008B5158">
        <w:t xml:space="preserve">  We reject this claim.  </w:t>
      </w:r>
      <w:r w:rsidR="00B73B30">
        <w:rPr>
          <w:szCs w:val="22"/>
        </w:rPr>
        <w:t xml:space="preserve">  </w:t>
      </w:r>
      <w:r w:rsidR="00B73B30">
        <w:t>As discussed in further detail below, the Media Bureau specifically addressed DSNP’s claims that Armstrong’s proposed rates were too low and found insufficient record evidence</w:t>
      </w:r>
      <w:r w:rsidR="00BC146A">
        <w:rPr>
          <w:szCs w:val="22"/>
        </w:rPr>
        <w:t xml:space="preserve"> to conclude that Armstrong’s proposed rates provide Armstrong with </w:t>
      </w:r>
      <w:r w:rsidR="00BC146A" w:rsidRPr="00040CA4">
        <w:rPr>
          <w:szCs w:val="22"/>
        </w:rPr>
        <w:t>too high</w:t>
      </w:r>
      <w:r w:rsidR="00BC146A">
        <w:rPr>
          <w:szCs w:val="22"/>
        </w:rPr>
        <w:t xml:space="preserve"> a discount relative to the smaller </w:t>
      </w:r>
      <w:r w:rsidR="004D2C1F">
        <w:rPr>
          <w:szCs w:val="22"/>
        </w:rPr>
        <w:t xml:space="preserve">and less valuable </w:t>
      </w:r>
      <w:r w:rsidR="00BC146A">
        <w:rPr>
          <w:szCs w:val="22"/>
        </w:rPr>
        <w:t xml:space="preserve">Cohort Affiliates or </w:t>
      </w:r>
      <w:r w:rsidR="00BC146A" w:rsidRPr="00905990">
        <w:rPr>
          <w:szCs w:val="22"/>
        </w:rPr>
        <w:t xml:space="preserve">that </w:t>
      </w:r>
      <w:r w:rsidR="00BC146A" w:rsidRPr="00430BEA">
        <w:rPr>
          <w:b/>
        </w:rPr>
        <w:t>[</w:t>
      </w:r>
      <w:r w:rsidR="00665D59">
        <w:rPr>
          <w:b/>
        </w:rPr>
        <w:t>REDACTED</w:t>
      </w:r>
      <w:r w:rsidR="00BC146A">
        <w:rPr>
          <w:b/>
        </w:rPr>
        <w:t>]</w:t>
      </w:r>
      <w:r w:rsidR="000B12E4">
        <w:rPr>
          <w:szCs w:val="22"/>
        </w:rPr>
        <w:t>.</w:t>
      </w:r>
      <w:r w:rsidR="000B12E4">
        <w:rPr>
          <w:rStyle w:val="FootnoteReference"/>
          <w:szCs w:val="22"/>
        </w:rPr>
        <w:footnoteReference w:id="67"/>
      </w:r>
    </w:p>
    <w:p w:rsidR="00C26BC9" w:rsidRDefault="00180616" w:rsidP="00D56DC5">
      <w:pPr>
        <w:pStyle w:val="ParaNum"/>
      </w:pPr>
      <w:r>
        <w:t xml:space="preserve">DSNP notes the </w:t>
      </w:r>
      <w:r w:rsidR="0085694D">
        <w:t>Media Bureau</w:t>
      </w:r>
      <w:r>
        <w:t>’s holding that “</w:t>
      </w:r>
      <w:r w:rsidR="0036559F">
        <w:t>‘</w:t>
      </w:r>
      <w:r>
        <w:t>there may be circumstances in individual cases where fair market value would dictate that an MVPD with a greater number of subscribers and revenue generated than another MVPD should pay a higher rate,</w:t>
      </w:r>
      <w:r w:rsidR="0036559F">
        <w:t xml:space="preserve">’” </w:t>
      </w:r>
      <w:r>
        <w:t>but</w:t>
      </w:r>
      <w:r w:rsidR="0036559F">
        <w:t xml:space="preserve"> “‘</w:t>
      </w:r>
      <w:r>
        <w:t>DSNP has alleged no facts here that would justify such treatment of Armstrong.</w:t>
      </w:r>
      <w:r w:rsidR="0036559F">
        <w:t>’</w:t>
      </w:r>
      <w:r>
        <w:t>”</w:t>
      </w:r>
      <w:r>
        <w:rPr>
          <w:rStyle w:val="FootnoteReference"/>
        </w:rPr>
        <w:footnoteReference w:id="68"/>
      </w:r>
      <w:r w:rsidR="00607828">
        <w:t xml:space="preserve">  DSNP</w:t>
      </w:r>
      <w:r w:rsidR="008C7497">
        <w:t xml:space="preserve"> claims that it </w:t>
      </w:r>
      <w:r w:rsidR="002F6737">
        <w:t xml:space="preserve">provided </w:t>
      </w:r>
      <w:r w:rsidR="008C7497">
        <w:t>such facts</w:t>
      </w:r>
      <w:r w:rsidR="008F5746">
        <w:t xml:space="preserve">, arguing that the </w:t>
      </w:r>
      <w:r w:rsidR="00D1019B">
        <w:t xml:space="preserve">Media Bureau ignored evidence that </w:t>
      </w:r>
      <w:r w:rsidR="006D3622">
        <w:t xml:space="preserve">the </w:t>
      </w:r>
      <w:r w:rsidR="008C7497">
        <w:t>rights fees for professional sports are increasing at a rate o</w:t>
      </w:r>
      <w:r w:rsidR="00D1019B">
        <w:t xml:space="preserve">f </w:t>
      </w:r>
      <w:r w:rsidR="002F6737" w:rsidRPr="00430BEA">
        <w:rPr>
          <w:b/>
        </w:rPr>
        <w:t>[</w:t>
      </w:r>
      <w:r w:rsidR="00665D59">
        <w:rPr>
          <w:b/>
        </w:rPr>
        <w:t>REDACTED</w:t>
      </w:r>
      <w:r w:rsidR="002F6737" w:rsidRPr="00430BEA">
        <w:rPr>
          <w:b/>
        </w:rPr>
        <w:t>]</w:t>
      </w:r>
      <w:r w:rsidR="008F5746">
        <w:t xml:space="preserve"> and that </w:t>
      </w:r>
      <w:r w:rsidR="001240E6">
        <w:t>the staggered terms of affiliation agreements means that the rates in recently renewed agreements (</w:t>
      </w:r>
      <w:r w:rsidR="00D06151">
        <w:t xml:space="preserve">in the case of </w:t>
      </w:r>
      <w:r w:rsidR="001240E6">
        <w:t>Armstrong) may be higher than the rates in older agreements (</w:t>
      </w:r>
      <w:r w:rsidR="00D06151">
        <w:t xml:space="preserve">in the case of the </w:t>
      </w:r>
      <w:r w:rsidR="001240E6">
        <w:t xml:space="preserve">smaller </w:t>
      </w:r>
      <w:r w:rsidR="004D2C1F">
        <w:t xml:space="preserve">and less valuable </w:t>
      </w:r>
      <w:r w:rsidR="001240E6">
        <w:t xml:space="preserve">Cohort Affiliates) in order to reflect these </w:t>
      </w:r>
      <w:r w:rsidR="00447CD4">
        <w:t xml:space="preserve">rising </w:t>
      </w:r>
      <w:r w:rsidR="001240E6">
        <w:t>costs.</w:t>
      </w:r>
      <w:r w:rsidR="008C7497">
        <w:rPr>
          <w:rStyle w:val="FootnoteReference"/>
        </w:rPr>
        <w:footnoteReference w:id="69"/>
      </w:r>
      <w:r w:rsidR="008C7497">
        <w:t xml:space="preserve">  </w:t>
      </w:r>
      <w:r w:rsidR="00607828">
        <w:t xml:space="preserve">As the Media Bureau explained, however, </w:t>
      </w:r>
      <w:r w:rsidR="008C7497">
        <w:t xml:space="preserve">an RSN’s costs under the </w:t>
      </w:r>
      <w:r w:rsidR="008C7497" w:rsidRPr="00694CC2">
        <w:rPr>
          <w:i/>
        </w:rPr>
        <w:t>Liberty Media Order</w:t>
      </w:r>
      <w:r w:rsidR="008C7497">
        <w:t xml:space="preserve"> conditions are relevant insofar as the conditions provide that an arbitrator may not select a final offer that does not permit the RSN “‘to recover a reasonable share of the costs of acquiring the programming at issue.’”</w:t>
      </w:r>
      <w:r w:rsidR="008C7497">
        <w:rPr>
          <w:rStyle w:val="FootnoteReference"/>
        </w:rPr>
        <w:footnoteReference w:id="70"/>
      </w:r>
      <w:r w:rsidR="008C7497">
        <w:t xml:space="preserve">  </w:t>
      </w:r>
      <w:r w:rsidR="00E81B4D">
        <w:t xml:space="preserve">As the Media Bureau found, there is </w:t>
      </w:r>
      <w:r w:rsidR="008C7497">
        <w:t>no basis to conclude that the rates</w:t>
      </w:r>
      <w:r w:rsidR="002F6737">
        <w:t xml:space="preserve"> in either </w:t>
      </w:r>
      <w:r w:rsidR="008C7497">
        <w:t xml:space="preserve">final offer would </w:t>
      </w:r>
      <w:r w:rsidR="002F6737">
        <w:t xml:space="preserve">prevent </w:t>
      </w:r>
      <w:r w:rsidR="008C7497">
        <w:t xml:space="preserve">DSNP </w:t>
      </w:r>
      <w:r w:rsidR="002F6737">
        <w:t>from</w:t>
      </w:r>
      <w:r w:rsidR="008C7497">
        <w:t xml:space="preserve"> recover</w:t>
      </w:r>
      <w:r w:rsidR="002F6737">
        <w:t>ing</w:t>
      </w:r>
      <w:r w:rsidR="008C7497">
        <w:t xml:space="preserve"> a reasonable share of these costs.</w:t>
      </w:r>
      <w:r w:rsidR="008F5746">
        <w:rPr>
          <w:rStyle w:val="FootnoteReference"/>
        </w:rPr>
        <w:footnoteReference w:id="71"/>
      </w:r>
      <w:r w:rsidR="008C7497">
        <w:t xml:space="preserve">  DSNP does </w:t>
      </w:r>
      <w:r w:rsidR="008F5746">
        <w:t xml:space="preserve">not challenge this finding.  Moreover, </w:t>
      </w:r>
      <w:r w:rsidR="007F3945">
        <w:t xml:space="preserve">DSNP offers no evidence </w:t>
      </w:r>
      <w:r w:rsidR="00E05EB0">
        <w:t>demonstrating how th</w:t>
      </w:r>
      <w:r w:rsidR="00EB576F">
        <w:t>is</w:t>
      </w:r>
      <w:r w:rsidR="008F5746">
        <w:t xml:space="preserve"> increase in professional rights fees </w:t>
      </w:r>
      <w:r w:rsidR="002F6737">
        <w:t xml:space="preserve">and the staggered terms of </w:t>
      </w:r>
      <w:r w:rsidR="00870368">
        <w:t xml:space="preserve">the applicable </w:t>
      </w:r>
      <w:r w:rsidR="002F6737">
        <w:t xml:space="preserve">affiliation agreements </w:t>
      </w:r>
      <w:r w:rsidR="00447CD4">
        <w:t xml:space="preserve">would </w:t>
      </w:r>
      <w:r w:rsidR="00E05EB0">
        <w:t>justif</w:t>
      </w:r>
      <w:r w:rsidR="00E420A4">
        <w:t>y</w:t>
      </w:r>
      <w:r w:rsidR="00E81B4D">
        <w:t>,</w:t>
      </w:r>
      <w:r w:rsidR="008F5746">
        <w:t xml:space="preserve"> </w:t>
      </w:r>
      <w:r w:rsidR="00E81B4D">
        <w:t xml:space="preserve">as proposed under DSNP’s final offer, an </w:t>
      </w:r>
      <w:r w:rsidR="00B73B30">
        <w:rPr>
          <w:color w:val="000000"/>
          <w:szCs w:val="22"/>
        </w:rPr>
        <w:t>inversion</w:t>
      </w:r>
      <w:r w:rsidR="00B73B30" w:rsidRPr="00F7424A">
        <w:rPr>
          <w:color w:val="000000"/>
        </w:rPr>
        <w:t xml:space="preserve"> of the </w:t>
      </w:r>
      <w:r w:rsidR="00B73B30" w:rsidRPr="004078D9">
        <w:rPr>
          <w:color w:val="000000"/>
          <w:szCs w:val="22"/>
        </w:rPr>
        <w:t>ranking</w:t>
      </w:r>
      <w:r w:rsidR="00B73B30" w:rsidRPr="00F7424A">
        <w:rPr>
          <w:color w:val="000000"/>
        </w:rPr>
        <w:t xml:space="preserve"> of MVPDs </w:t>
      </w:r>
      <w:r w:rsidR="00B73B30" w:rsidRPr="004078D9">
        <w:rPr>
          <w:color w:val="000000"/>
          <w:szCs w:val="22"/>
        </w:rPr>
        <w:t>according to their value</w:t>
      </w:r>
      <w:r w:rsidR="00F76A26">
        <w:rPr>
          <w:color w:val="000000"/>
          <w:szCs w:val="22"/>
        </w:rPr>
        <w:t xml:space="preserve"> to </w:t>
      </w:r>
      <w:r w:rsidR="00F53645">
        <w:rPr>
          <w:color w:val="000000"/>
          <w:szCs w:val="22"/>
        </w:rPr>
        <w:t>DSNP</w:t>
      </w:r>
      <w:r w:rsidR="00EB576F">
        <w:rPr>
          <w:color w:val="000000"/>
          <w:szCs w:val="22"/>
        </w:rPr>
        <w:t xml:space="preserve">, whereby </w:t>
      </w:r>
      <w:r w:rsidR="00EB576F">
        <w:rPr>
          <w:szCs w:val="22"/>
        </w:rPr>
        <w:t>Armstrong would pay similar or higher rates than MVPDs t</w:t>
      </w:r>
      <w:r w:rsidR="00F53645">
        <w:rPr>
          <w:szCs w:val="22"/>
        </w:rPr>
        <w:t xml:space="preserve">hat generate </w:t>
      </w:r>
      <w:r w:rsidR="00E420A4" w:rsidRPr="00430BEA">
        <w:rPr>
          <w:b/>
        </w:rPr>
        <w:t>[</w:t>
      </w:r>
      <w:r w:rsidR="00665D59">
        <w:rPr>
          <w:b/>
        </w:rPr>
        <w:t>REDACTED</w:t>
      </w:r>
      <w:r w:rsidR="00E420A4" w:rsidRPr="00430BEA">
        <w:rPr>
          <w:b/>
        </w:rPr>
        <w:t>]</w:t>
      </w:r>
      <w:r w:rsidR="00F53645">
        <w:rPr>
          <w:szCs w:val="22"/>
        </w:rPr>
        <w:t xml:space="preserve"> less revenue for DSNP than Armstrong</w:t>
      </w:r>
      <w:r w:rsidR="008F5746">
        <w:t>.</w:t>
      </w:r>
      <w:r w:rsidR="00F53645">
        <w:rPr>
          <w:rStyle w:val="FootnoteReference"/>
        </w:rPr>
        <w:footnoteReference w:id="72"/>
      </w:r>
      <w:r w:rsidR="008F5746">
        <w:t xml:space="preserve">  </w:t>
      </w:r>
    </w:p>
    <w:p w:rsidR="004945BB" w:rsidRDefault="00941D44" w:rsidP="00D06151">
      <w:pPr>
        <w:pStyle w:val="ParaNum"/>
      </w:pPr>
      <w:r w:rsidRPr="007637D1">
        <w:t xml:space="preserve">DSNP </w:t>
      </w:r>
      <w:r w:rsidR="003119F8">
        <w:t xml:space="preserve">argues </w:t>
      </w:r>
      <w:r w:rsidR="008177B3">
        <w:t xml:space="preserve">that </w:t>
      </w:r>
      <w:r w:rsidR="008177B3">
        <w:rPr>
          <w:szCs w:val="22"/>
        </w:rPr>
        <w:t xml:space="preserve">Armstrong’s proposed rates provide Armstrong with </w:t>
      </w:r>
      <w:r w:rsidR="008177B3" w:rsidRPr="00040CA4">
        <w:rPr>
          <w:szCs w:val="22"/>
        </w:rPr>
        <w:t>too high</w:t>
      </w:r>
      <w:r w:rsidR="008177B3">
        <w:rPr>
          <w:szCs w:val="22"/>
        </w:rPr>
        <w:t xml:space="preserve"> a discount relative to the other Cohort Affiliates.</w:t>
      </w:r>
      <w:r w:rsidR="003119F8">
        <w:rPr>
          <w:rStyle w:val="FootnoteReference"/>
          <w:szCs w:val="22"/>
        </w:rPr>
        <w:footnoteReference w:id="73"/>
      </w:r>
      <w:r w:rsidR="008177B3">
        <w:rPr>
          <w:szCs w:val="22"/>
        </w:rPr>
        <w:t xml:space="preserve">  </w:t>
      </w:r>
      <w:r w:rsidR="008F7252">
        <w:t>The Media Bureau</w:t>
      </w:r>
      <w:r w:rsidR="002F6737">
        <w:t>, however,</w:t>
      </w:r>
      <w:r w:rsidR="008F7252">
        <w:t xml:space="preserve"> squarely addressed and appropriately rejected th</w:t>
      </w:r>
      <w:r w:rsidR="003119F8">
        <w:t xml:space="preserve">is </w:t>
      </w:r>
      <w:r w:rsidR="008F7252">
        <w:t>claim</w:t>
      </w:r>
      <w:r w:rsidRPr="007637D1">
        <w:t>.</w:t>
      </w:r>
      <w:r w:rsidR="003119F8">
        <w:rPr>
          <w:rStyle w:val="FootnoteReference"/>
          <w:szCs w:val="22"/>
        </w:rPr>
        <w:footnoteReference w:id="74"/>
      </w:r>
      <w:r w:rsidR="003119F8">
        <w:t xml:space="preserve">  </w:t>
      </w:r>
      <w:r w:rsidR="00B73B30">
        <w:t xml:space="preserve">As initial matter, we note that the record evidence establishes that </w:t>
      </w:r>
      <w:r w:rsidR="00B73B30">
        <w:rPr>
          <w:szCs w:val="22"/>
        </w:rPr>
        <w:t xml:space="preserve">Armstrong is </w:t>
      </w:r>
      <w:r w:rsidR="00F76A26">
        <w:rPr>
          <w:szCs w:val="22"/>
        </w:rPr>
        <w:t xml:space="preserve">by far </w:t>
      </w:r>
      <w:r w:rsidR="00B73B30" w:rsidRPr="00430BEA">
        <w:rPr>
          <w:b/>
        </w:rPr>
        <w:t>[</w:t>
      </w:r>
      <w:r w:rsidR="00A67B52">
        <w:rPr>
          <w:b/>
        </w:rPr>
        <w:t>REDACTED</w:t>
      </w:r>
      <w:r w:rsidR="00B73B30" w:rsidRPr="00430BEA">
        <w:rPr>
          <w:b/>
        </w:rPr>
        <w:t>]</w:t>
      </w:r>
      <w:r w:rsidR="00B73B30">
        <w:rPr>
          <w:b/>
        </w:rPr>
        <w:t xml:space="preserve"> </w:t>
      </w:r>
      <w:r w:rsidR="00B73B30">
        <w:rPr>
          <w:szCs w:val="22"/>
        </w:rPr>
        <w:t xml:space="preserve">in terms of revenues generated for DSNP among the Cohort Affiliates, </w:t>
      </w:r>
      <w:r w:rsidR="00B73B30" w:rsidRPr="00430BEA">
        <w:rPr>
          <w:b/>
        </w:rPr>
        <w:t>[</w:t>
      </w:r>
      <w:r w:rsidR="00665D59">
        <w:rPr>
          <w:b/>
        </w:rPr>
        <w:t>REDACTED</w:t>
      </w:r>
      <w:r w:rsidR="00B73B30" w:rsidRPr="00430BEA">
        <w:rPr>
          <w:b/>
        </w:rPr>
        <w:t>]</w:t>
      </w:r>
      <w:r w:rsidR="00B73B30">
        <w:rPr>
          <w:szCs w:val="22"/>
        </w:rPr>
        <w:t>.</w:t>
      </w:r>
      <w:r w:rsidR="00B73B30">
        <w:rPr>
          <w:rStyle w:val="FootnoteReference"/>
          <w:szCs w:val="22"/>
        </w:rPr>
        <w:footnoteReference w:id="75"/>
      </w:r>
      <w:r w:rsidR="00E02E47">
        <w:rPr>
          <w:szCs w:val="22"/>
        </w:rPr>
        <w:t xml:space="preserve">  </w:t>
      </w:r>
      <w:r w:rsidR="009D19E2">
        <w:t>DSNP contends, however, that the Media Bureau rejected</w:t>
      </w:r>
      <w:r w:rsidR="00B73B30">
        <w:t>,</w:t>
      </w:r>
      <w:r w:rsidR="009D19E2">
        <w:t xml:space="preserve"> without explanation</w:t>
      </w:r>
      <w:r w:rsidR="00B73B30">
        <w:t xml:space="preserve">, the </w:t>
      </w:r>
      <w:r w:rsidR="009D19E2">
        <w:t>testimony from DSNP’s experts opining that Armstrong’s contribution to DSNP’s subscriber base and revenues did not justify a substantial volume discount relative to the other Cohort Affiliates.</w:t>
      </w:r>
      <w:r w:rsidR="009D19E2">
        <w:rPr>
          <w:rStyle w:val="FootnoteReference"/>
        </w:rPr>
        <w:footnoteReference w:id="76"/>
      </w:r>
      <w:r w:rsidR="002D2DF4">
        <w:t xml:space="preserve">  </w:t>
      </w:r>
      <w:r w:rsidR="00D06151">
        <w:t xml:space="preserve">This testimony, however, cannot overcome </w:t>
      </w:r>
      <w:r w:rsidR="009053A7">
        <w:t>DSNP</w:t>
      </w:r>
      <w:r w:rsidR="00D06151">
        <w:t xml:space="preserve">’s failure to present </w:t>
      </w:r>
      <w:r w:rsidR="002D2DF4">
        <w:t xml:space="preserve">data, </w:t>
      </w:r>
      <w:r w:rsidR="009053A7">
        <w:t>standards</w:t>
      </w:r>
      <w:r w:rsidR="002D2DF4">
        <w:t>,</w:t>
      </w:r>
      <w:r w:rsidR="009053A7">
        <w:t xml:space="preserve"> or benchmarks </w:t>
      </w:r>
      <w:r w:rsidR="002D2DF4">
        <w:t xml:space="preserve">to support its </w:t>
      </w:r>
      <w:r w:rsidR="006D2F39">
        <w:t xml:space="preserve">position </w:t>
      </w:r>
      <w:r w:rsidR="009053A7">
        <w:t xml:space="preserve">that </w:t>
      </w:r>
      <w:r w:rsidR="001638B3">
        <w:t xml:space="preserve">there should be little or no </w:t>
      </w:r>
      <w:r w:rsidR="002D2DF4">
        <w:t>variation in rates among the Cohort Affiliates</w:t>
      </w:r>
      <w:r w:rsidR="00D06151">
        <w:t>.</w:t>
      </w:r>
      <w:r w:rsidR="00D06151">
        <w:rPr>
          <w:rStyle w:val="FootnoteReference"/>
        </w:rPr>
        <w:footnoteReference w:id="77"/>
      </w:r>
      <w:r w:rsidR="00D06151">
        <w:t xml:space="preserve">  Such data were critical given that DSNP’s position </w:t>
      </w:r>
      <w:r w:rsidR="00467629">
        <w:t xml:space="preserve">is inconsistent with the </w:t>
      </w:r>
      <w:r w:rsidR="00E02E47">
        <w:t xml:space="preserve">record </w:t>
      </w:r>
      <w:r w:rsidR="00467629">
        <w:t xml:space="preserve">evidence of </w:t>
      </w:r>
      <w:r w:rsidR="006D2F39">
        <w:t>marketplace negotiations for RSN</w:t>
      </w:r>
      <w:r w:rsidR="00467629">
        <w:t xml:space="preserve"> programming, which establishes that </w:t>
      </w:r>
      <w:r w:rsidR="006D2F39">
        <w:t xml:space="preserve">larger </w:t>
      </w:r>
      <w:r w:rsidR="00AF2C0B">
        <w:t xml:space="preserve">and more valuable </w:t>
      </w:r>
      <w:r w:rsidR="006D2F39">
        <w:t>MVPDs will receive better rates.</w:t>
      </w:r>
      <w:r w:rsidR="001638B3">
        <w:t xml:space="preserve">  </w:t>
      </w:r>
      <w:r w:rsidR="002D2DF4">
        <w:t xml:space="preserve">Unlike DSNP, Armstrong presented an analysis </w:t>
      </w:r>
      <w:r w:rsidR="002D2DF4" w:rsidRPr="00D06151">
        <w:rPr>
          <w:szCs w:val="22"/>
        </w:rPr>
        <w:t xml:space="preserve">demonstrating that Armstrong has not historically paid the same or higher rates than all other Cohort Affiliates that have fewer subscribers and generate </w:t>
      </w:r>
      <w:r w:rsidR="00563507">
        <w:rPr>
          <w:szCs w:val="22"/>
        </w:rPr>
        <w:t xml:space="preserve">substantially </w:t>
      </w:r>
      <w:r w:rsidR="002D2DF4" w:rsidRPr="00D06151">
        <w:rPr>
          <w:szCs w:val="22"/>
        </w:rPr>
        <w:t>less revenue than Armstrong.</w:t>
      </w:r>
      <w:r w:rsidR="001638B3">
        <w:rPr>
          <w:rStyle w:val="FootnoteReference"/>
          <w:szCs w:val="22"/>
        </w:rPr>
        <w:footnoteReference w:id="78"/>
      </w:r>
    </w:p>
    <w:p w:rsidR="00A5719C" w:rsidRDefault="00447CD4" w:rsidP="00A5443B">
      <w:pPr>
        <w:pStyle w:val="ParaNum"/>
        <w:rPr>
          <w:szCs w:val="22"/>
        </w:rPr>
      </w:pPr>
      <w:r>
        <w:t xml:space="preserve">DSNP </w:t>
      </w:r>
      <w:r w:rsidR="00AD70CF">
        <w:t xml:space="preserve">argues that </w:t>
      </w:r>
      <w:r w:rsidR="00AD70CF">
        <w:rPr>
          <w:szCs w:val="22"/>
        </w:rPr>
        <w:t xml:space="preserve">Armstrong’s proposed rates “restructure the market” by </w:t>
      </w:r>
      <w:r w:rsidR="00F96873" w:rsidRPr="001638B3">
        <w:rPr>
          <w:b/>
          <w:szCs w:val="22"/>
        </w:rPr>
        <w:t>[</w:t>
      </w:r>
      <w:r w:rsidR="00665D59">
        <w:rPr>
          <w:b/>
        </w:rPr>
        <w:t>REDACTED</w:t>
      </w:r>
      <w:r w:rsidR="00E82146">
        <w:rPr>
          <w:b/>
          <w:szCs w:val="22"/>
        </w:rPr>
        <w:t>]</w:t>
      </w:r>
      <w:r w:rsidR="00AD70CF">
        <w:rPr>
          <w:szCs w:val="22"/>
        </w:rPr>
        <w:t>.</w:t>
      </w:r>
      <w:r w:rsidR="00AD70CF">
        <w:rPr>
          <w:rStyle w:val="FootnoteReference"/>
          <w:szCs w:val="22"/>
        </w:rPr>
        <w:footnoteReference w:id="79"/>
      </w:r>
      <w:r w:rsidR="00AD70CF">
        <w:t xml:space="preserve">  </w:t>
      </w:r>
      <w:r w:rsidR="001D7447">
        <w:t xml:space="preserve">As with DSNP’s previous claim, however, </w:t>
      </w:r>
      <w:r w:rsidR="00AD70CF">
        <w:t xml:space="preserve">the Media Bureau squarely addressed and appropriately rejected this </w:t>
      </w:r>
      <w:r w:rsidR="001D7447">
        <w:t>argument</w:t>
      </w:r>
      <w:r w:rsidR="00AD70CF" w:rsidRPr="007637D1">
        <w:t>.</w:t>
      </w:r>
      <w:r w:rsidR="00AD70CF">
        <w:rPr>
          <w:rStyle w:val="FootnoteReference"/>
          <w:szCs w:val="22"/>
        </w:rPr>
        <w:footnoteReference w:id="80"/>
      </w:r>
      <w:r w:rsidR="00E82146">
        <w:t xml:space="preserve">  DSNP attempts to characterize the rate differential between </w:t>
      </w:r>
      <w:r w:rsidR="00F96873">
        <w:t>Armstrong</w:t>
      </w:r>
      <w:r w:rsidR="00E82146">
        <w:t xml:space="preserve"> and DSNP as providing Armstrong with </w:t>
      </w:r>
      <w:r w:rsidR="00F96873" w:rsidRPr="001638B3">
        <w:rPr>
          <w:b/>
          <w:szCs w:val="22"/>
        </w:rPr>
        <w:t>[</w:t>
      </w:r>
      <w:r w:rsidR="00A41C2F">
        <w:rPr>
          <w:b/>
        </w:rPr>
        <w:t>REDACTED</w:t>
      </w:r>
      <w:r w:rsidR="00F96873" w:rsidRPr="001638B3">
        <w:rPr>
          <w:b/>
          <w:szCs w:val="22"/>
        </w:rPr>
        <w:t>]</w:t>
      </w:r>
      <w:r w:rsidR="00E82146">
        <w:t>.</w:t>
      </w:r>
      <w:r w:rsidR="00F96873">
        <w:rPr>
          <w:rStyle w:val="FootnoteReference"/>
        </w:rPr>
        <w:footnoteReference w:id="81"/>
      </w:r>
      <w:r w:rsidR="00D93BDB">
        <w:t xml:space="preserve">  </w:t>
      </w:r>
      <w:r w:rsidR="00F8668B">
        <w:t xml:space="preserve">In </w:t>
      </w:r>
      <w:r w:rsidR="00D93BDB">
        <w:t>t</w:t>
      </w:r>
      <w:r w:rsidR="00E82146">
        <w:t xml:space="preserve">he </w:t>
      </w:r>
      <w:r w:rsidR="00E82146" w:rsidRPr="00F96873">
        <w:rPr>
          <w:i/>
        </w:rPr>
        <w:t>Order on Review</w:t>
      </w:r>
      <w:r w:rsidR="00F8668B">
        <w:t>, the Media Bureau</w:t>
      </w:r>
      <w:r w:rsidR="00E82146">
        <w:t xml:space="preserve"> </w:t>
      </w:r>
      <w:r w:rsidR="00D93BDB">
        <w:t>explained</w:t>
      </w:r>
      <w:r w:rsidR="00E82146">
        <w:t xml:space="preserve"> that </w:t>
      </w:r>
      <w:r w:rsidR="004768BE">
        <w:t xml:space="preserve">the </w:t>
      </w:r>
      <w:r w:rsidR="00F96873">
        <w:t>Armstrong</w:t>
      </w:r>
      <w:r w:rsidR="00E82146">
        <w:t xml:space="preserve"> </w:t>
      </w:r>
      <w:r w:rsidR="004768BE">
        <w:t xml:space="preserve">final offer in fact </w:t>
      </w:r>
      <w:r w:rsidR="005303FD">
        <w:t xml:space="preserve">does </w:t>
      </w:r>
      <w:r w:rsidR="004768BE">
        <w:t xml:space="preserve">provide Armstrong with </w:t>
      </w:r>
      <w:r w:rsidR="00F96873" w:rsidRPr="001638B3">
        <w:rPr>
          <w:b/>
          <w:szCs w:val="22"/>
        </w:rPr>
        <w:t>[</w:t>
      </w:r>
      <w:r w:rsidR="00A41C2F">
        <w:rPr>
          <w:b/>
        </w:rPr>
        <w:t>REDACTED</w:t>
      </w:r>
      <w:r w:rsidR="001F7D67" w:rsidRPr="00AF480E">
        <w:rPr>
          <w:b/>
          <w:szCs w:val="22"/>
        </w:rPr>
        <w:t>]</w:t>
      </w:r>
      <w:r w:rsidR="00A41C2F" w:rsidRPr="00E041E4">
        <w:rPr>
          <w:szCs w:val="22"/>
        </w:rPr>
        <w:t>.</w:t>
      </w:r>
      <w:r w:rsidR="001F7D67">
        <w:rPr>
          <w:rStyle w:val="FootnoteReference"/>
          <w:szCs w:val="22"/>
        </w:rPr>
        <w:footnoteReference w:id="82"/>
      </w:r>
      <w:r w:rsidR="00AF480E" w:rsidRPr="00AF480E">
        <w:rPr>
          <w:szCs w:val="22"/>
        </w:rPr>
        <w:t xml:space="preserve">  </w:t>
      </w:r>
      <w:r w:rsidR="005A3D31">
        <w:rPr>
          <w:szCs w:val="22"/>
        </w:rPr>
        <w:t xml:space="preserve">Despite this </w:t>
      </w:r>
      <w:r w:rsidR="00336E64">
        <w:rPr>
          <w:szCs w:val="22"/>
        </w:rPr>
        <w:t xml:space="preserve">rate </w:t>
      </w:r>
      <w:r w:rsidR="005A3D31">
        <w:rPr>
          <w:szCs w:val="22"/>
        </w:rPr>
        <w:t>variation</w:t>
      </w:r>
      <w:r w:rsidR="00336E64">
        <w:rPr>
          <w:szCs w:val="22"/>
        </w:rPr>
        <w:t xml:space="preserve"> in </w:t>
      </w:r>
      <w:r w:rsidR="00336E64" w:rsidRPr="001638B3">
        <w:rPr>
          <w:b/>
          <w:szCs w:val="22"/>
        </w:rPr>
        <w:t>[</w:t>
      </w:r>
      <w:r w:rsidR="00A41C2F">
        <w:rPr>
          <w:b/>
        </w:rPr>
        <w:t>REDACTED</w:t>
      </w:r>
      <w:r w:rsidR="00336E64" w:rsidRPr="001638B3">
        <w:rPr>
          <w:b/>
          <w:szCs w:val="22"/>
        </w:rPr>
        <w:t>]</w:t>
      </w:r>
      <w:r w:rsidR="005A3D31">
        <w:rPr>
          <w:szCs w:val="22"/>
        </w:rPr>
        <w:t>, however, t</w:t>
      </w:r>
      <w:r w:rsidR="00AF480E" w:rsidRPr="00AF480E">
        <w:rPr>
          <w:szCs w:val="22"/>
        </w:rPr>
        <w:t xml:space="preserve">he Media Bureau </w:t>
      </w:r>
      <w:r w:rsidR="0037223D">
        <w:rPr>
          <w:szCs w:val="22"/>
        </w:rPr>
        <w:t>properly found</w:t>
      </w:r>
      <w:r w:rsidR="005A3D31">
        <w:rPr>
          <w:szCs w:val="22"/>
        </w:rPr>
        <w:t xml:space="preserve"> that </w:t>
      </w:r>
      <w:r w:rsidR="00AF480E">
        <w:rPr>
          <w:szCs w:val="22"/>
        </w:rPr>
        <w:t xml:space="preserve">the rates in the Armstrong final offer provide </w:t>
      </w:r>
      <w:r w:rsidR="00AF480E" w:rsidRPr="00AF480E">
        <w:rPr>
          <w:szCs w:val="22"/>
        </w:rPr>
        <w:t>Comcast with a</w:t>
      </w:r>
      <w:r w:rsidR="00AF480E">
        <w:rPr>
          <w:szCs w:val="22"/>
        </w:rPr>
        <w:t>n overall</w:t>
      </w:r>
      <w:r w:rsidR="00AF480E" w:rsidRPr="00AF480E">
        <w:rPr>
          <w:szCs w:val="22"/>
        </w:rPr>
        <w:t xml:space="preserve"> discount relative to Armstrong</w:t>
      </w:r>
      <w:r w:rsidR="009304D9">
        <w:rPr>
          <w:szCs w:val="22"/>
        </w:rPr>
        <w:t xml:space="preserve">, as </w:t>
      </w:r>
      <w:r w:rsidR="009304D9" w:rsidRPr="00AF480E">
        <w:rPr>
          <w:szCs w:val="22"/>
        </w:rPr>
        <w:t>DSNP concedes</w:t>
      </w:r>
      <w:r w:rsidR="001D33FE">
        <w:rPr>
          <w:szCs w:val="22"/>
        </w:rPr>
        <w:t>.</w:t>
      </w:r>
      <w:r w:rsidR="009304D9">
        <w:rPr>
          <w:rStyle w:val="FootnoteReference"/>
          <w:szCs w:val="22"/>
        </w:rPr>
        <w:footnoteReference w:id="83"/>
      </w:r>
      <w:r w:rsidR="001D33FE">
        <w:rPr>
          <w:szCs w:val="22"/>
        </w:rPr>
        <w:t xml:space="preserve">  </w:t>
      </w:r>
      <w:r w:rsidR="00AF480E" w:rsidRPr="00D93BDB">
        <w:rPr>
          <w:szCs w:val="22"/>
        </w:rPr>
        <w:t>W</w:t>
      </w:r>
      <w:r w:rsidR="00E82146" w:rsidRPr="00D93BDB">
        <w:rPr>
          <w:szCs w:val="22"/>
        </w:rPr>
        <w:t xml:space="preserve">hile DSNP contends </w:t>
      </w:r>
      <w:r w:rsidR="00237495" w:rsidRPr="001638B3">
        <w:rPr>
          <w:b/>
          <w:szCs w:val="22"/>
        </w:rPr>
        <w:t>[</w:t>
      </w:r>
      <w:r w:rsidR="00A41C2F">
        <w:rPr>
          <w:b/>
        </w:rPr>
        <w:t>REDACTED</w:t>
      </w:r>
      <w:r w:rsidR="00237495" w:rsidRPr="001638B3">
        <w:rPr>
          <w:b/>
          <w:szCs w:val="22"/>
        </w:rPr>
        <w:t>]</w:t>
      </w:r>
      <w:r w:rsidR="00E82146" w:rsidRPr="00D93BDB">
        <w:rPr>
          <w:szCs w:val="22"/>
        </w:rPr>
        <w:t>,</w:t>
      </w:r>
      <w:r w:rsidR="006C7FB6">
        <w:rPr>
          <w:rStyle w:val="FootnoteReference"/>
          <w:szCs w:val="22"/>
        </w:rPr>
        <w:footnoteReference w:id="84"/>
      </w:r>
      <w:r w:rsidR="00E82146" w:rsidRPr="00D93BDB">
        <w:rPr>
          <w:szCs w:val="22"/>
        </w:rPr>
        <w:t xml:space="preserve"> the Media Bureau properl</w:t>
      </w:r>
      <w:r w:rsidR="00AF480E" w:rsidRPr="00D93BDB">
        <w:rPr>
          <w:szCs w:val="22"/>
        </w:rPr>
        <w:t>y</w:t>
      </w:r>
      <w:r w:rsidR="00E82146" w:rsidRPr="00D93BDB">
        <w:rPr>
          <w:szCs w:val="22"/>
        </w:rPr>
        <w:t xml:space="preserve"> held that there was </w:t>
      </w:r>
      <w:r w:rsidR="006C7FB6">
        <w:rPr>
          <w:szCs w:val="22"/>
        </w:rPr>
        <w:t>not s</w:t>
      </w:r>
      <w:r w:rsidR="00E82146" w:rsidRPr="00D93BDB">
        <w:rPr>
          <w:szCs w:val="22"/>
        </w:rPr>
        <w:t xml:space="preserve">ufficient information in the record to </w:t>
      </w:r>
      <w:r w:rsidR="00AF480E" w:rsidRPr="00D93BDB">
        <w:rPr>
          <w:szCs w:val="22"/>
        </w:rPr>
        <w:t xml:space="preserve">quantify </w:t>
      </w:r>
      <w:r w:rsidR="00E82146" w:rsidRPr="00D93BDB">
        <w:rPr>
          <w:szCs w:val="22"/>
        </w:rPr>
        <w:t>the appropriate amount for this discount</w:t>
      </w:r>
      <w:r w:rsidR="000B039A" w:rsidRPr="00D93BDB">
        <w:rPr>
          <w:szCs w:val="22"/>
        </w:rPr>
        <w:t>.</w:t>
      </w:r>
      <w:r w:rsidR="00AF480E" w:rsidRPr="00D93BDB">
        <w:rPr>
          <w:rStyle w:val="FootnoteReference"/>
          <w:szCs w:val="22"/>
        </w:rPr>
        <w:footnoteReference w:id="85"/>
      </w:r>
      <w:r w:rsidR="00D93BDB" w:rsidRPr="00D93BDB">
        <w:rPr>
          <w:szCs w:val="22"/>
        </w:rPr>
        <w:t xml:space="preserve">  </w:t>
      </w:r>
      <w:r w:rsidR="005303FD">
        <w:rPr>
          <w:szCs w:val="22"/>
        </w:rPr>
        <w:t xml:space="preserve">Moreover, while the Armstrong final offer may have contained rate variations in </w:t>
      </w:r>
      <w:r w:rsidR="00237495" w:rsidRPr="001638B3">
        <w:rPr>
          <w:b/>
          <w:szCs w:val="22"/>
        </w:rPr>
        <w:t>[</w:t>
      </w:r>
      <w:r w:rsidR="00A41C2F">
        <w:rPr>
          <w:b/>
        </w:rPr>
        <w:t>REDACTED</w:t>
      </w:r>
      <w:r w:rsidR="00237495" w:rsidRPr="001638B3">
        <w:rPr>
          <w:b/>
          <w:szCs w:val="22"/>
        </w:rPr>
        <w:t>]</w:t>
      </w:r>
      <w:r w:rsidR="005303FD">
        <w:rPr>
          <w:szCs w:val="22"/>
        </w:rPr>
        <w:t xml:space="preserve">, there was sufficient </w:t>
      </w:r>
      <w:r w:rsidR="00EA6D17">
        <w:rPr>
          <w:szCs w:val="22"/>
        </w:rPr>
        <w:t xml:space="preserve">benchmark </w:t>
      </w:r>
      <w:r w:rsidR="005303FD">
        <w:rPr>
          <w:szCs w:val="22"/>
        </w:rPr>
        <w:t xml:space="preserve">evidence </w:t>
      </w:r>
      <w:r w:rsidR="00EA6D17">
        <w:rPr>
          <w:szCs w:val="22"/>
        </w:rPr>
        <w:t>submitted by Armstrong</w:t>
      </w:r>
      <w:r w:rsidR="005303FD">
        <w:rPr>
          <w:szCs w:val="22"/>
        </w:rPr>
        <w:t xml:space="preserve"> for the </w:t>
      </w:r>
      <w:r w:rsidR="00EA6D17">
        <w:rPr>
          <w:szCs w:val="22"/>
        </w:rPr>
        <w:t xml:space="preserve">Media Bureau to find that, </w:t>
      </w:r>
      <w:r w:rsidR="005303FD">
        <w:rPr>
          <w:szCs w:val="22"/>
        </w:rPr>
        <w:t>on balance, the Armstrong</w:t>
      </w:r>
      <w:r w:rsidR="00EA6D17">
        <w:rPr>
          <w:szCs w:val="22"/>
        </w:rPr>
        <w:t xml:space="preserve"> final offer </w:t>
      </w:r>
      <w:r w:rsidR="008615D2">
        <w:rPr>
          <w:szCs w:val="22"/>
        </w:rPr>
        <w:t xml:space="preserve">most closely approximates </w:t>
      </w:r>
      <w:r w:rsidR="00EA6D17">
        <w:rPr>
          <w:szCs w:val="22"/>
        </w:rPr>
        <w:t>fair market value.</w:t>
      </w:r>
      <w:r w:rsidR="005303FD">
        <w:rPr>
          <w:szCs w:val="22"/>
        </w:rPr>
        <w:t xml:space="preserve"> </w:t>
      </w:r>
    </w:p>
    <w:p w:rsidR="00813BDC" w:rsidRDefault="008374BE" w:rsidP="00A5443B">
      <w:pPr>
        <w:pStyle w:val="ParaNum"/>
        <w:rPr>
          <w:szCs w:val="22"/>
        </w:rPr>
      </w:pPr>
      <w:r>
        <w:rPr>
          <w:szCs w:val="22"/>
        </w:rPr>
        <w:t xml:space="preserve">DSNP </w:t>
      </w:r>
      <w:r w:rsidR="00166092">
        <w:rPr>
          <w:szCs w:val="22"/>
        </w:rPr>
        <w:t>takes issue with the Media Bureau’s conclusion that</w:t>
      </w:r>
      <w:r w:rsidR="00B74D32">
        <w:rPr>
          <w:szCs w:val="22"/>
        </w:rPr>
        <w:t xml:space="preserve">, even if there was evidence establishing that </w:t>
      </w:r>
      <w:r w:rsidR="0037223D" w:rsidRPr="001638B3">
        <w:rPr>
          <w:b/>
          <w:szCs w:val="22"/>
        </w:rPr>
        <w:t>[</w:t>
      </w:r>
      <w:r w:rsidR="00A41C2F">
        <w:rPr>
          <w:b/>
        </w:rPr>
        <w:t>REDACTED</w:t>
      </w:r>
      <w:r w:rsidR="0037223D" w:rsidRPr="001638B3">
        <w:rPr>
          <w:b/>
          <w:szCs w:val="22"/>
        </w:rPr>
        <w:t>]</w:t>
      </w:r>
      <w:r w:rsidR="00A41C2F">
        <w:rPr>
          <w:szCs w:val="22"/>
        </w:rPr>
        <w:t>,</w:t>
      </w:r>
      <w:r w:rsidR="0037223D">
        <w:rPr>
          <w:b/>
          <w:szCs w:val="22"/>
        </w:rPr>
        <w:t xml:space="preserve"> </w:t>
      </w:r>
      <w:r w:rsidR="00166092">
        <w:rPr>
          <w:szCs w:val="22"/>
        </w:rPr>
        <w:t xml:space="preserve">it could </w:t>
      </w:r>
      <w:r w:rsidR="00D93BDB" w:rsidRPr="00D93BDB">
        <w:rPr>
          <w:szCs w:val="22"/>
        </w:rPr>
        <w:t>not rely dispositively on the rates Comcast pays for FSNP because there was no firm evidence in the record establishing what impact the simultaneous negotiations between Comcast (as a programmer) and DIRECTV (a distributor) had on the rates negotiated between Comcast (as a distributor) and DSNP</w:t>
      </w:r>
      <w:r w:rsidR="00A5719C">
        <w:rPr>
          <w:szCs w:val="22"/>
        </w:rPr>
        <w:t>.</w:t>
      </w:r>
      <w:r w:rsidR="00B74D32">
        <w:rPr>
          <w:rStyle w:val="FootnoteReference"/>
          <w:szCs w:val="22"/>
        </w:rPr>
        <w:footnoteReference w:id="86"/>
      </w:r>
      <w:r w:rsidR="00B74D32">
        <w:rPr>
          <w:szCs w:val="22"/>
        </w:rPr>
        <w:t xml:space="preserve">  </w:t>
      </w:r>
      <w:r w:rsidR="00A5719C">
        <w:rPr>
          <w:szCs w:val="22"/>
        </w:rPr>
        <w:t xml:space="preserve">  </w:t>
      </w:r>
      <w:r w:rsidR="00142BD4">
        <w:rPr>
          <w:szCs w:val="22"/>
        </w:rPr>
        <w:t xml:space="preserve">As the </w:t>
      </w:r>
      <w:r w:rsidR="00A5719C">
        <w:rPr>
          <w:szCs w:val="22"/>
        </w:rPr>
        <w:t>Media Bureau</w:t>
      </w:r>
      <w:r w:rsidR="00142BD4">
        <w:rPr>
          <w:szCs w:val="22"/>
        </w:rPr>
        <w:t xml:space="preserve"> properly held</w:t>
      </w:r>
      <w:r w:rsidR="00813BDC">
        <w:rPr>
          <w:szCs w:val="22"/>
        </w:rPr>
        <w:t>:</w:t>
      </w:r>
    </w:p>
    <w:p w:rsidR="00813BDC" w:rsidRDefault="00E649AA" w:rsidP="00813BDC">
      <w:pPr>
        <w:pStyle w:val="ParaNum"/>
        <w:numPr>
          <w:ilvl w:val="0"/>
          <w:numId w:val="0"/>
        </w:numPr>
        <w:ind w:left="720" w:right="720"/>
        <w:jc w:val="both"/>
        <w:rPr>
          <w:szCs w:val="22"/>
        </w:rPr>
      </w:pPr>
      <w:r w:rsidRPr="00905990">
        <w:rPr>
          <w:szCs w:val="22"/>
        </w:rPr>
        <w:t xml:space="preserve">To the extent that a vertically integrated RSN (in this case, DSNP) puts forth its affiliation agreement with a vertically </w:t>
      </w:r>
      <w:r>
        <w:rPr>
          <w:szCs w:val="22"/>
        </w:rPr>
        <w:t xml:space="preserve">integrated </w:t>
      </w:r>
      <w:r w:rsidRPr="00905990">
        <w:rPr>
          <w:szCs w:val="22"/>
        </w:rPr>
        <w:t xml:space="preserve">MVPD (in this case, Comcast) as a comparable affiliation agreement for purposes of a fair market value analysis, we would expect the vertically integrated RSN to produce credible evidence that other </w:t>
      </w:r>
      <w:r>
        <w:rPr>
          <w:szCs w:val="22"/>
        </w:rPr>
        <w:t xml:space="preserve">simultaneous </w:t>
      </w:r>
      <w:r w:rsidRPr="00905990">
        <w:rPr>
          <w:szCs w:val="22"/>
        </w:rPr>
        <w:t>programming negotiations between the parties did not impact the rates in the agreement put forth as comparable.</w:t>
      </w:r>
      <w:r w:rsidR="00813BDC">
        <w:rPr>
          <w:rStyle w:val="FootnoteReference"/>
          <w:szCs w:val="22"/>
        </w:rPr>
        <w:footnoteReference w:id="87"/>
      </w:r>
      <w:r>
        <w:rPr>
          <w:szCs w:val="22"/>
        </w:rPr>
        <w:t xml:space="preserve">  </w:t>
      </w:r>
    </w:p>
    <w:p w:rsidR="00AD70CF" w:rsidRPr="00D93BDB" w:rsidRDefault="00813BDC" w:rsidP="00813BDC">
      <w:pPr>
        <w:pStyle w:val="ParaNum"/>
        <w:numPr>
          <w:ilvl w:val="0"/>
          <w:numId w:val="0"/>
        </w:numPr>
        <w:rPr>
          <w:szCs w:val="22"/>
        </w:rPr>
      </w:pPr>
      <w:r>
        <w:rPr>
          <w:szCs w:val="22"/>
        </w:rPr>
        <w:t>DSNP claims, however</w:t>
      </w:r>
      <w:r w:rsidR="00645ACE">
        <w:rPr>
          <w:szCs w:val="22"/>
        </w:rPr>
        <w:t>, that it produce</w:t>
      </w:r>
      <w:r w:rsidR="00142BD4">
        <w:rPr>
          <w:szCs w:val="22"/>
        </w:rPr>
        <w:t>d</w:t>
      </w:r>
      <w:r w:rsidR="00645ACE">
        <w:rPr>
          <w:szCs w:val="22"/>
        </w:rPr>
        <w:t xml:space="preserve"> sufficient credible </w:t>
      </w:r>
      <w:r>
        <w:rPr>
          <w:szCs w:val="22"/>
        </w:rPr>
        <w:t>evide</w:t>
      </w:r>
      <w:r w:rsidR="00645ACE">
        <w:rPr>
          <w:szCs w:val="22"/>
        </w:rPr>
        <w:t xml:space="preserve">nce in the form of </w:t>
      </w:r>
      <w:r w:rsidR="00BE229E" w:rsidRPr="001638B3">
        <w:rPr>
          <w:b/>
          <w:szCs w:val="22"/>
        </w:rPr>
        <w:t>[</w:t>
      </w:r>
      <w:r w:rsidR="00A41C2F">
        <w:rPr>
          <w:b/>
        </w:rPr>
        <w:t>REDACTED</w:t>
      </w:r>
      <w:r w:rsidR="00BE229E" w:rsidRPr="001638B3">
        <w:rPr>
          <w:b/>
          <w:szCs w:val="22"/>
        </w:rPr>
        <w:t>]</w:t>
      </w:r>
      <w:r w:rsidR="00BE229E" w:rsidRPr="00BE229E">
        <w:rPr>
          <w:szCs w:val="22"/>
        </w:rPr>
        <w:t>.</w:t>
      </w:r>
      <w:r w:rsidR="004029A2">
        <w:rPr>
          <w:rStyle w:val="FootnoteReference"/>
          <w:szCs w:val="22"/>
        </w:rPr>
        <w:footnoteReference w:id="88"/>
      </w:r>
      <w:r w:rsidR="001D27D0">
        <w:rPr>
          <w:szCs w:val="22"/>
        </w:rPr>
        <w:t xml:space="preserve">  As the Media Bureau correctly noted, however, this </w:t>
      </w:r>
      <w:r w:rsidR="00BE229E" w:rsidRPr="001638B3">
        <w:rPr>
          <w:b/>
          <w:szCs w:val="22"/>
        </w:rPr>
        <w:t>[</w:t>
      </w:r>
      <w:r w:rsidR="00A41C2F">
        <w:rPr>
          <w:b/>
        </w:rPr>
        <w:t>REDACTED</w:t>
      </w:r>
      <w:r w:rsidR="00773A97">
        <w:rPr>
          <w:b/>
          <w:szCs w:val="22"/>
        </w:rPr>
        <w:t>]</w:t>
      </w:r>
      <w:r w:rsidR="00773A97" w:rsidRPr="00773A97">
        <w:rPr>
          <w:szCs w:val="22"/>
        </w:rPr>
        <w:t>.</w:t>
      </w:r>
      <w:r w:rsidR="00773A97">
        <w:rPr>
          <w:rStyle w:val="FootnoteReference"/>
          <w:szCs w:val="22"/>
        </w:rPr>
        <w:footnoteReference w:id="89"/>
      </w:r>
      <w:r w:rsidR="00656457" w:rsidRPr="00773A97">
        <w:rPr>
          <w:szCs w:val="22"/>
        </w:rPr>
        <w:t xml:space="preserve"> </w:t>
      </w:r>
      <w:r w:rsidR="00656457">
        <w:rPr>
          <w:szCs w:val="22"/>
        </w:rPr>
        <w:t xml:space="preserve"> While DSNP notes that Armstrong</w:t>
      </w:r>
      <w:r w:rsidR="00142BD4">
        <w:rPr>
          <w:szCs w:val="22"/>
        </w:rPr>
        <w:t>’s counsel</w:t>
      </w:r>
      <w:r w:rsidR="00656457">
        <w:rPr>
          <w:szCs w:val="22"/>
        </w:rPr>
        <w:t xml:space="preserve"> cross-examined </w:t>
      </w:r>
      <w:r w:rsidR="008C463A" w:rsidRPr="001638B3">
        <w:rPr>
          <w:b/>
          <w:szCs w:val="22"/>
        </w:rPr>
        <w:t>[</w:t>
      </w:r>
      <w:r w:rsidR="00A41C2F">
        <w:rPr>
          <w:b/>
        </w:rPr>
        <w:t>REDACTED</w:t>
      </w:r>
      <w:r w:rsidR="008C463A" w:rsidRPr="001638B3">
        <w:rPr>
          <w:b/>
          <w:szCs w:val="22"/>
        </w:rPr>
        <w:t>]</w:t>
      </w:r>
      <w:r w:rsidR="008C463A">
        <w:rPr>
          <w:b/>
          <w:szCs w:val="22"/>
        </w:rPr>
        <w:t xml:space="preserve"> </w:t>
      </w:r>
      <w:r w:rsidR="00656457">
        <w:rPr>
          <w:szCs w:val="22"/>
        </w:rPr>
        <w:t xml:space="preserve">and could have asked questions about </w:t>
      </w:r>
      <w:r w:rsidR="004840B1" w:rsidRPr="001638B3">
        <w:rPr>
          <w:b/>
          <w:szCs w:val="22"/>
        </w:rPr>
        <w:t>[</w:t>
      </w:r>
      <w:r w:rsidR="00A41C2F">
        <w:rPr>
          <w:b/>
        </w:rPr>
        <w:t>REDACTED</w:t>
      </w:r>
      <w:r w:rsidR="004840B1" w:rsidRPr="001638B3">
        <w:rPr>
          <w:b/>
          <w:szCs w:val="22"/>
        </w:rPr>
        <w:t>]</w:t>
      </w:r>
      <w:r w:rsidR="00656457">
        <w:rPr>
          <w:szCs w:val="22"/>
        </w:rPr>
        <w:t>,</w:t>
      </w:r>
      <w:r w:rsidR="00656457">
        <w:rPr>
          <w:rStyle w:val="FootnoteReference"/>
          <w:szCs w:val="22"/>
        </w:rPr>
        <w:footnoteReference w:id="90"/>
      </w:r>
      <w:r w:rsidR="00BE229E">
        <w:rPr>
          <w:szCs w:val="22"/>
        </w:rPr>
        <w:t xml:space="preserve"> DSNP, not Armstrong, was t</w:t>
      </w:r>
      <w:r w:rsidR="00656457">
        <w:rPr>
          <w:szCs w:val="22"/>
        </w:rPr>
        <w:t>he proponent of the Com</w:t>
      </w:r>
      <w:r w:rsidR="00BE229E">
        <w:rPr>
          <w:szCs w:val="22"/>
        </w:rPr>
        <w:t>ca</w:t>
      </w:r>
      <w:r w:rsidR="00656457">
        <w:rPr>
          <w:szCs w:val="22"/>
        </w:rPr>
        <w:t>st</w:t>
      </w:r>
      <w:r w:rsidR="00142BD4">
        <w:rPr>
          <w:szCs w:val="22"/>
        </w:rPr>
        <w:t>/DSNP</w:t>
      </w:r>
      <w:r w:rsidR="00656457">
        <w:rPr>
          <w:szCs w:val="22"/>
        </w:rPr>
        <w:t xml:space="preserve"> ag</w:t>
      </w:r>
      <w:r w:rsidR="00BE229E">
        <w:rPr>
          <w:szCs w:val="22"/>
        </w:rPr>
        <w:t xml:space="preserve">reement as a </w:t>
      </w:r>
      <w:r w:rsidR="00656457" w:rsidRPr="00905990">
        <w:rPr>
          <w:szCs w:val="22"/>
        </w:rPr>
        <w:t xml:space="preserve">comparable affiliation </w:t>
      </w:r>
      <w:r w:rsidR="00142BD4">
        <w:rPr>
          <w:szCs w:val="22"/>
        </w:rPr>
        <w:t xml:space="preserve">agreement </w:t>
      </w:r>
      <w:r w:rsidR="00BE229E">
        <w:rPr>
          <w:szCs w:val="22"/>
        </w:rPr>
        <w:t>for purposes of the fair market value analysis.</w:t>
      </w:r>
      <w:r w:rsidR="00773A97">
        <w:rPr>
          <w:rStyle w:val="FootnoteReference"/>
          <w:szCs w:val="22"/>
        </w:rPr>
        <w:footnoteReference w:id="91"/>
      </w:r>
      <w:r w:rsidR="00BE229E">
        <w:rPr>
          <w:szCs w:val="22"/>
        </w:rPr>
        <w:t xml:space="preserve">  Accordingly, DSNP</w:t>
      </w:r>
      <w:r w:rsidR="00656457">
        <w:rPr>
          <w:szCs w:val="22"/>
        </w:rPr>
        <w:t xml:space="preserve"> had the burden to establish that the </w:t>
      </w:r>
      <w:r w:rsidR="00BE229E">
        <w:rPr>
          <w:szCs w:val="22"/>
        </w:rPr>
        <w:t>Comcast</w:t>
      </w:r>
      <w:r w:rsidR="00142BD4">
        <w:rPr>
          <w:szCs w:val="22"/>
        </w:rPr>
        <w:t>/DSNP</w:t>
      </w:r>
      <w:r w:rsidR="00BE229E">
        <w:rPr>
          <w:szCs w:val="22"/>
        </w:rPr>
        <w:t xml:space="preserve"> </w:t>
      </w:r>
      <w:r w:rsidR="00656457">
        <w:rPr>
          <w:szCs w:val="22"/>
        </w:rPr>
        <w:t>agreement was comparable</w:t>
      </w:r>
      <w:r w:rsidR="004029A2">
        <w:rPr>
          <w:szCs w:val="22"/>
        </w:rPr>
        <w:t>,</w:t>
      </w:r>
      <w:r w:rsidR="00BE229E" w:rsidRPr="00BE229E">
        <w:rPr>
          <w:szCs w:val="22"/>
        </w:rPr>
        <w:t xml:space="preserve"> </w:t>
      </w:r>
      <w:r w:rsidR="00BE229E">
        <w:rPr>
          <w:szCs w:val="22"/>
        </w:rPr>
        <w:t>which</w:t>
      </w:r>
      <w:r w:rsidR="004029A2">
        <w:rPr>
          <w:szCs w:val="22"/>
        </w:rPr>
        <w:t xml:space="preserve"> </w:t>
      </w:r>
      <w:r w:rsidR="00BE229E">
        <w:rPr>
          <w:szCs w:val="22"/>
        </w:rPr>
        <w:t xml:space="preserve">would require </w:t>
      </w:r>
      <w:r w:rsidR="00BE229E" w:rsidRPr="00905990">
        <w:rPr>
          <w:szCs w:val="22"/>
        </w:rPr>
        <w:t xml:space="preserve">credible evidence that other </w:t>
      </w:r>
      <w:r w:rsidR="00BE229E">
        <w:rPr>
          <w:szCs w:val="22"/>
        </w:rPr>
        <w:t xml:space="preserve">simultaneous </w:t>
      </w:r>
      <w:r w:rsidR="00BE229E" w:rsidRPr="00905990">
        <w:rPr>
          <w:szCs w:val="22"/>
        </w:rPr>
        <w:t xml:space="preserve">programming negotiations between the parties did not impact the rates in the </w:t>
      </w:r>
      <w:r w:rsidR="00BE229E">
        <w:rPr>
          <w:szCs w:val="22"/>
        </w:rPr>
        <w:t>Comcast</w:t>
      </w:r>
      <w:r w:rsidR="00142BD4">
        <w:rPr>
          <w:szCs w:val="22"/>
        </w:rPr>
        <w:t>/DSNP</w:t>
      </w:r>
      <w:r w:rsidR="00BE229E">
        <w:rPr>
          <w:szCs w:val="22"/>
        </w:rPr>
        <w:t xml:space="preserve"> </w:t>
      </w:r>
      <w:r w:rsidR="00BE229E" w:rsidRPr="00905990">
        <w:rPr>
          <w:szCs w:val="22"/>
        </w:rPr>
        <w:t>agreement</w:t>
      </w:r>
      <w:r w:rsidR="00656457">
        <w:rPr>
          <w:szCs w:val="22"/>
        </w:rPr>
        <w:t>.</w:t>
      </w:r>
      <w:r w:rsidR="00773A97">
        <w:rPr>
          <w:rStyle w:val="FootnoteReference"/>
          <w:szCs w:val="22"/>
        </w:rPr>
        <w:footnoteReference w:id="92"/>
      </w:r>
      <w:r w:rsidR="00AA05D0">
        <w:rPr>
          <w:szCs w:val="22"/>
        </w:rPr>
        <w:t xml:space="preserve">  </w:t>
      </w:r>
      <w:r w:rsidR="00656457">
        <w:rPr>
          <w:szCs w:val="22"/>
        </w:rPr>
        <w:t xml:space="preserve">Moreover, as the Media </w:t>
      </w:r>
      <w:r w:rsidR="00BE229E">
        <w:rPr>
          <w:szCs w:val="22"/>
        </w:rPr>
        <w:t>Bureau</w:t>
      </w:r>
      <w:r w:rsidR="00656457">
        <w:rPr>
          <w:szCs w:val="22"/>
        </w:rPr>
        <w:t xml:space="preserve"> </w:t>
      </w:r>
      <w:r w:rsidR="003068D3">
        <w:rPr>
          <w:szCs w:val="22"/>
        </w:rPr>
        <w:t>explained</w:t>
      </w:r>
      <w:r w:rsidR="00656457">
        <w:rPr>
          <w:szCs w:val="22"/>
        </w:rPr>
        <w:t>, even if Armstrong ha</w:t>
      </w:r>
      <w:r w:rsidR="00BE229E">
        <w:rPr>
          <w:szCs w:val="22"/>
        </w:rPr>
        <w:t>d</w:t>
      </w:r>
      <w:r w:rsidR="00656457">
        <w:rPr>
          <w:szCs w:val="22"/>
        </w:rPr>
        <w:t xml:space="preserve"> cross-exam</w:t>
      </w:r>
      <w:r w:rsidR="00BE229E">
        <w:rPr>
          <w:szCs w:val="22"/>
        </w:rPr>
        <w:t xml:space="preserve">ined </w:t>
      </w:r>
      <w:r w:rsidR="00BE229E" w:rsidRPr="001638B3">
        <w:rPr>
          <w:b/>
          <w:szCs w:val="22"/>
        </w:rPr>
        <w:t>[</w:t>
      </w:r>
      <w:r w:rsidR="00A41C2F">
        <w:rPr>
          <w:b/>
        </w:rPr>
        <w:t>REDACTED</w:t>
      </w:r>
      <w:r w:rsidR="00BE229E" w:rsidRPr="001638B3">
        <w:rPr>
          <w:b/>
          <w:szCs w:val="22"/>
        </w:rPr>
        <w:t>]</w:t>
      </w:r>
      <w:r w:rsidR="00656457">
        <w:rPr>
          <w:szCs w:val="22"/>
        </w:rPr>
        <w:t xml:space="preserve">, </w:t>
      </w:r>
      <w:r w:rsidR="00142BD4">
        <w:rPr>
          <w:szCs w:val="22"/>
        </w:rPr>
        <w:t>this</w:t>
      </w:r>
      <w:r w:rsidR="00656457">
        <w:rPr>
          <w:szCs w:val="22"/>
        </w:rPr>
        <w:t xml:space="preserve"> </w:t>
      </w:r>
      <w:r w:rsidR="00E649AA">
        <w:rPr>
          <w:szCs w:val="22"/>
        </w:rPr>
        <w:t>wou</w:t>
      </w:r>
      <w:r w:rsidR="00BE229E">
        <w:rPr>
          <w:szCs w:val="22"/>
        </w:rPr>
        <w:t>ld</w:t>
      </w:r>
      <w:r w:rsidR="00E649AA">
        <w:rPr>
          <w:szCs w:val="22"/>
        </w:rPr>
        <w:t xml:space="preserve"> not </w:t>
      </w:r>
      <w:r w:rsidR="00AA05D0">
        <w:rPr>
          <w:szCs w:val="22"/>
        </w:rPr>
        <w:t xml:space="preserve">have </w:t>
      </w:r>
      <w:r w:rsidR="00E649AA">
        <w:rPr>
          <w:szCs w:val="22"/>
        </w:rPr>
        <w:t>reveal</w:t>
      </w:r>
      <w:r w:rsidR="00AA05D0">
        <w:rPr>
          <w:szCs w:val="22"/>
        </w:rPr>
        <w:t>ed</w:t>
      </w:r>
      <w:r w:rsidR="00E649AA">
        <w:rPr>
          <w:szCs w:val="22"/>
        </w:rPr>
        <w:t xml:space="preserve"> w</w:t>
      </w:r>
      <w:r w:rsidR="00656457">
        <w:rPr>
          <w:szCs w:val="22"/>
        </w:rPr>
        <w:t xml:space="preserve">hat </w:t>
      </w:r>
      <w:r w:rsidR="00BE229E" w:rsidRPr="00905990">
        <w:rPr>
          <w:szCs w:val="22"/>
        </w:rPr>
        <w:t>DIRECTV</w:t>
      </w:r>
      <w:r w:rsidR="00BE229E">
        <w:rPr>
          <w:szCs w:val="22"/>
        </w:rPr>
        <w:t>’s representatives discuss</w:t>
      </w:r>
      <w:r w:rsidR="00AA05D0">
        <w:rPr>
          <w:szCs w:val="22"/>
        </w:rPr>
        <w:t>ed</w:t>
      </w:r>
      <w:r w:rsidR="00BE229E">
        <w:rPr>
          <w:szCs w:val="22"/>
        </w:rPr>
        <w:t xml:space="preserve"> with Comcast </w:t>
      </w:r>
      <w:r w:rsidR="005F7B9C">
        <w:rPr>
          <w:szCs w:val="22"/>
        </w:rPr>
        <w:t>regarding the interrelatedness of the deals.</w:t>
      </w:r>
      <w:r w:rsidR="00773A97">
        <w:rPr>
          <w:rStyle w:val="FootnoteReference"/>
          <w:szCs w:val="22"/>
        </w:rPr>
        <w:footnoteReference w:id="93"/>
      </w:r>
      <w:r w:rsidR="005F7B9C">
        <w:rPr>
          <w:szCs w:val="22"/>
        </w:rPr>
        <w:t xml:space="preserve">  </w:t>
      </w:r>
      <w:r w:rsidR="00DC07C9">
        <w:rPr>
          <w:szCs w:val="22"/>
        </w:rPr>
        <w:t xml:space="preserve">Despite the fact </w:t>
      </w:r>
      <w:r w:rsidR="00AA05D0">
        <w:rPr>
          <w:szCs w:val="22"/>
        </w:rPr>
        <w:t>t</w:t>
      </w:r>
      <w:r w:rsidR="00DC07C9">
        <w:rPr>
          <w:szCs w:val="22"/>
        </w:rPr>
        <w:t>hat DIRE</w:t>
      </w:r>
      <w:r w:rsidR="00AA05D0">
        <w:rPr>
          <w:szCs w:val="22"/>
        </w:rPr>
        <w:t xml:space="preserve">CTV is </w:t>
      </w:r>
      <w:r w:rsidR="00DC07C9">
        <w:rPr>
          <w:szCs w:val="22"/>
        </w:rPr>
        <w:t>the parent compan</w:t>
      </w:r>
      <w:r w:rsidR="00AA05D0">
        <w:rPr>
          <w:szCs w:val="22"/>
        </w:rPr>
        <w:t>y</w:t>
      </w:r>
      <w:r w:rsidR="00DC07C9">
        <w:rPr>
          <w:szCs w:val="22"/>
        </w:rPr>
        <w:t xml:space="preserve"> of</w:t>
      </w:r>
      <w:r w:rsidR="00AA05D0">
        <w:rPr>
          <w:szCs w:val="22"/>
        </w:rPr>
        <w:t xml:space="preserve"> </w:t>
      </w:r>
      <w:r w:rsidR="00645ACE">
        <w:rPr>
          <w:szCs w:val="22"/>
        </w:rPr>
        <w:t>DSNP</w:t>
      </w:r>
      <w:r w:rsidR="00DC07C9">
        <w:rPr>
          <w:szCs w:val="22"/>
        </w:rPr>
        <w:t xml:space="preserve">, </w:t>
      </w:r>
      <w:r w:rsidR="00AA05D0">
        <w:rPr>
          <w:szCs w:val="22"/>
        </w:rPr>
        <w:t xml:space="preserve">DSNP </w:t>
      </w:r>
      <w:r w:rsidR="00645ACE">
        <w:rPr>
          <w:szCs w:val="22"/>
        </w:rPr>
        <w:t xml:space="preserve">offered no </w:t>
      </w:r>
      <w:r w:rsidR="00AA05D0">
        <w:rPr>
          <w:szCs w:val="22"/>
        </w:rPr>
        <w:t xml:space="preserve">DIRECTV </w:t>
      </w:r>
      <w:r w:rsidR="00142BD4">
        <w:rPr>
          <w:szCs w:val="22"/>
        </w:rPr>
        <w:t xml:space="preserve">representatives </w:t>
      </w:r>
      <w:r w:rsidR="004029A2">
        <w:rPr>
          <w:szCs w:val="22"/>
        </w:rPr>
        <w:t xml:space="preserve">to </w:t>
      </w:r>
      <w:r w:rsidR="00645ACE">
        <w:rPr>
          <w:szCs w:val="22"/>
        </w:rPr>
        <w:t>testif</w:t>
      </w:r>
      <w:r w:rsidR="00AA05D0">
        <w:rPr>
          <w:szCs w:val="22"/>
        </w:rPr>
        <w:t>y</w:t>
      </w:r>
      <w:r w:rsidR="00645ACE">
        <w:rPr>
          <w:szCs w:val="22"/>
        </w:rPr>
        <w:t xml:space="preserve"> </w:t>
      </w:r>
      <w:r w:rsidR="00106A23">
        <w:rPr>
          <w:szCs w:val="22"/>
        </w:rPr>
        <w:t xml:space="preserve">regarding the impact of the simultaneous </w:t>
      </w:r>
      <w:r w:rsidR="00106A23" w:rsidRPr="00905990">
        <w:rPr>
          <w:szCs w:val="22"/>
        </w:rPr>
        <w:t xml:space="preserve">negotiations between </w:t>
      </w:r>
      <w:r w:rsidR="00106A23">
        <w:rPr>
          <w:szCs w:val="22"/>
        </w:rPr>
        <w:t xml:space="preserve">DIRECTV and Comcast on </w:t>
      </w:r>
      <w:r w:rsidR="005F7B9C" w:rsidRPr="00905990">
        <w:rPr>
          <w:szCs w:val="22"/>
        </w:rPr>
        <w:t xml:space="preserve">the </w:t>
      </w:r>
      <w:r w:rsidR="005F7B9C">
        <w:rPr>
          <w:szCs w:val="22"/>
        </w:rPr>
        <w:t>rates in the Comcast/DSNP agreement</w:t>
      </w:r>
      <w:r w:rsidR="00645ACE">
        <w:rPr>
          <w:szCs w:val="22"/>
        </w:rPr>
        <w:t>.</w:t>
      </w:r>
      <w:r w:rsidR="005F7B9C">
        <w:rPr>
          <w:rStyle w:val="FootnoteReference"/>
          <w:szCs w:val="22"/>
        </w:rPr>
        <w:footnoteReference w:id="94"/>
      </w:r>
      <w:r w:rsidR="00645ACE">
        <w:rPr>
          <w:szCs w:val="22"/>
        </w:rPr>
        <w:t xml:space="preserve">  </w:t>
      </w:r>
      <w:r w:rsidR="00AA05D0">
        <w:rPr>
          <w:szCs w:val="22"/>
        </w:rPr>
        <w:t xml:space="preserve">Accordingly, </w:t>
      </w:r>
      <w:r w:rsidR="00DC07C9">
        <w:rPr>
          <w:szCs w:val="22"/>
        </w:rPr>
        <w:t>we affirm th</w:t>
      </w:r>
      <w:r w:rsidR="00AA05D0">
        <w:rPr>
          <w:szCs w:val="22"/>
        </w:rPr>
        <w:t xml:space="preserve">e Media Bureau’s </w:t>
      </w:r>
      <w:r w:rsidR="00DC07C9">
        <w:rPr>
          <w:szCs w:val="22"/>
        </w:rPr>
        <w:t>finding</w:t>
      </w:r>
      <w:r w:rsidR="00AA05D0">
        <w:rPr>
          <w:szCs w:val="22"/>
        </w:rPr>
        <w:t xml:space="preserve"> that it</w:t>
      </w:r>
      <w:r w:rsidR="00645ACE">
        <w:rPr>
          <w:szCs w:val="22"/>
        </w:rPr>
        <w:t xml:space="preserve"> </w:t>
      </w:r>
      <w:r w:rsidR="00AA05D0">
        <w:rPr>
          <w:szCs w:val="22"/>
        </w:rPr>
        <w:t xml:space="preserve">could </w:t>
      </w:r>
      <w:r w:rsidR="00AA05D0" w:rsidRPr="00D93BDB">
        <w:rPr>
          <w:szCs w:val="22"/>
        </w:rPr>
        <w:t>not rely dispositively on the rates Comcast pays for FSNP</w:t>
      </w:r>
      <w:r w:rsidR="00AA05D0">
        <w:rPr>
          <w:szCs w:val="22"/>
        </w:rPr>
        <w:t xml:space="preserve"> because </w:t>
      </w:r>
      <w:r w:rsidR="005F7B9C">
        <w:rPr>
          <w:szCs w:val="22"/>
        </w:rPr>
        <w:t>DSNP failed to p</w:t>
      </w:r>
      <w:r w:rsidR="005F7B9C" w:rsidRPr="00905990">
        <w:rPr>
          <w:szCs w:val="22"/>
        </w:rPr>
        <w:t xml:space="preserve">roduce credible evidence that other </w:t>
      </w:r>
      <w:r w:rsidR="005F7B9C">
        <w:rPr>
          <w:szCs w:val="22"/>
        </w:rPr>
        <w:t xml:space="preserve">simultaneous </w:t>
      </w:r>
      <w:r w:rsidR="005F7B9C" w:rsidRPr="00905990">
        <w:rPr>
          <w:szCs w:val="22"/>
        </w:rPr>
        <w:t>programming negotiations did not impact the</w:t>
      </w:r>
      <w:r w:rsidR="00773A97">
        <w:rPr>
          <w:szCs w:val="22"/>
        </w:rPr>
        <w:t>se</w:t>
      </w:r>
      <w:r w:rsidR="005F7B9C" w:rsidRPr="00905990">
        <w:rPr>
          <w:szCs w:val="22"/>
        </w:rPr>
        <w:t xml:space="preserve"> rates</w:t>
      </w:r>
      <w:r w:rsidR="005F7B9C">
        <w:rPr>
          <w:szCs w:val="22"/>
        </w:rPr>
        <w:t>.</w:t>
      </w:r>
      <w:r w:rsidR="00E25A97">
        <w:rPr>
          <w:szCs w:val="22"/>
        </w:rPr>
        <w:t xml:space="preserve"> </w:t>
      </w:r>
    </w:p>
    <w:p w:rsidR="0085694D" w:rsidRPr="0085694D" w:rsidRDefault="00065B79" w:rsidP="00941D44">
      <w:pPr>
        <w:pStyle w:val="ParaNum"/>
        <w:rPr>
          <w:szCs w:val="22"/>
        </w:rPr>
      </w:pPr>
      <w:r w:rsidRPr="00F216E2">
        <w:t>DSNP renews it</w:t>
      </w:r>
      <w:r w:rsidR="00096BBF">
        <w:t>s</w:t>
      </w:r>
      <w:r w:rsidRPr="00F216E2">
        <w:t xml:space="preserve"> attacks on Armstrong’s historical benchmark analysis.</w:t>
      </w:r>
      <w:r>
        <w:rPr>
          <w:rStyle w:val="FootnoteReference"/>
        </w:rPr>
        <w:footnoteReference w:id="95"/>
      </w:r>
      <w:r>
        <w:t xml:space="preserve">  </w:t>
      </w:r>
      <w:r w:rsidR="00941D44">
        <w:t>We find that t</w:t>
      </w:r>
      <w:r w:rsidRPr="00F216E2">
        <w:t>he Media Bureau properly held that none of these criticisms called in</w:t>
      </w:r>
      <w:r>
        <w:t>to</w:t>
      </w:r>
      <w:r w:rsidRPr="00F216E2">
        <w:t xml:space="preserve"> question the key </w:t>
      </w:r>
      <w:r w:rsidR="00F121C0">
        <w:t>finding</w:t>
      </w:r>
      <w:r w:rsidRPr="00F216E2">
        <w:t xml:space="preserve"> that Armstrong’s analysis, at the very least, supported the principle of marketplace negotiations for RSN</w:t>
      </w:r>
      <w:r w:rsidR="00F121C0">
        <w:t>s</w:t>
      </w:r>
      <w:r w:rsidRPr="00F216E2">
        <w:t xml:space="preserve"> by demonstrating that Armstrong has not historically paid the same or higher rates than all other Cohort Affiliates that have fewer subscribers and generate</w:t>
      </w:r>
      <w:r w:rsidR="00B7580A">
        <w:t xml:space="preserve"> substantially</w:t>
      </w:r>
      <w:r w:rsidRPr="00F216E2">
        <w:t xml:space="preserve"> less revenue than Armstrong.</w:t>
      </w:r>
      <w:r w:rsidR="00941D44">
        <w:rPr>
          <w:rStyle w:val="FootnoteReference"/>
        </w:rPr>
        <w:footnoteReference w:id="96"/>
      </w:r>
      <w:r w:rsidRPr="00F216E2">
        <w:rPr>
          <w:i/>
        </w:rPr>
        <w:t xml:space="preserve">  </w:t>
      </w:r>
      <w:r w:rsidRPr="00F216E2">
        <w:t xml:space="preserve">DSNP does not dispute this </w:t>
      </w:r>
      <w:r w:rsidR="00F121C0">
        <w:t>finding</w:t>
      </w:r>
      <w:r w:rsidRPr="00F216E2">
        <w:t xml:space="preserve"> nor has it provided any basis to believe that </w:t>
      </w:r>
      <w:r>
        <w:t>its</w:t>
      </w:r>
      <w:r w:rsidRPr="00F216E2">
        <w:t xml:space="preserve"> criticisms </w:t>
      </w:r>
      <w:r>
        <w:t xml:space="preserve">of Armstrong’s analysis would </w:t>
      </w:r>
      <w:r w:rsidR="00E2216E">
        <w:t>subvert</w:t>
      </w:r>
      <w:r>
        <w:t xml:space="preserve"> </w:t>
      </w:r>
      <w:r w:rsidRPr="00F216E2">
        <w:t>th</w:t>
      </w:r>
      <w:r>
        <w:t>is</w:t>
      </w:r>
      <w:r w:rsidRPr="00F216E2">
        <w:t xml:space="preserve"> principle</w:t>
      </w:r>
      <w:r w:rsidR="008615D2">
        <w:t xml:space="preserve"> of marketplace negotiations</w:t>
      </w:r>
      <w:r w:rsidRPr="00F216E2">
        <w:t>.</w:t>
      </w:r>
      <w:r w:rsidR="00941D44">
        <w:t xml:space="preserve">  </w:t>
      </w:r>
    </w:p>
    <w:p w:rsidR="006E5FBE" w:rsidRDefault="00F92F86" w:rsidP="006E5FBE">
      <w:pPr>
        <w:pStyle w:val="ParaNum"/>
        <w:rPr>
          <w:szCs w:val="22"/>
        </w:rPr>
      </w:pPr>
      <w:r>
        <w:rPr>
          <w:szCs w:val="22"/>
        </w:rPr>
        <w:t>DSNP criticize</w:t>
      </w:r>
      <w:r w:rsidR="007B13EF">
        <w:rPr>
          <w:szCs w:val="22"/>
        </w:rPr>
        <w:t>s Armstrong</w:t>
      </w:r>
      <w:r w:rsidR="00D0135D">
        <w:rPr>
          <w:szCs w:val="22"/>
        </w:rPr>
        <w:t xml:space="preserve">’s </w:t>
      </w:r>
      <w:r w:rsidR="007B13EF">
        <w:rPr>
          <w:szCs w:val="22"/>
        </w:rPr>
        <w:t xml:space="preserve">historical benchmark analysis </w:t>
      </w:r>
      <w:r w:rsidR="00D0135D">
        <w:rPr>
          <w:szCs w:val="22"/>
        </w:rPr>
        <w:t xml:space="preserve">because it </w:t>
      </w:r>
      <w:r w:rsidR="007B13EF">
        <w:rPr>
          <w:szCs w:val="22"/>
        </w:rPr>
        <w:t xml:space="preserve">was developed after </w:t>
      </w:r>
      <w:r w:rsidR="00D0135D">
        <w:rPr>
          <w:szCs w:val="22"/>
        </w:rPr>
        <w:t xml:space="preserve">Armstrong </w:t>
      </w:r>
      <w:r w:rsidR="007B13EF">
        <w:rPr>
          <w:szCs w:val="22"/>
        </w:rPr>
        <w:t>submitted its final offer and did not serve as the basis for the rates Armstrong proposed.</w:t>
      </w:r>
      <w:r w:rsidR="00941D44">
        <w:rPr>
          <w:rStyle w:val="FootnoteReference"/>
          <w:szCs w:val="22"/>
        </w:rPr>
        <w:footnoteReference w:id="97"/>
      </w:r>
      <w:r w:rsidR="00D0135D">
        <w:rPr>
          <w:szCs w:val="22"/>
        </w:rPr>
        <w:t xml:space="preserve">  We find no basis for this criticism.  As an initial matter, an MVPD purs</w:t>
      </w:r>
      <w:r w:rsidR="001D5B25">
        <w:rPr>
          <w:szCs w:val="22"/>
        </w:rPr>
        <w:t>u</w:t>
      </w:r>
      <w:r w:rsidR="00D0135D">
        <w:rPr>
          <w:szCs w:val="22"/>
        </w:rPr>
        <w:t>ing arbitration under the</w:t>
      </w:r>
      <w:r w:rsidR="00065B79">
        <w:rPr>
          <w:szCs w:val="22"/>
        </w:rPr>
        <w:t xml:space="preserve"> </w:t>
      </w:r>
      <w:r w:rsidR="00065B79" w:rsidRPr="00065B79">
        <w:rPr>
          <w:i/>
          <w:szCs w:val="22"/>
        </w:rPr>
        <w:t>Liberty Media Order</w:t>
      </w:r>
      <w:r w:rsidR="00065B79">
        <w:rPr>
          <w:szCs w:val="22"/>
        </w:rPr>
        <w:t xml:space="preserve"> </w:t>
      </w:r>
      <w:r w:rsidR="00D0135D">
        <w:rPr>
          <w:szCs w:val="22"/>
        </w:rPr>
        <w:t xml:space="preserve">conditions does not have access to the </w:t>
      </w:r>
      <w:r w:rsidR="00065B79">
        <w:rPr>
          <w:szCs w:val="22"/>
        </w:rPr>
        <w:t xml:space="preserve">RSN’s </w:t>
      </w:r>
      <w:r w:rsidR="00D0135D">
        <w:rPr>
          <w:szCs w:val="22"/>
        </w:rPr>
        <w:t xml:space="preserve">contracts </w:t>
      </w:r>
      <w:r w:rsidR="00065B79">
        <w:rPr>
          <w:szCs w:val="22"/>
        </w:rPr>
        <w:t>w</w:t>
      </w:r>
      <w:r w:rsidR="00D0135D">
        <w:rPr>
          <w:szCs w:val="22"/>
        </w:rPr>
        <w:t xml:space="preserve">ith other MVPDs until after it submits its final offer, thus </w:t>
      </w:r>
      <w:r w:rsidR="00233A73">
        <w:rPr>
          <w:szCs w:val="22"/>
        </w:rPr>
        <w:t xml:space="preserve">preventing it from </w:t>
      </w:r>
      <w:r w:rsidR="00065B79">
        <w:rPr>
          <w:szCs w:val="22"/>
        </w:rPr>
        <w:t>us</w:t>
      </w:r>
      <w:r w:rsidR="00233A73">
        <w:rPr>
          <w:szCs w:val="22"/>
        </w:rPr>
        <w:t xml:space="preserve">ing </w:t>
      </w:r>
      <w:r w:rsidR="00065B79">
        <w:rPr>
          <w:szCs w:val="22"/>
        </w:rPr>
        <w:t xml:space="preserve">the rates in these contracts to devise its </w:t>
      </w:r>
      <w:r w:rsidR="00D0135D">
        <w:rPr>
          <w:szCs w:val="22"/>
        </w:rPr>
        <w:t>proposed rates.</w:t>
      </w:r>
      <w:r w:rsidR="00941D44">
        <w:rPr>
          <w:rStyle w:val="FootnoteReference"/>
          <w:szCs w:val="22"/>
        </w:rPr>
        <w:footnoteReference w:id="98"/>
      </w:r>
      <w:r w:rsidR="00D0135D">
        <w:rPr>
          <w:szCs w:val="22"/>
        </w:rPr>
        <w:t xml:space="preserve">  </w:t>
      </w:r>
      <w:r w:rsidR="00E40EA7">
        <w:rPr>
          <w:szCs w:val="22"/>
        </w:rPr>
        <w:t>T</w:t>
      </w:r>
      <w:r w:rsidR="00D0135D">
        <w:rPr>
          <w:szCs w:val="22"/>
        </w:rPr>
        <w:t xml:space="preserve">he </w:t>
      </w:r>
      <w:r w:rsidR="00D0135D" w:rsidRPr="004D51BF">
        <w:rPr>
          <w:i/>
          <w:szCs w:val="22"/>
        </w:rPr>
        <w:t>Liberty Media Order</w:t>
      </w:r>
      <w:r w:rsidR="00941D44">
        <w:rPr>
          <w:szCs w:val="22"/>
        </w:rPr>
        <w:t xml:space="preserve"> requires the arbitrator (and the Media Bureau on review) to select the final offer that </w:t>
      </w:r>
      <w:r w:rsidR="00941D44">
        <w:t>“most closely approximates the fair market value of the programming carriage rights at issue.”</w:t>
      </w:r>
      <w:r w:rsidR="00941D44">
        <w:rPr>
          <w:rStyle w:val="FootnoteReference"/>
        </w:rPr>
        <w:footnoteReference w:id="99"/>
      </w:r>
      <w:r w:rsidR="00941D44">
        <w:t xml:space="preserve">  </w:t>
      </w:r>
      <w:r w:rsidR="00D0135D">
        <w:rPr>
          <w:szCs w:val="22"/>
        </w:rPr>
        <w:t xml:space="preserve">To be sure, </w:t>
      </w:r>
      <w:r w:rsidR="00E770C8">
        <w:rPr>
          <w:szCs w:val="22"/>
        </w:rPr>
        <w:t xml:space="preserve">based on the facts presented in a particular arbitration, </w:t>
      </w:r>
      <w:r w:rsidR="00D0135D">
        <w:rPr>
          <w:szCs w:val="22"/>
        </w:rPr>
        <w:t>the methodology used to devise the</w:t>
      </w:r>
      <w:r w:rsidR="0033001B">
        <w:rPr>
          <w:szCs w:val="22"/>
        </w:rPr>
        <w:t xml:space="preserve"> proposed</w:t>
      </w:r>
      <w:r w:rsidR="00D0135D">
        <w:rPr>
          <w:szCs w:val="22"/>
        </w:rPr>
        <w:t xml:space="preserve"> rates may be useful in assessing whether the rates approximate </w:t>
      </w:r>
      <w:r w:rsidR="00065B79">
        <w:rPr>
          <w:szCs w:val="22"/>
        </w:rPr>
        <w:t xml:space="preserve">fair market value.  </w:t>
      </w:r>
      <w:r w:rsidR="008615D2">
        <w:rPr>
          <w:szCs w:val="22"/>
        </w:rPr>
        <w:t>Here,</w:t>
      </w:r>
      <w:r w:rsidR="00065B79">
        <w:rPr>
          <w:szCs w:val="22"/>
        </w:rPr>
        <w:t xml:space="preserve"> </w:t>
      </w:r>
      <w:r>
        <w:rPr>
          <w:szCs w:val="22"/>
        </w:rPr>
        <w:t xml:space="preserve">DSNP’s methodology in </w:t>
      </w:r>
      <w:r w:rsidR="00065B79">
        <w:rPr>
          <w:szCs w:val="22"/>
        </w:rPr>
        <w:t>developing</w:t>
      </w:r>
      <w:r>
        <w:rPr>
          <w:szCs w:val="22"/>
        </w:rPr>
        <w:t xml:space="preserve"> </w:t>
      </w:r>
      <w:r w:rsidR="008615D2">
        <w:rPr>
          <w:szCs w:val="22"/>
        </w:rPr>
        <w:t xml:space="preserve">its proposed </w:t>
      </w:r>
      <w:r>
        <w:rPr>
          <w:szCs w:val="22"/>
        </w:rPr>
        <w:t xml:space="preserve">rates </w:t>
      </w:r>
      <w:r w:rsidR="00065B79">
        <w:rPr>
          <w:szCs w:val="22"/>
        </w:rPr>
        <w:t>a</w:t>
      </w:r>
      <w:r>
        <w:rPr>
          <w:szCs w:val="22"/>
        </w:rPr>
        <w:t xml:space="preserve">dded further support for </w:t>
      </w:r>
      <w:r w:rsidR="008615D2">
        <w:rPr>
          <w:szCs w:val="22"/>
        </w:rPr>
        <w:t>the Media Bureau’s finding</w:t>
      </w:r>
      <w:r w:rsidR="003215A8">
        <w:rPr>
          <w:szCs w:val="22"/>
        </w:rPr>
        <w:t>:  “averaging the rates of three MVPDs that are smaller than Armstrong in terms of subscribers or revenue or both would be expected to result in rates that are higher than what fair market value would dictate for Armstrong.”</w:t>
      </w:r>
      <w:r w:rsidR="00233A73">
        <w:rPr>
          <w:rStyle w:val="FootnoteReference"/>
          <w:szCs w:val="22"/>
        </w:rPr>
        <w:footnoteReference w:id="100"/>
      </w:r>
      <w:r w:rsidR="0033001B">
        <w:rPr>
          <w:szCs w:val="22"/>
        </w:rPr>
        <w:t xml:space="preserve">  While DSNP claims that the Media Burea</w:t>
      </w:r>
      <w:r w:rsidR="00DF2F38">
        <w:rPr>
          <w:szCs w:val="22"/>
        </w:rPr>
        <w:t>u</w:t>
      </w:r>
      <w:r w:rsidR="0033001B">
        <w:rPr>
          <w:szCs w:val="22"/>
        </w:rPr>
        <w:t xml:space="preserve"> did not scruti</w:t>
      </w:r>
      <w:r w:rsidR="00DF2F38">
        <w:rPr>
          <w:szCs w:val="22"/>
        </w:rPr>
        <w:t xml:space="preserve">nize </w:t>
      </w:r>
      <w:r w:rsidR="0033001B">
        <w:rPr>
          <w:szCs w:val="22"/>
        </w:rPr>
        <w:t>Armstro</w:t>
      </w:r>
      <w:r w:rsidR="00DF2F38">
        <w:rPr>
          <w:szCs w:val="22"/>
        </w:rPr>
        <w:t>n</w:t>
      </w:r>
      <w:r w:rsidR="0033001B">
        <w:rPr>
          <w:szCs w:val="22"/>
        </w:rPr>
        <w:t>g</w:t>
      </w:r>
      <w:r w:rsidR="00DF2F38">
        <w:rPr>
          <w:szCs w:val="22"/>
        </w:rPr>
        <w:t>’s methodology in devising its proposed rates,</w:t>
      </w:r>
      <w:r w:rsidR="007D246F">
        <w:rPr>
          <w:rStyle w:val="FootnoteReference"/>
          <w:szCs w:val="22"/>
        </w:rPr>
        <w:footnoteReference w:id="101"/>
      </w:r>
      <w:r w:rsidR="00DF2F38">
        <w:rPr>
          <w:szCs w:val="22"/>
        </w:rPr>
        <w:t xml:space="preserve"> the Media Bureau found that the</w:t>
      </w:r>
      <w:r w:rsidR="00EF2867">
        <w:rPr>
          <w:szCs w:val="22"/>
        </w:rPr>
        <w:t>se</w:t>
      </w:r>
      <w:r w:rsidR="00DF2F38">
        <w:rPr>
          <w:szCs w:val="22"/>
        </w:rPr>
        <w:t xml:space="preserve"> rates </w:t>
      </w:r>
      <w:r w:rsidR="00DF2F38" w:rsidRPr="00C60704">
        <w:rPr>
          <w:szCs w:val="22"/>
        </w:rPr>
        <w:t>most closely approximate fair market value</w:t>
      </w:r>
      <w:r w:rsidR="007D246F">
        <w:rPr>
          <w:rStyle w:val="FootnoteReference"/>
          <w:szCs w:val="22"/>
        </w:rPr>
        <w:footnoteReference w:id="102"/>
      </w:r>
      <w:r w:rsidR="00EF2867">
        <w:rPr>
          <w:szCs w:val="22"/>
        </w:rPr>
        <w:t xml:space="preserve"> </w:t>
      </w:r>
      <w:r w:rsidR="00E40EA7">
        <w:rPr>
          <w:szCs w:val="22"/>
        </w:rPr>
        <w:t>because they were consistent with established and uncontroverted market benchmarks derived from arms’-length contract rates between RSNs and MVPDs</w:t>
      </w:r>
      <w:r w:rsidR="00013DF1">
        <w:rPr>
          <w:szCs w:val="22"/>
        </w:rPr>
        <w:t xml:space="preserve"> that were not simultaneously engaged in reciprocal negotiations.  As a result, </w:t>
      </w:r>
      <w:r w:rsidR="00EF2867">
        <w:rPr>
          <w:szCs w:val="22"/>
        </w:rPr>
        <w:t xml:space="preserve">there </w:t>
      </w:r>
      <w:r w:rsidR="00DF2F38">
        <w:rPr>
          <w:szCs w:val="22"/>
        </w:rPr>
        <w:t xml:space="preserve">was no basis in the record to </w:t>
      </w:r>
      <w:r w:rsidR="007C3AE1">
        <w:rPr>
          <w:szCs w:val="22"/>
        </w:rPr>
        <w:t>question</w:t>
      </w:r>
      <w:r w:rsidR="00DF2F38">
        <w:rPr>
          <w:szCs w:val="22"/>
        </w:rPr>
        <w:t xml:space="preserve"> Armstrong’s methodology in devising its proposed rates</w:t>
      </w:r>
      <w:r w:rsidR="007C3AE1">
        <w:rPr>
          <w:szCs w:val="22"/>
        </w:rPr>
        <w:t>.</w:t>
      </w:r>
      <w:r w:rsidR="00DF2F38">
        <w:rPr>
          <w:rStyle w:val="FootnoteReference"/>
          <w:szCs w:val="22"/>
        </w:rPr>
        <w:footnoteReference w:id="103"/>
      </w:r>
    </w:p>
    <w:p w:rsidR="006E5FBE" w:rsidRPr="006E5FBE" w:rsidRDefault="006E5FBE" w:rsidP="006E5FBE">
      <w:pPr>
        <w:pStyle w:val="Heading3"/>
        <w:rPr>
          <w:szCs w:val="22"/>
        </w:rPr>
      </w:pPr>
      <w:r>
        <w:t xml:space="preserve">The Renewal </w:t>
      </w:r>
      <w:r w:rsidR="00105B05">
        <w:t xml:space="preserve">Rate </w:t>
      </w:r>
      <w:r>
        <w:t>Increase in the Armstrong Final Offer Most Closely Approximates Fair Market Value</w:t>
      </w:r>
    </w:p>
    <w:p w:rsidR="00196B86" w:rsidRPr="00196B86" w:rsidRDefault="006E5FBE" w:rsidP="00E339C0">
      <w:pPr>
        <w:pStyle w:val="ParaNum"/>
        <w:rPr>
          <w:szCs w:val="22"/>
        </w:rPr>
      </w:pPr>
      <w:r>
        <w:rPr>
          <w:szCs w:val="22"/>
        </w:rPr>
        <w:t xml:space="preserve">We reject </w:t>
      </w:r>
      <w:r w:rsidR="003A5822">
        <w:rPr>
          <w:szCs w:val="22"/>
        </w:rPr>
        <w:t>DSNP</w:t>
      </w:r>
      <w:r>
        <w:rPr>
          <w:szCs w:val="22"/>
        </w:rPr>
        <w:t xml:space="preserve">’s contention </w:t>
      </w:r>
      <w:r w:rsidR="003A5822">
        <w:rPr>
          <w:szCs w:val="22"/>
        </w:rPr>
        <w:t xml:space="preserve">that the Media Bureau erred in concluding that the </w:t>
      </w:r>
      <w:r w:rsidR="00447CD4">
        <w:rPr>
          <w:szCs w:val="22"/>
        </w:rPr>
        <w:t xml:space="preserve">renewal </w:t>
      </w:r>
      <w:r w:rsidR="00105B05">
        <w:rPr>
          <w:szCs w:val="22"/>
        </w:rPr>
        <w:t xml:space="preserve">rate </w:t>
      </w:r>
      <w:r w:rsidR="00447CD4">
        <w:rPr>
          <w:szCs w:val="22"/>
        </w:rPr>
        <w:t>increase</w:t>
      </w:r>
      <w:r w:rsidR="003A5822">
        <w:rPr>
          <w:szCs w:val="22"/>
        </w:rPr>
        <w:t xml:space="preserve"> in </w:t>
      </w:r>
      <w:r w:rsidR="003A5822">
        <w:t xml:space="preserve">Armstrong’s final offer </w:t>
      </w:r>
      <w:r w:rsidR="00F121C0">
        <w:t>most closely approximates</w:t>
      </w:r>
      <w:r w:rsidR="003A5822">
        <w:t xml:space="preserve"> fair market value.</w:t>
      </w:r>
      <w:r w:rsidR="003A5822">
        <w:rPr>
          <w:rStyle w:val="FootnoteReference"/>
        </w:rPr>
        <w:footnoteReference w:id="104"/>
      </w:r>
      <w:r w:rsidR="003A5822">
        <w:t xml:space="preserve">  The Media Bureau relied on record evidence, including testimony from Armstrong’s expert, Mr. Gardner, that renewal rate increases are intended to reflect improvements in the </w:t>
      </w:r>
      <w:r w:rsidR="00196B86">
        <w:t>RSN,</w:t>
      </w:r>
      <w:r w:rsidR="003A5822">
        <w:t xml:space="preserve"> which Armstrong paid for in the form of a </w:t>
      </w:r>
      <w:r w:rsidR="008F4546" w:rsidRPr="00430BEA">
        <w:rPr>
          <w:b/>
        </w:rPr>
        <w:t>[</w:t>
      </w:r>
      <w:r w:rsidR="00A41C2F">
        <w:rPr>
          <w:b/>
        </w:rPr>
        <w:t>REDACTED</w:t>
      </w:r>
      <w:r w:rsidR="008F4546" w:rsidRPr="00430BEA">
        <w:rPr>
          <w:b/>
        </w:rPr>
        <w:t>]</w:t>
      </w:r>
      <w:r w:rsidR="00B82026">
        <w:rPr>
          <w:b/>
        </w:rPr>
        <w:t xml:space="preserve"> </w:t>
      </w:r>
      <w:r w:rsidR="003A5822">
        <w:t xml:space="preserve">rate increase </w:t>
      </w:r>
      <w:r w:rsidR="008F4546" w:rsidRPr="00430BEA">
        <w:rPr>
          <w:b/>
        </w:rPr>
        <w:t>[</w:t>
      </w:r>
      <w:r w:rsidR="00A41C2F">
        <w:rPr>
          <w:b/>
        </w:rPr>
        <w:t>REDACTED</w:t>
      </w:r>
      <w:r w:rsidR="008F4546" w:rsidRPr="00430BEA">
        <w:rPr>
          <w:b/>
        </w:rPr>
        <w:t>]</w:t>
      </w:r>
      <w:r w:rsidR="003A5822">
        <w:t xml:space="preserve"> prior to the expiration </w:t>
      </w:r>
      <w:r w:rsidR="00E339C0">
        <w:t xml:space="preserve">of </w:t>
      </w:r>
      <w:r w:rsidR="003A5822">
        <w:t xml:space="preserve">its agreement with DSNP as well as a </w:t>
      </w:r>
      <w:r w:rsidR="008F4546" w:rsidRPr="00430BEA">
        <w:rPr>
          <w:b/>
        </w:rPr>
        <w:t>[</w:t>
      </w:r>
      <w:r w:rsidR="00A41C2F">
        <w:rPr>
          <w:b/>
        </w:rPr>
        <w:t>REDACTED</w:t>
      </w:r>
      <w:r w:rsidR="008F4546" w:rsidRPr="00430BEA">
        <w:rPr>
          <w:b/>
        </w:rPr>
        <w:t>]</w:t>
      </w:r>
      <w:r w:rsidR="003A5822">
        <w:t xml:space="preserve"> increase </w:t>
      </w:r>
      <w:r w:rsidR="008F4546" w:rsidRPr="00430BEA">
        <w:rPr>
          <w:b/>
        </w:rPr>
        <w:t>[</w:t>
      </w:r>
      <w:r w:rsidR="00A41C2F">
        <w:rPr>
          <w:b/>
        </w:rPr>
        <w:t>REDACTED</w:t>
      </w:r>
      <w:r w:rsidR="008F4546" w:rsidRPr="00430BEA">
        <w:rPr>
          <w:b/>
        </w:rPr>
        <w:t>]</w:t>
      </w:r>
      <w:r w:rsidR="00B82026">
        <w:rPr>
          <w:b/>
        </w:rPr>
        <w:t xml:space="preserve"> </w:t>
      </w:r>
      <w:r w:rsidR="003A5822">
        <w:t>prior to expiration.</w:t>
      </w:r>
      <w:r w:rsidR="003A5822">
        <w:rPr>
          <w:rStyle w:val="FootnoteReference"/>
        </w:rPr>
        <w:footnoteReference w:id="105"/>
      </w:r>
      <w:r w:rsidR="003A5822">
        <w:t xml:space="preserve">  The Media Bureau held that an additional standard renewal rate increase on top of these recent surcharges would effectively charge Armstrong twice for these improvements.</w:t>
      </w:r>
      <w:r w:rsidR="00B82026">
        <w:rPr>
          <w:rStyle w:val="FootnoteReference"/>
        </w:rPr>
        <w:footnoteReference w:id="106"/>
      </w:r>
      <w:r w:rsidR="003A5822">
        <w:t xml:space="preserve">  DSNP claims</w:t>
      </w:r>
      <w:r w:rsidR="00105B05">
        <w:t>, however,</w:t>
      </w:r>
      <w:r w:rsidR="003A5822">
        <w:t xml:space="preserve"> that Mr. Gardner’s testimony</w:t>
      </w:r>
      <w:r w:rsidR="008F4546">
        <w:t xml:space="preserve"> cannot support the Media Bureau’s decision because Mr. Gardner testifie</w:t>
      </w:r>
      <w:r w:rsidR="00B82026">
        <w:t>d</w:t>
      </w:r>
      <w:r w:rsidR="008F4546">
        <w:t xml:space="preserve"> that (i) “</w:t>
      </w:r>
      <w:r w:rsidR="00105B05">
        <w:t>‘</w:t>
      </w:r>
      <w:r w:rsidR="008F4546" w:rsidRPr="00E339C0">
        <w:t>all other things being equal</w:t>
      </w:r>
      <w:r w:rsidR="00E339C0">
        <w:t>,</w:t>
      </w:r>
      <w:r w:rsidR="00105B05">
        <w:t>’</w:t>
      </w:r>
      <w:r w:rsidR="008F4546">
        <w:t>”</w:t>
      </w:r>
      <w:r w:rsidR="00E339C0">
        <w:t xml:space="preserve"> the renewal rate increase is typically in the range of </w:t>
      </w:r>
      <w:r w:rsidR="00E339C0" w:rsidRPr="00430BEA">
        <w:rPr>
          <w:b/>
        </w:rPr>
        <w:t>[</w:t>
      </w:r>
      <w:r w:rsidR="00A41C2F">
        <w:rPr>
          <w:b/>
        </w:rPr>
        <w:t>REDACTED</w:t>
      </w:r>
      <w:r w:rsidR="00E339C0" w:rsidRPr="00430BEA">
        <w:rPr>
          <w:b/>
        </w:rPr>
        <w:t>]</w:t>
      </w:r>
      <w:r w:rsidR="00E339C0">
        <w:t>;</w:t>
      </w:r>
      <w:r w:rsidR="00E339C0">
        <w:rPr>
          <w:rStyle w:val="FootnoteReference"/>
        </w:rPr>
        <w:footnoteReference w:id="107"/>
      </w:r>
      <w:r w:rsidR="00E339C0">
        <w:t xml:space="preserve"> </w:t>
      </w:r>
      <w:r w:rsidR="008F4546">
        <w:t xml:space="preserve">and (ii) </w:t>
      </w:r>
      <w:r w:rsidR="00E339C0">
        <w:t>r</w:t>
      </w:r>
      <w:r w:rsidR="00E339C0" w:rsidRPr="00551F3D">
        <w:t>enewal is “</w:t>
      </w:r>
      <w:r w:rsidR="00105B05">
        <w:t>‘</w:t>
      </w:r>
      <w:r w:rsidR="00E339C0" w:rsidRPr="00551F3D">
        <w:t>the only time during the</w:t>
      </w:r>
      <w:r w:rsidR="00E339C0">
        <w:t xml:space="preserve"> </w:t>
      </w:r>
      <w:r w:rsidR="00E339C0" w:rsidRPr="00551F3D">
        <w:t>relationship between the programmer and the distributor, where the whole channel can be</w:t>
      </w:r>
      <w:r w:rsidR="00E339C0">
        <w:t xml:space="preserve"> </w:t>
      </w:r>
      <w:r w:rsidR="00E339C0" w:rsidRPr="00551F3D">
        <w:t>withdrawn, if there isn’t an agreement.  So typically, the rate increase at the time of a renewal is the largest in percentage terms of any time during the</w:t>
      </w:r>
      <w:r w:rsidR="00E339C0">
        <w:t xml:space="preserve"> </w:t>
      </w:r>
      <w:r w:rsidR="00E339C0" w:rsidRPr="00551F3D">
        <w:t>relationship.</w:t>
      </w:r>
      <w:r w:rsidR="00105B05">
        <w:t>’</w:t>
      </w:r>
      <w:r w:rsidR="00E339C0" w:rsidRPr="00551F3D">
        <w:t>”</w:t>
      </w:r>
      <w:r w:rsidR="00E339C0">
        <w:rPr>
          <w:rStyle w:val="FootnoteReference"/>
        </w:rPr>
        <w:footnoteReference w:id="108"/>
      </w:r>
      <w:r w:rsidR="00E339C0">
        <w:t xml:space="preserve">  </w:t>
      </w:r>
      <w:r w:rsidR="00680B71">
        <w:t>As the Media Bureau explained</w:t>
      </w:r>
      <w:r w:rsidR="00105B05">
        <w:t xml:space="preserve">, however, </w:t>
      </w:r>
      <w:r w:rsidR="00680B71">
        <w:t xml:space="preserve">Mr. Gardner </w:t>
      </w:r>
      <w:r w:rsidR="00E339C0">
        <w:t xml:space="preserve">also testified that </w:t>
      </w:r>
      <w:r w:rsidR="00D13051">
        <w:t xml:space="preserve">the </w:t>
      </w:r>
      <w:r w:rsidR="008349D6">
        <w:t xml:space="preserve">typical </w:t>
      </w:r>
      <w:r w:rsidR="008349D6">
        <w:rPr>
          <w:szCs w:val="22"/>
        </w:rPr>
        <w:t>renewal rate increase is</w:t>
      </w:r>
      <w:r w:rsidR="008349D6" w:rsidRPr="00C60704">
        <w:rPr>
          <w:szCs w:val="22"/>
        </w:rPr>
        <w:t xml:space="preserve"> premised on the RSN offering an “</w:t>
      </w:r>
      <w:r w:rsidR="000B323D">
        <w:rPr>
          <w:szCs w:val="22"/>
        </w:rPr>
        <w:t>‘</w:t>
      </w:r>
      <w:r w:rsidR="008349D6" w:rsidRPr="00C60704">
        <w:rPr>
          <w:szCs w:val="22"/>
        </w:rPr>
        <w:t>improved and enhanced channel</w:t>
      </w:r>
      <w:r w:rsidR="000B323D">
        <w:rPr>
          <w:szCs w:val="22"/>
        </w:rPr>
        <w:t>’</w:t>
      </w:r>
      <w:r w:rsidR="008349D6" w:rsidRPr="00C60704">
        <w:rPr>
          <w:szCs w:val="22"/>
        </w:rPr>
        <w:t>”</w:t>
      </w:r>
      <w:r w:rsidR="008349D6">
        <w:rPr>
          <w:szCs w:val="22"/>
        </w:rPr>
        <w:t xml:space="preserve"> </w:t>
      </w:r>
      <w:r w:rsidR="008349D6" w:rsidRPr="00C60704">
        <w:rPr>
          <w:szCs w:val="22"/>
        </w:rPr>
        <w:t xml:space="preserve">that </w:t>
      </w:r>
      <w:r w:rsidR="008349D6">
        <w:rPr>
          <w:szCs w:val="22"/>
        </w:rPr>
        <w:t>is not reflected in the expired</w:t>
      </w:r>
      <w:r w:rsidR="008349D6" w:rsidRPr="00C60704">
        <w:rPr>
          <w:szCs w:val="22"/>
        </w:rPr>
        <w:t xml:space="preserve"> rates</w:t>
      </w:r>
      <w:r w:rsidR="00004297">
        <w:rPr>
          <w:szCs w:val="22"/>
        </w:rPr>
        <w:t>,</w:t>
      </w:r>
      <w:r w:rsidR="008349D6" w:rsidRPr="00C60704">
        <w:rPr>
          <w:rStyle w:val="FootnoteReference"/>
          <w:szCs w:val="22"/>
        </w:rPr>
        <w:footnoteReference w:id="109"/>
      </w:r>
      <w:r w:rsidR="008349D6">
        <w:rPr>
          <w:szCs w:val="22"/>
        </w:rPr>
        <w:t xml:space="preserve"> </w:t>
      </w:r>
      <w:r w:rsidR="00004297">
        <w:rPr>
          <w:szCs w:val="22"/>
        </w:rPr>
        <w:t xml:space="preserve">but </w:t>
      </w:r>
      <w:r w:rsidR="008349D6">
        <w:rPr>
          <w:szCs w:val="22"/>
        </w:rPr>
        <w:t xml:space="preserve">the </w:t>
      </w:r>
      <w:r w:rsidR="00E339C0">
        <w:t>Armstrong renewal presented an atypical situation because Armstrong had already incurred significant rate increases shortly before its agreement expired</w:t>
      </w:r>
      <w:r w:rsidR="0044285A">
        <w:t xml:space="preserve"> </w:t>
      </w:r>
      <w:r w:rsidR="00196B86">
        <w:t>which</w:t>
      </w:r>
      <w:r w:rsidR="0044285A">
        <w:t xml:space="preserve"> already accounted for any </w:t>
      </w:r>
      <w:r w:rsidR="00196B86">
        <w:t>improvements in FSNP</w:t>
      </w:r>
      <w:r w:rsidR="00E2216E">
        <w:t>’s program schedule</w:t>
      </w:r>
      <w:r w:rsidR="008349D6">
        <w:t>.</w:t>
      </w:r>
      <w:r w:rsidR="0003174A">
        <w:rPr>
          <w:rStyle w:val="FootnoteReference"/>
        </w:rPr>
        <w:footnoteReference w:id="110"/>
      </w:r>
      <w:r w:rsidR="008349D6">
        <w:t xml:space="preserve">  </w:t>
      </w:r>
      <w:r w:rsidR="00105B05">
        <w:rPr>
          <w:szCs w:val="22"/>
        </w:rPr>
        <w:t xml:space="preserve">We </w:t>
      </w:r>
      <w:r w:rsidR="0044285A">
        <w:rPr>
          <w:szCs w:val="22"/>
        </w:rPr>
        <w:t xml:space="preserve">thus </w:t>
      </w:r>
      <w:r w:rsidR="00105B05">
        <w:rPr>
          <w:szCs w:val="22"/>
        </w:rPr>
        <w:t xml:space="preserve">affirm the Media Bureau’s conclusion that there </w:t>
      </w:r>
      <w:r w:rsidR="004E310A">
        <w:rPr>
          <w:szCs w:val="22"/>
        </w:rPr>
        <w:t>was</w:t>
      </w:r>
      <w:r w:rsidR="00105B05">
        <w:rPr>
          <w:szCs w:val="22"/>
        </w:rPr>
        <w:t xml:space="preserve"> no basis to re</w:t>
      </w:r>
      <w:r w:rsidR="004E310A">
        <w:rPr>
          <w:szCs w:val="22"/>
        </w:rPr>
        <w:t>quire Armstrong to pay a s</w:t>
      </w:r>
      <w:r w:rsidR="004E310A">
        <w:t xml:space="preserve">tandard renewal rate increase </w:t>
      </w:r>
      <w:r w:rsidR="008349D6">
        <w:t xml:space="preserve">of </w:t>
      </w:r>
      <w:r w:rsidR="008349D6" w:rsidRPr="00430BEA">
        <w:rPr>
          <w:b/>
        </w:rPr>
        <w:t>[</w:t>
      </w:r>
      <w:r w:rsidR="00A41C2F">
        <w:rPr>
          <w:b/>
        </w:rPr>
        <w:t>REDACTED</w:t>
      </w:r>
      <w:r w:rsidR="008349D6" w:rsidRPr="00430BEA">
        <w:rPr>
          <w:b/>
        </w:rPr>
        <w:t>]</w:t>
      </w:r>
      <w:r w:rsidR="008349D6">
        <w:rPr>
          <w:b/>
        </w:rPr>
        <w:t xml:space="preserve"> </w:t>
      </w:r>
      <w:r w:rsidR="004E310A">
        <w:t xml:space="preserve">because it had already paid for improvements in </w:t>
      </w:r>
      <w:r w:rsidR="00196B86">
        <w:t>FSNP</w:t>
      </w:r>
      <w:r w:rsidR="004E310A">
        <w:t xml:space="preserve"> in the form of </w:t>
      </w:r>
      <w:r w:rsidR="008349D6">
        <w:t xml:space="preserve">an </w:t>
      </w:r>
      <w:r w:rsidR="008349D6" w:rsidRPr="00430BEA">
        <w:rPr>
          <w:b/>
        </w:rPr>
        <w:t>[</w:t>
      </w:r>
      <w:r w:rsidR="00A41C2F">
        <w:rPr>
          <w:b/>
        </w:rPr>
        <w:t>REDACTED</w:t>
      </w:r>
      <w:r w:rsidR="008349D6" w:rsidRPr="00430BEA">
        <w:rPr>
          <w:b/>
        </w:rPr>
        <w:t>]</w:t>
      </w:r>
      <w:r w:rsidR="0044285A">
        <w:rPr>
          <w:b/>
        </w:rPr>
        <w:t xml:space="preserve"> </w:t>
      </w:r>
      <w:r w:rsidR="004E310A">
        <w:t>shortly before its agreement expired.</w:t>
      </w:r>
      <w:r w:rsidR="00105B05">
        <w:rPr>
          <w:rStyle w:val="FootnoteReference"/>
        </w:rPr>
        <w:footnoteReference w:id="111"/>
      </w:r>
    </w:p>
    <w:p w:rsidR="007F6F86" w:rsidRPr="005039B9" w:rsidRDefault="00196B86" w:rsidP="0076437E">
      <w:pPr>
        <w:pStyle w:val="ParaNum"/>
        <w:rPr>
          <w:szCs w:val="22"/>
        </w:rPr>
      </w:pPr>
      <w:r>
        <w:t>For further support</w:t>
      </w:r>
      <w:r w:rsidRPr="00196B86">
        <w:rPr>
          <w:szCs w:val="22"/>
        </w:rPr>
        <w:t xml:space="preserve"> </w:t>
      </w:r>
      <w:r>
        <w:rPr>
          <w:szCs w:val="22"/>
        </w:rPr>
        <w:t xml:space="preserve">that the renewal rate increase in </w:t>
      </w:r>
      <w:r>
        <w:t xml:space="preserve">Armstrong’s final offer </w:t>
      </w:r>
      <w:r w:rsidR="000D55B5">
        <w:t>most closely approximate</w:t>
      </w:r>
      <w:r w:rsidR="00BB0252">
        <w:t>s</w:t>
      </w:r>
      <w:r w:rsidR="000D55B5">
        <w:t xml:space="preserve"> </w:t>
      </w:r>
      <w:r>
        <w:t xml:space="preserve">fair market value, the Media Bureau noted that </w:t>
      </w:r>
      <w:r w:rsidR="000C3BDD" w:rsidRPr="00430BEA">
        <w:rPr>
          <w:b/>
        </w:rPr>
        <w:t>[</w:t>
      </w:r>
      <w:r w:rsidR="00A41C2F">
        <w:rPr>
          <w:b/>
        </w:rPr>
        <w:t>REDACTED</w:t>
      </w:r>
      <w:r w:rsidR="000C3BDD" w:rsidRPr="00430BEA">
        <w:rPr>
          <w:b/>
        </w:rPr>
        <w:t>]</w:t>
      </w:r>
      <w:r>
        <w:t xml:space="preserve"> </w:t>
      </w:r>
      <w:r w:rsidR="006E5FBE">
        <w:t xml:space="preserve">was not required to pay both a surcharge for additional games and a renewal rate increase when it renewed its agreement </w:t>
      </w:r>
      <w:r>
        <w:t xml:space="preserve">with DSNP </w:t>
      </w:r>
      <w:r w:rsidR="000C3BDD" w:rsidRPr="00430BEA">
        <w:rPr>
          <w:b/>
        </w:rPr>
        <w:t>[</w:t>
      </w:r>
      <w:r w:rsidR="00A41C2F">
        <w:rPr>
          <w:b/>
        </w:rPr>
        <w:t>REDACTED</w:t>
      </w:r>
      <w:r w:rsidR="000C3BDD" w:rsidRPr="00430BEA">
        <w:rPr>
          <w:b/>
        </w:rPr>
        <w:t>]</w:t>
      </w:r>
      <w:r w:rsidR="006E5FBE">
        <w:t>.</w:t>
      </w:r>
      <w:r w:rsidR="002D5982">
        <w:rPr>
          <w:rStyle w:val="FootnoteReference"/>
        </w:rPr>
        <w:footnoteReference w:id="112"/>
      </w:r>
      <w:r w:rsidR="006E5FBE">
        <w:t xml:space="preserve">  While DSNP claim</w:t>
      </w:r>
      <w:r>
        <w:t>ed</w:t>
      </w:r>
      <w:r w:rsidR="006E5FBE">
        <w:t xml:space="preserve"> that </w:t>
      </w:r>
      <w:r w:rsidR="007E2BAB" w:rsidRPr="00430BEA">
        <w:rPr>
          <w:b/>
        </w:rPr>
        <w:t>[</w:t>
      </w:r>
      <w:r w:rsidR="00A41C2F">
        <w:rPr>
          <w:b/>
        </w:rPr>
        <w:t>REDACTED</w:t>
      </w:r>
      <w:r w:rsidR="007E2BAB" w:rsidRPr="00430BEA">
        <w:rPr>
          <w:b/>
        </w:rPr>
        <w:t>]</w:t>
      </w:r>
      <w:r w:rsidR="006E5FBE">
        <w:t xml:space="preserve"> paid for the additional programming</w:t>
      </w:r>
      <w:r w:rsidR="007E2BAB">
        <w:t xml:space="preserve"> </w:t>
      </w:r>
      <w:r w:rsidR="007E2BAB" w:rsidRPr="00430BEA">
        <w:rPr>
          <w:b/>
        </w:rPr>
        <w:t>[</w:t>
      </w:r>
      <w:r w:rsidR="00A41C2F">
        <w:rPr>
          <w:b/>
        </w:rPr>
        <w:t>REDACTED</w:t>
      </w:r>
      <w:r w:rsidR="007E2BAB" w:rsidRPr="00430BEA">
        <w:rPr>
          <w:b/>
        </w:rPr>
        <w:t>]</w:t>
      </w:r>
      <w:r w:rsidR="006E5FBE">
        <w:t xml:space="preserve">, </w:t>
      </w:r>
      <w:r>
        <w:t xml:space="preserve">the Media Bureau </w:t>
      </w:r>
      <w:r w:rsidR="0056358B">
        <w:t xml:space="preserve">found that </w:t>
      </w:r>
      <w:r w:rsidR="006E5FBE">
        <w:t>the only support DSNP provide</w:t>
      </w:r>
      <w:r w:rsidR="0056358B">
        <w:t>d</w:t>
      </w:r>
      <w:r w:rsidR="006E5FBE">
        <w:t xml:space="preserve"> for this assertion </w:t>
      </w:r>
      <w:r w:rsidR="0056358B">
        <w:t>was</w:t>
      </w:r>
      <w:r w:rsidR="006E5FBE">
        <w:t xml:space="preserve"> to cite to the </w:t>
      </w:r>
      <w:r w:rsidR="007E2BAB" w:rsidRPr="00430BEA">
        <w:rPr>
          <w:b/>
        </w:rPr>
        <w:t>[</w:t>
      </w:r>
      <w:r w:rsidR="00A41C2F">
        <w:rPr>
          <w:b/>
        </w:rPr>
        <w:t>REDACTED</w:t>
      </w:r>
      <w:r w:rsidR="007E2BAB" w:rsidRPr="00430BEA">
        <w:rPr>
          <w:b/>
        </w:rPr>
        <w:t>]</w:t>
      </w:r>
      <w:r w:rsidR="0056358B">
        <w:t xml:space="preserve"> </w:t>
      </w:r>
      <w:r w:rsidR="002D5982">
        <w:t xml:space="preserve">agreement </w:t>
      </w:r>
      <w:r w:rsidR="0056358B">
        <w:t xml:space="preserve">without any </w:t>
      </w:r>
      <w:r w:rsidR="006E5FBE">
        <w:t>testimony or other evidence supporting this assertion.</w:t>
      </w:r>
      <w:r w:rsidR="002D5982">
        <w:rPr>
          <w:rStyle w:val="FootnoteReference"/>
        </w:rPr>
        <w:footnoteReference w:id="113"/>
      </w:r>
      <w:r w:rsidR="0056358B">
        <w:t xml:space="preserve">  DSNP repeats this claim in its </w:t>
      </w:r>
      <w:r w:rsidR="0056358B" w:rsidRPr="007E2BAB">
        <w:rPr>
          <w:i/>
        </w:rPr>
        <w:t>Application for Review</w:t>
      </w:r>
      <w:r w:rsidR="0056358B">
        <w:t xml:space="preserve">, </w:t>
      </w:r>
      <w:r w:rsidR="000D69AF">
        <w:t xml:space="preserve">noting </w:t>
      </w:r>
      <w:r w:rsidR="0056358B">
        <w:t xml:space="preserve">that the </w:t>
      </w:r>
      <w:r w:rsidR="007E2BAB" w:rsidRPr="00430BEA">
        <w:rPr>
          <w:b/>
        </w:rPr>
        <w:t>[</w:t>
      </w:r>
      <w:r w:rsidR="00A41C2F">
        <w:rPr>
          <w:b/>
        </w:rPr>
        <w:t>REDACTED</w:t>
      </w:r>
      <w:r w:rsidR="007E2BAB" w:rsidRPr="00430BEA">
        <w:rPr>
          <w:b/>
        </w:rPr>
        <w:t>]</w:t>
      </w:r>
      <w:r w:rsidR="007E2BAB">
        <w:rPr>
          <w:b/>
        </w:rPr>
        <w:t xml:space="preserve"> </w:t>
      </w:r>
      <w:r w:rsidR="0056358B">
        <w:t xml:space="preserve">agreement is part of the record and </w:t>
      </w:r>
      <w:r w:rsidR="000D69AF">
        <w:t xml:space="preserve">arguing </w:t>
      </w:r>
      <w:r w:rsidR="0056358B">
        <w:t xml:space="preserve">that </w:t>
      </w:r>
      <w:r w:rsidR="002D5982">
        <w:t xml:space="preserve">it </w:t>
      </w:r>
      <w:r w:rsidR="0056358B">
        <w:t>is not required to provide additional evidence to support its position.</w:t>
      </w:r>
      <w:r w:rsidR="002D5982">
        <w:rPr>
          <w:rStyle w:val="FootnoteReference"/>
        </w:rPr>
        <w:footnoteReference w:id="114"/>
      </w:r>
      <w:r w:rsidR="0056358B">
        <w:t xml:space="preserve">  </w:t>
      </w:r>
      <w:r w:rsidR="007041B3">
        <w:t xml:space="preserve">DSNP’s mere citation of </w:t>
      </w:r>
      <w:r w:rsidR="007041B3" w:rsidRPr="005039B9">
        <w:t xml:space="preserve">the </w:t>
      </w:r>
      <w:r w:rsidR="007E2BAB" w:rsidRPr="005039B9">
        <w:rPr>
          <w:b/>
        </w:rPr>
        <w:t>[</w:t>
      </w:r>
      <w:r w:rsidR="00A41C2F" w:rsidRPr="005039B9">
        <w:rPr>
          <w:b/>
        </w:rPr>
        <w:t>REDACTED</w:t>
      </w:r>
      <w:r w:rsidR="007E2BAB" w:rsidRPr="005039B9">
        <w:rPr>
          <w:b/>
        </w:rPr>
        <w:t>]</w:t>
      </w:r>
      <w:r w:rsidR="007041B3" w:rsidRPr="005039B9">
        <w:t xml:space="preserve"> agreement</w:t>
      </w:r>
      <w:r w:rsidR="0091457D" w:rsidRPr="005039B9">
        <w:t>, however,</w:t>
      </w:r>
      <w:r w:rsidR="007041B3" w:rsidRPr="005039B9">
        <w:t xml:space="preserve"> provides no basis for presuming why </w:t>
      </w:r>
      <w:r w:rsidR="007E2BAB" w:rsidRPr="005039B9">
        <w:rPr>
          <w:b/>
        </w:rPr>
        <w:t>[</w:t>
      </w:r>
      <w:r w:rsidR="00A41C2F" w:rsidRPr="005039B9">
        <w:rPr>
          <w:b/>
        </w:rPr>
        <w:t>REDACTED</w:t>
      </w:r>
      <w:r w:rsidR="007E2BAB" w:rsidRPr="005039B9">
        <w:rPr>
          <w:b/>
        </w:rPr>
        <w:t>]</w:t>
      </w:r>
      <w:r w:rsidR="007041B3" w:rsidRPr="005039B9">
        <w:t xml:space="preserve"> agreed to the annual escalators in this agreement.</w:t>
      </w:r>
      <w:r w:rsidR="00B8287A" w:rsidRPr="005039B9">
        <w:rPr>
          <w:rStyle w:val="FootnoteReference"/>
        </w:rPr>
        <w:footnoteReference w:id="115"/>
      </w:r>
      <w:r w:rsidR="0091457D" w:rsidRPr="005039B9">
        <w:t xml:space="preserve">  As the Media Bureau held, there is no support in the record for DSNP’s assertion that </w:t>
      </w:r>
      <w:r w:rsidR="0091457D" w:rsidRPr="005039B9">
        <w:rPr>
          <w:b/>
        </w:rPr>
        <w:t>[</w:t>
      </w:r>
      <w:r w:rsidR="00A41C2F" w:rsidRPr="005039B9">
        <w:rPr>
          <w:b/>
        </w:rPr>
        <w:t>REDACTED</w:t>
      </w:r>
      <w:r w:rsidR="0091457D" w:rsidRPr="005039B9">
        <w:rPr>
          <w:b/>
        </w:rPr>
        <w:t>]</w:t>
      </w:r>
      <w:r w:rsidR="0091457D" w:rsidRPr="005039B9">
        <w:t xml:space="preserve"> paid for the additional programming </w:t>
      </w:r>
      <w:r w:rsidR="0091457D" w:rsidRPr="005039B9">
        <w:rPr>
          <w:b/>
        </w:rPr>
        <w:t>[</w:t>
      </w:r>
      <w:r w:rsidR="00A41C2F" w:rsidRPr="005039B9">
        <w:rPr>
          <w:b/>
        </w:rPr>
        <w:t>REDACTED</w:t>
      </w:r>
      <w:r w:rsidR="0091457D" w:rsidRPr="005039B9">
        <w:rPr>
          <w:b/>
        </w:rPr>
        <w:t>]</w:t>
      </w:r>
      <w:r w:rsidR="0091457D" w:rsidRPr="005039B9">
        <w:t>.</w:t>
      </w:r>
    </w:p>
    <w:p w:rsidR="008615D2" w:rsidRPr="005039B9" w:rsidRDefault="008615D2" w:rsidP="006A4B9F">
      <w:pPr>
        <w:pStyle w:val="Heading1"/>
      </w:pPr>
      <w:r w:rsidRPr="005039B9">
        <w:t>Conclusion</w:t>
      </w:r>
    </w:p>
    <w:p w:rsidR="008615D2" w:rsidRPr="00202B3C" w:rsidRDefault="008615D2" w:rsidP="008615D2">
      <w:pPr>
        <w:pStyle w:val="ParaNum"/>
      </w:pPr>
      <w:r w:rsidRPr="005039B9">
        <w:rPr>
          <w:szCs w:val="22"/>
        </w:rPr>
        <w:t>For the foregoing reasons, we conclude that the Media Bureau properly found that the rates and the rate renewal increase in the Armstrong final offer most closely approximate fair market value.  We also reiterate that the rates</w:t>
      </w:r>
      <w:r w:rsidRPr="00AA73A4">
        <w:rPr>
          <w:szCs w:val="22"/>
        </w:rPr>
        <w:t xml:space="preserve"> and the rate renewal increase are just two of twelve separate provisions of the final offers analyzed by the </w:t>
      </w:r>
      <w:r w:rsidR="00215532">
        <w:rPr>
          <w:szCs w:val="22"/>
        </w:rPr>
        <w:t xml:space="preserve">Arbitrator and the </w:t>
      </w:r>
      <w:r w:rsidRPr="00AA73A4">
        <w:rPr>
          <w:szCs w:val="22"/>
        </w:rPr>
        <w:t xml:space="preserve">Media Bureau.  DSNP has not challenged the </w:t>
      </w:r>
      <w:r w:rsidR="00215532">
        <w:rPr>
          <w:szCs w:val="22"/>
        </w:rPr>
        <w:t xml:space="preserve">Media Bureau’s </w:t>
      </w:r>
      <w:r w:rsidRPr="00AA73A4">
        <w:rPr>
          <w:szCs w:val="22"/>
        </w:rPr>
        <w:t xml:space="preserve">finding that, on balance, these other provisions </w:t>
      </w:r>
      <w:r>
        <w:t xml:space="preserve">also </w:t>
      </w:r>
      <w:r w:rsidRPr="00AA73A4">
        <w:rPr>
          <w:szCs w:val="22"/>
        </w:rPr>
        <w:t xml:space="preserve">favor the Armstrong final offer as being more consistent with fair market value.  Even if we were to agree with one or both of DSNP’s challenges to the rates and the rate renewal increase, DSNP has failed </w:t>
      </w:r>
      <w:r>
        <w:rPr>
          <w:szCs w:val="22"/>
        </w:rPr>
        <w:t xml:space="preserve">to put forth an explanation for why these two provisions would tip </w:t>
      </w:r>
      <w:r w:rsidRPr="00202B3C">
        <w:rPr>
          <w:szCs w:val="22"/>
        </w:rPr>
        <w:t>the scales in favor of the DSNP final offer in light of the unchallenged finding that many of the other provisions favor the Armstrong final offer.</w:t>
      </w:r>
      <w:r w:rsidR="009A4B14" w:rsidRPr="00202B3C">
        <w:rPr>
          <w:rStyle w:val="FootnoteReference"/>
          <w:szCs w:val="22"/>
        </w:rPr>
        <w:footnoteReference w:id="116"/>
      </w:r>
    </w:p>
    <w:p w:rsidR="00EB1F40" w:rsidRPr="00202B3C" w:rsidRDefault="00EB1F40" w:rsidP="006A4B9F">
      <w:pPr>
        <w:pStyle w:val="Heading1"/>
      </w:pPr>
      <w:r w:rsidRPr="00202B3C">
        <w:t>Ordering Clause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134D3" w:rsidRPr="00202B3C" w:rsidRDefault="00FD1729" w:rsidP="00482107">
      <w:pPr>
        <w:pStyle w:val="ParaNum"/>
      </w:pPr>
      <w:r w:rsidRPr="00202B3C">
        <w:rPr>
          <w:szCs w:val="22"/>
        </w:rPr>
        <w:t xml:space="preserve">Accordingly, </w:t>
      </w:r>
      <w:r w:rsidRPr="00202B3C">
        <w:rPr>
          <w:b/>
          <w:szCs w:val="22"/>
        </w:rPr>
        <w:t>IT IS ORDERED</w:t>
      </w:r>
      <w:r w:rsidRPr="00202B3C">
        <w:rPr>
          <w:szCs w:val="22"/>
        </w:rPr>
        <w:t xml:space="preserve"> that, pursuant to Sections 4(i) and 4(j) of the Communications Act of 1934, as amended, 47 U.S.C. §§ 154(i), 154(j), and Section 1.115 of the Commission’s rules, 47 C.F.R. § 1.115, the Application for Review filed by </w:t>
      </w:r>
      <w:r w:rsidRPr="00202B3C">
        <w:t>DIRECTV Sports Net Pittsburgh, LLC</w:t>
      </w:r>
      <w:r w:rsidRPr="00202B3C">
        <w:rPr>
          <w:szCs w:val="22"/>
        </w:rPr>
        <w:t xml:space="preserve"> </w:t>
      </w:r>
      <w:r w:rsidRPr="00202B3C">
        <w:rPr>
          <w:b/>
          <w:szCs w:val="22"/>
        </w:rPr>
        <w:t>IS DENIED</w:t>
      </w:r>
      <w:r w:rsidRPr="00202B3C">
        <w:rPr>
          <w:szCs w:val="22"/>
        </w:rPr>
        <w:t>.</w:t>
      </w:r>
    </w:p>
    <w:p w:rsidR="00202B3C" w:rsidRPr="00202B3C" w:rsidRDefault="00202B3C" w:rsidP="00202B3C">
      <w:bookmarkStart w:id="92" w:name="_Toc286156320"/>
      <w:bookmarkEnd w:id="92"/>
      <w:r w:rsidRPr="00202B3C">
        <w:tab/>
      </w:r>
      <w:r w:rsidRPr="00202B3C">
        <w:tab/>
      </w:r>
      <w:r w:rsidRPr="00202B3C">
        <w:tab/>
      </w:r>
      <w:r w:rsidRPr="00202B3C">
        <w:tab/>
      </w:r>
      <w:r w:rsidRPr="00202B3C">
        <w:tab/>
      </w:r>
      <w:r w:rsidRPr="00202B3C">
        <w:tab/>
        <w:t>FEDERAL COMMUNICATIONS COMMISSION</w:t>
      </w:r>
    </w:p>
    <w:p w:rsidR="00202B3C" w:rsidRPr="00202B3C" w:rsidRDefault="00202B3C" w:rsidP="00202B3C"/>
    <w:p w:rsidR="00202B3C" w:rsidRPr="00202B3C" w:rsidRDefault="00202B3C" w:rsidP="00202B3C"/>
    <w:p w:rsidR="00202B3C" w:rsidRPr="00202B3C" w:rsidRDefault="00202B3C" w:rsidP="00202B3C"/>
    <w:p w:rsidR="00202B3C" w:rsidRPr="00202B3C" w:rsidRDefault="00202B3C" w:rsidP="00202B3C"/>
    <w:p w:rsidR="00202B3C" w:rsidRPr="00202B3C" w:rsidRDefault="00202B3C" w:rsidP="00202B3C">
      <w:r w:rsidRPr="00202B3C">
        <w:tab/>
      </w:r>
      <w:r w:rsidRPr="00202B3C">
        <w:tab/>
      </w:r>
      <w:r w:rsidRPr="00202B3C">
        <w:tab/>
      </w:r>
      <w:r w:rsidRPr="00202B3C">
        <w:tab/>
      </w:r>
      <w:r w:rsidRPr="00202B3C">
        <w:tab/>
      </w:r>
      <w:r w:rsidRPr="00202B3C">
        <w:tab/>
        <w:t>Marlene H. Dortch</w:t>
      </w:r>
    </w:p>
    <w:p w:rsidR="00202B3C" w:rsidRPr="00202B3C" w:rsidRDefault="00202B3C" w:rsidP="00202B3C">
      <w:r w:rsidRPr="00202B3C">
        <w:tab/>
      </w:r>
      <w:r w:rsidRPr="00202B3C">
        <w:tab/>
      </w:r>
      <w:r w:rsidRPr="00202B3C">
        <w:tab/>
      </w:r>
      <w:r w:rsidRPr="00202B3C">
        <w:tab/>
      </w:r>
      <w:r w:rsidRPr="00202B3C">
        <w:tab/>
      </w:r>
      <w:r w:rsidRPr="00202B3C">
        <w:tab/>
        <w:t>Secretary</w:t>
      </w:r>
    </w:p>
    <w:p w:rsidR="0032496D" w:rsidRDefault="009A72DA" w:rsidP="00202B3C">
      <w:r w:rsidRPr="00C60704">
        <w:t xml:space="preserve"> </w:t>
      </w:r>
    </w:p>
    <w:p w:rsidR="00E335F2" w:rsidRDefault="00E335F2" w:rsidP="00C60704"/>
    <w:p w:rsidR="00A03085" w:rsidRDefault="00A03085" w:rsidP="009F023E">
      <w:pPr>
        <w:spacing w:after="240"/>
        <w:jc w:val="center"/>
        <w:sectPr w:rsidR="00A0308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962169" w:rsidRPr="00AA0419" w:rsidRDefault="00962169" w:rsidP="009F023E">
      <w:pPr>
        <w:spacing w:after="240"/>
        <w:jc w:val="center"/>
        <w:rPr>
          <w:b/>
        </w:rPr>
      </w:pPr>
      <w:r w:rsidRPr="00AA0419">
        <w:rPr>
          <w:b/>
        </w:rPr>
        <w:t>DISSENTING STATEMENT</w:t>
      </w:r>
      <w:r>
        <w:rPr>
          <w:b/>
        </w:rPr>
        <w:t xml:space="preserve"> OF</w:t>
      </w:r>
      <w:r w:rsidRPr="00AA0419">
        <w:rPr>
          <w:b/>
        </w:rPr>
        <w:br/>
        <w:t>COMMISSIONER AJIT PAI</w:t>
      </w:r>
    </w:p>
    <w:p w:rsidR="00962169" w:rsidRDefault="00962169" w:rsidP="009F023E">
      <w:pPr>
        <w:ind w:left="720" w:hanging="720"/>
      </w:pPr>
      <w:r>
        <w:t>Re:</w:t>
      </w:r>
      <w:r>
        <w:tab/>
      </w:r>
      <w:r>
        <w:rPr>
          <w:i/>
        </w:rPr>
        <w:t>DIRECTV Sports Net Pittsburgh, LLC, Petitioner v. Armstrong Utilities, Inc., Respondent</w:t>
      </w:r>
      <w:r>
        <w:t>, File No. CSR08480-P.</w:t>
      </w:r>
    </w:p>
    <w:p w:rsidR="003A0CBE" w:rsidRDefault="003A0CBE" w:rsidP="009F023E">
      <w:pPr>
        <w:ind w:left="720" w:hanging="720"/>
      </w:pPr>
    </w:p>
    <w:p w:rsidR="003A0CBE" w:rsidRPr="003A0CBE" w:rsidRDefault="003A0CBE" w:rsidP="003A0CBE">
      <w:pPr>
        <w:spacing w:after="120"/>
        <w:ind w:firstLine="720"/>
        <w:rPr>
          <w:rFonts w:eastAsiaTheme="minorHAnsi"/>
          <w:szCs w:val="22"/>
        </w:rPr>
      </w:pPr>
      <w:r w:rsidRPr="003A0CBE">
        <w:rPr>
          <w:rFonts w:eastAsiaTheme="minorHAnsi"/>
          <w:szCs w:val="22"/>
        </w:rPr>
        <w:t xml:space="preserve">Most Americans are familiar with how </w:t>
      </w:r>
      <w:r w:rsidRPr="003A0CBE">
        <w:rPr>
          <w:rFonts w:eastAsiaTheme="minorHAnsi"/>
          <w:i/>
          <w:szCs w:val="22"/>
        </w:rPr>
        <w:t>The Price Is Right</w:t>
      </w:r>
      <w:r w:rsidRPr="003A0CBE">
        <w:rPr>
          <w:rFonts w:eastAsiaTheme="minorHAnsi"/>
          <w:szCs w:val="22"/>
        </w:rPr>
        <w:t xml:space="preserve"> begins.  Four audience members are asked to “come on down” to contestants’ row.</w:t>
      </w:r>
      <w:r w:rsidRPr="003A0CBE">
        <w:rPr>
          <w:rFonts w:eastAsiaTheme="minorHAnsi"/>
          <w:szCs w:val="22"/>
          <w:vertAlign w:val="superscript"/>
        </w:rPr>
        <w:footnoteReference w:id="117"/>
      </w:r>
      <w:r w:rsidRPr="003A0CBE">
        <w:rPr>
          <w:rFonts w:eastAsiaTheme="minorHAnsi"/>
          <w:szCs w:val="22"/>
        </w:rPr>
        <w:t xml:space="preserve">  They are shown a product, and Drew Carey requests their bids.  The contestant that guesses the closest to the actual retail price </w:t>
      </w:r>
      <w:r w:rsidRPr="003A0CBE">
        <w:rPr>
          <w:rFonts w:eastAsiaTheme="minorHAnsi"/>
          <w:i/>
          <w:szCs w:val="22"/>
        </w:rPr>
        <w:t>without going over</w:t>
      </w:r>
      <w:r w:rsidRPr="003A0CBE">
        <w:rPr>
          <w:rFonts w:eastAsiaTheme="minorHAnsi"/>
          <w:szCs w:val="22"/>
        </w:rPr>
        <w:t xml:space="preserve"> wins the item and is invited onstage to play a pricing game.</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What does </w:t>
      </w:r>
      <w:r w:rsidRPr="003A0CBE">
        <w:rPr>
          <w:rFonts w:eastAsiaTheme="minorHAnsi"/>
          <w:i/>
          <w:szCs w:val="22"/>
        </w:rPr>
        <w:t>The Price Is Right</w:t>
      </w:r>
      <w:r w:rsidRPr="003A0CBE">
        <w:rPr>
          <w:rFonts w:eastAsiaTheme="minorHAnsi"/>
          <w:szCs w:val="22"/>
        </w:rPr>
        <w:t xml:space="preserve"> have to do with the 2010 failure of DIRECTV Sports Net Pittsburgh (DSNP) and cable operator Armstrong Utilities (Armstrong) to negotiate a mutually acceptable deal for carriage of Fox Sports Net Pittsburgh (FSNP), a regional sports network owned by DSNP and controlled by Liberty Media?</w:t>
      </w:r>
      <w:r w:rsidRPr="003A0CBE">
        <w:rPr>
          <w:rFonts w:eastAsiaTheme="minorHAnsi"/>
          <w:szCs w:val="22"/>
          <w:vertAlign w:val="superscript"/>
        </w:rPr>
        <w:footnoteReference w:id="118"/>
      </w:r>
      <w:r w:rsidRPr="003A0CBE" w:rsidDel="00E970C5">
        <w:rPr>
          <w:rFonts w:eastAsiaTheme="minorHAnsi"/>
          <w:szCs w:val="22"/>
        </w:rPr>
        <w:t xml:space="preserve"> </w:t>
      </w:r>
      <w:r w:rsidRPr="003A0CBE">
        <w:rPr>
          <w:rFonts w:eastAsiaTheme="minorHAnsi"/>
          <w:szCs w:val="22"/>
        </w:rPr>
        <w:t xml:space="preserve"> The answer is simple.  Had the Commission’s </w:t>
      </w:r>
      <w:r w:rsidRPr="003A0CBE">
        <w:rPr>
          <w:rFonts w:eastAsiaTheme="minorHAnsi"/>
          <w:i/>
          <w:szCs w:val="22"/>
        </w:rPr>
        <w:t>Liberty Media Order</w:t>
      </w:r>
      <w:r w:rsidRPr="003A0CBE">
        <w:rPr>
          <w:rFonts w:eastAsiaTheme="minorHAnsi"/>
          <w:szCs w:val="22"/>
          <w:vertAlign w:val="superscript"/>
        </w:rPr>
        <w:footnoteReference w:id="119"/>
      </w:r>
      <w:r w:rsidRPr="003A0CBE">
        <w:rPr>
          <w:rFonts w:eastAsiaTheme="minorHAnsi"/>
          <w:szCs w:val="22"/>
        </w:rPr>
        <w:t xml:space="preserve"> mandated </w:t>
      </w:r>
      <w:r w:rsidRPr="003A0CBE">
        <w:rPr>
          <w:rFonts w:eastAsiaTheme="minorHAnsi"/>
          <w:i/>
          <w:szCs w:val="22"/>
        </w:rPr>
        <w:t>The Price Is Right</w:t>
      </w:r>
      <w:r w:rsidRPr="003A0CBE">
        <w:rPr>
          <w:rFonts w:eastAsiaTheme="minorHAnsi"/>
          <w:szCs w:val="22"/>
        </w:rPr>
        <w:t>-style arbitration to resolve such disputes, I would agree with the Commission’s decision in this case because DSNP’s offer was almost certainly too high.</w:t>
      </w:r>
    </w:p>
    <w:p w:rsidR="003A0CBE" w:rsidRPr="003A0CBE" w:rsidRDefault="003A0CBE" w:rsidP="003A0CBE">
      <w:pPr>
        <w:spacing w:after="120"/>
        <w:ind w:firstLine="720"/>
        <w:rPr>
          <w:rFonts w:eastAsiaTheme="minorHAnsi"/>
          <w:szCs w:val="22"/>
        </w:rPr>
      </w:pPr>
      <w:r w:rsidRPr="003A0CBE">
        <w:rPr>
          <w:rFonts w:eastAsiaTheme="minorHAnsi"/>
          <w:szCs w:val="22"/>
        </w:rPr>
        <w:t>But that’s not what the Commission did.  Instead, it required baseball-style arbitration and directed the arbitrator to choose the final offer that “most closely approximates the fair market value of the programming carriage rights at issue.”</w:t>
      </w:r>
      <w:r w:rsidRPr="003A0CBE">
        <w:rPr>
          <w:rFonts w:eastAsiaTheme="minorHAnsi"/>
          <w:szCs w:val="22"/>
          <w:vertAlign w:val="superscript"/>
        </w:rPr>
        <w:footnoteReference w:id="120"/>
      </w:r>
      <w:r w:rsidRPr="003A0CBE">
        <w:rPr>
          <w:rFonts w:eastAsiaTheme="minorHAnsi"/>
          <w:szCs w:val="22"/>
        </w:rPr>
        <w:t xml:space="preserve">  So the key question was whether DSNP’s offer or Armstrong’s offer was closer to the fair market value.  Because the arbitrator, the Media Bureau, and the Commission have not made a reasonable effort to figure out the answer to that question, I respectfully dissent.</w:t>
      </w:r>
    </w:p>
    <w:p w:rsidR="003A0CBE" w:rsidRPr="003A0CBE" w:rsidRDefault="003A0CBE" w:rsidP="003A0CBE">
      <w:pPr>
        <w:keepNext/>
        <w:spacing w:before="240" w:after="120"/>
        <w:jc w:val="center"/>
        <w:rPr>
          <w:rFonts w:eastAsiaTheme="minorHAnsi"/>
          <w:szCs w:val="22"/>
        </w:rPr>
      </w:pPr>
      <w:r w:rsidRPr="003A0CBE">
        <w:rPr>
          <w:rFonts w:eastAsiaTheme="minorHAnsi"/>
          <w:szCs w:val="22"/>
        </w:rPr>
        <w:t>I.</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The appropriate method for resolving this case seems obvious.  The </w:t>
      </w:r>
      <w:r w:rsidRPr="003A0CBE">
        <w:rPr>
          <w:rFonts w:eastAsiaTheme="minorHAnsi"/>
          <w:i/>
          <w:szCs w:val="22"/>
        </w:rPr>
        <w:t>Liberty Media Order</w:t>
      </w:r>
      <w:r w:rsidRPr="003A0CBE">
        <w:rPr>
          <w:rFonts w:eastAsiaTheme="minorHAnsi"/>
          <w:szCs w:val="22"/>
        </w:rPr>
        <w:t xml:space="preserve"> requires us to pick the final offer that “most closely approximates the fair market value of the programming carriage rights at issue.”</w:t>
      </w:r>
      <w:r w:rsidRPr="003A0CBE">
        <w:rPr>
          <w:rFonts w:eastAsiaTheme="minorHAnsi"/>
          <w:szCs w:val="22"/>
          <w:vertAlign w:val="superscript"/>
        </w:rPr>
        <w:footnoteReference w:id="121"/>
      </w:r>
      <w:r w:rsidRPr="003A0CBE">
        <w:rPr>
          <w:rFonts w:eastAsiaTheme="minorHAnsi"/>
          <w:szCs w:val="22"/>
        </w:rPr>
        <w:t xml:space="preserve">  Accordingly, we should start by estimating the fair market value of Armstrong’s carriage of FSNP.  We should then compare that estimated fair market value to the actual offers submitted to the arbitrator by DSNP and Armstrong.  Finally, we should choose whichever party’s offer is closer to our estimated fair market value.</w:t>
      </w:r>
    </w:p>
    <w:p w:rsidR="003A0CBE" w:rsidRPr="003A0CBE" w:rsidRDefault="003A0CBE" w:rsidP="003A0CBE">
      <w:pPr>
        <w:spacing w:after="120"/>
        <w:ind w:firstLine="720"/>
        <w:rPr>
          <w:rFonts w:eastAsiaTheme="minorHAnsi" w:cstheme="minorBidi"/>
          <w:szCs w:val="22"/>
        </w:rPr>
      </w:pPr>
      <w:r w:rsidRPr="003A0CBE">
        <w:rPr>
          <w:rFonts w:eastAsiaTheme="minorHAnsi"/>
          <w:szCs w:val="22"/>
        </w:rPr>
        <w:t>Unfortunately, the decisions of the arbitrator, the Bureau, and the Commission all suffer from the same methodological flaw:  They never attempt to estimate the fair market value of the programming carriage rights at issue.  Indeed, while Commission claims that “</w:t>
      </w:r>
      <w:r w:rsidRPr="003A0CBE">
        <w:rPr>
          <w:rFonts w:eastAsiaTheme="minorHAnsi" w:cstheme="minorBidi"/>
          <w:szCs w:val="22"/>
        </w:rPr>
        <w:t>fair market value by definition is a subjective estimation of what a willing buyer and a willing seller will agree to in an arm’s-length transaction,”</w:t>
      </w:r>
      <w:r w:rsidRPr="003A0CBE">
        <w:rPr>
          <w:rFonts w:eastAsiaTheme="minorHAnsi" w:cstheme="minorBidi"/>
          <w:szCs w:val="22"/>
          <w:vertAlign w:val="superscript"/>
        </w:rPr>
        <w:footnoteReference w:id="122"/>
      </w:r>
      <w:r w:rsidRPr="003A0CBE">
        <w:rPr>
          <w:rFonts w:eastAsiaTheme="minorHAnsi" w:cstheme="minorBidi"/>
          <w:szCs w:val="22"/>
        </w:rPr>
        <w:t xml:space="preserve"> it never bothers to make any subjective or objective estimate of fair market value here.  This cannot be reconciled with the plain terms of the </w:t>
      </w:r>
      <w:r w:rsidRPr="003A0CBE">
        <w:rPr>
          <w:rFonts w:eastAsiaTheme="minorHAnsi" w:cstheme="minorBidi"/>
          <w:i/>
          <w:szCs w:val="22"/>
        </w:rPr>
        <w:t>Liberty Media Order</w:t>
      </w:r>
      <w:r w:rsidRPr="003A0CBE">
        <w:rPr>
          <w:rFonts w:eastAsiaTheme="minorHAnsi" w:cstheme="minorBidi"/>
          <w:szCs w:val="22"/>
        </w:rPr>
        <w:t>, which require the consideration of evidence for the express purpose of “determin[ing] fair market value.”</w:t>
      </w:r>
      <w:r w:rsidRPr="003A0CBE">
        <w:rPr>
          <w:rFonts w:eastAsiaTheme="minorHAnsi" w:cstheme="minorBidi"/>
          <w:szCs w:val="22"/>
          <w:vertAlign w:val="superscript"/>
        </w:rPr>
        <w:footnoteReference w:id="123"/>
      </w:r>
      <w:r w:rsidRPr="003A0CBE">
        <w:rPr>
          <w:rFonts w:eastAsiaTheme="minorHAnsi" w:cstheme="minorBidi"/>
          <w:szCs w:val="22"/>
        </w:rPr>
        <w:t xml:space="preserve">           </w:t>
      </w:r>
    </w:p>
    <w:p w:rsidR="003A0CBE" w:rsidRPr="003A0CBE" w:rsidRDefault="003A0CBE" w:rsidP="003A0CBE">
      <w:pPr>
        <w:spacing w:after="120"/>
        <w:ind w:firstLine="720"/>
        <w:rPr>
          <w:rFonts w:eastAsiaTheme="minorHAnsi"/>
          <w:szCs w:val="22"/>
        </w:rPr>
      </w:pPr>
      <w:r w:rsidRPr="003A0CBE">
        <w:rPr>
          <w:rFonts w:eastAsiaTheme="minorHAnsi"/>
          <w:szCs w:val="22"/>
        </w:rPr>
        <w:t>Instead, like the Bureau, the Commission simply bases its decision on the “principle of marketplace negotiations for RSN programming . . . that an MVPD that has a greater number of subscribers and generates more revenue for an RSN will obtain better rates than an MVPD that has fewer subscribers and generates less revenue for the RSN.”</w:t>
      </w:r>
      <w:r w:rsidRPr="003A0CBE">
        <w:rPr>
          <w:rFonts w:eastAsiaTheme="minorHAnsi"/>
          <w:szCs w:val="22"/>
          <w:vertAlign w:val="superscript"/>
        </w:rPr>
        <w:footnoteReference w:id="124"/>
      </w:r>
      <w:r w:rsidRPr="003A0CBE">
        <w:rPr>
          <w:rFonts w:eastAsiaTheme="minorHAnsi"/>
          <w:szCs w:val="22"/>
        </w:rPr>
        <w:t xml:space="preserve">  But this principle is not tailored to select the offer that most closely approximates fair market value.  In fact, it may result in the selection of the offer that </w:t>
      </w:r>
      <w:r w:rsidRPr="003A0CBE">
        <w:rPr>
          <w:rFonts w:eastAsiaTheme="minorHAnsi"/>
          <w:i/>
          <w:szCs w:val="22"/>
        </w:rPr>
        <w:t>least</w:t>
      </w:r>
      <w:r w:rsidRPr="003A0CBE">
        <w:rPr>
          <w:rFonts w:eastAsiaTheme="minorHAnsi"/>
          <w:szCs w:val="22"/>
        </w:rPr>
        <w:t xml:space="preserve"> corresponds to the fair market value.</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Consider, for example, the 2011 rates that cable operators pay for FSNP in what is known as Zone </w:t>
      </w:r>
      <w:r w:rsidR="005510E4" w:rsidRPr="00430BEA">
        <w:rPr>
          <w:b/>
        </w:rPr>
        <w:t>[</w:t>
      </w:r>
      <w:r w:rsidR="00A41C2F">
        <w:rPr>
          <w:b/>
        </w:rPr>
        <w:t>REDACTED</w:t>
      </w:r>
      <w:r w:rsidR="005510E4" w:rsidRPr="00430BEA">
        <w:rPr>
          <w:b/>
        </w:rPr>
        <w:t>]</w:t>
      </w:r>
      <w:r w:rsidRPr="003A0CBE">
        <w:rPr>
          <w:rFonts w:eastAsiaTheme="minorHAnsi"/>
          <w:szCs w:val="22"/>
        </w:rPr>
        <w:t xml:space="preserve">, the area closest to Pittsburgh.  Comcast, the largest cable operator in the market, paid a rate of </w:t>
      </w:r>
      <w:r w:rsidR="00794512" w:rsidRPr="00430BEA">
        <w:rPr>
          <w:b/>
        </w:rPr>
        <w:t>[</w:t>
      </w:r>
      <w:r w:rsidR="00A41C2F">
        <w:rPr>
          <w:b/>
        </w:rPr>
        <w:t>REDACTED</w:t>
      </w:r>
      <w:r w:rsidR="00794512" w:rsidRPr="00430BEA">
        <w:rPr>
          <w:b/>
        </w:rPr>
        <w:t>]</w:t>
      </w:r>
      <w:r w:rsidR="00794512">
        <w:rPr>
          <w:b/>
        </w:rPr>
        <w:t xml:space="preserve"> </w:t>
      </w:r>
      <w:r w:rsidRPr="003A0CBE">
        <w:rPr>
          <w:rFonts w:eastAsiaTheme="minorHAnsi"/>
          <w:szCs w:val="22"/>
        </w:rPr>
        <w:t>per month.</w:t>
      </w:r>
      <w:r w:rsidRPr="003A0CBE">
        <w:rPr>
          <w:rFonts w:eastAsiaTheme="minorHAnsi"/>
          <w:szCs w:val="22"/>
          <w:vertAlign w:val="superscript"/>
        </w:rPr>
        <w:footnoteReference w:id="125"/>
      </w:r>
      <w:r w:rsidRPr="003A0CBE">
        <w:rPr>
          <w:rFonts w:eastAsiaTheme="minorHAnsi"/>
          <w:szCs w:val="22"/>
        </w:rPr>
        <w:t xml:space="preserve">  </w:t>
      </w:r>
      <w:r w:rsidR="00794512" w:rsidRPr="00430BEA">
        <w:rPr>
          <w:b/>
        </w:rPr>
        <w:t>[</w:t>
      </w:r>
      <w:r w:rsidR="00A41C2F">
        <w:rPr>
          <w:b/>
        </w:rPr>
        <w:t>REDACTED</w:t>
      </w:r>
      <w:r w:rsidR="00794512" w:rsidRPr="00430BEA">
        <w:rPr>
          <w:b/>
        </w:rPr>
        <w:t>]</w:t>
      </w:r>
      <w:r w:rsidRPr="003A0CBE">
        <w:rPr>
          <w:rFonts w:eastAsiaTheme="minorHAnsi"/>
          <w:szCs w:val="22"/>
        </w:rPr>
        <w:t xml:space="preserve">, by contrast, had much smaller presences in the Pittsburgh market, and paid rates of </w:t>
      </w:r>
      <w:r w:rsidR="00794512" w:rsidRPr="00430BEA">
        <w:rPr>
          <w:b/>
        </w:rPr>
        <w:t>[</w:t>
      </w:r>
      <w:r w:rsidR="00A41C2F">
        <w:rPr>
          <w:b/>
        </w:rPr>
        <w:t>REDACTED</w:t>
      </w:r>
      <w:r w:rsidR="00794512" w:rsidRPr="00430BEA">
        <w:rPr>
          <w:b/>
        </w:rPr>
        <w:t>]</w:t>
      </w:r>
      <w:r w:rsidR="00794512">
        <w:rPr>
          <w:b/>
        </w:rPr>
        <w:t xml:space="preserve"> </w:t>
      </w:r>
      <w:r w:rsidRPr="003A0CBE">
        <w:rPr>
          <w:rFonts w:eastAsiaTheme="minorHAnsi"/>
          <w:szCs w:val="22"/>
        </w:rPr>
        <w:t>per month, respectively.</w:t>
      </w:r>
      <w:r w:rsidRPr="003A0CBE">
        <w:rPr>
          <w:rFonts w:eastAsiaTheme="minorHAnsi"/>
          <w:szCs w:val="22"/>
          <w:vertAlign w:val="superscript"/>
        </w:rPr>
        <w:footnoteReference w:id="126"/>
      </w:r>
      <w:r w:rsidRPr="003A0CBE">
        <w:rPr>
          <w:rFonts w:eastAsiaTheme="minorHAnsi"/>
          <w:szCs w:val="22"/>
        </w:rPr>
        <w:t xml:space="preserve">  For its part, Armstrong has considerably fewer subscribers in Pittsburgh than </w:t>
      </w:r>
      <w:r w:rsidR="00712988">
        <w:t>Comcast</w:t>
      </w:r>
      <w:r w:rsidR="00794512">
        <w:rPr>
          <w:b/>
        </w:rPr>
        <w:t xml:space="preserve"> </w:t>
      </w:r>
      <w:r w:rsidRPr="003A0CBE">
        <w:rPr>
          <w:rFonts w:eastAsiaTheme="minorHAnsi"/>
          <w:szCs w:val="22"/>
        </w:rPr>
        <w:t xml:space="preserve">but generates more annual revenues for DSNP than </w:t>
      </w:r>
      <w:r w:rsidR="00794512" w:rsidRPr="00430BEA">
        <w:rPr>
          <w:b/>
        </w:rPr>
        <w:t>[</w:t>
      </w:r>
      <w:r w:rsidR="00A41C2F">
        <w:rPr>
          <w:b/>
        </w:rPr>
        <w:t>REDACTED</w:t>
      </w:r>
      <w:r w:rsidR="00794512" w:rsidRPr="00430BEA">
        <w:rPr>
          <w:b/>
        </w:rPr>
        <w:t>]</w:t>
      </w:r>
      <w:r w:rsidRPr="003A0CBE">
        <w:rPr>
          <w:rFonts w:eastAsiaTheme="minorHAnsi"/>
          <w:szCs w:val="22"/>
        </w:rPr>
        <w:t>.</w:t>
      </w:r>
      <w:r w:rsidRPr="003A0CBE">
        <w:rPr>
          <w:rFonts w:eastAsiaTheme="minorHAnsi"/>
          <w:szCs w:val="22"/>
          <w:vertAlign w:val="superscript"/>
        </w:rPr>
        <w:footnoteReference w:id="127"/>
      </w:r>
    </w:p>
    <w:p w:rsidR="003A0CBE" w:rsidRPr="003A0CBE" w:rsidRDefault="003A0CBE" w:rsidP="003A0CBE">
      <w:pPr>
        <w:spacing w:after="120"/>
        <w:ind w:firstLine="720"/>
        <w:rPr>
          <w:rFonts w:eastAsiaTheme="minorHAnsi"/>
          <w:szCs w:val="22"/>
        </w:rPr>
      </w:pPr>
      <w:r w:rsidRPr="003A0CBE">
        <w:rPr>
          <w:rFonts w:eastAsiaTheme="minorHAnsi"/>
          <w:szCs w:val="22"/>
        </w:rPr>
        <w:t xml:space="preserve">Applying the Commission’s principle, one might expect Armstrong’s rate to be somewhere between </w:t>
      </w:r>
      <w:r w:rsidR="00794512" w:rsidRPr="00430BEA">
        <w:rPr>
          <w:b/>
        </w:rPr>
        <w:t>[</w:t>
      </w:r>
      <w:r w:rsidR="00A41C2F">
        <w:rPr>
          <w:b/>
        </w:rPr>
        <w:t>REDACTED</w:t>
      </w:r>
      <w:r w:rsidR="00794512" w:rsidRPr="00430BEA">
        <w:rPr>
          <w:b/>
        </w:rPr>
        <w:t>]</w:t>
      </w:r>
      <w:r w:rsidRPr="003A0CBE">
        <w:rPr>
          <w:rFonts w:eastAsiaTheme="minorHAnsi"/>
          <w:szCs w:val="22"/>
        </w:rPr>
        <w:t xml:space="preserve"> and </w:t>
      </w:r>
      <w:r w:rsidR="00794512" w:rsidRPr="00430BEA">
        <w:rPr>
          <w:b/>
        </w:rPr>
        <w:t>[</w:t>
      </w:r>
      <w:r w:rsidR="00A41C2F">
        <w:rPr>
          <w:b/>
        </w:rPr>
        <w:t>REDACTED</w:t>
      </w:r>
      <w:r w:rsidR="00794512" w:rsidRPr="00430BEA">
        <w:rPr>
          <w:b/>
        </w:rPr>
        <w:t>]</w:t>
      </w:r>
      <w:r w:rsidR="00794512" w:rsidRPr="003A0CBE">
        <w:rPr>
          <w:rFonts w:eastAsiaTheme="minorHAnsi"/>
          <w:szCs w:val="22"/>
        </w:rPr>
        <w:t xml:space="preserve"> </w:t>
      </w:r>
      <w:r w:rsidRPr="003A0CBE">
        <w:rPr>
          <w:rFonts w:eastAsiaTheme="minorHAnsi"/>
          <w:szCs w:val="22"/>
        </w:rPr>
        <w:t xml:space="preserve">(the lowest of the rates paid by </w:t>
      </w:r>
      <w:r w:rsidR="00794512" w:rsidRPr="00430BEA">
        <w:rPr>
          <w:b/>
        </w:rPr>
        <w:t>[</w:t>
      </w:r>
      <w:r w:rsidR="00A41C2F">
        <w:rPr>
          <w:b/>
        </w:rPr>
        <w:t>REDACTED</w:t>
      </w:r>
      <w:r w:rsidR="00794512" w:rsidRPr="00430BEA">
        <w:rPr>
          <w:b/>
        </w:rPr>
        <w:t>]</w:t>
      </w:r>
      <w:r w:rsidRPr="003A0CBE">
        <w:rPr>
          <w:rFonts w:eastAsiaTheme="minorHAnsi"/>
          <w:szCs w:val="22"/>
        </w:rPr>
        <w:t xml:space="preserve">).  Armstrong’s offer </w:t>
      </w:r>
      <w:r w:rsidR="00794512" w:rsidRPr="00430BEA">
        <w:rPr>
          <w:b/>
        </w:rPr>
        <w:t>[</w:t>
      </w:r>
      <w:r w:rsidR="00A41C2F">
        <w:rPr>
          <w:b/>
        </w:rPr>
        <w:t>REDACTED</w:t>
      </w:r>
      <w:r w:rsidR="00794512" w:rsidRPr="00430BEA">
        <w:rPr>
          <w:b/>
        </w:rPr>
        <w:t>]</w:t>
      </w:r>
      <w:r w:rsidR="00794512">
        <w:rPr>
          <w:b/>
        </w:rPr>
        <w:t xml:space="preserve"> </w:t>
      </w:r>
      <w:r w:rsidRPr="003A0CBE">
        <w:rPr>
          <w:rFonts w:eastAsiaTheme="minorHAnsi"/>
          <w:szCs w:val="22"/>
        </w:rPr>
        <w:t xml:space="preserve">was within that range while DSNP’s was not </w:t>
      </w:r>
      <w:r w:rsidR="00794512" w:rsidRPr="00430BEA">
        <w:rPr>
          <w:b/>
        </w:rPr>
        <w:t>[</w:t>
      </w:r>
      <w:r w:rsidR="00A41C2F">
        <w:rPr>
          <w:b/>
        </w:rPr>
        <w:t>REDACTED</w:t>
      </w:r>
      <w:r w:rsidR="00794512" w:rsidRPr="00430BEA">
        <w:rPr>
          <w:b/>
        </w:rPr>
        <w:t>]</w:t>
      </w:r>
      <w:r w:rsidRPr="003A0CBE">
        <w:rPr>
          <w:rFonts w:eastAsiaTheme="minorHAnsi"/>
          <w:szCs w:val="22"/>
        </w:rPr>
        <w:t>.</w:t>
      </w:r>
      <w:r w:rsidRPr="003A0CBE">
        <w:rPr>
          <w:rFonts w:eastAsiaTheme="minorHAnsi"/>
          <w:szCs w:val="22"/>
          <w:vertAlign w:val="superscript"/>
        </w:rPr>
        <w:footnoteReference w:id="128"/>
      </w:r>
      <w:r w:rsidRPr="003A0CBE">
        <w:rPr>
          <w:rFonts w:eastAsiaTheme="minorHAnsi"/>
          <w:szCs w:val="22"/>
        </w:rPr>
        <w:t xml:space="preserve">  Although this suggests that DSNP’s offer was likely too high, and thus would have been disqualified on </w:t>
      </w:r>
      <w:r w:rsidRPr="003A0CBE">
        <w:rPr>
          <w:rFonts w:eastAsiaTheme="minorHAnsi"/>
          <w:i/>
          <w:szCs w:val="22"/>
        </w:rPr>
        <w:t>The Price Is Right</w:t>
      </w:r>
      <w:r w:rsidRPr="003A0CBE">
        <w:rPr>
          <w:rFonts w:eastAsiaTheme="minorHAnsi"/>
          <w:szCs w:val="22"/>
        </w:rPr>
        <w:t>, does it mean that Armstrong’s offer was closer to fair market value than DSNP’s?  Not necessarily.</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If the fair market value for Armstrong’s carriage were in fact </w:t>
      </w:r>
      <w:r w:rsidR="00794512" w:rsidRPr="00430BEA">
        <w:rPr>
          <w:b/>
        </w:rPr>
        <w:t>[</w:t>
      </w:r>
      <w:r w:rsidR="00A41C2F">
        <w:rPr>
          <w:b/>
        </w:rPr>
        <w:t>REDACTED</w:t>
      </w:r>
      <w:r w:rsidR="00794512" w:rsidRPr="00430BEA">
        <w:rPr>
          <w:b/>
        </w:rPr>
        <w:t>]</w:t>
      </w:r>
      <w:r w:rsidRPr="003A0CBE">
        <w:rPr>
          <w:rFonts w:eastAsiaTheme="minorHAnsi"/>
          <w:szCs w:val="22"/>
        </w:rPr>
        <w:t xml:space="preserve"> a month (a rate consistent with the Commission’s principle), then the Commission should choose DSNP’s offer since it “most closely approximates the fair market value” (deviating by only </w:t>
      </w:r>
      <w:r w:rsidR="00794512" w:rsidRPr="00430BEA">
        <w:rPr>
          <w:b/>
        </w:rPr>
        <w:t>[</w:t>
      </w:r>
      <w:r w:rsidR="00A41C2F">
        <w:rPr>
          <w:b/>
        </w:rPr>
        <w:t>REDACTED</w:t>
      </w:r>
      <w:r w:rsidR="00794512" w:rsidRPr="00430BEA">
        <w:rPr>
          <w:b/>
        </w:rPr>
        <w:t>]</w:t>
      </w:r>
      <w:r w:rsidRPr="003A0CBE">
        <w:rPr>
          <w:rFonts w:eastAsiaTheme="minorHAnsi"/>
          <w:szCs w:val="22"/>
        </w:rPr>
        <w:t xml:space="preserve"> rather than </w:t>
      </w:r>
      <w:r w:rsidR="00794512" w:rsidRPr="00430BEA">
        <w:rPr>
          <w:b/>
        </w:rPr>
        <w:t>[</w:t>
      </w:r>
      <w:r w:rsidR="00A41C2F">
        <w:rPr>
          <w:b/>
        </w:rPr>
        <w:t>REDACTED</w:t>
      </w:r>
      <w:r w:rsidR="00794512" w:rsidRPr="00430BEA">
        <w:rPr>
          <w:b/>
        </w:rPr>
        <w:t>]</w:t>
      </w:r>
      <w:r w:rsidRPr="003A0CBE">
        <w:rPr>
          <w:rFonts w:eastAsiaTheme="minorHAnsi"/>
          <w:szCs w:val="22"/>
        </w:rPr>
        <w:t xml:space="preserve">).  That is true even though DSNP’s offer does not fall within the </w:t>
      </w:r>
      <w:r w:rsidR="00794512" w:rsidRPr="00430BEA">
        <w:rPr>
          <w:b/>
        </w:rPr>
        <w:t>[</w:t>
      </w:r>
      <w:r w:rsidR="00A41C2F">
        <w:rPr>
          <w:b/>
        </w:rPr>
        <w:t>REDACTED</w:t>
      </w:r>
      <w:r w:rsidR="00794512" w:rsidRPr="00430BEA">
        <w:rPr>
          <w:b/>
        </w:rPr>
        <w:t>]</w:t>
      </w:r>
      <w:r w:rsidR="00794512">
        <w:rPr>
          <w:b/>
        </w:rPr>
        <w:t xml:space="preserve"> </w:t>
      </w:r>
      <w:r w:rsidRPr="003A0CBE">
        <w:rPr>
          <w:rFonts w:eastAsiaTheme="minorHAnsi"/>
          <w:szCs w:val="22"/>
        </w:rPr>
        <w:t xml:space="preserve">range consistent with the Commission’s principle, while Armstrong’s offer does.  </w:t>
      </w:r>
    </w:p>
    <w:p w:rsidR="003A0CBE" w:rsidRPr="003A0CBE" w:rsidRDefault="003A0CBE" w:rsidP="003A0CBE">
      <w:pPr>
        <w:spacing w:after="120"/>
        <w:ind w:firstLine="720"/>
        <w:rPr>
          <w:rFonts w:eastAsiaTheme="minorHAnsi"/>
          <w:szCs w:val="22"/>
        </w:rPr>
      </w:pPr>
      <w:r w:rsidRPr="003A0CBE">
        <w:rPr>
          <w:rFonts w:eastAsiaTheme="minorHAnsi"/>
          <w:szCs w:val="22"/>
        </w:rPr>
        <w:t>Similarly problematic was the Bureau’s treatment of several “other rate terms,” such as the renewal rate increase and annual escalator.  The “renewal rate increase” is the rate increase in the first year of the new contract (compared to the old contract).  The “annual escalator” is the percentage rate increase in subsequent years of the new contract.  The Bureau concluded that Armstrong’s proposed renewal rate increase and DNSP’s proposed annual escalator were closer to fair market value—in other words, one point for Armstrong, one point for DSNP.</w:t>
      </w:r>
      <w:r w:rsidRPr="003A0CBE">
        <w:rPr>
          <w:rFonts w:eastAsiaTheme="minorHAnsi"/>
          <w:szCs w:val="22"/>
          <w:vertAlign w:val="superscript"/>
        </w:rPr>
        <w:footnoteReference w:id="129"/>
      </w:r>
      <w:r w:rsidRPr="003A0CBE">
        <w:rPr>
          <w:rFonts w:eastAsiaTheme="minorHAnsi"/>
          <w:szCs w:val="22"/>
        </w:rPr>
        <w:t xml:space="preserve">  And the Commission accepts this treatment here.</w:t>
      </w:r>
    </w:p>
    <w:p w:rsidR="003A0CBE" w:rsidRPr="003A0CBE" w:rsidRDefault="003A0CBE" w:rsidP="003A0CBE">
      <w:pPr>
        <w:spacing w:after="120"/>
        <w:ind w:firstLine="720"/>
        <w:rPr>
          <w:rFonts w:eastAsiaTheme="minorHAnsi"/>
          <w:szCs w:val="22"/>
        </w:rPr>
      </w:pPr>
      <w:r w:rsidRPr="003A0CBE">
        <w:rPr>
          <w:rFonts w:eastAsiaTheme="minorHAnsi"/>
          <w:szCs w:val="22"/>
        </w:rPr>
        <w:t>But these factors have no relevance apart from how they influence rates!  If Armstrong’s offered rates better approximate the fair market value, then what does it matter that DSNP’s annual escalator was more accurate?  Or if DSNP’s offered rates better approximate the fair market value, what does it matter if DSNP’s proposed increase for the first year was too high?  Analyzing these pieces of each company’s rate offer as if they were stand-alone offers may seem to add precision to the process.  But all it does is add arbitrary factors that do not help us figure out whose final offer “most closely approximates the fair market value of the programming carriage rights at issue.”</w:t>
      </w:r>
      <w:r w:rsidRPr="003A0CBE">
        <w:rPr>
          <w:rFonts w:eastAsiaTheme="minorHAnsi"/>
          <w:szCs w:val="22"/>
          <w:vertAlign w:val="superscript"/>
        </w:rPr>
        <w:footnoteReference w:id="130"/>
      </w:r>
      <w:r w:rsidRPr="003A0CBE">
        <w:rPr>
          <w:rFonts w:eastAsiaTheme="minorHAnsi"/>
          <w:szCs w:val="22"/>
        </w:rPr>
        <w:t xml:space="preserve">  The Commission should have corrected the Bureau’s mistake and analyzed these rate terms as part of, not independent from, its determination of whose rates better reflect the fair market value.  This, however, was not done.</w:t>
      </w:r>
    </w:p>
    <w:p w:rsidR="003A0CBE" w:rsidRPr="003A0CBE" w:rsidRDefault="003A0CBE" w:rsidP="003A0CBE">
      <w:pPr>
        <w:keepNext/>
        <w:spacing w:before="240" w:after="120"/>
        <w:jc w:val="center"/>
        <w:rPr>
          <w:rFonts w:eastAsiaTheme="minorHAnsi"/>
          <w:szCs w:val="22"/>
        </w:rPr>
      </w:pPr>
      <w:r w:rsidRPr="003A0CBE">
        <w:rPr>
          <w:rFonts w:eastAsiaTheme="minorHAnsi"/>
          <w:szCs w:val="22"/>
        </w:rPr>
        <w:t>II.</w:t>
      </w:r>
    </w:p>
    <w:p w:rsidR="003A0CBE" w:rsidRPr="003A0CBE" w:rsidRDefault="003A0CBE" w:rsidP="003A0CBE">
      <w:pPr>
        <w:spacing w:after="120"/>
        <w:ind w:firstLine="720"/>
        <w:rPr>
          <w:rFonts w:eastAsiaTheme="minorHAnsi"/>
          <w:szCs w:val="22"/>
        </w:rPr>
      </w:pPr>
      <w:r w:rsidRPr="003A0CBE">
        <w:rPr>
          <w:rFonts w:eastAsiaTheme="minorHAnsi"/>
          <w:szCs w:val="22"/>
        </w:rPr>
        <w:t>So what was the fair market value for Armstrong’s carriage of FSNP?  It is hard to say for sure, but the record offers plausible ways to determine it.  Each favors DSNP’s offer.</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First, we could apply a more sophisticated variant of the Commission’s principle to the Pittsburgh market by comparing the parties’ offered rates to those paid by others in that market.  At the time of the negotiations (2010), Comcast generated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for DSNP, Armstrong generated </w:t>
      </w:r>
      <w:r w:rsidR="00997CE0" w:rsidRPr="00430BEA">
        <w:rPr>
          <w:b/>
        </w:rPr>
        <w:t>[</w:t>
      </w:r>
      <w:r w:rsidR="009C4D70">
        <w:rPr>
          <w:b/>
        </w:rPr>
        <w:t>REDACTED</w:t>
      </w:r>
      <w:r w:rsidR="00997CE0" w:rsidRPr="00430BEA">
        <w:rPr>
          <w:b/>
        </w:rPr>
        <w:t>]</w:t>
      </w:r>
      <w:r w:rsidRPr="003A0CBE">
        <w:rPr>
          <w:rFonts w:eastAsiaTheme="minorHAnsi"/>
          <w:szCs w:val="22"/>
        </w:rPr>
        <w:t xml:space="preserve">, and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generated </w:t>
      </w:r>
      <w:r w:rsidR="00997CE0" w:rsidRPr="00430BEA">
        <w:rPr>
          <w:b/>
        </w:rPr>
        <w:t>[</w:t>
      </w:r>
      <w:r w:rsidR="009C4D70">
        <w:rPr>
          <w:b/>
        </w:rPr>
        <w:t>REDACTED</w:t>
      </w:r>
      <w:r w:rsidR="00997CE0" w:rsidRPr="00430BEA">
        <w:rPr>
          <w:b/>
        </w:rPr>
        <w:t>]</w:t>
      </w:r>
      <w:r w:rsidRPr="003A0CBE">
        <w:rPr>
          <w:rFonts w:eastAsiaTheme="minorHAnsi"/>
          <w:szCs w:val="22"/>
        </w:rPr>
        <w:t>, respectively.</w:t>
      </w:r>
      <w:r w:rsidRPr="003A0CBE">
        <w:rPr>
          <w:rFonts w:eastAsiaTheme="minorHAnsi"/>
          <w:szCs w:val="22"/>
          <w:vertAlign w:val="superscript"/>
        </w:rPr>
        <w:footnoteReference w:id="131"/>
      </w:r>
      <w:r w:rsidRPr="003A0CBE">
        <w:rPr>
          <w:rFonts w:eastAsiaTheme="minorHAnsi"/>
          <w:szCs w:val="22"/>
        </w:rPr>
        <w:t xml:space="preserve">  Accordingly, the fair market value for Armstrong’s carriage of DSNP should be somewhere in between the rates paid by </w:t>
      </w:r>
      <w:r w:rsidR="00997CE0" w:rsidRPr="00430BEA">
        <w:rPr>
          <w:b/>
        </w:rPr>
        <w:t>[</w:t>
      </w:r>
      <w:r w:rsidR="009C4D70">
        <w:rPr>
          <w:b/>
        </w:rPr>
        <w:t>REDACTED</w:t>
      </w:r>
      <w:r w:rsidR="00997CE0" w:rsidRPr="00430BEA">
        <w:rPr>
          <w:b/>
        </w:rPr>
        <w:t>]</w:t>
      </w:r>
      <w:r w:rsidRPr="003A0CBE">
        <w:rPr>
          <w:rFonts w:eastAsiaTheme="minorHAnsi"/>
          <w:szCs w:val="22"/>
        </w:rPr>
        <w:t xml:space="preserve">, on one hand, and those paid by </w:t>
      </w:r>
      <w:r w:rsidR="00997CE0" w:rsidRPr="00430BEA">
        <w:rPr>
          <w:b/>
        </w:rPr>
        <w:t>[</w:t>
      </w:r>
      <w:r w:rsidR="009C4D70">
        <w:rPr>
          <w:b/>
        </w:rPr>
        <w:t>REDACTED</w:t>
      </w:r>
      <w:r w:rsidR="00997CE0" w:rsidRPr="00430BEA">
        <w:rPr>
          <w:b/>
        </w:rPr>
        <w:t>]</w:t>
      </w:r>
      <w:r w:rsidRPr="003A0CBE">
        <w:rPr>
          <w:rFonts w:eastAsiaTheme="minorHAnsi"/>
          <w:szCs w:val="22"/>
        </w:rPr>
        <w:t>, on the other.</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Those figures also indicate, however, that Armstrong’s rates should be closer to the rates paid by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than the rates paid by </w:t>
      </w:r>
      <w:r w:rsidR="00997CE0" w:rsidRPr="00430BEA">
        <w:rPr>
          <w:b/>
        </w:rPr>
        <w:t>[</w:t>
      </w:r>
      <w:r w:rsidR="009C4D70">
        <w:rPr>
          <w:b/>
        </w:rPr>
        <w:t>REDACTED</w:t>
      </w:r>
      <w:r w:rsidR="00997CE0" w:rsidRPr="00430BEA">
        <w:rPr>
          <w:b/>
        </w:rPr>
        <w:t>]</w:t>
      </w:r>
      <w:r w:rsidRPr="003A0CBE">
        <w:rPr>
          <w:rFonts w:eastAsiaTheme="minorHAnsi"/>
          <w:szCs w:val="22"/>
        </w:rPr>
        <w:t xml:space="preserve">.  This is because Armstrong’s generated revenue is far closer to the amount of revenue generated for DSNP by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than the amount produced for DSNP by </w:t>
      </w:r>
      <w:r w:rsidR="00997CE0" w:rsidRPr="00430BEA">
        <w:rPr>
          <w:b/>
        </w:rPr>
        <w:t>[</w:t>
      </w:r>
      <w:r w:rsidR="009C4D70">
        <w:rPr>
          <w:b/>
        </w:rPr>
        <w:t>REDACTED</w:t>
      </w:r>
      <w:r w:rsidR="00997CE0" w:rsidRPr="00430BEA">
        <w:rPr>
          <w:b/>
        </w:rPr>
        <w:t>]</w:t>
      </w:r>
      <w:r w:rsidRPr="003A0CBE">
        <w:rPr>
          <w:rFonts w:eastAsiaTheme="minorHAnsi"/>
          <w:szCs w:val="22"/>
        </w:rPr>
        <w:t xml:space="preserve">.  Breaking down the numbers, in 2010 Comcast generated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more for DSNP than did Armstrong, while Armstrong in 2010 only generated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more than </w:t>
      </w:r>
      <w:r w:rsidR="00997CE0" w:rsidRPr="00430BEA">
        <w:rPr>
          <w:b/>
        </w:rPr>
        <w:t>[</w:t>
      </w:r>
      <w:r w:rsidR="009C4D70">
        <w:rPr>
          <w:b/>
        </w:rPr>
        <w:t>REDACTED</w:t>
      </w:r>
      <w:r w:rsidR="00997CE0" w:rsidRPr="00430BEA">
        <w:rPr>
          <w:b/>
        </w:rPr>
        <w:t>]</w:t>
      </w:r>
      <w:r w:rsidRPr="003A0CBE">
        <w:rPr>
          <w:rFonts w:eastAsiaTheme="minorHAnsi"/>
          <w:szCs w:val="22"/>
        </w:rPr>
        <w:t xml:space="preserve">, </w:t>
      </w:r>
      <w:r w:rsidR="00997CE0" w:rsidRPr="00430BEA">
        <w:rPr>
          <w:b/>
        </w:rPr>
        <w:t>[</w:t>
      </w:r>
      <w:r w:rsidR="009C4D70">
        <w:rPr>
          <w:b/>
        </w:rPr>
        <w:t>REDACTED</w:t>
      </w:r>
      <w:r w:rsidR="00997CE0" w:rsidRPr="00430BEA">
        <w:rPr>
          <w:b/>
        </w:rPr>
        <w:t>]</w:t>
      </w:r>
      <w:r w:rsidR="00997CE0">
        <w:rPr>
          <w:b/>
        </w:rPr>
        <w:t xml:space="preserve"> </w:t>
      </w:r>
      <w:r w:rsidRPr="003A0CBE">
        <w:rPr>
          <w:rFonts w:eastAsiaTheme="minorHAnsi"/>
          <w:szCs w:val="22"/>
        </w:rPr>
        <w:t xml:space="preserve">more than </w:t>
      </w:r>
      <w:r w:rsidR="00997CE0" w:rsidRPr="00430BEA">
        <w:rPr>
          <w:b/>
        </w:rPr>
        <w:t>[</w:t>
      </w:r>
      <w:r w:rsidR="009C4D70">
        <w:rPr>
          <w:b/>
        </w:rPr>
        <w:t>REDACTED</w:t>
      </w:r>
      <w:r w:rsidR="00997CE0" w:rsidRPr="00430BEA">
        <w:rPr>
          <w:b/>
        </w:rPr>
        <w:t>]</w:t>
      </w:r>
      <w:r w:rsidRPr="003A0CBE">
        <w:rPr>
          <w:rFonts w:eastAsiaTheme="minorHAnsi"/>
          <w:szCs w:val="22"/>
        </w:rPr>
        <w:t xml:space="preserve">, and </w:t>
      </w:r>
      <w:r w:rsidR="00997CE0" w:rsidRPr="00430BEA">
        <w:rPr>
          <w:b/>
        </w:rPr>
        <w:t>[</w:t>
      </w:r>
      <w:r w:rsidR="009C4D70">
        <w:rPr>
          <w:b/>
        </w:rPr>
        <w:t>REDACTED</w:t>
      </w:r>
      <w:r w:rsidR="00997CE0" w:rsidRPr="00430BEA">
        <w:rPr>
          <w:b/>
        </w:rPr>
        <w:t>]</w:t>
      </w:r>
      <w:r w:rsidRPr="003A0CBE">
        <w:rPr>
          <w:rFonts w:eastAsiaTheme="minorHAnsi"/>
          <w:szCs w:val="22"/>
        </w:rPr>
        <w:t xml:space="preserve"> than </w:t>
      </w:r>
      <w:r w:rsidR="00997CE0" w:rsidRPr="00430BEA">
        <w:rPr>
          <w:b/>
        </w:rPr>
        <w:t>[</w:t>
      </w:r>
      <w:r w:rsidR="009C4D70">
        <w:rPr>
          <w:b/>
        </w:rPr>
        <w:t>REDACTED</w:t>
      </w:r>
      <w:r w:rsidR="00997CE0" w:rsidRPr="00430BEA">
        <w:rPr>
          <w:b/>
        </w:rPr>
        <w:t>]</w:t>
      </w:r>
      <w:r w:rsidRPr="003A0CBE">
        <w:rPr>
          <w:rFonts w:eastAsiaTheme="minorHAnsi"/>
          <w:szCs w:val="22"/>
        </w:rPr>
        <w:t>.</w:t>
      </w:r>
      <w:r w:rsidRPr="003A0CBE">
        <w:rPr>
          <w:rFonts w:eastAsiaTheme="minorHAnsi"/>
          <w:szCs w:val="22"/>
          <w:vertAlign w:val="superscript"/>
        </w:rPr>
        <w:footnoteReference w:id="132"/>
      </w:r>
    </w:p>
    <w:p w:rsidR="003A0CBE" w:rsidRPr="003A0CBE" w:rsidRDefault="003A0CBE" w:rsidP="003A0CBE">
      <w:pPr>
        <w:spacing w:after="120"/>
        <w:ind w:firstLine="720"/>
        <w:rPr>
          <w:rFonts w:eastAsiaTheme="minorHAnsi"/>
          <w:szCs w:val="22"/>
        </w:rPr>
      </w:pPr>
      <w:r w:rsidRPr="003A0CBE">
        <w:rPr>
          <w:rFonts w:eastAsiaTheme="minorHAnsi"/>
          <w:szCs w:val="22"/>
        </w:rPr>
        <w:t xml:space="preserve">It is therefore notable that Armstrong’s offer contained rates that were far closer to </w:t>
      </w:r>
      <w:r w:rsidR="00F32908" w:rsidRPr="00430BEA">
        <w:rPr>
          <w:b/>
        </w:rPr>
        <w:t>[</w:t>
      </w:r>
      <w:r w:rsidR="009C4D70">
        <w:rPr>
          <w:b/>
        </w:rPr>
        <w:t>REDACTED</w:t>
      </w:r>
      <w:r w:rsidR="00F32908" w:rsidRPr="00430BEA">
        <w:rPr>
          <w:b/>
        </w:rPr>
        <w:t>]</w:t>
      </w:r>
      <w:r w:rsidRPr="003A0CBE">
        <w:rPr>
          <w:rFonts w:eastAsiaTheme="minorHAnsi"/>
          <w:szCs w:val="22"/>
        </w:rPr>
        <w:t xml:space="preserve"> than to </w:t>
      </w:r>
      <w:r w:rsidR="00F32908" w:rsidRPr="00430BEA">
        <w:rPr>
          <w:b/>
        </w:rPr>
        <w:t>[</w:t>
      </w:r>
      <w:r w:rsidR="009C4D70">
        <w:rPr>
          <w:b/>
        </w:rPr>
        <w:t>REDACTED</w:t>
      </w:r>
      <w:r w:rsidR="00F32908" w:rsidRPr="00430BEA">
        <w:rPr>
          <w:b/>
        </w:rPr>
        <w:t>]</w:t>
      </w:r>
      <w:r w:rsidRPr="003A0CBE">
        <w:rPr>
          <w:rFonts w:eastAsiaTheme="minorHAnsi"/>
          <w:szCs w:val="22"/>
        </w:rPr>
        <w:t xml:space="preserve">.  Specifically, while </w:t>
      </w:r>
      <w:r w:rsidR="00F32908" w:rsidRPr="00430BEA">
        <w:rPr>
          <w:b/>
        </w:rPr>
        <w:t>[</w:t>
      </w:r>
      <w:r w:rsidR="009C4D70">
        <w:rPr>
          <w:b/>
        </w:rPr>
        <w:t>REDACTED</w:t>
      </w:r>
      <w:r w:rsidR="00F32908" w:rsidRPr="00430BEA">
        <w:rPr>
          <w:b/>
        </w:rPr>
        <w:t>]</w:t>
      </w:r>
      <w:r w:rsidRPr="003A0CBE">
        <w:rPr>
          <w:rFonts w:eastAsiaTheme="minorHAnsi"/>
          <w:szCs w:val="22"/>
        </w:rPr>
        <w:t xml:space="preserve"> rates were </w:t>
      </w:r>
      <w:r w:rsidR="00F32908" w:rsidRPr="00430BEA">
        <w:rPr>
          <w:b/>
        </w:rPr>
        <w:t>[</w:t>
      </w:r>
      <w:r w:rsidR="009C4D70">
        <w:rPr>
          <w:b/>
        </w:rPr>
        <w:t>REDACTED</w:t>
      </w:r>
      <w:r w:rsidR="00F32908" w:rsidRPr="00430BEA">
        <w:rPr>
          <w:b/>
        </w:rPr>
        <w:t>]</w:t>
      </w:r>
      <w:r w:rsidR="00F32908">
        <w:rPr>
          <w:b/>
        </w:rPr>
        <w:t xml:space="preserve"> </w:t>
      </w:r>
      <w:r w:rsidRPr="003A0CBE">
        <w:rPr>
          <w:rFonts w:eastAsiaTheme="minorHAnsi"/>
          <w:szCs w:val="22"/>
        </w:rPr>
        <w:t xml:space="preserve">Armstrong’s proposed rates, Armstrong’s proposed rates were </w:t>
      </w:r>
      <w:r w:rsidR="00F32908" w:rsidRPr="00430BEA">
        <w:rPr>
          <w:b/>
        </w:rPr>
        <w:t>[</w:t>
      </w:r>
      <w:r w:rsidR="009C4D70">
        <w:rPr>
          <w:b/>
        </w:rPr>
        <w:t>REDACTED</w:t>
      </w:r>
      <w:r w:rsidR="00F32908" w:rsidRPr="00430BEA">
        <w:rPr>
          <w:b/>
        </w:rPr>
        <w:t>]</w:t>
      </w:r>
      <w:r w:rsidRPr="003A0CBE">
        <w:rPr>
          <w:rFonts w:eastAsiaTheme="minorHAnsi"/>
          <w:szCs w:val="22"/>
        </w:rPr>
        <w:t>.</w:t>
      </w:r>
      <w:r w:rsidRPr="003A0CBE">
        <w:rPr>
          <w:rFonts w:eastAsiaTheme="minorHAnsi"/>
          <w:szCs w:val="22"/>
          <w:vertAlign w:val="superscript"/>
        </w:rPr>
        <w:footnoteReference w:id="133"/>
      </w:r>
      <w:r w:rsidRPr="003A0CBE">
        <w:rPr>
          <w:rFonts w:eastAsiaTheme="minorHAnsi"/>
          <w:szCs w:val="22"/>
        </w:rPr>
        <w:t xml:space="preserve">  So if DSNP’s offer was likely too high because it exceeded </w:t>
      </w:r>
      <w:r w:rsidR="00F32908" w:rsidRPr="00430BEA">
        <w:rPr>
          <w:b/>
        </w:rPr>
        <w:t>[</w:t>
      </w:r>
      <w:r w:rsidR="009C4D70">
        <w:rPr>
          <w:b/>
        </w:rPr>
        <w:t>REDACTED</w:t>
      </w:r>
      <w:r w:rsidR="00F32908" w:rsidRPr="00430BEA">
        <w:rPr>
          <w:b/>
        </w:rPr>
        <w:t>]</w:t>
      </w:r>
      <w:r w:rsidRPr="003A0CBE">
        <w:rPr>
          <w:rFonts w:eastAsiaTheme="minorHAnsi"/>
          <w:szCs w:val="22"/>
        </w:rPr>
        <w:t>, Armstrong’s offer was almost surely too low.</w:t>
      </w:r>
      <w:r w:rsidRPr="003A0CBE">
        <w:rPr>
          <w:rFonts w:eastAsiaTheme="minorHAnsi"/>
          <w:szCs w:val="22"/>
          <w:vertAlign w:val="superscript"/>
        </w:rPr>
        <w:footnoteReference w:id="134"/>
      </w:r>
    </w:p>
    <w:p w:rsidR="003A0CBE" w:rsidRPr="003A0CBE" w:rsidRDefault="003A0CBE" w:rsidP="003A0CBE">
      <w:pPr>
        <w:spacing w:after="120"/>
        <w:ind w:firstLine="720"/>
        <w:rPr>
          <w:rFonts w:eastAsiaTheme="minorHAnsi"/>
          <w:szCs w:val="22"/>
        </w:rPr>
      </w:pPr>
      <w:r w:rsidRPr="003A0CBE">
        <w:rPr>
          <w:rFonts w:eastAsiaTheme="minorHAnsi"/>
          <w:szCs w:val="22"/>
        </w:rPr>
        <w:t>This is utterly unsurprising.  After all, the optimal strategy for parties to baseball-style arbitration is for each party to make an offer that is more favorable to its interests than the fair market value.</w:t>
      </w:r>
      <w:r w:rsidRPr="003A0CBE">
        <w:rPr>
          <w:rFonts w:eastAsiaTheme="minorHAnsi"/>
          <w:szCs w:val="22"/>
          <w:vertAlign w:val="superscript"/>
        </w:rPr>
        <w:footnoteReference w:id="135"/>
      </w:r>
      <w:r w:rsidRPr="003A0CBE">
        <w:rPr>
          <w:rFonts w:eastAsiaTheme="minorHAnsi"/>
          <w:szCs w:val="22"/>
        </w:rPr>
        <w:t xml:space="preserve">  The relevant question for the arbitrator, then, is which party’s offer is closer to the fair market value.</w:t>
      </w:r>
    </w:p>
    <w:p w:rsidR="003A0CBE" w:rsidRPr="003A0CBE" w:rsidRDefault="003A0CBE" w:rsidP="003A0CBE">
      <w:pPr>
        <w:spacing w:after="120"/>
        <w:ind w:firstLine="720"/>
        <w:rPr>
          <w:rFonts w:eastAsiaTheme="minorHAnsi"/>
          <w:szCs w:val="22"/>
        </w:rPr>
      </w:pPr>
      <w:r w:rsidRPr="003A0CBE">
        <w:rPr>
          <w:rFonts w:eastAsiaTheme="minorHAnsi"/>
          <w:szCs w:val="22"/>
        </w:rPr>
        <w:t>For example, one could use a linear regression based on the Commission’s principle to approximate fair market value using rates paid to DSNP by other MVPDs and the revenues generated by those MVPDs for DSNP.</w:t>
      </w:r>
      <w:r w:rsidRPr="003A0CBE">
        <w:rPr>
          <w:rFonts w:eastAsiaTheme="minorHAnsi"/>
          <w:szCs w:val="22"/>
          <w:vertAlign w:val="superscript"/>
        </w:rPr>
        <w:footnoteReference w:id="136"/>
      </w:r>
      <w:r w:rsidRPr="003A0CBE">
        <w:rPr>
          <w:rFonts w:eastAsiaTheme="minorHAnsi"/>
          <w:szCs w:val="22"/>
        </w:rPr>
        <w:t xml:space="preserve">  Taking the rate information for six years (2010–2015) and three geographical zones </w:t>
      </w:r>
      <w:r w:rsidR="002B4978" w:rsidRPr="00430BEA">
        <w:rPr>
          <w:b/>
        </w:rPr>
        <w:t>[</w:t>
      </w:r>
      <w:r w:rsidR="009C4D70">
        <w:rPr>
          <w:b/>
        </w:rPr>
        <w:t>REDACTED</w:t>
      </w:r>
      <w:r w:rsidR="002B4978" w:rsidRPr="00430BEA">
        <w:rPr>
          <w:b/>
        </w:rPr>
        <w:t>]</w:t>
      </w:r>
      <w:r w:rsidR="002B4978">
        <w:rPr>
          <w:b/>
        </w:rPr>
        <w:t xml:space="preserve"> </w:t>
      </w:r>
      <w:r w:rsidRPr="003A0CBE">
        <w:rPr>
          <w:rFonts w:eastAsiaTheme="minorHAnsi"/>
          <w:szCs w:val="22"/>
        </w:rPr>
        <w:t>contained in the record,</w:t>
      </w:r>
      <w:r w:rsidRPr="003A0CBE">
        <w:rPr>
          <w:rFonts w:eastAsiaTheme="minorHAnsi"/>
          <w:szCs w:val="22"/>
          <w:vertAlign w:val="superscript"/>
        </w:rPr>
        <w:footnoteReference w:id="137"/>
      </w:r>
      <w:r w:rsidRPr="003A0CBE">
        <w:rPr>
          <w:rFonts w:eastAsiaTheme="minorHAnsi"/>
          <w:szCs w:val="22"/>
        </w:rPr>
        <w:t xml:space="preserve"> I conducted eighteen separate regression analyses to estimate the fair market value for Armstrong’s carriage in each zone for each year.  I then compared the estimated fair market value rate with the rates submitted to the arbitrator by Armstrong and DSNP.  As shown in the tables below, in seventeen of eighteen instances, DSNP’s proposed rate was closer to the estimated fair market value than was Armstrong’s.  In other words, had the Bureau (and the Commission) used a linear regression analysis to estimate the fair market value based on its own principle, it would have found that DSNP’s proposed rates were closer to fair market value than Armstrong’s.  Indeed, the total value of the rates generated by the linear regression analysis was </w:t>
      </w:r>
      <w:r w:rsidR="00E73F5C" w:rsidRPr="001638B3">
        <w:rPr>
          <w:b/>
          <w:szCs w:val="22"/>
        </w:rPr>
        <w:t>[</w:t>
      </w:r>
      <w:r w:rsidR="009C4D70">
        <w:rPr>
          <w:b/>
        </w:rPr>
        <w:t>REDACTED</w:t>
      </w:r>
      <w:r w:rsidR="00E73F5C" w:rsidRPr="001638B3">
        <w:rPr>
          <w:b/>
          <w:szCs w:val="22"/>
        </w:rPr>
        <w:t>]</w:t>
      </w:r>
      <w:r w:rsidRPr="003A0CBE">
        <w:rPr>
          <w:rFonts w:eastAsiaTheme="minorHAnsi"/>
          <w:szCs w:val="22"/>
        </w:rPr>
        <w:t xml:space="preserve">, which is much closer to the value of DSNP’s offer </w:t>
      </w:r>
      <w:r w:rsidR="00CE6D2C" w:rsidRPr="00E041E4">
        <w:rPr>
          <w:rFonts w:eastAsiaTheme="minorHAnsi"/>
          <w:b/>
          <w:szCs w:val="22"/>
        </w:rPr>
        <w:t>[</w:t>
      </w:r>
      <w:r w:rsidR="009C4D70">
        <w:rPr>
          <w:b/>
        </w:rPr>
        <w:t>REDACTED</w:t>
      </w:r>
      <w:r w:rsidR="00E73F5C" w:rsidRPr="001638B3">
        <w:rPr>
          <w:b/>
          <w:szCs w:val="22"/>
        </w:rPr>
        <w:t>]</w:t>
      </w:r>
      <w:r w:rsidRPr="003A0CBE">
        <w:rPr>
          <w:rFonts w:eastAsiaTheme="minorHAnsi"/>
          <w:szCs w:val="22"/>
        </w:rPr>
        <w:t xml:space="preserve"> than Armstrong’s offer </w:t>
      </w:r>
      <w:r w:rsidR="00E73F5C" w:rsidRPr="001638B3">
        <w:rPr>
          <w:b/>
          <w:szCs w:val="22"/>
        </w:rPr>
        <w:t>[</w:t>
      </w:r>
      <w:r w:rsidR="009C4D70">
        <w:rPr>
          <w:b/>
        </w:rPr>
        <w:t>REDACTE</w:t>
      </w:r>
      <w:r w:rsidR="00BF4DA9">
        <w:rPr>
          <w:b/>
        </w:rPr>
        <w:t>D</w:t>
      </w:r>
      <w:r w:rsidR="00E73F5C" w:rsidRPr="001638B3">
        <w:rPr>
          <w:b/>
          <w:szCs w:val="22"/>
        </w:rPr>
        <w:t>]</w:t>
      </w:r>
      <w:r w:rsidRPr="003A0CBE">
        <w:rPr>
          <w:rFonts w:eastAsiaTheme="minorHAnsi"/>
          <w:szCs w:val="22"/>
        </w:rPr>
        <w:t>.</w:t>
      </w:r>
      <w:r w:rsidRPr="003A0CBE">
        <w:rPr>
          <w:rFonts w:eastAsiaTheme="minorHAnsi"/>
          <w:szCs w:val="22"/>
          <w:vertAlign w:val="superscript"/>
        </w:rPr>
        <w:footnoteReference w:id="138"/>
      </w:r>
      <w:r w:rsidRPr="003A0CBE">
        <w:rPr>
          <w:rFonts w:eastAsiaTheme="minorHAnsi"/>
          <w:szCs w:val="22"/>
        </w:rPr>
        <w:t xml:space="preserve">   </w:t>
      </w:r>
    </w:p>
    <w:p w:rsidR="002B4978" w:rsidRPr="003A0CBE" w:rsidRDefault="003A0CBE">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Using a Linear Regression Analysis</w:t>
      </w:r>
      <w:r w:rsidRPr="003A0CBE">
        <w:rPr>
          <w:rFonts w:eastAsiaTheme="minorHAnsi"/>
          <w:szCs w:val="22"/>
          <w:vertAlign w:val="superscript"/>
        </w:rPr>
        <w:footnoteReference w:id="139"/>
      </w:r>
    </w:p>
    <w:tbl>
      <w:tblPr>
        <w:tblStyle w:val="TableGrid1"/>
        <w:tblW w:w="9585" w:type="dxa"/>
        <w:tblLayout w:type="fixed"/>
        <w:tblLook w:val="04A0" w:firstRow="1" w:lastRow="0" w:firstColumn="1" w:lastColumn="0" w:noHBand="0" w:noVBand="1"/>
      </w:tblPr>
      <w:tblGrid>
        <w:gridCol w:w="1368"/>
        <w:gridCol w:w="1350"/>
        <w:gridCol w:w="1350"/>
        <w:gridCol w:w="1440"/>
        <w:gridCol w:w="1350"/>
        <w:gridCol w:w="1350"/>
        <w:gridCol w:w="1377"/>
      </w:tblGrid>
      <w:tr w:rsidR="00FC2B22" w:rsidRPr="003A0CBE" w:rsidTr="00E041E4">
        <w:trPr>
          <w:trHeight w:val="332"/>
        </w:trPr>
        <w:tc>
          <w:tcPr>
            <w:tcW w:w="1368" w:type="dxa"/>
          </w:tcPr>
          <w:p w:rsidR="002B4978" w:rsidRPr="003A0CBE" w:rsidRDefault="00FC2B22" w:rsidP="00E041E4">
            <w:pPr>
              <w:keepNext/>
              <w:rPr>
                <w:rFonts w:ascii="Times New Roman" w:eastAsia="Times New Roman" w:hAnsi="Times New Roman" w:cs="Times New Roman"/>
                <w:b/>
                <w:szCs w:val="20"/>
              </w:rPr>
            </w:pPr>
            <w:r w:rsidRPr="00125341">
              <w:rPr>
                <w:rFonts w:ascii="Times New Roman" w:hAnsi="Times New Roman" w:cs="Times New Roman"/>
                <w:b/>
                <w:sz w:val="18"/>
                <w:szCs w:val="18"/>
              </w:rPr>
              <w:t>[REDACTED]</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44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377"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FC2B22" w:rsidRPr="003A0CBE" w:rsidTr="00E041E4">
        <w:trPr>
          <w:trHeight w:val="260"/>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r w:rsidR="00FC2B22" w:rsidRPr="003A0CBE" w:rsidTr="00E041E4">
        <w:trPr>
          <w:trHeight w:val="251"/>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r>
      <w:tr w:rsidR="00FC2B22" w:rsidRPr="003A0CBE" w:rsidTr="00E041E4">
        <w:trPr>
          <w:trHeight w:val="260"/>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bl>
    <w:p w:rsidR="002B4978" w:rsidRPr="003A0CBE" w:rsidRDefault="002B4978" w:rsidP="00E041E4">
      <w:pPr>
        <w:keepNext/>
        <w:spacing w:after="120"/>
        <w:rPr>
          <w:rFonts w:eastAsiaTheme="minorHAnsi"/>
          <w:szCs w:val="22"/>
        </w:rPr>
      </w:pPr>
    </w:p>
    <w:tbl>
      <w:tblPr>
        <w:tblStyle w:val="TableGrid1"/>
        <w:tblW w:w="9585" w:type="dxa"/>
        <w:tblLayout w:type="fixed"/>
        <w:tblLook w:val="04A0" w:firstRow="1" w:lastRow="0" w:firstColumn="1" w:lastColumn="0" w:noHBand="0" w:noVBand="1"/>
      </w:tblPr>
      <w:tblGrid>
        <w:gridCol w:w="1368"/>
        <w:gridCol w:w="1350"/>
        <w:gridCol w:w="1350"/>
        <w:gridCol w:w="1440"/>
        <w:gridCol w:w="1350"/>
        <w:gridCol w:w="1350"/>
        <w:gridCol w:w="1377"/>
      </w:tblGrid>
      <w:tr w:rsidR="00FC2B22" w:rsidRPr="003A0CBE" w:rsidTr="00E041E4">
        <w:trPr>
          <w:trHeight w:val="332"/>
        </w:trPr>
        <w:tc>
          <w:tcPr>
            <w:tcW w:w="1368" w:type="dxa"/>
          </w:tcPr>
          <w:p w:rsidR="002B4978" w:rsidRPr="003A0CBE" w:rsidRDefault="00FC2B22" w:rsidP="00E041E4">
            <w:pPr>
              <w:keepNext/>
              <w:rPr>
                <w:rFonts w:ascii="Times New Roman" w:eastAsia="Times New Roman" w:hAnsi="Times New Roman" w:cs="Times New Roman"/>
                <w:b/>
                <w:szCs w:val="20"/>
              </w:rPr>
            </w:pPr>
            <w:r w:rsidRPr="00125341">
              <w:rPr>
                <w:rFonts w:ascii="Times New Roman" w:hAnsi="Times New Roman" w:cs="Times New Roman"/>
                <w:b/>
                <w:sz w:val="18"/>
                <w:szCs w:val="18"/>
              </w:rPr>
              <w:t>[REDACTED]</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44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377"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FC2B22" w:rsidRPr="003A0CBE" w:rsidTr="00E041E4">
        <w:trPr>
          <w:trHeight w:val="269"/>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r w:rsidR="00FC2B22" w:rsidRPr="003A0CBE" w:rsidTr="00E041E4">
        <w:trPr>
          <w:trHeight w:val="251"/>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r>
      <w:tr w:rsidR="00FC2B22" w:rsidRPr="003A0CBE" w:rsidTr="00E041E4">
        <w:trPr>
          <w:trHeight w:val="323"/>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77" w:type="dxa"/>
          </w:tcPr>
          <w:p w:rsidR="002B4978"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bl>
    <w:p w:rsidR="002B4978" w:rsidRPr="003A0CBE" w:rsidRDefault="002B4978" w:rsidP="00E041E4">
      <w:pPr>
        <w:keepNext/>
        <w:spacing w:after="120"/>
        <w:rPr>
          <w:rFonts w:eastAsiaTheme="minorHAnsi"/>
          <w:szCs w:val="22"/>
        </w:rPr>
      </w:pPr>
    </w:p>
    <w:tbl>
      <w:tblPr>
        <w:tblStyle w:val="TableGrid1"/>
        <w:tblW w:w="9558" w:type="dxa"/>
        <w:tblLayout w:type="fixed"/>
        <w:tblLook w:val="04A0" w:firstRow="1" w:lastRow="0" w:firstColumn="1" w:lastColumn="0" w:noHBand="0" w:noVBand="1"/>
      </w:tblPr>
      <w:tblGrid>
        <w:gridCol w:w="1368"/>
        <w:gridCol w:w="1350"/>
        <w:gridCol w:w="1350"/>
        <w:gridCol w:w="1440"/>
        <w:gridCol w:w="1350"/>
        <w:gridCol w:w="1350"/>
        <w:gridCol w:w="1350"/>
      </w:tblGrid>
      <w:tr w:rsidR="00FC2B22" w:rsidRPr="003A0CBE" w:rsidTr="00E041E4">
        <w:trPr>
          <w:trHeight w:val="332"/>
        </w:trPr>
        <w:tc>
          <w:tcPr>
            <w:tcW w:w="1368" w:type="dxa"/>
          </w:tcPr>
          <w:p w:rsidR="00FC2B22" w:rsidRPr="003A0CBE" w:rsidRDefault="00FC2B22" w:rsidP="00E041E4">
            <w:pPr>
              <w:keepNext/>
              <w:rPr>
                <w:rFonts w:ascii="Times New Roman" w:eastAsia="Times New Roman" w:hAnsi="Times New Roman" w:cs="Times New Roman"/>
                <w:b/>
                <w:szCs w:val="20"/>
              </w:rPr>
            </w:pPr>
            <w:r w:rsidRPr="00125341">
              <w:rPr>
                <w:rFonts w:ascii="Times New Roman" w:hAnsi="Times New Roman" w:cs="Times New Roman"/>
                <w:b/>
                <w:sz w:val="18"/>
                <w:szCs w:val="18"/>
              </w:rPr>
              <w:t>[REDACTED]</w:t>
            </w:r>
          </w:p>
        </w:tc>
        <w:tc>
          <w:tcPr>
            <w:tcW w:w="135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35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44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35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35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350" w:type="dxa"/>
          </w:tcPr>
          <w:p w:rsidR="00FC2B22" w:rsidRPr="003A0CBE" w:rsidRDefault="00FC2B22"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FC2B22" w:rsidRPr="003A0CBE" w:rsidTr="00E041E4">
        <w:trPr>
          <w:trHeight w:val="296"/>
        </w:trPr>
        <w:tc>
          <w:tcPr>
            <w:tcW w:w="1368" w:type="dxa"/>
          </w:tcPr>
          <w:p w:rsidR="00FC2B22" w:rsidRPr="003A0CBE" w:rsidRDefault="00FC2B22"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r w:rsidR="00FC2B22" w:rsidRPr="003A0CBE" w:rsidTr="00E041E4">
        <w:trPr>
          <w:trHeight w:val="314"/>
        </w:trPr>
        <w:tc>
          <w:tcPr>
            <w:tcW w:w="1368" w:type="dxa"/>
          </w:tcPr>
          <w:p w:rsidR="00FC2B22" w:rsidRPr="003A0CBE" w:rsidRDefault="00FC2B22"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35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44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b/>
                <w:sz w:val="16"/>
                <w:szCs w:val="16"/>
                <w:u w:val="single"/>
              </w:rPr>
            </w:pPr>
            <w:r w:rsidRPr="00E041E4">
              <w:rPr>
                <w:b/>
                <w:sz w:val="16"/>
                <w:szCs w:val="16"/>
              </w:rPr>
              <w:t>[REDACTED]</w:t>
            </w:r>
          </w:p>
        </w:tc>
      </w:tr>
      <w:tr w:rsidR="00FC2B22" w:rsidRPr="003A0CBE" w:rsidTr="00E041E4">
        <w:trPr>
          <w:trHeight w:val="269"/>
        </w:trPr>
        <w:tc>
          <w:tcPr>
            <w:tcW w:w="1368" w:type="dxa"/>
          </w:tcPr>
          <w:p w:rsidR="00FC2B22" w:rsidRPr="003A0CBE" w:rsidRDefault="00FC2B22"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FC2B22" w:rsidRPr="00E041E4" w:rsidRDefault="00FC2B22" w:rsidP="00E041E4">
            <w:pPr>
              <w:keepNext/>
              <w:jc w:val="center"/>
              <w:rPr>
                <w:rFonts w:ascii="Times New Roman" w:hAnsi="Times New Roman" w:cs="Times New Roman"/>
                <w:sz w:val="16"/>
                <w:szCs w:val="16"/>
              </w:rPr>
            </w:pPr>
            <w:r w:rsidRPr="00E041E4">
              <w:rPr>
                <w:b/>
                <w:sz w:val="16"/>
                <w:szCs w:val="16"/>
              </w:rPr>
              <w:t>[REDACTED]</w:t>
            </w:r>
          </w:p>
        </w:tc>
      </w:tr>
    </w:tbl>
    <w:p w:rsidR="003A0CBE" w:rsidRPr="003A0CBE" w:rsidRDefault="009C4D70" w:rsidP="00E041E4">
      <w:pPr>
        <w:keepNext/>
        <w:spacing w:before="240" w:after="240"/>
        <w:rPr>
          <w:rFonts w:eastAsiaTheme="minorHAnsi"/>
          <w:szCs w:val="22"/>
        </w:rPr>
      </w:pPr>
      <w:r>
        <w:rPr>
          <w:b/>
          <w:szCs w:val="22"/>
        </w:rPr>
        <w:tab/>
      </w:r>
      <w:r w:rsidR="003A0CBE" w:rsidRPr="003A0CBE">
        <w:rPr>
          <w:rFonts w:eastAsiaTheme="minorHAnsi"/>
          <w:szCs w:val="22"/>
        </w:rPr>
        <w:t>To be sure, the Commission suggests that there may not be a simple linear relationship between rates and the revenues generated for DSNP by an MVPD.</w:t>
      </w:r>
      <w:r w:rsidR="003A0CBE" w:rsidRPr="003A0CBE">
        <w:rPr>
          <w:rFonts w:eastAsiaTheme="minorHAnsi"/>
          <w:szCs w:val="22"/>
          <w:vertAlign w:val="superscript"/>
        </w:rPr>
        <w:footnoteReference w:id="140"/>
      </w:r>
      <w:r w:rsidR="003A0CBE" w:rsidRPr="003A0CBE">
        <w:rPr>
          <w:rFonts w:eastAsiaTheme="minorHAnsi"/>
          <w:szCs w:val="22"/>
        </w:rPr>
        <w:t xml:space="preserve">  However, the r-squared statistic, which measures how well data fits the linear regression, is very strong here.  A perfect r-squared is 1, and of the 18 regressions described above, 6 of them have an r-squared of at least </w:t>
      </w:r>
      <w:r w:rsidR="00A040B9">
        <w:rPr>
          <w:szCs w:val="22"/>
        </w:rPr>
        <w:t>0.99</w:t>
      </w:r>
      <w:r w:rsidR="003A0CBE" w:rsidRPr="003A0CBE">
        <w:rPr>
          <w:rFonts w:eastAsiaTheme="minorHAnsi"/>
          <w:szCs w:val="22"/>
        </w:rPr>
        <w:t xml:space="preserve">, 10 have an r-squared of at least </w:t>
      </w:r>
      <w:r w:rsidR="00A040B9">
        <w:rPr>
          <w:szCs w:val="22"/>
        </w:rPr>
        <w:t>0.98</w:t>
      </w:r>
      <w:r w:rsidR="003A0CBE" w:rsidRPr="003A0CBE">
        <w:rPr>
          <w:rFonts w:eastAsiaTheme="minorHAnsi"/>
          <w:szCs w:val="22"/>
        </w:rPr>
        <w:t>, 15 have an r-squared of at least</w:t>
      </w:r>
      <w:r w:rsidR="00A040B9">
        <w:rPr>
          <w:szCs w:val="22"/>
        </w:rPr>
        <w:t xml:space="preserve"> 0.95</w:t>
      </w:r>
      <w:r w:rsidR="003A0CBE" w:rsidRPr="003A0CBE">
        <w:rPr>
          <w:rFonts w:eastAsiaTheme="minorHAnsi"/>
          <w:szCs w:val="22"/>
        </w:rPr>
        <w:t xml:space="preserve">, and the lowest r-squared is still </w:t>
      </w:r>
      <w:r w:rsidR="00A040B9">
        <w:rPr>
          <w:szCs w:val="22"/>
        </w:rPr>
        <w:t>0.82</w:t>
      </w:r>
      <w:r w:rsidR="003A0CBE" w:rsidRPr="003A0CBE">
        <w:rPr>
          <w:rFonts w:eastAsiaTheme="minorHAnsi"/>
          <w:szCs w:val="22"/>
        </w:rPr>
        <w:t>.  In short, there is strong evidence that as revenues generated increase, rates rise with them.</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But let’s say for the sake of argument that the relationship between rates and revenues generated is not a linear one.  Rather, let’s make an assumption that is </w:t>
      </w:r>
      <w:r w:rsidRPr="003A0CBE">
        <w:rPr>
          <w:rFonts w:eastAsiaTheme="minorHAnsi"/>
          <w:i/>
          <w:szCs w:val="22"/>
        </w:rPr>
        <w:t>extremely favorable to Armstrong’s position</w:t>
      </w:r>
      <w:r w:rsidRPr="003A0CBE">
        <w:rPr>
          <w:rFonts w:eastAsiaTheme="minorHAnsi"/>
          <w:szCs w:val="22"/>
        </w:rPr>
        <w:t xml:space="preserve">: that the relationship between rates and revenues is logarithmic.  This would mean that volume discounts are initially steep but then taper off as revenues continue to grow.  If Armstrong cannot prevail under a logarithmic regression analysis, then it is difficult to conceive of a reasonable statistical relationship between rates and revenues that would result in Armstrong’s offer ending up closer to fair market value.  </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So what are the results under this hypothesis?  As shown in the tables below, in the substantial majority of cases (13 of 18), DSNP’s proposed rate is closer to the estimated fair market value than is Armstrong’s.  In other words, even had the Bureau (and the Commission) used a logarithmic regression analysis to estimate the fair market value, it would have found that DSNP’s proposed rates were closer to fair market value than Armstrong’s.  That is because the total value of the rates generated by the logarithmic regression analysis was </w:t>
      </w:r>
      <w:r w:rsidR="00E73F5C" w:rsidRPr="001638B3">
        <w:rPr>
          <w:b/>
          <w:szCs w:val="22"/>
        </w:rPr>
        <w:t>[</w:t>
      </w:r>
      <w:r w:rsidR="009C4D70">
        <w:rPr>
          <w:b/>
        </w:rPr>
        <w:t>REDACTED</w:t>
      </w:r>
      <w:r w:rsidR="00E73F5C" w:rsidRPr="001638B3">
        <w:rPr>
          <w:b/>
          <w:szCs w:val="22"/>
        </w:rPr>
        <w:t>]</w:t>
      </w:r>
      <w:r w:rsidRPr="003A0CBE">
        <w:rPr>
          <w:rFonts w:eastAsiaTheme="minorHAnsi"/>
          <w:szCs w:val="22"/>
        </w:rPr>
        <w:t xml:space="preserve">, which is significantly closer to the value of DSNP’s offer </w:t>
      </w:r>
      <w:r w:rsidR="00E73F5C" w:rsidRPr="001638B3">
        <w:rPr>
          <w:b/>
          <w:szCs w:val="22"/>
        </w:rPr>
        <w:t>[</w:t>
      </w:r>
      <w:r w:rsidR="009C4D70">
        <w:rPr>
          <w:b/>
        </w:rPr>
        <w:t>REDACTED</w:t>
      </w:r>
      <w:r w:rsidR="00E73F5C" w:rsidRPr="001638B3">
        <w:rPr>
          <w:b/>
          <w:szCs w:val="22"/>
        </w:rPr>
        <w:t>]</w:t>
      </w:r>
      <w:r w:rsidRPr="003A0CBE">
        <w:rPr>
          <w:rFonts w:eastAsiaTheme="minorHAnsi"/>
          <w:szCs w:val="22"/>
        </w:rPr>
        <w:t xml:space="preserve"> than Armstrong’s offer </w:t>
      </w:r>
      <w:r w:rsidR="00E73F5C" w:rsidRPr="001638B3">
        <w:rPr>
          <w:b/>
          <w:szCs w:val="22"/>
        </w:rPr>
        <w:t>[</w:t>
      </w:r>
      <w:r w:rsidR="009C4D70">
        <w:rPr>
          <w:b/>
        </w:rPr>
        <w:t>REDACTED</w:t>
      </w:r>
      <w:r w:rsidR="00E73F5C" w:rsidRPr="001638B3">
        <w:rPr>
          <w:b/>
          <w:szCs w:val="22"/>
        </w:rPr>
        <w:t>]</w:t>
      </w:r>
      <w:r w:rsidRPr="003A0CBE">
        <w:rPr>
          <w:rFonts w:eastAsiaTheme="minorHAnsi"/>
          <w:szCs w:val="22"/>
        </w:rPr>
        <w:t>.</w:t>
      </w:r>
      <w:r w:rsidRPr="003A0CBE">
        <w:rPr>
          <w:rFonts w:eastAsiaTheme="minorHAnsi"/>
          <w:szCs w:val="22"/>
          <w:vertAlign w:val="superscript"/>
        </w:rPr>
        <w:footnoteReference w:id="141"/>
      </w:r>
      <w:r w:rsidRPr="003A0CBE">
        <w:rPr>
          <w:rFonts w:eastAsiaTheme="minorHAnsi"/>
          <w:szCs w:val="22"/>
        </w:rPr>
        <w:t xml:space="preserve">     </w:t>
      </w:r>
    </w:p>
    <w:p w:rsidR="002B4978" w:rsidRPr="003A0CBE" w:rsidRDefault="003A0CBE">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Using a Logarithmic Regression Analysis</w:t>
      </w:r>
      <w:r w:rsidRPr="003A0CBE">
        <w:rPr>
          <w:rFonts w:eastAsiaTheme="minorHAnsi"/>
          <w:szCs w:val="22"/>
          <w:vertAlign w:val="superscript"/>
        </w:rPr>
        <w:footnoteReference w:id="142"/>
      </w:r>
    </w:p>
    <w:tbl>
      <w:tblPr>
        <w:tblStyle w:val="TableGrid1"/>
        <w:tblW w:w="9558" w:type="dxa"/>
        <w:tblLayout w:type="fixed"/>
        <w:tblLook w:val="04A0" w:firstRow="1" w:lastRow="0" w:firstColumn="1" w:lastColumn="0" w:noHBand="0" w:noVBand="1"/>
      </w:tblPr>
      <w:tblGrid>
        <w:gridCol w:w="1368"/>
        <w:gridCol w:w="1350"/>
        <w:gridCol w:w="1350"/>
        <w:gridCol w:w="1440"/>
        <w:gridCol w:w="1350"/>
        <w:gridCol w:w="1350"/>
        <w:gridCol w:w="1350"/>
      </w:tblGrid>
      <w:tr w:rsidR="00AB3A87" w:rsidRPr="003A0CBE" w:rsidTr="00E041E4">
        <w:trPr>
          <w:trHeight w:val="332"/>
        </w:trPr>
        <w:tc>
          <w:tcPr>
            <w:tcW w:w="1368" w:type="dxa"/>
          </w:tcPr>
          <w:p w:rsidR="002B4978" w:rsidRPr="00E041E4" w:rsidRDefault="00AB3A87" w:rsidP="00E041E4">
            <w:pPr>
              <w:keepNext/>
              <w:rPr>
                <w:rFonts w:ascii="Times New Roman" w:hAnsi="Times New Roman" w:cs="Times New Roman"/>
                <w:b/>
                <w:sz w:val="18"/>
                <w:szCs w:val="18"/>
              </w:rPr>
            </w:pPr>
            <w:r w:rsidRPr="00E041E4">
              <w:rPr>
                <w:b/>
                <w:sz w:val="18"/>
                <w:szCs w:val="18"/>
              </w:rPr>
              <w:t>[REDACTED]</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44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AB3A87" w:rsidRPr="003A0CBE" w:rsidTr="00E041E4">
        <w:trPr>
          <w:trHeight w:val="269"/>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r>
      <w:tr w:rsidR="00AB3A87" w:rsidRPr="003A0CBE" w:rsidTr="00E041E4">
        <w:trPr>
          <w:trHeight w:val="278"/>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r>
      <w:tr w:rsidR="00AB3A87" w:rsidRPr="003A0CBE" w:rsidTr="00E041E4">
        <w:trPr>
          <w:trHeight w:val="188"/>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r>
    </w:tbl>
    <w:p w:rsidR="002B4978" w:rsidRPr="003A0CBE" w:rsidRDefault="002B4978" w:rsidP="00E041E4">
      <w:pPr>
        <w:keepNext/>
        <w:spacing w:after="120"/>
        <w:rPr>
          <w:rFonts w:eastAsiaTheme="minorHAnsi"/>
          <w:szCs w:val="22"/>
        </w:rPr>
      </w:pPr>
    </w:p>
    <w:tbl>
      <w:tblPr>
        <w:tblStyle w:val="TableGrid1"/>
        <w:tblW w:w="9596" w:type="dxa"/>
        <w:tblLayout w:type="fixed"/>
        <w:tblLook w:val="04A0" w:firstRow="1" w:lastRow="0" w:firstColumn="1" w:lastColumn="0" w:noHBand="0" w:noVBand="1"/>
      </w:tblPr>
      <w:tblGrid>
        <w:gridCol w:w="1368"/>
        <w:gridCol w:w="1350"/>
        <w:gridCol w:w="1350"/>
        <w:gridCol w:w="1440"/>
        <w:gridCol w:w="1350"/>
        <w:gridCol w:w="1350"/>
        <w:gridCol w:w="1388"/>
      </w:tblGrid>
      <w:tr w:rsidR="00AB3A87" w:rsidRPr="003A0CBE" w:rsidTr="00E041E4">
        <w:trPr>
          <w:trHeight w:val="341"/>
        </w:trPr>
        <w:tc>
          <w:tcPr>
            <w:tcW w:w="1368" w:type="dxa"/>
          </w:tcPr>
          <w:p w:rsidR="002B4978" w:rsidRPr="003A0CBE" w:rsidRDefault="00AB3A87" w:rsidP="00E041E4">
            <w:pPr>
              <w:keepNext/>
              <w:rPr>
                <w:rFonts w:ascii="Times New Roman" w:eastAsia="Times New Roman" w:hAnsi="Times New Roman" w:cs="Times New Roman"/>
                <w:b/>
                <w:szCs w:val="20"/>
              </w:rPr>
            </w:pPr>
            <w:r w:rsidRPr="00BE5119">
              <w:rPr>
                <w:rFonts w:ascii="Times New Roman" w:hAnsi="Times New Roman" w:cs="Times New Roman"/>
                <w:b/>
                <w:sz w:val="18"/>
                <w:szCs w:val="18"/>
              </w:rPr>
              <w:t>[REDACTED]</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44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350"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388"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AB3A87" w:rsidRPr="003A0CBE" w:rsidTr="00E041E4">
        <w:trPr>
          <w:trHeight w:val="278"/>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88"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r>
      <w:tr w:rsidR="00AB3A87" w:rsidRPr="003A0CBE" w:rsidTr="00E041E4">
        <w:trPr>
          <w:trHeight w:val="197"/>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c>
          <w:tcPr>
            <w:tcW w:w="1388" w:type="dxa"/>
          </w:tcPr>
          <w:p w:rsidR="002B4978" w:rsidRPr="00E041E4" w:rsidRDefault="00AB3A87" w:rsidP="00E041E4">
            <w:pPr>
              <w:keepNext/>
              <w:jc w:val="center"/>
              <w:rPr>
                <w:rFonts w:ascii="Times New Roman" w:hAnsi="Times New Roman" w:cs="Times New Roman"/>
                <w:b/>
                <w:sz w:val="16"/>
                <w:szCs w:val="16"/>
                <w:u w:val="single"/>
              </w:rPr>
            </w:pPr>
            <w:r w:rsidRPr="00E041E4">
              <w:rPr>
                <w:b/>
                <w:sz w:val="16"/>
                <w:szCs w:val="16"/>
              </w:rPr>
              <w:t>[REDACTED]</w:t>
            </w:r>
          </w:p>
        </w:tc>
      </w:tr>
      <w:tr w:rsidR="00AB3A87" w:rsidRPr="003A0CBE" w:rsidTr="00E041E4">
        <w:trPr>
          <w:trHeight w:val="269"/>
        </w:trPr>
        <w:tc>
          <w:tcPr>
            <w:tcW w:w="1368"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44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50"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c>
          <w:tcPr>
            <w:tcW w:w="1388" w:type="dxa"/>
          </w:tcPr>
          <w:p w:rsidR="002B4978" w:rsidRPr="00E041E4" w:rsidRDefault="00AB3A87" w:rsidP="00E041E4">
            <w:pPr>
              <w:keepNext/>
              <w:jc w:val="center"/>
              <w:rPr>
                <w:rFonts w:ascii="Times New Roman" w:hAnsi="Times New Roman" w:cs="Times New Roman"/>
                <w:sz w:val="16"/>
                <w:szCs w:val="16"/>
              </w:rPr>
            </w:pPr>
            <w:r w:rsidRPr="00E041E4">
              <w:rPr>
                <w:b/>
                <w:sz w:val="16"/>
                <w:szCs w:val="16"/>
              </w:rPr>
              <w:t>[REDACTED]</w:t>
            </w:r>
          </w:p>
        </w:tc>
      </w:tr>
    </w:tbl>
    <w:p w:rsidR="002B4978" w:rsidRPr="003A0CBE" w:rsidRDefault="002B4978" w:rsidP="00E041E4">
      <w:pPr>
        <w:keepNext/>
        <w:spacing w:after="120"/>
        <w:rPr>
          <w:rFonts w:eastAsiaTheme="minorHAnsi"/>
          <w:szCs w:val="22"/>
        </w:rPr>
      </w:pPr>
    </w:p>
    <w:tbl>
      <w:tblPr>
        <w:tblStyle w:val="TableGrid1"/>
        <w:tblW w:w="9687" w:type="dxa"/>
        <w:tblLayout w:type="fixed"/>
        <w:tblLook w:val="04A0" w:firstRow="1" w:lastRow="0" w:firstColumn="1" w:lastColumn="0" w:noHBand="0" w:noVBand="1"/>
      </w:tblPr>
      <w:tblGrid>
        <w:gridCol w:w="1383"/>
        <w:gridCol w:w="1384"/>
        <w:gridCol w:w="1384"/>
        <w:gridCol w:w="1384"/>
        <w:gridCol w:w="1384"/>
        <w:gridCol w:w="1384"/>
        <w:gridCol w:w="1384"/>
      </w:tblGrid>
      <w:tr w:rsidR="0035512C" w:rsidRPr="003A0CBE" w:rsidTr="00E041E4">
        <w:tc>
          <w:tcPr>
            <w:tcW w:w="1714" w:type="dxa"/>
          </w:tcPr>
          <w:p w:rsidR="002B4978" w:rsidRPr="00E041E4" w:rsidRDefault="0035512C" w:rsidP="00E041E4">
            <w:pPr>
              <w:keepNext/>
              <w:tabs>
                <w:tab w:val="left" w:pos="1350"/>
              </w:tabs>
              <w:ind w:right="-108"/>
              <w:rPr>
                <w:rFonts w:ascii="Times New Roman" w:hAnsi="Times New Roman" w:cs="Times New Roman"/>
                <w:b/>
                <w:sz w:val="18"/>
                <w:szCs w:val="18"/>
              </w:rPr>
            </w:pPr>
            <w:r w:rsidRPr="00FB6BF1">
              <w:rPr>
                <w:b/>
                <w:sz w:val="18"/>
                <w:szCs w:val="18"/>
              </w:rPr>
              <w:t>[REDACTED]</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2010</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2011</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2012</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2013</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2014</w:t>
            </w:r>
          </w:p>
        </w:tc>
        <w:tc>
          <w:tcPr>
            <w:tcW w:w="1714" w:type="dxa"/>
          </w:tcPr>
          <w:p w:rsidR="002B4978" w:rsidRPr="003A0CBE" w:rsidRDefault="002B4978" w:rsidP="00E041E4">
            <w:pPr>
              <w:keepNext/>
              <w:jc w:val="center"/>
              <w:rPr>
                <w:rFonts w:ascii="Times New Roman" w:eastAsia="Times New Roman" w:hAnsi="Times New Roman" w:cs="Times New Roman"/>
                <w:b/>
                <w:szCs w:val="20"/>
              </w:rPr>
            </w:pPr>
            <w:r w:rsidRPr="003A0CBE">
              <w:rPr>
                <w:rFonts w:ascii="Times New Roman" w:hAnsi="Times New Roman" w:cs="Times New Roman"/>
                <w:b/>
              </w:rPr>
              <w:t>2015</w:t>
            </w:r>
          </w:p>
        </w:tc>
      </w:tr>
      <w:tr w:rsidR="0035512C" w:rsidRPr="003A0CBE" w:rsidTr="00E041E4">
        <w:tc>
          <w:tcPr>
            <w:tcW w:w="1714"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Armstrong</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r>
      <w:tr w:rsidR="0035512C" w:rsidRPr="003A0CBE" w:rsidTr="00E041E4">
        <w:tc>
          <w:tcPr>
            <w:tcW w:w="1714"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DSNP</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b/>
                <w:sz w:val="16"/>
                <w:szCs w:val="16"/>
                <w:u w:val="single"/>
              </w:rPr>
            </w:pPr>
            <w:r w:rsidRPr="00E041E4">
              <w:rPr>
                <w:b/>
                <w:sz w:val="16"/>
                <w:szCs w:val="16"/>
              </w:rPr>
              <w:t>[REDACTED]</w:t>
            </w:r>
          </w:p>
        </w:tc>
      </w:tr>
      <w:tr w:rsidR="0035512C" w:rsidRPr="003A0CBE" w:rsidTr="00E041E4">
        <w:tc>
          <w:tcPr>
            <w:tcW w:w="1714" w:type="dxa"/>
          </w:tcPr>
          <w:p w:rsidR="002B4978" w:rsidRPr="003A0CBE" w:rsidRDefault="002B4978" w:rsidP="00E041E4">
            <w:pPr>
              <w:keepNext/>
              <w:rPr>
                <w:rFonts w:ascii="Times New Roman" w:eastAsia="Times New Roman" w:hAnsi="Times New Roman" w:cs="Times New Roman"/>
                <w:b/>
                <w:szCs w:val="20"/>
              </w:rPr>
            </w:pPr>
            <w:r w:rsidRPr="003A0CBE">
              <w:rPr>
                <w:rFonts w:ascii="Times New Roman" w:hAnsi="Times New Roman" w:cs="Times New Roman"/>
                <w:b/>
              </w:rPr>
              <w:t>FMV</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c>
          <w:tcPr>
            <w:tcW w:w="1714" w:type="dxa"/>
          </w:tcPr>
          <w:p w:rsidR="002B4978" w:rsidRPr="00E041E4" w:rsidRDefault="0035512C" w:rsidP="00E041E4">
            <w:pPr>
              <w:keepNext/>
              <w:jc w:val="center"/>
              <w:rPr>
                <w:rFonts w:ascii="Times New Roman" w:hAnsi="Times New Roman" w:cs="Times New Roman"/>
                <w:sz w:val="16"/>
                <w:szCs w:val="16"/>
              </w:rPr>
            </w:pPr>
            <w:r w:rsidRPr="00E041E4">
              <w:rPr>
                <w:b/>
                <w:sz w:val="16"/>
                <w:szCs w:val="16"/>
              </w:rPr>
              <w:t>[REDACTED]</w:t>
            </w:r>
          </w:p>
        </w:tc>
      </w:tr>
    </w:tbl>
    <w:p w:rsidR="003A0CBE" w:rsidRPr="003A0CBE" w:rsidRDefault="005E6744" w:rsidP="00E041E4">
      <w:pPr>
        <w:keepNext/>
        <w:spacing w:before="240" w:after="240"/>
        <w:rPr>
          <w:rFonts w:eastAsiaTheme="minorHAnsi"/>
          <w:szCs w:val="22"/>
        </w:rPr>
      </w:pPr>
      <w:r>
        <w:rPr>
          <w:b/>
          <w:szCs w:val="22"/>
        </w:rPr>
        <w:tab/>
      </w:r>
      <w:r w:rsidR="003A0CBE" w:rsidRPr="003A0CBE">
        <w:rPr>
          <w:rFonts w:eastAsiaTheme="minorHAnsi"/>
          <w:szCs w:val="22"/>
        </w:rPr>
        <w:t xml:space="preserve">Moving on from regression analysis, another way to estimate fair market value would be to start with the rates paid by Armstrong to DSNP at the end of the prior contract in </w:t>
      </w:r>
      <w:r w:rsidR="00E73F5C" w:rsidRPr="001638B3">
        <w:rPr>
          <w:b/>
          <w:szCs w:val="22"/>
        </w:rPr>
        <w:t>[</w:t>
      </w:r>
      <w:r>
        <w:rPr>
          <w:b/>
        </w:rPr>
        <w:t>REDACTED</w:t>
      </w:r>
      <w:r w:rsidR="00E73F5C" w:rsidRPr="001638B3">
        <w:rPr>
          <w:b/>
          <w:szCs w:val="22"/>
        </w:rPr>
        <w:t>]</w:t>
      </w:r>
      <w:r w:rsidR="00E73F5C">
        <w:rPr>
          <w:b/>
          <w:szCs w:val="22"/>
        </w:rPr>
        <w:t xml:space="preserve"> </w:t>
      </w:r>
      <w:r w:rsidR="003A0CBE" w:rsidRPr="003A0CBE">
        <w:rPr>
          <w:rFonts w:eastAsiaTheme="minorHAnsi"/>
          <w:szCs w:val="22"/>
        </w:rPr>
        <w:t xml:space="preserve">and adjust those rates over the course of the new contract with fair-market-value increases.  What should those rate increases be?  Unsurprisingly, DSNP proposed a large rate renewal increase </w:t>
      </w:r>
      <w:r w:rsidR="00E73F5C" w:rsidRPr="001638B3">
        <w:rPr>
          <w:b/>
          <w:szCs w:val="22"/>
        </w:rPr>
        <w:t>[</w:t>
      </w:r>
      <w:r>
        <w:rPr>
          <w:b/>
        </w:rPr>
        <w:t>REDACTED</w:t>
      </w:r>
      <w:r w:rsidR="00E73F5C" w:rsidRPr="001638B3">
        <w:rPr>
          <w:b/>
          <w:szCs w:val="22"/>
        </w:rPr>
        <w:t>]</w:t>
      </w:r>
      <w:r w:rsidR="003A0CBE" w:rsidRPr="003A0CBE">
        <w:rPr>
          <w:rFonts w:eastAsiaTheme="minorHAnsi"/>
          <w:szCs w:val="22"/>
        </w:rPr>
        <w:t xml:space="preserve"> followed by a </w:t>
      </w:r>
      <w:r w:rsidR="00E73F5C" w:rsidRPr="001638B3">
        <w:rPr>
          <w:b/>
          <w:szCs w:val="22"/>
        </w:rPr>
        <w:t>[</w:t>
      </w:r>
      <w:r>
        <w:rPr>
          <w:b/>
        </w:rPr>
        <w:t>REDACTED</w:t>
      </w:r>
      <w:r w:rsidR="00E73F5C" w:rsidRPr="001638B3">
        <w:rPr>
          <w:b/>
          <w:szCs w:val="22"/>
        </w:rPr>
        <w:t>]</w:t>
      </w:r>
      <w:r w:rsidR="00E73F5C">
        <w:rPr>
          <w:b/>
          <w:szCs w:val="22"/>
        </w:rPr>
        <w:t xml:space="preserve"> </w:t>
      </w:r>
      <w:r w:rsidR="003A0CBE" w:rsidRPr="003A0CBE">
        <w:rPr>
          <w:rFonts w:eastAsiaTheme="minorHAnsi"/>
          <w:szCs w:val="22"/>
        </w:rPr>
        <w:t xml:space="preserve">annual escalator, while Armstrong proposed a negligible rate renewal increase </w:t>
      </w:r>
      <w:r w:rsidR="00225514" w:rsidRPr="001638B3">
        <w:rPr>
          <w:b/>
          <w:szCs w:val="22"/>
        </w:rPr>
        <w:t>[</w:t>
      </w:r>
      <w:r>
        <w:rPr>
          <w:b/>
        </w:rPr>
        <w:t>REDACTED</w:t>
      </w:r>
      <w:r w:rsidR="00225514" w:rsidRPr="001638B3">
        <w:rPr>
          <w:b/>
          <w:szCs w:val="22"/>
        </w:rPr>
        <w:t>]</w:t>
      </w:r>
      <w:r w:rsidR="00225514">
        <w:rPr>
          <w:b/>
          <w:szCs w:val="22"/>
        </w:rPr>
        <w:t xml:space="preserve"> </w:t>
      </w:r>
      <w:r w:rsidR="003A0CBE" w:rsidRPr="003A0CBE">
        <w:rPr>
          <w:rFonts w:eastAsiaTheme="minorHAnsi"/>
          <w:szCs w:val="22"/>
        </w:rPr>
        <w:t xml:space="preserve">followed by an average annual escalator of only </w:t>
      </w:r>
      <w:r w:rsidR="00225514" w:rsidRPr="001638B3">
        <w:rPr>
          <w:b/>
          <w:szCs w:val="22"/>
        </w:rPr>
        <w:t>[</w:t>
      </w:r>
      <w:r>
        <w:rPr>
          <w:b/>
        </w:rPr>
        <w:t>REDACTED</w:t>
      </w:r>
      <w:r w:rsidR="00225514" w:rsidRPr="001638B3">
        <w:rPr>
          <w:b/>
          <w:szCs w:val="22"/>
        </w:rPr>
        <w:t>]</w:t>
      </w:r>
      <w:r w:rsidR="003A0CBE" w:rsidRPr="003A0CBE">
        <w:rPr>
          <w:rFonts w:eastAsiaTheme="minorHAnsi"/>
          <w:szCs w:val="22"/>
        </w:rPr>
        <w:t>.</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Looking at the evidence as a whole, I believe that a reasonable annual rate increase would be </w:t>
      </w:r>
      <w:r w:rsidR="00120461" w:rsidRPr="001638B3">
        <w:rPr>
          <w:b/>
          <w:szCs w:val="22"/>
        </w:rPr>
        <w:t>[</w:t>
      </w:r>
      <w:r w:rsidR="005E6744">
        <w:rPr>
          <w:b/>
        </w:rPr>
        <w:t>REDACTED</w:t>
      </w:r>
      <w:r w:rsidR="00120461" w:rsidRPr="001638B3">
        <w:rPr>
          <w:b/>
          <w:szCs w:val="22"/>
        </w:rPr>
        <w:t>]</w:t>
      </w:r>
      <w:r w:rsidR="00120461" w:rsidRPr="003A0CBE">
        <w:rPr>
          <w:rFonts w:eastAsiaTheme="minorHAnsi"/>
          <w:szCs w:val="22"/>
        </w:rPr>
        <w:t xml:space="preserve"> </w:t>
      </w:r>
      <w:r w:rsidRPr="003A0CBE">
        <w:rPr>
          <w:rFonts w:eastAsiaTheme="minorHAnsi"/>
          <w:szCs w:val="22"/>
        </w:rPr>
        <w:t xml:space="preserve">(and at least </w:t>
      </w:r>
      <w:r w:rsidR="00120461" w:rsidRPr="001638B3">
        <w:rPr>
          <w:b/>
          <w:szCs w:val="22"/>
        </w:rPr>
        <w:t>[</w:t>
      </w:r>
      <w:r w:rsidR="005E6744">
        <w:rPr>
          <w:b/>
        </w:rPr>
        <w:t>REDACTED</w:t>
      </w:r>
      <w:r w:rsidR="00120461" w:rsidRPr="001638B3">
        <w:rPr>
          <w:b/>
          <w:szCs w:val="22"/>
        </w:rPr>
        <w:t>]</w:t>
      </w:r>
      <w:r w:rsidR="00120461">
        <w:rPr>
          <w:b/>
          <w:szCs w:val="22"/>
        </w:rPr>
        <w:t xml:space="preserve"> </w:t>
      </w:r>
      <w:r w:rsidRPr="003A0CBE">
        <w:rPr>
          <w:rFonts w:eastAsiaTheme="minorHAnsi"/>
          <w:szCs w:val="22"/>
        </w:rPr>
        <w:t xml:space="preserve">for the first six months of the contract).  After all, in each of the contracts involving DSNP and other MVPDs, the annual escalator during a contract was between </w:t>
      </w:r>
      <w:r w:rsidR="00120461" w:rsidRPr="001638B3">
        <w:rPr>
          <w:b/>
          <w:szCs w:val="22"/>
        </w:rPr>
        <w:t>[</w:t>
      </w:r>
      <w:r w:rsidR="005E6744">
        <w:rPr>
          <w:b/>
        </w:rPr>
        <w:t>REDACTED</w:t>
      </w:r>
      <w:r w:rsidR="00120461" w:rsidRPr="001638B3">
        <w:rPr>
          <w:b/>
          <w:szCs w:val="22"/>
        </w:rPr>
        <w:t>]</w:t>
      </w:r>
      <w:r w:rsidR="00120461">
        <w:rPr>
          <w:b/>
          <w:szCs w:val="22"/>
        </w:rPr>
        <w:t xml:space="preserve"> </w:t>
      </w:r>
      <w:r w:rsidRPr="003A0CBE">
        <w:rPr>
          <w:rFonts w:eastAsiaTheme="minorHAnsi"/>
          <w:szCs w:val="22"/>
        </w:rPr>
        <w:t xml:space="preserve">and </w:t>
      </w:r>
      <w:r w:rsidR="00120461" w:rsidRPr="001638B3">
        <w:rPr>
          <w:b/>
          <w:szCs w:val="22"/>
        </w:rPr>
        <w:t>[</w:t>
      </w:r>
      <w:r w:rsidR="005E6744">
        <w:rPr>
          <w:b/>
        </w:rPr>
        <w:t>REDACTED</w:t>
      </w:r>
      <w:r w:rsidR="00120461" w:rsidRPr="001638B3">
        <w:rPr>
          <w:b/>
          <w:szCs w:val="22"/>
        </w:rPr>
        <w:t>]</w:t>
      </w:r>
      <w:r w:rsidR="00120461">
        <w:rPr>
          <w:b/>
          <w:szCs w:val="22"/>
        </w:rPr>
        <w:t xml:space="preserve"> </w:t>
      </w:r>
      <w:r w:rsidRPr="003A0CBE">
        <w:rPr>
          <w:rFonts w:eastAsiaTheme="minorHAnsi"/>
          <w:szCs w:val="22"/>
        </w:rPr>
        <w:t>a year.</w:t>
      </w:r>
      <w:r w:rsidRPr="003A0CBE">
        <w:rPr>
          <w:rFonts w:eastAsiaTheme="minorHAnsi"/>
          <w:szCs w:val="22"/>
          <w:vertAlign w:val="superscript"/>
        </w:rPr>
        <w:footnoteReference w:id="143"/>
      </w:r>
      <w:r w:rsidRPr="003A0CBE">
        <w:rPr>
          <w:rFonts w:eastAsiaTheme="minorHAnsi"/>
          <w:szCs w:val="22"/>
        </w:rPr>
        <w:t xml:space="preserve">  So if other MVPDs are paying annual increases during a contract in the neighborhood of </w:t>
      </w:r>
      <w:r w:rsidR="00120461" w:rsidRPr="001638B3">
        <w:rPr>
          <w:b/>
          <w:szCs w:val="22"/>
        </w:rPr>
        <w:t>[</w:t>
      </w:r>
      <w:r w:rsidR="005E6744">
        <w:rPr>
          <w:b/>
        </w:rPr>
        <w:t>REDACTED</w:t>
      </w:r>
      <w:r w:rsidR="00120461" w:rsidRPr="001638B3">
        <w:rPr>
          <w:b/>
          <w:szCs w:val="22"/>
        </w:rPr>
        <w:t>]</w:t>
      </w:r>
      <w:r w:rsidR="00120461">
        <w:rPr>
          <w:b/>
          <w:szCs w:val="22"/>
        </w:rPr>
        <w:t xml:space="preserve"> </w:t>
      </w:r>
      <w:r w:rsidRPr="003A0CBE">
        <w:rPr>
          <w:rFonts w:eastAsiaTheme="minorHAnsi"/>
          <w:szCs w:val="22"/>
        </w:rPr>
        <w:t xml:space="preserve">in exchange for no required service improvements, it then seems quite fair for Armstrong to pay at least a </w:t>
      </w:r>
      <w:r w:rsidR="00120461" w:rsidRPr="001638B3">
        <w:rPr>
          <w:b/>
          <w:szCs w:val="22"/>
        </w:rPr>
        <w:t>[</w:t>
      </w:r>
      <w:r w:rsidR="005E6744">
        <w:rPr>
          <w:b/>
        </w:rPr>
        <w:t>REDACTED</w:t>
      </w:r>
      <w:r w:rsidR="00120461" w:rsidRPr="001638B3">
        <w:rPr>
          <w:b/>
          <w:szCs w:val="22"/>
        </w:rPr>
        <w:t>]</w:t>
      </w:r>
      <w:r w:rsidR="00120461">
        <w:rPr>
          <w:b/>
          <w:szCs w:val="22"/>
        </w:rPr>
        <w:t xml:space="preserve"> </w:t>
      </w:r>
      <w:r w:rsidRPr="003A0CBE">
        <w:rPr>
          <w:rFonts w:eastAsiaTheme="minorHAnsi"/>
          <w:szCs w:val="22"/>
        </w:rPr>
        <w:t xml:space="preserve">renewal rate increase for the last six months of 2010 followed by a </w:t>
      </w:r>
      <w:r w:rsidR="00120461" w:rsidRPr="001638B3">
        <w:rPr>
          <w:b/>
          <w:szCs w:val="22"/>
        </w:rPr>
        <w:t>[</w:t>
      </w:r>
      <w:r w:rsidR="005E6744">
        <w:rPr>
          <w:b/>
        </w:rPr>
        <w:t>REDACTED</w:t>
      </w:r>
      <w:r w:rsidR="00120461" w:rsidRPr="001638B3">
        <w:rPr>
          <w:b/>
          <w:szCs w:val="22"/>
        </w:rPr>
        <w:t>]</w:t>
      </w:r>
      <w:r w:rsidRPr="003A0CBE">
        <w:rPr>
          <w:rFonts w:eastAsiaTheme="minorHAnsi"/>
          <w:szCs w:val="22"/>
        </w:rPr>
        <w:t xml:space="preserve"> renewal rate increase each year thereafter.</w:t>
      </w:r>
      <w:r w:rsidRPr="003A0CBE">
        <w:rPr>
          <w:rFonts w:eastAsiaTheme="minorHAnsi"/>
          <w:szCs w:val="22"/>
          <w:vertAlign w:val="superscript"/>
        </w:rPr>
        <w:footnoteReference w:id="144"/>
      </w:r>
    </w:p>
    <w:p w:rsidR="003A0CBE" w:rsidRPr="003A0CBE" w:rsidRDefault="003A0CBE" w:rsidP="003A0CBE">
      <w:pPr>
        <w:spacing w:after="120"/>
        <w:ind w:firstLine="720"/>
        <w:rPr>
          <w:rFonts w:eastAsiaTheme="minorHAnsi"/>
          <w:szCs w:val="22"/>
        </w:rPr>
      </w:pPr>
      <w:r w:rsidRPr="003A0CBE">
        <w:rPr>
          <w:rFonts w:eastAsiaTheme="minorHAnsi"/>
          <w:szCs w:val="22"/>
        </w:rPr>
        <w:t xml:space="preserve">And if we take the rates Armstrong was paying at the end of its expired contact and adjust them in that manner, what is the result?  As shown below, in twelve of eighteen instances, DSNP’s proposed rates are closer to these estimates of fair market value than are Armstrong’s proposed rates.  Armstrong’s proposed rates are closer to the mark only for </w:t>
      </w:r>
      <w:r w:rsidR="001157AD" w:rsidRPr="00430BEA">
        <w:rPr>
          <w:b/>
        </w:rPr>
        <w:t>[</w:t>
      </w:r>
      <w:r w:rsidR="005E6744">
        <w:rPr>
          <w:b/>
        </w:rPr>
        <w:t>REDACTED</w:t>
      </w:r>
      <w:r w:rsidR="001157AD" w:rsidRPr="00430BEA">
        <w:rPr>
          <w:b/>
        </w:rPr>
        <w:t>]</w:t>
      </w:r>
      <w:r w:rsidRPr="003A0CBE">
        <w:rPr>
          <w:rFonts w:eastAsiaTheme="minorHAnsi"/>
          <w:szCs w:val="22"/>
        </w:rPr>
        <w:t xml:space="preserve"> in the </w:t>
      </w:r>
      <w:r w:rsidR="001157AD" w:rsidRPr="00430BEA">
        <w:rPr>
          <w:b/>
        </w:rPr>
        <w:t>[</w:t>
      </w:r>
      <w:r w:rsidR="005E6744">
        <w:rPr>
          <w:b/>
        </w:rPr>
        <w:t>REDACTED</w:t>
      </w:r>
      <w:r w:rsidR="001157AD" w:rsidRPr="00430BEA">
        <w:rPr>
          <w:b/>
        </w:rPr>
        <w:t>]</w:t>
      </w:r>
      <w:r w:rsidRPr="003A0CBE">
        <w:rPr>
          <w:rFonts w:eastAsiaTheme="minorHAnsi"/>
          <w:szCs w:val="22"/>
        </w:rPr>
        <w:t xml:space="preserve"> and for </w:t>
      </w:r>
      <w:r w:rsidR="001157AD" w:rsidRPr="00430BEA">
        <w:rPr>
          <w:b/>
        </w:rPr>
        <w:t>[</w:t>
      </w:r>
      <w:r w:rsidR="005E6744">
        <w:rPr>
          <w:b/>
        </w:rPr>
        <w:t>REDACTED</w:t>
      </w:r>
      <w:r w:rsidR="001157AD" w:rsidRPr="00430BEA">
        <w:rPr>
          <w:b/>
        </w:rPr>
        <w:t>]</w:t>
      </w:r>
      <w:r w:rsidRPr="003A0CBE">
        <w:rPr>
          <w:rFonts w:eastAsiaTheme="minorHAnsi"/>
          <w:szCs w:val="22"/>
        </w:rPr>
        <w:t xml:space="preserve"> between </w:t>
      </w:r>
      <w:r w:rsidR="001157AD" w:rsidRPr="00430BEA">
        <w:rPr>
          <w:b/>
        </w:rPr>
        <w:t>[</w:t>
      </w:r>
      <w:r w:rsidR="005E6744">
        <w:rPr>
          <w:b/>
        </w:rPr>
        <w:t>REDACTED</w:t>
      </w:r>
      <w:r w:rsidR="001157AD" w:rsidRPr="00430BEA">
        <w:rPr>
          <w:b/>
        </w:rPr>
        <w:t>]</w:t>
      </w:r>
      <w:r w:rsidRPr="003A0CBE">
        <w:rPr>
          <w:rFonts w:eastAsiaTheme="minorHAnsi"/>
          <w:szCs w:val="22"/>
        </w:rPr>
        <w:t xml:space="preserve">.  And the total value of the rates generated by this mode of analysis is </w:t>
      </w:r>
      <w:r w:rsidR="001157AD" w:rsidRPr="00430BEA">
        <w:rPr>
          <w:b/>
        </w:rPr>
        <w:t>[</w:t>
      </w:r>
      <w:r w:rsidR="005E6744">
        <w:rPr>
          <w:b/>
        </w:rPr>
        <w:t>REDACTED</w:t>
      </w:r>
      <w:r w:rsidR="001157AD" w:rsidRPr="00430BEA">
        <w:rPr>
          <w:b/>
        </w:rPr>
        <w:t>]</w:t>
      </w:r>
      <w:r w:rsidRPr="003A0CBE">
        <w:rPr>
          <w:rFonts w:eastAsiaTheme="minorHAnsi"/>
          <w:szCs w:val="22"/>
        </w:rPr>
        <w:t xml:space="preserve">, which is closer to the value of DSNP’s offer </w:t>
      </w:r>
      <w:r w:rsidR="001157AD" w:rsidRPr="00430BEA">
        <w:rPr>
          <w:b/>
        </w:rPr>
        <w:t>[</w:t>
      </w:r>
      <w:r w:rsidR="005E6744">
        <w:rPr>
          <w:b/>
        </w:rPr>
        <w:t>REDACTED</w:t>
      </w:r>
      <w:r w:rsidR="001157AD" w:rsidRPr="00430BEA">
        <w:rPr>
          <w:b/>
        </w:rPr>
        <w:t>]</w:t>
      </w:r>
      <w:r w:rsidRPr="003A0CBE">
        <w:rPr>
          <w:rFonts w:eastAsiaTheme="minorHAnsi"/>
          <w:szCs w:val="22"/>
        </w:rPr>
        <w:t xml:space="preserve"> than Armstrong’s offer </w:t>
      </w:r>
      <w:r w:rsidR="001157AD" w:rsidRPr="00430BEA">
        <w:rPr>
          <w:b/>
        </w:rPr>
        <w:t>[</w:t>
      </w:r>
      <w:r w:rsidR="005E6744">
        <w:rPr>
          <w:b/>
        </w:rPr>
        <w:t>REDACTED</w:t>
      </w:r>
      <w:r w:rsidR="001157AD" w:rsidRPr="00430BEA">
        <w:rPr>
          <w:b/>
        </w:rPr>
        <w:t>]</w:t>
      </w:r>
      <w:r w:rsidRPr="003A0CBE">
        <w:rPr>
          <w:rFonts w:eastAsiaTheme="minorHAnsi"/>
          <w:szCs w:val="22"/>
        </w:rPr>
        <w:t>.</w:t>
      </w:r>
      <w:r w:rsidRPr="003A0CBE">
        <w:rPr>
          <w:rFonts w:eastAsiaTheme="minorHAnsi"/>
          <w:szCs w:val="22"/>
          <w:vertAlign w:val="superscript"/>
        </w:rPr>
        <w:footnoteReference w:id="145"/>
      </w:r>
      <w:r w:rsidRPr="003A0CBE">
        <w:rPr>
          <w:rFonts w:eastAsiaTheme="minorHAnsi"/>
          <w:szCs w:val="22"/>
        </w:rPr>
        <w:t xml:space="preserve">  Once again, had the Bureau (and the Commission) estimated the fair market value, rather than simply applying its principle, it probably would have found that DSNP’s proposed rates were closer to fair market value than Armstrong’s.</w:t>
      </w:r>
      <w:r w:rsidRPr="003A0CBE">
        <w:rPr>
          <w:rFonts w:eastAsiaTheme="minorHAnsi"/>
          <w:szCs w:val="22"/>
          <w:vertAlign w:val="superscript"/>
        </w:rPr>
        <w:t xml:space="preserve"> </w:t>
      </w:r>
      <w:r w:rsidRPr="003A0CBE">
        <w:rPr>
          <w:rFonts w:eastAsiaTheme="minorHAnsi"/>
          <w:szCs w:val="22"/>
          <w:vertAlign w:val="superscript"/>
        </w:rPr>
        <w:footnoteReference w:id="146"/>
      </w:r>
    </w:p>
    <w:p w:rsidR="007877CA" w:rsidRPr="00E041E4" w:rsidRDefault="003A0CBE" w:rsidP="00AB3A87">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 xml:space="preserve">Escalating Prior Contract Rates at </w:t>
      </w:r>
      <w:r w:rsidR="001157AD" w:rsidRPr="00430BEA">
        <w:rPr>
          <w:b/>
        </w:rPr>
        <w:t>[</w:t>
      </w:r>
      <w:r w:rsidR="005E6744">
        <w:rPr>
          <w:b/>
        </w:rPr>
        <w:t>REDACTED</w:t>
      </w:r>
      <w:r w:rsidR="001157AD" w:rsidRPr="00430BEA">
        <w:rPr>
          <w:b/>
        </w:rPr>
        <w:t>]</w:t>
      </w:r>
      <w:r w:rsidR="001157AD">
        <w:rPr>
          <w:b/>
        </w:rPr>
        <w:t xml:space="preserve"> </w:t>
      </w:r>
      <w:r w:rsidRPr="003A0CBE">
        <w:rPr>
          <w:rFonts w:eastAsiaTheme="minorHAnsi"/>
          <w:b/>
          <w:szCs w:val="22"/>
        </w:rPr>
        <w:t>per Year</w:t>
      </w:r>
      <w:r w:rsidRPr="003A0CBE">
        <w:rPr>
          <w:rFonts w:eastAsiaTheme="minorHAnsi"/>
          <w:szCs w:val="22"/>
          <w:vertAlign w:val="superscript"/>
        </w:rPr>
        <w:footnoteReference w:id="147"/>
      </w:r>
    </w:p>
    <w:tbl>
      <w:tblPr>
        <w:tblStyle w:val="TableGrid1"/>
        <w:tblW w:w="9558" w:type="dxa"/>
        <w:tblLayout w:type="fixed"/>
        <w:tblLook w:val="04A0" w:firstRow="1" w:lastRow="0" w:firstColumn="1" w:lastColumn="0" w:noHBand="0" w:noVBand="1"/>
      </w:tblPr>
      <w:tblGrid>
        <w:gridCol w:w="1708"/>
        <w:gridCol w:w="1280"/>
        <w:gridCol w:w="1350"/>
        <w:gridCol w:w="1350"/>
        <w:gridCol w:w="1260"/>
        <w:gridCol w:w="1350"/>
        <w:gridCol w:w="1260"/>
      </w:tblGrid>
      <w:tr w:rsidR="007877CA" w:rsidRPr="003A0CBE" w:rsidTr="00E041E4">
        <w:tc>
          <w:tcPr>
            <w:tcW w:w="1708" w:type="dxa"/>
          </w:tcPr>
          <w:p w:rsidR="007877CA" w:rsidRPr="00E041E4" w:rsidRDefault="005546AA" w:rsidP="001C564A">
            <w:pPr>
              <w:keepNext/>
              <w:jc w:val="center"/>
              <w:rPr>
                <w:rFonts w:ascii="Times New Roman" w:hAnsi="Times New Roman" w:cs="Times New Roman"/>
                <w:b/>
                <w:sz w:val="18"/>
                <w:szCs w:val="18"/>
              </w:rPr>
            </w:pPr>
            <w:r w:rsidRPr="00E041E4">
              <w:rPr>
                <w:b/>
                <w:sz w:val="18"/>
                <w:szCs w:val="18"/>
              </w:rPr>
              <w:t>[REDACTED]</w:t>
            </w:r>
          </w:p>
        </w:tc>
        <w:tc>
          <w:tcPr>
            <w:tcW w:w="128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2010</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2011</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2012</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2013</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2014</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2015</w:t>
            </w:r>
          </w:p>
        </w:tc>
      </w:tr>
      <w:tr w:rsidR="007877CA" w:rsidRPr="003A0CBE" w:rsidTr="00E041E4">
        <w:tc>
          <w:tcPr>
            <w:tcW w:w="1708" w:type="dxa"/>
          </w:tcPr>
          <w:p w:rsidR="007877CA" w:rsidRPr="003A0CBE" w:rsidRDefault="007877CA" w:rsidP="001C564A">
            <w:pPr>
              <w:keepNext/>
              <w:jc w:val="center"/>
              <w:rPr>
                <w:rFonts w:ascii="Times New Roman" w:hAnsi="Times New Roman" w:cs="Times New Roman"/>
                <w:b/>
              </w:rPr>
            </w:pPr>
            <w:r w:rsidRPr="003A0CBE">
              <w:rPr>
                <w:rFonts w:ascii="Times New Roman" w:hAnsi="Times New Roman" w:cs="Times New Roman"/>
                <w:b/>
              </w:rPr>
              <w:t>Armstrong</w:t>
            </w:r>
          </w:p>
        </w:tc>
        <w:tc>
          <w:tcPr>
            <w:tcW w:w="1280" w:type="dxa"/>
          </w:tcPr>
          <w:p w:rsidR="007877CA" w:rsidRPr="00E041E4" w:rsidRDefault="005546AA" w:rsidP="00AB3A87">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5546AA"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5546AA"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5546AA"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5546AA"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5546AA" w:rsidP="001C564A">
            <w:pPr>
              <w:jc w:val="center"/>
              <w:rPr>
                <w:rFonts w:ascii="Times New Roman" w:hAnsi="Times New Roman" w:cs="Times New Roman"/>
                <w:sz w:val="16"/>
                <w:szCs w:val="16"/>
              </w:rPr>
            </w:pPr>
            <w:r w:rsidRPr="00E041E4">
              <w:rPr>
                <w:b/>
                <w:sz w:val="16"/>
                <w:szCs w:val="16"/>
              </w:rPr>
              <w:t>[REDACTED]</w:t>
            </w:r>
          </w:p>
        </w:tc>
      </w:tr>
      <w:tr w:rsidR="007877CA" w:rsidRPr="003A0CBE" w:rsidTr="00E041E4">
        <w:tc>
          <w:tcPr>
            <w:tcW w:w="1708"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DSNP</w:t>
            </w:r>
          </w:p>
        </w:tc>
        <w:tc>
          <w:tcPr>
            <w:tcW w:w="128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r>
      <w:tr w:rsidR="007877CA" w:rsidRPr="003A0CBE" w:rsidTr="00E041E4">
        <w:tc>
          <w:tcPr>
            <w:tcW w:w="1708"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FMV</w:t>
            </w:r>
          </w:p>
        </w:tc>
        <w:tc>
          <w:tcPr>
            <w:tcW w:w="128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r>
    </w:tbl>
    <w:p w:rsidR="007877CA" w:rsidRPr="003A0CBE" w:rsidRDefault="007877CA" w:rsidP="007877CA">
      <w:pPr>
        <w:spacing w:after="120"/>
        <w:jc w:val="center"/>
        <w:rPr>
          <w:rFonts w:eastAsiaTheme="minorHAnsi"/>
          <w:szCs w:val="22"/>
        </w:rPr>
      </w:pPr>
    </w:p>
    <w:tbl>
      <w:tblPr>
        <w:tblStyle w:val="TableGrid1"/>
        <w:tblW w:w="9558" w:type="dxa"/>
        <w:tblLayout w:type="fixed"/>
        <w:tblLook w:val="04A0" w:firstRow="1" w:lastRow="0" w:firstColumn="1" w:lastColumn="0" w:noHBand="0" w:noVBand="1"/>
      </w:tblPr>
      <w:tblGrid>
        <w:gridCol w:w="1728"/>
        <w:gridCol w:w="1260"/>
        <w:gridCol w:w="1350"/>
        <w:gridCol w:w="1350"/>
        <w:gridCol w:w="1260"/>
        <w:gridCol w:w="1350"/>
        <w:gridCol w:w="1260"/>
      </w:tblGrid>
      <w:tr w:rsidR="005546AA" w:rsidRPr="003A0CBE" w:rsidTr="00E041E4">
        <w:trPr>
          <w:trHeight w:val="262"/>
        </w:trPr>
        <w:tc>
          <w:tcPr>
            <w:tcW w:w="1728" w:type="dxa"/>
          </w:tcPr>
          <w:p w:rsidR="007877CA" w:rsidRPr="00E041E4" w:rsidRDefault="005546AA" w:rsidP="001C564A">
            <w:pPr>
              <w:jc w:val="center"/>
              <w:rPr>
                <w:rFonts w:ascii="Times New Roman" w:hAnsi="Times New Roman" w:cs="Times New Roman"/>
                <w:b/>
                <w:sz w:val="18"/>
                <w:szCs w:val="18"/>
              </w:rPr>
            </w:pPr>
            <w:r w:rsidRPr="00E041E4">
              <w:rPr>
                <w:b/>
                <w:sz w:val="18"/>
                <w:szCs w:val="18"/>
              </w:rPr>
              <w:t>[REDACTED]</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2010</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2011</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2012</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2013</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2014</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2015</w:t>
            </w:r>
          </w:p>
        </w:tc>
      </w:tr>
      <w:tr w:rsidR="005546AA" w:rsidRPr="003A0CBE" w:rsidTr="00E041E4">
        <w:trPr>
          <w:trHeight w:val="247"/>
        </w:trPr>
        <w:tc>
          <w:tcPr>
            <w:tcW w:w="1728" w:type="dxa"/>
          </w:tcPr>
          <w:p w:rsidR="005546AA" w:rsidRPr="003A0CBE" w:rsidRDefault="005546AA" w:rsidP="001C564A">
            <w:pPr>
              <w:jc w:val="center"/>
              <w:rPr>
                <w:rFonts w:ascii="Times New Roman" w:hAnsi="Times New Roman" w:cs="Times New Roman"/>
                <w:b/>
              </w:rPr>
            </w:pPr>
            <w:r w:rsidRPr="003A0CBE">
              <w:rPr>
                <w:rFonts w:ascii="Times New Roman" w:hAnsi="Times New Roman" w:cs="Times New Roman"/>
                <w:b/>
              </w:rPr>
              <w:t>Armstrong</w:t>
            </w:r>
          </w:p>
        </w:tc>
        <w:tc>
          <w:tcPr>
            <w:tcW w:w="126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r>
      <w:tr w:rsidR="005546AA" w:rsidRPr="003A0CBE" w:rsidTr="00E041E4">
        <w:trPr>
          <w:trHeight w:val="262"/>
        </w:trPr>
        <w:tc>
          <w:tcPr>
            <w:tcW w:w="1728" w:type="dxa"/>
          </w:tcPr>
          <w:p w:rsidR="005546AA" w:rsidRPr="003A0CBE" w:rsidRDefault="005546AA" w:rsidP="001C564A">
            <w:pPr>
              <w:jc w:val="center"/>
              <w:rPr>
                <w:rFonts w:ascii="Times New Roman" w:hAnsi="Times New Roman" w:cs="Times New Roman"/>
                <w:b/>
              </w:rPr>
            </w:pPr>
            <w:r w:rsidRPr="003A0CBE">
              <w:rPr>
                <w:rFonts w:ascii="Times New Roman" w:hAnsi="Times New Roman" w:cs="Times New Roman"/>
                <w:b/>
              </w:rPr>
              <w:t>DSNP</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r>
      <w:tr w:rsidR="005546AA" w:rsidRPr="003A0CBE" w:rsidTr="00E041E4">
        <w:trPr>
          <w:trHeight w:val="262"/>
        </w:trPr>
        <w:tc>
          <w:tcPr>
            <w:tcW w:w="1728" w:type="dxa"/>
          </w:tcPr>
          <w:p w:rsidR="005546AA" w:rsidRPr="003A0CBE" w:rsidRDefault="005546AA" w:rsidP="001C564A">
            <w:pPr>
              <w:jc w:val="center"/>
              <w:rPr>
                <w:rFonts w:ascii="Times New Roman" w:hAnsi="Times New Roman" w:cs="Times New Roman"/>
                <w:b/>
              </w:rPr>
            </w:pPr>
            <w:r w:rsidRPr="003A0CBE">
              <w:rPr>
                <w:rFonts w:ascii="Times New Roman" w:hAnsi="Times New Roman" w:cs="Times New Roman"/>
                <w:b/>
              </w:rPr>
              <w:t>FMV</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5546AA" w:rsidRPr="00E041E4" w:rsidRDefault="0035512C" w:rsidP="001C564A">
            <w:pPr>
              <w:jc w:val="center"/>
              <w:rPr>
                <w:rFonts w:ascii="Times New Roman" w:hAnsi="Times New Roman" w:cs="Times New Roman"/>
                <w:sz w:val="16"/>
                <w:szCs w:val="16"/>
              </w:rPr>
            </w:pPr>
            <w:r w:rsidRPr="00E041E4">
              <w:rPr>
                <w:b/>
                <w:sz w:val="16"/>
                <w:szCs w:val="16"/>
              </w:rPr>
              <w:t>[REDACTED]</w:t>
            </w:r>
          </w:p>
        </w:tc>
      </w:tr>
    </w:tbl>
    <w:p w:rsidR="007877CA" w:rsidRPr="003A0CBE" w:rsidRDefault="007877CA" w:rsidP="007877CA">
      <w:pPr>
        <w:spacing w:after="120"/>
        <w:jc w:val="center"/>
        <w:rPr>
          <w:rFonts w:eastAsiaTheme="minorHAnsi"/>
          <w:szCs w:val="22"/>
        </w:rPr>
      </w:pPr>
    </w:p>
    <w:tbl>
      <w:tblPr>
        <w:tblStyle w:val="TableGrid1"/>
        <w:tblW w:w="9563" w:type="dxa"/>
        <w:tblLayout w:type="fixed"/>
        <w:tblLook w:val="04A0" w:firstRow="1" w:lastRow="0" w:firstColumn="1" w:lastColumn="0" w:noHBand="0" w:noVBand="1"/>
      </w:tblPr>
      <w:tblGrid>
        <w:gridCol w:w="1728"/>
        <w:gridCol w:w="1260"/>
        <w:gridCol w:w="1350"/>
        <w:gridCol w:w="1350"/>
        <w:gridCol w:w="1260"/>
        <w:gridCol w:w="1350"/>
        <w:gridCol w:w="1265"/>
      </w:tblGrid>
      <w:tr w:rsidR="00AB3A87" w:rsidRPr="003A0CBE" w:rsidTr="00E041E4">
        <w:trPr>
          <w:trHeight w:val="253"/>
        </w:trPr>
        <w:tc>
          <w:tcPr>
            <w:tcW w:w="1728" w:type="dxa"/>
          </w:tcPr>
          <w:p w:rsidR="007877CA" w:rsidRPr="00E041E4" w:rsidRDefault="005546AA" w:rsidP="001C564A">
            <w:pPr>
              <w:keepNext/>
              <w:jc w:val="center"/>
              <w:rPr>
                <w:rFonts w:ascii="Times New Roman" w:hAnsi="Times New Roman" w:cs="Times New Roman"/>
                <w:b/>
                <w:sz w:val="18"/>
                <w:szCs w:val="18"/>
              </w:rPr>
            </w:pPr>
            <w:r w:rsidRPr="00E041E4">
              <w:rPr>
                <w:b/>
                <w:sz w:val="18"/>
                <w:szCs w:val="18"/>
              </w:rPr>
              <w:t>[REDACTED]</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2010</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2011</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2012</w:t>
            </w:r>
          </w:p>
        </w:tc>
        <w:tc>
          <w:tcPr>
            <w:tcW w:w="126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2013</w:t>
            </w:r>
          </w:p>
        </w:tc>
        <w:tc>
          <w:tcPr>
            <w:tcW w:w="1350"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2014</w:t>
            </w:r>
          </w:p>
        </w:tc>
        <w:tc>
          <w:tcPr>
            <w:tcW w:w="1265" w:type="dxa"/>
          </w:tcPr>
          <w:p w:rsidR="007877CA" w:rsidRPr="003A0CBE" w:rsidRDefault="007877CA" w:rsidP="001C564A">
            <w:pPr>
              <w:jc w:val="center"/>
              <w:rPr>
                <w:rFonts w:ascii="Times New Roman" w:hAnsi="Times New Roman" w:cs="Times New Roman"/>
                <w:b/>
              </w:rPr>
            </w:pPr>
            <w:r w:rsidRPr="003A0CBE">
              <w:rPr>
                <w:rFonts w:ascii="Times New Roman" w:hAnsi="Times New Roman" w:cs="Times New Roman"/>
                <w:b/>
              </w:rPr>
              <w:t>2015</w:t>
            </w:r>
          </w:p>
        </w:tc>
      </w:tr>
      <w:tr w:rsidR="00AB3A87" w:rsidRPr="003A0CBE" w:rsidTr="00E041E4">
        <w:trPr>
          <w:trHeight w:val="269"/>
        </w:trPr>
        <w:tc>
          <w:tcPr>
            <w:tcW w:w="1728" w:type="dxa"/>
          </w:tcPr>
          <w:p w:rsidR="007877CA" w:rsidRPr="003A0CBE" w:rsidRDefault="007877CA" w:rsidP="001C564A">
            <w:pPr>
              <w:keepNext/>
              <w:jc w:val="center"/>
              <w:rPr>
                <w:rFonts w:ascii="Times New Roman" w:hAnsi="Times New Roman" w:cs="Times New Roman"/>
                <w:b/>
              </w:rPr>
            </w:pPr>
            <w:r w:rsidRPr="003A0CBE">
              <w:rPr>
                <w:rFonts w:ascii="Times New Roman" w:hAnsi="Times New Roman" w:cs="Times New Roman"/>
                <w:b/>
              </w:rPr>
              <w:t>Armstrong</w:t>
            </w:r>
          </w:p>
        </w:tc>
        <w:tc>
          <w:tcPr>
            <w:tcW w:w="126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5"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r>
      <w:tr w:rsidR="00AB3A87" w:rsidRPr="003A0CBE" w:rsidTr="00E041E4">
        <w:trPr>
          <w:trHeight w:val="253"/>
        </w:trPr>
        <w:tc>
          <w:tcPr>
            <w:tcW w:w="1728" w:type="dxa"/>
          </w:tcPr>
          <w:p w:rsidR="007877CA" w:rsidRPr="003A0CBE" w:rsidRDefault="007877CA" w:rsidP="001C564A">
            <w:pPr>
              <w:keepNext/>
              <w:jc w:val="center"/>
              <w:rPr>
                <w:rFonts w:ascii="Times New Roman" w:hAnsi="Times New Roman" w:cs="Times New Roman"/>
                <w:b/>
              </w:rPr>
            </w:pPr>
            <w:r w:rsidRPr="003A0CBE">
              <w:rPr>
                <w:rFonts w:ascii="Times New Roman" w:hAnsi="Times New Roman" w:cs="Times New Roman"/>
                <w:b/>
              </w:rPr>
              <w:t>DSNP</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c>
          <w:tcPr>
            <w:tcW w:w="1265" w:type="dxa"/>
          </w:tcPr>
          <w:p w:rsidR="007877CA" w:rsidRPr="00E041E4" w:rsidRDefault="0035512C" w:rsidP="001C564A">
            <w:pPr>
              <w:jc w:val="center"/>
              <w:rPr>
                <w:rFonts w:ascii="Times New Roman" w:hAnsi="Times New Roman" w:cs="Times New Roman"/>
                <w:b/>
                <w:sz w:val="16"/>
                <w:szCs w:val="16"/>
                <w:u w:val="single"/>
              </w:rPr>
            </w:pPr>
            <w:r w:rsidRPr="00E041E4">
              <w:rPr>
                <w:b/>
                <w:sz w:val="16"/>
                <w:szCs w:val="16"/>
              </w:rPr>
              <w:t>[REDACTED]</w:t>
            </w:r>
          </w:p>
        </w:tc>
      </w:tr>
      <w:tr w:rsidR="00AB3A87" w:rsidRPr="003A0CBE" w:rsidTr="00E041E4">
        <w:trPr>
          <w:trHeight w:val="269"/>
        </w:trPr>
        <w:tc>
          <w:tcPr>
            <w:tcW w:w="1728" w:type="dxa"/>
          </w:tcPr>
          <w:p w:rsidR="007877CA" w:rsidRPr="003A0CBE" w:rsidRDefault="007877CA" w:rsidP="001C564A">
            <w:pPr>
              <w:keepNext/>
              <w:jc w:val="center"/>
              <w:rPr>
                <w:rFonts w:ascii="Times New Roman" w:hAnsi="Times New Roman" w:cs="Times New Roman"/>
                <w:b/>
              </w:rPr>
            </w:pPr>
            <w:r w:rsidRPr="003A0CBE">
              <w:rPr>
                <w:rFonts w:ascii="Times New Roman" w:hAnsi="Times New Roman" w:cs="Times New Roman"/>
                <w:b/>
              </w:rPr>
              <w:t>FMV</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350"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c>
          <w:tcPr>
            <w:tcW w:w="1265" w:type="dxa"/>
          </w:tcPr>
          <w:p w:rsidR="007877CA" w:rsidRPr="00E041E4" w:rsidRDefault="0035512C" w:rsidP="001C564A">
            <w:pPr>
              <w:jc w:val="center"/>
              <w:rPr>
                <w:rFonts w:ascii="Times New Roman" w:hAnsi="Times New Roman" w:cs="Times New Roman"/>
                <w:sz w:val="16"/>
                <w:szCs w:val="16"/>
              </w:rPr>
            </w:pPr>
            <w:r w:rsidRPr="00E041E4">
              <w:rPr>
                <w:b/>
                <w:sz w:val="16"/>
                <w:szCs w:val="16"/>
              </w:rPr>
              <w:t>[REDACTED]</w:t>
            </w:r>
          </w:p>
        </w:tc>
      </w:tr>
    </w:tbl>
    <w:p w:rsidR="005546AA" w:rsidRDefault="005546AA" w:rsidP="003A0CBE">
      <w:pPr>
        <w:spacing w:after="120"/>
        <w:ind w:firstLine="720"/>
        <w:rPr>
          <w:rFonts w:eastAsiaTheme="minorHAnsi"/>
          <w:szCs w:val="22"/>
        </w:rPr>
      </w:pPr>
    </w:p>
    <w:p w:rsidR="003A0CBE" w:rsidRPr="003A0CBE" w:rsidRDefault="003A0CBE" w:rsidP="003A0CBE">
      <w:pPr>
        <w:spacing w:after="120"/>
        <w:ind w:firstLine="720"/>
        <w:rPr>
          <w:rFonts w:eastAsiaTheme="minorHAnsi"/>
          <w:szCs w:val="22"/>
        </w:rPr>
      </w:pPr>
      <w:r w:rsidRPr="003A0CBE">
        <w:rPr>
          <w:rFonts w:eastAsiaTheme="minorHAnsi"/>
          <w:szCs w:val="22"/>
        </w:rPr>
        <w:t xml:space="preserve">To be clear, I am not claiming that the figures produced by regressions or annual rate adjustments definitely reflect the fair market value of Armstrong’s carriage of FSNP.  Nor am I claiming that my analysis of regressions or annual rate adjustments constitutes conclusive proof that DSNP’s proposed rates were closer to fair market value than were Armstrong’s.  I do believe, however, that these analyses indicate that had the Commission hewed to the </w:t>
      </w:r>
      <w:r w:rsidRPr="003A0CBE">
        <w:rPr>
          <w:rFonts w:eastAsiaTheme="minorHAnsi"/>
          <w:i/>
          <w:szCs w:val="22"/>
        </w:rPr>
        <w:t xml:space="preserve">Liberty Media Order </w:t>
      </w:r>
      <w:r w:rsidRPr="003A0CBE">
        <w:rPr>
          <w:rFonts w:eastAsiaTheme="minorHAnsi"/>
          <w:szCs w:val="22"/>
        </w:rPr>
        <w:t>standard (picked the offer that “most closely approximates the fair market value of the programming carriage rights at issue”) and ascertained fair market value, it likely would have concluded that DSNP’s offer was superior to Armstrong’s.</w:t>
      </w:r>
      <w:r w:rsidRPr="003A0CBE">
        <w:rPr>
          <w:rFonts w:eastAsiaTheme="minorHAnsi"/>
          <w:szCs w:val="22"/>
          <w:vertAlign w:val="superscript"/>
        </w:rPr>
        <w:footnoteReference w:id="148"/>
      </w:r>
    </w:p>
    <w:p w:rsidR="003A0CBE" w:rsidRPr="003A0CBE" w:rsidRDefault="003A0CBE" w:rsidP="003A0CBE">
      <w:pPr>
        <w:keepNext/>
        <w:spacing w:before="240" w:after="120"/>
        <w:jc w:val="center"/>
        <w:rPr>
          <w:rFonts w:eastAsiaTheme="minorHAnsi"/>
          <w:szCs w:val="22"/>
        </w:rPr>
      </w:pPr>
      <w:r w:rsidRPr="003A0CBE">
        <w:rPr>
          <w:rFonts w:eastAsiaTheme="minorHAnsi"/>
          <w:szCs w:val="22"/>
        </w:rPr>
        <w:t>III.</w:t>
      </w:r>
    </w:p>
    <w:p w:rsidR="003A0CBE" w:rsidRPr="003A0CBE" w:rsidRDefault="003A0CBE" w:rsidP="003A0CBE">
      <w:pPr>
        <w:spacing w:after="120"/>
        <w:ind w:firstLine="720"/>
        <w:rPr>
          <w:rFonts w:eastAsiaTheme="minorHAnsi"/>
          <w:szCs w:val="22"/>
        </w:rPr>
      </w:pPr>
      <w:r w:rsidRPr="003A0CBE">
        <w:rPr>
          <w:rFonts w:eastAsiaTheme="minorHAnsi"/>
          <w:szCs w:val="22"/>
        </w:rPr>
        <w:t>Finally, the Commission claims that even were it to conclude that the rates proposed by DSNP were closer to the fair market value than those proposed by Armstrong, it would still rule in favor of Armstrong because “other provisions also favor the Armstrong offer as being more consistent with fair market value.”</w:t>
      </w:r>
      <w:r w:rsidRPr="003A0CBE">
        <w:rPr>
          <w:rFonts w:eastAsiaTheme="minorHAnsi"/>
          <w:szCs w:val="22"/>
          <w:vertAlign w:val="superscript"/>
        </w:rPr>
        <w:footnoteReference w:id="149"/>
      </w:r>
    </w:p>
    <w:p w:rsidR="003A0CBE" w:rsidRPr="003A0CBE" w:rsidRDefault="003A0CBE" w:rsidP="003A0CBE">
      <w:pPr>
        <w:spacing w:after="120"/>
        <w:ind w:firstLine="720"/>
        <w:rPr>
          <w:rFonts w:eastAsiaTheme="minorHAnsi"/>
          <w:szCs w:val="22"/>
        </w:rPr>
      </w:pPr>
      <w:r w:rsidRPr="003A0CBE">
        <w:rPr>
          <w:rFonts w:eastAsiaTheme="minorHAnsi"/>
          <w:szCs w:val="22"/>
        </w:rPr>
        <w:t>As a matter of rote arithmetic, I won’t dispute that four is greater than three; that is, the Bureau looked at seven “non-rate” terms of the contract and found that four terms favored Armstrong’s offer while three favored DSNP’s.  But it is difficult to see how any narrow advantage for Armstrong with respect to non-rate terms could outweigh an advantage for DSNP with respect to rates.  Indeed, as compared to the question of rates, some of the non-rate terms have an “Other than that, Mrs. Lincoln, how did you like the play?” flavor to them.</w:t>
      </w:r>
    </w:p>
    <w:p w:rsidR="003A0CBE" w:rsidRPr="003A0CBE" w:rsidRDefault="003A0CBE" w:rsidP="003A0CBE">
      <w:pPr>
        <w:spacing w:after="120"/>
        <w:ind w:firstLine="720"/>
        <w:rPr>
          <w:rFonts w:eastAsiaTheme="minorHAnsi"/>
          <w:szCs w:val="22"/>
        </w:rPr>
      </w:pPr>
      <w:r w:rsidRPr="003A0CBE">
        <w:rPr>
          <w:rFonts w:eastAsiaTheme="minorHAnsi"/>
          <w:szCs w:val="22"/>
        </w:rPr>
        <w:t xml:space="preserve">Consider, for example, the question of whether DSNP would be allowed to substitute a local </w:t>
      </w:r>
      <w:r w:rsidR="00A92B77" w:rsidRPr="00430BEA">
        <w:rPr>
          <w:b/>
        </w:rPr>
        <w:t>[</w:t>
      </w:r>
      <w:r w:rsidR="005E6744">
        <w:rPr>
          <w:b/>
        </w:rPr>
        <w:t>REDACTED</w:t>
      </w:r>
      <w:r w:rsidR="00A92B77" w:rsidRPr="00430BEA">
        <w:rPr>
          <w:b/>
        </w:rPr>
        <w:t>]</w:t>
      </w:r>
      <w:r w:rsidRPr="003A0CBE">
        <w:rPr>
          <w:rFonts w:eastAsiaTheme="minorHAnsi"/>
          <w:szCs w:val="22"/>
        </w:rPr>
        <w:t xml:space="preserve"> games to cure any shortfall in Penguins or Pirates games.  The Bureau ruled that such a contract provision would not “most closely approximate fair market value” and thus, ruled for Armstrong on this point.  But how much does this issue really matter?  At the time, Pittsburgh did not even have an </w:t>
      </w:r>
      <w:r w:rsidR="00A92B77" w:rsidRPr="00430BEA">
        <w:rPr>
          <w:b/>
        </w:rPr>
        <w:t>[</w:t>
      </w:r>
      <w:r w:rsidR="005E6744">
        <w:rPr>
          <w:b/>
        </w:rPr>
        <w:t>REDACTED</w:t>
      </w:r>
      <w:r w:rsidR="00A92B77" w:rsidRPr="00430BEA">
        <w:rPr>
          <w:b/>
        </w:rPr>
        <w:t>]</w:t>
      </w:r>
      <w:r w:rsidR="00A92B77">
        <w:rPr>
          <w:b/>
        </w:rPr>
        <w:t xml:space="preserve"> </w:t>
      </w:r>
      <w:r w:rsidRPr="003A0CBE">
        <w:rPr>
          <w:rFonts w:eastAsiaTheme="minorHAnsi"/>
          <w:szCs w:val="22"/>
        </w:rPr>
        <w:t>team.  There was no evidence in the record of any plans to create one.</w:t>
      </w:r>
      <w:r w:rsidRPr="003A0CBE">
        <w:rPr>
          <w:rFonts w:eastAsiaTheme="minorHAnsi"/>
          <w:szCs w:val="22"/>
          <w:vertAlign w:val="superscript"/>
        </w:rPr>
        <w:footnoteReference w:id="150"/>
      </w:r>
      <w:r w:rsidRPr="003A0CBE">
        <w:rPr>
          <w:rFonts w:eastAsiaTheme="minorHAnsi"/>
          <w:szCs w:val="22"/>
        </w:rPr>
        <w:t xml:space="preserve">  And four years later, Pittsburgh </w:t>
      </w:r>
      <w:r w:rsidRPr="003A0CBE">
        <w:rPr>
          <w:rFonts w:eastAsiaTheme="minorHAnsi"/>
          <w:i/>
          <w:szCs w:val="22"/>
        </w:rPr>
        <w:t xml:space="preserve">still </w:t>
      </w:r>
      <w:r w:rsidRPr="003A0CBE">
        <w:rPr>
          <w:rFonts w:eastAsiaTheme="minorHAnsi"/>
          <w:szCs w:val="22"/>
        </w:rPr>
        <w:t xml:space="preserve">does not have an </w:t>
      </w:r>
      <w:r w:rsidR="00A92B77" w:rsidRPr="00430BEA">
        <w:rPr>
          <w:b/>
        </w:rPr>
        <w:t>[</w:t>
      </w:r>
      <w:r w:rsidR="005E6744">
        <w:rPr>
          <w:b/>
        </w:rPr>
        <w:t>REDACTED</w:t>
      </w:r>
      <w:r w:rsidR="003A3B0D" w:rsidRPr="00430BEA">
        <w:rPr>
          <w:b/>
        </w:rPr>
        <w:t>]</w:t>
      </w:r>
      <w:r w:rsidR="003A3B0D">
        <w:rPr>
          <w:b/>
        </w:rPr>
        <w:t xml:space="preserve"> </w:t>
      </w:r>
      <w:r w:rsidRPr="003A0CBE">
        <w:rPr>
          <w:rFonts w:eastAsiaTheme="minorHAnsi"/>
          <w:szCs w:val="22"/>
        </w:rPr>
        <w:t>team.  As such, the dispute over this issue was, and is, academic.  It’s strange to suggest that Armstrong’s victory on this issue should be weighed on par with DSNP prevailing on the issue of rates.</w:t>
      </w:r>
    </w:p>
    <w:p w:rsidR="003A0CBE" w:rsidRPr="003A0CBE" w:rsidRDefault="003A0CBE" w:rsidP="003A0CBE">
      <w:pPr>
        <w:keepNext/>
        <w:spacing w:before="240" w:after="120"/>
        <w:jc w:val="center"/>
        <w:rPr>
          <w:rFonts w:eastAsiaTheme="minorHAnsi"/>
          <w:szCs w:val="22"/>
        </w:rPr>
      </w:pPr>
      <w:r w:rsidRPr="003A0CBE">
        <w:rPr>
          <w:rFonts w:eastAsiaTheme="minorHAnsi"/>
          <w:szCs w:val="22"/>
        </w:rPr>
        <w:t>* * *</w:t>
      </w:r>
    </w:p>
    <w:p w:rsidR="003A0CBE" w:rsidRPr="003A0CBE" w:rsidRDefault="003A0CBE" w:rsidP="003A0CBE">
      <w:pPr>
        <w:spacing w:after="120"/>
        <w:ind w:firstLine="720"/>
        <w:rPr>
          <w:rFonts w:eastAsiaTheme="minorHAnsi"/>
          <w:szCs w:val="22"/>
        </w:rPr>
      </w:pPr>
      <w:r w:rsidRPr="003A0CBE">
        <w:rPr>
          <w:rFonts w:eastAsiaTheme="minorHAnsi"/>
          <w:szCs w:val="22"/>
        </w:rPr>
        <w:t>After reviewing the record as a whole, I believe it is unlikely that Armstrong’s offer was closer to the fair market value than was DSNP’s.  The Commission’s finding on that score, however, is not my major problem with this item.  What troubles me more is the flawed methodology used to resolve this case, particularly because it will set a precedent for resolving future disputes between RSNs and MVPDs.</w:t>
      </w:r>
    </w:p>
    <w:p w:rsidR="00962169" w:rsidRPr="00AA0419" w:rsidRDefault="003A0CBE" w:rsidP="005F0E3C">
      <w:pPr>
        <w:spacing w:after="120"/>
        <w:ind w:firstLine="720"/>
      </w:pPr>
      <w:r w:rsidRPr="003A0CBE">
        <w:rPr>
          <w:rFonts w:eastAsiaTheme="minorHAnsi"/>
          <w:szCs w:val="22"/>
        </w:rPr>
        <w:t>My preference would have been for the Commission to remand this case back to the Bureau with simple instructions: (1) based on a comprehensive review of the record, estimate the fair market value of Armstrong’s carriage of FSNP; and (2) calculate which party’s offer was closest to that estimated fair market value.  Had the Bureau then concluded that Armstrong’s offer was closer to the fair market value, I would have reviewed that determination with an open mind.  But at this point, the reasoning contained in this item and in the Bureau’s decision below does not support a finding that Armstrong’s price was right.  Therefore, I must respectfully dissent.</w:t>
      </w:r>
    </w:p>
    <w:p w:rsidR="00962169" w:rsidRDefault="00962169" w:rsidP="009F023E">
      <w:pPr>
        <w:jc w:val="center"/>
        <w:rPr>
          <w:b/>
        </w:rPr>
      </w:pPr>
      <w:r>
        <w:br w:type="page"/>
      </w:r>
      <w:r w:rsidRPr="0082512A">
        <w:rPr>
          <w:b/>
        </w:rPr>
        <w:t xml:space="preserve">STATEMENT OF </w:t>
      </w:r>
    </w:p>
    <w:p w:rsidR="00962169" w:rsidRPr="0082512A" w:rsidRDefault="00962169" w:rsidP="009F023E">
      <w:pPr>
        <w:jc w:val="center"/>
        <w:rPr>
          <w:b/>
        </w:rPr>
      </w:pPr>
      <w:r>
        <w:rPr>
          <w:b/>
        </w:rPr>
        <w:t xml:space="preserve">COMMISSIONER </w:t>
      </w:r>
      <w:r w:rsidRPr="0082512A">
        <w:rPr>
          <w:b/>
        </w:rPr>
        <w:t>MICHAEL O’RIELLY</w:t>
      </w:r>
    </w:p>
    <w:p w:rsidR="00962169" w:rsidRPr="0082512A" w:rsidRDefault="00962169" w:rsidP="009F023E">
      <w:pPr>
        <w:jc w:val="center"/>
        <w:rPr>
          <w:b/>
        </w:rPr>
      </w:pPr>
      <w:r w:rsidRPr="0082512A">
        <w:rPr>
          <w:b/>
        </w:rPr>
        <w:t>CONCURRING IN PART, DISSENTING IN PART</w:t>
      </w:r>
    </w:p>
    <w:p w:rsidR="00962169" w:rsidRPr="00FA0FD4" w:rsidRDefault="00962169" w:rsidP="009F023E"/>
    <w:p w:rsidR="00962169" w:rsidRPr="00FA0FD4" w:rsidRDefault="00962169" w:rsidP="009F023E">
      <w:pPr>
        <w:ind w:left="720" w:hanging="720"/>
      </w:pPr>
      <w:r w:rsidRPr="00FA0FD4">
        <w:t>Re:</w:t>
      </w:r>
      <w:r w:rsidRPr="00FA0FD4">
        <w:tab/>
      </w:r>
      <w:r w:rsidRPr="00FA0FD4">
        <w:rPr>
          <w:i/>
        </w:rPr>
        <w:t>DIRECTV Sports Net Pittsburgh, LLC, Petitioner v. Armstrong Utilities, Inc., Respondent</w:t>
      </w:r>
      <w:r w:rsidRPr="00FA0FD4">
        <w:t>, File No. CSR08480-P.</w:t>
      </w:r>
    </w:p>
    <w:p w:rsidR="00962169" w:rsidRPr="00FD3D2B" w:rsidRDefault="00962169" w:rsidP="009F023E"/>
    <w:p w:rsidR="00962169" w:rsidRPr="00FD3D2B" w:rsidRDefault="00962169" w:rsidP="009F023E">
      <w:pPr>
        <w:ind w:firstLine="720"/>
      </w:pPr>
      <w:r>
        <w:t>In this item, the</w:t>
      </w:r>
      <w:r w:rsidRPr="00FD3D2B">
        <w:t xml:space="preserve"> Commission </w:t>
      </w:r>
      <w:r>
        <w:t xml:space="preserve">is faced with the task of reviewing the implementation of a complex merger condition. </w:t>
      </w:r>
      <w:r w:rsidRPr="00FD3D2B">
        <w:t xml:space="preserve"> </w:t>
      </w:r>
      <w:r>
        <w:t xml:space="preserve">At issue is </w:t>
      </w:r>
      <w:r w:rsidRPr="00FD3D2B">
        <w:t>a dispute resolution condition</w:t>
      </w:r>
      <w:r>
        <w:t xml:space="preserve"> originally imposed in 2003, when</w:t>
      </w:r>
      <w:r w:rsidRPr="00FD3D2B">
        <w:t xml:space="preserve"> </w:t>
      </w:r>
      <w:r>
        <w:t>News Corporation acquired effective control over DIREC</w:t>
      </w:r>
      <w:r w:rsidRPr="00FD3D2B">
        <w:t>TV</w:t>
      </w:r>
      <w:r>
        <w:t>’s parent company, Hughes Electronics Corporation</w:t>
      </w:r>
      <w:r w:rsidRPr="00FD3D2B">
        <w:t xml:space="preserve">.  </w:t>
      </w:r>
      <w:r>
        <w:t xml:space="preserve">The condition required arbitration if negotiations between a DIRECTV-owned regional sports network and a multichannel video programming distributor (MVPD) failed to produce mutually agreed upon prices and terms.  </w:t>
      </w:r>
      <w:r w:rsidRPr="00FD3D2B">
        <w:t xml:space="preserve">Liberty Media Corporation </w:t>
      </w:r>
      <w:r>
        <w:t xml:space="preserve">agreed to extend this condition for six years </w:t>
      </w:r>
      <w:r w:rsidRPr="00FD3D2B">
        <w:t>when it acquired effective control</w:t>
      </w:r>
      <w:r>
        <w:t xml:space="preserve"> of</w:t>
      </w:r>
      <w:r w:rsidRPr="00FD3D2B">
        <w:t xml:space="preserve"> </w:t>
      </w:r>
      <w:r>
        <w:t>DIREC</w:t>
      </w:r>
      <w:r w:rsidRPr="00FD3D2B">
        <w:t>TV from News Corporation in 2008</w:t>
      </w:r>
      <w:r>
        <w:t>,</w:t>
      </w:r>
      <w:r w:rsidRPr="00FD3D2B">
        <w:t xml:space="preserve"> and </w:t>
      </w:r>
      <w:r>
        <w:t xml:space="preserve">the condition continued to apply </w:t>
      </w:r>
      <w:r w:rsidRPr="00FD3D2B">
        <w:t>a</w:t>
      </w:r>
      <w:r>
        <w:t xml:space="preserve">fter Liberty Media spun </w:t>
      </w:r>
      <w:r w:rsidRPr="00FD3D2B">
        <w:t xml:space="preserve">off </w:t>
      </w:r>
      <w:r>
        <w:t>DIREC</w:t>
      </w:r>
      <w:r w:rsidRPr="00FD3D2B">
        <w:t xml:space="preserve">TV in 2009.  </w:t>
      </w:r>
    </w:p>
    <w:p w:rsidR="00962169" w:rsidRPr="00FD3D2B" w:rsidRDefault="00962169" w:rsidP="009F023E"/>
    <w:p w:rsidR="00962169" w:rsidRPr="00FD3D2B" w:rsidRDefault="00962169" w:rsidP="009F023E">
      <w:pPr>
        <w:ind w:firstLine="720"/>
      </w:pPr>
      <w:r>
        <w:t xml:space="preserve">As required by this </w:t>
      </w:r>
      <w:r w:rsidRPr="00FD3D2B">
        <w:t>condition, a commercial arbitrator</w:t>
      </w:r>
      <w:r>
        <w:t>,</w:t>
      </w:r>
      <w:r w:rsidRPr="00FD3D2B">
        <w:t xml:space="preserve"> agreed to by both </w:t>
      </w:r>
      <w:r>
        <w:t>DIREC</w:t>
      </w:r>
      <w:r w:rsidRPr="00FD3D2B">
        <w:t>TV and Armstrong Utilities, Inc.</w:t>
      </w:r>
      <w:r>
        <w:t>,</w:t>
      </w:r>
      <w:r w:rsidRPr="00FD3D2B">
        <w:t xml:space="preserve"> </w:t>
      </w:r>
      <w:r>
        <w:t>had</w:t>
      </w:r>
      <w:r w:rsidRPr="00FD3D2B">
        <w:t xml:space="preserve"> to decide which </w:t>
      </w:r>
      <w:r>
        <w:t>entity’s offer</w:t>
      </w:r>
      <w:r w:rsidRPr="00FD3D2B">
        <w:t xml:space="preserve"> most closely represented fair market value for the programming carriage rights of </w:t>
      </w:r>
      <w:r>
        <w:t>DIRECTV Sports Net Pittsburgh (</w:t>
      </w:r>
      <w:r w:rsidR="00237FA2">
        <w:t>now marketed as Root</w:t>
      </w:r>
      <w:r w:rsidRPr="00FD3D2B">
        <w:t xml:space="preserve"> Sports Pittsburgh</w:t>
      </w:r>
      <w:r>
        <w:t>)</w:t>
      </w:r>
      <w:r w:rsidRPr="00FD3D2B">
        <w:t xml:space="preserve">.  The arbitrator, using so-called “baseball-style” or final offer arbitration, selected Armstrong’s proposal.  </w:t>
      </w:r>
      <w:r>
        <w:t xml:space="preserve">In an </w:t>
      </w:r>
      <w:r>
        <w:rPr>
          <w:i/>
        </w:rPr>
        <w:t>Order on</w:t>
      </w:r>
      <w:r w:rsidRPr="002A6746">
        <w:rPr>
          <w:i/>
        </w:rPr>
        <w:t xml:space="preserve"> Review</w:t>
      </w:r>
      <w:r>
        <w:t>, the</w:t>
      </w:r>
      <w:r w:rsidRPr="00FD3D2B">
        <w:t xml:space="preserve"> </w:t>
      </w:r>
      <w:r>
        <w:t xml:space="preserve">Media Bureau affirmed the arbitrator’s decision.  In the </w:t>
      </w:r>
      <w:r w:rsidRPr="002A6746">
        <w:rPr>
          <w:i/>
        </w:rPr>
        <w:t>Application for Review</w:t>
      </w:r>
      <w:r>
        <w:t xml:space="preserve"> before us, DIREC</w:t>
      </w:r>
      <w:r w:rsidRPr="00FD3D2B">
        <w:t xml:space="preserve">TV Sports Net Pittsburgh </w:t>
      </w:r>
      <w:r>
        <w:t xml:space="preserve">asks the Commission to review just two of the twelve separate provisions of the parties’ offers: the </w:t>
      </w:r>
      <w:r w:rsidRPr="00FD3D2B">
        <w:t>rates and the renewal rate increase.</w:t>
      </w:r>
    </w:p>
    <w:p w:rsidR="00962169" w:rsidRPr="00FD3D2B" w:rsidRDefault="00962169" w:rsidP="009F023E"/>
    <w:p w:rsidR="00962169" w:rsidRDefault="00962169" w:rsidP="009F023E">
      <w:pPr>
        <w:ind w:firstLine="720"/>
      </w:pPr>
      <w:r w:rsidRPr="00FD3D2B">
        <w:t>I was not at the Commission when this dispute resolution condition was adopted</w:t>
      </w:r>
      <w:r>
        <w:t>,</w:t>
      </w:r>
      <w:r w:rsidRPr="00FD3D2B">
        <w:t xml:space="preserve"> and I </w:t>
      </w:r>
      <w:r>
        <w:t>may</w:t>
      </w:r>
      <w:r w:rsidRPr="00FD3D2B">
        <w:t xml:space="preserve"> not have supported it had I been.  </w:t>
      </w:r>
      <w:r>
        <w:t xml:space="preserve">Generally, </w:t>
      </w:r>
      <w:r w:rsidRPr="00FD3D2B">
        <w:t xml:space="preserve">I have serious reservations </w:t>
      </w:r>
      <w:r>
        <w:t>about the</w:t>
      </w:r>
      <w:r w:rsidRPr="00FD3D2B">
        <w:t xml:space="preserve"> Commission </w:t>
      </w:r>
      <w:r>
        <w:t>setting “fair” rates for</w:t>
      </w:r>
      <w:r w:rsidRPr="00FD3D2B">
        <w:t xml:space="preserve"> video programming</w:t>
      </w:r>
      <w:r>
        <w:t xml:space="preserve">.  Therefore, I am concerned that the Commission </w:t>
      </w:r>
      <w:r w:rsidRPr="00FD3D2B">
        <w:t>establish</w:t>
      </w:r>
      <w:r>
        <w:t>ed</w:t>
      </w:r>
      <w:r w:rsidRPr="00FD3D2B">
        <w:t xml:space="preserve"> a</w:t>
      </w:r>
      <w:r>
        <w:t>n</w:t>
      </w:r>
      <w:r w:rsidRPr="00FD3D2B">
        <w:t xml:space="preserve"> </w:t>
      </w:r>
      <w:r>
        <w:t>arbitration</w:t>
      </w:r>
      <w:r w:rsidRPr="00FD3D2B">
        <w:t xml:space="preserve"> mechanism that </w:t>
      </w:r>
      <w:r>
        <w:t>requires the Commission to resolve a dispute by selecting the offer that is closest to fair market value</w:t>
      </w:r>
      <w:r w:rsidRPr="00FD3D2B">
        <w:t xml:space="preserve">.  </w:t>
      </w:r>
      <w:r>
        <w:t>I believe that marketplace</w:t>
      </w:r>
      <w:r w:rsidRPr="00FD3D2B">
        <w:t xml:space="preserve"> </w:t>
      </w:r>
      <w:r>
        <w:t>negotiations—</w:t>
      </w:r>
      <w:r w:rsidRPr="00FD3D2B">
        <w:t xml:space="preserve">or some other </w:t>
      </w:r>
      <w:r>
        <w:t xml:space="preserve">private sector </w:t>
      </w:r>
      <w:r w:rsidRPr="00FD3D2B">
        <w:t xml:space="preserve">arrangement agreed to by the </w:t>
      </w:r>
      <w:r>
        <w:t xml:space="preserve">negotiating </w:t>
      </w:r>
      <w:r w:rsidRPr="00FD3D2B">
        <w:t>entities</w:t>
      </w:r>
      <w:r>
        <w:t>—</w:t>
      </w:r>
      <w:r w:rsidRPr="00FD3D2B">
        <w:t xml:space="preserve">is the </w:t>
      </w:r>
      <w:r>
        <w:t>superior mechanism for</w:t>
      </w:r>
      <w:r w:rsidRPr="00FD3D2B">
        <w:t xml:space="preserve"> </w:t>
      </w:r>
      <w:r>
        <w:t>determining</w:t>
      </w:r>
      <w:r w:rsidRPr="00FD3D2B">
        <w:t xml:space="preserve"> </w:t>
      </w:r>
      <w:r>
        <w:t>fair market value for such content</w:t>
      </w:r>
      <w:r w:rsidRPr="00FD3D2B">
        <w:t xml:space="preserve">.       </w:t>
      </w:r>
    </w:p>
    <w:p w:rsidR="00962169" w:rsidRPr="00FD3D2B" w:rsidRDefault="00962169" w:rsidP="009F023E">
      <w:pPr>
        <w:ind w:firstLine="720"/>
      </w:pPr>
    </w:p>
    <w:p w:rsidR="00962169" w:rsidRPr="00FD3D2B" w:rsidRDefault="00962169" w:rsidP="009F023E">
      <w:pPr>
        <w:ind w:firstLine="720"/>
      </w:pPr>
      <w:r>
        <w:t xml:space="preserve">In his dissent, </w:t>
      </w:r>
      <w:r w:rsidRPr="00FD3D2B">
        <w:t xml:space="preserve">Commissioner Pai makes a compelling case that the Commission </w:t>
      </w:r>
      <w:r>
        <w:t xml:space="preserve">did </w:t>
      </w:r>
      <w:r w:rsidRPr="00FD3D2B">
        <w:t xml:space="preserve">not </w:t>
      </w:r>
      <w:r>
        <w:t>properly effectuate</w:t>
      </w:r>
      <w:r w:rsidRPr="00FD3D2B">
        <w:t xml:space="preserve"> its role under </w:t>
      </w:r>
      <w:r>
        <w:t>this</w:t>
      </w:r>
      <w:r w:rsidRPr="00FD3D2B">
        <w:t xml:space="preserve"> condition.  Specifically, he </w:t>
      </w:r>
      <w:r>
        <w:t>outlines</w:t>
      </w:r>
      <w:r w:rsidRPr="00FD3D2B">
        <w:t xml:space="preserve"> that the Commission has the obligation to independently </w:t>
      </w:r>
      <w:r>
        <w:t>estimate the fair market value of the programming carriage rights at issue to determine which offer was closest to that number</w:t>
      </w:r>
      <w:r w:rsidRPr="00FD3D2B">
        <w:t xml:space="preserve">, and that was not sufficiently done in this instance.  </w:t>
      </w:r>
      <w:r>
        <w:t>I associate myself with his concerns over the Commission’s</w:t>
      </w:r>
      <w:r w:rsidRPr="00FD3D2B">
        <w:t xml:space="preserve"> </w:t>
      </w:r>
      <w:r>
        <w:t>methodology, and I dissent on this aspect of the item</w:t>
      </w:r>
      <w:r w:rsidRPr="00FD3D2B">
        <w:t>.</w:t>
      </w:r>
      <w:r>
        <w:t xml:space="preserve">  </w:t>
      </w:r>
      <w:r w:rsidRPr="00FD3D2B">
        <w:t xml:space="preserve">                </w:t>
      </w:r>
    </w:p>
    <w:p w:rsidR="00962169" w:rsidRPr="00FD3D2B" w:rsidRDefault="00962169" w:rsidP="009F023E"/>
    <w:p w:rsidR="00962169" w:rsidRDefault="00962169" w:rsidP="009F023E">
      <w:pPr>
        <w:ind w:firstLine="720"/>
      </w:pPr>
      <w:r w:rsidRPr="00FD3D2B">
        <w:t>In the end, I am willing</w:t>
      </w:r>
      <w:r>
        <w:t xml:space="preserve"> to</w:t>
      </w:r>
      <w:r w:rsidRPr="00FD3D2B">
        <w:t xml:space="preserve"> let </w:t>
      </w:r>
      <w:r>
        <w:t xml:space="preserve">the Media Bureau’s decision </w:t>
      </w:r>
      <w:r w:rsidRPr="00FD3D2B">
        <w:t>stand</w:t>
      </w:r>
      <w:r>
        <w:t xml:space="preserve"> for the following reasons.  First, DIREC</w:t>
      </w:r>
      <w:r w:rsidRPr="00FD3D2B">
        <w:t>TV</w:t>
      </w:r>
      <w:r>
        <w:t xml:space="preserve"> failed</w:t>
      </w:r>
      <w:r w:rsidRPr="00FD3D2B">
        <w:t xml:space="preserve"> to challenge </w:t>
      </w:r>
      <w:r>
        <w:t xml:space="preserve">the </w:t>
      </w:r>
      <w:r w:rsidRPr="00FD3D2B">
        <w:t>other p</w:t>
      </w:r>
      <w:r>
        <w:t>ortion</w:t>
      </w:r>
      <w:r w:rsidRPr="00FD3D2B">
        <w:t>s of the arbitrator’s decision</w:t>
      </w:r>
      <w:r>
        <w:t xml:space="preserve"> and did not, as far as I am aware, provide an explanation as to why the two provisions it challenged would ultimately tip the scales in their favor. </w:t>
      </w:r>
      <w:r w:rsidRPr="00FD3D2B">
        <w:t xml:space="preserve"> </w:t>
      </w:r>
      <w:r>
        <w:t xml:space="preserve">Second, </w:t>
      </w:r>
      <w:r w:rsidRPr="00FD3D2B">
        <w:t xml:space="preserve">Liberty Media Corporation agreed to </w:t>
      </w:r>
      <w:r>
        <w:t xml:space="preserve">this </w:t>
      </w:r>
      <w:r w:rsidRPr="00FD3D2B">
        <w:t>process</w:t>
      </w:r>
      <w:r>
        <w:t>, however flawed,</w:t>
      </w:r>
      <w:r w:rsidRPr="00FD3D2B">
        <w:t xml:space="preserve"> as part of its </w:t>
      </w:r>
      <w:r>
        <w:t>DIREC</w:t>
      </w:r>
      <w:r w:rsidRPr="00FD3D2B">
        <w:t>TV purchase</w:t>
      </w:r>
      <w:r>
        <w:t>.  And finally,</w:t>
      </w:r>
      <w:r w:rsidRPr="00FD3D2B">
        <w:t xml:space="preserve"> DIRECTV knew of </w:t>
      </w:r>
      <w:r>
        <w:t>this condition</w:t>
      </w:r>
      <w:r w:rsidRPr="00FD3D2B">
        <w:t xml:space="preserve"> when it was spun-off.  Whether </w:t>
      </w:r>
      <w:r>
        <w:t>agreeing to this condition</w:t>
      </w:r>
      <w:r w:rsidRPr="00FD3D2B">
        <w:t xml:space="preserve"> ultimately </w:t>
      </w:r>
      <w:r>
        <w:t>was a wise decision,</w:t>
      </w:r>
      <w:r w:rsidRPr="00FD3D2B">
        <w:t xml:space="preserve"> is something for the company’s leadership to </w:t>
      </w:r>
      <w:r>
        <w:t>evaluate in</w:t>
      </w:r>
      <w:r w:rsidRPr="00FD3D2B">
        <w:t xml:space="preserve"> hindsight</w:t>
      </w:r>
      <w:r>
        <w:t xml:space="preserve">.  </w:t>
      </w:r>
    </w:p>
    <w:p w:rsidR="00962169" w:rsidRDefault="00962169" w:rsidP="009F023E">
      <w:pPr>
        <w:ind w:firstLine="720"/>
      </w:pPr>
    </w:p>
    <w:p w:rsidR="00412FC5" w:rsidRPr="00C60704" w:rsidRDefault="00962169" w:rsidP="005039B9">
      <w:pPr>
        <w:ind w:firstLine="720"/>
        <w:rPr>
          <w:szCs w:val="22"/>
        </w:rPr>
      </w:pPr>
      <w:r w:rsidRPr="00FD3D2B">
        <w:t xml:space="preserve">The </w:t>
      </w:r>
      <w:r>
        <w:t>item</w:t>
      </w:r>
      <w:r w:rsidRPr="00FD3D2B">
        <w:t xml:space="preserve"> maintains</w:t>
      </w:r>
      <w:r w:rsidRPr="00FD3D2B" w:rsidDel="00256C21">
        <w:t xml:space="preserve"> </w:t>
      </w:r>
      <w:r>
        <w:t>that even if DIREC</w:t>
      </w:r>
      <w:r w:rsidRPr="00FD3D2B">
        <w:t xml:space="preserve">TV Sports Net Pittsburgh </w:t>
      </w:r>
      <w:r>
        <w:t xml:space="preserve">had convinced the Commission to reverse the Media Bureau’s decision on the </w:t>
      </w:r>
      <w:r w:rsidRPr="00FD3D2B">
        <w:t>two challenged portions</w:t>
      </w:r>
      <w:r>
        <w:t>,</w:t>
      </w:r>
      <w:r w:rsidRPr="00FD3D2B">
        <w:t xml:space="preserve"> it </w:t>
      </w:r>
      <w:r>
        <w:t>still would not</w:t>
      </w:r>
      <w:r w:rsidRPr="00FD3D2B">
        <w:t xml:space="preserve"> outweigh the unchallenged p</w:t>
      </w:r>
      <w:r>
        <w:t>ortion</w:t>
      </w:r>
      <w:r w:rsidRPr="00FD3D2B">
        <w:t xml:space="preserve">s of the arbitrator’s decision.  If that is accurate, and it appears to be based on the Bureau’s determination </w:t>
      </w:r>
      <w:r>
        <w:t>notwithstanding</w:t>
      </w:r>
      <w:r w:rsidRPr="00FD3D2B">
        <w:t xml:space="preserve"> </w:t>
      </w:r>
      <w:r>
        <w:t xml:space="preserve">the </w:t>
      </w:r>
      <w:r w:rsidRPr="00FD3D2B">
        <w:t xml:space="preserve">questionable </w:t>
      </w:r>
      <w:r>
        <w:t>approach</w:t>
      </w:r>
      <w:r w:rsidRPr="00FD3D2B">
        <w:t xml:space="preserve">, then this should conclude the case.  As such, I </w:t>
      </w:r>
      <w:r>
        <w:t xml:space="preserve">will </w:t>
      </w:r>
      <w:r w:rsidRPr="00FD3D2B">
        <w:t xml:space="preserve">concur with the </w:t>
      </w:r>
      <w:r>
        <w:t>overall decision of the Bureau</w:t>
      </w:r>
      <w:r w:rsidRPr="00FD3D2B">
        <w:t xml:space="preserve"> and hope the Commission does not find itself in similar circumstances in the future.</w:t>
      </w:r>
      <w:r>
        <w:t xml:space="preserve">  </w:t>
      </w:r>
    </w:p>
    <w:sectPr w:rsidR="00412FC5" w:rsidRPr="00C60704" w:rsidSect="00A46A69">
      <w:footerReference w:type="first" r:id="rId14"/>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13" w:rsidRDefault="00044813">
      <w:pPr>
        <w:spacing w:line="20" w:lineRule="exact"/>
      </w:pPr>
    </w:p>
    <w:p w:rsidR="00044813" w:rsidRDefault="00044813"/>
    <w:p w:rsidR="00044813" w:rsidRDefault="00044813"/>
    <w:p w:rsidR="00044813" w:rsidRDefault="00044813"/>
  </w:endnote>
  <w:endnote w:type="continuationSeparator" w:id="0">
    <w:p w:rsidR="00044813" w:rsidRDefault="00044813">
      <w:r>
        <w:t xml:space="preserve"> </w:t>
      </w:r>
    </w:p>
    <w:p w:rsidR="00044813" w:rsidRDefault="00044813"/>
    <w:p w:rsidR="00044813" w:rsidRDefault="00044813"/>
    <w:p w:rsidR="00044813" w:rsidRDefault="00044813"/>
  </w:endnote>
  <w:endnote w:type="continuationNotice" w:id="1">
    <w:p w:rsidR="00044813" w:rsidRDefault="00044813">
      <w:r>
        <w:t xml:space="preserve"> </w:t>
      </w:r>
    </w:p>
    <w:p w:rsidR="00044813" w:rsidRDefault="00044813"/>
    <w:p w:rsidR="00044813" w:rsidRDefault="00044813"/>
    <w:p w:rsidR="00044813" w:rsidRDefault="00044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Default="00044813" w:rsidP="0055614C">
    <w:pPr>
      <w:pStyle w:val="Footer"/>
      <w:framePr w:wrap="around" w:vAnchor="text" w:hAnchor="margin" w:xAlign="center" w:y="1"/>
    </w:pPr>
    <w:r>
      <w:fldChar w:fldCharType="begin"/>
    </w:r>
    <w:r>
      <w:instrText xml:space="preserve">PAGE  </w:instrText>
    </w:r>
    <w:r>
      <w:fldChar w:fldCharType="end"/>
    </w:r>
  </w:p>
  <w:p w:rsidR="00044813" w:rsidRDefault="00044813">
    <w:pPr>
      <w:pStyle w:val="Footer"/>
    </w:pPr>
  </w:p>
  <w:p w:rsidR="00044813" w:rsidRDefault="00044813"/>
  <w:p w:rsidR="00044813" w:rsidRDefault="00044813"/>
  <w:p w:rsidR="00044813" w:rsidRDefault="000448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Default="00044813" w:rsidP="0055614C">
    <w:pPr>
      <w:pStyle w:val="Footer"/>
      <w:framePr w:wrap="around" w:vAnchor="text" w:hAnchor="margin" w:xAlign="center" w:y="1"/>
    </w:pPr>
    <w:r>
      <w:fldChar w:fldCharType="begin"/>
    </w:r>
    <w:r>
      <w:instrText xml:space="preserve">PAGE  </w:instrText>
    </w:r>
    <w:r>
      <w:fldChar w:fldCharType="separate"/>
    </w:r>
    <w:r w:rsidR="00BB1F63">
      <w:rPr>
        <w:noProof/>
      </w:rPr>
      <w:t>2</w:t>
    </w:r>
    <w:r>
      <w:fldChar w:fldCharType="end"/>
    </w:r>
  </w:p>
  <w:p w:rsidR="00044813" w:rsidRDefault="00044813">
    <w:pPr>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Default="0004481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Default="00044813" w:rsidP="00B5721D">
    <w:pPr>
      <w:pStyle w:val="Footer"/>
      <w:tabs>
        <w:tab w:val="clear" w:pos="8640"/>
      </w:tabs>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13" w:rsidRDefault="00044813">
      <w:r>
        <w:separator/>
      </w:r>
    </w:p>
  </w:footnote>
  <w:footnote w:type="continuationSeparator" w:id="0">
    <w:p w:rsidR="00044813" w:rsidRDefault="00044813">
      <w:pPr>
        <w:rPr>
          <w:sz w:val="20"/>
        </w:rPr>
      </w:pPr>
      <w:r>
        <w:rPr>
          <w:sz w:val="20"/>
        </w:rPr>
        <w:t xml:space="preserve">(Continued from previous page)  </w:t>
      </w:r>
      <w:r>
        <w:rPr>
          <w:sz w:val="20"/>
        </w:rPr>
        <w:separator/>
      </w:r>
    </w:p>
  </w:footnote>
  <w:footnote w:type="continuationNotice" w:id="1">
    <w:p w:rsidR="00044813" w:rsidRDefault="00044813" w:rsidP="009F6F4E">
      <w:pPr>
        <w:jc w:val="right"/>
        <w:rPr>
          <w:sz w:val="20"/>
        </w:rPr>
      </w:pPr>
      <w:r>
        <w:rPr>
          <w:sz w:val="20"/>
        </w:rPr>
        <w:t>(continued….)</w:t>
      </w:r>
    </w:p>
  </w:footnote>
  <w:footnote w:id="2">
    <w:p w:rsidR="00044813" w:rsidRPr="00461A04" w:rsidRDefault="00044813" w:rsidP="00FD1729">
      <w:pPr>
        <w:pStyle w:val="FootnoteText"/>
      </w:pPr>
      <w:r w:rsidRPr="00461A04">
        <w:rPr>
          <w:rStyle w:val="FootnoteReference"/>
        </w:rPr>
        <w:footnoteRef/>
      </w:r>
      <w:r w:rsidRPr="00461A04">
        <w:t xml:space="preserve"> </w:t>
      </w:r>
      <w:r w:rsidRPr="00461A04">
        <w:rPr>
          <w:i/>
        </w:rPr>
        <w:t xml:space="preserve">See </w:t>
      </w:r>
      <w:r w:rsidRPr="00163E1B">
        <w:rPr>
          <w:i/>
          <w:szCs w:val="22"/>
        </w:rPr>
        <w:t>DIRECTV Sports Net Pittsburgh, LLC v. Armstrong Utils. Inc</w:t>
      </w:r>
      <w:r>
        <w:rPr>
          <w:szCs w:val="22"/>
        </w:rPr>
        <w:t>., Order on Review, 26 FCC Rcd 12574 (MB 2011)</w:t>
      </w:r>
      <w:r>
        <w:rPr>
          <w:spacing w:val="-2"/>
        </w:rPr>
        <w:t xml:space="preserve"> (“</w:t>
      </w:r>
      <w:r w:rsidRPr="00377C89">
        <w:rPr>
          <w:i/>
          <w:spacing w:val="-2"/>
        </w:rPr>
        <w:t>Order</w:t>
      </w:r>
      <w:r>
        <w:rPr>
          <w:i/>
          <w:spacing w:val="-2"/>
        </w:rPr>
        <w:t xml:space="preserve"> on Review</w:t>
      </w:r>
      <w:r>
        <w:rPr>
          <w:spacing w:val="-2"/>
        </w:rPr>
        <w:t xml:space="preserve">”); </w:t>
      </w:r>
      <w:r w:rsidRPr="0064799A">
        <w:t>DIRECTV Sports Net Pittsburgh, LLC</w:t>
      </w:r>
      <w:r w:rsidRPr="0064799A">
        <w:rPr>
          <w:i/>
        </w:rPr>
        <w:t xml:space="preserve">, </w:t>
      </w:r>
      <w:r>
        <w:t>Application for Review</w:t>
      </w:r>
      <w:r w:rsidRPr="0064799A">
        <w:t>, File No.</w:t>
      </w:r>
      <w:r w:rsidRPr="0064799A">
        <w:rPr>
          <w:spacing w:val="-2"/>
        </w:rPr>
        <w:t xml:space="preserve"> CSR-8480-P</w:t>
      </w:r>
      <w:r>
        <w:rPr>
          <w:spacing w:val="-2"/>
        </w:rPr>
        <w:t xml:space="preserve"> </w:t>
      </w:r>
      <w:r w:rsidRPr="0064799A">
        <w:t xml:space="preserve">(filed </w:t>
      </w:r>
      <w:r>
        <w:t>Sept. 9</w:t>
      </w:r>
      <w:r w:rsidRPr="0064799A">
        <w:t>, 2011) (“</w:t>
      </w:r>
      <w:r>
        <w:rPr>
          <w:i/>
        </w:rPr>
        <w:t>DSNP A</w:t>
      </w:r>
      <w:r w:rsidRPr="00377C89">
        <w:rPr>
          <w:i/>
        </w:rPr>
        <w:t>pplication for Review</w:t>
      </w:r>
      <w:r w:rsidRPr="0064799A">
        <w:t>”)</w:t>
      </w:r>
      <w:r>
        <w:t>.</w:t>
      </w:r>
    </w:p>
  </w:footnote>
  <w:footnote w:id="3">
    <w:p w:rsidR="00044813" w:rsidRPr="00377C89" w:rsidRDefault="00044813" w:rsidP="00FD1729">
      <w:pPr>
        <w:pStyle w:val="FootnoteText"/>
      </w:pPr>
      <w:r w:rsidRPr="0064799A">
        <w:rPr>
          <w:rStyle w:val="FootnoteReference"/>
        </w:rPr>
        <w:footnoteRef/>
      </w:r>
      <w:r w:rsidRPr="0064799A">
        <w:t xml:space="preserve"> </w:t>
      </w:r>
      <w:r w:rsidRPr="0064799A">
        <w:rPr>
          <w:i/>
        </w:rPr>
        <w:t xml:space="preserve">See </w:t>
      </w:r>
      <w:r>
        <w:rPr>
          <w:i/>
        </w:rPr>
        <w:t xml:space="preserve">generally </w:t>
      </w:r>
      <w:r w:rsidRPr="00377C89">
        <w:rPr>
          <w:i/>
          <w:spacing w:val="-2"/>
        </w:rPr>
        <w:t>Order</w:t>
      </w:r>
      <w:r>
        <w:rPr>
          <w:i/>
          <w:spacing w:val="-2"/>
        </w:rPr>
        <w:t xml:space="preserve"> on Review</w:t>
      </w:r>
      <w:r>
        <w:rPr>
          <w:spacing w:val="-2"/>
        </w:rPr>
        <w:t>.</w:t>
      </w:r>
      <w:r w:rsidRPr="008E5D1C">
        <w:rPr>
          <w:szCs w:val="22"/>
        </w:rPr>
        <w:t xml:space="preserve"> </w:t>
      </w:r>
      <w:r>
        <w:rPr>
          <w:szCs w:val="22"/>
        </w:rPr>
        <w:t xml:space="preserve"> </w:t>
      </w:r>
    </w:p>
  </w:footnote>
  <w:footnote w:id="4">
    <w:p w:rsidR="00044813" w:rsidRDefault="00044813">
      <w:pPr>
        <w:pStyle w:val="FootnoteText"/>
      </w:pPr>
      <w:r>
        <w:rPr>
          <w:rStyle w:val="FootnoteReference"/>
        </w:rPr>
        <w:footnoteRef/>
      </w:r>
      <w:r>
        <w:t xml:space="preserve"> </w:t>
      </w:r>
      <w:r w:rsidRPr="0064799A">
        <w:rPr>
          <w:i/>
        </w:rPr>
        <w:t xml:space="preserve">See </w:t>
      </w:r>
      <w:r>
        <w:rPr>
          <w:i/>
          <w:spacing w:val="-2"/>
        </w:rPr>
        <w:t>id</w:t>
      </w:r>
      <w:r>
        <w:rPr>
          <w:spacing w:val="-2"/>
        </w:rPr>
        <w:t>., 26 FCC Rcd at 12621, ¶¶ 76-77.</w:t>
      </w:r>
    </w:p>
  </w:footnote>
  <w:footnote w:id="5">
    <w:p w:rsidR="00044813" w:rsidRPr="0064799A" w:rsidRDefault="00044813" w:rsidP="00EF673A">
      <w:pPr>
        <w:pStyle w:val="FootnoteText"/>
      </w:pPr>
      <w:r w:rsidRPr="0064799A">
        <w:rPr>
          <w:rStyle w:val="FootnoteReference"/>
        </w:rPr>
        <w:footnoteRef/>
      </w:r>
      <w:r w:rsidRPr="0064799A">
        <w:t xml:space="preserve"> </w:t>
      </w:r>
      <w:r w:rsidRPr="0064799A">
        <w:rPr>
          <w:i/>
        </w:rPr>
        <w:t xml:space="preserve">See Applications for Consent to the Assignment and/or Transfer of Control of Licenses, News Corporation and The DIRECTV Group, Inc., Transferors, to Liberty Media Corporation., Transferee, </w:t>
      </w:r>
      <w:r w:rsidRPr="0064799A">
        <w:t xml:space="preserve">Memorandum Opinion and Order, </w:t>
      </w:r>
      <w:r>
        <w:t>23 FCC Rcd</w:t>
      </w:r>
      <w:r w:rsidRPr="0064799A">
        <w:t xml:space="preserve"> 3265,</w:t>
      </w:r>
      <w:r>
        <w:t xml:space="preserve"> </w:t>
      </w:r>
      <w:r w:rsidRPr="0064799A">
        <w:t>3305-</w:t>
      </w:r>
      <w:r>
        <w:t>13</w:t>
      </w:r>
      <w:r w:rsidRPr="0064799A">
        <w:t xml:space="preserve">, </w:t>
      </w:r>
      <w:r>
        <w:t>¶¶ 87-103</w:t>
      </w:r>
      <w:r w:rsidRPr="0064799A">
        <w:t xml:space="preserve"> (2008)</w:t>
      </w:r>
      <w:r w:rsidRPr="00BB4558">
        <w:rPr>
          <w:i/>
        </w:rPr>
        <w:t xml:space="preserve"> </w:t>
      </w:r>
      <w:r>
        <w:t>(“</w:t>
      </w:r>
      <w:r w:rsidRPr="0064799A">
        <w:rPr>
          <w:i/>
        </w:rPr>
        <w:t>Liberty Media Order</w:t>
      </w:r>
      <w:r>
        <w:t>”)</w:t>
      </w:r>
      <w:r w:rsidRPr="0064799A">
        <w:t>.</w:t>
      </w:r>
      <w:r>
        <w:t xml:space="preserve">  A comprehensive discussion of the </w:t>
      </w:r>
      <w:r w:rsidRPr="0060742D">
        <w:rPr>
          <w:i/>
        </w:rPr>
        <w:t>Liberty Media Order</w:t>
      </w:r>
      <w:r>
        <w:t xml:space="preserve"> as well as the factual background and procedural history relating to the dispute is set forth in the </w:t>
      </w:r>
      <w:r>
        <w:rPr>
          <w:i/>
        </w:rPr>
        <w:t>Order on Review</w:t>
      </w:r>
      <w:r>
        <w:t xml:space="preserve">, and thus is not reiterated at length here.  </w:t>
      </w:r>
      <w:r>
        <w:rPr>
          <w:i/>
        </w:rPr>
        <w:t>See Order on Review</w:t>
      </w:r>
      <w:r>
        <w:t xml:space="preserve">, 26 FCC Rcd at 12575-78, ¶¶ 2-7.  </w:t>
      </w:r>
    </w:p>
  </w:footnote>
  <w:footnote w:id="6">
    <w:p w:rsidR="00044813" w:rsidRPr="00CA71D0" w:rsidRDefault="00044813" w:rsidP="002E16D8">
      <w:pPr>
        <w:pStyle w:val="FootnoteText"/>
      </w:pPr>
      <w:r w:rsidRPr="0064799A">
        <w:rPr>
          <w:rStyle w:val="FootnoteReference"/>
        </w:rPr>
        <w:footnoteRef/>
      </w:r>
      <w:r w:rsidRPr="0064799A">
        <w:t xml:space="preserve"> </w:t>
      </w:r>
      <w:r w:rsidRPr="0064799A">
        <w:rPr>
          <w:i/>
        </w:rPr>
        <w:t>See Liberty Media Order</w:t>
      </w:r>
      <w:r>
        <w:t>, 23 FCC Rcd at 3305-06, ¶ 88</w:t>
      </w:r>
      <w:r w:rsidRPr="0064799A">
        <w:t xml:space="preserve">; </w:t>
      </w:r>
      <w:r w:rsidRPr="0064799A">
        <w:rPr>
          <w:i/>
        </w:rPr>
        <w:t>see also</w:t>
      </w:r>
      <w:r w:rsidRPr="0064799A">
        <w:rPr>
          <w:i/>
          <w:color w:val="000000"/>
        </w:rPr>
        <w:t xml:space="preserve"> General Motors Corp. and Hughes Electronics </w:t>
      </w:r>
      <w:r w:rsidRPr="00CA71D0">
        <w:rPr>
          <w:i/>
          <w:color w:val="000000"/>
        </w:rPr>
        <w:t>Corp., Transferors, and the News Corporation, Transferee</w:t>
      </w:r>
      <w:r w:rsidRPr="00CA71D0">
        <w:rPr>
          <w:color w:val="000000"/>
        </w:rPr>
        <w:t xml:space="preserve">, </w:t>
      </w:r>
      <w:r w:rsidRPr="00CA71D0">
        <w:t xml:space="preserve">Memorandum Opinion and Order, </w:t>
      </w:r>
      <w:r w:rsidRPr="00CA71D0">
        <w:rPr>
          <w:color w:val="000000"/>
        </w:rPr>
        <w:t>19 FCC Rcd 473, 552-55, ¶¶ 172-77 and 677-79, Appendix F, Condition III (2004) (“</w:t>
      </w:r>
      <w:r w:rsidRPr="00CA71D0">
        <w:rPr>
          <w:i/>
          <w:color w:val="000000"/>
        </w:rPr>
        <w:t>News/Hughes Order</w:t>
      </w:r>
      <w:r w:rsidRPr="00CA71D0">
        <w:rPr>
          <w:color w:val="000000"/>
        </w:rPr>
        <w:t>”).</w:t>
      </w:r>
    </w:p>
  </w:footnote>
  <w:footnote w:id="7">
    <w:p w:rsidR="00044813" w:rsidRPr="00CA71D0" w:rsidRDefault="00044813" w:rsidP="002E16D8">
      <w:pPr>
        <w:pStyle w:val="FootnoteText"/>
      </w:pPr>
      <w:r w:rsidRPr="00CA71D0">
        <w:rPr>
          <w:rStyle w:val="FootnoteReference"/>
        </w:rPr>
        <w:footnoteRef/>
      </w:r>
      <w:r w:rsidRPr="00CA71D0">
        <w:t xml:space="preserve"> </w:t>
      </w:r>
      <w:r w:rsidRPr="00CA71D0">
        <w:rPr>
          <w:i/>
        </w:rPr>
        <w:t>See Liberty Media Order</w:t>
      </w:r>
      <w:r w:rsidRPr="00CA71D0">
        <w:t>, 23 FCC Rcd at 3346, Appendix B, Condition IV, ¶ 1.</w:t>
      </w:r>
    </w:p>
  </w:footnote>
  <w:footnote w:id="8">
    <w:p w:rsidR="00044813" w:rsidRPr="0064799A" w:rsidRDefault="00044813" w:rsidP="0070401C">
      <w:pPr>
        <w:pStyle w:val="FootnoteText"/>
      </w:pPr>
      <w:r w:rsidRPr="0064799A">
        <w:rPr>
          <w:rStyle w:val="FootnoteReference"/>
        </w:rPr>
        <w:footnoteRef/>
      </w:r>
      <w:r w:rsidRPr="0064799A">
        <w:t xml:space="preserve"> </w:t>
      </w:r>
      <w:r w:rsidRPr="0064799A">
        <w:rPr>
          <w:i/>
        </w:rPr>
        <w:t>See id</w:t>
      </w:r>
      <w:r w:rsidRPr="0064799A">
        <w:t>. at 3346-47, Appendix B, Condition IV, § A “Commercial Arbitration Remedy,” ¶¶ 6, 8, 10.</w:t>
      </w:r>
    </w:p>
  </w:footnote>
  <w:footnote w:id="9">
    <w:p w:rsidR="00044813" w:rsidRPr="0064799A" w:rsidRDefault="00044813" w:rsidP="0070401C">
      <w:pPr>
        <w:pStyle w:val="FootnoteText"/>
      </w:pPr>
      <w:r w:rsidRPr="0064799A">
        <w:rPr>
          <w:rStyle w:val="FootnoteReference"/>
        </w:rPr>
        <w:footnoteRef/>
      </w:r>
      <w:r w:rsidRPr="0064799A">
        <w:t xml:space="preserve"> </w:t>
      </w:r>
      <w:r w:rsidRPr="0064799A">
        <w:rPr>
          <w:i/>
        </w:rPr>
        <w:t>See id</w:t>
      </w:r>
      <w:r w:rsidRPr="0064799A">
        <w:t>. at 3347, Appendix B, Condition IV, § B “Rules of Arbitration,” ¶¶ 1, 3.</w:t>
      </w:r>
    </w:p>
  </w:footnote>
  <w:footnote w:id="10">
    <w:p w:rsidR="00044813" w:rsidRPr="00CA71D0" w:rsidRDefault="00044813" w:rsidP="002E16D8">
      <w:pPr>
        <w:pStyle w:val="FootnoteText"/>
      </w:pPr>
      <w:r w:rsidRPr="00CA71D0">
        <w:rPr>
          <w:rStyle w:val="FootnoteReference"/>
        </w:rPr>
        <w:footnoteRef/>
      </w:r>
      <w:r w:rsidRPr="00CA71D0">
        <w:t xml:space="preserve"> </w:t>
      </w:r>
      <w:r w:rsidRPr="00CA71D0">
        <w:rPr>
          <w:i/>
        </w:rPr>
        <w:t>See</w:t>
      </w:r>
      <w:r w:rsidRPr="00CA71D0">
        <w:t xml:space="preserve"> </w:t>
      </w:r>
      <w:r w:rsidRPr="00CA71D0">
        <w:rPr>
          <w:i/>
        </w:rPr>
        <w:t>Order on Review</w:t>
      </w:r>
      <w:r w:rsidRPr="00CA71D0">
        <w:t>, 26 FCC Rcd at 12577, ¶ 5.</w:t>
      </w:r>
    </w:p>
  </w:footnote>
  <w:footnote w:id="11">
    <w:p w:rsidR="00044813" w:rsidRPr="00CA71D0" w:rsidRDefault="00044813">
      <w:pPr>
        <w:pStyle w:val="FootnoteText"/>
      </w:pPr>
      <w:r w:rsidRPr="00CA71D0">
        <w:rPr>
          <w:rStyle w:val="FootnoteReference"/>
        </w:rPr>
        <w:footnoteRef/>
      </w:r>
      <w:r w:rsidRPr="00CA71D0">
        <w:t xml:space="preserve"> </w:t>
      </w:r>
      <w:r w:rsidRPr="00CA71D0">
        <w:rPr>
          <w:i/>
        </w:rPr>
        <w:t>See id</w:t>
      </w:r>
      <w:r w:rsidRPr="00CA71D0">
        <w:t>. at 12577, ¶ 6.</w:t>
      </w:r>
    </w:p>
  </w:footnote>
  <w:footnote w:id="12">
    <w:p w:rsidR="00044813" w:rsidRPr="00CA71D0" w:rsidRDefault="00044813" w:rsidP="002E16D8">
      <w:pPr>
        <w:pStyle w:val="FootnoteText"/>
      </w:pPr>
      <w:r w:rsidRPr="00CA71D0">
        <w:rPr>
          <w:rStyle w:val="FootnoteReference"/>
        </w:rPr>
        <w:footnoteRef/>
      </w:r>
      <w:r w:rsidRPr="00CA71D0">
        <w:t xml:space="preserve"> </w:t>
      </w:r>
      <w:r w:rsidRPr="00CA71D0">
        <w:rPr>
          <w:i/>
        </w:rPr>
        <w:t>See id</w:t>
      </w:r>
      <w:r w:rsidRPr="00CA71D0">
        <w:t xml:space="preserve">.; </w:t>
      </w:r>
      <w:r w:rsidRPr="00CA71D0">
        <w:rPr>
          <w:i/>
        </w:rPr>
        <w:t>see also</w:t>
      </w:r>
      <w:r w:rsidRPr="00CA71D0">
        <w:t xml:space="preserve"> </w:t>
      </w:r>
      <w:r w:rsidRPr="00CA71D0">
        <w:rPr>
          <w:i/>
        </w:rPr>
        <w:t>Liberty Media Order</w:t>
      </w:r>
      <w:r w:rsidRPr="00CA71D0">
        <w:t>, 23 FCC Rcd at 3346-47, Appendix B, Condition IV, § A “Commercial Arbitration Remedy,” ¶¶ 6, 8, 10.</w:t>
      </w:r>
    </w:p>
  </w:footnote>
  <w:footnote w:id="13">
    <w:p w:rsidR="00044813" w:rsidRPr="00430BEA" w:rsidRDefault="00044813" w:rsidP="0060742D">
      <w:pPr>
        <w:pStyle w:val="FootnoteText"/>
      </w:pPr>
      <w:r w:rsidRPr="00CA71D0">
        <w:rPr>
          <w:rStyle w:val="FootnoteReference"/>
        </w:rPr>
        <w:footnoteRef/>
      </w:r>
      <w:r w:rsidRPr="00CA71D0">
        <w:t xml:space="preserve"> </w:t>
      </w:r>
      <w:r w:rsidRPr="00CA71D0">
        <w:rPr>
          <w:i/>
        </w:rPr>
        <w:t>See</w:t>
      </w:r>
      <w:r w:rsidRPr="00CA71D0">
        <w:t xml:space="preserve"> </w:t>
      </w:r>
      <w:r w:rsidRPr="00CA71D0">
        <w:rPr>
          <w:i/>
        </w:rPr>
        <w:t>Order on Review</w:t>
      </w:r>
      <w:r w:rsidRPr="00CA71D0">
        <w:t xml:space="preserve">, 26 </w:t>
      </w:r>
      <w:r w:rsidRPr="00430BEA">
        <w:t xml:space="preserve">FCC Rcd at 12578, ¶ 7; Award of Arbitrator (March 14, 2011) (“Award”). </w:t>
      </w:r>
    </w:p>
  </w:footnote>
  <w:footnote w:id="14">
    <w:p w:rsidR="00044813" w:rsidRPr="00430BEA" w:rsidRDefault="00044813" w:rsidP="0060742D">
      <w:pPr>
        <w:pStyle w:val="FootnoteText"/>
      </w:pPr>
      <w:r w:rsidRPr="00430BEA">
        <w:rPr>
          <w:rStyle w:val="FootnoteReference"/>
        </w:rPr>
        <w:footnoteRef/>
      </w:r>
      <w:r w:rsidRPr="00430BEA">
        <w:t xml:space="preserve"> </w:t>
      </w:r>
      <w:r w:rsidRPr="00430BEA">
        <w:rPr>
          <w:i/>
        </w:rPr>
        <w:t>See</w:t>
      </w:r>
      <w:r w:rsidRPr="00430BEA">
        <w:t xml:space="preserve"> </w:t>
      </w:r>
      <w:r w:rsidRPr="00430BEA">
        <w:rPr>
          <w:i/>
        </w:rPr>
        <w:t>Order on Review</w:t>
      </w:r>
      <w:r>
        <w:t>, 26 FCC Rcd at 12578, ¶ 7</w:t>
      </w:r>
      <w:r w:rsidRPr="00430BEA">
        <w:t xml:space="preserve">.  </w:t>
      </w:r>
    </w:p>
  </w:footnote>
  <w:footnote w:id="15">
    <w:p w:rsidR="00044813" w:rsidRPr="00430BEA" w:rsidRDefault="00044813">
      <w:pPr>
        <w:pStyle w:val="FootnoteText"/>
      </w:pPr>
      <w:r w:rsidRPr="00430BEA">
        <w:rPr>
          <w:rStyle w:val="FootnoteReference"/>
        </w:rPr>
        <w:footnoteRef/>
      </w:r>
      <w:r w:rsidRPr="00430BEA">
        <w:t xml:space="preserve"> </w:t>
      </w:r>
      <w:r w:rsidRPr="00430BEA">
        <w:rPr>
          <w:i/>
        </w:rPr>
        <w:t>See Order on Review</w:t>
      </w:r>
      <w:r w:rsidRPr="00430BEA">
        <w:t xml:space="preserve">.  Pursuant to the </w:t>
      </w:r>
      <w:r w:rsidRPr="00430BEA">
        <w:rPr>
          <w:i/>
        </w:rPr>
        <w:t>Liberty Media Order</w:t>
      </w:r>
      <w:r w:rsidRPr="00430BEA">
        <w:t xml:space="preserve"> conditions, the </w:t>
      </w:r>
      <w:r>
        <w:t>Media Bureau</w:t>
      </w:r>
      <w:r w:rsidRPr="00430BEA">
        <w:t xml:space="preserve"> was required to issue its </w:t>
      </w:r>
      <w:r>
        <w:t xml:space="preserve">decision </w:t>
      </w:r>
      <w:r w:rsidRPr="00430BEA">
        <w:t>not more than 60 days after receipt of the petition</w:t>
      </w:r>
      <w:r>
        <w:t xml:space="preserve"> for </w:t>
      </w:r>
      <w:r w:rsidRPr="00BB4558">
        <w:rPr>
          <w:i/>
        </w:rPr>
        <w:t>de novo</w:t>
      </w:r>
      <w:r>
        <w:t xml:space="preserve"> review</w:t>
      </w:r>
      <w:r w:rsidRPr="00430BEA">
        <w:t xml:space="preserve">, which may be extended for one period of 60 days.  </w:t>
      </w:r>
      <w:r w:rsidRPr="00430BEA">
        <w:rPr>
          <w:i/>
        </w:rPr>
        <w:t xml:space="preserve">See id. </w:t>
      </w:r>
      <w:r w:rsidRPr="00430BEA">
        <w:t xml:space="preserve">at 12578-79, ¶ 8 (explaining that the </w:t>
      </w:r>
      <w:r>
        <w:t>Media Bureau</w:t>
      </w:r>
      <w:r w:rsidRPr="00430BEA">
        <w:t xml:space="preserve"> complied with this deadline).</w:t>
      </w:r>
    </w:p>
  </w:footnote>
  <w:footnote w:id="16">
    <w:p w:rsidR="00044813" w:rsidRPr="00430BEA" w:rsidRDefault="00044813" w:rsidP="003A3A9E">
      <w:pPr>
        <w:spacing w:after="120"/>
        <w:rPr>
          <w:sz w:val="20"/>
        </w:rPr>
      </w:pPr>
      <w:r w:rsidRPr="00430BEA">
        <w:rPr>
          <w:rStyle w:val="FootnoteReference"/>
        </w:rPr>
        <w:footnoteRef/>
      </w:r>
      <w:r w:rsidRPr="00430BEA">
        <w:rPr>
          <w:sz w:val="20"/>
        </w:rPr>
        <w:t xml:space="preserve"> </w:t>
      </w:r>
      <w:r w:rsidRPr="00430BEA">
        <w:rPr>
          <w:i/>
          <w:sz w:val="20"/>
        </w:rPr>
        <w:t>See Order on Review</w:t>
      </w:r>
      <w:r w:rsidRPr="00430BEA">
        <w:rPr>
          <w:sz w:val="20"/>
        </w:rPr>
        <w:t xml:space="preserve">, 26 FCC Rcd at 12578-79, ¶ 8.  The Commission has explained that final offer arbitration, whereby each party submits a final offer and the arbitrator is required to choose the offer that most closely approximates fair market </w:t>
      </w:r>
      <w:r w:rsidRPr="00427233">
        <w:rPr>
          <w:sz w:val="20"/>
        </w:rPr>
        <w:t xml:space="preserve">value, “has the attractive ‘ability to induce two sides to reach their own agreement, lest they risk the possibility that a relatively extreme offer of the other side may be selected by the arbitrator.’”  </w:t>
      </w:r>
      <w:r w:rsidRPr="00427233">
        <w:rPr>
          <w:i/>
          <w:sz w:val="20"/>
        </w:rPr>
        <w:t>See</w:t>
      </w:r>
      <w:r w:rsidRPr="00427233">
        <w:rPr>
          <w:sz w:val="20"/>
        </w:rPr>
        <w:t xml:space="preserve"> </w:t>
      </w:r>
      <w:r w:rsidRPr="00427233">
        <w:rPr>
          <w:i/>
          <w:color w:val="000000"/>
          <w:sz w:val="20"/>
        </w:rPr>
        <w:t>News/Hughes Order</w:t>
      </w:r>
      <w:r w:rsidRPr="00427233">
        <w:rPr>
          <w:sz w:val="20"/>
        </w:rPr>
        <w:t xml:space="preserve">, </w:t>
      </w:r>
      <w:r w:rsidRPr="00427233">
        <w:rPr>
          <w:color w:val="000000"/>
          <w:sz w:val="20"/>
        </w:rPr>
        <w:t xml:space="preserve">19 FCC Rcd </w:t>
      </w:r>
      <w:r>
        <w:rPr>
          <w:color w:val="000000"/>
          <w:sz w:val="20"/>
        </w:rPr>
        <w:t xml:space="preserve">at </w:t>
      </w:r>
      <w:r w:rsidRPr="00427233">
        <w:rPr>
          <w:sz w:val="20"/>
        </w:rPr>
        <w:t xml:space="preserve">552, ¶ 174 (quoting Steven J. Brams, </w:t>
      </w:r>
      <w:r w:rsidRPr="00427233">
        <w:rPr>
          <w:i/>
          <w:sz w:val="20"/>
        </w:rPr>
        <w:t>Negotiation Games: Applying Game Theory to Negotiation and Arbitration</w:t>
      </w:r>
      <w:r w:rsidRPr="00427233">
        <w:rPr>
          <w:sz w:val="20"/>
        </w:rPr>
        <w:t>, Routledge, 2003 at 264).</w:t>
      </w:r>
      <w:r w:rsidRPr="00430BEA">
        <w:rPr>
          <w:sz w:val="20"/>
        </w:rPr>
        <w:t xml:space="preserve"> </w:t>
      </w:r>
    </w:p>
  </w:footnote>
  <w:footnote w:id="17">
    <w:p w:rsidR="00044813" w:rsidRPr="00430BEA" w:rsidRDefault="00044813" w:rsidP="003A3A9E">
      <w:pPr>
        <w:pStyle w:val="FootnoteText"/>
      </w:pPr>
      <w:r w:rsidRPr="00430BEA">
        <w:rPr>
          <w:rStyle w:val="FootnoteReference"/>
        </w:rPr>
        <w:footnoteRef/>
      </w:r>
      <w:r w:rsidRPr="00430BEA">
        <w:t xml:space="preserve"> </w:t>
      </w:r>
      <w:r w:rsidRPr="00430BEA">
        <w:rPr>
          <w:i/>
        </w:rPr>
        <w:t>Order on Review</w:t>
      </w:r>
      <w:r w:rsidRPr="00430BEA">
        <w:t xml:space="preserve">, 26 FCC Rcd at 12578-79, ¶ 8 (quoting </w:t>
      </w:r>
      <w:r w:rsidRPr="00430BEA">
        <w:rPr>
          <w:i/>
        </w:rPr>
        <w:t>Liberty Media Order</w:t>
      </w:r>
      <w:r w:rsidRPr="00430BEA">
        <w:t>, 23 FCC Rcd at 3348, Appendix B, Condition IV, § C “Review of Final Award by the Commission,” ¶ 3).</w:t>
      </w:r>
    </w:p>
  </w:footnote>
  <w:footnote w:id="18">
    <w:p w:rsidR="00044813" w:rsidRPr="00430BEA" w:rsidRDefault="00044813">
      <w:pPr>
        <w:pStyle w:val="FootnoteText"/>
      </w:pPr>
      <w:r w:rsidRPr="00430BEA">
        <w:rPr>
          <w:rStyle w:val="FootnoteReference"/>
        </w:rPr>
        <w:footnoteRef/>
      </w:r>
      <w:r w:rsidRPr="00430BEA">
        <w:t xml:space="preserve"> </w:t>
      </w:r>
      <w:r>
        <w:rPr>
          <w:i/>
        </w:rPr>
        <w:t xml:space="preserve">Id. </w:t>
      </w:r>
      <w:r w:rsidRPr="00430BEA">
        <w:t xml:space="preserve">at 12580, ¶ 11 (citing record evidence </w:t>
      </w:r>
      <w:r>
        <w:t xml:space="preserve">in support </w:t>
      </w:r>
      <w:r w:rsidRPr="00430BEA">
        <w:t>from both Armstrong and DSNP).</w:t>
      </w:r>
    </w:p>
  </w:footnote>
  <w:footnote w:id="19">
    <w:p w:rsidR="00044813" w:rsidRDefault="00044813">
      <w:pPr>
        <w:pStyle w:val="FootnoteText"/>
      </w:pPr>
      <w:r>
        <w:rPr>
          <w:rStyle w:val="FootnoteReference"/>
        </w:rPr>
        <w:footnoteRef/>
      </w:r>
      <w:r>
        <w:t xml:space="preserve"> </w:t>
      </w:r>
      <w:r w:rsidRPr="00EC0055">
        <w:rPr>
          <w:i/>
        </w:rPr>
        <w:t>See id</w:t>
      </w:r>
      <w:r>
        <w:t>. at 12580-81, ¶ 11.</w:t>
      </w:r>
    </w:p>
  </w:footnote>
  <w:footnote w:id="20">
    <w:p w:rsidR="00044813" w:rsidRDefault="00044813">
      <w:pPr>
        <w:pStyle w:val="FootnoteText"/>
      </w:pPr>
      <w:r>
        <w:rPr>
          <w:rStyle w:val="FootnoteReference"/>
        </w:rPr>
        <w:footnoteRef/>
      </w:r>
      <w:r>
        <w:t xml:space="preserve"> </w:t>
      </w:r>
      <w:r w:rsidRPr="00EC0055">
        <w:rPr>
          <w:i/>
        </w:rPr>
        <w:t>See id</w:t>
      </w:r>
      <w:r>
        <w:t>. at 12582, Table A.</w:t>
      </w:r>
    </w:p>
  </w:footnote>
  <w:footnote w:id="21">
    <w:p w:rsidR="00044813" w:rsidRDefault="00044813">
      <w:pPr>
        <w:pStyle w:val="FootnoteText"/>
      </w:pPr>
      <w:r>
        <w:rPr>
          <w:rStyle w:val="FootnoteReference"/>
        </w:rPr>
        <w:footnoteRef/>
      </w:r>
      <w:r>
        <w:t xml:space="preserve"> </w:t>
      </w:r>
      <w:r w:rsidRPr="00EC0055">
        <w:rPr>
          <w:i/>
        </w:rPr>
        <w:t>See id</w:t>
      </w:r>
      <w:r>
        <w:t>.</w:t>
      </w:r>
    </w:p>
  </w:footnote>
  <w:footnote w:id="22">
    <w:p w:rsidR="00044813" w:rsidRPr="00430BEA" w:rsidRDefault="00044813" w:rsidP="001E7A2F">
      <w:pPr>
        <w:pStyle w:val="FootnoteText"/>
      </w:pPr>
      <w:r w:rsidRPr="00430BEA">
        <w:rPr>
          <w:rStyle w:val="FootnoteReference"/>
        </w:rPr>
        <w:footnoteRef/>
      </w:r>
      <w:r w:rsidRPr="00430BEA">
        <w:t xml:space="preserve"> </w:t>
      </w:r>
      <w:r w:rsidRPr="00430BEA">
        <w:rPr>
          <w:i/>
        </w:rPr>
        <w:t>See id</w:t>
      </w:r>
      <w:r w:rsidRPr="00430BEA">
        <w:t>. at 12583-602, ¶¶ 13-40.</w:t>
      </w:r>
    </w:p>
  </w:footnote>
  <w:footnote w:id="23">
    <w:p w:rsidR="00044813" w:rsidRPr="00430BEA" w:rsidRDefault="00044813" w:rsidP="001E7A2F">
      <w:pPr>
        <w:pStyle w:val="FootnoteText"/>
      </w:pPr>
      <w:r w:rsidRPr="00430BEA">
        <w:rPr>
          <w:rStyle w:val="FootnoteReference"/>
        </w:rPr>
        <w:footnoteRef/>
      </w:r>
      <w:r w:rsidRPr="00430BEA">
        <w:t xml:space="preserve"> </w:t>
      </w:r>
      <w:r w:rsidRPr="00430BEA">
        <w:rPr>
          <w:i/>
        </w:rPr>
        <w:t>See id</w:t>
      </w:r>
      <w:r w:rsidRPr="00430BEA">
        <w:t xml:space="preserve">. at 12602-10, ¶¶ 41-53.  </w:t>
      </w:r>
    </w:p>
  </w:footnote>
  <w:footnote w:id="24">
    <w:p w:rsidR="00044813" w:rsidRPr="00430BEA" w:rsidRDefault="00044813" w:rsidP="001E7A2F">
      <w:pPr>
        <w:pStyle w:val="FootnoteText"/>
      </w:pPr>
      <w:r w:rsidRPr="00430BEA">
        <w:rPr>
          <w:rStyle w:val="FootnoteReference"/>
        </w:rPr>
        <w:footnoteRef/>
      </w:r>
      <w:r w:rsidRPr="00430BEA">
        <w:t xml:space="preserve"> </w:t>
      </w:r>
      <w:r w:rsidRPr="00430BEA">
        <w:rPr>
          <w:i/>
        </w:rPr>
        <w:t>See id</w:t>
      </w:r>
      <w:r w:rsidRPr="00430BEA">
        <w:t xml:space="preserve">. at 12610-20, ¶¶ 54-73.  </w:t>
      </w:r>
    </w:p>
  </w:footnote>
  <w:footnote w:id="25">
    <w:p w:rsidR="00044813" w:rsidRPr="00430BEA" w:rsidRDefault="00044813" w:rsidP="001E7A2F">
      <w:pPr>
        <w:pStyle w:val="FootnoteText"/>
      </w:pPr>
      <w:r w:rsidRPr="00430BEA">
        <w:rPr>
          <w:rStyle w:val="FootnoteReference"/>
        </w:rPr>
        <w:footnoteRef/>
      </w:r>
      <w:r w:rsidRPr="00430BEA">
        <w:t xml:space="preserve"> </w:t>
      </w:r>
      <w:r w:rsidRPr="00430BEA">
        <w:rPr>
          <w:i/>
        </w:rPr>
        <w:t>See id</w:t>
      </w:r>
      <w:r w:rsidRPr="00430BEA">
        <w:t xml:space="preserve">. at 12583, ¶ 13; </w:t>
      </w:r>
      <w:r w:rsidRPr="004C443D">
        <w:rPr>
          <w:i/>
        </w:rPr>
        <w:t>id</w:t>
      </w:r>
      <w:r>
        <w:t xml:space="preserve">. at 12602, ¶ 40; </w:t>
      </w:r>
      <w:r w:rsidRPr="00430BEA">
        <w:rPr>
          <w:i/>
        </w:rPr>
        <w:t>id</w:t>
      </w:r>
      <w:r w:rsidRPr="00430BEA">
        <w:t xml:space="preserve">. at 12602-03, ¶ 41; </w:t>
      </w:r>
      <w:r w:rsidRPr="00430BEA">
        <w:rPr>
          <w:i/>
        </w:rPr>
        <w:t>id</w:t>
      </w:r>
      <w:r w:rsidRPr="00430BEA">
        <w:t>. at 12610-11, ¶ 54.</w:t>
      </w:r>
    </w:p>
  </w:footnote>
  <w:footnote w:id="26">
    <w:p w:rsidR="00044813" w:rsidRDefault="00044813">
      <w:pPr>
        <w:pStyle w:val="FootnoteText"/>
      </w:pPr>
      <w:r>
        <w:rPr>
          <w:rStyle w:val="FootnoteReference"/>
        </w:rPr>
        <w:footnoteRef/>
      </w:r>
      <w:r>
        <w:t xml:space="preserve"> The </w:t>
      </w:r>
      <w:r w:rsidRPr="00C60704">
        <w:rPr>
          <w:szCs w:val="22"/>
        </w:rPr>
        <w:t xml:space="preserve">difference in the rates in </w:t>
      </w:r>
      <w:r>
        <w:rPr>
          <w:szCs w:val="22"/>
        </w:rPr>
        <w:t xml:space="preserve">the DSNP final offer and the Armstrong final offer </w:t>
      </w:r>
      <w:r w:rsidRPr="00C60704">
        <w:rPr>
          <w:szCs w:val="22"/>
        </w:rPr>
        <w:t>amount</w:t>
      </w:r>
      <w:r>
        <w:rPr>
          <w:szCs w:val="22"/>
        </w:rPr>
        <w:t>ed</w:t>
      </w:r>
      <w:r w:rsidRPr="00C60704">
        <w:rPr>
          <w:szCs w:val="22"/>
        </w:rPr>
        <w:t xml:space="preserve"> to </w:t>
      </w:r>
      <w:r>
        <w:rPr>
          <w:szCs w:val="22"/>
        </w:rPr>
        <w:t xml:space="preserve">a total of </w:t>
      </w:r>
      <w:r w:rsidRPr="00430BEA">
        <w:rPr>
          <w:b/>
        </w:rPr>
        <w:t>[</w:t>
      </w:r>
      <w:r>
        <w:rPr>
          <w:b/>
        </w:rPr>
        <w:t>REDACTED</w:t>
      </w:r>
      <w:r w:rsidRPr="00430BEA">
        <w:rPr>
          <w:b/>
        </w:rPr>
        <w:t>]</w:t>
      </w:r>
      <w:r w:rsidRPr="00C60704">
        <w:rPr>
          <w:szCs w:val="22"/>
        </w:rPr>
        <w:t xml:space="preserve"> over the course of </w:t>
      </w:r>
      <w:r>
        <w:rPr>
          <w:szCs w:val="22"/>
        </w:rPr>
        <w:t xml:space="preserve">the proposed </w:t>
      </w:r>
      <w:r w:rsidRPr="00C60704">
        <w:rPr>
          <w:szCs w:val="22"/>
        </w:rPr>
        <w:t>five-year term</w:t>
      </w:r>
      <w:r>
        <w:rPr>
          <w:szCs w:val="22"/>
        </w:rPr>
        <w:t xml:space="preserve"> (an average of </w:t>
      </w:r>
      <w:r w:rsidRPr="00430BEA">
        <w:rPr>
          <w:b/>
        </w:rPr>
        <w:t>[</w:t>
      </w:r>
      <w:r>
        <w:rPr>
          <w:b/>
        </w:rPr>
        <w:t>REDACTED</w:t>
      </w:r>
      <w:r w:rsidRPr="006D3622">
        <w:rPr>
          <w:b/>
        </w:rPr>
        <w:t>]</w:t>
      </w:r>
      <w:r>
        <w:rPr>
          <w:szCs w:val="22"/>
        </w:rPr>
        <w:t xml:space="preserve"> per year).  </w:t>
      </w:r>
      <w:r w:rsidRPr="00430BEA">
        <w:rPr>
          <w:i/>
        </w:rPr>
        <w:t>See id</w:t>
      </w:r>
      <w:r w:rsidRPr="00430BEA">
        <w:t>. at 12583, ¶ 1</w:t>
      </w:r>
      <w:r>
        <w:t>3.</w:t>
      </w:r>
    </w:p>
  </w:footnote>
  <w:footnote w:id="27">
    <w:p w:rsidR="00044813" w:rsidRDefault="00044813">
      <w:pPr>
        <w:pStyle w:val="FootnoteText"/>
      </w:pPr>
      <w:r>
        <w:rPr>
          <w:rStyle w:val="FootnoteReference"/>
        </w:rPr>
        <w:footnoteRef/>
      </w:r>
      <w:r>
        <w:t xml:space="preserve"> </w:t>
      </w:r>
      <w:r>
        <w:rPr>
          <w:szCs w:val="22"/>
        </w:rPr>
        <w:t xml:space="preserve">Pursuant to the averaging methodology, DSNP calculated its proposed rates by averaging the rates paid by three Cohort Affiliates </w:t>
      </w:r>
      <w:r w:rsidRPr="00430BEA">
        <w:rPr>
          <w:b/>
        </w:rPr>
        <w:t>[</w:t>
      </w:r>
      <w:r>
        <w:rPr>
          <w:b/>
        </w:rPr>
        <w:t>REDACTED</w:t>
      </w:r>
      <w:r w:rsidRPr="00430BEA">
        <w:rPr>
          <w:b/>
        </w:rPr>
        <w:t>]</w:t>
      </w:r>
      <w:r>
        <w:rPr>
          <w:szCs w:val="22"/>
        </w:rPr>
        <w:t xml:space="preserve">, two of which have fewer subscribers in Pittsburgh than Armstrong and all of which generate substantially less revenue for DSNP than Armstrong.  </w:t>
      </w:r>
      <w:r w:rsidRPr="001B78C7">
        <w:rPr>
          <w:i/>
          <w:szCs w:val="22"/>
        </w:rPr>
        <w:t>See id</w:t>
      </w:r>
      <w:r>
        <w:rPr>
          <w:szCs w:val="22"/>
        </w:rPr>
        <w:t xml:space="preserve">. at 12583, ¶ 14; </w:t>
      </w:r>
      <w:r>
        <w:rPr>
          <w:i/>
        </w:rPr>
        <w:t>s</w:t>
      </w:r>
      <w:r w:rsidRPr="00EC0055">
        <w:rPr>
          <w:i/>
        </w:rPr>
        <w:t>ee id</w:t>
      </w:r>
      <w:r>
        <w:t xml:space="preserve">. at 12582, Table A and </w:t>
      </w:r>
      <w:r>
        <w:rPr>
          <w:szCs w:val="22"/>
        </w:rPr>
        <w:t xml:space="preserve">12586, ¶ 18 (“[A]veraging the rates of three MVPDs that are smaller than Armstrong in terms of subscribers or revenue or both would be expected to result in rates that are higher than what fair market value would dictate for Armstrong.”).  </w:t>
      </w:r>
    </w:p>
  </w:footnote>
  <w:footnote w:id="28">
    <w:p w:rsidR="00044813" w:rsidRDefault="00044813">
      <w:pPr>
        <w:pStyle w:val="FootnoteText"/>
      </w:pPr>
      <w:r>
        <w:rPr>
          <w:rStyle w:val="FootnoteReference"/>
        </w:rPr>
        <w:footnoteRef/>
      </w:r>
      <w:r>
        <w:t xml:space="preserve"> </w:t>
      </w:r>
      <w:r>
        <w:rPr>
          <w:szCs w:val="22"/>
        </w:rPr>
        <w:t xml:space="preserve">Pursuant to this analysis, DSNP’s expert </w:t>
      </w:r>
      <w:r w:rsidRPr="00AF106D">
        <w:rPr>
          <w:color w:val="000000"/>
          <w:szCs w:val="22"/>
        </w:rPr>
        <w:t xml:space="preserve">divided the average annual revenue per subscriber for each </w:t>
      </w:r>
      <w:r>
        <w:rPr>
          <w:color w:val="000000"/>
          <w:szCs w:val="22"/>
        </w:rPr>
        <w:t xml:space="preserve">of 25 RSNs nationwide </w:t>
      </w:r>
      <w:r w:rsidRPr="00AF106D">
        <w:rPr>
          <w:color w:val="000000"/>
          <w:szCs w:val="22"/>
        </w:rPr>
        <w:t xml:space="preserve">by the number of major professional events offered by </w:t>
      </w:r>
      <w:r>
        <w:rPr>
          <w:color w:val="000000"/>
          <w:szCs w:val="22"/>
        </w:rPr>
        <w:t xml:space="preserve">each </w:t>
      </w:r>
      <w:r w:rsidRPr="00AF106D">
        <w:rPr>
          <w:color w:val="000000"/>
          <w:szCs w:val="22"/>
        </w:rPr>
        <w:t>RSN.</w:t>
      </w:r>
      <w:r>
        <w:rPr>
          <w:color w:val="000000"/>
          <w:szCs w:val="22"/>
        </w:rPr>
        <w:t xml:space="preserve">  </w:t>
      </w:r>
      <w:r w:rsidRPr="001B78C7">
        <w:rPr>
          <w:i/>
          <w:szCs w:val="22"/>
        </w:rPr>
        <w:t>See id</w:t>
      </w:r>
      <w:r>
        <w:rPr>
          <w:szCs w:val="22"/>
        </w:rPr>
        <w:t xml:space="preserve">. at 12586-87, ¶ 19.  </w:t>
      </w:r>
      <w:r>
        <w:rPr>
          <w:color w:val="000000"/>
          <w:szCs w:val="22"/>
        </w:rPr>
        <w:t xml:space="preserve">DSNP’s expert found that </w:t>
      </w:r>
      <w:r w:rsidRPr="00AF106D">
        <w:rPr>
          <w:szCs w:val="22"/>
        </w:rPr>
        <w:t xml:space="preserve">DSNP’s PSPPE figure </w:t>
      </w:r>
      <w:r>
        <w:rPr>
          <w:szCs w:val="22"/>
        </w:rPr>
        <w:t xml:space="preserve">is </w:t>
      </w:r>
      <w:r w:rsidRPr="00AF106D">
        <w:rPr>
          <w:szCs w:val="22"/>
        </w:rPr>
        <w:t xml:space="preserve">equal to or below the median </w:t>
      </w:r>
      <w:r>
        <w:rPr>
          <w:szCs w:val="22"/>
        </w:rPr>
        <w:t xml:space="preserve">and the average PSPPE figure </w:t>
      </w:r>
      <w:r w:rsidRPr="00AF106D">
        <w:rPr>
          <w:szCs w:val="22"/>
        </w:rPr>
        <w:t xml:space="preserve">for all </w:t>
      </w:r>
      <w:r>
        <w:rPr>
          <w:szCs w:val="22"/>
        </w:rPr>
        <w:t xml:space="preserve">25 </w:t>
      </w:r>
      <w:r w:rsidRPr="00AF106D">
        <w:rPr>
          <w:szCs w:val="22"/>
        </w:rPr>
        <w:t>RSNs</w:t>
      </w:r>
      <w:r>
        <w:rPr>
          <w:szCs w:val="22"/>
        </w:rPr>
        <w:t xml:space="preserve"> and claimed that this </w:t>
      </w:r>
      <w:r w:rsidRPr="00AF106D">
        <w:rPr>
          <w:szCs w:val="22"/>
        </w:rPr>
        <w:t>provide</w:t>
      </w:r>
      <w:r>
        <w:rPr>
          <w:szCs w:val="22"/>
        </w:rPr>
        <w:t>d</w:t>
      </w:r>
      <w:r w:rsidRPr="00AF106D">
        <w:rPr>
          <w:szCs w:val="22"/>
        </w:rPr>
        <w:t xml:space="preserve"> support </w:t>
      </w:r>
      <w:r>
        <w:rPr>
          <w:szCs w:val="22"/>
        </w:rPr>
        <w:t xml:space="preserve">for </w:t>
      </w:r>
      <w:r w:rsidRPr="00AF106D">
        <w:rPr>
          <w:szCs w:val="22"/>
        </w:rPr>
        <w:t xml:space="preserve">DSNP’s </w:t>
      </w:r>
      <w:r>
        <w:rPr>
          <w:szCs w:val="22"/>
        </w:rPr>
        <w:t xml:space="preserve">proposed </w:t>
      </w:r>
      <w:r w:rsidRPr="00AF106D">
        <w:rPr>
          <w:szCs w:val="22"/>
        </w:rPr>
        <w:t>rates</w:t>
      </w:r>
      <w:r>
        <w:rPr>
          <w:szCs w:val="22"/>
        </w:rPr>
        <w:t xml:space="preserve">.  </w:t>
      </w:r>
      <w:r w:rsidRPr="00FE74E6">
        <w:rPr>
          <w:i/>
          <w:szCs w:val="22"/>
        </w:rPr>
        <w:t>See id</w:t>
      </w:r>
      <w:r>
        <w:rPr>
          <w:szCs w:val="22"/>
        </w:rPr>
        <w:t xml:space="preserve">.  The Media Bureau found that the </w:t>
      </w:r>
      <w:r>
        <w:rPr>
          <w:color w:val="000000"/>
          <w:szCs w:val="22"/>
        </w:rPr>
        <w:t xml:space="preserve">PSPPE analysis is not probative of fair market value.  </w:t>
      </w:r>
      <w:r w:rsidRPr="001B78C7">
        <w:rPr>
          <w:i/>
          <w:szCs w:val="22"/>
        </w:rPr>
        <w:t>See id</w:t>
      </w:r>
      <w:r>
        <w:rPr>
          <w:szCs w:val="22"/>
        </w:rPr>
        <w:t>. at 12587, ¶ 20.</w:t>
      </w:r>
      <w:r>
        <w:rPr>
          <w:color w:val="000000"/>
          <w:szCs w:val="22"/>
        </w:rPr>
        <w:t xml:space="preserve">  While the Media Bureau noted that the parties agreed that assessing fair market value requires </w:t>
      </w:r>
      <w:r w:rsidRPr="00001C3A">
        <w:rPr>
          <w:szCs w:val="22"/>
        </w:rPr>
        <w:t>an analysis of comparable buyers of comparable products</w:t>
      </w:r>
      <w:r>
        <w:rPr>
          <w:szCs w:val="22"/>
        </w:rPr>
        <w:t xml:space="preserve">, it held that “comparing the PSPPE figure for FSNP to the PSPPE figure for various RSNs nationwide does not attempt to analyze comparable RSNs nor does it analyze the rates paid by comparable MVPDs.”  </w:t>
      </w:r>
      <w:r w:rsidRPr="00FE74E6">
        <w:rPr>
          <w:i/>
          <w:szCs w:val="22"/>
        </w:rPr>
        <w:t>Id</w:t>
      </w:r>
      <w:r>
        <w:rPr>
          <w:szCs w:val="22"/>
        </w:rPr>
        <w:t>. (footnotes omitted).</w:t>
      </w:r>
    </w:p>
  </w:footnote>
  <w:footnote w:id="29">
    <w:p w:rsidR="00044813" w:rsidRDefault="00044813">
      <w:pPr>
        <w:pStyle w:val="FootnoteText"/>
      </w:pPr>
      <w:r>
        <w:rPr>
          <w:rStyle w:val="FootnoteReference"/>
        </w:rPr>
        <w:footnoteRef/>
      </w:r>
      <w:r>
        <w:t xml:space="preserve"> </w:t>
      </w:r>
      <w:r>
        <w:rPr>
          <w:szCs w:val="22"/>
        </w:rPr>
        <w:t xml:space="preserve">In analyzing the rates, the Media Bureau </w:t>
      </w:r>
      <w:r w:rsidRPr="0064799A">
        <w:t>consider</w:t>
      </w:r>
      <w:r>
        <w:t>ed</w:t>
      </w:r>
      <w:r w:rsidRPr="0064799A">
        <w:t xml:space="preserve"> </w:t>
      </w:r>
      <w:r>
        <w:t xml:space="preserve">only </w:t>
      </w:r>
      <w:r w:rsidRPr="0064799A">
        <w:t>the three Cohort Affiliates deemed comparable by DSNP and normaliz</w:t>
      </w:r>
      <w:r>
        <w:t>ed</w:t>
      </w:r>
      <w:r w:rsidRPr="0064799A">
        <w:t xml:space="preserve"> the </w:t>
      </w:r>
      <w:r w:rsidRPr="005215C9">
        <w:rPr>
          <w:b/>
        </w:rPr>
        <w:t>[</w:t>
      </w:r>
      <w:r>
        <w:rPr>
          <w:b/>
        </w:rPr>
        <w:t>REDACTED]</w:t>
      </w:r>
      <w:r w:rsidRPr="0064799A">
        <w:t xml:space="preserve"> rates</w:t>
      </w:r>
      <w:r>
        <w:t>,</w:t>
      </w:r>
      <w:r w:rsidRPr="0064799A">
        <w:t xml:space="preserve"> as suggested by DSNP</w:t>
      </w:r>
      <w:r>
        <w:rPr>
          <w:szCs w:val="22"/>
        </w:rPr>
        <w:t xml:space="preserve">.  </w:t>
      </w:r>
      <w:r w:rsidRPr="005215C9">
        <w:rPr>
          <w:i/>
          <w:szCs w:val="22"/>
        </w:rPr>
        <w:t>See id</w:t>
      </w:r>
      <w:r>
        <w:rPr>
          <w:szCs w:val="22"/>
        </w:rPr>
        <w:t xml:space="preserve">. at 12587, ¶ 21 n.101.  The Media Bureau found that, </w:t>
      </w:r>
      <w:r>
        <w:t>“[e]</w:t>
      </w:r>
      <w:r w:rsidRPr="0064799A">
        <w:t>ven with this conservative approach, the DSNP final offer would require Armstrong to pay higher rates than the other Cohort Affiliates</w:t>
      </w:r>
      <w:r>
        <w:t>” and that “</w:t>
      </w:r>
      <w:r w:rsidRPr="0064799A">
        <w:t xml:space="preserve">if the lower actual rates paid by </w:t>
      </w:r>
      <w:r w:rsidRPr="005215C9">
        <w:rPr>
          <w:b/>
        </w:rPr>
        <w:t>[</w:t>
      </w:r>
      <w:r>
        <w:rPr>
          <w:b/>
        </w:rPr>
        <w:t>REDACTED]</w:t>
      </w:r>
      <w:r w:rsidRPr="0064799A">
        <w:t xml:space="preserve"> were used, the disparity between Armstrong and these Cohort Affiliates under the DSNP final offer would be greater</w:t>
      </w:r>
      <w:r>
        <w:t xml:space="preserve">.”  </w:t>
      </w:r>
      <w:r w:rsidRPr="005A0965">
        <w:rPr>
          <w:i/>
        </w:rPr>
        <w:t>Id</w:t>
      </w:r>
      <w:r>
        <w:t xml:space="preserve">.; </w:t>
      </w:r>
      <w:r w:rsidRPr="00363077">
        <w:rPr>
          <w:i/>
        </w:rPr>
        <w:t>see also id</w:t>
      </w:r>
      <w:r>
        <w:t>. at 12602, ¶ 40.</w:t>
      </w:r>
    </w:p>
  </w:footnote>
  <w:footnote w:id="30">
    <w:p w:rsidR="00044813" w:rsidRDefault="00044813">
      <w:pPr>
        <w:pStyle w:val="FootnoteText"/>
      </w:pPr>
      <w:r>
        <w:rPr>
          <w:rStyle w:val="FootnoteReference"/>
        </w:rPr>
        <w:footnoteRef/>
      </w:r>
      <w:r>
        <w:t xml:space="preserve"> </w:t>
      </w:r>
      <w:r w:rsidRPr="001B78C7">
        <w:rPr>
          <w:i/>
          <w:szCs w:val="22"/>
        </w:rPr>
        <w:t>See id</w:t>
      </w:r>
      <w:r>
        <w:rPr>
          <w:szCs w:val="22"/>
        </w:rPr>
        <w:t>. at 12588-89, ¶ 22 and 12602, ¶ 40.</w:t>
      </w:r>
    </w:p>
  </w:footnote>
  <w:footnote w:id="31">
    <w:p w:rsidR="00044813" w:rsidRDefault="00044813">
      <w:pPr>
        <w:pStyle w:val="FootnoteText"/>
      </w:pPr>
      <w:r>
        <w:rPr>
          <w:rStyle w:val="FootnoteReference"/>
        </w:rPr>
        <w:footnoteRef/>
      </w:r>
      <w:r>
        <w:t xml:space="preserve"> </w:t>
      </w:r>
      <w:r>
        <w:rPr>
          <w:i/>
          <w:szCs w:val="22"/>
        </w:rPr>
        <w:t>S</w:t>
      </w:r>
      <w:r w:rsidRPr="005215C9">
        <w:rPr>
          <w:i/>
          <w:szCs w:val="22"/>
        </w:rPr>
        <w:t xml:space="preserve">ee </w:t>
      </w:r>
      <w:r>
        <w:rPr>
          <w:i/>
          <w:szCs w:val="22"/>
        </w:rPr>
        <w:t>id.</w:t>
      </w:r>
      <w:r>
        <w:rPr>
          <w:szCs w:val="22"/>
        </w:rPr>
        <w:t xml:space="preserve">; </w:t>
      </w:r>
      <w:r>
        <w:rPr>
          <w:i/>
          <w:szCs w:val="22"/>
        </w:rPr>
        <w:t>see a</w:t>
      </w:r>
      <w:r w:rsidRPr="005215C9">
        <w:rPr>
          <w:i/>
          <w:szCs w:val="22"/>
        </w:rPr>
        <w:t>lso id</w:t>
      </w:r>
      <w:r>
        <w:rPr>
          <w:szCs w:val="22"/>
        </w:rPr>
        <w:t xml:space="preserve">. at 12582, Table A, 12587-88, ¶ 21, and 12622-23, Appendix A.  </w:t>
      </w:r>
    </w:p>
  </w:footnote>
  <w:footnote w:id="32">
    <w:p w:rsidR="00044813" w:rsidRDefault="00044813">
      <w:pPr>
        <w:pStyle w:val="FootnoteText"/>
      </w:pPr>
      <w:r>
        <w:rPr>
          <w:rStyle w:val="FootnoteReference"/>
        </w:rPr>
        <w:footnoteRef/>
      </w:r>
      <w:r>
        <w:t xml:space="preserve"> </w:t>
      </w:r>
      <w:r w:rsidRPr="005215C9">
        <w:rPr>
          <w:i/>
        </w:rPr>
        <w:t>Id</w:t>
      </w:r>
      <w:r>
        <w:t>. at 12588-89, ¶ 22.</w:t>
      </w:r>
    </w:p>
  </w:footnote>
  <w:footnote w:id="33">
    <w:p w:rsidR="00044813" w:rsidRPr="00B95141" w:rsidRDefault="00044813">
      <w:pPr>
        <w:pStyle w:val="FootnoteText"/>
      </w:pPr>
      <w:r w:rsidRPr="00B95141">
        <w:rPr>
          <w:rStyle w:val="FootnoteReference"/>
        </w:rPr>
        <w:footnoteRef/>
      </w:r>
      <w:r w:rsidRPr="00B95141">
        <w:t xml:space="preserve"> </w:t>
      </w:r>
      <w:r w:rsidRPr="00B95141">
        <w:rPr>
          <w:i/>
        </w:rPr>
        <w:t>See id</w:t>
      </w:r>
      <w:r w:rsidRPr="00B95141">
        <w:t>. at 12589-94, ¶¶ 23-28.</w:t>
      </w:r>
    </w:p>
  </w:footnote>
  <w:footnote w:id="34">
    <w:p w:rsidR="00044813" w:rsidRPr="00B95141" w:rsidRDefault="00044813" w:rsidP="00B95141">
      <w:pPr>
        <w:spacing w:after="120"/>
        <w:rPr>
          <w:sz w:val="20"/>
        </w:rPr>
      </w:pPr>
      <w:r w:rsidRPr="00B95141">
        <w:rPr>
          <w:rStyle w:val="FootnoteReference"/>
        </w:rPr>
        <w:footnoteRef/>
      </w:r>
      <w:r w:rsidRPr="00B95141">
        <w:rPr>
          <w:sz w:val="20"/>
        </w:rPr>
        <w:t xml:space="preserve"> </w:t>
      </w:r>
      <w:r w:rsidRPr="00B95141">
        <w:rPr>
          <w:i/>
          <w:sz w:val="20"/>
        </w:rPr>
        <w:t>Id</w:t>
      </w:r>
      <w:r w:rsidRPr="00B95141">
        <w:rPr>
          <w:sz w:val="20"/>
        </w:rPr>
        <w:t xml:space="preserve">. at 12594, ¶ 28.  DSNP offered the following criticisms of Armstrong’s historical benchmark analysis:  (i) Armstrong did not attempt to calculate the current fair market value of the carriage rights for FSNP; rather, it measured the proximity of the final offers to its historical benchmarks; (ii) Armstrong’s expert did not know whether he was analyzing “comparable buyers” because he was unaware of how many subscribers each affiliate had; (iii) Armstrong’s expert did not analyze comparable buyers of “comparable products” because the programming carriage rights in each FSNP affiliation agreement differed; and (iv) Armstrong’s expert compared the old rates in the 2005 Armstrong/FSNP Agreement with the new rates negotiated by the Cohort Affiliates in their recent renewal agreements, thereby resulting in a greater disparity between Armstrong’s rates and the Cohort Affiliate’s rates.  </w:t>
      </w:r>
      <w:r w:rsidRPr="00B95141">
        <w:rPr>
          <w:i/>
          <w:sz w:val="20"/>
        </w:rPr>
        <w:t>See id</w:t>
      </w:r>
      <w:r w:rsidRPr="00B95141">
        <w:rPr>
          <w:sz w:val="20"/>
        </w:rPr>
        <w:t>. a</w:t>
      </w:r>
      <w:r>
        <w:rPr>
          <w:sz w:val="20"/>
        </w:rPr>
        <w:t>t 12591-93, ¶¶ 24-27.</w:t>
      </w:r>
    </w:p>
  </w:footnote>
  <w:footnote w:id="35">
    <w:p w:rsidR="00044813" w:rsidRPr="00B95141" w:rsidRDefault="00044813">
      <w:pPr>
        <w:pStyle w:val="FootnoteText"/>
      </w:pPr>
      <w:r w:rsidRPr="00B95141">
        <w:rPr>
          <w:rStyle w:val="FootnoteReference"/>
        </w:rPr>
        <w:footnoteRef/>
      </w:r>
      <w:r w:rsidRPr="00B95141">
        <w:t xml:space="preserve"> </w:t>
      </w:r>
      <w:r w:rsidRPr="00B95141">
        <w:rPr>
          <w:i/>
        </w:rPr>
        <w:t>Id</w:t>
      </w:r>
      <w:r w:rsidRPr="00B95141">
        <w:t xml:space="preserve">.; </w:t>
      </w:r>
      <w:r w:rsidRPr="00B95141">
        <w:rPr>
          <w:i/>
        </w:rPr>
        <w:t>see also id</w:t>
      </w:r>
      <w:r w:rsidRPr="00B95141">
        <w:t>. at 12602, ¶ 40.</w:t>
      </w:r>
    </w:p>
  </w:footnote>
  <w:footnote w:id="36">
    <w:p w:rsidR="00044813" w:rsidRDefault="00044813">
      <w:pPr>
        <w:pStyle w:val="FootnoteText"/>
      </w:pPr>
      <w:r w:rsidRPr="00B95141">
        <w:rPr>
          <w:rStyle w:val="FootnoteReference"/>
        </w:rPr>
        <w:footnoteRef/>
      </w:r>
      <w:r w:rsidRPr="00B95141">
        <w:t xml:space="preserve"> </w:t>
      </w:r>
      <w:r w:rsidRPr="00B95141">
        <w:rPr>
          <w:i/>
        </w:rPr>
        <w:t>See id</w:t>
      </w:r>
      <w:r w:rsidRPr="00B95141">
        <w:t>. at 12594,</w:t>
      </w:r>
      <w:r>
        <w:t xml:space="preserve"> ¶ 29 n.136; </w:t>
      </w:r>
      <w:r w:rsidRPr="001B4CEE">
        <w:rPr>
          <w:i/>
        </w:rPr>
        <w:t>see also supra</w:t>
      </w:r>
      <w:r>
        <w:t xml:space="preserve"> n. 28.</w:t>
      </w:r>
    </w:p>
  </w:footnote>
  <w:footnote w:id="37">
    <w:p w:rsidR="00044813" w:rsidRDefault="00044813">
      <w:pPr>
        <w:pStyle w:val="FootnoteText"/>
      </w:pPr>
      <w:r>
        <w:rPr>
          <w:rStyle w:val="FootnoteReference"/>
        </w:rPr>
        <w:footnoteRef/>
      </w:r>
      <w:r>
        <w:t xml:space="preserve"> </w:t>
      </w:r>
      <w:r w:rsidRPr="00D911CB">
        <w:rPr>
          <w:i/>
        </w:rPr>
        <w:t xml:space="preserve">See </w:t>
      </w:r>
      <w:r w:rsidRPr="00430BEA">
        <w:rPr>
          <w:i/>
        </w:rPr>
        <w:t>Order on Review</w:t>
      </w:r>
      <w:r w:rsidRPr="00430BEA">
        <w:t>, 26 FCC Rcd</w:t>
      </w:r>
      <w:r>
        <w:t xml:space="preserve"> at 12594, ¶ 29, 12601, ¶ 37, 12602, ¶ 40, and 12624-25, Appendix B.</w:t>
      </w:r>
    </w:p>
  </w:footnote>
  <w:footnote w:id="38">
    <w:p w:rsidR="00044813" w:rsidRDefault="00044813" w:rsidP="00BF1F3B">
      <w:pPr>
        <w:pStyle w:val="FootnoteText"/>
      </w:pPr>
      <w:r>
        <w:rPr>
          <w:rStyle w:val="FootnoteReference"/>
        </w:rPr>
        <w:footnoteRef/>
      </w:r>
      <w:r>
        <w:t xml:space="preserve"> </w:t>
      </w:r>
      <w:r w:rsidRPr="00923D04">
        <w:rPr>
          <w:i/>
        </w:rPr>
        <w:t>See id</w:t>
      </w:r>
      <w:r>
        <w:t>. at 12588-89, ¶ 22 and 12594-95, ¶ 30.</w:t>
      </w:r>
    </w:p>
  </w:footnote>
  <w:footnote w:id="39">
    <w:p w:rsidR="00044813" w:rsidRPr="00E41FE7" w:rsidRDefault="00044813" w:rsidP="00BF1F3B">
      <w:pPr>
        <w:pStyle w:val="FootnoteText"/>
      </w:pPr>
      <w:r w:rsidRPr="00E41FE7">
        <w:rPr>
          <w:rStyle w:val="FootnoteReference"/>
        </w:rPr>
        <w:footnoteRef/>
      </w:r>
      <w:r w:rsidRPr="00E41FE7">
        <w:t xml:space="preserve"> </w:t>
      </w:r>
      <w:r w:rsidRPr="00E41FE7">
        <w:rPr>
          <w:i/>
        </w:rPr>
        <w:t>See id</w:t>
      </w:r>
      <w:r w:rsidRPr="00E41FE7">
        <w:t xml:space="preserve">.  </w:t>
      </w:r>
    </w:p>
  </w:footnote>
  <w:footnote w:id="40">
    <w:p w:rsidR="00044813" w:rsidRDefault="00044813">
      <w:pPr>
        <w:pStyle w:val="FootnoteText"/>
      </w:pPr>
      <w:r>
        <w:rPr>
          <w:rStyle w:val="FootnoteReference"/>
        </w:rPr>
        <w:footnoteRef/>
      </w:r>
      <w:r>
        <w:t xml:space="preserve"> </w:t>
      </w:r>
      <w:r w:rsidRPr="00923D04">
        <w:rPr>
          <w:i/>
        </w:rPr>
        <w:t>See id</w:t>
      </w:r>
      <w:r>
        <w:t>. at 12601-02, ¶¶ 37-39.</w:t>
      </w:r>
    </w:p>
  </w:footnote>
  <w:footnote w:id="41">
    <w:p w:rsidR="00044813" w:rsidRPr="00E41FE7" w:rsidRDefault="00044813" w:rsidP="00BF1F3B">
      <w:pPr>
        <w:pStyle w:val="FootnoteText"/>
      </w:pPr>
      <w:r w:rsidRPr="006E372C">
        <w:rPr>
          <w:rStyle w:val="FootnoteReference"/>
        </w:rPr>
        <w:footnoteRef/>
      </w:r>
      <w:r w:rsidRPr="00AE5769">
        <w:t xml:space="preserve"> </w:t>
      </w:r>
      <w:r w:rsidRPr="00C81DD8">
        <w:rPr>
          <w:i/>
        </w:rPr>
        <w:t>See id</w:t>
      </w:r>
      <w:r w:rsidRPr="00C81DD8">
        <w:t>. at 12601, ¶ 38.</w:t>
      </w:r>
    </w:p>
  </w:footnote>
  <w:footnote w:id="42">
    <w:p w:rsidR="00044813" w:rsidRPr="00E41FE7" w:rsidRDefault="00044813" w:rsidP="00BF1F3B">
      <w:pPr>
        <w:pStyle w:val="FootnoteText"/>
      </w:pPr>
      <w:r w:rsidRPr="00551B99">
        <w:rPr>
          <w:rStyle w:val="FootnoteReference"/>
        </w:rPr>
        <w:footnoteRef/>
      </w:r>
      <w:r w:rsidRPr="00E41FE7">
        <w:t xml:space="preserve"> </w:t>
      </w:r>
      <w:r w:rsidRPr="00C81DD8">
        <w:rPr>
          <w:i/>
        </w:rPr>
        <w:t>See id</w:t>
      </w:r>
      <w:r w:rsidRPr="00C81DD8">
        <w:t xml:space="preserve">. at 12601-02, ¶ 39; </w:t>
      </w:r>
      <w:r w:rsidRPr="00C81DD8">
        <w:rPr>
          <w:i/>
        </w:rPr>
        <w:t>see also infra</w:t>
      </w:r>
      <w:r w:rsidRPr="00C81DD8">
        <w:t xml:space="preserve"> ¶ </w:t>
      </w:r>
      <w:r>
        <w:t>20</w:t>
      </w:r>
      <w:r w:rsidRPr="00C81DD8">
        <w:t>.</w:t>
      </w:r>
    </w:p>
  </w:footnote>
  <w:footnote w:id="43">
    <w:p w:rsidR="00044813" w:rsidRPr="00B95141" w:rsidRDefault="00044813">
      <w:pPr>
        <w:pStyle w:val="FootnoteText"/>
      </w:pPr>
      <w:r w:rsidRPr="00B95141">
        <w:rPr>
          <w:rStyle w:val="FootnoteReference"/>
        </w:rPr>
        <w:footnoteRef/>
      </w:r>
      <w:r w:rsidRPr="00B95141">
        <w:t xml:space="preserve"> </w:t>
      </w:r>
      <w:r w:rsidRPr="00B95141">
        <w:rPr>
          <w:i/>
        </w:rPr>
        <w:t>See id</w:t>
      </w:r>
      <w:r w:rsidRPr="00B95141">
        <w:t>. at 12607-08, ¶¶ 47-48.</w:t>
      </w:r>
    </w:p>
  </w:footnote>
  <w:footnote w:id="44">
    <w:p w:rsidR="00044813" w:rsidRPr="00F81633" w:rsidRDefault="00044813">
      <w:pPr>
        <w:pStyle w:val="FootnoteText"/>
      </w:pPr>
      <w:r w:rsidRPr="00B95141">
        <w:rPr>
          <w:rStyle w:val="FootnoteReference"/>
        </w:rPr>
        <w:footnoteRef/>
      </w:r>
      <w:r w:rsidRPr="00B95141">
        <w:t xml:space="preserve"> </w:t>
      </w:r>
      <w:r w:rsidRPr="00B95141">
        <w:rPr>
          <w:i/>
        </w:rPr>
        <w:t>See id</w:t>
      </w:r>
      <w:r w:rsidRPr="00B95141">
        <w:t>. at 12603-07, ¶¶ 42-46 (renewal</w:t>
      </w:r>
      <w:r w:rsidRPr="00F81633">
        <w:t xml:space="preserve"> rate increase); </w:t>
      </w:r>
      <w:r w:rsidRPr="00F81633">
        <w:rPr>
          <w:i/>
        </w:rPr>
        <w:t>id</w:t>
      </w:r>
      <w:r w:rsidRPr="00F81633">
        <w:t>. at 12608-09, ¶¶ 49-50 (timing of the annual escalator);</w:t>
      </w:r>
      <w:r w:rsidRPr="00F81633">
        <w:rPr>
          <w:i/>
        </w:rPr>
        <w:t xml:space="preserve"> id</w:t>
      </w:r>
      <w:r w:rsidRPr="00F81633">
        <w:t>. at 12609-10, ¶¶ 51-52 (the number of games provision).</w:t>
      </w:r>
    </w:p>
  </w:footnote>
  <w:footnote w:id="45">
    <w:p w:rsidR="00044813" w:rsidRPr="00F81633" w:rsidRDefault="00044813">
      <w:pPr>
        <w:pStyle w:val="FootnoteText"/>
      </w:pPr>
      <w:r w:rsidRPr="00F81633">
        <w:rPr>
          <w:rStyle w:val="FootnoteReference"/>
        </w:rPr>
        <w:footnoteRef/>
      </w:r>
      <w:r w:rsidRPr="00F81633">
        <w:t xml:space="preserve"> </w:t>
      </w:r>
      <w:r w:rsidRPr="00F81633">
        <w:rPr>
          <w:i/>
        </w:rPr>
        <w:t>Id</w:t>
      </w:r>
      <w:r w:rsidRPr="00F81633">
        <w:t xml:space="preserve">. at 12602-03, ¶ 41; </w:t>
      </w:r>
      <w:r w:rsidRPr="00F81633">
        <w:rPr>
          <w:i/>
        </w:rPr>
        <w:t>see also</w:t>
      </w:r>
      <w:r w:rsidRPr="00F81633">
        <w:t xml:space="preserve"> </w:t>
      </w:r>
      <w:r w:rsidRPr="00F81633">
        <w:rPr>
          <w:i/>
        </w:rPr>
        <w:t xml:space="preserve">id. </w:t>
      </w:r>
      <w:r w:rsidRPr="00F81633">
        <w:t xml:space="preserve">at 12610, ¶ 53.  </w:t>
      </w:r>
    </w:p>
  </w:footnote>
  <w:footnote w:id="46">
    <w:p w:rsidR="00044813" w:rsidRDefault="00044813">
      <w:pPr>
        <w:pStyle w:val="FootnoteText"/>
      </w:pPr>
      <w:r w:rsidRPr="00F81633">
        <w:rPr>
          <w:rStyle w:val="FootnoteReference"/>
        </w:rPr>
        <w:footnoteRef/>
      </w:r>
      <w:r w:rsidRPr="00F81633">
        <w:t xml:space="preserve"> The </w:t>
      </w:r>
      <w:r>
        <w:t xml:space="preserve">Media Bureau found that the following </w:t>
      </w:r>
      <w:r w:rsidRPr="00F81633">
        <w:t>three “non-rate terms” favor the DSNP final offer:  (i) the rebate for shortfalls in professional games (</w:t>
      </w:r>
      <w:r w:rsidRPr="00F81633">
        <w:rPr>
          <w:i/>
        </w:rPr>
        <w:t>see id</w:t>
      </w:r>
      <w:r w:rsidRPr="00F81633">
        <w:t xml:space="preserve">. at 12611-13, ¶¶ 57-59); (ii) </w:t>
      </w:r>
      <w:r w:rsidRPr="00F81633">
        <w:rPr>
          <w:b/>
        </w:rPr>
        <w:t>[</w:t>
      </w:r>
      <w:r>
        <w:rPr>
          <w:b/>
        </w:rPr>
        <w:t>REDACTED</w:t>
      </w:r>
      <w:r w:rsidRPr="00F81633">
        <w:rPr>
          <w:b/>
        </w:rPr>
        <w:t xml:space="preserve">] </w:t>
      </w:r>
      <w:r w:rsidRPr="00F81633">
        <w:t>(</w:t>
      </w:r>
      <w:r w:rsidRPr="00F81633">
        <w:rPr>
          <w:i/>
        </w:rPr>
        <w:t>see id</w:t>
      </w:r>
      <w:r w:rsidRPr="00F81633">
        <w:t>. at 12614, ¶¶ 62-63); and (iii) advertising avails and advertising exclusivities (</w:t>
      </w:r>
      <w:r w:rsidRPr="00F81633">
        <w:rPr>
          <w:i/>
        </w:rPr>
        <w:t>see id</w:t>
      </w:r>
      <w:r w:rsidRPr="00F81633">
        <w:t xml:space="preserve">. at 12617-18, ¶¶ 69-70).  </w:t>
      </w:r>
      <w:r w:rsidRPr="00F81633">
        <w:rPr>
          <w:i/>
        </w:rPr>
        <w:t xml:space="preserve">See id. </w:t>
      </w:r>
      <w:r w:rsidRPr="00F81633">
        <w:t xml:space="preserve">at 12619-20, ¶ 73 and </w:t>
      </w:r>
      <w:r>
        <w:t xml:space="preserve">Table C.  </w:t>
      </w:r>
    </w:p>
  </w:footnote>
  <w:footnote w:id="47">
    <w:p w:rsidR="00044813" w:rsidRDefault="00044813">
      <w:pPr>
        <w:pStyle w:val="FootnoteText"/>
      </w:pPr>
      <w:r>
        <w:rPr>
          <w:rStyle w:val="FootnoteReference"/>
        </w:rPr>
        <w:footnoteRef/>
      </w:r>
      <w:r>
        <w:t xml:space="preserve"> The Media Bureau found that the following four “non-rate terms” favor the Armstrong final offer:  </w:t>
      </w:r>
      <w:r w:rsidRPr="00430BEA">
        <w:t xml:space="preserve">(i) the use of </w:t>
      </w:r>
      <w:r w:rsidRPr="00430BEA">
        <w:rPr>
          <w:b/>
        </w:rPr>
        <w:t>[</w:t>
      </w:r>
      <w:r>
        <w:rPr>
          <w:b/>
        </w:rPr>
        <w:t>REDACTED</w:t>
      </w:r>
      <w:r w:rsidRPr="00430BEA">
        <w:rPr>
          <w:b/>
        </w:rPr>
        <w:t>]</w:t>
      </w:r>
      <w:r w:rsidRPr="00430BEA">
        <w:t xml:space="preserve"> games to cure shortfalls</w:t>
      </w:r>
      <w:r>
        <w:t xml:space="preserve"> (</w:t>
      </w:r>
      <w:r w:rsidRPr="00EC0055">
        <w:rPr>
          <w:i/>
        </w:rPr>
        <w:t>see id</w:t>
      </w:r>
      <w:r>
        <w:t xml:space="preserve">. at </w:t>
      </w:r>
      <w:r w:rsidRPr="00B21143">
        <w:t>126</w:t>
      </w:r>
      <w:r>
        <w:t>11</w:t>
      </w:r>
      <w:r w:rsidRPr="00B21143">
        <w:t>,</w:t>
      </w:r>
      <w:r>
        <w:t xml:space="preserve"> ¶¶ 55-56)</w:t>
      </w:r>
      <w:r w:rsidRPr="00430BEA">
        <w:t>;</w:t>
      </w:r>
      <w:r>
        <w:t xml:space="preserve"> </w:t>
      </w:r>
      <w:r w:rsidRPr="00430BEA">
        <w:t xml:space="preserve">(ii) </w:t>
      </w:r>
      <w:r w:rsidRPr="00430BEA">
        <w:rPr>
          <w:b/>
        </w:rPr>
        <w:t>[</w:t>
      </w:r>
      <w:r>
        <w:rPr>
          <w:b/>
        </w:rPr>
        <w:t>REDACTED</w:t>
      </w:r>
      <w:r w:rsidRPr="00430BEA">
        <w:rPr>
          <w:b/>
        </w:rPr>
        <w:t>]</w:t>
      </w:r>
      <w:r w:rsidRPr="00430BEA">
        <w:t xml:space="preserve"> as a recoverable surcharge cost</w:t>
      </w:r>
      <w:r>
        <w:t xml:space="preserve"> (</w:t>
      </w:r>
      <w:r w:rsidRPr="00EC0055">
        <w:rPr>
          <w:i/>
        </w:rPr>
        <w:t>see id</w:t>
      </w:r>
      <w:r>
        <w:t xml:space="preserve">. at </w:t>
      </w:r>
      <w:r w:rsidRPr="00B21143">
        <w:t>126</w:t>
      </w:r>
      <w:r>
        <w:t>13-14</w:t>
      </w:r>
      <w:r w:rsidRPr="00B21143">
        <w:t>,</w:t>
      </w:r>
      <w:r>
        <w:t xml:space="preserve"> ¶¶ 60-61)</w:t>
      </w:r>
      <w:r w:rsidRPr="00430BEA">
        <w:t>; (</w:t>
      </w:r>
      <w:r>
        <w:t>iii</w:t>
      </w:r>
      <w:r w:rsidRPr="00430BEA">
        <w:t>) the Lifeline definition and Lifeline Tier exclusion</w:t>
      </w:r>
      <w:r>
        <w:t xml:space="preserve"> (</w:t>
      </w:r>
      <w:r w:rsidRPr="00EC0055">
        <w:rPr>
          <w:i/>
        </w:rPr>
        <w:t>see id</w:t>
      </w:r>
      <w:r>
        <w:t xml:space="preserve">. at </w:t>
      </w:r>
      <w:r w:rsidRPr="00B21143">
        <w:t>126</w:t>
      </w:r>
      <w:r>
        <w:t>15-17</w:t>
      </w:r>
      <w:r w:rsidRPr="00B21143">
        <w:t>,</w:t>
      </w:r>
      <w:r>
        <w:t xml:space="preserve"> ¶¶ 64-68)</w:t>
      </w:r>
      <w:r w:rsidRPr="00430BEA">
        <w:t>; and (i</w:t>
      </w:r>
      <w:r>
        <w:t>v</w:t>
      </w:r>
      <w:r w:rsidRPr="00430BEA">
        <w:t>) carriage of FSNP in the event of an NCTC agreement</w:t>
      </w:r>
      <w:r>
        <w:t xml:space="preserve"> </w:t>
      </w:r>
      <w:r w:rsidRPr="00EC0055">
        <w:t>(</w:t>
      </w:r>
      <w:r w:rsidRPr="00EC0055">
        <w:rPr>
          <w:i/>
        </w:rPr>
        <w:t>see id</w:t>
      </w:r>
      <w:r>
        <w:t xml:space="preserve">. at </w:t>
      </w:r>
      <w:r w:rsidRPr="00B21143">
        <w:t>126</w:t>
      </w:r>
      <w:r>
        <w:t>18-19</w:t>
      </w:r>
      <w:r w:rsidRPr="00B21143">
        <w:t>,</w:t>
      </w:r>
      <w:r>
        <w:t xml:space="preserve"> ¶¶ 71-72)</w:t>
      </w:r>
      <w:r w:rsidRPr="00430BEA">
        <w:t xml:space="preserve">.  </w:t>
      </w:r>
      <w:r w:rsidRPr="00B21143">
        <w:rPr>
          <w:i/>
        </w:rPr>
        <w:t xml:space="preserve">See </w:t>
      </w:r>
      <w:r>
        <w:rPr>
          <w:i/>
        </w:rPr>
        <w:t xml:space="preserve">id. </w:t>
      </w:r>
      <w:r w:rsidRPr="00430BEA">
        <w:t>at 126</w:t>
      </w:r>
      <w:r>
        <w:t>19</w:t>
      </w:r>
      <w:r w:rsidRPr="00430BEA">
        <w:t>-</w:t>
      </w:r>
      <w:r>
        <w:t>20</w:t>
      </w:r>
      <w:r w:rsidRPr="00430BEA">
        <w:t xml:space="preserve">, ¶ </w:t>
      </w:r>
      <w:r>
        <w:t xml:space="preserve">73 and Table C.   </w:t>
      </w:r>
    </w:p>
  </w:footnote>
  <w:footnote w:id="48">
    <w:p w:rsidR="00044813" w:rsidRPr="00B21143" w:rsidRDefault="00044813">
      <w:pPr>
        <w:pStyle w:val="FootnoteText"/>
      </w:pPr>
      <w:r w:rsidRPr="00B21143">
        <w:rPr>
          <w:rStyle w:val="FootnoteReference"/>
        </w:rPr>
        <w:footnoteRef/>
      </w:r>
      <w:r w:rsidRPr="00B21143">
        <w:t xml:space="preserve"> </w:t>
      </w:r>
      <w:r w:rsidRPr="00B21143">
        <w:rPr>
          <w:i/>
        </w:rPr>
        <w:t>Id</w:t>
      </w:r>
      <w:r>
        <w:t xml:space="preserve">. at 12610-11, </w:t>
      </w:r>
      <w:r w:rsidRPr="00492A66">
        <w:t xml:space="preserve">¶ </w:t>
      </w:r>
      <w:r w:rsidRPr="00B21143">
        <w:t>54</w:t>
      </w:r>
      <w:r>
        <w:t xml:space="preserve">; </w:t>
      </w:r>
      <w:r w:rsidRPr="00122805">
        <w:rPr>
          <w:i/>
        </w:rPr>
        <w:t>see also</w:t>
      </w:r>
      <w:r>
        <w:t xml:space="preserve"> </w:t>
      </w:r>
      <w:r>
        <w:rPr>
          <w:i/>
        </w:rPr>
        <w:t xml:space="preserve">id. </w:t>
      </w:r>
      <w:r w:rsidRPr="00430BEA">
        <w:t>at 126</w:t>
      </w:r>
      <w:r>
        <w:t>19</w:t>
      </w:r>
      <w:r w:rsidRPr="00430BEA">
        <w:t>-</w:t>
      </w:r>
      <w:r>
        <w:t>20</w:t>
      </w:r>
      <w:r w:rsidRPr="00430BEA">
        <w:t xml:space="preserve">, ¶ </w:t>
      </w:r>
      <w:r>
        <w:t>73.</w:t>
      </w:r>
    </w:p>
  </w:footnote>
  <w:footnote w:id="49">
    <w:p w:rsidR="00044813" w:rsidRDefault="00044813">
      <w:pPr>
        <w:pStyle w:val="FootnoteText"/>
      </w:pPr>
      <w:r>
        <w:rPr>
          <w:rStyle w:val="FootnoteReference"/>
        </w:rPr>
        <w:footnoteRef/>
      </w:r>
      <w:r>
        <w:t xml:space="preserve"> </w:t>
      </w:r>
      <w:r w:rsidRPr="008604EE">
        <w:rPr>
          <w:i/>
        </w:rPr>
        <w:t>Id</w:t>
      </w:r>
      <w:r>
        <w:t xml:space="preserve">. at 12620, ¶ 74 (quoting </w:t>
      </w:r>
      <w:r w:rsidRPr="0064799A">
        <w:rPr>
          <w:i/>
        </w:rPr>
        <w:t>Liberty Media Order</w:t>
      </w:r>
      <w:r w:rsidRPr="0064799A">
        <w:t>, 23 FCC Rcd at 3347, Appendix B, Condition IV, § B “Rules of Arbitration,” ¶ 4</w:t>
      </w:r>
      <w:r>
        <w:t>).</w:t>
      </w:r>
    </w:p>
  </w:footnote>
  <w:footnote w:id="50">
    <w:p w:rsidR="00044813" w:rsidRDefault="00044813">
      <w:pPr>
        <w:pStyle w:val="FootnoteText"/>
      </w:pPr>
      <w:r>
        <w:rPr>
          <w:rStyle w:val="FootnoteReference"/>
        </w:rPr>
        <w:footnoteRef/>
      </w:r>
      <w:r>
        <w:t xml:space="preserve"> </w:t>
      </w:r>
      <w:r w:rsidRPr="008604EE">
        <w:rPr>
          <w:i/>
        </w:rPr>
        <w:t>Id</w:t>
      </w:r>
      <w:r>
        <w:t>. at 12621, ¶ 75.</w:t>
      </w:r>
    </w:p>
  </w:footnote>
  <w:footnote w:id="51">
    <w:p w:rsidR="00044813" w:rsidRDefault="00044813">
      <w:pPr>
        <w:pStyle w:val="FootnoteText"/>
      </w:pPr>
      <w:r>
        <w:rPr>
          <w:rStyle w:val="FootnoteReference"/>
        </w:rPr>
        <w:footnoteRef/>
      </w:r>
      <w:r>
        <w:t xml:space="preserve"> </w:t>
      </w:r>
      <w:r w:rsidRPr="002D2B1C">
        <w:rPr>
          <w:i/>
        </w:rPr>
        <w:t>See id</w:t>
      </w:r>
      <w:r>
        <w:t>.</w:t>
      </w:r>
    </w:p>
  </w:footnote>
  <w:footnote w:id="52">
    <w:p w:rsidR="00044813" w:rsidRDefault="00044813">
      <w:pPr>
        <w:pStyle w:val="FootnoteText"/>
      </w:pPr>
      <w:r>
        <w:rPr>
          <w:rStyle w:val="FootnoteReference"/>
        </w:rPr>
        <w:footnoteRef/>
      </w:r>
      <w:r>
        <w:t xml:space="preserve"> </w:t>
      </w:r>
      <w:r w:rsidRPr="00BA23D5">
        <w:rPr>
          <w:color w:val="000000"/>
        </w:rPr>
        <w:t xml:space="preserve">Our action here renders </w:t>
      </w:r>
      <w:bookmarkStart w:id="91" w:name="SR;799"/>
      <w:bookmarkEnd w:id="91"/>
      <w:r w:rsidRPr="00BA23D5">
        <w:rPr>
          <w:color w:val="000000"/>
        </w:rPr>
        <w:t xml:space="preserve">moot DSNP’s </w:t>
      </w:r>
      <w:r w:rsidRPr="00BA23D5">
        <w:t xml:space="preserve">claim that the Media Bureau did not have delegated authority to act on its Petition for </w:t>
      </w:r>
      <w:r w:rsidRPr="00BA23D5">
        <w:rPr>
          <w:i/>
        </w:rPr>
        <w:t>De Novo</w:t>
      </w:r>
      <w:r w:rsidRPr="00BA23D5">
        <w:t xml:space="preserve"> Review.  </w:t>
      </w:r>
      <w:r w:rsidRPr="00BA23D5">
        <w:rPr>
          <w:i/>
        </w:rPr>
        <w:t xml:space="preserve">See </w:t>
      </w:r>
      <w:r w:rsidRPr="00FE1D64">
        <w:rPr>
          <w:i/>
          <w:iCs/>
          <w:color w:val="000000"/>
        </w:rPr>
        <w:t>SM Radio, Inc.,</w:t>
      </w:r>
      <w:r w:rsidRPr="00FE1D64">
        <w:rPr>
          <w:color w:val="000000"/>
        </w:rPr>
        <w:t xml:space="preserve"> 23</w:t>
      </w:r>
      <w:r w:rsidRPr="00F7424A">
        <w:rPr>
          <w:color w:val="000000"/>
        </w:rPr>
        <w:t xml:space="preserve"> FCC Rcd </w:t>
      </w:r>
      <w:r w:rsidRPr="00FE1D64">
        <w:rPr>
          <w:color w:val="000000"/>
        </w:rPr>
        <w:t>2429, 2433 n.32 (2008</w:t>
      </w:r>
      <w:r w:rsidRPr="00F7424A">
        <w:rPr>
          <w:color w:val="000000"/>
        </w:rPr>
        <w:t>);</w:t>
      </w:r>
      <w:r w:rsidRPr="00BA23D5">
        <w:t xml:space="preserve"> </w:t>
      </w:r>
      <w:r w:rsidRPr="00BA23D5">
        <w:rPr>
          <w:i/>
        </w:rPr>
        <w:t>see also</w:t>
      </w:r>
      <w:r w:rsidRPr="00BA23D5">
        <w:t xml:space="preserve"> </w:t>
      </w:r>
      <w:r w:rsidRPr="00BA23D5">
        <w:rPr>
          <w:i/>
        </w:rPr>
        <w:t>DSNP Application for Review</w:t>
      </w:r>
      <w:r w:rsidRPr="00BA23D5">
        <w:t xml:space="preserve"> at 3-4.  Nevertheless, we note that the Bureau has authority, pursuant to Section 0.61(f)(7) of the Commission’s rules, to “[a]dminister and enforce rules and policies regarding . . . program access,” </w:t>
      </w:r>
      <w:r w:rsidRPr="00BA23D5">
        <w:rPr>
          <w:i/>
        </w:rPr>
        <w:t xml:space="preserve">see </w:t>
      </w:r>
      <w:r w:rsidRPr="00BA23D5">
        <w:t>47 C.F.R. § 0.61(f)(7), subject to the limitations on the Bureau’s delegated functions set forth in Section 0.283 of the Commission’s rules.</w:t>
      </w:r>
      <w:r w:rsidRPr="00BA23D5">
        <w:rPr>
          <w:i/>
        </w:rPr>
        <w:t xml:space="preserve">  See </w:t>
      </w:r>
      <w:r w:rsidRPr="00BA23D5">
        <w:t>47 C.F.R. § 0.283</w:t>
      </w:r>
      <w:r>
        <w:t xml:space="preserve">.  </w:t>
      </w:r>
      <w:r w:rsidRPr="00BA23D5">
        <w:t>While DSNP notes that the Chief, Media Bureau does not have delegated authority to act on “matters that present novel questions of law, fact or policy</w:t>
      </w:r>
      <w:r>
        <w:t>,”</w:t>
      </w:r>
      <w:r w:rsidRPr="00BA23D5">
        <w:t xml:space="preserve"> DSNP’s Petition did not present such “novel” issues</w:t>
      </w:r>
      <w:r>
        <w:t xml:space="preserve"> because the</w:t>
      </w:r>
      <w:r w:rsidRPr="007E1F7D">
        <w:rPr>
          <w:i/>
        </w:rPr>
        <w:t xml:space="preserve"> </w:t>
      </w:r>
      <w:r w:rsidRPr="00BA23D5">
        <w:rPr>
          <w:i/>
        </w:rPr>
        <w:t>Liberty Media Order</w:t>
      </w:r>
      <w:r w:rsidRPr="00BA23D5">
        <w:t xml:space="preserve"> sets forth guidelines for the Media Bureau to consider when acting on a petition for </w:t>
      </w:r>
      <w:r w:rsidRPr="00BA23D5">
        <w:rPr>
          <w:i/>
        </w:rPr>
        <w:t>de novo</w:t>
      </w:r>
      <w:r w:rsidRPr="00BA23D5">
        <w:t xml:space="preserve"> review, which it followed here.  47 C.F.R. § 0.283(c); </w:t>
      </w:r>
      <w:r w:rsidRPr="00BA23D5">
        <w:rPr>
          <w:i/>
        </w:rPr>
        <w:t>see DSNP Application for Review</w:t>
      </w:r>
      <w:r w:rsidRPr="00BA23D5">
        <w:t xml:space="preserve"> at 3-4</w:t>
      </w:r>
      <w:r>
        <w:t xml:space="preserve">; </w:t>
      </w:r>
      <w:r w:rsidRPr="00F1562A">
        <w:rPr>
          <w:i/>
        </w:rPr>
        <w:t>see also</w:t>
      </w:r>
      <w:r>
        <w:t xml:space="preserve"> </w:t>
      </w:r>
      <w:r w:rsidRPr="00BA23D5">
        <w:rPr>
          <w:i/>
        </w:rPr>
        <w:t>Order on Review</w:t>
      </w:r>
      <w:r w:rsidRPr="00BA23D5">
        <w:t xml:space="preserve">, 26 FCC Rcd at 12578-79, ¶ 8.  While DSNP </w:t>
      </w:r>
      <w:r>
        <w:t xml:space="preserve">further </w:t>
      </w:r>
      <w:r w:rsidRPr="00BA23D5">
        <w:t xml:space="preserve">notes that the Chief, Media Bureau does not have authority to act on an “application for review of actions taken pursuant to delegated authority,” the decision of the AAA arbitrator in this case was initiated pursuant to the </w:t>
      </w:r>
      <w:r w:rsidRPr="00BA23D5">
        <w:rPr>
          <w:i/>
        </w:rPr>
        <w:t>Liberty Media Order</w:t>
      </w:r>
      <w:r w:rsidRPr="00BA23D5">
        <w:t xml:space="preserve"> conditions and is not an action on “delegated authority.”  </w:t>
      </w:r>
      <w:r w:rsidRPr="00BA23D5">
        <w:rPr>
          <w:i/>
        </w:rPr>
        <w:t>See DSNP Application for Review</w:t>
      </w:r>
      <w:r w:rsidRPr="00BA23D5">
        <w:t xml:space="preserve"> at 3-4 (citing 47 C.F.R. § 0.283(b))</w:t>
      </w:r>
      <w:r>
        <w:t xml:space="preserve">.  </w:t>
      </w:r>
    </w:p>
  </w:footnote>
  <w:footnote w:id="53">
    <w:p w:rsidR="00044813" w:rsidRPr="00B21143" w:rsidRDefault="00044813">
      <w:pPr>
        <w:pStyle w:val="FootnoteText"/>
      </w:pPr>
      <w:r w:rsidRPr="00B21143">
        <w:rPr>
          <w:rStyle w:val="FootnoteReference"/>
        </w:rPr>
        <w:footnoteRef/>
      </w:r>
      <w:r w:rsidRPr="00B21143">
        <w:t xml:space="preserve"> </w:t>
      </w:r>
      <w:r w:rsidRPr="00B21143">
        <w:rPr>
          <w:i/>
        </w:rPr>
        <w:t>See supra</w:t>
      </w:r>
      <w:r w:rsidRPr="00B21143">
        <w:t xml:space="preserve"> ¶</w:t>
      </w:r>
      <w:r>
        <w:t>¶ 6-11</w:t>
      </w:r>
      <w:r w:rsidRPr="00B21143">
        <w:t>.</w:t>
      </w:r>
      <w:r>
        <w:t xml:space="preserve">  </w:t>
      </w:r>
    </w:p>
  </w:footnote>
  <w:footnote w:id="54">
    <w:p w:rsidR="00044813" w:rsidRPr="008F34AF" w:rsidRDefault="00044813" w:rsidP="003245F9">
      <w:pPr>
        <w:pStyle w:val="FootnoteText"/>
      </w:pPr>
      <w:r w:rsidRPr="008F34AF">
        <w:rPr>
          <w:rStyle w:val="FootnoteReference"/>
        </w:rPr>
        <w:footnoteRef/>
      </w:r>
      <w:r w:rsidRPr="008F34AF">
        <w:t xml:space="preserve"> </w:t>
      </w:r>
      <w:r w:rsidRPr="008F34AF">
        <w:rPr>
          <w:i/>
        </w:rPr>
        <w:t>DSNP Application for Review</w:t>
      </w:r>
      <w:r w:rsidRPr="008F34AF">
        <w:t xml:space="preserve"> at 5.</w:t>
      </w:r>
    </w:p>
  </w:footnote>
  <w:footnote w:id="55">
    <w:p w:rsidR="00044813" w:rsidRPr="008F34AF" w:rsidRDefault="00044813" w:rsidP="003245F9">
      <w:pPr>
        <w:pStyle w:val="FootnoteText"/>
      </w:pPr>
      <w:r w:rsidRPr="008F34AF">
        <w:rPr>
          <w:rStyle w:val="FootnoteReference"/>
        </w:rPr>
        <w:footnoteRef/>
      </w:r>
      <w:r w:rsidRPr="008F34AF">
        <w:t xml:space="preserve"> </w:t>
      </w:r>
      <w:r w:rsidRPr="008F34AF">
        <w:rPr>
          <w:i/>
        </w:rPr>
        <w:t>See Order on Review</w:t>
      </w:r>
      <w:r w:rsidRPr="008F34AF">
        <w:t xml:space="preserve">, 26 FCC Rcd at 12583, ¶ 13; </w:t>
      </w:r>
      <w:r w:rsidRPr="008F34AF">
        <w:rPr>
          <w:i/>
        </w:rPr>
        <w:t>id</w:t>
      </w:r>
      <w:r w:rsidRPr="008F34AF">
        <w:t xml:space="preserve">. at 12602-03, ¶ 41; </w:t>
      </w:r>
      <w:r w:rsidRPr="008F34AF">
        <w:rPr>
          <w:i/>
        </w:rPr>
        <w:t>id</w:t>
      </w:r>
      <w:r w:rsidRPr="008F34AF">
        <w:t xml:space="preserve">. at 12610-11, ¶ 54; </w:t>
      </w:r>
      <w:r w:rsidRPr="008F34AF">
        <w:rPr>
          <w:i/>
        </w:rPr>
        <w:t>see also supra</w:t>
      </w:r>
      <w:r>
        <w:t xml:space="preserve"> ¶¶ </w:t>
      </w:r>
      <w:r w:rsidRPr="008F34AF">
        <w:t xml:space="preserve">10-11.  </w:t>
      </w:r>
    </w:p>
  </w:footnote>
  <w:footnote w:id="56">
    <w:p w:rsidR="00044813" w:rsidRPr="008F34AF" w:rsidRDefault="00044813" w:rsidP="003245F9">
      <w:pPr>
        <w:pStyle w:val="FootnoteText"/>
      </w:pPr>
      <w:r w:rsidRPr="008F34AF">
        <w:rPr>
          <w:rStyle w:val="FootnoteReference"/>
        </w:rPr>
        <w:footnoteRef/>
      </w:r>
      <w:r w:rsidRPr="008F34AF">
        <w:t xml:space="preserve"> </w:t>
      </w:r>
      <w:r w:rsidRPr="008F34AF">
        <w:rPr>
          <w:i/>
        </w:rPr>
        <w:t>See supra</w:t>
      </w:r>
      <w:r>
        <w:t xml:space="preserve"> ¶ </w:t>
      </w:r>
      <w:r w:rsidRPr="008F34AF">
        <w:t xml:space="preserve">10.  </w:t>
      </w:r>
    </w:p>
  </w:footnote>
  <w:footnote w:id="57">
    <w:p w:rsidR="00044813" w:rsidRPr="008F34AF" w:rsidRDefault="00044813" w:rsidP="003245F9">
      <w:pPr>
        <w:pStyle w:val="FootnoteText"/>
      </w:pPr>
      <w:r w:rsidRPr="008F34AF">
        <w:rPr>
          <w:rStyle w:val="FootnoteReference"/>
        </w:rPr>
        <w:footnoteRef/>
      </w:r>
      <w:r w:rsidRPr="008F34AF">
        <w:t xml:space="preserve"> </w:t>
      </w:r>
      <w:r w:rsidRPr="008F34AF">
        <w:rPr>
          <w:i/>
        </w:rPr>
        <w:t>See DSNP Application for Review</w:t>
      </w:r>
      <w:r w:rsidRPr="008F34AF">
        <w:t xml:space="preserve"> at 5.  </w:t>
      </w:r>
    </w:p>
  </w:footnote>
  <w:footnote w:id="58">
    <w:p w:rsidR="00044813" w:rsidRPr="008F34AF" w:rsidRDefault="00044813" w:rsidP="003245F9">
      <w:pPr>
        <w:pStyle w:val="FootnoteText"/>
      </w:pPr>
      <w:r w:rsidRPr="008F34AF">
        <w:rPr>
          <w:rStyle w:val="FootnoteReference"/>
        </w:rPr>
        <w:footnoteRef/>
      </w:r>
      <w:r w:rsidRPr="008F34AF">
        <w:t xml:space="preserve"> </w:t>
      </w:r>
      <w:r w:rsidRPr="008F34AF">
        <w:rPr>
          <w:i/>
        </w:rPr>
        <w:t xml:space="preserve">See supra </w:t>
      </w:r>
      <w:r>
        <w:t xml:space="preserve">¶ </w:t>
      </w:r>
      <w:r w:rsidRPr="008F34AF">
        <w:t xml:space="preserve">11.  </w:t>
      </w:r>
    </w:p>
  </w:footnote>
  <w:footnote w:id="59">
    <w:p w:rsidR="00044813" w:rsidRDefault="00044813" w:rsidP="003245F9">
      <w:pPr>
        <w:pStyle w:val="FootnoteText"/>
      </w:pPr>
      <w:r w:rsidRPr="008F34AF">
        <w:rPr>
          <w:rStyle w:val="FootnoteReference"/>
        </w:rPr>
        <w:footnoteRef/>
      </w:r>
      <w:r w:rsidRPr="008F34AF">
        <w:t xml:space="preserve"> </w:t>
      </w:r>
      <w:r w:rsidRPr="008F34AF">
        <w:rPr>
          <w:i/>
        </w:rPr>
        <w:t>See Order on Review</w:t>
      </w:r>
      <w:r w:rsidRPr="008F34AF">
        <w:t>, 26 FCC Rcd at 12578, ¶ 8, 12610, ¶ 53, 12619-20, ¶ 73.</w:t>
      </w:r>
    </w:p>
  </w:footnote>
  <w:footnote w:id="60">
    <w:p w:rsidR="00044813" w:rsidRDefault="00044813">
      <w:pPr>
        <w:pStyle w:val="FootnoteText"/>
      </w:pPr>
      <w:r>
        <w:rPr>
          <w:rStyle w:val="FootnoteReference"/>
        </w:rPr>
        <w:footnoteRef/>
      </w:r>
      <w:r>
        <w:t xml:space="preserve"> </w:t>
      </w:r>
      <w:r w:rsidRPr="00CE0F41">
        <w:rPr>
          <w:i/>
        </w:rPr>
        <w:t>See DSNP Application for Review</w:t>
      </w:r>
      <w:r>
        <w:t xml:space="preserve"> at i, 1, 4, 7; </w:t>
      </w:r>
      <w:r w:rsidRPr="0064799A">
        <w:t>DIRECTV Sports Net Pittsburgh, LLC</w:t>
      </w:r>
      <w:r w:rsidRPr="0064799A">
        <w:rPr>
          <w:i/>
        </w:rPr>
        <w:t xml:space="preserve">, </w:t>
      </w:r>
      <w:r>
        <w:t>Reply</w:t>
      </w:r>
      <w:r w:rsidRPr="0064799A">
        <w:t>, File No.</w:t>
      </w:r>
      <w:r w:rsidRPr="0064799A">
        <w:rPr>
          <w:spacing w:val="-2"/>
        </w:rPr>
        <w:t xml:space="preserve"> CSR-8480-P</w:t>
      </w:r>
      <w:r>
        <w:rPr>
          <w:spacing w:val="-2"/>
        </w:rPr>
        <w:t xml:space="preserve"> </w:t>
      </w:r>
      <w:r w:rsidRPr="0064799A">
        <w:t xml:space="preserve">(filed </w:t>
      </w:r>
      <w:r>
        <w:t>Oct. 6</w:t>
      </w:r>
      <w:r w:rsidRPr="0064799A">
        <w:t>, 2011)</w:t>
      </w:r>
      <w:r>
        <w:t>, at 1-2</w:t>
      </w:r>
      <w:r w:rsidRPr="0064799A">
        <w:t xml:space="preserve"> (“</w:t>
      </w:r>
      <w:r>
        <w:rPr>
          <w:i/>
        </w:rPr>
        <w:t>DSNP Reply</w:t>
      </w:r>
      <w:r w:rsidRPr="0064799A">
        <w:t>”)</w:t>
      </w:r>
      <w:r>
        <w:t>.</w:t>
      </w:r>
    </w:p>
  </w:footnote>
  <w:footnote w:id="61">
    <w:p w:rsidR="00044813" w:rsidRPr="00404707" w:rsidRDefault="00044813">
      <w:pPr>
        <w:pStyle w:val="FootnoteText"/>
      </w:pPr>
      <w:r w:rsidRPr="00404707">
        <w:rPr>
          <w:rStyle w:val="FootnoteReference"/>
        </w:rPr>
        <w:footnoteRef/>
      </w:r>
      <w:r w:rsidRPr="00404707">
        <w:t xml:space="preserve"> </w:t>
      </w:r>
      <w:r w:rsidRPr="00404707">
        <w:rPr>
          <w:i/>
        </w:rPr>
        <w:t>See Order on Review</w:t>
      </w:r>
      <w:r w:rsidRPr="00404707">
        <w:t xml:space="preserve">, 26 FCC Rcd at 12580, ¶ 11; </w:t>
      </w:r>
      <w:r w:rsidRPr="00404707">
        <w:rPr>
          <w:i/>
        </w:rPr>
        <w:t>see also id</w:t>
      </w:r>
      <w:r w:rsidRPr="00404707">
        <w:t>. at 12602, ¶ 40.</w:t>
      </w:r>
    </w:p>
  </w:footnote>
  <w:footnote w:id="62">
    <w:p w:rsidR="00044813" w:rsidRPr="00404707" w:rsidRDefault="00044813" w:rsidP="008A0339">
      <w:pPr>
        <w:spacing w:after="120"/>
        <w:rPr>
          <w:sz w:val="20"/>
        </w:rPr>
      </w:pPr>
      <w:r w:rsidRPr="00404707">
        <w:rPr>
          <w:rStyle w:val="FootnoteReference"/>
        </w:rPr>
        <w:footnoteRef/>
      </w:r>
      <w:r w:rsidRPr="00404707">
        <w:rPr>
          <w:sz w:val="20"/>
        </w:rPr>
        <w:t xml:space="preserve"> </w:t>
      </w:r>
      <w:r w:rsidRPr="00404707">
        <w:rPr>
          <w:i/>
          <w:sz w:val="20"/>
        </w:rPr>
        <w:t>See supra</w:t>
      </w:r>
      <w:r>
        <w:rPr>
          <w:sz w:val="20"/>
        </w:rPr>
        <w:t xml:space="preserve"> ¶ 7</w:t>
      </w:r>
      <w:r w:rsidRPr="00404707">
        <w:rPr>
          <w:sz w:val="20"/>
        </w:rPr>
        <w:t xml:space="preserve">; </w:t>
      </w:r>
      <w:r w:rsidRPr="00404707">
        <w:rPr>
          <w:i/>
          <w:sz w:val="20"/>
        </w:rPr>
        <w:t>see also Order on Review</w:t>
      </w:r>
      <w:r w:rsidRPr="00404707">
        <w:rPr>
          <w:sz w:val="20"/>
        </w:rPr>
        <w:t>, 26 FCC Rcd at 12588, ¶ 22 (“[T]here is no basis in the record to support the theory that fair market value would dictate that Armstrong pay similar rates – let alone higher rates – compared to these three Cohort Affiliates given Armstrong’s greater number of subscribers and value to DSNP.”); Armstrong Utilities, Inc., Opposition, File No.</w:t>
      </w:r>
      <w:r w:rsidRPr="00404707">
        <w:rPr>
          <w:spacing w:val="-2"/>
          <w:sz w:val="20"/>
        </w:rPr>
        <w:t xml:space="preserve"> CSR-8480-P </w:t>
      </w:r>
      <w:r w:rsidRPr="00404707">
        <w:rPr>
          <w:sz w:val="20"/>
        </w:rPr>
        <w:t xml:space="preserve">(filed Sept. 26, 2011), at 8 (“DSNP offered no data or testable benchmark to support its claim that a distributor of Armstrong’s size and value to DSNP should be paying substantially the same rates as smaller and less valuable DSNP distributors like </w:t>
      </w:r>
      <w:r>
        <w:rPr>
          <w:b/>
          <w:sz w:val="20"/>
        </w:rPr>
        <w:t>[</w:t>
      </w:r>
      <w:r w:rsidRPr="00E041E4">
        <w:rPr>
          <w:b/>
          <w:sz w:val="20"/>
        </w:rPr>
        <w:t>REDACTED</w:t>
      </w:r>
      <w:r>
        <w:rPr>
          <w:b/>
          <w:sz w:val="20"/>
        </w:rPr>
        <w:t>]</w:t>
      </w:r>
      <w:r w:rsidRPr="00404707">
        <w:rPr>
          <w:sz w:val="20"/>
        </w:rPr>
        <w:t>.”) (“</w:t>
      </w:r>
      <w:r w:rsidRPr="00404707">
        <w:rPr>
          <w:i/>
          <w:sz w:val="20"/>
        </w:rPr>
        <w:t>Armstrong Opposition</w:t>
      </w:r>
      <w:r w:rsidRPr="00404707">
        <w:rPr>
          <w:sz w:val="20"/>
        </w:rPr>
        <w:t>”).</w:t>
      </w:r>
    </w:p>
  </w:footnote>
  <w:footnote w:id="63">
    <w:p w:rsidR="00044813" w:rsidRDefault="00044813" w:rsidP="00E207DB">
      <w:pPr>
        <w:pStyle w:val="FootnoteText"/>
      </w:pPr>
      <w:r>
        <w:rPr>
          <w:rStyle w:val="FootnoteReference"/>
        </w:rPr>
        <w:footnoteRef/>
      </w:r>
      <w:r>
        <w:t xml:space="preserve"> </w:t>
      </w:r>
      <w:r>
        <w:rPr>
          <w:i/>
        </w:rPr>
        <w:t xml:space="preserve">See </w:t>
      </w:r>
      <w:r w:rsidRPr="00404707">
        <w:rPr>
          <w:i/>
        </w:rPr>
        <w:t>Order on Review</w:t>
      </w:r>
      <w:r w:rsidRPr="00404707">
        <w:t xml:space="preserve">, 26 FCC Rcd at </w:t>
      </w:r>
      <w:r>
        <w:t xml:space="preserve">12588-89, ¶ 22 and </w:t>
      </w:r>
      <w:r w:rsidRPr="00430BEA">
        <w:t>125</w:t>
      </w:r>
      <w:r>
        <w:t>94</w:t>
      </w:r>
      <w:r w:rsidRPr="00430BEA">
        <w:t xml:space="preserve">, ¶ </w:t>
      </w:r>
      <w:r>
        <w:t>28.</w:t>
      </w:r>
    </w:p>
  </w:footnote>
  <w:footnote w:id="64">
    <w:p w:rsidR="00044813" w:rsidRPr="00F7424A" w:rsidRDefault="00044813" w:rsidP="00E207DB">
      <w:pPr>
        <w:pStyle w:val="FootnoteText"/>
        <w:rPr>
          <w:sz w:val="22"/>
        </w:rPr>
      </w:pPr>
      <w:r w:rsidRPr="003A7A6D">
        <w:rPr>
          <w:rStyle w:val="FootnoteReference"/>
          <w:szCs w:val="22"/>
        </w:rPr>
        <w:footnoteRef/>
      </w:r>
      <w:r w:rsidRPr="003A7A6D">
        <w:rPr>
          <w:sz w:val="22"/>
          <w:szCs w:val="22"/>
        </w:rPr>
        <w:t xml:space="preserve"> </w:t>
      </w:r>
      <w:r w:rsidRPr="003A7A6D">
        <w:rPr>
          <w:i/>
        </w:rPr>
        <w:t>See infra</w:t>
      </w:r>
      <w:r w:rsidRPr="003A7A6D">
        <w:t xml:space="preserve"> </w:t>
      </w:r>
      <w:r>
        <w:t xml:space="preserve">¶¶ 18-20; </w:t>
      </w:r>
      <w:r w:rsidRPr="00577215">
        <w:rPr>
          <w:i/>
        </w:rPr>
        <w:t>see also</w:t>
      </w:r>
      <w:r>
        <w:rPr>
          <w:i/>
        </w:rPr>
        <w:t xml:space="preserve"> infra</w:t>
      </w:r>
      <w:r>
        <w:t xml:space="preserve"> n.73 (affirming the </w:t>
      </w:r>
      <w:r>
        <w:rPr>
          <w:szCs w:val="22"/>
        </w:rPr>
        <w:t xml:space="preserve">Media Bureau’s conclusion that </w:t>
      </w:r>
      <w:r>
        <w:t xml:space="preserve">DSNP presented no standards or benchmarks that would allow for an assessment of whether a discount is too high), n.79 (affirming Media Bureau’s conclusion </w:t>
      </w:r>
      <w:r w:rsidRPr="001D7447">
        <w:t>there was insufficient information in the record to determine what discount would be appropriate for Comcast given its size relative to Armstrong</w:t>
      </w:r>
      <w:r>
        <w:t>,</w:t>
      </w:r>
      <w:r w:rsidRPr="001D7447">
        <w:rPr>
          <w:i/>
        </w:rPr>
        <w:t xml:space="preserve"> </w:t>
      </w:r>
      <w:r>
        <w:t xml:space="preserve">and that </w:t>
      </w:r>
      <w:r w:rsidRPr="001D7447">
        <w:t>it could not rely dispositively on the rates Comcast pays for FSNP</w:t>
      </w:r>
      <w:r>
        <w:t>), and n.99</w:t>
      </w:r>
      <w:r w:rsidRPr="003A7A6D">
        <w:t xml:space="preserve"> (affirming the </w:t>
      </w:r>
      <w:r>
        <w:t xml:space="preserve">Media </w:t>
      </w:r>
      <w:r w:rsidRPr="003A7A6D">
        <w:t>Bureau’s conclusion that neither DSNP’s averaging methodology nor its per subscriber per professional event (“PSPPE”) analysis were probative of fair market value).</w:t>
      </w:r>
    </w:p>
  </w:footnote>
  <w:footnote w:id="65">
    <w:p w:rsidR="00044813" w:rsidRDefault="00044813">
      <w:pPr>
        <w:pStyle w:val="FootnoteText"/>
      </w:pPr>
      <w:r>
        <w:rPr>
          <w:rStyle w:val="FootnoteReference"/>
        </w:rPr>
        <w:footnoteRef/>
      </w:r>
      <w:r>
        <w:t xml:space="preserve"> </w:t>
      </w:r>
      <w:r w:rsidRPr="00D5593C">
        <w:rPr>
          <w:i/>
        </w:rPr>
        <w:t>See DSNP Application f</w:t>
      </w:r>
      <w:r>
        <w:rPr>
          <w:i/>
        </w:rPr>
        <w:t>o</w:t>
      </w:r>
      <w:r w:rsidRPr="00D5593C">
        <w:rPr>
          <w:i/>
        </w:rPr>
        <w:t>r Review</w:t>
      </w:r>
      <w:r>
        <w:t xml:space="preserve"> at 8-9</w:t>
      </w:r>
      <w:r w:rsidRPr="00BC146A">
        <w:rPr>
          <w:i/>
        </w:rPr>
        <w:t>; DSNP Reply</w:t>
      </w:r>
      <w:r>
        <w:t xml:space="preserve"> at 4.</w:t>
      </w:r>
    </w:p>
  </w:footnote>
  <w:footnote w:id="66">
    <w:p w:rsidR="00044813" w:rsidRDefault="00044813">
      <w:pPr>
        <w:pStyle w:val="FootnoteText"/>
      </w:pPr>
      <w:r>
        <w:rPr>
          <w:rStyle w:val="FootnoteReference"/>
        </w:rPr>
        <w:footnoteRef/>
      </w:r>
      <w:r>
        <w:t xml:space="preserve"> </w:t>
      </w:r>
      <w:r w:rsidRPr="00D5593C">
        <w:rPr>
          <w:i/>
        </w:rPr>
        <w:t>See DSNP Application for Review</w:t>
      </w:r>
      <w:r>
        <w:t xml:space="preserve"> at 8-9.</w:t>
      </w:r>
    </w:p>
  </w:footnote>
  <w:footnote w:id="67">
    <w:p w:rsidR="00044813" w:rsidRDefault="00044813" w:rsidP="000B12E4">
      <w:pPr>
        <w:pStyle w:val="FootnoteText"/>
      </w:pPr>
      <w:r>
        <w:rPr>
          <w:rStyle w:val="FootnoteReference"/>
        </w:rPr>
        <w:footnoteRef/>
      </w:r>
      <w:r>
        <w:t xml:space="preserve"> </w:t>
      </w:r>
      <w:r w:rsidRPr="00404707">
        <w:rPr>
          <w:i/>
        </w:rPr>
        <w:t>See supra</w:t>
      </w:r>
      <w:r>
        <w:t xml:space="preserve"> ¶ 9 and </w:t>
      </w:r>
      <w:r w:rsidRPr="00404707">
        <w:rPr>
          <w:i/>
        </w:rPr>
        <w:t>infra</w:t>
      </w:r>
      <w:r>
        <w:t xml:space="preserve"> ¶¶ 19-20.</w:t>
      </w:r>
    </w:p>
  </w:footnote>
  <w:footnote w:id="68">
    <w:p w:rsidR="00044813" w:rsidRDefault="00044813">
      <w:pPr>
        <w:pStyle w:val="FootnoteText"/>
      </w:pPr>
      <w:r>
        <w:rPr>
          <w:rStyle w:val="FootnoteReference"/>
        </w:rPr>
        <w:footnoteRef/>
      </w:r>
      <w:r>
        <w:t xml:space="preserve"> </w:t>
      </w:r>
      <w:r w:rsidRPr="00047BCB">
        <w:rPr>
          <w:i/>
        </w:rPr>
        <w:t>DSNP Application for Review</w:t>
      </w:r>
      <w:r>
        <w:t xml:space="preserve"> at 8 (quoting </w:t>
      </w:r>
      <w:r>
        <w:rPr>
          <w:i/>
        </w:rPr>
        <w:t>O</w:t>
      </w:r>
      <w:r w:rsidRPr="00430BEA">
        <w:rPr>
          <w:i/>
        </w:rPr>
        <w:t>rder on Review</w:t>
      </w:r>
      <w:r w:rsidRPr="00430BEA">
        <w:t>, 26 FCC Rcd at 12580, ¶ 11</w:t>
      </w:r>
      <w:r>
        <w:t>).</w:t>
      </w:r>
    </w:p>
  </w:footnote>
  <w:footnote w:id="69">
    <w:p w:rsidR="00044813" w:rsidRDefault="00044813">
      <w:pPr>
        <w:pStyle w:val="FootnoteText"/>
      </w:pPr>
      <w:r>
        <w:rPr>
          <w:rStyle w:val="FootnoteReference"/>
        </w:rPr>
        <w:footnoteRef/>
      </w:r>
      <w:r>
        <w:t xml:space="preserve"> </w:t>
      </w:r>
      <w:r w:rsidRPr="00D5593C">
        <w:rPr>
          <w:i/>
        </w:rPr>
        <w:t xml:space="preserve">See </w:t>
      </w:r>
      <w:r>
        <w:rPr>
          <w:i/>
        </w:rPr>
        <w:t>id.</w:t>
      </w:r>
      <w:r>
        <w:t xml:space="preserve"> at 7-8; </w:t>
      </w:r>
      <w:r w:rsidRPr="009D718A">
        <w:rPr>
          <w:i/>
        </w:rPr>
        <w:t>see also id</w:t>
      </w:r>
      <w:r>
        <w:t>. at 2, 6 n.10, 18 n.17.</w:t>
      </w:r>
    </w:p>
  </w:footnote>
  <w:footnote w:id="70">
    <w:p w:rsidR="00044813" w:rsidRDefault="00044813" w:rsidP="008C7497">
      <w:pPr>
        <w:pStyle w:val="FootnoteText"/>
      </w:pPr>
      <w:r>
        <w:rPr>
          <w:rStyle w:val="FootnoteReference"/>
        </w:rPr>
        <w:footnoteRef/>
      </w:r>
      <w:r>
        <w:t xml:space="preserve"> </w:t>
      </w:r>
      <w:r>
        <w:rPr>
          <w:i/>
        </w:rPr>
        <w:t>O</w:t>
      </w:r>
      <w:r w:rsidRPr="00430BEA">
        <w:rPr>
          <w:i/>
        </w:rPr>
        <w:t>rder on Review</w:t>
      </w:r>
      <w:r w:rsidRPr="00430BEA">
        <w:t>, 26 FCC Rcd at</w:t>
      </w:r>
      <w:r>
        <w:t xml:space="preserve"> 12620, ¶ 74 (quoting </w:t>
      </w:r>
      <w:r w:rsidRPr="0064799A">
        <w:rPr>
          <w:i/>
        </w:rPr>
        <w:t>Liberty Media Order</w:t>
      </w:r>
      <w:r w:rsidRPr="0064799A">
        <w:t>, 23 FCC Rcd at 3347, Appendix B, Condition IV, § B “Rules of Arbitration,” ¶ 4</w:t>
      </w:r>
      <w:r>
        <w:t>).</w:t>
      </w:r>
    </w:p>
  </w:footnote>
  <w:footnote w:id="71">
    <w:p w:rsidR="00044813" w:rsidRDefault="00044813">
      <w:pPr>
        <w:pStyle w:val="FootnoteText"/>
      </w:pPr>
      <w:r>
        <w:rPr>
          <w:rStyle w:val="FootnoteReference"/>
        </w:rPr>
        <w:footnoteRef/>
      </w:r>
      <w:r>
        <w:t xml:space="preserve"> </w:t>
      </w:r>
      <w:r w:rsidRPr="002F6737">
        <w:rPr>
          <w:i/>
        </w:rPr>
        <w:t>See supra</w:t>
      </w:r>
      <w:r>
        <w:t xml:space="preserve"> ¶ 12; </w:t>
      </w:r>
      <w:r w:rsidRPr="00041A22">
        <w:rPr>
          <w:i/>
        </w:rPr>
        <w:t>see Armstrong Opposition</w:t>
      </w:r>
      <w:r>
        <w:t xml:space="preserve"> at 20.  While the Media Bureau found that there was no basis to conclude that the rates in the Armstrong final offer would prevent DSNP from recovering a reasonable share of these costs, the same conclusion applies to the DSNP final offer, which would require Armstrong to pay </w:t>
      </w:r>
      <w:r>
        <w:rPr>
          <w:b/>
        </w:rPr>
        <w:t>[REDACTED</w:t>
      </w:r>
      <w:r w:rsidRPr="00430BEA">
        <w:rPr>
          <w:b/>
        </w:rPr>
        <w:t>]</w:t>
      </w:r>
      <w:r w:rsidRPr="00C60704">
        <w:rPr>
          <w:szCs w:val="22"/>
        </w:rPr>
        <w:t xml:space="preserve"> </w:t>
      </w:r>
      <w:r>
        <w:rPr>
          <w:szCs w:val="22"/>
        </w:rPr>
        <w:t xml:space="preserve">more </w:t>
      </w:r>
      <w:r w:rsidRPr="00C60704">
        <w:rPr>
          <w:szCs w:val="22"/>
        </w:rPr>
        <w:t xml:space="preserve">over the course of </w:t>
      </w:r>
      <w:r>
        <w:rPr>
          <w:szCs w:val="22"/>
        </w:rPr>
        <w:t xml:space="preserve">the proposed </w:t>
      </w:r>
      <w:r w:rsidRPr="00C60704">
        <w:rPr>
          <w:szCs w:val="22"/>
        </w:rPr>
        <w:t>five-year term</w:t>
      </w:r>
      <w:r>
        <w:rPr>
          <w:szCs w:val="22"/>
        </w:rPr>
        <w:t xml:space="preserve"> than under Armstrong’s final offer.  </w:t>
      </w:r>
      <w:r w:rsidRPr="00796B92">
        <w:rPr>
          <w:i/>
          <w:szCs w:val="22"/>
        </w:rPr>
        <w:t>See supra</w:t>
      </w:r>
      <w:r>
        <w:rPr>
          <w:szCs w:val="22"/>
        </w:rPr>
        <w:t xml:space="preserve"> n.25.</w:t>
      </w:r>
    </w:p>
  </w:footnote>
  <w:footnote w:id="72">
    <w:p w:rsidR="00044813" w:rsidRDefault="00044813">
      <w:pPr>
        <w:pStyle w:val="FootnoteText"/>
      </w:pPr>
      <w:r>
        <w:rPr>
          <w:rStyle w:val="FootnoteReference"/>
        </w:rPr>
        <w:footnoteRef/>
      </w:r>
      <w:r>
        <w:t xml:space="preserve"> </w:t>
      </w:r>
      <w:r w:rsidRPr="00E420A4">
        <w:rPr>
          <w:i/>
        </w:rPr>
        <w:t>See supra</w:t>
      </w:r>
      <w:r>
        <w:t xml:space="preserve"> ¶ 5.  </w:t>
      </w:r>
    </w:p>
  </w:footnote>
  <w:footnote w:id="73">
    <w:p w:rsidR="00044813" w:rsidRDefault="00044813">
      <w:pPr>
        <w:pStyle w:val="FootnoteText"/>
      </w:pPr>
      <w:r>
        <w:rPr>
          <w:rStyle w:val="FootnoteReference"/>
        </w:rPr>
        <w:footnoteRef/>
      </w:r>
      <w:r>
        <w:t xml:space="preserve"> </w:t>
      </w:r>
      <w:r>
        <w:rPr>
          <w:i/>
        </w:rPr>
        <w:t>See D</w:t>
      </w:r>
      <w:r w:rsidRPr="00047BCB">
        <w:rPr>
          <w:i/>
        </w:rPr>
        <w:t>SNP Application for Review</w:t>
      </w:r>
      <w:r>
        <w:t xml:space="preserve"> at 12-14.  The </w:t>
      </w:r>
      <w:r w:rsidRPr="00FA2A0A">
        <w:rPr>
          <w:i/>
        </w:rPr>
        <w:t>Order on Review</w:t>
      </w:r>
      <w:r>
        <w:t xml:space="preserve"> </w:t>
      </w:r>
      <w:r w:rsidRPr="008444E1">
        <w:t>clearly set</w:t>
      </w:r>
      <w:r>
        <w:t>s</w:t>
      </w:r>
      <w:r w:rsidRPr="008444E1">
        <w:t xml:space="preserve"> forth </w:t>
      </w:r>
      <w:r>
        <w:t xml:space="preserve">the </w:t>
      </w:r>
      <w:r>
        <w:rPr>
          <w:szCs w:val="22"/>
        </w:rPr>
        <w:t xml:space="preserve">discounts Armstrong receives relative to the other Cohort Affiliates pursuant to the rates in Armstrong’s final offer.  </w:t>
      </w:r>
      <w:r w:rsidRPr="00C53440">
        <w:rPr>
          <w:i/>
          <w:szCs w:val="22"/>
        </w:rPr>
        <w:t>See</w:t>
      </w:r>
      <w:r>
        <w:rPr>
          <w:szCs w:val="22"/>
        </w:rPr>
        <w:t xml:space="preserve"> </w:t>
      </w:r>
      <w:r>
        <w:rPr>
          <w:i/>
        </w:rPr>
        <w:t>O</w:t>
      </w:r>
      <w:r w:rsidRPr="00430BEA">
        <w:rPr>
          <w:i/>
        </w:rPr>
        <w:t>rder on Review</w:t>
      </w:r>
      <w:r w:rsidRPr="00430BEA">
        <w:t>, 26 FCC Rcd at</w:t>
      </w:r>
      <w:r>
        <w:t xml:space="preserve"> 12624-25, Appendix B.  </w:t>
      </w:r>
      <w:r>
        <w:rPr>
          <w:szCs w:val="22"/>
        </w:rPr>
        <w:t xml:space="preserve">DSNP does not dispute these figures, but claims these discounts will increase after </w:t>
      </w:r>
      <w:r w:rsidRPr="00430BEA">
        <w:rPr>
          <w:b/>
        </w:rPr>
        <w:t>[</w:t>
      </w:r>
      <w:r>
        <w:rPr>
          <w:b/>
        </w:rPr>
        <w:t>REDACTED</w:t>
      </w:r>
      <w:r w:rsidRPr="00430BEA">
        <w:rPr>
          <w:b/>
        </w:rPr>
        <w:t>]</w:t>
      </w:r>
      <w:r>
        <w:rPr>
          <w:szCs w:val="22"/>
        </w:rPr>
        <w:t xml:space="preserve"> renew their agreements, assuming that these MVPDs negotiate a typical renewal rate increase of </w:t>
      </w:r>
      <w:r w:rsidRPr="00430BEA">
        <w:rPr>
          <w:b/>
        </w:rPr>
        <w:t>[</w:t>
      </w:r>
      <w:r>
        <w:rPr>
          <w:b/>
        </w:rPr>
        <w:t>REDACTED</w:t>
      </w:r>
      <w:r w:rsidRPr="00430BEA">
        <w:rPr>
          <w:b/>
        </w:rPr>
        <w:t>]</w:t>
      </w:r>
      <w:r>
        <w:rPr>
          <w:szCs w:val="22"/>
        </w:rPr>
        <w:t xml:space="preserve"> and an annual escalator of </w:t>
      </w:r>
      <w:r w:rsidRPr="00430BEA">
        <w:rPr>
          <w:b/>
        </w:rPr>
        <w:t>[</w:t>
      </w:r>
      <w:r>
        <w:rPr>
          <w:b/>
        </w:rPr>
        <w:t>REDACTED</w:t>
      </w:r>
      <w:r w:rsidRPr="00430BEA">
        <w:rPr>
          <w:b/>
        </w:rPr>
        <w:t>]</w:t>
      </w:r>
      <w:r>
        <w:rPr>
          <w:szCs w:val="22"/>
        </w:rPr>
        <w:t xml:space="preserve">.  </w:t>
      </w:r>
      <w:r w:rsidRPr="00C53440">
        <w:rPr>
          <w:i/>
          <w:szCs w:val="22"/>
        </w:rPr>
        <w:t>See</w:t>
      </w:r>
      <w:r>
        <w:rPr>
          <w:i/>
          <w:szCs w:val="22"/>
        </w:rPr>
        <w:t xml:space="preserve"> DSNP Application for Review </w:t>
      </w:r>
      <w:r>
        <w:rPr>
          <w:szCs w:val="22"/>
        </w:rPr>
        <w:t xml:space="preserve">at 12, 14 and Exhibit 3.  We find that DSNP’s assumptions about what these Cohort Affiliates will agree to in future negotiations to be speculative.  </w:t>
      </w:r>
      <w:r w:rsidRPr="00E841C6">
        <w:rPr>
          <w:i/>
          <w:szCs w:val="22"/>
        </w:rPr>
        <w:t>See Armstrong Opposition</w:t>
      </w:r>
      <w:r>
        <w:rPr>
          <w:szCs w:val="22"/>
        </w:rPr>
        <w:t xml:space="preserve"> at 10 n.6. </w:t>
      </w:r>
    </w:p>
  </w:footnote>
  <w:footnote w:id="74">
    <w:p w:rsidR="00044813" w:rsidRDefault="00044813" w:rsidP="003119F8">
      <w:pPr>
        <w:pStyle w:val="FootnoteText"/>
      </w:pPr>
      <w:r>
        <w:rPr>
          <w:rStyle w:val="FootnoteReference"/>
        </w:rPr>
        <w:footnoteRef/>
      </w:r>
      <w:r>
        <w:rPr>
          <w:szCs w:val="22"/>
        </w:rPr>
        <w:t xml:space="preserve"> The Media Bureau properly found that (i)</w:t>
      </w:r>
      <w:r w:rsidRPr="002A6784">
        <w:t xml:space="preserve"> </w:t>
      </w:r>
      <w:r>
        <w:t xml:space="preserve">DSNP presented no standards or benchmarks that would allow for an assessment of whether a discount is too high; (ii) while Armstrong </w:t>
      </w:r>
      <w:r w:rsidRPr="004078D9">
        <w:rPr>
          <w:color w:val="000000"/>
          <w:szCs w:val="22"/>
        </w:rPr>
        <w:t xml:space="preserve">proposed rates </w:t>
      </w:r>
      <w:r>
        <w:rPr>
          <w:color w:val="000000"/>
          <w:szCs w:val="22"/>
        </w:rPr>
        <w:t xml:space="preserve">that </w:t>
      </w:r>
      <w:r w:rsidRPr="004078D9">
        <w:rPr>
          <w:color w:val="000000"/>
          <w:szCs w:val="22"/>
        </w:rPr>
        <w:t>maintain th</w:t>
      </w:r>
      <w:r>
        <w:rPr>
          <w:color w:val="000000"/>
          <w:szCs w:val="22"/>
        </w:rPr>
        <w:t>e</w:t>
      </w:r>
      <w:r w:rsidRPr="004078D9">
        <w:rPr>
          <w:color w:val="000000"/>
          <w:szCs w:val="22"/>
        </w:rPr>
        <w:t xml:space="preserve"> ranking of MVPDs according to their value</w:t>
      </w:r>
      <w:r>
        <w:rPr>
          <w:color w:val="000000"/>
          <w:szCs w:val="22"/>
        </w:rPr>
        <w:t xml:space="preserve"> to the RSN, </w:t>
      </w:r>
      <w:r>
        <w:t xml:space="preserve">DSNP proposed rates that would invert this ranking without justification; and (iii) in any event, even with the allegedly low rates in the Armstrong final offer, Armstrong will still generate the most revenue for DSNP by far among the Cohort Affiliates.  </w:t>
      </w:r>
      <w:r w:rsidRPr="003217BE">
        <w:rPr>
          <w:i/>
        </w:rPr>
        <w:t xml:space="preserve">See </w:t>
      </w:r>
      <w:r>
        <w:rPr>
          <w:i/>
        </w:rPr>
        <w:t>O</w:t>
      </w:r>
      <w:r w:rsidRPr="00430BEA">
        <w:rPr>
          <w:i/>
        </w:rPr>
        <w:t>rder on Review</w:t>
      </w:r>
      <w:r w:rsidRPr="00430BEA">
        <w:t>, 26 FCC Rcd at</w:t>
      </w:r>
      <w:r>
        <w:t xml:space="preserve"> 12594-95, ¶ 30.</w:t>
      </w:r>
    </w:p>
  </w:footnote>
  <w:footnote w:id="75">
    <w:p w:rsidR="00044813" w:rsidRDefault="00044813" w:rsidP="00B73B30">
      <w:pPr>
        <w:pStyle w:val="FootnoteText"/>
      </w:pPr>
      <w:r>
        <w:rPr>
          <w:rStyle w:val="FootnoteReference"/>
        </w:rPr>
        <w:footnoteRef/>
      </w:r>
      <w:r>
        <w:t xml:space="preserve"> </w:t>
      </w:r>
      <w:r w:rsidRPr="00EC0055">
        <w:rPr>
          <w:i/>
        </w:rPr>
        <w:t>See id</w:t>
      </w:r>
      <w:r>
        <w:t>. at 12582, Table A.</w:t>
      </w:r>
    </w:p>
  </w:footnote>
  <w:footnote w:id="76">
    <w:p w:rsidR="00044813" w:rsidRDefault="00044813">
      <w:pPr>
        <w:pStyle w:val="FootnoteText"/>
      </w:pPr>
      <w:r>
        <w:rPr>
          <w:rStyle w:val="FootnoteReference"/>
        </w:rPr>
        <w:footnoteRef/>
      </w:r>
      <w:r>
        <w:t xml:space="preserve"> </w:t>
      </w:r>
      <w:r w:rsidRPr="002D2DF4">
        <w:rPr>
          <w:i/>
        </w:rPr>
        <w:t>See DSNP Application for Review</w:t>
      </w:r>
      <w:r>
        <w:t xml:space="preserve"> at 13 n.16 (citing </w:t>
      </w:r>
      <w:r w:rsidRPr="0064799A">
        <w:t>Expert Report of Mark C. Wyche, RX-50 (Jan. 10, 2011) (“Wyche Expert Report”)</w:t>
      </w:r>
      <w:r>
        <w:t xml:space="preserve">, at 12-13; </w:t>
      </w:r>
      <w:r w:rsidRPr="0064799A">
        <w:t>Rebuttal Report of Mark C. Wyche, RX-64 (Jan. 15, 2011) (“Wyche Rebuttal Expert Report”)</w:t>
      </w:r>
      <w:r>
        <w:t xml:space="preserve">, at ¶ 14; </w:t>
      </w:r>
      <w:r w:rsidRPr="0064799A">
        <w:t>Testimony of Mark C. Wyche, Hr’g Tr. at 8</w:t>
      </w:r>
      <w:r>
        <w:t>96-97</w:t>
      </w:r>
      <w:r w:rsidRPr="0064799A">
        <w:t xml:space="preserve"> (“Wyche Test.”)</w:t>
      </w:r>
      <w:r>
        <w:t xml:space="preserve">; </w:t>
      </w:r>
      <w:r w:rsidRPr="0064799A">
        <w:t>Expert Report of Robert L. Thompson, RX-74 (Jan. 8, 2011)</w:t>
      </w:r>
      <w:r>
        <w:t>, at 4, 6</w:t>
      </w:r>
      <w:r w:rsidRPr="0064799A">
        <w:t xml:space="preserve"> (“Thompson Expert Report”)</w:t>
      </w:r>
      <w:r>
        <w:t xml:space="preserve">; </w:t>
      </w:r>
      <w:r w:rsidRPr="0064799A">
        <w:t xml:space="preserve">Testimony of Robert Thompson, Hr’g Tr. at </w:t>
      </w:r>
      <w:r>
        <w:t xml:space="preserve">1346-47 </w:t>
      </w:r>
      <w:r w:rsidRPr="0064799A">
        <w:t>(“Thompson Test.”)</w:t>
      </w:r>
      <w:r>
        <w:t>).</w:t>
      </w:r>
    </w:p>
  </w:footnote>
  <w:footnote w:id="77">
    <w:p w:rsidR="00044813" w:rsidRDefault="00044813" w:rsidP="00D06151">
      <w:pPr>
        <w:pStyle w:val="FootnoteText"/>
      </w:pPr>
      <w:r>
        <w:rPr>
          <w:rStyle w:val="FootnoteReference"/>
        </w:rPr>
        <w:footnoteRef/>
      </w:r>
      <w:r>
        <w:t xml:space="preserve"> </w:t>
      </w:r>
      <w:r>
        <w:rPr>
          <w:i/>
        </w:rPr>
        <w:t>See O</w:t>
      </w:r>
      <w:r w:rsidRPr="00430BEA">
        <w:rPr>
          <w:i/>
        </w:rPr>
        <w:t>rder on Review</w:t>
      </w:r>
      <w:r w:rsidRPr="00430BEA">
        <w:t xml:space="preserve">, 26 FCC Rcd at </w:t>
      </w:r>
      <w:r>
        <w:t xml:space="preserve">12588-89, ¶ 22 and </w:t>
      </w:r>
      <w:r w:rsidRPr="00430BEA">
        <w:t>125</w:t>
      </w:r>
      <w:r>
        <w:t>94-95</w:t>
      </w:r>
      <w:r w:rsidRPr="00430BEA">
        <w:t xml:space="preserve">, ¶ </w:t>
      </w:r>
      <w:r>
        <w:t xml:space="preserve">30; </w:t>
      </w:r>
      <w:r w:rsidRPr="00D349D3">
        <w:rPr>
          <w:i/>
        </w:rPr>
        <w:t>Armstrong Opposition</w:t>
      </w:r>
      <w:r>
        <w:t xml:space="preserve"> at 8-9.</w:t>
      </w:r>
    </w:p>
  </w:footnote>
  <w:footnote w:id="78">
    <w:p w:rsidR="00044813" w:rsidRDefault="00044813">
      <w:pPr>
        <w:pStyle w:val="FootnoteText"/>
      </w:pPr>
      <w:r>
        <w:rPr>
          <w:rStyle w:val="FootnoteReference"/>
        </w:rPr>
        <w:footnoteRef/>
      </w:r>
      <w:r>
        <w:t xml:space="preserve"> </w:t>
      </w:r>
      <w:r>
        <w:rPr>
          <w:i/>
        </w:rPr>
        <w:t>See O</w:t>
      </w:r>
      <w:r w:rsidRPr="00430BEA">
        <w:rPr>
          <w:i/>
        </w:rPr>
        <w:t>rder on Review</w:t>
      </w:r>
      <w:r w:rsidRPr="00430BEA">
        <w:t xml:space="preserve">, 26 FCC Rcd at </w:t>
      </w:r>
      <w:r>
        <w:t xml:space="preserve">12588-89, ¶ 22 and </w:t>
      </w:r>
      <w:r w:rsidRPr="00430BEA">
        <w:t>125</w:t>
      </w:r>
      <w:r>
        <w:t>94</w:t>
      </w:r>
      <w:r w:rsidRPr="00430BEA">
        <w:t xml:space="preserve">, ¶ </w:t>
      </w:r>
      <w:r>
        <w:t>28.</w:t>
      </w:r>
    </w:p>
  </w:footnote>
  <w:footnote w:id="79">
    <w:p w:rsidR="00044813" w:rsidRPr="001D7447" w:rsidRDefault="00044813">
      <w:pPr>
        <w:pStyle w:val="FootnoteText"/>
      </w:pPr>
      <w:r w:rsidRPr="001D7447">
        <w:rPr>
          <w:rStyle w:val="FootnoteReference"/>
        </w:rPr>
        <w:footnoteRef/>
      </w:r>
      <w:r w:rsidRPr="001D7447">
        <w:t xml:space="preserve"> </w:t>
      </w:r>
      <w:r w:rsidRPr="002D2DF4">
        <w:rPr>
          <w:i/>
        </w:rPr>
        <w:t>See DSNP Application for Review</w:t>
      </w:r>
      <w:r>
        <w:t xml:space="preserve"> at 9-11; </w:t>
      </w:r>
      <w:r w:rsidRPr="00C91816">
        <w:rPr>
          <w:i/>
        </w:rPr>
        <w:t>DSNP Reply</w:t>
      </w:r>
      <w:r>
        <w:t xml:space="preserve"> at 4-5.</w:t>
      </w:r>
    </w:p>
  </w:footnote>
  <w:footnote w:id="80">
    <w:p w:rsidR="00044813" w:rsidRPr="001D7447" w:rsidRDefault="00044813" w:rsidP="001D7447">
      <w:pPr>
        <w:spacing w:after="120"/>
        <w:rPr>
          <w:sz w:val="20"/>
        </w:rPr>
      </w:pPr>
      <w:r w:rsidRPr="001D7447">
        <w:rPr>
          <w:rStyle w:val="FootnoteReference"/>
        </w:rPr>
        <w:footnoteRef/>
      </w:r>
      <w:r w:rsidRPr="001D7447">
        <w:rPr>
          <w:sz w:val="20"/>
        </w:rPr>
        <w:t xml:space="preserve"> The Media Bureau properly found that there is no dispute that Armstrong’s final offer provide</w:t>
      </w:r>
      <w:r>
        <w:rPr>
          <w:sz w:val="20"/>
        </w:rPr>
        <w:t>s</w:t>
      </w:r>
      <w:r w:rsidRPr="001D7447">
        <w:rPr>
          <w:sz w:val="20"/>
        </w:rPr>
        <w:t xml:space="preserve"> Comcast with a discount relative to Armstrong.  </w:t>
      </w:r>
      <w:r w:rsidRPr="001D7447">
        <w:rPr>
          <w:i/>
          <w:sz w:val="20"/>
        </w:rPr>
        <w:t>See Order on Review</w:t>
      </w:r>
      <w:r w:rsidRPr="001D7447">
        <w:rPr>
          <w:sz w:val="20"/>
        </w:rPr>
        <w:t xml:space="preserve">, 26 FCC Rcd at 12601, ¶ 37.  Moreover, while DSNP argued that </w:t>
      </w:r>
      <w:r w:rsidRPr="001D7447">
        <w:rPr>
          <w:b/>
          <w:sz w:val="20"/>
        </w:rPr>
        <w:t>[</w:t>
      </w:r>
      <w:r w:rsidRPr="00E041E4">
        <w:rPr>
          <w:b/>
          <w:sz w:val="20"/>
        </w:rPr>
        <w:t>REDACTED</w:t>
      </w:r>
      <w:r w:rsidRPr="001D7447">
        <w:rPr>
          <w:b/>
          <w:sz w:val="20"/>
        </w:rPr>
        <w:t>]</w:t>
      </w:r>
      <w:r w:rsidRPr="001D7447">
        <w:rPr>
          <w:sz w:val="20"/>
        </w:rPr>
        <w:t xml:space="preserve">, the Media Bureau </w:t>
      </w:r>
      <w:r>
        <w:rPr>
          <w:sz w:val="20"/>
        </w:rPr>
        <w:t xml:space="preserve">properly </w:t>
      </w:r>
      <w:r w:rsidRPr="001D7447">
        <w:rPr>
          <w:sz w:val="20"/>
        </w:rPr>
        <w:t xml:space="preserve">held </w:t>
      </w:r>
      <w:r>
        <w:rPr>
          <w:sz w:val="20"/>
        </w:rPr>
        <w:t xml:space="preserve">that </w:t>
      </w:r>
      <w:r w:rsidRPr="001D7447">
        <w:rPr>
          <w:sz w:val="20"/>
        </w:rPr>
        <w:t>(i) there was insufficient information in the record to determine what discount would be appropriate for Comcast given its size relative to Armstrong</w:t>
      </w:r>
      <w:r w:rsidRPr="001D7447">
        <w:rPr>
          <w:i/>
          <w:sz w:val="20"/>
        </w:rPr>
        <w:t xml:space="preserve"> </w:t>
      </w:r>
      <w:r w:rsidRPr="001D7447">
        <w:rPr>
          <w:sz w:val="20"/>
        </w:rPr>
        <w:t>(</w:t>
      </w:r>
      <w:r w:rsidRPr="001D7447">
        <w:rPr>
          <w:i/>
          <w:sz w:val="20"/>
        </w:rPr>
        <w:t>see id</w:t>
      </w:r>
      <w:r w:rsidRPr="001D7447">
        <w:rPr>
          <w:sz w:val="20"/>
        </w:rPr>
        <w:t>. at 12601, ¶ 38); and (ii) it could not rely dispositively on the rates Comcast pay</w:t>
      </w:r>
      <w:r>
        <w:rPr>
          <w:sz w:val="20"/>
        </w:rPr>
        <w:t>s for FSNP because there was no</w:t>
      </w:r>
      <w:r w:rsidRPr="001D7447">
        <w:rPr>
          <w:sz w:val="20"/>
        </w:rPr>
        <w:t xml:space="preserve"> firm evidence in the record establishing what impact the simultaneous negotiations between Comcast (as a programmer) and DIRECTV (a distributor) had on the rates negotiated between Comcast (as a distributor) and DSNP</w:t>
      </w:r>
      <w:r w:rsidRPr="001D7447">
        <w:rPr>
          <w:i/>
          <w:sz w:val="20"/>
        </w:rPr>
        <w:t xml:space="preserve"> </w:t>
      </w:r>
      <w:r w:rsidRPr="001D7447">
        <w:rPr>
          <w:sz w:val="20"/>
        </w:rPr>
        <w:t>(</w:t>
      </w:r>
      <w:r w:rsidRPr="001D7447">
        <w:rPr>
          <w:i/>
          <w:sz w:val="20"/>
        </w:rPr>
        <w:t>see id</w:t>
      </w:r>
      <w:r w:rsidRPr="001D7447">
        <w:rPr>
          <w:sz w:val="20"/>
        </w:rPr>
        <w:t>. at 12601-02, ¶ 39</w:t>
      </w:r>
      <w:r>
        <w:rPr>
          <w:sz w:val="20"/>
        </w:rPr>
        <w:t xml:space="preserve">; </w:t>
      </w:r>
      <w:r w:rsidRPr="004768BE">
        <w:rPr>
          <w:i/>
          <w:sz w:val="20"/>
        </w:rPr>
        <w:t>see also infra</w:t>
      </w:r>
      <w:r>
        <w:rPr>
          <w:sz w:val="20"/>
        </w:rPr>
        <w:t xml:space="preserve"> ¶ 20</w:t>
      </w:r>
      <w:r w:rsidRPr="001D7447">
        <w:rPr>
          <w:sz w:val="20"/>
        </w:rPr>
        <w:t>).</w:t>
      </w:r>
    </w:p>
  </w:footnote>
  <w:footnote w:id="81">
    <w:p w:rsidR="00044813" w:rsidRDefault="00044813">
      <w:pPr>
        <w:pStyle w:val="FootnoteText"/>
      </w:pPr>
      <w:r>
        <w:rPr>
          <w:rStyle w:val="FootnoteReference"/>
        </w:rPr>
        <w:footnoteRef/>
      </w:r>
      <w:r>
        <w:t xml:space="preserve"> </w:t>
      </w:r>
      <w:r w:rsidRPr="002D2DF4">
        <w:rPr>
          <w:i/>
        </w:rPr>
        <w:t>See DSNP Application for Review</w:t>
      </w:r>
      <w:r>
        <w:t xml:space="preserve"> at 9-10.</w:t>
      </w:r>
    </w:p>
  </w:footnote>
  <w:footnote w:id="82">
    <w:p w:rsidR="00044813" w:rsidRDefault="00044813">
      <w:pPr>
        <w:pStyle w:val="FootnoteText"/>
      </w:pPr>
      <w:r>
        <w:rPr>
          <w:rStyle w:val="FootnoteReference"/>
        </w:rPr>
        <w:footnoteRef/>
      </w:r>
      <w:r>
        <w:t xml:space="preserve"> </w:t>
      </w:r>
      <w:r>
        <w:rPr>
          <w:i/>
        </w:rPr>
        <w:t>See O</w:t>
      </w:r>
      <w:r w:rsidRPr="00430BEA">
        <w:rPr>
          <w:i/>
        </w:rPr>
        <w:t>rder on Review</w:t>
      </w:r>
      <w:r w:rsidRPr="00430BEA">
        <w:t>, 26 FCC Rcd at</w:t>
      </w:r>
      <w:r>
        <w:t xml:space="preserve"> 12595-96, ¶ 31; </w:t>
      </w:r>
      <w:r w:rsidRPr="00C81DD8">
        <w:rPr>
          <w:i/>
        </w:rPr>
        <w:t>see also</w:t>
      </w:r>
      <w:r>
        <w:t xml:space="preserve"> Armstrong Opposition at 15.</w:t>
      </w:r>
    </w:p>
  </w:footnote>
  <w:footnote w:id="83">
    <w:p w:rsidR="00044813" w:rsidRDefault="00044813">
      <w:pPr>
        <w:pStyle w:val="FootnoteText"/>
      </w:pPr>
      <w:r>
        <w:rPr>
          <w:rStyle w:val="FootnoteReference"/>
        </w:rPr>
        <w:footnoteRef/>
      </w:r>
      <w:r>
        <w:t xml:space="preserve"> </w:t>
      </w:r>
      <w:r w:rsidRPr="00B14326">
        <w:rPr>
          <w:i/>
        </w:rPr>
        <w:t>See Order on Review</w:t>
      </w:r>
      <w:r w:rsidRPr="00B14326">
        <w:t>, 26 FCC Rcd at 12601, ¶ 37</w:t>
      </w:r>
      <w:r>
        <w:t xml:space="preserve">; </w:t>
      </w:r>
      <w:r>
        <w:rPr>
          <w:i/>
        </w:rPr>
        <w:t>D</w:t>
      </w:r>
      <w:r w:rsidRPr="00B14326">
        <w:rPr>
          <w:i/>
        </w:rPr>
        <w:t>SNP Application for Review</w:t>
      </w:r>
      <w:r>
        <w:t xml:space="preserve"> at ii, 9-10; </w:t>
      </w:r>
      <w:r w:rsidRPr="00F10FED">
        <w:rPr>
          <w:i/>
        </w:rPr>
        <w:t>see also Armstrong Opposition</w:t>
      </w:r>
      <w:r>
        <w:t xml:space="preserve"> at 15</w:t>
      </w:r>
      <w:r w:rsidRPr="00B14326">
        <w:t>.</w:t>
      </w:r>
      <w:r>
        <w:t xml:space="preserve">  </w:t>
      </w:r>
      <w:r w:rsidRPr="00B14326">
        <w:t>The Media Bureau noted that Comcast receive</w:t>
      </w:r>
      <w:r>
        <w:t>s</w:t>
      </w:r>
      <w:r w:rsidRPr="00B14326">
        <w:t xml:space="preserve"> </w:t>
      </w:r>
      <w:r>
        <w:t xml:space="preserve">a </w:t>
      </w:r>
      <w:r w:rsidRPr="001D7447">
        <w:rPr>
          <w:b/>
        </w:rPr>
        <w:t>[</w:t>
      </w:r>
      <w:r>
        <w:rPr>
          <w:b/>
        </w:rPr>
        <w:t>REDACTED</w:t>
      </w:r>
      <w:r w:rsidRPr="001D7447">
        <w:rPr>
          <w:b/>
        </w:rPr>
        <w:t>]</w:t>
      </w:r>
      <w:r w:rsidRPr="00B14326">
        <w:t xml:space="preserve"> discount relative to Armstrong (depending on how the discount is calculated).</w:t>
      </w:r>
      <w:r>
        <w:t xml:space="preserve">  </w:t>
      </w:r>
      <w:r w:rsidRPr="00B14326">
        <w:rPr>
          <w:i/>
        </w:rPr>
        <w:t>See Order on Review</w:t>
      </w:r>
      <w:r w:rsidRPr="00B14326">
        <w:t>, 26 FCC Rcd at 12</w:t>
      </w:r>
      <w:r>
        <w:t>595-96</w:t>
      </w:r>
      <w:r w:rsidRPr="00B14326">
        <w:t>, ¶ 3</w:t>
      </w:r>
      <w:r>
        <w:t>1.</w:t>
      </w:r>
      <w:r w:rsidRPr="00B14326">
        <w:t xml:space="preserve">  </w:t>
      </w:r>
      <w:r>
        <w:t>Despite r</w:t>
      </w:r>
      <w:r w:rsidRPr="00336E64">
        <w:t xml:space="preserve">ate variations </w:t>
      </w:r>
      <w:r>
        <w:rPr>
          <w:b/>
        </w:rPr>
        <w:t>[REDACTED]</w:t>
      </w:r>
      <w:r>
        <w:t>,</w:t>
      </w:r>
      <w:r w:rsidRPr="00336E64">
        <w:t xml:space="preserve"> the Armstrong final offer</w:t>
      </w:r>
      <w:r>
        <w:t xml:space="preserve"> </w:t>
      </w:r>
      <w:r w:rsidRPr="00336E64">
        <w:t>provide</w:t>
      </w:r>
      <w:r>
        <w:t>s</w:t>
      </w:r>
      <w:r w:rsidRPr="00336E64">
        <w:t xml:space="preserve"> Comcast with an overall discount relative to Armstrong</w:t>
      </w:r>
      <w:r>
        <w:t xml:space="preserve">.  In contrast, </w:t>
      </w:r>
      <w:r w:rsidRPr="00336E64">
        <w:t>the DSNP final offer would require Armstrong to pay higher rates than the smaller</w:t>
      </w:r>
      <w:r>
        <w:t xml:space="preserve"> and less valuable</w:t>
      </w:r>
      <w:r w:rsidRPr="00336E64">
        <w:t xml:space="preserve"> </w:t>
      </w:r>
      <w:r w:rsidRPr="00336E64">
        <w:rPr>
          <w:b/>
        </w:rPr>
        <w:t>[</w:t>
      </w:r>
      <w:r>
        <w:rPr>
          <w:b/>
        </w:rPr>
        <w:t>REDACTED]</w:t>
      </w:r>
      <w:r>
        <w:t>.</w:t>
      </w:r>
      <w:r>
        <w:rPr>
          <w:b/>
        </w:rPr>
        <w:t xml:space="preserve">  </w:t>
      </w:r>
      <w:r w:rsidRPr="00336E64">
        <w:rPr>
          <w:i/>
        </w:rPr>
        <w:t>See Order on Review</w:t>
      </w:r>
      <w:r w:rsidRPr="00336E64">
        <w:t xml:space="preserve">, 26 FCC Rcd at 12587-88, ¶ 21 and 12622-23, Appendix A; </w:t>
      </w:r>
      <w:r w:rsidRPr="00336E64">
        <w:rPr>
          <w:i/>
        </w:rPr>
        <w:t>see also DSNP Application for Review</w:t>
      </w:r>
      <w:r w:rsidRPr="00336E64">
        <w:t xml:space="preserve"> at 10 n.14.</w:t>
      </w:r>
    </w:p>
  </w:footnote>
  <w:footnote w:id="84">
    <w:p w:rsidR="00044813" w:rsidRPr="00B14326" w:rsidRDefault="00044813">
      <w:pPr>
        <w:pStyle w:val="FootnoteText"/>
      </w:pPr>
      <w:r w:rsidRPr="00B14326">
        <w:rPr>
          <w:rStyle w:val="FootnoteReference"/>
        </w:rPr>
        <w:footnoteRef/>
      </w:r>
      <w:r w:rsidRPr="00B14326">
        <w:t xml:space="preserve"> </w:t>
      </w:r>
      <w:r>
        <w:rPr>
          <w:i/>
        </w:rPr>
        <w:t>See D</w:t>
      </w:r>
      <w:r w:rsidRPr="00B14326">
        <w:rPr>
          <w:i/>
        </w:rPr>
        <w:t>SNP Application for Review</w:t>
      </w:r>
      <w:r>
        <w:t xml:space="preserve"> at 10-11 (citing </w:t>
      </w:r>
      <w:r w:rsidRPr="0064799A">
        <w:t>Expert Analyses and Opinions of Lindsay Gardner, CX-44 (Jan. 3, 2011) (“Gardner Expert Report”)</w:t>
      </w:r>
      <w:r>
        <w:t xml:space="preserve">, at 6, 19-20; </w:t>
      </w:r>
      <w:r w:rsidRPr="0064799A">
        <w:t>Wyche Expert Report</w:t>
      </w:r>
      <w:r>
        <w:t xml:space="preserve">, RX-50 at ¶ 36; </w:t>
      </w:r>
      <w:r w:rsidRPr="0064799A">
        <w:t>Thompson Expert Report</w:t>
      </w:r>
      <w:r>
        <w:t xml:space="preserve">, RX-74 at 9); </w:t>
      </w:r>
      <w:r w:rsidRPr="00F21836">
        <w:rPr>
          <w:i/>
        </w:rPr>
        <w:t>see also DSNP Reply</w:t>
      </w:r>
      <w:r>
        <w:t xml:space="preserve"> at 5 n.7.</w:t>
      </w:r>
    </w:p>
  </w:footnote>
  <w:footnote w:id="85">
    <w:p w:rsidR="00044813" w:rsidRPr="00B14326" w:rsidRDefault="00044813">
      <w:pPr>
        <w:pStyle w:val="FootnoteText"/>
      </w:pPr>
      <w:r w:rsidRPr="00B14326">
        <w:rPr>
          <w:rStyle w:val="FootnoteReference"/>
        </w:rPr>
        <w:footnoteRef/>
      </w:r>
      <w:r w:rsidRPr="00B14326">
        <w:t xml:space="preserve"> </w:t>
      </w:r>
      <w:r w:rsidRPr="00B14326">
        <w:rPr>
          <w:i/>
        </w:rPr>
        <w:t>See Order on Review</w:t>
      </w:r>
      <w:r w:rsidRPr="00B14326">
        <w:t>, 26 FCC Rcd at 12601, ¶ 38</w:t>
      </w:r>
      <w:r w:rsidRPr="00144F47">
        <w:rPr>
          <w:szCs w:val="22"/>
        </w:rPr>
        <w:t xml:space="preserve"> </w:t>
      </w:r>
      <w:r>
        <w:rPr>
          <w:szCs w:val="22"/>
        </w:rPr>
        <w:t xml:space="preserve">(“There is no reliable evidence as to what </w:t>
      </w:r>
      <w:r w:rsidRPr="00905990">
        <w:rPr>
          <w:szCs w:val="22"/>
        </w:rPr>
        <w:t>discount Comcast received in prior years relative to Armstrong</w:t>
      </w:r>
      <w:r>
        <w:rPr>
          <w:szCs w:val="22"/>
        </w:rPr>
        <w:t xml:space="preserve"> or what an ‘</w:t>
      </w:r>
      <w:r w:rsidRPr="00AB49B2">
        <w:rPr>
          <w:szCs w:val="22"/>
        </w:rPr>
        <w:t>industry standard</w:t>
      </w:r>
      <w:r>
        <w:rPr>
          <w:szCs w:val="22"/>
        </w:rPr>
        <w:t>’</w:t>
      </w:r>
      <w:r w:rsidRPr="00AB49B2">
        <w:rPr>
          <w:szCs w:val="22"/>
        </w:rPr>
        <w:t xml:space="preserve"> discount </w:t>
      </w:r>
      <w:r>
        <w:rPr>
          <w:szCs w:val="22"/>
        </w:rPr>
        <w:t xml:space="preserve">would be for Comcast relative to Armstrong.”); </w:t>
      </w:r>
      <w:r w:rsidRPr="00F21836">
        <w:rPr>
          <w:i/>
          <w:szCs w:val="22"/>
        </w:rPr>
        <w:t>see also Armstrong Opposition</w:t>
      </w:r>
      <w:r>
        <w:rPr>
          <w:szCs w:val="22"/>
        </w:rPr>
        <w:t xml:space="preserve"> at 16.  </w:t>
      </w:r>
      <w:r w:rsidRPr="00B14326">
        <w:t xml:space="preserve">In the evidence cited by DSNP, </w:t>
      </w:r>
      <w:r>
        <w:t xml:space="preserve">the </w:t>
      </w:r>
      <w:r w:rsidRPr="00B14326">
        <w:t>experts opine that Comcast should receive a “very substantial” discount</w:t>
      </w:r>
      <w:r>
        <w:t xml:space="preserve"> and the lowest rates in the market</w:t>
      </w:r>
      <w:r w:rsidRPr="00B14326">
        <w:t xml:space="preserve">, </w:t>
      </w:r>
      <w:r>
        <w:t xml:space="preserve">but </w:t>
      </w:r>
      <w:r w:rsidRPr="00B14326">
        <w:t>they do not quanti</w:t>
      </w:r>
      <w:r>
        <w:t>f</w:t>
      </w:r>
      <w:r w:rsidRPr="00B14326">
        <w:t>y what discount would be appropriate for Comcast given its size relative to Armstrong.</w:t>
      </w:r>
      <w:r>
        <w:t xml:space="preserve">  </w:t>
      </w:r>
      <w:r w:rsidRPr="00144F47">
        <w:rPr>
          <w:i/>
        </w:rPr>
        <w:t>See supra</w:t>
      </w:r>
      <w:r>
        <w:t xml:space="preserve"> n. 75.</w:t>
      </w:r>
    </w:p>
  </w:footnote>
  <w:footnote w:id="86">
    <w:p w:rsidR="00044813" w:rsidRDefault="00044813">
      <w:pPr>
        <w:pStyle w:val="FootnoteText"/>
      </w:pPr>
      <w:r>
        <w:rPr>
          <w:rStyle w:val="FootnoteReference"/>
        </w:rPr>
        <w:footnoteRef/>
      </w:r>
      <w:r>
        <w:t xml:space="preserve"> </w:t>
      </w:r>
      <w:r w:rsidRPr="00B14326">
        <w:rPr>
          <w:i/>
        </w:rPr>
        <w:t>See Order on Review</w:t>
      </w:r>
      <w:r>
        <w:t xml:space="preserve">, 26 FCC Rcd at 12601-02, ¶ 39.  </w:t>
      </w:r>
      <w:r w:rsidRPr="00B95141">
        <w:t>The record indicate</w:t>
      </w:r>
      <w:r>
        <w:t>s</w:t>
      </w:r>
      <w:r w:rsidRPr="00B95141">
        <w:t xml:space="preserve"> that Comcast (as a programmer) and DSNP’s parent, DIRECTV (a distributor), were negotiating deals pertaining to DIRECTV’s carriage of Comcast RSNs and Comcast’s Versus network at the same time that Comcast (as a distributor) and DSNP were negotiating deals pertaining to Comcast’s carriage of </w:t>
      </w:r>
      <w:r>
        <w:t>F</w:t>
      </w:r>
      <w:r w:rsidRPr="00B95141">
        <w:t>SNP and other DIRECTV-owned RSNs.</w:t>
      </w:r>
      <w:r>
        <w:t xml:space="preserve">  </w:t>
      </w:r>
      <w:r w:rsidRPr="00B95141">
        <w:rPr>
          <w:i/>
        </w:rPr>
        <w:t>See id</w:t>
      </w:r>
      <w:r w:rsidRPr="00B95141">
        <w:t>. at 12599-600, ¶ 36.</w:t>
      </w:r>
      <w:r>
        <w:t xml:space="preserve">  Moreover, Armstrong’s experts opined that </w:t>
      </w:r>
      <w:r>
        <w:rPr>
          <w:szCs w:val="22"/>
        </w:rPr>
        <w:t xml:space="preserve">these simultaneous deals may </w:t>
      </w:r>
      <w:r w:rsidRPr="003531A8">
        <w:rPr>
          <w:szCs w:val="22"/>
        </w:rPr>
        <w:t xml:space="preserve">have </w:t>
      </w:r>
      <w:r>
        <w:rPr>
          <w:szCs w:val="22"/>
        </w:rPr>
        <w:t xml:space="preserve">caused Comcast to agree to pay higher rates for FSNP than it otherwise would in order to obtain favorable terms for </w:t>
      </w:r>
      <w:r>
        <w:t xml:space="preserve">DIRECTV’s carriage of Comcast’s networks.  </w:t>
      </w:r>
      <w:r w:rsidRPr="000D55B5">
        <w:rPr>
          <w:i/>
        </w:rPr>
        <w:t>See id</w:t>
      </w:r>
      <w:r>
        <w:t xml:space="preserve">. (citing Gardner Expert Report, CX-44 at 20-21; </w:t>
      </w:r>
      <w:r w:rsidRPr="0064799A">
        <w:t>Rebuttal Report of Stephen E. Siwek, CX-47 (Jan. 14, 2011)</w:t>
      </w:r>
      <w:r>
        <w:t>, at 7</w:t>
      </w:r>
      <w:r w:rsidRPr="0064799A">
        <w:t>)</w:t>
      </w:r>
      <w:r>
        <w:t xml:space="preserve">.  DSNP notes that Armstrong’s historical benchmark analysis considered rates negotiated by </w:t>
      </w:r>
      <w:r w:rsidRPr="00430BEA">
        <w:rPr>
          <w:b/>
        </w:rPr>
        <w:t>[</w:t>
      </w:r>
      <w:r>
        <w:rPr>
          <w:b/>
        </w:rPr>
        <w:t>REDACTED</w:t>
      </w:r>
      <w:r w:rsidRPr="00430BEA">
        <w:rPr>
          <w:b/>
        </w:rPr>
        <w:t>]</w:t>
      </w:r>
      <w:r>
        <w:t xml:space="preserve">, a vertically integrated MVPD, yet the Media Bureau did not require Armstrong to produce evidence that simultaneous programming negotiations did not impact these rates.  </w:t>
      </w:r>
      <w:r w:rsidRPr="00A248DE">
        <w:rPr>
          <w:i/>
        </w:rPr>
        <w:t xml:space="preserve">See DSNP Application for Review </w:t>
      </w:r>
      <w:r w:rsidRPr="00A248DE">
        <w:t>at 23-24</w:t>
      </w:r>
      <w:r>
        <w:t xml:space="preserve">.  Unlike with the case of Comcast and DIRECTV, however, DSNP does not cite evidence indicating any simultaneous programming negotiations involving </w:t>
      </w:r>
      <w:r w:rsidRPr="00430BEA">
        <w:rPr>
          <w:b/>
        </w:rPr>
        <w:t>[</w:t>
      </w:r>
      <w:r>
        <w:rPr>
          <w:b/>
        </w:rPr>
        <w:t>REDACTED</w:t>
      </w:r>
      <w:r w:rsidRPr="00430BEA">
        <w:rPr>
          <w:b/>
        </w:rPr>
        <w:t>]</w:t>
      </w:r>
      <w:r>
        <w:t xml:space="preserve"> that would have impacted these rates.  </w:t>
      </w:r>
      <w:r w:rsidRPr="00B14326">
        <w:rPr>
          <w:i/>
        </w:rPr>
        <w:t xml:space="preserve">See </w:t>
      </w:r>
      <w:r>
        <w:rPr>
          <w:i/>
        </w:rPr>
        <w:t xml:space="preserve">Armstrong Opposition </w:t>
      </w:r>
      <w:r>
        <w:t xml:space="preserve">at 17; </w:t>
      </w:r>
      <w:r w:rsidRPr="00C537C6">
        <w:rPr>
          <w:i/>
        </w:rPr>
        <w:t>see also</w:t>
      </w:r>
      <w:r>
        <w:t xml:space="preserve"> </w:t>
      </w:r>
      <w:r w:rsidRPr="00B14326">
        <w:rPr>
          <w:i/>
        </w:rPr>
        <w:t>Order on Review</w:t>
      </w:r>
      <w:r>
        <w:t>, 26 FCC Rcd at 12599-600, ¶ 36 n.184 (citing record evidence that</w:t>
      </w:r>
      <w:r w:rsidRPr="00821C47">
        <w:t xml:space="preserve"> </w:t>
      </w:r>
      <w:r w:rsidRPr="0064799A">
        <w:t xml:space="preserve">DIRECTV announced </w:t>
      </w:r>
      <w:r>
        <w:t xml:space="preserve">publicly </w:t>
      </w:r>
      <w:r w:rsidRPr="0064799A">
        <w:t>that it had reached an agreement to resume carriage of Comcast’s Versus network</w:t>
      </w:r>
      <w:r>
        <w:t xml:space="preserve"> o</w:t>
      </w:r>
      <w:r w:rsidRPr="0064799A">
        <w:t>n the same day that DSNP</w:t>
      </w:r>
      <w:r>
        <w:t xml:space="preserve">’s carriage </w:t>
      </w:r>
      <w:r w:rsidRPr="0064799A">
        <w:t xml:space="preserve">agreement </w:t>
      </w:r>
      <w:r>
        <w:t xml:space="preserve">with Comcast </w:t>
      </w:r>
      <w:r w:rsidRPr="0064799A">
        <w:t>was executed</w:t>
      </w:r>
      <w:r>
        <w:t>).</w:t>
      </w:r>
      <w:r w:rsidRPr="0064799A">
        <w:t xml:space="preserve"> </w:t>
      </w:r>
    </w:p>
  </w:footnote>
  <w:footnote w:id="87">
    <w:p w:rsidR="00044813" w:rsidRDefault="00044813">
      <w:pPr>
        <w:pStyle w:val="FootnoteText"/>
      </w:pPr>
      <w:r>
        <w:rPr>
          <w:rStyle w:val="FootnoteReference"/>
        </w:rPr>
        <w:footnoteRef/>
      </w:r>
      <w:r w:rsidRPr="00B14326">
        <w:rPr>
          <w:i/>
        </w:rPr>
        <w:t xml:space="preserve"> Order on Review</w:t>
      </w:r>
      <w:r>
        <w:t>, 26 FCC Rcd at 12601-02, ¶ 39.</w:t>
      </w:r>
    </w:p>
  </w:footnote>
  <w:footnote w:id="88">
    <w:p w:rsidR="00044813" w:rsidRPr="00A41C2F" w:rsidRDefault="00044813" w:rsidP="004029A2">
      <w:pPr>
        <w:spacing w:after="120"/>
        <w:rPr>
          <w:sz w:val="20"/>
        </w:rPr>
      </w:pPr>
      <w:r w:rsidRPr="004029A2">
        <w:rPr>
          <w:rStyle w:val="FootnoteReference"/>
        </w:rPr>
        <w:footnoteRef/>
      </w:r>
      <w:r w:rsidRPr="004029A2">
        <w:rPr>
          <w:sz w:val="20"/>
        </w:rPr>
        <w:t xml:space="preserve"> </w:t>
      </w:r>
      <w:r w:rsidRPr="004029A2">
        <w:rPr>
          <w:b/>
          <w:sz w:val="20"/>
        </w:rPr>
        <w:t>[</w:t>
      </w:r>
      <w:r w:rsidRPr="00E041E4">
        <w:rPr>
          <w:b/>
          <w:sz w:val="20"/>
        </w:rPr>
        <w:t>REDACTED</w:t>
      </w:r>
      <w:r w:rsidRPr="004029A2">
        <w:rPr>
          <w:b/>
          <w:sz w:val="20"/>
        </w:rPr>
        <w:t>]</w:t>
      </w:r>
      <w:r>
        <w:rPr>
          <w:sz w:val="20"/>
        </w:rPr>
        <w:t>.</w:t>
      </w:r>
    </w:p>
  </w:footnote>
  <w:footnote w:id="89">
    <w:p w:rsidR="00044813" w:rsidRPr="004029A2" w:rsidRDefault="00044813">
      <w:pPr>
        <w:pStyle w:val="FootnoteText"/>
      </w:pPr>
      <w:r w:rsidRPr="004029A2">
        <w:rPr>
          <w:rStyle w:val="FootnoteReference"/>
        </w:rPr>
        <w:footnoteRef/>
      </w:r>
      <w:r w:rsidRPr="004029A2">
        <w:t xml:space="preserve"> </w:t>
      </w:r>
      <w:r w:rsidRPr="004029A2">
        <w:rPr>
          <w:i/>
        </w:rPr>
        <w:t>See id</w:t>
      </w:r>
      <w:r w:rsidRPr="004029A2">
        <w:t>.</w:t>
      </w:r>
    </w:p>
  </w:footnote>
  <w:footnote w:id="90">
    <w:p w:rsidR="00044813" w:rsidRPr="004029A2" w:rsidRDefault="00044813">
      <w:pPr>
        <w:pStyle w:val="FootnoteText"/>
      </w:pPr>
      <w:r w:rsidRPr="004029A2">
        <w:rPr>
          <w:rStyle w:val="FootnoteReference"/>
        </w:rPr>
        <w:footnoteRef/>
      </w:r>
      <w:r w:rsidRPr="004029A2">
        <w:t xml:space="preserve"> </w:t>
      </w:r>
      <w:r w:rsidRPr="004029A2">
        <w:rPr>
          <w:i/>
        </w:rPr>
        <w:t>See DSNP Application for Review</w:t>
      </w:r>
      <w:r w:rsidRPr="004029A2">
        <w:t xml:space="preserve"> at 21.</w:t>
      </w:r>
    </w:p>
  </w:footnote>
  <w:footnote w:id="91">
    <w:p w:rsidR="00044813" w:rsidRDefault="00044813">
      <w:pPr>
        <w:pStyle w:val="FootnoteText"/>
      </w:pPr>
      <w:r w:rsidRPr="004029A2">
        <w:rPr>
          <w:rStyle w:val="FootnoteReference"/>
        </w:rPr>
        <w:footnoteRef/>
      </w:r>
      <w:r w:rsidRPr="004029A2">
        <w:t xml:space="preserve"> </w:t>
      </w:r>
      <w:r w:rsidRPr="004029A2">
        <w:rPr>
          <w:i/>
        </w:rPr>
        <w:t>See Order on Review</w:t>
      </w:r>
      <w:r>
        <w:t>, 26 FCC Rcd at 12601-02, ¶ 39.</w:t>
      </w:r>
    </w:p>
  </w:footnote>
  <w:footnote w:id="92">
    <w:p w:rsidR="00044813" w:rsidRDefault="00044813">
      <w:pPr>
        <w:pStyle w:val="FootnoteText"/>
      </w:pPr>
      <w:r>
        <w:rPr>
          <w:rStyle w:val="FootnoteReference"/>
        </w:rPr>
        <w:footnoteRef/>
      </w:r>
      <w:r>
        <w:t xml:space="preserve"> </w:t>
      </w:r>
      <w:r w:rsidRPr="003068D3">
        <w:rPr>
          <w:i/>
        </w:rPr>
        <w:t>See id</w:t>
      </w:r>
      <w:r>
        <w:t xml:space="preserve">.; </w:t>
      </w:r>
      <w:r w:rsidRPr="003068D3">
        <w:rPr>
          <w:i/>
        </w:rPr>
        <w:t>see also Armstrong Opposition</w:t>
      </w:r>
      <w:r>
        <w:t xml:space="preserve"> at 15.</w:t>
      </w:r>
    </w:p>
  </w:footnote>
  <w:footnote w:id="93">
    <w:p w:rsidR="00044813" w:rsidRDefault="00044813">
      <w:pPr>
        <w:pStyle w:val="FootnoteText"/>
      </w:pPr>
      <w:r>
        <w:rPr>
          <w:rStyle w:val="FootnoteReference"/>
        </w:rPr>
        <w:footnoteRef/>
      </w:r>
      <w:r>
        <w:t xml:space="preserve"> </w:t>
      </w:r>
      <w:r>
        <w:rPr>
          <w:i/>
        </w:rPr>
        <w:t>See O</w:t>
      </w:r>
      <w:r w:rsidRPr="00B14326">
        <w:rPr>
          <w:i/>
        </w:rPr>
        <w:t>rder on Review</w:t>
      </w:r>
      <w:r>
        <w:t xml:space="preserve">, 26 FCC Rcd at 12601-02, ¶ 39. </w:t>
      </w:r>
    </w:p>
  </w:footnote>
  <w:footnote w:id="94">
    <w:p w:rsidR="00044813" w:rsidRDefault="00044813">
      <w:pPr>
        <w:pStyle w:val="FootnoteText"/>
      </w:pPr>
      <w:r>
        <w:rPr>
          <w:rStyle w:val="FootnoteReference"/>
        </w:rPr>
        <w:footnoteRef/>
      </w:r>
      <w:r>
        <w:t xml:space="preserve"> </w:t>
      </w:r>
      <w:r w:rsidRPr="003068D3">
        <w:rPr>
          <w:i/>
        </w:rPr>
        <w:t>See id</w:t>
      </w:r>
      <w:r>
        <w:t xml:space="preserve">. (explaining that although </w:t>
      </w:r>
      <w:r w:rsidRPr="00905990">
        <w:rPr>
          <w:szCs w:val="22"/>
        </w:rPr>
        <w:t>Armstrong did not name DIRECTV as a party to the arbitration</w:t>
      </w:r>
      <w:r>
        <w:rPr>
          <w:szCs w:val="22"/>
        </w:rPr>
        <w:t>,</w:t>
      </w:r>
      <w:r w:rsidRPr="00905990">
        <w:rPr>
          <w:szCs w:val="22"/>
        </w:rPr>
        <w:t xml:space="preserve"> and DIRECTV declined to participate in discovery</w:t>
      </w:r>
      <w:r>
        <w:rPr>
          <w:szCs w:val="22"/>
        </w:rPr>
        <w:t xml:space="preserve">, the “salient </w:t>
      </w:r>
      <w:r w:rsidRPr="00905990">
        <w:rPr>
          <w:szCs w:val="22"/>
        </w:rPr>
        <w:t>issue here</w:t>
      </w:r>
      <w:r>
        <w:rPr>
          <w:szCs w:val="22"/>
        </w:rPr>
        <w:t xml:space="preserve"> . . . </w:t>
      </w:r>
      <w:r w:rsidRPr="00905990">
        <w:rPr>
          <w:szCs w:val="22"/>
        </w:rPr>
        <w:t>is not whether DIRECTV should be compelled to come forward with evidence</w:t>
      </w:r>
      <w:r>
        <w:rPr>
          <w:szCs w:val="22"/>
        </w:rPr>
        <w:t xml:space="preserve">.  Rather, the salient issue is </w:t>
      </w:r>
      <w:r w:rsidRPr="00905990">
        <w:rPr>
          <w:szCs w:val="22"/>
        </w:rPr>
        <w:t>whether DSNP has provided su</w:t>
      </w:r>
      <w:r>
        <w:rPr>
          <w:szCs w:val="22"/>
        </w:rPr>
        <w:t xml:space="preserve">fficient evidence to establish that the </w:t>
      </w:r>
      <w:r w:rsidRPr="00905990">
        <w:rPr>
          <w:szCs w:val="22"/>
        </w:rPr>
        <w:t xml:space="preserve">2010 Comcast/DSNP Agreement </w:t>
      </w:r>
      <w:r>
        <w:rPr>
          <w:szCs w:val="22"/>
        </w:rPr>
        <w:t xml:space="preserve">is a comparable affiliation agreement for purposes of this arbitration . . . .”); </w:t>
      </w:r>
      <w:r w:rsidRPr="003068D3">
        <w:rPr>
          <w:i/>
        </w:rPr>
        <w:t>see also Armstrong Opposition</w:t>
      </w:r>
      <w:r>
        <w:t xml:space="preserve"> at 17.</w:t>
      </w:r>
    </w:p>
  </w:footnote>
  <w:footnote w:id="95">
    <w:p w:rsidR="00044813" w:rsidRPr="00B14326" w:rsidRDefault="00044813">
      <w:pPr>
        <w:pStyle w:val="FootnoteText"/>
      </w:pPr>
      <w:r w:rsidRPr="00B14326">
        <w:rPr>
          <w:rStyle w:val="FootnoteReference"/>
        </w:rPr>
        <w:footnoteRef/>
      </w:r>
      <w:r w:rsidRPr="00B14326">
        <w:t xml:space="preserve"> </w:t>
      </w:r>
      <w:r w:rsidRPr="00B14326">
        <w:rPr>
          <w:i/>
        </w:rPr>
        <w:t>See</w:t>
      </w:r>
      <w:r w:rsidRPr="00B14326">
        <w:t xml:space="preserve"> </w:t>
      </w:r>
      <w:r w:rsidRPr="00B14326">
        <w:rPr>
          <w:i/>
        </w:rPr>
        <w:t>DSNP Application for Review</w:t>
      </w:r>
      <w:r w:rsidRPr="00B14326">
        <w:t xml:space="preserve"> at i-ii, 23; </w:t>
      </w:r>
      <w:r w:rsidRPr="00B14326">
        <w:rPr>
          <w:i/>
        </w:rPr>
        <w:t>DSNP Reply</w:t>
      </w:r>
      <w:r w:rsidRPr="00B14326">
        <w:t xml:space="preserve"> at 2-3; </w:t>
      </w:r>
      <w:r w:rsidRPr="00B14326">
        <w:rPr>
          <w:i/>
        </w:rPr>
        <w:t xml:space="preserve">see also supra </w:t>
      </w:r>
      <w:r>
        <w:t xml:space="preserve">n. </w:t>
      </w:r>
      <w:r w:rsidRPr="00B14326">
        <w:t>3</w:t>
      </w:r>
      <w:r>
        <w:t>3</w:t>
      </w:r>
      <w:r w:rsidRPr="00B14326">
        <w:t xml:space="preserve">; </w:t>
      </w:r>
      <w:r w:rsidRPr="00B14326">
        <w:rPr>
          <w:i/>
        </w:rPr>
        <w:t>Order on Review</w:t>
      </w:r>
      <w:r w:rsidRPr="00B14326">
        <w:t xml:space="preserve">, 26 FCC Rcd at 12589-93, ¶¶ 23-27; </w:t>
      </w:r>
      <w:r w:rsidRPr="00B14326">
        <w:rPr>
          <w:i/>
        </w:rPr>
        <w:t>Armstrong Opposition</w:t>
      </w:r>
      <w:r w:rsidRPr="00B14326">
        <w:t xml:space="preserve"> at ii, 4-6, 13-14.  </w:t>
      </w:r>
    </w:p>
  </w:footnote>
  <w:footnote w:id="96">
    <w:p w:rsidR="00044813" w:rsidRPr="00B14326" w:rsidRDefault="00044813">
      <w:pPr>
        <w:pStyle w:val="FootnoteText"/>
      </w:pPr>
      <w:r w:rsidRPr="00B14326">
        <w:rPr>
          <w:rStyle w:val="FootnoteReference"/>
        </w:rPr>
        <w:footnoteRef/>
      </w:r>
      <w:r w:rsidRPr="00B14326">
        <w:t xml:space="preserve"> </w:t>
      </w:r>
      <w:r w:rsidRPr="00B14326">
        <w:rPr>
          <w:i/>
        </w:rPr>
        <w:t>See Order on Review</w:t>
      </w:r>
      <w:r w:rsidRPr="00B14326">
        <w:t xml:space="preserve">, 26 FCC Rcd at 12594, ¶ 28.  </w:t>
      </w:r>
    </w:p>
  </w:footnote>
  <w:footnote w:id="97">
    <w:p w:rsidR="00044813" w:rsidRPr="00B14326" w:rsidRDefault="00044813">
      <w:pPr>
        <w:pStyle w:val="FootnoteText"/>
      </w:pPr>
      <w:r w:rsidRPr="00B14326">
        <w:rPr>
          <w:rStyle w:val="FootnoteReference"/>
        </w:rPr>
        <w:footnoteRef/>
      </w:r>
      <w:r w:rsidRPr="00B14326">
        <w:t xml:space="preserve"> </w:t>
      </w:r>
      <w:r w:rsidRPr="00B14326">
        <w:rPr>
          <w:i/>
        </w:rPr>
        <w:t>See DSNP Application for Review</w:t>
      </w:r>
      <w:r w:rsidRPr="00B14326">
        <w:t xml:space="preserve"> at 22.  </w:t>
      </w:r>
    </w:p>
  </w:footnote>
  <w:footnote w:id="98">
    <w:p w:rsidR="00044813" w:rsidRPr="00B14326" w:rsidRDefault="00044813">
      <w:pPr>
        <w:pStyle w:val="FootnoteText"/>
      </w:pPr>
      <w:r w:rsidRPr="00B14326">
        <w:rPr>
          <w:rStyle w:val="FootnoteReference"/>
        </w:rPr>
        <w:footnoteRef/>
      </w:r>
      <w:r w:rsidRPr="00B14326">
        <w:t xml:space="preserve"> </w:t>
      </w:r>
      <w:r w:rsidRPr="00B14326">
        <w:rPr>
          <w:i/>
        </w:rPr>
        <w:t>See Armstrong Opposition</w:t>
      </w:r>
      <w:r w:rsidRPr="00B14326">
        <w:t xml:space="preserve"> at 2.</w:t>
      </w:r>
    </w:p>
  </w:footnote>
  <w:footnote w:id="99">
    <w:p w:rsidR="00044813" w:rsidRDefault="00044813" w:rsidP="00941D44">
      <w:pPr>
        <w:pStyle w:val="FootnoteText"/>
      </w:pPr>
      <w:r>
        <w:rPr>
          <w:rStyle w:val="FootnoteReference"/>
        </w:rPr>
        <w:footnoteRef/>
      </w:r>
      <w:r>
        <w:t xml:space="preserve"> </w:t>
      </w:r>
      <w:r w:rsidRPr="00430BEA">
        <w:rPr>
          <w:i/>
        </w:rPr>
        <w:t>Liberty Media Order</w:t>
      </w:r>
      <w:r w:rsidRPr="00430BEA">
        <w:t>, 23 FCC Rcd at 334</w:t>
      </w:r>
      <w:r>
        <w:t>7-48</w:t>
      </w:r>
      <w:r w:rsidRPr="00430BEA">
        <w:t xml:space="preserve">, Appendix B, Condition IV, </w:t>
      </w:r>
      <w:r>
        <w:t xml:space="preserve">§ B “Rules of Arbitration,” ¶ 3 and </w:t>
      </w:r>
      <w:r w:rsidRPr="00430BEA">
        <w:t>§ C “Review of Final Award by the Commission,” ¶ 3</w:t>
      </w:r>
      <w:r>
        <w:rPr>
          <w:szCs w:val="22"/>
        </w:rPr>
        <w:t>.</w:t>
      </w:r>
    </w:p>
  </w:footnote>
  <w:footnote w:id="100">
    <w:p w:rsidR="00044813" w:rsidRDefault="00044813" w:rsidP="002D4E53">
      <w:pPr>
        <w:pStyle w:val="FootnoteText"/>
      </w:pPr>
      <w:r w:rsidRPr="002D4E53">
        <w:rPr>
          <w:rStyle w:val="FootnoteReference"/>
        </w:rPr>
        <w:footnoteRef/>
      </w:r>
      <w:r w:rsidRPr="002D4E53">
        <w:t xml:space="preserve"> </w:t>
      </w:r>
      <w:r w:rsidRPr="00B14326">
        <w:rPr>
          <w:i/>
        </w:rPr>
        <w:t>See Order on Review</w:t>
      </w:r>
      <w:r w:rsidRPr="00B14326">
        <w:t xml:space="preserve">, 26 FCC Rcd at </w:t>
      </w:r>
      <w:r w:rsidRPr="002D4E53">
        <w:t xml:space="preserve">12587, ¶ 20; </w:t>
      </w:r>
      <w:r w:rsidRPr="002D4E53">
        <w:rPr>
          <w:i/>
        </w:rPr>
        <w:t>see also Armstrong Opposition</w:t>
      </w:r>
      <w:r w:rsidRPr="002D4E53">
        <w:t xml:space="preserve"> at 3, 8</w:t>
      </w:r>
      <w:r>
        <w:t>-9</w:t>
      </w:r>
      <w:r w:rsidRPr="002D4E53">
        <w:t xml:space="preserve">, 13 (noting that DSNP ignored size and value differentials among the Cohort Affiliates while “Armstrong actually examined where the rates for Armstrong should fall within the market structure – </w:t>
      </w:r>
      <w:r w:rsidRPr="002D4E53">
        <w:rPr>
          <w:i/>
          <w:iCs/>
        </w:rPr>
        <w:t xml:space="preserve">i.e. </w:t>
      </w:r>
      <w:r w:rsidRPr="002D4E53">
        <w:t>the relative market positions of Armstrong’s rates and the rates for the other Cohorts given their size and value differences”).  DSNP claims that the Media Bureau</w:t>
      </w:r>
      <w:r>
        <w:t xml:space="preserve">’s </w:t>
      </w:r>
      <w:r w:rsidRPr="002D4E53">
        <w:t xml:space="preserve">finding that </w:t>
      </w:r>
      <w:r>
        <w:t xml:space="preserve">DSNP’s </w:t>
      </w:r>
      <w:r w:rsidRPr="002D4E53">
        <w:t xml:space="preserve">averaging methodology was not probative of fair market value </w:t>
      </w:r>
      <w:r>
        <w:t xml:space="preserve">conflicts with </w:t>
      </w:r>
      <w:r w:rsidRPr="002D4E53">
        <w:t>the Media Bureau</w:t>
      </w:r>
      <w:r>
        <w:t>’s</w:t>
      </w:r>
      <w:r w:rsidRPr="002D4E53">
        <w:t xml:space="preserve"> previous</w:t>
      </w:r>
      <w:r>
        <w:t xml:space="preserve"> </w:t>
      </w:r>
      <w:r w:rsidRPr="002D4E53">
        <w:t>conclu</w:t>
      </w:r>
      <w:r>
        <w:t xml:space="preserve">sion </w:t>
      </w:r>
      <w:r w:rsidRPr="002D4E53">
        <w:t xml:space="preserve">that “‘the best and most persuasive evidence of fair market value is the objective price that RSN programming yields in the marketplace.’”  </w:t>
      </w:r>
      <w:r w:rsidRPr="002D4E53">
        <w:rPr>
          <w:i/>
        </w:rPr>
        <w:t>DSNP Application for Review</w:t>
      </w:r>
      <w:r w:rsidRPr="002D4E53">
        <w:t xml:space="preserve"> at 6 (quoting </w:t>
      </w:r>
      <w:r w:rsidRPr="00B21143">
        <w:rPr>
          <w:i/>
        </w:rPr>
        <w:t xml:space="preserve">TCR Sports Broadcasting Holding, L.L.P. v. Time Warner Cable Inc., </w:t>
      </w:r>
      <w:r w:rsidRPr="00B21143">
        <w:t>Order on Review, 23 FCC Rcd 15783</w:t>
      </w:r>
      <w:r>
        <w:t xml:space="preserve">, </w:t>
      </w:r>
      <w:r w:rsidRPr="002D4E53">
        <w:t>15808-10, ¶ 46</w:t>
      </w:r>
      <w:r w:rsidRPr="00B21143">
        <w:t xml:space="preserve"> (MB 2008</w:t>
      </w:r>
      <w:r>
        <w:t>) (“</w:t>
      </w:r>
      <w:r w:rsidRPr="0023258F">
        <w:rPr>
          <w:i/>
        </w:rPr>
        <w:t>MASN Order on Review</w:t>
      </w:r>
      <w:r>
        <w:t>”)</w:t>
      </w:r>
      <w:r w:rsidRPr="00B21143">
        <w:t xml:space="preserve">, </w:t>
      </w:r>
      <w:r w:rsidRPr="00B21143">
        <w:rPr>
          <w:i/>
        </w:rPr>
        <w:t>reversed on other grounds by</w:t>
      </w:r>
      <w:r w:rsidRPr="00B21143">
        <w:t xml:space="preserve"> Memorandum Opinion and Order, 25 FCC Rcd 18099 (2010), </w:t>
      </w:r>
      <w:r>
        <w:rPr>
          <w:i/>
        </w:rPr>
        <w:t xml:space="preserve">aff’d, TCR Sports Broad. Holding v. FCC, </w:t>
      </w:r>
      <w:r>
        <w:t>679 F.3d 269 (4th Cir. 2012)</w:t>
      </w:r>
      <w:r w:rsidRPr="002D4E53">
        <w:t>).  DSNP also claims that the Media Bureau erred in finding</w:t>
      </w:r>
      <w:r w:rsidRPr="00C46C42">
        <w:t xml:space="preserve"> that its PSPPE analysis was not probative of fair market value because the </w:t>
      </w:r>
      <w:r w:rsidRPr="00C46C42">
        <w:rPr>
          <w:i/>
        </w:rPr>
        <w:t>Liberty Media Order</w:t>
      </w:r>
      <w:r w:rsidRPr="00C46C42">
        <w:t xml:space="preserve"> arbitration conditions list contracts “‘between MVPDs and RSNs in which Liberty Media does not have an interest’” as among the examples of relevant evidence in determining fair market value.  </w:t>
      </w:r>
      <w:r w:rsidRPr="00C46C42">
        <w:rPr>
          <w:i/>
        </w:rPr>
        <w:t>Id</w:t>
      </w:r>
      <w:r>
        <w:t>.</w:t>
      </w:r>
      <w:r w:rsidRPr="00C46C42">
        <w:t xml:space="preserve"> at 25 (quoting </w:t>
      </w:r>
      <w:r w:rsidRPr="0064799A">
        <w:rPr>
          <w:i/>
        </w:rPr>
        <w:t>Liberty Media Order</w:t>
      </w:r>
      <w:r w:rsidRPr="0064799A">
        <w:t xml:space="preserve">, 23 FCC Rcd at 3347, Appendix B, Condition IV, § B “Rules of Arbitration,” ¶ </w:t>
      </w:r>
      <w:r>
        <w:t>5(a))</w:t>
      </w:r>
      <w:r w:rsidRPr="00C46C42">
        <w:t xml:space="preserve">.  While these previous decisions discuss certain relevant evidence in determining fair market value, they do not endorse a specific type of methodology or analysis for making use of this evidence.  Here, we find that the Media Bureau properly concluded that neither the averaging methodology nor the PSPPE analysis was probative of fair market value.  </w:t>
      </w:r>
      <w:r w:rsidRPr="00C46C42">
        <w:rPr>
          <w:i/>
        </w:rPr>
        <w:t>See supra</w:t>
      </w:r>
      <w:r>
        <w:t xml:space="preserve"> nn. 26-27</w:t>
      </w:r>
      <w:r w:rsidRPr="00C46C42">
        <w:t xml:space="preserve">; </w:t>
      </w:r>
      <w:r w:rsidRPr="00C46C42">
        <w:rPr>
          <w:i/>
        </w:rPr>
        <w:t>see also Order on Review</w:t>
      </w:r>
      <w:r w:rsidRPr="00C46C42">
        <w:t xml:space="preserve">, 26 FCC Rcd at 12586, ¶ 18 and 12587, ¶ 20.  Moreover, while DSNP claims that the Media Bureau’s rejection of these analyses was inconsistent with its actions in the </w:t>
      </w:r>
      <w:r w:rsidRPr="00C46C42">
        <w:rPr>
          <w:i/>
        </w:rPr>
        <w:t>MASN Order on Review</w:t>
      </w:r>
      <w:r w:rsidRPr="00C46C42">
        <w:t xml:space="preserve">, staff-level decisions are not binding on the Commission.  </w:t>
      </w:r>
      <w:r w:rsidRPr="00C46C42">
        <w:rPr>
          <w:i/>
        </w:rPr>
        <w:t>See</w:t>
      </w:r>
      <w:r w:rsidRPr="002C0899">
        <w:rPr>
          <w:i/>
        </w:rPr>
        <w:t xml:space="preserve"> DSNP</w:t>
      </w:r>
      <w:r>
        <w:rPr>
          <w:i/>
        </w:rPr>
        <w:t xml:space="preserve"> Application for Review </w:t>
      </w:r>
      <w:r>
        <w:t xml:space="preserve">at 6, 25 (citing </w:t>
      </w:r>
      <w:r w:rsidRPr="0023258F">
        <w:rPr>
          <w:i/>
        </w:rPr>
        <w:t>MASN Order on Review</w:t>
      </w:r>
      <w:r w:rsidRPr="00B21143">
        <w:t xml:space="preserve">, 23 FCC Rcd </w:t>
      </w:r>
      <w:r>
        <w:t>at 15808-10, ¶ 46</w:t>
      </w:r>
      <w:r w:rsidRPr="00B21143">
        <w:t>)</w:t>
      </w:r>
      <w:r>
        <w:t>;</w:t>
      </w:r>
      <w:r w:rsidRPr="00B21143">
        <w:t xml:space="preserve"> </w:t>
      </w:r>
      <w:r w:rsidRPr="002C0899">
        <w:rPr>
          <w:i/>
        </w:rPr>
        <w:t>see also</w:t>
      </w:r>
      <w:r>
        <w:t xml:space="preserve"> </w:t>
      </w:r>
      <w:r>
        <w:rPr>
          <w:i/>
        </w:rPr>
        <w:t>Comcast Corp. v. FCC</w:t>
      </w:r>
      <w:r>
        <w:t>, 526 F.3d 763, 769 (D.C. Cir. 2008).</w:t>
      </w:r>
    </w:p>
  </w:footnote>
  <w:footnote w:id="101">
    <w:p w:rsidR="00044813" w:rsidRDefault="00044813">
      <w:pPr>
        <w:pStyle w:val="FootnoteText"/>
      </w:pPr>
      <w:r>
        <w:rPr>
          <w:rStyle w:val="FootnoteReference"/>
        </w:rPr>
        <w:footnoteRef/>
      </w:r>
      <w:r>
        <w:t xml:space="preserve"> </w:t>
      </w:r>
      <w:r w:rsidRPr="00D0135D">
        <w:rPr>
          <w:i/>
          <w:szCs w:val="22"/>
        </w:rPr>
        <w:t>See DSNP Application for Review</w:t>
      </w:r>
      <w:r>
        <w:rPr>
          <w:szCs w:val="22"/>
        </w:rPr>
        <w:t xml:space="preserve"> at 22.</w:t>
      </w:r>
    </w:p>
  </w:footnote>
  <w:footnote w:id="102">
    <w:p w:rsidR="00044813" w:rsidRDefault="00044813">
      <w:pPr>
        <w:pStyle w:val="FootnoteText"/>
      </w:pPr>
      <w:r>
        <w:rPr>
          <w:rStyle w:val="FootnoteReference"/>
        </w:rPr>
        <w:footnoteRef/>
      </w:r>
      <w:r>
        <w:t xml:space="preserve"> </w:t>
      </w:r>
      <w:r w:rsidRPr="00F216E2">
        <w:rPr>
          <w:i/>
        </w:rPr>
        <w:t>Order on Review</w:t>
      </w:r>
      <w:r w:rsidRPr="00F216E2">
        <w:t xml:space="preserve">, 26 FCC Rcd </w:t>
      </w:r>
      <w:r>
        <w:t>at 12602, ¶ 40.</w:t>
      </w:r>
    </w:p>
  </w:footnote>
  <w:footnote w:id="103">
    <w:p w:rsidR="00044813" w:rsidRPr="00E770C8" w:rsidRDefault="00044813">
      <w:pPr>
        <w:pStyle w:val="FootnoteText"/>
      </w:pPr>
      <w:r>
        <w:rPr>
          <w:rStyle w:val="FootnoteReference"/>
        </w:rPr>
        <w:footnoteRef/>
      </w:r>
      <w:r>
        <w:t xml:space="preserve"> Armstrong notes that its proposed rates were based in large part on the existing rates it was paying at the end of its previous contract term.  </w:t>
      </w:r>
      <w:r w:rsidRPr="007D246F">
        <w:rPr>
          <w:i/>
        </w:rPr>
        <w:t>See Armstrong Opposition</w:t>
      </w:r>
      <w:r>
        <w:t xml:space="preserve"> at 2-3.  As the Media Bureau found, such an approach was reasonable considering the rate increases Armstrong incurred during </w:t>
      </w:r>
      <w:r w:rsidRPr="00C60704">
        <w:rPr>
          <w:szCs w:val="22"/>
        </w:rPr>
        <w:t xml:space="preserve">the </w:t>
      </w:r>
      <w:r>
        <w:rPr>
          <w:szCs w:val="22"/>
        </w:rPr>
        <w:t xml:space="preserve">15 </w:t>
      </w:r>
      <w:r w:rsidRPr="00C60704">
        <w:rPr>
          <w:szCs w:val="22"/>
        </w:rPr>
        <w:t>months prior to the expiration of</w:t>
      </w:r>
      <w:r>
        <w:rPr>
          <w:szCs w:val="22"/>
        </w:rPr>
        <w:t xml:space="preserve"> its previous contract.  </w:t>
      </w:r>
      <w:r w:rsidRPr="00E770C8">
        <w:rPr>
          <w:i/>
          <w:szCs w:val="22"/>
        </w:rPr>
        <w:t xml:space="preserve">See </w:t>
      </w:r>
      <w:r w:rsidRPr="00F216E2">
        <w:rPr>
          <w:i/>
        </w:rPr>
        <w:t>Order on Review</w:t>
      </w:r>
      <w:r w:rsidRPr="00F216E2">
        <w:t xml:space="preserve">, 26 FCC Rcd </w:t>
      </w:r>
      <w:r>
        <w:t xml:space="preserve">at 12603-07, ¶¶ 42-46; </w:t>
      </w:r>
      <w:r w:rsidRPr="00E346CE">
        <w:rPr>
          <w:i/>
        </w:rPr>
        <w:t>see also infra</w:t>
      </w:r>
      <w:r>
        <w:t xml:space="preserve"> ¶ 23.</w:t>
      </w:r>
    </w:p>
  </w:footnote>
  <w:footnote w:id="104">
    <w:p w:rsidR="00044813" w:rsidRDefault="00044813">
      <w:pPr>
        <w:pStyle w:val="FootnoteText"/>
      </w:pPr>
      <w:r>
        <w:rPr>
          <w:rStyle w:val="FootnoteReference"/>
        </w:rPr>
        <w:footnoteRef/>
      </w:r>
      <w:r>
        <w:t xml:space="preserve"> </w:t>
      </w:r>
      <w:r w:rsidRPr="00E770C8">
        <w:rPr>
          <w:i/>
          <w:szCs w:val="22"/>
        </w:rPr>
        <w:t xml:space="preserve">See </w:t>
      </w:r>
      <w:r>
        <w:rPr>
          <w:i/>
          <w:szCs w:val="22"/>
        </w:rPr>
        <w:t xml:space="preserve">DSNP Application for Review </w:t>
      </w:r>
      <w:r>
        <w:rPr>
          <w:szCs w:val="22"/>
        </w:rPr>
        <w:t xml:space="preserve">at 15-19; </w:t>
      </w:r>
      <w:r w:rsidRPr="00F216E2">
        <w:rPr>
          <w:i/>
        </w:rPr>
        <w:t>Order on Review</w:t>
      </w:r>
      <w:r w:rsidRPr="00F216E2">
        <w:t xml:space="preserve">, 26 FCC Rcd </w:t>
      </w:r>
      <w:r>
        <w:t xml:space="preserve">at 12606-07, ¶ 46; </w:t>
      </w:r>
      <w:r>
        <w:rPr>
          <w:i/>
          <w:szCs w:val="22"/>
        </w:rPr>
        <w:t>see also id.</w:t>
      </w:r>
      <w:r w:rsidRPr="00F216E2">
        <w:t xml:space="preserve"> </w:t>
      </w:r>
      <w:r>
        <w:t xml:space="preserve">at 12603, ¶ 42 (explaining that a </w:t>
      </w:r>
      <w:r>
        <w:rPr>
          <w:szCs w:val="22"/>
        </w:rPr>
        <w:t>“renewal rate increase” or “rate reset” is an increase in rates that an RSN tries to obtain at renewal from what the MVPD was paying at the end of the previous affiliation agreement).</w:t>
      </w:r>
    </w:p>
  </w:footnote>
  <w:footnote w:id="105">
    <w:p w:rsidR="00044813" w:rsidRPr="0064799A" w:rsidRDefault="00044813" w:rsidP="003A5822">
      <w:pPr>
        <w:pStyle w:val="FootnoteText"/>
      </w:pPr>
      <w:r w:rsidRPr="0064799A">
        <w:rPr>
          <w:rStyle w:val="FootnoteReference"/>
        </w:rPr>
        <w:footnoteRef/>
      </w:r>
      <w:r w:rsidRPr="0064799A">
        <w:t xml:space="preserve"> </w:t>
      </w:r>
      <w:r w:rsidRPr="00986A9B">
        <w:rPr>
          <w:i/>
        </w:rPr>
        <w:t xml:space="preserve">See </w:t>
      </w:r>
      <w:r w:rsidRPr="00F216E2">
        <w:rPr>
          <w:i/>
        </w:rPr>
        <w:t>Order on Review</w:t>
      </w:r>
      <w:r w:rsidRPr="00F216E2">
        <w:t xml:space="preserve">, 26 FCC Rcd </w:t>
      </w:r>
      <w:r>
        <w:t>at 12606-07, ¶ 46.</w:t>
      </w:r>
    </w:p>
  </w:footnote>
  <w:footnote w:id="106">
    <w:p w:rsidR="00044813" w:rsidRDefault="00044813">
      <w:pPr>
        <w:pStyle w:val="FootnoteText"/>
      </w:pPr>
      <w:r>
        <w:rPr>
          <w:rStyle w:val="FootnoteReference"/>
        </w:rPr>
        <w:footnoteRef/>
      </w:r>
      <w:r>
        <w:t xml:space="preserve"> </w:t>
      </w:r>
      <w:r w:rsidRPr="00986A9B">
        <w:rPr>
          <w:i/>
        </w:rPr>
        <w:t>See id</w:t>
      </w:r>
      <w:r>
        <w:t>.</w:t>
      </w:r>
    </w:p>
  </w:footnote>
  <w:footnote w:id="107">
    <w:p w:rsidR="00044813" w:rsidRDefault="00044813">
      <w:pPr>
        <w:pStyle w:val="FootnoteText"/>
      </w:pPr>
      <w:r>
        <w:rPr>
          <w:rStyle w:val="FootnoteReference"/>
        </w:rPr>
        <w:footnoteRef/>
      </w:r>
      <w:r>
        <w:t xml:space="preserve"> </w:t>
      </w:r>
      <w:r w:rsidRPr="006205E3">
        <w:rPr>
          <w:i/>
        </w:rPr>
        <w:t>DSNP Application for Review</w:t>
      </w:r>
      <w:r>
        <w:t xml:space="preserve"> at 16 (quoting </w:t>
      </w:r>
      <w:r w:rsidRPr="0064799A">
        <w:t>Gardner Test., Hr’g Tr. at 493</w:t>
      </w:r>
      <w:r>
        <w:t>).</w:t>
      </w:r>
    </w:p>
  </w:footnote>
  <w:footnote w:id="108">
    <w:p w:rsidR="00044813" w:rsidRDefault="00044813">
      <w:pPr>
        <w:pStyle w:val="FootnoteText"/>
      </w:pPr>
      <w:r>
        <w:rPr>
          <w:rStyle w:val="FootnoteReference"/>
        </w:rPr>
        <w:footnoteRef/>
      </w:r>
      <w:r>
        <w:t xml:space="preserve"> </w:t>
      </w:r>
      <w:r w:rsidRPr="006205E3">
        <w:rPr>
          <w:i/>
        </w:rPr>
        <w:t>Id</w:t>
      </w:r>
      <w:r>
        <w:t xml:space="preserve">. (quoting </w:t>
      </w:r>
      <w:r w:rsidRPr="0064799A">
        <w:t xml:space="preserve">Gardner Test., Hr’g Tr. at </w:t>
      </w:r>
      <w:r>
        <w:t>349-50).</w:t>
      </w:r>
    </w:p>
  </w:footnote>
  <w:footnote w:id="109">
    <w:p w:rsidR="00044813" w:rsidRPr="0064799A" w:rsidRDefault="00044813" w:rsidP="008349D6">
      <w:pPr>
        <w:pStyle w:val="FootnoteText"/>
      </w:pPr>
      <w:r w:rsidRPr="0064799A">
        <w:rPr>
          <w:rStyle w:val="FootnoteReference"/>
        </w:rPr>
        <w:footnoteRef/>
      </w:r>
      <w:r w:rsidRPr="0064799A">
        <w:t xml:space="preserve"> </w:t>
      </w:r>
      <w:r w:rsidRPr="006205E3">
        <w:rPr>
          <w:i/>
        </w:rPr>
        <w:t xml:space="preserve">See </w:t>
      </w:r>
      <w:r w:rsidRPr="00F216E2">
        <w:rPr>
          <w:i/>
        </w:rPr>
        <w:t>Order on Review</w:t>
      </w:r>
      <w:r w:rsidRPr="00F216E2">
        <w:t xml:space="preserve">, 26 FCC Rcd </w:t>
      </w:r>
      <w:r>
        <w:t>at 12</w:t>
      </w:r>
      <w:r w:rsidRPr="00680B71">
        <w:t>60</w:t>
      </w:r>
      <w:r>
        <w:t>3-04, ¶ 43 and 12606-07, ¶ 46</w:t>
      </w:r>
      <w:r w:rsidRPr="0064799A">
        <w:t xml:space="preserve"> (citing Gardner Test., Hr’g Tr. at 492-93).</w:t>
      </w:r>
    </w:p>
  </w:footnote>
  <w:footnote w:id="110">
    <w:p w:rsidR="00044813" w:rsidRDefault="00044813">
      <w:pPr>
        <w:pStyle w:val="FootnoteText"/>
      </w:pPr>
      <w:r>
        <w:rPr>
          <w:rStyle w:val="FootnoteReference"/>
        </w:rPr>
        <w:footnoteRef/>
      </w:r>
      <w:r>
        <w:t xml:space="preserve"> </w:t>
      </w:r>
      <w:r w:rsidRPr="000B323D">
        <w:rPr>
          <w:i/>
        </w:rPr>
        <w:t>See id</w:t>
      </w:r>
      <w:r>
        <w:t>.</w:t>
      </w:r>
      <w:r w:rsidRPr="000B323D">
        <w:t xml:space="preserve"> </w:t>
      </w:r>
      <w:r>
        <w:t>at 12606-07, ¶ 46</w:t>
      </w:r>
      <w:r w:rsidRPr="000B323D">
        <w:t xml:space="preserve"> </w:t>
      </w:r>
      <w:r>
        <w:t xml:space="preserve">(citing </w:t>
      </w:r>
      <w:r w:rsidRPr="0064799A">
        <w:t>Gardner Test., Hr’g Tr. at 492-93</w:t>
      </w:r>
      <w:r>
        <w:t xml:space="preserve">); </w:t>
      </w:r>
      <w:r w:rsidRPr="000B323D">
        <w:rPr>
          <w:i/>
        </w:rPr>
        <w:t>see also Armstrong Opposition</w:t>
      </w:r>
      <w:r>
        <w:t xml:space="preserve"> at 2-3, 18-19 (citing</w:t>
      </w:r>
      <w:r w:rsidRPr="000B323D">
        <w:t xml:space="preserve"> </w:t>
      </w:r>
      <w:r w:rsidRPr="0064799A">
        <w:t xml:space="preserve">Gardner Test., Hr’g Tr. at </w:t>
      </w:r>
      <w:r>
        <w:t xml:space="preserve">475-77, 487-89, </w:t>
      </w:r>
      <w:r w:rsidRPr="0064799A">
        <w:t>49</w:t>
      </w:r>
      <w:r>
        <w:t>2</w:t>
      </w:r>
      <w:r w:rsidRPr="0064799A">
        <w:t>-9</w:t>
      </w:r>
      <w:r>
        <w:t xml:space="preserve">4, 496).  DSNP also claims that Mr. Gardner’s testimony (i) supports the position that improvements are relevant only insofar as they may be used to justify a renewal rate increase towards the top of the typical </w:t>
      </w:r>
      <w:r w:rsidRPr="00430BEA">
        <w:rPr>
          <w:b/>
        </w:rPr>
        <w:t>[</w:t>
      </w:r>
      <w:r>
        <w:rPr>
          <w:b/>
        </w:rPr>
        <w:t xml:space="preserve">REDACTED] </w:t>
      </w:r>
      <w:r>
        <w:t>range (</w:t>
      </w:r>
      <w:r w:rsidRPr="007E2BAB">
        <w:rPr>
          <w:i/>
        </w:rPr>
        <w:t>see</w:t>
      </w:r>
      <w:r>
        <w:t xml:space="preserve"> </w:t>
      </w:r>
      <w:r w:rsidRPr="006205E3">
        <w:rPr>
          <w:i/>
        </w:rPr>
        <w:t>DSNP Application for Review</w:t>
      </w:r>
      <w:r>
        <w:t xml:space="preserve"> at 17 (citing </w:t>
      </w:r>
      <w:r w:rsidRPr="0064799A">
        <w:t>Gardner Test., Hr’g Tr. at 49</w:t>
      </w:r>
      <w:r>
        <w:t>4)); and (ii) recognizes the distinction between a renewal rate increase and a surcharge during the term of the agreement that accounts for new programming or features (</w:t>
      </w:r>
      <w:r w:rsidRPr="007E2BAB">
        <w:rPr>
          <w:i/>
        </w:rPr>
        <w:t>see</w:t>
      </w:r>
      <w:r>
        <w:t xml:space="preserve"> </w:t>
      </w:r>
      <w:r w:rsidRPr="006205E3">
        <w:rPr>
          <w:i/>
        </w:rPr>
        <w:t>DSNP Application for Review</w:t>
      </w:r>
      <w:r>
        <w:t xml:space="preserve"> at 17-18 (citing </w:t>
      </w:r>
      <w:r w:rsidRPr="0064799A">
        <w:t>Gardner Expert Report</w:t>
      </w:r>
      <w:r>
        <w:t xml:space="preserve"> at 24 and </w:t>
      </w:r>
      <w:r w:rsidRPr="0064799A">
        <w:t xml:space="preserve">Gardner Test., Hr’g Tr. at </w:t>
      </w:r>
      <w:r>
        <w:t>348-49)).  In the evidence cited, however, Mr. Gardner was discussing a typical renewal scenario, not the atypical facts presented here where a rate increase shortly before renewal accounted for any improvements in the RSN.</w:t>
      </w:r>
    </w:p>
  </w:footnote>
  <w:footnote w:id="111">
    <w:p w:rsidR="00044813" w:rsidRDefault="00044813" w:rsidP="008444E1">
      <w:pPr>
        <w:spacing w:after="120"/>
        <w:rPr>
          <w:sz w:val="20"/>
        </w:rPr>
      </w:pPr>
      <w:r w:rsidRPr="008444E1">
        <w:rPr>
          <w:rStyle w:val="FootnoteReference"/>
        </w:rPr>
        <w:footnoteRef/>
      </w:r>
      <w:r w:rsidRPr="008444E1">
        <w:rPr>
          <w:sz w:val="20"/>
        </w:rPr>
        <w:t xml:space="preserve"> </w:t>
      </w:r>
      <w:r w:rsidRPr="008444E1">
        <w:rPr>
          <w:i/>
          <w:sz w:val="20"/>
        </w:rPr>
        <w:t>See Order on Review</w:t>
      </w:r>
      <w:r w:rsidRPr="008444E1">
        <w:rPr>
          <w:sz w:val="20"/>
        </w:rPr>
        <w:t>, 26 FCC Rcd at 12606</w:t>
      </w:r>
      <w:r>
        <w:rPr>
          <w:sz w:val="20"/>
        </w:rPr>
        <w:t>-07</w:t>
      </w:r>
      <w:r w:rsidRPr="008444E1">
        <w:rPr>
          <w:sz w:val="20"/>
        </w:rPr>
        <w:t xml:space="preserve">, ¶ 46.  DSNP </w:t>
      </w:r>
      <w:r>
        <w:rPr>
          <w:sz w:val="20"/>
        </w:rPr>
        <w:t xml:space="preserve">also </w:t>
      </w:r>
      <w:r w:rsidRPr="008444E1">
        <w:rPr>
          <w:sz w:val="20"/>
        </w:rPr>
        <w:t xml:space="preserve">notes, as clearly set forth in the </w:t>
      </w:r>
      <w:r w:rsidRPr="008444E1">
        <w:rPr>
          <w:i/>
          <w:sz w:val="20"/>
        </w:rPr>
        <w:t>Order on Review</w:t>
      </w:r>
      <w:r w:rsidRPr="008444E1">
        <w:rPr>
          <w:sz w:val="20"/>
        </w:rPr>
        <w:t xml:space="preserve">, that Armstrong’s renewal rate increase, even with the surcharges included, is still below the range deemed typical by Mr. Gardner in </w:t>
      </w:r>
      <w:r w:rsidRPr="008444E1">
        <w:rPr>
          <w:b/>
          <w:sz w:val="20"/>
        </w:rPr>
        <w:t>[</w:t>
      </w:r>
      <w:r w:rsidRPr="00E041E4">
        <w:rPr>
          <w:b/>
          <w:sz w:val="20"/>
        </w:rPr>
        <w:t>REDACTED</w:t>
      </w:r>
      <w:r w:rsidRPr="008444E1">
        <w:rPr>
          <w:b/>
          <w:sz w:val="20"/>
        </w:rPr>
        <w:t>]</w:t>
      </w:r>
      <w:r w:rsidRPr="008444E1">
        <w:rPr>
          <w:sz w:val="20"/>
        </w:rPr>
        <w:t xml:space="preserve">.  </w:t>
      </w:r>
      <w:r w:rsidRPr="008444E1">
        <w:rPr>
          <w:i/>
          <w:sz w:val="20"/>
        </w:rPr>
        <w:t>See</w:t>
      </w:r>
      <w:r w:rsidRPr="008444E1">
        <w:rPr>
          <w:sz w:val="20"/>
        </w:rPr>
        <w:t xml:space="preserve"> </w:t>
      </w:r>
      <w:r w:rsidRPr="008444E1">
        <w:rPr>
          <w:i/>
          <w:sz w:val="20"/>
        </w:rPr>
        <w:t>DSNP Application for Review</w:t>
      </w:r>
      <w:r w:rsidRPr="008444E1">
        <w:rPr>
          <w:sz w:val="20"/>
        </w:rPr>
        <w:t xml:space="preserve"> at 19 (citing </w:t>
      </w:r>
      <w:r w:rsidRPr="008444E1">
        <w:rPr>
          <w:i/>
          <w:sz w:val="20"/>
        </w:rPr>
        <w:t>Order on Review</w:t>
      </w:r>
      <w:r>
        <w:rPr>
          <w:sz w:val="20"/>
        </w:rPr>
        <w:t xml:space="preserve">, 26 FCC Rcd </w:t>
      </w:r>
      <w:r w:rsidRPr="008444E1">
        <w:rPr>
          <w:sz w:val="20"/>
        </w:rPr>
        <w:t xml:space="preserve">at </w:t>
      </w:r>
      <w:r>
        <w:rPr>
          <w:sz w:val="20"/>
        </w:rPr>
        <w:t xml:space="preserve">12605, </w:t>
      </w:r>
      <w:r w:rsidRPr="000D69AF">
        <w:rPr>
          <w:sz w:val="20"/>
        </w:rPr>
        <w:t>Table B</w:t>
      </w:r>
      <w:r w:rsidRPr="008444E1">
        <w:rPr>
          <w:sz w:val="20"/>
        </w:rPr>
        <w:t>).  DSNP’s renewal rate increase, with the surcharges included, however, exceeds th</w:t>
      </w:r>
      <w:r>
        <w:rPr>
          <w:sz w:val="20"/>
        </w:rPr>
        <w:t>is t</w:t>
      </w:r>
      <w:r w:rsidRPr="008444E1">
        <w:rPr>
          <w:sz w:val="20"/>
        </w:rPr>
        <w:t xml:space="preserve">ypical </w:t>
      </w:r>
      <w:r>
        <w:rPr>
          <w:sz w:val="20"/>
        </w:rPr>
        <w:t>range in</w:t>
      </w:r>
      <w:r w:rsidRPr="008444E1">
        <w:rPr>
          <w:sz w:val="20"/>
        </w:rPr>
        <w:t xml:space="preserve"> </w:t>
      </w:r>
      <w:r w:rsidRPr="008444E1">
        <w:rPr>
          <w:b/>
          <w:sz w:val="20"/>
        </w:rPr>
        <w:t>[</w:t>
      </w:r>
      <w:r w:rsidRPr="00E041E4">
        <w:rPr>
          <w:b/>
          <w:sz w:val="20"/>
        </w:rPr>
        <w:t>REDACTED</w:t>
      </w:r>
      <w:r w:rsidRPr="008444E1">
        <w:rPr>
          <w:b/>
          <w:sz w:val="20"/>
        </w:rPr>
        <w:t>]</w:t>
      </w:r>
      <w:r w:rsidRPr="008444E1">
        <w:rPr>
          <w:sz w:val="20"/>
        </w:rPr>
        <w:t xml:space="preserve">.  </w:t>
      </w:r>
      <w:r w:rsidRPr="008444E1">
        <w:rPr>
          <w:i/>
          <w:sz w:val="20"/>
        </w:rPr>
        <w:t>See Order on Review</w:t>
      </w:r>
      <w:r>
        <w:rPr>
          <w:sz w:val="20"/>
        </w:rPr>
        <w:t xml:space="preserve">, 26 FCC Rcd </w:t>
      </w:r>
      <w:r w:rsidRPr="008444E1">
        <w:rPr>
          <w:sz w:val="20"/>
        </w:rPr>
        <w:t xml:space="preserve">at </w:t>
      </w:r>
      <w:r>
        <w:rPr>
          <w:sz w:val="20"/>
        </w:rPr>
        <w:t xml:space="preserve">12605, </w:t>
      </w:r>
      <w:r w:rsidRPr="000D69AF">
        <w:rPr>
          <w:sz w:val="20"/>
        </w:rPr>
        <w:t>Table B</w:t>
      </w:r>
      <w:r w:rsidRPr="008444E1">
        <w:rPr>
          <w:sz w:val="20"/>
        </w:rPr>
        <w:t xml:space="preserve">.  </w:t>
      </w:r>
      <w:r>
        <w:rPr>
          <w:sz w:val="20"/>
        </w:rPr>
        <w:t>Moreover</w:t>
      </w:r>
      <w:r w:rsidRPr="008444E1">
        <w:rPr>
          <w:sz w:val="20"/>
        </w:rPr>
        <w:t xml:space="preserve">, the data provided in Table B of the </w:t>
      </w:r>
      <w:r w:rsidRPr="008444E1">
        <w:rPr>
          <w:i/>
          <w:sz w:val="20"/>
        </w:rPr>
        <w:t>Order on Review</w:t>
      </w:r>
      <w:r w:rsidRPr="008444E1">
        <w:rPr>
          <w:sz w:val="20"/>
        </w:rPr>
        <w:t xml:space="preserve"> indicate that the average renewal rate increase (surcharges included) in the DSNP final offer is </w:t>
      </w:r>
      <w:r w:rsidRPr="008444E1">
        <w:rPr>
          <w:b/>
          <w:sz w:val="20"/>
        </w:rPr>
        <w:t>[</w:t>
      </w:r>
      <w:r w:rsidRPr="00E041E4">
        <w:rPr>
          <w:b/>
          <w:sz w:val="20"/>
        </w:rPr>
        <w:t>REDACTED</w:t>
      </w:r>
      <w:r w:rsidRPr="008444E1">
        <w:rPr>
          <w:b/>
          <w:sz w:val="20"/>
        </w:rPr>
        <w:t>]</w:t>
      </w:r>
      <w:r w:rsidRPr="008444E1">
        <w:rPr>
          <w:sz w:val="20"/>
        </w:rPr>
        <w:t xml:space="preserve">, which is outside of </w:t>
      </w:r>
      <w:r>
        <w:rPr>
          <w:sz w:val="20"/>
        </w:rPr>
        <w:t xml:space="preserve">this </w:t>
      </w:r>
      <w:r w:rsidRPr="008444E1">
        <w:rPr>
          <w:sz w:val="20"/>
        </w:rPr>
        <w:t xml:space="preserve">typical range, whereas the average renewal rate increase (surcharges included) in the Armstrong final offer is </w:t>
      </w:r>
      <w:r w:rsidRPr="008444E1">
        <w:rPr>
          <w:b/>
          <w:sz w:val="20"/>
        </w:rPr>
        <w:t>[</w:t>
      </w:r>
      <w:r w:rsidRPr="00E041E4">
        <w:rPr>
          <w:b/>
          <w:sz w:val="20"/>
        </w:rPr>
        <w:t>REDACTED</w:t>
      </w:r>
      <w:r w:rsidRPr="008444E1">
        <w:rPr>
          <w:b/>
          <w:sz w:val="20"/>
        </w:rPr>
        <w:t>]</w:t>
      </w:r>
      <w:r w:rsidRPr="008444E1">
        <w:rPr>
          <w:sz w:val="20"/>
        </w:rPr>
        <w:t xml:space="preserve">, which falls within </w:t>
      </w:r>
      <w:r>
        <w:rPr>
          <w:sz w:val="20"/>
        </w:rPr>
        <w:t xml:space="preserve">this </w:t>
      </w:r>
      <w:r w:rsidRPr="008444E1">
        <w:rPr>
          <w:sz w:val="20"/>
        </w:rPr>
        <w:t xml:space="preserve">typical range.  </w:t>
      </w:r>
      <w:r w:rsidRPr="008444E1">
        <w:rPr>
          <w:i/>
          <w:sz w:val="20"/>
        </w:rPr>
        <w:t>See Order on Review</w:t>
      </w:r>
      <w:r>
        <w:rPr>
          <w:sz w:val="20"/>
        </w:rPr>
        <w:t xml:space="preserve">, 26 FCC Rcd </w:t>
      </w:r>
      <w:r w:rsidRPr="008444E1">
        <w:rPr>
          <w:sz w:val="20"/>
        </w:rPr>
        <w:t xml:space="preserve">at </w:t>
      </w:r>
      <w:r>
        <w:rPr>
          <w:sz w:val="20"/>
        </w:rPr>
        <w:t xml:space="preserve">12605, </w:t>
      </w:r>
      <w:r w:rsidRPr="000D69AF">
        <w:rPr>
          <w:sz w:val="20"/>
        </w:rPr>
        <w:t>Table B</w:t>
      </w:r>
      <w:r w:rsidRPr="008444E1">
        <w:rPr>
          <w:sz w:val="20"/>
        </w:rPr>
        <w:t xml:space="preserve">.  </w:t>
      </w:r>
    </w:p>
    <w:p w:rsidR="00044813" w:rsidRPr="008444E1" w:rsidRDefault="00044813" w:rsidP="0074058B">
      <w:pPr>
        <w:spacing w:after="120"/>
        <w:rPr>
          <w:sz w:val="20"/>
        </w:rPr>
      </w:pPr>
      <w:r w:rsidRPr="008444E1">
        <w:rPr>
          <w:sz w:val="20"/>
        </w:rPr>
        <w:t>While DSNP attempts to associate the renewal rate increase with the increasing rights fees for professional sports</w:t>
      </w:r>
      <w:r>
        <w:rPr>
          <w:sz w:val="20"/>
        </w:rPr>
        <w:t xml:space="preserve"> (</w:t>
      </w:r>
      <w:r w:rsidRPr="008444E1">
        <w:rPr>
          <w:i/>
          <w:sz w:val="20"/>
        </w:rPr>
        <w:t>see DSNP Application for Review</w:t>
      </w:r>
      <w:r>
        <w:rPr>
          <w:sz w:val="20"/>
        </w:rPr>
        <w:t xml:space="preserve"> at 18 n.17)</w:t>
      </w:r>
      <w:r w:rsidRPr="008444E1">
        <w:rPr>
          <w:sz w:val="20"/>
        </w:rPr>
        <w:t xml:space="preserve">, the Media Bureau </w:t>
      </w:r>
      <w:r>
        <w:rPr>
          <w:sz w:val="20"/>
        </w:rPr>
        <w:t xml:space="preserve">properly </w:t>
      </w:r>
      <w:r w:rsidRPr="008444E1">
        <w:rPr>
          <w:sz w:val="20"/>
        </w:rPr>
        <w:t xml:space="preserve">found that there is no basis to conclude that the Armstrong final offer would prevent DSNP from recovering a reasonable share of its programming costs.  </w:t>
      </w:r>
      <w:r w:rsidRPr="008444E1">
        <w:rPr>
          <w:i/>
          <w:sz w:val="20"/>
        </w:rPr>
        <w:t xml:space="preserve"> See supra</w:t>
      </w:r>
      <w:r>
        <w:rPr>
          <w:sz w:val="20"/>
        </w:rPr>
        <w:t xml:space="preserve"> ¶ 12</w:t>
      </w:r>
      <w:r w:rsidRPr="008444E1">
        <w:rPr>
          <w:sz w:val="20"/>
        </w:rPr>
        <w:t>.  DSNP does not challenge this finding.</w:t>
      </w:r>
      <w:r>
        <w:rPr>
          <w:sz w:val="20"/>
        </w:rPr>
        <w:t xml:space="preserve">  </w:t>
      </w:r>
      <w:r w:rsidRPr="00C32110">
        <w:rPr>
          <w:sz w:val="20"/>
        </w:rPr>
        <w:t xml:space="preserve">In addition, DSNP claims that it would be “better off” continuing the rates that Armstrong was paying at the expiration of its agreement and applying the </w:t>
      </w:r>
      <w:r w:rsidRPr="00C32110">
        <w:rPr>
          <w:b/>
          <w:sz w:val="20"/>
        </w:rPr>
        <w:t>[</w:t>
      </w:r>
      <w:r w:rsidRPr="00E041E4">
        <w:rPr>
          <w:b/>
          <w:sz w:val="20"/>
        </w:rPr>
        <w:t>REDACTED</w:t>
      </w:r>
      <w:r w:rsidRPr="00C32110">
        <w:rPr>
          <w:b/>
          <w:sz w:val="20"/>
        </w:rPr>
        <w:t>]</w:t>
      </w:r>
      <w:r w:rsidRPr="00C32110">
        <w:rPr>
          <w:sz w:val="20"/>
        </w:rPr>
        <w:t xml:space="preserve"> annual escalator that the </w:t>
      </w:r>
      <w:r>
        <w:rPr>
          <w:sz w:val="20"/>
        </w:rPr>
        <w:t xml:space="preserve">Media </w:t>
      </w:r>
      <w:r w:rsidRPr="00C32110">
        <w:rPr>
          <w:sz w:val="20"/>
        </w:rPr>
        <w:t xml:space="preserve">Bureau determined most closely approximates fair market value.  </w:t>
      </w:r>
      <w:r w:rsidRPr="00C32110">
        <w:rPr>
          <w:i/>
          <w:sz w:val="20"/>
        </w:rPr>
        <w:t>See DSNP Application</w:t>
      </w:r>
      <w:r w:rsidRPr="00C32110">
        <w:rPr>
          <w:sz w:val="20"/>
        </w:rPr>
        <w:t xml:space="preserve"> </w:t>
      </w:r>
      <w:r w:rsidRPr="00C32110">
        <w:rPr>
          <w:i/>
          <w:sz w:val="20"/>
        </w:rPr>
        <w:t>for Review</w:t>
      </w:r>
      <w:r w:rsidRPr="00C32110">
        <w:rPr>
          <w:sz w:val="20"/>
        </w:rPr>
        <w:t xml:space="preserve"> at 19 and Exhibit 4 (citing </w:t>
      </w:r>
      <w:r w:rsidRPr="00C32110">
        <w:rPr>
          <w:i/>
          <w:spacing w:val="-2"/>
          <w:sz w:val="20"/>
        </w:rPr>
        <w:t>Order on Review</w:t>
      </w:r>
      <w:r w:rsidRPr="00C32110">
        <w:rPr>
          <w:spacing w:val="-2"/>
          <w:sz w:val="20"/>
        </w:rPr>
        <w:t>, 26 FCC Rcd at 1</w:t>
      </w:r>
      <w:r w:rsidRPr="000D69AF">
        <w:rPr>
          <w:spacing w:val="-2"/>
          <w:sz w:val="20"/>
        </w:rPr>
        <w:t>26</w:t>
      </w:r>
      <w:r>
        <w:rPr>
          <w:spacing w:val="-2"/>
          <w:sz w:val="20"/>
        </w:rPr>
        <w:t>08</w:t>
      </w:r>
      <w:r w:rsidRPr="00C32110">
        <w:rPr>
          <w:spacing w:val="-2"/>
          <w:sz w:val="20"/>
        </w:rPr>
        <w:t>, ¶ 48</w:t>
      </w:r>
      <w:r w:rsidRPr="00C32110">
        <w:rPr>
          <w:sz w:val="20"/>
        </w:rPr>
        <w:t xml:space="preserve">).  </w:t>
      </w:r>
      <w:r>
        <w:rPr>
          <w:sz w:val="20"/>
        </w:rPr>
        <w:t>A</w:t>
      </w:r>
      <w:r w:rsidRPr="00C32110">
        <w:rPr>
          <w:sz w:val="20"/>
        </w:rPr>
        <w:t>s with DSNP’s proposed renewal rate increase, this suggestion would effectively charge Armstrong twice for improvements it had already paid for prior to the expiration of its agreement.</w:t>
      </w:r>
    </w:p>
  </w:footnote>
  <w:footnote w:id="112">
    <w:p w:rsidR="00044813" w:rsidRDefault="00044813">
      <w:pPr>
        <w:pStyle w:val="FootnoteText"/>
      </w:pPr>
      <w:r w:rsidRPr="008444E1">
        <w:rPr>
          <w:rStyle w:val="FootnoteReference"/>
        </w:rPr>
        <w:footnoteRef/>
      </w:r>
      <w:r w:rsidRPr="008444E1">
        <w:t xml:space="preserve"> </w:t>
      </w:r>
      <w:r w:rsidRPr="008444E1">
        <w:rPr>
          <w:i/>
        </w:rPr>
        <w:t>See Order on Review</w:t>
      </w:r>
      <w:r w:rsidRPr="00F216E2">
        <w:t xml:space="preserve">, 26 FCC Rcd </w:t>
      </w:r>
      <w:r>
        <w:t xml:space="preserve">at 12606-07, ¶ 46.  </w:t>
      </w:r>
    </w:p>
  </w:footnote>
  <w:footnote w:id="113">
    <w:p w:rsidR="00044813" w:rsidRDefault="00044813">
      <w:pPr>
        <w:pStyle w:val="FootnoteText"/>
      </w:pPr>
      <w:r>
        <w:rPr>
          <w:rStyle w:val="FootnoteReference"/>
        </w:rPr>
        <w:footnoteRef/>
      </w:r>
      <w:r>
        <w:t xml:space="preserve"> </w:t>
      </w:r>
      <w:r w:rsidRPr="002D5982">
        <w:rPr>
          <w:i/>
        </w:rPr>
        <w:t>See id</w:t>
      </w:r>
      <w:r>
        <w:t>.</w:t>
      </w:r>
    </w:p>
  </w:footnote>
  <w:footnote w:id="114">
    <w:p w:rsidR="00044813" w:rsidRDefault="00044813">
      <w:pPr>
        <w:pStyle w:val="FootnoteText"/>
      </w:pPr>
      <w:r>
        <w:rPr>
          <w:rStyle w:val="FootnoteReference"/>
        </w:rPr>
        <w:footnoteRef/>
      </w:r>
      <w:r>
        <w:t xml:space="preserve"> </w:t>
      </w:r>
      <w:r w:rsidRPr="002D5982">
        <w:rPr>
          <w:i/>
        </w:rPr>
        <w:t>See DSNP Application for Review</w:t>
      </w:r>
      <w:r>
        <w:t xml:space="preserve"> at 18.</w:t>
      </w:r>
    </w:p>
  </w:footnote>
  <w:footnote w:id="115">
    <w:p w:rsidR="00044813" w:rsidRDefault="00044813">
      <w:pPr>
        <w:pStyle w:val="FootnoteText"/>
      </w:pPr>
      <w:r>
        <w:rPr>
          <w:rStyle w:val="FootnoteReference"/>
        </w:rPr>
        <w:footnoteRef/>
      </w:r>
      <w:r>
        <w:t xml:space="preserve"> </w:t>
      </w:r>
      <w:r>
        <w:rPr>
          <w:i/>
        </w:rPr>
        <w:t>See A</w:t>
      </w:r>
      <w:r w:rsidRPr="007E2BAB">
        <w:rPr>
          <w:i/>
        </w:rPr>
        <w:t>rmstrong Opposition</w:t>
      </w:r>
      <w:r>
        <w:t xml:space="preserve"> at 19 n.14 (noting that the annual escalator may be tied to other negotiation points).</w:t>
      </w:r>
    </w:p>
  </w:footnote>
  <w:footnote w:id="116">
    <w:p w:rsidR="00044813" w:rsidRDefault="00044813">
      <w:pPr>
        <w:pStyle w:val="FootnoteText"/>
      </w:pPr>
      <w:r>
        <w:rPr>
          <w:rStyle w:val="FootnoteReference"/>
        </w:rPr>
        <w:footnoteRef/>
      </w:r>
      <w:r>
        <w:t xml:space="preserve"> </w:t>
      </w:r>
      <w:r w:rsidRPr="004E635A">
        <w:t xml:space="preserve">We disagree with Commissioner Pai that the Liberty arbitration condition requires the Commission to precisely calculate an exact “fair market value” in every case before it can affirm an arbitration award.  Fair market value by definition is a subjective estimation of what a willing buyer and a willing seller will agree to in an arm’s-length transaction and is not necessarily subject to precise formulaic calculation.  Instead, the Liberty arbitration condition, agreed to by DSNP and invoked by Armstrong, mandates selection of the final offer that “most closely approximates” fair market value, but nowhere mandates a precise calculation.  </w:t>
      </w:r>
      <w:r w:rsidRPr="0014148C">
        <w:t xml:space="preserve">Nothing in the provision cited by Commissioner Pai imposes an affirmative obligation to make a precise calculation of fair market value.  </w:t>
      </w:r>
      <w:r w:rsidRPr="0039727A">
        <w:rPr>
          <w:i/>
        </w:rPr>
        <w:t>See Liberty Media Order</w:t>
      </w:r>
      <w:r w:rsidRPr="0014148C">
        <w:t xml:space="preserve">, 23 FCC Rcd at 3347, Appendix B, Condition IV, § B “Rules of Arbitration,” ¶ 5; </w:t>
      </w:r>
      <w:r w:rsidRPr="0039727A">
        <w:rPr>
          <w:i/>
        </w:rPr>
        <w:t>see also Armstrong Opposition</w:t>
      </w:r>
      <w:r w:rsidRPr="0014148C">
        <w:t xml:space="preserve"> at 12 n.10.  </w:t>
      </w:r>
      <w:r w:rsidRPr="004E635A">
        <w:t>Rather, th</w:t>
      </w:r>
      <w:r>
        <w:t>e</w:t>
      </w:r>
      <w:r w:rsidRPr="004E635A">
        <w:t xml:space="preserve"> </w:t>
      </w:r>
      <w:r>
        <w:t xml:space="preserve">arbitration </w:t>
      </w:r>
      <w:r w:rsidRPr="004E635A">
        <w:t xml:space="preserve">condition requires consideration of the record evidence put forth by the parties and their experts during the course of the arbitration.  Here, the record includes evidence of comparable transactions and historical benchmarks establishing a fundamental principle of marketplace negotiations for RSN programming, agreed to by both DSNP and Armstrong, that an MVPD that has a greater number of subscribers and generates more revenue for an RSN will obtain better rates, terms, and conditions.  </w:t>
      </w:r>
      <w:r w:rsidRPr="004E635A">
        <w:rPr>
          <w:i/>
        </w:rPr>
        <w:t xml:space="preserve">See supra </w:t>
      </w:r>
      <w:r w:rsidRPr="004E635A">
        <w:t>¶ 15.  Only Armstrong’s offer comports with this principle.  While agreeing with this principle of fair market value, however, DSNP relied upon an averaging methodology that is inconsistent with this principle and has no basis in industry practice.  While Commissioner Pai contends that “the record offers plausible ways to determine” fair market value, neither party chose to present th</w:t>
      </w:r>
      <w:r>
        <w:t>e</w:t>
      </w:r>
      <w:r w:rsidRPr="004E635A">
        <w:t>s</w:t>
      </w:r>
      <w:r>
        <w:t>e</w:t>
      </w:r>
      <w:r w:rsidRPr="004E635A">
        <w:t xml:space="preserve"> method</w:t>
      </w:r>
      <w:r>
        <w:t>s</w:t>
      </w:r>
      <w:r w:rsidRPr="004E635A">
        <w:t xml:space="preserve"> at any stage of the proceeding as a way to calculate fair market value.  Accordingly, there was no opportunity to review the efficacy of these methodologies or the data relied upon at the </w:t>
      </w:r>
      <w:r w:rsidRPr="004E635A">
        <w:rPr>
          <w:i/>
        </w:rPr>
        <w:t>de novo</w:t>
      </w:r>
      <w:r w:rsidRPr="004E635A">
        <w:t xml:space="preserve"> review stage.  Even if one of the parties had advocated such analyses, it appears that there would have been ample grounds to question their validity.  For example, the regression analysis assumes a linear relationship between the rates charged to the Pittsburgh area MVPDs and the revenue they generate, yet there is </w:t>
      </w:r>
      <w:r>
        <w:t>insufficient</w:t>
      </w:r>
      <w:r w:rsidRPr="004E635A">
        <w:t xml:space="preserve"> explanation as to why a simple linear relationship is appropriate.  Moreover, there is no basis to assume that </w:t>
      </w:r>
      <w:r>
        <w:t>the</w:t>
      </w:r>
      <w:r w:rsidRPr="004E635A">
        <w:t xml:space="preserve"> regression analys</w:t>
      </w:r>
      <w:r>
        <w:t>e</w:t>
      </w:r>
      <w:r w:rsidRPr="004E635A">
        <w:t>s could yield reasonably precise estimates given the small sample sizes used (four or five observations per regression).  In addition, the analys</w:t>
      </w:r>
      <w:r>
        <w:t>e</w:t>
      </w:r>
      <w:r w:rsidRPr="004E635A">
        <w:t>s appear to assess rates versus aggregate annual revenue (based on a single year of aggregate revenue data) instead of rates as a function of subscribers per zone, ignoring that revenue is a function of rates per subscriber per zone.  </w:t>
      </w:r>
      <w:r w:rsidRPr="004E635A">
        <w:rPr>
          <w:bCs/>
        </w:rPr>
        <w:t xml:space="preserve">Commissioner Pai’s other analysis relies on a </w:t>
      </w:r>
      <w:r w:rsidRPr="001638B3">
        <w:rPr>
          <w:b/>
          <w:szCs w:val="22"/>
        </w:rPr>
        <w:t>[</w:t>
      </w:r>
      <w:r>
        <w:rPr>
          <w:b/>
        </w:rPr>
        <w:t>REDACTED</w:t>
      </w:r>
      <w:r w:rsidRPr="00430BEA">
        <w:rPr>
          <w:b/>
        </w:rPr>
        <w:t>]</w:t>
      </w:r>
      <w:r w:rsidRPr="004E635A">
        <w:rPr>
          <w:bCs/>
        </w:rPr>
        <w:t xml:space="preserve"> rate renewal increase that was not proposed in either party’s final offer.  In fact, if the analysis used the rate renewal increases that the Arbitrator</w:t>
      </w:r>
      <w:r>
        <w:rPr>
          <w:bCs/>
        </w:rPr>
        <w:t xml:space="preserve"> and</w:t>
      </w:r>
      <w:r w:rsidRPr="004E635A">
        <w:rPr>
          <w:bCs/>
        </w:rPr>
        <w:t xml:space="preserve"> the Media Bureau</w:t>
      </w:r>
      <w:r>
        <w:rPr>
          <w:bCs/>
        </w:rPr>
        <w:t xml:space="preserve"> found</w:t>
      </w:r>
      <w:r w:rsidRPr="004E635A">
        <w:rPr>
          <w:bCs/>
        </w:rPr>
        <w:t>, and we find here</w:t>
      </w:r>
      <w:r>
        <w:rPr>
          <w:bCs/>
        </w:rPr>
        <w:t>,</w:t>
      </w:r>
      <w:r w:rsidRPr="004E635A">
        <w:rPr>
          <w:bCs/>
        </w:rPr>
        <w:t xml:space="preserve"> to most closely approximate fair market value (</w:t>
      </w:r>
      <w:r w:rsidRPr="004E635A">
        <w:rPr>
          <w:bCs/>
          <w:i/>
          <w:iCs/>
        </w:rPr>
        <w:t>see</w:t>
      </w:r>
      <w:r w:rsidRPr="004E635A">
        <w:rPr>
          <w:bCs/>
        </w:rPr>
        <w:t> </w:t>
      </w:r>
      <w:r w:rsidRPr="004E635A">
        <w:rPr>
          <w:bCs/>
          <w:i/>
          <w:iCs/>
        </w:rPr>
        <w:t>Order on Review</w:t>
      </w:r>
      <w:r w:rsidRPr="004E635A">
        <w:rPr>
          <w:bCs/>
          <w:iCs/>
        </w:rPr>
        <w:t xml:space="preserve">, 26 FCC Rcd at 12605, Table B; </w:t>
      </w:r>
      <w:r w:rsidRPr="004E635A">
        <w:rPr>
          <w:bCs/>
          <w:i/>
          <w:iCs/>
        </w:rPr>
        <w:t>see also supra</w:t>
      </w:r>
      <w:r w:rsidRPr="004E635A">
        <w:rPr>
          <w:bCs/>
          <w:iCs/>
        </w:rPr>
        <w:t xml:space="preserve"> </w:t>
      </w:r>
      <w:r w:rsidRPr="004E635A">
        <w:t>¶¶ 23-24</w:t>
      </w:r>
      <w:r w:rsidRPr="004E635A">
        <w:rPr>
          <w:bCs/>
        </w:rPr>
        <w:t xml:space="preserve">), Armstrong’s proposed rates are closer than DSNP’s proposed rates to these purported estimates of fair market value in fifteen of eighteen instances.  </w:t>
      </w:r>
      <w:r w:rsidRPr="004E635A">
        <w:t>For all these reasons, we do not find Commissioner Pai’s analysis to be relevant to the conclusions we reach in this Order.</w:t>
      </w:r>
    </w:p>
  </w:footnote>
  <w:footnote w:id="117">
    <w:p w:rsidR="00044813" w:rsidRPr="00AA0419" w:rsidRDefault="00044813" w:rsidP="003A0CBE">
      <w:pPr>
        <w:pStyle w:val="FootnoteText"/>
      </w:pPr>
      <w:r w:rsidRPr="00AA0419">
        <w:rPr>
          <w:rStyle w:val="FootnoteReference"/>
        </w:rPr>
        <w:footnoteRef/>
      </w:r>
      <w:r w:rsidRPr="00AA0419">
        <w:t xml:space="preserve"> </w:t>
      </w:r>
      <w:r>
        <w:rPr>
          <w:i/>
        </w:rPr>
        <w:t>See, e</w:t>
      </w:r>
      <w:r w:rsidRPr="00AA0419">
        <w:rPr>
          <w:i/>
        </w:rPr>
        <w:t>.g.</w:t>
      </w:r>
      <w:r w:rsidRPr="00AA0419">
        <w:t>, http://www.youtube.com/watch?v=CuQ7ilMtKvg</w:t>
      </w:r>
      <w:r>
        <w:t>.</w:t>
      </w:r>
    </w:p>
  </w:footnote>
  <w:footnote w:id="118">
    <w:p w:rsidR="00044813" w:rsidRDefault="00044813" w:rsidP="003A0CBE">
      <w:pPr>
        <w:pStyle w:val="FootnoteText"/>
      </w:pPr>
      <w:r>
        <w:rPr>
          <w:rStyle w:val="FootnoteReference"/>
        </w:rPr>
        <w:footnoteRef/>
      </w:r>
      <w:r>
        <w:t xml:space="preserve"> In 2011, Fox Sports Net Pittsburgh was renamed Root Sports Pittsburgh.</w:t>
      </w:r>
    </w:p>
  </w:footnote>
  <w:footnote w:id="119">
    <w:p w:rsidR="00044813" w:rsidRDefault="00044813" w:rsidP="003A0CBE">
      <w:pPr>
        <w:pStyle w:val="FootnoteText"/>
      </w:pPr>
      <w:r>
        <w:rPr>
          <w:rStyle w:val="FootnoteReference"/>
        </w:rPr>
        <w:footnoteRef/>
      </w:r>
      <w:r>
        <w:t xml:space="preserve"> </w:t>
      </w:r>
      <w:r w:rsidRPr="00BC0318">
        <w:rPr>
          <w:i/>
        </w:rPr>
        <w:t>See Applications for Consent to the Assignment and/or Transfer of Control of Licenses, News Corporation and The DIRECTV Group, Inc., Transferors, to Liberty Media Corporation, Transferee</w:t>
      </w:r>
      <w:r>
        <w:t>, Memorandum Opinion and Order, 23 FCC Rcd 3265 (2008).</w:t>
      </w:r>
    </w:p>
  </w:footnote>
  <w:footnote w:id="120">
    <w:p w:rsidR="00044813" w:rsidRPr="00AA0419" w:rsidRDefault="00044813" w:rsidP="003A0CBE">
      <w:pPr>
        <w:pStyle w:val="FootnoteText"/>
      </w:pPr>
      <w:r w:rsidRPr="00AA0419">
        <w:rPr>
          <w:rStyle w:val="FootnoteReference"/>
        </w:rPr>
        <w:footnoteRef/>
      </w:r>
      <w:r w:rsidRPr="00AA0419">
        <w:t xml:space="preserve"> </w:t>
      </w:r>
      <w:r>
        <w:rPr>
          <w:i/>
        </w:rPr>
        <w:t>Id.</w:t>
      </w:r>
      <w:r>
        <w:t xml:space="preserve"> at 3347, Appendix B, Condition IV, § B “Rules of Arbitration,” paras. 1, 3.</w:t>
      </w:r>
    </w:p>
  </w:footnote>
  <w:footnote w:id="121">
    <w:p w:rsidR="00044813" w:rsidRPr="00AA0419" w:rsidRDefault="00044813" w:rsidP="003A0CBE">
      <w:pPr>
        <w:pStyle w:val="FootnoteText"/>
      </w:pPr>
      <w:r w:rsidRPr="00AA0419">
        <w:rPr>
          <w:rStyle w:val="FootnoteReference"/>
        </w:rPr>
        <w:footnoteRef/>
      </w:r>
      <w:r w:rsidRPr="00AA0419">
        <w:t xml:space="preserve"> </w:t>
      </w:r>
      <w:r w:rsidRPr="00BC0318">
        <w:rPr>
          <w:i/>
        </w:rPr>
        <w:t>Id</w:t>
      </w:r>
      <w:r>
        <w:t>. at 3348,</w:t>
      </w:r>
      <w:r w:rsidRPr="004C34A7">
        <w:t xml:space="preserve"> </w:t>
      </w:r>
      <w:r>
        <w:t>Appendix B, Condition IV, § C “Review of Final Award by the Commission,” paras. 1, 3.</w:t>
      </w:r>
    </w:p>
  </w:footnote>
  <w:footnote w:id="122">
    <w:p w:rsidR="00044813" w:rsidRDefault="00044813" w:rsidP="003A0CBE">
      <w:pPr>
        <w:pStyle w:val="FootnoteText"/>
      </w:pPr>
      <w:r>
        <w:rPr>
          <w:rStyle w:val="FootnoteReference"/>
        </w:rPr>
        <w:footnoteRef/>
      </w:r>
      <w:r>
        <w:t xml:space="preserve"> </w:t>
      </w:r>
      <w:r w:rsidRPr="00D2064E">
        <w:rPr>
          <w:i/>
        </w:rPr>
        <w:t>See Order</w:t>
      </w:r>
      <w:r>
        <w:t xml:space="preserve"> at note 117.</w:t>
      </w:r>
    </w:p>
  </w:footnote>
  <w:footnote w:id="123">
    <w:p w:rsidR="00044813" w:rsidRDefault="00044813" w:rsidP="003A0CBE">
      <w:pPr>
        <w:pStyle w:val="FootnoteText"/>
      </w:pPr>
      <w:r>
        <w:rPr>
          <w:rStyle w:val="FootnoteReference"/>
        </w:rPr>
        <w:footnoteRef/>
      </w:r>
      <w:r>
        <w:t xml:space="preserve"> </w:t>
      </w:r>
      <w:r w:rsidRPr="005B1E99">
        <w:rPr>
          <w:i/>
        </w:rPr>
        <w:t>Liberty Media Order</w:t>
      </w:r>
      <w:r w:rsidRPr="005B1E99">
        <w:t>, at 3347, Appendix B, Condition IV, para. 3.</w:t>
      </w:r>
    </w:p>
  </w:footnote>
  <w:footnote w:id="124">
    <w:p w:rsidR="00044813" w:rsidRPr="00AA0419" w:rsidRDefault="00044813" w:rsidP="003A0CBE">
      <w:pPr>
        <w:pStyle w:val="FootnoteText"/>
      </w:pPr>
      <w:r w:rsidRPr="00AA0419">
        <w:rPr>
          <w:rStyle w:val="FootnoteReference"/>
        </w:rPr>
        <w:footnoteRef/>
      </w:r>
      <w:r w:rsidRPr="00AA0419">
        <w:t xml:space="preserve"> </w:t>
      </w:r>
      <w:r w:rsidRPr="00BC0318">
        <w:rPr>
          <w:i/>
        </w:rPr>
        <w:t>Order</w:t>
      </w:r>
      <w:r>
        <w:t xml:space="preserve"> at para. 7.  It is worth noting that the Commission and the Bureau fail to apply this principle consistently.  Even though </w:t>
      </w:r>
      <w:r w:rsidRPr="00430BEA">
        <w:rPr>
          <w:b/>
        </w:rPr>
        <w:t>[</w:t>
      </w:r>
      <w:r>
        <w:rPr>
          <w:b/>
        </w:rPr>
        <w:t>REDACTED</w:t>
      </w:r>
      <w:r w:rsidRPr="00430BEA">
        <w:rPr>
          <w:b/>
        </w:rPr>
        <w:t>]</w:t>
      </w:r>
      <w:r>
        <w:rPr>
          <w:b/>
        </w:rPr>
        <w:t xml:space="preserve"> </w:t>
      </w:r>
      <w:r>
        <w:t xml:space="preserve">has more customers that subscribe to FSNP than does Armstrong, the Commission and the Bureau conclude that Armstrong should receive better rates than </w:t>
      </w:r>
      <w:r w:rsidRPr="00430BEA">
        <w:rPr>
          <w:b/>
        </w:rPr>
        <w:t>[</w:t>
      </w:r>
      <w:r>
        <w:rPr>
          <w:b/>
        </w:rPr>
        <w:t>REDACTED</w:t>
      </w:r>
      <w:r w:rsidRPr="00430BEA">
        <w:rPr>
          <w:b/>
        </w:rPr>
        <w:t>]</w:t>
      </w:r>
      <w:r>
        <w:t xml:space="preserve">.  I presume they make this determination because Armstrong generates more revenue for FSNP than does </w:t>
      </w:r>
      <w:r w:rsidRPr="00430BEA">
        <w:rPr>
          <w:b/>
        </w:rPr>
        <w:t>[</w:t>
      </w:r>
      <w:r>
        <w:rPr>
          <w:b/>
        </w:rPr>
        <w:t>REDACTED</w:t>
      </w:r>
      <w:r w:rsidRPr="00430BEA">
        <w:rPr>
          <w:b/>
        </w:rPr>
        <w:t>]</w:t>
      </w:r>
      <w:r>
        <w:t xml:space="preserve">.  </w:t>
      </w:r>
    </w:p>
  </w:footnote>
  <w:footnote w:id="125">
    <w:p w:rsidR="00044813" w:rsidRPr="00AA0419" w:rsidRDefault="00044813" w:rsidP="003A0CBE">
      <w:pPr>
        <w:pStyle w:val="FootnoteText"/>
      </w:pPr>
      <w:r w:rsidRPr="00AA0419">
        <w:rPr>
          <w:rStyle w:val="FootnoteReference"/>
        </w:rPr>
        <w:footnoteRef/>
      </w:r>
      <w:r w:rsidRPr="00AA0419">
        <w:t xml:space="preserve"> </w:t>
      </w:r>
      <w:r w:rsidRPr="00BC0318">
        <w:rPr>
          <w:i/>
        </w:rPr>
        <w:t>See</w:t>
      </w:r>
      <w:r>
        <w:t xml:space="preserve"> DIRECTV Sports Net Pittsburgh, LLC, Application for Review, File No. CSR-8480-P, Exh. 3, at 2 (filed Sept. 9, 2011) (</w:t>
      </w:r>
      <w:r w:rsidRPr="00BC0318">
        <w:rPr>
          <w:i/>
        </w:rPr>
        <w:t>DSNP Application for Review</w:t>
      </w:r>
      <w:r>
        <w:t>).</w:t>
      </w:r>
    </w:p>
  </w:footnote>
  <w:footnote w:id="126">
    <w:p w:rsidR="00044813" w:rsidRDefault="00044813" w:rsidP="003A0CBE">
      <w:pPr>
        <w:pStyle w:val="FootnoteText"/>
      </w:pPr>
      <w:r>
        <w:rPr>
          <w:rStyle w:val="FootnoteReference"/>
        </w:rPr>
        <w:footnoteRef/>
      </w:r>
      <w:r>
        <w:t xml:space="preserve"> </w:t>
      </w:r>
      <w:r w:rsidRPr="00BC0318">
        <w:rPr>
          <w:i/>
        </w:rPr>
        <w:t>See</w:t>
      </w:r>
      <w:r>
        <w:t xml:space="preserve"> </w:t>
      </w:r>
      <w:r w:rsidRPr="00BC0318">
        <w:rPr>
          <w:i/>
        </w:rPr>
        <w:t>id</w:t>
      </w:r>
      <w:r>
        <w:t>.</w:t>
      </w:r>
    </w:p>
  </w:footnote>
  <w:footnote w:id="127">
    <w:p w:rsidR="00044813" w:rsidRDefault="00044813" w:rsidP="003A0CBE">
      <w:pPr>
        <w:pStyle w:val="FootnoteText"/>
      </w:pPr>
      <w:r>
        <w:rPr>
          <w:rStyle w:val="FootnoteReference"/>
        </w:rPr>
        <w:footnoteRef/>
      </w:r>
      <w:r>
        <w:t xml:space="preserve"> </w:t>
      </w:r>
      <w:r w:rsidRPr="00BC0318">
        <w:rPr>
          <w:i/>
        </w:rPr>
        <w:t xml:space="preserve">See </w:t>
      </w:r>
      <w:r>
        <w:rPr>
          <w:i/>
        </w:rPr>
        <w:t>id.</w:t>
      </w:r>
      <w:r>
        <w:t>, Exh. 3, at 1.</w:t>
      </w:r>
    </w:p>
  </w:footnote>
  <w:footnote w:id="128">
    <w:p w:rsidR="00044813" w:rsidRPr="00AA0419" w:rsidRDefault="00044813" w:rsidP="003A0CBE">
      <w:pPr>
        <w:pStyle w:val="FootnoteText"/>
      </w:pPr>
      <w:r w:rsidRPr="00AA0419">
        <w:rPr>
          <w:rStyle w:val="FootnoteReference"/>
        </w:rPr>
        <w:footnoteRef/>
      </w:r>
      <w:r w:rsidRPr="00AA0419">
        <w:t xml:space="preserve"> </w:t>
      </w:r>
      <w:r w:rsidRPr="00BC0318">
        <w:rPr>
          <w:i/>
        </w:rPr>
        <w:t>See id.</w:t>
      </w:r>
      <w:r>
        <w:t>, Exh. 3, at 2.</w:t>
      </w:r>
    </w:p>
  </w:footnote>
  <w:footnote w:id="129">
    <w:p w:rsidR="00044813" w:rsidRDefault="00044813" w:rsidP="003A0CBE">
      <w:pPr>
        <w:pStyle w:val="FootnoteText"/>
      </w:pPr>
      <w:r>
        <w:rPr>
          <w:rStyle w:val="FootnoteReference"/>
        </w:rPr>
        <w:footnoteRef/>
      </w:r>
      <w:r>
        <w:t xml:space="preserve"> </w:t>
      </w:r>
      <w:r>
        <w:rPr>
          <w:i/>
        </w:rPr>
        <w:t>See DIRECTV Sports Net Pittsburgh, LLC v. Armstrong Utilities Inc.</w:t>
      </w:r>
      <w:r>
        <w:t>, Order on Review 26 FCC Rcd 12574, 12606–08, paras. 46, 48 (Media Bur. 2011) (</w:t>
      </w:r>
      <w:r w:rsidRPr="00BC0318">
        <w:rPr>
          <w:i/>
        </w:rPr>
        <w:t>Order on Review</w:t>
      </w:r>
      <w:r>
        <w:t>).</w:t>
      </w:r>
    </w:p>
  </w:footnote>
  <w:footnote w:id="130">
    <w:p w:rsidR="00044813" w:rsidRPr="00AA0419" w:rsidRDefault="00044813" w:rsidP="003A0CBE">
      <w:pPr>
        <w:pStyle w:val="FootnoteText"/>
      </w:pPr>
      <w:r w:rsidRPr="00AA0419">
        <w:rPr>
          <w:rStyle w:val="FootnoteReference"/>
        </w:rPr>
        <w:footnoteRef/>
      </w:r>
      <w:r w:rsidRPr="00AA0419">
        <w:t xml:space="preserve"> </w:t>
      </w:r>
      <w:r w:rsidRPr="00BC0318">
        <w:rPr>
          <w:i/>
        </w:rPr>
        <w:t xml:space="preserve">See </w:t>
      </w:r>
      <w:r>
        <w:rPr>
          <w:i/>
        </w:rPr>
        <w:t xml:space="preserve">Liberty Media </w:t>
      </w:r>
      <w:r w:rsidRPr="00894293">
        <w:rPr>
          <w:i/>
        </w:rPr>
        <w:t>Order</w:t>
      </w:r>
      <w:r>
        <w:t xml:space="preserve">, 23 FCC Rcd </w:t>
      </w:r>
      <w:r w:rsidRPr="00894293">
        <w:t>at</w:t>
      </w:r>
      <w:r>
        <w:t xml:space="preserve"> 3347, Appendix B, Condition IV, § B “Rules of Arbitration,” paras. 1, 3.</w:t>
      </w:r>
    </w:p>
  </w:footnote>
  <w:footnote w:id="131">
    <w:p w:rsidR="00044813" w:rsidRPr="00AA0419" w:rsidRDefault="00044813" w:rsidP="003A0CBE">
      <w:pPr>
        <w:pStyle w:val="FootnoteText"/>
      </w:pPr>
      <w:r w:rsidRPr="00AA0419">
        <w:rPr>
          <w:rStyle w:val="FootnoteReference"/>
        </w:rPr>
        <w:footnoteRef/>
      </w:r>
      <w:r w:rsidRPr="00AA0419">
        <w:t xml:space="preserve"> </w:t>
      </w:r>
      <w:r w:rsidRPr="0068794A">
        <w:rPr>
          <w:i/>
        </w:rPr>
        <w:t>See DSNP Application for Review</w:t>
      </w:r>
      <w:r>
        <w:t>, Exh. 3, at 1.</w:t>
      </w:r>
    </w:p>
  </w:footnote>
  <w:footnote w:id="132">
    <w:p w:rsidR="00044813" w:rsidRDefault="00044813" w:rsidP="003A0CBE">
      <w:pPr>
        <w:pStyle w:val="FootnoteText"/>
      </w:pPr>
      <w:r>
        <w:rPr>
          <w:rStyle w:val="FootnoteReference"/>
        </w:rPr>
        <w:footnoteRef/>
      </w:r>
      <w:r>
        <w:t xml:space="preserve"> Or looking at it another way, </w:t>
      </w:r>
      <w:r w:rsidRPr="00430BEA">
        <w:rPr>
          <w:b/>
        </w:rPr>
        <w:t>[</w:t>
      </w:r>
      <w:r>
        <w:rPr>
          <w:b/>
        </w:rPr>
        <w:t>REDACTED</w:t>
      </w:r>
      <w:r w:rsidRPr="00430BEA">
        <w:rPr>
          <w:b/>
        </w:rPr>
        <w:t>]</w:t>
      </w:r>
      <w:r>
        <w:rPr>
          <w:b/>
        </w:rPr>
        <w:t xml:space="preserve"> </w:t>
      </w:r>
      <w:r>
        <w:t xml:space="preserve">generated </w:t>
      </w:r>
      <w:r w:rsidRPr="00430BEA">
        <w:rPr>
          <w:b/>
        </w:rPr>
        <w:t>[</w:t>
      </w:r>
      <w:r>
        <w:rPr>
          <w:b/>
        </w:rPr>
        <w:t>REDACTED</w:t>
      </w:r>
      <w:r w:rsidRPr="00430BEA">
        <w:rPr>
          <w:b/>
        </w:rPr>
        <w:t>]</w:t>
      </w:r>
      <w:r>
        <w:t xml:space="preserve"> of Armstrong’s revenues, whereas Armstrong generated only </w:t>
      </w:r>
      <w:r w:rsidRPr="00430BEA">
        <w:rPr>
          <w:b/>
        </w:rPr>
        <w:t>[</w:t>
      </w:r>
      <w:r>
        <w:rPr>
          <w:b/>
        </w:rPr>
        <w:t>REDACTED</w:t>
      </w:r>
      <w:r w:rsidRPr="00430BEA">
        <w:rPr>
          <w:b/>
        </w:rPr>
        <w:t>]</w:t>
      </w:r>
      <w:r>
        <w:t xml:space="preserve"> more than </w:t>
      </w:r>
      <w:r w:rsidRPr="00430BEA">
        <w:rPr>
          <w:b/>
        </w:rPr>
        <w:t>[</w:t>
      </w:r>
      <w:r>
        <w:rPr>
          <w:b/>
        </w:rPr>
        <w:t>REDACTED</w:t>
      </w:r>
      <w:r w:rsidRPr="00430BEA">
        <w:rPr>
          <w:b/>
        </w:rPr>
        <w:t>]</w:t>
      </w:r>
      <w:r>
        <w:t xml:space="preserve">, </w:t>
      </w:r>
      <w:r w:rsidRPr="00430BEA">
        <w:rPr>
          <w:b/>
        </w:rPr>
        <w:t>[</w:t>
      </w:r>
      <w:r>
        <w:rPr>
          <w:b/>
        </w:rPr>
        <w:t>REDACTED</w:t>
      </w:r>
      <w:r w:rsidRPr="00430BEA">
        <w:rPr>
          <w:b/>
        </w:rPr>
        <w:t>]</w:t>
      </w:r>
      <w:r>
        <w:t xml:space="preserve"> more than </w:t>
      </w:r>
      <w:r w:rsidRPr="00430BEA">
        <w:rPr>
          <w:b/>
        </w:rPr>
        <w:t>[</w:t>
      </w:r>
      <w:r>
        <w:rPr>
          <w:b/>
        </w:rPr>
        <w:t>REDACTED</w:t>
      </w:r>
      <w:r w:rsidRPr="00430BEA">
        <w:rPr>
          <w:b/>
        </w:rPr>
        <w:t>]</w:t>
      </w:r>
      <w:r>
        <w:t xml:space="preserve">, and </w:t>
      </w:r>
      <w:r w:rsidRPr="00430BEA">
        <w:rPr>
          <w:b/>
        </w:rPr>
        <w:t>[</w:t>
      </w:r>
      <w:r>
        <w:rPr>
          <w:b/>
        </w:rPr>
        <w:t>REDACTED</w:t>
      </w:r>
      <w:r w:rsidRPr="00430BEA">
        <w:rPr>
          <w:b/>
        </w:rPr>
        <w:t>]</w:t>
      </w:r>
      <w:r>
        <w:t xml:space="preserve"> more than </w:t>
      </w:r>
      <w:r w:rsidRPr="00430BEA">
        <w:rPr>
          <w:b/>
        </w:rPr>
        <w:t>[</w:t>
      </w:r>
      <w:r>
        <w:rPr>
          <w:b/>
        </w:rPr>
        <w:t>REDACTED</w:t>
      </w:r>
      <w:r w:rsidRPr="00430BEA">
        <w:rPr>
          <w:b/>
        </w:rPr>
        <w:t>]</w:t>
      </w:r>
      <w:r>
        <w:t>.</w:t>
      </w:r>
    </w:p>
  </w:footnote>
  <w:footnote w:id="133">
    <w:p w:rsidR="00044813" w:rsidRPr="00AA0419" w:rsidRDefault="00044813" w:rsidP="003A0CBE">
      <w:pPr>
        <w:pStyle w:val="FootnoteText"/>
      </w:pPr>
      <w:r w:rsidRPr="00AA0419">
        <w:rPr>
          <w:rStyle w:val="FootnoteReference"/>
        </w:rPr>
        <w:footnoteRef/>
      </w:r>
      <w:r w:rsidRPr="00AA0419">
        <w:t xml:space="preserve"> </w:t>
      </w:r>
      <w:r w:rsidRPr="00050E51">
        <w:rPr>
          <w:i/>
        </w:rPr>
        <w:t>See</w:t>
      </w:r>
      <w:r>
        <w:t xml:space="preserve"> </w:t>
      </w:r>
      <w:r>
        <w:rPr>
          <w:i/>
        </w:rPr>
        <w:t>Order on Review</w:t>
      </w:r>
      <w:r w:rsidRPr="00894293">
        <w:t xml:space="preserve">, </w:t>
      </w:r>
      <w:r>
        <w:t xml:space="preserve">26 FCC Rcd at 12595–96, para. 31; </w:t>
      </w:r>
      <w:r w:rsidRPr="00BC0318">
        <w:rPr>
          <w:i/>
        </w:rPr>
        <w:t>DSNP Application for Review</w:t>
      </w:r>
      <w:r>
        <w:t xml:space="preserve"> at 13–14.</w:t>
      </w:r>
    </w:p>
  </w:footnote>
  <w:footnote w:id="134">
    <w:p w:rsidR="00044813" w:rsidRPr="00AA0419" w:rsidRDefault="00044813" w:rsidP="003A0CBE">
      <w:pPr>
        <w:pStyle w:val="FootnoteText"/>
      </w:pPr>
      <w:r w:rsidRPr="00AA0419">
        <w:rPr>
          <w:rStyle w:val="FootnoteReference"/>
        </w:rPr>
        <w:footnoteRef/>
      </w:r>
      <w:r w:rsidRPr="00AA0419">
        <w:t xml:space="preserve"> The Commission seeks to cast doubt on this analysis by speculating that the rates paid by Comcast to DSNP may not reflect fair market value.  Rather, it contends that those rates may have been artificially inflated by other carriage negotiations being conducted between Comcast and DIRECTV at the same time that Comcast was negotiating its carriage agreement with DSNP.</w:t>
      </w:r>
      <w:r>
        <w:t xml:space="preserve">  </w:t>
      </w:r>
      <w:r w:rsidRPr="00BC0318">
        <w:rPr>
          <w:i/>
        </w:rPr>
        <w:t xml:space="preserve">See Order </w:t>
      </w:r>
      <w:r>
        <w:t>at para. 20.</w:t>
      </w:r>
      <w:r w:rsidRPr="00AA0419">
        <w:t xml:space="preserve">  I suppose that is possible.  It is also possible that DSNP executives </w:t>
      </w:r>
      <w:r>
        <w:t>bribed</w:t>
      </w:r>
      <w:r w:rsidRPr="00AA0419">
        <w:t xml:space="preserve"> Comcast executives into </w:t>
      </w:r>
      <w:r>
        <w:t>agreeing to</w:t>
      </w:r>
      <w:r w:rsidRPr="00AA0419">
        <w:t xml:space="preserve"> above-market rates.  But there is the same amount of evidence in the record to support each theory:  None.  </w:t>
      </w:r>
      <w:r w:rsidRPr="001638B3">
        <w:rPr>
          <w:b/>
          <w:szCs w:val="22"/>
        </w:rPr>
        <w:t>[</w:t>
      </w:r>
      <w:r>
        <w:rPr>
          <w:b/>
        </w:rPr>
        <w:t>REDACTED</w:t>
      </w:r>
      <w:r w:rsidRPr="001638B3">
        <w:rPr>
          <w:b/>
          <w:szCs w:val="22"/>
        </w:rPr>
        <w:t>]</w:t>
      </w:r>
      <w:r w:rsidRPr="00AA0419">
        <w:t xml:space="preserve">.  </w:t>
      </w:r>
      <w:r w:rsidRPr="00BC0318">
        <w:rPr>
          <w:i/>
        </w:rPr>
        <w:t xml:space="preserve">See </w:t>
      </w:r>
      <w:r>
        <w:rPr>
          <w:i/>
        </w:rPr>
        <w:t xml:space="preserve">DSNP </w:t>
      </w:r>
      <w:r w:rsidRPr="00BC0318">
        <w:rPr>
          <w:i/>
        </w:rPr>
        <w:t>Application for Review</w:t>
      </w:r>
      <w:r>
        <w:t xml:space="preserve"> at 20–21.</w:t>
      </w:r>
      <w:r w:rsidRPr="00AA0419">
        <w:t xml:space="preserve"> </w:t>
      </w:r>
      <w:r>
        <w:t xml:space="preserve"> </w:t>
      </w:r>
      <w:r w:rsidRPr="00AA0419">
        <w:t xml:space="preserve">And there is no evidence in the record that contradicts this testimony.  To be sure, the Commission suggests that DIRECTV and Comcast executives could have linked negotiations involving DSNP to other carriage negotiations without the knowledge of the DSNP executives in charge of negotiating the Comcast-DSNP agreement.  </w:t>
      </w:r>
      <w:r w:rsidRPr="00BC0318">
        <w:rPr>
          <w:i/>
        </w:rPr>
        <w:t xml:space="preserve">See Order </w:t>
      </w:r>
      <w:r>
        <w:t xml:space="preserve">at para. 20.  </w:t>
      </w:r>
      <w:r w:rsidRPr="00AA0419">
        <w:t xml:space="preserve">But there is no evidence in the record to support this theory, and I find it difficult to believe that </w:t>
      </w:r>
      <w:r w:rsidRPr="001638B3">
        <w:rPr>
          <w:b/>
          <w:szCs w:val="22"/>
        </w:rPr>
        <w:t>[</w:t>
      </w:r>
      <w:r>
        <w:rPr>
          <w:b/>
        </w:rPr>
        <w:t>REDACTED</w:t>
      </w:r>
      <w:r w:rsidRPr="001638B3">
        <w:rPr>
          <w:b/>
          <w:szCs w:val="22"/>
        </w:rPr>
        <w:t>]</w:t>
      </w:r>
      <w:r w:rsidRPr="00AA0419">
        <w:t xml:space="preserve">.  Alternatively, the Commission implies that the </w:t>
      </w:r>
      <w:r w:rsidRPr="001638B3">
        <w:rPr>
          <w:b/>
          <w:szCs w:val="22"/>
        </w:rPr>
        <w:t>[</w:t>
      </w:r>
      <w:r>
        <w:rPr>
          <w:b/>
        </w:rPr>
        <w:t>REDACTED</w:t>
      </w:r>
      <w:r w:rsidRPr="001638B3">
        <w:rPr>
          <w:b/>
          <w:szCs w:val="22"/>
        </w:rPr>
        <w:t>]</w:t>
      </w:r>
      <w:r w:rsidRPr="00AA0419">
        <w:t xml:space="preserve">.  </w:t>
      </w:r>
      <w:r w:rsidRPr="00BC0318">
        <w:rPr>
          <w:i/>
        </w:rPr>
        <w:t>See id</w:t>
      </w:r>
      <w:r>
        <w:t xml:space="preserve">. </w:t>
      </w:r>
      <w:r w:rsidRPr="00AA0419">
        <w:t xml:space="preserve"> But at the risk of sounding like a broken record, there is no evidence to support this speculation either.  And when Armstrong had the chance to cross-examine DSNP executives at the arbitration hearing, </w:t>
      </w:r>
      <w:r w:rsidRPr="001638B3">
        <w:rPr>
          <w:b/>
          <w:szCs w:val="22"/>
        </w:rPr>
        <w:t>[</w:t>
      </w:r>
      <w:r>
        <w:rPr>
          <w:b/>
        </w:rPr>
        <w:t>REDACTED</w:t>
      </w:r>
      <w:r w:rsidRPr="001638B3">
        <w:rPr>
          <w:b/>
          <w:szCs w:val="22"/>
        </w:rPr>
        <w:t>]</w:t>
      </w:r>
      <w:r>
        <w:t xml:space="preserve">.  </w:t>
      </w:r>
      <w:r w:rsidRPr="00BC0318">
        <w:rPr>
          <w:i/>
        </w:rPr>
        <w:t xml:space="preserve">See DSNP Application for Review </w:t>
      </w:r>
      <w:r w:rsidRPr="00894293">
        <w:t>at 21.</w:t>
      </w:r>
    </w:p>
  </w:footnote>
  <w:footnote w:id="135">
    <w:p w:rsidR="00044813" w:rsidRPr="00AA0419" w:rsidRDefault="00044813" w:rsidP="003A0CBE">
      <w:pPr>
        <w:pStyle w:val="FootnoteText"/>
      </w:pPr>
      <w:r w:rsidRPr="00AA0419">
        <w:rPr>
          <w:rStyle w:val="FootnoteReference"/>
        </w:rPr>
        <w:footnoteRef/>
      </w:r>
      <w:r w:rsidRPr="00AA0419">
        <w:t xml:space="preserve"> </w:t>
      </w:r>
      <w:r w:rsidRPr="00AA0419">
        <w:rPr>
          <w:i/>
        </w:rPr>
        <w:t>See, e.g.</w:t>
      </w:r>
      <w:r w:rsidRPr="00AA0419">
        <w:t>, Cary Deck, Amy Farmer &amp; Dao-Zhi Zeng, Amended Final-Offer Arbitration is Improved Arbitration: Evidence from the Laboratory (2005)</w:t>
      </w:r>
      <w:r>
        <w:t>,</w:t>
      </w:r>
      <w:r w:rsidRPr="00AA0419">
        <w:t xml:space="preserve"> </w:t>
      </w:r>
      <w:r w:rsidRPr="00AA0419">
        <w:rPr>
          <w:i/>
        </w:rPr>
        <w:t>available at</w:t>
      </w:r>
      <w:r w:rsidRPr="00AA0419">
        <w:t xml:space="preserve"> http://comp.uark.edu/~cdeck/Amended%20Final-Offer%20Arbitration%20working%20paper.pdf; Steven J. Brames &amp; Samuel Merrill, III, </w:t>
      </w:r>
      <w:r w:rsidRPr="00AA0419">
        <w:rPr>
          <w:i/>
        </w:rPr>
        <w:t>Binding Versus Final-Offer Arbitration: A Combination Is Best</w:t>
      </w:r>
      <w:r>
        <w:t xml:space="preserve">, </w:t>
      </w:r>
      <w:r w:rsidRPr="00AA0419">
        <w:t>Management Science, Vol. 32, No. 10</w:t>
      </w:r>
      <w:r>
        <w:t>, at 1346–55</w:t>
      </w:r>
      <w:r w:rsidRPr="00AA0419">
        <w:t xml:space="preserve"> (1986); Steven J. Brames &amp; Samuel Merrill, III, </w:t>
      </w:r>
      <w:r w:rsidRPr="00AA0419">
        <w:rPr>
          <w:i/>
        </w:rPr>
        <w:t>Equilibrium Strategies for Final-Offer Arbitration: There Is No Median Convergence</w:t>
      </w:r>
      <w:r w:rsidRPr="00AA0419">
        <w:t>, Management Science, Vol. 29, No. 8</w:t>
      </w:r>
      <w:r>
        <w:t>, at 927–41 (1983)</w:t>
      </w:r>
      <w:r w:rsidRPr="00AA0419">
        <w:t>.</w:t>
      </w:r>
    </w:p>
  </w:footnote>
  <w:footnote w:id="136">
    <w:p w:rsidR="00044813" w:rsidRDefault="00044813" w:rsidP="003A0CBE">
      <w:pPr>
        <w:pStyle w:val="FootnoteText"/>
      </w:pPr>
      <w:r>
        <w:rPr>
          <w:rStyle w:val="FootnoteReference"/>
        </w:rPr>
        <w:footnoteRef/>
      </w:r>
      <w:r>
        <w:t xml:space="preserve"> The Commission criticizes me for analyzing rates on the basis of revenues generated for DSNP by MVPDs.  </w:t>
      </w:r>
      <w:r w:rsidRPr="00D2064E">
        <w:rPr>
          <w:i/>
        </w:rPr>
        <w:t xml:space="preserve">See Order </w:t>
      </w:r>
      <w:r>
        <w:t xml:space="preserve">at note 117.  Instead, it asserts that rates should be analyzed as a “function of subscribers per zone.”  </w:t>
      </w:r>
      <w:r w:rsidRPr="00D2064E">
        <w:rPr>
          <w:i/>
        </w:rPr>
        <w:t>Id</w:t>
      </w:r>
      <w:r>
        <w:t xml:space="preserve">.  This criticism is curious, to say the least, given that the Commission itself solely analyzes MVPDs’ rates based on aggregate revenues.  For example, </w:t>
      </w:r>
      <w:r w:rsidRPr="001638B3">
        <w:rPr>
          <w:b/>
          <w:szCs w:val="22"/>
        </w:rPr>
        <w:t>[</w:t>
      </w:r>
      <w:r>
        <w:rPr>
          <w:b/>
        </w:rPr>
        <w:t>REDACTED</w:t>
      </w:r>
      <w:r w:rsidRPr="001638B3">
        <w:rPr>
          <w:b/>
          <w:szCs w:val="22"/>
        </w:rPr>
        <w:t>]</w:t>
      </w:r>
      <w:r>
        <w:rPr>
          <w:b/>
          <w:szCs w:val="22"/>
        </w:rPr>
        <w:t xml:space="preserve"> </w:t>
      </w:r>
      <w:r w:rsidRPr="00812627">
        <w:t xml:space="preserve">has </w:t>
      </w:r>
      <w:r>
        <w:t xml:space="preserve">six times as many subscribers as Armstrong in Zone </w:t>
      </w:r>
      <w:r w:rsidRPr="001638B3">
        <w:rPr>
          <w:b/>
          <w:szCs w:val="22"/>
        </w:rPr>
        <w:t>[</w:t>
      </w:r>
      <w:r>
        <w:rPr>
          <w:b/>
        </w:rPr>
        <w:t>REDACTED</w:t>
      </w:r>
      <w:r w:rsidRPr="001638B3">
        <w:rPr>
          <w:b/>
          <w:szCs w:val="22"/>
        </w:rPr>
        <w:t>]</w:t>
      </w:r>
      <w:r>
        <w:t xml:space="preserve">.  Yet, the Commission never faults Armstrong’s offer for proposing Zone </w:t>
      </w:r>
      <w:r w:rsidRPr="001638B3">
        <w:rPr>
          <w:b/>
          <w:szCs w:val="22"/>
        </w:rPr>
        <w:t>[</w:t>
      </w:r>
      <w:r>
        <w:rPr>
          <w:b/>
        </w:rPr>
        <w:t>REDACTED</w:t>
      </w:r>
      <w:r w:rsidRPr="001638B3">
        <w:rPr>
          <w:b/>
          <w:szCs w:val="22"/>
        </w:rPr>
        <w:t>]</w:t>
      </w:r>
      <w:r>
        <w:t xml:space="preserve"> rates that are lower than </w:t>
      </w:r>
      <w:r w:rsidRPr="001638B3">
        <w:rPr>
          <w:b/>
          <w:szCs w:val="22"/>
        </w:rPr>
        <w:t>[</w:t>
      </w:r>
      <w:r>
        <w:rPr>
          <w:b/>
        </w:rPr>
        <w:t>REDACTED</w:t>
      </w:r>
      <w:r w:rsidRPr="001638B3">
        <w:rPr>
          <w:b/>
          <w:szCs w:val="22"/>
        </w:rPr>
        <w:t>]</w:t>
      </w:r>
      <w:r>
        <w:t xml:space="preserve">.  Indeed, as noted above, </w:t>
      </w:r>
      <w:r w:rsidRPr="00D2064E">
        <w:rPr>
          <w:i/>
        </w:rPr>
        <w:t>see supra</w:t>
      </w:r>
      <w:r>
        <w:t xml:space="preserve"> note 8, </w:t>
      </w:r>
      <w:r w:rsidRPr="001638B3">
        <w:rPr>
          <w:b/>
          <w:szCs w:val="22"/>
        </w:rPr>
        <w:t>[</w:t>
      </w:r>
      <w:r>
        <w:rPr>
          <w:b/>
        </w:rPr>
        <w:t>REDACTED</w:t>
      </w:r>
      <w:r w:rsidRPr="001638B3">
        <w:rPr>
          <w:b/>
          <w:szCs w:val="22"/>
        </w:rPr>
        <w:t>]</w:t>
      </w:r>
      <w:r>
        <w:rPr>
          <w:b/>
          <w:szCs w:val="22"/>
        </w:rPr>
        <w:t xml:space="preserve"> </w:t>
      </w:r>
      <w:r>
        <w:t xml:space="preserve">has more subscribers overall than Armstrong, yet the Commission concludes that Armstrong should pay lower rates than </w:t>
      </w:r>
      <w:r w:rsidRPr="001638B3">
        <w:rPr>
          <w:b/>
          <w:szCs w:val="22"/>
        </w:rPr>
        <w:t>[</w:t>
      </w:r>
      <w:r>
        <w:rPr>
          <w:b/>
        </w:rPr>
        <w:t>REDACTED</w:t>
      </w:r>
      <w:r w:rsidRPr="001638B3">
        <w:rPr>
          <w:b/>
          <w:szCs w:val="22"/>
        </w:rPr>
        <w:t>]</w:t>
      </w:r>
      <w:r>
        <w:rPr>
          <w:b/>
          <w:szCs w:val="22"/>
        </w:rPr>
        <w:t xml:space="preserve"> </w:t>
      </w:r>
      <w:r w:rsidRPr="00D2064E">
        <w:rPr>
          <w:i/>
        </w:rPr>
        <w:t xml:space="preserve">solely because </w:t>
      </w:r>
      <w:r w:rsidRPr="001638B3">
        <w:rPr>
          <w:b/>
          <w:szCs w:val="22"/>
        </w:rPr>
        <w:t>[</w:t>
      </w:r>
      <w:r>
        <w:rPr>
          <w:b/>
        </w:rPr>
        <w:t>REDACTED</w:t>
      </w:r>
      <w:r w:rsidRPr="001638B3">
        <w:rPr>
          <w:b/>
          <w:szCs w:val="22"/>
        </w:rPr>
        <w:t>]</w:t>
      </w:r>
      <w:r>
        <w:rPr>
          <w:b/>
          <w:szCs w:val="22"/>
        </w:rPr>
        <w:t xml:space="preserve"> </w:t>
      </w:r>
      <w:r w:rsidRPr="00D2064E">
        <w:rPr>
          <w:i/>
        </w:rPr>
        <w:t>generates less overall revenue for DSNP than does Armstrong</w:t>
      </w:r>
      <w:r>
        <w:t xml:space="preserve">.  Moreover, there is no evidence whatsoever in the record that rates are a function of subscribers per zone.  </w:t>
      </w:r>
      <w:r w:rsidRPr="001638B3">
        <w:rPr>
          <w:b/>
          <w:szCs w:val="22"/>
        </w:rPr>
        <w:t>[</w:t>
      </w:r>
      <w:r>
        <w:rPr>
          <w:b/>
        </w:rPr>
        <w:t>REDACTED</w:t>
      </w:r>
      <w:r w:rsidRPr="001638B3">
        <w:rPr>
          <w:b/>
          <w:szCs w:val="22"/>
        </w:rPr>
        <w:t>]</w:t>
      </w:r>
      <w:r>
        <w:t xml:space="preserve">, for instance, has about </w:t>
      </w:r>
      <w:r w:rsidRPr="00E041E4">
        <w:rPr>
          <w:szCs w:val="22"/>
        </w:rPr>
        <w:t>five times as many</w:t>
      </w:r>
      <w:r>
        <w:t xml:space="preserve"> Zone </w:t>
      </w:r>
      <w:r w:rsidRPr="001638B3">
        <w:rPr>
          <w:b/>
          <w:szCs w:val="22"/>
        </w:rPr>
        <w:t>[</w:t>
      </w:r>
      <w:r>
        <w:rPr>
          <w:b/>
        </w:rPr>
        <w:t>REDACTED</w:t>
      </w:r>
      <w:r w:rsidRPr="001638B3">
        <w:rPr>
          <w:b/>
          <w:szCs w:val="22"/>
        </w:rPr>
        <w:t>]</w:t>
      </w:r>
      <w:r>
        <w:t xml:space="preserve"> customers as does </w:t>
      </w:r>
      <w:r w:rsidRPr="001638B3">
        <w:rPr>
          <w:b/>
          <w:szCs w:val="22"/>
        </w:rPr>
        <w:t>[</w:t>
      </w:r>
      <w:r>
        <w:rPr>
          <w:b/>
        </w:rPr>
        <w:t>REDACTED</w:t>
      </w:r>
      <w:r w:rsidRPr="001638B3">
        <w:rPr>
          <w:b/>
          <w:szCs w:val="22"/>
        </w:rPr>
        <w:t>]</w:t>
      </w:r>
      <w:r>
        <w:t xml:space="preserve">, yet </w:t>
      </w:r>
      <w:r w:rsidRPr="001638B3">
        <w:rPr>
          <w:b/>
          <w:szCs w:val="22"/>
        </w:rPr>
        <w:t>[</w:t>
      </w:r>
      <w:r>
        <w:rPr>
          <w:b/>
        </w:rPr>
        <w:t>REDACTED</w:t>
      </w:r>
      <w:r w:rsidRPr="001638B3">
        <w:rPr>
          <w:b/>
          <w:szCs w:val="22"/>
        </w:rPr>
        <w:t>]</w:t>
      </w:r>
      <w:r>
        <w:rPr>
          <w:b/>
          <w:szCs w:val="22"/>
        </w:rPr>
        <w:t xml:space="preserve"> </w:t>
      </w:r>
      <w:r>
        <w:t xml:space="preserve">pays </w:t>
      </w:r>
      <w:r>
        <w:rPr>
          <w:szCs w:val="22"/>
        </w:rPr>
        <w:t>substantially lower</w:t>
      </w:r>
      <w:r>
        <w:t xml:space="preserve"> Zone </w:t>
      </w:r>
      <w:r w:rsidRPr="001638B3">
        <w:rPr>
          <w:b/>
          <w:szCs w:val="22"/>
        </w:rPr>
        <w:t>[</w:t>
      </w:r>
      <w:r>
        <w:rPr>
          <w:b/>
        </w:rPr>
        <w:t>REDACTED</w:t>
      </w:r>
      <w:r w:rsidRPr="001638B3">
        <w:rPr>
          <w:b/>
          <w:szCs w:val="22"/>
        </w:rPr>
        <w:t>]</w:t>
      </w:r>
      <w:r>
        <w:rPr>
          <w:b/>
          <w:szCs w:val="22"/>
        </w:rPr>
        <w:t xml:space="preserve"> </w:t>
      </w:r>
      <w:r>
        <w:t xml:space="preserve">rates than does </w:t>
      </w:r>
      <w:r w:rsidRPr="001638B3">
        <w:rPr>
          <w:b/>
          <w:szCs w:val="22"/>
        </w:rPr>
        <w:t>[</w:t>
      </w:r>
      <w:r>
        <w:rPr>
          <w:b/>
        </w:rPr>
        <w:t>REDACTED</w:t>
      </w:r>
      <w:r w:rsidRPr="001638B3">
        <w:rPr>
          <w:b/>
          <w:szCs w:val="22"/>
        </w:rPr>
        <w:t>]</w:t>
      </w:r>
      <w:r>
        <w:t xml:space="preserve">.  Or, to take another example, </w:t>
      </w:r>
      <w:r w:rsidRPr="001638B3">
        <w:rPr>
          <w:b/>
          <w:szCs w:val="22"/>
        </w:rPr>
        <w:t>[</w:t>
      </w:r>
      <w:r>
        <w:rPr>
          <w:b/>
        </w:rPr>
        <w:t>REDACTED</w:t>
      </w:r>
      <w:r w:rsidRPr="001638B3">
        <w:rPr>
          <w:b/>
          <w:szCs w:val="22"/>
        </w:rPr>
        <w:t>]</w:t>
      </w:r>
      <w:r>
        <w:rPr>
          <w:b/>
          <w:szCs w:val="22"/>
        </w:rPr>
        <w:t xml:space="preserve"> </w:t>
      </w:r>
      <w:r>
        <w:t xml:space="preserve">has </w:t>
      </w:r>
      <w:r>
        <w:rPr>
          <w:szCs w:val="22"/>
        </w:rPr>
        <w:t>over twenty-five times as many</w:t>
      </w:r>
      <w:r>
        <w:t xml:space="preserve"> Zone </w:t>
      </w:r>
      <w:r w:rsidRPr="001638B3">
        <w:rPr>
          <w:b/>
          <w:szCs w:val="22"/>
        </w:rPr>
        <w:t>[</w:t>
      </w:r>
      <w:r>
        <w:rPr>
          <w:b/>
        </w:rPr>
        <w:t>REDACTED</w:t>
      </w:r>
      <w:r w:rsidRPr="001638B3">
        <w:rPr>
          <w:b/>
          <w:szCs w:val="22"/>
        </w:rPr>
        <w:t>]</w:t>
      </w:r>
      <w:r>
        <w:rPr>
          <w:b/>
          <w:szCs w:val="22"/>
        </w:rPr>
        <w:t xml:space="preserve"> </w:t>
      </w:r>
      <w:r>
        <w:t xml:space="preserve">customers as </w:t>
      </w:r>
      <w:r w:rsidRPr="001638B3">
        <w:rPr>
          <w:b/>
          <w:szCs w:val="22"/>
        </w:rPr>
        <w:t>[</w:t>
      </w:r>
      <w:r>
        <w:rPr>
          <w:b/>
        </w:rPr>
        <w:t>REDACTED</w:t>
      </w:r>
      <w:r w:rsidRPr="001638B3">
        <w:rPr>
          <w:b/>
          <w:szCs w:val="22"/>
        </w:rPr>
        <w:t>]</w:t>
      </w:r>
      <w:r>
        <w:t xml:space="preserve">, yet </w:t>
      </w:r>
      <w:r w:rsidRPr="001638B3">
        <w:rPr>
          <w:b/>
          <w:szCs w:val="22"/>
        </w:rPr>
        <w:t>[</w:t>
      </w:r>
      <w:r>
        <w:rPr>
          <w:b/>
        </w:rPr>
        <w:t>REDACTED</w:t>
      </w:r>
      <w:r w:rsidRPr="001638B3">
        <w:rPr>
          <w:b/>
          <w:szCs w:val="22"/>
        </w:rPr>
        <w:t>]</w:t>
      </w:r>
      <w:r>
        <w:rPr>
          <w:b/>
          <w:szCs w:val="22"/>
        </w:rPr>
        <w:t xml:space="preserve"> </w:t>
      </w:r>
      <w:r>
        <w:t xml:space="preserve">pays lower Zone </w:t>
      </w:r>
      <w:r w:rsidRPr="001638B3">
        <w:rPr>
          <w:b/>
          <w:szCs w:val="22"/>
        </w:rPr>
        <w:t>[</w:t>
      </w:r>
      <w:r>
        <w:rPr>
          <w:b/>
        </w:rPr>
        <w:t>REDACTED</w:t>
      </w:r>
      <w:r w:rsidRPr="001638B3">
        <w:rPr>
          <w:b/>
          <w:szCs w:val="22"/>
        </w:rPr>
        <w:t>]</w:t>
      </w:r>
      <w:r>
        <w:rPr>
          <w:b/>
          <w:szCs w:val="22"/>
        </w:rPr>
        <w:t xml:space="preserve"> </w:t>
      </w:r>
      <w:r>
        <w:t xml:space="preserve">rates than does </w:t>
      </w:r>
      <w:r w:rsidRPr="001638B3">
        <w:rPr>
          <w:b/>
          <w:szCs w:val="22"/>
        </w:rPr>
        <w:t>[</w:t>
      </w:r>
      <w:r>
        <w:rPr>
          <w:b/>
        </w:rPr>
        <w:t>REDACTED</w:t>
      </w:r>
      <w:r w:rsidRPr="001638B3">
        <w:rPr>
          <w:b/>
          <w:szCs w:val="22"/>
        </w:rPr>
        <w:t>]</w:t>
      </w:r>
      <w:r>
        <w:t xml:space="preserve">.            </w:t>
      </w:r>
    </w:p>
  </w:footnote>
  <w:footnote w:id="137">
    <w:p w:rsidR="00044813" w:rsidRDefault="00044813" w:rsidP="003A0CBE">
      <w:pPr>
        <w:pStyle w:val="FootnoteText"/>
      </w:pPr>
      <w:r>
        <w:rPr>
          <w:rStyle w:val="FootnoteReference"/>
        </w:rPr>
        <w:footnoteRef/>
      </w:r>
      <w:r>
        <w:t xml:space="preserve"> </w:t>
      </w:r>
      <w:r w:rsidRPr="00BC0318">
        <w:rPr>
          <w:i/>
        </w:rPr>
        <w:t xml:space="preserve">See </w:t>
      </w:r>
      <w:r>
        <w:rPr>
          <w:i/>
        </w:rPr>
        <w:t xml:space="preserve">DSNP </w:t>
      </w:r>
      <w:r w:rsidRPr="00BC0318">
        <w:rPr>
          <w:i/>
        </w:rPr>
        <w:t>Application for Review</w:t>
      </w:r>
      <w:r>
        <w:t>, Exh. 3, at 2–5.</w:t>
      </w:r>
    </w:p>
  </w:footnote>
  <w:footnote w:id="138">
    <w:p w:rsidR="00044813" w:rsidRDefault="00044813" w:rsidP="003A0CBE">
      <w:pPr>
        <w:pStyle w:val="FootnoteText"/>
      </w:pPr>
      <w:r>
        <w:rPr>
          <w:rStyle w:val="FootnoteReference"/>
        </w:rPr>
        <w:footnoteRef/>
      </w:r>
      <w:r>
        <w:t xml:space="preserve"> The monetary values of DSNP’s offer and Armstrong’s offer may be found in Exhibit C of the Expert Report of Mark C. Wyche.  The value of the rates produced by the regression analyses was calculated using the number of Armstrong subscribers, by Zone, set forth in Armstrong’s offer.  </w:t>
      </w:r>
    </w:p>
  </w:footnote>
  <w:footnote w:id="139">
    <w:p w:rsidR="00044813" w:rsidRDefault="00044813" w:rsidP="003A0CBE">
      <w:pPr>
        <w:pStyle w:val="FootnoteText"/>
      </w:pPr>
      <w:r>
        <w:rPr>
          <w:rStyle w:val="FootnoteReference"/>
        </w:rPr>
        <w:footnoteRef/>
      </w:r>
      <w:r>
        <w:t xml:space="preserve"> Rates are expressed in dollars per subscriber per month.  Emboldened and underlined rates are closer to the fair market value for each zone each year.  I calculated these values using a linear regression of the equation </w:t>
      </w:r>
      <w:r w:rsidRPr="00894293">
        <w:rPr>
          <w:i/>
        </w:rPr>
        <w:t>y</w:t>
      </w:r>
      <w:r>
        <w:t xml:space="preserve"> = </w:t>
      </w:r>
      <w:r w:rsidRPr="00894293">
        <w:t>a</w:t>
      </w:r>
      <w:r>
        <w:t xml:space="preserve"> – </w:t>
      </w:r>
      <w:r w:rsidRPr="00894293">
        <w:t>b</w:t>
      </w:r>
      <w:r w:rsidRPr="00894293">
        <w:rPr>
          <w:i/>
        </w:rPr>
        <w:t>x</w:t>
      </w:r>
      <w:r>
        <w:t xml:space="preserve">, where a and b are constants, </w:t>
      </w:r>
      <w:r w:rsidRPr="00894293">
        <w:rPr>
          <w:i/>
        </w:rPr>
        <w:t>x</w:t>
      </w:r>
      <w:r>
        <w:t xml:space="preserve"> is the revenue generated for DSNP by a cable operator, and </w:t>
      </w:r>
      <w:r w:rsidRPr="00894293">
        <w:rPr>
          <w:i/>
        </w:rPr>
        <w:t>y</w:t>
      </w:r>
      <w:r>
        <w:t xml:space="preserve"> is the rate paid to DSNP by the cable operator.  </w:t>
      </w:r>
      <w:r w:rsidRPr="004C49AB">
        <w:rPr>
          <w:i/>
        </w:rPr>
        <w:t xml:space="preserve">See </w:t>
      </w:r>
      <w:r>
        <w:t xml:space="preserve">26 FCC Rcd at 12582, tbl. A &amp;12595, n.142 (providing data for variable </w:t>
      </w:r>
      <w:r>
        <w:rPr>
          <w:i/>
        </w:rPr>
        <w:t>x</w:t>
      </w:r>
      <w:r>
        <w:t xml:space="preserve">); </w:t>
      </w:r>
      <w:r>
        <w:rPr>
          <w:i/>
        </w:rPr>
        <w:t xml:space="preserve">DSNP </w:t>
      </w:r>
      <w:r w:rsidRPr="00BC0318">
        <w:rPr>
          <w:i/>
        </w:rPr>
        <w:t>Application for Review</w:t>
      </w:r>
      <w:r>
        <w:t xml:space="preserve">, Exh. 3, at 1 (same); </w:t>
      </w:r>
      <w:r>
        <w:rPr>
          <w:i/>
        </w:rPr>
        <w:t>id.</w:t>
      </w:r>
      <w:r>
        <w:t xml:space="preserve"> at 2–5 (providing data for variable </w:t>
      </w:r>
      <w:r>
        <w:rPr>
          <w:i/>
        </w:rPr>
        <w:t>y</w:t>
      </w:r>
      <w:r>
        <w:t>).</w:t>
      </w:r>
    </w:p>
  </w:footnote>
  <w:footnote w:id="140">
    <w:p w:rsidR="00044813" w:rsidRDefault="00044813" w:rsidP="003A0CBE">
      <w:pPr>
        <w:pStyle w:val="FootnoteText"/>
      </w:pPr>
      <w:r>
        <w:rPr>
          <w:rStyle w:val="FootnoteReference"/>
        </w:rPr>
        <w:footnoteRef/>
      </w:r>
      <w:r>
        <w:t xml:space="preserve"> </w:t>
      </w:r>
      <w:r w:rsidRPr="00D2064E">
        <w:rPr>
          <w:i/>
        </w:rPr>
        <w:t>Order</w:t>
      </w:r>
      <w:r>
        <w:t xml:space="preserve"> at note 117.  </w:t>
      </w:r>
    </w:p>
  </w:footnote>
  <w:footnote w:id="141">
    <w:p w:rsidR="00044813" w:rsidRDefault="00044813" w:rsidP="003A0CBE">
      <w:pPr>
        <w:pStyle w:val="FootnoteText"/>
      </w:pPr>
      <w:r>
        <w:rPr>
          <w:rStyle w:val="FootnoteReference"/>
        </w:rPr>
        <w:footnoteRef/>
      </w:r>
      <w:r>
        <w:t xml:space="preserve"> </w:t>
      </w:r>
      <w:r w:rsidRPr="00D2064E">
        <w:rPr>
          <w:i/>
        </w:rPr>
        <w:t>See supra</w:t>
      </w:r>
      <w:r>
        <w:t xml:space="preserve"> note 21.  </w:t>
      </w:r>
    </w:p>
  </w:footnote>
  <w:footnote w:id="142">
    <w:p w:rsidR="00044813" w:rsidRDefault="00044813" w:rsidP="003A0CBE">
      <w:pPr>
        <w:pStyle w:val="FootnoteText"/>
      </w:pPr>
      <w:r>
        <w:rPr>
          <w:rStyle w:val="FootnoteReference"/>
        </w:rPr>
        <w:footnoteRef/>
      </w:r>
      <w:r>
        <w:t xml:space="preserve"> Rates are expressed in dollars per subscriber per month.  Emboldened and underlined rates are closer to the fair market value for each zone each year.  I calculated these values using a regression of the equation </w:t>
      </w:r>
      <w:r w:rsidRPr="00894293">
        <w:rPr>
          <w:i/>
        </w:rPr>
        <w:t>y</w:t>
      </w:r>
      <w:r>
        <w:t xml:space="preserve"> = a*ln(x) + b, where a and b are constants, </w:t>
      </w:r>
      <w:r w:rsidRPr="00894293">
        <w:rPr>
          <w:i/>
        </w:rPr>
        <w:t>x</w:t>
      </w:r>
      <w:r>
        <w:t xml:space="preserve"> is the revenue generated for DSNP by a cable operator, and </w:t>
      </w:r>
      <w:r w:rsidRPr="00894293">
        <w:rPr>
          <w:i/>
        </w:rPr>
        <w:t>y</w:t>
      </w:r>
      <w:r>
        <w:t xml:space="preserve"> is the rate paid to DSNP by the cable operator.  </w:t>
      </w:r>
      <w:r w:rsidRPr="004C49AB">
        <w:rPr>
          <w:i/>
        </w:rPr>
        <w:t xml:space="preserve">See </w:t>
      </w:r>
      <w:r>
        <w:t xml:space="preserve">26 FCC Rcd at 12582, tbl. A &amp;12595, n.142 (providing data for variable </w:t>
      </w:r>
      <w:r>
        <w:rPr>
          <w:i/>
        </w:rPr>
        <w:t>x</w:t>
      </w:r>
      <w:r>
        <w:t xml:space="preserve">); </w:t>
      </w:r>
      <w:r>
        <w:rPr>
          <w:i/>
        </w:rPr>
        <w:t xml:space="preserve">DSNP </w:t>
      </w:r>
      <w:r w:rsidRPr="00BC0318">
        <w:rPr>
          <w:i/>
        </w:rPr>
        <w:t>Application for Review</w:t>
      </w:r>
      <w:r>
        <w:t xml:space="preserve">, Exh. 3, at 1 (same); </w:t>
      </w:r>
      <w:r>
        <w:rPr>
          <w:i/>
        </w:rPr>
        <w:t>id.</w:t>
      </w:r>
      <w:r>
        <w:t xml:space="preserve"> at 2–5 (providing data for variable </w:t>
      </w:r>
      <w:r>
        <w:rPr>
          <w:i/>
        </w:rPr>
        <w:t>y</w:t>
      </w:r>
      <w:r>
        <w:t>).</w:t>
      </w:r>
    </w:p>
  </w:footnote>
  <w:footnote w:id="143">
    <w:p w:rsidR="00044813" w:rsidRDefault="00044813" w:rsidP="003A0CBE">
      <w:pPr>
        <w:pStyle w:val="FootnoteText"/>
      </w:pPr>
      <w:r>
        <w:rPr>
          <w:rStyle w:val="FootnoteReference"/>
        </w:rPr>
        <w:footnoteRef/>
      </w:r>
      <w:r>
        <w:t xml:space="preserve"> </w:t>
      </w:r>
      <w:r w:rsidRPr="00C026B0">
        <w:rPr>
          <w:i/>
        </w:rPr>
        <w:t>See Order on Review</w:t>
      </w:r>
      <w:r>
        <w:t>, 26 FCC Rcd at 12607, para. 47.</w:t>
      </w:r>
    </w:p>
  </w:footnote>
  <w:footnote w:id="144">
    <w:p w:rsidR="00044813" w:rsidRPr="004C49AB" w:rsidRDefault="00044813" w:rsidP="003A0CBE">
      <w:pPr>
        <w:pStyle w:val="FootnoteText"/>
      </w:pPr>
      <w:r>
        <w:rPr>
          <w:rStyle w:val="FootnoteReference"/>
        </w:rPr>
        <w:footnoteRef/>
      </w:r>
      <w:r>
        <w:t xml:space="preserve"> My assessment of a fair-market-value rate renewal increase is also based, in part, on the fact that Armstrong had recently agreed to an </w:t>
      </w:r>
      <w:r w:rsidRPr="00430BEA">
        <w:rPr>
          <w:b/>
        </w:rPr>
        <w:t>[</w:t>
      </w:r>
      <w:r>
        <w:rPr>
          <w:b/>
        </w:rPr>
        <w:t>REDACTED</w:t>
      </w:r>
      <w:r w:rsidRPr="00430BEA">
        <w:rPr>
          <w:b/>
        </w:rPr>
        <w:t>]</w:t>
      </w:r>
      <w:r>
        <w:rPr>
          <w:b/>
        </w:rPr>
        <w:t xml:space="preserve"> </w:t>
      </w:r>
      <w:r w:rsidRPr="00AA0419">
        <w:t>increase in rates over the prior eighteen months in exchange for receiving a full-time HD feed and 36 additional Pittsburgh Pirates games</w:t>
      </w:r>
      <w:r>
        <w:t xml:space="preserve">.  </w:t>
      </w:r>
      <w:r w:rsidRPr="00BC0318">
        <w:rPr>
          <w:i/>
        </w:rPr>
        <w:t>See Order</w:t>
      </w:r>
      <w:r>
        <w:t xml:space="preserve"> at para. 23.  </w:t>
      </w:r>
      <w:r w:rsidRPr="00AA0419">
        <w:t xml:space="preserve">On one hand, given that Armstrong had recently agreed to an </w:t>
      </w:r>
      <w:r w:rsidRPr="00430BEA">
        <w:rPr>
          <w:b/>
        </w:rPr>
        <w:t>[</w:t>
      </w:r>
      <w:r>
        <w:rPr>
          <w:b/>
        </w:rPr>
        <w:t>REDACTED</w:t>
      </w:r>
      <w:r w:rsidRPr="00430BEA">
        <w:rPr>
          <w:b/>
        </w:rPr>
        <w:t>]</w:t>
      </w:r>
      <w:r>
        <w:rPr>
          <w:b/>
        </w:rPr>
        <w:t xml:space="preserve"> </w:t>
      </w:r>
      <w:r w:rsidRPr="00AA0419">
        <w:t>increase in rates, I find it difficult to believe that DSNP could have reasonably expected to receive here a typical re</w:t>
      </w:r>
      <w:r>
        <w:t xml:space="preserve">newal rate increase </w:t>
      </w:r>
      <w:r w:rsidRPr="00430BEA">
        <w:rPr>
          <w:b/>
        </w:rPr>
        <w:t>[</w:t>
      </w:r>
      <w:r>
        <w:rPr>
          <w:b/>
        </w:rPr>
        <w:t>REDACTED</w:t>
      </w:r>
      <w:r w:rsidRPr="00430BEA">
        <w:rPr>
          <w:b/>
        </w:rPr>
        <w:t>]</w:t>
      </w:r>
      <w:r w:rsidRPr="00AA0419">
        <w:t xml:space="preserve">.  On the other hand, I also have trouble concluding that DSNP should have received a negligible renewal rate increase.  After all, the recent </w:t>
      </w:r>
      <w:r w:rsidRPr="00430BEA">
        <w:rPr>
          <w:b/>
        </w:rPr>
        <w:t>[</w:t>
      </w:r>
      <w:r>
        <w:rPr>
          <w:b/>
        </w:rPr>
        <w:t>REDACTED</w:t>
      </w:r>
      <w:r w:rsidRPr="00430BEA">
        <w:rPr>
          <w:b/>
        </w:rPr>
        <w:t>]</w:t>
      </w:r>
      <w:r>
        <w:rPr>
          <w:b/>
        </w:rPr>
        <w:t xml:space="preserve"> </w:t>
      </w:r>
      <w:r w:rsidRPr="00AA0419">
        <w:t>increase in Armstrong’s rates had been in exchange for additional programming services.  But the record indicates that renewal rate increases are not based solely on service improvements.</w:t>
      </w:r>
      <w:r>
        <w:t xml:space="preserve">  </w:t>
      </w:r>
      <w:r w:rsidRPr="00AA0419">
        <w:t>Rather, they are also based on the fact that a programmer’s leverage is maximized when a contract expires.</w:t>
      </w:r>
      <w:r>
        <w:t xml:space="preserve">  </w:t>
      </w:r>
      <w:r w:rsidRPr="00BC0318">
        <w:rPr>
          <w:i/>
        </w:rPr>
        <w:t xml:space="preserve">See </w:t>
      </w:r>
      <w:r>
        <w:rPr>
          <w:i/>
        </w:rPr>
        <w:t xml:space="preserve">DSNP </w:t>
      </w:r>
      <w:r w:rsidRPr="00BC0318">
        <w:rPr>
          <w:i/>
        </w:rPr>
        <w:t>Application for Review</w:t>
      </w:r>
      <w:r>
        <w:t xml:space="preserve"> at 17 (summarizing testimony of Armstrong’s expert, Dr. Lindsay Gardner).</w:t>
      </w:r>
    </w:p>
  </w:footnote>
  <w:footnote w:id="145">
    <w:p w:rsidR="00044813" w:rsidRDefault="00044813" w:rsidP="003A0CBE">
      <w:pPr>
        <w:pStyle w:val="FootnoteText"/>
      </w:pPr>
      <w:r>
        <w:rPr>
          <w:rStyle w:val="FootnoteReference"/>
        </w:rPr>
        <w:footnoteRef/>
      </w:r>
      <w:r>
        <w:t xml:space="preserve"> </w:t>
      </w:r>
      <w:r w:rsidRPr="00D2064E">
        <w:rPr>
          <w:i/>
        </w:rPr>
        <w:t>See supra</w:t>
      </w:r>
      <w:r>
        <w:t xml:space="preserve"> note 21.  </w:t>
      </w:r>
    </w:p>
  </w:footnote>
  <w:footnote w:id="146">
    <w:p w:rsidR="00044813" w:rsidRDefault="00044813" w:rsidP="003A0CBE">
      <w:pPr>
        <w:pStyle w:val="FootnoteText"/>
      </w:pPr>
      <w:r>
        <w:rPr>
          <w:rStyle w:val="FootnoteReference"/>
        </w:rPr>
        <w:footnoteRef/>
      </w:r>
      <w:r>
        <w:t xml:space="preserve"> The Commission complains that a </w:t>
      </w:r>
      <w:r w:rsidRPr="00430BEA">
        <w:rPr>
          <w:b/>
        </w:rPr>
        <w:t>[</w:t>
      </w:r>
      <w:r>
        <w:rPr>
          <w:b/>
        </w:rPr>
        <w:t>REDACTED</w:t>
      </w:r>
      <w:r w:rsidRPr="00430BEA">
        <w:rPr>
          <w:b/>
        </w:rPr>
        <w:t>]</w:t>
      </w:r>
      <w:r>
        <w:t xml:space="preserve"> renewal rate increase “was not proposed in either party’s final offer.”  </w:t>
      </w:r>
      <w:r w:rsidRPr="00700F3D">
        <w:rPr>
          <w:i/>
        </w:rPr>
        <w:t>Order</w:t>
      </w:r>
      <w:r>
        <w:t xml:space="preserve"> at note 117.  Such an objection, however, simply underscores the fundamental problem with the Commission’s analysis.  In attempting to figure out which party’s offer most closely approximates fair market value, one should estimate fair market value.  That generally will be a figure somewhere in between each party’s offer.  The next step is to then see which party’s offer is closest to the estimated fair market value.  The Commission entirely skips that first step here.  Moreover, a </w:t>
      </w:r>
      <w:r w:rsidRPr="00430BEA">
        <w:rPr>
          <w:b/>
        </w:rPr>
        <w:t>[</w:t>
      </w:r>
      <w:r>
        <w:rPr>
          <w:b/>
        </w:rPr>
        <w:t>REDACTED</w:t>
      </w:r>
      <w:r w:rsidRPr="00430BEA">
        <w:rPr>
          <w:b/>
        </w:rPr>
        <w:t>]</w:t>
      </w:r>
      <w:r>
        <w:rPr>
          <w:b/>
        </w:rPr>
        <w:t xml:space="preserve"> </w:t>
      </w:r>
      <w:r>
        <w:t xml:space="preserve">renewal rate increase is entirely consistent with the Commission’s conclusion that Armstrong’s proposal renewal rate increase was closer to fair market value than was DSNP’s.  After all, </w:t>
      </w:r>
      <w:r w:rsidRPr="00430BEA">
        <w:rPr>
          <w:b/>
        </w:rPr>
        <w:t>[</w:t>
      </w:r>
      <w:r>
        <w:rPr>
          <w:b/>
        </w:rPr>
        <w:t>REDACTED</w:t>
      </w:r>
      <w:r w:rsidRPr="00430BEA">
        <w:rPr>
          <w:b/>
        </w:rPr>
        <w:t>]</w:t>
      </w:r>
      <w:r>
        <w:t xml:space="preserve"> is closer to </w:t>
      </w:r>
      <w:r w:rsidRPr="00430BEA">
        <w:rPr>
          <w:b/>
        </w:rPr>
        <w:t>[</w:t>
      </w:r>
      <w:r>
        <w:rPr>
          <w:b/>
        </w:rPr>
        <w:t>REDACTED</w:t>
      </w:r>
      <w:r w:rsidRPr="00430BEA">
        <w:rPr>
          <w:b/>
        </w:rPr>
        <w:t>]</w:t>
      </w:r>
      <w:r>
        <w:rPr>
          <w:b/>
        </w:rPr>
        <w:t xml:space="preserve"> </w:t>
      </w:r>
      <w:r>
        <w:t xml:space="preserve">than </w:t>
      </w:r>
      <w:r w:rsidRPr="00430BEA">
        <w:rPr>
          <w:b/>
        </w:rPr>
        <w:t>[</w:t>
      </w:r>
      <w:r>
        <w:rPr>
          <w:b/>
        </w:rPr>
        <w:t>REDACTED</w:t>
      </w:r>
      <w:r w:rsidRPr="00430BEA">
        <w:rPr>
          <w:b/>
        </w:rPr>
        <w:t>]</w:t>
      </w:r>
      <w:r>
        <w:t xml:space="preserve">.  And it is notable that even using a renewal rate increase that is closer to Armstrong’s proposal, the rates contained in DSNP’s offer turn out to be closer to estimated fair market value.          </w:t>
      </w:r>
    </w:p>
  </w:footnote>
  <w:footnote w:id="147">
    <w:p w:rsidR="00044813" w:rsidRDefault="00044813" w:rsidP="003A0CBE">
      <w:pPr>
        <w:pStyle w:val="FootnoteText"/>
      </w:pPr>
      <w:r>
        <w:rPr>
          <w:rStyle w:val="FootnoteReference"/>
        </w:rPr>
        <w:footnoteRef/>
      </w:r>
      <w:r>
        <w:t xml:space="preserve"> Rates are expressed in dollars per subscriber.  Emboldened and underlined rates are closer to the fair market value for each zone each year.  The rate increase for the last six months of 2010 is </w:t>
      </w:r>
      <w:r w:rsidRPr="00430BEA">
        <w:rPr>
          <w:b/>
        </w:rPr>
        <w:t>[</w:t>
      </w:r>
      <w:r>
        <w:rPr>
          <w:b/>
        </w:rPr>
        <w:t>REDACTED</w:t>
      </w:r>
      <w:r w:rsidRPr="00430BEA">
        <w:rPr>
          <w:b/>
        </w:rPr>
        <w:t>]</w:t>
      </w:r>
      <w:r>
        <w:t>.</w:t>
      </w:r>
    </w:p>
  </w:footnote>
  <w:footnote w:id="148">
    <w:p w:rsidR="00044813" w:rsidRDefault="00044813" w:rsidP="003A0CBE">
      <w:pPr>
        <w:pStyle w:val="FootnoteText"/>
      </w:pPr>
      <w:r>
        <w:rPr>
          <w:rStyle w:val="FootnoteReference"/>
        </w:rPr>
        <w:footnoteRef/>
      </w:r>
      <w:r>
        <w:t xml:space="preserve"> Given that the Bureau is tasked with reviewing the arbitrator’s award </w:t>
      </w:r>
      <w:r w:rsidRPr="004C49AB">
        <w:rPr>
          <w:i/>
        </w:rPr>
        <w:t>de novo</w:t>
      </w:r>
      <w:r>
        <w:t xml:space="preserve"> and the Commission is not obliged to defer to the Bureau, I am perplexed by the Commission’s claim that my analysis is not “relevant” because we are no longer at the “</w:t>
      </w:r>
      <w:r w:rsidRPr="004C49AB">
        <w:rPr>
          <w:i/>
        </w:rPr>
        <w:t>de novo</w:t>
      </w:r>
      <w:r>
        <w:t xml:space="preserve"> review stage.”  </w:t>
      </w:r>
      <w:r w:rsidRPr="004C49AB">
        <w:rPr>
          <w:i/>
        </w:rPr>
        <w:t>See Order</w:t>
      </w:r>
      <w:r>
        <w:t xml:space="preserve"> at note 117.  My analysis is based solely on evidence that was contained in the record compiled by the arbitrator and that was in front of the Bureau.  And once DSNP squarely placed in front of the Commission the question of which party’s proposed rates were closer to fair market value, we have every right, and indeed the obligation, to evaluate and analyze the evidence in the record to resolve that question.  Indeed, it is the Commission’s and the Bureau’s analyses that are not “relevant” here because they do not apply the governing standard set forth in the </w:t>
      </w:r>
      <w:r w:rsidRPr="004C49AB">
        <w:rPr>
          <w:i/>
        </w:rPr>
        <w:t>Liberty Media Order</w:t>
      </w:r>
      <w:r>
        <w:t xml:space="preserve">.  And that basic methodological flaw with the Commission’s decision, which is detailed in Section I above, provides more than sufficient justification, by itself, to vacate the decision below and remand the case to the Bureau with the instructions set forth </w:t>
      </w:r>
      <w:r w:rsidRPr="004C49AB">
        <w:rPr>
          <w:i/>
        </w:rPr>
        <w:t>infra</w:t>
      </w:r>
      <w:r>
        <w:t>.</w:t>
      </w:r>
    </w:p>
  </w:footnote>
  <w:footnote w:id="149">
    <w:p w:rsidR="00044813" w:rsidRPr="00AA0419" w:rsidRDefault="00044813" w:rsidP="003A0CBE">
      <w:pPr>
        <w:pStyle w:val="FootnoteText"/>
      </w:pPr>
      <w:r w:rsidRPr="00AA0419">
        <w:rPr>
          <w:rStyle w:val="FootnoteReference"/>
        </w:rPr>
        <w:footnoteRef/>
      </w:r>
      <w:r w:rsidRPr="00AA0419">
        <w:t xml:space="preserve"> </w:t>
      </w:r>
      <w:r w:rsidRPr="00BC0318">
        <w:rPr>
          <w:i/>
        </w:rPr>
        <w:t>Order</w:t>
      </w:r>
      <w:r>
        <w:t xml:space="preserve"> at para. 1.</w:t>
      </w:r>
    </w:p>
  </w:footnote>
  <w:footnote w:id="150">
    <w:p w:rsidR="00044813" w:rsidRPr="00AA0419" w:rsidRDefault="00044813" w:rsidP="003A0CBE">
      <w:pPr>
        <w:pStyle w:val="FootnoteText"/>
      </w:pPr>
      <w:r w:rsidRPr="00AA0419">
        <w:rPr>
          <w:rStyle w:val="FootnoteReference"/>
        </w:rPr>
        <w:footnoteRef/>
      </w:r>
      <w:r w:rsidRPr="00AA0419">
        <w:t xml:space="preserve"> </w:t>
      </w:r>
      <w:r w:rsidRPr="00BC0318">
        <w:rPr>
          <w:i/>
        </w:rPr>
        <w:t>See Order on Review</w:t>
      </w:r>
      <w:r>
        <w:t>, 26 FCC Rcd at 12611, 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ED" w:rsidRDefault="00B7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Default="00044813" w:rsidP="0078076E">
    <w:pPr>
      <w:pStyle w:val="Header"/>
    </w:pPr>
    <w:r>
      <w:tab/>
    </w:r>
    <w:r w:rsidRPr="0078076E">
      <w:rPr>
        <w:b w:val="0"/>
      </w:rPr>
      <w:t>Feder</w:t>
    </w:r>
    <w:r>
      <w:rPr>
        <w:b w:val="0"/>
      </w:rPr>
      <w:t>al Communications Commission</w:t>
    </w:r>
    <w:r>
      <w:rPr>
        <w:b w:val="0"/>
      </w:rPr>
      <w:tab/>
      <w:t>FCC 14-73</w:t>
    </w:r>
  </w:p>
  <w:p w:rsidR="00044813" w:rsidRDefault="00BB1F63" w:rsidP="0078076E">
    <w:pPr>
      <w:pStyle w:val="Header"/>
    </w:pPr>
    <w:r>
      <w:pict>
        <v:line id="_x0000_s2053" style="position:absolute;z-index:-251658240" from="0,1.75pt" to="468pt,1.75pt" strokeweight=".53mm">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13" w:rsidRPr="0078076E" w:rsidRDefault="00044813" w:rsidP="0078076E">
    <w:pPr>
      <w:pStyle w:val="Header"/>
      <w:rPr>
        <w:b w:val="0"/>
      </w:rPr>
    </w:pPr>
    <w:r>
      <w:tab/>
    </w:r>
    <w:r w:rsidRPr="0078076E">
      <w:rPr>
        <w:b w:val="0"/>
      </w:rPr>
      <w:t>Federal Communications Commission</w:t>
    </w:r>
    <w:r w:rsidRPr="0078076E">
      <w:rPr>
        <w:b w:val="0"/>
      </w:rPr>
      <w:tab/>
    </w:r>
    <w:r>
      <w:rPr>
        <w:b w:val="0"/>
      </w:rPr>
      <w:t xml:space="preserve">FCC </w:t>
    </w:r>
    <w:r w:rsidRPr="0078076E">
      <w:rPr>
        <w:b w:val="0"/>
      </w:rPr>
      <w:t>1</w:t>
    </w:r>
    <w:r>
      <w:rPr>
        <w:b w:val="0"/>
      </w:rPr>
      <w:t>4</w:t>
    </w:r>
    <w:r w:rsidRPr="0078076E">
      <w:rPr>
        <w:b w:val="0"/>
      </w:rPr>
      <w:t>-</w:t>
    </w:r>
    <w:r>
      <w:rPr>
        <w:b w:val="0"/>
      </w:rPr>
      <w:t>73</w:t>
    </w:r>
  </w:p>
  <w:p w:rsidR="00044813" w:rsidRPr="0078076E" w:rsidRDefault="00BB1F63" w:rsidP="0078076E">
    <w:pPr>
      <w:pStyle w:val="Header"/>
      <w:rPr>
        <w:b w:val="0"/>
      </w:rPr>
    </w:pPr>
    <w:r>
      <w:rPr>
        <w:b w:val="0"/>
      </w:rPr>
      <w:pict>
        <v:line id="_x0000_s2052" style="position:absolute;z-index:-251659264" from="0,1.75pt" to="468pt,1.75pt" strokeweight=".53mm">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26BA5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CC4E6B"/>
    <w:multiLevelType w:val="hybridMultilevel"/>
    <w:tmpl w:val="2EFAADD8"/>
    <w:name w:val="WW8Num4"/>
    <w:lvl w:ilvl="0" w:tplc="1160CB3E">
      <w:start w:val="1"/>
      <w:numFmt w:val="bullet"/>
      <w:lvlText w:val=""/>
      <w:lvlJc w:val="left"/>
      <w:pPr>
        <w:tabs>
          <w:tab w:val="num" w:pos="1080"/>
        </w:tabs>
        <w:ind w:left="1080" w:hanging="360"/>
      </w:pPr>
      <w:rPr>
        <w:rFonts w:ascii="Symbol" w:hAnsi="Symbol" w:hint="default"/>
      </w:rPr>
    </w:lvl>
    <w:lvl w:ilvl="1" w:tplc="8410032C" w:tentative="1">
      <w:start w:val="1"/>
      <w:numFmt w:val="bullet"/>
      <w:lvlText w:val="o"/>
      <w:lvlJc w:val="left"/>
      <w:pPr>
        <w:tabs>
          <w:tab w:val="num" w:pos="1800"/>
        </w:tabs>
        <w:ind w:left="1800" w:hanging="360"/>
      </w:pPr>
      <w:rPr>
        <w:rFonts w:ascii="Courier New" w:hAnsi="Courier New" w:hint="default"/>
      </w:rPr>
    </w:lvl>
    <w:lvl w:ilvl="2" w:tplc="18F4989A" w:tentative="1">
      <w:start w:val="1"/>
      <w:numFmt w:val="bullet"/>
      <w:lvlText w:val=""/>
      <w:lvlJc w:val="left"/>
      <w:pPr>
        <w:tabs>
          <w:tab w:val="num" w:pos="2520"/>
        </w:tabs>
        <w:ind w:left="2520" w:hanging="360"/>
      </w:pPr>
      <w:rPr>
        <w:rFonts w:ascii="Wingdings" w:hAnsi="Wingdings" w:hint="default"/>
      </w:rPr>
    </w:lvl>
    <w:lvl w:ilvl="3" w:tplc="E3B6730A" w:tentative="1">
      <w:start w:val="1"/>
      <w:numFmt w:val="bullet"/>
      <w:lvlText w:val=""/>
      <w:lvlJc w:val="left"/>
      <w:pPr>
        <w:tabs>
          <w:tab w:val="num" w:pos="3240"/>
        </w:tabs>
        <w:ind w:left="3240" w:hanging="360"/>
      </w:pPr>
      <w:rPr>
        <w:rFonts w:ascii="Symbol" w:hAnsi="Symbol" w:hint="default"/>
      </w:rPr>
    </w:lvl>
    <w:lvl w:ilvl="4" w:tplc="DD3001CE" w:tentative="1">
      <w:start w:val="1"/>
      <w:numFmt w:val="bullet"/>
      <w:lvlText w:val="o"/>
      <w:lvlJc w:val="left"/>
      <w:pPr>
        <w:tabs>
          <w:tab w:val="num" w:pos="3960"/>
        </w:tabs>
        <w:ind w:left="3960" w:hanging="360"/>
      </w:pPr>
      <w:rPr>
        <w:rFonts w:ascii="Courier New" w:hAnsi="Courier New" w:hint="default"/>
      </w:rPr>
    </w:lvl>
    <w:lvl w:ilvl="5" w:tplc="7D2EB826" w:tentative="1">
      <w:start w:val="1"/>
      <w:numFmt w:val="bullet"/>
      <w:lvlText w:val=""/>
      <w:lvlJc w:val="left"/>
      <w:pPr>
        <w:tabs>
          <w:tab w:val="num" w:pos="4680"/>
        </w:tabs>
        <w:ind w:left="4680" w:hanging="360"/>
      </w:pPr>
      <w:rPr>
        <w:rFonts w:ascii="Wingdings" w:hAnsi="Wingdings" w:hint="default"/>
      </w:rPr>
    </w:lvl>
    <w:lvl w:ilvl="6" w:tplc="F7C4C9C4" w:tentative="1">
      <w:start w:val="1"/>
      <w:numFmt w:val="bullet"/>
      <w:lvlText w:val=""/>
      <w:lvlJc w:val="left"/>
      <w:pPr>
        <w:tabs>
          <w:tab w:val="num" w:pos="5400"/>
        </w:tabs>
        <w:ind w:left="5400" w:hanging="360"/>
      </w:pPr>
      <w:rPr>
        <w:rFonts w:ascii="Symbol" w:hAnsi="Symbol" w:hint="default"/>
      </w:rPr>
    </w:lvl>
    <w:lvl w:ilvl="7" w:tplc="180A92FA" w:tentative="1">
      <w:start w:val="1"/>
      <w:numFmt w:val="bullet"/>
      <w:lvlText w:val="o"/>
      <w:lvlJc w:val="left"/>
      <w:pPr>
        <w:tabs>
          <w:tab w:val="num" w:pos="6120"/>
        </w:tabs>
        <w:ind w:left="6120" w:hanging="360"/>
      </w:pPr>
      <w:rPr>
        <w:rFonts w:ascii="Courier New" w:hAnsi="Courier New" w:hint="default"/>
      </w:rPr>
    </w:lvl>
    <w:lvl w:ilvl="8" w:tplc="F89E56D0" w:tentative="1">
      <w:start w:val="1"/>
      <w:numFmt w:val="bullet"/>
      <w:lvlText w:val=""/>
      <w:lvlJc w:val="left"/>
      <w:pPr>
        <w:tabs>
          <w:tab w:val="num" w:pos="6840"/>
        </w:tabs>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C7AE9"/>
    <w:multiLevelType w:val="hybridMultilevel"/>
    <w:tmpl w:val="0D5C0938"/>
    <w:lvl w:ilvl="0" w:tplc="75EA1C0C">
      <w:start w:val="1"/>
      <w:numFmt w:val="bullet"/>
      <w:lvlText w:val=""/>
      <w:lvlJc w:val="left"/>
      <w:pPr>
        <w:tabs>
          <w:tab w:val="num" w:pos="1080"/>
        </w:tabs>
        <w:ind w:left="1080" w:hanging="360"/>
      </w:pPr>
      <w:rPr>
        <w:rFonts w:ascii="Symbol" w:hAnsi="Symbol" w:hint="default"/>
      </w:rPr>
    </w:lvl>
    <w:lvl w:ilvl="1" w:tplc="551EBE3C" w:tentative="1">
      <w:start w:val="1"/>
      <w:numFmt w:val="bullet"/>
      <w:lvlText w:val="o"/>
      <w:lvlJc w:val="left"/>
      <w:pPr>
        <w:tabs>
          <w:tab w:val="num" w:pos="1800"/>
        </w:tabs>
        <w:ind w:left="1800" w:hanging="360"/>
      </w:pPr>
      <w:rPr>
        <w:rFonts w:ascii="Courier New" w:hAnsi="Courier New" w:hint="default"/>
      </w:rPr>
    </w:lvl>
    <w:lvl w:ilvl="2" w:tplc="ABA8BFBA" w:tentative="1">
      <w:start w:val="1"/>
      <w:numFmt w:val="bullet"/>
      <w:lvlText w:val=""/>
      <w:lvlJc w:val="left"/>
      <w:pPr>
        <w:tabs>
          <w:tab w:val="num" w:pos="2520"/>
        </w:tabs>
        <w:ind w:left="2520" w:hanging="360"/>
      </w:pPr>
      <w:rPr>
        <w:rFonts w:ascii="Wingdings" w:hAnsi="Wingdings" w:hint="default"/>
      </w:rPr>
    </w:lvl>
    <w:lvl w:ilvl="3" w:tplc="B2EED1EA" w:tentative="1">
      <w:start w:val="1"/>
      <w:numFmt w:val="bullet"/>
      <w:lvlText w:val=""/>
      <w:lvlJc w:val="left"/>
      <w:pPr>
        <w:tabs>
          <w:tab w:val="num" w:pos="3240"/>
        </w:tabs>
        <w:ind w:left="3240" w:hanging="360"/>
      </w:pPr>
      <w:rPr>
        <w:rFonts w:ascii="Symbol" w:hAnsi="Symbol" w:hint="default"/>
      </w:rPr>
    </w:lvl>
    <w:lvl w:ilvl="4" w:tplc="BB2C17F0" w:tentative="1">
      <w:start w:val="1"/>
      <w:numFmt w:val="bullet"/>
      <w:lvlText w:val="o"/>
      <w:lvlJc w:val="left"/>
      <w:pPr>
        <w:tabs>
          <w:tab w:val="num" w:pos="3960"/>
        </w:tabs>
        <w:ind w:left="3960" w:hanging="360"/>
      </w:pPr>
      <w:rPr>
        <w:rFonts w:ascii="Courier New" w:hAnsi="Courier New" w:hint="default"/>
      </w:rPr>
    </w:lvl>
    <w:lvl w:ilvl="5" w:tplc="C694C3F0" w:tentative="1">
      <w:start w:val="1"/>
      <w:numFmt w:val="bullet"/>
      <w:lvlText w:val=""/>
      <w:lvlJc w:val="left"/>
      <w:pPr>
        <w:tabs>
          <w:tab w:val="num" w:pos="4680"/>
        </w:tabs>
        <w:ind w:left="4680" w:hanging="360"/>
      </w:pPr>
      <w:rPr>
        <w:rFonts w:ascii="Wingdings" w:hAnsi="Wingdings" w:hint="default"/>
      </w:rPr>
    </w:lvl>
    <w:lvl w:ilvl="6" w:tplc="85A22014" w:tentative="1">
      <w:start w:val="1"/>
      <w:numFmt w:val="bullet"/>
      <w:lvlText w:val=""/>
      <w:lvlJc w:val="left"/>
      <w:pPr>
        <w:tabs>
          <w:tab w:val="num" w:pos="5400"/>
        </w:tabs>
        <w:ind w:left="5400" w:hanging="360"/>
      </w:pPr>
      <w:rPr>
        <w:rFonts w:ascii="Symbol" w:hAnsi="Symbol" w:hint="default"/>
      </w:rPr>
    </w:lvl>
    <w:lvl w:ilvl="7" w:tplc="1D3E3FF4" w:tentative="1">
      <w:start w:val="1"/>
      <w:numFmt w:val="bullet"/>
      <w:lvlText w:val="o"/>
      <w:lvlJc w:val="left"/>
      <w:pPr>
        <w:tabs>
          <w:tab w:val="num" w:pos="6120"/>
        </w:tabs>
        <w:ind w:left="6120" w:hanging="360"/>
      </w:pPr>
      <w:rPr>
        <w:rFonts w:ascii="Courier New" w:hAnsi="Courier New" w:hint="default"/>
      </w:rPr>
    </w:lvl>
    <w:lvl w:ilvl="8" w:tplc="E208C80E" w:tentative="1">
      <w:start w:val="1"/>
      <w:numFmt w:val="bullet"/>
      <w:lvlText w:val=""/>
      <w:lvlJc w:val="left"/>
      <w:pPr>
        <w:tabs>
          <w:tab w:val="num" w:pos="6840"/>
        </w:tabs>
        <w:ind w:left="6840" w:hanging="360"/>
      </w:pPr>
      <w:rPr>
        <w:rFonts w:ascii="Wingdings" w:hAnsi="Wingdings" w:hint="default"/>
      </w:rPr>
    </w:lvl>
  </w:abstractNum>
  <w:abstractNum w:abstractNumId="8">
    <w:nsid w:val="56FA7FE5"/>
    <w:multiLevelType w:val="hybridMultilevel"/>
    <w:tmpl w:val="899E03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5A802F15"/>
    <w:multiLevelType w:val="hybridMultilevel"/>
    <w:tmpl w:val="0C9073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6"/>
  </w:num>
  <w:num w:numId="5">
    <w:abstractNumId w:val="4"/>
  </w:num>
  <w:num w:numId="6">
    <w:abstractNumId w:val="1"/>
  </w:num>
  <w:num w:numId="7">
    <w:abstractNumId w:val="7"/>
  </w:num>
  <w:num w:numId="8">
    <w:abstractNumId w:val="9"/>
  </w:num>
  <w:num w:numId="9">
    <w:abstractNumId w:val="0"/>
  </w:num>
  <w:num w:numId="10">
    <w:abstractNumId w:val="2"/>
  </w:num>
  <w:num w:numId="11">
    <w:abstractNumId w:val="10"/>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0704"/>
    <w:rsid w:val="00001C3A"/>
    <w:rsid w:val="00004297"/>
    <w:rsid w:val="00005125"/>
    <w:rsid w:val="00011239"/>
    <w:rsid w:val="0001191E"/>
    <w:rsid w:val="00011BE5"/>
    <w:rsid w:val="00013DF1"/>
    <w:rsid w:val="00015E99"/>
    <w:rsid w:val="00017AD9"/>
    <w:rsid w:val="000204C1"/>
    <w:rsid w:val="00023480"/>
    <w:rsid w:val="00023D8D"/>
    <w:rsid w:val="00023DAB"/>
    <w:rsid w:val="0002705F"/>
    <w:rsid w:val="000309E7"/>
    <w:rsid w:val="00030D33"/>
    <w:rsid w:val="00030D6B"/>
    <w:rsid w:val="0003174A"/>
    <w:rsid w:val="0003561C"/>
    <w:rsid w:val="00035DFC"/>
    <w:rsid w:val="00036039"/>
    <w:rsid w:val="000364E0"/>
    <w:rsid w:val="00037F90"/>
    <w:rsid w:val="00040C0C"/>
    <w:rsid w:val="00040C4A"/>
    <w:rsid w:val="00040CA4"/>
    <w:rsid w:val="00041A22"/>
    <w:rsid w:val="00042781"/>
    <w:rsid w:val="00042861"/>
    <w:rsid w:val="00044813"/>
    <w:rsid w:val="00047BCB"/>
    <w:rsid w:val="00050241"/>
    <w:rsid w:val="00051616"/>
    <w:rsid w:val="00051961"/>
    <w:rsid w:val="000542CF"/>
    <w:rsid w:val="00055072"/>
    <w:rsid w:val="0005617B"/>
    <w:rsid w:val="000566AA"/>
    <w:rsid w:val="00060FBC"/>
    <w:rsid w:val="0006212E"/>
    <w:rsid w:val="0006423C"/>
    <w:rsid w:val="00064B90"/>
    <w:rsid w:val="00065241"/>
    <w:rsid w:val="00065385"/>
    <w:rsid w:val="00065B79"/>
    <w:rsid w:val="00067F61"/>
    <w:rsid w:val="000723FF"/>
    <w:rsid w:val="00074824"/>
    <w:rsid w:val="00076B7D"/>
    <w:rsid w:val="00077958"/>
    <w:rsid w:val="000808BC"/>
    <w:rsid w:val="0008247F"/>
    <w:rsid w:val="0008289F"/>
    <w:rsid w:val="000829C8"/>
    <w:rsid w:val="000846C0"/>
    <w:rsid w:val="000875BF"/>
    <w:rsid w:val="000905AF"/>
    <w:rsid w:val="00090E8B"/>
    <w:rsid w:val="00091DEC"/>
    <w:rsid w:val="000937ED"/>
    <w:rsid w:val="000944E9"/>
    <w:rsid w:val="00096BBF"/>
    <w:rsid w:val="00096D8C"/>
    <w:rsid w:val="000A0294"/>
    <w:rsid w:val="000A07E4"/>
    <w:rsid w:val="000A198C"/>
    <w:rsid w:val="000A20CD"/>
    <w:rsid w:val="000A2DA8"/>
    <w:rsid w:val="000A3FC4"/>
    <w:rsid w:val="000A68CE"/>
    <w:rsid w:val="000B039A"/>
    <w:rsid w:val="000B12E4"/>
    <w:rsid w:val="000B20DF"/>
    <w:rsid w:val="000B323D"/>
    <w:rsid w:val="000B33B9"/>
    <w:rsid w:val="000B42D2"/>
    <w:rsid w:val="000B42F4"/>
    <w:rsid w:val="000B5CA0"/>
    <w:rsid w:val="000B6BC9"/>
    <w:rsid w:val="000C0B65"/>
    <w:rsid w:val="000C2EF2"/>
    <w:rsid w:val="000C312B"/>
    <w:rsid w:val="000C3BDD"/>
    <w:rsid w:val="000C4D04"/>
    <w:rsid w:val="000C7C7F"/>
    <w:rsid w:val="000D0207"/>
    <w:rsid w:val="000D2B29"/>
    <w:rsid w:val="000D30B2"/>
    <w:rsid w:val="000D33DA"/>
    <w:rsid w:val="000D3D73"/>
    <w:rsid w:val="000D55B5"/>
    <w:rsid w:val="000D56E8"/>
    <w:rsid w:val="000D5F5D"/>
    <w:rsid w:val="000D69AF"/>
    <w:rsid w:val="000D6AC7"/>
    <w:rsid w:val="000E16D2"/>
    <w:rsid w:val="000E1B81"/>
    <w:rsid w:val="000E2BC7"/>
    <w:rsid w:val="000E3D42"/>
    <w:rsid w:val="000E6281"/>
    <w:rsid w:val="000F0013"/>
    <w:rsid w:val="000F5AB6"/>
    <w:rsid w:val="000F6921"/>
    <w:rsid w:val="000F749B"/>
    <w:rsid w:val="00102B29"/>
    <w:rsid w:val="00102DC9"/>
    <w:rsid w:val="001032DA"/>
    <w:rsid w:val="0010425D"/>
    <w:rsid w:val="00105913"/>
    <w:rsid w:val="001059D3"/>
    <w:rsid w:val="00105B05"/>
    <w:rsid w:val="00106A23"/>
    <w:rsid w:val="00107113"/>
    <w:rsid w:val="0010742D"/>
    <w:rsid w:val="00107D59"/>
    <w:rsid w:val="00112E52"/>
    <w:rsid w:val="00113A34"/>
    <w:rsid w:val="00113E6F"/>
    <w:rsid w:val="001157AD"/>
    <w:rsid w:val="00116CE9"/>
    <w:rsid w:val="00116E79"/>
    <w:rsid w:val="0011718D"/>
    <w:rsid w:val="00117320"/>
    <w:rsid w:val="00120461"/>
    <w:rsid w:val="00120776"/>
    <w:rsid w:val="00120F32"/>
    <w:rsid w:val="001213AF"/>
    <w:rsid w:val="00122805"/>
    <w:rsid w:val="00122BD5"/>
    <w:rsid w:val="00122F54"/>
    <w:rsid w:val="001240E6"/>
    <w:rsid w:val="00124CAC"/>
    <w:rsid w:val="00125A24"/>
    <w:rsid w:val="00127A68"/>
    <w:rsid w:val="001308D2"/>
    <w:rsid w:val="00131220"/>
    <w:rsid w:val="00131646"/>
    <w:rsid w:val="0013220D"/>
    <w:rsid w:val="00132BC3"/>
    <w:rsid w:val="001333CC"/>
    <w:rsid w:val="0013374B"/>
    <w:rsid w:val="0013389F"/>
    <w:rsid w:val="00140C83"/>
    <w:rsid w:val="0014148C"/>
    <w:rsid w:val="00142126"/>
    <w:rsid w:val="00142BD4"/>
    <w:rsid w:val="00143CB9"/>
    <w:rsid w:val="00144F47"/>
    <w:rsid w:val="00145109"/>
    <w:rsid w:val="001455C3"/>
    <w:rsid w:val="00146D7D"/>
    <w:rsid w:val="001503DA"/>
    <w:rsid w:val="001515E2"/>
    <w:rsid w:val="001520C1"/>
    <w:rsid w:val="00152207"/>
    <w:rsid w:val="0015471F"/>
    <w:rsid w:val="00155477"/>
    <w:rsid w:val="001568AB"/>
    <w:rsid w:val="00157B95"/>
    <w:rsid w:val="001602F7"/>
    <w:rsid w:val="0016128C"/>
    <w:rsid w:val="00161B5F"/>
    <w:rsid w:val="00161BB0"/>
    <w:rsid w:val="00162002"/>
    <w:rsid w:val="001628EB"/>
    <w:rsid w:val="00162FF6"/>
    <w:rsid w:val="001638B3"/>
    <w:rsid w:val="00166092"/>
    <w:rsid w:val="00166229"/>
    <w:rsid w:val="0016630D"/>
    <w:rsid w:val="001665E4"/>
    <w:rsid w:val="00167EB2"/>
    <w:rsid w:val="0017048E"/>
    <w:rsid w:val="00170827"/>
    <w:rsid w:val="00170C96"/>
    <w:rsid w:val="00170D0D"/>
    <w:rsid w:val="00171B15"/>
    <w:rsid w:val="00173B12"/>
    <w:rsid w:val="00174C1E"/>
    <w:rsid w:val="00180471"/>
    <w:rsid w:val="00180616"/>
    <w:rsid w:val="00181F91"/>
    <w:rsid w:val="0019082F"/>
    <w:rsid w:val="00196B86"/>
    <w:rsid w:val="001A19A4"/>
    <w:rsid w:val="001A3EC1"/>
    <w:rsid w:val="001A51B8"/>
    <w:rsid w:val="001A635C"/>
    <w:rsid w:val="001A6618"/>
    <w:rsid w:val="001A6917"/>
    <w:rsid w:val="001B2EC7"/>
    <w:rsid w:val="001B4CEE"/>
    <w:rsid w:val="001B59DF"/>
    <w:rsid w:val="001B78C7"/>
    <w:rsid w:val="001B7D43"/>
    <w:rsid w:val="001B7E08"/>
    <w:rsid w:val="001C0D1D"/>
    <w:rsid w:val="001C147C"/>
    <w:rsid w:val="001C564A"/>
    <w:rsid w:val="001C790A"/>
    <w:rsid w:val="001D1080"/>
    <w:rsid w:val="001D140D"/>
    <w:rsid w:val="001D27D0"/>
    <w:rsid w:val="001D33FE"/>
    <w:rsid w:val="001D3559"/>
    <w:rsid w:val="001D56B5"/>
    <w:rsid w:val="001D5B25"/>
    <w:rsid w:val="001D6BCF"/>
    <w:rsid w:val="001D7447"/>
    <w:rsid w:val="001E01CA"/>
    <w:rsid w:val="001E0A53"/>
    <w:rsid w:val="001E39CB"/>
    <w:rsid w:val="001E3FAE"/>
    <w:rsid w:val="001E4864"/>
    <w:rsid w:val="001E491E"/>
    <w:rsid w:val="001E5638"/>
    <w:rsid w:val="001E61C0"/>
    <w:rsid w:val="001E7A2F"/>
    <w:rsid w:val="001F0165"/>
    <w:rsid w:val="001F139A"/>
    <w:rsid w:val="001F1806"/>
    <w:rsid w:val="001F2D5B"/>
    <w:rsid w:val="001F367F"/>
    <w:rsid w:val="001F6115"/>
    <w:rsid w:val="001F6D1A"/>
    <w:rsid w:val="001F7D67"/>
    <w:rsid w:val="00200984"/>
    <w:rsid w:val="0020113D"/>
    <w:rsid w:val="002016D4"/>
    <w:rsid w:val="00202837"/>
    <w:rsid w:val="00202AC6"/>
    <w:rsid w:val="00202B3C"/>
    <w:rsid w:val="00202B90"/>
    <w:rsid w:val="00202D2C"/>
    <w:rsid w:val="002036E4"/>
    <w:rsid w:val="00206630"/>
    <w:rsid w:val="0020684C"/>
    <w:rsid w:val="00207240"/>
    <w:rsid w:val="00207754"/>
    <w:rsid w:val="00207847"/>
    <w:rsid w:val="00210712"/>
    <w:rsid w:val="00210AF6"/>
    <w:rsid w:val="0021312B"/>
    <w:rsid w:val="0021408C"/>
    <w:rsid w:val="00215532"/>
    <w:rsid w:val="00215AE1"/>
    <w:rsid w:val="00221BFA"/>
    <w:rsid w:val="00223E2C"/>
    <w:rsid w:val="00224184"/>
    <w:rsid w:val="00224B33"/>
    <w:rsid w:val="00225514"/>
    <w:rsid w:val="00230CAA"/>
    <w:rsid w:val="0023258F"/>
    <w:rsid w:val="00233A73"/>
    <w:rsid w:val="00235AD1"/>
    <w:rsid w:val="00235F72"/>
    <w:rsid w:val="002370E1"/>
    <w:rsid w:val="00237495"/>
    <w:rsid w:val="00237FA2"/>
    <w:rsid w:val="00240A7D"/>
    <w:rsid w:val="00240A89"/>
    <w:rsid w:val="00244DA2"/>
    <w:rsid w:val="00245622"/>
    <w:rsid w:val="00246A4E"/>
    <w:rsid w:val="00250FDE"/>
    <w:rsid w:val="00251B92"/>
    <w:rsid w:val="00252A90"/>
    <w:rsid w:val="00252D3C"/>
    <w:rsid w:val="00252D64"/>
    <w:rsid w:val="00254969"/>
    <w:rsid w:val="00255509"/>
    <w:rsid w:val="002563EC"/>
    <w:rsid w:val="0025668B"/>
    <w:rsid w:val="00257F3C"/>
    <w:rsid w:val="00262953"/>
    <w:rsid w:val="00262AF3"/>
    <w:rsid w:val="00263B73"/>
    <w:rsid w:val="00264B0D"/>
    <w:rsid w:val="00265B38"/>
    <w:rsid w:val="002666CD"/>
    <w:rsid w:val="00267A50"/>
    <w:rsid w:val="00267BD6"/>
    <w:rsid w:val="00270323"/>
    <w:rsid w:val="00271360"/>
    <w:rsid w:val="00272D10"/>
    <w:rsid w:val="00273A6F"/>
    <w:rsid w:val="00273B9A"/>
    <w:rsid w:val="00275BC2"/>
    <w:rsid w:val="00276BDE"/>
    <w:rsid w:val="002770A9"/>
    <w:rsid w:val="0027769B"/>
    <w:rsid w:val="002800C5"/>
    <w:rsid w:val="0028051C"/>
    <w:rsid w:val="00280FF6"/>
    <w:rsid w:val="00283C2C"/>
    <w:rsid w:val="00283EBC"/>
    <w:rsid w:val="00285017"/>
    <w:rsid w:val="00285374"/>
    <w:rsid w:val="00285388"/>
    <w:rsid w:val="00285845"/>
    <w:rsid w:val="00286028"/>
    <w:rsid w:val="0028665C"/>
    <w:rsid w:val="0029037E"/>
    <w:rsid w:val="002922A2"/>
    <w:rsid w:val="00292369"/>
    <w:rsid w:val="0029304C"/>
    <w:rsid w:val="0029335A"/>
    <w:rsid w:val="002937A6"/>
    <w:rsid w:val="00293872"/>
    <w:rsid w:val="00293DFC"/>
    <w:rsid w:val="00296657"/>
    <w:rsid w:val="0029758E"/>
    <w:rsid w:val="002A160A"/>
    <w:rsid w:val="002A1BDB"/>
    <w:rsid w:val="002A2D2E"/>
    <w:rsid w:val="002A400A"/>
    <w:rsid w:val="002A4B03"/>
    <w:rsid w:val="002A4BBD"/>
    <w:rsid w:val="002A7001"/>
    <w:rsid w:val="002A718B"/>
    <w:rsid w:val="002B4302"/>
    <w:rsid w:val="002B4978"/>
    <w:rsid w:val="002B4F75"/>
    <w:rsid w:val="002B6064"/>
    <w:rsid w:val="002B77C6"/>
    <w:rsid w:val="002C0899"/>
    <w:rsid w:val="002C192D"/>
    <w:rsid w:val="002C4722"/>
    <w:rsid w:val="002C47E3"/>
    <w:rsid w:val="002C4B01"/>
    <w:rsid w:val="002C4FAA"/>
    <w:rsid w:val="002C6164"/>
    <w:rsid w:val="002C6923"/>
    <w:rsid w:val="002C7F72"/>
    <w:rsid w:val="002D21C7"/>
    <w:rsid w:val="002D2780"/>
    <w:rsid w:val="002D2B1C"/>
    <w:rsid w:val="002D2DF4"/>
    <w:rsid w:val="002D3DF4"/>
    <w:rsid w:val="002D472A"/>
    <w:rsid w:val="002D4E53"/>
    <w:rsid w:val="002D524A"/>
    <w:rsid w:val="002D575A"/>
    <w:rsid w:val="002D5982"/>
    <w:rsid w:val="002D69E9"/>
    <w:rsid w:val="002E16D8"/>
    <w:rsid w:val="002E2559"/>
    <w:rsid w:val="002E33FC"/>
    <w:rsid w:val="002E345A"/>
    <w:rsid w:val="002E5EE6"/>
    <w:rsid w:val="002E6124"/>
    <w:rsid w:val="002E715D"/>
    <w:rsid w:val="002E7575"/>
    <w:rsid w:val="002E7CDF"/>
    <w:rsid w:val="002F192E"/>
    <w:rsid w:val="002F2E3D"/>
    <w:rsid w:val="002F32D8"/>
    <w:rsid w:val="002F36EC"/>
    <w:rsid w:val="002F4F82"/>
    <w:rsid w:val="002F5973"/>
    <w:rsid w:val="002F5B57"/>
    <w:rsid w:val="002F5E90"/>
    <w:rsid w:val="002F6737"/>
    <w:rsid w:val="002F6A75"/>
    <w:rsid w:val="00300361"/>
    <w:rsid w:val="00301B60"/>
    <w:rsid w:val="00301D3E"/>
    <w:rsid w:val="00303E6E"/>
    <w:rsid w:val="003049BC"/>
    <w:rsid w:val="003051B8"/>
    <w:rsid w:val="00305507"/>
    <w:rsid w:val="00305B6F"/>
    <w:rsid w:val="003068D3"/>
    <w:rsid w:val="0030694C"/>
    <w:rsid w:val="00307111"/>
    <w:rsid w:val="003119F8"/>
    <w:rsid w:val="00311A1F"/>
    <w:rsid w:val="0031519A"/>
    <w:rsid w:val="003158D1"/>
    <w:rsid w:val="00315F77"/>
    <w:rsid w:val="00317267"/>
    <w:rsid w:val="003215A8"/>
    <w:rsid w:val="003217BE"/>
    <w:rsid w:val="00321A8E"/>
    <w:rsid w:val="00324067"/>
    <w:rsid w:val="003241DB"/>
    <w:rsid w:val="003245F9"/>
    <w:rsid w:val="0032496D"/>
    <w:rsid w:val="00325B55"/>
    <w:rsid w:val="00325FBE"/>
    <w:rsid w:val="003278D5"/>
    <w:rsid w:val="0033001B"/>
    <w:rsid w:val="00330482"/>
    <w:rsid w:val="00332C55"/>
    <w:rsid w:val="00333722"/>
    <w:rsid w:val="00333772"/>
    <w:rsid w:val="003341B6"/>
    <w:rsid w:val="00334261"/>
    <w:rsid w:val="00334A3A"/>
    <w:rsid w:val="00336A93"/>
    <w:rsid w:val="00336E64"/>
    <w:rsid w:val="00340E84"/>
    <w:rsid w:val="00341BFB"/>
    <w:rsid w:val="00343049"/>
    <w:rsid w:val="00343749"/>
    <w:rsid w:val="00343AD6"/>
    <w:rsid w:val="00344579"/>
    <w:rsid w:val="003477AB"/>
    <w:rsid w:val="003478E3"/>
    <w:rsid w:val="00347A0C"/>
    <w:rsid w:val="0035067D"/>
    <w:rsid w:val="0035107D"/>
    <w:rsid w:val="00351ABE"/>
    <w:rsid w:val="003531A8"/>
    <w:rsid w:val="00354396"/>
    <w:rsid w:val="00354DC8"/>
    <w:rsid w:val="0035512C"/>
    <w:rsid w:val="00362309"/>
    <w:rsid w:val="00362B21"/>
    <w:rsid w:val="00363077"/>
    <w:rsid w:val="00364A89"/>
    <w:rsid w:val="0036559F"/>
    <w:rsid w:val="0037223D"/>
    <w:rsid w:val="00375454"/>
    <w:rsid w:val="00376C88"/>
    <w:rsid w:val="00377532"/>
    <w:rsid w:val="00377C89"/>
    <w:rsid w:val="003817CE"/>
    <w:rsid w:val="00381A37"/>
    <w:rsid w:val="00382941"/>
    <w:rsid w:val="00384B67"/>
    <w:rsid w:val="00385BEC"/>
    <w:rsid w:val="0038668B"/>
    <w:rsid w:val="00386AF5"/>
    <w:rsid w:val="00386CF1"/>
    <w:rsid w:val="003878CC"/>
    <w:rsid w:val="003879F9"/>
    <w:rsid w:val="003903DE"/>
    <w:rsid w:val="0039398D"/>
    <w:rsid w:val="00394E27"/>
    <w:rsid w:val="003954AC"/>
    <w:rsid w:val="00396E9B"/>
    <w:rsid w:val="0039727A"/>
    <w:rsid w:val="003A0CBE"/>
    <w:rsid w:val="003A0DCB"/>
    <w:rsid w:val="003A19E0"/>
    <w:rsid w:val="003A22F9"/>
    <w:rsid w:val="003A29F4"/>
    <w:rsid w:val="003A3A9E"/>
    <w:rsid w:val="003A3B0D"/>
    <w:rsid w:val="003A434A"/>
    <w:rsid w:val="003A4976"/>
    <w:rsid w:val="003A5741"/>
    <w:rsid w:val="003A5822"/>
    <w:rsid w:val="003A632C"/>
    <w:rsid w:val="003A6C5C"/>
    <w:rsid w:val="003A7951"/>
    <w:rsid w:val="003A7E89"/>
    <w:rsid w:val="003B0550"/>
    <w:rsid w:val="003B0EFA"/>
    <w:rsid w:val="003B285D"/>
    <w:rsid w:val="003B45DF"/>
    <w:rsid w:val="003B4EE8"/>
    <w:rsid w:val="003B694F"/>
    <w:rsid w:val="003B797F"/>
    <w:rsid w:val="003C0917"/>
    <w:rsid w:val="003C0BCC"/>
    <w:rsid w:val="003C1224"/>
    <w:rsid w:val="003C2C9D"/>
    <w:rsid w:val="003C2F10"/>
    <w:rsid w:val="003C4721"/>
    <w:rsid w:val="003C6BA9"/>
    <w:rsid w:val="003C7355"/>
    <w:rsid w:val="003C75B4"/>
    <w:rsid w:val="003D0948"/>
    <w:rsid w:val="003D0D57"/>
    <w:rsid w:val="003D2054"/>
    <w:rsid w:val="003D3771"/>
    <w:rsid w:val="003D3BBA"/>
    <w:rsid w:val="003E2B31"/>
    <w:rsid w:val="003E2B58"/>
    <w:rsid w:val="003E33E0"/>
    <w:rsid w:val="003E348F"/>
    <w:rsid w:val="003E5A4C"/>
    <w:rsid w:val="003E5CDD"/>
    <w:rsid w:val="003E606E"/>
    <w:rsid w:val="003E70AC"/>
    <w:rsid w:val="003F105B"/>
    <w:rsid w:val="003F171C"/>
    <w:rsid w:val="003F23E8"/>
    <w:rsid w:val="003F3AE1"/>
    <w:rsid w:val="003F439A"/>
    <w:rsid w:val="003F4970"/>
    <w:rsid w:val="003F5DFF"/>
    <w:rsid w:val="00400314"/>
    <w:rsid w:val="004005FB"/>
    <w:rsid w:val="00400EE3"/>
    <w:rsid w:val="004020DE"/>
    <w:rsid w:val="004029A2"/>
    <w:rsid w:val="0040420A"/>
    <w:rsid w:val="00404707"/>
    <w:rsid w:val="00406772"/>
    <w:rsid w:val="00406B0A"/>
    <w:rsid w:val="004078D9"/>
    <w:rsid w:val="00412FC5"/>
    <w:rsid w:val="00413CEB"/>
    <w:rsid w:val="00415C4E"/>
    <w:rsid w:val="00415E8B"/>
    <w:rsid w:val="00422276"/>
    <w:rsid w:val="00422814"/>
    <w:rsid w:val="00422F2F"/>
    <w:rsid w:val="00423BBC"/>
    <w:rsid w:val="004242F1"/>
    <w:rsid w:val="004252D7"/>
    <w:rsid w:val="004253D9"/>
    <w:rsid w:val="00426CCD"/>
    <w:rsid w:val="00427233"/>
    <w:rsid w:val="00427845"/>
    <w:rsid w:val="00430317"/>
    <w:rsid w:val="00430A67"/>
    <w:rsid w:val="00430AA7"/>
    <w:rsid w:val="00430BEA"/>
    <w:rsid w:val="00430C56"/>
    <w:rsid w:val="00431C0E"/>
    <w:rsid w:val="00432FD8"/>
    <w:rsid w:val="004361DB"/>
    <w:rsid w:val="00436950"/>
    <w:rsid w:val="004406ED"/>
    <w:rsid w:val="004411DE"/>
    <w:rsid w:val="0044285A"/>
    <w:rsid w:val="00443FC5"/>
    <w:rsid w:val="00444A76"/>
    <w:rsid w:val="00445A00"/>
    <w:rsid w:val="00445BE5"/>
    <w:rsid w:val="00446400"/>
    <w:rsid w:val="00447CD4"/>
    <w:rsid w:val="00451B0F"/>
    <w:rsid w:val="004538C7"/>
    <w:rsid w:val="00455FCB"/>
    <w:rsid w:val="0045692B"/>
    <w:rsid w:val="00460F06"/>
    <w:rsid w:val="00461A62"/>
    <w:rsid w:val="00461C92"/>
    <w:rsid w:val="00462F45"/>
    <w:rsid w:val="004646D8"/>
    <w:rsid w:val="00464924"/>
    <w:rsid w:val="00466159"/>
    <w:rsid w:val="00467246"/>
    <w:rsid w:val="00467629"/>
    <w:rsid w:val="00467DC4"/>
    <w:rsid w:val="00467E3C"/>
    <w:rsid w:val="00470480"/>
    <w:rsid w:val="004708C2"/>
    <w:rsid w:val="00472607"/>
    <w:rsid w:val="00474664"/>
    <w:rsid w:val="004768BE"/>
    <w:rsid w:val="00476ED7"/>
    <w:rsid w:val="00481292"/>
    <w:rsid w:val="00481704"/>
    <w:rsid w:val="00481F1F"/>
    <w:rsid w:val="00482107"/>
    <w:rsid w:val="00482C8A"/>
    <w:rsid w:val="00482D16"/>
    <w:rsid w:val="0048362F"/>
    <w:rsid w:val="004840B1"/>
    <w:rsid w:val="0048561A"/>
    <w:rsid w:val="00491673"/>
    <w:rsid w:val="004919D4"/>
    <w:rsid w:val="004919E5"/>
    <w:rsid w:val="00492A66"/>
    <w:rsid w:val="00492DCA"/>
    <w:rsid w:val="004945BB"/>
    <w:rsid w:val="00494891"/>
    <w:rsid w:val="00494C71"/>
    <w:rsid w:val="004966E6"/>
    <w:rsid w:val="004A0CD4"/>
    <w:rsid w:val="004A2D56"/>
    <w:rsid w:val="004A477F"/>
    <w:rsid w:val="004A4B31"/>
    <w:rsid w:val="004A573A"/>
    <w:rsid w:val="004A5F6C"/>
    <w:rsid w:val="004A78D7"/>
    <w:rsid w:val="004A7BA0"/>
    <w:rsid w:val="004B39B7"/>
    <w:rsid w:val="004B4A44"/>
    <w:rsid w:val="004B4B29"/>
    <w:rsid w:val="004C01E2"/>
    <w:rsid w:val="004C0459"/>
    <w:rsid w:val="004C2322"/>
    <w:rsid w:val="004C2BB0"/>
    <w:rsid w:val="004C2EE3"/>
    <w:rsid w:val="004C3330"/>
    <w:rsid w:val="004C443D"/>
    <w:rsid w:val="004C57F9"/>
    <w:rsid w:val="004C67FB"/>
    <w:rsid w:val="004C7220"/>
    <w:rsid w:val="004D2B0C"/>
    <w:rsid w:val="004D2C1F"/>
    <w:rsid w:val="004D4C26"/>
    <w:rsid w:val="004D5173"/>
    <w:rsid w:val="004D51BF"/>
    <w:rsid w:val="004D69E1"/>
    <w:rsid w:val="004E2DED"/>
    <w:rsid w:val="004E310A"/>
    <w:rsid w:val="004E4416"/>
    <w:rsid w:val="004E4A22"/>
    <w:rsid w:val="004E635A"/>
    <w:rsid w:val="004E6E53"/>
    <w:rsid w:val="004F0176"/>
    <w:rsid w:val="004F312A"/>
    <w:rsid w:val="004F60F1"/>
    <w:rsid w:val="004F6163"/>
    <w:rsid w:val="005011C8"/>
    <w:rsid w:val="00501541"/>
    <w:rsid w:val="00503521"/>
    <w:rsid w:val="005039B9"/>
    <w:rsid w:val="00504EB0"/>
    <w:rsid w:val="0050564B"/>
    <w:rsid w:val="00505FE0"/>
    <w:rsid w:val="00506F3C"/>
    <w:rsid w:val="00511968"/>
    <w:rsid w:val="00513FBA"/>
    <w:rsid w:val="00515149"/>
    <w:rsid w:val="005161F0"/>
    <w:rsid w:val="00516453"/>
    <w:rsid w:val="005174A4"/>
    <w:rsid w:val="005206F9"/>
    <w:rsid w:val="005215C9"/>
    <w:rsid w:val="005222CE"/>
    <w:rsid w:val="00524B47"/>
    <w:rsid w:val="00525C3B"/>
    <w:rsid w:val="005260A9"/>
    <w:rsid w:val="005303FD"/>
    <w:rsid w:val="00531B91"/>
    <w:rsid w:val="0053243C"/>
    <w:rsid w:val="005327DE"/>
    <w:rsid w:val="00533938"/>
    <w:rsid w:val="00534B9F"/>
    <w:rsid w:val="00535869"/>
    <w:rsid w:val="00537BAF"/>
    <w:rsid w:val="005409EC"/>
    <w:rsid w:val="005415CB"/>
    <w:rsid w:val="00541944"/>
    <w:rsid w:val="00541C83"/>
    <w:rsid w:val="00541FA8"/>
    <w:rsid w:val="00542C66"/>
    <w:rsid w:val="00542CA5"/>
    <w:rsid w:val="00543109"/>
    <w:rsid w:val="0054631B"/>
    <w:rsid w:val="00546BCF"/>
    <w:rsid w:val="005510E4"/>
    <w:rsid w:val="005511AD"/>
    <w:rsid w:val="00551748"/>
    <w:rsid w:val="00551B99"/>
    <w:rsid w:val="00554519"/>
    <w:rsid w:val="005546AA"/>
    <w:rsid w:val="0055614C"/>
    <w:rsid w:val="00560787"/>
    <w:rsid w:val="00561235"/>
    <w:rsid w:val="0056158F"/>
    <w:rsid w:val="00562701"/>
    <w:rsid w:val="00562DB5"/>
    <w:rsid w:val="00563507"/>
    <w:rsid w:val="0056358B"/>
    <w:rsid w:val="00565008"/>
    <w:rsid w:val="00566311"/>
    <w:rsid w:val="00566D0A"/>
    <w:rsid w:val="005677B0"/>
    <w:rsid w:val="005706FC"/>
    <w:rsid w:val="005720D7"/>
    <w:rsid w:val="00574785"/>
    <w:rsid w:val="00577215"/>
    <w:rsid w:val="00577AA5"/>
    <w:rsid w:val="00580F2B"/>
    <w:rsid w:val="005818E6"/>
    <w:rsid w:val="00581A05"/>
    <w:rsid w:val="00583A4E"/>
    <w:rsid w:val="00583CAE"/>
    <w:rsid w:val="00585B4B"/>
    <w:rsid w:val="00585D5B"/>
    <w:rsid w:val="0058623C"/>
    <w:rsid w:val="00591F95"/>
    <w:rsid w:val="005925ED"/>
    <w:rsid w:val="005937F3"/>
    <w:rsid w:val="00596C87"/>
    <w:rsid w:val="005A077A"/>
    <w:rsid w:val="005A0965"/>
    <w:rsid w:val="005A0C8A"/>
    <w:rsid w:val="005A1951"/>
    <w:rsid w:val="005A2546"/>
    <w:rsid w:val="005A2F56"/>
    <w:rsid w:val="005A3D31"/>
    <w:rsid w:val="005A4AB1"/>
    <w:rsid w:val="005A5B74"/>
    <w:rsid w:val="005A6D26"/>
    <w:rsid w:val="005B3169"/>
    <w:rsid w:val="005B37CF"/>
    <w:rsid w:val="005B5BE6"/>
    <w:rsid w:val="005B6D79"/>
    <w:rsid w:val="005C0149"/>
    <w:rsid w:val="005C03A1"/>
    <w:rsid w:val="005C140A"/>
    <w:rsid w:val="005C1F54"/>
    <w:rsid w:val="005C3FF4"/>
    <w:rsid w:val="005C5AA6"/>
    <w:rsid w:val="005D1DBA"/>
    <w:rsid w:val="005D1DFD"/>
    <w:rsid w:val="005D4B8E"/>
    <w:rsid w:val="005D4F57"/>
    <w:rsid w:val="005D57F2"/>
    <w:rsid w:val="005D6339"/>
    <w:rsid w:val="005D6775"/>
    <w:rsid w:val="005D6CEB"/>
    <w:rsid w:val="005E1CEB"/>
    <w:rsid w:val="005E25AD"/>
    <w:rsid w:val="005E431B"/>
    <w:rsid w:val="005E48BD"/>
    <w:rsid w:val="005E5C55"/>
    <w:rsid w:val="005E6744"/>
    <w:rsid w:val="005E77B4"/>
    <w:rsid w:val="005F035D"/>
    <w:rsid w:val="005F0E3C"/>
    <w:rsid w:val="005F1514"/>
    <w:rsid w:val="005F2BD5"/>
    <w:rsid w:val="005F5CE7"/>
    <w:rsid w:val="005F7B9C"/>
    <w:rsid w:val="00601D32"/>
    <w:rsid w:val="00602843"/>
    <w:rsid w:val="00604998"/>
    <w:rsid w:val="00605E37"/>
    <w:rsid w:val="0060712F"/>
    <w:rsid w:val="0060742D"/>
    <w:rsid w:val="00607828"/>
    <w:rsid w:val="00607BA5"/>
    <w:rsid w:val="00607F0F"/>
    <w:rsid w:val="0061027E"/>
    <w:rsid w:val="0061036A"/>
    <w:rsid w:val="006147C7"/>
    <w:rsid w:val="00615596"/>
    <w:rsid w:val="006205E3"/>
    <w:rsid w:val="006224C4"/>
    <w:rsid w:val="00623492"/>
    <w:rsid w:val="00623558"/>
    <w:rsid w:val="00625666"/>
    <w:rsid w:val="00626A99"/>
    <w:rsid w:val="00626EB6"/>
    <w:rsid w:val="00627568"/>
    <w:rsid w:val="00633242"/>
    <w:rsid w:val="00633CBE"/>
    <w:rsid w:val="006349D1"/>
    <w:rsid w:val="00635922"/>
    <w:rsid w:val="006360AC"/>
    <w:rsid w:val="00636292"/>
    <w:rsid w:val="00637375"/>
    <w:rsid w:val="00640D7F"/>
    <w:rsid w:val="00640F6A"/>
    <w:rsid w:val="00642A04"/>
    <w:rsid w:val="00642E2A"/>
    <w:rsid w:val="0064354E"/>
    <w:rsid w:val="00645ACE"/>
    <w:rsid w:val="006473DC"/>
    <w:rsid w:val="0064799A"/>
    <w:rsid w:val="006503F7"/>
    <w:rsid w:val="006504B0"/>
    <w:rsid w:val="0065293C"/>
    <w:rsid w:val="006529D1"/>
    <w:rsid w:val="0065335B"/>
    <w:rsid w:val="00654BFF"/>
    <w:rsid w:val="00654D6D"/>
    <w:rsid w:val="00655D03"/>
    <w:rsid w:val="0065608E"/>
    <w:rsid w:val="00656457"/>
    <w:rsid w:val="006564D9"/>
    <w:rsid w:val="00660557"/>
    <w:rsid w:val="00662820"/>
    <w:rsid w:val="00663A85"/>
    <w:rsid w:val="00664A08"/>
    <w:rsid w:val="006655A3"/>
    <w:rsid w:val="006656E4"/>
    <w:rsid w:val="00665D59"/>
    <w:rsid w:val="0066723B"/>
    <w:rsid w:val="00670A34"/>
    <w:rsid w:val="00672FAE"/>
    <w:rsid w:val="006754A6"/>
    <w:rsid w:val="006754D9"/>
    <w:rsid w:val="00675B0C"/>
    <w:rsid w:val="006776FC"/>
    <w:rsid w:val="00680B71"/>
    <w:rsid w:val="006811FF"/>
    <w:rsid w:val="006818D6"/>
    <w:rsid w:val="0068216F"/>
    <w:rsid w:val="0068233C"/>
    <w:rsid w:val="006825B2"/>
    <w:rsid w:val="00683F84"/>
    <w:rsid w:val="00684861"/>
    <w:rsid w:val="00684FAB"/>
    <w:rsid w:val="00685FD9"/>
    <w:rsid w:val="0068621E"/>
    <w:rsid w:val="0068716D"/>
    <w:rsid w:val="0069437A"/>
    <w:rsid w:val="0069675C"/>
    <w:rsid w:val="00696E09"/>
    <w:rsid w:val="00697966"/>
    <w:rsid w:val="006A03AF"/>
    <w:rsid w:val="006A1CEC"/>
    <w:rsid w:val="006A2A41"/>
    <w:rsid w:val="006A326B"/>
    <w:rsid w:val="006A467F"/>
    <w:rsid w:val="006A4B9F"/>
    <w:rsid w:val="006A57AC"/>
    <w:rsid w:val="006A5BBC"/>
    <w:rsid w:val="006A5CD1"/>
    <w:rsid w:val="006A6A81"/>
    <w:rsid w:val="006A6D86"/>
    <w:rsid w:val="006A792D"/>
    <w:rsid w:val="006B22BC"/>
    <w:rsid w:val="006B362C"/>
    <w:rsid w:val="006B7049"/>
    <w:rsid w:val="006C18A7"/>
    <w:rsid w:val="006C595E"/>
    <w:rsid w:val="006C59C0"/>
    <w:rsid w:val="006C683F"/>
    <w:rsid w:val="006C7113"/>
    <w:rsid w:val="006C7FB6"/>
    <w:rsid w:val="006D0497"/>
    <w:rsid w:val="006D214E"/>
    <w:rsid w:val="006D267D"/>
    <w:rsid w:val="006D2CC1"/>
    <w:rsid w:val="006D2F39"/>
    <w:rsid w:val="006D2FAB"/>
    <w:rsid w:val="006D2FAE"/>
    <w:rsid w:val="006D31F3"/>
    <w:rsid w:val="006D3622"/>
    <w:rsid w:val="006D6DD9"/>
    <w:rsid w:val="006D6F1B"/>
    <w:rsid w:val="006D7664"/>
    <w:rsid w:val="006D78D5"/>
    <w:rsid w:val="006E053C"/>
    <w:rsid w:val="006E10AD"/>
    <w:rsid w:val="006E11E0"/>
    <w:rsid w:val="006E5FBE"/>
    <w:rsid w:val="006E6198"/>
    <w:rsid w:val="006E6B55"/>
    <w:rsid w:val="006E6BD2"/>
    <w:rsid w:val="006F16A2"/>
    <w:rsid w:val="006F3E71"/>
    <w:rsid w:val="006F3F2E"/>
    <w:rsid w:val="006F5E6D"/>
    <w:rsid w:val="006F7393"/>
    <w:rsid w:val="0070224F"/>
    <w:rsid w:val="0070401C"/>
    <w:rsid w:val="007040A4"/>
    <w:rsid w:val="007041B3"/>
    <w:rsid w:val="00704E33"/>
    <w:rsid w:val="00705D3C"/>
    <w:rsid w:val="007104EA"/>
    <w:rsid w:val="007115F7"/>
    <w:rsid w:val="00712324"/>
    <w:rsid w:val="00712988"/>
    <w:rsid w:val="0071424D"/>
    <w:rsid w:val="00714BC9"/>
    <w:rsid w:val="00720386"/>
    <w:rsid w:val="00720BAF"/>
    <w:rsid w:val="0072185F"/>
    <w:rsid w:val="00722D4E"/>
    <w:rsid w:val="007243AF"/>
    <w:rsid w:val="00725817"/>
    <w:rsid w:val="00731C76"/>
    <w:rsid w:val="00732776"/>
    <w:rsid w:val="0073283E"/>
    <w:rsid w:val="00734B88"/>
    <w:rsid w:val="00734E91"/>
    <w:rsid w:val="0073749F"/>
    <w:rsid w:val="0074058B"/>
    <w:rsid w:val="007409C5"/>
    <w:rsid w:val="0074117A"/>
    <w:rsid w:val="00742227"/>
    <w:rsid w:val="007425D8"/>
    <w:rsid w:val="00745A06"/>
    <w:rsid w:val="00750798"/>
    <w:rsid w:val="0075144D"/>
    <w:rsid w:val="0075170B"/>
    <w:rsid w:val="00752376"/>
    <w:rsid w:val="0075327D"/>
    <w:rsid w:val="00753413"/>
    <w:rsid w:val="007552DE"/>
    <w:rsid w:val="007565A8"/>
    <w:rsid w:val="007567A7"/>
    <w:rsid w:val="00756BEA"/>
    <w:rsid w:val="007572C3"/>
    <w:rsid w:val="00757A24"/>
    <w:rsid w:val="00760E66"/>
    <w:rsid w:val="00762E62"/>
    <w:rsid w:val="007637D1"/>
    <w:rsid w:val="00764194"/>
    <w:rsid w:val="0076437E"/>
    <w:rsid w:val="00765744"/>
    <w:rsid w:val="00766289"/>
    <w:rsid w:val="007665D8"/>
    <w:rsid w:val="0077071D"/>
    <w:rsid w:val="00770ABE"/>
    <w:rsid w:val="00771274"/>
    <w:rsid w:val="00771725"/>
    <w:rsid w:val="00772227"/>
    <w:rsid w:val="007725B2"/>
    <w:rsid w:val="00773A97"/>
    <w:rsid w:val="00773BCF"/>
    <w:rsid w:val="007748DD"/>
    <w:rsid w:val="00775001"/>
    <w:rsid w:val="0077512C"/>
    <w:rsid w:val="00775146"/>
    <w:rsid w:val="00775BE9"/>
    <w:rsid w:val="00780170"/>
    <w:rsid w:val="0078076E"/>
    <w:rsid w:val="00781168"/>
    <w:rsid w:val="007824AA"/>
    <w:rsid w:val="00783F55"/>
    <w:rsid w:val="00784DFB"/>
    <w:rsid w:val="00785689"/>
    <w:rsid w:val="007866F0"/>
    <w:rsid w:val="00786963"/>
    <w:rsid w:val="00786B58"/>
    <w:rsid w:val="007877CA"/>
    <w:rsid w:val="00787844"/>
    <w:rsid w:val="0079006D"/>
    <w:rsid w:val="00791B5D"/>
    <w:rsid w:val="0079250B"/>
    <w:rsid w:val="00792FDA"/>
    <w:rsid w:val="00793F49"/>
    <w:rsid w:val="00794512"/>
    <w:rsid w:val="00795036"/>
    <w:rsid w:val="0079519D"/>
    <w:rsid w:val="00796B92"/>
    <w:rsid w:val="0079754B"/>
    <w:rsid w:val="007A1175"/>
    <w:rsid w:val="007A1E6D"/>
    <w:rsid w:val="007A2024"/>
    <w:rsid w:val="007A2542"/>
    <w:rsid w:val="007A53D0"/>
    <w:rsid w:val="007A59E0"/>
    <w:rsid w:val="007B00FD"/>
    <w:rsid w:val="007B0F4C"/>
    <w:rsid w:val="007B137C"/>
    <w:rsid w:val="007B13EF"/>
    <w:rsid w:val="007B233E"/>
    <w:rsid w:val="007B326A"/>
    <w:rsid w:val="007B3C74"/>
    <w:rsid w:val="007B55C2"/>
    <w:rsid w:val="007B56F0"/>
    <w:rsid w:val="007B5DC3"/>
    <w:rsid w:val="007B659B"/>
    <w:rsid w:val="007B7143"/>
    <w:rsid w:val="007C2417"/>
    <w:rsid w:val="007C3AE1"/>
    <w:rsid w:val="007D09B0"/>
    <w:rsid w:val="007D246F"/>
    <w:rsid w:val="007D4E72"/>
    <w:rsid w:val="007D7604"/>
    <w:rsid w:val="007E08AA"/>
    <w:rsid w:val="007E0C3F"/>
    <w:rsid w:val="007E1F7D"/>
    <w:rsid w:val="007E2118"/>
    <w:rsid w:val="007E29AA"/>
    <w:rsid w:val="007E2BAB"/>
    <w:rsid w:val="007E2E15"/>
    <w:rsid w:val="007E3CF7"/>
    <w:rsid w:val="007E57FF"/>
    <w:rsid w:val="007E66E1"/>
    <w:rsid w:val="007E787C"/>
    <w:rsid w:val="007E7B3A"/>
    <w:rsid w:val="007F3945"/>
    <w:rsid w:val="007F52E7"/>
    <w:rsid w:val="007F648F"/>
    <w:rsid w:val="007F6F86"/>
    <w:rsid w:val="007F7009"/>
    <w:rsid w:val="008004E6"/>
    <w:rsid w:val="00803E2E"/>
    <w:rsid w:val="00805095"/>
    <w:rsid w:val="008066E2"/>
    <w:rsid w:val="008074AB"/>
    <w:rsid w:val="00813BDC"/>
    <w:rsid w:val="00813DCA"/>
    <w:rsid w:val="00814764"/>
    <w:rsid w:val="00815418"/>
    <w:rsid w:val="00815C03"/>
    <w:rsid w:val="00816795"/>
    <w:rsid w:val="00816DB2"/>
    <w:rsid w:val="008177B3"/>
    <w:rsid w:val="00817D4F"/>
    <w:rsid w:val="008207D4"/>
    <w:rsid w:val="00820CC1"/>
    <w:rsid w:val="00821C47"/>
    <w:rsid w:val="00821C76"/>
    <w:rsid w:val="00822CE0"/>
    <w:rsid w:val="00825B0E"/>
    <w:rsid w:val="00826CBB"/>
    <w:rsid w:val="00827481"/>
    <w:rsid w:val="00827DB3"/>
    <w:rsid w:val="00832CBF"/>
    <w:rsid w:val="00833E79"/>
    <w:rsid w:val="008349D6"/>
    <w:rsid w:val="00834A44"/>
    <w:rsid w:val="008357A0"/>
    <w:rsid w:val="008374BE"/>
    <w:rsid w:val="008376B1"/>
    <w:rsid w:val="00840422"/>
    <w:rsid w:val="00841511"/>
    <w:rsid w:val="00841AB1"/>
    <w:rsid w:val="0084210F"/>
    <w:rsid w:val="008444E1"/>
    <w:rsid w:val="00845135"/>
    <w:rsid w:val="00845348"/>
    <w:rsid w:val="00845D0C"/>
    <w:rsid w:val="0084635B"/>
    <w:rsid w:val="00846FD3"/>
    <w:rsid w:val="0084773B"/>
    <w:rsid w:val="008501C7"/>
    <w:rsid w:val="00851082"/>
    <w:rsid w:val="0085154B"/>
    <w:rsid w:val="00852196"/>
    <w:rsid w:val="00853747"/>
    <w:rsid w:val="00853F49"/>
    <w:rsid w:val="00855964"/>
    <w:rsid w:val="008561AF"/>
    <w:rsid w:val="0085694D"/>
    <w:rsid w:val="00856D9F"/>
    <w:rsid w:val="008604EE"/>
    <w:rsid w:val="0086081F"/>
    <w:rsid w:val="008615D2"/>
    <w:rsid w:val="0086312C"/>
    <w:rsid w:val="008649DC"/>
    <w:rsid w:val="008651B1"/>
    <w:rsid w:val="0087026C"/>
    <w:rsid w:val="00870368"/>
    <w:rsid w:val="008744D4"/>
    <w:rsid w:val="00876D97"/>
    <w:rsid w:val="008774CF"/>
    <w:rsid w:val="00877AF4"/>
    <w:rsid w:val="0088234A"/>
    <w:rsid w:val="00882925"/>
    <w:rsid w:val="00882C0A"/>
    <w:rsid w:val="008833FC"/>
    <w:rsid w:val="0088498A"/>
    <w:rsid w:val="00884E84"/>
    <w:rsid w:val="00885A5C"/>
    <w:rsid w:val="00887DB1"/>
    <w:rsid w:val="00890CDE"/>
    <w:rsid w:val="00894371"/>
    <w:rsid w:val="008967E6"/>
    <w:rsid w:val="00896CDC"/>
    <w:rsid w:val="00896E88"/>
    <w:rsid w:val="008A0339"/>
    <w:rsid w:val="008A373F"/>
    <w:rsid w:val="008A4E1D"/>
    <w:rsid w:val="008A5D19"/>
    <w:rsid w:val="008A5E16"/>
    <w:rsid w:val="008A6CDC"/>
    <w:rsid w:val="008A6E01"/>
    <w:rsid w:val="008B15DC"/>
    <w:rsid w:val="008B18FB"/>
    <w:rsid w:val="008B4538"/>
    <w:rsid w:val="008B4E4E"/>
    <w:rsid w:val="008B5158"/>
    <w:rsid w:val="008B6741"/>
    <w:rsid w:val="008C090A"/>
    <w:rsid w:val="008C2F9D"/>
    <w:rsid w:val="008C39C1"/>
    <w:rsid w:val="008C463A"/>
    <w:rsid w:val="008C6920"/>
    <w:rsid w:val="008C693F"/>
    <w:rsid w:val="008C6D0C"/>
    <w:rsid w:val="008C7497"/>
    <w:rsid w:val="008D0AA3"/>
    <w:rsid w:val="008D1BED"/>
    <w:rsid w:val="008D2906"/>
    <w:rsid w:val="008D4D97"/>
    <w:rsid w:val="008D5720"/>
    <w:rsid w:val="008D69A4"/>
    <w:rsid w:val="008E14E6"/>
    <w:rsid w:val="008E23E2"/>
    <w:rsid w:val="008E41E5"/>
    <w:rsid w:val="008E5D1C"/>
    <w:rsid w:val="008E63C6"/>
    <w:rsid w:val="008E77DD"/>
    <w:rsid w:val="008F109C"/>
    <w:rsid w:val="008F4546"/>
    <w:rsid w:val="008F49B3"/>
    <w:rsid w:val="008F4C23"/>
    <w:rsid w:val="008F5746"/>
    <w:rsid w:val="008F57F4"/>
    <w:rsid w:val="008F7252"/>
    <w:rsid w:val="00900647"/>
    <w:rsid w:val="00900C4B"/>
    <w:rsid w:val="00903E5F"/>
    <w:rsid w:val="009053A7"/>
    <w:rsid w:val="00905990"/>
    <w:rsid w:val="00905D99"/>
    <w:rsid w:val="00906AE2"/>
    <w:rsid w:val="00907851"/>
    <w:rsid w:val="0091221E"/>
    <w:rsid w:val="009123AC"/>
    <w:rsid w:val="0091457D"/>
    <w:rsid w:val="00915243"/>
    <w:rsid w:val="00916BF3"/>
    <w:rsid w:val="009178A2"/>
    <w:rsid w:val="0092062A"/>
    <w:rsid w:val="00921803"/>
    <w:rsid w:val="00923D04"/>
    <w:rsid w:val="009250A2"/>
    <w:rsid w:val="00925DD2"/>
    <w:rsid w:val="00926503"/>
    <w:rsid w:val="00926FC3"/>
    <w:rsid w:val="0093020F"/>
    <w:rsid w:val="009304D9"/>
    <w:rsid w:val="009325E3"/>
    <w:rsid w:val="00932A56"/>
    <w:rsid w:val="009337B3"/>
    <w:rsid w:val="00934685"/>
    <w:rsid w:val="00934C89"/>
    <w:rsid w:val="00935034"/>
    <w:rsid w:val="00936B2B"/>
    <w:rsid w:val="0093702B"/>
    <w:rsid w:val="009415BB"/>
    <w:rsid w:val="00941B64"/>
    <w:rsid w:val="00941D44"/>
    <w:rsid w:val="00944418"/>
    <w:rsid w:val="00946607"/>
    <w:rsid w:val="00946B8C"/>
    <w:rsid w:val="00950318"/>
    <w:rsid w:val="009503D1"/>
    <w:rsid w:val="009523A9"/>
    <w:rsid w:val="00953865"/>
    <w:rsid w:val="00954201"/>
    <w:rsid w:val="00955281"/>
    <w:rsid w:val="00955883"/>
    <w:rsid w:val="00957B6E"/>
    <w:rsid w:val="00957F3D"/>
    <w:rsid w:val="00960E31"/>
    <w:rsid w:val="00962169"/>
    <w:rsid w:val="009628BA"/>
    <w:rsid w:val="00964CE5"/>
    <w:rsid w:val="00966DAD"/>
    <w:rsid w:val="00971D7D"/>
    <w:rsid w:val="00973155"/>
    <w:rsid w:val="0097551D"/>
    <w:rsid w:val="0097575A"/>
    <w:rsid w:val="00975F3F"/>
    <w:rsid w:val="009774BB"/>
    <w:rsid w:val="009821A6"/>
    <w:rsid w:val="0098461C"/>
    <w:rsid w:val="00986A9B"/>
    <w:rsid w:val="00986C6F"/>
    <w:rsid w:val="00993095"/>
    <w:rsid w:val="0099428A"/>
    <w:rsid w:val="00995A7E"/>
    <w:rsid w:val="009965DE"/>
    <w:rsid w:val="00997CE0"/>
    <w:rsid w:val="009A005D"/>
    <w:rsid w:val="009A08EF"/>
    <w:rsid w:val="009A18E1"/>
    <w:rsid w:val="009A3A4A"/>
    <w:rsid w:val="009A4B14"/>
    <w:rsid w:val="009A72DA"/>
    <w:rsid w:val="009B078B"/>
    <w:rsid w:val="009B2AA9"/>
    <w:rsid w:val="009B52C3"/>
    <w:rsid w:val="009B58A5"/>
    <w:rsid w:val="009B659E"/>
    <w:rsid w:val="009C12B3"/>
    <w:rsid w:val="009C1A0E"/>
    <w:rsid w:val="009C1C04"/>
    <w:rsid w:val="009C4CCC"/>
    <w:rsid w:val="009C4D70"/>
    <w:rsid w:val="009C4DF3"/>
    <w:rsid w:val="009C5BD8"/>
    <w:rsid w:val="009C6701"/>
    <w:rsid w:val="009D15E1"/>
    <w:rsid w:val="009D19E2"/>
    <w:rsid w:val="009D21A3"/>
    <w:rsid w:val="009D28C8"/>
    <w:rsid w:val="009D4449"/>
    <w:rsid w:val="009D5DE7"/>
    <w:rsid w:val="009D718A"/>
    <w:rsid w:val="009E1674"/>
    <w:rsid w:val="009E2818"/>
    <w:rsid w:val="009E5CED"/>
    <w:rsid w:val="009E5D3A"/>
    <w:rsid w:val="009F023E"/>
    <w:rsid w:val="009F0AB5"/>
    <w:rsid w:val="009F660A"/>
    <w:rsid w:val="009F6913"/>
    <w:rsid w:val="009F6F4E"/>
    <w:rsid w:val="009F6FE0"/>
    <w:rsid w:val="00A01015"/>
    <w:rsid w:val="00A03085"/>
    <w:rsid w:val="00A03234"/>
    <w:rsid w:val="00A03EFB"/>
    <w:rsid w:val="00A040B9"/>
    <w:rsid w:val="00A04BDD"/>
    <w:rsid w:val="00A058AB"/>
    <w:rsid w:val="00A06B0C"/>
    <w:rsid w:val="00A112D0"/>
    <w:rsid w:val="00A12982"/>
    <w:rsid w:val="00A13F28"/>
    <w:rsid w:val="00A146C4"/>
    <w:rsid w:val="00A158B4"/>
    <w:rsid w:val="00A15D43"/>
    <w:rsid w:val="00A17A03"/>
    <w:rsid w:val="00A2213A"/>
    <w:rsid w:val="00A227F1"/>
    <w:rsid w:val="00A23284"/>
    <w:rsid w:val="00A248DE"/>
    <w:rsid w:val="00A25C60"/>
    <w:rsid w:val="00A25FD7"/>
    <w:rsid w:val="00A26423"/>
    <w:rsid w:val="00A273D7"/>
    <w:rsid w:val="00A30524"/>
    <w:rsid w:val="00A34077"/>
    <w:rsid w:val="00A35960"/>
    <w:rsid w:val="00A35D76"/>
    <w:rsid w:val="00A4077E"/>
    <w:rsid w:val="00A410DB"/>
    <w:rsid w:val="00A41223"/>
    <w:rsid w:val="00A41C2F"/>
    <w:rsid w:val="00A438B4"/>
    <w:rsid w:val="00A446E5"/>
    <w:rsid w:val="00A4473D"/>
    <w:rsid w:val="00A44A36"/>
    <w:rsid w:val="00A45F4F"/>
    <w:rsid w:val="00A4624F"/>
    <w:rsid w:val="00A46A69"/>
    <w:rsid w:val="00A47158"/>
    <w:rsid w:val="00A50433"/>
    <w:rsid w:val="00A51057"/>
    <w:rsid w:val="00A5443B"/>
    <w:rsid w:val="00A5719C"/>
    <w:rsid w:val="00A600A9"/>
    <w:rsid w:val="00A60DA5"/>
    <w:rsid w:val="00A61632"/>
    <w:rsid w:val="00A63972"/>
    <w:rsid w:val="00A63E7C"/>
    <w:rsid w:val="00A63F06"/>
    <w:rsid w:val="00A65856"/>
    <w:rsid w:val="00A67264"/>
    <w:rsid w:val="00A673B0"/>
    <w:rsid w:val="00A678E7"/>
    <w:rsid w:val="00A67B52"/>
    <w:rsid w:val="00A713C3"/>
    <w:rsid w:val="00A716F4"/>
    <w:rsid w:val="00A71ED7"/>
    <w:rsid w:val="00A72D41"/>
    <w:rsid w:val="00A82FA6"/>
    <w:rsid w:val="00A84564"/>
    <w:rsid w:val="00A84F13"/>
    <w:rsid w:val="00A85D75"/>
    <w:rsid w:val="00A85DF3"/>
    <w:rsid w:val="00A90255"/>
    <w:rsid w:val="00A92B77"/>
    <w:rsid w:val="00A93060"/>
    <w:rsid w:val="00A936B5"/>
    <w:rsid w:val="00A942B4"/>
    <w:rsid w:val="00A97E77"/>
    <w:rsid w:val="00AA0546"/>
    <w:rsid w:val="00AA05D0"/>
    <w:rsid w:val="00AA06E1"/>
    <w:rsid w:val="00AA0CF6"/>
    <w:rsid w:val="00AA0F21"/>
    <w:rsid w:val="00AA238D"/>
    <w:rsid w:val="00AA2C61"/>
    <w:rsid w:val="00AA55B7"/>
    <w:rsid w:val="00AA58C9"/>
    <w:rsid w:val="00AA5B9E"/>
    <w:rsid w:val="00AA5EBC"/>
    <w:rsid w:val="00AA61F7"/>
    <w:rsid w:val="00AA7548"/>
    <w:rsid w:val="00AA78A8"/>
    <w:rsid w:val="00AA7D36"/>
    <w:rsid w:val="00AA7D78"/>
    <w:rsid w:val="00AA7DC7"/>
    <w:rsid w:val="00AB06E4"/>
    <w:rsid w:val="00AB2407"/>
    <w:rsid w:val="00AB24DF"/>
    <w:rsid w:val="00AB29DC"/>
    <w:rsid w:val="00AB2D30"/>
    <w:rsid w:val="00AB2FB2"/>
    <w:rsid w:val="00AB3A87"/>
    <w:rsid w:val="00AB42D1"/>
    <w:rsid w:val="00AB49B2"/>
    <w:rsid w:val="00AB52AB"/>
    <w:rsid w:val="00AB53DF"/>
    <w:rsid w:val="00AB618A"/>
    <w:rsid w:val="00AC0DDB"/>
    <w:rsid w:val="00AC2911"/>
    <w:rsid w:val="00AC2F76"/>
    <w:rsid w:val="00AC3559"/>
    <w:rsid w:val="00AC38FB"/>
    <w:rsid w:val="00AC3917"/>
    <w:rsid w:val="00AC41F7"/>
    <w:rsid w:val="00AC4226"/>
    <w:rsid w:val="00AC790B"/>
    <w:rsid w:val="00AD03B9"/>
    <w:rsid w:val="00AD0A01"/>
    <w:rsid w:val="00AD1688"/>
    <w:rsid w:val="00AD219D"/>
    <w:rsid w:val="00AD2B53"/>
    <w:rsid w:val="00AD476E"/>
    <w:rsid w:val="00AD4948"/>
    <w:rsid w:val="00AD4A99"/>
    <w:rsid w:val="00AD5A18"/>
    <w:rsid w:val="00AD70CF"/>
    <w:rsid w:val="00AD7AFA"/>
    <w:rsid w:val="00AE0A0C"/>
    <w:rsid w:val="00AE21CD"/>
    <w:rsid w:val="00AE5254"/>
    <w:rsid w:val="00AE5533"/>
    <w:rsid w:val="00AE64CF"/>
    <w:rsid w:val="00AF2C0B"/>
    <w:rsid w:val="00AF32A0"/>
    <w:rsid w:val="00AF42E0"/>
    <w:rsid w:val="00AF480E"/>
    <w:rsid w:val="00AF533D"/>
    <w:rsid w:val="00AF5791"/>
    <w:rsid w:val="00AF5B7A"/>
    <w:rsid w:val="00AF67C0"/>
    <w:rsid w:val="00B019C1"/>
    <w:rsid w:val="00B03B77"/>
    <w:rsid w:val="00B04817"/>
    <w:rsid w:val="00B05876"/>
    <w:rsid w:val="00B07E5C"/>
    <w:rsid w:val="00B07F8D"/>
    <w:rsid w:val="00B101F6"/>
    <w:rsid w:val="00B10C90"/>
    <w:rsid w:val="00B12529"/>
    <w:rsid w:val="00B14326"/>
    <w:rsid w:val="00B1668B"/>
    <w:rsid w:val="00B20BA1"/>
    <w:rsid w:val="00B21143"/>
    <w:rsid w:val="00B21876"/>
    <w:rsid w:val="00B21DB5"/>
    <w:rsid w:val="00B26509"/>
    <w:rsid w:val="00B31B82"/>
    <w:rsid w:val="00B32845"/>
    <w:rsid w:val="00B3338B"/>
    <w:rsid w:val="00B33C50"/>
    <w:rsid w:val="00B37878"/>
    <w:rsid w:val="00B40FA2"/>
    <w:rsid w:val="00B420F6"/>
    <w:rsid w:val="00B44918"/>
    <w:rsid w:val="00B44C52"/>
    <w:rsid w:val="00B50BFB"/>
    <w:rsid w:val="00B518B4"/>
    <w:rsid w:val="00B51F46"/>
    <w:rsid w:val="00B52267"/>
    <w:rsid w:val="00B537D8"/>
    <w:rsid w:val="00B549D1"/>
    <w:rsid w:val="00B5721D"/>
    <w:rsid w:val="00B5770A"/>
    <w:rsid w:val="00B6069B"/>
    <w:rsid w:val="00B607F2"/>
    <w:rsid w:val="00B60D91"/>
    <w:rsid w:val="00B60EEF"/>
    <w:rsid w:val="00B63121"/>
    <w:rsid w:val="00B639F6"/>
    <w:rsid w:val="00B67BD3"/>
    <w:rsid w:val="00B67F19"/>
    <w:rsid w:val="00B702ED"/>
    <w:rsid w:val="00B71158"/>
    <w:rsid w:val="00B73B30"/>
    <w:rsid w:val="00B742C9"/>
    <w:rsid w:val="00B74D32"/>
    <w:rsid w:val="00B7580A"/>
    <w:rsid w:val="00B76545"/>
    <w:rsid w:val="00B775FA"/>
    <w:rsid w:val="00B811F7"/>
    <w:rsid w:val="00B82026"/>
    <w:rsid w:val="00B8256F"/>
    <w:rsid w:val="00B8287A"/>
    <w:rsid w:val="00B82EA3"/>
    <w:rsid w:val="00B84041"/>
    <w:rsid w:val="00B8471D"/>
    <w:rsid w:val="00B85441"/>
    <w:rsid w:val="00B87912"/>
    <w:rsid w:val="00B87DB7"/>
    <w:rsid w:val="00B9218E"/>
    <w:rsid w:val="00B923FA"/>
    <w:rsid w:val="00B94F06"/>
    <w:rsid w:val="00B95141"/>
    <w:rsid w:val="00B973A0"/>
    <w:rsid w:val="00B97654"/>
    <w:rsid w:val="00B97ACF"/>
    <w:rsid w:val="00BA0A66"/>
    <w:rsid w:val="00BA0C3F"/>
    <w:rsid w:val="00BA0D40"/>
    <w:rsid w:val="00BA3675"/>
    <w:rsid w:val="00BA3E84"/>
    <w:rsid w:val="00BA5C85"/>
    <w:rsid w:val="00BA5DC6"/>
    <w:rsid w:val="00BA6196"/>
    <w:rsid w:val="00BA76E8"/>
    <w:rsid w:val="00BA7B6C"/>
    <w:rsid w:val="00BB0159"/>
    <w:rsid w:val="00BB0252"/>
    <w:rsid w:val="00BB0744"/>
    <w:rsid w:val="00BB1F63"/>
    <w:rsid w:val="00BB2551"/>
    <w:rsid w:val="00BB4558"/>
    <w:rsid w:val="00BB5419"/>
    <w:rsid w:val="00BB6031"/>
    <w:rsid w:val="00BB63F9"/>
    <w:rsid w:val="00BB6EE1"/>
    <w:rsid w:val="00BB76F8"/>
    <w:rsid w:val="00BC146A"/>
    <w:rsid w:val="00BC1BFC"/>
    <w:rsid w:val="00BC2122"/>
    <w:rsid w:val="00BC4FCB"/>
    <w:rsid w:val="00BC6D8C"/>
    <w:rsid w:val="00BC7022"/>
    <w:rsid w:val="00BD04EB"/>
    <w:rsid w:val="00BD0D6F"/>
    <w:rsid w:val="00BD2147"/>
    <w:rsid w:val="00BD3965"/>
    <w:rsid w:val="00BD4BF0"/>
    <w:rsid w:val="00BD522E"/>
    <w:rsid w:val="00BD59D1"/>
    <w:rsid w:val="00BD5AC9"/>
    <w:rsid w:val="00BD7588"/>
    <w:rsid w:val="00BE07D7"/>
    <w:rsid w:val="00BE1370"/>
    <w:rsid w:val="00BE229E"/>
    <w:rsid w:val="00BE2691"/>
    <w:rsid w:val="00BE4B22"/>
    <w:rsid w:val="00BE5EE4"/>
    <w:rsid w:val="00BE7522"/>
    <w:rsid w:val="00BE7CD5"/>
    <w:rsid w:val="00BF0A7E"/>
    <w:rsid w:val="00BF1F3B"/>
    <w:rsid w:val="00BF2215"/>
    <w:rsid w:val="00BF27A0"/>
    <w:rsid w:val="00BF4A19"/>
    <w:rsid w:val="00BF4DA9"/>
    <w:rsid w:val="00BF5369"/>
    <w:rsid w:val="00BF5410"/>
    <w:rsid w:val="00C01719"/>
    <w:rsid w:val="00C01B3A"/>
    <w:rsid w:val="00C024C0"/>
    <w:rsid w:val="00C04D38"/>
    <w:rsid w:val="00C05BC7"/>
    <w:rsid w:val="00C07839"/>
    <w:rsid w:val="00C125A9"/>
    <w:rsid w:val="00C1587F"/>
    <w:rsid w:val="00C15D53"/>
    <w:rsid w:val="00C16897"/>
    <w:rsid w:val="00C168C1"/>
    <w:rsid w:val="00C1734C"/>
    <w:rsid w:val="00C231A2"/>
    <w:rsid w:val="00C24139"/>
    <w:rsid w:val="00C25CF3"/>
    <w:rsid w:val="00C26BC9"/>
    <w:rsid w:val="00C2721C"/>
    <w:rsid w:val="00C27AEE"/>
    <w:rsid w:val="00C303B1"/>
    <w:rsid w:val="00C30776"/>
    <w:rsid w:val="00C31912"/>
    <w:rsid w:val="00C32875"/>
    <w:rsid w:val="00C32BA6"/>
    <w:rsid w:val="00C332D1"/>
    <w:rsid w:val="00C34006"/>
    <w:rsid w:val="00C355AD"/>
    <w:rsid w:val="00C374F2"/>
    <w:rsid w:val="00C400B2"/>
    <w:rsid w:val="00C4075B"/>
    <w:rsid w:val="00C41ECF"/>
    <w:rsid w:val="00C41F09"/>
    <w:rsid w:val="00C426B1"/>
    <w:rsid w:val="00C42DC1"/>
    <w:rsid w:val="00C45B61"/>
    <w:rsid w:val="00C46C42"/>
    <w:rsid w:val="00C51DFF"/>
    <w:rsid w:val="00C52873"/>
    <w:rsid w:val="00C52E9A"/>
    <w:rsid w:val="00C53440"/>
    <w:rsid w:val="00C537C6"/>
    <w:rsid w:val="00C5446E"/>
    <w:rsid w:val="00C56764"/>
    <w:rsid w:val="00C60704"/>
    <w:rsid w:val="00C64BE4"/>
    <w:rsid w:val="00C6563A"/>
    <w:rsid w:val="00C670FB"/>
    <w:rsid w:val="00C729D0"/>
    <w:rsid w:val="00C73072"/>
    <w:rsid w:val="00C7338C"/>
    <w:rsid w:val="00C74669"/>
    <w:rsid w:val="00C7691B"/>
    <w:rsid w:val="00C76AF1"/>
    <w:rsid w:val="00C7725F"/>
    <w:rsid w:val="00C8018C"/>
    <w:rsid w:val="00C81F3C"/>
    <w:rsid w:val="00C83189"/>
    <w:rsid w:val="00C83BD7"/>
    <w:rsid w:val="00C84DBA"/>
    <w:rsid w:val="00C86DBC"/>
    <w:rsid w:val="00C90D6A"/>
    <w:rsid w:val="00C91816"/>
    <w:rsid w:val="00C92E17"/>
    <w:rsid w:val="00C93021"/>
    <w:rsid w:val="00C94065"/>
    <w:rsid w:val="00C95347"/>
    <w:rsid w:val="00CA0054"/>
    <w:rsid w:val="00CA04FC"/>
    <w:rsid w:val="00CA055E"/>
    <w:rsid w:val="00CA0700"/>
    <w:rsid w:val="00CA10B6"/>
    <w:rsid w:val="00CA247E"/>
    <w:rsid w:val="00CA255D"/>
    <w:rsid w:val="00CA41F1"/>
    <w:rsid w:val="00CA71D0"/>
    <w:rsid w:val="00CA7A4D"/>
    <w:rsid w:val="00CB0E3A"/>
    <w:rsid w:val="00CB1D82"/>
    <w:rsid w:val="00CB4085"/>
    <w:rsid w:val="00CB5017"/>
    <w:rsid w:val="00CB70D6"/>
    <w:rsid w:val="00CB7954"/>
    <w:rsid w:val="00CC1C77"/>
    <w:rsid w:val="00CC3887"/>
    <w:rsid w:val="00CC4F42"/>
    <w:rsid w:val="00CC5A11"/>
    <w:rsid w:val="00CC72B6"/>
    <w:rsid w:val="00CD09C4"/>
    <w:rsid w:val="00CD107A"/>
    <w:rsid w:val="00CD15B7"/>
    <w:rsid w:val="00CD1661"/>
    <w:rsid w:val="00CD709F"/>
    <w:rsid w:val="00CD74D2"/>
    <w:rsid w:val="00CD7D38"/>
    <w:rsid w:val="00CE0F41"/>
    <w:rsid w:val="00CE227C"/>
    <w:rsid w:val="00CE69A3"/>
    <w:rsid w:val="00CE6B6F"/>
    <w:rsid w:val="00CE6D2C"/>
    <w:rsid w:val="00CF0B8C"/>
    <w:rsid w:val="00CF2F2D"/>
    <w:rsid w:val="00CF31EC"/>
    <w:rsid w:val="00CF3568"/>
    <w:rsid w:val="00CF3C9C"/>
    <w:rsid w:val="00CF3DBB"/>
    <w:rsid w:val="00CF6038"/>
    <w:rsid w:val="00CF7E10"/>
    <w:rsid w:val="00D0135D"/>
    <w:rsid w:val="00D0218D"/>
    <w:rsid w:val="00D03E39"/>
    <w:rsid w:val="00D044EA"/>
    <w:rsid w:val="00D04541"/>
    <w:rsid w:val="00D05209"/>
    <w:rsid w:val="00D06151"/>
    <w:rsid w:val="00D06372"/>
    <w:rsid w:val="00D06818"/>
    <w:rsid w:val="00D0687B"/>
    <w:rsid w:val="00D06DAB"/>
    <w:rsid w:val="00D07476"/>
    <w:rsid w:val="00D1019B"/>
    <w:rsid w:val="00D10D38"/>
    <w:rsid w:val="00D13051"/>
    <w:rsid w:val="00D134D3"/>
    <w:rsid w:val="00D14112"/>
    <w:rsid w:val="00D15B23"/>
    <w:rsid w:val="00D1602C"/>
    <w:rsid w:val="00D1659E"/>
    <w:rsid w:val="00D17CDB"/>
    <w:rsid w:val="00D20FCD"/>
    <w:rsid w:val="00D21B7F"/>
    <w:rsid w:val="00D2205D"/>
    <w:rsid w:val="00D22622"/>
    <w:rsid w:val="00D2277B"/>
    <w:rsid w:val="00D245D3"/>
    <w:rsid w:val="00D24AA7"/>
    <w:rsid w:val="00D258D4"/>
    <w:rsid w:val="00D265D0"/>
    <w:rsid w:val="00D26792"/>
    <w:rsid w:val="00D26C8D"/>
    <w:rsid w:val="00D2716E"/>
    <w:rsid w:val="00D272A3"/>
    <w:rsid w:val="00D27657"/>
    <w:rsid w:val="00D310EF"/>
    <w:rsid w:val="00D32234"/>
    <w:rsid w:val="00D32E71"/>
    <w:rsid w:val="00D34732"/>
    <w:rsid w:val="00D349D3"/>
    <w:rsid w:val="00D37745"/>
    <w:rsid w:val="00D41764"/>
    <w:rsid w:val="00D42A3C"/>
    <w:rsid w:val="00D42CC8"/>
    <w:rsid w:val="00D444EB"/>
    <w:rsid w:val="00D512F4"/>
    <w:rsid w:val="00D515AD"/>
    <w:rsid w:val="00D5182A"/>
    <w:rsid w:val="00D527D2"/>
    <w:rsid w:val="00D53220"/>
    <w:rsid w:val="00D5593C"/>
    <w:rsid w:val="00D56DC5"/>
    <w:rsid w:val="00D57647"/>
    <w:rsid w:val="00D600F1"/>
    <w:rsid w:val="00D62B02"/>
    <w:rsid w:val="00D660C2"/>
    <w:rsid w:val="00D67144"/>
    <w:rsid w:val="00D6753C"/>
    <w:rsid w:val="00D701BC"/>
    <w:rsid w:val="00D7287E"/>
    <w:rsid w:val="00D730E7"/>
    <w:rsid w:val="00D73615"/>
    <w:rsid w:val="00D74AE0"/>
    <w:rsid w:val="00D77B6E"/>
    <w:rsid w:val="00D804C7"/>
    <w:rsid w:val="00D80698"/>
    <w:rsid w:val="00D80986"/>
    <w:rsid w:val="00D8214D"/>
    <w:rsid w:val="00D8247A"/>
    <w:rsid w:val="00D84355"/>
    <w:rsid w:val="00D843EB"/>
    <w:rsid w:val="00D8634B"/>
    <w:rsid w:val="00D875C1"/>
    <w:rsid w:val="00D87CF5"/>
    <w:rsid w:val="00D90F3A"/>
    <w:rsid w:val="00D911CB"/>
    <w:rsid w:val="00D920EC"/>
    <w:rsid w:val="00D92B65"/>
    <w:rsid w:val="00D93024"/>
    <w:rsid w:val="00D936CD"/>
    <w:rsid w:val="00D93BDB"/>
    <w:rsid w:val="00D94933"/>
    <w:rsid w:val="00DA0845"/>
    <w:rsid w:val="00DA203B"/>
    <w:rsid w:val="00DA2529"/>
    <w:rsid w:val="00DA5237"/>
    <w:rsid w:val="00DA6C49"/>
    <w:rsid w:val="00DA6D54"/>
    <w:rsid w:val="00DA73BB"/>
    <w:rsid w:val="00DB019D"/>
    <w:rsid w:val="00DB0F33"/>
    <w:rsid w:val="00DB130A"/>
    <w:rsid w:val="00DB4F06"/>
    <w:rsid w:val="00DB7AAB"/>
    <w:rsid w:val="00DC0621"/>
    <w:rsid w:val="00DC07C9"/>
    <w:rsid w:val="00DC0EBA"/>
    <w:rsid w:val="00DC10A1"/>
    <w:rsid w:val="00DC1CA3"/>
    <w:rsid w:val="00DC63B3"/>
    <w:rsid w:val="00DC655F"/>
    <w:rsid w:val="00DC73FE"/>
    <w:rsid w:val="00DD0B59"/>
    <w:rsid w:val="00DD0CCC"/>
    <w:rsid w:val="00DD2EB6"/>
    <w:rsid w:val="00DD5ED5"/>
    <w:rsid w:val="00DD5EEA"/>
    <w:rsid w:val="00DD6BB1"/>
    <w:rsid w:val="00DD737C"/>
    <w:rsid w:val="00DD74D0"/>
    <w:rsid w:val="00DD7EBD"/>
    <w:rsid w:val="00DE0AA2"/>
    <w:rsid w:val="00DE28E0"/>
    <w:rsid w:val="00DE324B"/>
    <w:rsid w:val="00DE3470"/>
    <w:rsid w:val="00DE608F"/>
    <w:rsid w:val="00DE6A57"/>
    <w:rsid w:val="00DF1DCF"/>
    <w:rsid w:val="00DF2F38"/>
    <w:rsid w:val="00DF34E9"/>
    <w:rsid w:val="00DF37B9"/>
    <w:rsid w:val="00DF62B6"/>
    <w:rsid w:val="00DF7BE7"/>
    <w:rsid w:val="00E002D7"/>
    <w:rsid w:val="00E02C90"/>
    <w:rsid w:val="00E02E47"/>
    <w:rsid w:val="00E036B2"/>
    <w:rsid w:val="00E041E4"/>
    <w:rsid w:val="00E05969"/>
    <w:rsid w:val="00E05EB0"/>
    <w:rsid w:val="00E06831"/>
    <w:rsid w:val="00E07225"/>
    <w:rsid w:val="00E10EE5"/>
    <w:rsid w:val="00E11A3B"/>
    <w:rsid w:val="00E13F0A"/>
    <w:rsid w:val="00E14273"/>
    <w:rsid w:val="00E166EF"/>
    <w:rsid w:val="00E207DB"/>
    <w:rsid w:val="00E209A4"/>
    <w:rsid w:val="00E2158B"/>
    <w:rsid w:val="00E2216E"/>
    <w:rsid w:val="00E234C9"/>
    <w:rsid w:val="00E25A97"/>
    <w:rsid w:val="00E2656B"/>
    <w:rsid w:val="00E26B3A"/>
    <w:rsid w:val="00E30B4D"/>
    <w:rsid w:val="00E310FD"/>
    <w:rsid w:val="00E313FA"/>
    <w:rsid w:val="00E3212B"/>
    <w:rsid w:val="00E32469"/>
    <w:rsid w:val="00E335BF"/>
    <w:rsid w:val="00E335F2"/>
    <w:rsid w:val="00E3366F"/>
    <w:rsid w:val="00E336BB"/>
    <w:rsid w:val="00E339C0"/>
    <w:rsid w:val="00E33CF0"/>
    <w:rsid w:val="00E33EF9"/>
    <w:rsid w:val="00E34108"/>
    <w:rsid w:val="00E341DA"/>
    <w:rsid w:val="00E346CE"/>
    <w:rsid w:val="00E3477B"/>
    <w:rsid w:val="00E36164"/>
    <w:rsid w:val="00E40EA7"/>
    <w:rsid w:val="00E41621"/>
    <w:rsid w:val="00E41EE6"/>
    <w:rsid w:val="00E420A4"/>
    <w:rsid w:val="00E42C8D"/>
    <w:rsid w:val="00E4555F"/>
    <w:rsid w:val="00E47D11"/>
    <w:rsid w:val="00E52BDA"/>
    <w:rsid w:val="00E533FE"/>
    <w:rsid w:val="00E5368A"/>
    <w:rsid w:val="00E5409F"/>
    <w:rsid w:val="00E54432"/>
    <w:rsid w:val="00E5626A"/>
    <w:rsid w:val="00E56E1F"/>
    <w:rsid w:val="00E56FD1"/>
    <w:rsid w:val="00E57D53"/>
    <w:rsid w:val="00E60030"/>
    <w:rsid w:val="00E60F2B"/>
    <w:rsid w:val="00E61942"/>
    <w:rsid w:val="00E624E3"/>
    <w:rsid w:val="00E631B9"/>
    <w:rsid w:val="00E63ACE"/>
    <w:rsid w:val="00E649AA"/>
    <w:rsid w:val="00E65FB3"/>
    <w:rsid w:val="00E670EE"/>
    <w:rsid w:val="00E70D9C"/>
    <w:rsid w:val="00E73F5C"/>
    <w:rsid w:val="00E74E38"/>
    <w:rsid w:val="00E770C8"/>
    <w:rsid w:val="00E81B4D"/>
    <w:rsid w:val="00E82146"/>
    <w:rsid w:val="00E841C6"/>
    <w:rsid w:val="00E84239"/>
    <w:rsid w:val="00E86754"/>
    <w:rsid w:val="00E8755B"/>
    <w:rsid w:val="00E9056E"/>
    <w:rsid w:val="00E91E9C"/>
    <w:rsid w:val="00E93391"/>
    <w:rsid w:val="00E94958"/>
    <w:rsid w:val="00E95292"/>
    <w:rsid w:val="00E978EF"/>
    <w:rsid w:val="00E97BB8"/>
    <w:rsid w:val="00EA01F8"/>
    <w:rsid w:val="00EA091E"/>
    <w:rsid w:val="00EA20F2"/>
    <w:rsid w:val="00EA2725"/>
    <w:rsid w:val="00EA28F6"/>
    <w:rsid w:val="00EA2ED4"/>
    <w:rsid w:val="00EA3159"/>
    <w:rsid w:val="00EA5006"/>
    <w:rsid w:val="00EA6D17"/>
    <w:rsid w:val="00EA6EC2"/>
    <w:rsid w:val="00EA745C"/>
    <w:rsid w:val="00EA7888"/>
    <w:rsid w:val="00EB0FAA"/>
    <w:rsid w:val="00EB1F40"/>
    <w:rsid w:val="00EB1FB7"/>
    <w:rsid w:val="00EB26B8"/>
    <w:rsid w:val="00EB294D"/>
    <w:rsid w:val="00EB324D"/>
    <w:rsid w:val="00EB358D"/>
    <w:rsid w:val="00EB3708"/>
    <w:rsid w:val="00EB4B01"/>
    <w:rsid w:val="00EB558F"/>
    <w:rsid w:val="00EB576F"/>
    <w:rsid w:val="00EB6C4D"/>
    <w:rsid w:val="00EC0055"/>
    <w:rsid w:val="00EC0067"/>
    <w:rsid w:val="00EC4C34"/>
    <w:rsid w:val="00EC552F"/>
    <w:rsid w:val="00EC6A8A"/>
    <w:rsid w:val="00EC6D9C"/>
    <w:rsid w:val="00EC7F6D"/>
    <w:rsid w:val="00ED0CE0"/>
    <w:rsid w:val="00ED1F2D"/>
    <w:rsid w:val="00ED5651"/>
    <w:rsid w:val="00EE0018"/>
    <w:rsid w:val="00EE163E"/>
    <w:rsid w:val="00EE1C40"/>
    <w:rsid w:val="00EE1C93"/>
    <w:rsid w:val="00EE3623"/>
    <w:rsid w:val="00EE427A"/>
    <w:rsid w:val="00EE5E81"/>
    <w:rsid w:val="00EE6286"/>
    <w:rsid w:val="00EE6488"/>
    <w:rsid w:val="00EE7AA2"/>
    <w:rsid w:val="00EE7AAB"/>
    <w:rsid w:val="00EF0320"/>
    <w:rsid w:val="00EF0B5F"/>
    <w:rsid w:val="00EF2867"/>
    <w:rsid w:val="00EF667E"/>
    <w:rsid w:val="00EF673A"/>
    <w:rsid w:val="00EF699B"/>
    <w:rsid w:val="00F017B4"/>
    <w:rsid w:val="00F01B3C"/>
    <w:rsid w:val="00F01C33"/>
    <w:rsid w:val="00F021FA"/>
    <w:rsid w:val="00F03677"/>
    <w:rsid w:val="00F03762"/>
    <w:rsid w:val="00F03A60"/>
    <w:rsid w:val="00F045E9"/>
    <w:rsid w:val="00F04682"/>
    <w:rsid w:val="00F07FDC"/>
    <w:rsid w:val="00F105B1"/>
    <w:rsid w:val="00F10FED"/>
    <w:rsid w:val="00F121C0"/>
    <w:rsid w:val="00F14910"/>
    <w:rsid w:val="00F1494F"/>
    <w:rsid w:val="00F1562A"/>
    <w:rsid w:val="00F16408"/>
    <w:rsid w:val="00F17B14"/>
    <w:rsid w:val="00F216E2"/>
    <w:rsid w:val="00F21836"/>
    <w:rsid w:val="00F21C54"/>
    <w:rsid w:val="00F22545"/>
    <w:rsid w:val="00F2278D"/>
    <w:rsid w:val="00F22DEE"/>
    <w:rsid w:val="00F237AF"/>
    <w:rsid w:val="00F242F8"/>
    <w:rsid w:val="00F25718"/>
    <w:rsid w:val="00F27D80"/>
    <w:rsid w:val="00F27EFF"/>
    <w:rsid w:val="00F32908"/>
    <w:rsid w:val="00F331AC"/>
    <w:rsid w:val="00F34616"/>
    <w:rsid w:val="00F35EAF"/>
    <w:rsid w:val="00F36CA2"/>
    <w:rsid w:val="00F41156"/>
    <w:rsid w:val="00F42573"/>
    <w:rsid w:val="00F42696"/>
    <w:rsid w:val="00F42862"/>
    <w:rsid w:val="00F42A67"/>
    <w:rsid w:val="00F42FEE"/>
    <w:rsid w:val="00F43973"/>
    <w:rsid w:val="00F444F4"/>
    <w:rsid w:val="00F45401"/>
    <w:rsid w:val="00F45538"/>
    <w:rsid w:val="00F46A01"/>
    <w:rsid w:val="00F46E3D"/>
    <w:rsid w:val="00F47208"/>
    <w:rsid w:val="00F524E2"/>
    <w:rsid w:val="00F52874"/>
    <w:rsid w:val="00F53645"/>
    <w:rsid w:val="00F61363"/>
    <w:rsid w:val="00F61C70"/>
    <w:rsid w:val="00F62301"/>
    <w:rsid w:val="00F623C5"/>
    <w:rsid w:val="00F623F3"/>
    <w:rsid w:val="00F62E97"/>
    <w:rsid w:val="00F6379D"/>
    <w:rsid w:val="00F64209"/>
    <w:rsid w:val="00F654D2"/>
    <w:rsid w:val="00F66A4A"/>
    <w:rsid w:val="00F66DB0"/>
    <w:rsid w:val="00F67B30"/>
    <w:rsid w:val="00F71039"/>
    <w:rsid w:val="00F7173E"/>
    <w:rsid w:val="00F71D39"/>
    <w:rsid w:val="00F724EF"/>
    <w:rsid w:val="00F72985"/>
    <w:rsid w:val="00F7424A"/>
    <w:rsid w:val="00F75680"/>
    <w:rsid w:val="00F75DD0"/>
    <w:rsid w:val="00F761AE"/>
    <w:rsid w:val="00F76A26"/>
    <w:rsid w:val="00F802C3"/>
    <w:rsid w:val="00F8036E"/>
    <w:rsid w:val="00F81633"/>
    <w:rsid w:val="00F8527B"/>
    <w:rsid w:val="00F85CCF"/>
    <w:rsid w:val="00F8668B"/>
    <w:rsid w:val="00F86ABA"/>
    <w:rsid w:val="00F876A4"/>
    <w:rsid w:val="00F912E5"/>
    <w:rsid w:val="00F92C1C"/>
    <w:rsid w:val="00F92F86"/>
    <w:rsid w:val="00F93BF5"/>
    <w:rsid w:val="00F94218"/>
    <w:rsid w:val="00F96873"/>
    <w:rsid w:val="00F97A6D"/>
    <w:rsid w:val="00FA0382"/>
    <w:rsid w:val="00FA0614"/>
    <w:rsid w:val="00FA0FDF"/>
    <w:rsid w:val="00FA2A0A"/>
    <w:rsid w:val="00FA3EA5"/>
    <w:rsid w:val="00FA5330"/>
    <w:rsid w:val="00FA600E"/>
    <w:rsid w:val="00FA742B"/>
    <w:rsid w:val="00FB1980"/>
    <w:rsid w:val="00FB2890"/>
    <w:rsid w:val="00FB2B23"/>
    <w:rsid w:val="00FB4C22"/>
    <w:rsid w:val="00FB53E5"/>
    <w:rsid w:val="00FB57FC"/>
    <w:rsid w:val="00FB5D86"/>
    <w:rsid w:val="00FB6BF1"/>
    <w:rsid w:val="00FC2657"/>
    <w:rsid w:val="00FC2B22"/>
    <w:rsid w:val="00FC36FE"/>
    <w:rsid w:val="00FC479A"/>
    <w:rsid w:val="00FC64DE"/>
    <w:rsid w:val="00FC6B98"/>
    <w:rsid w:val="00FC71B0"/>
    <w:rsid w:val="00FD006B"/>
    <w:rsid w:val="00FD0D0C"/>
    <w:rsid w:val="00FD10C6"/>
    <w:rsid w:val="00FD1729"/>
    <w:rsid w:val="00FD2F72"/>
    <w:rsid w:val="00FD38F6"/>
    <w:rsid w:val="00FD5195"/>
    <w:rsid w:val="00FD74B6"/>
    <w:rsid w:val="00FE18D7"/>
    <w:rsid w:val="00FE1D64"/>
    <w:rsid w:val="00FE2B28"/>
    <w:rsid w:val="00FE40CD"/>
    <w:rsid w:val="00FE6757"/>
    <w:rsid w:val="00FE7251"/>
    <w:rsid w:val="00FE7E50"/>
    <w:rsid w:val="00FF0051"/>
    <w:rsid w:val="00FF0F35"/>
    <w:rsid w:val="00FF1B5F"/>
    <w:rsid w:val="00FF2273"/>
    <w:rsid w:val="00FF2CD8"/>
    <w:rsid w:val="00FF4E19"/>
    <w:rsid w:val="00FF66CF"/>
    <w:rsid w:val="00FF6A39"/>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F63"/>
    <w:pPr>
      <w:widowControl w:val="0"/>
    </w:pPr>
    <w:rPr>
      <w:snapToGrid w:val="0"/>
      <w:kern w:val="28"/>
      <w:sz w:val="22"/>
    </w:rPr>
  </w:style>
  <w:style w:type="paragraph" w:styleId="Heading1">
    <w:name w:val="heading 1"/>
    <w:basedOn w:val="Normal"/>
    <w:next w:val="ParaNum"/>
    <w:link w:val="Heading1Char"/>
    <w:qFormat/>
    <w:rsid w:val="00BB1F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1F63"/>
    <w:pPr>
      <w:keepNext/>
      <w:numPr>
        <w:ilvl w:val="1"/>
        <w:numId w:val="3"/>
      </w:numPr>
      <w:spacing w:after="120"/>
      <w:outlineLvl w:val="1"/>
    </w:pPr>
    <w:rPr>
      <w:b/>
    </w:rPr>
  </w:style>
  <w:style w:type="paragraph" w:styleId="Heading3">
    <w:name w:val="heading 3"/>
    <w:basedOn w:val="Normal"/>
    <w:next w:val="ParaNum"/>
    <w:link w:val="Heading3Char"/>
    <w:qFormat/>
    <w:rsid w:val="00BB1F63"/>
    <w:pPr>
      <w:keepNext/>
      <w:numPr>
        <w:ilvl w:val="2"/>
        <w:numId w:val="3"/>
      </w:numPr>
      <w:tabs>
        <w:tab w:val="left" w:pos="2160"/>
      </w:tabs>
      <w:spacing w:after="120"/>
      <w:outlineLvl w:val="2"/>
    </w:pPr>
    <w:rPr>
      <w:b/>
    </w:rPr>
  </w:style>
  <w:style w:type="paragraph" w:styleId="Heading4">
    <w:name w:val="heading 4"/>
    <w:basedOn w:val="Normal"/>
    <w:next w:val="ParaNum"/>
    <w:qFormat/>
    <w:rsid w:val="00BB1F63"/>
    <w:pPr>
      <w:keepNext/>
      <w:numPr>
        <w:ilvl w:val="3"/>
        <w:numId w:val="3"/>
      </w:numPr>
      <w:tabs>
        <w:tab w:val="left" w:pos="2880"/>
      </w:tabs>
      <w:spacing w:after="120"/>
      <w:outlineLvl w:val="3"/>
    </w:pPr>
    <w:rPr>
      <w:b/>
    </w:rPr>
  </w:style>
  <w:style w:type="paragraph" w:styleId="Heading5">
    <w:name w:val="heading 5"/>
    <w:basedOn w:val="Normal"/>
    <w:next w:val="ParaNum"/>
    <w:qFormat/>
    <w:rsid w:val="00BB1F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1F63"/>
    <w:pPr>
      <w:numPr>
        <w:ilvl w:val="5"/>
        <w:numId w:val="3"/>
      </w:numPr>
      <w:tabs>
        <w:tab w:val="left" w:pos="4320"/>
      </w:tabs>
      <w:spacing w:after="120"/>
      <w:outlineLvl w:val="5"/>
    </w:pPr>
    <w:rPr>
      <w:b/>
    </w:rPr>
  </w:style>
  <w:style w:type="paragraph" w:styleId="Heading7">
    <w:name w:val="heading 7"/>
    <w:basedOn w:val="Normal"/>
    <w:next w:val="ParaNum"/>
    <w:qFormat/>
    <w:rsid w:val="00BB1F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1F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1F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1F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F63"/>
  </w:style>
  <w:style w:type="paragraph" w:customStyle="1" w:styleId="ParaNum">
    <w:name w:val="ParaNum"/>
    <w:basedOn w:val="Normal"/>
    <w:link w:val="ParaNumChar"/>
    <w:rsid w:val="00BB1F63"/>
    <w:pPr>
      <w:numPr>
        <w:numId w:val="2"/>
      </w:numPr>
      <w:tabs>
        <w:tab w:val="clear" w:pos="1080"/>
        <w:tab w:val="num" w:pos="1440"/>
      </w:tabs>
      <w:spacing w:after="120"/>
    </w:pPr>
  </w:style>
  <w:style w:type="paragraph" w:styleId="EndnoteText">
    <w:name w:val="endnote text"/>
    <w:basedOn w:val="Normal"/>
    <w:semiHidden/>
    <w:rsid w:val="00BB1F63"/>
    <w:rPr>
      <w:sz w:val="20"/>
    </w:rPr>
  </w:style>
  <w:style w:type="character" w:styleId="EndnoteReference">
    <w:name w:val="endnote reference"/>
    <w:semiHidden/>
    <w:rsid w:val="00BB1F63"/>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2"/>
    <w:link w:val="FootnoteTextChar1"/>
    <w:rsid w:val="00BB1F63"/>
    <w:pPr>
      <w:spacing w:after="120"/>
    </w:pPr>
  </w:style>
  <w:style w:type="character" w:styleId="FootnoteReference">
    <w:name w:val="footnote reference"/>
    <w:aliases w:val="Style 12,(NECG) Footnote Reference,o,fr,Style 3,Appel note de bas de p,Style 124,Style 13,FR,Style 17,Style 6,Footnote Reference/"/>
    <w:rsid w:val="00BB1F63"/>
    <w:rPr>
      <w:rFonts w:ascii="Times New Roman" w:hAnsi="Times New Roman"/>
      <w:dstrike w:val="0"/>
      <w:color w:val="auto"/>
      <w:sz w:val="20"/>
      <w:vertAlign w:val="superscript"/>
    </w:rPr>
  </w:style>
  <w:style w:type="paragraph" w:styleId="TOC1">
    <w:name w:val="toc 1"/>
    <w:basedOn w:val="Normal"/>
    <w:next w:val="Normal"/>
    <w:semiHidden/>
    <w:rsid w:val="00BB1F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1F63"/>
    <w:pPr>
      <w:tabs>
        <w:tab w:val="left" w:pos="720"/>
        <w:tab w:val="right" w:leader="dot" w:pos="9360"/>
      </w:tabs>
      <w:suppressAutoHyphens/>
      <w:ind w:left="720" w:right="720" w:hanging="360"/>
    </w:pPr>
    <w:rPr>
      <w:noProof/>
    </w:rPr>
  </w:style>
  <w:style w:type="paragraph" w:styleId="TOC3">
    <w:name w:val="toc 3"/>
    <w:basedOn w:val="Normal"/>
    <w:next w:val="Normal"/>
    <w:semiHidden/>
    <w:rsid w:val="00BB1F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1F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1F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1F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1F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1F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1F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1F63"/>
    <w:pPr>
      <w:tabs>
        <w:tab w:val="right" w:pos="9360"/>
      </w:tabs>
      <w:suppressAutoHyphens/>
    </w:pPr>
  </w:style>
  <w:style w:type="character" w:customStyle="1" w:styleId="EquationCaption">
    <w:name w:val="_Equation Caption"/>
    <w:rsid w:val="00BB1F63"/>
  </w:style>
  <w:style w:type="paragraph" w:styleId="Header">
    <w:name w:val="header"/>
    <w:basedOn w:val="Normal"/>
    <w:autoRedefine/>
    <w:rsid w:val="00BB1F63"/>
    <w:pPr>
      <w:tabs>
        <w:tab w:val="center" w:pos="4680"/>
        <w:tab w:val="right" w:pos="9360"/>
      </w:tabs>
    </w:pPr>
    <w:rPr>
      <w:b/>
    </w:rPr>
  </w:style>
  <w:style w:type="paragraph" w:styleId="Footer">
    <w:name w:val="footer"/>
    <w:basedOn w:val="Normal"/>
    <w:link w:val="FooterChar"/>
    <w:rsid w:val="00BB1F63"/>
    <w:pPr>
      <w:tabs>
        <w:tab w:val="center" w:pos="4320"/>
        <w:tab w:val="right" w:pos="8640"/>
      </w:tabs>
    </w:pPr>
  </w:style>
  <w:style w:type="character" w:styleId="PageNumber">
    <w:name w:val="page number"/>
    <w:basedOn w:val="DefaultParagraphFont"/>
    <w:rsid w:val="00BB1F63"/>
  </w:style>
  <w:style w:type="paragraph" w:styleId="BlockText">
    <w:name w:val="Block Text"/>
    <w:basedOn w:val="Normal"/>
    <w:rsid w:val="00BB1F63"/>
    <w:pPr>
      <w:spacing w:after="240"/>
      <w:ind w:left="1440" w:right="1440"/>
    </w:pPr>
  </w:style>
  <w:style w:type="paragraph" w:customStyle="1" w:styleId="Paratitle">
    <w:name w:val="Para title"/>
    <w:basedOn w:val="Normal"/>
    <w:rsid w:val="00BB1F63"/>
    <w:pPr>
      <w:tabs>
        <w:tab w:val="center" w:pos="9270"/>
      </w:tabs>
      <w:spacing w:after="240"/>
    </w:pPr>
    <w:rPr>
      <w:spacing w:val="-2"/>
    </w:rPr>
  </w:style>
  <w:style w:type="paragraph" w:customStyle="1" w:styleId="Bullet">
    <w:name w:val="Bullet"/>
    <w:basedOn w:val="Normal"/>
    <w:rsid w:val="00BB1F63"/>
    <w:pPr>
      <w:tabs>
        <w:tab w:val="left" w:pos="2160"/>
      </w:tabs>
      <w:spacing w:after="220"/>
      <w:ind w:left="2160" w:hanging="720"/>
    </w:pPr>
  </w:style>
  <w:style w:type="paragraph" w:customStyle="1" w:styleId="TableFormat">
    <w:name w:val="TableFormat"/>
    <w:basedOn w:val="Bullet"/>
    <w:rsid w:val="00BB1F63"/>
    <w:pPr>
      <w:tabs>
        <w:tab w:val="clear" w:pos="2160"/>
        <w:tab w:val="left" w:pos="5040"/>
      </w:tabs>
      <w:ind w:left="5040" w:hanging="3600"/>
    </w:pPr>
  </w:style>
  <w:style w:type="paragraph" w:customStyle="1" w:styleId="TOCTitle">
    <w:name w:val="TOC Title"/>
    <w:basedOn w:val="Normal"/>
    <w:rsid w:val="00BB1F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1F63"/>
    <w:pPr>
      <w:jc w:val="center"/>
    </w:pPr>
    <w:rPr>
      <w:rFonts w:ascii="Times New Roman Bold" w:hAnsi="Times New Roman Bold"/>
      <w:b/>
      <w:bCs/>
      <w:caps/>
      <w:szCs w:val="22"/>
    </w:rPr>
  </w:style>
  <w:style w:type="character" w:styleId="Hyperlink">
    <w:name w:val="Hyperlink"/>
    <w:rsid w:val="00BB1F63"/>
    <w:rPr>
      <w:color w:val="0000FF"/>
      <w:u w:val="single"/>
    </w:rPr>
  </w:style>
  <w:style w:type="character" w:customStyle="1" w:styleId="WW8Num2z0">
    <w:name w:val="WW8Num2z0"/>
    <w:rsid w:val="00C60704"/>
    <w:rPr>
      <w:rFonts w:ascii="Symbol" w:hAnsi="Symbol"/>
    </w:rPr>
  </w:style>
  <w:style w:type="character" w:customStyle="1" w:styleId="WW8Num2z1">
    <w:name w:val="WW8Num2z1"/>
    <w:rsid w:val="00C60704"/>
    <w:rPr>
      <w:rFonts w:ascii="Courier New" w:hAnsi="Courier New" w:cs="Courier New"/>
    </w:rPr>
  </w:style>
  <w:style w:type="character" w:customStyle="1" w:styleId="WW8Num2z2">
    <w:name w:val="WW8Num2z2"/>
    <w:rsid w:val="00C60704"/>
    <w:rPr>
      <w:rFonts w:ascii="Wingdings" w:hAnsi="Wingdings"/>
    </w:rPr>
  </w:style>
  <w:style w:type="character" w:customStyle="1" w:styleId="WW8Num3z0">
    <w:name w:val="WW8Num3z0"/>
    <w:rsid w:val="00C60704"/>
    <w:rPr>
      <w:rFonts w:ascii="Symbol" w:hAnsi="Symbol"/>
    </w:rPr>
  </w:style>
  <w:style w:type="character" w:customStyle="1" w:styleId="WW8Num3z1">
    <w:name w:val="WW8Num3z1"/>
    <w:rsid w:val="00C60704"/>
    <w:rPr>
      <w:rFonts w:ascii="Courier New" w:hAnsi="Courier New" w:cs="Courier New"/>
    </w:rPr>
  </w:style>
  <w:style w:type="character" w:customStyle="1" w:styleId="WW8Num3z2">
    <w:name w:val="WW8Num3z2"/>
    <w:rsid w:val="00C60704"/>
    <w:rPr>
      <w:rFonts w:ascii="Wingdings" w:hAnsi="Wingdings"/>
    </w:rPr>
  </w:style>
  <w:style w:type="character" w:customStyle="1" w:styleId="WW8Num4z0">
    <w:name w:val="WW8Num4z0"/>
    <w:rsid w:val="00C60704"/>
    <w:rPr>
      <w:rFonts w:ascii="Times New Roman" w:hAnsi="Times New Roman"/>
      <w:b w:val="0"/>
      <w:i w:val="0"/>
      <w:caps w:val="0"/>
      <w:smallCaps w:val="0"/>
      <w:strike w:val="0"/>
      <w:dstrike w:val="0"/>
      <w:shadow w:val="0"/>
      <w:vanish w:val="0"/>
      <w:color w:val="auto"/>
      <w:position w:val="0"/>
      <w:sz w:val="22"/>
      <w:u w:val="none"/>
      <w:vertAlign w:val="baseline"/>
    </w:rPr>
  </w:style>
  <w:style w:type="character" w:customStyle="1" w:styleId="WW8Num5z0">
    <w:name w:val="WW8Num5z0"/>
    <w:rsid w:val="00C60704"/>
    <w:rPr>
      <w:rFonts w:ascii="Times New Roman" w:hAnsi="Times New Roman"/>
      <w:b w:val="0"/>
      <w:i w:val="0"/>
      <w:sz w:val="22"/>
      <w:u w:val="none"/>
    </w:rPr>
  </w:style>
  <w:style w:type="character" w:customStyle="1" w:styleId="WW8Num6z0">
    <w:name w:val="WW8Num6z0"/>
    <w:rsid w:val="00C60704"/>
    <w:rPr>
      <w:rFonts w:ascii="Times New Roman" w:hAnsi="Times New Roman"/>
      <w:b/>
      <w:i w:val="0"/>
      <w:caps w:val="0"/>
      <w:smallCaps w:val="0"/>
      <w:strike w:val="0"/>
      <w:dstrike w:val="0"/>
      <w:outline w:val="0"/>
      <w:shadow w:val="0"/>
      <w:vanish w:val="0"/>
      <w:position w:val="0"/>
      <w:sz w:val="22"/>
      <w:vertAlign w:val="baseline"/>
    </w:rPr>
  </w:style>
  <w:style w:type="character" w:customStyle="1" w:styleId="WW8Num6z1">
    <w:name w:val="WW8Num6z1"/>
    <w:rsid w:val="00C60704"/>
    <w:rPr>
      <w:b/>
    </w:rPr>
  </w:style>
  <w:style w:type="character" w:customStyle="1" w:styleId="WW8Num6z4">
    <w:name w:val="WW8Num6z4"/>
    <w:rsid w:val="00C60704"/>
    <w:rPr>
      <w:rFonts w:ascii="Tahoma" w:hAnsi="Tahoma"/>
      <w:b/>
      <w:i w:val="0"/>
      <w:caps w:val="0"/>
      <w:smallCaps w:val="0"/>
      <w:strike w:val="0"/>
      <w:dstrike w:val="0"/>
      <w:shadow w:val="0"/>
      <w:vanish w:val="0"/>
      <w:color w:val="auto"/>
      <w:position w:val="0"/>
      <w:sz w:val="22"/>
      <w:vertAlign w:val="baseline"/>
    </w:rPr>
  </w:style>
  <w:style w:type="character" w:customStyle="1" w:styleId="WW8Num6z8">
    <w:name w:val="WW8Num6z8"/>
    <w:rsid w:val="00C60704"/>
    <w:rPr>
      <w:b/>
      <w:i w:val="0"/>
      <w:sz w:val="22"/>
    </w:rPr>
  </w:style>
  <w:style w:type="character" w:customStyle="1" w:styleId="WW8Num7z0">
    <w:name w:val="WW8Num7z0"/>
    <w:rsid w:val="00C60704"/>
    <w:rPr>
      <w:rFonts w:ascii="Symbol" w:hAnsi="Symbol"/>
      <w:color w:val="auto"/>
    </w:rPr>
  </w:style>
  <w:style w:type="character" w:customStyle="1" w:styleId="WW8Num8z0">
    <w:name w:val="WW8Num8z0"/>
    <w:rsid w:val="00C60704"/>
    <w:rPr>
      <w:rFonts w:ascii="Symbol" w:hAnsi="Symbol"/>
    </w:rPr>
  </w:style>
  <w:style w:type="character" w:customStyle="1" w:styleId="WW8Num8z1">
    <w:name w:val="WW8Num8z1"/>
    <w:rsid w:val="00C60704"/>
    <w:rPr>
      <w:rFonts w:ascii="Courier New" w:hAnsi="Courier New" w:cs="Courier New"/>
    </w:rPr>
  </w:style>
  <w:style w:type="character" w:customStyle="1" w:styleId="WW8Num8z5">
    <w:name w:val="WW8Num8z5"/>
    <w:rsid w:val="00C60704"/>
    <w:rPr>
      <w:rFonts w:ascii="Wingdings" w:hAnsi="Wingdings"/>
    </w:rPr>
  </w:style>
  <w:style w:type="character" w:customStyle="1" w:styleId="FootnoteCharacters">
    <w:name w:val="Footnote Characters"/>
    <w:rsid w:val="00C60704"/>
    <w:rPr>
      <w:vertAlign w:val="superscript"/>
    </w:rPr>
  </w:style>
  <w:style w:type="character" w:customStyle="1" w:styleId="documentbody1">
    <w:name w:val="documentbody1"/>
    <w:rsid w:val="00C60704"/>
    <w:rPr>
      <w:rFonts w:ascii="Verdana" w:hAnsi="Verdana"/>
      <w:sz w:val="19"/>
      <w:szCs w:val="19"/>
      <w:shd w:val="clear" w:color="auto" w:fill="FFFFFF"/>
    </w:rPr>
  </w:style>
  <w:style w:type="character" w:customStyle="1" w:styleId="documentbody">
    <w:name w:val="documentbody"/>
    <w:basedOn w:val="DefaultParagraphFont"/>
    <w:rsid w:val="00C60704"/>
  </w:style>
  <w:style w:type="character" w:customStyle="1" w:styleId="titlenews">
    <w:name w:val="titlenews"/>
    <w:basedOn w:val="DefaultParagraphFont"/>
    <w:rsid w:val="00C60704"/>
  </w:style>
  <w:style w:type="character" w:customStyle="1" w:styleId="byline">
    <w:name w:val="byline"/>
    <w:basedOn w:val="DefaultParagraphFont"/>
    <w:rsid w:val="00C60704"/>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sid w:val="00C60704"/>
    <w:rPr>
      <w:lang w:val="en-US" w:eastAsia="ar-SA" w:bidi="ar-SA"/>
    </w:rPr>
  </w:style>
  <w:style w:type="character" w:customStyle="1" w:styleId="EndnoteCharacters">
    <w:name w:val="Endnote Characters"/>
    <w:rsid w:val="00C60704"/>
    <w:rPr>
      <w:vertAlign w:val="superscript"/>
    </w:rPr>
  </w:style>
  <w:style w:type="character" w:styleId="Strong">
    <w:name w:val="Strong"/>
    <w:qFormat/>
    <w:rsid w:val="00C60704"/>
    <w:rPr>
      <w:b/>
      <w:bCs/>
    </w:rPr>
  </w:style>
  <w:style w:type="paragraph" w:customStyle="1" w:styleId="Heading">
    <w:name w:val="Heading"/>
    <w:basedOn w:val="Normal"/>
    <w:next w:val="BodyText"/>
    <w:rsid w:val="00C60704"/>
    <w:pPr>
      <w:keepNext/>
      <w:spacing w:before="240" w:after="120"/>
    </w:pPr>
    <w:rPr>
      <w:rFonts w:ascii="Arial" w:eastAsia="MS Mincho" w:hAnsi="Arial" w:cs="Tahoma"/>
      <w:sz w:val="28"/>
      <w:szCs w:val="28"/>
    </w:rPr>
  </w:style>
  <w:style w:type="paragraph" w:styleId="BodyText">
    <w:name w:val="Body Text"/>
    <w:basedOn w:val="Normal"/>
    <w:rsid w:val="00C60704"/>
    <w:pPr>
      <w:spacing w:after="120"/>
    </w:pPr>
  </w:style>
  <w:style w:type="paragraph" w:styleId="List">
    <w:name w:val="List"/>
    <w:basedOn w:val="BodyText"/>
    <w:rsid w:val="00C60704"/>
    <w:rPr>
      <w:rFonts w:cs="Tahoma"/>
    </w:rPr>
  </w:style>
  <w:style w:type="paragraph" w:styleId="Caption">
    <w:name w:val="caption"/>
    <w:basedOn w:val="Normal"/>
    <w:next w:val="Normal"/>
    <w:qFormat/>
    <w:rsid w:val="00C60704"/>
    <w:pPr>
      <w:spacing w:before="120" w:after="120"/>
    </w:pPr>
    <w:rPr>
      <w:b/>
    </w:rPr>
  </w:style>
  <w:style w:type="paragraph" w:customStyle="1" w:styleId="Index">
    <w:name w:val="Index"/>
    <w:basedOn w:val="Normal"/>
    <w:rsid w:val="00C60704"/>
    <w:pPr>
      <w:suppressLineNumbers/>
    </w:pPr>
    <w:rPr>
      <w:rFonts w:cs="Tahoma"/>
    </w:rPr>
  </w:style>
  <w:style w:type="character" w:customStyle="1" w:styleId="FootnoteTextChar1">
    <w:name w:val="Footnote Text Char1"/>
    <w:aliases w:val="Footnote Text Char5 Char1,Footnote Text Char1 Char Char1,Footnote Text Char3 Char Char1 Char1,Footnote Text Char2 Char1 Char Char1 Char1,Footnote Text Char1 Char Char Char Char Char2,Footnote Text Char2 Char Char Char Char Char1 Char"/>
    <w:link w:val="FootnoteText"/>
    <w:rsid w:val="00C60704"/>
  </w:style>
  <w:style w:type="paragraph" w:customStyle="1" w:styleId="NumberedList">
    <w:name w:val="Numbered List"/>
    <w:basedOn w:val="Normal"/>
    <w:rsid w:val="00C60704"/>
    <w:pPr>
      <w:spacing w:after="220"/>
      <w:ind w:left="-720"/>
    </w:pPr>
  </w:style>
  <w:style w:type="paragraph" w:styleId="Title">
    <w:name w:val="Title"/>
    <w:basedOn w:val="Normal"/>
    <w:next w:val="Subtitle"/>
    <w:qFormat/>
    <w:rsid w:val="00C60704"/>
    <w:pPr>
      <w:jc w:val="center"/>
    </w:pPr>
    <w:rPr>
      <w:b/>
    </w:rPr>
  </w:style>
  <w:style w:type="paragraph" w:styleId="Subtitle">
    <w:name w:val="Subtitle"/>
    <w:basedOn w:val="Heading"/>
    <w:next w:val="BodyText"/>
    <w:qFormat/>
    <w:rsid w:val="00C60704"/>
    <w:pPr>
      <w:jc w:val="center"/>
    </w:pPr>
    <w:rPr>
      <w:i/>
      <w:iCs/>
    </w:rPr>
  </w:style>
  <w:style w:type="paragraph" w:styleId="BalloonText">
    <w:name w:val="Balloon Text"/>
    <w:basedOn w:val="Normal"/>
    <w:rsid w:val="00C60704"/>
    <w:rPr>
      <w:rFonts w:ascii="Tahoma" w:hAnsi="Tahoma" w:cs="Tahoma"/>
      <w:sz w:val="16"/>
      <w:szCs w:val="16"/>
    </w:rPr>
  </w:style>
  <w:style w:type="paragraph" w:customStyle="1" w:styleId="TableContents">
    <w:name w:val="Table Contents"/>
    <w:basedOn w:val="Normal"/>
    <w:rsid w:val="00C60704"/>
    <w:pPr>
      <w:suppressLineNumbers/>
    </w:pPr>
  </w:style>
  <w:style w:type="paragraph" w:customStyle="1" w:styleId="TableHeading">
    <w:name w:val="Table Heading"/>
    <w:basedOn w:val="TableContents"/>
    <w:rsid w:val="00C60704"/>
    <w:pPr>
      <w:jc w:val="center"/>
    </w:pPr>
    <w:rPr>
      <w:b/>
      <w:bCs/>
    </w:rPr>
  </w:style>
  <w:style w:type="character" w:customStyle="1" w:styleId="ccbnttl">
    <w:name w:val="ccbnttl"/>
    <w:basedOn w:val="DefaultParagraphFont"/>
    <w:rsid w:val="00C60704"/>
  </w:style>
  <w:style w:type="character" w:customStyle="1" w:styleId="informationalsmall">
    <w:name w:val="informationalsmall"/>
    <w:basedOn w:val="DefaultParagraphFont"/>
    <w:rsid w:val="00C60704"/>
  </w:style>
  <w:style w:type="character" w:customStyle="1" w:styleId="FootnoteTextCharChar1">
    <w:name w:val="Footnote Text Char Char1"/>
    <w:aliases w:val="Footnote Text Char1 Char1 Char Char1,Footnote Text Char Char Char Char Char1,Footnote Text Char1 Char Char Char Char Char1,Footnote Text Char Char Char Char Char Char Char1,Footnote Text Char3 Char Char Char Char Char Char Char1"/>
    <w:locked/>
    <w:rsid w:val="00C60704"/>
    <w:rPr>
      <w:rFonts w:eastAsia="SimSun"/>
      <w:kern w:val="28"/>
      <w:lang w:val="en-US" w:eastAsia="zh-CN" w:bidi="ar-SA"/>
    </w:rPr>
  </w:style>
  <w:style w:type="paragraph" w:styleId="ListParagraph">
    <w:name w:val="List Paragraph"/>
    <w:basedOn w:val="Normal"/>
    <w:qFormat/>
    <w:rsid w:val="00C60704"/>
    <w:pPr>
      <w:autoSpaceDE w:val="0"/>
      <w:autoSpaceDN w:val="0"/>
      <w:adjustRightInd w:val="0"/>
      <w:ind w:left="720"/>
      <w:contextualSpacing/>
    </w:pPr>
    <w:rPr>
      <w:rFonts w:eastAsia="SimSun"/>
      <w:szCs w:val="22"/>
      <w:lang w:eastAsia="zh-CN"/>
    </w:rPr>
  </w:style>
  <w:style w:type="paragraph" w:customStyle="1" w:styleId="SingleSpace">
    <w:name w:val="Single Space"/>
    <w:basedOn w:val="Normal"/>
    <w:rsid w:val="00C60704"/>
    <w:rPr>
      <w:rFonts w:eastAsia="Calibri"/>
      <w:sz w:val="24"/>
      <w:szCs w:val="24"/>
    </w:rPr>
  </w:style>
  <w:style w:type="paragraph" w:styleId="ListBullet2">
    <w:name w:val="List Bullet 2"/>
    <w:basedOn w:val="Normal"/>
    <w:autoRedefine/>
    <w:semiHidden/>
    <w:rsid w:val="00C60704"/>
    <w:pPr>
      <w:numPr>
        <w:numId w:val="9"/>
      </w:numPr>
      <w:spacing w:line="480" w:lineRule="auto"/>
      <w:ind w:hanging="720"/>
    </w:pPr>
    <w:rPr>
      <w:sz w:val="24"/>
      <w:szCs w:val="24"/>
    </w:rPr>
  </w:style>
  <w:style w:type="character" w:customStyle="1" w:styleId="FindingNumberedParaChar">
    <w:name w:val="Finding Numbered Para Char"/>
    <w:locked/>
    <w:rsid w:val="00C60704"/>
    <w:rPr>
      <w:rFonts w:cs="Times New Roman"/>
      <w:sz w:val="24"/>
      <w:szCs w:val="24"/>
      <w:lang w:val="en-US" w:eastAsia="en-US" w:bidi="ar-SA"/>
    </w:rPr>
  </w:style>
  <w:style w:type="character" w:customStyle="1" w:styleId="Heading3Char">
    <w:name w:val="Heading 3 Char"/>
    <w:link w:val="Heading3"/>
    <w:rsid w:val="00481292"/>
    <w:rPr>
      <w:b/>
      <w:snapToGrid w:val="0"/>
      <w:kern w:val="28"/>
      <w:sz w:val="22"/>
    </w:rPr>
  </w:style>
  <w:style w:type="character" w:customStyle="1" w:styleId="Heading1Char">
    <w:name w:val="Heading 1 Char"/>
    <w:link w:val="Heading1"/>
    <w:rsid w:val="00A12982"/>
    <w:rPr>
      <w:rFonts w:ascii="Times New Roman Bold" w:hAnsi="Times New Roman Bold"/>
      <w:b/>
      <w:caps/>
      <w:snapToGrid w:val="0"/>
      <w:kern w:val="28"/>
      <w:sz w:val="22"/>
    </w:rPr>
  </w:style>
  <w:style w:type="character" w:customStyle="1" w:styleId="ParaNumChar">
    <w:name w:val="ParaNum Char"/>
    <w:link w:val="ParaNum"/>
    <w:rsid w:val="00386CF1"/>
    <w:rPr>
      <w:snapToGrid w:val="0"/>
      <w:kern w:val="28"/>
      <w:sz w:val="22"/>
    </w:rPr>
  </w:style>
  <w:style w:type="table" w:styleId="TableGrid">
    <w:name w:val="Table Grid"/>
    <w:basedOn w:val="TableNormal"/>
    <w:uiPriority w:val="59"/>
    <w:rsid w:val="004F60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3FC5"/>
    <w:rPr>
      <w:color w:val="800080"/>
      <w:u w:val="single"/>
    </w:rPr>
  </w:style>
  <w:style w:type="character" w:styleId="CommentReference">
    <w:name w:val="annotation reference"/>
    <w:rsid w:val="00430A67"/>
    <w:rPr>
      <w:sz w:val="16"/>
      <w:szCs w:val="16"/>
    </w:rPr>
  </w:style>
  <w:style w:type="paragraph" w:styleId="CommentText">
    <w:name w:val="annotation text"/>
    <w:basedOn w:val="Normal"/>
    <w:link w:val="CommentTextChar"/>
    <w:rsid w:val="00430A67"/>
    <w:rPr>
      <w:sz w:val="20"/>
    </w:rPr>
  </w:style>
  <w:style w:type="character" w:customStyle="1" w:styleId="CommentTextChar">
    <w:name w:val="Comment Text Char"/>
    <w:link w:val="CommentText"/>
    <w:rsid w:val="00430A67"/>
    <w:rPr>
      <w:lang w:eastAsia="ar-SA"/>
    </w:rPr>
  </w:style>
  <w:style w:type="paragraph" w:styleId="CommentSubject">
    <w:name w:val="annotation subject"/>
    <w:basedOn w:val="CommentText"/>
    <w:next w:val="CommentText"/>
    <w:link w:val="CommentSubjectChar"/>
    <w:rsid w:val="00430A67"/>
    <w:rPr>
      <w:b/>
      <w:bCs/>
    </w:rPr>
  </w:style>
  <w:style w:type="character" w:customStyle="1" w:styleId="CommentSubjectChar">
    <w:name w:val="Comment Subject Char"/>
    <w:link w:val="CommentSubject"/>
    <w:rsid w:val="00430A67"/>
    <w:rPr>
      <w:b/>
      <w:bCs/>
      <w:lang w:eastAsia="ar-SA"/>
    </w:rPr>
  </w:style>
  <w:style w:type="character" w:customStyle="1" w:styleId="FooterChar">
    <w:name w:val="Footer Char"/>
    <w:basedOn w:val="DefaultParagraphFont"/>
    <w:link w:val="Footer"/>
    <w:rsid w:val="008C2F9D"/>
    <w:rPr>
      <w:snapToGrid w:val="0"/>
      <w:kern w:val="28"/>
      <w:sz w:val="22"/>
    </w:rPr>
  </w:style>
  <w:style w:type="table" w:customStyle="1" w:styleId="TableGrid1">
    <w:name w:val="Table Grid1"/>
    <w:basedOn w:val="TableNormal"/>
    <w:next w:val="TableGrid"/>
    <w:uiPriority w:val="59"/>
    <w:rsid w:val="003A0CB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F63"/>
    <w:pPr>
      <w:widowControl w:val="0"/>
    </w:pPr>
    <w:rPr>
      <w:snapToGrid w:val="0"/>
      <w:kern w:val="28"/>
      <w:sz w:val="22"/>
    </w:rPr>
  </w:style>
  <w:style w:type="paragraph" w:styleId="Heading1">
    <w:name w:val="heading 1"/>
    <w:basedOn w:val="Normal"/>
    <w:next w:val="ParaNum"/>
    <w:link w:val="Heading1Char"/>
    <w:qFormat/>
    <w:rsid w:val="00BB1F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1F63"/>
    <w:pPr>
      <w:keepNext/>
      <w:numPr>
        <w:ilvl w:val="1"/>
        <w:numId w:val="3"/>
      </w:numPr>
      <w:spacing w:after="120"/>
      <w:outlineLvl w:val="1"/>
    </w:pPr>
    <w:rPr>
      <w:b/>
    </w:rPr>
  </w:style>
  <w:style w:type="paragraph" w:styleId="Heading3">
    <w:name w:val="heading 3"/>
    <w:basedOn w:val="Normal"/>
    <w:next w:val="ParaNum"/>
    <w:link w:val="Heading3Char"/>
    <w:qFormat/>
    <w:rsid w:val="00BB1F63"/>
    <w:pPr>
      <w:keepNext/>
      <w:numPr>
        <w:ilvl w:val="2"/>
        <w:numId w:val="3"/>
      </w:numPr>
      <w:tabs>
        <w:tab w:val="left" w:pos="2160"/>
      </w:tabs>
      <w:spacing w:after="120"/>
      <w:outlineLvl w:val="2"/>
    </w:pPr>
    <w:rPr>
      <w:b/>
    </w:rPr>
  </w:style>
  <w:style w:type="paragraph" w:styleId="Heading4">
    <w:name w:val="heading 4"/>
    <w:basedOn w:val="Normal"/>
    <w:next w:val="ParaNum"/>
    <w:qFormat/>
    <w:rsid w:val="00BB1F63"/>
    <w:pPr>
      <w:keepNext/>
      <w:numPr>
        <w:ilvl w:val="3"/>
        <w:numId w:val="3"/>
      </w:numPr>
      <w:tabs>
        <w:tab w:val="left" w:pos="2880"/>
      </w:tabs>
      <w:spacing w:after="120"/>
      <w:outlineLvl w:val="3"/>
    </w:pPr>
    <w:rPr>
      <w:b/>
    </w:rPr>
  </w:style>
  <w:style w:type="paragraph" w:styleId="Heading5">
    <w:name w:val="heading 5"/>
    <w:basedOn w:val="Normal"/>
    <w:next w:val="ParaNum"/>
    <w:qFormat/>
    <w:rsid w:val="00BB1F6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1F63"/>
    <w:pPr>
      <w:numPr>
        <w:ilvl w:val="5"/>
        <w:numId w:val="3"/>
      </w:numPr>
      <w:tabs>
        <w:tab w:val="left" w:pos="4320"/>
      </w:tabs>
      <w:spacing w:after="120"/>
      <w:outlineLvl w:val="5"/>
    </w:pPr>
    <w:rPr>
      <w:b/>
    </w:rPr>
  </w:style>
  <w:style w:type="paragraph" w:styleId="Heading7">
    <w:name w:val="heading 7"/>
    <w:basedOn w:val="Normal"/>
    <w:next w:val="ParaNum"/>
    <w:qFormat/>
    <w:rsid w:val="00BB1F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1F6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1F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1F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F63"/>
  </w:style>
  <w:style w:type="paragraph" w:customStyle="1" w:styleId="ParaNum">
    <w:name w:val="ParaNum"/>
    <w:basedOn w:val="Normal"/>
    <w:link w:val="ParaNumChar"/>
    <w:rsid w:val="00BB1F63"/>
    <w:pPr>
      <w:numPr>
        <w:numId w:val="2"/>
      </w:numPr>
      <w:tabs>
        <w:tab w:val="clear" w:pos="1080"/>
        <w:tab w:val="num" w:pos="1440"/>
      </w:tabs>
      <w:spacing w:after="120"/>
    </w:pPr>
  </w:style>
  <w:style w:type="paragraph" w:styleId="EndnoteText">
    <w:name w:val="endnote text"/>
    <w:basedOn w:val="Normal"/>
    <w:semiHidden/>
    <w:rsid w:val="00BB1F63"/>
    <w:rPr>
      <w:sz w:val="20"/>
    </w:rPr>
  </w:style>
  <w:style w:type="character" w:styleId="EndnoteReference">
    <w:name w:val="endnote reference"/>
    <w:semiHidden/>
    <w:rsid w:val="00BB1F63"/>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2"/>
    <w:link w:val="FootnoteTextChar1"/>
    <w:rsid w:val="00BB1F63"/>
    <w:pPr>
      <w:spacing w:after="120"/>
    </w:pPr>
  </w:style>
  <w:style w:type="character" w:styleId="FootnoteReference">
    <w:name w:val="footnote reference"/>
    <w:aliases w:val="Style 12,(NECG) Footnote Reference,o,fr,Style 3,Appel note de bas de p,Style 124,Style 13,FR,Style 17,Style 6,Footnote Reference/"/>
    <w:rsid w:val="00BB1F63"/>
    <w:rPr>
      <w:rFonts w:ascii="Times New Roman" w:hAnsi="Times New Roman"/>
      <w:dstrike w:val="0"/>
      <w:color w:val="auto"/>
      <w:sz w:val="20"/>
      <w:vertAlign w:val="superscript"/>
    </w:rPr>
  </w:style>
  <w:style w:type="paragraph" w:styleId="TOC1">
    <w:name w:val="toc 1"/>
    <w:basedOn w:val="Normal"/>
    <w:next w:val="Normal"/>
    <w:semiHidden/>
    <w:rsid w:val="00BB1F6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1F63"/>
    <w:pPr>
      <w:tabs>
        <w:tab w:val="left" w:pos="720"/>
        <w:tab w:val="right" w:leader="dot" w:pos="9360"/>
      </w:tabs>
      <w:suppressAutoHyphens/>
      <w:ind w:left="720" w:right="720" w:hanging="360"/>
    </w:pPr>
    <w:rPr>
      <w:noProof/>
    </w:rPr>
  </w:style>
  <w:style w:type="paragraph" w:styleId="TOC3">
    <w:name w:val="toc 3"/>
    <w:basedOn w:val="Normal"/>
    <w:next w:val="Normal"/>
    <w:semiHidden/>
    <w:rsid w:val="00BB1F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1F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1F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1F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1F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1F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1F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1F63"/>
    <w:pPr>
      <w:tabs>
        <w:tab w:val="right" w:pos="9360"/>
      </w:tabs>
      <w:suppressAutoHyphens/>
    </w:pPr>
  </w:style>
  <w:style w:type="character" w:customStyle="1" w:styleId="EquationCaption">
    <w:name w:val="_Equation Caption"/>
    <w:rsid w:val="00BB1F63"/>
  </w:style>
  <w:style w:type="paragraph" w:styleId="Header">
    <w:name w:val="header"/>
    <w:basedOn w:val="Normal"/>
    <w:autoRedefine/>
    <w:rsid w:val="00BB1F63"/>
    <w:pPr>
      <w:tabs>
        <w:tab w:val="center" w:pos="4680"/>
        <w:tab w:val="right" w:pos="9360"/>
      </w:tabs>
    </w:pPr>
    <w:rPr>
      <w:b/>
    </w:rPr>
  </w:style>
  <w:style w:type="paragraph" w:styleId="Footer">
    <w:name w:val="footer"/>
    <w:basedOn w:val="Normal"/>
    <w:link w:val="FooterChar"/>
    <w:rsid w:val="00BB1F63"/>
    <w:pPr>
      <w:tabs>
        <w:tab w:val="center" w:pos="4320"/>
        <w:tab w:val="right" w:pos="8640"/>
      </w:tabs>
    </w:pPr>
  </w:style>
  <w:style w:type="character" w:styleId="PageNumber">
    <w:name w:val="page number"/>
    <w:basedOn w:val="DefaultParagraphFont"/>
    <w:rsid w:val="00BB1F63"/>
  </w:style>
  <w:style w:type="paragraph" w:styleId="BlockText">
    <w:name w:val="Block Text"/>
    <w:basedOn w:val="Normal"/>
    <w:rsid w:val="00BB1F63"/>
    <w:pPr>
      <w:spacing w:after="240"/>
      <w:ind w:left="1440" w:right="1440"/>
    </w:pPr>
  </w:style>
  <w:style w:type="paragraph" w:customStyle="1" w:styleId="Paratitle">
    <w:name w:val="Para title"/>
    <w:basedOn w:val="Normal"/>
    <w:rsid w:val="00BB1F63"/>
    <w:pPr>
      <w:tabs>
        <w:tab w:val="center" w:pos="9270"/>
      </w:tabs>
      <w:spacing w:after="240"/>
    </w:pPr>
    <w:rPr>
      <w:spacing w:val="-2"/>
    </w:rPr>
  </w:style>
  <w:style w:type="paragraph" w:customStyle="1" w:styleId="Bullet">
    <w:name w:val="Bullet"/>
    <w:basedOn w:val="Normal"/>
    <w:rsid w:val="00BB1F63"/>
    <w:pPr>
      <w:tabs>
        <w:tab w:val="left" w:pos="2160"/>
      </w:tabs>
      <w:spacing w:after="220"/>
      <w:ind w:left="2160" w:hanging="720"/>
    </w:pPr>
  </w:style>
  <w:style w:type="paragraph" w:customStyle="1" w:styleId="TableFormat">
    <w:name w:val="TableFormat"/>
    <w:basedOn w:val="Bullet"/>
    <w:rsid w:val="00BB1F63"/>
    <w:pPr>
      <w:tabs>
        <w:tab w:val="clear" w:pos="2160"/>
        <w:tab w:val="left" w:pos="5040"/>
      </w:tabs>
      <w:ind w:left="5040" w:hanging="3600"/>
    </w:pPr>
  </w:style>
  <w:style w:type="paragraph" w:customStyle="1" w:styleId="TOCTitle">
    <w:name w:val="TOC Title"/>
    <w:basedOn w:val="Normal"/>
    <w:rsid w:val="00BB1F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1F63"/>
    <w:pPr>
      <w:jc w:val="center"/>
    </w:pPr>
    <w:rPr>
      <w:rFonts w:ascii="Times New Roman Bold" w:hAnsi="Times New Roman Bold"/>
      <w:b/>
      <w:bCs/>
      <w:caps/>
      <w:szCs w:val="22"/>
    </w:rPr>
  </w:style>
  <w:style w:type="character" w:styleId="Hyperlink">
    <w:name w:val="Hyperlink"/>
    <w:rsid w:val="00BB1F63"/>
    <w:rPr>
      <w:color w:val="0000FF"/>
      <w:u w:val="single"/>
    </w:rPr>
  </w:style>
  <w:style w:type="character" w:customStyle="1" w:styleId="WW8Num2z0">
    <w:name w:val="WW8Num2z0"/>
    <w:rsid w:val="00C60704"/>
    <w:rPr>
      <w:rFonts w:ascii="Symbol" w:hAnsi="Symbol"/>
    </w:rPr>
  </w:style>
  <w:style w:type="character" w:customStyle="1" w:styleId="WW8Num2z1">
    <w:name w:val="WW8Num2z1"/>
    <w:rsid w:val="00C60704"/>
    <w:rPr>
      <w:rFonts w:ascii="Courier New" w:hAnsi="Courier New" w:cs="Courier New"/>
    </w:rPr>
  </w:style>
  <w:style w:type="character" w:customStyle="1" w:styleId="WW8Num2z2">
    <w:name w:val="WW8Num2z2"/>
    <w:rsid w:val="00C60704"/>
    <w:rPr>
      <w:rFonts w:ascii="Wingdings" w:hAnsi="Wingdings"/>
    </w:rPr>
  </w:style>
  <w:style w:type="character" w:customStyle="1" w:styleId="WW8Num3z0">
    <w:name w:val="WW8Num3z0"/>
    <w:rsid w:val="00C60704"/>
    <w:rPr>
      <w:rFonts w:ascii="Symbol" w:hAnsi="Symbol"/>
    </w:rPr>
  </w:style>
  <w:style w:type="character" w:customStyle="1" w:styleId="WW8Num3z1">
    <w:name w:val="WW8Num3z1"/>
    <w:rsid w:val="00C60704"/>
    <w:rPr>
      <w:rFonts w:ascii="Courier New" w:hAnsi="Courier New" w:cs="Courier New"/>
    </w:rPr>
  </w:style>
  <w:style w:type="character" w:customStyle="1" w:styleId="WW8Num3z2">
    <w:name w:val="WW8Num3z2"/>
    <w:rsid w:val="00C60704"/>
    <w:rPr>
      <w:rFonts w:ascii="Wingdings" w:hAnsi="Wingdings"/>
    </w:rPr>
  </w:style>
  <w:style w:type="character" w:customStyle="1" w:styleId="WW8Num4z0">
    <w:name w:val="WW8Num4z0"/>
    <w:rsid w:val="00C60704"/>
    <w:rPr>
      <w:rFonts w:ascii="Times New Roman" w:hAnsi="Times New Roman"/>
      <w:b w:val="0"/>
      <w:i w:val="0"/>
      <w:caps w:val="0"/>
      <w:smallCaps w:val="0"/>
      <w:strike w:val="0"/>
      <w:dstrike w:val="0"/>
      <w:shadow w:val="0"/>
      <w:vanish w:val="0"/>
      <w:color w:val="auto"/>
      <w:position w:val="0"/>
      <w:sz w:val="22"/>
      <w:u w:val="none"/>
      <w:vertAlign w:val="baseline"/>
    </w:rPr>
  </w:style>
  <w:style w:type="character" w:customStyle="1" w:styleId="WW8Num5z0">
    <w:name w:val="WW8Num5z0"/>
    <w:rsid w:val="00C60704"/>
    <w:rPr>
      <w:rFonts w:ascii="Times New Roman" w:hAnsi="Times New Roman"/>
      <w:b w:val="0"/>
      <w:i w:val="0"/>
      <w:sz w:val="22"/>
      <w:u w:val="none"/>
    </w:rPr>
  </w:style>
  <w:style w:type="character" w:customStyle="1" w:styleId="WW8Num6z0">
    <w:name w:val="WW8Num6z0"/>
    <w:rsid w:val="00C60704"/>
    <w:rPr>
      <w:rFonts w:ascii="Times New Roman" w:hAnsi="Times New Roman"/>
      <w:b/>
      <w:i w:val="0"/>
      <w:caps w:val="0"/>
      <w:smallCaps w:val="0"/>
      <w:strike w:val="0"/>
      <w:dstrike w:val="0"/>
      <w:outline w:val="0"/>
      <w:shadow w:val="0"/>
      <w:vanish w:val="0"/>
      <w:position w:val="0"/>
      <w:sz w:val="22"/>
      <w:vertAlign w:val="baseline"/>
    </w:rPr>
  </w:style>
  <w:style w:type="character" w:customStyle="1" w:styleId="WW8Num6z1">
    <w:name w:val="WW8Num6z1"/>
    <w:rsid w:val="00C60704"/>
    <w:rPr>
      <w:b/>
    </w:rPr>
  </w:style>
  <w:style w:type="character" w:customStyle="1" w:styleId="WW8Num6z4">
    <w:name w:val="WW8Num6z4"/>
    <w:rsid w:val="00C60704"/>
    <w:rPr>
      <w:rFonts w:ascii="Tahoma" w:hAnsi="Tahoma"/>
      <w:b/>
      <w:i w:val="0"/>
      <w:caps w:val="0"/>
      <w:smallCaps w:val="0"/>
      <w:strike w:val="0"/>
      <w:dstrike w:val="0"/>
      <w:shadow w:val="0"/>
      <w:vanish w:val="0"/>
      <w:color w:val="auto"/>
      <w:position w:val="0"/>
      <w:sz w:val="22"/>
      <w:vertAlign w:val="baseline"/>
    </w:rPr>
  </w:style>
  <w:style w:type="character" w:customStyle="1" w:styleId="WW8Num6z8">
    <w:name w:val="WW8Num6z8"/>
    <w:rsid w:val="00C60704"/>
    <w:rPr>
      <w:b/>
      <w:i w:val="0"/>
      <w:sz w:val="22"/>
    </w:rPr>
  </w:style>
  <w:style w:type="character" w:customStyle="1" w:styleId="WW8Num7z0">
    <w:name w:val="WW8Num7z0"/>
    <w:rsid w:val="00C60704"/>
    <w:rPr>
      <w:rFonts w:ascii="Symbol" w:hAnsi="Symbol"/>
      <w:color w:val="auto"/>
    </w:rPr>
  </w:style>
  <w:style w:type="character" w:customStyle="1" w:styleId="WW8Num8z0">
    <w:name w:val="WW8Num8z0"/>
    <w:rsid w:val="00C60704"/>
    <w:rPr>
      <w:rFonts w:ascii="Symbol" w:hAnsi="Symbol"/>
    </w:rPr>
  </w:style>
  <w:style w:type="character" w:customStyle="1" w:styleId="WW8Num8z1">
    <w:name w:val="WW8Num8z1"/>
    <w:rsid w:val="00C60704"/>
    <w:rPr>
      <w:rFonts w:ascii="Courier New" w:hAnsi="Courier New" w:cs="Courier New"/>
    </w:rPr>
  </w:style>
  <w:style w:type="character" w:customStyle="1" w:styleId="WW8Num8z5">
    <w:name w:val="WW8Num8z5"/>
    <w:rsid w:val="00C60704"/>
    <w:rPr>
      <w:rFonts w:ascii="Wingdings" w:hAnsi="Wingdings"/>
    </w:rPr>
  </w:style>
  <w:style w:type="character" w:customStyle="1" w:styleId="FootnoteCharacters">
    <w:name w:val="Footnote Characters"/>
    <w:rsid w:val="00C60704"/>
    <w:rPr>
      <w:vertAlign w:val="superscript"/>
    </w:rPr>
  </w:style>
  <w:style w:type="character" w:customStyle="1" w:styleId="documentbody1">
    <w:name w:val="documentbody1"/>
    <w:rsid w:val="00C60704"/>
    <w:rPr>
      <w:rFonts w:ascii="Verdana" w:hAnsi="Verdana"/>
      <w:sz w:val="19"/>
      <w:szCs w:val="19"/>
      <w:shd w:val="clear" w:color="auto" w:fill="FFFFFF"/>
    </w:rPr>
  </w:style>
  <w:style w:type="character" w:customStyle="1" w:styleId="documentbody">
    <w:name w:val="documentbody"/>
    <w:basedOn w:val="DefaultParagraphFont"/>
    <w:rsid w:val="00C60704"/>
  </w:style>
  <w:style w:type="character" w:customStyle="1" w:styleId="titlenews">
    <w:name w:val="titlenews"/>
    <w:basedOn w:val="DefaultParagraphFont"/>
    <w:rsid w:val="00C60704"/>
  </w:style>
  <w:style w:type="character" w:customStyle="1" w:styleId="byline">
    <w:name w:val="byline"/>
    <w:basedOn w:val="DefaultParagraphFont"/>
    <w:rsid w:val="00C60704"/>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sid w:val="00C60704"/>
    <w:rPr>
      <w:lang w:val="en-US" w:eastAsia="ar-SA" w:bidi="ar-SA"/>
    </w:rPr>
  </w:style>
  <w:style w:type="character" w:customStyle="1" w:styleId="EndnoteCharacters">
    <w:name w:val="Endnote Characters"/>
    <w:rsid w:val="00C60704"/>
    <w:rPr>
      <w:vertAlign w:val="superscript"/>
    </w:rPr>
  </w:style>
  <w:style w:type="character" w:styleId="Strong">
    <w:name w:val="Strong"/>
    <w:qFormat/>
    <w:rsid w:val="00C60704"/>
    <w:rPr>
      <w:b/>
      <w:bCs/>
    </w:rPr>
  </w:style>
  <w:style w:type="paragraph" w:customStyle="1" w:styleId="Heading">
    <w:name w:val="Heading"/>
    <w:basedOn w:val="Normal"/>
    <w:next w:val="BodyText"/>
    <w:rsid w:val="00C60704"/>
    <w:pPr>
      <w:keepNext/>
      <w:spacing w:before="240" w:after="120"/>
    </w:pPr>
    <w:rPr>
      <w:rFonts w:ascii="Arial" w:eastAsia="MS Mincho" w:hAnsi="Arial" w:cs="Tahoma"/>
      <w:sz w:val="28"/>
      <w:szCs w:val="28"/>
    </w:rPr>
  </w:style>
  <w:style w:type="paragraph" w:styleId="BodyText">
    <w:name w:val="Body Text"/>
    <w:basedOn w:val="Normal"/>
    <w:rsid w:val="00C60704"/>
    <w:pPr>
      <w:spacing w:after="120"/>
    </w:pPr>
  </w:style>
  <w:style w:type="paragraph" w:styleId="List">
    <w:name w:val="List"/>
    <w:basedOn w:val="BodyText"/>
    <w:rsid w:val="00C60704"/>
    <w:rPr>
      <w:rFonts w:cs="Tahoma"/>
    </w:rPr>
  </w:style>
  <w:style w:type="paragraph" w:styleId="Caption">
    <w:name w:val="caption"/>
    <w:basedOn w:val="Normal"/>
    <w:next w:val="Normal"/>
    <w:qFormat/>
    <w:rsid w:val="00C60704"/>
    <w:pPr>
      <w:spacing w:before="120" w:after="120"/>
    </w:pPr>
    <w:rPr>
      <w:b/>
    </w:rPr>
  </w:style>
  <w:style w:type="paragraph" w:customStyle="1" w:styleId="Index">
    <w:name w:val="Index"/>
    <w:basedOn w:val="Normal"/>
    <w:rsid w:val="00C60704"/>
    <w:pPr>
      <w:suppressLineNumbers/>
    </w:pPr>
    <w:rPr>
      <w:rFonts w:cs="Tahoma"/>
    </w:rPr>
  </w:style>
  <w:style w:type="character" w:customStyle="1" w:styleId="FootnoteTextChar1">
    <w:name w:val="Footnote Text Char1"/>
    <w:aliases w:val="Footnote Text Char5 Char1,Footnote Text Char1 Char Char1,Footnote Text Char3 Char Char1 Char1,Footnote Text Char2 Char1 Char Char1 Char1,Footnote Text Char1 Char Char Char Char Char2,Footnote Text Char2 Char Char Char Char Char1 Char"/>
    <w:link w:val="FootnoteText"/>
    <w:rsid w:val="00C60704"/>
  </w:style>
  <w:style w:type="paragraph" w:customStyle="1" w:styleId="NumberedList">
    <w:name w:val="Numbered List"/>
    <w:basedOn w:val="Normal"/>
    <w:rsid w:val="00C60704"/>
    <w:pPr>
      <w:spacing w:after="220"/>
      <w:ind w:left="-720"/>
    </w:pPr>
  </w:style>
  <w:style w:type="paragraph" w:styleId="Title">
    <w:name w:val="Title"/>
    <w:basedOn w:val="Normal"/>
    <w:next w:val="Subtitle"/>
    <w:qFormat/>
    <w:rsid w:val="00C60704"/>
    <w:pPr>
      <w:jc w:val="center"/>
    </w:pPr>
    <w:rPr>
      <w:b/>
    </w:rPr>
  </w:style>
  <w:style w:type="paragraph" w:styleId="Subtitle">
    <w:name w:val="Subtitle"/>
    <w:basedOn w:val="Heading"/>
    <w:next w:val="BodyText"/>
    <w:qFormat/>
    <w:rsid w:val="00C60704"/>
    <w:pPr>
      <w:jc w:val="center"/>
    </w:pPr>
    <w:rPr>
      <w:i/>
      <w:iCs/>
    </w:rPr>
  </w:style>
  <w:style w:type="paragraph" w:styleId="BalloonText">
    <w:name w:val="Balloon Text"/>
    <w:basedOn w:val="Normal"/>
    <w:rsid w:val="00C60704"/>
    <w:rPr>
      <w:rFonts w:ascii="Tahoma" w:hAnsi="Tahoma" w:cs="Tahoma"/>
      <w:sz w:val="16"/>
      <w:szCs w:val="16"/>
    </w:rPr>
  </w:style>
  <w:style w:type="paragraph" w:customStyle="1" w:styleId="TableContents">
    <w:name w:val="Table Contents"/>
    <w:basedOn w:val="Normal"/>
    <w:rsid w:val="00C60704"/>
    <w:pPr>
      <w:suppressLineNumbers/>
    </w:pPr>
  </w:style>
  <w:style w:type="paragraph" w:customStyle="1" w:styleId="TableHeading">
    <w:name w:val="Table Heading"/>
    <w:basedOn w:val="TableContents"/>
    <w:rsid w:val="00C60704"/>
    <w:pPr>
      <w:jc w:val="center"/>
    </w:pPr>
    <w:rPr>
      <w:b/>
      <w:bCs/>
    </w:rPr>
  </w:style>
  <w:style w:type="character" w:customStyle="1" w:styleId="ccbnttl">
    <w:name w:val="ccbnttl"/>
    <w:basedOn w:val="DefaultParagraphFont"/>
    <w:rsid w:val="00C60704"/>
  </w:style>
  <w:style w:type="character" w:customStyle="1" w:styleId="informationalsmall">
    <w:name w:val="informationalsmall"/>
    <w:basedOn w:val="DefaultParagraphFont"/>
    <w:rsid w:val="00C60704"/>
  </w:style>
  <w:style w:type="character" w:customStyle="1" w:styleId="FootnoteTextCharChar1">
    <w:name w:val="Footnote Text Char Char1"/>
    <w:aliases w:val="Footnote Text Char1 Char1 Char Char1,Footnote Text Char Char Char Char Char1,Footnote Text Char1 Char Char Char Char Char1,Footnote Text Char Char Char Char Char Char Char1,Footnote Text Char3 Char Char Char Char Char Char Char1"/>
    <w:locked/>
    <w:rsid w:val="00C60704"/>
    <w:rPr>
      <w:rFonts w:eastAsia="SimSun"/>
      <w:kern w:val="28"/>
      <w:lang w:val="en-US" w:eastAsia="zh-CN" w:bidi="ar-SA"/>
    </w:rPr>
  </w:style>
  <w:style w:type="paragraph" w:styleId="ListParagraph">
    <w:name w:val="List Paragraph"/>
    <w:basedOn w:val="Normal"/>
    <w:qFormat/>
    <w:rsid w:val="00C60704"/>
    <w:pPr>
      <w:autoSpaceDE w:val="0"/>
      <w:autoSpaceDN w:val="0"/>
      <w:adjustRightInd w:val="0"/>
      <w:ind w:left="720"/>
      <w:contextualSpacing/>
    </w:pPr>
    <w:rPr>
      <w:rFonts w:eastAsia="SimSun"/>
      <w:szCs w:val="22"/>
      <w:lang w:eastAsia="zh-CN"/>
    </w:rPr>
  </w:style>
  <w:style w:type="paragraph" w:customStyle="1" w:styleId="SingleSpace">
    <w:name w:val="Single Space"/>
    <w:basedOn w:val="Normal"/>
    <w:rsid w:val="00C60704"/>
    <w:rPr>
      <w:rFonts w:eastAsia="Calibri"/>
      <w:sz w:val="24"/>
      <w:szCs w:val="24"/>
    </w:rPr>
  </w:style>
  <w:style w:type="paragraph" w:styleId="ListBullet2">
    <w:name w:val="List Bullet 2"/>
    <w:basedOn w:val="Normal"/>
    <w:autoRedefine/>
    <w:semiHidden/>
    <w:rsid w:val="00C60704"/>
    <w:pPr>
      <w:numPr>
        <w:numId w:val="9"/>
      </w:numPr>
      <w:spacing w:line="480" w:lineRule="auto"/>
      <w:ind w:hanging="720"/>
    </w:pPr>
    <w:rPr>
      <w:sz w:val="24"/>
      <w:szCs w:val="24"/>
    </w:rPr>
  </w:style>
  <w:style w:type="character" w:customStyle="1" w:styleId="FindingNumberedParaChar">
    <w:name w:val="Finding Numbered Para Char"/>
    <w:locked/>
    <w:rsid w:val="00C60704"/>
    <w:rPr>
      <w:rFonts w:cs="Times New Roman"/>
      <w:sz w:val="24"/>
      <w:szCs w:val="24"/>
      <w:lang w:val="en-US" w:eastAsia="en-US" w:bidi="ar-SA"/>
    </w:rPr>
  </w:style>
  <w:style w:type="character" w:customStyle="1" w:styleId="Heading3Char">
    <w:name w:val="Heading 3 Char"/>
    <w:link w:val="Heading3"/>
    <w:rsid w:val="00481292"/>
    <w:rPr>
      <w:b/>
      <w:snapToGrid w:val="0"/>
      <w:kern w:val="28"/>
      <w:sz w:val="22"/>
    </w:rPr>
  </w:style>
  <w:style w:type="character" w:customStyle="1" w:styleId="Heading1Char">
    <w:name w:val="Heading 1 Char"/>
    <w:link w:val="Heading1"/>
    <w:rsid w:val="00A12982"/>
    <w:rPr>
      <w:rFonts w:ascii="Times New Roman Bold" w:hAnsi="Times New Roman Bold"/>
      <w:b/>
      <w:caps/>
      <w:snapToGrid w:val="0"/>
      <w:kern w:val="28"/>
      <w:sz w:val="22"/>
    </w:rPr>
  </w:style>
  <w:style w:type="character" w:customStyle="1" w:styleId="ParaNumChar">
    <w:name w:val="ParaNum Char"/>
    <w:link w:val="ParaNum"/>
    <w:rsid w:val="00386CF1"/>
    <w:rPr>
      <w:snapToGrid w:val="0"/>
      <w:kern w:val="28"/>
      <w:sz w:val="22"/>
    </w:rPr>
  </w:style>
  <w:style w:type="table" w:styleId="TableGrid">
    <w:name w:val="Table Grid"/>
    <w:basedOn w:val="TableNormal"/>
    <w:uiPriority w:val="59"/>
    <w:rsid w:val="004F60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3FC5"/>
    <w:rPr>
      <w:color w:val="800080"/>
      <w:u w:val="single"/>
    </w:rPr>
  </w:style>
  <w:style w:type="character" w:styleId="CommentReference">
    <w:name w:val="annotation reference"/>
    <w:rsid w:val="00430A67"/>
    <w:rPr>
      <w:sz w:val="16"/>
      <w:szCs w:val="16"/>
    </w:rPr>
  </w:style>
  <w:style w:type="paragraph" w:styleId="CommentText">
    <w:name w:val="annotation text"/>
    <w:basedOn w:val="Normal"/>
    <w:link w:val="CommentTextChar"/>
    <w:rsid w:val="00430A67"/>
    <w:rPr>
      <w:sz w:val="20"/>
    </w:rPr>
  </w:style>
  <w:style w:type="character" w:customStyle="1" w:styleId="CommentTextChar">
    <w:name w:val="Comment Text Char"/>
    <w:link w:val="CommentText"/>
    <w:rsid w:val="00430A67"/>
    <w:rPr>
      <w:lang w:eastAsia="ar-SA"/>
    </w:rPr>
  </w:style>
  <w:style w:type="paragraph" w:styleId="CommentSubject">
    <w:name w:val="annotation subject"/>
    <w:basedOn w:val="CommentText"/>
    <w:next w:val="CommentText"/>
    <w:link w:val="CommentSubjectChar"/>
    <w:rsid w:val="00430A67"/>
    <w:rPr>
      <w:b/>
      <w:bCs/>
    </w:rPr>
  </w:style>
  <w:style w:type="character" w:customStyle="1" w:styleId="CommentSubjectChar">
    <w:name w:val="Comment Subject Char"/>
    <w:link w:val="CommentSubject"/>
    <w:rsid w:val="00430A67"/>
    <w:rPr>
      <w:b/>
      <w:bCs/>
      <w:lang w:eastAsia="ar-SA"/>
    </w:rPr>
  </w:style>
  <w:style w:type="character" w:customStyle="1" w:styleId="FooterChar">
    <w:name w:val="Footer Char"/>
    <w:basedOn w:val="DefaultParagraphFont"/>
    <w:link w:val="Footer"/>
    <w:rsid w:val="008C2F9D"/>
    <w:rPr>
      <w:snapToGrid w:val="0"/>
      <w:kern w:val="28"/>
      <w:sz w:val="22"/>
    </w:rPr>
  </w:style>
  <w:style w:type="table" w:customStyle="1" w:styleId="TableGrid1">
    <w:name w:val="Table Grid1"/>
    <w:basedOn w:val="TableNormal"/>
    <w:next w:val="TableGrid"/>
    <w:uiPriority w:val="59"/>
    <w:rsid w:val="003A0CB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0439">
      <w:bodyDiv w:val="1"/>
      <w:marLeft w:val="0"/>
      <w:marRight w:val="0"/>
      <w:marTop w:val="0"/>
      <w:marBottom w:val="0"/>
      <w:divBdr>
        <w:top w:val="none" w:sz="0" w:space="0" w:color="auto"/>
        <w:left w:val="none" w:sz="0" w:space="0" w:color="auto"/>
        <w:bottom w:val="none" w:sz="0" w:space="0" w:color="auto"/>
        <w:right w:val="none" w:sz="0" w:space="0" w:color="auto"/>
      </w:divBdr>
    </w:div>
    <w:div w:id="374890162">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sChild>
        <w:div w:id="1355616706">
          <w:marLeft w:val="0"/>
          <w:marRight w:val="0"/>
          <w:marTop w:val="0"/>
          <w:marBottom w:val="0"/>
          <w:divBdr>
            <w:top w:val="none" w:sz="0" w:space="0" w:color="auto"/>
            <w:left w:val="none" w:sz="0" w:space="0" w:color="auto"/>
            <w:bottom w:val="none" w:sz="0" w:space="0" w:color="auto"/>
            <w:right w:val="none" w:sz="0" w:space="0" w:color="auto"/>
          </w:divBdr>
          <w:divsChild>
            <w:div w:id="20900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11">
      <w:bodyDiv w:val="1"/>
      <w:marLeft w:val="0"/>
      <w:marRight w:val="0"/>
      <w:marTop w:val="0"/>
      <w:marBottom w:val="0"/>
      <w:divBdr>
        <w:top w:val="none" w:sz="0" w:space="0" w:color="auto"/>
        <w:left w:val="none" w:sz="0" w:space="0" w:color="auto"/>
        <w:bottom w:val="none" w:sz="0" w:space="0" w:color="auto"/>
        <w:right w:val="none" w:sz="0" w:space="0" w:color="auto"/>
      </w:divBdr>
    </w:div>
    <w:div w:id="20630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8255</Words>
  <Characters>44666</Characters>
  <Application>Microsoft Office Word</Application>
  <DocSecurity>0</DocSecurity>
  <Lines>862</Lines>
  <Paragraphs>363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52863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2013-11-25T21:28:00Z</cp:lastPrinted>
  <dcterms:created xsi:type="dcterms:W3CDTF">2014-07-17T21:25:00Z</dcterms:created>
  <dcterms:modified xsi:type="dcterms:W3CDTF">2014-07-17T21:25:00Z</dcterms:modified>
  <cp:category> </cp:category>
  <cp:contentStatus> </cp:contentStatus>
</cp:coreProperties>
</file>