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B" w:rsidRDefault="00384C0B" w:rsidP="00384C0B">
      <w:pPr>
        <w:jc w:val="center"/>
        <w:outlineLvl w:val="0"/>
        <w:rPr>
          <w:b/>
          <w:szCs w:val="22"/>
        </w:rPr>
      </w:pPr>
      <w:bookmarkStart w:id="0" w:name="_GoBack"/>
      <w:bookmarkEnd w:id="0"/>
      <w:r>
        <w:rPr>
          <w:b/>
          <w:szCs w:val="22"/>
        </w:rPr>
        <w:t>Before the</w:t>
      </w:r>
    </w:p>
    <w:p w:rsidR="00384C0B" w:rsidRDefault="00384C0B" w:rsidP="00384C0B">
      <w:pPr>
        <w:jc w:val="center"/>
        <w:outlineLvl w:val="0"/>
        <w:rPr>
          <w:b/>
          <w:szCs w:val="22"/>
        </w:rPr>
      </w:pPr>
      <w:r>
        <w:rPr>
          <w:b/>
          <w:szCs w:val="22"/>
        </w:rPr>
        <w:t>Federal Communications Commission</w:t>
      </w:r>
    </w:p>
    <w:p w:rsidR="00384C0B" w:rsidRDefault="00384C0B" w:rsidP="00384C0B">
      <w:pPr>
        <w:jc w:val="center"/>
        <w:outlineLvl w:val="0"/>
        <w:rPr>
          <w:b/>
          <w:szCs w:val="22"/>
        </w:rPr>
      </w:pPr>
      <w:r>
        <w:rPr>
          <w:b/>
          <w:szCs w:val="22"/>
        </w:rPr>
        <w:t>Washington, DC 20554</w:t>
      </w:r>
    </w:p>
    <w:p w:rsidR="00384C0B" w:rsidRDefault="00384C0B" w:rsidP="00384C0B">
      <w:pPr>
        <w:rPr>
          <w:szCs w:val="22"/>
        </w:rPr>
      </w:pPr>
    </w:p>
    <w:p w:rsidR="00384C0B" w:rsidRDefault="00384C0B" w:rsidP="00384C0B">
      <w:pPr>
        <w:rPr>
          <w:szCs w:val="22"/>
        </w:rPr>
      </w:pPr>
    </w:p>
    <w:tbl>
      <w:tblPr>
        <w:tblW w:w="9648" w:type="dxa"/>
        <w:tblLayout w:type="fixed"/>
        <w:tblLook w:val="0000" w:firstRow="0" w:lastRow="0" w:firstColumn="0" w:lastColumn="0" w:noHBand="0" w:noVBand="0"/>
      </w:tblPr>
      <w:tblGrid>
        <w:gridCol w:w="4698"/>
        <w:gridCol w:w="720"/>
        <w:gridCol w:w="4230"/>
      </w:tblGrid>
      <w:tr w:rsidR="00384C0B" w:rsidTr="00076EBB">
        <w:tc>
          <w:tcPr>
            <w:tcW w:w="4698" w:type="dxa"/>
          </w:tcPr>
          <w:p w:rsidR="00384C0B" w:rsidRDefault="00384C0B" w:rsidP="00076EBB">
            <w:pPr>
              <w:ind w:right="-18"/>
              <w:rPr>
                <w:szCs w:val="22"/>
              </w:rPr>
            </w:pPr>
            <w:r>
              <w:rPr>
                <w:szCs w:val="22"/>
              </w:rPr>
              <w:t xml:space="preserve">In the Matter of </w:t>
            </w:r>
          </w:p>
          <w:p w:rsidR="00384C0B" w:rsidRDefault="00384C0B" w:rsidP="00076EBB">
            <w:pPr>
              <w:ind w:right="-18"/>
              <w:rPr>
                <w:szCs w:val="22"/>
              </w:rPr>
            </w:pPr>
          </w:p>
          <w:p w:rsidR="00384C0B" w:rsidRDefault="00384C0B" w:rsidP="00076EBB">
            <w:pPr>
              <w:ind w:right="-18"/>
              <w:rPr>
                <w:szCs w:val="22"/>
              </w:rPr>
            </w:pPr>
            <w:r>
              <w:rPr>
                <w:szCs w:val="22"/>
              </w:rPr>
              <w:t>WARREN C. HAVENS</w:t>
            </w:r>
          </w:p>
          <w:p w:rsidR="00384C0B" w:rsidRDefault="00384C0B" w:rsidP="00076EBB">
            <w:pPr>
              <w:ind w:right="-18"/>
              <w:rPr>
                <w:szCs w:val="22"/>
              </w:rPr>
            </w:pPr>
          </w:p>
          <w:p w:rsidR="00384C0B" w:rsidRDefault="00384C0B" w:rsidP="00076EBB">
            <w:pPr>
              <w:ind w:right="-18"/>
              <w:rPr>
                <w:szCs w:val="22"/>
              </w:rPr>
            </w:pPr>
            <w:r>
              <w:rPr>
                <w:szCs w:val="22"/>
              </w:rPr>
              <w:t>Applications to Provide Automated Maritime</w:t>
            </w:r>
          </w:p>
          <w:p w:rsidR="00384C0B" w:rsidRDefault="00384C0B" w:rsidP="00076EBB">
            <w:pPr>
              <w:ind w:right="-18"/>
              <w:rPr>
                <w:szCs w:val="22"/>
              </w:rPr>
            </w:pPr>
            <w:r>
              <w:rPr>
                <w:szCs w:val="22"/>
              </w:rPr>
              <w:t>Telecommunications System Stations at Various</w:t>
            </w:r>
          </w:p>
          <w:p w:rsidR="00384C0B" w:rsidRDefault="00384C0B" w:rsidP="00076EBB">
            <w:pPr>
              <w:ind w:right="-18"/>
              <w:rPr>
                <w:szCs w:val="22"/>
              </w:rPr>
            </w:pPr>
            <w:r>
              <w:rPr>
                <w:szCs w:val="22"/>
              </w:rPr>
              <w:t>Locations in Texas, and</w:t>
            </w:r>
          </w:p>
          <w:p w:rsidR="00384C0B" w:rsidRDefault="00384C0B" w:rsidP="00076EBB">
            <w:pPr>
              <w:ind w:right="-18"/>
              <w:rPr>
                <w:szCs w:val="22"/>
              </w:rPr>
            </w:pPr>
          </w:p>
          <w:p w:rsidR="00384C0B" w:rsidRDefault="00384C0B" w:rsidP="00076EBB">
            <w:pPr>
              <w:ind w:right="-18"/>
              <w:rPr>
                <w:szCs w:val="22"/>
              </w:rPr>
            </w:pPr>
            <w:r>
              <w:rPr>
                <w:szCs w:val="22"/>
              </w:rPr>
              <w:t>Applications to Provide Automated Maritime</w:t>
            </w:r>
          </w:p>
          <w:p w:rsidR="00384C0B" w:rsidRDefault="00384C0B" w:rsidP="00076EBB">
            <w:pPr>
              <w:ind w:right="-18"/>
              <w:rPr>
                <w:szCs w:val="22"/>
              </w:rPr>
            </w:pPr>
            <w:r>
              <w:rPr>
                <w:szCs w:val="22"/>
              </w:rPr>
              <w:t>Telecommunications System Stations at Chaffee,</w:t>
            </w:r>
          </w:p>
          <w:p w:rsidR="00384C0B" w:rsidRDefault="00384C0B" w:rsidP="00076EBB">
            <w:pPr>
              <w:ind w:right="-18"/>
              <w:rPr>
                <w:szCs w:val="22"/>
              </w:rPr>
            </w:pPr>
            <w:r>
              <w:rPr>
                <w:szCs w:val="22"/>
              </w:rPr>
              <w:t>Aspen, Colorado Springs, Copper Mountain, and</w:t>
            </w:r>
          </w:p>
          <w:p w:rsidR="00384C0B" w:rsidRDefault="00384C0B" w:rsidP="00076EBB">
            <w:pPr>
              <w:ind w:right="-18"/>
              <w:rPr>
                <w:szCs w:val="22"/>
              </w:rPr>
            </w:pPr>
            <w:r>
              <w:rPr>
                <w:szCs w:val="22"/>
              </w:rPr>
              <w:t>Leadville, Colorado</w:t>
            </w:r>
          </w:p>
        </w:tc>
        <w:tc>
          <w:tcPr>
            <w:tcW w:w="720" w:type="dxa"/>
          </w:tcPr>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Pr="006D284F" w:rsidRDefault="00384C0B" w:rsidP="00076EBB">
            <w:pPr>
              <w:rPr>
                <w:b/>
                <w:szCs w:val="22"/>
              </w:rPr>
            </w:pPr>
            <w:r w:rsidRPr="006D284F">
              <w:rPr>
                <w:b/>
                <w:szCs w:val="22"/>
              </w:rPr>
              <w:t>)</w:t>
            </w:r>
          </w:p>
          <w:p w:rsidR="00384C0B" w:rsidRDefault="00384C0B" w:rsidP="00076EBB">
            <w:pPr>
              <w:rPr>
                <w:szCs w:val="22"/>
              </w:rPr>
            </w:pPr>
          </w:p>
        </w:tc>
        <w:tc>
          <w:tcPr>
            <w:tcW w:w="4230" w:type="dxa"/>
          </w:tcPr>
          <w:p w:rsidR="00384C0B" w:rsidRDefault="00384C0B" w:rsidP="00076EBB">
            <w:pPr>
              <w:rPr>
                <w:szCs w:val="22"/>
              </w:rPr>
            </w:pPr>
          </w:p>
          <w:p w:rsidR="00384C0B" w:rsidRDefault="00384C0B" w:rsidP="00076EBB">
            <w:pPr>
              <w:rPr>
                <w:spacing w:val="-2"/>
                <w:szCs w:val="22"/>
              </w:rPr>
            </w:pPr>
          </w:p>
          <w:p w:rsidR="00384C0B" w:rsidRDefault="00384C0B" w:rsidP="00076EBB">
            <w:pPr>
              <w:rPr>
                <w:szCs w:val="22"/>
              </w:rPr>
            </w:pPr>
          </w:p>
          <w:p w:rsidR="00384C0B" w:rsidRDefault="00384C0B" w:rsidP="00076EBB">
            <w:pPr>
              <w:rPr>
                <w:szCs w:val="22"/>
              </w:rPr>
            </w:pPr>
          </w:p>
          <w:p w:rsidR="00384C0B" w:rsidRDefault="00384C0B" w:rsidP="00076EBB">
            <w:pPr>
              <w:rPr>
                <w:szCs w:val="22"/>
              </w:rPr>
            </w:pPr>
            <w:r>
              <w:rPr>
                <w:szCs w:val="22"/>
              </w:rPr>
              <w:t>File Nos. 852997-853009</w:t>
            </w:r>
          </w:p>
          <w:p w:rsidR="00384C0B" w:rsidRDefault="00384C0B" w:rsidP="00076EBB">
            <w:pPr>
              <w:rPr>
                <w:szCs w:val="22"/>
              </w:rPr>
            </w:pPr>
          </w:p>
          <w:p w:rsidR="00384C0B" w:rsidRDefault="00384C0B" w:rsidP="00076EBB">
            <w:pPr>
              <w:rPr>
                <w:szCs w:val="22"/>
              </w:rPr>
            </w:pPr>
          </w:p>
          <w:p w:rsidR="00384C0B" w:rsidRDefault="00384C0B" w:rsidP="00076EBB">
            <w:pPr>
              <w:rPr>
                <w:spacing w:val="-2"/>
                <w:szCs w:val="22"/>
              </w:rPr>
            </w:pPr>
          </w:p>
          <w:p w:rsidR="00384C0B" w:rsidRDefault="00384C0B" w:rsidP="00076EBB">
            <w:pPr>
              <w:rPr>
                <w:szCs w:val="22"/>
              </w:rPr>
            </w:pPr>
            <w:r>
              <w:rPr>
                <w:spacing w:val="-2"/>
                <w:szCs w:val="22"/>
              </w:rPr>
              <w:t>File Nos. 853010-853014</w:t>
            </w:r>
          </w:p>
          <w:p w:rsidR="00384C0B" w:rsidRDefault="00384C0B" w:rsidP="00076EBB">
            <w:pPr>
              <w:rPr>
                <w:szCs w:val="22"/>
              </w:rPr>
            </w:pPr>
          </w:p>
        </w:tc>
      </w:tr>
    </w:tbl>
    <w:p w:rsidR="00384C0B" w:rsidRDefault="00384C0B" w:rsidP="00384C0B">
      <w:pPr>
        <w:rPr>
          <w:szCs w:val="22"/>
        </w:rPr>
      </w:pPr>
    </w:p>
    <w:p w:rsidR="00384C0B" w:rsidRDefault="00384C0B" w:rsidP="00384C0B">
      <w:pPr>
        <w:spacing w:before="120"/>
        <w:jc w:val="center"/>
        <w:outlineLvl w:val="0"/>
        <w:rPr>
          <w:b/>
          <w:szCs w:val="22"/>
        </w:rPr>
      </w:pPr>
      <w:r>
        <w:rPr>
          <w:b/>
          <w:szCs w:val="22"/>
        </w:rPr>
        <w:t>MEMORANDUM OPINION AND ORDER</w:t>
      </w:r>
    </w:p>
    <w:p w:rsidR="00384C0B" w:rsidRDefault="00384C0B" w:rsidP="00384C0B">
      <w:pPr>
        <w:rPr>
          <w:szCs w:val="22"/>
        </w:rPr>
      </w:pPr>
    </w:p>
    <w:p w:rsidR="007A5D50" w:rsidRDefault="007A5D50" w:rsidP="007A5D50">
      <w:pPr>
        <w:tabs>
          <w:tab w:val="left" w:pos="720"/>
          <w:tab w:val="right" w:pos="9360"/>
        </w:tabs>
        <w:suppressAutoHyphens/>
        <w:spacing w:line="227" w:lineRule="auto"/>
        <w:rPr>
          <w:spacing w:val="-2"/>
        </w:rPr>
      </w:pPr>
      <w:r>
        <w:rPr>
          <w:b/>
          <w:spacing w:val="-2"/>
        </w:rPr>
        <w:t>Adopted:  June 6, 2014</w:t>
      </w:r>
      <w:r>
        <w:rPr>
          <w:b/>
          <w:spacing w:val="-2"/>
        </w:rPr>
        <w:tab/>
        <w:t xml:space="preserve">Released:  </w:t>
      </w:r>
      <w:r w:rsidRPr="009F524E">
        <w:rPr>
          <w:b/>
          <w:spacing w:val="-2"/>
        </w:rPr>
        <w:t>June 9, 2014</w:t>
      </w:r>
    </w:p>
    <w:p w:rsidR="00384C0B" w:rsidRDefault="00384C0B" w:rsidP="00384C0B">
      <w:pPr>
        <w:rPr>
          <w:b/>
          <w:szCs w:val="22"/>
        </w:rPr>
      </w:pPr>
    </w:p>
    <w:p w:rsidR="00384C0B" w:rsidRDefault="00384C0B" w:rsidP="00384C0B">
      <w:pPr>
        <w:rPr>
          <w:szCs w:val="22"/>
        </w:rPr>
      </w:pPr>
      <w:r>
        <w:rPr>
          <w:szCs w:val="22"/>
        </w:rPr>
        <w:t>By the Commission:</w:t>
      </w:r>
    </w:p>
    <w:p w:rsidR="00384C0B" w:rsidRDefault="00384C0B" w:rsidP="00384C0B">
      <w:pPr>
        <w:rPr>
          <w:szCs w:val="22"/>
        </w:rPr>
      </w:pPr>
    </w:p>
    <w:p w:rsidR="00384C0B" w:rsidRPr="00E213C4" w:rsidRDefault="00384C0B" w:rsidP="00C57CED">
      <w:pPr>
        <w:pStyle w:val="Heading1"/>
      </w:pPr>
      <w:r>
        <w:t>INTRODUCTION</w:t>
      </w:r>
    </w:p>
    <w:p w:rsidR="00384C0B" w:rsidRDefault="00384C0B" w:rsidP="00384C0B">
      <w:r>
        <w:t xml:space="preserve"> </w:t>
      </w:r>
    </w:p>
    <w:p w:rsidR="00725D66" w:rsidRPr="009E7E24" w:rsidRDefault="00384C0B" w:rsidP="007503DA">
      <w:pPr>
        <w:pStyle w:val="ParaNum"/>
        <w:rPr>
          <w:szCs w:val="22"/>
        </w:rPr>
      </w:pPr>
      <w:r>
        <w:t>In 2012, the Commission sanctioned Warren C. Havens for having abused the Commission’s processes by filing frivolous and repetitive pleadings involving certain license applications for Automated Maritime Telecommunications System (AMTS) stations.</w:t>
      </w:r>
      <w:r>
        <w:rPr>
          <w:rStyle w:val="FootnoteReference"/>
        </w:rPr>
        <w:footnoteReference w:id="2"/>
      </w:r>
      <w:r>
        <w:t xml:space="preserve">  Specifically, the</w:t>
      </w:r>
      <w:r w:rsidR="00575F22">
        <w:t xml:space="preserve"> Commission </w:t>
      </w:r>
      <w:r>
        <w:t>directed Havens to seek and obtain prior approval from the Wireless Telecommunications Bureau (Bureau) before filing any further pleadings in connection with the specified AMTS license applications.</w:t>
      </w:r>
      <w:r>
        <w:rPr>
          <w:rStyle w:val="FootnoteReference"/>
        </w:rPr>
        <w:footnoteReference w:id="3"/>
      </w:r>
      <w:r w:rsidR="007B5371">
        <w:t xml:space="preserve">  Havens repeatedly</w:t>
      </w:r>
      <w:r w:rsidR="009F2088">
        <w:t xml:space="preserve"> has</w:t>
      </w:r>
      <w:r w:rsidR="00932789">
        <w:t xml:space="preserve"> filed administrative</w:t>
      </w:r>
      <w:r w:rsidR="007B5371">
        <w:t xml:space="preserve"> challenge</w:t>
      </w:r>
      <w:r w:rsidR="00932789">
        <w:t>s</w:t>
      </w:r>
      <w:r w:rsidR="007B5371">
        <w:t xml:space="preserve"> </w:t>
      </w:r>
      <w:r w:rsidR="00932789">
        <w:t xml:space="preserve">to </w:t>
      </w:r>
      <w:r w:rsidR="007B5371">
        <w:t>that sanction.</w:t>
      </w:r>
      <w:r w:rsidR="00B9356A">
        <w:t xml:space="preserve">  In this latest </w:t>
      </w:r>
      <w:r w:rsidR="0057770E">
        <w:t>attempt</w:t>
      </w:r>
      <w:r w:rsidR="00B9356A">
        <w:t>,</w:t>
      </w:r>
      <w:r w:rsidR="003B1344">
        <w:rPr>
          <w:rStyle w:val="FootnoteReference"/>
        </w:rPr>
        <w:footnoteReference w:id="4"/>
      </w:r>
      <w:r w:rsidR="00B9356A">
        <w:t xml:space="preserve"> he </w:t>
      </w:r>
      <w:r w:rsidR="008C5994">
        <w:t>challenges</w:t>
      </w:r>
      <w:r w:rsidR="00B9356A">
        <w:t xml:space="preserve"> a </w:t>
      </w:r>
      <w:r w:rsidR="00932789">
        <w:t xml:space="preserve">Commission-level </w:t>
      </w:r>
      <w:r w:rsidR="00B9356A">
        <w:t>decision</w:t>
      </w:r>
      <w:r w:rsidR="00D91A63">
        <w:t xml:space="preserve"> issued on November 26, 2013,</w:t>
      </w:r>
      <w:r w:rsidR="0031255A">
        <w:t xml:space="preserve"> </w:t>
      </w:r>
      <w:r w:rsidR="00402DBE">
        <w:t>that upholds</w:t>
      </w:r>
      <w:r w:rsidR="0031255A">
        <w:t xml:space="preserve"> the sanction</w:t>
      </w:r>
      <w:r w:rsidR="00B9356A">
        <w:t xml:space="preserve"> </w:t>
      </w:r>
      <w:r w:rsidR="0031255A">
        <w:t>(</w:t>
      </w:r>
      <w:r w:rsidR="0031255A">
        <w:rPr>
          <w:i/>
        </w:rPr>
        <w:t>Commission Review Order</w:t>
      </w:r>
      <w:r w:rsidR="0031255A">
        <w:t>)</w:t>
      </w:r>
      <w:r w:rsidR="00D91A63">
        <w:t>.</w:t>
      </w:r>
      <w:r w:rsidR="0031255A">
        <w:rPr>
          <w:rStyle w:val="FootnoteReference"/>
        </w:rPr>
        <w:footnoteReference w:id="5"/>
      </w:r>
    </w:p>
    <w:p w:rsidR="006A15E5" w:rsidRDefault="006A15E5">
      <w:pPr>
        <w:widowControl/>
        <w:rPr>
          <w:rFonts w:ascii="Times New Roman Bold" w:hAnsi="Times New Roman Bold"/>
          <w:b/>
          <w:caps/>
        </w:rPr>
      </w:pPr>
      <w:r>
        <w:br w:type="page"/>
      </w:r>
    </w:p>
    <w:p w:rsidR="009E7E24" w:rsidRPr="009E7E24" w:rsidRDefault="009E7E24" w:rsidP="009E7E24">
      <w:pPr>
        <w:pStyle w:val="Heading1"/>
      </w:pPr>
      <w:r>
        <w:lastRenderedPageBreak/>
        <w:t>BACKGROUND</w:t>
      </w:r>
    </w:p>
    <w:p w:rsidR="00725D66" w:rsidRPr="00725D66" w:rsidRDefault="00725D66" w:rsidP="007503DA">
      <w:pPr>
        <w:pStyle w:val="ParaNum"/>
        <w:rPr>
          <w:szCs w:val="22"/>
        </w:rPr>
      </w:pPr>
      <w:r>
        <w:t xml:space="preserve">In </w:t>
      </w:r>
      <w:r w:rsidR="009E7E24">
        <w:t xml:space="preserve">the </w:t>
      </w:r>
      <w:r w:rsidR="009E7E24">
        <w:rPr>
          <w:i/>
        </w:rPr>
        <w:t>Commission Review Order</w:t>
      </w:r>
      <w:r>
        <w:t xml:space="preserve">, we addressed a pleading </w:t>
      </w:r>
      <w:r w:rsidR="009E7E24">
        <w:t xml:space="preserve">that </w:t>
      </w:r>
      <w:r>
        <w:t xml:space="preserve">Havens filed in September 2012, which he initially </w:t>
      </w:r>
      <w:r w:rsidR="00925DB7">
        <w:t>designated</w:t>
      </w:r>
      <w:r>
        <w:t xml:space="preserve"> a “Petition for Reconsideration” </w:t>
      </w:r>
      <w:r w:rsidR="00925DB7">
        <w:t xml:space="preserve">of </w:t>
      </w:r>
      <w:r w:rsidR="00932789">
        <w:t>a staff-level order</w:t>
      </w:r>
      <w:r w:rsidR="009F2088">
        <w:rPr>
          <w:rStyle w:val="FootnoteReference"/>
        </w:rPr>
        <w:footnoteReference w:id="6"/>
      </w:r>
      <w:r w:rsidR="00932789">
        <w:t xml:space="preserve"> </w:t>
      </w:r>
      <w:r>
        <w:t>but</w:t>
      </w:r>
      <w:r w:rsidR="00925DB7">
        <w:t xml:space="preserve"> </w:t>
      </w:r>
      <w:r>
        <w:t>later sought to characterize</w:t>
      </w:r>
      <w:r w:rsidR="0099609B">
        <w:t>,</w:t>
      </w:r>
      <w:r w:rsidR="00A10D70">
        <w:t xml:space="preserve"> in the alternative, as</w:t>
      </w:r>
      <w:r>
        <w:t xml:space="preserve"> a “conditional” application for review.</w:t>
      </w:r>
      <w:r>
        <w:rPr>
          <w:rStyle w:val="FootnoteReference"/>
        </w:rPr>
        <w:footnoteReference w:id="7"/>
      </w:r>
      <w:r>
        <w:t xml:space="preserve">  Based </w:t>
      </w:r>
      <w:r w:rsidR="008C5994">
        <w:t xml:space="preserve">on the </w:t>
      </w:r>
      <w:r w:rsidR="00925DB7">
        <w:t xml:space="preserve">case’s </w:t>
      </w:r>
      <w:r w:rsidR="00932789">
        <w:t xml:space="preserve">protracted </w:t>
      </w:r>
      <w:r w:rsidR="008C5994">
        <w:t>procedural history and</w:t>
      </w:r>
      <w:r>
        <w:t xml:space="preserve"> our determination that the </w:t>
      </w:r>
      <w:r w:rsidR="0055166B">
        <w:t>public interest</w:t>
      </w:r>
      <w:r>
        <w:t xml:space="preserve"> favored</w:t>
      </w:r>
      <w:r w:rsidR="00925DB7">
        <w:t xml:space="preserve"> bringing the</w:t>
      </w:r>
      <w:r w:rsidR="00402DBE">
        <w:t>se</w:t>
      </w:r>
      <w:r w:rsidR="00925DB7">
        <w:t xml:space="preserve"> administrative proceedings to a close</w:t>
      </w:r>
      <w:r>
        <w:t xml:space="preserve">, we </w:t>
      </w:r>
      <w:r w:rsidR="00932789">
        <w:t xml:space="preserve">exercised our discretion </w:t>
      </w:r>
      <w:r>
        <w:t>to treat his pleading as an application for review</w:t>
      </w:r>
      <w:r w:rsidR="00CD58E8">
        <w:t>,</w:t>
      </w:r>
      <w:r>
        <w:rPr>
          <w:rStyle w:val="FootnoteReference"/>
        </w:rPr>
        <w:footnoteReference w:id="8"/>
      </w:r>
      <w:r w:rsidR="00CD58E8">
        <w:t xml:space="preserve"> which we</w:t>
      </w:r>
      <w:r w:rsidR="0099609B">
        <w:t xml:space="preserve"> </w:t>
      </w:r>
      <w:r w:rsidR="00CD58E8">
        <w:t>denied.</w:t>
      </w:r>
      <w:r w:rsidR="00CD58E8">
        <w:rPr>
          <w:rStyle w:val="FootnoteReference"/>
        </w:rPr>
        <w:footnoteReference w:id="9"/>
      </w:r>
    </w:p>
    <w:p w:rsidR="00384C0B" w:rsidRPr="00E213C4" w:rsidRDefault="0018681D" w:rsidP="00C57CED">
      <w:pPr>
        <w:pStyle w:val="Heading1"/>
        <w:rPr>
          <w:szCs w:val="22"/>
        </w:rPr>
      </w:pPr>
      <w:r>
        <w:t>discussion</w:t>
      </w:r>
    </w:p>
    <w:p w:rsidR="00BD7978" w:rsidRDefault="0099609B" w:rsidP="007503DA">
      <w:pPr>
        <w:pStyle w:val="ParaNum"/>
      </w:pPr>
      <w:r>
        <w:t>Havens frames his present challenge</w:t>
      </w:r>
      <w:r w:rsidR="008C5994">
        <w:t xml:space="preserve"> as a petition for reconsideration</w:t>
      </w:r>
      <w:r w:rsidR="00932789">
        <w:t xml:space="preserve"> of the </w:t>
      </w:r>
      <w:r w:rsidR="00932789" w:rsidRPr="00173EE7">
        <w:rPr>
          <w:i/>
        </w:rPr>
        <w:t>Commission Review Order</w:t>
      </w:r>
      <w:r>
        <w:t xml:space="preserve"> and a r</w:t>
      </w:r>
      <w:r w:rsidR="00173EE7">
        <w:t>equest for a declaratory ruling;</w:t>
      </w:r>
      <w:r w:rsidR="00925DB7">
        <w:rPr>
          <w:rStyle w:val="FootnoteReference"/>
        </w:rPr>
        <w:footnoteReference w:id="10"/>
      </w:r>
      <w:r w:rsidR="008C5994">
        <w:t xml:space="preserve"> in the alternative</w:t>
      </w:r>
      <w:r w:rsidR="00173EE7">
        <w:t>, he</w:t>
      </w:r>
      <w:r w:rsidR="008C5994">
        <w:t xml:space="preserve"> request</w:t>
      </w:r>
      <w:r w:rsidR="00173EE7">
        <w:t xml:space="preserve">s </w:t>
      </w:r>
      <w:r w:rsidR="008C5994">
        <w:t>informal Commission action under 47 C.F.R. § 1.4</w:t>
      </w:r>
      <w:r w:rsidR="00A10D70">
        <w:t>1</w:t>
      </w:r>
      <w:r>
        <w:t>.</w:t>
      </w:r>
      <w:r w:rsidR="00A10D70">
        <w:rPr>
          <w:rStyle w:val="FootnoteReference"/>
        </w:rPr>
        <w:footnoteReference w:id="11"/>
      </w:r>
      <w:r>
        <w:t xml:space="preserve">  </w:t>
      </w:r>
    </w:p>
    <w:p w:rsidR="00FC4984" w:rsidRPr="00FC4984" w:rsidRDefault="00BD7978" w:rsidP="0006122A">
      <w:pPr>
        <w:pStyle w:val="ParaNum"/>
        <w:widowControl/>
      </w:pPr>
      <w:r>
        <w:t>Haven</w:t>
      </w:r>
      <w:r w:rsidR="00D94614">
        <w:t>s</w:t>
      </w:r>
      <w:r>
        <w:t>’</w:t>
      </w:r>
      <w:r w:rsidR="00D94614">
        <w:t xml:space="preserve"> </w:t>
      </w:r>
      <w:r w:rsidR="00F12C65">
        <w:t>pleading is</w:t>
      </w:r>
      <w:r>
        <w:t xml:space="preserve"> </w:t>
      </w:r>
      <w:r w:rsidR="00F12C65">
        <w:t xml:space="preserve">not a model of clarity.  Based on the lone reference he includes to any specific portion of the </w:t>
      </w:r>
      <w:r w:rsidR="00F12C65" w:rsidRPr="00D94614">
        <w:rPr>
          <w:i/>
        </w:rPr>
        <w:t>Commission Review Order</w:t>
      </w:r>
      <w:r w:rsidR="00F12C65">
        <w:t>,</w:t>
      </w:r>
      <w:r w:rsidR="00F12C65">
        <w:rPr>
          <w:rStyle w:val="FootnoteReference"/>
        </w:rPr>
        <w:footnoteReference w:id="12"/>
      </w:r>
      <w:r w:rsidR="00F12C65">
        <w:t xml:space="preserve"> one could reasonably take the view that his only objection to the </w:t>
      </w:r>
      <w:r w:rsidR="007D7FA3">
        <w:rPr>
          <w:i/>
        </w:rPr>
        <w:t>Commission Review Order</w:t>
      </w:r>
      <w:r w:rsidR="00F12C65">
        <w:t xml:space="preserve"> is that we did not</w:t>
      </w:r>
      <w:r w:rsidR="007D7FA3">
        <w:t xml:space="preserve"> there</w:t>
      </w:r>
      <w:r w:rsidR="00F12C65">
        <w:t xml:space="preserve"> reach two particular arguments raised in his September 2012 pleading that go to the merits of his underlying license applications.</w:t>
      </w:r>
      <w:r w:rsidR="00F12C65">
        <w:rPr>
          <w:rStyle w:val="FootnoteReference"/>
        </w:rPr>
        <w:footnoteReference w:id="13"/>
      </w:r>
      <w:r w:rsidR="004F299A">
        <w:t xml:space="preserve">  Under that view, his pleading would be subject to the Commission’s prior approval sanction, requiring him to obtain</w:t>
      </w:r>
      <w:r>
        <w:t xml:space="preserve"> the</w:t>
      </w:r>
      <w:r w:rsidR="004F299A">
        <w:t xml:space="preserve"> agency</w:t>
      </w:r>
      <w:r>
        <w:t>’s</w:t>
      </w:r>
      <w:r w:rsidR="004F299A">
        <w:t xml:space="preserve"> permission to file.</w:t>
      </w:r>
      <w:r w:rsidR="004F299A">
        <w:rPr>
          <w:rStyle w:val="FootnoteReference"/>
        </w:rPr>
        <w:footnoteReference w:id="14"/>
      </w:r>
      <w:r w:rsidR="004F299A">
        <w:t xml:space="preserve"> </w:t>
      </w:r>
      <w:r w:rsidR="00F12C65">
        <w:t xml:space="preserve"> </w:t>
      </w:r>
      <w:r w:rsidR="00177313">
        <w:t>Alternatively, however</w:t>
      </w:r>
      <w:r>
        <w:t>—</w:t>
      </w:r>
      <w:r w:rsidR="00177313">
        <w:t>g</w:t>
      </w:r>
      <w:r w:rsidR="00D94614">
        <w:t xml:space="preserve">iving Havens the benefit of the most liberal possible </w:t>
      </w:r>
      <w:r w:rsidR="004D2AFB">
        <w:t>treatment</w:t>
      </w:r>
      <w:r>
        <w:t>—</w:t>
      </w:r>
      <w:r w:rsidR="00177313">
        <w:t>one could</w:t>
      </w:r>
      <w:r w:rsidR="004F299A">
        <w:t xml:space="preserve"> </w:t>
      </w:r>
      <w:r w:rsidR="00177313">
        <w:t>construe</w:t>
      </w:r>
      <w:r w:rsidR="004F299A">
        <w:t xml:space="preserve"> </w:t>
      </w:r>
      <w:r>
        <w:t>his pleading</w:t>
      </w:r>
      <w:r w:rsidR="004F299A">
        <w:t xml:space="preserve"> to </w:t>
      </w:r>
      <w:r w:rsidR="00D94614">
        <w:t>raise</w:t>
      </w:r>
      <w:r w:rsidR="004F299A">
        <w:t xml:space="preserve"> a broader procedural challenge to the method by which </w:t>
      </w:r>
      <w:r w:rsidR="00177313">
        <w:t>we</w:t>
      </w:r>
      <w:r w:rsidR="004F299A">
        <w:t xml:space="preserve"> reached our decision in the </w:t>
      </w:r>
      <w:r w:rsidR="004F299A" w:rsidRPr="00D94614">
        <w:rPr>
          <w:i/>
        </w:rPr>
        <w:t xml:space="preserve">Commission Review Order </w:t>
      </w:r>
      <w:r w:rsidR="004F299A">
        <w:t>to uphold the prior approval sanction</w:t>
      </w:r>
      <w:r w:rsidR="00D94614">
        <w:t>:  At least arguably, one could interpret Havens to contend, on a general level, that the Commission should not have treated</w:t>
      </w:r>
      <w:r w:rsidR="004F299A">
        <w:t xml:space="preserve"> </w:t>
      </w:r>
      <w:r w:rsidR="00D94614">
        <w:t>his</w:t>
      </w:r>
      <w:r w:rsidR="00FC4984">
        <w:t xml:space="preserve"> September 2012 pleadin</w:t>
      </w:r>
      <w:r w:rsidR="00F9292D">
        <w:t>g as an application for review</w:t>
      </w:r>
      <w:r w:rsidR="00FC4984">
        <w:t xml:space="preserve"> </w:t>
      </w:r>
      <w:r w:rsidR="00EF1774">
        <w:t>(despite that he himself submitted an erratum characterizing th</w:t>
      </w:r>
      <w:r w:rsidR="00E15116">
        <w:t>at</w:t>
      </w:r>
      <w:r w:rsidR="00EF1774">
        <w:t xml:space="preserve"> pleading as a “conditional” application for review)</w:t>
      </w:r>
      <w:r w:rsidR="00EF1774">
        <w:rPr>
          <w:rStyle w:val="FootnoteReference"/>
        </w:rPr>
        <w:footnoteReference w:id="15"/>
      </w:r>
      <w:r w:rsidR="00EF1774">
        <w:t xml:space="preserve"> </w:t>
      </w:r>
      <w:r w:rsidR="00177313">
        <w:t xml:space="preserve">and </w:t>
      </w:r>
      <w:r w:rsidR="007D7FA3">
        <w:t>should instead</w:t>
      </w:r>
      <w:r w:rsidR="00177313">
        <w:t xml:space="preserve"> have allowed</w:t>
      </w:r>
      <w:r w:rsidR="00FC4984">
        <w:t xml:space="preserve"> the Bureau to address </w:t>
      </w:r>
      <w:r w:rsidR="00A10D70">
        <w:t>it</w:t>
      </w:r>
      <w:r w:rsidR="00FC4984">
        <w:t>.</w:t>
      </w:r>
      <w:r w:rsidR="00FC4984">
        <w:rPr>
          <w:rStyle w:val="FootnoteReference"/>
        </w:rPr>
        <w:footnoteReference w:id="16"/>
      </w:r>
      <w:r w:rsidR="00FC4984">
        <w:t xml:space="preserve">  </w:t>
      </w:r>
      <w:r w:rsidR="00D94614">
        <w:t>Under this</w:t>
      </w:r>
      <w:r w:rsidR="00177313">
        <w:t xml:space="preserve"> more</w:t>
      </w:r>
      <w:r w:rsidR="00D94614">
        <w:t xml:space="preserve"> liberal reading</w:t>
      </w:r>
      <w:r w:rsidR="00177313">
        <w:t xml:space="preserve"> of his pleading</w:t>
      </w:r>
      <w:r w:rsidR="00D94614">
        <w:t>,</w:t>
      </w:r>
      <w:r w:rsidR="00177313">
        <w:t xml:space="preserve"> Havens is challenging the sanction itself and need not obtain prior agency approval to do so.</w:t>
      </w:r>
      <w:r w:rsidR="00177313">
        <w:rPr>
          <w:rStyle w:val="FootnoteReference"/>
        </w:rPr>
        <w:footnoteReference w:id="17"/>
      </w:r>
      <w:r w:rsidR="00D94614">
        <w:t xml:space="preserve"> </w:t>
      </w:r>
    </w:p>
    <w:p w:rsidR="00177313" w:rsidRPr="004D2AFB" w:rsidRDefault="00BD7978" w:rsidP="007503DA">
      <w:pPr>
        <w:pStyle w:val="ParaNum"/>
        <w:rPr>
          <w:szCs w:val="22"/>
        </w:rPr>
      </w:pPr>
      <w:r>
        <w:rPr>
          <w:szCs w:val="22"/>
        </w:rPr>
        <w:lastRenderedPageBreak/>
        <w:t>Together</w:t>
      </w:r>
      <w:r w:rsidR="00177313">
        <w:rPr>
          <w:szCs w:val="22"/>
        </w:rPr>
        <w:t xml:space="preserve"> with his pleading</w:t>
      </w:r>
      <w:r>
        <w:rPr>
          <w:szCs w:val="22"/>
        </w:rPr>
        <w:t>, Havens has submitted</w:t>
      </w:r>
      <w:r w:rsidR="00177313">
        <w:rPr>
          <w:szCs w:val="22"/>
        </w:rPr>
        <w:t xml:space="preserve"> a r</w:t>
      </w:r>
      <w:r w:rsidR="007D7FA3">
        <w:rPr>
          <w:szCs w:val="22"/>
        </w:rPr>
        <w:t>equest for permission to file</w:t>
      </w:r>
      <w:r w:rsidR="00177313">
        <w:rPr>
          <w:szCs w:val="22"/>
        </w:rPr>
        <w:t xml:space="preserve">.  </w:t>
      </w:r>
      <w:r w:rsidR="00707693">
        <w:rPr>
          <w:szCs w:val="22"/>
        </w:rPr>
        <w:t xml:space="preserve">As we have explained, it </w:t>
      </w:r>
      <w:r w:rsidR="00177313">
        <w:rPr>
          <w:szCs w:val="22"/>
        </w:rPr>
        <w:t>would be well within the Commission’s discretion to construe his pleading as confined to the merits of his underlying license application</w:t>
      </w:r>
      <w:r w:rsidR="00707693">
        <w:rPr>
          <w:szCs w:val="22"/>
        </w:rPr>
        <w:t>s,</w:t>
      </w:r>
      <w:r w:rsidR="001B7516">
        <w:rPr>
          <w:szCs w:val="22"/>
        </w:rPr>
        <w:t xml:space="preserve"> in which case it would fall within the ambit of the “prior approval” sanction.</w:t>
      </w:r>
      <w:r w:rsidR="00707693">
        <w:rPr>
          <w:rStyle w:val="FootnoteReference"/>
          <w:szCs w:val="22"/>
        </w:rPr>
        <w:footnoteReference w:id="18"/>
      </w:r>
      <w:r w:rsidR="00707693">
        <w:rPr>
          <w:szCs w:val="22"/>
        </w:rPr>
        <w:t xml:space="preserve">  </w:t>
      </w:r>
      <w:r w:rsidR="001B7516">
        <w:rPr>
          <w:szCs w:val="22"/>
        </w:rPr>
        <w:t>Consistent</w:t>
      </w:r>
      <w:r w:rsidR="00707693">
        <w:rPr>
          <w:szCs w:val="22"/>
        </w:rPr>
        <w:t xml:space="preserve"> with the Commission’s effort at earlier stages of this proceeding</w:t>
      </w:r>
      <w:r w:rsidR="001B7516">
        <w:rPr>
          <w:szCs w:val="22"/>
        </w:rPr>
        <w:t>, however,</w:t>
      </w:r>
      <w:r w:rsidR="00707693">
        <w:rPr>
          <w:szCs w:val="22"/>
        </w:rPr>
        <w:t xml:space="preserve"> to </w:t>
      </w:r>
      <w:r>
        <w:rPr>
          <w:szCs w:val="22"/>
        </w:rPr>
        <w:t>afford</w:t>
      </w:r>
      <w:r w:rsidR="00707693">
        <w:rPr>
          <w:szCs w:val="22"/>
        </w:rPr>
        <w:t xml:space="preserve"> Havens ample opportunity to </w:t>
      </w:r>
      <w:r>
        <w:rPr>
          <w:szCs w:val="22"/>
        </w:rPr>
        <w:t>raise</w:t>
      </w:r>
      <w:r w:rsidR="00AC2F17">
        <w:rPr>
          <w:szCs w:val="22"/>
        </w:rPr>
        <w:t xml:space="preserve"> </w:t>
      </w:r>
      <w:r w:rsidR="00707693">
        <w:rPr>
          <w:szCs w:val="22"/>
        </w:rPr>
        <w:t xml:space="preserve">concerns </w:t>
      </w:r>
      <w:r w:rsidR="00AC2F17">
        <w:rPr>
          <w:szCs w:val="22"/>
        </w:rPr>
        <w:t>regarding</w:t>
      </w:r>
      <w:r w:rsidR="00707693">
        <w:rPr>
          <w:szCs w:val="22"/>
        </w:rPr>
        <w:t xml:space="preserve"> the sanction,</w:t>
      </w:r>
      <w:r w:rsidR="00AC2F17">
        <w:rPr>
          <w:rStyle w:val="FootnoteReference"/>
          <w:szCs w:val="22"/>
        </w:rPr>
        <w:footnoteReference w:id="19"/>
      </w:r>
      <w:r w:rsidR="00AC2F17">
        <w:rPr>
          <w:szCs w:val="22"/>
        </w:rPr>
        <w:t xml:space="preserve"> we exercise our discretion to construe his pleading liberally, interpreting it to challenge the procedural validity of our decision</w:t>
      </w:r>
      <w:r w:rsidR="001B7516">
        <w:rPr>
          <w:szCs w:val="22"/>
        </w:rPr>
        <w:t xml:space="preserve"> in the </w:t>
      </w:r>
      <w:r w:rsidR="001B7516">
        <w:rPr>
          <w:i/>
          <w:szCs w:val="22"/>
        </w:rPr>
        <w:t>Commission Review Order</w:t>
      </w:r>
      <w:r w:rsidR="00AC2F17">
        <w:rPr>
          <w:szCs w:val="22"/>
        </w:rPr>
        <w:t xml:space="preserve"> to treat his September 2012 pleading as an application for review.</w:t>
      </w:r>
      <w:r w:rsidR="001B7516">
        <w:rPr>
          <w:szCs w:val="22"/>
        </w:rPr>
        <w:t xml:space="preserve">  Accordingly, we dismiss as unnecessary Havens’ request for permission to file.</w:t>
      </w:r>
      <w:r w:rsidR="00F01BB5">
        <w:rPr>
          <w:rStyle w:val="FootnoteReference"/>
          <w:szCs w:val="22"/>
        </w:rPr>
        <w:footnoteReference w:id="20"/>
      </w:r>
      <w:r w:rsidR="001B7516">
        <w:rPr>
          <w:szCs w:val="22"/>
        </w:rPr>
        <w:t xml:space="preserve">  </w:t>
      </w:r>
    </w:p>
    <w:p w:rsidR="00925DB7" w:rsidRPr="00925DB7" w:rsidRDefault="00AC2F17" w:rsidP="0006122A">
      <w:pPr>
        <w:pStyle w:val="ParaNum"/>
        <w:widowControl/>
        <w:rPr>
          <w:szCs w:val="22"/>
        </w:rPr>
      </w:pPr>
      <w:r>
        <w:t xml:space="preserve">Even giving Havens the benefit of this very liberal </w:t>
      </w:r>
      <w:r w:rsidR="00BD7978">
        <w:t>treatment</w:t>
      </w:r>
      <w:r>
        <w:t>, none of his present assertions at all undermines our decision to treat his earlier pleading as an application for review.</w:t>
      </w:r>
      <w:r w:rsidR="0018681D">
        <w:rPr>
          <w:rStyle w:val="FootnoteReference"/>
        </w:rPr>
        <w:footnoteReference w:id="21"/>
      </w:r>
      <w:r w:rsidR="0018681D">
        <w:t xml:space="preserve">  In particular, we reject Havens’ contention that he was entitled to have the Bureau address arguments concerning the merits of his underlying AMTS license applications and the Commission’s refusal, years earlier, to entertain an untimely petition for reconsideration in his licensing proceeding.</w:t>
      </w:r>
      <w:r w:rsidR="0018681D">
        <w:rPr>
          <w:rStyle w:val="FootnoteReference"/>
        </w:rPr>
        <w:footnoteReference w:id="22"/>
      </w:r>
      <w:r w:rsidR="0018681D">
        <w:t xml:space="preserve">  Those arguments were beyond the scope of Havens’ challenge to the prior approval sanction</w:t>
      </w:r>
      <w:r w:rsidR="0055166B">
        <w:t>;</w:t>
      </w:r>
      <w:r w:rsidR="0018681D">
        <w:rPr>
          <w:rStyle w:val="FootnoteReference"/>
        </w:rPr>
        <w:footnoteReference w:id="23"/>
      </w:r>
      <w:r w:rsidR="0055166B">
        <w:t xml:space="preserve"> </w:t>
      </w:r>
      <w:r w:rsidR="0018681D">
        <w:t>the Bureau could not have reached them any more than the Commission.</w:t>
      </w:r>
      <w:r w:rsidR="0018681D">
        <w:rPr>
          <w:rStyle w:val="FootnoteReference"/>
        </w:rPr>
        <w:footnoteReference w:id="24"/>
      </w:r>
      <w:r w:rsidR="0055166B">
        <w:t xml:space="preserve">  </w:t>
      </w:r>
      <w:r w:rsidR="00D71D6F">
        <w:t>More</w:t>
      </w:r>
      <w:r w:rsidR="00925DB7">
        <w:t>over—</w:t>
      </w:r>
      <w:r w:rsidR="00D71D6F">
        <w:t>and fundamentally</w:t>
      </w:r>
      <w:r w:rsidR="00925DB7">
        <w:t>—a party’s decision to direct its</w:t>
      </w:r>
      <w:r w:rsidR="00D71D6F">
        <w:t xml:space="preserve"> pleading to a</w:t>
      </w:r>
      <w:r w:rsidR="00925DB7">
        <w:t xml:space="preserve"> particular</w:t>
      </w:r>
      <w:r w:rsidR="00D71D6F">
        <w:t xml:space="preserve"> bureau or office, as Havens claims to have done here,</w:t>
      </w:r>
      <w:r w:rsidR="00D71D6F">
        <w:rPr>
          <w:rStyle w:val="FootnoteReference"/>
        </w:rPr>
        <w:footnoteReference w:id="25"/>
      </w:r>
      <w:r w:rsidR="00D71D6F">
        <w:t xml:space="preserve"> </w:t>
      </w:r>
      <w:r w:rsidR="005A4CAF">
        <w:lastRenderedPageBreak/>
        <w:t>cannot foreclose the Commission from exercising its discretion to decide the matter itself.</w:t>
      </w:r>
      <w:r w:rsidR="005A4CAF">
        <w:rPr>
          <w:rStyle w:val="FootnoteReference"/>
        </w:rPr>
        <w:footnoteReference w:id="26"/>
      </w:r>
      <w:r w:rsidR="005A4CAF">
        <w:t xml:space="preserve">  </w:t>
      </w:r>
      <w:r w:rsidR="0055166B">
        <w:t xml:space="preserve">Accordingly, we deny Havens’ petition for </w:t>
      </w:r>
      <w:r w:rsidR="0055166B" w:rsidRPr="009E4D6F">
        <w:t>reconsideration and his request for a declaratory ruling.</w:t>
      </w:r>
      <w:r w:rsidR="0063125E">
        <w:rPr>
          <w:rStyle w:val="FootnoteReference"/>
        </w:rPr>
        <w:footnoteReference w:id="27"/>
      </w:r>
      <w:r w:rsidR="0055166B" w:rsidRPr="009E4D6F">
        <w:t xml:space="preserve">  </w:t>
      </w:r>
    </w:p>
    <w:p w:rsidR="0018681D" w:rsidRPr="0099609B" w:rsidRDefault="00A035FC" w:rsidP="007503DA">
      <w:pPr>
        <w:pStyle w:val="ParaNum"/>
        <w:rPr>
          <w:szCs w:val="22"/>
        </w:rPr>
      </w:pPr>
      <w:r w:rsidRPr="009E4D6F">
        <w:t>Having</w:t>
      </w:r>
      <w:r>
        <w:t xml:space="preserve"> considered and rejected </w:t>
      </w:r>
      <w:r w:rsidR="00402DBE">
        <w:t xml:space="preserve">on the merits </w:t>
      </w:r>
      <w:r>
        <w:t xml:space="preserve">Havens’ petition for reconsideration </w:t>
      </w:r>
      <w:r w:rsidR="00925DB7">
        <w:t xml:space="preserve">and request for a declaratory </w:t>
      </w:r>
      <w:r w:rsidR="00402DBE">
        <w:t>ruling</w:t>
      </w:r>
      <w:r>
        <w:t>, we</w:t>
      </w:r>
      <w:r w:rsidR="00402DBE">
        <w:t xml:space="preserve"> </w:t>
      </w:r>
      <w:r>
        <w:t>dismiss his</w:t>
      </w:r>
      <w:r w:rsidR="00925DB7">
        <w:t xml:space="preserve"> alternative</w:t>
      </w:r>
      <w:r>
        <w:t xml:space="preserve"> informal request for Commission action.</w:t>
      </w:r>
      <w:r>
        <w:rPr>
          <w:rStyle w:val="FootnoteReference"/>
        </w:rPr>
        <w:footnoteReference w:id="28"/>
      </w:r>
      <w:r w:rsidR="001A64E9">
        <w:t xml:space="preserve">  In addition, we a</w:t>
      </w:r>
      <w:r w:rsidR="00C20513">
        <w:t>dvise</w:t>
      </w:r>
      <w:r w:rsidR="00915C1A">
        <w:t xml:space="preserve"> Havens that although </w:t>
      </w:r>
      <w:r w:rsidR="001A64E9">
        <w:t>we have here construed his pleading liberally</w:t>
      </w:r>
      <w:r w:rsidR="00C20513">
        <w:t>,</w:t>
      </w:r>
      <w:r w:rsidR="00967A02">
        <w:rPr>
          <w:rStyle w:val="FootnoteReference"/>
        </w:rPr>
        <w:footnoteReference w:id="29"/>
      </w:r>
      <w:r w:rsidR="00D86400">
        <w:t xml:space="preserve"> </w:t>
      </w:r>
      <w:r w:rsidR="00967A02">
        <w:t xml:space="preserve">he should not expect further administrative review </w:t>
      </w:r>
      <w:r w:rsidR="001B7516">
        <w:t>of the sanction</w:t>
      </w:r>
      <w:r w:rsidR="00967A02">
        <w:t>.</w:t>
      </w:r>
      <w:r w:rsidR="00651340">
        <w:t xml:space="preserve">  Like the underlying licensing proceeding</w:t>
      </w:r>
      <w:r w:rsidR="00D86400">
        <w:t xml:space="preserve"> itself,</w:t>
      </w:r>
      <w:r w:rsidR="001B7516">
        <w:rPr>
          <w:rStyle w:val="FootnoteReference"/>
        </w:rPr>
        <w:footnoteReference w:id="30"/>
      </w:r>
      <w:r w:rsidR="00D86400">
        <w:t xml:space="preserve"> the Commission’</w:t>
      </w:r>
      <w:r w:rsidR="00CC1FD7">
        <w:t>s sanction</w:t>
      </w:r>
      <w:r w:rsidR="00D86400">
        <w:t xml:space="preserve"> proceeding is now terminated.</w:t>
      </w:r>
    </w:p>
    <w:p w:rsidR="00384C0B" w:rsidRPr="00D769C0" w:rsidRDefault="00384C0B" w:rsidP="00C57CED">
      <w:pPr>
        <w:pStyle w:val="Heading1"/>
        <w:rPr>
          <w:szCs w:val="22"/>
        </w:rPr>
      </w:pPr>
      <w:r>
        <w:t>ORDERING CLAUSES</w:t>
      </w:r>
    </w:p>
    <w:p w:rsidR="00384C0B" w:rsidRPr="00BD4D06" w:rsidRDefault="00384C0B" w:rsidP="007503DA">
      <w:pPr>
        <w:pStyle w:val="ParaNum"/>
        <w:rPr>
          <w:szCs w:val="22"/>
        </w:rPr>
      </w:pPr>
      <w:r>
        <w:t xml:space="preserve">Accordingly, </w:t>
      </w:r>
      <w:r w:rsidRPr="0034459B">
        <w:rPr>
          <w:b/>
        </w:rPr>
        <w:t>IT IS ORDERED</w:t>
      </w:r>
      <w:r w:rsidR="00BD4D06">
        <w:t xml:space="preserve">, pursuant to Section 4(i) </w:t>
      </w:r>
      <w:r>
        <w:t>of the Communications Act of 1934, as amen</w:t>
      </w:r>
      <w:r w:rsidR="00BD4D06">
        <w:t>ded, 47 U.S.C. § 154(i)</w:t>
      </w:r>
      <w:r>
        <w:t>, and Section 1.</w:t>
      </w:r>
      <w:r w:rsidR="005A0A76">
        <w:t>106</w:t>
      </w:r>
      <w:r>
        <w:t xml:space="preserve"> of the Commissi</w:t>
      </w:r>
      <w:r w:rsidR="005A0A76">
        <w:t>on’s rules, 47 C.F.R. § 1.106</w:t>
      </w:r>
      <w:r>
        <w:t xml:space="preserve">, that the </w:t>
      </w:r>
      <w:r w:rsidR="005A0A76">
        <w:t xml:space="preserve">December 26, 2013, petition for </w:t>
      </w:r>
      <w:r w:rsidR="00A10D70">
        <w:t>reconsideration</w:t>
      </w:r>
      <w:r>
        <w:t xml:space="preserve"> of </w:t>
      </w:r>
      <w:r w:rsidRPr="0034459B">
        <w:rPr>
          <w:color w:val="000000"/>
          <w:szCs w:val="22"/>
        </w:rPr>
        <w:t xml:space="preserve">Warren C. Havens in the above-captioned matter </w:t>
      </w:r>
      <w:r>
        <w:t xml:space="preserve">is </w:t>
      </w:r>
      <w:r w:rsidRPr="0034459B">
        <w:rPr>
          <w:b/>
        </w:rPr>
        <w:t>DENIED</w:t>
      </w:r>
      <w:r>
        <w:t>.</w:t>
      </w:r>
    </w:p>
    <w:p w:rsidR="00BD4D06" w:rsidRDefault="00BD4D06" w:rsidP="007503DA">
      <w:pPr>
        <w:pStyle w:val="ParaNum"/>
        <w:rPr>
          <w:szCs w:val="22"/>
        </w:rPr>
      </w:pPr>
      <w:r>
        <w:rPr>
          <w:b/>
        </w:rPr>
        <w:t>IT IS FURTHER ORDER ORDERED</w:t>
      </w:r>
      <w:r>
        <w:t>, pursuant to Section 4(i) of the Communications Act of 1934, as amended, 47 U.S.C. § </w:t>
      </w:r>
      <w:r w:rsidRPr="009E4D6F">
        <w:t xml:space="preserve">154(i); </w:t>
      </w:r>
      <w:r w:rsidR="00B47ECC" w:rsidRPr="009E4D6F">
        <w:t>Section 554(e) of</w:t>
      </w:r>
      <w:r w:rsidR="00B47ECC">
        <w:t xml:space="preserve"> the Administrative Procedure Act, 5 U.S.C. § 554(e)</w:t>
      </w:r>
      <w:r>
        <w:t xml:space="preserve">; and Section 1.2 of the Commission’s rules, 47 C.F.R. § 1.2, that Warren C. Havens’ petition for declaratory ruling dated December 26, 2013, in the above-captioned matter is </w:t>
      </w:r>
      <w:r>
        <w:rPr>
          <w:b/>
        </w:rPr>
        <w:t>DENIED</w:t>
      </w:r>
      <w:r>
        <w:t>.</w:t>
      </w:r>
    </w:p>
    <w:p w:rsidR="00967A02" w:rsidRPr="007503DA" w:rsidRDefault="00384C0B" w:rsidP="007503DA">
      <w:pPr>
        <w:pStyle w:val="ParaNum"/>
      </w:pPr>
      <w:r w:rsidRPr="0034459B">
        <w:rPr>
          <w:b/>
        </w:rPr>
        <w:t>IT IS FURTHER ORDERED</w:t>
      </w:r>
      <w:r w:rsidR="00BD4D06">
        <w:t xml:space="preserve">, pursuant to Section 4(i) </w:t>
      </w:r>
      <w:r>
        <w:t xml:space="preserve">of the </w:t>
      </w:r>
      <w:r w:rsidRPr="007503DA">
        <w:t>Communications</w:t>
      </w:r>
      <w:r>
        <w:t xml:space="preserve"> Act of 1934, as amen</w:t>
      </w:r>
      <w:r w:rsidR="00BD4D06">
        <w:t>ded, 47 U.S.C. § 154(i)</w:t>
      </w:r>
      <w:r>
        <w:t xml:space="preserve">, and Section 1.41 of the Commission’s rules, 47 C.F.R. § 1.41, that Warren C. Havens’ informal request for Commission action dated </w:t>
      </w:r>
      <w:r w:rsidR="00681961">
        <w:t>December 26, 2013</w:t>
      </w:r>
      <w:r>
        <w:t xml:space="preserve">, </w:t>
      </w:r>
      <w:r w:rsidRPr="0034459B">
        <w:rPr>
          <w:color w:val="000000"/>
          <w:szCs w:val="22"/>
        </w:rPr>
        <w:t xml:space="preserve">in the above-captioned matter </w:t>
      </w:r>
      <w:r>
        <w:t xml:space="preserve">is </w:t>
      </w:r>
      <w:r w:rsidRPr="0034459B">
        <w:rPr>
          <w:b/>
        </w:rPr>
        <w:t>DISMISSED</w:t>
      </w:r>
      <w:r>
        <w:t>.</w:t>
      </w:r>
    </w:p>
    <w:p w:rsidR="007503DA" w:rsidRPr="0006122A" w:rsidRDefault="009E4D6F" w:rsidP="0006122A">
      <w:pPr>
        <w:pStyle w:val="ParaNum"/>
        <w:rPr>
          <w:szCs w:val="22"/>
        </w:rPr>
      </w:pPr>
      <w:r w:rsidRPr="00BE128A">
        <w:rPr>
          <w:b/>
        </w:rPr>
        <w:t>IT IS FURTHER ORDERED</w:t>
      </w:r>
      <w:r>
        <w:t xml:space="preserve">, pursuant to Section 4(i) of the Communications Act of 1934, as amended, 47 U.S.C. § 154(i), that Warren C. Havens’ request for permission to file dated December 26, 2013, </w:t>
      </w:r>
      <w:r w:rsidRPr="0034459B">
        <w:rPr>
          <w:color w:val="000000"/>
          <w:szCs w:val="22"/>
        </w:rPr>
        <w:t xml:space="preserve">in the above-captioned matter </w:t>
      </w:r>
      <w:r>
        <w:t xml:space="preserve">is </w:t>
      </w:r>
      <w:r w:rsidRPr="00BE128A">
        <w:rPr>
          <w:b/>
        </w:rPr>
        <w:t>DISMISSED</w:t>
      </w:r>
      <w:r>
        <w:t>.</w:t>
      </w:r>
    </w:p>
    <w:p w:rsidR="008A1788" w:rsidRPr="007503DA" w:rsidRDefault="008A1788" w:rsidP="007503DA">
      <w:pPr>
        <w:pStyle w:val="ParaNum"/>
        <w:rPr>
          <w:szCs w:val="22"/>
        </w:rPr>
      </w:pPr>
      <w:r w:rsidRPr="007503DA">
        <w:rPr>
          <w:b/>
        </w:rPr>
        <w:lastRenderedPageBreak/>
        <w:t>IT IS FURTHER ORDERED</w:t>
      </w:r>
      <w:r>
        <w:t>, for all of the reasons set forth above, that the above-captioned proceeding is</w:t>
      </w:r>
      <w:r w:rsidR="00CC1FD7">
        <w:t xml:space="preserve"> now</w:t>
      </w:r>
      <w:r>
        <w:t xml:space="preserve"> </w:t>
      </w:r>
      <w:r w:rsidRPr="007503DA">
        <w:rPr>
          <w:b/>
        </w:rPr>
        <w:t>TERMINATED</w:t>
      </w:r>
      <w:r>
        <w:t>.</w:t>
      </w:r>
    </w:p>
    <w:p w:rsidR="00384C0B" w:rsidRDefault="00384C0B" w:rsidP="00384C0B">
      <w:pPr>
        <w:pStyle w:val="ParaNum"/>
        <w:widowControl/>
        <w:numPr>
          <w:ilvl w:val="0"/>
          <w:numId w:val="0"/>
        </w:numPr>
        <w:rPr>
          <w:szCs w:val="22"/>
        </w:rPr>
      </w:pPr>
    </w:p>
    <w:p w:rsidR="00384C0B" w:rsidRDefault="00384C0B" w:rsidP="00C57CED">
      <w:pPr>
        <w:pStyle w:val="ParaNum"/>
        <w:numPr>
          <w:ilvl w:val="0"/>
          <w:numId w:val="0"/>
        </w:numPr>
        <w:spacing w:after="0"/>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FEDERAL COMMUNICATIONS COMMISSION</w:t>
      </w: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Marlene H. Dortch</w:t>
      </w: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Secretary</w:t>
      </w:r>
    </w:p>
    <w:p w:rsidR="00122BD5" w:rsidRDefault="00122BD5" w:rsidP="00C57CED"/>
    <w:sectPr w:rsidR="00122BD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5E" w:rsidRDefault="0067745E">
      <w:pPr>
        <w:spacing w:line="20" w:lineRule="exact"/>
      </w:pPr>
    </w:p>
  </w:endnote>
  <w:endnote w:type="continuationSeparator" w:id="0">
    <w:p w:rsidR="0067745E" w:rsidRDefault="0067745E">
      <w:r>
        <w:t xml:space="preserve"> </w:t>
      </w:r>
    </w:p>
  </w:endnote>
  <w:endnote w:type="continuationNotice" w:id="1">
    <w:p w:rsidR="0067745E" w:rsidRDefault="006774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B5724">
      <w:rPr>
        <w:noProof/>
      </w:rPr>
      <w:t>5</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5E" w:rsidRDefault="0067745E">
      <w:r>
        <w:separator/>
      </w:r>
    </w:p>
  </w:footnote>
  <w:footnote w:type="continuationSeparator" w:id="0">
    <w:p w:rsidR="0067745E" w:rsidRDefault="0067745E" w:rsidP="00A9272D">
      <w:pPr>
        <w:spacing w:before="120"/>
        <w:rPr>
          <w:sz w:val="20"/>
        </w:rPr>
      </w:pPr>
      <w:r>
        <w:rPr>
          <w:sz w:val="20"/>
        </w:rPr>
        <w:t xml:space="preserve">(Continued from previous page)  </w:t>
      </w:r>
      <w:r>
        <w:rPr>
          <w:sz w:val="20"/>
        </w:rPr>
        <w:separator/>
      </w:r>
    </w:p>
  </w:footnote>
  <w:footnote w:type="continuationNotice" w:id="1">
    <w:p w:rsidR="0067745E" w:rsidRDefault="0067745E" w:rsidP="00C721AC">
      <w:pPr>
        <w:jc w:val="right"/>
        <w:rPr>
          <w:sz w:val="20"/>
        </w:rPr>
      </w:pPr>
      <w:r>
        <w:rPr>
          <w:sz w:val="20"/>
        </w:rPr>
        <w:t>(continued….)</w:t>
      </w:r>
    </w:p>
  </w:footnote>
  <w:footnote w:id="2">
    <w:p w:rsidR="00384C0B" w:rsidRPr="00BD7978" w:rsidRDefault="00384C0B" w:rsidP="00CD3573">
      <w:pPr>
        <w:pStyle w:val="FootnoteText"/>
      </w:pPr>
      <w:r w:rsidRPr="00BD7978">
        <w:rPr>
          <w:rStyle w:val="FootnoteReference"/>
        </w:rPr>
        <w:footnoteRef/>
      </w:r>
      <w:r w:rsidRPr="00BD7978">
        <w:t xml:space="preserve"> </w:t>
      </w:r>
      <w:r w:rsidR="0057770E" w:rsidRPr="00BD7978">
        <w:rPr>
          <w:i/>
        </w:rPr>
        <w:t xml:space="preserve">See </w:t>
      </w:r>
      <w:r w:rsidRPr="00BD7978">
        <w:rPr>
          <w:i/>
        </w:rPr>
        <w:t>Warren C. Havens</w:t>
      </w:r>
      <w:r w:rsidRPr="00BD7978">
        <w:t>, Memorandum Opinion and</w:t>
      </w:r>
      <w:r w:rsidR="003B1344" w:rsidRPr="00BD7978">
        <w:t xml:space="preserve"> Order, 27 FCC Rcd 2756</w:t>
      </w:r>
      <w:r w:rsidR="0057770E" w:rsidRPr="00BD7978">
        <w:t xml:space="preserve"> </w:t>
      </w:r>
      <w:r w:rsidR="003B1344" w:rsidRPr="00BD7978">
        <w:t>(2012)</w:t>
      </w:r>
      <w:r w:rsidR="009E4D6F" w:rsidRPr="00BD7978">
        <w:t xml:space="preserve"> (</w:t>
      </w:r>
      <w:r w:rsidR="009E4D6F" w:rsidRPr="00BD7978">
        <w:rPr>
          <w:i/>
        </w:rPr>
        <w:t>Sanctions Order</w:t>
      </w:r>
      <w:r w:rsidR="009E4D6F" w:rsidRPr="00BD7978">
        <w:t>)</w:t>
      </w:r>
      <w:r w:rsidRPr="00BD7978">
        <w:t>.</w:t>
      </w:r>
    </w:p>
  </w:footnote>
  <w:footnote w:id="3">
    <w:p w:rsidR="00384C0B" w:rsidRPr="00BD7978" w:rsidRDefault="00384C0B" w:rsidP="00CD3573">
      <w:pPr>
        <w:pStyle w:val="FootnoteText"/>
      </w:pPr>
      <w:r w:rsidRPr="00BD7978">
        <w:rPr>
          <w:rStyle w:val="FootnoteReference"/>
        </w:rPr>
        <w:footnoteRef/>
      </w:r>
      <w:r w:rsidRPr="00BD7978">
        <w:t xml:space="preserve"> </w:t>
      </w:r>
      <w:r w:rsidRPr="00BD7978">
        <w:rPr>
          <w:i/>
        </w:rPr>
        <w:t xml:space="preserve">See id. </w:t>
      </w:r>
      <w:r w:rsidRPr="00BD7978">
        <w:t>at 2763, para. 19</w:t>
      </w:r>
      <w:r w:rsidR="009E4D6F" w:rsidRPr="00BD7978">
        <w:t>.</w:t>
      </w:r>
    </w:p>
  </w:footnote>
  <w:footnote w:id="4">
    <w:p w:rsidR="003B1344" w:rsidRPr="00BD7978" w:rsidRDefault="003B1344" w:rsidP="00CD3573">
      <w:pPr>
        <w:pStyle w:val="FootnoteText"/>
      </w:pPr>
      <w:r w:rsidRPr="00BD7978">
        <w:rPr>
          <w:rStyle w:val="FootnoteReference"/>
        </w:rPr>
        <w:footnoteRef/>
      </w:r>
      <w:r w:rsidRPr="00BD7978">
        <w:t xml:space="preserve"> Petition for Reconsideration, Request under Section 1.2, and Request under Section 1.41 (Dec. 26, 2013) (PFR)</w:t>
      </w:r>
      <w:r w:rsidR="00BD7978" w:rsidRPr="00BD7978">
        <w:t xml:space="preserve">; </w:t>
      </w:r>
      <w:r w:rsidR="00BD7978" w:rsidRPr="00BD7978">
        <w:rPr>
          <w:i/>
        </w:rPr>
        <w:t xml:space="preserve">see also infra </w:t>
      </w:r>
      <w:r w:rsidR="00BD7978" w:rsidRPr="00BE128A">
        <w:t xml:space="preserve">para. </w:t>
      </w:r>
      <w:r w:rsidR="00BD7978" w:rsidRPr="00BD7978">
        <w:t>5 (liberally construing Havens’ pleading as a challenge to the Commission’s prior approval sanction)</w:t>
      </w:r>
      <w:r w:rsidRPr="00BD7978">
        <w:t>.</w:t>
      </w:r>
      <w:r w:rsidR="004109D4" w:rsidRPr="00BD7978">
        <w:t xml:space="preserve">  </w:t>
      </w:r>
    </w:p>
  </w:footnote>
  <w:footnote w:id="5">
    <w:p w:rsidR="0031255A" w:rsidRPr="00BD7978" w:rsidRDefault="0031255A" w:rsidP="008269CF">
      <w:pPr>
        <w:pStyle w:val="FootnoteText"/>
        <w:spacing w:after="0"/>
      </w:pPr>
      <w:r w:rsidRPr="00BD7978">
        <w:rPr>
          <w:rStyle w:val="FootnoteReference"/>
        </w:rPr>
        <w:footnoteRef/>
      </w:r>
      <w:r w:rsidRPr="00BD7978">
        <w:t xml:space="preserve"> </w:t>
      </w:r>
      <w:r w:rsidRPr="00BD7978">
        <w:rPr>
          <w:i/>
        </w:rPr>
        <w:t>Warren C. Havens</w:t>
      </w:r>
      <w:r w:rsidRPr="00BD7978">
        <w:t>, Memorandum Opinion and Order, 28 FCC Rcd 16261 (2013) (</w:t>
      </w:r>
      <w:r w:rsidRPr="00BD7978">
        <w:rPr>
          <w:i/>
        </w:rPr>
        <w:t>Commission Review Order</w:t>
      </w:r>
      <w:r w:rsidRPr="00BD7978">
        <w:t>).  Havens addresses his pleading “To:  Office of the Secretary,” “Attn:  Chief, Wireless Bur[e]au.”  It is unclear from that heading whether he intends to direct his pleading to the</w:t>
      </w:r>
      <w:r w:rsidR="00402DBE" w:rsidRPr="00BD7978">
        <w:t xml:space="preserve"> Commission or the Bureau.  R</w:t>
      </w:r>
      <w:r w:rsidRPr="00BD7978">
        <w:t xml:space="preserve">egardless of his intent, we exercise our discretion to address it at the Commission level.  </w:t>
      </w:r>
      <w:r w:rsidRPr="00BD7978">
        <w:rPr>
          <w:i/>
        </w:rPr>
        <w:t>See</w:t>
      </w:r>
      <w:r w:rsidRPr="00BD7978">
        <w:t xml:space="preserve"> 47 C.F.R. § 1.106(a)(1) (providing that “petitions requesting reconsideration of a final Commission action in non-rulemaking proceedings will be acted on by the Commission,” except in specified circumstances when it is permissible, but not required, for the staff to </w:t>
      </w:r>
      <w:r w:rsidR="00D11083" w:rsidRPr="00BD7978">
        <w:t xml:space="preserve">dismiss or deny such petitions); </w:t>
      </w:r>
      <w:r w:rsidR="00D11083" w:rsidRPr="00BD7978">
        <w:rPr>
          <w:i/>
        </w:rPr>
        <w:t xml:space="preserve">see also infra </w:t>
      </w:r>
      <w:r w:rsidR="00402DBE" w:rsidRPr="00BD7978">
        <w:t xml:space="preserve">note </w:t>
      </w:r>
      <w:r w:rsidR="00BD7978" w:rsidRPr="00BD7978">
        <w:t>2</w:t>
      </w:r>
      <w:r w:rsidR="00EF1774">
        <w:t>6</w:t>
      </w:r>
      <w:r w:rsidR="00BD7978" w:rsidRPr="00BD7978">
        <w:t xml:space="preserve"> </w:t>
      </w:r>
      <w:r w:rsidR="00D11083" w:rsidRPr="00BD7978">
        <w:t>(citing authorities that support the Commission’s discretion to address matters within the staff’s delegated authority).</w:t>
      </w:r>
    </w:p>
  </w:footnote>
  <w:footnote w:id="6">
    <w:p w:rsidR="009F2088" w:rsidRPr="00BD7978" w:rsidRDefault="009F2088" w:rsidP="00CD3573">
      <w:pPr>
        <w:pStyle w:val="FootnoteText"/>
      </w:pPr>
      <w:r w:rsidRPr="00BD7978">
        <w:rPr>
          <w:rStyle w:val="FootnoteReference"/>
        </w:rPr>
        <w:footnoteRef/>
      </w:r>
      <w:r w:rsidRPr="00BD7978">
        <w:t xml:space="preserve"> </w:t>
      </w:r>
      <w:r w:rsidR="00D91A63" w:rsidRPr="00BD7978">
        <w:rPr>
          <w:i/>
        </w:rPr>
        <w:t>Warren C. Havens</w:t>
      </w:r>
      <w:r w:rsidR="00D91A63" w:rsidRPr="00BD7978">
        <w:t>, Memorandum Opinion and Order, 27 FCC Rcd 10128 (Wireless Telecomms. Bur. 2012) (</w:t>
      </w:r>
      <w:r w:rsidR="00D91A63" w:rsidRPr="00BD7978">
        <w:rPr>
          <w:i/>
        </w:rPr>
        <w:t>Bureau Dismissal Order</w:t>
      </w:r>
      <w:r w:rsidR="00173EE7" w:rsidRPr="00BD7978">
        <w:t xml:space="preserve">); </w:t>
      </w:r>
      <w:r w:rsidR="00173EE7" w:rsidRPr="00BD7978">
        <w:rPr>
          <w:i/>
        </w:rPr>
        <w:t>see Commission Review Order</w:t>
      </w:r>
      <w:r w:rsidR="00173EE7" w:rsidRPr="00BD7978">
        <w:t>, 28 FCC Rcd at 16264–65, para. 12 n.35.</w:t>
      </w:r>
    </w:p>
  </w:footnote>
  <w:footnote w:id="7">
    <w:p w:rsidR="00725D66" w:rsidRPr="00BD7978" w:rsidRDefault="00725D66" w:rsidP="00CD3573">
      <w:pPr>
        <w:pStyle w:val="FootnoteText"/>
      </w:pPr>
      <w:r w:rsidRPr="00BD7978">
        <w:rPr>
          <w:rStyle w:val="FootnoteReference"/>
        </w:rPr>
        <w:footnoteRef/>
      </w:r>
      <w:r w:rsidRPr="00BD7978">
        <w:t xml:space="preserve"> </w:t>
      </w:r>
      <w:r w:rsidR="00D452A0" w:rsidRPr="00BD7978">
        <w:rPr>
          <w:i/>
        </w:rPr>
        <w:t xml:space="preserve">Commission Review </w:t>
      </w:r>
      <w:r w:rsidRPr="00BD7978">
        <w:rPr>
          <w:i/>
        </w:rPr>
        <w:t>Order</w:t>
      </w:r>
      <w:r w:rsidRPr="00BD7978">
        <w:t xml:space="preserve">, 28 FCC Rcd at </w:t>
      </w:r>
      <w:r w:rsidR="00BF3AE1" w:rsidRPr="00BD7978">
        <w:t>16264–65</w:t>
      </w:r>
      <w:r w:rsidRPr="00BD7978">
        <w:t>, para. 12 n.35.</w:t>
      </w:r>
    </w:p>
  </w:footnote>
  <w:footnote w:id="8">
    <w:p w:rsidR="00725D66" w:rsidRPr="00BD7978" w:rsidRDefault="00725D66" w:rsidP="00CD3573">
      <w:pPr>
        <w:pStyle w:val="FootnoteText"/>
      </w:pPr>
      <w:r w:rsidRPr="00BD7978">
        <w:rPr>
          <w:rStyle w:val="FootnoteReference"/>
        </w:rPr>
        <w:footnoteRef/>
      </w:r>
      <w:r w:rsidRPr="00BD7978">
        <w:t xml:space="preserve"> </w:t>
      </w:r>
      <w:r w:rsidRPr="00BD7978">
        <w:rPr>
          <w:i/>
        </w:rPr>
        <w:t>See id.</w:t>
      </w:r>
    </w:p>
  </w:footnote>
  <w:footnote w:id="9">
    <w:p w:rsidR="00CD58E8" w:rsidRPr="00BD7978" w:rsidRDefault="00CD58E8" w:rsidP="00CD3573">
      <w:pPr>
        <w:pStyle w:val="FootnoteText"/>
      </w:pPr>
      <w:r w:rsidRPr="00BD7978">
        <w:rPr>
          <w:rStyle w:val="FootnoteReference"/>
        </w:rPr>
        <w:footnoteRef/>
      </w:r>
      <w:r w:rsidRPr="00BD7978">
        <w:t xml:space="preserve"> </w:t>
      </w:r>
      <w:r w:rsidRPr="00BD7978">
        <w:rPr>
          <w:i/>
        </w:rPr>
        <w:t xml:space="preserve">See </w:t>
      </w:r>
      <w:r w:rsidR="00BF3AE1" w:rsidRPr="00BD7978">
        <w:rPr>
          <w:i/>
        </w:rPr>
        <w:t xml:space="preserve">id. </w:t>
      </w:r>
      <w:r w:rsidR="00BF3AE1" w:rsidRPr="00BD7978">
        <w:t xml:space="preserve">at </w:t>
      </w:r>
      <w:r w:rsidR="0099609B" w:rsidRPr="00BD7978">
        <w:t xml:space="preserve">16265–67, </w:t>
      </w:r>
      <w:r w:rsidR="00BF3AE1" w:rsidRPr="00BD7978">
        <w:t>16270, para</w:t>
      </w:r>
      <w:r w:rsidR="0099609B" w:rsidRPr="00BD7978">
        <w:t>s</w:t>
      </w:r>
      <w:r w:rsidR="00BF3AE1" w:rsidRPr="00BD7978">
        <w:t xml:space="preserve">. </w:t>
      </w:r>
      <w:r w:rsidR="0099609B" w:rsidRPr="00BD7978">
        <w:t xml:space="preserve">13–17, </w:t>
      </w:r>
      <w:r w:rsidR="00BF3AE1" w:rsidRPr="00BD7978">
        <w:t>21.</w:t>
      </w:r>
    </w:p>
  </w:footnote>
  <w:footnote w:id="10">
    <w:p w:rsidR="00925DB7" w:rsidRPr="00BD7978" w:rsidRDefault="00925DB7" w:rsidP="00CD3573">
      <w:pPr>
        <w:pStyle w:val="FootnoteText"/>
      </w:pPr>
      <w:r w:rsidRPr="00BD7978">
        <w:rPr>
          <w:rStyle w:val="FootnoteReference"/>
        </w:rPr>
        <w:footnoteRef/>
      </w:r>
      <w:r w:rsidRPr="00BD7978">
        <w:t xml:space="preserve"> </w:t>
      </w:r>
      <w:r w:rsidRPr="00BD7978">
        <w:rPr>
          <w:i/>
        </w:rPr>
        <w:t xml:space="preserve">See </w:t>
      </w:r>
      <w:r w:rsidRPr="00BD7978">
        <w:t>PFR at paras. 1–2.</w:t>
      </w:r>
    </w:p>
  </w:footnote>
  <w:footnote w:id="11">
    <w:p w:rsidR="00A10D70" w:rsidRPr="00BD7978" w:rsidRDefault="00A10D70" w:rsidP="00CD3573">
      <w:pPr>
        <w:pStyle w:val="FootnoteText"/>
      </w:pPr>
      <w:r w:rsidRPr="00BD7978">
        <w:rPr>
          <w:rStyle w:val="FootnoteReference"/>
        </w:rPr>
        <w:footnoteRef/>
      </w:r>
      <w:r w:rsidRPr="00BD7978">
        <w:t xml:space="preserve"> </w:t>
      </w:r>
      <w:r w:rsidRPr="00BD7978">
        <w:rPr>
          <w:i/>
        </w:rPr>
        <w:t xml:space="preserve">See </w:t>
      </w:r>
      <w:r w:rsidR="00925DB7" w:rsidRPr="00BD7978">
        <w:rPr>
          <w:i/>
        </w:rPr>
        <w:t>id.</w:t>
      </w:r>
      <w:r w:rsidR="00925DB7" w:rsidRPr="00BD7978">
        <w:t xml:space="preserve"> at para. </w:t>
      </w:r>
      <w:r w:rsidRPr="00BD7978">
        <w:t>3.</w:t>
      </w:r>
    </w:p>
  </w:footnote>
  <w:footnote w:id="12">
    <w:p w:rsidR="00F12C65" w:rsidRPr="00BD7978" w:rsidRDefault="00F12C65" w:rsidP="00CD3573">
      <w:pPr>
        <w:pStyle w:val="FootnoteText"/>
      </w:pPr>
      <w:r w:rsidRPr="00BD7978">
        <w:rPr>
          <w:rStyle w:val="FootnoteReference"/>
        </w:rPr>
        <w:footnoteRef/>
      </w:r>
      <w:r w:rsidRPr="00BD7978">
        <w:t xml:space="preserve"> </w:t>
      </w:r>
      <w:r w:rsidRPr="00BD7978">
        <w:rPr>
          <w:i/>
        </w:rPr>
        <w:t xml:space="preserve">See id. </w:t>
      </w:r>
      <w:r w:rsidRPr="00BD7978">
        <w:t xml:space="preserve">at para. 1 (citing </w:t>
      </w:r>
      <w:r w:rsidRPr="00BD7978">
        <w:rPr>
          <w:i/>
        </w:rPr>
        <w:t>Commission Review Order</w:t>
      </w:r>
      <w:r w:rsidRPr="00BD7978">
        <w:t>, 28 FCC Rcd</w:t>
      </w:r>
      <w:r w:rsidR="005A0852">
        <w:t xml:space="preserve"> at 16265, para. 13 &amp;</w:t>
      </w:r>
      <w:r w:rsidRPr="00BD7978">
        <w:t xml:space="preserve"> n.39).</w:t>
      </w:r>
    </w:p>
  </w:footnote>
  <w:footnote w:id="13">
    <w:p w:rsidR="00F12C65" w:rsidRPr="00BD7978" w:rsidRDefault="00F12C65" w:rsidP="00CD3573">
      <w:pPr>
        <w:pStyle w:val="FootnoteText"/>
      </w:pPr>
      <w:r w:rsidRPr="00BD7978">
        <w:rPr>
          <w:rStyle w:val="FootnoteReference"/>
        </w:rPr>
        <w:footnoteRef/>
      </w:r>
      <w:r w:rsidRPr="00BD7978">
        <w:t xml:space="preserve"> </w:t>
      </w:r>
      <w:r w:rsidRPr="00BD7978">
        <w:rPr>
          <w:i/>
        </w:rPr>
        <w:t>See Commission Review Order</w:t>
      </w:r>
      <w:r w:rsidRPr="00BD7978">
        <w:t xml:space="preserve">, 28 FCC Rcd at 16265, para. 13 &amp; n.39 (declining to reach </w:t>
      </w:r>
      <w:r w:rsidR="00A24127" w:rsidRPr="00BD7978">
        <w:t>arguments</w:t>
      </w:r>
      <w:r w:rsidRPr="00BD7978">
        <w:t xml:space="preserve"> that the Commission’s “‘continuity of coverage’ requirement had no effect at the application stage,”</w:t>
      </w:r>
      <w:r w:rsidR="00A24127" w:rsidRPr="00BD7978">
        <w:t xml:space="preserve"> and </w:t>
      </w:r>
      <w:r w:rsidRPr="00BD7978">
        <w:t>that “the FCC did not understand the regulation that it applied to reject his AMTS applications,” on the basis</w:t>
      </w:r>
      <w:r w:rsidR="00A24127" w:rsidRPr="00BD7978">
        <w:t>,</w:t>
      </w:r>
      <w:r w:rsidRPr="00BD7978">
        <w:t xml:space="preserve"> first, that th</w:t>
      </w:r>
      <w:r w:rsidR="00EF1774">
        <w:t>ose arguments</w:t>
      </w:r>
      <w:r w:rsidRPr="00BD7978">
        <w:t xml:space="preserve"> were beyond the</w:t>
      </w:r>
      <w:r w:rsidR="004F299A" w:rsidRPr="00BD7978">
        <w:t xml:space="preserve"> proper</w:t>
      </w:r>
      <w:r w:rsidRPr="00BD7978">
        <w:t xml:space="preserve"> scope of </w:t>
      </w:r>
      <w:r w:rsidR="004F299A" w:rsidRPr="00BD7978">
        <w:t>Havens’ challenge</w:t>
      </w:r>
      <w:r w:rsidRPr="00BD7978">
        <w:t xml:space="preserve"> to the </w:t>
      </w:r>
      <w:r w:rsidRPr="00BD7978">
        <w:rPr>
          <w:i/>
        </w:rPr>
        <w:t>Bureau Dismissal Order</w:t>
      </w:r>
      <w:r w:rsidRPr="00BD7978">
        <w:t>, and, second,</w:t>
      </w:r>
      <w:r w:rsidR="004F299A" w:rsidRPr="00BD7978">
        <w:t xml:space="preserve"> that Havens had not presented them earlier in the proceeding).</w:t>
      </w:r>
    </w:p>
  </w:footnote>
  <w:footnote w:id="14">
    <w:p w:rsidR="004F299A" w:rsidRPr="00BE128A" w:rsidRDefault="004F299A" w:rsidP="00CD3573">
      <w:pPr>
        <w:pStyle w:val="FootnoteText"/>
        <w:rPr>
          <w:i/>
        </w:rPr>
      </w:pPr>
      <w:r w:rsidRPr="00BD7978">
        <w:rPr>
          <w:rStyle w:val="FootnoteReference"/>
        </w:rPr>
        <w:footnoteRef/>
      </w:r>
      <w:r w:rsidRPr="00BD7978">
        <w:t xml:space="preserve"> </w:t>
      </w:r>
      <w:r w:rsidRPr="00BD7978">
        <w:rPr>
          <w:i/>
        </w:rPr>
        <w:t>See Sanctions Order</w:t>
      </w:r>
      <w:r w:rsidRPr="00BD7978">
        <w:t xml:space="preserve">, 27 FCC Rcd at 2763, paras. 19–20. </w:t>
      </w:r>
      <w:r w:rsidRPr="00BD7978">
        <w:rPr>
          <w:i/>
        </w:rPr>
        <w:t xml:space="preserve"> </w:t>
      </w:r>
    </w:p>
  </w:footnote>
  <w:footnote w:id="15">
    <w:p w:rsidR="00EF1774" w:rsidRDefault="00EF1774" w:rsidP="00CD3573">
      <w:pPr>
        <w:pStyle w:val="FootnoteText"/>
      </w:pPr>
      <w:r>
        <w:rPr>
          <w:rStyle w:val="FootnoteReference"/>
        </w:rPr>
        <w:footnoteRef/>
      </w:r>
      <w:r>
        <w:t xml:space="preserve"> </w:t>
      </w:r>
      <w:r>
        <w:rPr>
          <w:i/>
        </w:rPr>
        <w:t xml:space="preserve">See </w:t>
      </w:r>
      <w:r w:rsidRPr="00BD7978">
        <w:rPr>
          <w:i/>
        </w:rPr>
        <w:t>Commission Review Order</w:t>
      </w:r>
      <w:r w:rsidRPr="00BD7978">
        <w:t>, 28 FCC Rcd at 16264–65, para. 12 n.35.</w:t>
      </w:r>
    </w:p>
  </w:footnote>
  <w:footnote w:id="16">
    <w:p w:rsidR="00FC4984" w:rsidRPr="00BD7978" w:rsidRDefault="00FC4984" w:rsidP="008269CF">
      <w:pPr>
        <w:pStyle w:val="FootnoteText"/>
        <w:spacing w:after="0"/>
      </w:pPr>
      <w:r w:rsidRPr="00BD7978">
        <w:rPr>
          <w:rStyle w:val="FootnoteReference"/>
        </w:rPr>
        <w:footnoteRef/>
      </w:r>
      <w:r w:rsidRPr="00BD7978">
        <w:t xml:space="preserve"> </w:t>
      </w:r>
      <w:r w:rsidRPr="00BD7978">
        <w:rPr>
          <w:i/>
        </w:rPr>
        <w:t xml:space="preserve">See </w:t>
      </w:r>
      <w:r w:rsidR="004F299A" w:rsidRPr="00BD7978">
        <w:t>PFR</w:t>
      </w:r>
      <w:r w:rsidRPr="00BD7978">
        <w:t xml:space="preserve"> at para</w:t>
      </w:r>
      <w:r w:rsidR="008C16E9" w:rsidRPr="00BD7978">
        <w:t>s</w:t>
      </w:r>
      <w:r w:rsidRPr="00BD7978">
        <w:t>. 1</w:t>
      </w:r>
      <w:r w:rsidR="008C16E9" w:rsidRPr="00BD7978">
        <w:t>–2</w:t>
      </w:r>
      <w:r w:rsidRPr="00BD7978">
        <w:t>.</w:t>
      </w:r>
      <w:r w:rsidR="000A6910" w:rsidRPr="00BD7978">
        <w:t xml:space="preserve">  </w:t>
      </w:r>
      <w:r w:rsidR="00D94614" w:rsidRPr="00BD7978">
        <w:t>For example</w:t>
      </w:r>
      <w:r w:rsidR="000A6910" w:rsidRPr="00BD7978">
        <w:t xml:space="preserve">, in the “petition for reconsideration” portion of his pleading, Havens asks that the Bureau “pass[] upon” arguments </w:t>
      </w:r>
      <w:r w:rsidR="00D94614" w:rsidRPr="00BD7978">
        <w:t xml:space="preserve">raised in his September 2012 pleading </w:t>
      </w:r>
      <w:r w:rsidR="00A24127" w:rsidRPr="00BD7978">
        <w:t>that the</w:t>
      </w:r>
      <w:r w:rsidR="00D94614" w:rsidRPr="00BD7978">
        <w:t xml:space="preserve"> Commission</w:t>
      </w:r>
      <w:r w:rsidR="000A6910" w:rsidRPr="00BD7978">
        <w:t xml:space="preserve"> </w:t>
      </w:r>
      <w:r w:rsidR="00A24127" w:rsidRPr="00BD7978">
        <w:t xml:space="preserve">resolved </w:t>
      </w:r>
      <w:r w:rsidR="000A6910" w:rsidRPr="00BD7978">
        <w:t xml:space="preserve">in the </w:t>
      </w:r>
      <w:r w:rsidR="000A6910" w:rsidRPr="00BD7978">
        <w:rPr>
          <w:i/>
        </w:rPr>
        <w:t>Commission Review Order</w:t>
      </w:r>
      <w:r w:rsidR="000A6910" w:rsidRPr="00BD7978">
        <w:t xml:space="preserve">.  </w:t>
      </w:r>
      <w:r w:rsidR="000A6910" w:rsidRPr="00BD7978">
        <w:rPr>
          <w:i/>
        </w:rPr>
        <w:t xml:space="preserve">See id. </w:t>
      </w:r>
      <w:r w:rsidR="000A6910" w:rsidRPr="00BD7978">
        <w:t xml:space="preserve">at para. 1.  </w:t>
      </w:r>
      <w:r w:rsidR="00A24127" w:rsidRPr="00BD7978">
        <w:t>Similarly, in Havens’</w:t>
      </w:r>
      <w:r w:rsidR="000A6910" w:rsidRPr="00BD7978">
        <w:t xml:space="preserve"> request for a declaratory ruling, </w:t>
      </w:r>
      <w:r w:rsidR="00A24127" w:rsidRPr="00BD7978">
        <w:t xml:space="preserve">he </w:t>
      </w:r>
      <w:r w:rsidR="000A6910" w:rsidRPr="00BD7978">
        <w:t xml:space="preserve">seeks a statement “that the FCC cannot, at any level, take a pleading that is properly presented by its substance and labeling as a request to a Bureau, and turn it into a request to another part of the FCC, where the result of that is to make or deem it defective since it was then not before the right part of the FCC.”  </w:t>
      </w:r>
      <w:r w:rsidR="000A6910" w:rsidRPr="00BD7978">
        <w:rPr>
          <w:i/>
        </w:rPr>
        <w:t xml:space="preserve">Id. </w:t>
      </w:r>
      <w:r w:rsidR="000A6910" w:rsidRPr="00BD7978">
        <w:t>at para. 2.</w:t>
      </w:r>
      <w:r w:rsidR="00402DBE" w:rsidRPr="00BD7978">
        <w:t xml:space="preserve">  (As explained </w:t>
      </w:r>
      <w:r w:rsidR="00BD7978" w:rsidRPr="00BD7978">
        <w:t>further below</w:t>
      </w:r>
      <w:r w:rsidR="00402DBE" w:rsidRPr="00BD7978">
        <w:t xml:space="preserve">, </w:t>
      </w:r>
      <w:r w:rsidR="00402DBE" w:rsidRPr="00BD7978">
        <w:rPr>
          <w:i/>
        </w:rPr>
        <w:t xml:space="preserve">see infra </w:t>
      </w:r>
      <w:r w:rsidR="00402DBE" w:rsidRPr="00BD7978">
        <w:t xml:space="preserve">para. </w:t>
      </w:r>
      <w:r w:rsidR="00BD7978" w:rsidRPr="00BD7978">
        <w:t>6</w:t>
      </w:r>
      <w:r w:rsidR="00402DBE" w:rsidRPr="00BD7978">
        <w:t>, that is not what occurred here.)</w:t>
      </w:r>
    </w:p>
  </w:footnote>
  <w:footnote w:id="17">
    <w:p w:rsidR="00177313" w:rsidRPr="00BE128A" w:rsidRDefault="00177313" w:rsidP="00CD3573">
      <w:pPr>
        <w:pStyle w:val="FootnoteText"/>
        <w:rPr>
          <w:i/>
        </w:rPr>
      </w:pPr>
      <w:r w:rsidRPr="00BD7978">
        <w:rPr>
          <w:rStyle w:val="FootnoteReference"/>
        </w:rPr>
        <w:footnoteRef/>
      </w:r>
      <w:r w:rsidRPr="00BD7978">
        <w:t xml:space="preserve"> </w:t>
      </w:r>
      <w:r w:rsidRPr="00BD7978">
        <w:rPr>
          <w:i/>
        </w:rPr>
        <w:t>See, e.g.</w:t>
      </w:r>
      <w:r w:rsidRPr="00BD7978">
        <w:t>,</w:t>
      </w:r>
      <w:r w:rsidRPr="00BD7978">
        <w:rPr>
          <w:i/>
        </w:rPr>
        <w:t xml:space="preserve"> Bureau Dismissal Order</w:t>
      </w:r>
      <w:r w:rsidRPr="00BD7978">
        <w:t xml:space="preserve">, 27 FCC Rcd at 10130, para. 6 (explaining that the </w:t>
      </w:r>
      <w:r w:rsidRPr="00BD7978">
        <w:rPr>
          <w:i/>
        </w:rPr>
        <w:t xml:space="preserve">Sanctions Order </w:t>
      </w:r>
      <w:r w:rsidRPr="00BD7978">
        <w:t>“requires Havens to obtain prior . . . approval only ‘before filing further pleadings with respect to the [specified license applications],’” not to challenge the sanction itself (second alteration in original)).</w:t>
      </w:r>
    </w:p>
  </w:footnote>
  <w:footnote w:id="18">
    <w:p w:rsidR="00707693" w:rsidRPr="00BD7978" w:rsidRDefault="00707693" w:rsidP="00CD3573">
      <w:pPr>
        <w:pStyle w:val="FootnoteText"/>
      </w:pPr>
      <w:r w:rsidRPr="00BD7978">
        <w:rPr>
          <w:rStyle w:val="FootnoteReference"/>
        </w:rPr>
        <w:footnoteRef/>
      </w:r>
      <w:r w:rsidRPr="00BD7978">
        <w:t xml:space="preserve"> </w:t>
      </w:r>
      <w:r w:rsidRPr="00BD7978">
        <w:rPr>
          <w:i/>
        </w:rPr>
        <w:t xml:space="preserve">See supra </w:t>
      </w:r>
      <w:r w:rsidRPr="00BD7978">
        <w:t xml:space="preserve">para. </w:t>
      </w:r>
      <w:r w:rsidR="00BD7978" w:rsidRPr="00BD7978">
        <w:t>4</w:t>
      </w:r>
      <w:r w:rsidRPr="00BD7978">
        <w:t>.</w:t>
      </w:r>
    </w:p>
  </w:footnote>
  <w:footnote w:id="19">
    <w:p w:rsidR="00AC2F17" w:rsidRPr="00BD7978" w:rsidRDefault="00AC2F17" w:rsidP="00CD3573">
      <w:pPr>
        <w:pStyle w:val="FootnoteText"/>
      </w:pPr>
      <w:r w:rsidRPr="00BD7978">
        <w:rPr>
          <w:rStyle w:val="FootnoteReference"/>
        </w:rPr>
        <w:footnoteRef/>
      </w:r>
      <w:r w:rsidRPr="00BD7978">
        <w:t xml:space="preserve"> </w:t>
      </w:r>
      <w:r w:rsidRPr="00BD7978">
        <w:rPr>
          <w:i/>
        </w:rPr>
        <w:t>See, e.g.</w:t>
      </w:r>
      <w:r w:rsidRPr="00BD7978">
        <w:t xml:space="preserve">, </w:t>
      </w:r>
      <w:r w:rsidRPr="00BD7978">
        <w:rPr>
          <w:i/>
        </w:rPr>
        <w:t>Warren C. Havens</w:t>
      </w:r>
      <w:r w:rsidRPr="00BD7978">
        <w:t xml:space="preserve">, Third Order on Reconsideration, 26 FCC Rcd 10888, 10893, para. 15 (2011) (characterizing </w:t>
      </w:r>
      <w:r w:rsidR="00BD7978" w:rsidRPr="00BD7978">
        <w:t>the proposed sanction</w:t>
      </w:r>
      <w:r w:rsidRPr="00BD7978">
        <w:t xml:space="preserve"> as a “serious step” that the Commission “do[es] not take lightly,” and giving Havens an opportunity to respond before adopting the sanction).</w:t>
      </w:r>
    </w:p>
  </w:footnote>
  <w:footnote w:id="20">
    <w:p w:rsidR="00F01BB5" w:rsidRPr="001B7516" w:rsidRDefault="00F01BB5" w:rsidP="00CD3573">
      <w:pPr>
        <w:pStyle w:val="FootnoteText"/>
      </w:pPr>
      <w:r w:rsidRPr="00BD7978">
        <w:rPr>
          <w:rStyle w:val="FootnoteReference"/>
        </w:rPr>
        <w:footnoteRef/>
      </w:r>
      <w:r w:rsidRPr="00BD7978">
        <w:t xml:space="preserve"> </w:t>
      </w:r>
      <w:r w:rsidR="001B7516">
        <w:rPr>
          <w:i/>
        </w:rPr>
        <w:t xml:space="preserve">See supra </w:t>
      </w:r>
      <w:r w:rsidR="001B7516">
        <w:t>note 16 and accompanying text.</w:t>
      </w:r>
    </w:p>
  </w:footnote>
  <w:footnote w:id="21">
    <w:p w:rsidR="0018681D" w:rsidRPr="00BD7978" w:rsidRDefault="0018681D" w:rsidP="00CD3573">
      <w:pPr>
        <w:pStyle w:val="FootnoteText"/>
      </w:pPr>
      <w:r w:rsidRPr="00BD7978">
        <w:rPr>
          <w:rStyle w:val="FootnoteReference"/>
        </w:rPr>
        <w:footnoteRef/>
      </w:r>
      <w:r w:rsidRPr="00BD7978">
        <w:t xml:space="preserve"> </w:t>
      </w:r>
      <w:r w:rsidR="008C5994" w:rsidRPr="00BD7978">
        <w:rPr>
          <w:i/>
        </w:rPr>
        <w:t xml:space="preserve">See </w:t>
      </w:r>
      <w:r w:rsidR="00D452A0" w:rsidRPr="00BD7978">
        <w:rPr>
          <w:i/>
        </w:rPr>
        <w:t xml:space="preserve">Commission Review </w:t>
      </w:r>
      <w:r w:rsidR="008C5994" w:rsidRPr="00BD7978">
        <w:rPr>
          <w:i/>
        </w:rPr>
        <w:t>Order</w:t>
      </w:r>
      <w:r w:rsidR="008C5994" w:rsidRPr="00BD7978">
        <w:t>, 28 FCC Rcd</w:t>
      </w:r>
      <w:r w:rsidR="008C5994" w:rsidRPr="00BD7978">
        <w:rPr>
          <w:i/>
        </w:rPr>
        <w:t xml:space="preserve"> </w:t>
      </w:r>
      <w:r w:rsidR="008C5994" w:rsidRPr="00BD7978">
        <w:t xml:space="preserve">at </w:t>
      </w:r>
      <w:r w:rsidR="00BF3AE1" w:rsidRPr="00BD7978">
        <w:t xml:space="preserve">16264–65, </w:t>
      </w:r>
      <w:r w:rsidR="000D4045" w:rsidRPr="00BD7978">
        <w:t>para.</w:t>
      </w:r>
      <w:r w:rsidR="00A10D70" w:rsidRPr="00BD7978">
        <w:t xml:space="preserve"> 12 </w:t>
      </w:r>
      <w:r w:rsidR="000D4045" w:rsidRPr="00BD7978">
        <w:t xml:space="preserve">n.35; </w:t>
      </w:r>
      <w:r w:rsidR="000D4045" w:rsidRPr="00BD7978">
        <w:rPr>
          <w:i/>
        </w:rPr>
        <w:t>see also</w:t>
      </w:r>
      <w:r w:rsidR="00125C4C" w:rsidRPr="00BD7978">
        <w:rPr>
          <w:i/>
        </w:rPr>
        <w:t xml:space="preserve"> Application of Regionet Wireless License, LLC</w:t>
      </w:r>
      <w:r w:rsidR="00125C4C" w:rsidRPr="00BD7978">
        <w:t xml:space="preserve">, </w:t>
      </w:r>
      <w:r w:rsidR="00A10D70" w:rsidRPr="00BD7978">
        <w:t xml:space="preserve">Memorandum Opinion and Order, </w:t>
      </w:r>
      <w:r w:rsidR="00125C4C" w:rsidRPr="00BD7978">
        <w:t>17 FCC Rcd 21269, 21269, para. 1 n.1 (2002) (treating as an application for review “an application for review and a petition for reconsideration [that Havens filed] in a single joint pleading directed to the Commission and the Bureau</w:t>
      </w:r>
      <w:r w:rsidR="00A10D70" w:rsidRPr="00BD7978">
        <w:t>”</w:t>
      </w:r>
      <w:r w:rsidR="00125C4C" w:rsidRPr="00BD7978">
        <w:t>)</w:t>
      </w:r>
      <w:r w:rsidR="00DC64D5" w:rsidRPr="00BD7978">
        <w:t xml:space="preserve">, </w:t>
      </w:r>
      <w:r w:rsidR="00DC64D5" w:rsidRPr="00BD7978">
        <w:rPr>
          <w:i/>
        </w:rPr>
        <w:t>aff’d sub nom. Havens v. FCC</w:t>
      </w:r>
      <w:r w:rsidR="00DC64D5" w:rsidRPr="00BD7978">
        <w:t>, 424 Fed. Appx. 3 (D.C. Cir. 2011)</w:t>
      </w:r>
      <w:r w:rsidR="00266C33" w:rsidRPr="00BD7978">
        <w:t xml:space="preserve"> (per curiam)</w:t>
      </w:r>
      <w:r w:rsidR="00125C4C" w:rsidRPr="00BD7978">
        <w:t>;</w:t>
      </w:r>
      <w:r w:rsidR="00133916" w:rsidRPr="00BD7978">
        <w:t xml:space="preserve"> </w:t>
      </w:r>
      <w:r w:rsidR="00133916" w:rsidRPr="00BD7978">
        <w:rPr>
          <w:i/>
        </w:rPr>
        <w:t>Application of</w:t>
      </w:r>
      <w:r w:rsidR="00125C4C" w:rsidRPr="00BD7978">
        <w:t xml:space="preserve"> </w:t>
      </w:r>
      <w:r w:rsidR="00133916" w:rsidRPr="00BD7978">
        <w:rPr>
          <w:i/>
        </w:rPr>
        <w:t>Sacramento Community Radio, Inc. for a Construction Permit for a New Noncommercial Educational FM Station Sacramento, California</w:t>
      </w:r>
      <w:r w:rsidR="00133916" w:rsidRPr="00BD7978">
        <w:t xml:space="preserve">, </w:t>
      </w:r>
      <w:r w:rsidR="00A10D70" w:rsidRPr="00BD7978">
        <w:t xml:space="preserve">Memorandum Opinion and Order, </w:t>
      </w:r>
      <w:r w:rsidR="00133916" w:rsidRPr="00BD7978">
        <w:t>8 FCC Rcd 4067, 4067</w:t>
      </w:r>
      <w:r w:rsidR="00AC45E0" w:rsidRPr="00BD7978">
        <w:t>,</w:t>
      </w:r>
      <w:r w:rsidR="00133916" w:rsidRPr="00BD7978">
        <w:t xml:space="preserve"> para. 1 n.1 (1993) (treating as an application for review a pleading styled as a “Petition for Reconsideration” of the staff’s denial of an earlier petition for reconsideration).</w:t>
      </w:r>
    </w:p>
  </w:footnote>
  <w:footnote w:id="22">
    <w:p w:rsidR="0018681D" w:rsidRPr="00BD7978" w:rsidRDefault="0018681D" w:rsidP="00CD3573">
      <w:pPr>
        <w:pStyle w:val="FootnoteText"/>
      </w:pPr>
      <w:r w:rsidRPr="00BD7978">
        <w:rPr>
          <w:rStyle w:val="FootnoteReference"/>
        </w:rPr>
        <w:footnoteRef/>
      </w:r>
      <w:r w:rsidRPr="00BD7978">
        <w:t xml:space="preserve"> </w:t>
      </w:r>
      <w:r w:rsidRPr="00BD7978">
        <w:rPr>
          <w:i/>
        </w:rPr>
        <w:t xml:space="preserve">See </w:t>
      </w:r>
      <w:r w:rsidR="008C5994" w:rsidRPr="00BD7978">
        <w:t>PFR at paras. 1–</w:t>
      </w:r>
      <w:r w:rsidR="008C16E9" w:rsidRPr="00BD7978">
        <w:t>2</w:t>
      </w:r>
      <w:r w:rsidR="008C5994" w:rsidRPr="00BD7978">
        <w:t>.</w:t>
      </w:r>
    </w:p>
  </w:footnote>
  <w:footnote w:id="23">
    <w:p w:rsidR="0018681D" w:rsidRPr="00BD7978" w:rsidRDefault="0018681D" w:rsidP="00CD3573">
      <w:pPr>
        <w:pStyle w:val="FootnoteText"/>
      </w:pPr>
      <w:r w:rsidRPr="00BD7978">
        <w:rPr>
          <w:rStyle w:val="FootnoteReference"/>
        </w:rPr>
        <w:footnoteRef/>
      </w:r>
      <w:r w:rsidRPr="00BD7978">
        <w:t xml:space="preserve"> </w:t>
      </w:r>
      <w:r w:rsidRPr="00BD7978">
        <w:rPr>
          <w:i/>
        </w:rPr>
        <w:t xml:space="preserve">See </w:t>
      </w:r>
      <w:r w:rsidR="00D452A0" w:rsidRPr="00BD7978">
        <w:rPr>
          <w:i/>
        </w:rPr>
        <w:t xml:space="preserve">Commission Review </w:t>
      </w:r>
      <w:r w:rsidRPr="00BD7978">
        <w:rPr>
          <w:i/>
        </w:rPr>
        <w:t>Order</w:t>
      </w:r>
      <w:r w:rsidR="00BF3AE1" w:rsidRPr="00BD7978">
        <w:t>, 28 FCC Rcd at 16265</w:t>
      </w:r>
      <w:r w:rsidRPr="00BD7978">
        <w:t>, para. 13.</w:t>
      </w:r>
    </w:p>
  </w:footnote>
  <w:footnote w:id="24">
    <w:p w:rsidR="0018681D" w:rsidRPr="00BD7978" w:rsidRDefault="0018681D" w:rsidP="00CD3573">
      <w:pPr>
        <w:pStyle w:val="FootnoteText"/>
      </w:pPr>
      <w:r w:rsidRPr="00BD7978">
        <w:rPr>
          <w:rStyle w:val="FootnoteReference"/>
        </w:rPr>
        <w:footnoteRef/>
      </w:r>
      <w:r w:rsidRPr="00BD7978">
        <w:t xml:space="preserve"> </w:t>
      </w:r>
      <w:r w:rsidR="00D452A0" w:rsidRPr="00BD7978">
        <w:t xml:space="preserve">In addition, as we recognized in the </w:t>
      </w:r>
      <w:r w:rsidR="00D452A0" w:rsidRPr="00BD7978">
        <w:rPr>
          <w:i/>
        </w:rPr>
        <w:t>Commission Review Order</w:t>
      </w:r>
      <w:r w:rsidR="00D452A0" w:rsidRPr="00BD7978">
        <w:t xml:space="preserve">, </w:t>
      </w:r>
      <w:r w:rsidR="003B3047" w:rsidRPr="00BD7978">
        <w:t>two of the arguments on which Havens</w:t>
      </w:r>
      <w:r w:rsidR="00D452A0" w:rsidRPr="00BD7978">
        <w:t xml:space="preserve"> </w:t>
      </w:r>
      <w:r w:rsidR="00BD7978" w:rsidRPr="00BD7978">
        <w:t xml:space="preserve">relied—and the arguments about which he seems particularly concerned here, </w:t>
      </w:r>
      <w:r w:rsidR="00BD7978" w:rsidRPr="00BD7978">
        <w:rPr>
          <w:i/>
        </w:rPr>
        <w:t xml:space="preserve">see supra </w:t>
      </w:r>
      <w:r w:rsidR="00BD7978" w:rsidRPr="00BD7978">
        <w:t>para. 4 &amp; note 12—</w:t>
      </w:r>
      <w:r w:rsidR="000349D1" w:rsidRPr="00BD7978">
        <w:t xml:space="preserve">were </w:t>
      </w:r>
      <w:r w:rsidR="00173EE7" w:rsidRPr="00BD7978">
        <w:t>new arguments that Havens</w:t>
      </w:r>
      <w:r w:rsidR="00925DB7" w:rsidRPr="00BD7978">
        <w:t xml:space="preserve"> could </w:t>
      </w:r>
      <w:r w:rsidR="00B3412D" w:rsidRPr="00BD7978">
        <w:t xml:space="preserve">and should have </w:t>
      </w:r>
      <w:r w:rsidR="00173EE7" w:rsidRPr="00BD7978">
        <w:t>raised sooner.</w:t>
      </w:r>
      <w:r w:rsidR="003B3047" w:rsidRPr="00BD7978">
        <w:t xml:space="preserve">  </w:t>
      </w:r>
      <w:r w:rsidR="003B3047" w:rsidRPr="00BD7978">
        <w:rPr>
          <w:i/>
        </w:rPr>
        <w:t xml:space="preserve">See id. </w:t>
      </w:r>
      <w:r w:rsidR="00925DB7" w:rsidRPr="00BD7978">
        <w:t>at 16266, para. 13</w:t>
      </w:r>
      <w:r w:rsidR="000349D1" w:rsidRPr="00BD7978">
        <w:t xml:space="preserve"> n.39.</w:t>
      </w:r>
      <w:r w:rsidR="003B3047" w:rsidRPr="00BD7978">
        <w:t xml:space="preserve"> </w:t>
      </w:r>
      <w:r w:rsidR="00D452A0" w:rsidRPr="00BD7978">
        <w:t xml:space="preserve"> </w:t>
      </w:r>
      <w:r w:rsidR="003B3047" w:rsidRPr="00BD7978">
        <w:t>Thus, although our decision did not depend on th</w:t>
      </w:r>
      <w:r w:rsidR="00A10D70" w:rsidRPr="00BD7978">
        <w:t>e</w:t>
      </w:r>
      <w:r w:rsidR="003B3047" w:rsidRPr="00BD7978">
        <w:t xml:space="preserve"> point, we observed that</w:t>
      </w:r>
      <w:r w:rsidR="00D452A0" w:rsidRPr="00BD7978">
        <w:t xml:space="preserve"> </w:t>
      </w:r>
      <w:r w:rsidR="00770179" w:rsidRPr="00BD7978">
        <w:t xml:space="preserve">47 C.F.R. § 1.115(c) </w:t>
      </w:r>
      <w:r w:rsidR="003B3047" w:rsidRPr="00BD7978">
        <w:t xml:space="preserve">precluded us from </w:t>
      </w:r>
      <w:r w:rsidR="00770179" w:rsidRPr="00BD7978">
        <w:t xml:space="preserve">granting an application for review </w:t>
      </w:r>
      <w:r w:rsidR="00D452A0" w:rsidRPr="00BD7978">
        <w:t>on</w:t>
      </w:r>
      <w:r w:rsidR="003B3047" w:rsidRPr="00BD7978">
        <w:t xml:space="preserve"> the basis of those arguments, </w:t>
      </w:r>
      <w:r w:rsidR="003B3047" w:rsidRPr="00BD7978">
        <w:rPr>
          <w:i/>
        </w:rPr>
        <w:t>see Commission Review Order</w:t>
      </w:r>
      <w:r w:rsidR="003B3047" w:rsidRPr="00BD7978">
        <w:t xml:space="preserve">, 28 FCC Rcd at 16266, </w:t>
      </w:r>
      <w:r w:rsidR="00A10D70" w:rsidRPr="00BD7978">
        <w:t xml:space="preserve">para. 13 </w:t>
      </w:r>
      <w:r w:rsidR="003B3047" w:rsidRPr="00BD7978">
        <w:t>n.39.  For</w:t>
      </w:r>
      <w:r w:rsidR="005768F7" w:rsidRPr="00BD7978">
        <w:t xml:space="preserve"> the sake of completeness</w:t>
      </w:r>
      <w:r w:rsidR="00925DB7" w:rsidRPr="00BD7978">
        <w:t xml:space="preserve"> (</w:t>
      </w:r>
      <w:r w:rsidR="003B3047" w:rsidRPr="00BD7978">
        <w:t>once again,</w:t>
      </w:r>
      <w:r w:rsidR="00A10D70" w:rsidRPr="00BD7978">
        <w:t xml:space="preserve"> the point i</w:t>
      </w:r>
      <w:r w:rsidR="00925DB7" w:rsidRPr="00BD7978">
        <w:t xml:space="preserve">s not necessary to our decision), </w:t>
      </w:r>
      <w:r w:rsidR="003B3047" w:rsidRPr="00BD7978">
        <w:t xml:space="preserve">we note </w:t>
      </w:r>
      <w:r w:rsidR="00D9280F" w:rsidRPr="00BD7978">
        <w:t xml:space="preserve">that </w:t>
      </w:r>
      <w:r w:rsidR="00770179" w:rsidRPr="00BD7978">
        <w:t xml:space="preserve">47 C.F.R. § 1.106(c) </w:t>
      </w:r>
      <w:r w:rsidR="00D9280F" w:rsidRPr="00BD7978">
        <w:t>would similarly have precluded the Bureau from granting a petition for review based on Havens’ newly raised arguments.</w:t>
      </w:r>
    </w:p>
  </w:footnote>
  <w:footnote w:id="25">
    <w:p w:rsidR="00D71D6F" w:rsidRPr="00BD7978" w:rsidRDefault="00D71D6F" w:rsidP="00CD3573">
      <w:pPr>
        <w:pStyle w:val="FootnoteText"/>
      </w:pPr>
      <w:r w:rsidRPr="00BD7978">
        <w:rPr>
          <w:rStyle w:val="FootnoteReference"/>
        </w:rPr>
        <w:footnoteRef/>
      </w:r>
      <w:r w:rsidR="00402DBE" w:rsidRPr="00BD7978">
        <w:rPr>
          <w:i/>
        </w:rPr>
        <w:t xml:space="preserve">See </w:t>
      </w:r>
      <w:r w:rsidRPr="00BD7978">
        <w:t xml:space="preserve">PFR at para. 1.  </w:t>
      </w:r>
      <w:r w:rsidRPr="00BD7978">
        <w:rPr>
          <w:i/>
        </w:rPr>
        <w:t xml:space="preserve">But see supra </w:t>
      </w:r>
      <w:r w:rsidRPr="00BD7978">
        <w:t xml:space="preserve">note 4 (noting the ambiguity of the “address” of Havens’ present pleading, which </w:t>
      </w:r>
      <w:r w:rsidR="00925DB7" w:rsidRPr="00BD7978">
        <w:t xml:space="preserve">uses essentially the same language as his </w:t>
      </w:r>
      <w:r w:rsidRPr="00BD7978">
        <w:t xml:space="preserve">earlier pleading). </w:t>
      </w:r>
    </w:p>
  </w:footnote>
  <w:footnote w:id="26">
    <w:p w:rsidR="005A4CAF" w:rsidRPr="00BD7978" w:rsidRDefault="005A4CAF" w:rsidP="00CD3573">
      <w:pPr>
        <w:pStyle w:val="FootnoteText"/>
      </w:pPr>
      <w:r w:rsidRPr="00BD7978">
        <w:rPr>
          <w:rStyle w:val="FootnoteReference"/>
        </w:rPr>
        <w:footnoteRef/>
      </w:r>
      <w:r w:rsidRPr="00BD7978">
        <w:t xml:space="preserve"> </w:t>
      </w:r>
      <w:r w:rsidRPr="00BD7978">
        <w:rPr>
          <w:i/>
        </w:rPr>
        <w:t>See, e.g.</w:t>
      </w:r>
      <w:r w:rsidRPr="00BD7978">
        <w:t xml:space="preserve">, 47 U.S.C. § 155(c) (under which </w:t>
      </w:r>
      <w:r w:rsidR="00925DB7" w:rsidRPr="00BD7978">
        <w:t xml:space="preserve">the Commission’s </w:t>
      </w:r>
      <w:r w:rsidRPr="00BD7978">
        <w:t>delegation of authority is permissive); 47 C.F.R. § 0.5(c) (</w:t>
      </w:r>
      <w:r w:rsidR="00BD0B26" w:rsidRPr="00BD7978">
        <w:t>“[D]elegation of authority to a staff officer . . . does not mean that he will exercise that authority in all matters subject to the delegation.  In non-hearing matters, the staff is at liberty to refer any matter at any stage to the Commission for action . . . and the Commission may instruct the staff to do so.”);</w:t>
      </w:r>
      <w:r w:rsidRPr="00BD7978">
        <w:t xml:space="preserve"> </w:t>
      </w:r>
      <w:r w:rsidRPr="00BD7978">
        <w:rPr>
          <w:i/>
        </w:rPr>
        <w:t>Amendment of Section 73.202(B), Table of Allotments, FM Broadcast Stations</w:t>
      </w:r>
      <w:r w:rsidRPr="00BD7978">
        <w:t xml:space="preserve">, Memorandum Opinion and Order, 17 FCC Rcd 14830, 14830, para. 2 (2002) (“[O]ur Rules permit the Commission to act on any matter and, as here, allow the staff to refer any matter to the Commission.  Applicants and petitioners cannot claim surprise or unfairness when the Commission invokes these procedures.” (citation omitted)), </w:t>
      </w:r>
      <w:r w:rsidRPr="00BD7978">
        <w:rPr>
          <w:i/>
        </w:rPr>
        <w:t>recon. denied</w:t>
      </w:r>
      <w:r w:rsidRPr="00BD7978">
        <w:t>,</w:t>
      </w:r>
      <w:r w:rsidR="00BD0B26" w:rsidRPr="00BD7978">
        <w:t xml:space="preserve"> 19 FCC Rcd 1603 (2004); </w:t>
      </w:r>
      <w:r w:rsidR="00BD0B26" w:rsidRPr="00BD7978">
        <w:rPr>
          <w:i/>
        </w:rPr>
        <w:t xml:space="preserve">see also </w:t>
      </w:r>
      <w:r w:rsidR="00BD0B26" w:rsidRPr="00BD7978">
        <w:t>47 C.F.R. § 1.106(a)(1) (permitting referral to the Commission of petitions for reconsideration of “final actions taken pursuant to delegated authority”).</w:t>
      </w:r>
    </w:p>
  </w:footnote>
  <w:footnote w:id="27">
    <w:p w:rsidR="0063125E" w:rsidRPr="00BD7978" w:rsidRDefault="0063125E" w:rsidP="00CD3573">
      <w:pPr>
        <w:pStyle w:val="FootnoteText"/>
      </w:pPr>
      <w:r w:rsidRPr="00BD7978">
        <w:rPr>
          <w:rStyle w:val="FootnoteReference"/>
        </w:rPr>
        <w:footnoteRef/>
      </w:r>
      <w:r w:rsidRPr="00BD7978">
        <w:t xml:space="preserve"> </w:t>
      </w:r>
      <w:r w:rsidRPr="00BD7978">
        <w:rPr>
          <w:i/>
        </w:rPr>
        <w:t xml:space="preserve">See </w:t>
      </w:r>
      <w:r w:rsidR="00402DBE" w:rsidRPr="00BD7978">
        <w:rPr>
          <w:i/>
        </w:rPr>
        <w:t xml:space="preserve">also </w:t>
      </w:r>
      <w:r w:rsidRPr="00BD7978">
        <w:t>5 U.S.C. § 554(e) (</w:t>
      </w:r>
      <w:r w:rsidR="00402DBE" w:rsidRPr="00BD7978">
        <w:t xml:space="preserve">conferring </w:t>
      </w:r>
      <w:r w:rsidRPr="00BD7978">
        <w:t>to an agency’s “sound discretion”</w:t>
      </w:r>
      <w:r w:rsidR="00402DBE" w:rsidRPr="00BD7978">
        <w:t xml:space="preserve"> whether to issue a declaratory ruling</w:t>
      </w:r>
      <w:r w:rsidRPr="00BD7978">
        <w:t>).</w:t>
      </w:r>
    </w:p>
  </w:footnote>
  <w:footnote w:id="28">
    <w:p w:rsidR="00A035FC" w:rsidRPr="00BD4D06" w:rsidRDefault="00A035FC" w:rsidP="00CD3573">
      <w:pPr>
        <w:pStyle w:val="FootnoteText"/>
      </w:pPr>
      <w:r w:rsidRPr="00BD7978">
        <w:rPr>
          <w:rStyle w:val="FootnoteReference"/>
        </w:rPr>
        <w:footnoteRef/>
      </w:r>
      <w:r w:rsidRPr="00BD7978">
        <w:t xml:space="preserve"> </w:t>
      </w:r>
      <w:r w:rsidRPr="00BD7978">
        <w:rPr>
          <w:i/>
        </w:rPr>
        <w:t xml:space="preserve">See </w:t>
      </w:r>
      <w:r w:rsidR="00D452A0" w:rsidRPr="00BD7978">
        <w:rPr>
          <w:i/>
        </w:rPr>
        <w:t xml:space="preserve">Commission Review </w:t>
      </w:r>
      <w:r w:rsidR="00BD4D06" w:rsidRPr="00BD7978">
        <w:rPr>
          <w:i/>
        </w:rPr>
        <w:t>Order</w:t>
      </w:r>
      <w:r w:rsidR="00BD4D06" w:rsidRPr="00BD7978">
        <w:t xml:space="preserve">, 28 FCC Rcd at </w:t>
      </w:r>
      <w:r w:rsidR="00BF3AE1" w:rsidRPr="00BD7978">
        <w:t>16269</w:t>
      </w:r>
      <w:r w:rsidR="00BD4D06" w:rsidRPr="00BD7978">
        <w:t>, para. 20.</w:t>
      </w:r>
    </w:p>
  </w:footnote>
  <w:footnote w:id="29">
    <w:p w:rsidR="00967A02" w:rsidRPr="00BE128A" w:rsidRDefault="00967A02" w:rsidP="00CD3573">
      <w:pPr>
        <w:pStyle w:val="FootnoteText"/>
        <w:rPr>
          <w:i/>
        </w:rPr>
      </w:pPr>
      <w:r>
        <w:rPr>
          <w:rStyle w:val="FootnoteReference"/>
        </w:rPr>
        <w:footnoteRef/>
      </w:r>
      <w:r>
        <w:t xml:space="preserve"> </w:t>
      </w:r>
      <w:r>
        <w:rPr>
          <w:i/>
        </w:rPr>
        <w:t xml:space="preserve">See supra </w:t>
      </w:r>
      <w:r>
        <w:t>para. 5.</w:t>
      </w:r>
      <w:r w:rsidR="00D86400">
        <w:t xml:space="preserve">  Not only have we liberally interpreted Havens’ pleading to fall outside the scope of the prior approval sanction, </w:t>
      </w:r>
      <w:r w:rsidR="00D86400">
        <w:rPr>
          <w:i/>
        </w:rPr>
        <w:t>see id.</w:t>
      </w:r>
      <w:r w:rsidR="00D86400">
        <w:t>, but we have entertained his challenge to a Commission</w:t>
      </w:r>
      <w:r w:rsidR="00C13908">
        <w:t xml:space="preserve"> order</w:t>
      </w:r>
      <w:r w:rsidR="00D86400">
        <w:t xml:space="preserve"> denying an application for review, which under the Commission’s rules is appropriate only in limited circumstances, </w:t>
      </w:r>
      <w:r w:rsidR="00D86400">
        <w:rPr>
          <w:i/>
        </w:rPr>
        <w:t xml:space="preserve">see </w:t>
      </w:r>
      <w:r w:rsidR="00D86400">
        <w:t>47 C.F.R. § 1.106(b)(2) (“Where the Commission has denied an application for review, a petition for reconsideration will be entertained only if one or more of the following circumstances are present:  (i) The petition relies on facts or arguments which relate to events which have occurred or circumstances which have changed since the last opportunity to present such matters to the Commission; or (ii) The petition relies on facts or arguments unknown to petitioner until after his last opportunity to present them to the Commission, and he could not through the exercise of ordinary diligence have learned of the facts or arguments in question prior to such opportunity.”).</w:t>
      </w:r>
    </w:p>
  </w:footnote>
  <w:footnote w:id="30">
    <w:p w:rsidR="001B7516" w:rsidRPr="00651340" w:rsidRDefault="001B7516" w:rsidP="008269CF">
      <w:pPr>
        <w:pStyle w:val="FootnoteText"/>
        <w:spacing w:after="0"/>
      </w:pPr>
      <w:r>
        <w:rPr>
          <w:rStyle w:val="FootnoteReference"/>
        </w:rPr>
        <w:footnoteRef/>
      </w:r>
      <w:r>
        <w:t xml:space="preserve"> </w:t>
      </w:r>
      <w:r w:rsidR="00651340">
        <w:rPr>
          <w:i/>
        </w:rPr>
        <w:t>See Commission Review Order</w:t>
      </w:r>
      <w:r w:rsidR="00651340">
        <w:t xml:space="preserve">, 28 FCC Rcd at 16265, para. 13 (“Havens’ underlying . . . licensing proceeding has long since terminated.”).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11" w:rsidRDefault="009D4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D0120">
      <w:t xml:space="preserve">FCC </w:t>
    </w:r>
    <w:r w:rsidR="00487C35">
      <w:t xml:space="preserve"> 1</w:t>
    </w:r>
    <w:r w:rsidR="00F656EC">
      <w:t>4</w:t>
    </w:r>
    <w:r w:rsidR="00487C35">
      <w:t>-</w:t>
    </w:r>
    <w:r w:rsidR="00BD0120">
      <w:t>75</w:t>
    </w:r>
  </w:p>
  <w:p w:rsidR="00D25FB5" w:rsidRDefault="00384C0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5F20214" wp14:editId="20469BA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84C0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D0120">
      <w:rPr>
        <w:spacing w:val="-2"/>
      </w:rPr>
      <w:t xml:space="preserve">FCC  </w:t>
    </w:r>
    <w:r w:rsidR="00487C35">
      <w:rPr>
        <w:spacing w:val="-2"/>
      </w:rPr>
      <w:t>1</w:t>
    </w:r>
    <w:r w:rsidR="00F656EC">
      <w:rPr>
        <w:spacing w:val="-2"/>
      </w:rPr>
      <w:t>4</w:t>
    </w:r>
    <w:r w:rsidR="00487C35">
      <w:rPr>
        <w:spacing w:val="-2"/>
      </w:rPr>
      <w:t>-</w:t>
    </w:r>
    <w:r w:rsidR="00BD0120">
      <w:rPr>
        <w:spacing w:val="-2"/>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D95E27"/>
    <w:multiLevelType w:val="hybridMultilevel"/>
    <w:tmpl w:val="ACFE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B"/>
    <w:rsid w:val="000349D1"/>
    <w:rsid w:val="00034FA0"/>
    <w:rsid w:val="00036039"/>
    <w:rsid w:val="00037F90"/>
    <w:rsid w:val="0006122A"/>
    <w:rsid w:val="000875BF"/>
    <w:rsid w:val="00096D8C"/>
    <w:rsid w:val="000A6910"/>
    <w:rsid w:val="000B6722"/>
    <w:rsid w:val="000C0B65"/>
    <w:rsid w:val="000C0BCD"/>
    <w:rsid w:val="000D4045"/>
    <w:rsid w:val="000E05FE"/>
    <w:rsid w:val="000E3D42"/>
    <w:rsid w:val="0011690D"/>
    <w:rsid w:val="00122BD5"/>
    <w:rsid w:val="00125C4C"/>
    <w:rsid w:val="00133916"/>
    <w:rsid w:val="00133F79"/>
    <w:rsid w:val="001374A3"/>
    <w:rsid w:val="001513FA"/>
    <w:rsid w:val="00173EE7"/>
    <w:rsid w:val="00177313"/>
    <w:rsid w:val="0018681D"/>
    <w:rsid w:val="00194A66"/>
    <w:rsid w:val="001A64E9"/>
    <w:rsid w:val="001B7516"/>
    <w:rsid w:val="001C48BD"/>
    <w:rsid w:val="001D6BCF"/>
    <w:rsid w:val="001E01CA"/>
    <w:rsid w:val="001F4722"/>
    <w:rsid w:val="00266C33"/>
    <w:rsid w:val="00275CF5"/>
    <w:rsid w:val="0028301F"/>
    <w:rsid w:val="00285017"/>
    <w:rsid w:val="002A2D2E"/>
    <w:rsid w:val="002C5D17"/>
    <w:rsid w:val="00303851"/>
    <w:rsid w:val="0031255A"/>
    <w:rsid w:val="003272C6"/>
    <w:rsid w:val="00343749"/>
    <w:rsid w:val="003660ED"/>
    <w:rsid w:val="00380237"/>
    <w:rsid w:val="00384C0B"/>
    <w:rsid w:val="003B0550"/>
    <w:rsid w:val="003B1344"/>
    <w:rsid w:val="003B3047"/>
    <w:rsid w:val="003B5459"/>
    <w:rsid w:val="003B694F"/>
    <w:rsid w:val="003F171C"/>
    <w:rsid w:val="00402AE4"/>
    <w:rsid w:val="00402DBE"/>
    <w:rsid w:val="004109D4"/>
    <w:rsid w:val="00412FC5"/>
    <w:rsid w:val="00414ED8"/>
    <w:rsid w:val="00422276"/>
    <w:rsid w:val="004242F1"/>
    <w:rsid w:val="00445A00"/>
    <w:rsid w:val="00451B0F"/>
    <w:rsid w:val="00487C35"/>
    <w:rsid w:val="004C28F5"/>
    <w:rsid w:val="004C2EE3"/>
    <w:rsid w:val="004D2AFB"/>
    <w:rsid w:val="004E4A22"/>
    <w:rsid w:val="004F299A"/>
    <w:rsid w:val="00511968"/>
    <w:rsid w:val="00514DEA"/>
    <w:rsid w:val="0055166B"/>
    <w:rsid w:val="0055614C"/>
    <w:rsid w:val="00573251"/>
    <w:rsid w:val="00575F22"/>
    <w:rsid w:val="005768F7"/>
    <w:rsid w:val="0057770E"/>
    <w:rsid w:val="00581A47"/>
    <w:rsid w:val="005A0174"/>
    <w:rsid w:val="005A0852"/>
    <w:rsid w:val="005A0A76"/>
    <w:rsid w:val="005A4CAF"/>
    <w:rsid w:val="005A678E"/>
    <w:rsid w:val="005E14C2"/>
    <w:rsid w:val="005E7577"/>
    <w:rsid w:val="00607BA5"/>
    <w:rsid w:val="00626EB6"/>
    <w:rsid w:val="0063125E"/>
    <w:rsid w:val="00651340"/>
    <w:rsid w:val="00655D03"/>
    <w:rsid w:val="0067745E"/>
    <w:rsid w:val="00681961"/>
    <w:rsid w:val="00683388"/>
    <w:rsid w:val="00683F84"/>
    <w:rsid w:val="006A15E5"/>
    <w:rsid w:val="006A511A"/>
    <w:rsid w:val="006A6A81"/>
    <w:rsid w:val="006B6F43"/>
    <w:rsid w:val="006F7393"/>
    <w:rsid w:val="0070224F"/>
    <w:rsid w:val="00707693"/>
    <w:rsid w:val="007115F7"/>
    <w:rsid w:val="00725D66"/>
    <w:rsid w:val="007503DA"/>
    <w:rsid w:val="00770179"/>
    <w:rsid w:val="00785689"/>
    <w:rsid w:val="007907E6"/>
    <w:rsid w:val="0079754B"/>
    <w:rsid w:val="007A1E6D"/>
    <w:rsid w:val="007A5D50"/>
    <w:rsid w:val="007B0EB2"/>
    <w:rsid w:val="007B5371"/>
    <w:rsid w:val="007D7FA3"/>
    <w:rsid w:val="00810B6F"/>
    <w:rsid w:val="00822CE0"/>
    <w:rsid w:val="008269CF"/>
    <w:rsid w:val="00841AB1"/>
    <w:rsid w:val="00852DC7"/>
    <w:rsid w:val="008A1788"/>
    <w:rsid w:val="008C16E9"/>
    <w:rsid w:val="008C5994"/>
    <w:rsid w:val="008C68F1"/>
    <w:rsid w:val="008E6751"/>
    <w:rsid w:val="008F508D"/>
    <w:rsid w:val="00903C92"/>
    <w:rsid w:val="00915C1A"/>
    <w:rsid w:val="00921803"/>
    <w:rsid w:val="00925DB7"/>
    <w:rsid w:val="00926503"/>
    <w:rsid w:val="00932789"/>
    <w:rsid w:val="00945579"/>
    <w:rsid w:val="009651DD"/>
    <w:rsid w:val="00967A02"/>
    <w:rsid w:val="009726D8"/>
    <w:rsid w:val="009944B4"/>
    <w:rsid w:val="0099609B"/>
    <w:rsid w:val="009D4C11"/>
    <w:rsid w:val="009E4D6F"/>
    <w:rsid w:val="009E7E24"/>
    <w:rsid w:val="009F2088"/>
    <w:rsid w:val="009F524E"/>
    <w:rsid w:val="009F76DB"/>
    <w:rsid w:val="00A035FC"/>
    <w:rsid w:val="00A10D70"/>
    <w:rsid w:val="00A24127"/>
    <w:rsid w:val="00A246C5"/>
    <w:rsid w:val="00A32C3B"/>
    <w:rsid w:val="00A45F4F"/>
    <w:rsid w:val="00A57DE5"/>
    <w:rsid w:val="00A600A9"/>
    <w:rsid w:val="00A622FF"/>
    <w:rsid w:val="00A9272D"/>
    <w:rsid w:val="00AA55B7"/>
    <w:rsid w:val="00AA5B9E"/>
    <w:rsid w:val="00AB2407"/>
    <w:rsid w:val="00AB2A65"/>
    <w:rsid w:val="00AB53DF"/>
    <w:rsid w:val="00AB5980"/>
    <w:rsid w:val="00AC2F17"/>
    <w:rsid w:val="00AC45E0"/>
    <w:rsid w:val="00AD53A8"/>
    <w:rsid w:val="00B061FF"/>
    <w:rsid w:val="00B07E5C"/>
    <w:rsid w:val="00B3412D"/>
    <w:rsid w:val="00B47ECC"/>
    <w:rsid w:val="00B65F42"/>
    <w:rsid w:val="00B71F46"/>
    <w:rsid w:val="00B76FD8"/>
    <w:rsid w:val="00B811F7"/>
    <w:rsid w:val="00B86BA0"/>
    <w:rsid w:val="00B9356A"/>
    <w:rsid w:val="00BA39A7"/>
    <w:rsid w:val="00BA5DC6"/>
    <w:rsid w:val="00BA6196"/>
    <w:rsid w:val="00BC6D8C"/>
    <w:rsid w:val="00BD0120"/>
    <w:rsid w:val="00BD0B26"/>
    <w:rsid w:val="00BD4D06"/>
    <w:rsid w:val="00BD7978"/>
    <w:rsid w:val="00BE128A"/>
    <w:rsid w:val="00BF3AE1"/>
    <w:rsid w:val="00BF6F19"/>
    <w:rsid w:val="00BF7EF6"/>
    <w:rsid w:val="00C13908"/>
    <w:rsid w:val="00C20513"/>
    <w:rsid w:val="00C34006"/>
    <w:rsid w:val="00C426B1"/>
    <w:rsid w:val="00C57CED"/>
    <w:rsid w:val="00C66160"/>
    <w:rsid w:val="00C71DD1"/>
    <w:rsid w:val="00C721AC"/>
    <w:rsid w:val="00C90D6A"/>
    <w:rsid w:val="00CA247E"/>
    <w:rsid w:val="00CB6821"/>
    <w:rsid w:val="00CC1FD7"/>
    <w:rsid w:val="00CC72B6"/>
    <w:rsid w:val="00CD3573"/>
    <w:rsid w:val="00CD58E8"/>
    <w:rsid w:val="00D0218D"/>
    <w:rsid w:val="00D11083"/>
    <w:rsid w:val="00D25FB5"/>
    <w:rsid w:val="00D365AF"/>
    <w:rsid w:val="00D44223"/>
    <w:rsid w:val="00D452A0"/>
    <w:rsid w:val="00D71D6F"/>
    <w:rsid w:val="00D775A7"/>
    <w:rsid w:val="00D86400"/>
    <w:rsid w:val="00D91A63"/>
    <w:rsid w:val="00D9280F"/>
    <w:rsid w:val="00D94614"/>
    <w:rsid w:val="00DA2529"/>
    <w:rsid w:val="00DB130A"/>
    <w:rsid w:val="00DB2EBB"/>
    <w:rsid w:val="00DB5724"/>
    <w:rsid w:val="00DC10A1"/>
    <w:rsid w:val="00DC64D5"/>
    <w:rsid w:val="00DC655F"/>
    <w:rsid w:val="00DD0B59"/>
    <w:rsid w:val="00DD7EBD"/>
    <w:rsid w:val="00DF62B6"/>
    <w:rsid w:val="00E026A4"/>
    <w:rsid w:val="00E07225"/>
    <w:rsid w:val="00E15116"/>
    <w:rsid w:val="00E25548"/>
    <w:rsid w:val="00E45F0D"/>
    <w:rsid w:val="00E5409F"/>
    <w:rsid w:val="00E80AAD"/>
    <w:rsid w:val="00EE6488"/>
    <w:rsid w:val="00EF1774"/>
    <w:rsid w:val="00F01BB5"/>
    <w:rsid w:val="00F021FA"/>
    <w:rsid w:val="00F1051D"/>
    <w:rsid w:val="00F12C65"/>
    <w:rsid w:val="00F33921"/>
    <w:rsid w:val="00F42EBF"/>
    <w:rsid w:val="00F62E97"/>
    <w:rsid w:val="00F64209"/>
    <w:rsid w:val="00F656EC"/>
    <w:rsid w:val="00F9292D"/>
    <w:rsid w:val="00F93BF5"/>
    <w:rsid w:val="00FC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724"/>
    <w:pPr>
      <w:widowControl w:val="0"/>
    </w:pPr>
    <w:rPr>
      <w:snapToGrid w:val="0"/>
      <w:kern w:val="28"/>
      <w:sz w:val="22"/>
    </w:rPr>
  </w:style>
  <w:style w:type="paragraph" w:styleId="Heading1">
    <w:name w:val="heading 1"/>
    <w:basedOn w:val="Normal"/>
    <w:next w:val="ParaNum"/>
    <w:qFormat/>
    <w:rsid w:val="00DB57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5724"/>
    <w:pPr>
      <w:keepNext/>
      <w:numPr>
        <w:ilvl w:val="1"/>
        <w:numId w:val="3"/>
      </w:numPr>
      <w:spacing w:after="120"/>
      <w:outlineLvl w:val="1"/>
    </w:pPr>
    <w:rPr>
      <w:b/>
    </w:rPr>
  </w:style>
  <w:style w:type="paragraph" w:styleId="Heading3">
    <w:name w:val="heading 3"/>
    <w:basedOn w:val="Normal"/>
    <w:next w:val="ParaNum"/>
    <w:qFormat/>
    <w:rsid w:val="00DB5724"/>
    <w:pPr>
      <w:keepNext/>
      <w:numPr>
        <w:ilvl w:val="2"/>
        <w:numId w:val="3"/>
      </w:numPr>
      <w:tabs>
        <w:tab w:val="left" w:pos="2160"/>
      </w:tabs>
      <w:spacing w:after="120"/>
      <w:outlineLvl w:val="2"/>
    </w:pPr>
    <w:rPr>
      <w:b/>
    </w:rPr>
  </w:style>
  <w:style w:type="paragraph" w:styleId="Heading4">
    <w:name w:val="heading 4"/>
    <w:basedOn w:val="Normal"/>
    <w:next w:val="ParaNum"/>
    <w:qFormat/>
    <w:rsid w:val="00DB5724"/>
    <w:pPr>
      <w:keepNext/>
      <w:numPr>
        <w:ilvl w:val="3"/>
        <w:numId w:val="3"/>
      </w:numPr>
      <w:tabs>
        <w:tab w:val="left" w:pos="2880"/>
      </w:tabs>
      <w:spacing w:after="120"/>
      <w:outlineLvl w:val="3"/>
    </w:pPr>
    <w:rPr>
      <w:b/>
    </w:rPr>
  </w:style>
  <w:style w:type="paragraph" w:styleId="Heading5">
    <w:name w:val="heading 5"/>
    <w:basedOn w:val="Normal"/>
    <w:next w:val="ParaNum"/>
    <w:qFormat/>
    <w:rsid w:val="00DB57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5724"/>
    <w:pPr>
      <w:numPr>
        <w:ilvl w:val="5"/>
        <w:numId w:val="3"/>
      </w:numPr>
      <w:tabs>
        <w:tab w:val="left" w:pos="4320"/>
      </w:tabs>
      <w:spacing w:after="120"/>
      <w:outlineLvl w:val="5"/>
    </w:pPr>
    <w:rPr>
      <w:b/>
    </w:rPr>
  </w:style>
  <w:style w:type="paragraph" w:styleId="Heading7">
    <w:name w:val="heading 7"/>
    <w:basedOn w:val="Normal"/>
    <w:next w:val="ParaNum"/>
    <w:qFormat/>
    <w:rsid w:val="00DB57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57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57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5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5724"/>
  </w:style>
  <w:style w:type="paragraph" w:customStyle="1" w:styleId="ParaNum">
    <w:name w:val="ParaNum"/>
    <w:basedOn w:val="Normal"/>
    <w:rsid w:val="00DB5724"/>
    <w:pPr>
      <w:numPr>
        <w:numId w:val="2"/>
      </w:numPr>
      <w:tabs>
        <w:tab w:val="clear" w:pos="1080"/>
        <w:tab w:val="num" w:pos="1440"/>
      </w:tabs>
      <w:spacing w:after="120"/>
    </w:pPr>
  </w:style>
  <w:style w:type="paragraph" w:styleId="EndnoteText">
    <w:name w:val="endnote text"/>
    <w:basedOn w:val="Normal"/>
    <w:semiHidden/>
    <w:rsid w:val="00DB5724"/>
    <w:rPr>
      <w:sz w:val="20"/>
    </w:rPr>
  </w:style>
  <w:style w:type="character" w:styleId="EndnoteReference">
    <w:name w:val="endnote reference"/>
    <w:semiHidden/>
    <w:rsid w:val="00DB5724"/>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DB5724"/>
    <w:pPr>
      <w:spacing w:after="120"/>
    </w:pPr>
  </w:style>
  <w:style w:type="character" w:styleId="FootnoteReference">
    <w:name w:val="footnote reference"/>
    <w:rsid w:val="00DB5724"/>
    <w:rPr>
      <w:rFonts w:ascii="Times New Roman" w:hAnsi="Times New Roman"/>
      <w:dstrike w:val="0"/>
      <w:color w:val="auto"/>
      <w:sz w:val="20"/>
      <w:vertAlign w:val="superscript"/>
    </w:rPr>
  </w:style>
  <w:style w:type="paragraph" w:styleId="TOC1">
    <w:name w:val="toc 1"/>
    <w:basedOn w:val="Normal"/>
    <w:next w:val="Normal"/>
    <w:semiHidden/>
    <w:rsid w:val="00DB57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5724"/>
    <w:pPr>
      <w:tabs>
        <w:tab w:val="left" w:pos="720"/>
        <w:tab w:val="right" w:leader="dot" w:pos="9360"/>
      </w:tabs>
      <w:suppressAutoHyphens/>
      <w:ind w:left="720" w:right="720" w:hanging="360"/>
    </w:pPr>
    <w:rPr>
      <w:noProof/>
    </w:rPr>
  </w:style>
  <w:style w:type="paragraph" w:styleId="TOC3">
    <w:name w:val="toc 3"/>
    <w:basedOn w:val="Normal"/>
    <w:next w:val="Normal"/>
    <w:semiHidden/>
    <w:rsid w:val="00DB57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57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57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57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57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57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57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5724"/>
    <w:pPr>
      <w:tabs>
        <w:tab w:val="right" w:pos="9360"/>
      </w:tabs>
      <w:suppressAutoHyphens/>
    </w:pPr>
  </w:style>
  <w:style w:type="character" w:customStyle="1" w:styleId="EquationCaption">
    <w:name w:val="_Equation Caption"/>
    <w:rsid w:val="00DB5724"/>
  </w:style>
  <w:style w:type="paragraph" w:styleId="Header">
    <w:name w:val="header"/>
    <w:basedOn w:val="Normal"/>
    <w:autoRedefine/>
    <w:rsid w:val="00DB5724"/>
    <w:pPr>
      <w:tabs>
        <w:tab w:val="center" w:pos="4680"/>
        <w:tab w:val="right" w:pos="9360"/>
      </w:tabs>
    </w:pPr>
    <w:rPr>
      <w:b/>
    </w:rPr>
  </w:style>
  <w:style w:type="paragraph" w:styleId="Footer">
    <w:name w:val="footer"/>
    <w:basedOn w:val="Normal"/>
    <w:rsid w:val="00DB5724"/>
    <w:pPr>
      <w:tabs>
        <w:tab w:val="center" w:pos="4320"/>
        <w:tab w:val="right" w:pos="8640"/>
      </w:tabs>
    </w:pPr>
  </w:style>
  <w:style w:type="character" w:styleId="PageNumber">
    <w:name w:val="page number"/>
    <w:basedOn w:val="DefaultParagraphFont"/>
    <w:rsid w:val="00DB5724"/>
  </w:style>
  <w:style w:type="paragraph" w:styleId="BlockText">
    <w:name w:val="Block Text"/>
    <w:basedOn w:val="Normal"/>
    <w:rsid w:val="00DB5724"/>
    <w:pPr>
      <w:spacing w:after="240"/>
      <w:ind w:left="1440" w:right="1440"/>
    </w:pPr>
  </w:style>
  <w:style w:type="paragraph" w:customStyle="1" w:styleId="Paratitle">
    <w:name w:val="Para title"/>
    <w:basedOn w:val="Normal"/>
    <w:rsid w:val="00DB5724"/>
    <w:pPr>
      <w:tabs>
        <w:tab w:val="center" w:pos="9270"/>
      </w:tabs>
      <w:spacing w:after="240"/>
    </w:pPr>
    <w:rPr>
      <w:spacing w:val="-2"/>
    </w:rPr>
  </w:style>
  <w:style w:type="paragraph" w:customStyle="1" w:styleId="Bullet">
    <w:name w:val="Bullet"/>
    <w:basedOn w:val="Normal"/>
    <w:rsid w:val="00DB5724"/>
    <w:pPr>
      <w:tabs>
        <w:tab w:val="left" w:pos="2160"/>
      </w:tabs>
      <w:spacing w:after="220"/>
      <w:ind w:left="2160" w:hanging="720"/>
    </w:pPr>
  </w:style>
  <w:style w:type="paragraph" w:customStyle="1" w:styleId="TableFormat">
    <w:name w:val="TableFormat"/>
    <w:basedOn w:val="Bullet"/>
    <w:rsid w:val="00DB5724"/>
    <w:pPr>
      <w:tabs>
        <w:tab w:val="clear" w:pos="2160"/>
        <w:tab w:val="left" w:pos="5040"/>
      </w:tabs>
      <w:ind w:left="5040" w:hanging="3600"/>
    </w:pPr>
  </w:style>
  <w:style w:type="paragraph" w:customStyle="1" w:styleId="TOCTitle">
    <w:name w:val="TOC Title"/>
    <w:basedOn w:val="Normal"/>
    <w:rsid w:val="00DB57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5724"/>
    <w:pPr>
      <w:jc w:val="center"/>
    </w:pPr>
    <w:rPr>
      <w:rFonts w:ascii="Times New Roman Bold" w:hAnsi="Times New Roman Bold"/>
      <w:b/>
      <w:bCs/>
      <w:caps/>
      <w:szCs w:val="22"/>
    </w:rPr>
  </w:style>
  <w:style w:type="character" w:styleId="Hyperlink">
    <w:name w:val="Hyperlink"/>
    <w:rsid w:val="00DB5724"/>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724"/>
    <w:pPr>
      <w:widowControl w:val="0"/>
    </w:pPr>
    <w:rPr>
      <w:snapToGrid w:val="0"/>
      <w:kern w:val="28"/>
      <w:sz w:val="22"/>
    </w:rPr>
  </w:style>
  <w:style w:type="paragraph" w:styleId="Heading1">
    <w:name w:val="heading 1"/>
    <w:basedOn w:val="Normal"/>
    <w:next w:val="ParaNum"/>
    <w:qFormat/>
    <w:rsid w:val="00DB57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5724"/>
    <w:pPr>
      <w:keepNext/>
      <w:numPr>
        <w:ilvl w:val="1"/>
        <w:numId w:val="3"/>
      </w:numPr>
      <w:spacing w:after="120"/>
      <w:outlineLvl w:val="1"/>
    </w:pPr>
    <w:rPr>
      <w:b/>
    </w:rPr>
  </w:style>
  <w:style w:type="paragraph" w:styleId="Heading3">
    <w:name w:val="heading 3"/>
    <w:basedOn w:val="Normal"/>
    <w:next w:val="ParaNum"/>
    <w:qFormat/>
    <w:rsid w:val="00DB5724"/>
    <w:pPr>
      <w:keepNext/>
      <w:numPr>
        <w:ilvl w:val="2"/>
        <w:numId w:val="3"/>
      </w:numPr>
      <w:tabs>
        <w:tab w:val="left" w:pos="2160"/>
      </w:tabs>
      <w:spacing w:after="120"/>
      <w:outlineLvl w:val="2"/>
    </w:pPr>
    <w:rPr>
      <w:b/>
    </w:rPr>
  </w:style>
  <w:style w:type="paragraph" w:styleId="Heading4">
    <w:name w:val="heading 4"/>
    <w:basedOn w:val="Normal"/>
    <w:next w:val="ParaNum"/>
    <w:qFormat/>
    <w:rsid w:val="00DB5724"/>
    <w:pPr>
      <w:keepNext/>
      <w:numPr>
        <w:ilvl w:val="3"/>
        <w:numId w:val="3"/>
      </w:numPr>
      <w:tabs>
        <w:tab w:val="left" w:pos="2880"/>
      </w:tabs>
      <w:spacing w:after="120"/>
      <w:outlineLvl w:val="3"/>
    </w:pPr>
    <w:rPr>
      <w:b/>
    </w:rPr>
  </w:style>
  <w:style w:type="paragraph" w:styleId="Heading5">
    <w:name w:val="heading 5"/>
    <w:basedOn w:val="Normal"/>
    <w:next w:val="ParaNum"/>
    <w:qFormat/>
    <w:rsid w:val="00DB57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5724"/>
    <w:pPr>
      <w:numPr>
        <w:ilvl w:val="5"/>
        <w:numId w:val="3"/>
      </w:numPr>
      <w:tabs>
        <w:tab w:val="left" w:pos="4320"/>
      </w:tabs>
      <w:spacing w:after="120"/>
      <w:outlineLvl w:val="5"/>
    </w:pPr>
    <w:rPr>
      <w:b/>
    </w:rPr>
  </w:style>
  <w:style w:type="paragraph" w:styleId="Heading7">
    <w:name w:val="heading 7"/>
    <w:basedOn w:val="Normal"/>
    <w:next w:val="ParaNum"/>
    <w:qFormat/>
    <w:rsid w:val="00DB57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57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57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5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5724"/>
  </w:style>
  <w:style w:type="paragraph" w:customStyle="1" w:styleId="ParaNum">
    <w:name w:val="ParaNum"/>
    <w:basedOn w:val="Normal"/>
    <w:rsid w:val="00DB5724"/>
    <w:pPr>
      <w:numPr>
        <w:numId w:val="2"/>
      </w:numPr>
      <w:tabs>
        <w:tab w:val="clear" w:pos="1080"/>
        <w:tab w:val="num" w:pos="1440"/>
      </w:tabs>
      <w:spacing w:after="120"/>
    </w:pPr>
  </w:style>
  <w:style w:type="paragraph" w:styleId="EndnoteText">
    <w:name w:val="endnote text"/>
    <w:basedOn w:val="Normal"/>
    <w:semiHidden/>
    <w:rsid w:val="00DB5724"/>
    <w:rPr>
      <w:sz w:val="20"/>
    </w:rPr>
  </w:style>
  <w:style w:type="character" w:styleId="EndnoteReference">
    <w:name w:val="endnote reference"/>
    <w:semiHidden/>
    <w:rsid w:val="00DB5724"/>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DB5724"/>
    <w:pPr>
      <w:spacing w:after="120"/>
    </w:pPr>
  </w:style>
  <w:style w:type="character" w:styleId="FootnoteReference">
    <w:name w:val="footnote reference"/>
    <w:rsid w:val="00DB5724"/>
    <w:rPr>
      <w:rFonts w:ascii="Times New Roman" w:hAnsi="Times New Roman"/>
      <w:dstrike w:val="0"/>
      <w:color w:val="auto"/>
      <w:sz w:val="20"/>
      <w:vertAlign w:val="superscript"/>
    </w:rPr>
  </w:style>
  <w:style w:type="paragraph" w:styleId="TOC1">
    <w:name w:val="toc 1"/>
    <w:basedOn w:val="Normal"/>
    <w:next w:val="Normal"/>
    <w:semiHidden/>
    <w:rsid w:val="00DB57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5724"/>
    <w:pPr>
      <w:tabs>
        <w:tab w:val="left" w:pos="720"/>
        <w:tab w:val="right" w:leader="dot" w:pos="9360"/>
      </w:tabs>
      <w:suppressAutoHyphens/>
      <w:ind w:left="720" w:right="720" w:hanging="360"/>
    </w:pPr>
    <w:rPr>
      <w:noProof/>
    </w:rPr>
  </w:style>
  <w:style w:type="paragraph" w:styleId="TOC3">
    <w:name w:val="toc 3"/>
    <w:basedOn w:val="Normal"/>
    <w:next w:val="Normal"/>
    <w:semiHidden/>
    <w:rsid w:val="00DB57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57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57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57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57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57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57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5724"/>
    <w:pPr>
      <w:tabs>
        <w:tab w:val="right" w:pos="9360"/>
      </w:tabs>
      <w:suppressAutoHyphens/>
    </w:pPr>
  </w:style>
  <w:style w:type="character" w:customStyle="1" w:styleId="EquationCaption">
    <w:name w:val="_Equation Caption"/>
    <w:rsid w:val="00DB5724"/>
  </w:style>
  <w:style w:type="paragraph" w:styleId="Header">
    <w:name w:val="header"/>
    <w:basedOn w:val="Normal"/>
    <w:autoRedefine/>
    <w:rsid w:val="00DB5724"/>
    <w:pPr>
      <w:tabs>
        <w:tab w:val="center" w:pos="4680"/>
        <w:tab w:val="right" w:pos="9360"/>
      </w:tabs>
    </w:pPr>
    <w:rPr>
      <w:b/>
    </w:rPr>
  </w:style>
  <w:style w:type="paragraph" w:styleId="Footer">
    <w:name w:val="footer"/>
    <w:basedOn w:val="Normal"/>
    <w:rsid w:val="00DB5724"/>
    <w:pPr>
      <w:tabs>
        <w:tab w:val="center" w:pos="4320"/>
        <w:tab w:val="right" w:pos="8640"/>
      </w:tabs>
    </w:pPr>
  </w:style>
  <w:style w:type="character" w:styleId="PageNumber">
    <w:name w:val="page number"/>
    <w:basedOn w:val="DefaultParagraphFont"/>
    <w:rsid w:val="00DB5724"/>
  </w:style>
  <w:style w:type="paragraph" w:styleId="BlockText">
    <w:name w:val="Block Text"/>
    <w:basedOn w:val="Normal"/>
    <w:rsid w:val="00DB5724"/>
    <w:pPr>
      <w:spacing w:after="240"/>
      <w:ind w:left="1440" w:right="1440"/>
    </w:pPr>
  </w:style>
  <w:style w:type="paragraph" w:customStyle="1" w:styleId="Paratitle">
    <w:name w:val="Para title"/>
    <w:basedOn w:val="Normal"/>
    <w:rsid w:val="00DB5724"/>
    <w:pPr>
      <w:tabs>
        <w:tab w:val="center" w:pos="9270"/>
      </w:tabs>
      <w:spacing w:after="240"/>
    </w:pPr>
    <w:rPr>
      <w:spacing w:val="-2"/>
    </w:rPr>
  </w:style>
  <w:style w:type="paragraph" w:customStyle="1" w:styleId="Bullet">
    <w:name w:val="Bullet"/>
    <w:basedOn w:val="Normal"/>
    <w:rsid w:val="00DB5724"/>
    <w:pPr>
      <w:tabs>
        <w:tab w:val="left" w:pos="2160"/>
      </w:tabs>
      <w:spacing w:after="220"/>
      <w:ind w:left="2160" w:hanging="720"/>
    </w:pPr>
  </w:style>
  <w:style w:type="paragraph" w:customStyle="1" w:styleId="TableFormat">
    <w:name w:val="TableFormat"/>
    <w:basedOn w:val="Bullet"/>
    <w:rsid w:val="00DB5724"/>
    <w:pPr>
      <w:tabs>
        <w:tab w:val="clear" w:pos="2160"/>
        <w:tab w:val="left" w:pos="5040"/>
      </w:tabs>
      <w:ind w:left="5040" w:hanging="3600"/>
    </w:pPr>
  </w:style>
  <w:style w:type="paragraph" w:customStyle="1" w:styleId="TOCTitle">
    <w:name w:val="TOC Title"/>
    <w:basedOn w:val="Normal"/>
    <w:rsid w:val="00DB57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5724"/>
    <w:pPr>
      <w:jc w:val="center"/>
    </w:pPr>
    <w:rPr>
      <w:rFonts w:ascii="Times New Roman Bold" w:hAnsi="Times New Roman Bold"/>
      <w:b/>
      <w:bCs/>
      <w:caps/>
      <w:szCs w:val="22"/>
    </w:rPr>
  </w:style>
  <w:style w:type="character" w:styleId="Hyperlink">
    <w:name w:val="Hyperlink"/>
    <w:rsid w:val="00DB5724"/>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1074</Words>
  <Characters>5985</Characters>
  <Application>Microsoft Office Word</Application>
  <DocSecurity>0</DocSecurity>
  <Lines>133</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2014-06-06T17:06:00Z</cp:lastPrinted>
  <dcterms:created xsi:type="dcterms:W3CDTF">2014-06-09T16:16:00Z</dcterms:created>
  <dcterms:modified xsi:type="dcterms:W3CDTF">2014-06-09T16:16:00Z</dcterms:modified>
  <cp:category> </cp:category>
  <cp:contentStatus> </cp:contentStatus>
</cp:coreProperties>
</file>